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E9DDC6" w14:textId="77777777" w:rsidR="008A3D05" w:rsidRPr="00D96387" w:rsidRDefault="008A3D05" w:rsidP="008A3D05">
      <w:pPr>
        <w:spacing w:after="0" w:line="240" w:lineRule="auto"/>
        <w:jc w:val="both"/>
        <w:rPr>
          <w:rFonts w:ascii="Verdana" w:eastAsia="Calibri" w:hAnsi="Verdana" w:cs="Arial"/>
          <w:b/>
          <w:color w:val="000000" w:themeColor="text1"/>
          <w:lang w:eastAsia="es-ES_tradnl"/>
        </w:rPr>
      </w:pPr>
      <w:bookmarkStart w:id="0" w:name="_Hlk186494164"/>
      <w:r w:rsidRPr="00D96387">
        <w:rPr>
          <w:rFonts w:ascii="Verdana" w:eastAsia="Calibri" w:hAnsi="Verdana" w:cs="Arial"/>
          <w:b/>
          <w:color w:val="000000" w:themeColor="text1"/>
          <w:lang w:eastAsia="es-ES_tradnl"/>
        </w:rPr>
        <w:t xml:space="preserve">ADENDAS – Modificación al cronograma </w:t>
      </w:r>
    </w:p>
    <w:p w14:paraId="35EDE972" w14:textId="77777777" w:rsidR="008A3D05" w:rsidRPr="00D96387" w:rsidRDefault="008A3D05" w:rsidP="008A3D05">
      <w:pPr>
        <w:shd w:val="clear" w:color="auto" w:fill="FFFFFF"/>
        <w:spacing w:before="240" w:beforeAutospacing="1" w:after="240" w:afterAutospacing="1" w:line="240" w:lineRule="auto"/>
        <w:jc w:val="both"/>
        <w:rPr>
          <w:rFonts w:ascii="Verdana" w:eastAsia="Times New Roman" w:hAnsi="Verdana" w:cs="Arial"/>
          <w:color w:val="000000"/>
          <w:sz w:val="20"/>
          <w:szCs w:val="20"/>
          <w:bdr w:val="none" w:sz="0" w:space="0" w:color="auto" w:frame="1"/>
          <w:lang w:eastAsia="es-CO"/>
        </w:rPr>
      </w:pPr>
      <w:r w:rsidRPr="00D96387">
        <w:rPr>
          <w:rFonts w:ascii="Verdana" w:eastAsia="Times New Roman" w:hAnsi="Verdana" w:cs="Arial"/>
          <w:color w:val="000000"/>
          <w:sz w:val="20"/>
          <w:szCs w:val="20"/>
          <w:bdr w:val="none" w:sz="0" w:space="0" w:color="auto" w:frame="1"/>
          <w:lang w:eastAsia="es-CO"/>
        </w:rPr>
        <w:t>[…] el artículo 2.2.1.1.2.2.1 de Decreto 1082 de 2015 dispone que la entidad estatal puede expedir adendas para modificar el cronograma una vez vencido el término para la presentación de las ofertas y antes de la adjudicación del contrato. La interpretación de esta norma supone que pueden dar lugar a la expedición de adendas al cronograma del proceso de selección una vez vencido el plazo para la recepción de ofertas y antes de la adjudicación del contrato, en las que solo se permite modificar los plazos de las etapas siguientes.</w:t>
      </w:r>
    </w:p>
    <w:p w14:paraId="03217F34" w14:textId="77777777" w:rsidR="008A3D05" w:rsidRPr="00D96387" w:rsidRDefault="008A3D05" w:rsidP="008A3D05">
      <w:pPr>
        <w:shd w:val="clear" w:color="auto" w:fill="FFFFFF"/>
        <w:spacing w:before="240" w:beforeAutospacing="1" w:after="240" w:afterAutospacing="1" w:line="240" w:lineRule="auto"/>
        <w:jc w:val="both"/>
        <w:rPr>
          <w:rFonts w:ascii="Verdana" w:eastAsia="Times New Roman" w:hAnsi="Verdana" w:cs="Arial"/>
          <w:color w:val="000000"/>
          <w:sz w:val="20"/>
          <w:szCs w:val="20"/>
          <w:bdr w:val="none" w:sz="0" w:space="0" w:color="auto" w:frame="1"/>
          <w:lang w:eastAsia="es-CO"/>
        </w:rPr>
      </w:pPr>
      <w:r w:rsidRPr="00D96387">
        <w:rPr>
          <w:rFonts w:ascii="Verdana" w:eastAsia="Times New Roman" w:hAnsi="Verdana" w:cs="Arial"/>
          <w:color w:val="000000"/>
          <w:sz w:val="20"/>
          <w:szCs w:val="20"/>
          <w:bdr w:val="none" w:sz="0" w:space="0" w:color="auto" w:frame="1"/>
          <w:lang w:eastAsia="es-CO"/>
        </w:rPr>
        <w:t xml:space="preserve">De lo anterior, se puede concluir que las entidades estatales pueden modificar el cronograma mediante adendas en dos momentos: i) antes del vencimiento del plazo para presentar ofertas, pues se entiende que el cronograma hace parte integral del pliego de condiciones, y ii) una vez vencido el término para la presentación de ofertas y antes de la adjudicación del contrato. Al respecto, resulta del caso precisar que cada modalidad de selección tiene establecido un procedimiento propio que rige su estructuración y, en este sentido, las etapas y el acto final del proceso de selección dependerá de cada modalidad de selección. </w:t>
      </w:r>
    </w:p>
    <w:p w14:paraId="371997A0" w14:textId="77777777" w:rsidR="008A3D05" w:rsidRPr="00D96387" w:rsidRDefault="008A3D05" w:rsidP="008A3D05">
      <w:pPr>
        <w:spacing w:after="0" w:line="240" w:lineRule="auto"/>
        <w:jc w:val="both"/>
        <w:rPr>
          <w:rFonts w:ascii="Verdana" w:eastAsia="Calibri" w:hAnsi="Verdana" w:cs="Arial"/>
          <w:b/>
          <w:color w:val="000000" w:themeColor="text1"/>
          <w:lang w:eastAsia="es-ES_tradnl"/>
        </w:rPr>
      </w:pPr>
      <w:r w:rsidRPr="00D96387">
        <w:rPr>
          <w:rFonts w:ascii="Verdana" w:eastAsia="Calibri" w:hAnsi="Verdana" w:cs="Arial"/>
          <w:b/>
          <w:color w:val="000000" w:themeColor="text1"/>
          <w:lang w:eastAsia="es-ES_tradnl"/>
        </w:rPr>
        <w:t xml:space="preserve">ADENDAS – Límites – Principio de economía </w:t>
      </w:r>
    </w:p>
    <w:p w14:paraId="6BDAB5A2" w14:textId="77777777" w:rsidR="008A3D05" w:rsidRPr="00D96387" w:rsidRDefault="008A3D05" w:rsidP="008A3D05">
      <w:pPr>
        <w:shd w:val="clear" w:color="auto" w:fill="FFFFFF"/>
        <w:spacing w:before="240" w:beforeAutospacing="1" w:after="240" w:afterAutospacing="1" w:line="240" w:lineRule="auto"/>
        <w:jc w:val="both"/>
        <w:rPr>
          <w:rFonts w:ascii="Verdana" w:eastAsia="Times New Roman" w:hAnsi="Verdana" w:cs="Arial"/>
          <w:color w:val="000000"/>
          <w:sz w:val="20"/>
          <w:szCs w:val="20"/>
          <w:bdr w:val="none" w:sz="0" w:space="0" w:color="auto" w:frame="1"/>
          <w:lang w:eastAsia="es-CO"/>
        </w:rPr>
      </w:pPr>
      <w:r w:rsidRPr="00D96387">
        <w:rPr>
          <w:rFonts w:ascii="Verdana" w:eastAsia="Times New Roman" w:hAnsi="Verdana" w:cs="Arial"/>
          <w:color w:val="000000"/>
          <w:sz w:val="20"/>
          <w:szCs w:val="20"/>
          <w:bdr w:val="none" w:sz="0" w:space="0" w:color="auto" w:frame="1"/>
          <w:lang w:eastAsia="es-CO"/>
        </w:rPr>
        <w:t xml:space="preserve">Si bien el artículo 2.2.1.1.2.2.1 de Decreto 1082 de 2015 no determina unas reglas concretas en relación con el plazo para la expedición de adendas al cronograma después del cierre del proceso y antes de la adjudicación del contrato, lo cierto es que estas únicamente podrán modificar los plazos de las etapas establecidas antes de su vencimiento y no después de este. Ello debido a que al culminar el plazo señalado en el cronograma se inicia la etapa subsiguiente y la entidad estatal no podría volver sobre la fase agotada. </w:t>
      </w:r>
    </w:p>
    <w:p w14:paraId="4076F6E5" w14:textId="77777777" w:rsidR="008A3D05" w:rsidRDefault="008A3D05" w:rsidP="008A3D05">
      <w:pPr>
        <w:shd w:val="clear" w:color="auto" w:fill="FFFFFF"/>
        <w:spacing w:before="240" w:beforeAutospacing="1" w:after="240" w:afterAutospacing="1" w:line="240" w:lineRule="auto"/>
        <w:jc w:val="both"/>
        <w:rPr>
          <w:rFonts w:ascii="Verdana" w:eastAsia="Times New Roman" w:hAnsi="Verdana" w:cs="Arial"/>
          <w:color w:val="000000"/>
          <w:sz w:val="20"/>
          <w:szCs w:val="20"/>
          <w:bdr w:val="none" w:sz="0" w:space="0" w:color="auto" w:frame="1"/>
          <w:lang w:eastAsia="es-CO"/>
        </w:rPr>
      </w:pPr>
      <w:r w:rsidRPr="00D96387">
        <w:rPr>
          <w:rFonts w:ascii="Verdana" w:eastAsia="Times New Roman" w:hAnsi="Verdana" w:cs="Arial"/>
          <w:color w:val="000000"/>
          <w:sz w:val="20"/>
          <w:szCs w:val="20"/>
          <w:bdr w:val="none" w:sz="0" w:space="0" w:color="auto" w:frame="1"/>
          <w:lang w:eastAsia="es-CO"/>
        </w:rPr>
        <w:t>Lo anterior encuentra sustento en el principio de economía señalado en el artículo 25 de la Ley 80 de 1993, cuyo numeral primero indica que se cumplirán y establecerán los procedimientos y etapas estrictamente necesarios para asegurar la selección objetiva de la propuesta más favorable, por lo que se señalarán términos preclusivos y perentorios para las diferentes etapas de la selección. En virtud de este principio, las partes del proceso de contratación, así como los funcionarios públicos, se encuentran obligados a respetar y acatar tales etapas y términos, sin que puedan desconocerlos o pasarlos por alto</w:t>
      </w:r>
      <w:r>
        <w:rPr>
          <w:rFonts w:ascii="Verdana" w:eastAsia="Times New Roman" w:hAnsi="Verdana" w:cs="Arial"/>
          <w:color w:val="000000"/>
          <w:sz w:val="20"/>
          <w:szCs w:val="20"/>
          <w:bdr w:val="none" w:sz="0" w:space="0" w:color="auto" w:frame="1"/>
          <w:lang w:eastAsia="es-CO"/>
        </w:rPr>
        <w:t>.</w:t>
      </w:r>
    </w:p>
    <w:p w14:paraId="2EEA9086" w14:textId="77777777" w:rsidR="008A3D05" w:rsidRPr="00327BF3" w:rsidRDefault="008A3D05" w:rsidP="008A3D05">
      <w:pPr>
        <w:spacing w:after="0" w:line="240" w:lineRule="auto"/>
        <w:contextualSpacing/>
        <w:jc w:val="both"/>
        <w:rPr>
          <w:rFonts w:ascii="Verdana" w:eastAsia="Calibri" w:hAnsi="Verdana" w:cs="Arial"/>
          <w:b/>
          <w:lang w:val="es-MX"/>
        </w:rPr>
      </w:pPr>
      <w:r w:rsidRPr="00327BF3">
        <w:rPr>
          <w:rFonts w:ascii="Verdana" w:eastAsia="Calibri" w:hAnsi="Verdana" w:cs="Arial"/>
          <w:b/>
          <w:color w:val="000000" w:themeColor="text1"/>
          <w:lang w:val="es-ES_tradnl"/>
        </w:rPr>
        <w:t xml:space="preserve">SUBSANABILIDAD DE LAS OFERTAS </w:t>
      </w:r>
      <w:r w:rsidRPr="00327BF3">
        <w:rPr>
          <w:rFonts w:ascii="Verdana" w:eastAsia="Calibri" w:hAnsi="Verdana" w:cs="Arial"/>
          <w:b/>
          <w:lang w:val="es-MX"/>
        </w:rPr>
        <w:t>– Alcance de la regla – Ley 1882 de 2018 – Ámbito temporal – Criterio material</w:t>
      </w:r>
    </w:p>
    <w:p w14:paraId="77B73CA4" w14:textId="77777777" w:rsidR="008A3D05" w:rsidRPr="00327BF3" w:rsidRDefault="008A3D05" w:rsidP="008A3D05">
      <w:pPr>
        <w:spacing w:after="0" w:line="240" w:lineRule="auto"/>
        <w:contextualSpacing/>
        <w:jc w:val="both"/>
        <w:rPr>
          <w:rFonts w:ascii="Verdana" w:eastAsia="Calibri" w:hAnsi="Verdana" w:cs="Arial"/>
          <w:b/>
          <w:sz w:val="20"/>
          <w:szCs w:val="20"/>
          <w:lang w:val="es-MX"/>
        </w:rPr>
      </w:pPr>
    </w:p>
    <w:p w14:paraId="4B9E6939" w14:textId="77777777" w:rsidR="008A3D05" w:rsidRPr="00960543" w:rsidRDefault="008A3D05" w:rsidP="008A3D05">
      <w:pPr>
        <w:spacing w:after="0" w:line="240" w:lineRule="auto"/>
        <w:contextualSpacing/>
        <w:jc w:val="both"/>
        <w:rPr>
          <w:rFonts w:ascii="Verdana" w:hAnsi="Verdana" w:cs="Arial"/>
          <w:sz w:val="20"/>
          <w:szCs w:val="20"/>
        </w:rPr>
      </w:pPr>
      <w:r w:rsidRPr="00960543">
        <w:rPr>
          <w:rFonts w:ascii="Verdana" w:hAnsi="Verdana" w:cs="Arial"/>
          <w:sz w:val="20"/>
          <w:szCs w:val="20"/>
          <w:lang w:val="es-ES_tradnl"/>
          <w14:ligatures w14:val="standardContextual"/>
        </w:rPr>
        <w:t>Como puede observarse, esta norma: i) mantiene el criterio de la Ley 80 de 1993, relativo a que todo lo que no sea necesario para la comparación de propuestas no es título suficiente para su rechazo; ii) mantiene el criterio aclaratorio de la Ley 1150 de 2007, según el cual todo lo que no afecte la asignación de puntaje puede subsanarse e iii) introduce modificaciones en relación con algunos aspectos que se analizarán a continuación.</w:t>
      </w:r>
    </w:p>
    <w:p w14:paraId="17377D1C" w14:textId="77777777" w:rsidR="008A3D05" w:rsidRPr="00327BF3" w:rsidRDefault="008A3D05" w:rsidP="008A3D05">
      <w:pPr>
        <w:spacing w:after="0" w:line="240" w:lineRule="auto"/>
        <w:contextualSpacing/>
        <w:jc w:val="both"/>
        <w:rPr>
          <w:rFonts w:ascii="Verdana" w:eastAsia="Calibri" w:hAnsi="Verdana" w:cs="Arial"/>
          <w:sz w:val="20"/>
          <w:szCs w:val="20"/>
          <w:lang w:val="es-ES_tradnl"/>
        </w:rPr>
      </w:pPr>
      <w:r w:rsidRPr="00327BF3">
        <w:rPr>
          <w:rFonts w:ascii="Verdana" w:hAnsi="Verdana" w:cs="Arial"/>
          <w:i/>
          <w:iCs/>
          <w:sz w:val="20"/>
          <w:szCs w:val="20"/>
          <w:lang w:val="es-ES_tradnl"/>
          <w14:ligatures w14:val="standardContextual"/>
        </w:rPr>
        <w:lastRenderedPageBreak/>
        <w:t>El primero</w:t>
      </w:r>
      <w:r w:rsidRPr="00327BF3">
        <w:rPr>
          <w:rFonts w:ascii="Verdana" w:hAnsi="Verdana" w:cs="Arial"/>
          <w:sz w:val="20"/>
          <w:szCs w:val="20"/>
          <w:lang w:val="es-ES_tradnl"/>
          <w14:ligatures w14:val="standardContextual"/>
        </w:rPr>
        <w:t xml:space="preserve"> es el ámbito temporal para ejercer la facultad de subsanar la oferta, pues la Ley 1882 de 2018 fijó una regla general y una excepción. La regla general es que el límite para que la entidad solicite y para que el proponente corrija lo que haga falta es hasta el término de traslado del informe de evaluación que corresponda a cada modalidad de selección. La excepción es que el límite anterior no aplica para los procesos de mínima cuantía y para el proceso </w:t>
      </w:r>
      <w:r w:rsidRPr="00327BF3">
        <w:rPr>
          <w:rFonts w:ascii="Verdana" w:eastAsia="Calibri" w:hAnsi="Verdana" w:cs="Arial"/>
          <w:sz w:val="20"/>
          <w:szCs w:val="20"/>
          <w:lang w:val="es-ES_tradnl"/>
          <w14:ligatures w14:val="standardContextual"/>
        </w:rPr>
        <w:t>de selección a través del sistema de subasta, este último al cual hace referencia en su consulta, y en el que los documentos o requisitos subsanables pueden y deben solicitarse por parte de las entidades estatales, como límite, hasta el momento previo a la celebración de la audiencia</w:t>
      </w:r>
      <w:r w:rsidRPr="00327BF3">
        <w:rPr>
          <w:rFonts w:ascii="Verdana" w:eastAsia="Calibri" w:hAnsi="Verdana" w:cs="Arial"/>
          <w:sz w:val="20"/>
          <w:szCs w:val="20"/>
          <w:lang w:val="es-ES_tradnl"/>
        </w:rPr>
        <w:t xml:space="preserve"> […]</w:t>
      </w:r>
    </w:p>
    <w:p w14:paraId="46C76700" w14:textId="77777777" w:rsidR="008A3D05" w:rsidRPr="00327BF3" w:rsidRDefault="008A3D05" w:rsidP="008A3D05">
      <w:pPr>
        <w:spacing w:after="0" w:line="240" w:lineRule="auto"/>
        <w:contextualSpacing/>
        <w:jc w:val="both"/>
        <w:rPr>
          <w:rFonts w:ascii="Verdana" w:eastAsia="Calibri" w:hAnsi="Verdana" w:cs="Arial"/>
          <w:sz w:val="20"/>
          <w:szCs w:val="20"/>
          <w:lang w:val="es-ES_tradnl"/>
        </w:rPr>
      </w:pPr>
    </w:p>
    <w:p w14:paraId="6AC73DF1" w14:textId="77777777" w:rsidR="008A3D05" w:rsidRPr="00327BF3" w:rsidRDefault="008A3D05" w:rsidP="008A3D05">
      <w:pPr>
        <w:spacing w:line="240" w:lineRule="auto"/>
        <w:contextualSpacing/>
        <w:jc w:val="both"/>
        <w:rPr>
          <w:rFonts w:ascii="Verdana" w:hAnsi="Verdana" w:cs="Arial"/>
          <w:sz w:val="20"/>
          <w:szCs w:val="20"/>
          <w:lang w:val="es-ES_tradnl"/>
        </w:rPr>
      </w:pPr>
      <w:r w:rsidRPr="00327BF3">
        <w:rPr>
          <w:rFonts w:ascii="Verdana" w:eastAsia="Calibri" w:hAnsi="Verdana" w:cs="Arial"/>
          <w:sz w:val="20"/>
          <w:szCs w:val="20"/>
          <w:lang w:val="es-ES_tradnl"/>
          <w14:ligatures w14:val="standardContextual"/>
        </w:rPr>
        <w:t xml:space="preserve">De otro lado, </w:t>
      </w:r>
      <w:r w:rsidRPr="00327BF3">
        <w:rPr>
          <w:rFonts w:ascii="Verdana" w:eastAsia="Calibri" w:hAnsi="Verdana" w:cs="Arial"/>
          <w:i/>
          <w:iCs/>
          <w:sz w:val="20"/>
          <w:szCs w:val="20"/>
          <w:lang w:val="es-ES_tradnl"/>
          <w14:ligatures w14:val="standardContextual"/>
        </w:rPr>
        <w:t>el segundo</w:t>
      </w:r>
      <w:r w:rsidRPr="00327BF3">
        <w:rPr>
          <w:rFonts w:ascii="Verdana" w:eastAsia="Calibri" w:hAnsi="Verdana" w:cs="Arial"/>
          <w:sz w:val="20"/>
          <w:szCs w:val="20"/>
          <w:lang w:val="es-ES_tradnl"/>
          <w14:ligatures w14:val="standardContextual"/>
        </w:rPr>
        <w:t xml:space="preserve"> cambio importante de la Ley 1882 de 2018 fue la introducción de un criterio material, directamente relacionado con los aspectos subsanables: “</w:t>
      </w:r>
      <w:r w:rsidRPr="00327BF3">
        <w:rPr>
          <w:rFonts w:ascii="Verdana" w:hAnsi="Verdana" w:cs="Arial"/>
          <w:sz w:val="20"/>
          <w:szCs w:val="20"/>
          <w:lang w:val="es-ES_tradnl"/>
          <w14:ligatures w14:val="standardContextual"/>
        </w:rPr>
        <w:t xml:space="preserve">los proponentes no podrán acreditar circunstancias ocurridas con posterioridad al cierre del proceso”. Lo anterior ofrece dos aspectos que merecen clarificación; primero, qué debe entenderse por circunstancias ocurridas con posterioridad; y segundo, qué es el cierre del proceso. </w:t>
      </w:r>
    </w:p>
    <w:p w14:paraId="78A049AC" w14:textId="77777777" w:rsidR="008A3D05" w:rsidRPr="00327BF3" w:rsidRDefault="008A3D05" w:rsidP="008A3D05">
      <w:pPr>
        <w:spacing w:after="0" w:line="240" w:lineRule="auto"/>
        <w:contextualSpacing/>
        <w:jc w:val="both"/>
        <w:rPr>
          <w:rFonts w:ascii="Verdana" w:hAnsi="Verdana" w:cs="Arial"/>
          <w:sz w:val="20"/>
          <w:szCs w:val="20"/>
          <w:lang w:val="es-ES_tradnl"/>
          <w14:ligatures w14:val="standardContextual"/>
        </w:rPr>
      </w:pPr>
    </w:p>
    <w:p w14:paraId="383746E4" w14:textId="77777777" w:rsidR="008A3D05" w:rsidRPr="00327BF3" w:rsidRDefault="008A3D05" w:rsidP="008A3D05">
      <w:pPr>
        <w:spacing w:after="0" w:line="240" w:lineRule="auto"/>
        <w:contextualSpacing/>
        <w:jc w:val="both"/>
        <w:rPr>
          <w:rFonts w:ascii="Verdana" w:hAnsi="Verdana" w:cs="Arial"/>
          <w:sz w:val="20"/>
          <w:szCs w:val="20"/>
          <w:lang w:val="es-ES_tradnl"/>
        </w:rPr>
      </w:pPr>
      <w:r w:rsidRPr="00327BF3">
        <w:rPr>
          <w:rFonts w:ascii="Verdana" w:hAnsi="Verdana" w:cs="Arial"/>
          <w:sz w:val="20"/>
          <w:szCs w:val="20"/>
          <w:lang w:val="es-ES_tradnl"/>
        </w:rPr>
        <w:t xml:space="preserve">[…] </w:t>
      </w:r>
    </w:p>
    <w:p w14:paraId="3BA778F6" w14:textId="77777777" w:rsidR="008A3D05" w:rsidRPr="00327BF3" w:rsidRDefault="008A3D05" w:rsidP="008A3D05">
      <w:pPr>
        <w:spacing w:after="0" w:line="240" w:lineRule="auto"/>
        <w:contextualSpacing/>
        <w:jc w:val="both"/>
        <w:rPr>
          <w:rFonts w:ascii="Verdana" w:hAnsi="Verdana" w:cs="Arial"/>
          <w:sz w:val="20"/>
          <w:szCs w:val="20"/>
          <w:lang w:val="es-ES_tradnl"/>
        </w:rPr>
      </w:pPr>
    </w:p>
    <w:p w14:paraId="22D850EF" w14:textId="77777777" w:rsidR="008A3D05" w:rsidRDefault="008A3D05" w:rsidP="008A3D05">
      <w:pPr>
        <w:spacing w:after="0" w:line="240" w:lineRule="auto"/>
        <w:contextualSpacing/>
        <w:jc w:val="both"/>
        <w:rPr>
          <w:rFonts w:ascii="Verdana" w:eastAsia="Calibri" w:hAnsi="Verdana" w:cs="Arial"/>
          <w:sz w:val="20"/>
          <w:szCs w:val="20"/>
          <w:lang w:val="es-ES_tradnl"/>
          <w14:ligatures w14:val="standardContextual"/>
        </w:rPr>
      </w:pPr>
      <w:r w:rsidRPr="00B76EB2">
        <w:rPr>
          <w:rFonts w:ascii="Verdana" w:eastAsia="Calibri" w:hAnsi="Verdana" w:cs="Arial"/>
          <w:sz w:val="20"/>
          <w:szCs w:val="20"/>
          <w:lang w:val="es-ES_tradnl"/>
          <w14:ligatures w14:val="standardContextual"/>
        </w:rPr>
        <w:t>De conformidad con el artículo 5 de la Ley 1882 de 2018, lo subsanable es la prueba de todas las circunstancias ocurridas antes del vencimiento del término para presentar las ofertas; eso es lo que implica la prohibición de acreditar circunstancias ocurridas con posterioridad al “cierre del proceso”. Lo anterior evita, por ejemplo, que se presenten oferentes que no cumplían con los requisitos para participar al momento de presentar las ofertas, y pretendan cumplirlos durante el proceso de selección o, inclusive, que se puedan variar condiciones de la oferta una vez presentada.</w:t>
      </w:r>
    </w:p>
    <w:p w14:paraId="5FA592F3" w14:textId="77777777" w:rsidR="008A3D05" w:rsidRPr="00B76EB2" w:rsidRDefault="008A3D05" w:rsidP="008A3D05">
      <w:pPr>
        <w:spacing w:after="0" w:line="240" w:lineRule="auto"/>
        <w:contextualSpacing/>
        <w:jc w:val="both"/>
        <w:rPr>
          <w:rFonts w:ascii="Verdana" w:eastAsia="Calibri" w:hAnsi="Verdana" w:cs="Arial"/>
          <w:sz w:val="20"/>
          <w:szCs w:val="20"/>
        </w:rPr>
      </w:pPr>
    </w:p>
    <w:p w14:paraId="6E0361F8" w14:textId="77777777" w:rsidR="008A3D05" w:rsidRPr="00327BF3" w:rsidRDefault="008A3D05" w:rsidP="008A3D05">
      <w:pPr>
        <w:spacing w:after="0" w:line="240" w:lineRule="auto"/>
        <w:contextualSpacing/>
        <w:jc w:val="both"/>
        <w:rPr>
          <w:rFonts w:ascii="Verdana" w:eastAsia="Calibri" w:hAnsi="Verdana" w:cs="Arial"/>
          <w:b/>
          <w:bCs/>
          <w:lang w:val="es-ES_tradnl"/>
        </w:rPr>
      </w:pPr>
      <w:r w:rsidRPr="00327BF3">
        <w:rPr>
          <w:rFonts w:ascii="Verdana" w:eastAsia="Calibri" w:hAnsi="Verdana" w:cs="Arial"/>
          <w:b/>
          <w:bCs/>
          <w:lang w:val="es-ES_tradnl"/>
        </w:rPr>
        <w:t xml:space="preserve">SUBASTA INVERSA </w:t>
      </w:r>
      <w:r w:rsidRPr="00327BF3">
        <w:rPr>
          <w:rFonts w:ascii="Verdana" w:eastAsia="Calibri" w:hAnsi="Verdana" w:cs="Arial"/>
          <w:b/>
        </w:rPr>
        <w:t>–</w:t>
      </w:r>
      <w:r w:rsidRPr="00327BF3">
        <w:rPr>
          <w:rFonts w:ascii="Verdana" w:eastAsia="Calibri" w:hAnsi="Verdana" w:cs="Arial"/>
          <w:b/>
          <w:bCs/>
          <w:lang w:val="es-ES_tradnl"/>
        </w:rPr>
        <w:t xml:space="preserve"> Regla de subsanabilidad </w:t>
      </w:r>
    </w:p>
    <w:p w14:paraId="12D2644D" w14:textId="77777777" w:rsidR="008A3D05" w:rsidRPr="00327BF3" w:rsidRDefault="008A3D05" w:rsidP="008A3D05">
      <w:pPr>
        <w:spacing w:after="0" w:line="240" w:lineRule="auto"/>
        <w:contextualSpacing/>
        <w:jc w:val="both"/>
        <w:rPr>
          <w:rFonts w:ascii="Verdana" w:hAnsi="Verdana" w:cs="Arial"/>
          <w:b/>
          <w:bCs/>
          <w:sz w:val="20"/>
          <w:szCs w:val="20"/>
          <w:lang w:val="es-ES_tradnl"/>
        </w:rPr>
      </w:pPr>
    </w:p>
    <w:p w14:paraId="2C5EA588" w14:textId="77777777" w:rsidR="008A3D05" w:rsidRPr="00327BF3" w:rsidRDefault="008A3D05" w:rsidP="008A3D05">
      <w:pPr>
        <w:spacing w:line="240" w:lineRule="auto"/>
        <w:contextualSpacing/>
        <w:jc w:val="both"/>
        <w:rPr>
          <w:rFonts w:ascii="Verdana" w:hAnsi="Verdana" w:cs="Arial"/>
          <w:sz w:val="20"/>
          <w:szCs w:val="20"/>
        </w:rPr>
      </w:pPr>
      <w:r w:rsidRPr="00327BF3">
        <w:rPr>
          <w:rFonts w:ascii="Verdana" w:hAnsi="Verdana" w:cs="Arial"/>
          <w:sz w:val="20"/>
          <w:szCs w:val="20"/>
        </w:rPr>
        <w:t xml:space="preserve">[…] </w:t>
      </w:r>
      <w:r w:rsidRPr="00327BF3">
        <w:rPr>
          <w:rFonts w:ascii="Verdana" w:eastAsia="Times New Roman" w:hAnsi="Verdana" w:cs="Arial"/>
          <w:sz w:val="20"/>
          <w:szCs w:val="20"/>
          <w:lang w:val="es-ES_tradnl" w:eastAsia="es-ES_tradnl"/>
          <w14:ligatures w14:val="standardContextual"/>
        </w:rPr>
        <w:t>la regla general respecto a la oportunidad para subsanar tiene como excepción, entre otras cosas, el término especial establecido en los procesos de selección en los que se utilice el mecanismo de subasta inversa, para lo cual el artículo 5 de la Ley 1882 de 2018, adicionó el parágrafo 4 al artículo 5 de la Ley 1150 de 2007</w:t>
      </w:r>
      <w:r w:rsidRPr="00327BF3">
        <w:rPr>
          <w:rFonts w:ascii="Verdana" w:hAnsi="Verdana" w:cs="Arial"/>
          <w:sz w:val="20"/>
          <w:szCs w:val="20"/>
          <w:lang w:val="es-ES_tradnl"/>
        </w:rPr>
        <w:t xml:space="preserve"> </w:t>
      </w:r>
      <w:r w:rsidRPr="00327BF3">
        <w:rPr>
          <w:rFonts w:ascii="Verdana" w:hAnsi="Verdana" w:cs="Arial"/>
          <w:sz w:val="20"/>
          <w:szCs w:val="20"/>
        </w:rPr>
        <w:t>[…]</w:t>
      </w:r>
    </w:p>
    <w:p w14:paraId="460117CA" w14:textId="77777777" w:rsidR="008A3D05" w:rsidRPr="00327BF3" w:rsidRDefault="008A3D05" w:rsidP="008A3D05">
      <w:pPr>
        <w:spacing w:line="240" w:lineRule="auto"/>
        <w:contextualSpacing/>
        <w:jc w:val="both"/>
        <w:rPr>
          <w:rFonts w:ascii="Verdana" w:hAnsi="Verdana" w:cs="Arial"/>
          <w:sz w:val="20"/>
          <w:szCs w:val="20"/>
        </w:rPr>
      </w:pPr>
    </w:p>
    <w:p w14:paraId="32FA81DE" w14:textId="77777777" w:rsidR="008A3D05" w:rsidRPr="00327BF3" w:rsidRDefault="008A3D05" w:rsidP="008A3D05">
      <w:pPr>
        <w:spacing w:line="240" w:lineRule="auto"/>
        <w:contextualSpacing/>
        <w:jc w:val="both"/>
        <w:rPr>
          <w:rFonts w:ascii="Verdana" w:hAnsi="Verdana" w:cs="Arial"/>
          <w:color w:val="000000"/>
          <w:sz w:val="20"/>
          <w:szCs w:val="20"/>
        </w:rPr>
      </w:pPr>
      <w:r w:rsidRPr="00327BF3">
        <w:rPr>
          <w:rFonts w:ascii="Verdana" w:eastAsia="Times New Roman" w:hAnsi="Verdana" w:cs="Arial"/>
          <w:color w:val="000000"/>
          <w:sz w:val="20"/>
          <w:szCs w:val="20"/>
          <w:lang w:eastAsia="es-ES_tradnl"/>
          <w14:ligatures w14:val="standardContextual"/>
        </w:rPr>
        <w:t>Tal como se expresó en los conceptos C-267 y C-283 del 5 de mayo de 2020, si se analiza la norma transcrita, no es difícil llegar a la conclusión relativa a que esta contiene una regla muy parecida respecto a la oportunidad para subsanar en los procesos de subasta, a la contenida en la parte final del inciso primero del artículo 5 de la Ley 1150 de 2007, antes de ser modificada por la Ley 1882 de 2018, siendo en esencia la misma, con la precisión adicional respecto de los documentos susceptibles de subsanación. Esta regla cosiste en la fijación del momento previo al inicio de la audiencia de subasta, como el tiempo límite para que se solicite la subsanación de los documentos faltantes hasta entonces no presentados por los proponentes o, en general, susceptibles de subsanarse.</w:t>
      </w:r>
    </w:p>
    <w:p w14:paraId="4F54E130" w14:textId="77777777" w:rsidR="008A3D05" w:rsidRPr="00327BF3" w:rsidRDefault="008A3D05" w:rsidP="008A3D05">
      <w:pPr>
        <w:spacing w:after="0" w:line="240" w:lineRule="auto"/>
        <w:contextualSpacing/>
        <w:jc w:val="both"/>
        <w:rPr>
          <w:rFonts w:ascii="Verdana" w:hAnsi="Verdana" w:cs="Arial"/>
          <w:sz w:val="20"/>
          <w:szCs w:val="20"/>
          <w:lang w:val="es-ES_tradnl"/>
        </w:rPr>
      </w:pPr>
    </w:p>
    <w:p w14:paraId="064FC97B" w14:textId="77777777" w:rsidR="008A3D05" w:rsidRPr="00327BF3" w:rsidRDefault="008A3D05" w:rsidP="008A3D05">
      <w:pPr>
        <w:spacing w:after="0" w:line="240" w:lineRule="auto"/>
        <w:contextualSpacing/>
        <w:jc w:val="both"/>
        <w:rPr>
          <w:rFonts w:ascii="Verdana" w:eastAsia="Calibri" w:hAnsi="Verdana" w:cs="Arial"/>
          <w:b/>
          <w:bCs/>
          <w:lang w:val="es-ES_tradnl"/>
        </w:rPr>
      </w:pPr>
      <w:r w:rsidRPr="00327BF3">
        <w:rPr>
          <w:rFonts w:ascii="Verdana" w:eastAsia="Calibri" w:hAnsi="Verdana" w:cs="Arial"/>
          <w:b/>
          <w:bCs/>
          <w:lang w:val="es-ES_tradnl"/>
        </w:rPr>
        <w:t xml:space="preserve">SUBASTA INVERSA </w:t>
      </w:r>
      <w:r w:rsidRPr="00327BF3">
        <w:rPr>
          <w:rFonts w:ascii="Verdana" w:eastAsia="Calibri" w:hAnsi="Verdana" w:cs="Arial"/>
          <w:b/>
        </w:rPr>
        <w:t>–</w:t>
      </w:r>
      <w:r w:rsidRPr="00327BF3">
        <w:rPr>
          <w:rFonts w:ascii="Verdana" w:eastAsia="Calibri" w:hAnsi="Verdana" w:cs="Arial"/>
          <w:b/>
          <w:bCs/>
          <w:lang w:val="es-ES_tradnl"/>
        </w:rPr>
        <w:t xml:space="preserve"> Regla de subsanabilidad – Tiempo límite – Alcance normativo</w:t>
      </w:r>
    </w:p>
    <w:p w14:paraId="3DF11B65" w14:textId="77777777" w:rsidR="008A3D05" w:rsidRPr="00327BF3" w:rsidRDefault="008A3D05" w:rsidP="008A3D05">
      <w:pPr>
        <w:autoSpaceDE w:val="0"/>
        <w:autoSpaceDN w:val="0"/>
        <w:adjustRightInd w:val="0"/>
        <w:spacing w:after="0" w:line="240" w:lineRule="auto"/>
        <w:contextualSpacing/>
        <w:jc w:val="both"/>
        <w:rPr>
          <w:rFonts w:ascii="Verdana" w:hAnsi="Verdana" w:cs="Arial"/>
          <w:color w:val="000000"/>
          <w:sz w:val="20"/>
          <w:szCs w:val="20"/>
        </w:rPr>
      </w:pPr>
    </w:p>
    <w:p w14:paraId="65B4D5DE" w14:textId="77777777" w:rsidR="008A3D05" w:rsidRPr="00327BF3" w:rsidRDefault="008A3D05" w:rsidP="008A3D05">
      <w:pPr>
        <w:spacing w:after="0" w:line="240" w:lineRule="auto"/>
        <w:ind w:right="49"/>
        <w:contextualSpacing/>
        <w:jc w:val="both"/>
        <w:rPr>
          <w:rFonts w:ascii="Verdana" w:eastAsia="Times New Roman" w:hAnsi="Verdana" w:cs="Arial"/>
          <w:color w:val="000000"/>
          <w:sz w:val="20"/>
          <w:szCs w:val="20"/>
          <w:lang w:eastAsia="es-ES_tradnl"/>
          <w14:ligatures w14:val="standardContextual"/>
        </w:rPr>
      </w:pPr>
      <w:r w:rsidRPr="00327BF3">
        <w:rPr>
          <w:rFonts w:ascii="Verdana" w:eastAsia="Times New Roman" w:hAnsi="Verdana" w:cs="Arial"/>
          <w:color w:val="000000"/>
          <w:sz w:val="20"/>
          <w:szCs w:val="20"/>
          <w:lang w:eastAsia="es-ES_tradnl"/>
          <w14:ligatures w14:val="standardContextual"/>
        </w:rPr>
        <w:lastRenderedPageBreak/>
        <w:t xml:space="preserve">En ese orden de ideas, extendiendo las anteriores consideraciones a la regla de subsanabilidad consagrada en el parágrafo 4 del artículo 5 de la Ley 1150 de 2007 –adicionado por la Ley 1882 de 2018–, dada su identidad con la regulación del parágrafo 1 del artículo 5 de la ley 1150 de 2007 original –antes de ser modificada por la Ley 1882 de 2018– el inicio de la subasta es el momento hasta el cual la entidad cuenta con la facultad para requerir la subsanación de los documentos referentes a la futura contratación o a los proponentes, no necesarios para la comparación de las propuestas. Para el ejercicio de tal facultad, las entidades de manera </w:t>
      </w:r>
      <w:r w:rsidRPr="00327BF3">
        <w:rPr>
          <w:rFonts w:ascii="Verdana" w:eastAsia="Times New Roman" w:hAnsi="Verdana" w:cs="Arial"/>
          <w:i/>
          <w:iCs/>
          <w:color w:val="000000"/>
          <w:sz w:val="20"/>
          <w:szCs w:val="20"/>
          <w:lang w:eastAsia="es-ES_tradnl"/>
          <w14:ligatures w14:val="standardContextual"/>
        </w:rPr>
        <w:t xml:space="preserve">ex ante </w:t>
      </w:r>
      <w:r w:rsidRPr="00327BF3">
        <w:rPr>
          <w:rFonts w:ascii="Verdana" w:eastAsia="Times New Roman" w:hAnsi="Verdana" w:cs="Arial"/>
          <w:color w:val="000000"/>
          <w:sz w:val="20"/>
          <w:szCs w:val="20"/>
          <w:lang w:eastAsia="es-ES_tradnl"/>
          <w14:ligatures w14:val="standardContextual"/>
        </w:rPr>
        <w:t xml:space="preserve">podrán establecer dentro del pliego de condiciones el periodo dentro del cual los participantes del proceso de selección podrán subsanar los documentos que requiera la entidad, o en su defecto, requerir por separado a cada proponente para que subsanen los respectivos documentos, fijándoles un término razonable, el cual en todo caso no podrá exceder el momento previo al inicio de la audiencia de subasta. Así mismo, dentro del pliego de condiciones podrán definir las veces en las cuales le será posible a los proponentes subsanar los documentos.  En sentido, atendiendo a la consulta planteada, la posibilidad de subsanar varias veces un determinado aspecto de la propuesta dependerá de lo establecido en el pliego de condiciones, pues la normativa no restringe el número de veces que un proponente podrá subsanar un determinado aspecto. </w:t>
      </w:r>
    </w:p>
    <w:p w14:paraId="657DA03B" w14:textId="77777777" w:rsidR="008A3D05" w:rsidRPr="00327BF3" w:rsidRDefault="008A3D05" w:rsidP="008A3D05">
      <w:pPr>
        <w:contextualSpacing/>
        <w:jc w:val="both"/>
        <w:rPr>
          <w:rFonts w:ascii="Verdana" w:eastAsia="Calibri" w:hAnsi="Verdana" w:cs="Arial"/>
          <w:sz w:val="20"/>
          <w:szCs w:val="20"/>
          <w:lang w:val="es-ES_tradnl"/>
        </w:rPr>
      </w:pPr>
    </w:p>
    <w:p w14:paraId="1F78D792" w14:textId="77777777" w:rsidR="008A3D05" w:rsidRDefault="008A3D05" w:rsidP="008A3D05">
      <w:pPr>
        <w:spacing w:line="240" w:lineRule="auto"/>
        <w:contextualSpacing/>
        <w:jc w:val="both"/>
        <w:rPr>
          <w:rFonts w:ascii="Verdana" w:eastAsia="Calibri" w:hAnsi="Verdana" w:cs="Arial"/>
          <w:sz w:val="20"/>
          <w:szCs w:val="20"/>
          <w:lang w:eastAsia="es-ES_tradnl"/>
          <w14:ligatures w14:val="standardContextual"/>
        </w:rPr>
      </w:pPr>
      <w:r w:rsidRPr="00327BF3">
        <w:rPr>
          <w:rFonts w:ascii="Verdana" w:eastAsia="Calibri" w:hAnsi="Verdana" w:cs="Arial"/>
          <w:sz w:val="20"/>
          <w:szCs w:val="20"/>
          <w:lang w:val="es-ES_tradnl" w:eastAsia="es-ES_tradnl"/>
          <w14:ligatures w14:val="standardContextual"/>
        </w:rPr>
        <w:t>De esta manera, el parágrafo analizado</w:t>
      </w:r>
      <w:r w:rsidRPr="00327BF3">
        <w:rPr>
          <w:rFonts w:ascii="Verdana" w:eastAsia="Calibri" w:hAnsi="Verdana" w:cs="Arial"/>
          <w:sz w:val="20"/>
          <w:szCs w:val="20"/>
          <w:lang w:eastAsia="es-ES_tradnl"/>
          <w14:ligatures w14:val="standardContextual"/>
        </w:rPr>
        <w:t xml:space="preserve"> permite a las entidades </w:t>
      </w:r>
      <w:r w:rsidRPr="00327BF3">
        <w:rPr>
          <w:rFonts w:ascii="Verdana" w:eastAsia="Calibri" w:hAnsi="Verdana" w:cs="Arial"/>
          <w:i/>
          <w:iCs/>
          <w:sz w:val="20"/>
          <w:szCs w:val="20"/>
          <w:lang w:eastAsia="es-ES_tradnl"/>
          <w14:ligatures w14:val="standardContextual"/>
        </w:rPr>
        <w:t>solicitar</w:t>
      </w:r>
      <w:r w:rsidRPr="00327BF3">
        <w:rPr>
          <w:rFonts w:ascii="Verdana" w:eastAsia="Calibri" w:hAnsi="Verdana" w:cs="Arial"/>
          <w:sz w:val="20"/>
          <w:szCs w:val="20"/>
          <w:lang w:eastAsia="es-ES_tradnl"/>
          <w14:ligatures w14:val="standardContextual"/>
        </w:rPr>
        <w:t xml:space="preserve"> a los oferentes que subsanen los documentos referentes a la futura contratación no necesarios para la comparación de las propuestas, hasta el momento previo a la realización a la subasta a la que hace referencia el artículo </w:t>
      </w:r>
      <w:r w:rsidRPr="00327BF3">
        <w:rPr>
          <w:rFonts w:ascii="Verdana" w:eastAsia="Calibri" w:hAnsi="Verdana" w:cs="Arial"/>
          <w:sz w:val="20"/>
          <w:szCs w:val="20"/>
          <w:lang w:val="es-ES_tradnl" w:eastAsia="es-ES_tradnl"/>
          <w14:ligatures w14:val="standardContextual"/>
        </w:rPr>
        <w:t xml:space="preserve">2.2.1.2.1.2.2 del Decreto 1082 de 2015, momento que, además, deberá estar señalado en el pliego de condiciones, independientemente de que la entidad opte para desarrollar la audiencia de manera presencial o través del algún mecanismo electrónico. En defecto de lo anterior, las entidades también podrán </w:t>
      </w:r>
      <w:r w:rsidRPr="00327BF3">
        <w:rPr>
          <w:rFonts w:ascii="Verdana" w:eastAsia="Calibri" w:hAnsi="Verdana" w:cs="Arial"/>
          <w:sz w:val="20"/>
          <w:szCs w:val="20"/>
          <w:lang w:eastAsia="es-ES_tradnl"/>
          <w14:ligatures w14:val="standardContextual"/>
        </w:rPr>
        <w:t>requerir por separado o conjuntamente a cada proponente para que subsanen los respectivos documentos, fijándoles un término razonable, el cual en todo caso no podrá exceder el momento previo al inicio de la audiencia de subasta, por lo que será anterior a ella.</w:t>
      </w:r>
    </w:p>
    <w:p w14:paraId="79F2B13C" w14:textId="77777777" w:rsidR="008A3D05" w:rsidRDefault="008A3D05" w:rsidP="008A3D05">
      <w:pPr>
        <w:spacing w:line="240" w:lineRule="auto"/>
        <w:contextualSpacing/>
        <w:jc w:val="both"/>
        <w:rPr>
          <w:rFonts w:ascii="Verdana" w:eastAsia="Calibri" w:hAnsi="Verdana" w:cs="Arial"/>
          <w:sz w:val="20"/>
          <w:szCs w:val="20"/>
          <w:lang w:eastAsia="es-ES_tradnl"/>
          <w14:ligatures w14:val="standardContextual"/>
        </w:rPr>
      </w:pPr>
    </w:p>
    <w:p w14:paraId="6E8649A6" w14:textId="77777777" w:rsidR="008A3D05" w:rsidRDefault="008A3D05" w:rsidP="008A3D05">
      <w:pPr>
        <w:spacing w:line="240" w:lineRule="auto"/>
        <w:contextualSpacing/>
        <w:jc w:val="both"/>
        <w:rPr>
          <w:rFonts w:ascii="Verdana" w:eastAsia="Geomanist Light" w:hAnsi="Verdana" w:cs="Arial"/>
          <w:color w:val="000000" w:themeColor="text1"/>
        </w:rPr>
      </w:pPr>
    </w:p>
    <w:p w14:paraId="30C45313" w14:textId="77777777" w:rsidR="008A3D05" w:rsidRDefault="008A3D05" w:rsidP="008A3D05">
      <w:pPr>
        <w:spacing w:after="0" w:line="240" w:lineRule="auto"/>
        <w:rPr>
          <w:rFonts w:ascii="Verdana" w:eastAsia="Geomanist Light" w:hAnsi="Verdana" w:cs="Arial"/>
          <w:color w:val="000000" w:themeColor="text1"/>
        </w:rPr>
      </w:pPr>
    </w:p>
    <w:p w14:paraId="76B3DDC9" w14:textId="77777777" w:rsidR="008A3D05" w:rsidRDefault="008A3D05" w:rsidP="008A3D05">
      <w:pPr>
        <w:spacing w:after="0" w:line="240" w:lineRule="auto"/>
        <w:rPr>
          <w:rFonts w:ascii="Verdana" w:eastAsia="Geomanist Light" w:hAnsi="Verdana" w:cs="Arial"/>
          <w:color w:val="000000" w:themeColor="text1"/>
        </w:rPr>
      </w:pPr>
    </w:p>
    <w:p w14:paraId="6D5058B6" w14:textId="77777777" w:rsidR="008A3D05" w:rsidRDefault="008A3D05" w:rsidP="008A3D05">
      <w:pPr>
        <w:spacing w:after="0" w:line="240" w:lineRule="auto"/>
        <w:rPr>
          <w:rFonts w:ascii="Verdana" w:eastAsia="Geomanist Light" w:hAnsi="Verdana" w:cs="Arial"/>
          <w:color w:val="000000" w:themeColor="text1"/>
        </w:rPr>
      </w:pPr>
    </w:p>
    <w:p w14:paraId="3E681F26" w14:textId="77777777" w:rsidR="008A3D05" w:rsidRDefault="008A3D05" w:rsidP="008A3D05">
      <w:pPr>
        <w:spacing w:after="0" w:line="240" w:lineRule="auto"/>
        <w:rPr>
          <w:rFonts w:ascii="Verdana" w:eastAsia="Geomanist Light" w:hAnsi="Verdana" w:cs="Arial"/>
          <w:color w:val="000000" w:themeColor="text1"/>
        </w:rPr>
      </w:pPr>
    </w:p>
    <w:p w14:paraId="3B7FD756" w14:textId="77777777" w:rsidR="008A3D05" w:rsidRDefault="008A3D05" w:rsidP="008A3D05">
      <w:pPr>
        <w:spacing w:after="0" w:line="240" w:lineRule="auto"/>
        <w:rPr>
          <w:rFonts w:ascii="Verdana" w:eastAsia="Geomanist Light" w:hAnsi="Verdana" w:cs="Arial"/>
          <w:color w:val="000000" w:themeColor="text1"/>
        </w:rPr>
      </w:pPr>
    </w:p>
    <w:p w14:paraId="3274D29D" w14:textId="77777777" w:rsidR="008A3D05" w:rsidRDefault="008A3D05" w:rsidP="008A3D05">
      <w:pPr>
        <w:spacing w:after="0" w:line="240" w:lineRule="auto"/>
        <w:rPr>
          <w:rFonts w:ascii="Verdana" w:eastAsia="Geomanist Light" w:hAnsi="Verdana" w:cs="Arial"/>
          <w:color w:val="000000" w:themeColor="text1"/>
        </w:rPr>
      </w:pPr>
    </w:p>
    <w:p w14:paraId="46C098BE" w14:textId="77777777" w:rsidR="008A3D05" w:rsidRDefault="008A3D05" w:rsidP="008A3D05">
      <w:pPr>
        <w:spacing w:after="0" w:line="240" w:lineRule="auto"/>
        <w:rPr>
          <w:rFonts w:ascii="Verdana" w:eastAsia="Geomanist Light" w:hAnsi="Verdana" w:cs="Arial"/>
          <w:color w:val="000000" w:themeColor="text1"/>
        </w:rPr>
      </w:pPr>
    </w:p>
    <w:p w14:paraId="65B08457" w14:textId="77777777" w:rsidR="008A3D05" w:rsidRDefault="008A3D05" w:rsidP="008A3D05">
      <w:pPr>
        <w:spacing w:after="0" w:line="240" w:lineRule="auto"/>
        <w:rPr>
          <w:rFonts w:ascii="Verdana" w:eastAsia="Geomanist Light" w:hAnsi="Verdana" w:cs="Arial"/>
          <w:color w:val="000000" w:themeColor="text1"/>
        </w:rPr>
      </w:pPr>
    </w:p>
    <w:p w14:paraId="3FD1FD35" w14:textId="77777777" w:rsidR="008A3D05" w:rsidRDefault="008A3D05" w:rsidP="008A3D05">
      <w:pPr>
        <w:spacing w:after="0" w:line="240" w:lineRule="auto"/>
        <w:rPr>
          <w:rFonts w:ascii="Verdana" w:eastAsia="Geomanist Light" w:hAnsi="Verdana" w:cs="Arial"/>
          <w:color w:val="000000" w:themeColor="text1"/>
        </w:rPr>
      </w:pPr>
    </w:p>
    <w:p w14:paraId="75EBC0E7" w14:textId="77777777" w:rsidR="008A3D05" w:rsidRDefault="008A3D05" w:rsidP="008A3D05">
      <w:pPr>
        <w:spacing w:after="0" w:line="240" w:lineRule="auto"/>
        <w:rPr>
          <w:rFonts w:ascii="Verdana" w:eastAsia="Geomanist Light" w:hAnsi="Verdana" w:cs="Arial"/>
          <w:color w:val="000000" w:themeColor="text1"/>
        </w:rPr>
      </w:pPr>
    </w:p>
    <w:p w14:paraId="70545846" w14:textId="77777777" w:rsidR="008A3D05" w:rsidRDefault="008A3D05" w:rsidP="008A3D05">
      <w:pPr>
        <w:spacing w:after="0" w:line="240" w:lineRule="auto"/>
        <w:rPr>
          <w:rFonts w:ascii="Verdana" w:eastAsia="Geomanist Light" w:hAnsi="Verdana" w:cs="Arial"/>
          <w:color w:val="000000" w:themeColor="text1"/>
        </w:rPr>
      </w:pPr>
    </w:p>
    <w:p w14:paraId="6ECB6718" w14:textId="77777777" w:rsidR="008A3D05" w:rsidRDefault="008A3D05" w:rsidP="008A3D05">
      <w:pPr>
        <w:spacing w:after="0" w:line="240" w:lineRule="auto"/>
        <w:rPr>
          <w:rFonts w:ascii="Verdana" w:eastAsia="Geomanist Light" w:hAnsi="Verdana" w:cs="Arial"/>
          <w:color w:val="000000" w:themeColor="text1"/>
        </w:rPr>
      </w:pPr>
    </w:p>
    <w:p w14:paraId="0C3EF2B1" w14:textId="77777777" w:rsidR="008A3D05" w:rsidRDefault="008A3D05" w:rsidP="008A3D05">
      <w:pPr>
        <w:spacing w:after="0" w:line="240" w:lineRule="auto"/>
        <w:rPr>
          <w:rFonts w:ascii="Verdana" w:eastAsia="Geomanist Light" w:hAnsi="Verdana" w:cs="Arial"/>
          <w:color w:val="000000" w:themeColor="text1"/>
        </w:rPr>
      </w:pPr>
    </w:p>
    <w:p w14:paraId="65F12439" w14:textId="77777777" w:rsidR="008A3D05" w:rsidRDefault="008A3D05" w:rsidP="008A3D05">
      <w:pPr>
        <w:spacing w:after="0" w:line="240" w:lineRule="auto"/>
        <w:rPr>
          <w:rFonts w:ascii="Verdana" w:eastAsia="Geomanist Light" w:hAnsi="Verdana" w:cs="Arial"/>
          <w:color w:val="000000" w:themeColor="text1"/>
        </w:rPr>
      </w:pPr>
    </w:p>
    <w:p w14:paraId="6F079A30" w14:textId="77777777" w:rsidR="008A3D05" w:rsidRDefault="008A3D05" w:rsidP="008A3D05">
      <w:pPr>
        <w:spacing w:after="0" w:line="240" w:lineRule="auto"/>
        <w:rPr>
          <w:rFonts w:ascii="Verdana" w:eastAsia="Geomanist Light" w:hAnsi="Verdana" w:cs="Arial"/>
          <w:color w:val="000000" w:themeColor="text1"/>
        </w:rPr>
      </w:pPr>
    </w:p>
    <w:p w14:paraId="11B30A78" w14:textId="77777777" w:rsidR="008A3D05" w:rsidRDefault="008A3D05" w:rsidP="008A3D05">
      <w:pPr>
        <w:spacing w:after="0" w:line="240" w:lineRule="auto"/>
        <w:rPr>
          <w:rFonts w:ascii="Verdana" w:eastAsia="Geomanist Light" w:hAnsi="Verdana" w:cs="Arial"/>
          <w:color w:val="201F1E"/>
        </w:rPr>
      </w:pPr>
      <w:r w:rsidRPr="00D41CA6">
        <w:rPr>
          <w:rFonts w:ascii="Verdana" w:eastAsia="Geomanist Light" w:hAnsi="Verdana" w:cs="Arial"/>
          <w:color w:val="000000" w:themeColor="text1"/>
        </w:rPr>
        <w:lastRenderedPageBreak/>
        <w:t>Bogotá D.C., </w:t>
      </w:r>
      <w:r w:rsidRPr="00D41CA6">
        <w:rPr>
          <w:rFonts w:ascii="Verdana" w:eastAsia="Geomanist Light" w:hAnsi="Verdana" w:cs="Arial"/>
          <w:color w:val="201F1E"/>
        </w:rPr>
        <w:t>[Día] de [Mes.NombreCapitalizado] de [Año]</w:t>
      </w:r>
    </w:p>
    <w:p w14:paraId="5F33F3C9" w14:textId="77777777" w:rsidR="003B0BC7" w:rsidRPr="00D41CA6" w:rsidRDefault="003B0BC7" w:rsidP="008A3D05">
      <w:pPr>
        <w:spacing w:after="0" w:line="240" w:lineRule="auto"/>
        <w:rPr>
          <w:rFonts w:ascii="Verdana" w:eastAsia="Calibri" w:hAnsi="Verdana" w:cs="Arial"/>
          <w:color w:val="000000"/>
        </w:rPr>
      </w:pPr>
    </w:p>
    <w:p w14:paraId="1CA547C8" w14:textId="4E56D963" w:rsidR="008A3D05" w:rsidRPr="00D41CA6" w:rsidRDefault="003B0BC7" w:rsidP="008A3D05">
      <w:pPr>
        <w:spacing w:after="0" w:line="240" w:lineRule="auto"/>
        <w:jc w:val="right"/>
        <w:rPr>
          <w:rFonts w:ascii="Verdana" w:eastAsia="Calibri" w:hAnsi="Verdana" w:cs="Arial"/>
          <w:color w:val="000000"/>
        </w:rPr>
      </w:pPr>
      <w:r w:rsidRPr="003B0BC7">
        <w:rPr>
          <w:rFonts w:ascii="Verdana" w:eastAsia="Calibri" w:hAnsi="Verdana" w:cs="Arial"/>
          <w:color w:val="000000"/>
        </w:rPr>
        <w:drawing>
          <wp:inline distT="0" distB="0" distL="0" distR="0" wp14:anchorId="74DE92D0" wp14:editId="3B109200">
            <wp:extent cx="3318202" cy="910084"/>
            <wp:effectExtent l="0" t="0" r="0" b="4445"/>
            <wp:docPr id="1027600245"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600245" name="Imagen 1" descr="Texto&#10;&#10;El contenido generado por IA puede ser incorrecto."/>
                    <pic:cNvPicPr/>
                  </pic:nvPicPr>
                  <pic:blipFill>
                    <a:blip r:embed="rId7"/>
                    <a:stretch>
                      <a:fillRect/>
                    </a:stretch>
                  </pic:blipFill>
                  <pic:spPr>
                    <a:xfrm>
                      <a:off x="0" y="0"/>
                      <a:ext cx="3337401" cy="915350"/>
                    </a:xfrm>
                    <a:prstGeom prst="rect">
                      <a:avLst/>
                    </a:prstGeom>
                  </pic:spPr>
                </pic:pic>
              </a:graphicData>
            </a:graphic>
          </wp:inline>
        </w:drawing>
      </w:r>
    </w:p>
    <w:p w14:paraId="0BBF8140" w14:textId="77777777" w:rsidR="008A3D05" w:rsidRPr="00D41CA6" w:rsidRDefault="008A3D05" w:rsidP="008A3D05">
      <w:pPr>
        <w:spacing w:after="0" w:line="240" w:lineRule="auto"/>
        <w:jc w:val="both"/>
        <w:rPr>
          <w:rFonts w:ascii="Verdana" w:eastAsia="Calibri" w:hAnsi="Verdana" w:cs="Arial"/>
          <w:lang w:eastAsia="es-ES"/>
        </w:rPr>
      </w:pPr>
    </w:p>
    <w:p w14:paraId="4CCE3390" w14:textId="77777777" w:rsidR="008A3D05" w:rsidRPr="00D41CA6" w:rsidRDefault="008A3D05" w:rsidP="008A3D05">
      <w:pPr>
        <w:spacing w:after="0" w:line="240" w:lineRule="auto"/>
        <w:jc w:val="both"/>
        <w:rPr>
          <w:rFonts w:ascii="Verdana" w:eastAsia="Calibri" w:hAnsi="Verdana" w:cs="Arial"/>
          <w:lang w:eastAsia="es-ES"/>
        </w:rPr>
      </w:pPr>
      <w:r w:rsidRPr="00D41CA6">
        <w:rPr>
          <w:rFonts w:ascii="Verdana" w:eastAsia="Calibri" w:hAnsi="Verdana" w:cs="Arial"/>
          <w:lang w:eastAsia="es-ES"/>
        </w:rPr>
        <w:t>Señor</w:t>
      </w:r>
    </w:p>
    <w:p w14:paraId="1D9D07D0" w14:textId="77777777" w:rsidR="008A3D05" w:rsidRPr="00550991" w:rsidRDefault="008A3D05" w:rsidP="008A3D05">
      <w:pPr>
        <w:spacing w:after="0" w:line="240" w:lineRule="auto"/>
        <w:rPr>
          <w:rFonts w:ascii="Verdana" w:eastAsia="Calibri" w:hAnsi="Verdana" w:cs="Arial"/>
          <w:b/>
          <w:lang w:eastAsia="es-ES"/>
        </w:rPr>
      </w:pPr>
      <w:r w:rsidRPr="00550991">
        <w:rPr>
          <w:rFonts w:ascii="Verdana" w:eastAsia="Calibri" w:hAnsi="Verdana" w:cs="Arial"/>
          <w:b/>
          <w:lang w:eastAsia="es-ES"/>
        </w:rPr>
        <w:t>Dayver Eskey Mosquera Moreno</w:t>
      </w:r>
    </w:p>
    <w:p w14:paraId="2C416AA4" w14:textId="77777777" w:rsidR="008A3D05" w:rsidRPr="00550991" w:rsidRDefault="008A3D05" w:rsidP="008A3D05">
      <w:pPr>
        <w:spacing w:after="0" w:line="240" w:lineRule="auto"/>
        <w:rPr>
          <w:rFonts w:ascii="Verdana" w:hAnsi="Verdana"/>
        </w:rPr>
      </w:pPr>
      <w:hyperlink r:id="rId8" w:history="1">
        <w:r w:rsidRPr="00550991">
          <w:rPr>
            <w:rStyle w:val="Hipervnculo"/>
            <w:rFonts w:ascii="Verdana" w:hAnsi="Verdana"/>
          </w:rPr>
          <w:t>dayver.mosquera@dsts.com.co</w:t>
        </w:r>
      </w:hyperlink>
      <w:r w:rsidRPr="00550991">
        <w:rPr>
          <w:rFonts w:ascii="Verdana" w:hAnsi="Verdana"/>
        </w:rPr>
        <w:t xml:space="preserve">    </w:t>
      </w:r>
    </w:p>
    <w:p w14:paraId="64A4D245" w14:textId="77777777" w:rsidR="008A3D05" w:rsidRPr="00D41CA6" w:rsidRDefault="008A3D05" w:rsidP="008A3D05">
      <w:pPr>
        <w:spacing w:after="0" w:line="240" w:lineRule="auto"/>
        <w:rPr>
          <w:rFonts w:ascii="Verdana" w:eastAsia="Calibri" w:hAnsi="Verdana" w:cs="Arial"/>
          <w:lang w:eastAsia="es-ES"/>
        </w:rPr>
      </w:pPr>
      <w:r>
        <w:rPr>
          <w:rFonts w:ascii="Verdana" w:hAnsi="Verdana"/>
        </w:rPr>
        <w:t>Medellín, Antioquía</w:t>
      </w:r>
    </w:p>
    <w:p w14:paraId="22237FDA" w14:textId="77777777" w:rsidR="008A3D05" w:rsidRPr="00D41CA6" w:rsidRDefault="008A3D05" w:rsidP="008A3D05">
      <w:pPr>
        <w:spacing w:after="0" w:line="240" w:lineRule="auto"/>
        <w:rPr>
          <w:rFonts w:ascii="Verdana" w:eastAsia="Calibri" w:hAnsi="Verdana" w:cs="Arial"/>
          <w:b/>
          <w:bCs/>
          <w:color w:val="000000"/>
          <w:lang w:eastAsia="es-ES_tradnl"/>
        </w:rPr>
      </w:pPr>
    </w:p>
    <w:tbl>
      <w:tblPr>
        <w:tblStyle w:val="Tablaconcuadrcula"/>
        <w:tblW w:w="8931" w:type="dxa"/>
        <w:tblCellMar>
          <w:left w:w="0" w:type="dxa"/>
          <w:right w:w="0" w:type="dxa"/>
        </w:tblCellMar>
        <w:tblLook w:val="04A0" w:firstRow="1" w:lastRow="0" w:firstColumn="1" w:lastColumn="0" w:noHBand="0" w:noVBand="1"/>
      </w:tblPr>
      <w:tblGrid>
        <w:gridCol w:w="2689"/>
        <w:gridCol w:w="6242"/>
      </w:tblGrid>
      <w:tr w:rsidR="008A3D05" w:rsidRPr="00D41CA6" w14:paraId="0C36849C" w14:textId="77777777" w:rsidTr="00DB0313">
        <w:trPr>
          <w:trHeight w:val="218"/>
        </w:trPr>
        <w:tc>
          <w:tcPr>
            <w:tcW w:w="2689" w:type="dxa"/>
          </w:tcPr>
          <w:p w14:paraId="46EC9F6B" w14:textId="77777777" w:rsidR="008A3D05" w:rsidRPr="00D41CA6" w:rsidRDefault="008A3D05" w:rsidP="00DB0313">
            <w:pPr>
              <w:jc w:val="both"/>
              <w:rPr>
                <w:rFonts w:ascii="Verdana" w:eastAsia="Calibri" w:hAnsi="Verdana" w:cs="Arial"/>
                <w:b/>
                <w:bCs/>
                <w:color w:val="7030A0"/>
                <w:lang w:eastAsia="es-ES_tradnl"/>
              </w:rPr>
            </w:pPr>
          </w:p>
        </w:tc>
        <w:tc>
          <w:tcPr>
            <w:tcW w:w="6242" w:type="dxa"/>
          </w:tcPr>
          <w:p w14:paraId="7EACA1CF" w14:textId="77777777" w:rsidR="008A3D05" w:rsidRDefault="008A3D05" w:rsidP="00DB0313">
            <w:pPr>
              <w:jc w:val="both"/>
              <w:rPr>
                <w:rFonts w:ascii="Verdana" w:eastAsia="Calibri" w:hAnsi="Verdana" w:cs="Arial"/>
                <w:b/>
                <w:bCs/>
                <w:lang w:eastAsia="es-ES"/>
              </w:rPr>
            </w:pPr>
            <w:r w:rsidRPr="00D41CA6">
              <w:rPr>
                <w:rFonts w:ascii="Verdana" w:eastAsia="Calibri" w:hAnsi="Verdana" w:cs="Arial"/>
                <w:b/>
                <w:bCs/>
                <w:lang w:eastAsia="es-ES"/>
              </w:rPr>
              <w:t>Concepto C – 6</w:t>
            </w:r>
            <w:r>
              <w:rPr>
                <w:rFonts w:ascii="Verdana" w:eastAsia="Calibri" w:hAnsi="Verdana" w:cs="Arial"/>
                <w:b/>
                <w:bCs/>
                <w:lang w:eastAsia="es-ES"/>
              </w:rPr>
              <w:t>54</w:t>
            </w:r>
            <w:r w:rsidRPr="00D41CA6">
              <w:rPr>
                <w:rFonts w:ascii="Verdana" w:eastAsia="Calibri" w:hAnsi="Verdana" w:cs="Arial"/>
                <w:b/>
                <w:bCs/>
                <w:lang w:eastAsia="es-ES"/>
              </w:rPr>
              <w:t xml:space="preserve"> de 2025</w:t>
            </w:r>
          </w:p>
          <w:p w14:paraId="3FC88F84" w14:textId="77777777" w:rsidR="008A3D05" w:rsidRPr="00D41CA6" w:rsidRDefault="008A3D05" w:rsidP="00DB0313">
            <w:pPr>
              <w:jc w:val="both"/>
              <w:rPr>
                <w:rFonts w:ascii="Verdana" w:eastAsia="Calibri" w:hAnsi="Verdana" w:cs="Arial"/>
                <w:b/>
                <w:bCs/>
                <w:lang w:eastAsia="es-ES"/>
              </w:rPr>
            </w:pPr>
          </w:p>
        </w:tc>
      </w:tr>
      <w:tr w:rsidR="008A3D05" w:rsidRPr="00D41CA6" w14:paraId="7DEBBDB9" w14:textId="77777777" w:rsidTr="00DB031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432"/>
        </w:trPr>
        <w:tc>
          <w:tcPr>
            <w:tcW w:w="2689" w:type="dxa"/>
          </w:tcPr>
          <w:p w14:paraId="228A1D5B" w14:textId="77777777" w:rsidR="008A3D05" w:rsidRPr="00D41CA6" w:rsidRDefault="008A3D05" w:rsidP="00DB0313">
            <w:pPr>
              <w:jc w:val="both"/>
              <w:rPr>
                <w:rFonts w:ascii="Verdana" w:eastAsia="Calibri" w:hAnsi="Verdana" w:cs="Arial"/>
                <w:color w:val="000000"/>
                <w:lang w:eastAsia="es-ES_tradnl"/>
              </w:rPr>
            </w:pPr>
            <w:r w:rsidRPr="00D41CA6">
              <w:rPr>
                <w:rFonts w:ascii="Verdana" w:eastAsia="Calibri" w:hAnsi="Verdana" w:cs="Arial"/>
                <w:b/>
                <w:color w:val="000000"/>
                <w:lang w:eastAsia="es-ES_tradnl"/>
              </w:rPr>
              <w:t>Temas:</w:t>
            </w:r>
            <w:r w:rsidRPr="00D41CA6">
              <w:rPr>
                <w:rFonts w:ascii="Verdana" w:eastAsia="Calibri" w:hAnsi="Verdana" w:cs="Arial"/>
                <w:color w:val="000000"/>
                <w:lang w:eastAsia="es-ES_tradnl"/>
              </w:rPr>
              <w:t xml:space="preserve">                   </w:t>
            </w:r>
          </w:p>
        </w:tc>
        <w:tc>
          <w:tcPr>
            <w:tcW w:w="6242" w:type="dxa"/>
          </w:tcPr>
          <w:p w14:paraId="2794E6E1" w14:textId="77777777" w:rsidR="008A3D05" w:rsidRDefault="008A3D05" w:rsidP="00DB0313">
            <w:pPr>
              <w:jc w:val="both"/>
              <w:rPr>
                <w:rFonts w:ascii="Verdana" w:eastAsia="Calibri" w:hAnsi="Verdana" w:cs="Arial"/>
                <w:lang w:val="es-ES" w:eastAsia="es-ES"/>
              </w:rPr>
            </w:pPr>
            <w:r>
              <w:rPr>
                <w:rFonts w:ascii="Verdana" w:eastAsia="Calibri" w:hAnsi="Verdana" w:cs="Arial"/>
                <w:lang w:val="es-ES" w:eastAsia="es-ES"/>
              </w:rPr>
              <w:t xml:space="preserve">ADENDAS – Modificación al cronograma – ADENDAS </w:t>
            </w:r>
            <w:r w:rsidRPr="00AE78ED">
              <w:rPr>
                <w:rFonts w:ascii="Verdana" w:eastAsia="Calibri" w:hAnsi="Verdana" w:cs="Arial"/>
                <w:lang w:val="es-ES" w:eastAsia="es-ES"/>
              </w:rPr>
              <w:t xml:space="preserve">– </w:t>
            </w:r>
            <w:r>
              <w:rPr>
                <w:rFonts w:ascii="Verdana" w:eastAsia="Calibri" w:hAnsi="Verdana" w:cs="Arial"/>
                <w:lang w:val="es-ES" w:eastAsia="es-ES"/>
              </w:rPr>
              <w:t xml:space="preserve">límites - Principio de economía / </w:t>
            </w:r>
            <w:r w:rsidRPr="002C6077">
              <w:rPr>
                <w:rFonts w:ascii="Verdana" w:eastAsia="Calibri" w:hAnsi="Verdana" w:cs="Arial"/>
                <w:lang w:val="es-ES" w:eastAsia="es-ES"/>
              </w:rPr>
              <w:t>SUBSANABILIDAD DE LAS OFERTAS – Alcance de la regla – Ley 1882 de 2018– Ámbito temporal – Criterio material / SUBASTA INVERSA— Regla de Subsanabilidad / SUBASTA INVERSA – Regla de subsanabilidad – Tiempo límite – Alcance normativo / SUBASTA INVERSA – Regla de subsanabilidad – Limite de veces</w:t>
            </w:r>
          </w:p>
          <w:p w14:paraId="166A0FC5" w14:textId="77777777" w:rsidR="008A3D05" w:rsidRPr="007A744F" w:rsidRDefault="008A3D05" w:rsidP="00DB0313">
            <w:pPr>
              <w:jc w:val="both"/>
              <w:rPr>
                <w:rFonts w:ascii="Verdana" w:eastAsia="Calibri" w:hAnsi="Verdana" w:cs="Arial"/>
                <w:lang w:val="es-ES" w:eastAsia="es-ES"/>
              </w:rPr>
            </w:pPr>
          </w:p>
        </w:tc>
      </w:tr>
      <w:tr w:rsidR="008A3D05" w:rsidRPr="00D41CA6" w14:paraId="45A0DF69" w14:textId="77777777" w:rsidTr="00DB031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689" w:type="dxa"/>
          </w:tcPr>
          <w:p w14:paraId="57DA5525" w14:textId="77777777" w:rsidR="008A3D05" w:rsidRPr="00D41CA6" w:rsidRDefault="008A3D05" w:rsidP="00DB0313">
            <w:pPr>
              <w:jc w:val="both"/>
              <w:rPr>
                <w:rFonts w:ascii="Verdana" w:eastAsia="Calibri" w:hAnsi="Verdana" w:cs="Arial"/>
                <w:b/>
                <w:lang w:eastAsia="es-ES_tradnl"/>
              </w:rPr>
            </w:pPr>
            <w:r w:rsidRPr="00D41CA6">
              <w:rPr>
                <w:rFonts w:ascii="Verdana" w:eastAsia="Calibri" w:hAnsi="Verdana" w:cs="Arial"/>
                <w:b/>
                <w:lang w:eastAsia="es-ES_tradnl"/>
              </w:rPr>
              <w:t>Radicación:</w:t>
            </w:r>
            <w:r w:rsidRPr="00D41CA6">
              <w:rPr>
                <w:rFonts w:ascii="Verdana" w:eastAsia="Calibri" w:hAnsi="Verdana" w:cs="Arial"/>
                <w:lang w:eastAsia="es-ES_tradnl"/>
              </w:rPr>
              <w:t xml:space="preserve">               </w:t>
            </w:r>
          </w:p>
        </w:tc>
        <w:tc>
          <w:tcPr>
            <w:tcW w:w="6242" w:type="dxa"/>
          </w:tcPr>
          <w:p w14:paraId="6E015EDB" w14:textId="77777777" w:rsidR="008A3D05" w:rsidRPr="00D41CA6" w:rsidRDefault="008A3D05" w:rsidP="00DB0313">
            <w:pPr>
              <w:jc w:val="both"/>
              <w:rPr>
                <w:rFonts w:ascii="Verdana" w:eastAsia="Calibri" w:hAnsi="Verdana" w:cs="Arial"/>
                <w:lang w:eastAsia="es-ES_tradnl"/>
              </w:rPr>
            </w:pPr>
            <w:r w:rsidRPr="00D41CA6">
              <w:rPr>
                <w:rFonts w:ascii="Verdana" w:eastAsia="Calibri" w:hAnsi="Verdana" w:cs="Arial"/>
                <w:lang w:eastAsia="es-ES_tradnl"/>
              </w:rPr>
              <w:t xml:space="preserve">Respuesta a la consulta con radicado No.  </w:t>
            </w:r>
            <w:r w:rsidRPr="007C5E49">
              <w:rPr>
                <w:rFonts w:ascii="Verdana" w:eastAsia="Calibri" w:hAnsi="Verdana" w:cs="Arial"/>
                <w:lang w:eastAsia="es-ES_tradnl"/>
              </w:rPr>
              <w:t>P20250523005023</w:t>
            </w:r>
          </w:p>
        </w:tc>
      </w:tr>
    </w:tbl>
    <w:p w14:paraId="47A78FB1" w14:textId="77777777" w:rsidR="008A3D05" w:rsidRPr="00D41CA6" w:rsidRDefault="008A3D05" w:rsidP="008A3D05">
      <w:pPr>
        <w:spacing w:after="0" w:line="240" w:lineRule="auto"/>
        <w:jc w:val="both"/>
        <w:rPr>
          <w:rFonts w:ascii="Verdana" w:eastAsia="Calibri" w:hAnsi="Verdana" w:cs="Arial"/>
          <w:color w:val="000000"/>
          <w:lang w:eastAsia="es-ES_tradnl"/>
        </w:rPr>
      </w:pPr>
    </w:p>
    <w:p w14:paraId="02405D42" w14:textId="77777777" w:rsidR="008A3D05" w:rsidRPr="00D41CA6" w:rsidRDefault="008A3D05" w:rsidP="008A3D05">
      <w:pPr>
        <w:spacing w:after="0" w:line="240" w:lineRule="auto"/>
        <w:jc w:val="both"/>
        <w:rPr>
          <w:rFonts w:ascii="Verdana" w:eastAsia="Calibri" w:hAnsi="Verdana" w:cs="Arial"/>
          <w:color w:val="000000"/>
          <w:lang w:eastAsia="es-ES_tradnl"/>
        </w:rPr>
      </w:pPr>
    </w:p>
    <w:p w14:paraId="7A466C4A" w14:textId="77777777" w:rsidR="008A3D05" w:rsidRPr="00D41CA6" w:rsidRDefault="008A3D05" w:rsidP="008A3D05">
      <w:pPr>
        <w:spacing w:after="0" w:line="276" w:lineRule="auto"/>
        <w:jc w:val="both"/>
        <w:rPr>
          <w:rFonts w:ascii="Verdana" w:eastAsia="Calibri" w:hAnsi="Verdana" w:cs="Arial"/>
          <w:lang w:eastAsia="es-ES"/>
        </w:rPr>
      </w:pPr>
      <w:r w:rsidRPr="00D41CA6">
        <w:rPr>
          <w:rFonts w:ascii="Verdana" w:eastAsia="Calibri" w:hAnsi="Verdana" w:cs="Arial"/>
          <w:lang w:eastAsia="es-ES"/>
        </w:rPr>
        <w:t xml:space="preserve">Estimado señor </w:t>
      </w:r>
      <w:r>
        <w:rPr>
          <w:rFonts w:ascii="Verdana" w:eastAsia="Calibri" w:hAnsi="Verdana" w:cs="Arial"/>
          <w:lang w:eastAsia="es-ES"/>
        </w:rPr>
        <w:t>Mosquera Moreno</w:t>
      </w:r>
      <w:r w:rsidRPr="00D41CA6">
        <w:rPr>
          <w:rFonts w:ascii="Verdana" w:eastAsia="Calibri" w:hAnsi="Verdana" w:cs="Arial"/>
          <w:lang w:eastAsia="es-ES"/>
        </w:rPr>
        <w:t xml:space="preserve">: </w:t>
      </w:r>
    </w:p>
    <w:p w14:paraId="7AB53F61" w14:textId="77777777" w:rsidR="008A3D05" w:rsidRPr="00D41CA6" w:rsidRDefault="008A3D05" w:rsidP="008A3D05">
      <w:pPr>
        <w:tabs>
          <w:tab w:val="left" w:pos="3768"/>
        </w:tabs>
        <w:spacing w:after="0" w:line="276" w:lineRule="auto"/>
        <w:jc w:val="both"/>
        <w:rPr>
          <w:rFonts w:ascii="Verdana" w:eastAsia="Calibri" w:hAnsi="Verdana" w:cs="Arial"/>
          <w:color w:val="000000" w:themeColor="text1"/>
          <w:lang w:eastAsia="es-ES"/>
        </w:rPr>
      </w:pPr>
      <w:r w:rsidRPr="00D41CA6">
        <w:rPr>
          <w:rFonts w:ascii="Verdana" w:eastAsia="Calibri" w:hAnsi="Verdana" w:cs="Arial"/>
          <w:color w:val="000000" w:themeColor="text1"/>
          <w:lang w:eastAsia="es-ES"/>
        </w:rPr>
        <w:tab/>
      </w:r>
    </w:p>
    <w:p w14:paraId="164D5DC2" w14:textId="77777777" w:rsidR="008A3D05" w:rsidRPr="00D41CA6" w:rsidRDefault="008A3D05" w:rsidP="008A3D05">
      <w:pPr>
        <w:spacing w:after="0" w:line="276" w:lineRule="auto"/>
        <w:jc w:val="both"/>
        <w:rPr>
          <w:rFonts w:ascii="Verdana" w:eastAsia="Calibri" w:hAnsi="Verdana" w:cs="Arial"/>
          <w:i/>
          <w:iCs/>
          <w:lang w:eastAsia="es-ES"/>
        </w:rPr>
      </w:pPr>
      <w:r w:rsidRPr="00D41CA6">
        <w:rPr>
          <w:rFonts w:ascii="Verdana" w:eastAsia="Calibri" w:hAnsi="Verdana" w:cs="Arial"/>
          <w:color w:val="000000" w:themeColor="text1"/>
          <w:lang w:eastAsia="es-ES"/>
        </w:rPr>
        <w:t>En ejercicio de la competencia otorgada por los artículos 3, numeral 5º, y 11, numeral 8º, del Decreto Ley 4170 de 2011,</w:t>
      </w:r>
      <w:r w:rsidRPr="00D41CA6">
        <w:rPr>
          <w:rFonts w:ascii="Verdana" w:eastAsia="Arial MT" w:hAnsi="Verdana" w:cs="Arial MT"/>
          <w:lang w:eastAsia="es-ES"/>
        </w:rPr>
        <w:t xml:space="preserve"> </w:t>
      </w:r>
      <w:r w:rsidRPr="00D41CA6">
        <w:rPr>
          <w:rFonts w:ascii="Verdana" w:hAnsi="Verdana" w:cs="Arial"/>
        </w:rPr>
        <w:t xml:space="preserve">así como lo establecido en el artículo 4 de la Resolución 1707 de 2018 expedida por esta Entidad, </w:t>
      </w:r>
      <w:r w:rsidRPr="00D41CA6">
        <w:rPr>
          <w:rFonts w:ascii="Verdana" w:eastAsia="Calibri" w:hAnsi="Verdana" w:cs="Arial"/>
          <w:color w:val="000000" w:themeColor="text1"/>
          <w:lang w:eastAsia="es-ES"/>
        </w:rPr>
        <w:t>la Agencia Nacional de Contratación Pública – Colombia Compra Eficiente responde su consulta del 2</w:t>
      </w:r>
      <w:r>
        <w:rPr>
          <w:rFonts w:ascii="Verdana" w:eastAsia="Calibri" w:hAnsi="Verdana" w:cs="Arial"/>
          <w:color w:val="000000" w:themeColor="text1"/>
          <w:lang w:eastAsia="es-ES"/>
        </w:rPr>
        <w:t>3</w:t>
      </w:r>
      <w:r w:rsidRPr="00D41CA6">
        <w:rPr>
          <w:rFonts w:ascii="Verdana" w:eastAsia="Calibri" w:hAnsi="Verdana" w:cs="Arial"/>
          <w:lang w:eastAsia="es-ES"/>
        </w:rPr>
        <w:t xml:space="preserve"> de mayo de 2025, en la cual solicita lo siguiente:</w:t>
      </w:r>
      <w:r w:rsidRPr="00D41CA6">
        <w:rPr>
          <w:rFonts w:ascii="Verdana" w:eastAsia="Calibri" w:hAnsi="Verdana" w:cs="Arial"/>
          <w:i/>
          <w:iCs/>
          <w:lang w:eastAsia="es-ES"/>
        </w:rPr>
        <w:t xml:space="preserve"> </w:t>
      </w:r>
      <w:bookmarkStart w:id="1" w:name="_Hlk95313578"/>
    </w:p>
    <w:p w14:paraId="31129626" w14:textId="77777777" w:rsidR="008A3D05" w:rsidRPr="00D41CA6" w:rsidRDefault="008A3D05" w:rsidP="008A3D05">
      <w:pPr>
        <w:spacing w:after="0" w:line="276" w:lineRule="auto"/>
        <w:jc w:val="both"/>
        <w:rPr>
          <w:rFonts w:ascii="Verdana" w:eastAsia="Calibri" w:hAnsi="Verdana" w:cs="Arial"/>
          <w:i/>
          <w:iCs/>
          <w:lang w:eastAsia="es-ES"/>
        </w:rPr>
      </w:pPr>
    </w:p>
    <w:bookmarkEnd w:id="1"/>
    <w:p w14:paraId="3116EBE6" w14:textId="77777777" w:rsidR="008A3D05" w:rsidRPr="0008145C" w:rsidRDefault="008A3D05" w:rsidP="008A3D05">
      <w:pPr>
        <w:spacing w:after="0" w:line="240" w:lineRule="auto"/>
        <w:ind w:left="709" w:right="709"/>
        <w:jc w:val="both"/>
        <w:rPr>
          <w:rFonts w:ascii="Verdana" w:eastAsia="Arial" w:hAnsi="Verdana" w:cs="Arial"/>
          <w:color w:val="000000"/>
          <w:sz w:val="20"/>
          <w:szCs w:val="20"/>
        </w:rPr>
      </w:pPr>
      <w:r w:rsidRPr="0008145C">
        <w:rPr>
          <w:rFonts w:ascii="Verdana" w:eastAsia="Arial" w:hAnsi="Verdana" w:cs="Arial"/>
          <w:color w:val="000000"/>
          <w:sz w:val="20"/>
          <w:szCs w:val="20"/>
        </w:rPr>
        <w:t>“[…]</w:t>
      </w:r>
    </w:p>
    <w:p w14:paraId="5764A3F4" w14:textId="77777777" w:rsidR="008A3D05" w:rsidRPr="0008145C" w:rsidRDefault="008A3D05" w:rsidP="008A3D05">
      <w:pPr>
        <w:spacing w:after="0" w:line="240" w:lineRule="auto"/>
        <w:ind w:left="709" w:right="709"/>
        <w:jc w:val="both"/>
        <w:rPr>
          <w:rFonts w:ascii="Verdana" w:eastAsia="Arial" w:hAnsi="Verdana" w:cs="Arial"/>
          <w:color w:val="000000"/>
          <w:sz w:val="20"/>
          <w:szCs w:val="20"/>
        </w:rPr>
      </w:pPr>
    </w:p>
    <w:p w14:paraId="4AF2B9D5" w14:textId="77777777" w:rsidR="008A3D05" w:rsidRPr="0008145C" w:rsidRDefault="008A3D05" w:rsidP="008A3D05">
      <w:pPr>
        <w:spacing w:after="0" w:line="240" w:lineRule="auto"/>
        <w:ind w:left="709" w:right="709"/>
        <w:jc w:val="both"/>
        <w:rPr>
          <w:rFonts w:ascii="Verdana" w:eastAsia="Arial" w:hAnsi="Verdana" w:cs="Arial"/>
          <w:color w:val="000000"/>
          <w:sz w:val="20"/>
          <w:szCs w:val="20"/>
        </w:rPr>
      </w:pPr>
      <w:r w:rsidRPr="0008145C">
        <w:rPr>
          <w:rFonts w:ascii="Verdana" w:eastAsia="Arial" w:hAnsi="Verdana" w:cs="Arial"/>
          <w:color w:val="000000"/>
          <w:sz w:val="20"/>
          <w:szCs w:val="20"/>
        </w:rPr>
        <w:t>Puede una entidad realizar actuaciones diferentes a las plasmadas en el cronograma del pliego de condiciones; o realizar modificaciones sin justificación alguna en pro de favorecer a un oferente en específico; o en su efecto no realizar las actividades plasmadas en el pliego de condiciones en la hora y fecha estipulada sin que ante exista una adenda modificatoria</w:t>
      </w:r>
    </w:p>
    <w:p w14:paraId="5CCFF353" w14:textId="77777777" w:rsidR="008A3D05" w:rsidRPr="0008145C" w:rsidRDefault="008A3D05" w:rsidP="008A3D05">
      <w:pPr>
        <w:spacing w:after="0" w:line="240" w:lineRule="auto"/>
        <w:ind w:left="709" w:right="709"/>
        <w:jc w:val="both"/>
        <w:rPr>
          <w:rFonts w:ascii="Verdana" w:eastAsia="Arial" w:hAnsi="Verdana" w:cs="Arial"/>
          <w:color w:val="000000"/>
          <w:sz w:val="20"/>
          <w:szCs w:val="20"/>
        </w:rPr>
      </w:pPr>
    </w:p>
    <w:p w14:paraId="30B693EA" w14:textId="77777777" w:rsidR="008A3D05" w:rsidRPr="0008145C" w:rsidRDefault="008A3D05" w:rsidP="008A3D05">
      <w:pPr>
        <w:spacing w:after="0" w:line="240" w:lineRule="auto"/>
        <w:ind w:left="709" w:right="709"/>
        <w:jc w:val="both"/>
        <w:rPr>
          <w:rFonts w:ascii="Verdana" w:eastAsia="Arial" w:hAnsi="Verdana" w:cs="Arial"/>
          <w:color w:val="000000"/>
          <w:sz w:val="20"/>
          <w:szCs w:val="20"/>
        </w:rPr>
      </w:pPr>
      <w:r w:rsidRPr="0008145C">
        <w:rPr>
          <w:rFonts w:ascii="Verdana" w:eastAsia="Arial" w:hAnsi="Verdana" w:cs="Arial"/>
          <w:color w:val="000000"/>
          <w:sz w:val="20"/>
          <w:szCs w:val="20"/>
        </w:rPr>
        <w:t>[…]</w:t>
      </w:r>
    </w:p>
    <w:p w14:paraId="67554CE6" w14:textId="77777777" w:rsidR="008A3D05" w:rsidRPr="0008145C" w:rsidRDefault="008A3D05" w:rsidP="008A3D05">
      <w:pPr>
        <w:spacing w:after="0" w:line="240" w:lineRule="auto"/>
        <w:ind w:left="709" w:right="709"/>
        <w:jc w:val="both"/>
        <w:rPr>
          <w:rFonts w:ascii="Verdana" w:eastAsia="Arial" w:hAnsi="Verdana" w:cs="Arial"/>
          <w:color w:val="000000"/>
          <w:sz w:val="20"/>
          <w:szCs w:val="20"/>
        </w:rPr>
      </w:pPr>
    </w:p>
    <w:p w14:paraId="4E740C0A" w14:textId="77777777" w:rsidR="008A3D05" w:rsidRPr="00D41CA6" w:rsidRDefault="008A3D05" w:rsidP="008A3D05">
      <w:pPr>
        <w:spacing w:after="0" w:line="240" w:lineRule="auto"/>
        <w:ind w:left="709" w:right="709"/>
        <w:jc w:val="both"/>
        <w:rPr>
          <w:rFonts w:ascii="Verdana" w:hAnsi="Verdana"/>
          <w:sz w:val="20"/>
          <w:szCs w:val="20"/>
        </w:rPr>
      </w:pPr>
      <w:r w:rsidRPr="0008145C">
        <w:rPr>
          <w:rFonts w:ascii="Verdana" w:eastAsia="Arial" w:hAnsi="Verdana" w:cs="Arial"/>
          <w:color w:val="000000"/>
          <w:sz w:val="20"/>
          <w:szCs w:val="20"/>
        </w:rPr>
        <w:t xml:space="preserve">Por lo tanto realizo la consulta ante la entidad y pregunto si este procedimiento es legal y se debía y podía </w:t>
      </w:r>
      <w:r w:rsidRPr="00B22EE8">
        <w:rPr>
          <w:rFonts w:ascii="Verdana" w:hAnsi="Verdana"/>
          <w:sz w:val="20"/>
          <w:szCs w:val="20"/>
        </w:rPr>
        <w:t>hacer de esta manera</w:t>
      </w:r>
      <w:r>
        <w:rPr>
          <w:rFonts w:ascii="Verdana" w:hAnsi="Verdana"/>
          <w:sz w:val="20"/>
          <w:szCs w:val="20"/>
        </w:rPr>
        <w:t xml:space="preserve"> </w:t>
      </w:r>
      <w:r w:rsidRPr="00D41CA6">
        <w:rPr>
          <w:rFonts w:ascii="Verdana" w:hAnsi="Verdana"/>
          <w:sz w:val="20"/>
          <w:szCs w:val="20"/>
        </w:rPr>
        <w:t>[…]”</w:t>
      </w:r>
    </w:p>
    <w:p w14:paraId="54FEB878" w14:textId="77777777" w:rsidR="008A3D05" w:rsidRPr="00D41CA6" w:rsidRDefault="008A3D05" w:rsidP="008A3D05">
      <w:pPr>
        <w:spacing w:after="0" w:line="276" w:lineRule="auto"/>
        <w:ind w:left="709" w:right="618"/>
        <w:jc w:val="both"/>
        <w:rPr>
          <w:rFonts w:ascii="Verdana" w:hAnsi="Verdana"/>
          <w:sz w:val="20"/>
          <w:szCs w:val="20"/>
        </w:rPr>
      </w:pPr>
    </w:p>
    <w:p w14:paraId="4AF7AF75" w14:textId="77777777" w:rsidR="008A3D05" w:rsidRPr="00D41CA6" w:rsidRDefault="008A3D05" w:rsidP="008A3D05">
      <w:pPr>
        <w:spacing w:after="120" w:line="276" w:lineRule="auto"/>
        <w:ind w:firstLine="709"/>
        <w:jc w:val="both"/>
        <w:rPr>
          <w:rFonts w:ascii="Verdana" w:eastAsia="Calibri" w:hAnsi="Verdana" w:cs="Arial"/>
          <w:color w:val="000000"/>
          <w:lang w:eastAsia="es-ES"/>
        </w:rPr>
      </w:pPr>
      <w:r w:rsidRPr="00D41CA6">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D41CA6">
        <w:rPr>
          <w:rFonts w:ascii="Verdana" w:eastAsia="Calibri" w:hAnsi="Verdana" w:cs="Arial"/>
          <w:color w:val="000000"/>
          <w:szCs w:val="24"/>
          <w:lang w:eastAsia="es-ES_tradnl"/>
        </w:rPr>
        <w:tab/>
      </w:r>
    </w:p>
    <w:p w14:paraId="1B12E982" w14:textId="77777777" w:rsidR="008A3D05" w:rsidRPr="00D41CA6" w:rsidRDefault="008A3D05" w:rsidP="008A3D05">
      <w:pPr>
        <w:spacing w:after="0" w:line="276" w:lineRule="auto"/>
        <w:ind w:firstLine="709"/>
        <w:jc w:val="both"/>
        <w:rPr>
          <w:rFonts w:ascii="Verdana" w:eastAsia="Calibri" w:hAnsi="Verdana" w:cs="Arial"/>
          <w:lang w:eastAsia="es-ES"/>
        </w:rPr>
      </w:pPr>
      <w:r w:rsidRPr="00D41CA6">
        <w:rPr>
          <w:rFonts w:ascii="Verdana" w:eastAsia="Calibri" w:hAnsi="Verdana" w:cs="Arial"/>
          <w:color w:val="000000"/>
          <w:lang w:eastAsia="es-ES"/>
        </w:rPr>
        <w:t xml:space="preserve">Conforme lo expuesto, en aras de satisfacer el derecho fundamental de petición se resolverá su consulta dentro de los límites de la referida competencia consultiva, </w:t>
      </w:r>
      <w:r w:rsidRPr="00D41CA6">
        <w:rPr>
          <w:rFonts w:ascii="Verdana" w:eastAsia="Calibri" w:hAnsi="Verdana" w:cs="Arial"/>
          <w:lang w:eastAsia="es-ES"/>
        </w:rPr>
        <w:t xml:space="preserve">esto es, haciendo abstracción de las circunstancias particulares y concretas mencionadas en su petición, pero exponiendo algunas consideraciones sobre las normas generales relacionadas con el problema jurídico propuesto. </w:t>
      </w:r>
    </w:p>
    <w:p w14:paraId="3F94D713" w14:textId="77777777" w:rsidR="008A3D05" w:rsidRPr="00D41CA6" w:rsidRDefault="008A3D05" w:rsidP="008A3D05">
      <w:pPr>
        <w:spacing w:after="0" w:line="276" w:lineRule="auto"/>
        <w:ind w:firstLine="709"/>
        <w:jc w:val="both"/>
        <w:rPr>
          <w:rFonts w:ascii="Verdana" w:eastAsia="Calibri" w:hAnsi="Verdana" w:cs="Arial"/>
          <w:color w:val="000000"/>
          <w:lang w:eastAsia="es-ES"/>
        </w:rPr>
      </w:pPr>
    </w:p>
    <w:p w14:paraId="4C0BCC3E" w14:textId="77777777" w:rsidR="008A3D05" w:rsidRPr="00D41CA6" w:rsidRDefault="008A3D05" w:rsidP="008A3D05">
      <w:pPr>
        <w:numPr>
          <w:ilvl w:val="0"/>
          <w:numId w:val="1"/>
        </w:numPr>
        <w:tabs>
          <w:tab w:val="left" w:pos="142"/>
          <w:tab w:val="left" w:pos="284"/>
        </w:tabs>
        <w:spacing w:after="0" w:line="276" w:lineRule="auto"/>
        <w:jc w:val="both"/>
        <w:rPr>
          <w:rFonts w:ascii="Verdana" w:eastAsia="Century Gothic" w:hAnsi="Verdana" w:cs="Century Gothic"/>
          <w:b/>
          <w:bCs/>
        </w:rPr>
      </w:pPr>
      <w:r w:rsidRPr="00D41CA6">
        <w:rPr>
          <w:rFonts w:ascii="Verdana" w:eastAsia="Century Gothic" w:hAnsi="Verdana" w:cs="Century Gothic"/>
          <w:b/>
          <w:bCs/>
        </w:rPr>
        <w:t>Problemas planteados:</w:t>
      </w:r>
    </w:p>
    <w:p w14:paraId="7BA74647" w14:textId="77777777" w:rsidR="008A3D05" w:rsidRPr="00D41CA6" w:rsidRDefault="008A3D05" w:rsidP="008A3D05">
      <w:pPr>
        <w:tabs>
          <w:tab w:val="left" w:pos="426"/>
        </w:tabs>
        <w:spacing w:after="0" w:line="276" w:lineRule="auto"/>
        <w:jc w:val="both"/>
        <w:rPr>
          <w:rFonts w:ascii="Verdana" w:eastAsia="Century Gothic" w:hAnsi="Verdana" w:cs="Century Gothic"/>
        </w:rPr>
      </w:pPr>
    </w:p>
    <w:p w14:paraId="5B40173D" w14:textId="77777777" w:rsidR="008A3D05" w:rsidRDefault="008A3D05" w:rsidP="008A3D05">
      <w:pPr>
        <w:spacing w:after="0" w:line="276" w:lineRule="auto"/>
        <w:jc w:val="both"/>
        <w:rPr>
          <w:rFonts w:ascii="Verdana" w:eastAsia="Century Gothic" w:hAnsi="Verdana" w:cs="Century Gothic"/>
        </w:rPr>
      </w:pPr>
      <w:r w:rsidRPr="00D41CA6">
        <w:rPr>
          <w:rFonts w:ascii="Verdana" w:eastAsia="Century Gothic" w:hAnsi="Verdana" w:cs="Century Gothic"/>
        </w:rPr>
        <w:t xml:space="preserve">De acuerdo con el contenido de su solicitud, esta Agencia </w:t>
      </w:r>
      <w:r>
        <w:rPr>
          <w:rFonts w:ascii="Verdana" w:eastAsia="Century Gothic" w:hAnsi="Verdana" w:cs="Century Gothic"/>
        </w:rPr>
        <w:t xml:space="preserve">resolverá los siguientes problemas jurídicos: </w:t>
      </w:r>
    </w:p>
    <w:p w14:paraId="44C86C55" w14:textId="77777777" w:rsidR="008A3D05" w:rsidRDefault="008A3D05" w:rsidP="008A3D05">
      <w:pPr>
        <w:spacing w:after="0" w:line="276" w:lineRule="auto"/>
        <w:jc w:val="both"/>
        <w:rPr>
          <w:rFonts w:ascii="Verdana" w:eastAsia="Century Gothic" w:hAnsi="Verdana" w:cs="Century Gothic"/>
        </w:rPr>
      </w:pPr>
    </w:p>
    <w:p w14:paraId="57F0C54E" w14:textId="77777777" w:rsidR="008A3D05" w:rsidRDefault="008A3D05" w:rsidP="008A3D05">
      <w:pPr>
        <w:spacing w:after="0" w:line="276" w:lineRule="auto"/>
        <w:jc w:val="both"/>
        <w:rPr>
          <w:rFonts w:ascii="Verdana" w:eastAsia="Century Gothic" w:hAnsi="Verdana" w:cs="Century Gothic"/>
        </w:rPr>
      </w:pPr>
      <w:r>
        <w:rPr>
          <w:rFonts w:ascii="Verdana" w:eastAsia="Century Gothic" w:hAnsi="Verdana" w:cs="Century Gothic"/>
        </w:rPr>
        <w:t>i) ¿Es posible modificar mediante adenda el plazo de una etapa que venció en desarrollo del proceso de contratación y; existe un límite cuantitativo y cualitativo para expedir adendas al cronograma del proceso de contratación?</w:t>
      </w:r>
    </w:p>
    <w:p w14:paraId="4ACE25AA" w14:textId="77777777" w:rsidR="008A3D05" w:rsidRDefault="008A3D05" w:rsidP="008A3D05">
      <w:pPr>
        <w:spacing w:after="0" w:line="276" w:lineRule="auto"/>
        <w:jc w:val="both"/>
        <w:rPr>
          <w:rFonts w:ascii="Verdana" w:eastAsia="Century Gothic" w:hAnsi="Verdana" w:cs="Century Gothic"/>
        </w:rPr>
      </w:pPr>
    </w:p>
    <w:p w14:paraId="6187CCEA" w14:textId="77777777" w:rsidR="008A3D05" w:rsidRPr="00F75031" w:rsidRDefault="008A3D05" w:rsidP="008A3D05">
      <w:pPr>
        <w:spacing w:after="0" w:line="276" w:lineRule="auto"/>
        <w:jc w:val="both"/>
        <w:rPr>
          <w:rFonts w:ascii="Verdana" w:eastAsia="Century Gothic" w:hAnsi="Verdana" w:cs="Century Gothic"/>
          <w:lang w:val="es-ES_tradnl"/>
        </w:rPr>
      </w:pPr>
      <w:r>
        <w:rPr>
          <w:rFonts w:ascii="Verdana" w:eastAsia="Century Gothic" w:hAnsi="Verdana" w:cs="Century Gothic"/>
        </w:rPr>
        <w:t xml:space="preserve">ii) </w:t>
      </w:r>
      <w:r w:rsidRPr="00F75031">
        <w:rPr>
          <w:rFonts w:ascii="Verdana" w:eastAsia="Century Gothic" w:hAnsi="Verdana" w:cs="Century Gothic"/>
        </w:rPr>
        <w:t>¿</w:t>
      </w:r>
      <w:bookmarkStart w:id="2" w:name="_Hlk202456932"/>
      <w:r>
        <w:rPr>
          <w:rFonts w:ascii="Verdana" w:eastAsia="Century Gothic" w:hAnsi="Verdana" w:cs="Century Gothic"/>
        </w:rPr>
        <w:t>Cómo opera</w:t>
      </w:r>
      <w:r w:rsidRPr="00EF45CD">
        <w:rPr>
          <w:rFonts w:ascii="Verdana" w:eastAsia="Century Gothic" w:hAnsi="Verdana" w:cs="Century Gothic"/>
        </w:rPr>
        <w:t xml:space="preserve"> la regla de subsanabilidad en procedimientos en que se utilice el mecanismo de subasta</w:t>
      </w:r>
      <w:bookmarkEnd w:id="2"/>
      <w:r>
        <w:rPr>
          <w:rFonts w:ascii="Verdana" w:eastAsia="Century Gothic" w:hAnsi="Verdana" w:cs="Century Gothic"/>
        </w:rPr>
        <w:t>, especialmente en lo que respecto a la oportunidad para llevarla a cabo?</w:t>
      </w:r>
    </w:p>
    <w:p w14:paraId="31CD04E6" w14:textId="77777777" w:rsidR="008A3D05" w:rsidRPr="00D41CA6" w:rsidRDefault="008A3D05" w:rsidP="008A3D05">
      <w:pPr>
        <w:spacing w:after="0" w:line="276" w:lineRule="auto"/>
        <w:jc w:val="both"/>
        <w:rPr>
          <w:rFonts w:ascii="Verdana" w:eastAsia="Century Gothic" w:hAnsi="Verdana" w:cs="Century Gothic"/>
        </w:rPr>
      </w:pPr>
    </w:p>
    <w:p w14:paraId="2141C7DE" w14:textId="77777777" w:rsidR="008A3D05" w:rsidRPr="00D41CA6" w:rsidRDefault="008A3D05" w:rsidP="008A3D05">
      <w:pPr>
        <w:numPr>
          <w:ilvl w:val="0"/>
          <w:numId w:val="1"/>
        </w:numPr>
        <w:tabs>
          <w:tab w:val="left" w:pos="142"/>
          <w:tab w:val="left" w:pos="284"/>
        </w:tabs>
        <w:spacing w:after="0" w:line="276" w:lineRule="auto"/>
        <w:jc w:val="both"/>
        <w:rPr>
          <w:rFonts w:ascii="Verdana" w:eastAsia="Century Gothic" w:hAnsi="Verdana" w:cs="Century Gothic"/>
          <w:b/>
          <w:bCs/>
        </w:rPr>
      </w:pPr>
      <w:r w:rsidRPr="00D41CA6">
        <w:rPr>
          <w:rFonts w:ascii="Verdana" w:eastAsia="Century Gothic" w:hAnsi="Verdana" w:cs="Century Gothic"/>
          <w:b/>
          <w:bCs/>
        </w:rPr>
        <w:t>Respuestas:</w:t>
      </w:r>
    </w:p>
    <w:p w14:paraId="739D6118" w14:textId="77777777" w:rsidR="008A3D05" w:rsidRPr="00D41CA6" w:rsidRDefault="008A3D05" w:rsidP="008A3D05">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A3D05" w:rsidRPr="00D41CA6" w14:paraId="4F4AD857" w14:textId="77777777" w:rsidTr="00DB0313">
        <w:trPr>
          <w:jc w:val="center"/>
        </w:trPr>
        <w:tc>
          <w:tcPr>
            <w:tcW w:w="8828" w:type="dxa"/>
          </w:tcPr>
          <w:p w14:paraId="77A2C090" w14:textId="77777777" w:rsidR="008A3D05" w:rsidRPr="002658FB" w:rsidRDefault="008A3D05" w:rsidP="00DB0313">
            <w:pPr>
              <w:spacing w:after="120" w:line="276" w:lineRule="auto"/>
              <w:ind w:right="79"/>
              <w:jc w:val="both"/>
              <w:rPr>
                <w:rFonts w:ascii="Verdana" w:eastAsia="Calibri" w:hAnsi="Verdana" w:cs="Arial"/>
                <w:color w:val="000000" w:themeColor="text1"/>
              </w:rPr>
            </w:pPr>
            <w:bookmarkStart w:id="3" w:name="_Hlk171694685"/>
            <w:r w:rsidRPr="002658FB">
              <w:rPr>
                <w:rFonts w:ascii="Verdana" w:eastAsia="Century Gothic" w:hAnsi="Verdana" w:cs="Century Gothic"/>
                <w:b/>
                <w:bCs/>
              </w:rPr>
              <w:lastRenderedPageBreak/>
              <w:t>i</w:t>
            </w:r>
            <w:r>
              <w:rPr>
                <w:rFonts w:ascii="Verdana" w:eastAsia="Century Gothic" w:hAnsi="Verdana" w:cs="Century Gothic"/>
                <w:b/>
                <w:bCs/>
              </w:rPr>
              <w:t>)</w:t>
            </w:r>
            <w:r w:rsidRPr="002658FB">
              <w:rPr>
                <w:rFonts w:ascii="Verdana" w:eastAsia="Century Gothic" w:hAnsi="Verdana" w:cs="Century Gothic"/>
              </w:rPr>
              <w:t xml:space="preserve"> </w:t>
            </w:r>
            <w:r w:rsidRPr="002658FB">
              <w:rPr>
                <w:rFonts w:ascii="Verdana" w:eastAsia="Calibri" w:hAnsi="Verdana" w:cs="Arial"/>
                <w:color w:val="000000" w:themeColor="text1"/>
              </w:rPr>
              <w:t xml:space="preserve">Del artículo 2.2.1.1.2.2.1 de Decreto 1082 de 2015 se puede concluir que las entidades estatales pueden modificar el cronograma mediante adendas en dos momentos: i) antes del vencimiento del plazo para presentar ofertas, pues se entiende que el cronograma hace parte integral del pliego de condiciones, y ii) una vez vencido el término para la presentación de ofertas y antes de la adjudicación del contrato. </w:t>
            </w:r>
          </w:p>
          <w:p w14:paraId="39C2556A" w14:textId="77777777" w:rsidR="008A3D05" w:rsidRPr="002658FB" w:rsidRDefault="008A3D05" w:rsidP="00DB0313">
            <w:pPr>
              <w:spacing w:after="120" w:line="276" w:lineRule="auto"/>
              <w:ind w:right="79" w:firstLine="709"/>
              <w:jc w:val="both"/>
              <w:rPr>
                <w:rFonts w:ascii="Verdana" w:eastAsia="Calibri" w:hAnsi="Verdana" w:cs="Arial"/>
                <w:color w:val="000000" w:themeColor="text1"/>
              </w:rPr>
            </w:pPr>
            <w:r w:rsidRPr="002658FB">
              <w:rPr>
                <w:rFonts w:ascii="Verdana" w:eastAsia="Calibri" w:hAnsi="Verdana" w:cs="Arial"/>
                <w:color w:val="000000" w:themeColor="text1"/>
              </w:rPr>
              <w:t xml:space="preserve">Si bien el artículo 2.2.1.1.2.2.1 de Decreto 1082 de 2015 no determina unas reglas concretas en relación con el plazo para la expedición de adendas al cronograma después del cierre del proceso y antes de la adjudicación del contrato, lo cierto es que estas únicamente podrán modificar los plazos de las etapas establecidas antes de su vencimiento y no después de este. Lo anterior, con fundamento en el principio de economía y teniendo en cuenta que los plazos en los procesos de contratación son perentorios y preclusivos. </w:t>
            </w:r>
          </w:p>
          <w:p w14:paraId="6F539C25" w14:textId="77777777" w:rsidR="008A3D05" w:rsidRPr="002658FB" w:rsidRDefault="008A3D05" w:rsidP="00DB0313">
            <w:pPr>
              <w:pStyle w:val="NormalWeb"/>
              <w:spacing w:before="0" w:beforeAutospacing="0" w:after="0" w:afterAutospacing="0" w:line="276" w:lineRule="auto"/>
              <w:ind w:firstLine="709"/>
              <w:jc w:val="both"/>
              <w:rPr>
                <w:rFonts w:ascii="Verdana" w:eastAsia="Calibri" w:hAnsi="Verdana" w:cs="Arial"/>
                <w:color w:val="000000" w:themeColor="text1"/>
                <w:sz w:val="22"/>
                <w:szCs w:val="22"/>
              </w:rPr>
            </w:pPr>
            <w:r w:rsidRPr="002658FB">
              <w:rPr>
                <w:rFonts w:ascii="Verdana" w:eastAsia="Calibri" w:hAnsi="Verdana" w:cs="Arial"/>
                <w:color w:val="000000" w:themeColor="text1"/>
                <w:sz w:val="22"/>
                <w:szCs w:val="22"/>
              </w:rPr>
              <w:t>Además, la facultad de modificación del cronograma no puede ser empleada de forma desproporcionada e injustificada por la entidad, de tal manera que se extiendan las etapas del proceso de contratación arbitrariamente. De esta manera, aunque la entidad tiene la facultad para expedir adendas modificando los plazos de cada etapa, esta no podrá ejercerse de forma ilimitada y deberán atender unos parámetros mínimos de adecuación y proporcionalidad, so pena de vulnerar los principios de economía, transparencia y planeación de la contratación pública.</w:t>
            </w:r>
          </w:p>
          <w:p w14:paraId="759A3312" w14:textId="77777777" w:rsidR="008A3D05" w:rsidRPr="002658FB" w:rsidRDefault="008A3D05" w:rsidP="00DB0313">
            <w:pPr>
              <w:pStyle w:val="NormalWeb"/>
              <w:spacing w:line="276" w:lineRule="auto"/>
              <w:ind w:firstLine="709"/>
              <w:jc w:val="both"/>
              <w:rPr>
                <w:rFonts w:ascii="Verdana" w:eastAsia="Calibri" w:hAnsi="Verdana" w:cs="Arial"/>
                <w:color w:val="000000" w:themeColor="text1"/>
                <w:sz w:val="22"/>
                <w:szCs w:val="22"/>
              </w:rPr>
            </w:pPr>
          </w:p>
          <w:p w14:paraId="37A62EA7" w14:textId="77777777" w:rsidR="008A3D05" w:rsidRPr="002658FB" w:rsidRDefault="008A3D05" w:rsidP="00DB0313">
            <w:pPr>
              <w:spacing w:after="120" w:line="276" w:lineRule="auto"/>
              <w:jc w:val="both"/>
              <w:rPr>
                <w:rFonts w:ascii="Verdana" w:eastAsia="Calibri" w:hAnsi="Verdana" w:cs="Arial"/>
                <w:color w:val="000000" w:themeColor="text1"/>
                <w:lang w:eastAsia="es-CO"/>
              </w:rPr>
            </w:pPr>
            <w:r w:rsidRPr="002658FB">
              <w:rPr>
                <w:rFonts w:ascii="Verdana" w:eastAsia="Calibri" w:hAnsi="Verdana" w:cs="Arial"/>
                <w:b/>
                <w:bCs/>
                <w:color w:val="000000" w:themeColor="text1"/>
                <w:lang w:eastAsia="es-CO"/>
              </w:rPr>
              <w:t>ii)</w:t>
            </w:r>
            <w:r>
              <w:rPr>
                <w:rFonts w:ascii="Verdana" w:eastAsia="Calibri" w:hAnsi="Verdana" w:cs="Arial"/>
                <w:color w:val="000000" w:themeColor="text1"/>
                <w:lang w:eastAsia="es-CO"/>
              </w:rPr>
              <w:t xml:space="preserve"> </w:t>
            </w:r>
            <w:r w:rsidRPr="002658FB">
              <w:rPr>
                <w:rFonts w:ascii="Verdana" w:eastAsia="Calibri" w:hAnsi="Verdana" w:cs="Arial"/>
                <w:color w:val="000000" w:themeColor="text1"/>
                <w:lang w:eastAsia="es-CO"/>
              </w:rPr>
              <w:t>La posibilidad de subsanar las ofertas busca garantizar una prevalencia de lo sustancial sobre lo formal. Resulta propicia para garantizar una mayor concurrencia real en los procedimientos de selección. En armonía con lo anterior, esta actuación establecida por el legislador permite una mayor posibilidad de que las entidades estatales se beneficien de seleccionar entre un abanico más amplio la oferta que le resulte materialmente más favorable a sus intereses, por lo que favorece y robustece el principio de selección objetiva.</w:t>
            </w:r>
          </w:p>
          <w:p w14:paraId="7D5892E8" w14:textId="77777777" w:rsidR="008A3D05" w:rsidRPr="002658FB" w:rsidRDefault="008A3D05" w:rsidP="00DB0313">
            <w:pPr>
              <w:spacing w:after="120" w:line="276" w:lineRule="auto"/>
              <w:ind w:firstLine="709"/>
              <w:jc w:val="both"/>
              <w:rPr>
                <w:rFonts w:ascii="Verdana" w:eastAsia="Calibri" w:hAnsi="Verdana" w:cs="Arial"/>
                <w:color w:val="000000" w:themeColor="text1"/>
                <w:lang w:eastAsia="es-CO"/>
              </w:rPr>
            </w:pPr>
            <w:r w:rsidRPr="002658FB">
              <w:rPr>
                <w:rFonts w:ascii="Verdana" w:eastAsia="Calibri" w:hAnsi="Verdana" w:cs="Arial"/>
                <w:color w:val="000000" w:themeColor="text1"/>
                <w:lang w:eastAsia="es-CO"/>
              </w:rPr>
              <w:t>En este orden de ideas</w:t>
            </w:r>
            <w:r>
              <w:rPr>
                <w:rFonts w:ascii="Verdana" w:eastAsia="Calibri" w:hAnsi="Verdana" w:cs="Arial"/>
                <w:color w:val="000000" w:themeColor="text1"/>
                <w:lang w:eastAsia="es-CO"/>
              </w:rPr>
              <w:t xml:space="preserve">, </w:t>
            </w:r>
            <w:r w:rsidRPr="002658FB">
              <w:rPr>
                <w:rFonts w:ascii="Verdana" w:eastAsia="Calibri" w:hAnsi="Verdana" w:cs="Arial"/>
                <w:color w:val="000000" w:themeColor="text1"/>
                <w:lang w:eastAsia="es-CO"/>
              </w:rPr>
              <w:t xml:space="preserve">la regla de subsanabilidad consagrada en el parágrafo 4 del artículo 5 de la Ley 1150 de 2007 –adicionado por la Ley 1882 de 2018–, dada su identidad con la regulación del parágrafo 1 del artículo 5 de la ley 1150 de 2007 original –antes de ser modificada por la Ley 1882 de 2018– el inicio de la subasta es el momento hasta el cual la entidad cuenta </w:t>
            </w:r>
            <w:r w:rsidRPr="002658FB">
              <w:rPr>
                <w:rFonts w:ascii="Verdana" w:eastAsia="Calibri" w:hAnsi="Verdana" w:cs="Arial"/>
                <w:color w:val="000000" w:themeColor="text1"/>
                <w:lang w:eastAsia="es-CO"/>
              </w:rPr>
              <w:lastRenderedPageBreak/>
              <w:t xml:space="preserve">con la facultad para requerir la subsanación de los documentos referentes a la futura contratación o a los proponentes, no necesarios para la comparación de las propuestas. </w:t>
            </w:r>
          </w:p>
          <w:p w14:paraId="4A08D11B" w14:textId="77777777" w:rsidR="008A3D05" w:rsidRPr="00A048A1" w:rsidRDefault="008A3D05" w:rsidP="00DB0313">
            <w:pPr>
              <w:spacing w:after="120" w:line="276" w:lineRule="auto"/>
              <w:ind w:firstLine="709"/>
              <w:jc w:val="both"/>
              <w:rPr>
                <w:rFonts w:ascii="Verdana" w:eastAsia="Century Gothic" w:hAnsi="Verdana" w:cs="Century Gothic"/>
              </w:rPr>
            </w:pPr>
            <w:r w:rsidRPr="002658FB">
              <w:rPr>
                <w:rFonts w:ascii="Verdana" w:eastAsia="Calibri" w:hAnsi="Verdana" w:cs="Arial"/>
                <w:color w:val="000000" w:themeColor="text1"/>
                <w:lang w:eastAsia="es-CO"/>
              </w:rPr>
              <w:t>Así las cosas, para el ejercicio de tal facultad, las entidades de manera ex ante podrán establecer dentro del pliego de condiciones el periodo dentro del cual los participantes del proceso de selección podrán subsanar los documentos que requiera la entidad, o en su defecto, requerir por separado a cada proponente para que subsanen los respectivos documentos, fijándoles un término razonable, el cual en todo caso no podrá exceder el momento previo al inicio de la audiencia de subasta. Así mismo, dentro del pliego de condiciones podrán definir las veces en las cuales le será posible a los proponentes subsanar los documentos.  En sentido, atendiendo a la consulta planteada, la posibilidad de subsanar un determinado aspecto de la propuesta dependerá de lo establecido en el pliego de condiciones.</w:t>
            </w:r>
          </w:p>
        </w:tc>
      </w:tr>
    </w:tbl>
    <w:p w14:paraId="055A7227" w14:textId="77777777" w:rsidR="008A3D05" w:rsidRPr="00D41CA6" w:rsidRDefault="008A3D05" w:rsidP="008A3D05">
      <w:pPr>
        <w:tabs>
          <w:tab w:val="left" w:pos="142"/>
          <w:tab w:val="left" w:pos="284"/>
        </w:tabs>
        <w:spacing w:after="0" w:line="276" w:lineRule="auto"/>
        <w:jc w:val="both"/>
        <w:rPr>
          <w:rFonts w:ascii="Verdana" w:eastAsia="Century Gothic" w:hAnsi="Verdana" w:cs="Century Gothic"/>
          <w:b/>
          <w:bCs/>
        </w:rPr>
      </w:pPr>
    </w:p>
    <w:bookmarkEnd w:id="3"/>
    <w:p w14:paraId="79D9EEE6" w14:textId="77777777" w:rsidR="008A3D05" w:rsidRPr="00D41CA6" w:rsidRDefault="008A3D05" w:rsidP="008A3D05">
      <w:pPr>
        <w:numPr>
          <w:ilvl w:val="0"/>
          <w:numId w:val="1"/>
        </w:numPr>
        <w:tabs>
          <w:tab w:val="left" w:pos="142"/>
          <w:tab w:val="left" w:pos="284"/>
        </w:tabs>
        <w:spacing w:after="0" w:line="276" w:lineRule="auto"/>
        <w:jc w:val="both"/>
        <w:rPr>
          <w:rFonts w:ascii="Verdana" w:eastAsia="Century Gothic" w:hAnsi="Verdana" w:cs="Century Gothic"/>
          <w:b/>
          <w:bCs/>
        </w:rPr>
      </w:pPr>
      <w:r w:rsidRPr="00D41CA6">
        <w:rPr>
          <w:rFonts w:ascii="Verdana" w:eastAsia="Century Gothic" w:hAnsi="Verdana" w:cs="Century Gothic"/>
          <w:b/>
          <w:bCs/>
        </w:rPr>
        <w:t>Razones de las respuestas:</w:t>
      </w:r>
    </w:p>
    <w:p w14:paraId="38AED841" w14:textId="77777777" w:rsidR="008A3D05" w:rsidRPr="00D41CA6" w:rsidRDefault="008A3D05" w:rsidP="008A3D05">
      <w:pPr>
        <w:spacing w:after="0" w:line="276" w:lineRule="auto"/>
        <w:jc w:val="both"/>
        <w:rPr>
          <w:rFonts w:ascii="Verdana" w:eastAsia="Calibri" w:hAnsi="Verdana" w:cs="Arial"/>
          <w:color w:val="7030A0"/>
        </w:rPr>
      </w:pPr>
    </w:p>
    <w:p w14:paraId="26AB0244" w14:textId="77777777" w:rsidR="008A3D05" w:rsidRPr="00D41CA6" w:rsidRDefault="008A3D05" w:rsidP="008A3D05">
      <w:pPr>
        <w:spacing w:after="0" w:line="276" w:lineRule="auto"/>
        <w:jc w:val="both"/>
        <w:rPr>
          <w:rFonts w:ascii="Verdana" w:eastAsia="Calibri" w:hAnsi="Verdana" w:cs="Arial"/>
        </w:rPr>
      </w:pPr>
      <w:r w:rsidRPr="00D41CA6">
        <w:rPr>
          <w:rFonts w:ascii="Verdana" w:eastAsia="Calibri" w:hAnsi="Verdana" w:cs="Arial"/>
        </w:rPr>
        <w:t>Lo anterior se sustenta en las siguientes consideraciones:</w:t>
      </w:r>
    </w:p>
    <w:p w14:paraId="0982BD94" w14:textId="77777777" w:rsidR="008A3D05" w:rsidRPr="00D41CA6" w:rsidRDefault="008A3D05" w:rsidP="008A3D05">
      <w:pPr>
        <w:widowControl w:val="0"/>
        <w:autoSpaceDE w:val="0"/>
        <w:autoSpaceDN w:val="0"/>
        <w:spacing w:after="0" w:line="276" w:lineRule="auto"/>
        <w:jc w:val="both"/>
        <w:rPr>
          <w:rFonts w:ascii="Verdana" w:eastAsia="Calibri" w:hAnsi="Verdana" w:cs="Arial"/>
        </w:rPr>
      </w:pPr>
    </w:p>
    <w:p w14:paraId="77AF8631" w14:textId="77777777" w:rsidR="008A3D05" w:rsidRPr="00807959" w:rsidRDefault="008A3D05" w:rsidP="008A3D05">
      <w:pPr>
        <w:spacing w:after="120" w:line="276" w:lineRule="auto"/>
        <w:jc w:val="both"/>
        <w:rPr>
          <w:rFonts w:ascii="Verdana" w:eastAsia="Calibri" w:hAnsi="Verdana" w:cs="Arial"/>
          <w:color w:val="000000" w:themeColor="text1"/>
        </w:rPr>
      </w:pPr>
      <w:r w:rsidRPr="00807959">
        <w:rPr>
          <w:rFonts w:ascii="Verdana" w:eastAsia="Calibri" w:hAnsi="Verdana" w:cs="Arial"/>
          <w:color w:val="000000" w:themeColor="text1"/>
        </w:rPr>
        <w:t>Las entidades estatales, una vez publicados los pliegos de condiciones definitivos o la invitación pública, pueden realizar modificaciones a los documentos del procedimiento de contratación como consecuencia de las observaciones recibidas por parte de los interesados o por iniciativa unilateral de la entidad, al evidenciar la necesidad de modificar, ajustar o aclarar algún aspecto o condición.</w:t>
      </w:r>
    </w:p>
    <w:p w14:paraId="23BC052E" w14:textId="77777777" w:rsidR="008A3D05" w:rsidRPr="00807959" w:rsidRDefault="008A3D05" w:rsidP="008A3D05">
      <w:pPr>
        <w:spacing w:after="120" w:line="276" w:lineRule="auto"/>
        <w:ind w:firstLine="708"/>
        <w:jc w:val="both"/>
        <w:rPr>
          <w:rFonts w:ascii="Verdana" w:eastAsia="Calibri" w:hAnsi="Verdana" w:cs="Arial"/>
          <w:color w:val="000000" w:themeColor="text1"/>
        </w:rPr>
      </w:pPr>
      <w:r w:rsidRPr="00807959">
        <w:rPr>
          <w:rFonts w:ascii="Verdana" w:eastAsia="Calibri" w:hAnsi="Verdana" w:cs="Arial"/>
          <w:color w:val="000000" w:themeColor="text1"/>
        </w:rPr>
        <w:t>Estas modificaciones deben realizarse a través de adendas o como lo ha reconocido la jurisprudencia del Consejo de Estado, por medio de cualquier otro documento que contenga la manifestación de voluntad de la entidad de aclarar, añadir, adicionar, reemplazar o cambiar un aspecto o condición incluida en los documentos del procedimiento de contratación</w:t>
      </w:r>
      <w:r w:rsidRPr="00807959">
        <w:rPr>
          <w:rFonts w:ascii="Verdana" w:eastAsia="Calibri" w:hAnsi="Verdana" w:cs="Arial"/>
          <w:color w:val="000000" w:themeColor="text1"/>
          <w:vertAlign w:val="superscript"/>
        </w:rPr>
        <w:footnoteReference w:id="1"/>
      </w:r>
      <w:r w:rsidRPr="00807959">
        <w:rPr>
          <w:rFonts w:ascii="Verdana" w:eastAsia="Calibri" w:hAnsi="Verdana" w:cs="Arial"/>
          <w:color w:val="000000" w:themeColor="text1"/>
        </w:rPr>
        <w:t>.</w:t>
      </w:r>
    </w:p>
    <w:p w14:paraId="7F1F8774" w14:textId="77777777" w:rsidR="008A3D05" w:rsidRPr="00807959" w:rsidRDefault="008A3D05" w:rsidP="008A3D05">
      <w:pPr>
        <w:spacing w:after="120" w:line="276" w:lineRule="auto"/>
        <w:ind w:firstLine="708"/>
        <w:jc w:val="both"/>
        <w:rPr>
          <w:rFonts w:ascii="Verdana" w:eastAsia="Calibri" w:hAnsi="Verdana" w:cs="Arial"/>
          <w:color w:val="000000" w:themeColor="text1"/>
        </w:rPr>
      </w:pPr>
      <w:r w:rsidRPr="00807959">
        <w:rPr>
          <w:rFonts w:ascii="Verdana" w:eastAsia="Calibri" w:hAnsi="Verdana" w:cs="Arial"/>
          <w:color w:val="000000" w:themeColor="text1"/>
        </w:rPr>
        <w:lastRenderedPageBreak/>
        <w:t>La adenda o modificación, al contener la voluntad de la Administración de variar, ajustar o aclarar algún aspecto o condición de los pliegos de condiciones o la invitación pública para procesos de mínima cuantía, tiene la naturaleza de acto administrativo de contenido general, que, al ser incorporado al contenido de los pliegos de condiciones o a la invitación pública tiene, al igual que estos, la posibilidad de transformarse en parte del texto del negocio jurídico</w:t>
      </w:r>
      <w:r w:rsidRPr="00135A2E">
        <w:rPr>
          <w:rFonts w:ascii="Verdana" w:eastAsia="Calibri" w:hAnsi="Verdana" w:cs="Arial"/>
          <w:color w:val="000000" w:themeColor="text1"/>
          <w:vertAlign w:val="superscript"/>
        </w:rPr>
        <w:footnoteReference w:id="2"/>
      </w:r>
      <w:r w:rsidRPr="00807959">
        <w:rPr>
          <w:rFonts w:ascii="Verdana" w:eastAsia="Calibri" w:hAnsi="Verdana" w:cs="Arial"/>
          <w:color w:val="000000" w:themeColor="text1"/>
        </w:rPr>
        <w:t>. Por lo tanto, las adendas, al ser actos administrativos de contenido general, deben ser publicadas para que sean obligatorias, esto es para que sus efectos sean vinculantes a los interesados en el procedimiento de contratación.</w:t>
      </w:r>
    </w:p>
    <w:p w14:paraId="779C73DC" w14:textId="77777777" w:rsidR="008A3D05" w:rsidRPr="00807959" w:rsidRDefault="008A3D05" w:rsidP="008A3D05">
      <w:pPr>
        <w:spacing w:after="0" w:line="276" w:lineRule="auto"/>
        <w:ind w:firstLine="708"/>
        <w:jc w:val="both"/>
        <w:rPr>
          <w:rFonts w:ascii="Verdana" w:eastAsia="Calibri" w:hAnsi="Verdana" w:cs="Arial"/>
          <w:color w:val="000000" w:themeColor="text1"/>
        </w:rPr>
      </w:pPr>
      <w:r w:rsidRPr="00807959">
        <w:rPr>
          <w:rFonts w:ascii="Verdana" w:eastAsia="Calibri" w:hAnsi="Verdana" w:cs="Arial"/>
          <w:color w:val="000000" w:themeColor="text1"/>
        </w:rPr>
        <w:t>El artículo 2.2.1.1.2.2.1 del Decreto 1082 de 2015, reglamenta la posibilidad que tienen las entidades de modificar los pliegos de condiciones a través de adendas y señala que deben expedirse a más tarde un día hábil anterior a la fecha fijada para la presentación de ofertas, salvo para el caso de licitación que debe hacerse con tres (3) días de anticipación. Al respecto señala la norma:</w:t>
      </w:r>
    </w:p>
    <w:p w14:paraId="4815AF8A" w14:textId="77777777" w:rsidR="008A3D05" w:rsidRDefault="008A3D05" w:rsidP="008A3D05">
      <w:pPr>
        <w:widowControl w:val="0"/>
        <w:autoSpaceDE w:val="0"/>
        <w:autoSpaceDN w:val="0"/>
        <w:spacing w:after="0" w:line="276" w:lineRule="auto"/>
        <w:ind w:firstLine="709"/>
        <w:jc w:val="both"/>
        <w:rPr>
          <w:rFonts w:ascii="Arial" w:eastAsia="Times New Roman" w:hAnsi="Arial" w:cs="Arial"/>
          <w:lang w:val="es-ES" w:eastAsia="es-ES_tradnl"/>
        </w:rPr>
      </w:pPr>
    </w:p>
    <w:p w14:paraId="02FC1B47" w14:textId="77777777" w:rsidR="008A3D05" w:rsidRPr="00807959" w:rsidRDefault="008A3D05" w:rsidP="008A3D05">
      <w:pPr>
        <w:spacing w:after="0" w:line="240" w:lineRule="auto"/>
        <w:ind w:left="709" w:right="900"/>
        <w:jc w:val="both"/>
        <w:rPr>
          <w:rFonts w:ascii="Verdana" w:eastAsia="Times New Roman" w:hAnsi="Verdana" w:cs="Arial"/>
          <w:sz w:val="21"/>
          <w:szCs w:val="21"/>
          <w:lang w:eastAsia="es-ES_tradnl"/>
        </w:rPr>
      </w:pPr>
      <w:r>
        <w:rPr>
          <w:rFonts w:ascii="Verdana" w:eastAsia="Times New Roman" w:hAnsi="Verdana" w:cs="Arial"/>
          <w:sz w:val="21"/>
          <w:szCs w:val="21"/>
          <w:lang w:eastAsia="es-ES_tradnl"/>
        </w:rPr>
        <w:t>“</w:t>
      </w:r>
      <w:r w:rsidRPr="00807959">
        <w:rPr>
          <w:rFonts w:ascii="Verdana" w:eastAsia="Times New Roman" w:hAnsi="Verdana" w:cs="Arial"/>
          <w:sz w:val="21"/>
          <w:szCs w:val="21"/>
          <w:lang w:eastAsia="es-ES_tradnl"/>
        </w:rPr>
        <w:t>Artículo 2.2.1.1.2.2.1. Modificación de los pliegos de condiciones. La Entidad Estatal puede modificar los pliegos de condiciones a través de Adendas expedidas antes del vencimiento del plazo para presentar ofertas.</w:t>
      </w:r>
    </w:p>
    <w:p w14:paraId="1CAF139D" w14:textId="77777777" w:rsidR="008A3D05" w:rsidRPr="00807959" w:rsidRDefault="008A3D05" w:rsidP="008A3D05">
      <w:pPr>
        <w:spacing w:after="0" w:line="240" w:lineRule="auto"/>
        <w:ind w:left="709" w:right="900"/>
        <w:jc w:val="both"/>
        <w:rPr>
          <w:rFonts w:ascii="Verdana" w:eastAsia="Times New Roman" w:hAnsi="Verdana" w:cs="Arial"/>
          <w:sz w:val="21"/>
          <w:szCs w:val="21"/>
          <w:lang w:eastAsia="es-ES_tradnl"/>
        </w:rPr>
      </w:pPr>
    </w:p>
    <w:p w14:paraId="039036F2" w14:textId="77777777" w:rsidR="008A3D05" w:rsidRPr="00807959" w:rsidRDefault="008A3D05" w:rsidP="008A3D05">
      <w:pPr>
        <w:spacing w:after="0" w:line="240" w:lineRule="auto"/>
        <w:ind w:left="709" w:right="900"/>
        <w:jc w:val="both"/>
        <w:rPr>
          <w:rFonts w:ascii="Verdana" w:eastAsia="Times New Roman" w:hAnsi="Verdana" w:cs="Arial"/>
          <w:sz w:val="21"/>
          <w:szCs w:val="21"/>
          <w:lang w:eastAsia="es-ES_tradnl"/>
        </w:rPr>
      </w:pPr>
      <w:r w:rsidRPr="00807959">
        <w:rPr>
          <w:rFonts w:ascii="Verdana" w:eastAsia="Times New Roman" w:hAnsi="Verdana" w:cs="Arial"/>
          <w:sz w:val="21"/>
          <w:szCs w:val="21"/>
          <w:lang w:eastAsia="es-ES_tradnl"/>
        </w:rPr>
        <w:t>La Entidad Estatal puede expedir Adendas para modificar el Cronograma una vez vencido el término para la presentación de las ofertas y antes de la adjudicación del contrato.</w:t>
      </w:r>
    </w:p>
    <w:p w14:paraId="4E98A247" w14:textId="77777777" w:rsidR="008A3D05" w:rsidRPr="00807959" w:rsidRDefault="008A3D05" w:rsidP="008A3D05">
      <w:pPr>
        <w:widowControl w:val="0"/>
        <w:autoSpaceDE w:val="0"/>
        <w:autoSpaceDN w:val="0"/>
        <w:spacing w:after="0" w:line="240" w:lineRule="auto"/>
        <w:ind w:left="709" w:right="900"/>
        <w:jc w:val="both"/>
        <w:rPr>
          <w:rFonts w:ascii="Verdana" w:eastAsia="Times New Roman" w:hAnsi="Verdana" w:cs="Arial"/>
          <w:sz w:val="21"/>
          <w:szCs w:val="21"/>
          <w:lang w:val="es-ES" w:eastAsia="es-ES_tradnl"/>
        </w:rPr>
      </w:pPr>
    </w:p>
    <w:p w14:paraId="509658C1" w14:textId="77777777" w:rsidR="008A3D05" w:rsidRPr="00807959" w:rsidRDefault="008A3D05" w:rsidP="008A3D05">
      <w:pPr>
        <w:widowControl w:val="0"/>
        <w:autoSpaceDE w:val="0"/>
        <w:autoSpaceDN w:val="0"/>
        <w:spacing w:after="0" w:line="240" w:lineRule="auto"/>
        <w:ind w:left="709" w:right="900"/>
        <w:jc w:val="both"/>
        <w:rPr>
          <w:rFonts w:ascii="Verdana" w:eastAsia="Times New Roman" w:hAnsi="Verdana" w:cs="Arial"/>
          <w:sz w:val="21"/>
          <w:szCs w:val="21"/>
          <w:lang w:val="es-ES" w:eastAsia="es-ES_tradnl"/>
        </w:rPr>
      </w:pPr>
      <w:r w:rsidRPr="00807959">
        <w:rPr>
          <w:rFonts w:ascii="Verdana" w:eastAsia="Times New Roman" w:hAnsi="Verdana" w:cs="Arial"/>
          <w:sz w:val="21"/>
          <w:szCs w:val="21"/>
          <w:lang w:val="es-ES" w:eastAsia="es-ES_tradnl"/>
        </w:rPr>
        <w:t xml:space="preserve">La Entidad Estatal debe publicar las Adendas en los días hábiles, entre las 7:00 a.m. y las 7:00 p. m., a más tardar el día hábil anterior </w:t>
      </w:r>
      <w:r w:rsidRPr="00807959">
        <w:rPr>
          <w:rFonts w:ascii="Verdana" w:eastAsia="Times New Roman" w:hAnsi="Verdana" w:cs="Arial"/>
          <w:sz w:val="21"/>
          <w:szCs w:val="21"/>
          <w:lang w:val="es-ES" w:eastAsia="es-ES_tradnl"/>
        </w:rPr>
        <w:lastRenderedPageBreak/>
        <w:t>al vencimiento del plazo para presentar ofertas a la hora fijada para tal presentación, salvo en la licitación pública pues de conformidad con la ley la publicación debe hacerse con tres (3) días de anticipación</w:t>
      </w:r>
      <w:r>
        <w:rPr>
          <w:rFonts w:ascii="Verdana" w:eastAsia="Times New Roman" w:hAnsi="Verdana" w:cs="Arial"/>
          <w:sz w:val="21"/>
          <w:szCs w:val="21"/>
          <w:lang w:val="es-ES" w:eastAsia="es-ES_tradnl"/>
        </w:rPr>
        <w:t>”</w:t>
      </w:r>
      <w:r w:rsidRPr="00807959">
        <w:rPr>
          <w:rFonts w:ascii="Verdana" w:eastAsia="Times New Roman" w:hAnsi="Verdana" w:cs="Arial"/>
          <w:sz w:val="21"/>
          <w:szCs w:val="21"/>
          <w:lang w:val="es-ES" w:eastAsia="es-ES_tradnl"/>
        </w:rPr>
        <w:t>.</w:t>
      </w:r>
    </w:p>
    <w:p w14:paraId="32D7D196" w14:textId="77777777" w:rsidR="008A3D05" w:rsidRPr="00807959" w:rsidRDefault="008A3D05" w:rsidP="008A3D05">
      <w:pPr>
        <w:spacing w:after="0" w:line="276" w:lineRule="auto"/>
        <w:ind w:firstLine="709"/>
        <w:jc w:val="both"/>
        <w:rPr>
          <w:rFonts w:ascii="Verdana" w:eastAsia="Calibri" w:hAnsi="Verdana" w:cs="Arial"/>
          <w:color w:val="000000" w:themeColor="text1"/>
        </w:rPr>
      </w:pPr>
    </w:p>
    <w:p w14:paraId="1C90296E" w14:textId="77777777" w:rsidR="008A3D05" w:rsidRPr="00807959" w:rsidRDefault="008A3D05" w:rsidP="008A3D05">
      <w:pPr>
        <w:spacing w:after="120" w:line="276" w:lineRule="auto"/>
        <w:ind w:firstLine="708"/>
        <w:jc w:val="both"/>
        <w:rPr>
          <w:rFonts w:ascii="Verdana" w:eastAsia="Calibri" w:hAnsi="Verdana" w:cs="Arial"/>
          <w:color w:val="000000" w:themeColor="text1"/>
        </w:rPr>
      </w:pPr>
      <w:r w:rsidRPr="00807959">
        <w:rPr>
          <w:rFonts w:ascii="Verdana" w:eastAsia="Calibri" w:hAnsi="Verdana" w:cs="Arial"/>
          <w:color w:val="000000" w:themeColor="text1"/>
        </w:rPr>
        <w:t>De lo anterior se observa que el artículo 2.2.1.1.2.2.1 de Decreto 1082 de 2015 dispone que la entidad estatal puede expedir adendas para modificar el cronograma una vez vencido el término para la presentación de las ofertas y antes de la adjudicación del contrato. La interpretación de esta norma supone que pueden dar lugar a la expedición de adendas al cronograma del proceso de selección una vez vencido el plazo para la recepción de ofertas y antes de la adjudicación del contrato, en las que solo se permite modificar los plazos de las etapas siguientes.</w:t>
      </w:r>
    </w:p>
    <w:p w14:paraId="619234CE" w14:textId="77777777" w:rsidR="008A3D05" w:rsidRDefault="008A3D05" w:rsidP="008A3D05">
      <w:pPr>
        <w:spacing w:after="120" w:line="276" w:lineRule="auto"/>
        <w:ind w:firstLine="708"/>
        <w:jc w:val="both"/>
        <w:rPr>
          <w:rFonts w:ascii="Verdana" w:eastAsia="Calibri" w:hAnsi="Verdana" w:cs="Arial"/>
          <w:color w:val="000000" w:themeColor="text1"/>
        </w:rPr>
      </w:pPr>
      <w:r w:rsidRPr="00807959">
        <w:rPr>
          <w:rFonts w:ascii="Verdana" w:eastAsia="Calibri" w:hAnsi="Verdana" w:cs="Arial"/>
          <w:color w:val="000000" w:themeColor="text1"/>
        </w:rPr>
        <w:t xml:space="preserve">Así las cosas, se puede concluir que las entidades estatales pueden modificar el cronograma mediante adendas en dos momentos: i) antes del vencimiento del plazo para presentar ofertas, pues se entiende que el cronograma hace parte integral del pliego de condiciones, y ii) una vez vencido el término para la presentación de ofertas y antes de la adjudicación del contrato. Al respecto, resulta del caso precisar que cada modalidad de selección tiene establecido un procedimiento propio que rige su estructuración y, en este sentido, las etapas y el acto final del proceso de selección dependerá de cada modalidad de selección. </w:t>
      </w:r>
    </w:p>
    <w:p w14:paraId="4100A67E" w14:textId="77777777" w:rsidR="008A3D05" w:rsidRPr="00D3617A" w:rsidRDefault="008A3D05" w:rsidP="008A3D05">
      <w:pPr>
        <w:spacing w:after="120" w:line="276" w:lineRule="auto"/>
        <w:ind w:firstLine="708"/>
        <w:jc w:val="both"/>
        <w:rPr>
          <w:rFonts w:ascii="Verdana" w:eastAsia="Calibri" w:hAnsi="Verdana" w:cs="Arial"/>
          <w:color w:val="000000" w:themeColor="text1"/>
        </w:rPr>
      </w:pPr>
      <w:r w:rsidRPr="00D3617A">
        <w:rPr>
          <w:rFonts w:ascii="Verdana" w:eastAsia="Calibri" w:hAnsi="Verdana" w:cs="Arial"/>
          <w:color w:val="000000" w:themeColor="text1"/>
        </w:rPr>
        <w:t xml:space="preserve">Otros límites temporales para la expedición y publicación de las adendas son los siguientes: i) es necesario que las mismas se publiquen entre las 7:00 am y las 7:00 pm de un día hábil; ii) esta publicación debe realizarse a más tardar el día hábil anterior al vencimiento del plazo para presentar ofertas </w:t>
      </w:r>
      <w:r>
        <w:rPr>
          <w:rFonts w:ascii="Verdana" w:eastAsia="Calibri" w:hAnsi="Verdana" w:cs="Arial"/>
          <w:color w:val="000000" w:themeColor="text1"/>
        </w:rPr>
        <w:t>“</w:t>
      </w:r>
      <w:r w:rsidRPr="00D3617A">
        <w:rPr>
          <w:rFonts w:ascii="Verdana" w:eastAsia="Calibri" w:hAnsi="Verdana" w:cs="Arial"/>
          <w:color w:val="000000" w:themeColor="text1"/>
        </w:rPr>
        <w:t>a la hora fijada para tal presentación</w:t>
      </w:r>
      <w:r>
        <w:rPr>
          <w:rFonts w:ascii="Verdana" w:eastAsia="Calibri" w:hAnsi="Verdana" w:cs="Arial"/>
          <w:color w:val="000000" w:themeColor="text1"/>
        </w:rPr>
        <w:t>”</w:t>
      </w:r>
      <w:r w:rsidRPr="00D3617A">
        <w:rPr>
          <w:rFonts w:ascii="Verdana" w:eastAsia="Calibri" w:hAnsi="Verdana" w:cs="Arial"/>
          <w:color w:val="000000" w:themeColor="text1"/>
        </w:rPr>
        <w:t>; (iii) cuando se trate de licitación pública, según el artículo 30-5 de la Ley 80 de 1993 las adendas no podrán expedirse dentro de los tres (3) días hábiles anteriores en que se tiene previsto el cierre del proceso de selección, sino que deberán expedirse antes de dicho momento.</w:t>
      </w:r>
    </w:p>
    <w:p w14:paraId="50FFF994" w14:textId="77777777" w:rsidR="008A3D05" w:rsidRDefault="008A3D05" w:rsidP="008A3D05">
      <w:pPr>
        <w:spacing w:after="120" w:line="276" w:lineRule="auto"/>
        <w:ind w:firstLine="708"/>
        <w:jc w:val="both"/>
        <w:rPr>
          <w:rFonts w:ascii="Verdana" w:eastAsia="Calibri" w:hAnsi="Verdana" w:cs="Arial"/>
          <w:color w:val="000000" w:themeColor="text1"/>
        </w:rPr>
      </w:pPr>
      <w:r>
        <w:rPr>
          <w:rFonts w:ascii="Verdana" w:eastAsia="Calibri" w:hAnsi="Verdana" w:cs="Arial"/>
          <w:color w:val="000000" w:themeColor="text1"/>
        </w:rPr>
        <w:t xml:space="preserve">Si bien </w:t>
      </w:r>
      <w:r w:rsidRPr="00807959">
        <w:rPr>
          <w:rFonts w:ascii="Verdana" w:eastAsia="Calibri" w:hAnsi="Verdana" w:cs="Arial"/>
          <w:color w:val="000000" w:themeColor="text1"/>
        </w:rPr>
        <w:t>el artículo 2.2.1.1.2.2.1 de Decreto 1082 de 2015</w:t>
      </w:r>
      <w:r>
        <w:rPr>
          <w:rFonts w:ascii="Verdana" w:eastAsia="Calibri" w:hAnsi="Verdana" w:cs="Arial"/>
          <w:color w:val="000000" w:themeColor="text1"/>
        </w:rPr>
        <w:t xml:space="preserve"> no determina unas reglas concretas en relación con el plazo para la expedición de adendas al cronograma después del cierre del proceso y antes de la adjudicación del contrato, lo cierto es que estas únicamente podrán modificar los plazos de las etapas establecidas antes de su vencimiento y no después de este. Ello debido a que al culminar el plazo señalado en el cronograma se inicia la etapa subsiguiente y </w:t>
      </w:r>
      <w:r w:rsidRPr="00053F8D">
        <w:rPr>
          <w:rFonts w:ascii="Verdana" w:eastAsia="Calibri" w:hAnsi="Verdana" w:cs="Arial"/>
          <w:color w:val="000000" w:themeColor="text1"/>
        </w:rPr>
        <w:t>la entidad estatal no p</w:t>
      </w:r>
      <w:r>
        <w:rPr>
          <w:rFonts w:ascii="Verdana" w:eastAsia="Calibri" w:hAnsi="Verdana" w:cs="Arial"/>
          <w:color w:val="000000" w:themeColor="text1"/>
        </w:rPr>
        <w:t>odría</w:t>
      </w:r>
      <w:r w:rsidRPr="00053F8D">
        <w:rPr>
          <w:rFonts w:ascii="Verdana" w:eastAsia="Calibri" w:hAnsi="Verdana" w:cs="Arial"/>
          <w:color w:val="000000" w:themeColor="text1"/>
        </w:rPr>
        <w:t xml:space="preserve"> volver sobre </w:t>
      </w:r>
      <w:r>
        <w:rPr>
          <w:rFonts w:ascii="Verdana" w:eastAsia="Calibri" w:hAnsi="Verdana" w:cs="Arial"/>
          <w:color w:val="000000" w:themeColor="text1"/>
        </w:rPr>
        <w:t>la fase agotada.</w:t>
      </w:r>
      <w:r w:rsidRPr="00053F8D">
        <w:rPr>
          <w:rFonts w:ascii="Verdana" w:eastAsia="Calibri" w:hAnsi="Verdana" w:cs="Arial"/>
          <w:color w:val="000000" w:themeColor="text1"/>
        </w:rPr>
        <w:t xml:space="preserve"> </w:t>
      </w:r>
    </w:p>
    <w:p w14:paraId="07167963" w14:textId="77777777" w:rsidR="008A3D05" w:rsidRDefault="008A3D05" w:rsidP="008A3D05">
      <w:pPr>
        <w:spacing w:after="120" w:line="276" w:lineRule="auto"/>
        <w:ind w:firstLine="708"/>
        <w:jc w:val="both"/>
        <w:rPr>
          <w:rFonts w:ascii="Verdana" w:eastAsia="Calibri" w:hAnsi="Verdana" w:cs="Arial"/>
          <w:color w:val="000000" w:themeColor="text1"/>
        </w:rPr>
      </w:pPr>
      <w:r>
        <w:rPr>
          <w:rFonts w:ascii="Verdana" w:eastAsia="Calibri" w:hAnsi="Verdana" w:cs="Arial"/>
          <w:color w:val="000000" w:themeColor="text1"/>
        </w:rPr>
        <w:lastRenderedPageBreak/>
        <w:t>Lo anterior encuentra sustento en el principio de economía señalado en el artículo 25 de la Ley 80 de 1993, cuyo numeral primero indica</w:t>
      </w:r>
      <w:r w:rsidRPr="00A3035C">
        <w:rPr>
          <w:rFonts w:ascii="Verdana" w:eastAsia="Calibri" w:hAnsi="Verdana" w:cs="Arial"/>
          <w:color w:val="000000" w:themeColor="text1"/>
        </w:rPr>
        <w:t xml:space="preserve"> </w:t>
      </w:r>
      <w:r>
        <w:rPr>
          <w:rFonts w:ascii="Verdana" w:eastAsia="Calibri" w:hAnsi="Verdana" w:cs="Arial"/>
          <w:color w:val="000000" w:themeColor="text1"/>
        </w:rPr>
        <w:t xml:space="preserve">que </w:t>
      </w:r>
      <w:r w:rsidRPr="00A3035C">
        <w:rPr>
          <w:rFonts w:ascii="Verdana" w:eastAsia="Calibri" w:hAnsi="Verdana" w:cs="Arial"/>
          <w:color w:val="000000" w:themeColor="text1"/>
        </w:rPr>
        <w:t>se cumplirán y establecerán los procedimientos y etapas estrictamente necesarios para asegurar la selección objetiva de la propuesta más favorable</w:t>
      </w:r>
      <w:r>
        <w:rPr>
          <w:rFonts w:ascii="Verdana" w:eastAsia="Calibri" w:hAnsi="Verdana" w:cs="Arial"/>
          <w:color w:val="000000" w:themeColor="text1"/>
        </w:rPr>
        <w:t xml:space="preserve">, por lo que </w:t>
      </w:r>
      <w:r w:rsidRPr="00A3035C">
        <w:rPr>
          <w:rFonts w:ascii="Verdana" w:eastAsia="Calibri" w:hAnsi="Verdana" w:cs="Arial"/>
          <w:color w:val="000000" w:themeColor="text1"/>
        </w:rPr>
        <w:t>se señalarán términos preclusivos y perentorios para las diferentes etapas de la selección</w:t>
      </w:r>
      <w:r>
        <w:rPr>
          <w:rFonts w:ascii="Verdana" w:eastAsia="Calibri" w:hAnsi="Verdana" w:cs="Arial"/>
          <w:color w:val="000000" w:themeColor="text1"/>
        </w:rPr>
        <w:t xml:space="preserve">. En virtud de este principio, </w:t>
      </w:r>
      <w:r w:rsidRPr="0034249E">
        <w:rPr>
          <w:rFonts w:ascii="Verdana" w:eastAsia="Calibri" w:hAnsi="Verdana" w:cs="Arial"/>
          <w:color w:val="000000" w:themeColor="text1"/>
        </w:rPr>
        <w:t>las partes del proceso de contratación, así como los funcionarios públicos, se encuentran obligados a respetar y acatar tales etapas y términos, sin que puedan desconocerlos o pasarlos por alto</w:t>
      </w:r>
      <w:r>
        <w:rPr>
          <w:rFonts w:ascii="Verdana" w:eastAsia="Calibri" w:hAnsi="Verdana" w:cs="Arial"/>
          <w:color w:val="000000" w:themeColor="text1"/>
        </w:rPr>
        <w:t xml:space="preserve">. </w:t>
      </w:r>
    </w:p>
    <w:p w14:paraId="043B7D8C" w14:textId="77777777" w:rsidR="008A3D05" w:rsidRPr="007830F7" w:rsidRDefault="008A3D05" w:rsidP="008A3D05">
      <w:pPr>
        <w:spacing w:after="120" w:line="276" w:lineRule="auto"/>
        <w:ind w:firstLine="708"/>
        <w:jc w:val="both"/>
        <w:rPr>
          <w:rFonts w:ascii="Verdana" w:hAnsi="Verdana" w:cs="Arial"/>
          <w:color w:val="000000" w:themeColor="text1"/>
        </w:rPr>
      </w:pPr>
      <w:r>
        <w:rPr>
          <w:rFonts w:ascii="Verdana" w:eastAsia="Calibri" w:hAnsi="Verdana" w:cs="Arial"/>
          <w:color w:val="000000" w:themeColor="text1"/>
        </w:rPr>
        <w:t xml:space="preserve">Adicionalmente, hay normas específicas del EGCAP que establecen la facultad de prorrogar plazos de algunas etapas del proceso, pero en todo caso estos deben efectuarse antes de su vencimiento. Por ejemplo, </w:t>
      </w:r>
      <w:r>
        <w:rPr>
          <w:rFonts w:ascii="Verdana" w:hAnsi="Verdana" w:cs="Arial"/>
          <w:color w:val="000000" w:themeColor="text1"/>
        </w:rPr>
        <w:t>e</w:t>
      </w:r>
      <w:r w:rsidRPr="000631C9">
        <w:rPr>
          <w:rFonts w:ascii="Verdana" w:hAnsi="Verdana" w:cs="Arial"/>
          <w:color w:val="000000" w:themeColor="text1"/>
        </w:rPr>
        <w:t xml:space="preserve">l numeral </w:t>
      </w:r>
      <w:r>
        <w:rPr>
          <w:rFonts w:ascii="Verdana" w:hAnsi="Verdana" w:cs="Arial"/>
          <w:color w:val="000000" w:themeColor="text1"/>
        </w:rPr>
        <w:t xml:space="preserve">5 de </w:t>
      </w:r>
      <w:r w:rsidRPr="000631C9">
        <w:rPr>
          <w:rFonts w:ascii="Verdana" w:hAnsi="Verdana" w:cs="Arial"/>
          <w:color w:val="000000" w:themeColor="text1"/>
        </w:rPr>
        <w:t xml:space="preserve">artículo 30 de la Ley 80 de 1993 </w:t>
      </w:r>
      <w:r>
        <w:rPr>
          <w:rFonts w:ascii="Verdana" w:hAnsi="Verdana" w:cs="Arial"/>
          <w:color w:val="000000" w:themeColor="text1"/>
        </w:rPr>
        <w:t xml:space="preserve">señala que </w:t>
      </w:r>
      <w:r w:rsidRPr="00D1060E">
        <w:rPr>
          <w:rFonts w:ascii="Verdana" w:hAnsi="Verdana" w:cs="Arial"/>
          <w:color w:val="000000" w:themeColor="text1"/>
        </w:rPr>
        <w:t>la entidad, de oficio o a solicitud de un número plural de posibles oferentes,</w:t>
      </w:r>
      <w:r>
        <w:rPr>
          <w:rFonts w:ascii="Verdana" w:hAnsi="Verdana" w:cs="Arial"/>
          <w:color w:val="000000" w:themeColor="text1"/>
        </w:rPr>
        <w:t xml:space="preserve"> </w:t>
      </w:r>
      <w:r w:rsidRPr="00D1060E">
        <w:rPr>
          <w:rFonts w:ascii="Verdana" w:hAnsi="Verdana" w:cs="Arial"/>
          <w:color w:val="000000" w:themeColor="text1"/>
        </w:rPr>
        <w:t>podrá prorrogar</w:t>
      </w:r>
      <w:r>
        <w:rPr>
          <w:rFonts w:ascii="Verdana" w:hAnsi="Verdana" w:cs="Arial"/>
          <w:color w:val="000000" w:themeColor="text1"/>
        </w:rPr>
        <w:t xml:space="preserve"> el plazo para el cierre del proceso </w:t>
      </w:r>
      <w:r w:rsidRPr="00D1060E">
        <w:rPr>
          <w:rFonts w:ascii="Verdana" w:hAnsi="Verdana" w:cs="Arial"/>
          <w:color w:val="000000" w:themeColor="text1"/>
        </w:rPr>
        <w:t>antes de su vencimiento, por un término no superior a la mitad del inicialmente fijado</w:t>
      </w:r>
      <w:r>
        <w:rPr>
          <w:rFonts w:ascii="Verdana" w:hAnsi="Verdana" w:cs="Arial"/>
          <w:color w:val="000000" w:themeColor="text1"/>
        </w:rPr>
        <w:t xml:space="preserve">. De igual manera, el numeral </w:t>
      </w:r>
      <w:r w:rsidRPr="000631C9">
        <w:rPr>
          <w:rFonts w:ascii="Verdana" w:hAnsi="Verdana" w:cs="Arial"/>
          <w:color w:val="000000" w:themeColor="text1"/>
        </w:rPr>
        <w:t xml:space="preserve">9 </w:t>
      </w:r>
      <w:r w:rsidRPr="00B74B61">
        <w:rPr>
          <w:rFonts w:ascii="Verdana" w:hAnsi="Verdana" w:cs="Arial"/>
          <w:i/>
          <w:iCs/>
          <w:color w:val="000000" w:themeColor="text1"/>
        </w:rPr>
        <w:t>ibidem</w:t>
      </w:r>
      <w:r>
        <w:rPr>
          <w:rFonts w:ascii="Verdana" w:hAnsi="Verdana" w:cs="Arial"/>
          <w:color w:val="000000" w:themeColor="text1"/>
        </w:rPr>
        <w:t xml:space="preserve"> </w:t>
      </w:r>
      <w:r w:rsidRPr="000631C9">
        <w:rPr>
          <w:rFonts w:ascii="Verdana" w:hAnsi="Verdana" w:cs="Arial"/>
          <w:color w:val="000000" w:themeColor="text1"/>
        </w:rPr>
        <w:t xml:space="preserve">permite al jefe de la entidad prorrogar el plazo para efectuar la adjudicación, y para la firma del contrato, pero dentro de una oportunidad específica, y fijó un tope máximo de tiempo: i) </w:t>
      </w:r>
      <w:r w:rsidRPr="009D3954">
        <w:rPr>
          <w:rFonts w:ascii="Verdana" w:hAnsi="Verdana" w:cs="Arial"/>
          <w:color w:val="000000" w:themeColor="text1"/>
        </w:rPr>
        <w:t>antes del vencimiento de dichos plazos</w:t>
      </w:r>
      <w:r w:rsidRPr="000631C9">
        <w:rPr>
          <w:rFonts w:ascii="Verdana" w:hAnsi="Verdana" w:cs="Arial"/>
          <w:color w:val="000000" w:themeColor="text1"/>
        </w:rPr>
        <w:t xml:space="preserve"> y por </w:t>
      </w:r>
      <w:r w:rsidRPr="005B2A9A">
        <w:rPr>
          <w:rFonts w:ascii="Verdana" w:hAnsi="Verdana" w:cs="Arial"/>
          <w:color w:val="000000" w:themeColor="text1"/>
        </w:rPr>
        <w:t>un término no mayor a la mitad del inicialmente fijado,</w:t>
      </w:r>
      <w:r w:rsidRPr="000631C9">
        <w:rPr>
          <w:rFonts w:ascii="Verdana" w:hAnsi="Verdana" w:cs="Arial"/>
          <w:color w:val="000000" w:themeColor="text1"/>
        </w:rPr>
        <w:t xml:space="preserve"> cuando las necesidades de la Administración lo requieran</w:t>
      </w:r>
      <w:r w:rsidRPr="0007375E">
        <w:rPr>
          <w:rFonts w:ascii="Verdana" w:hAnsi="Verdana" w:cs="Arial"/>
          <w:i/>
          <w:iCs/>
          <w:color w:val="000000" w:themeColor="text1"/>
        </w:rPr>
        <w:t xml:space="preserve">. </w:t>
      </w:r>
    </w:p>
    <w:p w14:paraId="794C0845" w14:textId="77777777" w:rsidR="008A3D05" w:rsidRDefault="008A3D05" w:rsidP="008A3D05">
      <w:pPr>
        <w:spacing w:after="120" w:line="276" w:lineRule="auto"/>
        <w:ind w:firstLine="708"/>
        <w:jc w:val="both"/>
        <w:rPr>
          <w:rFonts w:ascii="Verdana" w:eastAsia="Calibri" w:hAnsi="Verdana" w:cs="Arial"/>
          <w:color w:val="000000" w:themeColor="text1"/>
        </w:rPr>
      </w:pPr>
      <w:r>
        <w:rPr>
          <w:rFonts w:ascii="Verdana" w:eastAsia="Calibri" w:hAnsi="Verdana" w:cs="Arial"/>
          <w:color w:val="000000" w:themeColor="text1"/>
        </w:rPr>
        <w:t xml:space="preserve">De esta manera, </w:t>
      </w:r>
      <w:r w:rsidRPr="000C2B25">
        <w:rPr>
          <w:rFonts w:ascii="Verdana" w:hAnsi="Verdana" w:cs="Arial"/>
          <w:color w:val="000000" w:themeColor="text1"/>
          <w:lang w:val="es-ES"/>
        </w:rPr>
        <w:t>el proceso de contratación estatal debe adelantarse dentro de unas etapas determinadas y respetando los términos procesales establecidos por la ley o el reglamento o los que determine la entidad contratante</w:t>
      </w:r>
      <w:r>
        <w:rPr>
          <w:rFonts w:ascii="Verdana" w:hAnsi="Verdana" w:cs="Arial"/>
          <w:color w:val="000000" w:themeColor="text1"/>
          <w:lang w:val="es-ES"/>
        </w:rPr>
        <w:t xml:space="preserve">, </w:t>
      </w:r>
      <w:r>
        <w:rPr>
          <w:rFonts w:ascii="Verdana" w:eastAsia="Calibri" w:hAnsi="Verdana" w:cs="Arial"/>
          <w:color w:val="000000" w:themeColor="text1"/>
        </w:rPr>
        <w:t xml:space="preserve">sin perjuicio de la facultad de modificarlos o prorrogarlos mediante adenda antes del vencimiento del plazo señalado. No obstante, es pertinente indicar que esta facultad de modificación del cronograma no puede ser empleada de forma desproporcionada e injustificada por la entidad, de tal manera que se extiendan las etapas del proceso de contratación arbitrariamente en contravía de los principios de economía, de transparencia y de planeación.  </w:t>
      </w:r>
    </w:p>
    <w:p w14:paraId="74E649E8" w14:textId="77777777" w:rsidR="008A3D05" w:rsidRDefault="008A3D05" w:rsidP="008A3D05">
      <w:pPr>
        <w:spacing w:after="120" w:line="276" w:lineRule="auto"/>
        <w:ind w:firstLine="708"/>
        <w:jc w:val="both"/>
        <w:rPr>
          <w:rFonts w:ascii="Verdana" w:eastAsia="Calibri" w:hAnsi="Verdana" w:cs="Arial"/>
          <w:color w:val="000000" w:themeColor="text1"/>
        </w:rPr>
      </w:pPr>
      <w:r>
        <w:rPr>
          <w:rFonts w:ascii="Verdana" w:eastAsia="Calibri" w:hAnsi="Verdana" w:cs="Arial"/>
          <w:color w:val="000000" w:themeColor="text1"/>
        </w:rPr>
        <w:t>Conforme a los principios señalados, en los procesos de contratación se deben adelantar l</w:t>
      </w:r>
      <w:r w:rsidRPr="002A0E68">
        <w:rPr>
          <w:rFonts w:ascii="Verdana" w:eastAsia="Calibri" w:hAnsi="Verdana" w:cs="Arial"/>
          <w:color w:val="000000" w:themeColor="text1"/>
        </w:rPr>
        <w:t>os trámites con austeridad de tiempo, medios y gastos</w:t>
      </w:r>
      <w:r>
        <w:rPr>
          <w:rFonts w:ascii="Verdana" w:eastAsia="Calibri" w:hAnsi="Verdana" w:cs="Arial"/>
          <w:color w:val="000000" w:themeColor="text1"/>
        </w:rPr>
        <w:t xml:space="preserve">, se deberá asegurar la selección objetiva de los proponentes mediante la determinación de reglas objetivas y claras y se deberá establecer los tiempos de las etapas del proceso de contratación en atención a las necesidades que pretende satisfacer la entidad. De este modo, no resulta coherente con los principios de contratación pública que se extiendan los plazos de una etapa del </w:t>
      </w:r>
      <w:r>
        <w:rPr>
          <w:rFonts w:ascii="Verdana" w:eastAsia="Calibri" w:hAnsi="Verdana" w:cs="Arial"/>
          <w:color w:val="000000" w:themeColor="text1"/>
        </w:rPr>
        <w:lastRenderedPageBreak/>
        <w:t xml:space="preserve">proceso de contratación de forma ilimitada sin atender unos parámetros mínimos de adecuación y proporcionalidad con base en los principios mencionados. </w:t>
      </w:r>
    </w:p>
    <w:p w14:paraId="41AE3973" w14:textId="77777777" w:rsidR="008A3D05" w:rsidRDefault="008A3D05" w:rsidP="008A3D05">
      <w:pPr>
        <w:spacing w:after="120" w:line="276" w:lineRule="auto"/>
        <w:ind w:firstLine="708"/>
        <w:jc w:val="both"/>
        <w:rPr>
          <w:rFonts w:ascii="Verdana" w:eastAsia="Calibri" w:hAnsi="Verdana" w:cs="Arial"/>
          <w:color w:val="000000" w:themeColor="text1"/>
        </w:rPr>
      </w:pPr>
      <w:r>
        <w:rPr>
          <w:rFonts w:ascii="Verdana" w:eastAsia="Calibri" w:hAnsi="Verdana" w:cs="Arial"/>
          <w:color w:val="000000" w:themeColor="text1"/>
        </w:rPr>
        <w:t xml:space="preserve">En conclusión, para la expedición de adendas al cronograma después del cierre del proceso y antes de la adjudicación del contrato, la entidad deberá tener en cuenta que únicamente se podrán modificar dichos plazos antes de su vencimiento y que se deberán atender a parámetros de proporcionalidad y adecuación, de tal manera que no podrán prorrogar de manera ilimitada e injustificada una etapa de contratación. </w:t>
      </w:r>
    </w:p>
    <w:p w14:paraId="53DEC778" w14:textId="77777777" w:rsidR="008A3D05" w:rsidRDefault="008A3D05" w:rsidP="008A3D05">
      <w:pPr>
        <w:spacing w:after="120" w:line="276" w:lineRule="auto"/>
        <w:ind w:firstLine="708"/>
        <w:jc w:val="both"/>
        <w:rPr>
          <w:rFonts w:ascii="Verdana" w:eastAsia="Century Gothic" w:hAnsi="Verdana" w:cs="Century Gothic"/>
        </w:rPr>
      </w:pPr>
      <w:r>
        <w:rPr>
          <w:rFonts w:ascii="Verdana" w:eastAsia="Calibri" w:hAnsi="Verdana" w:cs="Arial"/>
          <w:color w:val="000000" w:themeColor="text1"/>
        </w:rPr>
        <w:t xml:space="preserve">De otro lado, teniendo en cuenta que la consulta planteada redunda en torno </w:t>
      </w:r>
      <w:r w:rsidRPr="00EF45CD">
        <w:rPr>
          <w:rFonts w:ascii="Verdana" w:eastAsia="Century Gothic" w:hAnsi="Verdana" w:cs="Century Gothic"/>
        </w:rPr>
        <w:t>la regla de subsanabilidad en procedimientos en que se utilice el mecanismo de subasta</w:t>
      </w:r>
      <w:r>
        <w:rPr>
          <w:rFonts w:ascii="Verdana" w:eastAsia="Century Gothic" w:hAnsi="Verdana" w:cs="Century Gothic"/>
        </w:rPr>
        <w:t>, vale la pena abordar el alcance de la regla de subsanabilidad de las ofertas:</w:t>
      </w:r>
    </w:p>
    <w:p w14:paraId="24972681" w14:textId="77777777" w:rsidR="008A3D05" w:rsidRPr="00C64261" w:rsidRDefault="008A3D05" w:rsidP="008A3D05">
      <w:pPr>
        <w:spacing w:after="120" w:line="276" w:lineRule="auto"/>
        <w:ind w:firstLine="708"/>
        <w:jc w:val="both"/>
        <w:rPr>
          <w:rFonts w:ascii="Verdana" w:eastAsia="Quattrocento Sans" w:hAnsi="Verdana" w:cs="Quattrocento Sans"/>
          <w:color w:val="000000"/>
        </w:rPr>
      </w:pPr>
      <w:r w:rsidRPr="00C64261">
        <w:rPr>
          <w:rFonts w:ascii="Verdana" w:eastAsia="Arial" w:hAnsi="Verdana" w:cs="Arial"/>
          <w:color w:val="000000"/>
        </w:rPr>
        <w:t>Esta Subdirección se ha pronunciado en diversas oportunidades acerca del alcance de la regla de la subsanabilidad, contenida actualmente en el artículo 5 de la Ley 1150 de 2007. Al respecto, la postura que se reitera en el presente concepto es la siguiente: por regla general, son subsanables i) la falta de entrega o ii) los defectos de los requisitos habilitantes. La excepción se encuentra en los casos, previstos en la ley, que limitan la subsanabilidad, es decir, en la prohibición de permitir la entrega de la garantía de seriedad de la oferta que no fue aportada con la propuesta y de valer la acreditación de circunstancias ocurridas con posterioridad al cierre del proceso.  </w:t>
      </w:r>
    </w:p>
    <w:p w14:paraId="55ACE985" w14:textId="77777777" w:rsidR="008A3D05" w:rsidRPr="00C64261" w:rsidRDefault="008A3D05" w:rsidP="008A3D05">
      <w:pPr>
        <w:spacing w:after="120" w:line="276" w:lineRule="auto"/>
        <w:ind w:firstLine="709"/>
        <w:jc w:val="both"/>
        <w:rPr>
          <w:rFonts w:ascii="Verdana" w:hAnsi="Verdana" w:cs="Arial"/>
          <w:lang w:val="es-ES_tradnl"/>
        </w:rPr>
      </w:pPr>
      <w:r w:rsidRPr="00C64261">
        <w:rPr>
          <w:rFonts w:ascii="Verdana" w:hAnsi="Verdana" w:cs="Arial"/>
          <w:lang w:val="es-ES_tradnl"/>
        </w:rPr>
        <w:t>Sobre este aspecto, debe resaltarse que la posibilidad de enmendar, corregir o subsanar los errores en los que se incurre en los documentos contentivos de la oferta es un tema que ha tenido diferentes momentos o etapas en el ordenamiento jurídico colombiano</w:t>
      </w:r>
      <w:r w:rsidRPr="00C64261">
        <w:rPr>
          <w:rFonts w:ascii="Verdana" w:eastAsia="Arial" w:hAnsi="Verdana" w:cs="Arial"/>
          <w:color w:val="000000"/>
        </w:rPr>
        <w:t xml:space="preserve">. En un </w:t>
      </w:r>
      <w:r w:rsidRPr="00C64261">
        <w:rPr>
          <w:rFonts w:ascii="Verdana" w:eastAsia="Arial" w:hAnsi="Verdana" w:cs="Arial"/>
          <w:i/>
          <w:color w:val="000000"/>
        </w:rPr>
        <w:t>primer momento</w:t>
      </w:r>
      <w:r w:rsidRPr="00C64261">
        <w:rPr>
          <w:rFonts w:ascii="Verdana" w:eastAsia="Arial" w:hAnsi="Verdana" w:cs="Arial"/>
          <w:color w:val="000000"/>
        </w:rPr>
        <w:t xml:space="preserve">, antes de expedirse la Constitución Política de 1991, el régimen jurídico de la subsanabilidad de las ofertas estaba compuesto por el Decreto-ley 150 de 1976 y el Decreto-ley 222 de 1983. Bajo el imperio de estas normas, la posibilidad de subsanar errores era prácticamente inexistente, debido al excesivo formalismo procedimental que irradiaba la actuación administrativa. En este contexto, por ejemplo, no era extraordinario que una oferta fuera rechazada por no aportar una copia de esta. </w:t>
      </w:r>
    </w:p>
    <w:p w14:paraId="6587782B" w14:textId="77777777" w:rsidR="008A3D05" w:rsidRPr="00C64261" w:rsidRDefault="008A3D05" w:rsidP="008A3D05">
      <w:pPr>
        <w:spacing w:after="0" w:line="276" w:lineRule="auto"/>
        <w:ind w:firstLine="709"/>
        <w:jc w:val="both"/>
        <w:rPr>
          <w:rFonts w:ascii="Verdana" w:hAnsi="Verdana"/>
        </w:rPr>
      </w:pPr>
      <w:r w:rsidRPr="00C64261">
        <w:rPr>
          <w:rFonts w:ascii="Verdana" w:eastAsia="Arial" w:hAnsi="Verdana" w:cs="Arial"/>
          <w:color w:val="000000"/>
        </w:rPr>
        <w:t xml:space="preserve">En un </w:t>
      </w:r>
      <w:r w:rsidRPr="00C64261">
        <w:rPr>
          <w:rFonts w:ascii="Verdana" w:eastAsia="Arial" w:hAnsi="Verdana" w:cs="Arial"/>
          <w:i/>
          <w:color w:val="000000"/>
        </w:rPr>
        <w:t>segundo momento</w:t>
      </w:r>
      <w:r w:rsidRPr="00C64261">
        <w:rPr>
          <w:rFonts w:ascii="Verdana" w:eastAsia="Arial" w:hAnsi="Verdana" w:cs="Arial"/>
          <w:color w:val="000000"/>
        </w:rPr>
        <w:t xml:space="preserve"> se expidió la Ley 80 de 1993, bajo el paradigma que supuso la Constitución de 1991, particularmente en la forma como se relaciona lo formal y lo sustancial en las actuaciones judiciales y administrativas. Este cambio ideológico quedó consignado en el artículo 228, que introdujo el </w:t>
      </w:r>
      <w:r w:rsidRPr="00C64261">
        <w:rPr>
          <w:rFonts w:ascii="Verdana" w:eastAsia="Arial" w:hAnsi="Verdana" w:cs="Arial"/>
          <w:color w:val="000000"/>
        </w:rPr>
        <w:lastRenderedPageBreak/>
        <w:t xml:space="preserve">principio de supremacía o prevalencia del derecho sustancial sobre el procedimental. En este nuevo escenario constitucional, el numeral 15 del artículo 25 de la Ley 80 de 1993 dispuso lo siguiente: </w:t>
      </w:r>
    </w:p>
    <w:p w14:paraId="1919F632" w14:textId="77777777" w:rsidR="008A3D05" w:rsidRPr="00C64261" w:rsidRDefault="008A3D05" w:rsidP="008A3D05">
      <w:pPr>
        <w:spacing w:after="0" w:line="276" w:lineRule="auto"/>
        <w:jc w:val="both"/>
        <w:rPr>
          <w:rFonts w:ascii="Verdana" w:eastAsia="Arial" w:hAnsi="Verdana" w:cs="Arial"/>
          <w:color w:val="000000"/>
        </w:rPr>
      </w:pPr>
    </w:p>
    <w:p w14:paraId="14069736" w14:textId="77777777" w:rsidR="008A3D05" w:rsidRPr="00075E11" w:rsidRDefault="008A3D05" w:rsidP="008A3D05">
      <w:pPr>
        <w:spacing w:after="0" w:line="240" w:lineRule="auto"/>
        <w:ind w:left="709" w:right="709"/>
        <w:jc w:val="both"/>
        <w:rPr>
          <w:rFonts w:ascii="Verdana" w:eastAsia="Arial" w:hAnsi="Verdana" w:cs="Arial"/>
          <w:color w:val="000000"/>
          <w:sz w:val="21"/>
          <w:szCs w:val="21"/>
        </w:rPr>
      </w:pPr>
      <w:r w:rsidRPr="00075E11">
        <w:rPr>
          <w:rFonts w:ascii="Verdana" w:eastAsia="Arial" w:hAnsi="Verdana" w:cs="Arial"/>
          <w:color w:val="000000"/>
          <w:sz w:val="21"/>
          <w:szCs w:val="21"/>
        </w:rPr>
        <w:t xml:space="preserve">“15. Las autoridades no exigirán sellos, autenticaciones, documentos originales o autenticados, reconocimientos de firmas, traducciones oficiales, ni cualquier otra clase de formalidades o exigencias rituales, salvo cuando en forma perentoria y expresa lo exijan leyes especiales. </w:t>
      </w:r>
    </w:p>
    <w:p w14:paraId="5BE3AB30" w14:textId="77777777" w:rsidR="008A3D05" w:rsidRPr="00075E11" w:rsidRDefault="008A3D05" w:rsidP="008A3D05">
      <w:pPr>
        <w:spacing w:after="0" w:line="240" w:lineRule="auto"/>
        <w:ind w:left="709" w:right="709"/>
        <w:jc w:val="both"/>
        <w:rPr>
          <w:rFonts w:ascii="Verdana" w:eastAsia="Arial" w:hAnsi="Verdana" w:cs="Arial"/>
          <w:color w:val="000000"/>
          <w:sz w:val="21"/>
          <w:szCs w:val="21"/>
        </w:rPr>
      </w:pPr>
      <w:r w:rsidRPr="00075E11">
        <w:rPr>
          <w:rFonts w:ascii="Verdana" w:eastAsia="Arial" w:hAnsi="Verdana" w:cs="Arial"/>
          <w:color w:val="000000"/>
          <w:sz w:val="21"/>
          <w:szCs w:val="21"/>
        </w:rPr>
        <w:t xml:space="preserve">La ausencia de requisitos o la falta de documentos referentes a la futura contratación o al proponente, no necesarios para la comparación de propuestas, no servirá de título suficiente para el rechazo de los ofrecimientos hechos”. </w:t>
      </w:r>
    </w:p>
    <w:p w14:paraId="482B2F99" w14:textId="77777777" w:rsidR="008A3D05" w:rsidRPr="00C64261" w:rsidRDefault="008A3D05" w:rsidP="008A3D05">
      <w:pPr>
        <w:spacing w:after="0" w:line="276" w:lineRule="auto"/>
        <w:jc w:val="both"/>
        <w:rPr>
          <w:rFonts w:ascii="Verdana" w:eastAsia="Arial" w:hAnsi="Verdana" w:cs="Arial"/>
          <w:b/>
          <w:color w:val="000000"/>
        </w:rPr>
      </w:pPr>
    </w:p>
    <w:p w14:paraId="3BCDCE49" w14:textId="77777777" w:rsidR="008A3D05" w:rsidRPr="00C64261" w:rsidRDefault="008A3D05" w:rsidP="008A3D05">
      <w:pPr>
        <w:spacing w:after="120" w:line="276" w:lineRule="auto"/>
        <w:ind w:firstLine="709"/>
        <w:jc w:val="both"/>
        <w:rPr>
          <w:rFonts w:ascii="Verdana" w:eastAsia="Arial" w:hAnsi="Verdana" w:cs="Arial"/>
          <w:color w:val="000000"/>
        </w:rPr>
      </w:pPr>
      <w:r w:rsidRPr="00C64261">
        <w:rPr>
          <w:rFonts w:ascii="Verdana" w:eastAsia="Arial" w:hAnsi="Verdana" w:cs="Arial"/>
          <w:color w:val="000000"/>
        </w:rPr>
        <w:t>Bajo el amparo de esta norma, el régimen jurídico de subsanabilidad de las ofertas sufre un cambio fundamental, pues ya no era posible rechazar las ofertas por falta de requisitos o documentos que no fueran “</w:t>
      </w:r>
      <w:r w:rsidRPr="00C64261">
        <w:rPr>
          <w:rFonts w:ascii="Verdana" w:eastAsia="Arial" w:hAnsi="Verdana" w:cs="Arial"/>
          <w:i/>
          <w:color w:val="000000"/>
        </w:rPr>
        <w:t>necesarios para la comparación de propuestas</w:t>
      </w:r>
      <w:r w:rsidRPr="00C64261">
        <w:rPr>
          <w:rFonts w:ascii="Verdana" w:eastAsia="Arial" w:hAnsi="Verdana" w:cs="Arial"/>
          <w:color w:val="000000"/>
        </w:rPr>
        <w:t xml:space="preserve">”. De esta manera, la ley introdujo un primer criterio jurídico, aunque indeterminado, que servía como punto de partida en la posibilidad de subsanar las ofertas, pues, verificada la ausencia de un requisito o documento, previo al rechazo de la oferta, la Administración debía constatar si este era o no necesario para la comparación de las propuestas, y de ese análisis surgiría la decisión sobre su rechazo o la oportunidad de subsanar. </w:t>
      </w:r>
    </w:p>
    <w:p w14:paraId="616F87DB" w14:textId="77777777" w:rsidR="008A3D05" w:rsidRPr="00C64261" w:rsidRDefault="008A3D05" w:rsidP="008A3D05">
      <w:pPr>
        <w:spacing w:after="120" w:line="276" w:lineRule="auto"/>
        <w:ind w:firstLine="709"/>
        <w:jc w:val="both"/>
        <w:rPr>
          <w:rFonts w:ascii="Verdana" w:eastAsia="Arial" w:hAnsi="Verdana" w:cs="Arial"/>
          <w:color w:val="000000"/>
        </w:rPr>
      </w:pPr>
      <w:r w:rsidRPr="00C64261">
        <w:rPr>
          <w:rFonts w:ascii="Verdana" w:eastAsia="Arial" w:hAnsi="Verdana" w:cs="Arial"/>
          <w:color w:val="000000"/>
        </w:rPr>
        <w:t>El artículo 25.15 debía leerse en conjunto con otras de la Ley 80 de 1993, particularmente con el artículo 30.7</w:t>
      </w:r>
      <w:r w:rsidRPr="00C64261">
        <w:rPr>
          <w:rFonts w:ascii="Verdana" w:eastAsia="Arial" w:hAnsi="Verdana" w:cs="Arial"/>
          <w:color w:val="000000"/>
          <w:vertAlign w:val="superscript"/>
        </w:rPr>
        <w:footnoteReference w:id="3"/>
      </w:r>
      <w:r w:rsidRPr="00C64261">
        <w:rPr>
          <w:rFonts w:ascii="Verdana" w:eastAsia="Arial" w:hAnsi="Verdana" w:cs="Arial"/>
          <w:color w:val="000000"/>
        </w:rPr>
        <w:t>, que ordena a la entidad señalar un plazo razonable para evaluar las propuestas y pedir a los proponentes, de ser necesario, que aclaren o expliquen aspectos que ofrezcan dudas y resulten indispensables para hacer la evaluación; y con el artículo 30.8</w:t>
      </w:r>
      <w:r w:rsidRPr="00C64261">
        <w:rPr>
          <w:rFonts w:ascii="Verdana" w:eastAsia="Arial" w:hAnsi="Verdana" w:cs="Arial"/>
          <w:color w:val="000000"/>
          <w:vertAlign w:val="superscript"/>
        </w:rPr>
        <w:footnoteReference w:id="4"/>
      </w:r>
      <w:r w:rsidRPr="00C64261">
        <w:rPr>
          <w:rFonts w:ascii="Verdana" w:eastAsia="Arial" w:hAnsi="Verdana" w:cs="Arial"/>
          <w:color w:val="000000"/>
        </w:rPr>
        <w:t xml:space="preserve">, que consagró el término de 5 días hábiles para que los oferentes presenten observaciones al informe de evaluación de las propuestas, sin que sea posible completar, adicionar, modificar o mejorar la oferta.  A partir de la lectura integrada de estas tres normas debía concluirse que con la Ley 80 de 1993 era posible subsanar las propuestas, y la omisión o el error en algún aspecto de la misma no podía llevar </w:t>
      </w:r>
      <w:r w:rsidRPr="00C64261">
        <w:rPr>
          <w:rFonts w:ascii="Verdana" w:eastAsia="Arial" w:hAnsi="Verdana" w:cs="Arial"/>
          <w:color w:val="000000"/>
        </w:rPr>
        <w:lastRenderedPageBreak/>
        <w:t xml:space="preserve">a su rechazo, sin antes verificar que lo omitido fuera un aspecto necesario para la comparación. </w:t>
      </w:r>
    </w:p>
    <w:p w14:paraId="0EBBC563" w14:textId="77777777" w:rsidR="008A3D05" w:rsidRPr="00C64261" w:rsidRDefault="008A3D05" w:rsidP="008A3D05">
      <w:pPr>
        <w:spacing w:after="120" w:line="276" w:lineRule="auto"/>
        <w:ind w:firstLine="709"/>
        <w:jc w:val="both"/>
        <w:rPr>
          <w:rFonts w:ascii="Verdana" w:eastAsia="Arial" w:hAnsi="Verdana" w:cs="Arial"/>
          <w:color w:val="000000"/>
        </w:rPr>
      </w:pPr>
      <w:r w:rsidRPr="00C64261">
        <w:rPr>
          <w:rFonts w:ascii="Verdana" w:eastAsia="Arial" w:hAnsi="Verdana" w:cs="Arial"/>
          <w:color w:val="000000"/>
        </w:rPr>
        <w:t xml:space="preserve">En un </w:t>
      </w:r>
      <w:r w:rsidRPr="00C64261">
        <w:rPr>
          <w:rFonts w:ascii="Verdana" w:eastAsia="Arial" w:hAnsi="Verdana" w:cs="Arial"/>
          <w:i/>
          <w:color w:val="000000"/>
        </w:rPr>
        <w:t>tercer momento</w:t>
      </w:r>
      <w:r w:rsidRPr="00C64261">
        <w:rPr>
          <w:rFonts w:ascii="Verdana" w:eastAsia="Arial" w:hAnsi="Verdana" w:cs="Arial"/>
          <w:color w:val="000000"/>
        </w:rPr>
        <w:t>, y siguiendo la línea trazada por la Ley 80 de 1993, el legislador expidió la Ley 1150 de 2007, que, en el parágrafo 1º del artículo 5, determinó lo siguiente: “La ausencia de requisitos o la falta de documentos referentes a la futura contratación o al proponente, no necesarios para la comparación de las propuestas no servirán de título suficiente para el rechazo de los ofrecimientos hechos. En consecuencia</w:t>
      </w:r>
      <w:r w:rsidRPr="00C64261">
        <w:rPr>
          <w:rFonts w:ascii="Verdana" w:eastAsia="Arial" w:hAnsi="Verdana" w:cs="Arial"/>
          <w:b/>
          <w:color w:val="000000"/>
        </w:rPr>
        <w:t xml:space="preserve">, </w:t>
      </w:r>
      <w:r w:rsidRPr="00C64261">
        <w:rPr>
          <w:rFonts w:ascii="Verdana" w:eastAsia="Arial" w:hAnsi="Verdana" w:cs="Arial"/>
          <w:color w:val="000000"/>
        </w:rPr>
        <w:t xml:space="preserve">todos aquellos requisitos de la propuesta que no afecten la asignación de puntaje, podrán ser solicitados por las entidades en cualquier momento, hasta la adjudicación. No obstante lo anterior, en aquellos procesos de selección en los que se utilice el mecanismo de subasta, deberán ser solicitados hasta el momento previo a su realización”. </w:t>
      </w:r>
    </w:p>
    <w:p w14:paraId="54901EDC" w14:textId="77777777" w:rsidR="008A3D05" w:rsidRPr="00C64261" w:rsidRDefault="008A3D05" w:rsidP="008A3D05">
      <w:pPr>
        <w:spacing w:after="120" w:line="276" w:lineRule="auto"/>
        <w:ind w:firstLine="709"/>
        <w:jc w:val="both"/>
        <w:rPr>
          <w:rFonts w:ascii="Verdana" w:hAnsi="Verdana"/>
        </w:rPr>
      </w:pPr>
      <w:r w:rsidRPr="00C64261">
        <w:rPr>
          <w:rFonts w:ascii="Verdana" w:eastAsia="Arial" w:hAnsi="Verdana" w:cs="Arial"/>
          <w:color w:val="000000"/>
        </w:rPr>
        <w:t xml:space="preserve">Nótese que esta norma reitera lo que dispuso la Ley 80 de 1993, en el sentido de que los requisitos o documentos que no sean necesarios para la comparación de las ofertas pueden subsanarse, pero además la Ley 1150 de 2007 introdujo otro criterio que le dio mayor claridad al tema: la asignación de puntaje. A partir de la Ley 1150 de 2007, la Administración contó con un criterio más claro y determinado para saber si la ausencia de documentos o requisitos de la oferta conlleva a su rechazo o al requerimiento del proponente para que lo subsane, pues bastará con un simple ejercicio de verificación que consiste en corroborar si lo omitido hace parte de los aspectos que otorgan puntaje o no.  Si al verificar la Administración encuentra que lo omitido por el proponente es un aspecto que otorga puntaje, no es posible subsanarlo; pero, si no otorga puntaje, la Administración debe requerir al proponente para que lo subsane.  </w:t>
      </w:r>
    </w:p>
    <w:p w14:paraId="37FCCB18" w14:textId="77777777" w:rsidR="008A3D05" w:rsidRPr="00C64261" w:rsidRDefault="008A3D05" w:rsidP="008A3D05">
      <w:pPr>
        <w:spacing w:after="0" w:line="276" w:lineRule="auto"/>
        <w:ind w:firstLine="709"/>
        <w:jc w:val="both"/>
        <w:rPr>
          <w:rFonts w:ascii="Verdana" w:eastAsia="Arial" w:hAnsi="Verdana" w:cs="Arial"/>
          <w:color w:val="000000"/>
        </w:rPr>
      </w:pPr>
      <w:r w:rsidRPr="00C64261">
        <w:rPr>
          <w:rFonts w:ascii="Verdana" w:eastAsia="Arial" w:hAnsi="Verdana" w:cs="Arial"/>
          <w:color w:val="000000"/>
        </w:rPr>
        <w:t>El artículo 5 de la Ley 1150 de 2007, además de consagrar un criterio más claro, y, de paso, reducir la discrecionalidad de la Administración, fijó un ámbito temporal para la subsanación de las ofertas: “</w:t>
      </w:r>
      <w:r w:rsidRPr="00C64261">
        <w:rPr>
          <w:rFonts w:ascii="Verdana" w:eastAsia="Arial" w:hAnsi="Verdana" w:cs="Arial"/>
          <w:i/>
          <w:color w:val="000000"/>
        </w:rPr>
        <w:t>en cualquier momento, hasta la adjudicación</w:t>
      </w:r>
      <w:r w:rsidRPr="00C64261">
        <w:rPr>
          <w:rFonts w:ascii="Verdana" w:eastAsia="Arial" w:hAnsi="Verdana" w:cs="Arial"/>
          <w:color w:val="000000"/>
        </w:rPr>
        <w:t xml:space="preserve">”. El Consejo de Estado, con particular sindéresis, concluyó que a partir del parágrafo 1º del artículo 5 de la Ley 1150, la definición de lo que es subsanable y lo que no lo es surge a partir del planteamiento de la pregunta sobre si el defecto asigna puntaje o no, en estos términos: </w:t>
      </w:r>
    </w:p>
    <w:p w14:paraId="78082424" w14:textId="77777777" w:rsidR="008A3D05" w:rsidRPr="00C64261" w:rsidRDefault="008A3D05" w:rsidP="008A3D05">
      <w:pPr>
        <w:spacing w:after="0" w:line="276" w:lineRule="auto"/>
        <w:jc w:val="both"/>
        <w:rPr>
          <w:rFonts w:ascii="Verdana" w:eastAsia="Arial" w:hAnsi="Verdana" w:cs="Arial"/>
          <w:color w:val="000000"/>
        </w:rPr>
      </w:pPr>
    </w:p>
    <w:p w14:paraId="6B5F83C5" w14:textId="77777777" w:rsidR="008A3D05" w:rsidRPr="00C64261" w:rsidRDefault="008A3D05" w:rsidP="008A3D05">
      <w:pPr>
        <w:spacing w:after="0" w:line="240" w:lineRule="auto"/>
        <w:ind w:left="709" w:right="709"/>
        <w:jc w:val="both"/>
        <w:rPr>
          <w:rFonts w:ascii="Verdana" w:eastAsia="Arial" w:hAnsi="Verdana" w:cs="Arial"/>
          <w:color w:val="000000"/>
          <w:sz w:val="21"/>
          <w:szCs w:val="21"/>
        </w:rPr>
      </w:pPr>
      <w:r>
        <w:rPr>
          <w:rFonts w:ascii="Verdana" w:eastAsia="Arial" w:hAnsi="Verdana" w:cs="Arial"/>
          <w:color w:val="000000"/>
          <w:sz w:val="21"/>
          <w:szCs w:val="21"/>
        </w:rPr>
        <w:t>“</w:t>
      </w:r>
      <w:r w:rsidRPr="00C64261">
        <w:rPr>
          <w:rFonts w:ascii="Verdana" w:eastAsia="Arial" w:hAnsi="Verdana" w:cs="Arial"/>
          <w:color w:val="000000"/>
          <w:sz w:val="21"/>
          <w:szCs w:val="21"/>
        </w:rPr>
        <w:t xml:space="preserve">Esto significa que en adelante las entidades y los oferentes aplican directamente la regla que contempla el art. 5, parágrafo, de la Ley 1150, de manera que lo subsanable o insubsanable se define a partir de una pregunta, que se le formula a cada requisito omitido o cumplido imperfectamente: ¿el defecto asigna puntaje al oferente? Si lo hace no es subsanable, si no lo hace es subsanable; en el último evento la </w:t>
      </w:r>
      <w:r w:rsidRPr="00C64261">
        <w:rPr>
          <w:rFonts w:ascii="Verdana" w:eastAsia="Arial" w:hAnsi="Verdana" w:cs="Arial"/>
          <w:color w:val="000000"/>
          <w:sz w:val="21"/>
          <w:szCs w:val="21"/>
        </w:rPr>
        <w:lastRenderedPageBreak/>
        <w:t>entidad le solicitará al oferente que satisfaga la deficiencia, para poner su oferta en condiciones de ser evaluada, y no importa si se refiere a no a problemas de capacidad o a requisitos cumplidos antes o después de presentadas las ofertas, con la condición de que cuando le pidan la acreditación la satisfaga suficientemente</w:t>
      </w:r>
      <w:r>
        <w:rPr>
          <w:rFonts w:ascii="Verdana" w:eastAsia="Arial" w:hAnsi="Verdana" w:cs="Arial"/>
          <w:color w:val="000000"/>
          <w:sz w:val="21"/>
          <w:szCs w:val="21"/>
        </w:rPr>
        <w:t>”</w:t>
      </w:r>
      <w:r w:rsidRPr="00C64261">
        <w:rPr>
          <w:rFonts w:ascii="Verdana" w:eastAsia="Arial" w:hAnsi="Verdana" w:cs="Arial"/>
          <w:color w:val="000000"/>
          <w:sz w:val="21"/>
          <w:szCs w:val="21"/>
          <w:vertAlign w:val="superscript"/>
        </w:rPr>
        <w:footnoteReference w:id="5"/>
      </w:r>
      <w:r w:rsidRPr="00C64261">
        <w:rPr>
          <w:rFonts w:ascii="Verdana" w:eastAsia="Arial" w:hAnsi="Verdana" w:cs="Arial"/>
          <w:color w:val="000000"/>
          <w:sz w:val="21"/>
          <w:szCs w:val="21"/>
        </w:rPr>
        <w:t>.</w:t>
      </w:r>
    </w:p>
    <w:p w14:paraId="4A4EFECC" w14:textId="77777777" w:rsidR="008A3D05" w:rsidRPr="00C64261" w:rsidRDefault="008A3D05" w:rsidP="008A3D05">
      <w:pPr>
        <w:spacing w:after="0" w:line="276" w:lineRule="auto"/>
        <w:jc w:val="both"/>
        <w:rPr>
          <w:rFonts w:ascii="Verdana" w:eastAsia="Arial" w:hAnsi="Verdana" w:cs="Arial"/>
          <w:b/>
          <w:color w:val="000000"/>
        </w:rPr>
      </w:pPr>
    </w:p>
    <w:p w14:paraId="5391B70B" w14:textId="77777777" w:rsidR="008A3D05" w:rsidRPr="00C64261" w:rsidRDefault="008A3D05" w:rsidP="008A3D05">
      <w:pPr>
        <w:pBdr>
          <w:top w:val="nil"/>
          <w:left w:val="nil"/>
          <w:bottom w:val="nil"/>
          <w:right w:val="nil"/>
          <w:between w:val="nil"/>
        </w:pBdr>
        <w:tabs>
          <w:tab w:val="left" w:pos="284"/>
        </w:tabs>
        <w:spacing w:after="120" w:line="276" w:lineRule="auto"/>
        <w:ind w:firstLine="709"/>
        <w:jc w:val="both"/>
        <w:rPr>
          <w:rFonts w:ascii="Verdana" w:eastAsia="Arial" w:hAnsi="Verdana" w:cs="Arial"/>
          <w:color w:val="000000"/>
        </w:rPr>
      </w:pPr>
      <w:r w:rsidRPr="00C64261">
        <w:rPr>
          <w:rFonts w:ascii="Verdana" w:eastAsia="Arial" w:hAnsi="Verdana" w:cs="Arial"/>
          <w:color w:val="000000"/>
        </w:rPr>
        <w:t>Esa interpretación fue compartida por la Agencia Nacional de Contratación Pública – Colombia Compra Eficiente, pues en la Circular Externa Única se había precisado que si durante un proceso de contratación hay proponentes que no acreditaron en sus ofertas requisitos que no afectan la asignación de puntaje o la comparación de las mismas, la entidad estatal deberá indicarlo en el informe de evaluación y advertir que la correspondiente oferta no será evaluada hasta que se subsane.</w:t>
      </w:r>
    </w:p>
    <w:p w14:paraId="18280028" w14:textId="77777777" w:rsidR="008A3D05" w:rsidRPr="00C64261" w:rsidRDefault="008A3D05" w:rsidP="008A3D05">
      <w:pPr>
        <w:pBdr>
          <w:top w:val="nil"/>
          <w:left w:val="nil"/>
          <w:bottom w:val="nil"/>
          <w:right w:val="nil"/>
          <w:between w:val="nil"/>
        </w:pBdr>
        <w:tabs>
          <w:tab w:val="left" w:pos="284"/>
        </w:tabs>
        <w:spacing w:after="120" w:line="276" w:lineRule="auto"/>
        <w:ind w:firstLine="709"/>
        <w:jc w:val="both"/>
        <w:rPr>
          <w:rFonts w:ascii="Verdana" w:eastAsia="Arial" w:hAnsi="Verdana" w:cs="Arial"/>
          <w:color w:val="000000"/>
        </w:rPr>
      </w:pPr>
      <w:r w:rsidRPr="00C64261">
        <w:rPr>
          <w:rFonts w:ascii="Verdana" w:eastAsia="Arial" w:hAnsi="Verdana" w:cs="Arial"/>
          <w:color w:val="000000"/>
        </w:rPr>
        <w:t xml:space="preserve">En un </w:t>
      </w:r>
      <w:r w:rsidRPr="00C64261">
        <w:rPr>
          <w:rFonts w:ascii="Verdana" w:eastAsia="Arial" w:hAnsi="Verdana" w:cs="Arial"/>
          <w:i/>
          <w:color w:val="000000"/>
        </w:rPr>
        <w:t>cuarto momento</w:t>
      </w:r>
      <w:r w:rsidRPr="00C64261">
        <w:rPr>
          <w:rFonts w:ascii="Verdana" w:eastAsia="Arial" w:hAnsi="Verdana" w:cs="Arial"/>
          <w:color w:val="000000"/>
        </w:rPr>
        <w:t xml:space="preserve">, el legislador expidió la Ley 1882 de 2018, con la finalidad de introducir cambios y ajustes para fortalecer la contratación pública. El artículo 5 modificó el parágrafo 1º del artículo 5 de la Ley 1150 de 2007 en los siguientes términos: “La ausencia de requisitos o la falta de documentos referentes a la futura contratación o al proponente, no necesarios para la comparación de las propuestas no servirán de título suficiente para el rechazo de los ofrecimientos hechos. En consecuencia, todos aquellos requisitos de la propuesta que no afecten la asignación de puntaje, deberán ser solicitados por las entidades estatales y deberán ser entregados por los proponentes hasta el término de traslado del informe de evaluación que corresponda a cada modalidad de selección, salvo lo dispuesto para el proceso de Mínima cuantía y para el proceso de selección a través del sistema de subasta. Serán rechazadas las ofertas de aquellos proponentes que no suministren la información y la documentación solicitada por la entidad estatal hasta el plazo anteriormente señalado. Durante el término otorgado para subsanar las ofertas, los proponentes no podrán acreditar circunstancias ocurridas con posterioridad al cierre del proceso”. </w:t>
      </w:r>
    </w:p>
    <w:p w14:paraId="519ACC3B" w14:textId="77777777" w:rsidR="008A3D05" w:rsidRPr="00C64261" w:rsidRDefault="008A3D05" w:rsidP="008A3D05">
      <w:pPr>
        <w:spacing w:after="120" w:line="276" w:lineRule="auto"/>
        <w:ind w:firstLine="709"/>
        <w:jc w:val="both"/>
        <w:rPr>
          <w:rFonts w:ascii="Verdana" w:eastAsia="Arial" w:hAnsi="Verdana" w:cs="Arial"/>
          <w:color w:val="000000"/>
        </w:rPr>
      </w:pPr>
      <w:r w:rsidRPr="00C64261">
        <w:rPr>
          <w:rFonts w:ascii="Verdana" w:eastAsia="Arial" w:hAnsi="Verdana" w:cs="Arial"/>
          <w:color w:val="000000"/>
        </w:rPr>
        <w:t xml:space="preserve">Como puede observarse, esta norma: i) mantiene el criterio de la Ley 80 de 1993, relativo a que todo lo que no sea necesario para la comparación de propuestas no es título suficiente para su rechazo; ii) mantiene el criterio aclaratorio de la Ley 1150 de 2007, según el cual todo lo que no afecte la </w:t>
      </w:r>
      <w:r w:rsidRPr="00C64261">
        <w:rPr>
          <w:rFonts w:ascii="Verdana" w:eastAsia="Arial" w:hAnsi="Verdana" w:cs="Arial"/>
          <w:color w:val="000000"/>
        </w:rPr>
        <w:lastRenderedPageBreak/>
        <w:t xml:space="preserve">asignación de puntaje puede subsanarse e iii) introduce modificaciones en relación con algunos aspectos que se analizarán a continuación. </w:t>
      </w:r>
    </w:p>
    <w:p w14:paraId="3A99DB23" w14:textId="77777777" w:rsidR="008A3D05" w:rsidRPr="00C64261" w:rsidRDefault="008A3D05" w:rsidP="008A3D05">
      <w:pPr>
        <w:spacing w:after="120" w:line="276" w:lineRule="auto"/>
        <w:ind w:firstLine="709"/>
        <w:jc w:val="both"/>
        <w:rPr>
          <w:rFonts w:ascii="Verdana" w:eastAsia="Arial" w:hAnsi="Verdana" w:cs="Arial"/>
          <w:color w:val="000000"/>
        </w:rPr>
      </w:pPr>
      <w:r w:rsidRPr="00C64261">
        <w:rPr>
          <w:rFonts w:ascii="Verdana" w:eastAsia="Arial" w:hAnsi="Verdana" w:cs="Arial"/>
          <w:color w:val="000000"/>
        </w:rPr>
        <w:t>El primero es el ámbito temporal para ejercer la facultad de subsanar la oferta, pues la Ley 1882 de 2018 fijó una regla general y una excepción. La regla general es que el límite para que la entidad solicite y para que el proponente corrija lo que haga falta es hasta el término de traslado del informe de evaluación que corresponda a cada modalidad de selección. La excepción es que el anterior límite no aplica para los procesos de mínima cuantía y para el proceso de selección a través del sistema de subasta</w:t>
      </w:r>
      <w:r w:rsidRPr="00C64261">
        <w:rPr>
          <w:rFonts w:ascii="Verdana" w:eastAsia="Arial" w:hAnsi="Verdana" w:cs="Arial"/>
          <w:color w:val="000000"/>
          <w:vertAlign w:val="superscript"/>
        </w:rPr>
        <w:footnoteReference w:id="6"/>
      </w:r>
      <w:r w:rsidRPr="00C64261">
        <w:rPr>
          <w:rFonts w:ascii="Verdana" w:eastAsia="Arial" w:hAnsi="Verdana" w:cs="Arial"/>
          <w:color w:val="000000"/>
        </w:rPr>
        <w:t xml:space="preserve">; en el último los documentos o requisitos subsanables pueden y deben solicitarse hasta el momento previo a su realización.  </w:t>
      </w:r>
    </w:p>
    <w:p w14:paraId="3B78902D" w14:textId="77777777" w:rsidR="008A3D05" w:rsidRPr="00C64261" w:rsidRDefault="008A3D05" w:rsidP="008A3D05">
      <w:pPr>
        <w:spacing w:after="120" w:line="276" w:lineRule="auto"/>
        <w:ind w:firstLine="709"/>
        <w:jc w:val="both"/>
        <w:rPr>
          <w:rFonts w:ascii="Verdana" w:eastAsia="Arial" w:hAnsi="Verdana" w:cs="Arial"/>
          <w:color w:val="000000"/>
        </w:rPr>
      </w:pPr>
      <w:r w:rsidRPr="00C64261">
        <w:rPr>
          <w:rFonts w:ascii="Verdana" w:eastAsia="Arial" w:hAnsi="Verdana" w:cs="Arial"/>
          <w:color w:val="000000"/>
        </w:rPr>
        <w:t xml:space="preserve">Frente a la regla general, la norma fijó un límite final para que la Administración y los oferentes subsanen los requisitos o documentos que puedan y deban ser subsanados, pero nada impide, y la norma no lo hace, que la Administración requiera al proponente antes de publicar el informe de evaluación. En efecto, la redacción de la norma permite que la Administración solicite a los oferentes subsanar y que estos lo hagan hasta antes del término del traslado del informe de evaluación: “deberán ser solicitados por las entidades estatales y deberán ser entregados por los proponentes hasta el término de traslado del informe de evaluación que corresponda a cada modalidad de selección”. </w:t>
      </w:r>
    </w:p>
    <w:p w14:paraId="1B3FEC9C" w14:textId="77777777" w:rsidR="008A3D05" w:rsidRPr="00C64261" w:rsidRDefault="008A3D05" w:rsidP="008A3D05">
      <w:pPr>
        <w:spacing w:after="120" w:line="276" w:lineRule="auto"/>
        <w:ind w:firstLine="709"/>
        <w:jc w:val="both"/>
        <w:rPr>
          <w:rFonts w:ascii="Verdana" w:eastAsia="Arial" w:hAnsi="Verdana" w:cs="Arial"/>
          <w:color w:val="000000"/>
        </w:rPr>
      </w:pPr>
      <w:r w:rsidRPr="00C64261">
        <w:rPr>
          <w:rFonts w:ascii="Verdana" w:eastAsia="Arial" w:hAnsi="Verdana" w:cs="Arial"/>
          <w:color w:val="000000"/>
        </w:rPr>
        <w:t xml:space="preserve">No obstante, de la lectura de este aparte podrían, en la práctica, darse dos interpretaciones que dan lugar a dos formas de proceder en los procesos de selección, en lo que se refiere a la subsanabilidad de las ofertas. </w:t>
      </w:r>
      <w:r w:rsidRPr="00C64261">
        <w:rPr>
          <w:rFonts w:ascii="Verdana" w:eastAsia="Arial" w:hAnsi="Verdana" w:cs="Arial"/>
          <w:i/>
          <w:color w:val="000000"/>
        </w:rPr>
        <w:t>Primera</w:t>
      </w:r>
      <w:r w:rsidRPr="00C64261">
        <w:rPr>
          <w:rFonts w:ascii="Verdana" w:eastAsia="Arial" w:hAnsi="Verdana" w:cs="Arial"/>
          <w:color w:val="000000"/>
        </w:rPr>
        <w:t xml:space="preserve">, que la posibilidad de los oferentes para subsanar es el término del traslado del informe de evaluación, ya que en este documento es donde la Administración establece los requisitos o documentos omitidos que los oferentes deben subsanar, so pena de rechazo; </w:t>
      </w:r>
      <w:r w:rsidRPr="00C64261">
        <w:rPr>
          <w:rFonts w:ascii="Verdana" w:eastAsia="Arial" w:hAnsi="Verdana" w:cs="Arial"/>
          <w:i/>
          <w:color w:val="000000"/>
        </w:rPr>
        <w:t>segunda</w:t>
      </w:r>
      <w:r w:rsidRPr="00C64261">
        <w:rPr>
          <w:rFonts w:ascii="Verdana" w:eastAsia="Arial" w:hAnsi="Verdana" w:cs="Arial"/>
          <w:color w:val="000000"/>
        </w:rPr>
        <w:t xml:space="preserve">, que el término del traslado del informe de evaluación es el límite para la subsanación de ofertas, pero no el único momento para hacerlo. </w:t>
      </w:r>
    </w:p>
    <w:p w14:paraId="7E64E37A" w14:textId="77777777" w:rsidR="008A3D05" w:rsidRPr="00C64261" w:rsidRDefault="008A3D05" w:rsidP="008A3D05">
      <w:pPr>
        <w:spacing w:after="120" w:line="276" w:lineRule="auto"/>
        <w:ind w:firstLine="709"/>
        <w:jc w:val="both"/>
        <w:rPr>
          <w:rFonts w:ascii="Verdana" w:eastAsia="Arial" w:hAnsi="Verdana" w:cs="Arial"/>
          <w:color w:val="000000"/>
        </w:rPr>
      </w:pPr>
      <w:r w:rsidRPr="00C64261">
        <w:rPr>
          <w:rFonts w:ascii="Verdana" w:eastAsia="Arial" w:hAnsi="Verdana" w:cs="Arial"/>
          <w:color w:val="000000"/>
        </w:rPr>
        <w:t xml:space="preserve">De acuerdo con la primera interpretación, el informe de evaluación se convierte en la oportunidad que adopta la Administración para comunicarles a los oferentes qué documentos o requisitos omitieron y deben subsanar y, consecuentemente, el término del traslado es la oportunidad del proponente para cumplir con lo solicitado. La segunda interpretación permitiría que la </w:t>
      </w:r>
      <w:r w:rsidRPr="00C64261">
        <w:rPr>
          <w:rFonts w:ascii="Verdana" w:eastAsia="Arial" w:hAnsi="Verdana" w:cs="Arial"/>
          <w:color w:val="000000"/>
        </w:rPr>
        <w:lastRenderedPageBreak/>
        <w:t>Administración requiera al oferente durante el proceso de evaluación de las propuestas, tan pronto advierta que hace falta un documento o requisito que se puede subsanar. En este caso, la subsanación se lleva a cabo con anterioridad a la publicación del informe de evaluación, de manera que una vez se publique el informe ya se encuentren subsanadas las propuestas, sin perjuicio del término límite que concedió la ley.</w:t>
      </w:r>
    </w:p>
    <w:p w14:paraId="7F77B21B" w14:textId="77777777" w:rsidR="008A3D05" w:rsidRPr="00C64261" w:rsidRDefault="008A3D05" w:rsidP="008A3D05">
      <w:pPr>
        <w:spacing w:after="120" w:line="276" w:lineRule="auto"/>
        <w:ind w:firstLine="709"/>
        <w:jc w:val="both"/>
        <w:rPr>
          <w:rFonts w:ascii="Verdana" w:eastAsia="Arial" w:hAnsi="Verdana" w:cs="Arial"/>
          <w:color w:val="000000"/>
        </w:rPr>
      </w:pPr>
      <w:r w:rsidRPr="00C64261">
        <w:rPr>
          <w:rFonts w:ascii="Verdana" w:eastAsia="Arial" w:hAnsi="Verdana" w:cs="Arial"/>
          <w:color w:val="000000"/>
        </w:rPr>
        <w:t xml:space="preserve">En criterio de esta Subdirección, la segunda interpretación es la que más se ajusta a la norma, pero, además, es la más conveniente para el desarrollo del proceso de selección, porque garantiza que el informe de evaluación presente una comparación de propuestas más depurada y el término de traslado para observaciones al mismo sea una oportunidad en la que se planteen aspectos sustanciales o de fondo a la evaluación, teniendo en cuenta que ya las propuestas estarán consolidadas en lo formal. Subsanar antes del informe de evaluación ofrece mayor seguridad y certeza al proceso de selección, a la Administración y a los oferentes. </w:t>
      </w:r>
    </w:p>
    <w:p w14:paraId="2DF8C081" w14:textId="77777777" w:rsidR="008A3D05" w:rsidRPr="00C64261" w:rsidRDefault="008A3D05" w:rsidP="008A3D05">
      <w:pPr>
        <w:spacing w:after="120" w:line="276" w:lineRule="auto"/>
        <w:ind w:firstLine="709"/>
        <w:jc w:val="both"/>
        <w:rPr>
          <w:rFonts w:ascii="Verdana" w:eastAsia="Arial" w:hAnsi="Verdana" w:cs="Arial"/>
          <w:color w:val="000000"/>
        </w:rPr>
      </w:pPr>
      <w:r w:rsidRPr="00C64261">
        <w:rPr>
          <w:rFonts w:ascii="Verdana" w:eastAsia="Arial" w:hAnsi="Verdana" w:cs="Arial"/>
          <w:color w:val="000000"/>
        </w:rPr>
        <w:t xml:space="preserve">Así pues, la modificación introducida por el artículo 5 de la Ley 1882 de 2018, si bien pudo significar, en la práctica de los procesos de selección, que el informe de evaluación fuera la oportunidad de la Administración para requerir al proponente para que subsane la oferta, y el término del traslado la oportunidad para hacerlo, lo cierto es que no impide que esto se realice con anterioridad a la publicación del informe, inclusive, es más adecuado y conveniente que la subsanación de las ofertas se intente con anterioridad, de forma que una vez la Administración advierta el defecto le solicite directamente al oferente que subsane. Esta interpretación es más consistente con los principios de economía, transparencia y selección objetiva. </w:t>
      </w:r>
    </w:p>
    <w:p w14:paraId="3AFDD0BB" w14:textId="77777777" w:rsidR="008A3D05" w:rsidRPr="00C64261" w:rsidRDefault="008A3D05" w:rsidP="008A3D05">
      <w:pPr>
        <w:spacing w:after="120" w:line="276" w:lineRule="auto"/>
        <w:ind w:firstLine="709"/>
        <w:jc w:val="both"/>
        <w:rPr>
          <w:rFonts w:ascii="Verdana" w:eastAsia="Arial" w:hAnsi="Verdana" w:cs="Arial"/>
          <w:color w:val="000000"/>
        </w:rPr>
      </w:pPr>
      <w:r w:rsidRPr="00C64261">
        <w:rPr>
          <w:rFonts w:ascii="Verdana" w:eastAsia="Arial" w:hAnsi="Verdana" w:cs="Arial"/>
          <w:color w:val="000000"/>
        </w:rPr>
        <w:t>De otro lado, el segundo cambio importante de la Ley 1882 de 2018 fue la introducción de un criterio material, directamente relacionado con los aspectos subsanables: “los proponentes no podrán acreditar circunstancias ocurridas con posterioridad al cierre del proceso”</w:t>
      </w:r>
      <w:r w:rsidRPr="00C64261">
        <w:rPr>
          <w:rFonts w:ascii="Verdana" w:eastAsia="Arial" w:hAnsi="Verdana" w:cs="Arial"/>
          <w:b/>
          <w:i/>
          <w:color w:val="000000"/>
        </w:rPr>
        <w:t>.</w:t>
      </w:r>
      <w:r w:rsidRPr="00C64261">
        <w:rPr>
          <w:rFonts w:ascii="Verdana" w:eastAsia="Arial" w:hAnsi="Verdana" w:cs="Arial"/>
          <w:b/>
          <w:color w:val="000000"/>
        </w:rPr>
        <w:t xml:space="preserve"> </w:t>
      </w:r>
      <w:r w:rsidRPr="00C64261">
        <w:rPr>
          <w:rFonts w:ascii="Verdana" w:eastAsia="Arial" w:hAnsi="Verdana" w:cs="Arial"/>
          <w:color w:val="000000"/>
        </w:rPr>
        <w:t xml:space="preserve">Lo anterior ofrece dos aspectos que merecen clarificación: </w:t>
      </w:r>
      <w:r w:rsidRPr="00C64261">
        <w:rPr>
          <w:rFonts w:ascii="Verdana" w:eastAsia="Arial" w:hAnsi="Verdana" w:cs="Arial"/>
          <w:i/>
          <w:color w:val="000000"/>
        </w:rPr>
        <w:t>primero</w:t>
      </w:r>
      <w:r w:rsidRPr="00C64261">
        <w:rPr>
          <w:rFonts w:ascii="Verdana" w:eastAsia="Arial" w:hAnsi="Verdana" w:cs="Arial"/>
          <w:color w:val="000000"/>
        </w:rPr>
        <w:t xml:space="preserve">, qué debe entenderse por circunstancias ocurridas con posterioridad; y </w:t>
      </w:r>
      <w:r w:rsidRPr="00C64261">
        <w:rPr>
          <w:rFonts w:ascii="Verdana" w:eastAsia="Arial" w:hAnsi="Verdana" w:cs="Arial"/>
          <w:i/>
          <w:color w:val="000000"/>
        </w:rPr>
        <w:t>segundo</w:t>
      </w:r>
      <w:r w:rsidRPr="00C64261">
        <w:rPr>
          <w:rFonts w:ascii="Verdana" w:eastAsia="Arial" w:hAnsi="Verdana" w:cs="Arial"/>
          <w:color w:val="000000"/>
        </w:rPr>
        <w:t>, qué es el cierre del proceso.</w:t>
      </w:r>
    </w:p>
    <w:p w14:paraId="363D74CB" w14:textId="77777777" w:rsidR="008A3D05" w:rsidRPr="00C64261" w:rsidRDefault="008A3D05" w:rsidP="008A3D05">
      <w:pPr>
        <w:spacing w:after="0" w:line="276" w:lineRule="auto"/>
        <w:ind w:firstLine="709"/>
        <w:jc w:val="both"/>
        <w:rPr>
          <w:rFonts w:ascii="Verdana" w:eastAsia="Arial" w:hAnsi="Verdana" w:cs="Arial"/>
          <w:color w:val="000000"/>
        </w:rPr>
      </w:pPr>
      <w:r w:rsidRPr="00C64261">
        <w:rPr>
          <w:rFonts w:ascii="Verdana" w:eastAsia="Arial" w:hAnsi="Verdana" w:cs="Arial"/>
          <w:color w:val="000000"/>
        </w:rPr>
        <w:t>La Sala de Consulta y Servicio Civil del Consejo de Estado ya había tenido la oportunidad de precisar estas expresiones, a propósito de un concepto en el que se refirió al artículo 10 del derogado Decreto 2474 de 2008</w:t>
      </w:r>
      <w:r w:rsidRPr="00C64261">
        <w:rPr>
          <w:rFonts w:ascii="Verdana" w:eastAsia="Arial" w:hAnsi="Verdana" w:cs="Arial"/>
          <w:color w:val="000000"/>
          <w:vertAlign w:val="superscript"/>
        </w:rPr>
        <w:footnoteReference w:id="7"/>
      </w:r>
      <w:r w:rsidRPr="00C64261">
        <w:rPr>
          <w:rFonts w:ascii="Verdana" w:eastAsia="Arial" w:hAnsi="Verdana" w:cs="Arial"/>
          <w:color w:val="000000"/>
        </w:rPr>
        <w:t xml:space="preserve">, que había </w:t>
      </w:r>
      <w:r w:rsidRPr="00C64261">
        <w:rPr>
          <w:rFonts w:ascii="Verdana" w:eastAsia="Arial" w:hAnsi="Verdana" w:cs="Arial"/>
          <w:color w:val="000000"/>
        </w:rPr>
        <w:lastRenderedPageBreak/>
        <w:t xml:space="preserve">determinado que en ningún caso la entidad podía permitir que se acreditaran circunstancias ocurridas con posterioridad al cierre del proceso. El Consejo de Estado precisó que por cierre del proceso debe entenderse el vencimiento del plazo para la presentación de las ofertas y que lo subsanable son las circunstancias que ocurrieron con anterioridad a esa fecha: </w:t>
      </w:r>
    </w:p>
    <w:p w14:paraId="6EB667EF" w14:textId="77777777" w:rsidR="008A3D05" w:rsidRPr="00C64261" w:rsidRDefault="008A3D05" w:rsidP="008A3D05">
      <w:pPr>
        <w:spacing w:after="0"/>
        <w:ind w:left="709" w:right="709"/>
        <w:jc w:val="both"/>
        <w:rPr>
          <w:rFonts w:ascii="Verdana" w:eastAsia="Arial" w:hAnsi="Verdana" w:cs="Arial"/>
          <w:color w:val="000000"/>
        </w:rPr>
      </w:pPr>
    </w:p>
    <w:p w14:paraId="66BE3402" w14:textId="77777777" w:rsidR="008A3D05" w:rsidRPr="00C64261" w:rsidRDefault="008A3D05" w:rsidP="008A3D05">
      <w:pPr>
        <w:spacing w:after="120" w:line="240" w:lineRule="auto"/>
        <w:ind w:left="709" w:right="709"/>
        <w:jc w:val="both"/>
        <w:rPr>
          <w:rFonts w:ascii="Verdana" w:eastAsia="Arial" w:hAnsi="Verdana" w:cs="Arial"/>
          <w:color w:val="000000"/>
          <w:sz w:val="21"/>
          <w:szCs w:val="21"/>
        </w:rPr>
      </w:pPr>
      <w:r>
        <w:rPr>
          <w:rFonts w:ascii="Verdana" w:eastAsia="Arial" w:hAnsi="Verdana" w:cs="Arial"/>
          <w:color w:val="000000"/>
          <w:sz w:val="21"/>
          <w:szCs w:val="21"/>
        </w:rPr>
        <w:t>“</w:t>
      </w:r>
      <w:r w:rsidRPr="00C64261">
        <w:rPr>
          <w:rFonts w:ascii="Verdana" w:eastAsia="Arial" w:hAnsi="Verdana" w:cs="Arial"/>
          <w:color w:val="000000"/>
          <w:sz w:val="21"/>
          <w:szCs w:val="21"/>
        </w:rPr>
        <w:t>Sin embargo, debe tenerse en cuenta que la última norma en cita -Decreto 2474 de 2008, aparte subrayado-, establece un límite a la subsanabilidad, puesto que en cualquier caso debe referirse o recaer sobre circunstancias ocurridas antes del cierre del respectivo proceso, esto es, del vencimiento del plazo para presentar ofertas.</w:t>
      </w:r>
    </w:p>
    <w:p w14:paraId="29DE180E" w14:textId="77777777" w:rsidR="008A3D05" w:rsidRPr="00C64261" w:rsidRDefault="008A3D05" w:rsidP="008A3D05">
      <w:pPr>
        <w:spacing w:after="0" w:line="240" w:lineRule="auto"/>
        <w:ind w:left="709" w:right="709"/>
        <w:jc w:val="both"/>
        <w:rPr>
          <w:rFonts w:ascii="Verdana" w:eastAsia="Arial" w:hAnsi="Verdana" w:cs="Arial"/>
          <w:color w:val="000000"/>
          <w:sz w:val="21"/>
          <w:szCs w:val="21"/>
        </w:rPr>
      </w:pPr>
      <w:r w:rsidRPr="00C64261">
        <w:rPr>
          <w:rFonts w:ascii="Verdana" w:eastAsia="Arial" w:hAnsi="Verdana" w:cs="Arial"/>
          <w:color w:val="000000"/>
          <w:sz w:val="21"/>
          <w:szCs w:val="21"/>
        </w:rPr>
        <w:t>De esta manera, quien se presenta al proceso de selección debe cumplir para la fecha en que ‘se cierra el proceso’ con los requisitos que se requieren para presentar la oferta, de manera que es sobre ellos y no sobre otros que se cumplan con posterioridad, sobre los que recae la posibilidad de saneamiento. Así, por ejemplo, si se requiere una experiencia x, la misma se debe tener al presentar la oferta y la Administración puede requerir al oferente para que especifique aspectos relacionados con ella (complementar certificaciones, aclarar fechas, acreditación de la misma, etc.); pero no podría, por vía de las normas en cita, extender el tiempo para avalar experiencia que sólo se llega a cumplir después del cierre del proceso contractual. O si, igualmente a manera de ejemplo, fuera necesario ser persona jurídica pero el oferente no entrega el certificado de existencia y representación legal que lo acredita o éste es demasiado antiguo, la entidad contratante podría requerir al interesado para que haga entrega del mismo o lo actualice, pero no para que se constituya la sociedad con posterioridad al cierre del proceso, pues si ello no se había hecho, significa simplemente que el oferente no tenía la condición para participar</w:t>
      </w:r>
      <w:r>
        <w:rPr>
          <w:rFonts w:ascii="Verdana" w:eastAsia="Arial" w:hAnsi="Verdana" w:cs="Arial"/>
          <w:color w:val="000000"/>
          <w:sz w:val="21"/>
          <w:szCs w:val="21"/>
        </w:rPr>
        <w:t>”</w:t>
      </w:r>
      <w:r w:rsidRPr="00C64261">
        <w:rPr>
          <w:rFonts w:ascii="Verdana" w:eastAsia="Arial" w:hAnsi="Verdana" w:cs="Arial"/>
          <w:color w:val="000000"/>
          <w:sz w:val="21"/>
          <w:szCs w:val="21"/>
          <w:vertAlign w:val="superscript"/>
        </w:rPr>
        <w:footnoteReference w:id="8"/>
      </w:r>
      <w:r w:rsidRPr="00C64261">
        <w:rPr>
          <w:rFonts w:ascii="Verdana" w:eastAsia="Arial" w:hAnsi="Verdana" w:cs="Arial"/>
          <w:color w:val="000000"/>
          <w:sz w:val="21"/>
          <w:szCs w:val="21"/>
        </w:rPr>
        <w:t>.</w:t>
      </w:r>
    </w:p>
    <w:p w14:paraId="484D9712" w14:textId="77777777" w:rsidR="008A3D05" w:rsidRPr="00C64261" w:rsidRDefault="008A3D05" w:rsidP="008A3D05">
      <w:pPr>
        <w:spacing w:after="0" w:line="276" w:lineRule="auto"/>
        <w:jc w:val="both"/>
        <w:rPr>
          <w:rFonts w:ascii="Verdana" w:eastAsia="Arial" w:hAnsi="Verdana" w:cs="Arial"/>
          <w:color w:val="000000"/>
        </w:rPr>
      </w:pPr>
    </w:p>
    <w:p w14:paraId="63A95A0A" w14:textId="77777777" w:rsidR="008A3D05" w:rsidRPr="00C64261" w:rsidRDefault="008A3D05" w:rsidP="008A3D05">
      <w:pPr>
        <w:spacing w:after="120" w:line="276" w:lineRule="auto"/>
        <w:ind w:firstLine="709"/>
        <w:jc w:val="both"/>
        <w:rPr>
          <w:rFonts w:ascii="Verdana" w:eastAsia="Arial" w:hAnsi="Verdana" w:cs="Arial"/>
          <w:color w:val="000000"/>
        </w:rPr>
      </w:pPr>
      <w:r w:rsidRPr="00C64261">
        <w:rPr>
          <w:rFonts w:ascii="Verdana" w:eastAsia="Arial" w:hAnsi="Verdana" w:cs="Arial"/>
          <w:color w:val="000000"/>
        </w:rPr>
        <w:t xml:space="preserve">De conformidad con el artículo 5 de la Ley 1882 de 2018, lo subsanable es la prueba de todas las circunstancias ocurridas antes del vencimiento del término para presentar las ofertas; eso es lo que implica la prohibición de acreditar circunstancias ocurridas con posterioridad al “cierre del proceso”. Lo anterior evita, por ejemplo, que se presenten oferentes que no cumplían con los requisitos para participar al momento de presentar las ofertas, y pretendan cumplirlos durante el proceso de selección o, inclusive, que se puedan variar condiciones de la oferta una vez presentada. </w:t>
      </w:r>
    </w:p>
    <w:p w14:paraId="72F01CED" w14:textId="77777777" w:rsidR="008A3D05" w:rsidRPr="00C64261" w:rsidRDefault="008A3D05" w:rsidP="008A3D05">
      <w:pPr>
        <w:spacing w:after="120" w:line="276" w:lineRule="auto"/>
        <w:ind w:firstLine="709"/>
        <w:jc w:val="both"/>
        <w:rPr>
          <w:rFonts w:ascii="Verdana" w:eastAsia="Arial" w:hAnsi="Verdana" w:cs="Arial"/>
          <w:color w:val="000000"/>
        </w:rPr>
      </w:pPr>
      <w:r w:rsidRPr="00C64261">
        <w:rPr>
          <w:rFonts w:ascii="Verdana" w:eastAsia="Arial" w:hAnsi="Verdana" w:cs="Arial"/>
          <w:color w:val="000000"/>
        </w:rPr>
        <w:t xml:space="preserve">Un mejor entendimiento del significado de la expresión “circunstancias ocurridas con posterioridad al cierre del proceso” lleva necesariamente a distinguir entre la prueba de un hecho y el hecho mismo. En el caso de la subsanabilidad de las ofertas, una cosa es el requisito habilitante o el elemento de la propuesta y otra su prueba. Lo que prohíbe la norma es que se subsanen requisitos que no estaban cumplidos al momento de presentar la oferta, o en palabras de la ley, que se acrediten hechos que ocurrieron después del cierre del proceso. </w:t>
      </w:r>
    </w:p>
    <w:p w14:paraId="0092B480" w14:textId="77777777" w:rsidR="008A3D05" w:rsidRPr="00C64261" w:rsidRDefault="008A3D05" w:rsidP="008A3D05">
      <w:pPr>
        <w:spacing w:after="120" w:line="276" w:lineRule="auto"/>
        <w:ind w:firstLine="709"/>
        <w:jc w:val="both"/>
        <w:rPr>
          <w:rFonts w:ascii="Verdana" w:eastAsia="Arial" w:hAnsi="Verdana" w:cs="Arial"/>
          <w:color w:val="000000"/>
        </w:rPr>
      </w:pPr>
      <w:r w:rsidRPr="00C64261">
        <w:rPr>
          <w:rFonts w:ascii="Verdana" w:eastAsia="Arial" w:hAnsi="Verdana" w:cs="Arial"/>
          <w:color w:val="000000"/>
        </w:rPr>
        <w:t>Por ejemplo: i) si un oferente olvidó adjuntar con su propuesta el certificado que da cuenta de su inscripción en el RUP, el requisito será subsanable siempre que la prueba allegada demuestre que el hecho, esto es, la inscripción en el registro, ocurrió con anterioridad al cierre del proceso; ii) si un oferente presentó la propuesta sin aportar la autorización al representante legal, por parte de la junta directiva de la sociedad, el certificado, aunque sea posterior, debe dar cuenta de que el hecho que pretende acreditar –la autorización de la junta– ocurrió antes del vencimiento del término para ofertar</w:t>
      </w:r>
      <w:r w:rsidRPr="00C64261">
        <w:rPr>
          <w:rFonts w:ascii="Verdana" w:eastAsia="Arial" w:hAnsi="Verdana" w:cs="Arial"/>
          <w:color w:val="000000"/>
          <w:vertAlign w:val="superscript"/>
        </w:rPr>
        <w:footnoteReference w:id="9"/>
      </w:r>
      <w:r w:rsidRPr="00C64261">
        <w:rPr>
          <w:rFonts w:ascii="Verdana" w:eastAsia="Arial" w:hAnsi="Verdana" w:cs="Arial"/>
          <w:color w:val="000000"/>
        </w:rPr>
        <w:t>; iii) si un oferente no anexó el certificado de existencia y representación legal, el documento aportado con posterioridad debe dar cuenta de que la sociedad existe desde antes del cierre del proceso</w:t>
      </w:r>
      <w:r w:rsidRPr="00C64261">
        <w:rPr>
          <w:rFonts w:ascii="Verdana" w:eastAsia="Arial" w:hAnsi="Verdana" w:cs="Arial"/>
          <w:color w:val="000000"/>
          <w:vertAlign w:val="superscript"/>
        </w:rPr>
        <w:footnoteReference w:id="10"/>
      </w:r>
      <w:r w:rsidRPr="00C64261">
        <w:rPr>
          <w:rFonts w:ascii="Verdana" w:eastAsia="Arial" w:hAnsi="Verdana" w:cs="Arial"/>
          <w:color w:val="000000"/>
        </w:rPr>
        <w:t xml:space="preserve">; iv) si un oferente olvidó adjuntar un certificado que demuestra un título universitario, el documento, aunque tenga fecha posterior al cierre del proceso, debe acreditar que el título académico se obtuvo con anterioridad al cierre del proceso; v) si un oferente no aportó un certificado de experiencia, el documento que subsana –sin importar que tenga fecha posterior– debe demostrar que la experiencia que se pretende hacer valer se obtuvo antes de vencerse el término para presentar ofertas, y vi) si el </w:t>
      </w:r>
      <w:r w:rsidRPr="00C64261">
        <w:rPr>
          <w:rFonts w:ascii="Verdana" w:eastAsia="Arial" w:hAnsi="Verdana" w:cs="Arial"/>
          <w:color w:val="000000"/>
        </w:rPr>
        <w:lastRenderedPageBreak/>
        <w:t xml:space="preserve">oferente olvidó firmar la propuesta o presentar una copia de ella, puede subsanar sin que se entienda que acreditó una circunstancia ocurrida con posterioridad al cierre del proceso. </w:t>
      </w:r>
    </w:p>
    <w:p w14:paraId="1723447B" w14:textId="77777777" w:rsidR="008A3D05" w:rsidRPr="00C64261" w:rsidRDefault="008A3D05" w:rsidP="008A3D05">
      <w:pPr>
        <w:spacing w:after="120" w:line="276" w:lineRule="auto"/>
        <w:ind w:firstLine="709"/>
        <w:jc w:val="both"/>
        <w:rPr>
          <w:rFonts w:ascii="Verdana" w:eastAsia="Arial" w:hAnsi="Verdana" w:cs="Arial"/>
          <w:color w:val="000000"/>
        </w:rPr>
      </w:pPr>
      <w:r w:rsidRPr="00C64261">
        <w:rPr>
          <w:rFonts w:ascii="Verdana" w:eastAsia="Arial" w:hAnsi="Verdana" w:cs="Arial"/>
          <w:color w:val="000000"/>
        </w:rPr>
        <w:t>Lo anterior quiere decir que no es la prueba –usualmente un documento– lo que debe ser anterior al cierre del proceso, sino el hecho que ella acredita, es decir, ante la solicitud de la Administración de subsanar un requisito, el documento podría estar fechado con posterioridad al vencimiento del término para recibir propuestas, siempre y cuando el hecho que acredite haya ocurrido antes, esto es, que no sea una circunstancia ocurrida con posterioridad al cierre del proceso. Es por ello que el Consejo de Estado sostiene que “lo que se subsana es la prueba y no la condición habilitante o un elemento de la propuesta (...) lo que se puede remediar es la prueba y no el requisito: La posibilidad debe recaer exclusivamente sobre circunstancias acaecidas antes del cierre del respectivo proceso, esto es, del vencimiento del plazo para presentar ofertas”</w:t>
      </w:r>
      <w:r w:rsidRPr="00C64261">
        <w:rPr>
          <w:rFonts w:ascii="Verdana" w:eastAsia="Arial" w:hAnsi="Verdana" w:cs="Arial"/>
          <w:color w:val="000000"/>
          <w:vertAlign w:val="superscript"/>
        </w:rPr>
        <w:footnoteReference w:id="11"/>
      </w:r>
      <w:r w:rsidRPr="00C64261">
        <w:rPr>
          <w:rFonts w:ascii="Verdana" w:eastAsia="Arial" w:hAnsi="Verdana" w:cs="Arial"/>
          <w:color w:val="000000"/>
        </w:rPr>
        <w:t xml:space="preserve">. </w:t>
      </w:r>
    </w:p>
    <w:p w14:paraId="3F06DC15" w14:textId="77777777" w:rsidR="008A3D05" w:rsidRPr="00C64261" w:rsidRDefault="008A3D05" w:rsidP="008A3D05">
      <w:pPr>
        <w:spacing w:after="120" w:line="276" w:lineRule="auto"/>
        <w:ind w:firstLine="709"/>
        <w:jc w:val="both"/>
        <w:rPr>
          <w:rFonts w:ascii="Verdana" w:eastAsia="Arial" w:hAnsi="Verdana" w:cs="Arial"/>
          <w:color w:val="000000"/>
        </w:rPr>
      </w:pPr>
      <w:r w:rsidRPr="00C64261">
        <w:rPr>
          <w:rFonts w:ascii="Verdana" w:eastAsia="Arial" w:hAnsi="Verdana" w:cs="Arial"/>
          <w:color w:val="000000"/>
        </w:rPr>
        <w:t>En tal sentido, esta Subdirección, en concepto emitido en respuesta a la Consulta 4201912000007418 del 30 de octubre de 2019, analizó si era o no posible subsanar el RUP vencido, para lo cual precisó el alcance de la prohibición de permitir subsanar circunstancias ocurridas con posterioridad al cierre del procedimiento de selección. Asimismo, indicó que no es relevante que, al subsanar dichos documentos, su fecha de actualización sea posterior a la del cierre, sino que las circunstancias que acrediten hayan ocurrido antes.</w:t>
      </w:r>
    </w:p>
    <w:p w14:paraId="0535D5DB" w14:textId="77777777" w:rsidR="008A3D05" w:rsidRPr="00C64261" w:rsidRDefault="008A3D05" w:rsidP="008A3D05">
      <w:pPr>
        <w:spacing w:after="120" w:line="276" w:lineRule="auto"/>
        <w:ind w:firstLine="709"/>
        <w:jc w:val="both"/>
        <w:rPr>
          <w:rFonts w:ascii="Verdana" w:eastAsia="Arial" w:hAnsi="Verdana" w:cs="Arial"/>
          <w:color w:val="000000"/>
        </w:rPr>
      </w:pPr>
      <w:r w:rsidRPr="00C64261">
        <w:rPr>
          <w:rFonts w:ascii="Verdana" w:eastAsia="Arial" w:hAnsi="Verdana" w:cs="Arial"/>
          <w:color w:val="000000"/>
        </w:rPr>
        <w:t xml:space="preserve">Esta tesis fue reiterada por la Agencia Nacional de Contratación Pública – Colombia Compra Eficiente en el concepto con radicado 4201912000008198, en el que indicó que las certificaciones de experiencia que no otorgaran puntaje podían aportarse corregidos o incluso, en reemplazo de las que no cumplieran el requisito habilitante, siempre que en los documentos aportados en la etapa de subsanabilidad no se acreditara experiencia adquirida con posterioridad al cierre del procedimiento de selección. Por tanto, señaló que “[…] el oferente podrá acreditar su experiencia con certificaciones de contratos diferentes a los inicialmente aportados, siempre que acrediten la experiencia adquirida antes del cierre del proceso”, pero que “Si las certificaciones prueban que la experiencia del proponente se adquirió con posterioridad al cierre del proceso no se podrá aportar, porque esto implicaría una mejora, adición o complemento de la oferta”. </w:t>
      </w:r>
    </w:p>
    <w:p w14:paraId="7D59E19C" w14:textId="77777777" w:rsidR="008A3D05" w:rsidRPr="00C64261" w:rsidRDefault="008A3D05" w:rsidP="008A3D05">
      <w:pPr>
        <w:spacing w:after="120" w:line="276" w:lineRule="auto"/>
        <w:ind w:firstLine="709"/>
        <w:jc w:val="both"/>
        <w:rPr>
          <w:rFonts w:ascii="Verdana" w:eastAsia="Arial" w:hAnsi="Verdana" w:cs="Arial"/>
          <w:color w:val="000000"/>
        </w:rPr>
      </w:pPr>
      <w:r w:rsidRPr="00C64261">
        <w:rPr>
          <w:rFonts w:ascii="Verdana" w:eastAsia="Arial" w:hAnsi="Verdana" w:cs="Arial"/>
          <w:color w:val="000000"/>
        </w:rPr>
        <w:lastRenderedPageBreak/>
        <w:t xml:space="preserve">Una reiteración de la postura de esta Subdirección, según la cual la subsanabilidad procede sobre todos aquellos requisitos que no otorguen puntaje, siempre que no se trate de entregar la garantía de seriedad de la oferta no aportada antes del cierre del procedimiento de selección, y bajo la condición de que no se acrediten hechos ocurridos con posterioridad a dicho momento, se encuentra en los conceptos: 2201913000008048 del 28 de octubre de 2019 –que indicó que no era posible, so pretexto de subsanar, modificar el porcentaje de participación en un consorcio o unión temporal, porque esto comportaba cambiar la oferta, acreditando circunstancias posteriores al cierre–; 2201913000008850 del 29 de noviembre de 2019 –en el que sostuvo que un proponente podría subsanar la experiencia, en tanto requisito habilitante, o sea, que no otorgara puntaje, aportando nuevas certificaciones, siempre que con ellas no se probara una experiencia que no se tenía antes del cierre–; 2201913000009373 del 17 de diciembre de 2019 –en el cual se expresó que la carta de conformación de un consorcio es un documento subsanable, bajo la condición de que el documento aportado permita constatar que el consorcio se conformó antes del vencimiento del término para la presentación de las propuestas–; 2201913000008049 del 28 de octubre de 2019 –en el que se reiteró que no es posible variar el porcentaje de participación en una unión temporal, porque implicaría una modificación de la oferta y la acreditación de un aspecto que es posterior al cierre del procedimiento de selección–. </w:t>
      </w:r>
    </w:p>
    <w:p w14:paraId="7C312091" w14:textId="77777777" w:rsidR="008A3D05" w:rsidRPr="00C64261" w:rsidRDefault="008A3D05" w:rsidP="008A3D05">
      <w:pPr>
        <w:spacing w:after="120" w:line="276" w:lineRule="auto"/>
        <w:ind w:firstLine="709"/>
        <w:jc w:val="both"/>
        <w:rPr>
          <w:rFonts w:ascii="Verdana" w:eastAsia="Arial" w:hAnsi="Verdana" w:cs="Arial"/>
          <w:color w:val="000000"/>
        </w:rPr>
      </w:pPr>
      <w:r w:rsidRPr="00C64261">
        <w:rPr>
          <w:rFonts w:ascii="Verdana" w:eastAsia="Arial" w:hAnsi="Verdana" w:cs="Arial"/>
          <w:color w:val="000000"/>
        </w:rPr>
        <w:t xml:space="preserve">Visto lo anterior, una vez verificada la ausencia de requisitos y/o documentos de la oferta, para saber si se puede subsanar, la Administración se debe preguntar, en primer lugar, si lo que hace falta es un documento o información que otorga puntaje o no y, en segundo lugar, si el cumplimiento del requisito constituye una circunstancia ocurrida con anterioridad o con posterioridad al cierre del proceso. Para arribar a la conclusión de que lo omitido puede subsanarse, la respuesta al primer interrogante debe ser negativa, es decir, que lo omitido no sea un factor que otorgue puntaje, y la respuesta al segundo interrogante debe dar cuenta de que lo omitido sea la prueba de una circunstancia o hecho que ocurrió con anterioridad al cierre del proceso. </w:t>
      </w:r>
    </w:p>
    <w:p w14:paraId="03BB6778" w14:textId="77777777" w:rsidR="008A3D05" w:rsidRDefault="008A3D05" w:rsidP="008A3D05">
      <w:pPr>
        <w:spacing w:after="120" w:line="276" w:lineRule="auto"/>
        <w:ind w:firstLine="709"/>
        <w:jc w:val="both"/>
        <w:rPr>
          <w:rFonts w:ascii="Verdana" w:eastAsia="Arial" w:hAnsi="Verdana" w:cs="Arial"/>
          <w:color w:val="000000"/>
        </w:rPr>
      </w:pPr>
      <w:r w:rsidRPr="00C64261">
        <w:rPr>
          <w:rFonts w:ascii="Verdana" w:eastAsia="Arial" w:hAnsi="Verdana" w:cs="Arial"/>
          <w:color w:val="000000"/>
        </w:rPr>
        <w:t>Finalmente, el parágrafo 3 del artículo 5 de la Ley 1882 de 2018 determinó, de manera expresa, que “la no entrega de la garantía de seriedad junto con la propuesta no será subsanable y será causal de rechazo de la misma”, dejando claro que se trata de un documento de obligatoria presentación junto con la propuesta y que materializa los principios de seriedad e irrevocabilidad de la oferta.</w:t>
      </w:r>
    </w:p>
    <w:p w14:paraId="477D25C2" w14:textId="77777777" w:rsidR="008A3D05" w:rsidRDefault="008A3D05" w:rsidP="008A3D05">
      <w:pPr>
        <w:spacing w:after="120" w:line="276" w:lineRule="auto"/>
        <w:ind w:firstLine="709"/>
        <w:jc w:val="both"/>
        <w:rPr>
          <w:rFonts w:ascii="Verdana" w:eastAsia="Arial" w:hAnsi="Verdana" w:cs="Arial"/>
          <w:color w:val="000000"/>
        </w:rPr>
      </w:pPr>
      <w:r>
        <w:rPr>
          <w:rFonts w:ascii="Verdana" w:eastAsia="Arial" w:hAnsi="Verdana" w:cs="Arial"/>
          <w:color w:val="000000"/>
        </w:rPr>
        <w:lastRenderedPageBreak/>
        <w:t xml:space="preserve">Pero ¿cómo opera esta regla de subsanabilidad en los procedimientos en que se utilice el mecanismo de subasta? </w:t>
      </w:r>
    </w:p>
    <w:p w14:paraId="271E620A" w14:textId="77777777" w:rsidR="008A3D05" w:rsidRPr="008B36D4" w:rsidRDefault="008A3D05" w:rsidP="008A3D05">
      <w:pPr>
        <w:autoSpaceDE w:val="0"/>
        <w:autoSpaceDN w:val="0"/>
        <w:adjustRightInd w:val="0"/>
        <w:spacing w:after="120" w:line="276" w:lineRule="auto"/>
        <w:ind w:firstLine="708"/>
        <w:jc w:val="both"/>
        <w:rPr>
          <w:rFonts w:ascii="Verdana" w:hAnsi="Verdana" w:cs="Arial"/>
          <w:lang w:val="es-MX"/>
          <w14:ligatures w14:val="standardContextual"/>
        </w:rPr>
      </w:pPr>
      <w:r w:rsidRPr="008B36D4">
        <w:rPr>
          <w:rFonts w:ascii="Verdana" w:eastAsia="Arial" w:hAnsi="Verdana" w:cs="Arial"/>
          <w:color w:val="000000"/>
        </w:rPr>
        <w:t xml:space="preserve">En primer lugar, </w:t>
      </w:r>
      <w:r>
        <w:rPr>
          <w:rFonts w:ascii="Verdana" w:hAnsi="Verdana" w:cs="Arial"/>
          <w:lang w:val="es-MX"/>
          <w14:ligatures w14:val="standardContextual"/>
        </w:rPr>
        <w:t>l</w:t>
      </w:r>
      <w:r w:rsidRPr="008B36D4">
        <w:rPr>
          <w:rFonts w:ascii="Verdana" w:hAnsi="Verdana" w:cs="Arial"/>
          <w:lang w:val="es-MX"/>
          <w14:ligatures w14:val="standardContextual"/>
        </w:rPr>
        <w:t>a subasta inversa es un mecanismo que se concibió con la finalidad de introducir una metodología alternativa para el proceso de negociación y perfeccionamiento del contrato estatal. Su regulación se encuentra en el artículo 2 de la Ley 1150 de 2007, en donde se indica que la figura tiene como finalidad confrontar, de manera dinámica, las distintas ofertas que pueden presentarse para los procesos de licitación pública, para los procesos de selección abreviada que tienen por finalidad la adquisición de bienes y servicios de características técnicas uniformes y de común utilización, y en los procesos de enajenación de bienes del Estado</w:t>
      </w:r>
      <w:r w:rsidRPr="008B36D4">
        <w:rPr>
          <w:rFonts w:ascii="Verdana" w:hAnsi="Verdana" w:cs="Arial"/>
          <w:vertAlign w:val="superscript"/>
          <w:lang w:val="es-MX"/>
          <w14:ligatures w14:val="standardContextual"/>
        </w:rPr>
        <w:footnoteReference w:id="12"/>
      </w:r>
      <w:r w:rsidRPr="008B36D4">
        <w:rPr>
          <w:rFonts w:ascii="Verdana" w:hAnsi="Verdana" w:cs="Arial"/>
          <w:lang w:val="es-MX"/>
          <w14:ligatures w14:val="standardContextual"/>
        </w:rPr>
        <w:t>.  </w:t>
      </w:r>
    </w:p>
    <w:p w14:paraId="53A3D5F3" w14:textId="77777777" w:rsidR="008A3D05" w:rsidRPr="008B36D4" w:rsidRDefault="008A3D05" w:rsidP="008A3D05">
      <w:pPr>
        <w:autoSpaceDE w:val="0"/>
        <w:autoSpaceDN w:val="0"/>
        <w:adjustRightInd w:val="0"/>
        <w:spacing w:after="120" w:line="276" w:lineRule="auto"/>
        <w:ind w:firstLine="709"/>
        <w:jc w:val="both"/>
        <w:rPr>
          <w:rFonts w:ascii="Verdana" w:hAnsi="Verdana" w:cs="Arial"/>
          <w:lang w:val="es-MX"/>
          <w14:ligatures w14:val="standardContextual"/>
        </w:rPr>
      </w:pPr>
      <w:r w:rsidRPr="008B36D4">
        <w:rPr>
          <w:rFonts w:ascii="Verdana" w:hAnsi="Verdana" w:cs="Arial"/>
          <w:lang w:val="es-MX"/>
          <w14:ligatures w14:val="standardContextual"/>
        </w:rPr>
        <w:lastRenderedPageBreak/>
        <w:t>En este contexto, la doctrina ha señalado que “se entiende por subasta inversa para la presentación de la oferta, la puja dinámica, mediante la cual los oferentes, durante un tiempo determinado, ajustan su oferta respecto de aquellas variables susceptibles de ser mejoradas, con el fin de lograr el ofrecimiento que representa la mejor relación costo-beneficio para la entidad, de acuerdo con lo señalado en el pliego de condiciones”</w:t>
      </w:r>
      <w:r w:rsidRPr="008B36D4">
        <w:rPr>
          <w:rFonts w:ascii="Verdana" w:hAnsi="Verdana" w:cs="Arial"/>
          <w:vertAlign w:val="superscript"/>
          <w:lang w:val="es-MX"/>
          <w14:ligatures w14:val="standardContextual"/>
        </w:rPr>
        <w:footnoteReference w:id="13"/>
      </w:r>
      <w:r w:rsidRPr="008B36D4">
        <w:rPr>
          <w:rFonts w:ascii="Verdana" w:hAnsi="Verdana" w:cs="Arial"/>
          <w:lang w:val="es-MX"/>
          <w14:ligatures w14:val="standardContextual"/>
        </w:rPr>
        <w:t>. En igual sentido, la doctrina especializada destaca de este mecanismo que “al encontrarse definidas las características del bien, lo que se va a evaluar únicamente es el precio, porque se entiende que todos los bienes que se propongan tienen idéntica característica técnica al tratarse de bienes comunes, de ahí la falencia de la modalidad de subasta inversa que se tiene en Colombia, en tanto está limitada a la puja con base al precio”</w:t>
      </w:r>
      <w:r w:rsidRPr="008B36D4">
        <w:rPr>
          <w:rFonts w:ascii="Verdana" w:hAnsi="Verdana" w:cs="Arial"/>
          <w:vertAlign w:val="superscript"/>
          <w:lang w:val="es-MX"/>
          <w14:ligatures w14:val="standardContextual"/>
        </w:rPr>
        <w:footnoteReference w:id="14"/>
      </w:r>
      <w:r w:rsidRPr="008B36D4">
        <w:rPr>
          <w:rFonts w:ascii="Verdana" w:hAnsi="Verdana" w:cs="Arial"/>
          <w:lang w:val="es-MX"/>
          <w14:ligatures w14:val="standardContextual"/>
        </w:rPr>
        <w:t>.  </w:t>
      </w:r>
    </w:p>
    <w:p w14:paraId="4F53AD95" w14:textId="77777777" w:rsidR="008A3D05" w:rsidRPr="008B36D4" w:rsidRDefault="008A3D05" w:rsidP="008A3D05">
      <w:pPr>
        <w:spacing w:before="120" w:after="0" w:line="276" w:lineRule="auto"/>
        <w:ind w:firstLine="709"/>
        <w:jc w:val="both"/>
        <w:rPr>
          <w:rFonts w:ascii="Verdana" w:eastAsia="Times New Roman" w:hAnsi="Verdana" w:cs="Arial"/>
          <w:szCs w:val="24"/>
          <w:lang w:val="es-ES_tradnl" w:eastAsia="es-ES_tradnl"/>
          <w14:ligatures w14:val="standardContextual"/>
        </w:rPr>
      </w:pPr>
      <w:bookmarkStart w:id="4" w:name="_Hlk41921892"/>
      <w:r w:rsidRPr="008B36D4">
        <w:rPr>
          <w:rFonts w:ascii="Verdana" w:eastAsia="Times New Roman" w:hAnsi="Verdana" w:cs="Arial"/>
          <w:szCs w:val="24"/>
          <w:lang w:val="es-ES_tradnl" w:eastAsia="es-ES_tradnl"/>
          <w14:ligatures w14:val="standardContextual"/>
        </w:rPr>
        <w:t xml:space="preserve">Ahora bien, como se indicó </w:t>
      </w:r>
      <w:r>
        <w:rPr>
          <w:rFonts w:ascii="Verdana" w:eastAsia="Times New Roman" w:hAnsi="Verdana" w:cs="Arial"/>
          <w:szCs w:val="24"/>
          <w:lang w:val="es-ES_tradnl" w:eastAsia="es-ES_tradnl"/>
          <w14:ligatures w14:val="standardContextual"/>
        </w:rPr>
        <w:t>en párrafos anteriores</w:t>
      </w:r>
      <w:r w:rsidRPr="008B36D4">
        <w:rPr>
          <w:rFonts w:ascii="Verdana" w:eastAsia="Times New Roman" w:hAnsi="Verdana" w:cs="Arial"/>
          <w:szCs w:val="24"/>
          <w:lang w:val="es-ES_tradnl" w:eastAsia="es-ES_tradnl"/>
          <w14:ligatures w14:val="standardContextual"/>
        </w:rPr>
        <w:t xml:space="preserve">, la regla general respecto a la oportunidad para subsanar tiene como excepción, entre otras cosas, el término especial establecido en los procesos de selección en los que se utilice el mecanismo de subasta inversa, para lo cual el artículo 5 de la Ley 1882 de 2018, adicionó el parágrafo 4 al artículo 5 de la Ley 1150 de 2007, en donde se precisa esta regla en los siguientes términos:  </w:t>
      </w:r>
    </w:p>
    <w:p w14:paraId="583712F5" w14:textId="77777777" w:rsidR="008A3D05" w:rsidRPr="008B36D4" w:rsidRDefault="008A3D05" w:rsidP="008A3D05">
      <w:pPr>
        <w:spacing w:after="0" w:line="276" w:lineRule="auto"/>
        <w:ind w:left="709" w:right="709"/>
        <w:jc w:val="both"/>
        <w:rPr>
          <w:rFonts w:ascii="Verdana" w:eastAsia="Times New Roman" w:hAnsi="Verdana" w:cs="Arial"/>
          <w:b/>
          <w:bCs/>
          <w:color w:val="000000"/>
          <w:sz w:val="21"/>
          <w:szCs w:val="21"/>
          <w:lang w:eastAsia="es-ES_tradnl"/>
          <w14:ligatures w14:val="standardContextual"/>
        </w:rPr>
      </w:pPr>
    </w:p>
    <w:p w14:paraId="53DF1513" w14:textId="77777777" w:rsidR="008A3D05" w:rsidRPr="008B36D4" w:rsidRDefault="008A3D05" w:rsidP="008A3D05">
      <w:pPr>
        <w:spacing w:after="0" w:line="240" w:lineRule="auto"/>
        <w:ind w:left="709" w:right="709"/>
        <w:jc w:val="both"/>
        <w:rPr>
          <w:rFonts w:ascii="Verdana" w:eastAsia="Times New Roman" w:hAnsi="Verdana" w:cs="Arial"/>
          <w:color w:val="000000"/>
          <w:sz w:val="21"/>
          <w:szCs w:val="21"/>
          <w:lang w:eastAsia="es-ES_tradnl"/>
          <w14:ligatures w14:val="standardContextual"/>
        </w:rPr>
      </w:pPr>
      <w:r w:rsidRPr="008B36D4">
        <w:rPr>
          <w:rFonts w:ascii="Verdana" w:eastAsia="Times New Roman" w:hAnsi="Verdana" w:cs="Arial"/>
          <w:b/>
          <w:bCs/>
          <w:color w:val="000000"/>
          <w:sz w:val="21"/>
          <w:szCs w:val="21"/>
          <w:lang w:eastAsia="es-ES_tradnl"/>
          <w14:ligatures w14:val="standardContextual"/>
        </w:rPr>
        <w:t>“Parágrafo 4°. </w:t>
      </w:r>
      <w:r w:rsidRPr="008B36D4">
        <w:rPr>
          <w:rFonts w:ascii="Verdana" w:eastAsia="Times New Roman" w:hAnsi="Verdana" w:cs="Arial"/>
          <w:color w:val="000000"/>
          <w:sz w:val="21"/>
          <w:szCs w:val="21"/>
          <w:lang w:eastAsia="es-ES_tradnl"/>
          <w14:ligatures w14:val="standardContextual"/>
        </w:rPr>
        <w:t xml:space="preserve">En aquellos procesos de selección en los que se utilice el mecanismo de subasta, los documentos referentes a la futura contratación o al proponente, no necesarios para la comparación de las propuestas, </w:t>
      </w:r>
      <w:r w:rsidRPr="008B36D4">
        <w:rPr>
          <w:rFonts w:ascii="Verdana" w:eastAsia="Times New Roman" w:hAnsi="Verdana" w:cs="Arial"/>
          <w:i/>
          <w:iCs/>
          <w:color w:val="000000"/>
          <w:sz w:val="21"/>
          <w:szCs w:val="21"/>
          <w:lang w:eastAsia="es-ES_tradnl"/>
          <w14:ligatures w14:val="standardContextual"/>
        </w:rPr>
        <w:t>deberán ser solicitados</w:t>
      </w:r>
      <w:r w:rsidRPr="008B36D4">
        <w:rPr>
          <w:rFonts w:ascii="Verdana" w:eastAsia="Times New Roman" w:hAnsi="Verdana" w:cs="Arial"/>
          <w:color w:val="000000"/>
          <w:sz w:val="21"/>
          <w:szCs w:val="21"/>
          <w:lang w:eastAsia="es-ES_tradnl"/>
          <w14:ligatures w14:val="standardContextual"/>
        </w:rPr>
        <w:t xml:space="preserve"> hasta el momento previo a su realización (Cursiva fuera de texto)”. </w:t>
      </w:r>
    </w:p>
    <w:p w14:paraId="30384C1A" w14:textId="77777777" w:rsidR="008A3D05" w:rsidRPr="008B36D4" w:rsidRDefault="008A3D05" w:rsidP="008A3D05">
      <w:pPr>
        <w:spacing w:after="0" w:line="276" w:lineRule="auto"/>
        <w:ind w:left="709" w:right="709"/>
        <w:jc w:val="both"/>
        <w:rPr>
          <w:rFonts w:ascii="Verdana" w:eastAsia="Times New Roman" w:hAnsi="Verdana" w:cs="Arial"/>
          <w:color w:val="000000"/>
          <w:lang w:eastAsia="es-ES_tradnl"/>
          <w14:ligatures w14:val="standardContextual"/>
        </w:rPr>
      </w:pPr>
    </w:p>
    <w:p w14:paraId="7ACC3EE2" w14:textId="77777777" w:rsidR="008A3D05" w:rsidRPr="008B36D4" w:rsidRDefault="008A3D05" w:rsidP="008A3D05">
      <w:pPr>
        <w:spacing w:after="120" w:line="276" w:lineRule="auto"/>
        <w:ind w:right="51"/>
        <w:jc w:val="both"/>
        <w:rPr>
          <w:rFonts w:ascii="Verdana" w:eastAsia="Times New Roman" w:hAnsi="Verdana" w:cs="Arial"/>
          <w:color w:val="000000"/>
          <w:szCs w:val="24"/>
          <w:lang w:eastAsia="es-ES_tradnl"/>
          <w14:ligatures w14:val="standardContextual"/>
        </w:rPr>
      </w:pPr>
      <w:r w:rsidRPr="008B36D4">
        <w:rPr>
          <w:rFonts w:ascii="Verdana" w:eastAsia="Times New Roman" w:hAnsi="Verdana" w:cs="Arial"/>
          <w:color w:val="000000"/>
          <w:szCs w:val="24"/>
          <w:lang w:eastAsia="es-ES_tradnl"/>
          <w14:ligatures w14:val="standardContextual"/>
        </w:rPr>
        <w:tab/>
        <w:t xml:space="preserve">Tal como se expresó en los conceptos C-267 y C-283 del 5 de mayo de 2020, si se analiza la norma transcrita, no es difícil llegar a la conclusión relativa a que esta contiene una regla muy parecida respecto a la oportunidad para subsanar en los procesos de subasta, a la contenida en la parte final del inciso primero del artículo 5 de la Ley 1150 de 2007, antes de ser modificada por la Ley 1882 de 2018, siendo en esencia la misma, con la precisión adicional respecto de los documentos susceptibles de subsanación. Esta regla cosiste en la fijación del momento previo al inicio de la audiencia de subasta, como el tiempo límite para que se solicite la subsanación de los documentos faltantes </w:t>
      </w:r>
      <w:r w:rsidRPr="008B36D4">
        <w:rPr>
          <w:rFonts w:ascii="Verdana" w:eastAsia="Times New Roman" w:hAnsi="Verdana" w:cs="Arial"/>
          <w:color w:val="000000"/>
          <w:szCs w:val="24"/>
          <w:lang w:eastAsia="es-ES_tradnl"/>
          <w14:ligatures w14:val="standardContextual"/>
        </w:rPr>
        <w:lastRenderedPageBreak/>
        <w:t>hasta entonces no presentados por los proponentes o, en general, susceptibles de subsanarse.</w:t>
      </w:r>
    </w:p>
    <w:p w14:paraId="08956236" w14:textId="77777777" w:rsidR="008A3D05" w:rsidRPr="008B36D4" w:rsidRDefault="008A3D05" w:rsidP="008A3D05">
      <w:pPr>
        <w:spacing w:after="0" w:line="276" w:lineRule="auto"/>
        <w:ind w:right="51"/>
        <w:jc w:val="both"/>
        <w:rPr>
          <w:rFonts w:ascii="Verdana" w:eastAsia="Times New Roman" w:hAnsi="Verdana" w:cs="Arial"/>
          <w:color w:val="000000"/>
          <w:szCs w:val="24"/>
          <w:lang w:eastAsia="es-ES_tradnl"/>
          <w14:ligatures w14:val="standardContextual"/>
        </w:rPr>
      </w:pPr>
      <w:r w:rsidRPr="008B36D4">
        <w:rPr>
          <w:rFonts w:ascii="Verdana" w:eastAsia="Times New Roman" w:hAnsi="Verdana" w:cs="Arial"/>
          <w:color w:val="000000"/>
          <w:szCs w:val="24"/>
          <w:lang w:eastAsia="es-ES_tradnl"/>
          <w14:ligatures w14:val="standardContextual"/>
        </w:rPr>
        <w:tab/>
        <w:t xml:space="preserve">De esta manera, a juicio de esta Subdirección, lo que supone dicha regulación no es que los proponentes tengan la facultad de presentar los documentos referentes a la futura contratación no necesarios para la comparación de las propuestas en cualquier momento anterior al inicio de la subasta, o que estén habilitados para retener tal documentación hasta dicho momento, ya que lo que hace el parágrafo 4° </w:t>
      </w:r>
      <w:r w:rsidRPr="008B36D4">
        <w:rPr>
          <w:rFonts w:ascii="Verdana" w:eastAsia="Times New Roman" w:hAnsi="Verdana" w:cs="Arial"/>
          <w:i/>
          <w:iCs/>
          <w:color w:val="000000"/>
          <w:szCs w:val="24"/>
          <w:lang w:eastAsia="es-ES_tradnl"/>
          <w14:ligatures w14:val="standardContextual"/>
        </w:rPr>
        <w:t xml:space="preserve">Ibídem </w:t>
      </w:r>
      <w:r w:rsidRPr="008B36D4">
        <w:rPr>
          <w:rFonts w:ascii="Verdana" w:eastAsia="Times New Roman" w:hAnsi="Verdana" w:cs="Arial"/>
          <w:color w:val="000000"/>
          <w:szCs w:val="24"/>
          <w:lang w:eastAsia="es-ES_tradnl"/>
          <w14:ligatures w14:val="standardContextual"/>
        </w:rPr>
        <w:t>es fijar el momento hasta el cual las respectivas entidades pueden requerir a los proponentes la subsanación de los documentos faltantes. Lo anterior, fue aclarado por la Sección Tercera del Consejo de Estado en vigencia del texto original del parágrafo 1 de la Ley 1150 de 2007, respecto de la regla general de subsanabilidad, que fijaba la adjudicación como momento límite para subsanar, mediante consideraciones que se extienden a la regla de subasta, en los siguientes términos:</w:t>
      </w:r>
    </w:p>
    <w:p w14:paraId="65E559B4" w14:textId="77777777" w:rsidR="008A3D05" w:rsidRPr="008B36D4" w:rsidRDefault="008A3D05" w:rsidP="008A3D05">
      <w:pPr>
        <w:spacing w:after="0" w:line="276" w:lineRule="auto"/>
        <w:ind w:right="51"/>
        <w:jc w:val="both"/>
        <w:rPr>
          <w:rFonts w:ascii="Verdana" w:eastAsia="Times New Roman" w:hAnsi="Verdana" w:cs="Arial"/>
          <w:color w:val="000000"/>
          <w:szCs w:val="24"/>
          <w:lang w:eastAsia="es-ES_tradnl"/>
          <w14:ligatures w14:val="standardContextual"/>
        </w:rPr>
      </w:pPr>
    </w:p>
    <w:p w14:paraId="2AAF2F0D" w14:textId="77777777" w:rsidR="008A3D05" w:rsidRPr="008B36D4" w:rsidRDefault="008A3D05" w:rsidP="008A3D05">
      <w:pPr>
        <w:tabs>
          <w:tab w:val="left" w:pos="426"/>
          <w:tab w:val="left" w:pos="709"/>
          <w:tab w:val="left" w:pos="1368"/>
          <w:tab w:val="left" w:pos="1416"/>
          <w:tab w:val="left" w:pos="2832"/>
          <w:tab w:val="left" w:pos="3540"/>
          <w:tab w:val="left" w:pos="4956"/>
          <w:tab w:val="left" w:pos="5664"/>
          <w:tab w:val="left" w:pos="6372"/>
          <w:tab w:val="left" w:pos="7080"/>
          <w:tab w:val="left" w:pos="8379"/>
          <w:tab w:val="left" w:pos="8760"/>
        </w:tabs>
        <w:suppressAutoHyphens/>
        <w:overflowPunct w:val="0"/>
        <w:autoSpaceDE w:val="0"/>
        <w:autoSpaceDN w:val="0"/>
        <w:adjustRightInd w:val="0"/>
        <w:spacing w:after="0" w:line="240" w:lineRule="auto"/>
        <w:ind w:left="709" w:right="709"/>
        <w:jc w:val="both"/>
        <w:rPr>
          <w:rFonts w:ascii="Verdana" w:eastAsia="Times New Roman" w:hAnsi="Verdana" w:cs="Arial"/>
          <w:sz w:val="21"/>
          <w:szCs w:val="21"/>
          <w:lang w:val="es-ES" w:eastAsia="es-ES_tradnl"/>
          <w14:ligatures w14:val="standardContextual"/>
        </w:rPr>
      </w:pPr>
      <w:r w:rsidRPr="008B36D4">
        <w:rPr>
          <w:rFonts w:ascii="Verdana" w:eastAsia="Times New Roman" w:hAnsi="Verdana" w:cs="Arial"/>
          <w:sz w:val="21"/>
          <w:szCs w:val="21"/>
          <w:lang w:eastAsia="es-ES_tradnl"/>
          <w14:ligatures w14:val="standardContextual"/>
        </w:rPr>
        <w:t>“[S]i bien es obligación de la entidad permitir que se aclaren, expliquen o subsanen los defectos de las ofertas susceptibles de esa oportunidad, y por ende es un derecho de los participantes que se lo soliciten, se trata de una oportunidad temporalmente limitada, cuyo término define la administración, y es preclusivo para subsanar o aclarar; y si el proponente no corrige o explica dentro del estricto plazo conferido […]</w:t>
      </w:r>
    </w:p>
    <w:p w14:paraId="1DACC557" w14:textId="77777777" w:rsidR="008A3D05" w:rsidRPr="008B36D4" w:rsidRDefault="008A3D05" w:rsidP="008A3D05">
      <w:pPr>
        <w:tabs>
          <w:tab w:val="left" w:pos="426"/>
          <w:tab w:val="left" w:pos="709"/>
          <w:tab w:val="left" w:pos="1368"/>
          <w:tab w:val="left" w:pos="1416"/>
          <w:tab w:val="left" w:pos="2832"/>
          <w:tab w:val="left" w:pos="3540"/>
          <w:tab w:val="left" w:pos="4956"/>
          <w:tab w:val="left" w:pos="5664"/>
          <w:tab w:val="left" w:pos="6372"/>
          <w:tab w:val="left" w:pos="7080"/>
          <w:tab w:val="left" w:pos="8379"/>
          <w:tab w:val="left" w:pos="8760"/>
        </w:tabs>
        <w:suppressAutoHyphens/>
        <w:overflowPunct w:val="0"/>
        <w:autoSpaceDE w:val="0"/>
        <w:autoSpaceDN w:val="0"/>
        <w:adjustRightInd w:val="0"/>
        <w:spacing w:after="0" w:line="240" w:lineRule="auto"/>
        <w:ind w:left="709" w:right="709"/>
        <w:jc w:val="both"/>
        <w:rPr>
          <w:rFonts w:ascii="Verdana" w:eastAsia="Times New Roman" w:hAnsi="Verdana" w:cs="Arial"/>
          <w:sz w:val="21"/>
          <w:szCs w:val="21"/>
          <w:lang w:eastAsia="es-ES_tradnl"/>
          <w14:ligatures w14:val="standardContextual"/>
        </w:rPr>
      </w:pPr>
    </w:p>
    <w:p w14:paraId="081B5641" w14:textId="77777777" w:rsidR="008A3D05" w:rsidRPr="008B36D4" w:rsidRDefault="008A3D05" w:rsidP="008A3D05">
      <w:pPr>
        <w:tabs>
          <w:tab w:val="left" w:pos="426"/>
          <w:tab w:val="left" w:pos="709"/>
          <w:tab w:val="left" w:pos="1368"/>
          <w:tab w:val="left" w:pos="1416"/>
          <w:tab w:val="left" w:pos="2832"/>
          <w:tab w:val="left" w:pos="3540"/>
          <w:tab w:val="left" w:pos="4956"/>
          <w:tab w:val="left" w:pos="5664"/>
          <w:tab w:val="left" w:pos="6372"/>
          <w:tab w:val="left" w:pos="7080"/>
          <w:tab w:val="left" w:pos="8379"/>
          <w:tab w:val="left" w:pos="8760"/>
        </w:tabs>
        <w:suppressAutoHyphens/>
        <w:overflowPunct w:val="0"/>
        <w:autoSpaceDE w:val="0"/>
        <w:autoSpaceDN w:val="0"/>
        <w:adjustRightInd w:val="0"/>
        <w:spacing w:after="0" w:line="240" w:lineRule="auto"/>
        <w:ind w:left="709" w:right="709"/>
        <w:jc w:val="both"/>
        <w:rPr>
          <w:rFonts w:ascii="Verdana" w:eastAsia="Times New Roman" w:hAnsi="Verdana" w:cs="Arial"/>
          <w:sz w:val="21"/>
          <w:szCs w:val="21"/>
          <w:lang w:eastAsia="es-ES_tradnl"/>
          <w14:ligatures w14:val="standardContextual"/>
        </w:rPr>
      </w:pPr>
      <w:r w:rsidRPr="008B36D4">
        <w:rPr>
          <w:rFonts w:ascii="Verdana" w:eastAsia="Times New Roman" w:hAnsi="Verdana" w:cs="Arial"/>
          <w:sz w:val="21"/>
          <w:szCs w:val="21"/>
          <w:lang w:eastAsia="es-ES_tradnl"/>
          <w14:ligatures w14:val="standardContextual"/>
        </w:rPr>
        <w:t xml:space="preserve">De la anterior manera se ponderan adecuadamente el </w:t>
      </w:r>
      <w:r w:rsidRPr="008B36D4">
        <w:rPr>
          <w:rFonts w:ascii="Verdana" w:eastAsia="Times New Roman" w:hAnsi="Verdana" w:cs="Arial"/>
          <w:i/>
          <w:sz w:val="21"/>
          <w:szCs w:val="21"/>
          <w:lang w:eastAsia="es-ES_tradnl"/>
          <w14:ligatures w14:val="standardContextual"/>
        </w:rPr>
        <w:t>derecho</w:t>
      </w:r>
      <w:r w:rsidRPr="008B36D4">
        <w:rPr>
          <w:rFonts w:ascii="Verdana" w:eastAsia="Times New Roman" w:hAnsi="Verdana" w:cs="Arial"/>
          <w:sz w:val="21"/>
          <w:szCs w:val="21"/>
          <w:lang w:eastAsia="es-ES_tradnl"/>
          <w14:ligatures w14:val="standardContextual"/>
        </w:rPr>
        <w:t xml:space="preserve"> del proponente a subsanar, corregir y aclarar; con el </w:t>
      </w:r>
      <w:r w:rsidRPr="008B36D4">
        <w:rPr>
          <w:rFonts w:ascii="Verdana" w:eastAsia="Times New Roman" w:hAnsi="Verdana" w:cs="Arial"/>
          <w:i/>
          <w:sz w:val="21"/>
          <w:szCs w:val="21"/>
          <w:lang w:eastAsia="es-ES_tradnl"/>
          <w14:ligatures w14:val="standardContextual"/>
        </w:rPr>
        <w:t>derecho-deber</w:t>
      </w:r>
      <w:r w:rsidRPr="008B36D4">
        <w:rPr>
          <w:rFonts w:ascii="Verdana" w:eastAsia="Times New Roman" w:hAnsi="Verdana" w:cs="Arial"/>
          <w:sz w:val="21"/>
          <w:szCs w:val="21"/>
          <w:lang w:eastAsia="es-ES_tradnl"/>
          <w14:ligatures w14:val="standardContextual"/>
        </w:rPr>
        <w:t xml:space="preserve"> que tiene la administración de avanzar y concluir el procedimiento de selección –principios de eficiencia, economía y celeridad de la actuación administrativa-, que no se puede estancar ni quedar en vilo de las respuestas extemporáneas que entregue el oferente. </w:t>
      </w:r>
    </w:p>
    <w:p w14:paraId="1BC89F35" w14:textId="77777777" w:rsidR="008A3D05" w:rsidRPr="008B36D4" w:rsidRDefault="008A3D05" w:rsidP="008A3D05">
      <w:pPr>
        <w:tabs>
          <w:tab w:val="left" w:pos="426"/>
          <w:tab w:val="left" w:pos="709"/>
          <w:tab w:val="left" w:pos="1368"/>
          <w:tab w:val="left" w:pos="1416"/>
          <w:tab w:val="left" w:pos="2832"/>
          <w:tab w:val="left" w:pos="3540"/>
          <w:tab w:val="left" w:pos="4956"/>
          <w:tab w:val="left" w:pos="5664"/>
          <w:tab w:val="left" w:pos="6372"/>
          <w:tab w:val="left" w:pos="7080"/>
          <w:tab w:val="left" w:pos="8379"/>
          <w:tab w:val="left" w:pos="8760"/>
        </w:tabs>
        <w:suppressAutoHyphens/>
        <w:overflowPunct w:val="0"/>
        <w:autoSpaceDE w:val="0"/>
        <w:autoSpaceDN w:val="0"/>
        <w:adjustRightInd w:val="0"/>
        <w:spacing w:after="0" w:line="240" w:lineRule="auto"/>
        <w:ind w:left="709" w:right="709"/>
        <w:jc w:val="both"/>
        <w:rPr>
          <w:rFonts w:ascii="Verdana" w:eastAsia="Times New Roman" w:hAnsi="Verdana" w:cs="Arial"/>
          <w:sz w:val="21"/>
          <w:szCs w:val="21"/>
          <w:lang w:eastAsia="es-ES_tradnl"/>
          <w14:ligatures w14:val="standardContextual"/>
        </w:rPr>
      </w:pPr>
    </w:p>
    <w:p w14:paraId="7A907271" w14:textId="77777777" w:rsidR="008A3D05" w:rsidRPr="008B36D4" w:rsidRDefault="008A3D05" w:rsidP="008A3D05">
      <w:pPr>
        <w:tabs>
          <w:tab w:val="left" w:pos="426"/>
          <w:tab w:val="left" w:pos="709"/>
          <w:tab w:val="left" w:pos="1368"/>
          <w:tab w:val="left" w:pos="1416"/>
          <w:tab w:val="left" w:pos="2832"/>
          <w:tab w:val="left" w:pos="3540"/>
          <w:tab w:val="left" w:pos="4956"/>
          <w:tab w:val="left" w:pos="5664"/>
          <w:tab w:val="left" w:pos="6372"/>
          <w:tab w:val="left" w:pos="7080"/>
          <w:tab w:val="left" w:pos="8379"/>
          <w:tab w:val="left" w:pos="8760"/>
        </w:tabs>
        <w:suppressAutoHyphens/>
        <w:overflowPunct w:val="0"/>
        <w:autoSpaceDE w:val="0"/>
        <w:autoSpaceDN w:val="0"/>
        <w:adjustRightInd w:val="0"/>
        <w:spacing w:after="0" w:line="240" w:lineRule="auto"/>
        <w:ind w:left="709" w:right="709"/>
        <w:jc w:val="both"/>
        <w:rPr>
          <w:rFonts w:ascii="Verdana" w:eastAsia="Times New Roman" w:hAnsi="Verdana" w:cs="Arial"/>
          <w:sz w:val="21"/>
          <w:szCs w:val="21"/>
          <w:lang w:eastAsia="es-ES_tradnl"/>
          <w14:ligatures w14:val="standardContextual"/>
        </w:rPr>
      </w:pPr>
      <w:r w:rsidRPr="008B36D4">
        <w:rPr>
          <w:rFonts w:ascii="Verdana" w:eastAsia="Times New Roman" w:hAnsi="Verdana" w:cs="Arial"/>
          <w:sz w:val="21"/>
          <w:szCs w:val="21"/>
          <w:lang w:eastAsia="es-ES_tradnl"/>
          <w14:ligatures w14:val="standardContextual"/>
        </w:rPr>
        <w:t xml:space="preserve">En consecuencia, el proponente debe acogerse al tiempo que le otorga la administración para subsanar o aclarar la oferta, lapso que la entidad no puede extender más allá de la adjudicación. No se trata, entonces, de que el oferente tenga la posibilidad de entregar la información solicitada </w:t>
      </w:r>
      <w:r w:rsidRPr="008B36D4">
        <w:rPr>
          <w:rFonts w:ascii="Verdana" w:eastAsia="Times New Roman" w:hAnsi="Verdana" w:cs="Arial"/>
          <w:i/>
          <w:sz w:val="21"/>
          <w:szCs w:val="21"/>
          <w:lang w:eastAsia="es-ES_tradnl"/>
          <w14:ligatures w14:val="standardContextual"/>
        </w:rPr>
        <w:t>a más tardar hasta la adjudicación</w:t>
      </w:r>
      <w:r w:rsidRPr="008B36D4">
        <w:rPr>
          <w:rFonts w:ascii="Verdana" w:eastAsia="Times New Roman" w:hAnsi="Verdana" w:cs="Arial"/>
          <w:sz w:val="21"/>
          <w:szCs w:val="21"/>
          <w:lang w:eastAsia="es-ES_tradnl"/>
          <w14:ligatures w14:val="standardContextual"/>
        </w:rPr>
        <w:t xml:space="preserve">; es la entidad quien tiene, </w:t>
      </w:r>
      <w:r w:rsidRPr="008B36D4">
        <w:rPr>
          <w:rFonts w:ascii="Verdana" w:eastAsia="Times New Roman" w:hAnsi="Verdana" w:cs="Arial"/>
          <w:i/>
          <w:sz w:val="21"/>
          <w:szCs w:val="21"/>
          <w:lang w:eastAsia="es-ES_tradnl"/>
          <w14:ligatures w14:val="standardContextual"/>
        </w:rPr>
        <w:t>a más tardar hasta la adjudicación,</w:t>
      </w:r>
      <w:r w:rsidRPr="008B36D4">
        <w:rPr>
          <w:rFonts w:ascii="Verdana" w:eastAsia="Times New Roman" w:hAnsi="Verdana" w:cs="Arial"/>
          <w:sz w:val="21"/>
          <w:szCs w:val="21"/>
          <w:lang w:eastAsia="es-ES_tradnl"/>
          <w14:ligatures w14:val="standardContextual"/>
        </w:rPr>
        <w:t xml:space="preserve"> la posibilidad de </w:t>
      </w:r>
      <w:r w:rsidRPr="008B36D4">
        <w:rPr>
          <w:rFonts w:ascii="Verdana" w:eastAsia="Times New Roman" w:hAnsi="Verdana" w:cs="Arial"/>
          <w:i/>
          <w:sz w:val="21"/>
          <w:szCs w:val="21"/>
          <w:lang w:eastAsia="es-ES_tradnl"/>
          <w14:ligatures w14:val="standardContextual"/>
        </w:rPr>
        <w:t>pedir</w:t>
      </w:r>
      <w:r w:rsidRPr="008B36D4">
        <w:rPr>
          <w:rFonts w:ascii="Verdana" w:eastAsia="Times New Roman" w:hAnsi="Verdana" w:cs="Arial"/>
          <w:sz w:val="21"/>
          <w:szCs w:val="21"/>
          <w:lang w:eastAsia="es-ES_tradnl"/>
          <w14:ligatures w14:val="standardContextual"/>
        </w:rPr>
        <w:t xml:space="preserve"> a los oferentes que aclaren o subsanen</w:t>
      </w:r>
      <w:r w:rsidRPr="008B36D4">
        <w:rPr>
          <w:rFonts w:ascii="Verdana" w:eastAsia="Times New Roman" w:hAnsi="Verdana" w:cs="Arial"/>
          <w:i/>
          <w:sz w:val="21"/>
          <w:szCs w:val="21"/>
          <w:lang w:eastAsia="es-ES_tradnl"/>
          <w14:ligatures w14:val="standardContextual"/>
        </w:rPr>
        <w:t>.</w:t>
      </w:r>
      <w:r w:rsidRPr="008B36D4">
        <w:rPr>
          <w:rFonts w:ascii="Verdana" w:eastAsia="Times New Roman" w:hAnsi="Verdana" w:cs="Arial"/>
          <w:sz w:val="21"/>
          <w:szCs w:val="21"/>
          <w:lang w:eastAsia="es-ES_tradnl"/>
          <w14:ligatures w14:val="standardContextual"/>
        </w:rPr>
        <w:t xml:space="preserve"> De esta manera, el oferente requerido no puede controlar y menos manipular el proceso de selección reteniendo maliciosamente la información solicitada –por ejemplo, la póliza, la acreditación de experiencia adicional, la autorización para contratar, etc.- hasta cuando decida caprichosamente entregarla –sin exceder el día de la adjudicación-. Por </w:t>
      </w:r>
      <w:r w:rsidRPr="008B36D4">
        <w:rPr>
          <w:rFonts w:ascii="Verdana" w:eastAsia="Times New Roman" w:hAnsi="Verdana" w:cs="Arial"/>
          <w:sz w:val="21"/>
          <w:szCs w:val="21"/>
          <w:lang w:eastAsia="es-ES_tradnl"/>
          <w14:ligatures w14:val="standardContextual"/>
        </w:rPr>
        <w:lastRenderedPageBreak/>
        <w:t>el contrario, la entidad es quien pone el término para aportar la aclaración o para subsanar, perdiendo definitivamente el oferente la oportunidad de hacerlo si no se ajusta al plazo preciso que se le concede […]</w:t>
      </w:r>
    </w:p>
    <w:p w14:paraId="1283501D" w14:textId="77777777" w:rsidR="008A3D05" w:rsidRPr="008B36D4" w:rsidRDefault="008A3D05" w:rsidP="008A3D05">
      <w:pPr>
        <w:tabs>
          <w:tab w:val="left" w:pos="426"/>
          <w:tab w:val="left" w:pos="709"/>
          <w:tab w:val="left" w:pos="1368"/>
          <w:tab w:val="left" w:pos="1416"/>
          <w:tab w:val="left" w:pos="2832"/>
          <w:tab w:val="left" w:pos="3540"/>
          <w:tab w:val="left" w:pos="4956"/>
          <w:tab w:val="left" w:pos="5664"/>
          <w:tab w:val="left" w:pos="6372"/>
          <w:tab w:val="left" w:pos="7080"/>
          <w:tab w:val="left" w:pos="8379"/>
          <w:tab w:val="left" w:pos="8760"/>
        </w:tabs>
        <w:suppressAutoHyphens/>
        <w:overflowPunct w:val="0"/>
        <w:autoSpaceDE w:val="0"/>
        <w:autoSpaceDN w:val="0"/>
        <w:adjustRightInd w:val="0"/>
        <w:spacing w:after="0" w:line="240" w:lineRule="auto"/>
        <w:ind w:left="709" w:right="709"/>
        <w:jc w:val="both"/>
        <w:rPr>
          <w:rFonts w:ascii="Verdana" w:eastAsia="Times New Roman" w:hAnsi="Verdana" w:cs="Arial"/>
          <w:sz w:val="21"/>
          <w:szCs w:val="21"/>
          <w:lang w:eastAsia="es-ES_tradnl"/>
          <w14:ligatures w14:val="standardContextual"/>
        </w:rPr>
      </w:pPr>
    </w:p>
    <w:p w14:paraId="52A53423" w14:textId="77777777" w:rsidR="008A3D05" w:rsidRPr="008B36D4" w:rsidRDefault="008A3D05" w:rsidP="008A3D05">
      <w:pPr>
        <w:tabs>
          <w:tab w:val="left" w:pos="426"/>
          <w:tab w:val="left" w:pos="709"/>
          <w:tab w:val="left" w:pos="1368"/>
          <w:tab w:val="left" w:pos="1416"/>
          <w:tab w:val="left" w:pos="2832"/>
          <w:tab w:val="left" w:pos="3540"/>
          <w:tab w:val="left" w:pos="4956"/>
          <w:tab w:val="left" w:pos="5664"/>
          <w:tab w:val="left" w:pos="6372"/>
          <w:tab w:val="left" w:pos="7080"/>
          <w:tab w:val="left" w:pos="8379"/>
          <w:tab w:val="left" w:pos="8760"/>
        </w:tabs>
        <w:suppressAutoHyphens/>
        <w:overflowPunct w:val="0"/>
        <w:autoSpaceDE w:val="0"/>
        <w:autoSpaceDN w:val="0"/>
        <w:adjustRightInd w:val="0"/>
        <w:spacing w:after="0" w:line="240" w:lineRule="auto"/>
        <w:ind w:left="709" w:right="709"/>
        <w:jc w:val="both"/>
        <w:rPr>
          <w:rFonts w:ascii="Verdana" w:eastAsia="Times New Roman" w:hAnsi="Verdana" w:cs="Arial"/>
          <w:sz w:val="21"/>
          <w:szCs w:val="21"/>
          <w:lang w:eastAsia="es-ES_tradnl"/>
          <w14:ligatures w14:val="standardContextual"/>
        </w:rPr>
      </w:pPr>
      <w:r w:rsidRPr="008B36D4">
        <w:rPr>
          <w:rFonts w:ascii="Verdana" w:eastAsia="Times New Roman" w:hAnsi="Verdana" w:cs="Arial"/>
          <w:sz w:val="21"/>
          <w:szCs w:val="21"/>
          <w:lang w:eastAsia="es-ES_tradnl"/>
          <w14:ligatures w14:val="standardContextual"/>
        </w:rPr>
        <w:t>En todo caso, el término para hacer las correcciones debe ser razonable, para que el proponente adecúe o explique su propuesta, pues aunque la entidad cuenta con un margen alto de discrecionalidad para fijarlo, la administración no puede hacerlo irrazonablemente”</w:t>
      </w:r>
      <w:r w:rsidRPr="008B36D4">
        <w:rPr>
          <w:rFonts w:ascii="Verdana" w:eastAsia="Times New Roman" w:hAnsi="Verdana" w:cs="Arial"/>
          <w:sz w:val="21"/>
          <w:szCs w:val="21"/>
          <w:vertAlign w:val="superscript"/>
          <w:lang w:eastAsia="es-ES_tradnl"/>
          <w14:ligatures w14:val="standardContextual"/>
        </w:rPr>
        <w:footnoteReference w:id="15"/>
      </w:r>
      <w:r w:rsidRPr="008B36D4">
        <w:rPr>
          <w:rFonts w:ascii="Verdana" w:eastAsia="Times New Roman" w:hAnsi="Verdana" w:cs="Arial"/>
          <w:sz w:val="21"/>
          <w:szCs w:val="21"/>
          <w:lang w:eastAsia="es-ES_tradnl"/>
          <w14:ligatures w14:val="standardContextual"/>
        </w:rPr>
        <w:t xml:space="preserve">. </w:t>
      </w:r>
    </w:p>
    <w:p w14:paraId="26CE071F" w14:textId="77777777" w:rsidR="008A3D05" w:rsidRPr="008B36D4" w:rsidRDefault="008A3D05" w:rsidP="008A3D05">
      <w:pPr>
        <w:spacing w:after="0" w:line="276" w:lineRule="auto"/>
        <w:ind w:right="51"/>
        <w:jc w:val="both"/>
        <w:rPr>
          <w:rFonts w:ascii="Verdana" w:eastAsia="Times New Roman" w:hAnsi="Verdana" w:cs="Arial"/>
          <w:color w:val="000000"/>
          <w:szCs w:val="24"/>
          <w:lang w:eastAsia="es-ES_tradnl"/>
          <w14:ligatures w14:val="standardContextual"/>
        </w:rPr>
      </w:pPr>
    </w:p>
    <w:p w14:paraId="48F3F306" w14:textId="77777777" w:rsidR="008A3D05" w:rsidRPr="008B36D4" w:rsidRDefault="008A3D05" w:rsidP="008A3D05">
      <w:pPr>
        <w:spacing w:after="0" w:line="276" w:lineRule="auto"/>
        <w:ind w:right="49"/>
        <w:jc w:val="both"/>
        <w:rPr>
          <w:rFonts w:ascii="Verdana" w:eastAsia="Times New Roman" w:hAnsi="Verdana" w:cs="Arial"/>
          <w:color w:val="000000"/>
          <w:szCs w:val="24"/>
          <w:lang w:eastAsia="es-ES_tradnl"/>
          <w14:ligatures w14:val="standardContextual"/>
        </w:rPr>
      </w:pPr>
      <w:r w:rsidRPr="008B36D4">
        <w:rPr>
          <w:rFonts w:ascii="Verdana" w:eastAsia="Times New Roman" w:hAnsi="Verdana" w:cs="Arial"/>
          <w:color w:val="000000"/>
          <w:szCs w:val="24"/>
          <w:lang w:eastAsia="es-ES_tradnl"/>
          <w14:ligatures w14:val="standardContextual"/>
        </w:rPr>
        <w:tab/>
        <w:t xml:space="preserve">En ese orden de ideas, extendiendo las anteriores consideraciones a la regla de subsanabilidad consagrada en el parágrafo 4 del artículo 5 de la Ley 1150 de 2007 –adicionado por la Ley 1882 de 2018–, dada su identidad con la regulación del parágrafo 1 del artículo 5 de la ley 1150 de 2007 original –antes de ser modificada por la Ley 1882 de 2018– el inicio de la subasta es el momento hasta el cual la entidad cuenta con la facultad para requerir la subsanación de los documentos referentes a la futura contratación o a los proponentes, no necesarios para la comparación de las propuestas. Para el ejercicio de tal facultad, las entidades de manera </w:t>
      </w:r>
      <w:r w:rsidRPr="008B36D4">
        <w:rPr>
          <w:rFonts w:ascii="Verdana" w:eastAsia="Times New Roman" w:hAnsi="Verdana" w:cs="Arial"/>
          <w:i/>
          <w:iCs/>
          <w:color w:val="000000"/>
          <w:szCs w:val="24"/>
          <w:lang w:eastAsia="es-ES_tradnl"/>
          <w14:ligatures w14:val="standardContextual"/>
        </w:rPr>
        <w:t xml:space="preserve">ex ante </w:t>
      </w:r>
      <w:r w:rsidRPr="008B36D4">
        <w:rPr>
          <w:rFonts w:ascii="Verdana" w:eastAsia="Times New Roman" w:hAnsi="Verdana" w:cs="Arial"/>
          <w:color w:val="000000"/>
          <w:szCs w:val="24"/>
          <w:lang w:eastAsia="es-ES_tradnl"/>
          <w14:ligatures w14:val="standardContextual"/>
        </w:rPr>
        <w:t xml:space="preserve">podrán establecer dentro del pliego de condiciones el periodo dentro del cual los participantes del proceso de selección podrán subsanar los documentos que requiera la entidad, o en su defecto, requerir por separado a cada proponente para que subsanen los respectivos documentos, fijándoles un término razonable, el cual en todo caso no podrá exceder el momento previo al inicio de la audiencia de subasta. Así mismo, dentro del pliego de condiciones podrán definir las veces en las cuales le será posible a los proponentes subsanar los documentos.  En sentido, atendiendo a la consulta planteada, la posibilidad de subsanar varias veces un determinado aspecto de la propuesta dependerá de lo establecido en el pliego de condiciones, pues la normativa no restringe el número de veces que un proponente podrá subsanar un determinado aspecto. </w:t>
      </w:r>
    </w:p>
    <w:p w14:paraId="51BF00F3" w14:textId="77777777" w:rsidR="008A3D05" w:rsidRPr="008B36D4" w:rsidRDefault="008A3D05" w:rsidP="008A3D05">
      <w:pPr>
        <w:spacing w:before="120" w:after="0" w:line="276" w:lineRule="auto"/>
        <w:ind w:firstLine="709"/>
        <w:jc w:val="both"/>
        <w:rPr>
          <w:rFonts w:ascii="Verdana" w:eastAsia="Calibri" w:hAnsi="Verdana" w:cs="Arial"/>
          <w:szCs w:val="24"/>
          <w:lang w:val="es-ES_tradnl" w:eastAsia="es-ES_tradnl"/>
          <w14:ligatures w14:val="standardContextual"/>
        </w:rPr>
      </w:pPr>
      <w:r w:rsidRPr="008B36D4">
        <w:rPr>
          <w:rFonts w:ascii="Verdana" w:eastAsia="Calibri" w:hAnsi="Verdana" w:cs="Arial"/>
          <w:szCs w:val="24"/>
          <w:lang w:val="es-ES_tradnl" w:eastAsia="es-ES_tradnl"/>
          <w14:ligatures w14:val="standardContextual"/>
        </w:rPr>
        <w:t>De esta manera, el parágrafo analizado</w:t>
      </w:r>
      <w:r w:rsidRPr="008B36D4">
        <w:rPr>
          <w:rFonts w:ascii="Verdana" w:eastAsia="Calibri" w:hAnsi="Verdana" w:cs="Arial"/>
          <w:szCs w:val="24"/>
          <w:lang w:eastAsia="es-ES_tradnl"/>
          <w14:ligatures w14:val="standardContextual"/>
        </w:rPr>
        <w:t xml:space="preserve"> permite a las entidades </w:t>
      </w:r>
      <w:r w:rsidRPr="008B36D4">
        <w:rPr>
          <w:rFonts w:ascii="Verdana" w:eastAsia="Calibri" w:hAnsi="Verdana" w:cs="Arial"/>
          <w:i/>
          <w:iCs/>
          <w:szCs w:val="24"/>
          <w:lang w:eastAsia="es-ES_tradnl"/>
          <w14:ligatures w14:val="standardContextual"/>
        </w:rPr>
        <w:t>solicitar</w:t>
      </w:r>
      <w:r w:rsidRPr="008B36D4">
        <w:rPr>
          <w:rFonts w:ascii="Verdana" w:eastAsia="Calibri" w:hAnsi="Verdana" w:cs="Arial"/>
          <w:szCs w:val="24"/>
          <w:lang w:eastAsia="es-ES_tradnl"/>
          <w14:ligatures w14:val="standardContextual"/>
        </w:rPr>
        <w:t xml:space="preserve"> a los oferentes que subsanen los documentos referentes a la futura contratación no necesarios para la comparación de las propuestas, hasta el momento previo a la realización a la subasta a la que hace referencia el artículo </w:t>
      </w:r>
      <w:r w:rsidRPr="008B36D4">
        <w:rPr>
          <w:rFonts w:ascii="Verdana" w:eastAsia="Calibri" w:hAnsi="Verdana" w:cs="Arial"/>
          <w:szCs w:val="24"/>
          <w:lang w:val="es-ES_tradnl" w:eastAsia="es-ES_tradnl"/>
          <w14:ligatures w14:val="standardContextual"/>
        </w:rPr>
        <w:t xml:space="preserve">2.2.1.2.1.2.2 del Decreto 1082 de 2015, momento que, además, deberá estar señalado en el pliego de condiciones, independientemente de que la entidad opte para </w:t>
      </w:r>
      <w:r w:rsidRPr="008B36D4">
        <w:rPr>
          <w:rFonts w:ascii="Verdana" w:eastAsia="Calibri" w:hAnsi="Verdana" w:cs="Arial"/>
          <w:szCs w:val="24"/>
          <w:lang w:val="es-ES_tradnl" w:eastAsia="es-ES_tradnl"/>
          <w14:ligatures w14:val="standardContextual"/>
        </w:rPr>
        <w:lastRenderedPageBreak/>
        <w:t xml:space="preserve">desarrollar la audiencia de manera presencial o través del algún mecanismo electrónico. En defecto de lo anterior, las entidades también podrán </w:t>
      </w:r>
      <w:r w:rsidRPr="008B36D4">
        <w:rPr>
          <w:rFonts w:ascii="Verdana" w:eastAsia="Calibri" w:hAnsi="Verdana" w:cs="Arial"/>
          <w:szCs w:val="24"/>
          <w:lang w:eastAsia="es-ES_tradnl"/>
          <w14:ligatures w14:val="standardContextual"/>
        </w:rPr>
        <w:t xml:space="preserve">requerir por separado o conjuntamente a cada proponente para que subsanen los respectivos documentos, fijándoles un término razonable, el cual en todo caso no podrá exceder el momento previo al inicio de la audiencia de subasta, por lo que será anterior a ella.   </w:t>
      </w:r>
      <w:r w:rsidRPr="008B36D4">
        <w:rPr>
          <w:rFonts w:ascii="Verdana" w:eastAsia="Calibri" w:hAnsi="Verdana" w:cs="Arial"/>
          <w:szCs w:val="24"/>
          <w:lang w:val="es-ES_tradnl" w:eastAsia="es-ES_tradnl"/>
          <w14:ligatures w14:val="standardContextual"/>
        </w:rPr>
        <w:t xml:space="preserve"> </w:t>
      </w:r>
    </w:p>
    <w:p w14:paraId="279446F7" w14:textId="77777777" w:rsidR="008A3D05" w:rsidRPr="008B36D4" w:rsidRDefault="008A3D05" w:rsidP="008A3D05">
      <w:pPr>
        <w:spacing w:before="120" w:after="0" w:line="276" w:lineRule="auto"/>
        <w:ind w:firstLine="709"/>
        <w:jc w:val="both"/>
        <w:rPr>
          <w:rFonts w:ascii="Verdana" w:eastAsia="Calibri" w:hAnsi="Verdana" w:cs="Arial"/>
          <w:szCs w:val="24"/>
          <w:lang w:val="es-ES_tradnl" w:eastAsia="es-ES_tradnl"/>
          <w14:ligatures w14:val="standardContextual"/>
        </w:rPr>
      </w:pPr>
      <w:r w:rsidRPr="008B36D4">
        <w:rPr>
          <w:rFonts w:ascii="Verdana" w:eastAsia="Calibri" w:hAnsi="Verdana" w:cs="Arial"/>
          <w:szCs w:val="24"/>
          <w:lang w:val="es-ES_tradnl" w:eastAsia="es-ES_tradnl"/>
          <w14:ligatures w14:val="standardContextual"/>
        </w:rPr>
        <w:t xml:space="preserve">Ahora, no debe perderse de vista que para este tipo de procedimientos también serán aplicables los criterios desarrollados en el numeral anterior de este concepto, para determinar si los documentos faltantes son susceptibles o no de subsanación, en el entendido de si inciden o no en la asignación de puntaje y si se relacionan con el cumplimiento de un requisito que constituye una circunstancia ocurrida con anterioridad o con posterioridad al cierre del proceso. </w:t>
      </w:r>
    </w:p>
    <w:p w14:paraId="7E733FA7" w14:textId="77777777" w:rsidR="008A3D05" w:rsidRDefault="008A3D05" w:rsidP="008A3D05">
      <w:pPr>
        <w:spacing w:before="120" w:after="0" w:line="276" w:lineRule="auto"/>
        <w:ind w:firstLine="709"/>
        <w:jc w:val="both"/>
        <w:rPr>
          <w:rFonts w:ascii="Verdana" w:eastAsia="Calibri" w:hAnsi="Verdana" w:cs="Arial"/>
          <w:szCs w:val="24"/>
          <w:lang w:val="es-ES_tradnl" w:eastAsia="es-ES_tradnl"/>
          <w14:ligatures w14:val="standardContextual"/>
        </w:rPr>
      </w:pPr>
      <w:r w:rsidRPr="008B36D4">
        <w:rPr>
          <w:rFonts w:ascii="Verdana" w:eastAsia="Calibri" w:hAnsi="Verdana" w:cs="Arial"/>
          <w:szCs w:val="24"/>
          <w:lang w:val="es-ES_tradnl" w:eastAsia="es-ES_tradnl"/>
          <w14:ligatures w14:val="standardContextual"/>
        </w:rPr>
        <w:t xml:space="preserve">Conforme a lo anterior, en criterio de esta Subdirección, a pesar de que no existe un término legal preciso para que los proponentes subsanen los documentos mediante los cuales deben acreditar el cumplimiento de los requisitos exigidos para participar en procedimientos en que se haga uso del mecanismo de subasta, el parágrafo 4° del artículo 5 de la Ley 1150 de 2007 establece una regla que permite a las entidades </w:t>
      </w:r>
      <w:r w:rsidRPr="008B36D4">
        <w:rPr>
          <w:rFonts w:ascii="Verdana" w:eastAsia="Calibri" w:hAnsi="Verdana" w:cs="Arial"/>
          <w:i/>
          <w:iCs/>
          <w:szCs w:val="24"/>
          <w:lang w:val="es-ES_tradnl" w:eastAsia="es-ES_tradnl"/>
          <w14:ligatures w14:val="standardContextual"/>
        </w:rPr>
        <w:t>solicitar</w:t>
      </w:r>
      <w:r w:rsidRPr="008B36D4">
        <w:rPr>
          <w:rFonts w:ascii="Verdana" w:eastAsia="Calibri" w:hAnsi="Verdana" w:cs="Arial"/>
          <w:szCs w:val="24"/>
          <w:lang w:val="es-ES_tradnl" w:eastAsia="es-ES_tradnl"/>
          <w14:ligatures w14:val="standardContextual"/>
        </w:rPr>
        <w:t xml:space="preserve"> las correspondientes subsanaciones, dotándolas de cierto margen de discrecionalidad para determinar el término o momento específico dentro del que deberá tener lugar la subsanación, oportunidad que deberá establecer la entidad sin que exceda al momento previo al inicio de la audiencia de subasta.  Finalmente, se reitera que no debe perderse de vista que para este tipo de procedimientos también serán aplicables los criterios arriba desarrollados para determinar si los documentos faltantes son susceptibles de subsanación, dependiendo de si se trata de un requisito de la oferta que no afecte la asignación de puntaje, y si tiene que ver con el cumplimiento de un requisito que constituye una circunstancia ocurrida con anterioridad o con posterioridad al cierre del proceso.</w:t>
      </w:r>
      <w:bookmarkEnd w:id="4"/>
      <w:r w:rsidRPr="008B36D4">
        <w:rPr>
          <w:rFonts w:ascii="Verdana" w:eastAsia="Calibri" w:hAnsi="Verdana" w:cs="Arial"/>
          <w:szCs w:val="24"/>
          <w:lang w:val="es-ES_tradnl" w:eastAsia="es-ES_tradnl"/>
          <w14:ligatures w14:val="standardContextual"/>
        </w:rPr>
        <w:t xml:space="preserve"> </w:t>
      </w:r>
    </w:p>
    <w:p w14:paraId="265DE647" w14:textId="77777777" w:rsidR="008A3D05" w:rsidRDefault="008A3D05" w:rsidP="008A3D05">
      <w:pPr>
        <w:spacing w:before="120" w:after="0" w:line="276" w:lineRule="auto"/>
        <w:ind w:firstLine="709"/>
        <w:jc w:val="both"/>
        <w:rPr>
          <w:rFonts w:ascii="Verdana" w:eastAsia="Calibri" w:hAnsi="Verdana" w:cs="Arial"/>
          <w:color w:val="000000" w:themeColor="text1"/>
        </w:rPr>
      </w:pPr>
      <w:r w:rsidRPr="008B36D4">
        <w:rPr>
          <w:rFonts w:ascii="Verdana" w:eastAsia="Calibri" w:hAnsi="Verdana" w:cs="Arial"/>
          <w:szCs w:val="24"/>
          <w:lang w:val="es-ES_tradnl" w:eastAsia="es-ES_tradnl"/>
          <w14:ligatures w14:val="standardContextual"/>
        </w:rPr>
        <w:t>En tal sentido, de acuerdo con la regulación establecida en cada pliego de condiciones y las circunstancias de cada caso en particular, deberán aplicarse los criterios establecidos en la ley, explicados en este concepto, para definir la procedencia de subsanar algún requisito de las propuestas y las veces en que puede ejercerse esta posibilidad.</w:t>
      </w:r>
    </w:p>
    <w:p w14:paraId="7B57E7F6" w14:textId="77777777" w:rsidR="008A3D05" w:rsidRPr="00D41CA6" w:rsidRDefault="008A3D05" w:rsidP="008A3D05">
      <w:pPr>
        <w:spacing w:after="0" w:line="276" w:lineRule="auto"/>
        <w:ind w:firstLine="709"/>
        <w:jc w:val="both"/>
        <w:rPr>
          <w:rFonts w:ascii="Verdana" w:eastAsia="Calibri" w:hAnsi="Verdana" w:cs="Arial"/>
          <w:color w:val="000000" w:themeColor="text1"/>
          <w:lang w:eastAsia="es-ES_tradnl"/>
        </w:rPr>
      </w:pPr>
    </w:p>
    <w:p w14:paraId="766AD514" w14:textId="77777777" w:rsidR="008A3D05" w:rsidRPr="00D41CA6" w:rsidRDefault="008A3D05" w:rsidP="008A3D05">
      <w:pPr>
        <w:widowControl w:val="0"/>
        <w:autoSpaceDE w:val="0"/>
        <w:autoSpaceDN w:val="0"/>
        <w:spacing w:after="0" w:line="276" w:lineRule="auto"/>
        <w:jc w:val="both"/>
        <w:rPr>
          <w:rFonts w:ascii="Verdana" w:hAnsi="Verdana" w:cs="Arial"/>
          <w:color w:val="000000" w:themeColor="text1"/>
        </w:rPr>
      </w:pPr>
      <w:r w:rsidRPr="00D41CA6">
        <w:rPr>
          <w:rFonts w:ascii="Verdana" w:hAnsi="Verdana" w:cs="Arial"/>
        </w:rPr>
        <w:t xml:space="preserve">Este concepto tiene el alcance previsto en el artículo 28 del Código de Procedimiento Administrativo y de lo Contencioso Administrativo y las expresiones aquí utilizadas con mayúscula inicial deben ser entendidas con el </w:t>
      </w:r>
      <w:r w:rsidRPr="00D41CA6">
        <w:rPr>
          <w:rFonts w:ascii="Verdana" w:hAnsi="Verdana" w:cs="Arial"/>
        </w:rPr>
        <w:lastRenderedPageBreak/>
        <w:t>significado que les otorga el artículo 2.2.1.1.1.3.1. del Decreto 1082 de 2015.</w:t>
      </w:r>
    </w:p>
    <w:p w14:paraId="7B7D6543" w14:textId="77777777" w:rsidR="008A3D05" w:rsidRPr="00D41CA6" w:rsidRDefault="008A3D05" w:rsidP="008A3D05">
      <w:pPr>
        <w:spacing w:after="0" w:line="276" w:lineRule="auto"/>
        <w:ind w:firstLine="708"/>
        <w:jc w:val="both"/>
        <w:rPr>
          <w:rFonts w:ascii="Verdana" w:eastAsia="Calibri" w:hAnsi="Verdana" w:cs="Arial"/>
          <w:bCs/>
          <w:lang w:eastAsia="es-ES_tradnl"/>
        </w:rPr>
      </w:pPr>
    </w:p>
    <w:p w14:paraId="14A2A511" w14:textId="77777777" w:rsidR="008A3D05" w:rsidRPr="00D41CA6" w:rsidRDefault="008A3D05" w:rsidP="008A3D05">
      <w:pPr>
        <w:numPr>
          <w:ilvl w:val="0"/>
          <w:numId w:val="1"/>
        </w:numPr>
        <w:tabs>
          <w:tab w:val="left" w:pos="142"/>
          <w:tab w:val="left" w:pos="284"/>
        </w:tabs>
        <w:spacing w:after="0" w:line="276" w:lineRule="auto"/>
        <w:jc w:val="both"/>
        <w:rPr>
          <w:rFonts w:ascii="Verdana" w:eastAsia="Century Gothic" w:hAnsi="Verdana" w:cs="Century Gothic"/>
          <w:b/>
          <w:bCs/>
        </w:rPr>
      </w:pPr>
      <w:r w:rsidRPr="00D41CA6">
        <w:rPr>
          <w:rFonts w:ascii="Verdana" w:eastAsia="Century Gothic" w:hAnsi="Verdana" w:cs="Century Gothic"/>
          <w:b/>
          <w:bCs/>
        </w:rPr>
        <w:t>Referencias normativas y jurisprudenciales:</w:t>
      </w:r>
    </w:p>
    <w:p w14:paraId="3EA33C0B" w14:textId="77777777" w:rsidR="008A3D05" w:rsidRPr="00D41CA6" w:rsidRDefault="008A3D05" w:rsidP="008A3D05">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A3D05" w:rsidRPr="00D41CA6" w14:paraId="27645D77" w14:textId="77777777" w:rsidTr="00DB0313">
        <w:trPr>
          <w:trHeight w:val="856"/>
          <w:jc w:val="center"/>
        </w:trPr>
        <w:tc>
          <w:tcPr>
            <w:tcW w:w="8647" w:type="dxa"/>
          </w:tcPr>
          <w:p w14:paraId="174334AF" w14:textId="77777777" w:rsidR="008A3D05" w:rsidRDefault="008A3D05" w:rsidP="008A3D05">
            <w:pPr>
              <w:pStyle w:val="Prrafodelista"/>
              <w:widowControl w:val="0"/>
              <w:numPr>
                <w:ilvl w:val="0"/>
                <w:numId w:val="2"/>
              </w:numPr>
              <w:autoSpaceDE w:val="0"/>
              <w:autoSpaceDN w:val="0"/>
              <w:jc w:val="both"/>
              <w:rPr>
                <w:rFonts w:ascii="Verdana" w:hAnsi="Verdana" w:cs="Arial"/>
              </w:rPr>
            </w:pPr>
            <w:r w:rsidRPr="005B6551">
              <w:rPr>
                <w:rFonts w:ascii="Verdana" w:hAnsi="Verdana" w:cs="Arial"/>
              </w:rPr>
              <w:t>Ley 80 de 1993: artículo</w:t>
            </w:r>
            <w:r>
              <w:rPr>
                <w:rFonts w:ascii="Verdana" w:hAnsi="Verdana" w:cs="Arial"/>
              </w:rPr>
              <w:t>s</w:t>
            </w:r>
            <w:r w:rsidRPr="005B6551">
              <w:rPr>
                <w:rFonts w:ascii="Verdana" w:hAnsi="Verdana" w:cs="Arial"/>
              </w:rPr>
              <w:t xml:space="preserve"> </w:t>
            </w:r>
            <w:r>
              <w:rPr>
                <w:rFonts w:ascii="Verdana" w:hAnsi="Verdana" w:cs="Arial"/>
              </w:rPr>
              <w:t>21, 24, 25, 30, 38 y 76 numerales 5 y 9.</w:t>
            </w:r>
          </w:p>
          <w:p w14:paraId="0848EA61" w14:textId="77777777" w:rsidR="008A3D05" w:rsidRDefault="008A3D05" w:rsidP="008A3D05">
            <w:pPr>
              <w:pStyle w:val="Prrafodelista"/>
              <w:widowControl w:val="0"/>
              <w:numPr>
                <w:ilvl w:val="0"/>
                <w:numId w:val="2"/>
              </w:numPr>
              <w:autoSpaceDE w:val="0"/>
              <w:autoSpaceDN w:val="0"/>
              <w:ind w:left="714" w:hanging="357"/>
              <w:contextualSpacing w:val="0"/>
              <w:jc w:val="both"/>
              <w:rPr>
                <w:rFonts w:ascii="Verdana" w:hAnsi="Verdana" w:cs="Arial"/>
              </w:rPr>
            </w:pPr>
            <w:r>
              <w:rPr>
                <w:rFonts w:ascii="Verdana" w:hAnsi="Verdana" w:cs="Arial"/>
              </w:rPr>
              <w:t>Ley 1150 de 2007, artículos 2 y 5.</w:t>
            </w:r>
          </w:p>
          <w:p w14:paraId="705445AE" w14:textId="77777777" w:rsidR="008A3D05" w:rsidRPr="004244E6" w:rsidRDefault="008A3D05" w:rsidP="008A3D05">
            <w:pPr>
              <w:pStyle w:val="Prrafodelista"/>
              <w:widowControl w:val="0"/>
              <w:numPr>
                <w:ilvl w:val="0"/>
                <w:numId w:val="2"/>
              </w:numPr>
              <w:autoSpaceDE w:val="0"/>
              <w:autoSpaceDN w:val="0"/>
              <w:ind w:left="714" w:hanging="357"/>
              <w:contextualSpacing w:val="0"/>
              <w:jc w:val="both"/>
              <w:rPr>
                <w:rFonts w:ascii="Verdana" w:hAnsi="Verdana" w:cs="Arial"/>
              </w:rPr>
            </w:pPr>
            <w:r w:rsidRPr="00563ADE">
              <w:rPr>
                <w:rFonts w:ascii="Verdana" w:eastAsia="Calibri" w:hAnsi="Verdana" w:cs="Arial"/>
                <w:color w:val="000000" w:themeColor="text1"/>
              </w:rPr>
              <w:t xml:space="preserve">Decreto 1082 de 2015: artículo 2.2.1.1.2.2.1 </w:t>
            </w:r>
            <w:r>
              <w:rPr>
                <w:rFonts w:ascii="Verdana" w:eastAsia="Calibri" w:hAnsi="Verdana" w:cs="Arial"/>
                <w:color w:val="000000" w:themeColor="text1"/>
              </w:rPr>
              <w:t xml:space="preserve">y </w:t>
            </w:r>
            <w:r w:rsidRPr="00B13ED7">
              <w:rPr>
                <w:rFonts w:ascii="Verdana" w:eastAsia="Arial" w:hAnsi="Verdana" w:cs="Arial"/>
                <w:color w:val="000000"/>
              </w:rPr>
              <w:t>2.2.1.1.2.1.3</w:t>
            </w:r>
            <w:r>
              <w:rPr>
                <w:rFonts w:ascii="Verdana" w:eastAsia="Arial" w:hAnsi="Verdana" w:cs="Arial"/>
                <w:color w:val="000000"/>
              </w:rPr>
              <w:t xml:space="preserve">, </w:t>
            </w:r>
            <w:r w:rsidRPr="00B13ED7">
              <w:rPr>
                <w:rFonts w:ascii="Verdana" w:eastAsia="Arial" w:hAnsi="Verdana" w:cs="Arial"/>
                <w:color w:val="000000"/>
              </w:rPr>
              <w:t>2.2.1.1.2.2.2</w:t>
            </w:r>
            <w:r>
              <w:rPr>
                <w:rFonts w:ascii="Verdana" w:eastAsia="Arial" w:hAnsi="Verdana" w:cs="Arial"/>
                <w:color w:val="000000"/>
              </w:rPr>
              <w:t xml:space="preserve">, y </w:t>
            </w:r>
            <w:r w:rsidRPr="00B13ED7">
              <w:rPr>
                <w:rFonts w:ascii="Verdana" w:eastAsia="Arial" w:hAnsi="Verdana" w:cs="Arial"/>
                <w:color w:val="000000"/>
              </w:rPr>
              <w:t>2.2.1.2.1.3.13</w:t>
            </w:r>
            <w:r>
              <w:rPr>
                <w:rFonts w:ascii="Verdana" w:hAnsi="Verdana" w:cs="Arial"/>
              </w:rPr>
              <w:t>.</w:t>
            </w:r>
          </w:p>
          <w:p w14:paraId="6C02181F" w14:textId="77777777" w:rsidR="008A3D05" w:rsidRPr="004244E6" w:rsidRDefault="008A3D05" w:rsidP="008A3D05">
            <w:pPr>
              <w:pStyle w:val="Prrafodelista"/>
              <w:widowControl w:val="0"/>
              <w:numPr>
                <w:ilvl w:val="0"/>
                <w:numId w:val="2"/>
              </w:numPr>
              <w:autoSpaceDE w:val="0"/>
              <w:autoSpaceDN w:val="0"/>
              <w:contextualSpacing w:val="0"/>
              <w:jc w:val="both"/>
              <w:rPr>
                <w:rFonts w:ascii="Verdana" w:hAnsi="Verdana" w:cs="Arial"/>
              </w:rPr>
            </w:pPr>
            <w:r>
              <w:rPr>
                <w:rFonts w:ascii="Verdana" w:hAnsi="Verdana" w:cs="Arial"/>
              </w:rPr>
              <w:t xml:space="preserve">Jurisprudencia del Consejo de Estado. Disponible en: </w:t>
            </w:r>
            <w:hyperlink r:id="rId9" w:history="1">
              <w:r w:rsidRPr="00273090">
                <w:rPr>
                  <w:rStyle w:val="Hipervnculo"/>
                  <w:rFonts w:ascii="Verdana" w:hAnsi="Verdana" w:cs="Arial"/>
                </w:rPr>
                <w:t>https://relatoria.colombiacompra.gov.co/providencias-consejo-de-estado/</w:t>
              </w:r>
            </w:hyperlink>
          </w:p>
        </w:tc>
      </w:tr>
    </w:tbl>
    <w:p w14:paraId="50626FFA" w14:textId="77777777" w:rsidR="008A3D05" w:rsidRPr="00D41CA6" w:rsidRDefault="008A3D05" w:rsidP="008A3D05">
      <w:pPr>
        <w:widowControl w:val="0"/>
        <w:autoSpaceDE w:val="0"/>
        <w:autoSpaceDN w:val="0"/>
        <w:spacing w:after="0" w:line="276" w:lineRule="auto"/>
        <w:jc w:val="both"/>
        <w:rPr>
          <w:rFonts w:ascii="Verdana" w:hAnsi="Verdana" w:cs="Arial"/>
        </w:rPr>
      </w:pPr>
    </w:p>
    <w:p w14:paraId="6B6EAA2D" w14:textId="77777777" w:rsidR="008A3D05" w:rsidRPr="00D41CA6" w:rsidRDefault="008A3D05" w:rsidP="008A3D05">
      <w:pPr>
        <w:numPr>
          <w:ilvl w:val="0"/>
          <w:numId w:val="1"/>
        </w:numPr>
        <w:tabs>
          <w:tab w:val="left" w:pos="142"/>
          <w:tab w:val="left" w:pos="284"/>
        </w:tabs>
        <w:spacing w:after="0" w:line="276" w:lineRule="auto"/>
        <w:jc w:val="both"/>
        <w:rPr>
          <w:rFonts w:ascii="Verdana" w:eastAsia="Century Gothic" w:hAnsi="Verdana" w:cs="Century Gothic"/>
          <w:b/>
          <w:bCs/>
        </w:rPr>
      </w:pPr>
      <w:r w:rsidRPr="00D41CA6">
        <w:rPr>
          <w:rFonts w:ascii="Verdana" w:eastAsia="Century Gothic" w:hAnsi="Verdana" w:cs="Century Gothic"/>
          <w:b/>
          <w:bCs/>
        </w:rPr>
        <w:t>Doctrina de la Agencia Nacional de Contratación Pública:</w:t>
      </w:r>
    </w:p>
    <w:p w14:paraId="0F8370D1" w14:textId="77777777" w:rsidR="008A3D05" w:rsidRPr="00D41CA6" w:rsidRDefault="008A3D05" w:rsidP="008A3D05">
      <w:pPr>
        <w:widowControl w:val="0"/>
        <w:autoSpaceDE w:val="0"/>
        <w:autoSpaceDN w:val="0"/>
        <w:spacing w:after="0" w:line="276" w:lineRule="auto"/>
        <w:jc w:val="both"/>
        <w:rPr>
          <w:rFonts w:ascii="Verdana" w:hAnsi="Verdana" w:cs="Arial"/>
        </w:rPr>
      </w:pPr>
    </w:p>
    <w:p w14:paraId="408BCE21" w14:textId="77777777" w:rsidR="008A3D05" w:rsidRPr="00D41CA6" w:rsidRDefault="008A3D05" w:rsidP="008A3D05">
      <w:pPr>
        <w:widowControl w:val="0"/>
        <w:autoSpaceDE w:val="0"/>
        <w:autoSpaceDN w:val="0"/>
        <w:spacing w:after="0" w:line="240" w:lineRule="auto"/>
        <w:jc w:val="both"/>
        <w:rPr>
          <w:rFonts w:ascii="Verdana" w:hAnsi="Verdana"/>
        </w:rPr>
      </w:pPr>
      <w:r w:rsidRPr="00D41CA6">
        <w:rPr>
          <w:rStyle w:val="normaltextrun"/>
          <w:rFonts w:ascii="Verdana" w:hAnsi="Verdana" w:cs="Arial"/>
          <w:shd w:val="clear" w:color="auto" w:fill="FFFFFF"/>
        </w:rPr>
        <w:t xml:space="preserve">Esta Subdirección se ha pronunciado sobre </w:t>
      </w:r>
      <w:r>
        <w:rPr>
          <w:rStyle w:val="normaltextrun"/>
          <w:rFonts w:ascii="Verdana" w:hAnsi="Verdana" w:cs="Arial"/>
          <w:shd w:val="clear" w:color="auto" w:fill="FFFFFF"/>
        </w:rPr>
        <w:t xml:space="preserve">la obligatoriedad de ampliación de las pólizas de garantías en los conceptos: C-769 del 16 de noviembre de 2022 y C-598 del 24 de octubre de 2025. </w:t>
      </w:r>
      <w:r w:rsidRPr="00D41CA6">
        <w:rPr>
          <w:rFonts w:ascii="Verdana" w:hAnsi="Verdana" w:cs="Arial"/>
          <w:shd w:val="clear" w:color="auto" w:fill="FFFFFF"/>
        </w:rPr>
        <w:t>Es</w:t>
      </w:r>
      <w:r w:rsidRPr="00D41CA6">
        <w:rPr>
          <w:rFonts w:ascii="Verdana" w:hAnsi="Verdana"/>
        </w:rPr>
        <w:t>tos y otros conceptos se encuentran disponibles para consulta en el Sistema de relatoría de la Agencia, al cual se puede acceder a través del siguiente enlace:</w:t>
      </w:r>
    </w:p>
    <w:p w14:paraId="4E6F9769" w14:textId="77777777" w:rsidR="008A3D05" w:rsidRPr="00D41CA6" w:rsidRDefault="008A3D05" w:rsidP="008A3D05">
      <w:pPr>
        <w:widowControl w:val="0"/>
        <w:autoSpaceDE w:val="0"/>
        <w:autoSpaceDN w:val="0"/>
        <w:spacing w:after="0" w:line="240" w:lineRule="auto"/>
        <w:jc w:val="both"/>
        <w:rPr>
          <w:rFonts w:ascii="Verdana" w:hAnsi="Verdana"/>
        </w:rPr>
      </w:pPr>
    </w:p>
    <w:p w14:paraId="2A1085AA" w14:textId="77777777" w:rsidR="008A3D05" w:rsidRPr="00D41CA6" w:rsidRDefault="008A3D05" w:rsidP="008A3D05">
      <w:pPr>
        <w:widowControl w:val="0"/>
        <w:autoSpaceDE w:val="0"/>
        <w:autoSpaceDN w:val="0"/>
        <w:spacing w:after="0" w:line="240" w:lineRule="auto"/>
        <w:jc w:val="both"/>
        <w:rPr>
          <w:rStyle w:val="Hipervnculo"/>
          <w:rFonts w:ascii="Verdana" w:eastAsia="Times New Roman" w:hAnsi="Verdana" w:cs="Times New Roman"/>
          <w:bdr w:val="none" w:sz="0" w:space="0" w:color="auto" w:frame="1"/>
          <w:lang w:eastAsia="es-CO"/>
        </w:rPr>
      </w:pPr>
      <w:hyperlink r:id="rId10" w:history="1">
        <w:r w:rsidRPr="00D41CA6">
          <w:rPr>
            <w:rStyle w:val="Hipervnculo"/>
            <w:rFonts w:ascii="Verdana" w:eastAsia="Times New Roman" w:hAnsi="Verdana" w:cs="Times New Roman"/>
            <w:bdr w:val="none" w:sz="0" w:space="0" w:color="auto" w:frame="1"/>
            <w:lang w:eastAsia="es-CO"/>
          </w:rPr>
          <w:t>https://relatoria.colombiacompra.gov.co/busqueda/conceptos</w:t>
        </w:r>
      </w:hyperlink>
      <w:r w:rsidRPr="00D41CA6">
        <w:rPr>
          <w:rStyle w:val="Hipervnculo"/>
          <w:rFonts w:ascii="Verdana" w:eastAsia="Times New Roman" w:hAnsi="Verdana" w:cs="Times New Roman"/>
          <w:bdr w:val="none" w:sz="0" w:space="0" w:color="auto" w:frame="1"/>
          <w:lang w:eastAsia="es-CO"/>
        </w:rPr>
        <w:t xml:space="preserve"> </w:t>
      </w:r>
    </w:p>
    <w:p w14:paraId="56E4A186" w14:textId="77777777" w:rsidR="008A3D05" w:rsidRPr="00D41CA6" w:rsidRDefault="008A3D05" w:rsidP="008A3D05">
      <w:pPr>
        <w:widowControl w:val="0"/>
        <w:autoSpaceDE w:val="0"/>
        <w:autoSpaceDN w:val="0"/>
        <w:spacing w:after="0" w:line="240" w:lineRule="auto"/>
        <w:ind w:firstLine="708"/>
        <w:jc w:val="both"/>
        <w:rPr>
          <w:rFonts w:ascii="Verdana" w:eastAsia="Times New Roman" w:hAnsi="Verdana" w:cs="Times New Roman"/>
          <w:color w:val="000000"/>
          <w:bdr w:val="none" w:sz="0" w:space="0" w:color="auto" w:frame="1"/>
          <w:lang w:eastAsia="es-CO"/>
        </w:rPr>
      </w:pPr>
    </w:p>
    <w:p w14:paraId="1C15788F" w14:textId="77777777" w:rsidR="008A3D05" w:rsidRPr="00D41CA6" w:rsidRDefault="008A3D05" w:rsidP="008A3D05">
      <w:pPr>
        <w:widowControl w:val="0"/>
        <w:autoSpaceDE w:val="0"/>
        <w:autoSpaceDN w:val="0"/>
        <w:spacing w:after="0" w:line="240" w:lineRule="auto"/>
        <w:jc w:val="both"/>
        <w:rPr>
          <w:rFonts w:ascii="Verdana" w:eastAsia="Times New Roman" w:hAnsi="Verdana" w:cs="Times New Roman"/>
          <w:color w:val="000000"/>
          <w:bdr w:val="none" w:sz="0" w:space="0" w:color="auto" w:frame="1"/>
          <w:lang w:eastAsia="es-CO"/>
        </w:rPr>
      </w:pPr>
      <w:r w:rsidRPr="00D41CA6">
        <w:rPr>
          <w:rFonts w:ascii="Verdana" w:eastAsia="Times New Roman" w:hAnsi="Verdana" w:cs="Times New Roman"/>
          <w:color w:val="000000"/>
          <w:bdr w:val="none" w:sz="0" w:space="0" w:color="auto" w:frame="1"/>
          <w:lang w:eastAsia="es-CO"/>
        </w:rPr>
        <w:t xml:space="preserve">También le contamos que ya se encuentra disponible la </w:t>
      </w:r>
      <w:r w:rsidRPr="00D41CA6">
        <w:rPr>
          <w:rFonts w:ascii="Verdana" w:eastAsia="Times New Roman" w:hAnsi="Verdana" w:cs="Times New Roman"/>
          <w:b/>
          <w:bCs/>
          <w:color w:val="000000"/>
          <w:bdr w:val="none" w:sz="0" w:space="0" w:color="auto" w:frame="1"/>
          <w:lang w:eastAsia="es-CO"/>
        </w:rPr>
        <w:t xml:space="preserve">Guía de lineamientos de transparencia y selección objetiva para el departamento de La Guajira – Objetivo sexto constitucional de la Sentencia T-302 del 2017. </w:t>
      </w:r>
      <w:r w:rsidRPr="00D41CA6">
        <w:rPr>
          <w:rFonts w:ascii="Verdana" w:eastAsia="Times New Roman" w:hAnsi="Verdana" w:cs="Times New Roman"/>
          <w:color w:val="000000"/>
          <w:bdr w:val="none" w:sz="0" w:space="0" w:color="auto" w:frame="1"/>
          <w:lang w:eastAsia="es-CO"/>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Wayúu. Puede consultar la guía en el siguiente enlace: </w:t>
      </w:r>
      <w:hyperlink r:id="rId11" w:tgtFrame="_blank" w:tooltip="Dirección URL original: https://www.colombiacompra.gov.co/wp-content/uploads/2025/05/GUIA-DE-LINEAMIENTOS-DE-TRANSPARENCIA-Y-SELECCION-OBJETIVA-1.0.pdf. Haga clic o pulse si confía en este vínculo." w:history="1">
        <w:r w:rsidRPr="00D41CA6">
          <w:rPr>
            <w:rStyle w:val="Hipervnculo"/>
            <w:rFonts w:ascii="Verdana" w:eastAsia="Times New Roman" w:hAnsi="Verdana" w:cs="Times New Roman"/>
            <w:bdr w:val="none" w:sz="0" w:space="0" w:color="auto" w:frame="1"/>
            <w:lang w:eastAsia="es-CO"/>
          </w:rPr>
          <w:t>Guía de lineamientos de transparencia y selección objetiva para el departamento de La Guajira – Objetivo sexto constitucional de la Sentencia T-302 del 2017</w:t>
        </w:r>
      </w:hyperlink>
    </w:p>
    <w:p w14:paraId="7EBEC87B" w14:textId="77777777" w:rsidR="008A3D05" w:rsidRPr="00D41CA6" w:rsidRDefault="008A3D05" w:rsidP="008A3D05">
      <w:pPr>
        <w:widowControl w:val="0"/>
        <w:autoSpaceDE w:val="0"/>
        <w:autoSpaceDN w:val="0"/>
        <w:spacing w:after="0" w:line="276" w:lineRule="auto"/>
        <w:jc w:val="both"/>
        <w:rPr>
          <w:rFonts w:ascii="Verdana" w:hAnsi="Verdana" w:cs="Arial"/>
        </w:rPr>
      </w:pPr>
    </w:p>
    <w:p w14:paraId="781E2246" w14:textId="77777777" w:rsidR="008A3D05" w:rsidRPr="00D41CA6" w:rsidRDefault="008A3D05" w:rsidP="008A3D05">
      <w:pPr>
        <w:spacing w:after="0" w:line="240" w:lineRule="auto"/>
        <w:rPr>
          <w:rFonts w:ascii="Verdana" w:hAnsi="Verdana" w:cs="Arial"/>
          <w:lang w:eastAsia="es-CO"/>
        </w:rPr>
      </w:pPr>
      <w:r w:rsidRPr="00D41CA6">
        <w:rPr>
          <w:rFonts w:ascii="Verdana" w:eastAsia="Times New Roman" w:hAnsi="Verdana" w:cs="Arial"/>
          <w:lang w:eastAsia="es-CO"/>
        </w:rPr>
        <w:t>Atentamente,</w:t>
      </w:r>
      <w:r w:rsidRPr="00D41CA6">
        <w:rPr>
          <w:rFonts w:ascii="Verdana" w:hAnsi="Verdana" w:cs="Arial"/>
          <w:lang w:eastAsia="es-CO"/>
        </w:rPr>
        <w:t xml:space="preserve"> </w:t>
      </w:r>
    </w:p>
    <w:p w14:paraId="3715C08E" w14:textId="757C1DC2" w:rsidR="008A3D05" w:rsidRPr="00D41CA6" w:rsidRDefault="0008424F" w:rsidP="008A3D05">
      <w:pPr>
        <w:spacing w:line="276" w:lineRule="auto"/>
        <w:jc w:val="center"/>
        <w:rPr>
          <w:rFonts w:ascii="Verdana" w:hAnsi="Verdana" w:cs="Arial"/>
          <w:color w:val="000000"/>
          <w:lang w:eastAsia="es-CO"/>
        </w:rPr>
      </w:pPr>
      <w:r w:rsidRPr="004D5C25">
        <w:rPr>
          <w:rFonts w:ascii="Century Gothic" w:hAnsi="Century Gothic"/>
          <w:noProof/>
        </w:rPr>
        <w:lastRenderedPageBreak/>
        <w:drawing>
          <wp:inline distT="0" distB="0" distL="0" distR="0" wp14:anchorId="358E9097" wp14:editId="394DC719">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2"/>
                    <a:stretch>
                      <a:fillRect/>
                    </a:stretch>
                  </pic:blipFill>
                  <pic:spPr>
                    <a:xfrm>
                      <a:off x="0" y="0"/>
                      <a:ext cx="3705742" cy="1590897"/>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8A3D05" w:rsidRPr="00D41CA6" w14:paraId="61F4BA82" w14:textId="77777777" w:rsidTr="00DB0313">
        <w:trPr>
          <w:trHeight w:val="315"/>
        </w:trPr>
        <w:tc>
          <w:tcPr>
            <w:tcW w:w="893" w:type="dxa"/>
            <w:vAlign w:val="center"/>
            <w:hideMark/>
          </w:tcPr>
          <w:p w14:paraId="5888DB6E" w14:textId="77777777" w:rsidR="008A3D05" w:rsidRPr="00D41CA6" w:rsidRDefault="008A3D05" w:rsidP="00DB0313">
            <w:pPr>
              <w:contextualSpacing/>
              <w:rPr>
                <w:rFonts w:ascii="Verdana" w:hAnsi="Verdana" w:cs="Arial"/>
                <w:sz w:val="16"/>
                <w:szCs w:val="16"/>
                <w:lang w:eastAsia="es-ES"/>
              </w:rPr>
            </w:pPr>
            <w:r w:rsidRPr="00D41CA6">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1556EE9E" w14:textId="77777777" w:rsidR="008A3D05" w:rsidRPr="00D41CA6" w:rsidRDefault="008A3D05" w:rsidP="00DB0313">
            <w:pPr>
              <w:contextualSpacing/>
              <w:rPr>
                <w:rFonts w:ascii="Verdana" w:hAnsi="Verdana"/>
                <w:sz w:val="16"/>
                <w:szCs w:val="16"/>
              </w:rPr>
            </w:pPr>
            <w:r w:rsidRPr="00D41CA6">
              <w:rPr>
                <w:rFonts w:ascii="Verdana" w:hAnsi="Verdana"/>
                <w:sz w:val="16"/>
                <w:szCs w:val="16"/>
              </w:rPr>
              <w:t>Sergio Enrique Caballero Lesmes</w:t>
            </w:r>
          </w:p>
          <w:p w14:paraId="430CED34" w14:textId="77777777" w:rsidR="008A3D05" w:rsidRPr="00D41CA6" w:rsidRDefault="008A3D05" w:rsidP="00DB0313">
            <w:pPr>
              <w:contextualSpacing/>
              <w:rPr>
                <w:rFonts w:ascii="Verdana" w:eastAsia="Arial" w:hAnsi="Verdana" w:cs="Arial"/>
                <w:sz w:val="16"/>
                <w:szCs w:val="16"/>
              </w:rPr>
            </w:pPr>
            <w:r w:rsidRPr="00D41CA6">
              <w:rPr>
                <w:rFonts w:ascii="Verdana" w:hAnsi="Verdana"/>
                <w:sz w:val="16"/>
                <w:szCs w:val="16"/>
              </w:rPr>
              <w:t>Analista T2-02 de la Subdirección de Gestión Contractual</w:t>
            </w:r>
          </w:p>
        </w:tc>
      </w:tr>
      <w:tr w:rsidR="008A3D05" w:rsidRPr="00D41CA6" w14:paraId="11554481" w14:textId="77777777" w:rsidTr="00DB0313">
        <w:trPr>
          <w:trHeight w:val="330"/>
        </w:trPr>
        <w:tc>
          <w:tcPr>
            <w:tcW w:w="893" w:type="dxa"/>
            <w:vAlign w:val="center"/>
            <w:hideMark/>
          </w:tcPr>
          <w:p w14:paraId="04A3E62C" w14:textId="77777777" w:rsidR="008A3D05" w:rsidRPr="00D41CA6" w:rsidRDefault="008A3D05" w:rsidP="00DB0313">
            <w:pPr>
              <w:contextualSpacing/>
              <w:rPr>
                <w:rFonts w:ascii="Verdana" w:hAnsi="Verdana" w:cs="Arial"/>
                <w:sz w:val="16"/>
                <w:szCs w:val="16"/>
                <w:lang w:eastAsia="es-ES"/>
              </w:rPr>
            </w:pPr>
            <w:r w:rsidRPr="00D41CA6">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EC1CA67" w14:textId="77777777" w:rsidR="008A3D05" w:rsidRPr="00D41CA6" w:rsidRDefault="008A3D05" w:rsidP="00DB0313">
            <w:pPr>
              <w:contextualSpacing/>
              <w:rPr>
                <w:rFonts w:ascii="Verdana" w:hAnsi="Verdana"/>
                <w:sz w:val="16"/>
                <w:szCs w:val="16"/>
              </w:rPr>
            </w:pPr>
            <w:r>
              <w:rPr>
                <w:rFonts w:ascii="Verdana" w:hAnsi="Verdana"/>
                <w:sz w:val="16"/>
                <w:szCs w:val="16"/>
              </w:rPr>
              <w:t>Diana Lucía Saavedra Castañeda</w:t>
            </w:r>
          </w:p>
          <w:p w14:paraId="0B7E8F89" w14:textId="77777777" w:rsidR="008A3D05" w:rsidRPr="00D41CA6" w:rsidRDefault="008A3D05" w:rsidP="00DB0313">
            <w:pPr>
              <w:contextualSpacing/>
              <w:textAlignment w:val="baseline"/>
              <w:rPr>
                <w:rFonts w:ascii="Verdana" w:hAnsi="Verdana"/>
                <w:sz w:val="16"/>
                <w:szCs w:val="16"/>
              </w:rPr>
            </w:pPr>
            <w:r w:rsidRPr="00D41CA6">
              <w:rPr>
                <w:rFonts w:ascii="Verdana" w:hAnsi="Verdana"/>
                <w:sz w:val="16"/>
                <w:szCs w:val="16"/>
              </w:rPr>
              <w:t>Contratista de la Subdirección de Gestión Contractual</w:t>
            </w:r>
          </w:p>
        </w:tc>
      </w:tr>
      <w:tr w:rsidR="008A3D05" w:rsidRPr="00D41CA6" w14:paraId="0C7445BA" w14:textId="77777777" w:rsidTr="00DB0313">
        <w:trPr>
          <w:trHeight w:val="300"/>
        </w:trPr>
        <w:tc>
          <w:tcPr>
            <w:tcW w:w="893" w:type="dxa"/>
            <w:vAlign w:val="center"/>
          </w:tcPr>
          <w:p w14:paraId="0F31B227" w14:textId="77777777" w:rsidR="008A3D05" w:rsidRPr="00D41CA6" w:rsidRDefault="008A3D05" w:rsidP="00DB0313">
            <w:pPr>
              <w:contextualSpacing/>
              <w:rPr>
                <w:rFonts w:ascii="Verdana" w:hAnsi="Verdana" w:cs="Arial"/>
                <w:sz w:val="16"/>
                <w:szCs w:val="16"/>
                <w:lang w:eastAsia="es-ES"/>
              </w:rPr>
            </w:pPr>
            <w:r w:rsidRPr="00D41CA6">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008C38DF" w14:textId="77777777" w:rsidR="008A3D05" w:rsidRPr="00D41CA6" w:rsidRDefault="008A3D05" w:rsidP="00DB0313">
            <w:pPr>
              <w:contextualSpacing/>
              <w:rPr>
                <w:rFonts w:ascii="Verdana" w:eastAsia="Calibri" w:hAnsi="Verdana" w:cs="Arial"/>
                <w:sz w:val="16"/>
                <w:szCs w:val="16"/>
                <w:lang w:eastAsia="es-ES"/>
              </w:rPr>
            </w:pPr>
            <w:r w:rsidRPr="00D41CA6">
              <w:rPr>
                <w:rFonts w:ascii="Verdana" w:eastAsia="Calibri" w:hAnsi="Verdana" w:cs="Arial"/>
                <w:sz w:val="16"/>
                <w:szCs w:val="16"/>
                <w:lang w:eastAsia="es-ES"/>
              </w:rPr>
              <w:t>Carolina Quintero Gacharná</w:t>
            </w:r>
          </w:p>
          <w:p w14:paraId="1E6E670E" w14:textId="77777777" w:rsidR="008A3D05" w:rsidRPr="00D41CA6" w:rsidRDefault="008A3D05" w:rsidP="00DB0313">
            <w:pPr>
              <w:contextualSpacing/>
              <w:rPr>
                <w:rFonts w:ascii="Verdana" w:eastAsia="Calibri" w:hAnsi="Verdana" w:cs="Arial"/>
                <w:sz w:val="16"/>
                <w:szCs w:val="16"/>
                <w:lang w:eastAsia="es-ES"/>
              </w:rPr>
            </w:pPr>
            <w:r w:rsidRPr="00D41CA6">
              <w:rPr>
                <w:rFonts w:ascii="Verdana" w:eastAsia="Calibri" w:hAnsi="Verdana" w:cs="Arial"/>
                <w:sz w:val="16"/>
                <w:szCs w:val="16"/>
                <w:lang w:eastAsia="es-ES"/>
              </w:rPr>
              <w:t>Subdirectora de Gestión Contractual ANCP – CCE</w:t>
            </w:r>
          </w:p>
        </w:tc>
      </w:tr>
      <w:bookmarkEnd w:id="0"/>
    </w:tbl>
    <w:p w14:paraId="63A3B40B" w14:textId="77777777" w:rsidR="008A3D05" w:rsidRPr="00D41CA6" w:rsidRDefault="008A3D05" w:rsidP="008A3D05"/>
    <w:p w14:paraId="1A3EE66C" w14:textId="77777777" w:rsidR="008A3D05" w:rsidRPr="00D41CA6" w:rsidRDefault="008A3D05" w:rsidP="008A3D05"/>
    <w:p w14:paraId="7A1A85E9" w14:textId="77777777" w:rsidR="008A3D05" w:rsidRPr="00D41CA6" w:rsidRDefault="008A3D05" w:rsidP="008A3D05"/>
    <w:p w14:paraId="66904330" w14:textId="77777777" w:rsidR="008A3D05" w:rsidRPr="00D41CA6" w:rsidRDefault="008A3D05" w:rsidP="008A3D05">
      <w:pPr>
        <w:spacing w:after="0"/>
        <w:rPr>
          <w:rFonts w:ascii="Verdana" w:eastAsia="Times New Roman" w:hAnsi="Verdana" w:cs="Segoe UI"/>
          <w:b/>
          <w:bCs/>
          <w:color w:val="46589C"/>
          <w:lang w:eastAsia="es-CO"/>
        </w:rPr>
      </w:pPr>
    </w:p>
    <w:p w14:paraId="476E78E8" w14:textId="77777777" w:rsidR="008A3D05" w:rsidRPr="00D41CA6" w:rsidRDefault="008A3D05" w:rsidP="008A3D05"/>
    <w:p w14:paraId="74212868" w14:textId="77777777" w:rsidR="008A3D05" w:rsidRPr="00D41CA6" w:rsidRDefault="008A3D05" w:rsidP="008A3D05"/>
    <w:p w14:paraId="37180C9A" w14:textId="77777777" w:rsidR="008A3D05" w:rsidRPr="00D41CA6" w:rsidRDefault="008A3D05" w:rsidP="008A3D05"/>
    <w:p w14:paraId="30A83C4C" w14:textId="77777777" w:rsidR="008A3D05" w:rsidRDefault="008A3D05" w:rsidP="008A3D05"/>
    <w:p w14:paraId="411E0CF8" w14:textId="77777777" w:rsidR="008A3D05" w:rsidRPr="00DB4458" w:rsidRDefault="008A3D05" w:rsidP="008A3D05"/>
    <w:p w14:paraId="2ED07EE4" w14:textId="77777777" w:rsidR="00C24FFE" w:rsidRDefault="00C24FFE"/>
    <w:sectPr w:rsidR="00C24FFE" w:rsidSect="008A3D05">
      <w:headerReference w:type="default" r:id="rId13"/>
      <w:footerReference w:type="default" r:id="rId14"/>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C1B7AD" w14:textId="77777777" w:rsidR="008A3D05" w:rsidRDefault="008A3D05" w:rsidP="008A3D05">
      <w:pPr>
        <w:spacing w:after="0" w:line="240" w:lineRule="auto"/>
      </w:pPr>
      <w:r>
        <w:separator/>
      </w:r>
    </w:p>
  </w:endnote>
  <w:endnote w:type="continuationSeparator" w:id="0">
    <w:p w14:paraId="3127B8D0" w14:textId="77777777" w:rsidR="008A3D05" w:rsidRDefault="008A3D05" w:rsidP="008A3D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altName w:val="Calibri"/>
    <w:panose1 w:val="020B0502020202020204"/>
    <w:charset w:val="00"/>
    <w:family w:val="swiss"/>
    <w:pitch w:val="variable"/>
    <w:sig w:usb0="00000287" w:usb1="00000000" w:usb2="00000000" w:usb3="00000000" w:csb0="0000009F" w:csb1="00000000"/>
  </w:font>
  <w:font w:name="Quattrocento Sans">
    <w:charset w:val="00"/>
    <w:family w:val="swiss"/>
    <w:pitch w:val="variable"/>
    <w:sig w:usb0="800000BF" w:usb1="4000005B" w:usb2="00000000" w:usb3="00000000" w:csb0="00000001"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9ECEC3" w14:textId="77777777" w:rsidR="008A3D05" w:rsidRDefault="008A3D05">
    <w:pPr>
      <w:pStyle w:val="Piedepgina"/>
    </w:pPr>
  </w:p>
  <w:p w14:paraId="366ED666" w14:textId="77777777" w:rsidR="008A3D05" w:rsidRPr="00174B77" w:rsidRDefault="008A3D05"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5523CC70" w14:textId="77777777" w:rsidR="008A3D05" w:rsidRDefault="008A3D05"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5966C62B" w14:textId="77777777" w:rsidR="008A3D05" w:rsidRPr="00E41027" w:rsidRDefault="008A3D05" w:rsidP="00D520D8">
    <w:pPr>
      <w:spacing w:after="0"/>
      <w:jc w:val="both"/>
      <w:rPr>
        <w:rFonts w:ascii="Verdana" w:hAnsi="Verdana"/>
        <w:sz w:val="18"/>
        <w:szCs w:val="18"/>
      </w:rPr>
    </w:pPr>
    <w:r w:rsidRPr="00E41027">
      <w:rPr>
        <w:rFonts w:ascii="Verdana" w:hAnsi="Verdana"/>
        <w:sz w:val="18"/>
        <w:szCs w:val="18"/>
      </w:rPr>
      <w:t>Mesa de servicio: (+57) 601 7456788</w:t>
    </w:r>
  </w:p>
  <w:p w14:paraId="56CD4586" w14:textId="77777777" w:rsidR="008A3D05" w:rsidRDefault="008A3D05"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2</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9B8AF7" w14:textId="77777777" w:rsidR="008A3D05" w:rsidRDefault="008A3D05" w:rsidP="008A3D05">
      <w:pPr>
        <w:spacing w:after="0" w:line="240" w:lineRule="auto"/>
      </w:pPr>
      <w:r>
        <w:separator/>
      </w:r>
    </w:p>
  </w:footnote>
  <w:footnote w:type="continuationSeparator" w:id="0">
    <w:p w14:paraId="6641B3EB" w14:textId="77777777" w:rsidR="008A3D05" w:rsidRDefault="008A3D05" w:rsidP="008A3D05">
      <w:pPr>
        <w:spacing w:after="0" w:line="240" w:lineRule="auto"/>
      </w:pPr>
      <w:r>
        <w:continuationSeparator/>
      </w:r>
    </w:p>
  </w:footnote>
  <w:footnote w:id="1">
    <w:p w14:paraId="5BF0FC60" w14:textId="77777777" w:rsidR="008A3D05" w:rsidRPr="008B36D4" w:rsidRDefault="008A3D05" w:rsidP="008A3D05">
      <w:pPr>
        <w:spacing w:after="0" w:line="240" w:lineRule="auto"/>
        <w:ind w:right="306" w:firstLine="707"/>
        <w:jc w:val="both"/>
        <w:rPr>
          <w:rFonts w:ascii="Verdana" w:hAnsi="Verdana" w:cs="Arial"/>
          <w:sz w:val="16"/>
          <w:szCs w:val="16"/>
        </w:rPr>
      </w:pPr>
      <w:r w:rsidRPr="008B36D4">
        <w:rPr>
          <w:rStyle w:val="Refdenotaalpie"/>
          <w:rFonts w:ascii="Verdana" w:hAnsi="Verdana" w:cs="Arial"/>
          <w:sz w:val="16"/>
          <w:szCs w:val="16"/>
        </w:rPr>
        <w:footnoteRef/>
      </w:r>
      <w:r w:rsidRPr="008B36D4">
        <w:rPr>
          <w:rFonts w:ascii="Verdana" w:hAnsi="Verdana" w:cs="Arial"/>
          <w:sz w:val="16"/>
          <w:szCs w:val="16"/>
        </w:rPr>
        <w:t xml:space="preserve"> En la sentencia de la Sección Tercera, Subsección A, del 16 de septiembre de 2013, expediente No. 30.571, C.P. Mauricio Fajardo Gómez, el Consejo de Estado se pronunció sobre la fuerza vinculante que tienen las respuestas a las observaciones y solicitud de aclaración a los pliegos de condiciones:</w:t>
      </w:r>
    </w:p>
    <w:p w14:paraId="470ED4ED" w14:textId="77777777" w:rsidR="008A3D05" w:rsidRPr="008B36D4" w:rsidRDefault="008A3D05" w:rsidP="008A3D05">
      <w:pPr>
        <w:spacing w:after="0" w:line="240" w:lineRule="auto"/>
        <w:ind w:left="300" w:right="306"/>
        <w:jc w:val="both"/>
        <w:rPr>
          <w:rFonts w:ascii="Verdana" w:hAnsi="Verdana" w:cs="Arial"/>
          <w:sz w:val="16"/>
          <w:szCs w:val="16"/>
        </w:rPr>
      </w:pPr>
      <w:r w:rsidRPr="008B36D4">
        <w:rPr>
          <w:rFonts w:ascii="Verdana" w:hAnsi="Verdana" w:cs="Arial"/>
          <w:sz w:val="16"/>
          <w:szCs w:val="16"/>
          <w:u w:val="single" w:color="4E4D4D"/>
        </w:rPr>
        <w:t xml:space="preserve"> “5.2. De la fuerza vinculante de las respuestas a las solicitudes de aclaraciones en relación con los términos de</w:t>
      </w:r>
      <w:r w:rsidRPr="008B36D4">
        <w:rPr>
          <w:rFonts w:ascii="Verdana" w:hAnsi="Verdana" w:cs="Arial"/>
          <w:sz w:val="16"/>
          <w:szCs w:val="16"/>
        </w:rPr>
        <w:t xml:space="preserve"> </w:t>
      </w:r>
      <w:r w:rsidRPr="008B36D4">
        <w:rPr>
          <w:rFonts w:ascii="Verdana" w:hAnsi="Verdana" w:cs="Arial"/>
          <w:sz w:val="16"/>
          <w:szCs w:val="16"/>
          <w:u w:val="single" w:color="4E4D4D"/>
        </w:rPr>
        <w:t>referencia.</w:t>
      </w:r>
    </w:p>
    <w:p w14:paraId="1F0B7113" w14:textId="77777777" w:rsidR="008A3D05" w:rsidRPr="008B36D4" w:rsidRDefault="008A3D05" w:rsidP="008A3D05">
      <w:pPr>
        <w:spacing w:after="0" w:line="240" w:lineRule="auto"/>
        <w:ind w:left="300" w:right="306"/>
        <w:jc w:val="both"/>
        <w:rPr>
          <w:rFonts w:ascii="Verdana" w:hAnsi="Verdana" w:cs="Arial"/>
          <w:sz w:val="16"/>
          <w:szCs w:val="16"/>
        </w:rPr>
      </w:pPr>
      <w:r w:rsidRPr="008B36D4">
        <w:rPr>
          <w:rFonts w:ascii="Verdana" w:hAnsi="Verdana" w:cs="Arial"/>
          <w:sz w:val="16"/>
          <w:szCs w:val="16"/>
        </w:rPr>
        <w:t>(…).</w:t>
      </w:r>
    </w:p>
    <w:p w14:paraId="14FDABBD" w14:textId="77777777" w:rsidR="008A3D05" w:rsidRPr="008B36D4" w:rsidRDefault="008A3D05" w:rsidP="008A3D05">
      <w:pPr>
        <w:spacing w:after="0" w:line="240" w:lineRule="auto"/>
        <w:ind w:left="300" w:right="306"/>
        <w:jc w:val="both"/>
        <w:rPr>
          <w:rFonts w:ascii="Verdana" w:hAnsi="Verdana" w:cs="Arial"/>
          <w:sz w:val="16"/>
          <w:szCs w:val="16"/>
        </w:rPr>
      </w:pPr>
      <w:r w:rsidRPr="008B36D4">
        <w:rPr>
          <w:rFonts w:ascii="Verdana" w:hAnsi="Verdana" w:cs="Arial"/>
          <w:sz w:val="16"/>
          <w:szCs w:val="16"/>
        </w:rPr>
        <w:t>“Siguiendo el lineamiento expuesto, en criterio de la Sala, independientemente de que el contenido de la modificación se encuentre comprendido en un documento que no tenga el rótulo de “adendo”, la ausencia de tal formalismo en nada varía la intención que se pretendió depositar en el respectivo escrito y en tal virtud si lo que se persiguió a través de su suscripción por parte de la entidad pública era añadir, adicionar, reemplazar o cambiar una condición inicial que al mutarla derive en un supuesto distinto, así habrá de ser entendido por sus destinatarios y mucho más por la entidad de la que emana, de tal forma que lo allí se consigne será vinculante tanto para la Administración contratante como para los</w:t>
      </w:r>
      <w:r w:rsidRPr="008B36D4">
        <w:rPr>
          <w:rFonts w:ascii="Verdana" w:hAnsi="Verdana" w:cs="Arial"/>
          <w:spacing w:val="-11"/>
          <w:sz w:val="16"/>
          <w:szCs w:val="16"/>
        </w:rPr>
        <w:t xml:space="preserve"> </w:t>
      </w:r>
      <w:r w:rsidRPr="008B36D4">
        <w:rPr>
          <w:rFonts w:ascii="Verdana" w:hAnsi="Verdana" w:cs="Arial"/>
          <w:sz w:val="16"/>
          <w:szCs w:val="16"/>
        </w:rPr>
        <w:t>oferentes.</w:t>
      </w:r>
    </w:p>
    <w:p w14:paraId="62B23039" w14:textId="77777777" w:rsidR="008A3D05" w:rsidRPr="008B36D4" w:rsidRDefault="008A3D05" w:rsidP="008A3D05">
      <w:pPr>
        <w:spacing w:after="0" w:line="240" w:lineRule="auto"/>
        <w:ind w:left="300" w:right="306"/>
        <w:jc w:val="both"/>
        <w:rPr>
          <w:rFonts w:ascii="Verdana" w:hAnsi="Verdana" w:cs="Arial"/>
          <w:sz w:val="16"/>
          <w:szCs w:val="16"/>
        </w:rPr>
      </w:pPr>
      <w:r w:rsidRPr="008B36D4">
        <w:rPr>
          <w:rFonts w:ascii="Verdana" w:hAnsi="Verdana" w:cs="Arial"/>
          <w:sz w:val="16"/>
          <w:szCs w:val="16"/>
        </w:rPr>
        <w:t>“En ese orden de ideas, sea que se llame adendo, oficio, resolución, acto administrativo, circular, comunicación, dejando de lado el formalismo de la denominación, cuya solemnidad, como se anotó, no está definida por el ordenamiento, si de su contenido esencial se extrae con precisión y claridad la finalidad de variar o complementar alguna previsión del pliego de condiciones o de los términos de referencia y a ello se suma que se trata de un documento institucional que emana de la entidad pública directora del procedimiento precontractual y que es dado a conocer a todos los interesados, entonces no queda más que concluir que su fuerza obligatoria se irradia a todas las partes del proceso precontractual quienes deberán acatarlo con el mismo vigor que se observa respecto de las previsiones del pliego de</w:t>
      </w:r>
      <w:r w:rsidRPr="008B36D4">
        <w:rPr>
          <w:rFonts w:ascii="Verdana" w:hAnsi="Verdana" w:cs="Arial"/>
          <w:spacing w:val="-19"/>
          <w:sz w:val="16"/>
          <w:szCs w:val="16"/>
        </w:rPr>
        <w:t xml:space="preserve"> </w:t>
      </w:r>
      <w:r w:rsidRPr="008B36D4">
        <w:rPr>
          <w:rFonts w:ascii="Verdana" w:hAnsi="Verdana" w:cs="Arial"/>
          <w:sz w:val="16"/>
          <w:szCs w:val="16"/>
        </w:rPr>
        <w:t>condiciones”.</w:t>
      </w:r>
    </w:p>
    <w:p w14:paraId="68F0EE3F" w14:textId="77777777" w:rsidR="008A3D05" w:rsidRPr="008B36D4" w:rsidRDefault="008A3D05" w:rsidP="008A3D05">
      <w:pPr>
        <w:spacing w:after="0" w:line="240" w:lineRule="auto"/>
        <w:ind w:left="300" w:right="306"/>
        <w:jc w:val="both"/>
        <w:rPr>
          <w:rFonts w:ascii="Verdana" w:hAnsi="Verdana" w:cs="Arial"/>
          <w:sz w:val="16"/>
          <w:szCs w:val="16"/>
        </w:rPr>
      </w:pPr>
    </w:p>
  </w:footnote>
  <w:footnote w:id="2">
    <w:p w14:paraId="7DF0C42B" w14:textId="77777777" w:rsidR="008A3D05" w:rsidRPr="008B36D4" w:rsidRDefault="008A3D05" w:rsidP="008A3D05">
      <w:pPr>
        <w:spacing w:after="0" w:line="240" w:lineRule="auto"/>
        <w:ind w:left="300" w:right="306" w:firstLine="707"/>
        <w:jc w:val="both"/>
        <w:rPr>
          <w:rFonts w:ascii="Verdana" w:hAnsi="Verdana" w:cs="Arial"/>
          <w:sz w:val="16"/>
          <w:szCs w:val="16"/>
        </w:rPr>
      </w:pPr>
      <w:r w:rsidRPr="008B36D4">
        <w:rPr>
          <w:rStyle w:val="Refdenotaalpie"/>
          <w:rFonts w:ascii="Verdana" w:hAnsi="Verdana" w:cs="Arial"/>
          <w:sz w:val="16"/>
          <w:szCs w:val="16"/>
        </w:rPr>
        <w:footnoteRef/>
      </w:r>
      <w:r w:rsidRPr="008B36D4">
        <w:rPr>
          <w:rFonts w:ascii="Verdana" w:hAnsi="Verdana" w:cs="Arial"/>
          <w:sz w:val="16"/>
          <w:szCs w:val="16"/>
        </w:rPr>
        <w:t xml:space="preserve"> En la sentencia de la Sección Tercera, Subsección C, del 24 de julio de 2013, expediente No. 25.642, C.P. Enrique Gil Botero, el Consejo de Estado se refirió a la naturaleza jurídica de los pliegos de condiciones: “los pliegos de condiciones han sido definidos como un acto jurídico mixto que nace como un acto administrativo de contenido general, y que, con la adjudicación y suscripción del contrato estatal, algunos de sus contenidos se transforman para incorporarse al texto del negocio jurídico y, por consiguiente, se convierten en cláusulas vinculantes del</w:t>
      </w:r>
      <w:r w:rsidRPr="008B36D4">
        <w:rPr>
          <w:rFonts w:ascii="Verdana" w:hAnsi="Verdana" w:cs="Arial"/>
          <w:spacing w:val="-3"/>
          <w:sz w:val="16"/>
          <w:szCs w:val="16"/>
        </w:rPr>
        <w:t xml:space="preserve"> </w:t>
      </w:r>
      <w:r w:rsidRPr="008B36D4">
        <w:rPr>
          <w:rFonts w:ascii="Verdana" w:hAnsi="Verdana" w:cs="Arial"/>
          <w:sz w:val="16"/>
          <w:szCs w:val="16"/>
        </w:rPr>
        <w:t>mismo”.</w:t>
      </w:r>
    </w:p>
  </w:footnote>
  <w:footnote w:id="3">
    <w:p w14:paraId="18A2AB4C" w14:textId="77777777" w:rsidR="008A3D05" w:rsidRPr="008B36D4" w:rsidRDefault="008A3D05" w:rsidP="008A3D05">
      <w:pPr>
        <w:pBdr>
          <w:top w:val="nil"/>
          <w:left w:val="nil"/>
          <w:bottom w:val="nil"/>
          <w:right w:val="nil"/>
          <w:between w:val="nil"/>
        </w:pBdr>
        <w:spacing w:after="0"/>
        <w:ind w:firstLine="709"/>
        <w:jc w:val="both"/>
        <w:rPr>
          <w:rFonts w:ascii="Verdana" w:eastAsia="Arial" w:hAnsi="Verdana" w:cs="Arial"/>
          <w:color w:val="000000"/>
          <w:sz w:val="16"/>
          <w:szCs w:val="16"/>
        </w:rPr>
      </w:pPr>
      <w:r w:rsidRPr="008B36D4">
        <w:rPr>
          <w:rFonts w:ascii="Verdana" w:hAnsi="Verdana" w:cs="Arial"/>
          <w:sz w:val="16"/>
          <w:szCs w:val="16"/>
          <w:vertAlign w:val="superscript"/>
        </w:rPr>
        <w:footnoteRef/>
      </w:r>
      <w:r w:rsidRPr="008B36D4">
        <w:rPr>
          <w:rFonts w:ascii="Verdana" w:eastAsia="Arial" w:hAnsi="Verdana" w:cs="Arial"/>
          <w:color w:val="000000"/>
          <w:sz w:val="16"/>
          <w:szCs w:val="16"/>
        </w:rPr>
        <w:t xml:space="preserve"> Ley 80 de 1993, art. 30.7: “De acuerdo con la naturaleza, objeto y cuantía del contrato, en los pliegos de condiciones o términos de referencia, se señalará el plazo razonable dentro del cual la entidad deberá elaborar los estudios técnicos, económicos y jurídicos necesarios para la evaluación de las propuestas y para solicitar a los proponentes las aclaraciones y explicaciones que se estimen indispensables”. </w:t>
      </w:r>
    </w:p>
    <w:p w14:paraId="339237E2" w14:textId="77777777" w:rsidR="008A3D05" w:rsidRPr="008B36D4" w:rsidRDefault="008A3D05" w:rsidP="008A3D05">
      <w:pPr>
        <w:pBdr>
          <w:top w:val="nil"/>
          <w:left w:val="nil"/>
          <w:bottom w:val="nil"/>
          <w:right w:val="nil"/>
          <w:between w:val="nil"/>
        </w:pBdr>
        <w:spacing w:after="0"/>
        <w:ind w:firstLine="709"/>
        <w:jc w:val="both"/>
        <w:rPr>
          <w:rFonts w:ascii="Verdana" w:eastAsia="Arial" w:hAnsi="Verdana" w:cs="Arial"/>
          <w:color w:val="000000"/>
          <w:sz w:val="16"/>
          <w:szCs w:val="16"/>
        </w:rPr>
      </w:pPr>
    </w:p>
  </w:footnote>
  <w:footnote w:id="4">
    <w:p w14:paraId="0B76B890" w14:textId="77777777" w:rsidR="008A3D05" w:rsidRPr="008B36D4" w:rsidRDefault="008A3D05" w:rsidP="008A3D05">
      <w:pPr>
        <w:pBdr>
          <w:top w:val="nil"/>
          <w:left w:val="nil"/>
          <w:bottom w:val="nil"/>
          <w:right w:val="nil"/>
          <w:between w:val="nil"/>
        </w:pBdr>
        <w:spacing w:after="0"/>
        <w:ind w:firstLine="709"/>
        <w:jc w:val="both"/>
        <w:rPr>
          <w:rFonts w:ascii="Verdana" w:eastAsia="Arial" w:hAnsi="Verdana" w:cs="Arial"/>
          <w:color w:val="000000"/>
          <w:sz w:val="16"/>
          <w:szCs w:val="16"/>
        </w:rPr>
      </w:pPr>
      <w:r w:rsidRPr="008B36D4">
        <w:rPr>
          <w:rFonts w:ascii="Verdana" w:hAnsi="Verdana" w:cs="Arial"/>
          <w:sz w:val="16"/>
          <w:szCs w:val="16"/>
          <w:vertAlign w:val="superscript"/>
        </w:rPr>
        <w:footnoteRef/>
      </w:r>
      <w:r w:rsidRPr="008B36D4">
        <w:rPr>
          <w:rFonts w:ascii="Verdana" w:eastAsia="Arial" w:hAnsi="Verdana" w:cs="Arial"/>
          <w:color w:val="000000"/>
          <w:sz w:val="16"/>
          <w:szCs w:val="16"/>
        </w:rPr>
        <w:t xml:space="preserve"> Ley 80 de 1993, art. 30.8: “Los informes de evaluación de las propuestas permanecerán en la secretaría de la entidad por un término de cinco (5) días hábiles para que los oferentes presenten las observaciones que estimen pertinentes. En ejercicio de esta facultad, los oferentes no podrán completar, adicionar, modificar o mejorar sus propuestas”.</w:t>
      </w:r>
    </w:p>
  </w:footnote>
  <w:footnote w:id="5">
    <w:p w14:paraId="64932F85" w14:textId="77777777" w:rsidR="008A3D05" w:rsidRPr="008B36D4" w:rsidRDefault="008A3D05" w:rsidP="008A3D05">
      <w:pPr>
        <w:pBdr>
          <w:top w:val="nil"/>
          <w:left w:val="nil"/>
          <w:bottom w:val="nil"/>
          <w:right w:val="nil"/>
          <w:between w:val="nil"/>
        </w:pBdr>
        <w:spacing w:after="0"/>
        <w:ind w:firstLine="709"/>
        <w:jc w:val="both"/>
        <w:rPr>
          <w:rFonts w:ascii="Verdana" w:eastAsia="Arial" w:hAnsi="Verdana" w:cs="Arial"/>
          <w:color w:val="000000"/>
          <w:sz w:val="16"/>
          <w:szCs w:val="16"/>
        </w:rPr>
      </w:pPr>
      <w:r w:rsidRPr="008B36D4">
        <w:rPr>
          <w:rFonts w:ascii="Verdana" w:hAnsi="Verdana" w:cs="Arial"/>
          <w:sz w:val="16"/>
          <w:szCs w:val="16"/>
          <w:vertAlign w:val="superscript"/>
        </w:rPr>
        <w:footnoteRef/>
      </w:r>
      <w:r w:rsidRPr="008B36D4">
        <w:rPr>
          <w:rFonts w:ascii="Verdana" w:eastAsia="Arial" w:hAnsi="Verdana" w:cs="Arial"/>
          <w:color w:val="000000"/>
          <w:sz w:val="16"/>
          <w:szCs w:val="16"/>
        </w:rPr>
        <w:t xml:space="preserve"> Consejo de Estado. Sección Tercera, Subsección C. Sentencia del 26 de febrero de 2014. C.P. Enrique Gil Botero, Rad. 1999-00113-01 (25.804). </w:t>
      </w:r>
    </w:p>
  </w:footnote>
  <w:footnote w:id="6">
    <w:p w14:paraId="7D92FEE5" w14:textId="77777777" w:rsidR="008A3D05" w:rsidRPr="008B36D4" w:rsidRDefault="008A3D05" w:rsidP="008A3D05">
      <w:pPr>
        <w:pBdr>
          <w:top w:val="nil"/>
          <w:left w:val="nil"/>
          <w:bottom w:val="nil"/>
          <w:right w:val="nil"/>
          <w:between w:val="nil"/>
        </w:pBdr>
        <w:spacing w:after="0"/>
        <w:ind w:firstLine="709"/>
        <w:jc w:val="both"/>
        <w:rPr>
          <w:rFonts w:ascii="Verdana" w:eastAsia="Arial" w:hAnsi="Verdana" w:cs="Arial"/>
          <w:color w:val="000000"/>
          <w:sz w:val="16"/>
          <w:szCs w:val="16"/>
        </w:rPr>
      </w:pPr>
      <w:r w:rsidRPr="008B36D4">
        <w:rPr>
          <w:rFonts w:ascii="Verdana" w:hAnsi="Verdana" w:cs="Arial"/>
          <w:sz w:val="16"/>
          <w:szCs w:val="16"/>
          <w:vertAlign w:val="superscript"/>
        </w:rPr>
        <w:footnoteRef/>
      </w:r>
      <w:r w:rsidRPr="008B36D4">
        <w:rPr>
          <w:rFonts w:ascii="Verdana" w:eastAsia="Arial" w:hAnsi="Verdana" w:cs="Arial"/>
          <w:color w:val="000000"/>
          <w:sz w:val="16"/>
          <w:szCs w:val="16"/>
          <w:vertAlign w:val="superscript"/>
        </w:rPr>
        <w:t xml:space="preserve"> </w:t>
      </w:r>
      <w:r w:rsidRPr="008B36D4">
        <w:rPr>
          <w:rFonts w:ascii="Verdana" w:eastAsia="Arial" w:hAnsi="Verdana" w:cs="Arial"/>
          <w:color w:val="000000"/>
          <w:sz w:val="16"/>
          <w:szCs w:val="16"/>
        </w:rPr>
        <w:t>Ley 1150 de 2007, artículo 5, parágrafo 4°: “En aquellos procesos de selección en los que se utilice el mecanismo de subasta, los documentos referentes a la futura contratación o a proponente, no necesarios para la comparación de las propuestas, deberán ser solicitados hasta el momento previo a su realización”.</w:t>
      </w:r>
    </w:p>
  </w:footnote>
  <w:footnote w:id="7">
    <w:p w14:paraId="0B498185" w14:textId="77777777" w:rsidR="008A3D05" w:rsidRPr="008B36D4" w:rsidRDefault="008A3D05" w:rsidP="008A3D05">
      <w:pPr>
        <w:spacing w:after="0"/>
        <w:ind w:firstLine="709"/>
        <w:jc w:val="both"/>
        <w:rPr>
          <w:rFonts w:ascii="Verdana" w:eastAsia="Arial" w:hAnsi="Verdana" w:cs="Arial"/>
          <w:color w:val="000000"/>
          <w:sz w:val="16"/>
          <w:szCs w:val="16"/>
        </w:rPr>
      </w:pPr>
      <w:r w:rsidRPr="008B36D4">
        <w:rPr>
          <w:rFonts w:ascii="Verdana" w:hAnsi="Verdana" w:cs="Arial"/>
          <w:sz w:val="16"/>
          <w:szCs w:val="16"/>
          <w:vertAlign w:val="superscript"/>
        </w:rPr>
        <w:footnoteRef/>
      </w:r>
      <w:r w:rsidRPr="008B36D4">
        <w:rPr>
          <w:rFonts w:ascii="Verdana" w:eastAsia="Arial" w:hAnsi="Verdana" w:cs="Arial"/>
          <w:color w:val="000000"/>
          <w:sz w:val="16"/>
          <w:szCs w:val="16"/>
        </w:rPr>
        <w:t xml:space="preserve"> Decreto 2474 de 2008 (DEROGADO): “art. 10. Reglas de subsanabilidad. En todo proceso de selección de contratistas primará lo sustancial sobre lo formal. En consecuencia no podrá rechazarse una propuesta por la ausencia de requisitos o la falta de documentos que verifiquen las condiciones del proponente o soporten el contenido de la oferta, y que no constituyan los factores de escogencia establecidos por la entidad en el pliego de condiciones, de conformidad con lo previsto en los numerales 2º, 3º y 4º del artículo 5º de la </w:t>
      </w:r>
      <w:hyperlink r:id="rId1">
        <w:r w:rsidRPr="008B36D4">
          <w:rPr>
            <w:rFonts w:ascii="Verdana" w:eastAsia="Arial" w:hAnsi="Verdana" w:cs="Arial"/>
            <w:color w:val="000000"/>
            <w:sz w:val="16"/>
            <w:szCs w:val="16"/>
          </w:rPr>
          <w:t>Ley 1150 de 2007</w:t>
        </w:r>
      </w:hyperlink>
      <w:r w:rsidRPr="008B36D4">
        <w:rPr>
          <w:rFonts w:ascii="Verdana" w:eastAsia="Arial" w:hAnsi="Verdana" w:cs="Arial"/>
          <w:color w:val="000000"/>
          <w:sz w:val="16"/>
          <w:szCs w:val="16"/>
        </w:rPr>
        <w:t> y en el presente decreto.</w:t>
      </w:r>
    </w:p>
    <w:p w14:paraId="1DFA7534" w14:textId="77777777" w:rsidR="008A3D05" w:rsidRPr="008B36D4" w:rsidRDefault="008A3D05" w:rsidP="008A3D05">
      <w:pPr>
        <w:spacing w:after="0"/>
        <w:ind w:firstLine="709"/>
        <w:jc w:val="both"/>
        <w:rPr>
          <w:rFonts w:ascii="Verdana" w:eastAsia="Arial" w:hAnsi="Verdana" w:cs="Arial"/>
          <w:color w:val="000000"/>
          <w:sz w:val="16"/>
          <w:szCs w:val="16"/>
        </w:rPr>
      </w:pPr>
      <w:r w:rsidRPr="008B36D4">
        <w:rPr>
          <w:rFonts w:ascii="Verdana" w:eastAsia="Arial" w:hAnsi="Verdana" w:cs="Arial"/>
          <w:color w:val="000000"/>
          <w:sz w:val="16"/>
          <w:szCs w:val="16"/>
        </w:rPr>
        <w:t>Tales requisitos o documentos podrán ser requeridos por la entidad en condiciones de igualdad para todos los proponentes hasta la adjudicación, o hasta el momento en que la entidad lo establezca en los pliegos de condiciones, sin que tal previsión haga nugatorio el principio contemplado en el inciso anterior.</w:t>
      </w:r>
    </w:p>
    <w:p w14:paraId="2C6F13F9" w14:textId="77777777" w:rsidR="008A3D05" w:rsidRPr="008B36D4" w:rsidRDefault="008A3D05" w:rsidP="008A3D05">
      <w:pPr>
        <w:spacing w:after="0"/>
        <w:ind w:firstLine="709"/>
        <w:jc w:val="both"/>
        <w:rPr>
          <w:rFonts w:ascii="Verdana" w:eastAsia="Arial" w:hAnsi="Verdana" w:cs="Arial"/>
          <w:color w:val="000000"/>
          <w:sz w:val="16"/>
          <w:szCs w:val="16"/>
        </w:rPr>
      </w:pPr>
      <w:r w:rsidRPr="008B36D4">
        <w:rPr>
          <w:rFonts w:ascii="Verdana" w:eastAsia="Arial" w:hAnsi="Verdana" w:cs="Arial"/>
          <w:color w:val="000000"/>
          <w:sz w:val="16"/>
          <w:szCs w:val="16"/>
        </w:rPr>
        <w:t>Será rechazada la oferta del proponente que dentro del término previsto en el pliego o en la solicitud, no responda al requerimiento que le haga la entidad para subsanarla.</w:t>
      </w:r>
    </w:p>
    <w:p w14:paraId="3C5E0742" w14:textId="77777777" w:rsidR="008A3D05" w:rsidRPr="008B36D4" w:rsidRDefault="008A3D05" w:rsidP="008A3D05">
      <w:pPr>
        <w:spacing w:after="0"/>
        <w:ind w:firstLine="709"/>
        <w:jc w:val="both"/>
        <w:rPr>
          <w:rFonts w:ascii="Verdana" w:eastAsia="Arial" w:hAnsi="Verdana" w:cs="Arial"/>
          <w:color w:val="000000"/>
          <w:sz w:val="16"/>
          <w:szCs w:val="16"/>
        </w:rPr>
      </w:pPr>
      <w:r w:rsidRPr="008B36D4">
        <w:rPr>
          <w:rFonts w:ascii="Verdana" w:eastAsia="Arial" w:hAnsi="Verdana" w:cs="Arial"/>
          <w:color w:val="000000"/>
          <w:sz w:val="16"/>
          <w:szCs w:val="16"/>
        </w:rPr>
        <w:t>Cuando se utilice el mecanismo de subasta esta posibilidad deberá ejercerse hasta el momento previo a su realización, de conformidad con el artículo 22 del presente decreto.</w:t>
      </w:r>
    </w:p>
    <w:p w14:paraId="7E49339B" w14:textId="77777777" w:rsidR="008A3D05" w:rsidRPr="008B36D4" w:rsidRDefault="008A3D05" w:rsidP="008A3D05">
      <w:pPr>
        <w:spacing w:after="0"/>
        <w:ind w:firstLine="709"/>
        <w:jc w:val="both"/>
        <w:rPr>
          <w:rFonts w:ascii="Verdana" w:eastAsia="Arial" w:hAnsi="Verdana" w:cs="Arial"/>
          <w:color w:val="000000"/>
          <w:sz w:val="16"/>
          <w:szCs w:val="16"/>
        </w:rPr>
      </w:pPr>
      <w:r w:rsidRPr="008B36D4">
        <w:rPr>
          <w:rFonts w:ascii="Verdana" w:eastAsia="Arial" w:hAnsi="Verdana" w:cs="Arial"/>
          <w:color w:val="000000"/>
          <w:sz w:val="16"/>
          <w:szCs w:val="16"/>
        </w:rPr>
        <w:t xml:space="preserve">En ningún caso la entidad podrá señalar taxativamente los requisitos o documentos subsanables o no subsanables en el pliego de condiciones, </w:t>
      </w:r>
      <w:r w:rsidRPr="008B36D4">
        <w:rPr>
          <w:rFonts w:ascii="Verdana" w:eastAsia="Arial" w:hAnsi="Verdana" w:cs="Arial"/>
          <w:i/>
          <w:color w:val="000000"/>
          <w:sz w:val="16"/>
          <w:szCs w:val="16"/>
        </w:rPr>
        <w:t>ni permitir que se subsane la falta de capacidad para presentar la oferta, ni que se acrediten circunstancias ocurridas con posterioridad al cierre del proceso</w:t>
      </w:r>
      <w:r w:rsidRPr="008B36D4">
        <w:rPr>
          <w:rFonts w:ascii="Verdana" w:eastAsia="Arial" w:hAnsi="Verdana" w:cs="Arial"/>
          <w:color w:val="000000"/>
          <w:sz w:val="16"/>
          <w:szCs w:val="16"/>
        </w:rPr>
        <w:t xml:space="preserve">”. (Cursivas fuera de texto). </w:t>
      </w:r>
    </w:p>
  </w:footnote>
  <w:footnote w:id="8">
    <w:p w14:paraId="594DD032" w14:textId="77777777" w:rsidR="008A3D05" w:rsidRPr="008B36D4" w:rsidRDefault="008A3D05" w:rsidP="008A3D05">
      <w:pPr>
        <w:pBdr>
          <w:top w:val="nil"/>
          <w:left w:val="nil"/>
          <w:bottom w:val="nil"/>
          <w:right w:val="nil"/>
          <w:between w:val="nil"/>
        </w:pBdr>
        <w:spacing w:after="0"/>
        <w:ind w:firstLine="709"/>
        <w:jc w:val="both"/>
        <w:rPr>
          <w:rFonts w:ascii="Verdana" w:eastAsia="Arial" w:hAnsi="Verdana" w:cs="Arial"/>
          <w:color w:val="000000"/>
          <w:sz w:val="16"/>
          <w:szCs w:val="16"/>
        </w:rPr>
      </w:pPr>
      <w:r w:rsidRPr="008B36D4">
        <w:rPr>
          <w:rFonts w:ascii="Verdana" w:hAnsi="Verdana" w:cs="Arial"/>
          <w:sz w:val="16"/>
          <w:szCs w:val="16"/>
          <w:vertAlign w:val="superscript"/>
        </w:rPr>
        <w:footnoteRef/>
      </w:r>
      <w:r w:rsidRPr="008B36D4">
        <w:rPr>
          <w:rFonts w:ascii="Verdana" w:eastAsia="Arial" w:hAnsi="Verdana" w:cs="Arial"/>
          <w:color w:val="000000"/>
          <w:sz w:val="16"/>
          <w:szCs w:val="16"/>
        </w:rPr>
        <w:t xml:space="preserve"> Consejo de Estado, Sala de Consulta y Servicio Civil, concepto del 6 de noviembre de 2008. C.P. William Zambrano Cetina. Rad. 2008-00079-00(1927).</w:t>
      </w:r>
    </w:p>
  </w:footnote>
  <w:footnote w:id="9">
    <w:p w14:paraId="1938F6FE" w14:textId="77777777" w:rsidR="008A3D05" w:rsidRPr="008B36D4" w:rsidRDefault="008A3D05" w:rsidP="008A3D05">
      <w:pPr>
        <w:pBdr>
          <w:top w:val="nil"/>
          <w:left w:val="nil"/>
          <w:bottom w:val="nil"/>
          <w:right w:val="nil"/>
          <w:between w:val="nil"/>
        </w:pBdr>
        <w:spacing w:after="0"/>
        <w:ind w:firstLine="709"/>
        <w:jc w:val="both"/>
        <w:rPr>
          <w:rFonts w:ascii="Verdana" w:eastAsia="Arial" w:hAnsi="Verdana" w:cs="Arial"/>
          <w:color w:val="000000"/>
          <w:sz w:val="16"/>
          <w:szCs w:val="16"/>
        </w:rPr>
      </w:pPr>
      <w:r w:rsidRPr="008B36D4">
        <w:rPr>
          <w:rFonts w:ascii="Verdana" w:hAnsi="Verdana" w:cs="Arial"/>
          <w:sz w:val="16"/>
          <w:szCs w:val="16"/>
          <w:vertAlign w:val="superscript"/>
        </w:rPr>
        <w:footnoteRef/>
      </w:r>
      <w:r w:rsidRPr="008B36D4">
        <w:rPr>
          <w:rFonts w:ascii="Verdana" w:eastAsia="Arial" w:hAnsi="Verdana" w:cs="Arial"/>
          <w:color w:val="000000"/>
          <w:sz w:val="16"/>
          <w:szCs w:val="16"/>
        </w:rPr>
        <w:t xml:space="preserve"> Ver Consejo de Estado, Sección Tercera, Subsección C. Sentencia del 26 de febrero de 2011. C.P. Jaime Orlando Santofimio. Rad. 36.408.  </w:t>
      </w:r>
    </w:p>
  </w:footnote>
  <w:footnote w:id="10">
    <w:p w14:paraId="3968262C" w14:textId="77777777" w:rsidR="008A3D05" w:rsidRPr="008B36D4" w:rsidRDefault="008A3D05" w:rsidP="008A3D05">
      <w:pPr>
        <w:pBdr>
          <w:top w:val="nil"/>
          <w:left w:val="nil"/>
          <w:bottom w:val="nil"/>
          <w:right w:val="nil"/>
          <w:between w:val="nil"/>
        </w:pBdr>
        <w:spacing w:after="0"/>
        <w:ind w:firstLine="709"/>
        <w:jc w:val="both"/>
        <w:rPr>
          <w:rFonts w:ascii="Verdana" w:eastAsia="Arial" w:hAnsi="Verdana" w:cs="Arial"/>
          <w:color w:val="000000"/>
          <w:sz w:val="16"/>
          <w:szCs w:val="16"/>
        </w:rPr>
      </w:pPr>
      <w:r w:rsidRPr="008B36D4">
        <w:rPr>
          <w:rFonts w:ascii="Verdana" w:hAnsi="Verdana" w:cs="Arial"/>
          <w:sz w:val="16"/>
          <w:szCs w:val="16"/>
          <w:vertAlign w:val="superscript"/>
        </w:rPr>
        <w:footnoteRef/>
      </w:r>
      <w:r w:rsidRPr="008B36D4">
        <w:rPr>
          <w:rFonts w:ascii="Verdana" w:eastAsia="Arial" w:hAnsi="Verdana" w:cs="Arial"/>
          <w:color w:val="000000"/>
          <w:sz w:val="16"/>
          <w:szCs w:val="16"/>
        </w:rPr>
        <w:t xml:space="preserve"> Ver Consejo de Estado, Sección Tercera, Subsección C. Sentencia del 26 de febrero de 2014. C.P. Enrique Gil Botero. Rad. 25.804.  </w:t>
      </w:r>
    </w:p>
  </w:footnote>
  <w:footnote w:id="11">
    <w:p w14:paraId="6B8D2CCA" w14:textId="77777777" w:rsidR="008A3D05" w:rsidRPr="008B36D4" w:rsidRDefault="008A3D05" w:rsidP="008A3D05">
      <w:pPr>
        <w:pBdr>
          <w:top w:val="nil"/>
          <w:left w:val="nil"/>
          <w:bottom w:val="nil"/>
          <w:right w:val="nil"/>
          <w:between w:val="nil"/>
        </w:pBdr>
        <w:spacing w:after="0"/>
        <w:ind w:firstLine="709"/>
        <w:jc w:val="both"/>
        <w:rPr>
          <w:rFonts w:ascii="Verdana" w:eastAsia="Arial" w:hAnsi="Verdana" w:cs="Arial"/>
          <w:color w:val="000000"/>
          <w:sz w:val="16"/>
          <w:szCs w:val="16"/>
        </w:rPr>
      </w:pPr>
      <w:r w:rsidRPr="008B36D4">
        <w:rPr>
          <w:rFonts w:ascii="Verdana" w:hAnsi="Verdana" w:cs="Arial"/>
          <w:sz w:val="16"/>
          <w:szCs w:val="16"/>
          <w:vertAlign w:val="superscript"/>
        </w:rPr>
        <w:footnoteRef/>
      </w:r>
      <w:r w:rsidRPr="008B36D4">
        <w:rPr>
          <w:rFonts w:ascii="Verdana" w:eastAsia="Arial" w:hAnsi="Verdana" w:cs="Arial"/>
          <w:color w:val="000000"/>
          <w:sz w:val="16"/>
          <w:szCs w:val="16"/>
        </w:rPr>
        <w:t xml:space="preserve"> Consejo de Estado, Sala de Consulta y Servicio Civil, concepto del 20 de mayo de 2010. C.P. Enrique José Arboleda Perdomo. Rad. 2010-00034-00(1992).</w:t>
      </w:r>
    </w:p>
    <w:p w14:paraId="21FC342D" w14:textId="77777777" w:rsidR="008A3D05" w:rsidRPr="008B36D4" w:rsidRDefault="008A3D05" w:rsidP="008A3D05">
      <w:pPr>
        <w:pBdr>
          <w:top w:val="nil"/>
          <w:left w:val="nil"/>
          <w:bottom w:val="nil"/>
          <w:right w:val="nil"/>
          <w:between w:val="nil"/>
        </w:pBdr>
        <w:spacing w:after="0"/>
        <w:ind w:firstLine="709"/>
        <w:jc w:val="both"/>
        <w:rPr>
          <w:rFonts w:ascii="Verdana" w:eastAsia="Arial" w:hAnsi="Verdana" w:cs="Arial"/>
          <w:color w:val="000000"/>
          <w:sz w:val="16"/>
          <w:szCs w:val="16"/>
        </w:rPr>
      </w:pPr>
    </w:p>
  </w:footnote>
  <w:footnote w:id="12">
    <w:p w14:paraId="636A6050" w14:textId="77777777" w:rsidR="008A3D05" w:rsidRPr="008B36D4" w:rsidRDefault="008A3D05" w:rsidP="008A3D05">
      <w:pPr>
        <w:pStyle w:val="Textonotapie"/>
        <w:ind w:firstLine="708"/>
        <w:contextualSpacing/>
        <w:jc w:val="both"/>
        <w:rPr>
          <w:rFonts w:ascii="Verdana" w:hAnsi="Verdana" w:cs="Arial"/>
          <w:color w:val="000000" w:themeColor="text1"/>
          <w:sz w:val="16"/>
          <w:szCs w:val="16"/>
          <w:lang w:val="es-CO"/>
        </w:rPr>
      </w:pPr>
      <w:r w:rsidRPr="008B36D4">
        <w:rPr>
          <w:rStyle w:val="Refdenotaalpie"/>
          <w:rFonts w:ascii="Verdana" w:hAnsi="Verdana" w:cs="Arial"/>
          <w:color w:val="000000" w:themeColor="text1"/>
          <w:sz w:val="16"/>
          <w:szCs w:val="16"/>
        </w:rPr>
        <w:footnoteRef/>
      </w:r>
      <w:r w:rsidRPr="008B36D4">
        <w:rPr>
          <w:rFonts w:ascii="Verdana" w:hAnsi="Verdana" w:cs="Arial"/>
          <w:color w:val="000000" w:themeColor="text1"/>
          <w:sz w:val="16"/>
          <w:szCs w:val="16"/>
        </w:rPr>
        <w:t xml:space="preserve"> Ley 1150 de 2007 </w:t>
      </w:r>
      <w:r w:rsidRPr="008B36D4">
        <w:rPr>
          <w:rFonts w:ascii="Verdana" w:hAnsi="Verdana" w:cs="Arial"/>
          <w:color w:val="000000" w:themeColor="text1"/>
          <w:sz w:val="16"/>
          <w:szCs w:val="16"/>
          <w:lang w:val="es-CO"/>
        </w:rPr>
        <w:t>“Artículo 2o. De las modalidades de selección. La escogencia del contratista se efectuará con arreglo a las modalidades de selección de licitación pública, selección abreviada, concurso de méritos y contratación directa, con base en las siguientes reglas:</w:t>
      </w:r>
    </w:p>
    <w:p w14:paraId="02FDBF39" w14:textId="77777777" w:rsidR="008A3D05" w:rsidRPr="008B36D4" w:rsidRDefault="008A3D05" w:rsidP="008A3D05">
      <w:pPr>
        <w:pStyle w:val="Textonotapie"/>
        <w:ind w:firstLine="708"/>
        <w:contextualSpacing/>
        <w:jc w:val="both"/>
        <w:rPr>
          <w:rFonts w:ascii="Verdana" w:hAnsi="Verdana" w:cs="Arial"/>
          <w:color w:val="000000" w:themeColor="text1"/>
          <w:sz w:val="16"/>
          <w:szCs w:val="16"/>
          <w:lang w:val="es-CO"/>
        </w:rPr>
      </w:pPr>
      <w:r w:rsidRPr="008B36D4">
        <w:rPr>
          <w:rFonts w:ascii="Verdana" w:hAnsi="Verdana" w:cs="Arial"/>
          <w:color w:val="000000" w:themeColor="text1"/>
          <w:sz w:val="16"/>
          <w:szCs w:val="16"/>
          <w:lang w:val="es-CO"/>
        </w:rPr>
        <w:t>1. Licitación pública. La escogencia del contratista se efectuará por regla general a través de licitación pública, con las excepciones que se señalan en los numerales 2, 3 y 4 del presente artículo.</w:t>
      </w:r>
    </w:p>
    <w:p w14:paraId="5B9D9F3C" w14:textId="77777777" w:rsidR="008A3D05" w:rsidRPr="008B36D4" w:rsidRDefault="008A3D05" w:rsidP="008A3D05">
      <w:pPr>
        <w:pStyle w:val="Textonotapie"/>
        <w:ind w:firstLine="708"/>
        <w:contextualSpacing/>
        <w:jc w:val="both"/>
        <w:rPr>
          <w:rFonts w:ascii="Verdana" w:hAnsi="Verdana" w:cs="Arial"/>
          <w:color w:val="000000" w:themeColor="text1"/>
          <w:sz w:val="16"/>
          <w:szCs w:val="16"/>
          <w:lang w:val="es-CO"/>
        </w:rPr>
      </w:pPr>
      <w:r w:rsidRPr="008B36D4">
        <w:rPr>
          <w:rFonts w:ascii="Verdana" w:hAnsi="Verdana" w:cs="Arial"/>
          <w:i/>
          <w:iCs/>
          <w:color w:val="000000" w:themeColor="text1"/>
          <w:sz w:val="16"/>
          <w:szCs w:val="16"/>
          <w:lang w:val="es-CO"/>
        </w:rPr>
        <w:t>Cuando la entidad estatal así lo determine, la oferta en un proceso de la licitación pública podrá ser presentada total o parcialmente de manera dinámica mediante subasta inversa, en las condiciones que fije el reglamento</w:t>
      </w:r>
      <w:r w:rsidRPr="008B36D4">
        <w:rPr>
          <w:rFonts w:ascii="Verdana" w:hAnsi="Verdana" w:cs="Arial"/>
          <w:color w:val="000000" w:themeColor="text1"/>
          <w:sz w:val="16"/>
          <w:szCs w:val="16"/>
          <w:lang w:val="es-CO"/>
        </w:rPr>
        <w:t>.</w:t>
      </w:r>
    </w:p>
    <w:p w14:paraId="48F29D1C" w14:textId="77777777" w:rsidR="008A3D05" w:rsidRPr="008B36D4" w:rsidRDefault="008A3D05" w:rsidP="008A3D05">
      <w:pPr>
        <w:pStyle w:val="Textonotapie"/>
        <w:ind w:firstLine="708"/>
        <w:contextualSpacing/>
        <w:jc w:val="both"/>
        <w:rPr>
          <w:rFonts w:ascii="Verdana" w:hAnsi="Verdana" w:cs="Arial"/>
          <w:color w:val="000000" w:themeColor="text1"/>
          <w:sz w:val="16"/>
          <w:szCs w:val="16"/>
          <w:lang w:val="es-CO"/>
        </w:rPr>
      </w:pPr>
      <w:r w:rsidRPr="008B36D4">
        <w:rPr>
          <w:rFonts w:ascii="Verdana" w:hAnsi="Verdana" w:cs="Arial"/>
          <w:color w:val="000000" w:themeColor="text1"/>
          <w:sz w:val="16"/>
          <w:szCs w:val="16"/>
          <w:lang w:val="es-CO"/>
        </w:rPr>
        <w:t>2. Selección abreviada. La Selección abreviada corresponde a la modalidad de selección objetiva prevista para aquellos casos en que por las características del objeto a contratar, las circunstancias de la contratación o la cuantía o destinación del bien, obra o servicio, puedan adelantarse procesos simplificados para garantizar la eficiencia de la gestión contractual.</w:t>
      </w:r>
    </w:p>
    <w:p w14:paraId="1E8223A0" w14:textId="77777777" w:rsidR="008A3D05" w:rsidRPr="008B36D4" w:rsidRDefault="008A3D05" w:rsidP="008A3D05">
      <w:pPr>
        <w:pStyle w:val="Textonotapie"/>
        <w:ind w:firstLine="708"/>
        <w:contextualSpacing/>
        <w:jc w:val="both"/>
        <w:rPr>
          <w:rFonts w:ascii="Verdana" w:hAnsi="Verdana" w:cs="Arial"/>
          <w:color w:val="000000" w:themeColor="text1"/>
          <w:sz w:val="16"/>
          <w:szCs w:val="16"/>
          <w:lang w:val="es-CO"/>
        </w:rPr>
      </w:pPr>
      <w:r w:rsidRPr="008B36D4">
        <w:rPr>
          <w:rFonts w:ascii="Verdana" w:hAnsi="Verdana" w:cs="Arial"/>
          <w:color w:val="000000" w:themeColor="text1"/>
          <w:sz w:val="16"/>
          <w:szCs w:val="16"/>
          <w:lang w:val="es-CO"/>
        </w:rPr>
        <w:t>El Gobierno Nacional reglamentará la materia.</w:t>
      </w:r>
    </w:p>
    <w:p w14:paraId="019D6C8C" w14:textId="77777777" w:rsidR="008A3D05" w:rsidRPr="008B36D4" w:rsidRDefault="008A3D05" w:rsidP="008A3D05">
      <w:pPr>
        <w:pStyle w:val="Textonotapie"/>
        <w:ind w:firstLine="708"/>
        <w:contextualSpacing/>
        <w:jc w:val="both"/>
        <w:rPr>
          <w:rFonts w:ascii="Verdana" w:hAnsi="Verdana" w:cs="Arial"/>
          <w:color w:val="000000" w:themeColor="text1"/>
          <w:sz w:val="16"/>
          <w:szCs w:val="16"/>
          <w:lang w:val="es-CO"/>
        </w:rPr>
      </w:pPr>
      <w:r w:rsidRPr="008B36D4">
        <w:rPr>
          <w:rFonts w:ascii="Verdana" w:hAnsi="Verdana" w:cs="Arial"/>
          <w:color w:val="000000" w:themeColor="text1"/>
          <w:sz w:val="16"/>
          <w:szCs w:val="16"/>
          <w:lang w:val="es-CO"/>
        </w:rPr>
        <w:t>Serán causales de selección abreviada las siguientes:</w:t>
      </w:r>
    </w:p>
    <w:p w14:paraId="0F59EBE9" w14:textId="77777777" w:rsidR="008A3D05" w:rsidRPr="008B36D4" w:rsidRDefault="008A3D05" w:rsidP="008A3D05">
      <w:pPr>
        <w:pStyle w:val="Textonotapie"/>
        <w:ind w:firstLine="708"/>
        <w:contextualSpacing/>
        <w:jc w:val="both"/>
        <w:rPr>
          <w:rFonts w:ascii="Verdana" w:hAnsi="Verdana" w:cs="Arial"/>
          <w:color w:val="000000" w:themeColor="text1"/>
          <w:sz w:val="16"/>
          <w:szCs w:val="16"/>
          <w:lang w:val="es-CO"/>
        </w:rPr>
      </w:pPr>
      <w:r w:rsidRPr="008B36D4">
        <w:rPr>
          <w:rFonts w:ascii="Verdana" w:hAnsi="Verdana" w:cs="Arial"/>
          <w:color w:val="000000" w:themeColor="text1"/>
          <w:sz w:val="16"/>
          <w:szCs w:val="16"/>
          <w:lang w:val="es-CO"/>
        </w:rPr>
        <w:t>a) La adquisición o suministro de bienes y servicios de características técnicas uniformes y de común utilización por parte de las entidades, que corresponden a aquellos que poseen las mismas especificaciones técnicas, con independencia de su diseño o de sus características descriptivas, y comparten patrones de desempeño y calidad objetivamente definidos.</w:t>
      </w:r>
    </w:p>
    <w:p w14:paraId="07BC1434" w14:textId="77777777" w:rsidR="008A3D05" w:rsidRPr="008B36D4" w:rsidRDefault="008A3D05" w:rsidP="008A3D05">
      <w:pPr>
        <w:pStyle w:val="Textonotapie"/>
        <w:ind w:firstLine="705"/>
        <w:contextualSpacing/>
        <w:jc w:val="both"/>
        <w:rPr>
          <w:rFonts w:ascii="Verdana" w:hAnsi="Verdana" w:cs="Arial"/>
          <w:color w:val="000000" w:themeColor="text1"/>
          <w:sz w:val="16"/>
          <w:szCs w:val="16"/>
          <w:lang w:val="es-CO"/>
        </w:rPr>
      </w:pPr>
      <w:r w:rsidRPr="008B36D4">
        <w:rPr>
          <w:rFonts w:ascii="Verdana" w:hAnsi="Verdana" w:cs="Arial"/>
          <w:i/>
          <w:iCs/>
          <w:color w:val="000000" w:themeColor="text1"/>
          <w:sz w:val="16"/>
          <w:szCs w:val="16"/>
          <w:lang w:val="es-CO"/>
        </w:rPr>
        <w:t>Para la adquisición de estos bienes y servicios las entidades deberán, siempre que el reglamento así lo señale, hacer uso de procedimientos de subasta inversa</w:t>
      </w:r>
      <w:r w:rsidRPr="008B36D4">
        <w:rPr>
          <w:rFonts w:ascii="Verdana" w:hAnsi="Verdana" w:cs="Arial"/>
          <w:color w:val="000000" w:themeColor="text1"/>
          <w:sz w:val="16"/>
          <w:szCs w:val="16"/>
          <w:lang w:val="es-CO"/>
        </w:rPr>
        <w:t xml:space="preserve"> o de instrumentos de compra por catálogo derivados de la celebración de acuerdos marco de precios o de procedimientos de adquisición en bolsas de productos; </w:t>
      </w:r>
    </w:p>
    <w:p w14:paraId="555FC39A" w14:textId="77777777" w:rsidR="008A3D05" w:rsidRPr="008B36D4" w:rsidRDefault="008A3D05" w:rsidP="008A3D05">
      <w:pPr>
        <w:pStyle w:val="Textonotapie"/>
        <w:ind w:left="705"/>
        <w:contextualSpacing/>
        <w:jc w:val="both"/>
        <w:rPr>
          <w:rFonts w:ascii="Verdana" w:hAnsi="Verdana" w:cs="Arial"/>
          <w:color w:val="000000" w:themeColor="text1"/>
          <w:sz w:val="16"/>
          <w:szCs w:val="16"/>
          <w:lang w:val="es-CO"/>
        </w:rPr>
      </w:pPr>
      <w:r w:rsidRPr="008B36D4">
        <w:rPr>
          <w:rFonts w:ascii="Verdana" w:hAnsi="Verdana" w:cs="Arial"/>
          <w:color w:val="000000" w:themeColor="text1"/>
          <w:sz w:val="16"/>
          <w:szCs w:val="16"/>
          <w:lang w:val="es-CO"/>
        </w:rPr>
        <w:t>[…]</w:t>
      </w:r>
    </w:p>
    <w:p w14:paraId="55DFCFAF" w14:textId="77777777" w:rsidR="008A3D05" w:rsidRPr="008B36D4" w:rsidRDefault="008A3D05" w:rsidP="008A3D05">
      <w:pPr>
        <w:pStyle w:val="Textonotapie"/>
        <w:ind w:firstLine="708"/>
        <w:contextualSpacing/>
        <w:jc w:val="both"/>
        <w:rPr>
          <w:rFonts w:ascii="Verdana" w:hAnsi="Verdana" w:cs="Arial"/>
          <w:color w:val="000000" w:themeColor="text1"/>
          <w:sz w:val="16"/>
          <w:szCs w:val="16"/>
          <w:lang w:val="es-CO"/>
        </w:rPr>
      </w:pPr>
      <w:r w:rsidRPr="008B36D4">
        <w:rPr>
          <w:rFonts w:ascii="Verdana" w:hAnsi="Verdana" w:cs="Arial"/>
          <w:color w:val="000000" w:themeColor="text1"/>
          <w:sz w:val="16"/>
          <w:szCs w:val="16"/>
          <w:lang w:val="es-CO"/>
        </w:rPr>
        <w:t>e) La enajenación de bienes del Estado, con excepción de aquellos a que se refiere la Ley 226 de 1995.</w:t>
      </w:r>
    </w:p>
    <w:p w14:paraId="062F61EA" w14:textId="77777777" w:rsidR="008A3D05" w:rsidRPr="008B36D4" w:rsidRDefault="008A3D05" w:rsidP="008A3D05">
      <w:pPr>
        <w:pStyle w:val="Textonotapie"/>
        <w:ind w:firstLine="708"/>
        <w:contextualSpacing/>
        <w:jc w:val="both"/>
        <w:rPr>
          <w:rFonts w:ascii="Verdana" w:hAnsi="Verdana" w:cs="Arial"/>
          <w:color w:val="000000" w:themeColor="text1"/>
          <w:sz w:val="16"/>
          <w:szCs w:val="16"/>
          <w:lang w:val="es-CO"/>
        </w:rPr>
      </w:pPr>
      <w:r w:rsidRPr="008B36D4">
        <w:rPr>
          <w:rFonts w:ascii="Verdana" w:hAnsi="Verdana" w:cs="Arial"/>
          <w:i/>
          <w:iCs/>
          <w:color w:val="000000" w:themeColor="text1"/>
          <w:sz w:val="16"/>
          <w:szCs w:val="16"/>
          <w:lang w:val="es-CO"/>
        </w:rPr>
        <w:t>En los procesos de enajenación de los bienes del Estado se podrán utilizar instrumentos de subasta y en general de todos aquellos mecanismos autorizados por el derecho privado, siempre y cuando en desarrollo del proceso de enajenación se garantice la transparencia, la eficiencia y la selección objetiva</w:t>
      </w:r>
      <w:r w:rsidRPr="008B36D4">
        <w:rPr>
          <w:rFonts w:ascii="Verdana" w:hAnsi="Verdana" w:cs="Arial"/>
          <w:color w:val="000000" w:themeColor="text1"/>
          <w:sz w:val="16"/>
          <w:szCs w:val="16"/>
          <w:lang w:val="es-CO"/>
        </w:rPr>
        <w:t>.</w:t>
      </w:r>
    </w:p>
    <w:p w14:paraId="62CC12B7" w14:textId="77777777" w:rsidR="008A3D05" w:rsidRPr="008B36D4" w:rsidRDefault="008A3D05" w:rsidP="008A3D05">
      <w:pPr>
        <w:pStyle w:val="Textonotapie"/>
        <w:ind w:firstLine="708"/>
        <w:contextualSpacing/>
        <w:jc w:val="both"/>
        <w:rPr>
          <w:rFonts w:ascii="Verdana" w:hAnsi="Verdana" w:cs="Arial"/>
          <w:color w:val="000000" w:themeColor="text1"/>
          <w:sz w:val="16"/>
          <w:szCs w:val="16"/>
          <w:lang w:val="es-CO"/>
        </w:rPr>
      </w:pPr>
      <w:r w:rsidRPr="008B36D4">
        <w:rPr>
          <w:rFonts w:ascii="Verdana" w:hAnsi="Verdana" w:cs="Arial"/>
          <w:color w:val="000000" w:themeColor="text1"/>
          <w:sz w:val="16"/>
          <w:szCs w:val="16"/>
          <w:lang w:val="es-CO"/>
        </w:rPr>
        <w:t>[…]</w:t>
      </w:r>
    </w:p>
    <w:p w14:paraId="49F6E5F9" w14:textId="77777777" w:rsidR="008A3D05" w:rsidRPr="008B36D4" w:rsidRDefault="008A3D05" w:rsidP="008A3D05">
      <w:pPr>
        <w:pStyle w:val="Textonotapie"/>
        <w:ind w:firstLine="708"/>
        <w:contextualSpacing/>
        <w:jc w:val="both"/>
        <w:rPr>
          <w:rFonts w:ascii="Verdana" w:hAnsi="Verdana" w:cs="Arial"/>
          <w:color w:val="000000" w:themeColor="text1"/>
          <w:sz w:val="16"/>
          <w:szCs w:val="16"/>
          <w:lang w:val="es-CO"/>
        </w:rPr>
      </w:pPr>
      <w:r w:rsidRPr="008B36D4">
        <w:rPr>
          <w:rFonts w:ascii="Verdana" w:hAnsi="Verdana" w:cs="Arial"/>
          <w:color w:val="000000" w:themeColor="text1"/>
          <w:sz w:val="16"/>
          <w:szCs w:val="16"/>
          <w:lang w:val="es-CO"/>
        </w:rPr>
        <w:t>Las reglas y procedimientos que deberán atender la administración y los promotores y la publicidad del proceso deberán garantizar la libre concurrencia y oportunidad de quienes participen en el mismo.</w:t>
      </w:r>
    </w:p>
    <w:p w14:paraId="1FE16617" w14:textId="77777777" w:rsidR="008A3D05" w:rsidRPr="008B36D4" w:rsidRDefault="008A3D05" w:rsidP="008A3D05">
      <w:pPr>
        <w:pStyle w:val="Textonotapie"/>
        <w:ind w:firstLine="708"/>
        <w:contextualSpacing/>
        <w:jc w:val="both"/>
        <w:rPr>
          <w:rFonts w:ascii="Verdana" w:hAnsi="Verdana" w:cs="Arial"/>
          <w:color w:val="000000" w:themeColor="text1"/>
          <w:sz w:val="16"/>
          <w:szCs w:val="16"/>
          <w:lang w:val="es-CO"/>
        </w:rPr>
      </w:pPr>
      <w:r w:rsidRPr="008B36D4">
        <w:rPr>
          <w:rFonts w:ascii="Verdana" w:hAnsi="Verdana" w:cs="Arial"/>
          <w:i/>
          <w:iCs/>
          <w:color w:val="000000" w:themeColor="text1"/>
          <w:sz w:val="16"/>
          <w:szCs w:val="16"/>
          <w:lang w:val="es-CO"/>
        </w:rPr>
        <w:t>Los bienes serán enajenados a través de venta directa en sobre cerrado o en pública subasta</w:t>
      </w:r>
      <w:r w:rsidRPr="008B36D4">
        <w:rPr>
          <w:rFonts w:ascii="Verdana" w:hAnsi="Verdana" w:cs="Arial"/>
          <w:color w:val="000000" w:themeColor="text1"/>
          <w:sz w:val="16"/>
          <w:szCs w:val="16"/>
          <w:lang w:val="es-CO"/>
        </w:rPr>
        <w:t xml:space="preserve">. La adjudicación para la venta directa deberá hacerse en audiencia pública, en donde se conozcan las ofertas iniciales y se efectúe un segundo ofrecimiento, frente al cual se adjudicará el bien a quien oferte el mejor precio. </w:t>
      </w:r>
      <w:r w:rsidRPr="008B36D4">
        <w:rPr>
          <w:rFonts w:ascii="Verdana" w:hAnsi="Verdana" w:cs="Arial"/>
          <w:i/>
          <w:iCs/>
          <w:color w:val="000000" w:themeColor="text1"/>
          <w:sz w:val="16"/>
          <w:szCs w:val="16"/>
          <w:lang w:val="es-CO"/>
        </w:rPr>
        <w:t>En la subasta pública, de acuerdo con el reglamento definido para su realización, el bien será adjudicado al mejor postor</w:t>
      </w:r>
      <w:r w:rsidRPr="008B36D4">
        <w:rPr>
          <w:rFonts w:ascii="Verdana" w:hAnsi="Verdana" w:cs="Arial"/>
          <w:color w:val="000000" w:themeColor="text1"/>
          <w:sz w:val="16"/>
          <w:szCs w:val="16"/>
          <w:lang w:val="es-CO"/>
        </w:rPr>
        <w:t>.</w:t>
      </w:r>
    </w:p>
    <w:p w14:paraId="251631A9" w14:textId="77777777" w:rsidR="008A3D05" w:rsidRPr="008B36D4" w:rsidRDefault="008A3D05" w:rsidP="008A3D05">
      <w:pPr>
        <w:pStyle w:val="Textonotapie"/>
        <w:ind w:firstLine="708"/>
        <w:contextualSpacing/>
        <w:jc w:val="both"/>
        <w:rPr>
          <w:rFonts w:ascii="Verdana" w:hAnsi="Verdana" w:cs="Arial"/>
          <w:color w:val="000000" w:themeColor="text1"/>
          <w:sz w:val="16"/>
          <w:szCs w:val="16"/>
          <w:lang w:val="es-CO"/>
        </w:rPr>
      </w:pPr>
      <w:r w:rsidRPr="008B36D4">
        <w:rPr>
          <w:rFonts w:ascii="Verdana" w:hAnsi="Verdana" w:cs="Arial"/>
          <w:color w:val="000000" w:themeColor="text1"/>
          <w:sz w:val="16"/>
          <w:szCs w:val="16"/>
          <w:lang w:val="es-CO"/>
        </w:rPr>
        <w:t>La venta implica la publicación previa de los bienes en un diario de amplia circulación nacional, con la determinación del precio base. El interesado en adquirir bienes deberá consignar al menos el 20% del valor base de venta para participar en la oferta […]”. (Cursivas fuera del original).</w:t>
      </w:r>
    </w:p>
    <w:p w14:paraId="5F7BE7CD" w14:textId="77777777" w:rsidR="008A3D05" w:rsidRPr="008B36D4" w:rsidRDefault="008A3D05" w:rsidP="008A3D05">
      <w:pPr>
        <w:pStyle w:val="Textonotapie"/>
        <w:contextualSpacing/>
        <w:jc w:val="both"/>
        <w:rPr>
          <w:rFonts w:ascii="Verdana" w:hAnsi="Verdana" w:cs="Arial"/>
          <w:sz w:val="18"/>
          <w:szCs w:val="18"/>
          <w:lang w:val="es-ES"/>
        </w:rPr>
      </w:pPr>
    </w:p>
  </w:footnote>
  <w:footnote w:id="13">
    <w:p w14:paraId="2F788149" w14:textId="77777777" w:rsidR="008A3D05" w:rsidRPr="008B36D4" w:rsidRDefault="008A3D05" w:rsidP="008A3D05">
      <w:pPr>
        <w:pStyle w:val="Textonotapie"/>
        <w:ind w:firstLine="708"/>
        <w:contextualSpacing/>
        <w:jc w:val="both"/>
        <w:rPr>
          <w:rFonts w:ascii="Verdana" w:hAnsi="Verdana" w:cs="Arial"/>
          <w:color w:val="000000" w:themeColor="text1"/>
          <w:sz w:val="16"/>
          <w:szCs w:val="16"/>
          <w:lang w:val="es-CO"/>
        </w:rPr>
      </w:pPr>
      <w:r w:rsidRPr="008B36D4">
        <w:rPr>
          <w:rStyle w:val="Refdenotaalpie"/>
          <w:rFonts w:ascii="Verdana" w:hAnsi="Verdana" w:cs="Arial"/>
          <w:sz w:val="16"/>
          <w:szCs w:val="16"/>
        </w:rPr>
        <w:footnoteRef/>
      </w:r>
      <w:r w:rsidRPr="008B36D4">
        <w:rPr>
          <w:rFonts w:ascii="Verdana" w:hAnsi="Verdana" w:cs="Arial"/>
          <w:sz w:val="16"/>
          <w:szCs w:val="16"/>
        </w:rPr>
        <w:t xml:space="preserve"> </w:t>
      </w:r>
      <w:r w:rsidRPr="008B36D4">
        <w:rPr>
          <w:rFonts w:ascii="Verdana" w:hAnsi="Verdana" w:cs="Arial"/>
          <w:color w:val="000000" w:themeColor="text1"/>
          <w:sz w:val="16"/>
          <w:szCs w:val="16"/>
        </w:rPr>
        <w:t>MATALLANA CAMACHO, Ernesto. Manual de Contratación de la Administración Pública. 3a ed. Bogotá D. C. Editorial Universidad externado de Colombia, 2013. p. 579.</w:t>
      </w:r>
    </w:p>
    <w:p w14:paraId="3D0490E1" w14:textId="77777777" w:rsidR="008A3D05" w:rsidRPr="008B36D4" w:rsidRDefault="008A3D05" w:rsidP="008A3D05">
      <w:pPr>
        <w:pStyle w:val="Textonotapie"/>
        <w:contextualSpacing/>
        <w:jc w:val="both"/>
        <w:rPr>
          <w:rFonts w:ascii="Verdana" w:hAnsi="Verdana" w:cs="Arial"/>
          <w:sz w:val="16"/>
          <w:szCs w:val="16"/>
          <w:lang w:val="es-ES"/>
        </w:rPr>
      </w:pPr>
    </w:p>
  </w:footnote>
  <w:footnote w:id="14">
    <w:p w14:paraId="7336ECE4" w14:textId="77777777" w:rsidR="008A3D05" w:rsidRPr="008B36D4" w:rsidRDefault="008A3D05" w:rsidP="008A3D05">
      <w:pPr>
        <w:pStyle w:val="Textonotapie"/>
        <w:ind w:firstLine="708"/>
        <w:contextualSpacing/>
        <w:jc w:val="both"/>
        <w:rPr>
          <w:rFonts w:ascii="Verdana" w:hAnsi="Verdana" w:cs="Arial"/>
          <w:color w:val="000000" w:themeColor="text1"/>
          <w:sz w:val="16"/>
          <w:szCs w:val="16"/>
        </w:rPr>
      </w:pPr>
      <w:r w:rsidRPr="008B36D4">
        <w:rPr>
          <w:rStyle w:val="Refdenotaalpie"/>
          <w:rFonts w:ascii="Verdana" w:hAnsi="Verdana" w:cs="Arial"/>
          <w:sz w:val="16"/>
          <w:szCs w:val="16"/>
        </w:rPr>
        <w:footnoteRef/>
      </w:r>
      <w:r w:rsidRPr="008B36D4">
        <w:rPr>
          <w:rFonts w:ascii="Verdana" w:hAnsi="Verdana" w:cs="Arial"/>
          <w:sz w:val="16"/>
          <w:szCs w:val="16"/>
        </w:rPr>
        <w:t xml:space="preserve"> </w:t>
      </w:r>
      <w:r w:rsidRPr="008B36D4">
        <w:rPr>
          <w:rFonts w:ascii="Verdana" w:hAnsi="Verdana" w:cs="Arial"/>
          <w:color w:val="000000" w:themeColor="text1"/>
          <w:sz w:val="16"/>
          <w:szCs w:val="16"/>
        </w:rPr>
        <w:t>SOLANO SIERRA, Jairo E. Contratación Administrativa, Modalidades de selección del Contratista. 4a. ed. Bogotá D.C.: Editorial Doctrina y Ley Ltda., 2010. p. 283.</w:t>
      </w:r>
    </w:p>
    <w:p w14:paraId="1D2AC8E9" w14:textId="77777777" w:rsidR="008A3D05" w:rsidRPr="008B36D4" w:rsidRDefault="008A3D05" w:rsidP="008A3D05">
      <w:pPr>
        <w:pStyle w:val="Textonotapie"/>
        <w:contextualSpacing/>
        <w:jc w:val="both"/>
        <w:rPr>
          <w:rFonts w:ascii="Verdana" w:hAnsi="Verdana" w:cs="Arial"/>
          <w:sz w:val="18"/>
          <w:szCs w:val="18"/>
          <w:lang w:val="es-ES"/>
        </w:rPr>
      </w:pPr>
    </w:p>
  </w:footnote>
  <w:footnote w:id="15">
    <w:p w14:paraId="0D6A63A5" w14:textId="77777777" w:rsidR="008A3D05" w:rsidRPr="008B36D4" w:rsidRDefault="008A3D05" w:rsidP="008A3D05">
      <w:pPr>
        <w:pStyle w:val="Textonotapie"/>
        <w:ind w:firstLine="708"/>
        <w:contextualSpacing/>
        <w:jc w:val="both"/>
        <w:rPr>
          <w:rFonts w:ascii="Verdana" w:hAnsi="Verdana" w:cs="Arial"/>
          <w:sz w:val="16"/>
          <w:szCs w:val="16"/>
        </w:rPr>
      </w:pPr>
      <w:r w:rsidRPr="008B36D4">
        <w:rPr>
          <w:rStyle w:val="Refdenotaalpie"/>
          <w:rFonts w:ascii="Verdana" w:hAnsi="Verdana" w:cs="Arial"/>
          <w:sz w:val="16"/>
          <w:szCs w:val="16"/>
        </w:rPr>
        <w:footnoteRef/>
      </w:r>
      <w:r w:rsidRPr="008B36D4">
        <w:rPr>
          <w:rFonts w:ascii="Verdana" w:hAnsi="Verdana" w:cs="Arial"/>
          <w:sz w:val="16"/>
          <w:szCs w:val="16"/>
        </w:rPr>
        <w:t xml:space="preserve"> Consejo de Estado. Sección Tercera. Sentencia de 12 de noviembre de 2014. C.P. Enrique Gil Botero. Exp. 27.986. </w:t>
      </w:r>
    </w:p>
    <w:p w14:paraId="457D71FB" w14:textId="77777777" w:rsidR="008A3D05" w:rsidRPr="008B36D4" w:rsidRDefault="008A3D05" w:rsidP="008A3D05">
      <w:pPr>
        <w:pStyle w:val="Textonotapie"/>
        <w:ind w:left="708" w:firstLine="1"/>
        <w:contextualSpacing/>
        <w:jc w:val="both"/>
        <w:rPr>
          <w:rFonts w:ascii="Verdana" w:hAnsi="Verdana" w:cs="Arial"/>
          <w:sz w:val="18"/>
          <w:szCs w:val="18"/>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8A7722" w14:textId="77777777" w:rsidR="008A3D05" w:rsidRDefault="008A3D05">
    <w:pPr>
      <w:pStyle w:val="Encabezado"/>
    </w:pPr>
    <w:r>
      <w:rPr>
        <w:rFonts w:ascii="Geomanist Bold" w:hAnsi="Geomanist Bold"/>
        <w:b/>
        <w:bCs/>
        <w:noProof/>
        <w:color w:val="002060"/>
        <w:sz w:val="24"/>
        <w:szCs w:val="24"/>
      </w:rPr>
      <w:drawing>
        <wp:anchor distT="0" distB="0" distL="114300" distR="114300" simplePos="0" relativeHeight="251660288" behindDoc="1" locked="0" layoutInCell="1" allowOverlap="1" wp14:anchorId="3A59B135" wp14:editId="1DF00A4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1CC83A30" wp14:editId="486D13D6">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73094218" w14:textId="77777777" w:rsidR="008A3D05" w:rsidRDefault="008A3D05">
    <w:pPr>
      <w:pStyle w:val="Encabezado"/>
    </w:pPr>
  </w:p>
  <w:p w14:paraId="45397E8A" w14:textId="77777777" w:rsidR="008A3D05" w:rsidRDefault="008A3D05" w:rsidP="004A305D">
    <w:pPr>
      <w:spacing w:after="0"/>
      <w:rPr>
        <w:rFonts w:ascii="Verdana" w:hAnsi="Verdana"/>
        <w:b/>
        <w:bCs/>
      </w:rPr>
    </w:pPr>
  </w:p>
  <w:p w14:paraId="49B85CA8" w14:textId="77777777" w:rsidR="008A3D05" w:rsidRPr="004A305D" w:rsidRDefault="008A3D05" w:rsidP="00B01B1A">
    <w:pPr>
      <w:spacing w:after="0" w:line="120" w:lineRule="auto"/>
      <w:rPr>
        <w:rFonts w:ascii="Century Gothic" w:eastAsia="Geo" w:hAnsi="Century Gothic" w:cs="Geo"/>
        <w:sz w:val="16"/>
        <w:szCs w:val="16"/>
        <w:lang w:eastAsia="es-CO"/>
      </w:rPr>
    </w:pPr>
  </w:p>
  <w:p w14:paraId="40C781C8" w14:textId="77777777" w:rsidR="008A3D05" w:rsidRDefault="008A3D05"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1330140246">
    <w:abstractNumId w:val="0"/>
  </w:num>
  <w:num w:numId="2" w16cid:durableId="67908957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3D05"/>
    <w:rsid w:val="0008424F"/>
    <w:rsid w:val="000C56C7"/>
    <w:rsid w:val="003B0BC7"/>
    <w:rsid w:val="00474DF4"/>
    <w:rsid w:val="00485D25"/>
    <w:rsid w:val="004F471F"/>
    <w:rsid w:val="008A3D05"/>
    <w:rsid w:val="00BE3854"/>
    <w:rsid w:val="00C24FF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CDE7B9"/>
  <w15:chartTrackingRefBased/>
  <w15:docId w15:val="{B7043276-C57E-4434-9EDC-58F13E6330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3D05"/>
    <w:rPr>
      <w:kern w:val="0"/>
      <w14:ligatures w14:val="none"/>
    </w:rPr>
  </w:style>
  <w:style w:type="paragraph" w:styleId="Ttulo1">
    <w:name w:val="heading 1"/>
    <w:basedOn w:val="Normal"/>
    <w:next w:val="Normal"/>
    <w:link w:val="Ttulo1Car"/>
    <w:uiPriority w:val="9"/>
    <w:qFormat/>
    <w:rsid w:val="008A3D0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8A3D0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8A3D05"/>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8A3D05"/>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8A3D05"/>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8A3D05"/>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8A3D05"/>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8A3D05"/>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8A3D05"/>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8A3D05"/>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8A3D05"/>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8A3D05"/>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8A3D05"/>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8A3D05"/>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8A3D05"/>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8A3D05"/>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8A3D05"/>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8A3D05"/>
    <w:rPr>
      <w:rFonts w:eastAsiaTheme="majorEastAsia" w:cstheme="majorBidi"/>
      <w:color w:val="272727" w:themeColor="text1" w:themeTint="D8"/>
    </w:rPr>
  </w:style>
  <w:style w:type="paragraph" w:styleId="Ttulo">
    <w:name w:val="Title"/>
    <w:basedOn w:val="Normal"/>
    <w:next w:val="Normal"/>
    <w:link w:val="TtuloCar"/>
    <w:uiPriority w:val="10"/>
    <w:qFormat/>
    <w:rsid w:val="008A3D0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8A3D05"/>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8A3D05"/>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8A3D05"/>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8A3D05"/>
    <w:pPr>
      <w:spacing w:before="160"/>
      <w:jc w:val="center"/>
    </w:pPr>
    <w:rPr>
      <w:i/>
      <w:iCs/>
      <w:color w:val="404040" w:themeColor="text1" w:themeTint="BF"/>
    </w:rPr>
  </w:style>
  <w:style w:type="character" w:customStyle="1" w:styleId="CitaCar">
    <w:name w:val="Cita Car"/>
    <w:basedOn w:val="Fuentedeprrafopredeter"/>
    <w:link w:val="Cita"/>
    <w:uiPriority w:val="29"/>
    <w:rsid w:val="008A3D05"/>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8A3D05"/>
    <w:pPr>
      <w:ind w:left="720"/>
      <w:contextualSpacing/>
    </w:pPr>
  </w:style>
  <w:style w:type="character" w:styleId="nfasisintenso">
    <w:name w:val="Intense Emphasis"/>
    <w:basedOn w:val="Fuentedeprrafopredeter"/>
    <w:uiPriority w:val="21"/>
    <w:qFormat/>
    <w:rsid w:val="008A3D05"/>
    <w:rPr>
      <w:i/>
      <w:iCs/>
      <w:color w:val="2F5496" w:themeColor="accent1" w:themeShade="BF"/>
    </w:rPr>
  </w:style>
  <w:style w:type="paragraph" w:styleId="Citadestacada">
    <w:name w:val="Intense Quote"/>
    <w:basedOn w:val="Normal"/>
    <w:next w:val="Normal"/>
    <w:link w:val="CitadestacadaCar"/>
    <w:uiPriority w:val="30"/>
    <w:qFormat/>
    <w:rsid w:val="008A3D0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8A3D05"/>
    <w:rPr>
      <w:i/>
      <w:iCs/>
      <w:color w:val="2F5496" w:themeColor="accent1" w:themeShade="BF"/>
    </w:rPr>
  </w:style>
  <w:style w:type="character" w:styleId="Referenciaintensa">
    <w:name w:val="Intense Reference"/>
    <w:basedOn w:val="Fuentedeprrafopredeter"/>
    <w:uiPriority w:val="32"/>
    <w:qFormat/>
    <w:rsid w:val="008A3D05"/>
    <w:rPr>
      <w:b/>
      <w:bCs/>
      <w:smallCaps/>
      <w:color w:val="2F5496" w:themeColor="accent1" w:themeShade="BF"/>
      <w:spacing w:val="5"/>
    </w:rPr>
  </w:style>
  <w:style w:type="paragraph" w:styleId="Encabezado">
    <w:name w:val="header"/>
    <w:basedOn w:val="Normal"/>
    <w:link w:val="EncabezadoCar"/>
    <w:uiPriority w:val="99"/>
    <w:unhideWhenUsed/>
    <w:rsid w:val="008A3D0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8A3D05"/>
    <w:rPr>
      <w:kern w:val="0"/>
      <w14:ligatures w14:val="none"/>
    </w:rPr>
  </w:style>
  <w:style w:type="paragraph" w:styleId="Piedepgina">
    <w:name w:val="footer"/>
    <w:basedOn w:val="Normal"/>
    <w:link w:val="PiedepginaCar"/>
    <w:uiPriority w:val="99"/>
    <w:unhideWhenUsed/>
    <w:rsid w:val="008A3D0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8A3D05"/>
    <w:rPr>
      <w:kern w:val="0"/>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8A3D05"/>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8A3D05"/>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8A3D05"/>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8A3D05"/>
    <w:rPr>
      <w:vertAlign w:val="superscript"/>
    </w:rPr>
  </w:style>
  <w:style w:type="character" w:customStyle="1" w:styleId="normaltextrun">
    <w:name w:val="normaltextrun"/>
    <w:basedOn w:val="Fuentedeprrafopredeter"/>
    <w:rsid w:val="008A3D05"/>
  </w:style>
  <w:style w:type="table" w:styleId="Tablaconcuadrcula">
    <w:name w:val="Table Grid"/>
    <w:basedOn w:val="Tablanormal"/>
    <w:uiPriority w:val="39"/>
    <w:qFormat/>
    <w:rsid w:val="008A3D05"/>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8A3D05"/>
    <w:rPr>
      <w:color w:val="0000FF"/>
      <w:u w:val="single"/>
    </w:rPr>
  </w:style>
  <w:style w:type="paragraph" w:styleId="NormalWeb">
    <w:name w:val="Normal (Web)"/>
    <w:basedOn w:val="Normal"/>
    <w:uiPriority w:val="99"/>
    <w:unhideWhenUsed/>
    <w:rsid w:val="008A3D0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8A3D05"/>
  </w:style>
  <w:style w:type="paragraph" w:customStyle="1" w:styleId="Appelnotedebasde">
    <w:name w:val="Appel note de bas de..."/>
    <w:basedOn w:val="Normal"/>
    <w:link w:val="Refdenotaalpie"/>
    <w:uiPriority w:val="99"/>
    <w:rsid w:val="008A3D05"/>
    <w:pPr>
      <w:spacing w:line="240" w:lineRule="exact"/>
    </w:pPr>
    <w:rPr>
      <w:kern w:val="2"/>
      <w:vertAlign w:val="superscript"/>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ayver.mosquera@dsts.com.co" TargetMode="External"/><Relationship Id="rId13" Type="http://schemas.openxmlformats.org/officeDocument/2006/relationships/header" Target="header1.xml"/><Relationship Id="rId1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2.png"/><Relationship Id="rId17" Type="http://schemas.openxmlformats.org/officeDocument/2006/relationships/customXml" Target="../customXml/item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nam02.safelinks.protection.outlook.com/?url=https%3A%2F%2Fwww.colombiacompra.gov.co%2Fwp-content%2Fuploads%2F2025%2F05%2FGUIA-DE-LINEAMIENTOS-DE-TRANSPARENCIA-Y-SELECCION-OBJETIVA-1.0.pdf&amp;data=05%7C02%7Csergio.caballero%40colombiacompra.gov.co%7C7cfff6dece924643582c08dd97bfed90%7C7b09041e245149d08cb179d5e3d8c1be%7C0%7C0%7C638833572791012884%7CUnknown%7CTWFpbGZsb3d8eyJFbXB0eU1hcGkiOnRydWUsIlYiOiIwLjAuMDAwMCIsIlAiOiJXaW4zMiIsIkFOIjoiTWFpbCIsIldUIjoyfQ%3D%3D%7C0%7C%7C%7C&amp;sdata=3rYh%2B44qbP5kIeJ6PQ5u9to2xg7sNT2hwwbhprvoBTc%3D&amp;reserved=0"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relatoria.colombiacompra.gov.co/busqueda/conceptos" TargetMode="External"/><Relationship Id="rId19"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hyperlink" Target="https://relatoria.colombiacompra.gov.co/providencias-consejo-de-estado/" TargetMode="External"/><Relationship Id="rId14"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www.lexbase.biz/lexbase/normas/leyes/2007/L1150de2007.htm"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B7A6B42D-DFC5-4D27-ADEC-B672CA96D371}"/>
</file>

<file path=customXml/itemProps2.xml><?xml version="1.0" encoding="utf-8"?>
<ds:datastoreItem xmlns:ds="http://schemas.openxmlformats.org/officeDocument/2006/customXml" ds:itemID="{841A6586-913E-455C-91F4-C496E6CF31BA}"/>
</file>

<file path=customXml/itemProps3.xml><?xml version="1.0" encoding="utf-8"?>
<ds:datastoreItem xmlns:ds="http://schemas.openxmlformats.org/officeDocument/2006/customXml" ds:itemID="{58A09D29-CC3C-4711-A47B-567E18382A27}"/>
</file>

<file path=docProps/app.xml><?xml version="1.0" encoding="utf-8"?>
<Properties xmlns="http://schemas.openxmlformats.org/officeDocument/2006/extended-properties" xmlns:vt="http://schemas.openxmlformats.org/officeDocument/2006/docPropsVTypes">
  <Template>Normal</Template>
  <TotalTime>2</TotalTime>
  <Pages>27</Pages>
  <Words>9408</Words>
  <Characters>51745</Characters>
  <Application>Microsoft Office Word</Application>
  <DocSecurity>0</DocSecurity>
  <Lines>431</Lines>
  <Paragraphs>122</Paragraphs>
  <ScaleCrop>false</ScaleCrop>
  <Company/>
  <LinksUpToDate>false</LinksUpToDate>
  <CharactersWithSpaces>61031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Sergio Enrique Caballero Lesmes</dc:creator>
  <cp:keywords/>
  <dc:description/>
  <cp:lastModifiedBy>Sergio Enrique Caballero Lesmes</cp:lastModifiedBy>
  <cp:revision>3</cp:revision>
  <dcterms:created xsi:type="dcterms:W3CDTF">2025-07-04T23:23:00Z</dcterms:created>
  <dcterms:modified xsi:type="dcterms:W3CDTF">2025-07-07T15:09:00Z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