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87031A" w:rsidP="0087031A" w:rsidRDefault="0087031A" w14:paraId="5CB040B5" w14:textId="77777777">
      <w:pPr>
        <w:spacing w:after="0" w:line="240" w:lineRule="auto"/>
        <w:contextualSpacing/>
        <w:jc w:val="both"/>
        <w:rPr>
          <w:rFonts w:ascii="Verdana" w:hAnsi="Verdana" w:eastAsia="Calibri" w:cs="Arial"/>
          <w:b/>
          <w:noProof/>
          <w:lang w:val="es-ES_tradnl" w:eastAsia="es-ES_tradnl"/>
        </w:rPr>
      </w:pPr>
      <w:bookmarkStart w:name="_Hlk181166130" w:id="0"/>
      <w:bookmarkStart w:name="_Hlk143780582" w:id="1"/>
    </w:p>
    <w:p w:rsidRPr="00C4224D" w:rsidR="00E20ADE" w:rsidP="00E20ADE" w:rsidRDefault="00E20ADE" w14:paraId="017BCE10" w14:textId="77777777">
      <w:pPr>
        <w:spacing w:after="0" w:line="240" w:lineRule="auto"/>
        <w:contextualSpacing/>
        <w:jc w:val="both"/>
        <w:rPr>
          <w:rFonts w:ascii="Verdana" w:hAnsi="Verdana" w:eastAsia="Calibri" w:cs="Arial"/>
          <w:b/>
          <w:lang w:val="es-MX"/>
        </w:rPr>
      </w:pPr>
      <w:r w:rsidRPr="00C4224D">
        <w:rPr>
          <w:rFonts w:ascii="Verdana" w:hAnsi="Verdana" w:eastAsia="Calibri" w:cs="Arial"/>
          <w:b/>
          <w:lang w:val="es-MX"/>
        </w:rPr>
        <w:t>PLIEGOS DE CONDICIONES – Naturaleza</w:t>
      </w:r>
    </w:p>
    <w:p w:rsidRPr="00C4224D" w:rsidR="00E20ADE" w:rsidP="00E20ADE" w:rsidRDefault="00E20ADE" w14:paraId="059CE64D" w14:textId="77777777">
      <w:pPr>
        <w:spacing w:after="0" w:line="240" w:lineRule="auto"/>
        <w:contextualSpacing/>
        <w:jc w:val="both"/>
        <w:rPr>
          <w:rFonts w:ascii="Verdana" w:hAnsi="Verdana" w:eastAsia="Calibri" w:cs="Arial"/>
          <w:bCs/>
          <w:sz w:val="20"/>
          <w:szCs w:val="20"/>
          <w:lang w:val="es-MX"/>
        </w:rPr>
      </w:pPr>
    </w:p>
    <w:p w:rsidRPr="00C4224D" w:rsidR="00E20ADE" w:rsidP="00E20ADE" w:rsidRDefault="00E20ADE" w14:paraId="6F3BCB13" w14:textId="77777777">
      <w:pPr>
        <w:spacing w:after="0" w:line="240" w:lineRule="auto"/>
        <w:contextualSpacing/>
        <w:jc w:val="both"/>
        <w:rPr>
          <w:rFonts w:ascii="Verdana" w:hAnsi="Verdana" w:eastAsia="Calibri" w:cs="Arial"/>
          <w:color w:val="000000" w:themeColor="text1"/>
          <w:sz w:val="20"/>
          <w:szCs w:val="20"/>
        </w:rPr>
      </w:pPr>
      <w:r w:rsidRPr="00C4224D">
        <w:rPr>
          <w:rFonts w:ascii="Verdana" w:hAnsi="Verdana" w:eastAsia="Calibri" w:cs="Arial"/>
          <w:bCs/>
          <w:sz w:val="20"/>
          <w:szCs w:val="20"/>
          <w:lang w:val="es-MX"/>
        </w:rPr>
        <w:t xml:space="preserve">[…] </w:t>
      </w:r>
      <w:r w:rsidRPr="00C4224D">
        <w:rPr>
          <w:rFonts w:ascii="Verdana" w:hAnsi="Verdana" w:eastAsia="Calibri" w:cs="Arial"/>
          <w:color w:val="000000" w:themeColor="text1"/>
          <w:sz w:val="20"/>
          <w:szCs w:val="20"/>
        </w:rPr>
        <w:t>el Consejo de Estado ha determinado que el pliego de condiciones es ley para las partes, y en él se debe establecer la regulación del procedimiento de contratación, conforme a la ley, garantizando la selección objetiva del contratista. El artículo 2.2.1.1.2.1.3. del Decreto 1082 de 2015 establece el contenido mínimo del pliego de condiciones, de acuerdo con lo que la entidad adquirirá para satisfacer sus necesidades de bienes, obras o servicios, el cual debe tener la información desagregada, principalmente en los siguientes ítems: i) identificación detallada del objeto contractual y con el clasificador de bienes y servicios, ii) modalidad y criterios de selección, iii) valoración económica del bien, obra o servicio, iv) reglas de la presentación y manejo de las ofertas, v) riesgos y garantías, entre otros aspectos del contrato.</w:t>
      </w:r>
    </w:p>
    <w:p w:rsidRPr="00C4224D" w:rsidR="00E20ADE" w:rsidP="00E20ADE" w:rsidRDefault="00E20ADE" w14:paraId="63EA7897" w14:textId="77777777">
      <w:pPr>
        <w:spacing w:after="0" w:line="240" w:lineRule="auto"/>
        <w:contextualSpacing/>
        <w:jc w:val="both"/>
        <w:rPr>
          <w:rFonts w:ascii="Verdana" w:hAnsi="Verdana" w:eastAsia="Calibri" w:cs="Arial"/>
          <w:bCs/>
          <w:sz w:val="20"/>
          <w:szCs w:val="20"/>
        </w:rPr>
      </w:pPr>
    </w:p>
    <w:p w:rsidRPr="00C4224D" w:rsidR="00E20ADE" w:rsidP="00E20ADE" w:rsidRDefault="00E20ADE" w14:paraId="35212DF8" w14:textId="77777777">
      <w:pPr>
        <w:spacing w:after="0" w:line="240" w:lineRule="auto"/>
        <w:contextualSpacing/>
        <w:jc w:val="both"/>
        <w:rPr>
          <w:rFonts w:ascii="Verdana" w:hAnsi="Verdana" w:eastAsia="Calibri" w:cs="Arial"/>
          <w:bCs/>
          <w:sz w:val="20"/>
          <w:szCs w:val="20"/>
          <w:lang w:val="es-MX"/>
        </w:rPr>
      </w:pPr>
      <w:r w:rsidRPr="00C4224D">
        <w:rPr>
          <w:rFonts w:ascii="Verdana" w:hAnsi="Verdana" w:eastAsia="Calibri" w:cs="Arial"/>
          <w:bCs/>
          <w:sz w:val="20"/>
          <w:szCs w:val="20"/>
          <w:lang w:val="es-MX"/>
        </w:rPr>
        <w:t>[…]</w:t>
      </w:r>
    </w:p>
    <w:p w:rsidRPr="00C4224D" w:rsidR="00E20ADE" w:rsidP="00E20ADE" w:rsidRDefault="00E20ADE" w14:paraId="54ED5943" w14:textId="77777777">
      <w:pPr>
        <w:spacing w:after="0" w:line="240" w:lineRule="auto"/>
        <w:contextualSpacing/>
        <w:jc w:val="both"/>
        <w:rPr>
          <w:rFonts w:ascii="Verdana" w:hAnsi="Verdana" w:eastAsia="Calibri" w:cs="Arial"/>
          <w:bCs/>
          <w:sz w:val="20"/>
          <w:szCs w:val="20"/>
          <w:lang w:val="es-MX"/>
        </w:rPr>
      </w:pPr>
    </w:p>
    <w:p w:rsidRPr="00C4224D" w:rsidR="00E20ADE" w:rsidP="00E20ADE" w:rsidRDefault="00E20ADE" w14:paraId="308634D6" w14:textId="77777777">
      <w:pPr>
        <w:spacing w:after="0" w:line="240" w:lineRule="auto"/>
        <w:contextualSpacing/>
        <w:jc w:val="both"/>
        <w:rPr>
          <w:rFonts w:ascii="Verdana" w:hAnsi="Verdana" w:eastAsia="Calibri" w:cs="Arial"/>
          <w:sz w:val="20"/>
          <w:szCs w:val="20"/>
          <w:lang w:val="es-ES"/>
        </w:rPr>
      </w:pPr>
      <w:r w:rsidRPr="00C4224D">
        <w:rPr>
          <w:rFonts w:ascii="Verdana" w:hAnsi="Verdana" w:eastAsia="Calibri" w:cs="Arial"/>
          <w:sz w:val="20"/>
          <w:szCs w:val="20"/>
          <w:lang w:val="es-ES"/>
        </w:rPr>
        <w:t>En ese orden de ideas, el Consejo de Estado ha reiterado que el pliego de condiciones ostenta una doble naturaleza jurídica, pues, por un lado, antes de la celebración del contrato y de la expedición del acto administrativo de adjudicación se considera como un acto administrativo de carácter general que rige el desarrollo del proceso de selección. Sin embargo, una vez se celebre el contrato, el pliego de condiciones pasa hacer parte del marco jurídico de la relación contractual determinando el contenido y el alcance del negocio jurídico</w:t>
      </w:r>
      <w:r>
        <w:rPr>
          <w:rFonts w:ascii="Verdana" w:hAnsi="Verdana" w:eastAsia="Calibri" w:cs="Arial"/>
          <w:sz w:val="20"/>
          <w:szCs w:val="20"/>
          <w:lang w:val="es-ES"/>
        </w:rPr>
        <w:t>.</w:t>
      </w:r>
    </w:p>
    <w:p w:rsidRPr="00C4224D" w:rsidR="00E20ADE" w:rsidP="00E20ADE" w:rsidRDefault="00E20ADE" w14:paraId="27A5B2E3" w14:textId="77777777">
      <w:pPr>
        <w:spacing w:after="0" w:line="240" w:lineRule="auto"/>
        <w:contextualSpacing/>
        <w:jc w:val="both"/>
        <w:rPr>
          <w:rFonts w:ascii="Verdana" w:hAnsi="Verdana" w:eastAsia="Calibri" w:cs="Arial"/>
          <w:bCs/>
          <w:sz w:val="20"/>
          <w:szCs w:val="20"/>
          <w:lang w:val="es-MX"/>
        </w:rPr>
      </w:pPr>
    </w:p>
    <w:p w:rsidRPr="00C4224D" w:rsidR="00E20ADE" w:rsidP="00E20ADE" w:rsidRDefault="00E20ADE" w14:paraId="1ACC6A56" w14:textId="3C25A302">
      <w:pPr>
        <w:spacing w:after="0" w:line="240" w:lineRule="auto"/>
        <w:contextualSpacing/>
        <w:jc w:val="both"/>
        <w:rPr>
          <w:rFonts w:ascii="Verdana" w:hAnsi="Verdana" w:eastAsia="Calibri" w:cs="Arial"/>
          <w:b/>
        </w:rPr>
      </w:pPr>
      <w:r w:rsidRPr="00C4224D">
        <w:rPr>
          <w:rFonts w:ascii="Verdana" w:hAnsi="Verdana" w:eastAsia="Calibri" w:cs="Arial"/>
          <w:b/>
          <w:lang w:val="es-MX"/>
        </w:rPr>
        <w:t xml:space="preserve">PLIEGOS DE CONDICIONES – Otros documentos – </w:t>
      </w:r>
    </w:p>
    <w:p w:rsidRPr="00C4224D" w:rsidR="00E20ADE" w:rsidP="00E20ADE" w:rsidRDefault="00E20ADE" w14:paraId="2F181DBD" w14:textId="77777777">
      <w:pPr>
        <w:spacing w:after="0" w:line="240" w:lineRule="auto"/>
        <w:contextualSpacing/>
        <w:jc w:val="both"/>
        <w:rPr>
          <w:rFonts w:ascii="Verdana" w:hAnsi="Verdana" w:eastAsia="Batang" w:cs="Arial"/>
          <w:sz w:val="20"/>
          <w:szCs w:val="20"/>
          <w:lang w:val="es-MX"/>
        </w:rPr>
      </w:pPr>
    </w:p>
    <w:p w:rsidR="00E20ADE" w:rsidP="00E20ADE" w:rsidRDefault="00E20ADE" w14:paraId="4B39B3DA" w14:textId="77777777">
      <w:pPr>
        <w:spacing w:after="0" w:line="240" w:lineRule="auto"/>
        <w:contextualSpacing/>
        <w:jc w:val="both"/>
        <w:rPr>
          <w:rFonts w:ascii="Verdana" w:hAnsi="Verdana" w:eastAsia="Batang" w:cs="Arial"/>
          <w:i/>
          <w:iCs/>
          <w:sz w:val="20"/>
          <w:szCs w:val="20"/>
          <w:lang w:val="es-MX"/>
        </w:rPr>
      </w:pPr>
      <w:r w:rsidRPr="00C4224D">
        <w:rPr>
          <w:rFonts w:ascii="Verdana" w:hAnsi="Verdana" w:eastAsia="Batang" w:cs="Arial"/>
          <w:sz w:val="20"/>
          <w:szCs w:val="20"/>
          <w:lang w:val="es-MX"/>
        </w:rPr>
        <w:t xml:space="preserve">Ahora bien, de acuerdo con la jurisprudencia de la Sección Tercera del Consejo de Estado, las reglas de los pliegos de condiciones deben prevalecer sobre los demás documentos del contrato e incluso sobre la minuta, la cual se limita a formalizar el acuerdo de voluntades. Por lo tanto, ha reiterado que las reglas contenidas en los pliegos de condiciones que adolecen de vacíos o contradicciones deben de interpretarse </w:t>
      </w:r>
      <w:r w:rsidRPr="00C4224D">
        <w:rPr>
          <w:rFonts w:ascii="Verdana" w:hAnsi="Verdana" w:eastAsia="Batang" w:cs="Arial"/>
          <w:i/>
          <w:iCs/>
          <w:sz w:val="20"/>
          <w:szCs w:val="20"/>
          <w:lang w:val="es-MX"/>
        </w:rPr>
        <w:t>“con sujeción a los principios generales del derechos, a los de la función administrativa, a la finalidad del pliego y a la protección del interés general, de conformidad con lo previsto en el artículo 23 de la Ley 80 de 1993”.</w:t>
      </w:r>
    </w:p>
    <w:p w:rsidRPr="00C4224D" w:rsidR="00E20ADE" w:rsidP="00E20ADE" w:rsidRDefault="00E20ADE" w14:paraId="7FB58403" w14:textId="77777777">
      <w:pPr>
        <w:spacing w:after="0" w:line="240" w:lineRule="auto"/>
        <w:contextualSpacing/>
        <w:jc w:val="both"/>
        <w:rPr>
          <w:rFonts w:ascii="Verdana" w:hAnsi="Verdana" w:eastAsia="Batang" w:cs="Arial"/>
          <w:sz w:val="20"/>
          <w:szCs w:val="20"/>
          <w:lang w:val="es-MX"/>
        </w:rPr>
      </w:pPr>
    </w:p>
    <w:p w:rsidRPr="00C4224D" w:rsidR="00E20ADE" w:rsidP="00E20ADE" w:rsidRDefault="00E20ADE" w14:paraId="719674C7" w14:textId="77777777">
      <w:pPr>
        <w:spacing w:after="0" w:line="240" w:lineRule="auto"/>
        <w:contextualSpacing/>
        <w:jc w:val="both"/>
        <w:rPr>
          <w:rFonts w:ascii="Verdana" w:hAnsi="Verdana" w:eastAsia="Batang" w:cs="Arial"/>
          <w:sz w:val="20"/>
          <w:szCs w:val="20"/>
        </w:rPr>
      </w:pPr>
      <w:r w:rsidRPr="00C4224D">
        <w:rPr>
          <w:rFonts w:ascii="Verdana" w:hAnsi="Verdana" w:eastAsia="Batang" w:cs="Arial"/>
          <w:sz w:val="20"/>
          <w:szCs w:val="20"/>
          <w:lang w:val="es-MX"/>
        </w:rPr>
        <w:t xml:space="preserve">De acuerdo con lo anterior, en atención al problema jurídico planteado, es posible establecer, por ejemplo, que </w:t>
      </w:r>
      <w:r w:rsidRPr="00C4224D">
        <w:rPr>
          <w:rFonts w:ascii="Verdana" w:hAnsi="Verdana" w:eastAsia="Batang" w:cs="Arial"/>
          <w:sz w:val="20"/>
          <w:szCs w:val="20"/>
        </w:rPr>
        <w:t xml:space="preserve">en caso de contradicción entre el contenido establecido en el pliego de condiciones y el incluido por la entidad, proponentes o contratista en los demás documentos del proceso de contratación, primará lo señalado en el pliego de condiciones. </w:t>
      </w:r>
    </w:p>
    <w:p w:rsidRPr="00C4224D" w:rsidR="00E20ADE" w:rsidP="00E20ADE" w:rsidRDefault="00E20ADE" w14:paraId="340AE2B7" w14:textId="77777777">
      <w:pPr>
        <w:spacing w:after="0" w:line="240" w:lineRule="auto"/>
        <w:contextualSpacing/>
        <w:jc w:val="both"/>
        <w:rPr>
          <w:rFonts w:ascii="Verdana" w:hAnsi="Verdana" w:eastAsia="Calibri" w:cs="Arial"/>
          <w:sz w:val="20"/>
          <w:szCs w:val="20"/>
        </w:rPr>
      </w:pPr>
    </w:p>
    <w:p w:rsidRPr="00D72D95" w:rsidR="00471CAF" w:rsidP="00471CAF" w:rsidRDefault="00471CAF" w14:paraId="0FB4AEC0" w14:textId="77777777">
      <w:pPr>
        <w:spacing w:after="0" w:line="240" w:lineRule="auto"/>
        <w:jc w:val="both"/>
        <w:rPr>
          <w:rFonts w:ascii="Verdana" w:hAnsi="Verdana" w:eastAsia="Calibri" w:cs="Arial"/>
          <w:b/>
          <w:bCs/>
          <w:lang w:val="es-ES" w:eastAsia="es-ES"/>
        </w:rPr>
      </w:pPr>
      <w:r w:rsidRPr="00D72D95">
        <w:rPr>
          <w:rFonts w:ascii="Verdana" w:hAnsi="Verdana" w:eastAsia="Calibri" w:cs="Arial"/>
          <w:b/>
          <w:bCs/>
          <w:lang w:val="es-ES" w:eastAsia="es-ES"/>
        </w:rPr>
        <w:t>SUBSANABILIDAD – Aplicación – R</w:t>
      </w:r>
      <w:r w:rsidRPr="00D72D95">
        <w:rPr>
          <w:rFonts w:ascii="Verdana" w:hAnsi="Verdana" w:eastAsia="Calibri"/>
          <w:b/>
          <w:bCs/>
          <w:lang w:val="es-ES" w:eastAsia="es-ES"/>
        </w:rPr>
        <w:t>egla general</w:t>
      </w:r>
      <w:r w:rsidRPr="00D72D95">
        <w:rPr>
          <w:rFonts w:ascii="Verdana" w:hAnsi="Verdana" w:eastAsia="Calibri" w:cs="Arial"/>
          <w:b/>
          <w:bCs/>
          <w:lang w:val="es-ES" w:eastAsia="es-ES"/>
        </w:rPr>
        <w:t xml:space="preserve"> – Excepciones </w:t>
      </w:r>
    </w:p>
    <w:p w:rsidRPr="00D72D95" w:rsidR="00471CAF" w:rsidP="00471CAF" w:rsidRDefault="00471CAF" w14:paraId="21A0A5DD" w14:textId="77777777">
      <w:pPr>
        <w:tabs>
          <w:tab w:val="left" w:pos="426"/>
        </w:tabs>
        <w:spacing w:after="0" w:line="240" w:lineRule="auto"/>
        <w:jc w:val="both"/>
        <w:rPr>
          <w:rFonts w:ascii="Verdana" w:hAnsi="Verdana" w:cs="Arial"/>
          <w:b/>
          <w:sz w:val="20"/>
          <w:szCs w:val="20"/>
          <w:lang w:eastAsia="es-CO"/>
        </w:rPr>
      </w:pPr>
    </w:p>
    <w:p w:rsidR="00471CAF" w:rsidP="00471CAF" w:rsidRDefault="00471CAF" w14:paraId="2B07C5E9" w14:textId="77777777">
      <w:pPr>
        <w:spacing w:after="0" w:line="240" w:lineRule="auto"/>
        <w:jc w:val="both"/>
        <w:rPr>
          <w:rFonts w:ascii="Verdana" w:hAnsi="Verdana" w:cs="Arial"/>
          <w:bCs/>
          <w:sz w:val="20"/>
          <w:szCs w:val="20"/>
          <w:lang w:eastAsia="es-CO"/>
        </w:rPr>
      </w:pPr>
      <w:r w:rsidRPr="00D72D95">
        <w:rPr>
          <w:rFonts w:ascii="Verdana" w:hAnsi="Verdana" w:cs="Arial"/>
          <w:bCs/>
          <w:sz w:val="20"/>
          <w:szCs w:val="20"/>
          <w:lang w:eastAsia="es-CO"/>
        </w:rPr>
        <w:t xml:space="preserve">La regla de la subsanabilidad de las ofertas en los procedimientos de selección indica que, por regla general, la falta de entrega y los defectos en la acreditación de los requisitos habilitantes son aspectos subsanables. La excepción a esta regla se encuentra en la prohibición de permitir que se subsanen aspectos que otorgan puntaje, de valer la </w:t>
      </w:r>
      <w:r w:rsidRPr="00D72D95">
        <w:rPr>
          <w:rFonts w:ascii="Verdana" w:hAnsi="Verdana" w:cs="Arial"/>
          <w:bCs/>
          <w:sz w:val="20"/>
          <w:szCs w:val="20"/>
          <w:lang w:eastAsia="es-CO"/>
        </w:rPr>
        <w:t>acreditación de circunstancias ocurridas con posterioridad al cierre del proceso y de permitir la entrega de la garantía de seriedad de la oferta que no fue aportada con la propuesta.</w:t>
      </w:r>
    </w:p>
    <w:p w:rsidRPr="002E5295" w:rsidR="00471CAF" w:rsidP="00471CAF" w:rsidRDefault="00471CAF" w14:paraId="64403F14" w14:textId="77777777">
      <w:pPr>
        <w:spacing w:after="0" w:line="240" w:lineRule="auto"/>
        <w:jc w:val="both"/>
        <w:rPr>
          <w:rFonts w:ascii="Verdana" w:hAnsi="Verdana" w:cs="Arial"/>
          <w:bCs/>
          <w:sz w:val="20"/>
          <w:szCs w:val="20"/>
          <w:lang w:val="es-ES_tradnl" w:eastAsia="es-CO"/>
        </w:rPr>
      </w:pPr>
    </w:p>
    <w:p w:rsidRPr="00914070" w:rsidR="00471CAF" w:rsidP="00471CAF" w:rsidRDefault="00471CAF" w14:paraId="0FC0CE64" w14:textId="77777777">
      <w:pPr>
        <w:spacing w:after="0" w:line="240" w:lineRule="auto"/>
        <w:jc w:val="both"/>
        <w:rPr>
          <w:rFonts w:ascii="Verdana" w:hAnsi="Verdana" w:eastAsia="Calibri" w:cs="Arial"/>
          <w:b/>
          <w:bCs/>
          <w:lang w:val="es-ES" w:eastAsia="es-ES"/>
        </w:rPr>
      </w:pPr>
      <w:r w:rsidRPr="00914070">
        <w:rPr>
          <w:rFonts w:ascii="Verdana" w:hAnsi="Verdana" w:eastAsia="Calibri" w:cs="Arial"/>
          <w:b/>
          <w:bCs/>
          <w:lang w:val="es-ES" w:eastAsia="es-ES"/>
        </w:rPr>
        <w:t xml:space="preserve">SUBSANABILIDAD – Ley 1882 de 2018 </w:t>
      </w:r>
    </w:p>
    <w:p w:rsidR="00471CAF" w:rsidP="00471CAF" w:rsidRDefault="00471CAF" w14:paraId="72BA89EC" w14:textId="77777777">
      <w:pPr>
        <w:spacing w:after="0" w:line="240" w:lineRule="auto"/>
        <w:jc w:val="both"/>
        <w:rPr>
          <w:rFonts w:ascii="Verdana" w:hAnsi="Verdana" w:eastAsia="Times New Roman" w:cs="Arial"/>
          <w:lang w:val="es-ES" w:eastAsia="es-ES_tradnl"/>
        </w:rPr>
      </w:pPr>
    </w:p>
    <w:p w:rsidR="00471CAF" w:rsidP="00471CAF" w:rsidRDefault="00471CAF" w14:paraId="794A1A64" w14:textId="77777777">
      <w:pPr>
        <w:spacing w:after="0" w:line="240" w:lineRule="auto"/>
        <w:jc w:val="both"/>
        <w:rPr>
          <w:rFonts w:ascii="Verdana" w:hAnsi="Verdana" w:cs="Arial"/>
          <w:bCs/>
          <w:sz w:val="20"/>
          <w:szCs w:val="20"/>
          <w:lang w:eastAsia="es-CO"/>
        </w:rPr>
      </w:pPr>
      <w:r>
        <w:rPr>
          <w:rFonts w:ascii="Verdana" w:hAnsi="Verdana" w:cs="Arial"/>
          <w:bCs/>
          <w:sz w:val="20"/>
          <w:szCs w:val="20"/>
          <w:lang w:eastAsia="es-CO"/>
        </w:rPr>
        <w:t xml:space="preserve">[…] </w:t>
      </w:r>
      <w:r w:rsidRPr="00C86B78">
        <w:rPr>
          <w:rFonts w:ascii="Verdana" w:hAnsi="Verdana" w:cs="Arial"/>
          <w:bCs/>
          <w:sz w:val="20"/>
          <w:szCs w:val="20"/>
          <w:lang w:eastAsia="es-CO"/>
        </w:rPr>
        <w:t>la Ley 1882 de 2018: i) mantiene el criterio de la Ley 80 de 1993, relativo a que todo lo que no sea necesario para la comparación de propuestas no es título suficiente para su rechazo; ii) mantiene el criterio aclaratorio de la Ley 1150 de 2007, según el cual todo lo que no afecte la asignación de puntaje puede subsanarse; e, iii) introduce modificaciones en relación con algunos aspectos que se analizarán a continuación.</w:t>
      </w:r>
    </w:p>
    <w:p w:rsidRPr="00C86B78" w:rsidR="00471CAF" w:rsidP="00471CAF" w:rsidRDefault="00471CAF" w14:paraId="2AE371AE" w14:textId="77777777">
      <w:pPr>
        <w:spacing w:after="0" w:line="240" w:lineRule="auto"/>
        <w:rPr>
          <w:rFonts w:ascii="Verdana" w:hAnsi="Verdana" w:eastAsia="Times New Roman" w:cs="Arial"/>
          <w:lang w:val="es-ES" w:eastAsia="es-ES_tradnl"/>
        </w:rPr>
      </w:pPr>
    </w:p>
    <w:p w:rsidR="00471CAF" w:rsidP="00471CAF" w:rsidRDefault="00471CAF" w14:paraId="728CE3B8" w14:textId="77777777">
      <w:pPr>
        <w:tabs>
          <w:tab w:val="left" w:pos="426"/>
        </w:tabs>
        <w:spacing w:after="0" w:line="240" w:lineRule="auto"/>
        <w:jc w:val="both"/>
        <w:rPr>
          <w:rFonts w:ascii="Verdana" w:hAnsi="Verdana" w:cs="Arial"/>
          <w:b/>
          <w:lang w:eastAsia="es-CO"/>
        </w:rPr>
      </w:pPr>
      <w:r>
        <w:rPr>
          <w:rFonts w:ascii="Verdana" w:hAnsi="Verdana" w:cs="Arial"/>
          <w:b/>
          <w:lang w:eastAsia="es-CO"/>
        </w:rPr>
        <w:t>CAUSALES DE RECHAZO DE LAS OFERTAS – Origen – Límites en su configuración</w:t>
      </w:r>
    </w:p>
    <w:p w:rsidR="00471CAF" w:rsidP="00471CAF" w:rsidRDefault="00471CAF" w14:paraId="2208FCF0" w14:textId="77777777">
      <w:pPr>
        <w:tabs>
          <w:tab w:val="left" w:pos="426"/>
        </w:tabs>
        <w:spacing w:after="0" w:line="240" w:lineRule="auto"/>
        <w:jc w:val="both"/>
        <w:rPr>
          <w:rFonts w:ascii="Verdana" w:hAnsi="Verdana" w:cs="Arial"/>
          <w:b/>
          <w:lang w:eastAsia="es-CO"/>
        </w:rPr>
      </w:pPr>
    </w:p>
    <w:p w:rsidR="00471CAF" w:rsidP="00471CAF" w:rsidRDefault="00471CAF" w14:paraId="4DDC36AA" w14:textId="77777777">
      <w:pPr>
        <w:tabs>
          <w:tab w:val="left" w:pos="426"/>
        </w:tabs>
        <w:spacing w:after="0" w:line="240" w:lineRule="auto"/>
        <w:jc w:val="both"/>
        <w:rPr>
          <w:rFonts w:ascii="Verdana" w:hAnsi="Verdana" w:eastAsia="Calibri" w:cs="Arial"/>
          <w:sz w:val="20"/>
          <w:szCs w:val="20"/>
        </w:rPr>
      </w:pPr>
      <w:r w:rsidRPr="00633549">
        <w:rPr>
          <w:rFonts w:ascii="Verdana" w:hAnsi="Verdana" w:eastAsia="Calibri" w:cs="Arial"/>
          <w:sz w:val="20"/>
          <w:szCs w:val="20"/>
        </w:rPr>
        <w:t xml:space="preserve">El rechazo de las ofertas y los eventos en los que proceden han sido asuntos de los que se ha ocupado la legislación nacional en materia de contratación pública, por lo que “la competencia de las entidades estales para establecer eventos de exclusión de propuestas es de carácter residual y restringido”. En ese sentido, si bien las entidades estatales, en ejercicio de la discrecionalidad que les corresponde en la configuración de los pliegos de condiciones, tienen competencia para determinar los requisitos que deben cumplir los proponentes para la presentación de ofertas y regular los eventos en los que procede su rechazo, el ejercicio de tales facultades encuentra ciertos límites en la ley y el reglamento, así como en los principios de razonabilidad y proporcionalidad.  </w:t>
      </w:r>
    </w:p>
    <w:p w:rsidR="00471CAF" w:rsidP="00471CAF" w:rsidRDefault="00471CAF" w14:paraId="1429E96F" w14:textId="77777777">
      <w:pPr>
        <w:tabs>
          <w:tab w:val="left" w:pos="426"/>
        </w:tabs>
        <w:spacing w:after="0" w:line="240" w:lineRule="auto"/>
        <w:jc w:val="both"/>
        <w:rPr>
          <w:rFonts w:ascii="Verdana" w:hAnsi="Verdana" w:eastAsia="Calibri" w:cs="Arial"/>
          <w:sz w:val="20"/>
          <w:szCs w:val="20"/>
        </w:rPr>
      </w:pPr>
    </w:p>
    <w:p w:rsidR="00471CAF" w:rsidP="00471CAF" w:rsidRDefault="00471CAF" w14:paraId="26ECFA5A" w14:textId="77777777">
      <w:pPr>
        <w:tabs>
          <w:tab w:val="left" w:pos="426"/>
        </w:tabs>
        <w:spacing w:after="0" w:line="240" w:lineRule="auto"/>
        <w:jc w:val="both"/>
        <w:rPr>
          <w:rFonts w:ascii="Verdana" w:hAnsi="Verdana" w:cs="Arial"/>
          <w:b/>
          <w:lang w:eastAsia="es-CO"/>
        </w:rPr>
      </w:pPr>
      <w:r>
        <w:rPr>
          <w:rFonts w:ascii="Verdana" w:hAnsi="Verdana" w:cs="Arial"/>
          <w:b/>
          <w:lang w:eastAsia="es-CO"/>
        </w:rPr>
        <w:t>CAUSALES DE RECHAZO – Procedencia</w:t>
      </w:r>
    </w:p>
    <w:p w:rsidR="00471CAF" w:rsidP="00471CAF" w:rsidRDefault="00471CAF" w14:paraId="6C4D1CEB" w14:textId="77777777">
      <w:pPr>
        <w:tabs>
          <w:tab w:val="left" w:pos="426"/>
        </w:tabs>
        <w:spacing w:after="0" w:line="240" w:lineRule="auto"/>
        <w:jc w:val="both"/>
        <w:rPr>
          <w:rFonts w:ascii="Verdana" w:hAnsi="Verdana" w:cs="Arial"/>
          <w:b/>
          <w:lang w:eastAsia="es-CO"/>
        </w:rPr>
      </w:pPr>
    </w:p>
    <w:p w:rsidRPr="007B4E49" w:rsidR="00471CAF" w:rsidP="00471CAF" w:rsidRDefault="00471CAF" w14:paraId="655B557C" w14:textId="77777777">
      <w:pPr>
        <w:spacing w:after="0" w:line="240" w:lineRule="auto"/>
        <w:jc w:val="both"/>
        <w:rPr>
          <w:rFonts w:ascii="Verdana" w:hAnsi="Verdana" w:eastAsia="Times New Roman" w:cs="Arial"/>
          <w:lang w:eastAsia="es-ES_tradnl"/>
        </w:rPr>
      </w:pPr>
      <w:r w:rsidRPr="007B4E49">
        <w:rPr>
          <w:rFonts w:ascii="Verdana" w:hAnsi="Verdana" w:eastAsia="Calibri" w:cs="Arial"/>
          <w:sz w:val="20"/>
          <w:szCs w:val="20"/>
        </w:rPr>
        <w:t xml:space="preserve">Dicho lo anterior, sobre si procede o no el rechazo de la oferta en razón al documento </w:t>
      </w:r>
      <w:r w:rsidRPr="00A242F6">
        <w:rPr>
          <w:rFonts w:ascii="Verdana" w:hAnsi="Verdana" w:eastAsia="Calibri" w:cs="Arial"/>
          <w:i/>
          <w:iCs/>
          <w:sz w:val="20"/>
          <w:szCs w:val="20"/>
        </w:rPr>
        <w:t>ambiguo u oscuro</w:t>
      </w:r>
      <w:r w:rsidRPr="007B4E49">
        <w:rPr>
          <w:rFonts w:ascii="Verdana" w:hAnsi="Verdana" w:eastAsia="Calibri" w:cs="Arial"/>
          <w:sz w:val="20"/>
          <w:szCs w:val="20"/>
        </w:rPr>
        <w:t>, en primera medida, dependerá de que exista la causal de rechazo en la ley, el reglamento o tenga origen en el pliego de condiciones expresada de manera clara y taxativa. De otro lado, si existe un supuesto de hecho incorporado por la entidad estatal en el pliego de condiciones como causal de rechazo, aquella deberá estar acorde con los principios de razonabilidad y proporcionalidad, no contrariar el ordenamiento jurídico y evitar que versen sobre aspectos meramente formales sin relevancia para el transcurso del proceso de selección o el perfeccionamiento del contrato.</w:t>
      </w:r>
    </w:p>
    <w:p w:rsidR="0087031A" w:rsidP="0087031A" w:rsidRDefault="0087031A" w14:paraId="74637510" w14:textId="77777777">
      <w:pPr>
        <w:spacing w:after="0" w:line="240" w:lineRule="auto"/>
        <w:jc w:val="both"/>
        <w:rPr>
          <w:rFonts w:ascii="Verdana" w:hAnsi="Verdana" w:eastAsia="Aptos" w:cs="Times New Roman"/>
          <w:sz w:val="20"/>
          <w:szCs w:val="20"/>
        </w:rPr>
      </w:pPr>
    </w:p>
    <w:p w:rsidR="00471CAF" w:rsidP="0087031A" w:rsidRDefault="00471CAF" w14:paraId="71192816" w14:textId="77777777">
      <w:pPr>
        <w:spacing w:after="0" w:line="240" w:lineRule="auto"/>
        <w:jc w:val="both"/>
        <w:rPr>
          <w:rFonts w:ascii="Verdana" w:hAnsi="Verdana" w:eastAsia="Aptos" w:cs="Times New Roman"/>
          <w:sz w:val="20"/>
          <w:szCs w:val="20"/>
        </w:rPr>
      </w:pPr>
    </w:p>
    <w:p w:rsidR="00471CAF" w:rsidP="0087031A" w:rsidRDefault="00471CAF" w14:paraId="12C9D154" w14:textId="77777777">
      <w:pPr>
        <w:spacing w:after="0" w:line="240" w:lineRule="auto"/>
        <w:jc w:val="both"/>
        <w:rPr>
          <w:rFonts w:ascii="Verdana" w:hAnsi="Verdana" w:eastAsia="Aptos" w:cs="Times New Roman"/>
          <w:sz w:val="20"/>
          <w:szCs w:val="20"/>
        </w:rPr>
      </w:pPr>
    </w:p>
    <w:p w:rsidR="00471CAF" w:rsidP="0087031A" w:rsidRDefault="00471CAF" w14:paraId="631CFE64" w14:textId="77777777">
      <w:pPr>
        <w:spacing w:after="0" w:line="240" w:lineRule="auto"/>
        <w:jc w:val="both"/>
        <w:rPr>
          <w:rFonts w:ascii="Verdana" w:hAnsi="Verdana" w:eastAsia="Aptos" w:cs="Times New Roman"/>
          <w:sz w:val="20"/>
          <w:szCs w:val="20"/>
        </w:rPr>
      </w:pPr>
    </w:p>
    <w:p w:rsidR="00471CAF" w:rsidP="0087031A" w:rsidRDefault="00471CAF" w14:paraId="554280FE" w14:textId="77777777">
      <w:pPr>
        <w:spacing w:after="0" w:line="240" w:lineRule="auto"/>
        <w:jc w:val="both"/>
        <w:rPr>
          <w:rFonts w:ascii="Verdana" w:hAnsi="Verdana" w:eastAsia="Aptos" w:cs="Times New Roman"/>
          <w:sz w:val="20"/>
          <w:szCs w:val="20"/>
        </w:rPr>
      </w:pPr>
    </w:p>
    <w:p w:rsidR="00471CAF" w:rsidP="0087031A" w:rsidRDefault="00471CAF" w14:paraId="18108908" w14:textId="77777777">
      <w:pPr>
        <w:spacing w:after="0" w:line="240" w:lineRule="auto"/>
        <w:jc w:val="both"/>
        <w:rPr>
          <w:rFonts w:ascii="Verdana" w:hAnsi="Verdana" w:eastAsia="Aptos" w:cs="Times New Roman"/>
          <w:sz w:val="20"/>
          <w:szCs w:val="20"/>
        </w:rPr>
      </w:pPr>
    </w:p>
    <w:p w:rsidR="00471CAF" w:rsidP="0087031A" w:rsidRDefault="00471CAF" w14:paraId="54DEED0F" w14:textId="77777777">
      <w:pPr>
        <w:spacing w:after="0" w:line="240" w:lineRule="auto"/>
        <w:jc w:val="both"/>
        <w:rPr>
          <w:rFonts w:ascii="Verdana" w:hAnsi="Verdana" w:eastAsia="Aptos" w:cs="Times New Roman"/>
          <w:sz w:val="20"/>
          <w:szCs w:val="20"/>
        </w:rPr>
      </w:pPr>
    </w:p>
    <w:p w:rsidR="0087031A" w:rsidP="0087031A" w:rsidRDefault="0087031A" w14:paraId="268EE6CB" w14:textId="77777777">
      <w:pPr>
        <w:spacing w:after="0" w:line="240" w:lineRule="auto"/>
        <w:jc w:val="both"/>
        <w:rPr>
          <w:rFonts w:ascii="Verdana" w:hAnsi="Verdana" w:eastAsia="Aptos" w:cs="Times New Roman"/>
          <w:sz w:val="20"/>
          <w:szCs w:val="20"/>
        </w:rPr>
      </w:pPr>
    </w:p>
    <w:p w:rsidR="0087031A" w:rsidP="0087031A" w:rsidRDefault="0087031A" w14:paraId="5338B683" w14:textId="77777777">
      <w:pPr>
        <w:spacing w:after="0" w:line="240" w:lineRule="auto"/>
        <w:jc w:val="both"/>
        <w:rPr>
          <w:rFonts w:ascii="Verdana" w:hAnsi="Verdana" w:eastAsia="Aptos" w:cs="Times New Roman"/>
          <w:sz w:val="20"/>
          <w:szCs w:val="20"/>
        </w:rPr>
      </w:pPr>
    </w:p>
    <w:p w:rsidR="0087031A" w:rsidP="0087031A" w:rsidRDefault="0087031A" w14:paraId="41BEA558" w14:textId="77777777">
      <w:pPr>
        <w:spacing w:after="0" w:line="240" w:lineRule="auto"/>
        <w:jc w:val="both"/>
        <w:rPr>
          <w:rFonts w:ascii="Verdana" w:hAnsi="Verdana" w:eastAsia="Aptos" w:cs="Times New Roman"/>
          <w:sz w:val="20"/>
          <w:szCs w:val="20"/>
        </w:rPr>
      </w:pPr>
    </w:p>
    <w:p w:rsidR="0087031A" w:rsidP="0087031A" w:rsidRDefault="0087031A" w14:paraId="49D9EE12" w14:textId="77777777">
      <w:pPr>
        <w:spacing w:after="0" w:line="240" w:lineRule="auto"/>
        <w:jc w:val="both"/>
        <w:rPr>
          <w:rFonts w:ascii="Verdana" w:hAnsi="Verdana" w:eastAsia="Aptos" w:cs="Times New Roman"/>
          <w:sz w:val="20"/>
          <w:szCs w:val="20"/>
        </w:rPr>
      </w:pPr>
    </w:p>
    <w:p w:rsidR="0087031A" w:rsidP="0087031A" w:rsidRDefault="0087031A" w14:paraId="61068EFA" w14:textId="275882F3">
      <w:pPr>
        <w:spacing w:after="0"/>
        <w:rPr>
          <w:rFonts w:ascii="Verdana" w:hAnsi="Verdana"/>
        </w:rPr>
      </w:pPr>
      <w:r>
        <w:rPr>
          <w:rFonts w:ascii="Verdana" w:hAnsi="Verdana"/>
        </w:rPr>
        <w:t>B</w:t>
      </w:r>
      <w:r w:rsidRPr="0044528D">
        <w:rPr>
          <w:rFonts w:ascii="Verdana" w:hAnsi="Verdana"/>
        </w:rPr>
        <w:t xml:space="preserve">ogotá D.C., </w:t>
      </w:r>
      <w:r w:rsidR="007B6FE0">
        <w:rPr>
          <w:rFonts w:ascii="Verdana" w:hAnsi="Verdana"/>
        </w:rPr>
        <w:t>09 de julio de 2025</w:t>
      </w:r>
    </w:p>
    <w:p w:rsidR="0087031A" w:rsidP="0087031A" w:rsidRDefault="0087031A" w14:paraId="53A7EAEE" w14:textId="77777777">
      <w:pPr>
        <w:spacing w:after="0"/>
        <w:rPr>
          <w:rFonts w:ascii="Verdana" w:hAnsi="Verdana"/>
        </w:rPr>
      </w:pPr>
      <w:bookmarkStart w:name="_Hlk180638295" w:id="2"/>
      <w:bookmarkEnd w:id="0"/>
    </w:p>
    <w:p w:rsidR="0087031A" w:rsidP="007B6FE0" w:rsidRDefault="007B6FE0" w14:paraId="6CB80055" w14:textId="42AF41E3">
      <w:pPr>
        <w:spacing w:after="0"/>
        <w:jc w:val="right"/>
        <w:rPr>
          <w:rFonts w:ascii="Verdana" w:hAnsi="Verdana"/>
        </w:rPr>
      </w:pPr>
      <w:r>
        <w:rPr>
          <w:rFonts w:ascii="Verdana" w:hAnsi="Verdana"/>
          <w:noProof/>
        </w:rPr>
        <w:drawing>
          <wp:inline distT="0" distB="0" distL="0" distR="0" wp14:anchorId="2CD7B45A" wp14:editId="30BFA1CF">
            <wp:extent cx="2228850" cy="657225"/>
            <wp:effectExtent l="0" t="0" r="0" b="9525"/>
            <wp:docPr id="7505833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28850" cy="657225"/>
                    </a:xfrm>
                    <a:prstGeom prst="rect">
                      <a:avLst/>
                    </a:prstGeom>
                    <a:noFill/>
                    <a:ln>
                      <a:noFill/>
                    </a:ln>
                  </pic:spPr>
                </pic:pic>
              </a:graphicData>
            </a:graphic>
          </wp:inline>
        </w:drawing>
      </w:r>
    </w:p>
    <w:p w:rsidR="007B6FE0" w:rsidP="0087031A" w:rsidRDefault="007B6FE0" w14:paraId="47112085" w14:textId="77777777">
      <w:pPr>
        <w:spacing w:after="0"/>
        <w:rPr>
          <w:rFonts w:ascii="Verdana" w:hAnsi="Verdana"/>
        </w:rPr>
      </w:pPr>
    </w:p>
    <w:p w:rsidR="007B6FE0" w:rsidP="0087031A" w:rsidRDefault="007B6FE0" w14:paraId="143A60B6" w14:textId="77777777">
      <w:pPr>
        <w:spacing w:after="0"/>
        <w:rPr>
          <w:rFonts w:ascii="Verdana" w:hAnsi="Verdana"/>
        </w:rPr>
      </w:pPr>
    </w:p>
    <w:p w:rsidR="0087031A" w:rsidP="0087031A" w:rsidRDefault="0087031A" w14:paraId="69F1A09B" w14:textId="77777777">
      <w:pPr>
        <w:spacing w:after="0" w:line="240" w:lineRule="auto"/>
        <w:jc w:val="both"/>
        <w:rPr>
          <w:rFonts w:ascii="Verdana" w:hAnsi="Verdana" w:eastAsia="Calibri" w:cs="Arial"/>
          <w:lang w:eastAsia="es-ES"/>
        </w:rPr>
      </w:pPr>
      <w:bookmarkStart w:name="_Hlk181166167" w:id="3"/>
      <w:r w:rsidRPr="005E62E2">
        <w:rPr>
          <w:rFonts w:ascii="Verdana" w:hAnsi="Verdana" w:eastAsia="Calibri" w:cs="Arial"/>
          <w:lang w:eastAsia="es-ES"/>
        </w:rPr>
        <w:t>Señor</w:t>
      </w:r>
      <w:r w:rsidRPr="005E62E2">
        <w:rPr>
          <w:rFonts w:ascii="Verdana" w:hAnsi="Verdana" w:eastAsia="Calibri" w:cs="Arial"/>
          <w:lang w:eastAsia="es-ES"/>
        </w:rPr>
        <w:tab/>
      </w:r>
    </w:p>
    <w:p w:rsidR="00811A9B" w:rsidP="0087031A" w:rsidRDefault="00811A9B" w14:paraId="59E12A45" w14:textId="77777777">
      <w:pPr>
        <w:spacing w:after="0" w:line="240" w:lineRule="auto"/>
        <w:rPr>
          <w:rFonts w:ascii="Verdana" w:hAnsi="Verdana" w:eastAsia="Calibri" w:cs="Arial"/>
          <w:b/>
          <w:bCs/>
          <w:lang w:eastAsia="es-ES"/>
        </w:rPr>
      </w:pPr>
      <w:r w:rsidRPr="00811A9B">
        <w:rPr>
          <w:rFonts w:ascii="Verdana" w:hAnsi="Verdana" w:eastAsia="Calibri" w:cs="Arial"/>
          <w:b/>
          <w:bCs/>
          <w:lang w:eastAsia="es-ES"/>
        </w:rPr>
        <w:t>GUSTAVO ANGEL QUIROGA</w:t>
      </w:r>
    </w:p>
    <w:p w:rsidRPr="00811A9B" w:rsidR="00811A9B" w:rsidP="0087031A" w:rsidRDefault="00811A9B" w14:paraId="5E7DC148" w14:textId="60F109B7">
      <w:pPr>
        <w:spacing w:after="0" w:line="240" w:lineRule="auto"/>
        <w:rPr>
          <w:rFonts w:ascii="Verdana" w:hAnsi="Verdana"/>
        </w:rPr>
      </w:pPr>
      <w:hyperlink w:history="1" r:id="rId12">
        <w:r w:rsidRPr="00811A9B">
          <w:rPr>
            <w:rStyle w:val="Hipervnculo"/>
            <w:rFonts w:ascii="Verdana" w:hAnsi="Verdana"/>
          </w:rPr>
          <w:t>serfarhomecareips@gmail.com</w:t>
        </w:r>
      </w:hyperlink>
    </w:p>
    <w:p w:rsidR="0087031A" w:rsidP="6EC39046" w:rsidRDefault="0087031A" w14:paraId="20ECB200" w14:textId="78BD4942">
      <w:pPr>
        <w:spacing w:after="0" w:line="240" w:lineRule="auto"/>
        <w:rPr>
          <w:rFonts w:ascii="Verdana" w:hAnsi="Verdana" w:eastAsia="Calibri" w:cs="Arial"/>
          <w:color w:val="000000"/>
          <w:lang w:val="es-ES" w:eastAsia="es-ES"/>
        </w:rPr>
      </w:pPr>
      <w:r w:rsidRPr="6EC39046" w:rsidR="0087031A">
        <w:rPr>
          <w:rFonts w:ascii="Verdana" w:hAnsi="Verdana" w:eastAsia="Calibri" w:cs="Arial"/>
          <w:color w:val="000000" w:themeColor="text1" w:themeTint="FF" w:themeShade="FF"/>
          <w:lang w:val="es-ES" w:eastAsia="es-ES"/>
        </w:rPr>
        <w:t>B</w:t>
      </w:r>
      <w:r w:rsidRPr="6EC39046" w:rsidR="00811A9B">
        <w:rPr>
          <w:rFonts w:ascii="Verdana" w:hAnsi="Verdana" w:eastAsia="Calibri" w:cs="Arial"/>
          <w:color w:val="000000" w:themeColor="text1" w:themeTint="FF" w:themeShade="FF"/>
          <w:lang w:val="es-ES" w:eastAsia="es-ES"/>
        </w:rPr>
        <w:t>arranquilla , Atlántico</w:t>
      </w:r>
    </w:p>
    <w:p w:rsidRPr="00FE3DEC" w:rsidR="0087031A" w:rsidP="0087031A" w:rsidRDefault="0087031A" w14:paraId="33757F92" w14:textId="77777777">
      <w:pPr>
        <w:spacing w:after="0" w:line="240" w:lineRule="auto"/>
        <w:rPr>
          <w:rFonts w:ascii="Verdana" w:hAnsi="Verdana" w:eastAsia="Calibri" w:cs="Arial"/>
          <w:color w:val="000000"/>
          <w:lang w:val="es-ES_tradnl" w:eastAsia="es-ES_tradnl"/>
        </w:rPr>
      </w:pPr>
    </w:p>
    <w:tbl>
      <w:tblPr>
        <w:tblStyle w:val="Tablaconcuadrcula"/>
        <w:tblW w:w="921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410"/>
        <w:gridCol w:w="6468"/>
        <w:gridCol w:w="336"/>
      </w:tblGrid>
      <w:tr w:rsidRPr="00593A5F" w:rsidR="0087031A" w:rsidTr="00580B7F" w14:paraId="28AFEB3E" w14:textId="77777777">
        <w:trPr>
          <w:trHeight w:val="884"/>
        </w:trPr>
        <w:tc>
          <w:tcPr>
            <w:tcW w:w="2410" w:type="dxa"/>
          </w:tcPr>
          <w:p w:rsidRPr="00E5644F" w:rsidR="0087031A" w:rsidP="00580B7F" w:rsidRDefault="0087031A" w14:paraId="3DABC826" w14:textId="77777777">
            <w:pPr>
              <w:jc w:val="both"/>
              <w:rPr>
                <w:rFonts w:ascii="Verdana" w:hAnsi="Verdana" w:eastAsia="Calibri" w:cs="Arial"/>
                <w:b/>
                <w:bCs/>
                <w:color w:val="7030A0"/>
                <w:lang w:val="es-ES_tradnl" w:eastAsia="es-ES_tradnl"/>
              </w:rPr>
            </w:pPr>
          </w:p>
        </w:tc>
        <w:tc>
          <w:tcPr>
            <w:tcW w:w="6804" w:type="dxa"/>
            <w:gridSpan w:val="2"/>
          </w:tcPr>
          <w:p w:rsidRPr="00E5644F" w:rsidR="0087031A" w:rsidP="00580B7F" w:rsidRDefault="0087031A" w14:paraId="022A37EB" w14:textId="767F3D01">
            <w:pPr>
              <w:jc w:val="both"/>
              <w:rPr>
                <w:rFonts w:ascii="Verdana" w:hAnsi="Verdana" w:eastAsia="Calibri" w:cs="Arial"/>
                <w:b/>
                <w:bCs/>
                <w:color w:val="7030A0"/>
                <w:lang w:val="es-ES" w:eastAsia="es-ES"/>
              </w:rPr>
            </w:pPr>
            <w:r w:rsidRPr="00E5644F">
              <w:rPr>
                <w:rFonts w:ascii="Verdana" w:hAnsi="Verdana" w:eastAsia="Calibri" w:cs="Arial"/>
                <w:b/>
                <w:bCs/>
                <w:lang w:val="es-ES" w:eastAsia="es-ES"/>
              </w:rPr>
              <w:t xml:space="preserve">Concepto C- </w:t>
            </w:r>
            <w:r>
              <w:rPr>
                <w:rFonts w:ascii="Verdana" w:hAnsi="Verdana" w:eastAsia="Calibri" w:cs="Arial"/>
                <w:b/>
                <w:bCs/>
                <w:lang w:val="es-ES" w:eastAsia="es-ES"/>
              </w:rPr>
              <w:t>6</w:t>
            </w:r>
            <w:r w:rsidR="00811A9B">
              <w:rPr>
                <w:rFonts w:ascii="Verdana" w:hAnsi="Verdana" w:eastAsia="Calibri" w:cs="Arial"/>
                <w:b/>
                <w:bCs/>
                <w:lang w:val="es-ES" w:eastAsia="es-ES"/>
              </w:rPr>
              <w:t>78</w:t>
            </w:r>
            <w:r>
              <w:rPr>
                <w:rFonts w:ascii="Verdana" w:hAnsi="Verdana" w:eastAsia="Calibri" w:cs="Arial"/>
                <w:b/>
                <w:bCs/>
                <w:lang w:val="es-ES" w:eastAsia="es-ES"/>
              </w:rPr>
              <w:t xml:space="preserve"> </w:t>
            </w:r>
            <w:r w:rsidRPr="00E5644F">
              <w:rPr>
                <w:rFonts w:ascii="Verdana" w:hAnsi="Verdana" w:eastAsia="Calibri" w:cs="Arial"/>
                <w:b/>
                <w:bCs/>
                <w:lang w:val="es-ES" w:eastAsia="es-ES"/>
              </w:rPr>
              <w:t>de 202</w:t>
            </w:r>
            <w:r>
              <w:rPr>
                <w:rFonts w:ascii="Verdana" w:hAnsi="Verdana" w:eastAsia="Calibri" w:cs="Arial"/>
                <w:b/>
                <w:bCs/>
                <w:lang w:val="es-ES" w:eastAsia="es-ES"/>
              </w:rPr>
              <w:t>5</w:t>
            </w:r>
          </w:p>
        </w:tc>
      </w:tr>
      <w:tr w:rsidRPr="00A52DE7" w:rsidR="0087031A" w:rsidTr="00580B7F" w14:paraId="38B6D2DC" w14:textId="77777777">
        <w:trPr>
          <w:trHeight w:val="884"/>
        </w:trPr>
        <w:tc>
          <w:tcPr>
            <w:tcW w:w="2410" w:type="dxa"/>
          </w:tcPr>
          <w:p w:rsidRPr="00593A5F" w:rsidR="0087031A" w:rsidP="00580B7F" w:rsidRDefault="0087031A" w14:paraId="7FE07E31" w14:textId="77777777">
            <w:pPr>
              <w:jc w:val="both"/>
              <w:rPr>
                <w:rFonts w:ascii="Verdana" w:hAnsi="Verdana" w:eastAsia="Calibri" w:cs="Arial"/>
                <w:color w:val="000000"/>
                <w:lang w:val="es-ES_tradnl" w:eastAsia="es-ES_tradnl"/>
              </w:rPr>
            </w:pPr>
            <w:r w:rsidRPr="00593A5F">
              <w:rPr>
                <w:rFonts w:ascii="Verdana" w:hAnsi="Verdana" w:eastAsia="Calibri" w:cs="Arial"/>
                <w:b/>
                <w:color w:val="000000"/>
                <w:lang w:val="es-ES_tradnl" w:eastAsia="es-ES_tradnl"/>
              </w:rPr>
              <w:t>Temas:</w:t>
            </w:r>
            <w:r w:rsidRPr="00593A5F">
              <w:rPr>
                <w:rFonts w:ascii="Verdana" w:hAnsi="Verdana" w:eastAsia="Calibri" w:cs="Arial"/>
                <w:color w:val="000000"/>
                <w:lang w:val="es-ES_tradnl" w:eastAsia="es-ES_tradnl"/>
              </w:rPr>
              <w:t xml:space="preserve">                   </w:t>
            </w:r>
          </w:p>
        </w:tc>
        <w:tc>
          <w:tcPr>
            <w:tcW w:w="6804" w:type="dxa"/>
            <w:gridSpan w:val="2"/>
          </w:tcPr>
          <w:p w:rsidR="0087031A" w:rsidP="00580B7F" w:rsidRDefault="00E20ADE" w14:paraId="285A6755" w14:textId="77777777">
            <w:pPr>
              <w:jc w:val="both"/>
              <w:rPr>
                <w:rFonts w:ascii="Verdana" w:hAnsi="Verdana" w:cs="Arial"/>
                <w:lang w:eastAsia="es-CO"/>
              </w:rPr>
            </w:pPr>
            <w:r w:rsidRPr="00CF4909">
              <w:rPr>
                <w:rFonts w:ascii="Verdana" w:hAnsi="Verdana" w:eastAsia="Calibri" w:cs="Arial"/>
                <w:lang w:val="es-ES" w:eastAsia="es-ES"/>
              </w:rPr>
              <w:t>PLIEGOS DE CONDICIONES – Naturaleza / PLIEGOS DE CONDICIONES – Otros documentos – Contradicción información</w:t>
            </w:r>
            <w:r w:rsidR="00471CAF">
              <w:rPr>
                <w:rFonts w:ascii="Verdana" w:hAnsi="Verdana" w:eastAsia="Calibri" w:cs="Arial"/>
                <w:lang w:val="es-ES" w:eastAsia="es-ES"/>
              </w:rPr>
              <w:t xml:space="preserve">- </w:t>
            </w:r>
            <w:r w:rsidRPr="007B4E49" w:rsidR="00471CAF">
              <w:rPr>
                <w:rFonts w:ascii="Verdana" w:hAnsi="Verdana" w:eastAsia="Calibri" w:cs="Arial"/>
                <w:lang w:val="es-ES" w:eastAsia="es-ES"/>
              </w:rPr>
              <w:t>SUBSANABILIDAD – Aplicación – R</w:t>
            </w:r>
            <w:r w:rsidRPr="007B4E49" w:rsidR="00471CAF">
              <w:rPr>
                <w:rFonts w:ascii="Verdana" w:hAnsi="Verdana" w:eastAsia="Calibri"/>
                <w:lang w:val="es-ES" w:eastAsia="es-ES"/>
              </w:rPr>
              <w:t>egla general</w:t>
            </w:r>
            <w:r w:rsidRPr="007B4E49" w:rsidR="00471CAF">
              <w:rPr>
                <w:rFonts w:ascii="Verdana" w:hAnsi="Verdana" w:eastAsia="Calibri" w:cs="Arial"/>
                <w:lang w:val="es-ES" w:eastAsia="es-ES"/>
              </w:rPr>
              <w:t xml:space="preserve"> – Excepciones / SUBSANABILIDAD – Ley 1882 de 2018 / </w:t>
            </w:r>
            <w:r w:rsidRPr="007B4E49" w:rsidR="00471CAF">
              <w:rPr>
                <w:rFonts w:ascii="Verdana" w:hAnsi="Verdana" w:cs="Arial"/>
                <w:lang w:eastAsia="es-CO"/>
              </w:rPr>
              <w:t>CAUSALES DE RECHAZO DE LAS OFERTAS – Origen – Límites en su configuración / CAUSALES DE RECHAZO – Procedencia</w:t>
            </w:r>
            <w:r w:rsidR="00471CAF">
              <w:rPr>
                <w:rFonts w:ascii="Verdana" w:hAnsi="Verdana" w:cs="Arial"/>
                <w:lang w:eastAsia="es-CO"/>
              </w:rPr>
              <w:t>.</w:t>
            </w:r>
          </w:p>
          <w:p w:rsidRPr="00A52DE7" w:rsidR="00471CAF" w:rsidP="00580B7F" w:rsidRDefault="00471CAF" w14:paraId="1BF247BD" w14:textId="72D1DB25">
            <w:pPr>
              <w:jc w:val="both"/>
              <w:rPr>
                <w:rFonts w:ascii="Verdana" w:hAnsi="Verdana" w:eastAsia="Calibri" w:cs="Arial"/>
                <w:b/>
                <w:highlight w:val="yellow"/>
                <w:lang w:val="es-ES" w:eastAsia="es-ES"/>
              </w:rPr>
            </w:pPr>
          </w:p>
        </w:tc>
      </w:tr>
      <w:tr w:rsidRPr="00593A5F" w:rsidR="0087031A" w:rsidTr="00580B7F" w14:paraId="14D6DDF3" w14:textId="77777777">
        <w:tc>
          <w:tcPr>
            <w:tcW w:w="2410" w:type="dxa"/>
          </w:tcPr>
          <w:p w:rsidRPr="006730E9" w:rsidR="0087031A" w:rsidP="00580B7F" w:rsidRDefault="0087031A" w14:paraId="58C41A69" w14:textId="77777777">
            <w:pPr>
              <w:jc w:val="both"/>
              <w:rPr>
                <w:rFonts w:ascii="Verdana" w:hAnsi="Verdana" w:eastAsia="Calibri" w:cs="Arial"/>
                <w:b/>
                <w:lang w:val="es-ES_tradnl" w:eastAsia="es-ES_tradnl"/>
              </w:rPr>
            </w:pPr>
            <w:r w:rsidRPr="006730E9">
              <w:rPr>
                <w:rFonts w:ascii="Verdana" w:hAnsi="Verdana" w:eastAsia="Calibri" w:cs="Arial"/>
                <w:b/>
                <w:lang w:val="es-ES_tradnl" w:eastAsia="es-ES_tradnl"/>
              </w:rPr>
              <w:t>Radicación:</w:t>
            </w:r>
            <w:r w:rsidRPr="006730E9">
              <w:rPr>
                <w:rFonts w:ascii="Verdana" w:hAnsi="Verdana" w:eastAsia="Calibri" w:cs="Arial"/>
                <w:lang w:val="es-ES_tradnl" w:eastAsia="es-ES_tradnl"/>
              </w:rPr>
              <w:t xml:space="preserve">               </w:t>
            </w:r>
          </w:p>
        </w:tc>
        <w:tc>
          <w:tcPr>
            <w:tcW w:w="6804" w:type="dxa"/>
            <w:gridSpan w:val="2"/>
          </w:tcPr>
          <w:p w:rsidRPr="006730E9" w:rsidR="0087031A" w:rsidP="00580B7F" w:rsidRDefault="0087031A" w14:paraId="76361BD6" w14:textId="5182D8FE">
            <w:pPr>
              <w:jc w:val="both"/>
              <w:rPr>
                <w:rFonts w:ascii="Verdana" w:hAnsi="Verdana" w:eastAsia="Calibri" w:cs="Arial"/>
                <w:lang w:val="es-ES_tradnl" w:eastAsia="es-ES_tradnl"/>
              </w:rPr>
            </w:pPr>
            <w:r w:rsidRPr="007121A5">
              <w:rPr>
                <w:rFonts w:ascii="Verdana" w:hAnsi="Verdana" w:eastAsia="Calibri" w:cs="Arial"/>
                <w:lang w:val="es-ES_tradnl" w:eastAsia="es-ES_tradnl"/>
              </w:rPr>
              <w:t xml:space="preserve">Respuesta a consulta con radicado No. </w:t>
            </w:r>
            <w:r w:rsidRPr="00811A9B" w:rsidR="00811A9B">
              <w:rPr>
                <w:rFonts w:ascii="Verdana" w:hAnsi="Verdana" w:eastAsia="Calibri" w:cs="Arial"/>
                <w:lang w:val="es-ES_tradnl" w:eastAsia="es-ES_tradnl"/>
              </w:rPr>
              <w:t>P20250527005162</w:t>
            </w:r>
            <w:r>
              <w:rPr>
                <w:rFonts w:ascii="Verdana" w:hAnsi="Verdana" w:eastAsia="Calibri" w:cs="Arial"/>
                <w:lang w:val="es-ES_tradnl" w:eastAsia="es-ES_tradnl"/>
              </w:rPr>
              <w:t>.</w:t>
            </w:r>
          </w:p>
        </w:tc>
      </w:tr>
      <w:tr w:rsidRPr="00DB23D2" w:rsidR="0087031A" w:rsidTr="00580B7F" w14:paraId="2A2E2921" w14:textId="77777777">
        <w:trPr>
          <w:gridAfter w:val="1"/>
          <w:wAfter w:w="336" w:type="dxa"/>
          <w:trHeight w:val="233"/>
        </w:trPr>
        <w:tc>
          <w:tcPr>
            <w:tcW w:w="8878" w:type="dxa"/>
            <w:gridSpan w:val="2"/>
          </w:tcPr>
          <w:p w:rsidRPr="00DB23D2" w:rsidR="0087031A" w:rsidP="00580B7F" w:rsidRDefault="0087031A" w14:paraId="120D7AD6" w14:textId="77777777">
            <w:pPr>
              <w:spacing w:after="120" w:line="276" w:lineRule="auto"/>
              <w:jc w:val="both"/>
              <w:rPr>
                <w:rFonts w:ascii="Verdana" w:hAnsi="Verdana" w:eastAsia="Calibri" w:cs="Arial"/>
                <w:lang w:val="es-ES_tradnl" w:eastAsia="es-ES"/>
              </w:rPr>
            </w:pPr>
          </w:p>
        </w:tc>
      </w:tr>
    </w:tbl>
    <w:p w:rsidRPr="006730E9" w:rsidR="0087031A" w:rsidP="0087031A" w:rsidRDefault="0087031A" w14:paraId="47EC921B" w14:textId="30B900E1">
      <w:pPr>
        <w:spacing w:after="0" w:line="276" w:lineRule="auto"/>
        <w:jc w:val="both"/>
        <w:rPr>
          <w:rFonts w:ascii="Verdana" w:hAnsi="Verdana" w:eastAsia="Calibri" w:cs="Arial"/>
          <w:lang w:val="es-ES" w:eastAsia="es-ES"/>
        </w:rPr>
      </w:pPr>
      <w:r w:rsidRPr="006730E9">
        <w:rPr>
          <w:rFonts w:ascii="Verdana" w:hAnsi="Verdana" w:eastAsia="Calibri" w:cs="Arial"/>
          <w:lang w:val="es-ES" w:eastAsia="es-ES"/>
        </w:rPr>
        <w:t>Estimad</w:t>
      </w:r>
      <w:r>
        <w:rPr>
          <w:rFonts w:ascii="Verdana" w:hAnsi="Verdana" w:eastAsia="Calibri" w:cs="Arial"/>
          <w:lang w:val="es-ES" w:eastAsia="es-ES"/>
        </w:rPr>
        <w:t xml:space="preserve">o </w:t>
      </w:r>
      <w:r w:rsidRPr="006730E9">
        <w:rPr>
          <w:rFonts w:ascii="Verdana" w:hAnsi="Verdana" w:eastAsia="Calibri" w:cs="Arial"/>
          <w:lang w:val="es-ES" w:eastAsia="es-ES"/>
        </w:rPr>
        <w:t>señor</w:t>
      </w:r>
      <w:r>
        <w:rPr>
          <w:rFonts w:ascii="Verdana" w:hAnsi="Verdana" w:eastAsia="Calibri" w:cs="Arial"/>
          <w:lang w:val="es-ES" w:eastAsia="es-ES"/>
        </w:rPr>
        <w:t xml:space="preserve"> </w:t>
      </w:r>
      <w:r w:rsidR="00E20ADE">
        <w:rPr>
          <w:rFonts w:ascii="Verdana" w:hAnsi="Verdana" w:eastAsia="Calibri" w:cs="Arial"/>
          <w:lang w:val="es-ES" w:eastAsia="es-ES"/>
        </w:rPr>
        <w:t>Angel</w:t>
      </w:r>
      <w:r>
        <w:rPr>
          <w:rFonts w:ascii="Verdana" w:hAnsi="Verdana" w:eastAsia="Calibri" w:cs="Arial"/>
          <w:lang w:val="es-ES" w:eastAsia="es-ES"/>
        </w:rPr>
        <w:t>;</w:t>
      </w:r>
    </w:p>
    <w:p w:rsidR="0087031A" w:rsidP="0087031A" w:rsidRDefault="0087031A" w14:paraId="59ADFBB6" w14:textId="77777777">
      <w:pPr>
        <w:tabs>
          <w:tab w:val="left" w:pos="3768"/>
        </w:tabs>
        <w:spacing w:after="0" w:line="276" w:lineRule="auto"/>
        <w:jc w:val="both"/>
        <w:rPr>
          <w:rFonts w:ascii="Verdana" w:hAnsi="Verdana" w:eastAsia="Calibri" w:cs="Arial"/>
          <w:color w:val="000000" w:themeColor="text1"/>
          <w:lang w:val="es-ES" w:eastAsia="es-ES"/>
        </w:rPr>
      </w:pPr>
      <w:r>
        <w:rPr>
          <w:rFonts w:ascii="Verdana" w:hAnsi="Verdana" w:eastAsia="Calibri" w:cs="Arial"/>
          <w:color w:val="000000" w:themeColor="text1"/>
          <w:lang w:val="es-ES" w:eastAsia="es-ES"/>
        </w:rPr>
        <w:tab/>
      </w:r>
    </w:p>
    <w:p w:rsidRPr="006730E9" w:rsidR="0087031A" w:rsidP="0087031A" w:rsidRDefault="0087031A" w14:paraId="029E5029" w14:textId="3B3C5088">
      <w:pPr>
        <w:spacing w:after="0" w:line="276" w:lineRule="auto"/>
        <w:jc w:val="both"/>
        <w:rPr>
          <w:rFonts w:ascii="Verdana" w:hAnsi="Verdana" w:eastAsia="Calibri" w:cs="Arial"/>
          <w:lang w:val="es-ES" w:eastAsia="es-ES"/>
        </w:rPr>
      </w:pPr>
      <w:r w:rsidRPr="006730E9">
        <w:rPr>
          <w:rFonts w:ascii="Verdana" w:hAnsi="Verdana" w:eastAsia="Calibri" w:cs="Arial"/>
          <w:lang w:val="es-ES" w:eastAsia="es-ES"/>
        </w:rPr>
        <w:t>En ejercicio de la competencia otorgada por los artículos 3, numeral 5º, y 11, numeral 8º, del Decreto Ley 4170 de 2011,</w:t>
      </w:r>
      <w:r w:rsidRPr="006730E9">
        <w:rPr>
          <w:rFonts w:ascii="Verdana" w:hAnsi="Verdana" w:eastAsia="Arial MT"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hAnsi="Verdana" w:eastAsia="Calibri" w:cs="Arial"/>
          <w:lang w:val="es-ES" w:eastAsia="es-ES"/>
        </w:rPr>
        <w:t xml:space="preserve">la Agencia Nacional de Contratación Pública – Colombia Compra Eficiente– responde su solicitud </w:t>
      </w:r>
      <w:r>
        <w:rPr>
          <w:rFonts w:ascii="Verdana" w:hAnsi="Verdana" w:eastAsia="Calibri" w:cs="Arial"/>
          <w:lang w:val="es-ES" w:eastAsia="es-ES"/>
        </w:rPr>
        <w:t xml:space="preserve">radicada en esta entidad </w:t>
      </w:r>
      <w:r w:rsidRPr="00E5644F">
        <w:rPr>
          <w:rFonts w:ascii="Verdana" w:hAnsi="Verdana" w:eastAsia="Calibri" w:cs="Arial"/>
          <w:lang w:val="es-ES" w:eastAsia="es-ES"/>
        </w:rPr>
        <w:t xml:space="preserve">el </w:t>
      </w:r>
      <w:r>
        <w:rPr>
          <w:rFonts w:ascii="Verdana" w:hAnsi="Verdana" w:eastAsia="Calibri" w:cs="Arial"/>
          <w:lang w:val="es-ES" w:eastAsia="es-ES"/>
        </w:rPr>
        <w:t>2</w:t>
      </w:r>
      <w:r w:rsidR="00811A9B">
        <w:rPr>
          <w:rFonts w:ascii="Verdana" w:hAnsi="Verdana" w:eastAsia="Calibri" w:cs="Arial"/>
          <w:lang w:val="es-ES" w:eastAsia="es-ES"/>
        </w:rPr>
        <w:t>8</w:t>
      </w:r>
      <w:r>
        <w:rPr>
          <w:rFonts w:ascii="Verdana" w:hAnsi="Verdana" w:eastAsia="Calibri" w:cs="Arial"/>
          <w:lang w:val="es-ES" w:eastAsia="es-ES"/>
        </w:rPr>
        <w:t xml:space="preserve"> </w:t>
      </w:r>
      <w:r w:rsidRPr="00E5644F">
        <w:rPr>
          <w:rFonts w:ascii="Verdana" w:hAnsi="Verdana" w:eastAsia="Calibri" w:cs="Arial"/>
          <w:lang w:val="es-ES" w:eastAsia="es-ES"/>
        </w:rPr>
        <w:t xml:space="preserve">de </w:t>
      </w:r>
      <w:r>
        <w:rPr>
          <w:rFonts w:ascii="Verdana" w:hAnsi="Verdana" w:eastAsia="Calibri" w:cs="Arial"/>
          <w:lang w:val="es-ES" w:eastAsia="es-ES"/>
        </w:rPr>
        <w:t>mayo</w:t>
      </w:r>
      <w:r w:rsidRPr="00E5644F">
        <w:rPr>
          <w:rFonts w:ascii="Verdana" w:hAnsi="Verdana" w:eastAsia="Calibri" w:cs="Arial"/>
          <w:lang w:val="es-ES" w:eastAsia="es-ES"/>
        </w:rPr>
        <w:t xml:space="preserve"> de</w:t>
      </w:r>
      <w:r>
        <w:rPr>
          <w:rFonts w:ascii="Verdana" w:hAnsi="Verdana" w:eastAsia="Calibri" w:cs="Arial"/>
          <w:lang w:val="es-ES" w:eastAsia="es-ES"/>
        </w:rPr>
        <w:t xml:space="preserve"> </w:t>
      </w:r>
      <w:r w:rsidRPr="00E5644F">
        <w:rPr>
          <w:rFonts w:ascii="Verdana" w:hAnsi="Verdana" w:eastAsia="Calibri" w:cs="Arial"/>
          <w:lang w:val="es-ES" w:eastAsia="es-ES"/>
        </w:rPr>
        <w:t>202</w:t>
      </w:r>
      <w:r>
        <w:rPr>
          <w:rFonts w:ascii="Verdana" w:hAnsi="Verdana" w:eastAsia="Calibri" w:cs="Arial"/>
          <w:lang w:val="es-ES" w:eastAsia="es-ES"/>
        </w:rPr>
        <w:t>5</w:t>
      </w:r>
      <w:r w:rsidRPr="00E5644F">
        <w:rPr>
          <w:rFonts w:ascii="Verdana" w:hAnsi="Verdana" w:eastAsia="Calibri" w:cs="Arial"/>
          <w:lang w:val="es-ES" w:eastAsia="es-ES"/>
        </w:rPr>
        <w:t>, en</w:t>
      </w:r>
      <w:r w:rsidRPr="006730E9">
        <w:rPr>
          <w:rFonts w:ascii="Verdana" w:hAnsi="Verdana" w:eastAsia="Calibri" w:cs="Arial"/>
          <w:lang w:val="es-ES" w:eastAsia="es-ES"/>
        </w:rPr>
        <w:t xml:space="preserve"> la cual manifiesta lo siguiente: </w:t>
      </w:r>
    </w:p>
    <w:p w:rsidRPr="00326382" w:rsidR="0087031A" w:rsidP="0087031A" w:rsidRDefault="0087031A" w14:paraId="0E75DC9C" w14:textId="77777777">
      <w:pPr>
        <w:spacing w:after="0" w:line="240" w:lineRule="auto"/>
        <w:ind w:left="709" w:right="474"/>
        <w:jc w:val="both"/>
        <w:rPr>
          <w:rFonts w:ascii="Verdana" w:hAnsi="Verdana" w:cs="Arial"/>
          <w:sz w:val="20"/>
          <w:szCs w:val="20"/>
          <w:shd w:val="clear" w:color="auto" w:fill="FFFFFF"/>
        </w:rPr>
      </w:pPr>
      <w:bookmarkStart w:name="_Hlk95313578" w:id="4"/>
    </w:p>
    <w:bookmarkEnd w:id="4"/>
    <w:p w:rsidR="00811A9B" w:rsidP="001532F7" w:rsidRDefault="0087031A" w14:paraId="292A93D4" w14:textId="77777777">
      <w:pPr>
        <w:tabs>
          <w:tab w:val="left" w:pos="142"/>
          <w:tab w:val="left" w:pos="567"/>
        </w:tabs>
        <w:ind w:left="426" w:right="709"/>
        <w:jc w:val="both"/>
        <w:rPr>
          <w:rFonts w:ascii="Verdana" w:hAnsi="Verdana" w:eastAsia="Century Gothic" w:cs="Century Gothic"/>
          <w:i/>
          <w:iCs/>
          <w:sz w:val="20"/>
          <w:szCs w:val="20"/>
        </w:rPr>
      </w:pPr>
      <w:r>
        <w:rPr>
          <w:rFonts w:ascii="Verdana" w:hAnsi="Verdana" w:eastAsia="Century Gothic" w:cs="Century Gothic"/>
          <w:i/>
          <w:iCs/>
        </w:rPr>
        <w:t xml:space="preserve"> </w:t>
      </w:r>
      <w:r w:rsidRPr="00CD7324">
        <w:rPr>
          <w:rFonts w:ascii="Verdana" w:hAnsi="Verdana" w:eastAsia="Century Gothic" w:cs="Century Gothic"/>
          <w:i/>
          <w:iCs/>
          <w:sz w:val="20"/>
          <w:szCs w:val="20"/>
        </w:rPr>
        <w:t xml:space="preserve">“(…) </w:t>
      </w:r>
    </w:p>
    <w:p w:rsidRPr="00811A9B" w:rsidR="00811A9B" w:rsidP="001532F7" w:rsidRDefault="00811A9B" w14:paraId="3FDDC67E" w14:textId="629E5617">
      <w:pPr>
        <w:tabs>
          <w:tab w:val="left" w:pos="142"/>
          <w:tab w:val="left" w:pos="567"/>
        </w:tabs>
        <w:ind w:left="426" w:right="709"/>
        <w:jc w:val="both"/>
        <w:rPr>
          <w:rFonts w:ascii="Verdana" w:hAnsi="Verdana" w:eastAsia="Century Gothic" w:cs="Century Gothic"/>
          <w:i/>
          <w:iCs/>
          <w:sz w:val="20"/>
          <w:szCs w:val="20"/>
        </w:rPr>
      </w:pPr>
      <w:r w:rsidRPr="00811A9B">
        <w:rPr>
          <w:rFonts w:ascii="Verdana" w:hAnsi="Verdana" w:eastAsia="Century Gothic" w:cs="Century Gothic"/>
          <w:i/>
          <w:iCs/>
          <w:sz w:val="20"/>
          <w:szCs w:val="20"/>
        </w:rPr>
        <w:t>1. Dentro de un proceso de Selección Abreviada Mínima Cuantía se realizó una</w:t>
      </w:r>
      <w:r>
        <w:rPr>
          <w:rFonts w:ascii="Verdana" w:hAnsi="Verdana" w:eastAsia="Century Gothic" w:cs="Century Gothic"/>
          <w:i/>
          <w:iCs/>
          <w:sz w:val="20"/>
          <w:szCs w:val="20"/>
        </w:rPr>
        <w:t xml:space="preserve"> </w:t>
      </w:r>
      <w:r w:rsidRPr="00811A9B">
        <w:rPr>
          <w:rFonts w:ascii="Verdana" w:hAnsi="Verdana" w:eastAsia="Century Gothic" w:cs="Century Gothic"/>
          <w:i/>
          <w:iCs/>
          <w:sz w:val="20"/>
          <w:szCs w:val="20"/>
        </w:rPr>
        <w:t>observación dentro del proyecto de Pliego de Condiciones la cual fue acogida sin</w:t>
      </w:r>
      <w:r>
        <w:rPr>
          <w:rFonts w:ascii="Verdana" w:hAnsi="Verdana" w:eastAsia="Century Gothic" w:cs="Century Gothic"/>
          <w:i/>
          <w:iCs/>
          <w:sz w:val="20"/>
          <w:szCs w:val="20"/>
        </w:rPr>
        <w:t xml:space="preserve"> </w:t>
      </w:r>
      <w:r w:rsidRPr="00811A9B">
        <w:rPr>
          <w:rFonts w:ascii="Verdana" w:hAnsi="Verdana" w:eastAsia="Century Gothic" w:cs="Century Gothic"/>
          <w:i/>
          <w:iCs/>
          <w:sz w:val="20"/>
          <w:szCs w:val="20"/>
        </w:rPr>
        <w:t>embargo al publicar el pliego Definitivo no se estableció cierta respuesta que era</w:t>
      </w:r>
      <w:r>
        <w:rPr>
          <w:rFonts w:ascii="Verdana" w:hAnsi="Verdana" w:eastAsia="Century Gothic" w:cs="Century Gothic"/>
          <w:i/>
          <w:iCs/>
          <w:sz w:val="20"/>
          <w:szCs w:val="20"/>
        </w:rPr>
        <w:t xml:space="preserve"> </w:t>
      </w:r>
      <w:r w:rsidRPr="00811A9B">
        <w:rPr>
          <w:rFonts w:ascii="Verdana" w:hAnsi="Verdana" w:eastAsia="Century Gothic" w:cs="Century Gothic"/>
          <w:i/>
          <w:iCs/>
          <w:sz w:val="20"/>
          <w:szCs w:val="20"/>
        </w:rPr>
        <w:t>parte de las condiciones Técnicas del Proceso que Habilitan o Deshabilitan la misma</w:t>
      </w:r>
      <w:r>
        <w:rPr>
          <w:rFonts w:ascii="Verdana" w:hAnsi="Verdana" w:eastAsia="Century Gothic" w:cs="Century Gothic"/>
          <w:i/>
          <w:iCs/>
          <w:sz w:val="20"/>
          <w:szCs w:val="20"/>
        </w:rPr>
        <w:t xml:space="preserve"> </w:t>
      </w:r>
      <w:r w:rsidRPr="00811A9B">
        <w:rPr>
          <w:rFonts w:ascii="Verdana" w:hAnsi="Verdana" w:eastAsia="Century Gothic" w:cs="Century Gothic"/>
          <w:i/>
          <w:iCs/>
          <w:sz w:val="20"/>
          <w:szCs w:val="20"/>
        </w:rPr>
        <w:t>tampoco quedo en adenda y el proponente nunca volvió a observar para que la</w:t>
      </w:r>
      <w:r>
        <w:rPr>
          <w:rFonts w:ascii="Verdana" w:hAnsi="Verdana" w:eastAsia="Century Gothic" w:cs="Century Gothic"/>
          <w:i/>
          <w:iCs/>
          <w:sz w:val="20"/>
          <w:szCs w:val="20"/>
        </w:rPr>
        <w:t xml:space="preserve"> </w:t>
      </w:r>
      <w:r w:rsidRPr="00811A9B">
        <w:rPr>
          <w:rFonts w:ascii="Verdana" w:hAnsi="Verdana" w:eastAsia="Century Gothic" w:cs="Century Gothic"/>
          <w:i/>
          <w:iCs/>
          <w:sz w:val="20"/>
          <w:szCs w:val="20"/>
        </w:rPr>
        <w:t>misma quedara estipulada en las Condiciones Definitivas. ¿Que dice la normativa de esto se avala esta respuesta como parte de los requisitos técnicos o la entidad estatal debe dar cumplimiento a las condiciones técnicas que quedaron en Pliego Definitivo?</w:t>
      </w:r>
    </w:p>
    <w:p w:rsidRPr="00CD7324" w:rsidR="0087031A" w:rsidP="001532F7" w:rsidRDefault="00811A9B" w14:paraId="55A848A2" w14:textId="5D533BEF">
      <w:pPr>
        <w:tabs>
          <w:tab w:val="left" w:pos="142"/>
          <w:tab w:val="left" w:pos="567"/>
        </w:tabs>
        <w:ind w:left="426" w:right="709"/>
        <w:jc w:val="both"/>
        <w:rPr>
          <w:rFonts w:ascii="Verdana" w:hAnsi="Verdana" w:eastAsia="Century Gothic" w:cs="Century Gothic"/>
          <w:i/>
          <w:iCs/>
          <w:sz w:val="20"/>
          <w:szCs w:val="20"/>
        </w:rPr>
      </w:pPr>
      <w:r w:rsidRPr="00811A9B">
        <w:rPr>
          <w:rFonts w:ascii="Verdana" w:hAnsi="Verdana" w:eastAsia="Century Gothic" w:cs="Century Gothic"/>
          <w:i/>
          <w:iCs/>
          <w:sz w:val="20"/>
          <w:szCs w:val="20"/>
        </w:rPr>
        <w:t>2. La Póliza de Seriedad de oferta puede ser corregida y subsanar en el valor del</w:t>
      </w:r>
      <w:r>
        <w:rPr>
          <w:rFonts w:ascii="Verdana" w:hAnsi="Verdana" w:eastAsia="Century Gothic" w:cs="Century Gothic"/>
          <w:i/>
          <w:iCs/>
          <w:sz w:val="20"/>
          <w:szCs w:val="20"/>
        </w:rPr>
        <w:t xml:space="preserve"> </w:t>
      </w:r>
      <w:r w:rsidRPr="00811A9B">
        <w:rPr>
          <w:rFonts w:ascii="Verdana" w:hAnsi="Verdana" w:eastAsia="Century Gothic" w:cs="Century Gothic"/>
          <w:i/>
          <w:iCs/>
          <w:sz w:val="20"/>
          <w:szCs w:val="20"/>
        </w:rPr>
        <w:t>amparo si el oferente se equivocó y la presento junto con su oferta póliza por menor</w:t>
      </w:r>
      <w:r>
        <w:rPr>
          <w:rFonts w:ascii="Verdana" w:hAnsi="Verdana" w:eastAsia="Century Gothic" w:cs="Century Gothic"/>
          <w:i/>
          <w:iCs/>
          <w:sz w:val="20"/>
          <w:szCs w:val="20"/>
        </w:rPr>
        <w:t xml:space="preserve"> </w:t>
      </w:r>
      <w:r w:rsidRPr="00811A9B">
        <w:rPr>
          <w:rFonts w:ascii="Verdana" w:hAnsi="Verdana" w:eastAsia="Century Gothic" w:cs="Century Gothic"/>
          <w:i/>
          <w:iCs/>
          <w:sz w:val="20"/>
          <w:szCs w:val="20"/>
        </w:rPr>
        <w:t>valor al requerido por el pliego de Condiciones o aplica a causal de rechazo?</w:t>
      </w:r>
      <w:r w:rsidR="001532F7">
        <w:rPr>
          <w:rFonts w:ascii="Verdana" w:hAnsi="Verdana" w:eastAsia="Century Gothic" w:cs="Century Gothic"/>
          <w:i/>
          <w:iCs/>
          <w:sz w:val="20"/>
          <w:szCs w:val="20"/>
        </w:rPr>
        <w:t xml:space="preserve"> </w:t>
      </w:r>
      <w:r w:rsidR="00E460EC">
        <w:rPr>
          <w:rFonts w:ascii="Verdana" w:hAnsi="Verdana" w:eastAsia="Century Gothic" w:cs="Century Gothic"/>
          <w:i/>
          <w:iCs/>
          <w:sz w:val="20"/>
          <w:szCs w:val="20"/>
        </w:rPr>
        <w:t>(</w:t>
      </w:r>
      <w:r w:rsidRPr="00CD7324" w:rsidR="0087031A">
        <w:rPr>
          <w:rFonts w:ascii="Verdana" w:hAnsi="Verdana" w:eastAsia="Century Gothic" w:cs="Century Gothic"/>
          <w:i/>
          <w:iCs/>
          <w:sz w:val="20"/>
          <w:szCs w:val="20"/>
        </w:rPr>
        <w:t>…)”</w:t>
      </w:r>
      <w:r w:rsidR="002B5862">
        <w:rPr>
          <w:rFonts w:ascii="Verdana" w:hAnsi="Verdana" w:eastAsia="Century Gothic" w:cs="Century Gothic"/>
          <w:i/>
          <w:iCs/>
          <w:sz w:val="20"/>
          <w:szCs w:val="20"/>
        </w:rPr>
        <w:t>.</w:t>
      </w:r>
      <w:r w:rsidRPr="00CD7324" w:rsidR="0087031A">
        <w:rPr>
          <w:rFonts w:ascii="Verdana" w:hAnsi="Verdana" w:eastAsia="Century Gothic" w:cs="Century Gothic"/>
          <w:i/>
          <w:iCs/>
          <w:sz w:val="20"/>
          <w:szCs w:val="20"/>
        </w:rPr>
        <w:t xml:space="preserve"> </w:t>
      </w:r>
    </w:p>
    <w:p w:rsidRPr="00AA3B9F" w:rsidR="0087031A" w:rsidP="0087031A" w:rsidRDefault="0087031A" w14:paraId="33F745EB" w14:textId="77777777">
      <w:pPr>
        <w:spacing w:after="120" w:line="276" w:lineRule="auto"/>
        <w:ind w:firstLine="709"/>
        <w:jc w:val="both"/>
        <w:rPr>
          <w:rFonts w:ascii="Verdana" w:hAnsi="Verdana" w:eastAsia="Calibri" w:cs="Arial"/>
          <w:lang w:val="es-ES_tradnl" w:eastAsia="es-ES_tradnl"/>
        </w:rPr>
      </w:pPr>
      <w:r w:rsidRPr="00AA3B9F">
        <w:rPr>
          <w:rFonts w:ascii="Verdana" w:hAnsi="Verdana" w:eastAsia="Calibri"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hAnsi="Verdana" w:eastAsia="Calibri" w:cs="Arial"/>
          <w:lang w:val="es-ES" w:eastAsia="es-ES"/>
        </w:rPr>
        <w:t>E</w:t>
      </w:r>
      <w:r w:rsidRPr="00AA3B9F">
        <w:rPr>
          <w:rFonts w:ascii="Verdana" w:hAnsi="Verdana" w:eastAsia="Calibri" w:cs="Arial"/>
          <w:lang w:val="es-ES" w:eastAsia="es-ES"/>
        </w:rPr>
        <w:t xml:space="preserve">ntidades </w:t>
      </w:r>
      <w:r>
        <w:rPr>
          <w:rFonts w:ascii="Verdana" w:hAnsi="Verdana" w:eastAsia="Calibri" w:cs="Arial"/>
          <w:lang w:val="es-ES" w:eastAsia="es-ES"/>
        </w:rPr>
        <w:t xml:space="preserve">Estatales </w:t>
      </w:r>
      <w:r w:rsidRPr="00AA3B9F">
        <w:rPr>
          <w:rFonts w:ascii="Verdana" w:hAnsi="Verdana" w:eastAsia="Calibri"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rsidRPr="00AA3B9F" w:rsidR="0087031A" w:rsidP="0087031A" w:rsidRDefault="0087031A" w14:paraId="304224C2" w14:textId="77777777">
      <w:pPr>
        <w:spacing w:after="0" w:line="276" w:lineRule="auto"/>
        <w:ind w:firstLine="709"/>
        <w:jc w:val="both"/>
        <w:rPr>
          <w:rFonts w:ascii="Verdana" w:hAnsi="Verdana" w:eastAsia="Calibri" w:cs="Arial"/>
          <w:lang w:val="es-ES" w:eastAsia="es-ES"/>
        </w:rPr>
      </w:pPr>
      <w:r w:rsidRPr="00AA3B9F">
        <w:rPr>
          <w:rFonts w:ascii="Verdana" w:hAnsi="Verdana" w:eastAsia="Calibri"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r w:rsidRPr="00E21BD1">
        <w:t xml:space="preserve"> </w:t>
      </w:r>
    </w:p>
    <w:p w:rsidR="0087031A" w:rsidP="0087031A" w:rsidRDefault="0087031A" w14:paraId="7488FEE4" w14:textId="77777777">
      <w:pPr>
        <w:pStyle w:val="Prrafodelista"/>
        <w:tabs>
          <w:tab w:val="left" w:pos="142"/>
          <w:tab w:val="left" w:pos="284"/>
        </w:tabs>
        <w:spacing w:after="0" w:line="240" w:lineRule="auto"/>
        <w:ind w:left="425" w:right="1185"/>
        <w:jc w:val="both"/>
        <w:rPr>
          <w:rFonts w:ascii="Verdana" w:hAnsi="Verdana" w:eastAsia="Century Gothic" w:cs="Century Gothic"/>
          <w:i/>
          <w:iCs/>
          <w:lang w:val="es-CO"/>
        </w:rPr>
      </w:pPr>
    </w:p>
    <w:p w:rsidR="0087031A" w:rsidP="0087031A" w:rsidRDefault="0087031A" w14:paraId="46A7578E" w14:textId="77777777">
      <w:pPr>
        <w:pStyle w:val="Prrafodelista"/>
        <w:numPr>
          <w:ilvl w:val="0"/>
          <w:numId w:val="16"/>
        </w:numPr>
        <w:tabs>
          <w:tab w:val="left" w:pos="142"/>
          <w:tab w:val="left" w:pos="284"/>
        </w:tabs>
        <w:spacing w:after="0" w:line="276" w:lineRule="auto"/>
        <w:ind w:left="0" w:firstLine="0"/>
        <w:jc w:val="both"/>
        <w:rPr>
          <w:rFonts w:ascii="Verdana" w:hAnsi="Verdana" w:eastAsia="Century Gothic" w:cs="Century Gothic"/>
          <w:b/>
          <w:bCs/>
        </w:rPr>
      </w:pPr>
      <w:r w:rsidRPr="00593A5F">
        <w:rPr>
          <w:rFonts w:ascii="Verdana" w:hAnsi="Verdana" w:eastAsia="Century Gothic" w:cs="Century Gothic"/>
          <w:b/>
          <w:bCs/>
        </w:rPr>
        <w:t>Problema</w:t>
      </w:r>
      <w:r>
        <w:rPr>
          <w:rFonts w:ascii="Verdana" w:hAnsi="Verdana" w:eastAsia="Century Gothic" w:cs="Century Gothic"/>
          <w:b/>
          <w:bCs/>
        </w:rPr>
        <w:t xml:space="preserve"> jurídico </w:t>
      </w:r>
      <w:r w:rsidRPr="00593A5F">
        <w:rPr>
          <w:rFonts w:ascii="Verdana" w:hAnsi="Verdana" w:eastAsia="Century Gothic" w:cs="Century Gothic"/>
          <w:b/>
          <w:bCs/>
        </w:rPr>
        <w:t>planteado:</w:t>
      </w:r>
    </w:p>
    <w:p w:rsidR="0087031A" w:rsidP="0087031A" w:rsidRDefault="0087031A" w14:paraId="1CD6BDA0" w14:textId="77777777">
      <w:pPr>
        <w:pStyle w:val="Prrafodelista"/>
        <w:tabs>
          <w:tab w:val="left" w:pos="142"/>
          <w:tab w:val="left" w:pos="284"/>
        </w:tabs>
        <w:spacing w:after="0" w:line="276" w:lineRule="auto"/>
        <w:ind w:left="0"/>
        <w:jc w:val="both"/>
        <w:rPr>
          <w:rFonts w:ascii="Verdana" w:hAnsi="Verdana" w:eastAsia="Century Gothic" w:cs="Century Gothic"/>
          <w:b/>
          <w:bCs/>
        </w:rPr>
      </w:pPr>
    </w:p>
    <w:p w:rsidR="00811A9B" w:rsidP="0087031A" w:rsidRDefault="0087031A" w14:paraId="74AC3373" w14:textId="7D568513">
      <w:pPr>
        <w:pStyle w:val="Prrafodelista"/>
        <w:tabs>
          <w:tab w:val="left" w:pos="142"/>
          <w:tab w:val="left" w:pos="284"/>
        </w:tabs>
        <w:spacing w:after="0" w:line="276" w:lineRule="auto"/>
        <w:ind w:left="0"/>
        <w:jc w:val="both"/>
        <w:rPr>
          <w:rFonts w:ascii="Verdana" w:hAnsi="Verdana" w:eastAsia="Century Gothic" w:cs="Century Gothic"/>
        </w:rPr>
      </w:pPr>
      <w:r w:rsidRPr="00E21BD1">
        <w:rPr>
          <w:rFonts w:ascii="Verdana" w:hAnsi="Verdana" w:eastAsia="Calibri" w:cs="Arial"/>
          <w:lang w:eastAsia="es-ES"/>
        </w:rPr>
        <w:t xml:space="preserve">De acuerdo con el contenido de su solicitud, esta Agencia resolverá </w:t>
      </w:r>
      <w:r>
        <w:rPr>
          <w:rFonts w:ascii="Verdana" w:hAnsi="Verdana" w:eastAsia="Calibri" w:cs="Arial"/>
          <w:lang w:eastAsia="es-ES"/>
        </w:rPr>
        <w:t xml:space="preserve">los </w:t>
      </w:r>
      <w:r w:rsidRPr="00E21BD1">
        <w:rPr>
          <w:rFonts w:ascii="Verdana" w:hAnsi="Verdana" w:eastAsia="Calibri" w:cs="Arial"/>
          <w:lang w:eastAsia="es-ES"/>
        </w:rPr>
        <w:t>siguiente</w:t>
      </w:r>
      <w:r>
        <w:rPr>
          <w:rFonts w:ascii="Verdana" w:hAnsi="Verdana" w:eastAsia="Calibri" w:cs="Arial"/>
          <w:lang w:eastAsia="es-ES"/>
        </w:rPr>
        <w:t>s</w:t>
      </w:r>
      <w:r w:rsidRPr="00E21BD1">
        <w:rPr>
          <w:rFonts w:ascii="Verdana" w:hAnsi="Verdana" w:eastAsia="Calibri" w:cs="Arial"/>
          <w:lang w:eastAsia="es-ES"/>
        </w:rPr>
        <w:t xml:space="preserve"> problema</w:t>
      </w:r>
      <w:r>
        <w:rPr>
          <w:rFonts w:ascii="Verdana" w:hAnsi="Verdana" w:eastAsia="Calibri" w:cs="Arial"/>
          <w:lang w:eastAsia="es-ES"/>
        </w:rPr>
        <w:t>s</w:t>
      </w:r>
      <w:r w:rsidRPr="00E21BD1">
        <w:rPr>
          <w:rFonts w:ascii="Verdana" w:hAnsi="Verdana" w:eastAsia="Calibri" w:cs="Arial"/>
          <w:lang w:eastAsia="es-ES"/>
        </w:rPr>
        <w:t xml:space="preserve"> jurídico</w:t>
      </w:r>
      <w:r>
        <w:rPr>
          <w:rFonts w:ascii="Verdana" w:hAnsi="Verdana" w:eastAsia="Calibri" w:cs="Arial"/>
          <w:lang w:eastAsia="es-ES"/>
        </w:rPr>
        <w:t>s</w:t>
      </w:r>
      <w:r w:rsidRPr="00E21BD1">
        <w:rPr>
          <w:rFonts w:ascii="Verdana" w:hAnsi="Verdana" w:eastAsia="Calibri" w:cs="Arial"/>
          <w:lang w:eastAsia="es-ES"/>
        </w:rPr>
        <w:t>:</w:t>
      </w:r>
      <w:bookmarkStart w:name="_Hlk196737317" w:id="5"/>
      <w:r>
        <w:rPr>
          <w:rFonts w:ascii="Verdana" w:hAnsi="Verdana" w:eastAsia="Calibri" w:cs="Arial"/>
          <w:lang w:eastAsia="es-ES"/>
        </w:rPr>
        <w:t xml:space="preserve"> </w:t>
      </w:r>
      <w:r w:rsidRPr="00E460EC" w:rsidR="00E460EC">
        <w:rPr>
          <w:rFonts w:asciiTheme="minorHAnsi" w:hAnsiTheme="minorHAnsi"/>
          <w:lang w:val="es-CO"/>
        </w:rPr>
        <w:t xml:space="preserve"> </w:t>
      </w:r>
      <w:r w:rsidRPr="00E460EC" w:rsidR="00E460EC">
        <w:rPr>
          <w:rFonts w:ascii="Verdana" w:hAnsi="Verdana" w:eastAsia="Calibri" w:cs="Arial"/>
          <w:lang w:val="es-CO" w:eastAsia="es-ES"/>
        </w:rPr>
        <w:t xml:space="preserve">¿Una observación acogida durante el proyecto de pliego, pero no incluida en el pliego definitivo ni en adenda, puede considerarse parte de los requisitos técnicos del </w:t>
      </w:r>
      <w:r w:rsidRPr="00E460EC" w:rsidR="00CF72C1">
        <w:rPr>
          <w:rFonts w:ascii="Verdana" w:hAnsi="Verdana" w:eastAsia="Calibri" w:cs="Arial"/>
          <w:lang w:val="es-CO" w:eastAsia="es-ES"/>
        </w:rPr>
        <w:t>proceso?</w:t>
      </w:r>
      <w:r w:rsidRPr="00E460EC" w:rsidR="00E460EC">
        <w:rPr>
          <w:rFonts w:asciiTheme="minorHAnsi" w:hAnsiTheme="minorHAnsi"/>
          <w:lang w:val="es-CO"/>
        </w:rPr>
        <w:t xml:space="preserve"> </w:t>
      </w:r>
      <w:r w:rsidRPr="00E460EC" w:rsidR="00E460EC">
        <w:rPr>
          <w:rFonts w:ascii="Verdana" w:hAnsi="Verdana" w:eastAsia="Calibri" w:cs="Arial"/>
          <w:lang w:val="es-CO" w:eastAsia="es-ES"/>
        </w:rPr>
        <w:t>¿La presentación de una póliza de seriedad de oferta por menor valor al requerido en el pliego puede ser subsanada, o constituye causal de rechazo?</w:t>
      </w:r>
    </w:p>
    <w:p w:rsidR="00811A9B" w:rsidP="0087031A" w:rsidRDefault="00811A9B" w14:paraId="37D71674" w14:textId="77777777">
      <w:pPr>
        <w:pStyle w:val="Prrafodelista"/>
        <w:tabs>
          <w:tab w:val="left" w:pos="142"/>
          <w:tab w:val="left" w:pos="284"/>
        </w:tabs>
        <w:spacing w:after="0" w:line="276" w:lineRule="auto"/>
        <w:ind w:left="0"/>
        <w:jc w:val="both"/>
        <w:rPr>
          <w:rFonts w:ascii="Verdana" w:hAnsi="Verdana" w:eastAsia="Century Gothic" w:cs="Century Gothic"/>
        </w:rPr>
      </w:pPr>
    </w:p>
    <w:bookmarkEnd w:id="5"/>
    <w:p w:rsidR="0087031A" w:rsidP="0087031A" w:rsidRDefault="0087031A" w14:paraId="4830150C"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rPr>
      </w:pPr>
      <w:r w:rsidRPr="00593A5F">
        <w:rPr>
          <w:rFonts w:ascii="Verdana" w:hAnsi="Verdana" w:eastAsia="Century Gothic" w:cs="Century Gothic"/>
          <w:b/>
          <w:bCs/>
        </w:rPr>
        <w:t>Respuesta:</w:t>
      </w:r>
    </w:p>
    <w:p w:rsidRPr="00593A5F" w:rsidR="001532F7" w:rsidP="001532F7" w:rsidRDefault="001532F7" w14:paraId="7376DABD" w14:textId="77777777">
      <w:pPr>
        <w:pStyle w:val="Prrafodelista"/>
        <w:tabs>
          <w:tab w:val="left" w:pos="142"/>
          <w:tab w:val="left" w:pos="284"/>
        </w:tabs>
        <w:spacing w:after="0" w:line="276" w:lineRule="auto"/>
        <w:ind w:left="0"/>
        <w:contextualSpacing w:val="0"/>
        <w:jc w:val="both"/>
        <w:rPr>
          <w:rFonts w:ascii="Verdana" w:hAnsi="Verdana" w:eastAsia="Century Gothic" w:cs="Century Gothic"/>
          <w:b/>
          <w:bCs/>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593A5F" w:rsidR="0087031A" w:rsidTr="00580B7F" w14:paraId="12E3C4B8" w14:textId="77777777">
        <w:tc>
          <w:tcPr>
            <w:tcW w:w="8828" w:type="dxa"/>
            <w:shd w:val="clear" w:color="auto" w:fill="auto"/>
          </w:tcPr>
          <w:p w:rsidR="002D2F47" w:rsidP="002D2F47" w:rsidRDefault="001532F7" w14:paraId="2179A341" w14:textId="1B7913EB">
            <w:pPr>
              <w:spacing w:after="120" w:line="276" w:lineRule="auto"/>
              <w:jc w:val="both"/>
              <w:rPr>
                <w:rFonts w:ascii="Verdana" w:hAnsi="Verdana" w:eastAsia="Batang" w:cs="Arial"/>
                <w:i/>
                <w:iCs/>
                <w:lang w:val="es-MX"/>
              </w:rPr>
            </w:pPr>
            <w:r>
              <w:rPr>
                <w:rFonts w:ascii="Verdana" w:hAnsi="Verdana" w:eastAsia="Calibri" w:cs="Arial"/>
                <w:lang w:val="es-MX"/>
              </w:rPr>
              <w:t xml:space="preserve">        </w:t>
            </w:r>
            <w:r w:rsidR="002D2F47">
              <w:rPr>
                <w:rFonts w:ascii="Verdana" w:hAnsi="Verdana" w:eastAsia="Calibri" w:cs="Arial"/>
                <w:lang w:val="es-MX"/>
              </w:rPr>
              <w:t xml:space="preserve">En relación con el primer problema jurídico planteado, debe señalarse que, </w:t>
            </w:r>
            <w:r w:rsidRPr="002379AA" w:rsidR="002D2F47">
              <w:rPr>
                <w:rFonts w:ascii="Verdana" w:hAnsi="Verdana" w:eastAsia="Batang" w:cs="Arial"/>
                <w:lang w:val="es-MX"/>
              </w:rPr>
              <w:t xml:space="preserve">de acuerdo con la jurisprudencia de la Sección Tercera del Consejo de Estado, </w:t>
            </w:r>
            <w:r w:rsidR="002D2F47">
              <w:rPr>
                <w:rFonts w:ascii="Verdana" w:hAnsi="Verdana" w:eastAsia="Batang" w:cs="Arial"/>
                <w:lang w:val="es-MX"/>
              </w:rPr>
              <w:t xml:space="preserve">el pliego de condiciones es ley para las partes y las  </w:t>
            </w:r>
            <w:r w:rsidRPr="002379AA" w:rsidR="002D2F47">
              <w:rPr>
                <w:rFonts w:ascii="Verdana" w:hAnsi="Verdana" w:eastAsia="Batang" w:cs="Arial"/>
                <w:lang w:val="es-MX"/>
              </w:rPr>
              <w:t xml:space="preserve">condiciones deben prevalecer sobre los demás documentos del contrato. Por lo tanto, ha reiterado que las reglas contenidas en los pliegos de condiciones que adolecen de vacíos o contradicciones deben de interpretarse </w:t>
            </w:r>
            <w:r w:rsidRPr="002379AA" w:rsidR="002D2F47">
              <w:rPr>
                <w:rFonts w:ascii="Verdana" w:hAnsi="Verdana" w:eastAsia="Batang" w:cs="Arial"/>
                <w:i/>
                <w:iCs/>
                <w:lang w:val="es-MX"/>
              </w:rPr>
              <w:t>“con sujeción a los principios generales del derecho, a los de la función administrativa, a la finalidad del pliego y a la protección del interés general, de conformidad con lo previsto en el artículo 23 de la Ley 80 de 1993”</w:t>
            </w:r>
            <w:r w:rsidR="002D2F47">
              <w:rPr>
                <w:rStyle w:val="Refdenotaalpie"/>
                <w:rFonts w:ascii="Verdana" w:hAnsi="Verdana" w:eastAsia="Batang" w:cs="Arial"/>
                <w:i/>
                <w:iCs/>
                <w:lang w:val="es-MX"/>
              </w:rPr>
              <w:footnoteReference w:id="1"/>
            </w:r>
            <w:r w:rsidRPr="002379AA" w:rsidR="002D2F47">
              <w:rPr>
                <w:rFonts w:ascii="Verdana" w:hAnsi="Verdana" w:eastAsia="Batang" w:cs="Arial"/>
                <w:i/>
                <w:iCs/>
                <w:lang w:val="es-MX"/>
              </w:rPr>
              <w:t>.</w:t>
            </w:r>
          </w:p>
          <w:p w:rsidR="002D2F47" w:rsidP="002D2F47" w:rsidRDefault="001532F7" w14:paraId="468EB0C5" w14:textId="2901C090">
            <w:pPr>
              <w:spacing w:after="120" w:line="276" w:lineRule="auto"/>
              <w:jc w:val="both"/>
              <w:rPr>
                <w:rFonts w:ascii="Verdana" w:hAnsi="Verdana" w:eastAsia="Batang" w:cs="Arial"/>
                <w:lang w:val="es-MX"/>
              </w:rPr>
            </w:pPr>
            <w:r>
              <w:rPr>
                <w:rFonts w:ascii="Verdana" w:hAnsi="Verdana" w:eastAsia="Batang" w:cs="Arial"/>
                <w:lang w:val="es-MX"/>
              </w:rPr>
              <w:t xml:space="preserve">          </w:t>
            </w:r>
            <w:r w:rsidR="002D2F47">
              <w:rPr>
                <w:rFonts w:ascii="Verdana" w:hAnsi="Verdana" w:eastAsia="Batang" w:cs="Arial"/>
                <w:lang w:val="es-MX"/>
              </w:rPr>
              <w:t>Conforme a lo expuesto</w:t>
            </w:r>
            <w:r w:rsidRPr="002379AA" w:rsidR="002D2F47">
              <w:rPr>
                <w:rFonts w:ascii="Verdana" w:hAnsi="Verdana" w:eastAsia="Batang" w:cs="Arial"/>
                <w:lang w:val="es-MX"/>
              </w:rPr>
              <w:t>, es posible establecer</w:t>
            </w:r>
            <w:r w:rsidR="008A1F0D">
              <w:rPr>
                <w:rFonts w:ascii="Verdana" w:hAnsi="Verdana" w:eastAsia="Batang" w:cs="Arial"/>
                <w:lang w:val="es-MX"/>
              </w:rPr>
              <w:t xml:space="preserve"> que </w:t>
            </w:r>
            <w:r w:rsidR="002D2F47">
              <w:rPr>
                <w:rFonts w:ascii="Verdana" w:hAnsi="Verdana" w:eastAsia="Batang" w:cs="Arial"/>
                <w:lang w:val="es-MX"/>
              </w:rPr>
              <w:t>s</w:t>
            </w:r>
            <w:r w:rsidRPr="002D2F47" w:rsidR="002D2F47">
              <w:rPr>
                <w:rFonts w:ascii="Verdana" w:hAnsi="Verdana" w:eastAsia="Batang" w:cs="Arial"/>
                <w:lang w:val="es-MX"/>
              </w:rPr>
              <w:t>olo lo que está explícitamente establecido en el pliego final y sus adendas oficiales es legalmente vinculante y debe cumplirse</w:t>
            </w:r>
            <w:r w:rsidR="008A1F0D">
              <w:rPr>
                <w:rFonts w:ascii="Verdana" w:hAnsi="Verdana" w:eastAsia="Batang" w:cs="Arial"/>
                <w:lang w:val="es-MX"/>
              </w:rPr>
              <w:t xml:space="preserve">, </w:t>
            </w:r>
            <w:r w:rsidR="00416D78">
              <w:rPr>
                <w:rFonts w:ascii="Verdana" w:hAnsi="Verdana" w:eastAsia="Batang" w:cs="Arial"/>
                <w:lang w:val="es-MX"/>
              </w:rPr>
              <w:t xml:space="preserve">por lo que cualquier </w:t>
            </w:r>
            <w:r w:rsidRPr="00416D78" w:rsidR="00416D78">
              <w:rPr>
                <w:rFonts w:ascii="Verdana" w:hAnsi="Verdana" w:eastAsia="Batang" w:cs="Arial"/>
                <w:lang w:val="es-MX"/>
              </w:rPr>
              <w:t>modificación o inclusión que no esté formalmente consignada en el pliego o sus adendas carece de validez jurídica y no puede ser aplicada en la evaluación de las ofertas, garantizando así la transparencia y objetividad del proceso.</w:t>
            </w:r>
          </w:p>
          <w:p w:rsidRPr="009F4606" w:rsidR="00C36BD0" w:rsidP="00C36BD0" w:rsidRDefault="00C36BD0" w14:paraId="50116780" w14:textId="170ABEB8">
            <w:pPr>
              <w:spacing w:after="120" w:line="276" w:lineRule="auto"/>
              <w:ind w:firstLine="709"/>
              <w:jc w:val="both"/>
              <w:rPr>
                <w:rStyle w:val="eop"/>
                <w:rFonts w:ascii="Verdana" w:hAnsi="Verdana" w:cs="Arial"/>
                <w:color w:val="000000"/>
              </w:rPr>
            </w:pPr>
            <w:r>
              <w:rPr>
                <w:rFonts w:ascii="Verdana" w:hAnsi="Verdana" w:eastAsia="Calibri" w:cs="Arial"/>
                <w:lang w:val="es-MX"/>
              </w:rPr>
              <w:t xml:space="preserve">En relación con el segundo problema jurídico es de precisar que </w:t>
            </w:r>
            <w:r>
              <w:rPr>
                <w:rFonts w:ascii="Verdana" w:hAnsi="Verdana" w:eastAsia="Times New Roman" w:cs="Arial"/>
                <w:i/>
                <w:lang w:val="es-ES" w:eastAsia="es-ES"/>
              </w:rPr>
              <w:t>e</w:t>
            </w:r>
            <w:r w:rsidRPr="009F4606">
              <w:rPr>
                <w:rStyle w:val="normaltextrun"/>
                <w:rFonts w:ascii="Verdana" w:hAnsi="Verdana" w:cs="Arial"/>
                <w:color w:val="000000"/>
                <w:lang w:val="es-ES"/>
              </w:rPr>
              <w:t xml:space="preserve">l parágrafo 3 del artículo 5 de la Ley 1882 de 2018 determinó, de manera expresa, que </w:t>
            </w:r>
            <w:r>
              <w:rPr>
                <w:rStyle w:val="normaltextrun"/>
                <w:rFonts w:ascii="Verdana" w:hAnsi="Verdana" w:cs="Arial"/>
                <w:color w:val="000000"/>
                <w:lang w:val="es-ES"/>
              </w:rPr>
              <w:t>“</w:t>
            </w:r>
            <w:r w:rsidRPr="009F4606">
              <w:rPr>
                <w:rStyle w:val="normaltextrun"/>
                <w:rFonts w:ascii="Verdana" w:hAnsi="Verdana" w:cs="Arial"/>
                <w:color w:val="000000"/>
                <w:lang w:val="es-ES"/>
              </w:rPr>
              <w:t>la no entrega de la garantía de seriedad junto con la propuesta no será subsanable y será causal de rechazo de la misma</w:t>
            </w:r>
            <w:r>
              <w:rPr>
                <w:rStyle w:val="normaltextrun"/>
                <w:rFonts w:ascii="Verdana" w:hAnsi="Verdana" w:cs="Arial"/>
                <w:color w:val="000000"/>
                <w:lang w:val="es-ES"/>
              </w:rPr>
              <w:t>”</w:t>
            </w:r>
            <w:r w:rsidRPr="009F4606">
              <w:rPr>
                <w:rStyle w:val="normaltextrun"/>
                <w:rFonts w:ascii="Verdana" w:hAnsi="Verdana" w:cs="Arial"/>
                <w:color w:val="000000"/>
                <w:lang w:val="es-ES"/>
              </w:rPr>
              <w:t xml:space="preserve">, dejando claro que se trata de un documento de obligatoria presentación junto con la propuesta </w:t>
            </w:r>
            <w:r w:rsidR="008A1F0D">
              <w:rPr>
                <w:rStyle w:val="normaltextrun"/>
                <w:rFonts w:ascii="Verdana" w:hAnsi="Verdana" w:cs="Arial"/>
                <w:color w:val="000000"/>
                <w:lang w:val="es-ES"/>
              </w:rPr>
              <w:t>materializándose asi</w:t>
            </w:r>
            <w:r w:rsidRPr="009F4606">
              <w:rPr>
                <w:rStyle w:val="normaltextrun"/>
                <w:rFonts w:ascii="Verdana" w:hAnsi="Verdana" w:cs="Arial"/>
                <w:color w:val="000000"/>
                <w:lang w:val="es-ES"/>
              </w:rPr>
              <w:t xml:space="preserve"> los principios de seriedad e irrevocabilidad de la oferta.</w:t>
            </w:r>
            <w:r w:rsidRPr="009F4606">
              <w:rPr>
                <w:rStyle w:val="eop"/>
                <w:rFonts w:ascii="Verdana" w:hAnsi="Verdana" w:cs="Arial"/>
                <w:color w:val="000000"/>
              </w:rPr>
              <w:t> </w:t>
            </w:r>
          </w:p>
          <w:p w:rsidRPr="00C36BD0" w:rsidR="00C36BD0" w:rsidP="00C36BD0" w:rsidRDefault="00C36BD0" w14:paraId="03E5603B" w14:textId="52B7A987">
            <w:pPr>
              <w:spacing w:after="120" w:line="276" w:lineRule="auto"/>
              <w:jc w:val="both"/>
              <w:rPr>
                <w:rFonts w:ascii="Verdana" w:hAnsi="Verdana" w:eastAsia="Batang" w:cs="Arial"/>
                <w:lang w:val="es-MX"/>
              </w:rPr>
            </w:pPr>
            <w:r>
              <w:rPr>
                <w:rFonts w:ascii="Verdana" w:hAnsi="Verdana" w:eastAsia="Batang" w:cs="Arial"/>
                <w:lang w:val="es-MX"/>
              </w:rPr>
              <w:t xml:space="preserve">         Así las cosas, </w:t>
            </w:r>
            <w:r w:rsidRPr="00C36BD0">
              <w:rPr>
                <w:rFonts w:ascii="Verdana" w:hAnsi="Verdana" w:eastAsia="Batang" w:cs="Arial"/>
                <w:lang w:val="es-MX"/>
              </w:rPr>
              <w:t xml:space="preserve">la presentación de la garantía de seriedad </w:t>
            </w:r>
            <w:r>
              <w:rPr>
                <w:rFonts w:ascii="Verdana" w:hAnsi="Verdana" w:eastAsia="Batang" w:cs="Arial"/>
                <w:lang w:val="es-MX"/>
              </w:rPr>
              <w:t xml:space="preserve">deberá corresponder </w:t>
            </w:r>
            <w:r w:rsidRPr="00C36BD0">
              <w:rPr>
                <w:rFonts w:ascii="Verdana" w:hAnsi="Verdana" w:eastAsia="Batang" w:cs="Arial"/>
                <w:lang w:val="es-MX"/>
              </w:rPr>
              <w:t>a</w:t>
            </w:r>
            <w:r w:rsidR="00121EC5">
              <w:rPr>
                <w:rFonts w:ascii="Verdana" w:hAnsi="Verdana" w:eastAsia="Batang" w:cs="Arial"/>
                <w:lang w:val="es-MX"/>
              </w:rPr>
              <w:t xml:space="preserve"> lo</w:t>
            </w:r>
            <w:r w:rsidRPr="00C36BD0">
              <w:rPr>
                <w:rFonts w:ascii="Verdana" w:hAnsi="Verdana" w:eastAsia="Batang" w:cs="Arial"/>
                <w:lang w:val="es-MX"/>
              </w:rPr>
              <w:t xml:space="preserve"> exigido en el pliego de condicione</w:t>
            </w:r>
            <w:r>
              <w:rPr>
                <w:rFonts w:ascii="Verdana" w:hAnsi="Verdana" w:eastAsia="Batang" w:cs="Arial"/>
                <w:lang w:val="es-MX"/>
              </w:rPr>
              <w:t>s</w:t>
            </w:r>
            <w:r w:rsidRPr="00C36BD0">
              <w:rPr>
                <w:rFonts w:ascii="Verdana" w:hAnsi="Verdana" w:eastAsia="Batang" w:cs="Arial"/>
                <w:lang w:val="es-MX"/>
              </w:rPr>
              <w:t>. Esta exigencia legal tiene como propósito salvaguardar los principios de seriedad, transparencia y seguridad jurídica en los procesos de contratación, garantizando que solo se evalúen ofertas que cumplan plenamente con los requisitos esenciales previstos por la administración.</w:t>
            </w:r>
          </w:p>
          <w:p w:rsidRPr="00DB4737" w:rsidR="0087031A" w:rsidP="00CD7324" w:rsidRDefault="00F3779B" w14:paraId="590CBB75" w14:textId="494296B2">
            <w:pPr>
              <w:spacing w:after="120" w:line="276" w:lineRule="auto"/>
              <w:ind w:firstLine="709"/>
              <w:jc w:val="both"/>
              <w:rPr>
                <w:rFonts w:ascii="Verdana" w:hAnsi="Verdana" w:eastAsia="Calibri" w:cs="Times New Roman"/>
                <w:lang w:val="es-ES"/>
              </w:rPr>
            </w:pPr>
            <w:r>
              <w:rPr>
                <w:rFonts w:ascii="Verdana" w:hAnsi="Verdana" w:eastAsia="Calibri" w:cs="Arial"/>
                <w:lang w:val="es-ES" w:eastAsia="es-ES"/>
              </w:rPr>
              <w:t>Sin perjuicio de lo anterior</w:t>
            </w:r>
            <w:r w:rsidR="0087031A">
              <w:rPr>
                <w:rFonts w:ascii="Verdana" w:hAnsi="Verdana" w:eastAsia="Calibri" w:cs="Times New Roman"/>
                <w:lang w:val="es-ES"/>
              </w:rPr>
              <w:t>,</w:t>
            </w:r>
            <w:r w:rsidRPr="00DB4737" w:rsidR="0087031A">
              <w:rPr>
                <w:rFonts w:ascii="Verdana" w:hAnsi="Verdana" w:eastAsia="Calibri" w:cs="Times New Roman"/>
                <w:lang w:val="es-ES"/>
              </w:rPr>
              <w:t xml:space="preserve"> debe advertirse que el análisis en torno </w:t>
            </w:r>
            <w:r w:rsidR="0087031A">
              <w:rPr>
                <w:rFonts w:ascii="Verdana" w:hAnsi="Verdana" w:eastAsia="Calibri" w:cs="Times New Roman"/>
                <w:lang w:val="es-ES"/>
              </w:rPr>
              <w:t>a un proceso de contratación especifico debe</w:t>
            </w:r>
            <w:r w:rsidRPr="0012388D" w:rsidR="0087031A">
              <w:rPr>
                <w:rFonts w:ascii="Verdana" w:hAnsi="Verdana" w:eastAsia="Calibri" w:cs="Times New Roman"/>
                <w:lang w:val="es-ES"/>
              </w:rPr>
              <w:t xml:space="preserve"> ser realizado por quienes tengan interés en ello.</w:t>
            </w:r>
            <w:r w:rsidRPr="00DB4737" w:rsidR="0087031A">
              <w:rPr>
                <w:rFonts w:ascii="Verdana" w:hAnsi="Verdana" w:eastAsia="Calibri"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0087031A">
              <w:t xml:space="preserve"> </w:t>
            </w:r>
          </w:p>
          <w:p w:rsidRPr="00831CDD" w:rsidR="0087031A" w:rsidP="00CD7324" w:rsidRDefault="0087031A" w14:paraId="4D8F70B6" w14:textId="77777777">
            <w:pPr>
              <w:spacing w:line="276" w:lineRule="auto"/>
              <w:ind w:firstLine="709"/>
              <w:contextualSpacing/>
              <w:jc w:val="both"/>
              <w:rPr>
                <w:rFonts w:ascii="Verdana" w:hAnsi="Verdana" w:cs="Arial"/>
                <w:bCs/>
                <w:color w:val="000000" w:themeColor="text1"/>
              </w:rPr>
            </w:pPr>
            <w:r w:rsidRPr="00DB4737">
              <w:rPr>
                <w:rFonts w:ascii="Verdana" w:hAnsi="Verdana" w:eastAsia="Calibri"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Pr="00593A5F" w:rsidR="0087031A" w:rsidTr="00580B7F" w14:paraId="2EC3A9A4" w14:textId="77777777">
        <w:tc>
          <w:tcPr>
            <w:tcW w:w="8828" w:type="dxa"/>
            <w:shd w:val="clear" w:color="auto" w:fill="auto"/>
          </w:tcPr>
          <w:p w:rsidRPr="002973E9" w:rsidR="0087031A" w:rsidP="00580B7F" w:rsidRDefault="0087031A" w14:paraId="46FE8F13" w14:textId="77777777">
            <w:pPr>
              <w:spacing w:line="276" w:lineRule="auto"/>
              <w:jc w:val="both"/>
              <w:rPr>
                <w:rFonts w:ascii="Verdana" w:hAnsi="Verdana" w:eastAsia="Calibri" w:cs="Arial"/>
                <w:lang w:val="es-ES"/>
              </w:rPr>
            </w:pPr>
          </w:p>
        </w:tc>
      </w:tr>
    </w:tbl>
    <w:p w:rsidR="0087031A" w:rsidP="0087031A" w:rsidRDefault="0087031A" w14:paraId="234FB4F9" w14:textId="77777777">
      <w:pPr>
        <w:tabs>
          <w:tab w:val="left" w:pos="142"/>
          <w:tab w:val="left" w:pos="284"/>
        </w:tabs>
        <w:spacing w:after="0" w:line="276" w:lineRule="auto"/>
        <w:jc w:val="both"/>
        <w:rPr>
          <w:rFonts w:ascii="Verdana" w:hAnsi="Verdana" w:eastAsia="Century Gothic" w:cs="Century Gothic"/>
          <w:b/>
          <w:bCs/>
          <w:lang w:val="es-ES"/>
        </w:rPr>
      </w:pPr>
    </w:p>
    <w:p w:rsidRPr="00593A5F" w:rsidR="0087031A" w:rsidP="0087031A" w:rsidRDefault="0087031A" w14:paraId="43DE775E"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rPr>
      </w:pPr>
      <w:r w:rsidRPr="00593A5F">
        <w:rPr>
          <w:rFonts w:ascii="Verdana" w:hAnsi="Verdana" w:eastAsia="Century Gothic" w:cs="Century Gothic"/>
          <w:b/>
          <w:bCs/>
        </w:rPr>
        <w:t>Razones de la respuesta:</w:t>
      </w:r>
    </w:p>
    <w:p w:rsidR="0087031A" w:rsidP="0087031A" w:rsidRDefault="0087031A" w14:paraId="489632DB" w14:textId="77777777">
      <w:pPr>
        <w:spacing w:after="120" w:line="276" w:lineRule="auto"/>
        <w:ind w:firstLine="708"/>
        <w:jc w:val="both"/>
        <w:rPr>
          <w:rFonts w:ascii="Verdana" w:hAnsi="Verdana" w:eastAsia="Calibri" w:cs="Arial"/>
          <w:lang w:val="es-ES"/>
        </w:rPr>
      </w:pPr>
    </w:p>
    <w:p w:rsidRPr="002379AA" w:rsidR="001532F7" w:rsidP="001532F7" w:rsidRDefault="001532F7" w14:paraId="7FC4A141" w14:textId="77777777">
      <w:pPr>
        <w:spacing w:after="0" w:line="276" w:lineRule="auto"/>
        <w:ind w:firstLine="708"/>
        <w:jc w:val="both"/>
        <w:rPr>
          <w:rFonts w:ascii="Verdana" w:hAnsi="Verdana" w:eastAsia="Calibri" w:cs="Arial"/>
          <w:lang w:val="es-ES"/>
        </w:rPr>
      </w:pPr>
      <w:r w:rsidRPr="002379AA">
        <w:rPr>
          <w:rFonts w:ascii="Verdana" w:hAnsi="Verdana" w:eastAsia="Calibri" w:cs="Arial"/>
          <w:lang w:val="es-ES"/>
        </w:rPr>
        <w:t>L</w:t>
      </w:r>
      <w:r w:rsidRPr="002379AA">
        <w:rPr>
          <w:rFonts w:ascii="Verdana" w:hAnsi="Verdana" w:eastAsia="Calibri" w:cs="Arial"/>
          <w:color w:val="000000" w:themeColor="text1"/>
        </w:rPr>
        <w:t>a contratación pública involucra, entre otras relaciones, la interacción entre la Administración y quienes buscan ofrecerle al Estado los bienes, obras o servicios que requiere para satisfacer sus necesidades y, en esa medida, cumplir con el fin principal que es satisfacer el interés general. Por tanto, esa relación entre el Estado y los proveedores se enmarca en las reglas establecidas en la normativa de la contratación pública, con el propósito de procurar un equilibrio y el cumplimiento de sus principios, entre otros objetivos.</w:t>
      </w:r>
    </w:p>
    <w:p w:rsidRPr="002379AA" w:rsidR="001532F7" w:rsidP="001532F7" w:rsidRDefault="001532F7" w14:paraId="356B33EC" w14:textId="77777777">
      <w:pPr>
        <w:spacing w:before="120" w:after="0" w:line="276" w:lineRule="auto"/>
        <w:ind w:firstLine="709"/>
        <w:jc w:val="both"/>
        <w:rPr>
          <w:rFonts w:ascii="Verdana" w:hAnsi="Verdana" w:eastAsia="Calibri" w:cs="Arial"/>
          <w:color w:val="000000" w:themeColor="text1"/>
        </w:rPr>
      </w:pPr>
      <w:r w:rsidRPr="002379AA">
        <w:rPr>
          <w:rFonts w:ascii="Verdana" w:hAnsi="Verdana" w:eastAsia="Calibri" w:cs="Arial"/>
          <w:color w:val="000000" w:themeColor="text1"/>
        </w:rPr>
        <w:t>Por consiguiente, la normativa contractual contiene disposiciones que le indican a la entidad las actividades y documentos que debe desarrollar en sus procedimientos contractuales y, con base en ello, los proveedores pueden conocer los aspectos del objeto de la contratación para presentar sus ofertas, teniendo en cuenta los parámetros que define la entidad en la etapa de planeación del procedimiento, de acuerdo con las normas relacionadas con la adquisición de que se trate, y que quedan definidos en el pliego de condiciones</w:t>
      </w:r>
      <w:r w:rsidRPr="002379AA">
        <w:rPr>
          <w:rFonts w:ascii="Verdana" w:hAnsi="Verdana" w:eastAsia="Calibri" w:cs="Arial"/>
          <w:color w:val="000000" w:themeColor="text1"/>
          <w:vertAlign w:val="superscript"/>
        </w:rPr>
        <w:footnoteReference w:id="2"/>
      </w:r>
      <w:r w:rsidRPr="002379AA">
        <w:rPr>
          <w:rFonts w:ascii="Verdana" w:hAnsi="Verdana" w:eastAsia="Calibri" w:cs="Arial"/>
          <w:color w:val="000000" w:themeColor="text1"/>
        </w:rPr>
        <w:t>. La Ley 80 de 1993, en el artículo 24, regula el principio de transparencia, sobre el cual se indican reglas para el contenido del pliego de condiciones:</w:t>
      </w:r>
    </w:p>
    <w:p w:rsidRPr="002379AA" w:rsidR="001532F7" w:rsidP="001532F7" w:rsidRDefault="001532F7" w14:paraId="6CB3C191" w14:textId="77777777">
      <w:pPr>
        <w:spacing w:after="0" w:line="276" w:lineRule="auto"/>
        <w:ind w:left="709" w:right="709"/>
        <w:jc w:val="both"/>
        <w:rPr>
          <w:rFonts w:ascii="Verdana" w:hAnsi="Verdana" w:cs="Arial"/>
          <w:color w:val="000000" w:themeColor="text1"/>
        </w:rPr>
      </w:pPr>
    </w:p>
    <w:p w:rsidRPr="002379AA" w:rsidR="001532F7" w:rsidP="001532F7" w:rsidRDefault="001532F7" w14:paraId="4715D9E7" w14:textId="77777777">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w:t>
      </w:r>
    </w:p>
    <w:p w:rsidRPr="002379AA" w:rsidR="001532F7" w:rsidP="001532F7" w:rsidRDefault="001532F7" w14:paraId="2C554112" w14:textId="77777777">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5o. En los pliegos de condiciones:</w:t>
      </w:r>
    </w:p>
    <w:p w:rsidRPr="002379AA" w:rsidR="001532F7" w:rsidP="001532F7" w:rsidRDefault="001532F7" w14:paraId="5DAE1452" w14:textId="77777777">
      <w:pPr>
        <w:spacing w:after="0" w:line="240" w:lineRule="auto"/>
        <w:ind w:left="709" w:right="709"/>
        <w:contextualSpacing/>
        <w:jc w:val="both"/>
        <w:rPr>
          <w:rFonts w:ascii="Verdana" w:hAnsi="Verdana" w:cs="Arial"/>
          <w:color w:val="000000" w:themeColor="text1"/>
          <w:sz w:val="20"/>
          <w:szCs w:val="20"/>
        </w:rPr>
      </w:pPr>
    </w:p>
    <w:p w:rsidRPr="002379AA" w:rsidR="001532F7" w:rsidP="001532F7" w:rsidRDefault="001532F7" w14:paraId="7A4E843F" w14:textId="77777777">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a) Se indicarán los requisitos objetivos necesarios para participar en el correspondiente proceso de selección.</w:t>
      </w:r>
    </w:p>
    <w:p w:rsidRPr="002379AA" w:rsidR="001532F7" w:rsidP="001532F7" w:rsidRDefault="001532F7" w14:paraId="31346BC2" w14:textId="77777777">
      <w:pPr>
        <w:spacing w:after="0" w:line="240" w:lineRule="auto"/>
        <w:ind w:left="709" w:right="709"/>
        <w:contextualSpacing/>
        <w:jc w:val="both"/>
        <w:rPr>
          <w:rFonts w:ascii="Verdana" w:hAnsi="Verdana" w:cs="Arial"/>
          <w:color w:val="000000" w:themeColor="text1"/>
          <w:sz w:val="20"/>
          <w:szCs w:val="20"/>
        </w:rPr>
      </w:pPr>
    </w:p>
    <w:p w:rsidRPr="002379AA" w:rsidR="001532F7" w:rsidP="001532F7" w:rsidRDefault="001532F7" w14:paraId="4316C984" w14:textId="77777777">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b) Se definirán reglas objetivas, justas, claras y completas que permitan la confección de ofrecimientos de la misma índole, aseguren una escogencia objetiva y eviten la declaratoria de desierta de la licitación.</w:t>
      </w:r>
    </w:p>
    <w:p w:rsidRPr="002379AA" w:rsidR="001532F7" w:rsidP="001532F7" w:rsidRDefault="001532F7" w14:paraId="5C3DB733" w14:textId="77777777">
      <w:pPr>
        <w:spacing w:after="0" w:line="240" w:lineRule="auto"/>
        <w:ind w:left="709" w:right="709"/>
        <w:contextualSpacing/>
        <w:jc w:val="both"/>
        <w:rPr>
          <w:rFonts w:ascii="Verdana" w:hAnsi="Verdana" w:cs="Arial"/>
          <w:color w:val="000000" w:themeColor="text1"/>
          <w:sz w:val="20"/>
          <w:szCs w:val="20"/>
        </w:rPr>
      </w:pPr>
    </w:p>
    <w:p w:rsidRPr="002379AA" w:rsidR="001532F7" w:rsidP="001532F7" w:rsidRDefault="001532F7" w14:paraId="46AA0F18" w14:textId="77777777">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w:t>
      </w:r>
    </w:p>
    <w:p w:rsidRPr="002379AA" w:rsidR="001532F7" w:rsidP="001532F7" w:rsidRDefault="001532F7" w14:paraId="0511F752" w14:textId="77777777">
      <w:pPr>
        <w:spacing w:after="0" w:line="240" w:lineRule="auto"/>
        <w:ind w:left="709" w:right="709"/>
        <w:contextualSpacing/>
        <w:jc w:val="both"/>
        <w:rPr>
          <w:rFonts w:ascii="Verdana" w:hAnsi="Verdana" w:cs="Arial"/>
          <w:color w:val="000000" w:themeColor="text1"/>
          <w:sz w:val="20"/>
          <w:szCs w:val="20"/>
        </w:rPr>
      </w:pPr>
    </w:p>
    <w:p w:rsidRPr="002379AA" w:rsidR="001532F7" w:rsidP="001532F7" w:rsidRDefault="001532F7" w14:paraId="1D49B1F9" w14:textId="77777777">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d) No se incluirán condiciones y exigencias de imposible cumplimiento, ni exenciones de la responsabilidad derivada de los datos, informes y documentos que se suministren.</w:t>
      </w:r>
    </w:p>
    <w:p w:rsidRPr="002379AA" w:rsidR="001532F7" w:rsidP="001532F7" w:rsidRDefault="001532F7" w14:paraId="2F3D653D" w14:textId="77777777">
      <w:pPr>
        <w:spacing w:after="0" w:line="240" w:lineRule="auto"/>
        <w:ind w:left="709" w:right="709"/>
        <w:contextualSpacing/>
        <w:jc w:val="both"/>
        <w:rPr>
          <w:rFonts w:ascii="Verdana" w:hAnsi="Verdana" w:cs="Arial"/>
          <w:color w:val="000000" w:themeColor="text1"/>
          <w:sz w:val="20"/>
          <w:szCs w:val="20"/>
        </w:rPr>
      </w:pPr>
    </w:p>
    <w:p w:rsidRPr="002379AA" w:rsidR="001532F7" w:rsidP="001532F7" w:rsidRDefault="001532F7" w14:paraId="6161AF72" w14:textId="77777777">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 xml:space="preserve">e) Se definirán reglas que no induzcan a error a los proponentes y contratistas y que impidan la formulación de ofrecimientos de extensión ilimitada o que dependan de la voluntad exclusiva de la entidad. [...]”. </w:t>
      </w:r>
    </w:p>
    <w:p w:rsidRPr="002379AA" w:rsidR="001532F7" w:rsidP="001532F7" w:rsidRDefault="001532F7" w14:paraId="7B94A3E4" w14:textId="77777777">
      <w:pPr>
        <w:spacing w:after="0" w:line="276" w:lineRule="auto"/>
        <w:ind w:left="709" w:right="709"/>
        <w:jc w:val="both"/>
        <w:rPr>
          <w:rFonts w:ascii="Verdana" w:hAnsi="Verdana" w:cs="Arial"/>
          <w:color w:val="000000" w:themeColor="text1"/>
        </w:rPr>
      </w:pPr>
    </w:p>
    <w:p w:rsidRPr="002379AA" w:rsidR="001532F7" w:rsidP="001532F7" w:rsidRDefault="001532F7" w14:paraId="10606F39" w14:textId="77777777">
      <w:pPr>
        <w:spacing w:after="120" w:line="276" w:lineRule="auto"/>
        <w:ind w:firstLine="709"/>
        <w:jc w:val="both"/>
        <w:rPr>
          <w:rFonts w:ascii="Verdana" w:hAnsi="Verdana" w:cs="Arial"/>
          <w:color w:val="000000" w:themeColor="text1"/>
        </w:rPr>
      </w:pPr>
      <w:r w:rsidRPr="002379AA">
        <w:rPr>
          <w:rFonts w:ascii="Verdana" w:hAnsi="Verdana" w:eastAsia="Calibri" w:cs="Arial"/>
          <w:color w:val="000000" w:themeColor="text1"/>
        </w:rPr>
        <w:t>Sumado a lo anterior, la Corte Constitucional ha señalado, frente a la selección objetiva, que la entidad no puede establecer reglas subjetivas, sino que deben ser razonables, de acuerdo con las normas que rigen la actividad contractual</w:t>
      </w:r>
      <w:r w:rsidRPr="002379AA">
        <w:rPr>
          <w:rFonts w:ascii="Verdana" w:hAnsi="Verdana" w:eastAsia="Calibri" w:cs="Arial"/>
          <w:color w:val="000000" w:themeColor="text1"/>
          <w:vertAlign w:val="superscript"/>
        </w:rPr>
        <w:footnoteReference w:id="3"/>
      </w:r>
      <w:r w:rsidRPr="002379AA">
        <w:rPr>
          <w:rFonts w:ascii="Verdana" w:hAnsi="Verdana" w:eastAsia="Calibri" w:cs="Arial"/>
          <w:color w:val="000000" w:themeColor="text1"/>
        </w:rPr>
        <w:t xml:space="preserve">. En otro pronunciamiento, el Consejo de Estado consideró </w:t>
      </w:r>
      <w:r w:rsidRPr="008373D8">
        <w:rPr>
          <w:rFonts w:ascii="Verdana" w:hAnsi="Verdana" w:eastAsia="Calibri" w:cs="Arial"/>
          <w:color w:val="000000" w:themeColor="text1"/>
          <w:u w:val="single"/>
        </w:rPr>
        <w:t>que la autonomía que tienen las entidades frente a la configuración de los pliegos de condiciones y los criterios de selección de los procedimientos de contratación no es absoluta</w:t>
      </w:r>
      <w:r w:rsidRPr="002379AA">
        <w:rPr>
          <w:rFonts w:ascii="Verdana" w:hAnsi="Verdana" w:eastAsia="Calibri" w:cs="Arial"/>
          <w:color w:val="000000" w:themeColor="text1"/>
        </w:rPr>
        <w:t xml:space="preserve">, pues debe tener relación con los fines de la contratación estatal </w:t>
      </w:r>
      <w:r w:rsidRPr="002379AA">
        <w:rPr>
          <w:rFonts w:ascii="Verdana" w:hAnsi="Verdana" w:cs="Arial"/>
          <w:color w:val="000000" w:themeColor="text1"/>
        </w:rPr>
        <w:t>y, por consiguiente, los criterios de selección susceptibles de calificación deben ser congruentes con ellos y comprender los elementos necesarios para llevar a cabo el contrato en las condiciones de modo, tiempo y lugar requeridas por ella. La objetividad que impone y reclama la Ley 80 en la contratación estatal, en varias de sus disposiciones, sólo se cumple a condición de que existan en los pliegos de condiciones o términos de referencia reglas necesarias, claras, objetivas y precisas de cara a la finalidad del contrato</w:t>
      </w:r>
      <w:r w:rsidRPr="002379AA">
        <w:rPr>
          <w:rFonts w:ascii="Verdana" w:hAnsi="Verdana" w:cs="Arial"/>
          <w:color w:val="000000" w:themeColor="text1"/>
          <w:vertAlign w:val="superscript"/>
        </w:rPr>
        <w:footnoteReference w:id="4"/>
      </w:r>
      <w:r w:rsidRPr="002379AA">
        <w:rPr>
          <w:rFonts w:ascii="Verdana" w:hAnsi="Verdana" w:cs="Arial"/>
          <w:color w:val="000000" w:themeColor="text1"/>
        </w:rPr>
        <w:t>.</w:t>
      </w:r>
    </w:p>
    <w:p w:rsidRPr="002379AA" w:rsidR="001532F7" w:rsidP="001532F7" w:rsidRDefault="001532F7" w14:paraId="5E9787E4" w14:textId="77777777">
      <w:pPr>
        <w:spacing w:after="120" w:line="276" w:lineRule="auto"/>
        <w:ind w:firstLine="709"/>
        <w:jc w:val="both"/>
        <w:rPr>
          <w:rFonts w:ascii="Verdana" w:hAnsi="Verdana" w:eastAsia="Calibri" w:cs="Arial"/>
          <w:color w:val="000000" w:themeColor="text1"/>
        </w:rPr>
      </w:pPr>
      <w:r w:rsidRPr="002379AA">
        <w:rPr>
          <w:rFonts w:ascii="Verdana" w:hAnsi="Verdana" w:eastAsia="Calibri" w:cs="Arial"/>
          <w:color w:val="000000" w:themeColor="text1"/>
        </w:rPr>
        <w:t xml:space="preserve">También, el Consejo de Estado ha determinado que </w:t>
      </w:r>
      <w:r w:rsidRPr="008373D8">
        <w:rPr>
          <w:rFonts w:ascii="Verdana" w:hAnsi="Verdana" w:eastAsia="Calibri" w:cs="Arial"/>
          <w:color w:val="000000" w:themeColor="text1"/>
          <w:u w:val="single"/>
        </w:rPr>
        <w:t>el pliego de condiciones es ley para las partes</w:t>
      </w:r>
      <w:r w:rsidRPr="002379AA">
        <w:rPr>
          <w:rFonts w:ascii="Verdana" w:hAnsi="Verdana" w:eastAsia="Calibri" w:cs="Arial"/>
          <w:color w:val="000000" w:themeColor="text1"/>
        </w:rPr>
        <w:t>, y en él se debe establecer la regulación del procedimiento de contratación, conforme a la ley, garantizando la selección objetiva del contratista</w:t>
      </w:r>
      <w:r w:rsidRPr="002379AA">
        <w:rPr>
          <w:rFonts w:ascii="Verdana" w:hAnsi="Verdana" w:eastAsia="Calibri" w:cs="Arial"/>
          <w:color w:val="000000" w:themeColor="text1"/>
          <w:vertAlign w:val="superscript"/>
        </w:rPr>
        <w:footnoteReference w:id="5"/>
      </w:r>
      <w:r w:rsidRPr="002379AA">
        <w:rPr>
          <w:rFonts w:ascii="Verdana" w:hAnsi="Verdana" w:eastAsia="Calibri" w:cs="Arial"/>
          <w:color w:val="000000" w:themeColor="text1"/>
        </w:rPr>
        <w:t>. El artículo 2.2.1.1.2.1.3. del Decreto 1082 de 2015 establece el contenido mínimo del pliego de condiciones, de acuerdo con lo que la entidad adquirirá para satisfacer sus necesidades de bienes, obras o servicios, el cual debe tener la información desagregada, principalmente en los siguientes ítems: i) identificación detallada del objeto contractual y con el clasificador de bienes y servicios, ii) modalidad y criterios de selección, iii) valoración económica del bien, obra o servicio, iv) reglas de la presentación y manejo de las ofertas, v) riesgos y garantías, entre otros aspectos del contrato</w:t>
      </w:r>
      <w:r w:rsidRPr="002379AA">
        <w:rPr>
          <w:rFonts w:ascii="Verdana" w:hAnsi="Verdana" w:eastAsia="Calibri" w:cs="Arial"/>
          <w:color w:val="000000" w:themeColor="text1"/>
          <w:vertAlign w:val="superscript"/>
        </w:rPr>
        <w:footnoteReference w:id="6"/>
      </w:r>
      <w:r w:rsidRPr="002379AA">
        <w:rPr>
          <w:rFonts w:ascii="Verdana" w:hAnsi="Verdana" w:eastAsia="Calibri" w:cs="Arial"/>
          <w:color w:val="000000" w:themeColor="text1"/>
        </w:rPr>
        <w:t>.</w:t>
      </w:r>
    </w:p>
    <w:p w:rsidRPr="002379AA" w:rsidR="001532F7" w:rsidP="001532F7" w:rsidRDefault="001532F7" w14:paraId="764519C8" w14:textId="77777777">
      <w:pPr>
        <w:spacing w:after="120" w:line="276" w:lineRule="auto"/>
        <w:ind w:firstLine="709"/>
        <w:jc w:val="both"/>
        <w:rPr>
          <w:rFonts w:ascii="Verdana" w:hAnsi="Verdana" w:cs="Arial"/>
        </w:rPr>
      </w:pPr>
      <w:r w:rsidRPr="002379AA">
        <w:rPr>
          <w:rFonts w:ascii="Verdana" w:hAnsi="Verdana" w:cs="Arial"/>
        </w:rPr>
        <w:t>Conforme a lo anterior, el pliego de condiciones debe establecer las etapas del proceso de selección, así como las reglas, requisitos y condiciones aplicables en cada una de ellas. Entre estos aspectos se encuentran las causales de rechazo y factores de ponderación de las ofertas, así como los documentos que debe contener y las causas que impidan una selección objetiva. En ese orden, gran parte de la importancia del pliego de condiciones está determinada por el hecho que es el documento en el que se establecen las normas que van a regular la etapa selección, a las que deberán sujetarse la administración y los oferentes a efectos de lograr una selección objetiva</w:t>
      </w:r>
      <w:r w:rsidRPr="002379AA">
        <w:rPr>
          <w:rFonts w:ascii="Verdana" w:hAnsi="Verdana" w:cs="Arial"/>
          <w:vertAlign w:val="superscript"/>
        </w:rPr>
        <w:footnoteReference w:id="7"/>
      </w:r>
      <w:r w:rsidRPr="002379AA">
        <w:rPr>
          <w:rFonts w:ascii="Verdana" w:hAnsi="Verdana" w:cs="Arial"/>
        </w:rPr>
        <w:t>.</w:t>
      </w:r>
    </w:p>
    <w:p w:rsidRPr="002379AA" w:rsidR="001532F7" w:rsidP="001532F7" w:rsidRDefault="001532F7" w14:paraId="53FAF355" w14:textId="77777777">
      <w:pPr>
        <w:spacing w:after="120" w:line="276" w:lineRule="auto"/>
        <w:jc w:val="both"/>
        <w:rPr>
          <w:rFonts w:ascii="Verdana" w:hAnsi="Verdana" w:eastAsia="Calibri" w:cs="Arial"/>
          <w:lang w:val="es-ES"/>
        </w:rPr>
      </w:pPr>
      <w:r w:rsidRPr="002379AA">
        <w:rPr>
          <w:rFonts w:ascii="Verdana" w:hAnsi="Verdana" w:eastAsia="Calibri" w:cs="Arial"/>
          <w:b/>
          <w:bCs/>
          <w:lang w:val="es-ES"/>
        </w:rPr>
        <w:tab/>
      </w:r>
      <w:r w:rsidRPr="002379AA">
        <w:rPr>
          <w:rFonts w:ascii="Verdana" w:hAnsi="Verdana" w:eastAsia="Calibri" w:cs="Arial"/>
          <w:lang w:val="es-ES"/>
        </w:rPr>
        <w:t>En ese orden de ideas, el Consejo de Estado</w:t>
      </w:r>
      <w:r w:rsidRPr="002379AA">
        <w:rPr>
          <w:rFonts w:ascii="Verdana" w:hAnsi="Verdana" w:eastAsia="Calibri" w:cs="Arial"/>
          <w:vertAlign w:val="superscript"/>
          <w:lang w:val="es-ES"/>
        </w:rPr>
        <w:footnoteReference w:id="8"/>
      </w:r>
      <w:r w:rsidRPr="002379AA">
        <w:rPr>
          <w:rFonts w:ascii="Verdana" w:hAnsi="Verdana" w:eastAsia="Calibri" w:cs="Arial"/>
          <w:lang w:val="es-ES"/>
        </w:rPr>
        <w:t xml:space="preserve"> ha reiterado que el pliego de condiciones ostenta una doble naturaleza jurídica, pues, por un lado, antes de la celebración del contrato y de la expedición del acto administrativo de adjudicación se considera como un acto administrativo de carácter general que rige el desarrollo del proceso de selección. Sin embargo, una vez se celebre el contrato, el pliego de condiciones pasa hacer parte del marco jurídico de la relación contractual determinando el contenido y el alcance del negocio jurídico</w:t>
      </w:r>
      <w:r>
        <w:rPr>
          <w:rFonts w:ascii="Verdana" w:hAnsi="Verdana" w:eastAsia="Calibri" w:cs="Arial"/>
          <w:lang w:val="es-ES"/>
        </w:rPr>
        <w:t>.</w:t>
      </w:r>
      <w:r w:rsidRPr="002379AA">
        <w:rPr>
          <w:rFonts w:ascii="Verdana" w:hAnsi="Verdana" w:eastAsia="Calibri" w:cs="Arial"/>
          <w:lang w:val="es-ES"/>
        </w:rPr>
        <w:t xml:space="preserve"> </w:t>
      </w:r>
    </w:p>
    <w:p w:rsidR="001532F7" w:rsidP="001532F7" w:rsidRDefault="001532F7" w14:paraId="5D55F073" w14:textId="040B4E57">
      <w:pPr>
        <w:spacing w:after="120" w:line="276" w:lineRule="auto"/>
        <w:ind w:firstLine="708"/>
        <w:jc w:val="both"/>
        <w:rPr>
          <w:rFonts w:ascii="Verdana" w:hAnsi="Verdana" w:eastAsia="Batang" w:cs="Arial"/>
          <w:i/>
          <w:iCs/>
          <w:lang w:val="es-MX"/>
        </w:rPr>
      </w:pPr>
      <w:r w:rsidRPr="002379AA">
        <w:rPr>
          <w:rFonts w:ascii="Verdana" w:hAnsi="Verdana" w:eastAsia="Batang" w:cs="Arial"/>
          <w:lang w:val="es-MX"/>
        </w:rPr>
        <w:t xml:space="preserve">Ahora bien, de acuerdo con la jurisprudencia de la Sección Tercera del Consejo de Estado, las reglas de los pliegos de condiciones deben prevalecer sobre los demás documentos del contrato e incluso sobre la minuta, la cual se limita a formalizar el acuerdo de voluntades. Por lo tanto, ha reiterado que las reglas contenidas en los pliegos de condiciones que adolecen de vacíos o contradicciones deben de interpretarse </w:t>
      </w:r>
      <w:r w:rsidRPr="002379AA">
        <w:rPr>
          <w:rFonts w:ascii="Verdana" w:hAnsi="Verdana" w:eastAsia="Batang" w:cs="Arial"/>
          <w:i/>
          <w:iCs/>
          <w:lang w:val="es-MX"/>
        </w:rPr>
        <w:t>“con sujeción a los principios generales del derecho, a los de la función administrativa, a la finalidad del pliego y a la protección del interés general, de conformidad con lo previsto en el artículo 23 de la Ley 80 de 1993”</w:t>
      </w:r>
      <w:r w:rsidRPr="002379AA">
        <w:rPr>
          <w:rFonts w:ascii="Verdana" w:hAnsi="Verdana" w:eastAsia="Batang" w:cs="Arial"/>
          <w:i/>
          <w:iCs/>
          <w:vertAlign w:val="superscript"/>
          <w:lang w:val="es-MX"/>
        </w:rPr>
        <w:footnoteReference w:id="9"/>
      </w:r>
      <w:r w:rsidRPr="002379AA">
        <w:rPr>
          <w:rFonts w:ascii="Verdana" w:hAnsi="Verdana" w:eastAsia="Batang" w:cs="Arial"/>
          <w:i/>
          <w:iCs/>
          <w:lang w:val="es-MX"/>
        </w:rPr>
        <w:t>.</w:t>
      </w:r>
    </w:p>
    <w:p w:rsidRPr="002379AA" w:rsidR="001532F7" w:rsidP="001532F7" w:rsidRDefault="001532F7" w14:paraId="45038C98" w14:textId="3435792A">
      <w:pPr>
        <w:spacing w:after="120" w:line="276" w:lineRule="auto"/>
        <w:ind w:firstLine="708"/>
        <w:jc w:val="both"/>
        <w:rPr>
          <w:rFonts w:ascii="Verdana" w:hAnsi="Verdana" w:eastAsia="Batang" w:cs="Arial"/>
          <w:lang w:val="es-MX"/>
        </w:rPr>
      </w:pPr>
      <w:r>
        <w:rPr>
          <w:rFonts w:ascii="Verdana" w:hAnsi="Verdana" w:eastAsia="Batang" w:cs="Arial"/>
          <w:lang w:val="es-MX"/>
        </w:rPr>
        <w:t>Conforme a lo expuesto</w:t>
      </w:r>
      <w:r w:rsidRPr="002379AA">
        <w:rPr>
          <w:rFonts w:ascii="Verdana" w:hAnsi="Verdana" w:eastAsia="Batang" w:cs="Arial"/>
          <w:lang w:val="es-MX"/>
        </w:rPr>
        <w:t xml:space="preserve">, es posible establecer, </w:t>
      </w:r>
      <w:r>
        <w:rPr>
          <w:rFonts w:ascii="Verdana" w:hAnsi="Verdana" w:eastAsia="Batang" w:cs="Arial"/>
          <w:lang w:val="es-MX"/>
        </w:rPr>
        <w:t>s</w:t>
      </w:r>
      <w:r w:rsidRPr="002D2F47">
        <w:rPr>
          <w:rFonts w:ascii="Verdana" w:hAnsi="Verdana" w:eastAsia="Batang" w:cs="Arial"/>
          <w:lang w:val="es-MX"/>
        </w:rPr>
        <w:t>olo lo que está explícitamente establecido en el pliego final y sus adendas oficiales es legalmente vinculante y debe cumplirse</w:t>
      </w:r>
      <w:r>
        <w:rPr>
          <w:rFonts w:ascii="Verdana" w:hAnsi="Verdana" w:eastAsia="Batang" w:cs="Arial"/>
          <w:lang w:val="es-MX"/>
        </w:rPr>
        <w:t xml:space="preserve"> </w:t>
      </w:r>
      <w:r w:rsidRPr="00416D78">
        <w:rPr>
          <w:rFonts w:ascii="Verdana" w:hAnsi="Verdana" w:eastAsia="Batang" w:cs="Arial"/>
          <w:lang w:val="es-MX"/>
        </w:rPr>
        <w:t xml:space="preserve">Cualquier </w:t>
      </w:r>
      <w:r>
        <w:rPr>
          <w:rFonts w:ascii="Verdana" w:hAnsi="Verdana" w:eastAsia="Batang" w:cs="Arial"/>
          <w:lang w:val="es-MX"/>
        </w:rPr>
        <w:t xml:space="preserve">por lo que cualquier </w:t>
      </w:r>
      <w:r w:rsidRPr="00416D78">
        <w:rPr>
          <w:rFonts w:ascii="Verdana" w:hAnsi="Verdana" w:eastAsia="Batang" w:cs="Arial"/>
          <w:lang w:val="es-MX"/>
        </w:rPr>
        <w:t>modificación o inclusión que no esté formalmente consignada en el pliego o sus adendas carece de validez jurídica y no puede ser aplicada en la evaluación de las ofertas, garantizando así la transparencia y objetividad del proceso</w:t>
      </w:r>
    </w:p>
    <w:p w:rsidRPr="001532F7" w:rsidR="001532F7" w:rsidP="00E20ADE" w:rsidRDefault="001532F7" w14:paraId="1CD5EED6" w14:textId="23351B2C">
      <w:pPr>
        <w:spacing w:after="120" w:line="276" w:lineRule="auto"/>
        <w:ind w:firstLine="708"/>
        <w:jc w:val="both"/>
        <w:rPr>
          <w:rStyle w:val="eop"/>
          <w:rFonts w:ascii="Verdana" w:hAnsi="Verdana" w:eastAsia="Calibri" w:cs="Arial"/>
          <w:lang w:val="es-ES"/>
        </w:rPr>
      </w:pPr>
      <w:r>
        <w:rPr>
          <w:rFonts w:ascii="Verdana" w:hAnsi="Verdana" w:eastAsia="Calibri" w:cs="Arial"/>
          <w:lang w:val="es-ES"/>
        </w:rPr>
        <w:t>Por otra parte</w:t>
      </w:r>
      <w:r w:rsidRPr="00246D72">
        <w:rPr>
          <w:rFonts w:ascii="Verdana" w:hAnsi="Verdana" w:eastAsia="Times New Roman" w:cs="Arial"/>
          <w:iCs/>
          <w:lang w:val="es-ES" w:eastAsia="es-ES"/>
        </w:rPr>
        <w:t>,</w:t>
      </w:r>
      <w:r>
        <w:rPr>
          <w:rFonts w:ascii="Verdana" w:hAnsi="Verdana" w:eastAsia="Times New Roman" w:cs="Arial"/>
          <w:i/>
          <w:lang w:val="es-ES" w:eastAsia="es-ES"/>
        </w:rPr>
        <w:t xml:space="preserve"> </w:t>
      </w:r>
      <w:r w:rsidR="00E20ADE">
        <w:rPr>
          <w:rFonts w:ascii="Verdana" w:hAnsi="Verdana" w:eastAsia="Times New Roman" w:cs="Arial"/>
          <w:iCs/>
          <w:lang w:val="es-ES" w:eastAsia="es-ES"/>
        </w:rPr>
        <w:t xml:space="preserve">es de precisar que </w:t>
      </w:r>
      <w:r>
        <w:rPr>
          <w:rFonts w:ascii="Verdana" w:hAnsi="Verdana" w:eastAsia="Times New Roman" w:cs="Arial"/>
          <w:i/>
          <w:lang w:val="es-ES" w:eastAsia="es-ES"/>
        </w:rPr>
        <w:t>e</w:t>
      </w:r>
      <w:r w:rsidRPr="009F4606">
        <w:rPr>
          <w:rStyle w:val="normaltextrun"/>
          <w:rFonts w:ascii="Verdana" w:hAnsi="Verdana" w:cs="Arial"/>
          <w:color w:val="000000"/>
          <w:lang w:val="es-ES"/>
        </w:rPr>
        <w:t xml:space="preserve">l parágrafo 3 del artículo 5 de la Ley 1882 de 2018 determinó, de manera expresa, que </w:t>
      </w:r>
      <w:r>
        <w:rPr>
          <w:rStyle w:val="normaltextrun"/>
          <w:rFonts w:ascii="Verdana" w:hAnsi="Verdana" w:cs="Arial"/>
          <w:color w:val="000000"/>
          <w:lang w:val="es-ES"/>
        </w:rPr>
        <w:t>“</w:t>
      </w:r>
      <w:r w:rsidRPr="009F4606">
        <w:rPr>
          <w:rStyle w:val="normaltextrun"/>
          <w:rFonts w:ascii="Verdana" w:hAnsi="Verdana" w:cs="Arial"/>
          <w:color w:val="000000"/>
          <w:lang w:val="es-ES"/>
        </w:rPr>
        <w:t>la no entrega de la garantía de seriedad junto con la propuesta no será subsanable y será causal de rechazo de la misma</w:t>
      </w:r>
      <w:r>
        <w:rPr>
          <w:rStyle w:val="normaltextrun"/>
          <w:rFonts w:ascii="Verdana" w:hAnsi="Verdana" w:cs="Arial"/>
          <w:color w:val="000000"/>
          <w:lang w:val="es-ES"/>
        </w:rPr>
        <w:t>”</w:t>
      </w:r>
      <w:r w:rsidRPr="009F4606">
        <w:rPr>
          <w:rStyle w:val="normaltextrun"/>
          <w:rFonts w:ascii="Verdana" w:hAnsi="Verdana" w:cs="Arial"/>
          <w:color w:val="000000"/>
          <w:lang w:val="es-ES"/>
        </w:rPr>
        <w:t>, dejando claro que se trata de un documento de obligatoria presentación junto con la propuesta y que materializa los principios de seriedad e irrevocabilidad de la oferta.</w:t>
      </w:r>
      <w:r w:rsidRPr="009F4606">
        <w:rPr>
          <w:rStyle w:val="eop"/>
          <w:rFonts w:ascii="Verdana" w:hAnsi="Verdana" w:cs="Arial"/>
          <w:color w:val="000000"/>
        </w:rPr>
        <w:t> </w:t>
      </w:r>
    </w:p>
    <w:p w:rsidRPr="00B36F85" w:rsidR="001532F7" w:rsidP="00E20ADE" w:rsidRDefault="001532F7" w14:paraId="563851B2" w14:textId="77777777">
      <w:pPr>
        <w:widowControl w:val="0"/>
        <w:spacing w:after="120"/>
        <w:ind w:firstLine="607"/>
        <w:jc w:val="both"/>
        <w:rPr>
          <w:rFonts w:ascii="Verdana" w:hAnsi="Verdana" w:eastAsia="Arial" w:cs="Arial"/>
        </w:rPr>
      </w:pPr>
      <w:r>
        <w:rPr>
          <w:rFonts w:ascii="Verdana" w:hAnsi="Verdana" w:eastAsia="Calibri" w:cs="Arial"/>
        </w:rPr>
        <w:t xml:space="preserve">ii. </w:t>
      </w:r>
      <w:r w:rsidRPr="00B36F85">
        <w:rPr>
          <w:rFonts w:ascii="Verdana" w:hAnsi="Verdana" w:eastAsia="Arial" w:cs="Arial"/>
        </w:rPr>
        <w:t xml:space="preserve">El rechazo de las ofertas y los eventos en los que proceden han sido asuntos de los que se ha ocupado la legislación nacional en materia de contratación pública, por lo que </w:t>
      </w:r>
      <w:r>
        <w:rPr>
          <w:rFonts w:ascii="Verdana" w:hAnsi="Verdana" w:eastAsia="Arial" w:cs="Arial"/>
        </w:rPr>
        <w:t>“</w:t>
      </w:r>
      <w:r w:rsidRPr="00B36F85">
        <w:rPr>
          <w:rFonts w:ascii="Verdana" w:hAnsi="Verdana" w:eastAsia="Arial" w:cs="Arial"/>
        </w:rPr>
        <w:t>la competencia de las entidades estales para establecer eventos de exclusión de propuestas es de carácter residual y restringido</w:t>
      </w:r>
      <w:r>
        <w:rPr>
          <w:rFonts w:ascii="Verdana" w:hAnsi="Verdana" w:eastAsia="Arial" w:cs="Arial"/>
        </w:rPr>
        <w:t>”</w:t>
      </w:r>
      <w:r w:rsidRPr="00B36F85">
        <w:rPr>
          <w:rFonts w:ascii="Verdana" w:hAnsi="Verdana" w:eastAsia="Arial" w:cs="Arial"/>
          <w:vertAlign w:val="superscript"/>
        </w:rPr>
        <w:footnoteReference w:id="10"/>
      </w:r>
      <w:r w:rsidRPr="00B36F85">
        <w:rPr>
          <w:rFonts w:ascii="Verdana" w:hAnsi="Verdana" w:eastAsia="Arial" w:cs="Arial"/>
        </w:rPr>
        <w:t>. En ese sentido, si bien las entidades estatales, en ejercicio de la discrecionalidad que les corresponde en la configuración de los pliegos de condiciones, tienen competencia para determinar los requisitos que deben cumplir los proponentes para la presentación de ofertas</w:t>
      </w:r>
      <w:r w:rsidRPr="00B36F85">
        <w:rPr>
          <w:rFonts w:ascii="Verdana" w:hAnsi="Verdana" w:eastAsia="Arial" w:cs="Arial"/>
          <w:vertAlign w:val="superscript"/>
        </w:rPr>
        <w:footnoteReference w:id="11"/>
      </w:r>
      <w:r w:rsidRPr="00B36F85">
        <w:rPr>
          <w:rFonts w:ascii="Verdana" w:hAnsi="Verdana" w:eastAsia="Arial" w:cs="Arial"/>
        </w:rPr>
        <w:t xml:space="preserve"> y regular los eventos en los que procede su rechazo</w:t>
      </w:r>
      <w:r w:rsidRPr="00B36F85">
        <w:rPr>
          <w:rFonts w:ascii="Verdana" w:hAnsi="Verdana" w:eastAsia="Arial" w:cs="Arial"/>
          <w:vertAlign w:val="superscript"/>
        </w:rPr>
        <w:footnoteReference w:id="12"/>
      </w:r>
      <w:r w:rsidRPr="00B36F85">
        <w:rPr>
          <w:rFonts w:ascii="Verdana" w:hAnsi="Verdana" w:eastAsia="Arial" w:cs="Arial"/>
        </w:rPr>
        <w:t xml:space="preserve">, el ejercicio de tales facultades encuentra ciertos límites en la ley y el reglamento, así como en los principios de razonabilidad y proporcionalidad.  </w:t>
      </w:r>
    </w:p>
    <w:p w:rsidRPr="00B36F85" w:rsidR="001532F7" w:rsidP="001532F7" w:rsidRDefault="001532F7" w14:paraId="49A2FE38" w14:textId="77777777">
      <w:pPr>
        <w:widowControl w:val="0"/>
        <w:spacing w:after="120"/>
        <w:ind w:firstLine="607"/>
        <w:jc w:val="both"/>
        <w:rPr>
          <w:rFonts w:ascii="Verdana" w:hAnsi="Verdana" w:eastAsia="Arial" w:cs="Arial"/>
        </w:rPr>
      </w:pPr>
      <w:r w:rsidRPr="00B36F85">
        <w:rPr>
          <w:rFonts w:ascii="Verdana" w:hAnsi="Verdana" w:eastAsia="Arial" w:cs="Arial"/>
        </w:rPr>
        <w:t xml:space="preserve">En ese entendido, uno de los límites a la facultad para establecer causales de rechazo, se encuentra en la regla de subsanabilidad del parágrafo 1 del artículo 5 de la Ley 1150 de 2007, según la cual </w:t>
      </w:r>
      <w:r>
        <w:rPr>
          <w:rFonts w:ascii="Verdana" w:hAnsi="Verdana" w:eastAsia="Arial" w:cs="Arial"/>
        </w:rPr>
        <w:t>“</w:t>
      </w:r>
      <w:r w:rsidRPr="00B36F85">
        <w:rPr>
          <w:rFonts w:ascii="Verdana" w:hAnsi="Verdana" w:eastAsia="Arial" w:cs="Arial"/>
        </w:rPr>
        <w:t>La ausencia de requisitos o la falta de documentos referentes a la futura contratación o al proponente, no necesarios para la comparación de las propuestas no servirán de título suficiente para el rechazo de los ofrecimientos hechos</w:t>
      </w:r>
      <w:r>
        <w:rPr>
          <w:rFonts w:ascii="Verdana" w:hAnsi="Verdana" w:eastAsia="Arial" w:cs="Arial"/>
        </w:rPr>
        <w:t>”</w:t>
      </w:r>
      <w:r w:rsidRPr="00B36F85">
        <w:rPr>
          <w:rFonts w:ascii="Verdana" w:hAnsi="Verdana" w:eastAsia="Arial" w:cs="Arial"/>
        </w:rPr>
        <w:t xml:space="preserve">, por lo que las entidades no podrán establecer causales de rechazo referentes a meros requisitos formales o rechazar las ofertas por esa razón. </w:t>
      </w:r>
    </w:p>
    <w:p w:rsidR="001532F7" w:rsidP="001532F7" w:rsidRDefault="001532F7" w14:paraId="0CFF7B0C" w14:textId="77777777">
      <w:pPr>
        <w:widowControl w:val="0"/>
        <w:spacing w:after="0"/>
        <w:ind w:firstLine="708"/>
        <w:jc w:val="both"/>
        <w:rPr>
          <w:rFonts w:ascii="Verdana" w:hAnsi="Verdana" w:eastAsia="Arial" w:cs="Arial"/>
        </w:rPr>
      </w:pPr>
      <w:r w:rsidRPr="00B36F85">
        <w:rPr>
          <w:rFonts w:ascii="Verdana" w:hAnsi="Verdana" w:eastAsia="Arial" w:cs="Arial"/>
        </w:rPr>
        <w:t>De esta manera, la jurisprudencia del Consejo de Estado ha determinado que las causales de rechazo pueden o no estar establecidas en el pliego de condiciones, sin perjuicio de que sean aplicables al proceso contractual las establecidas directamente en la ley. Así se estableció en la sentencia del 27 de abril de 2011, en los siguientes términos:</w:t>
      </w:r>
    </w:p>
    <w:p w:rsidRPr="00B36F85" w:rsidR="001532F7" w:rsidP="001532F7" w:rsidRDefault="001532F7" w14:paraId="40202086" w14:textId="77777777">
      <w:pPr>
        <w:widowControl w:val="0"/>
        <w:spacing w:after="0"/>
        <w:ind w:firstLine="708"/>
        <w:jc w:val="both"/>
        <w:rPr>
          <w:rFonts w:ascii="Verdana" w:hAnsi="Verdana" w:eastAsia="Arial" w:cs="Arial"/>
        </w:rPr>
      </w:pPr>
    </w:p>
    <w:p w:rsidRPr="00B36F85" w:rsidR="001532F7" w:rsidP="001532F7" w:rsidRDefault="001532F7" w14:paraId="2B8C921E" w14:textId="77777777">
      <w:pPr>
        <w:widowControl w:val="0"/>
        <w:spacing w:line="240" w:lineRule="auto"/>
        <w:ind w:left="709" w:right="709"/>
        <w:jc w:val="both"/>
        <w:rPr>
          <w:rFonts w:ascii="Verdana" w:hAnsi="Verdana" w:eastAsia="Arial" w:cs="Arial"/>
          <w:sz w:val="21"/>
          <w:szCs w:val="21"/>
        </w:rPr>
      </w:pPr>
      <w:r>
        <w:rPr>
          <w:rFonts w:ascii="Verdana" w:hAnsi="Verdana" w:eastAsia="Arial" w:cs="Arial"/>
          <w:sz w:val="21"/>
          <w:szCs w:val="21"/>
        </w:rPr>
        <w:t>“</w:t>
      </w:r>
      <w:r w:rsidRPr="00B36F85">
        <w:rPr>
          <w:rFonts w:ascii="Verdana" w:hAnsi="Verdana" w:eastAsia="Arial" w:cs="Arial"/>
          <w:sz w:val="21"/>
          <w:szCs w:val="21"/>
        </w:rPr>
        <w:t>En efecto, la Administración puede rechazar o descalificar los ofrecimientos hechos por causales previstas en la ley; hipótesis bajo la cual, la entidad pública licitante se limita a dar por comprobado el hecho que justifica la exclusión y así lo declarará apoyada en normas legales o reglamentarias de carácter general.</w:t>
      </w:r>
    </w:p>
    <w:p w:rsidRPr="00B36F85" w:rsidR="001532F7" w:rsidP="001532F7" w:rsidRDefault="001532F7" w14:paraId="4ACE4FC8" w14:textId="77777777">
      <w:pPr>
        <w:widowControl w:val="0"/>
        <w:spacing w:line="240" w:lineRule="auto"/>
        <w:ind w:left="709" w:right="709"/>
        <w:jc w:val="both"/>
        <w:rPr>
          <w:rFonts w:ascii="Verdana" w:hAnsi="Verdana" w:eastAsia="Arial" w:cs="Arial"/>
          <w:sz w:val="21"/>
          <w:szCs w:val="21"/>
        </w:rPr>
      </w:pPr>
      <w:r w:rsidRPr="00B36F85">
        <w:rPr>
          <w:rFonts w:ascii="Verdana" w:hAnsi="Verdana" w:eastAsia="Arial" w:cs="Arial"/>
          <w:sz w:val="21"/>
          <w:szCs w:val="21"/>
        </w:rPr>
        <w:t>En esta línea de pensamiento, resulta claro que el rechazo o la descalificación de ofertas no puede depender de la libre discrecionalidad de la Administración, en la medida en que el oferente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o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rsidRPr="00B36F85" w:rsidR="001532F7" w:rsidP="001532F7" w:rsidRDefault="001532F7" w14:paraId="67D77F0D" w14:textId="77777777">
      <w:pPr>
        <w:widowControl w:val="0"/>
        <w:spacing w:line="240" w:lineRule="auto"/>
        <w:ind w:left="709" w:right="709"/>
        <w:jc w:val="both"/>
        <w:rPr>
          <w:rFonts w:ascii="Verdana" w:hAnsi="Verdana" w:eastAsia="Arial" w:cs="Arial"/>
          <w:sz w:val="21"/>
          <w:szCs w:val="21"/>
        </w:rPr>
      </w:pPr>
      <w:r w:rsidRPr="00B36F85">
        <w:rPr>
          <w:rFonts w:ascii="Verdana" w:hAnsi="Verdana" w:eastAsia="Arial" w:cs="Arial"/>
          <w:sz w:val="21"/>
          <w:szCs w:val="21"/>
        </w:rPr>
        <w:t>[…]</w:t>
      </w:r>
    </w:p>
    <w:p w:rsidR="001532F7" w:rsidP="001532F7" w:rsidRDefault="001532F7" w14:paraId="5131F5EE" w14:textId="77777777">
      <w:pPr>
        <w:widowControl w:val="0"/>
        <w:spacing w:after="0" w:line="240" w:lineRule="auto"/>
        <w:ind w:left="709" w:right="709"/>
        <w:jc w:val="both"/>
        <w:rPr>
          <w:rFonts w:ascii="Verdana" w:hAnsi="Verdana" w:eastAsia="Arial" w:cs="Arial"/>
          <w:sz w:val="21"/>
          <w:szCs w:val="21"/>
        </w:rPr>
      </w:pPr>
      <w:r w:rsidRPr="00B36F85">
        <w:rPr>
          <w:rFonts w:ascii="Verdana" w:hAnsi="Verdana" w:eastAsia="Arial" w:cs="Arial"/>
          <w:sz w:val="21"/>
          <w:szCs w:val="21"/>
        </w:rPr>
        <w:t xml:space="preserve">Quiere con esto destacar la Sala que las causales de rechazo de las propuestas pueden ser legales y por lo mismo generan el efecto del descarte o exclusión de la oferta </w:t>
      </w:r>
      <w:r w:rsidRPr="0090268D">
        <w:rPr>
          <w:rFonts w:ascii="Verdana" w:hAnsi="Verdana" w:eastAsia="Arial" w:cs="Arial"/>
          <w:i/>
          <w:iCs/>
          <w:sz w:val="21"/>
          <w:szCs w:val="21"/>
        </w:rPr>
        <w:t>ope legis</w:t>
      </w:r>
      <w:r w:rsidRPr="00B36F85">
        <w:rPr>
          <w:rFonts w:ascii="Verdana" w:hAnsi="Verdana" w:eastAsia="Arial" w:cs="Arial"/>
          <w:sz w:val="21"/>
          <w:szCs w:val="21"/>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r w:rsidRPr="00B36F85">
        <w:rPr>
          <w:rFonts w:ascii="Verdana" w:hAnsi="Verdana" w:eastAsia="Arial" w:cs="Arial"/>
          <w:sz w:val="21"/>
          <w:szCs w:val="21"/>
          <w:vertAlign w:val="superscript"/>
        </w:rPr>
        <w:footnoteReference w:id="13"/>
      </w:r>
      <w:r>
        <w:rPr>
          <w:rFonts w:ascii="Verdana" w:hAnsi="Verdana" w:eastAsia="Arial" w:cs="Arial"/>
          <w:sz w:val="21"/>
          <w:szCs w:val="21"/>
        </w:rPr>
        <w:t>”.</w:t>
      </w:r>
    </w:p>
    <w:p w:rsidRPr="00B36F85" w:rsidR="001532F7" w:rsidP="001532F7" w:rsidRDefault="001532F7" w14:paraId="04B48DFF" w14:textId="77777777">
      <w:pPr>
        <w:widowControl w:val="0"/>
        <w:spacing w:after="0" w:line="240" w:lineRule="auto"/>
        <w:ind w:left="709" w:right="709"/>
        <w:jc w:val="both"/>
        <w:rPr>
          <w:rFonts w:ascii="Verdana" w:hAnsi="Verdana" w:eastAsia="Arial" w:cs="Arial"/>
          <w:sz w:val="21"/>
          <w:szCs w:val="21"/>
        </w:rPr>
      </w:pPr>
    </w:p>
    <w:p w:rsidRPr="00B36F85" w:rsidR="001532F7" w:rsidP="001532F7" w:rsidRDefault="001532F7" w14:paraId="1DB81DA5" w14:textId="77777777">
      <w:pPr>
        <w:widowControl w:val="0"/>
        <w:spacing w:after="120"/>
        <w:ind w:firstLine="708"/>
        <w:jc w:val="both"/>
        <w:rPr>
          <w:rFonts w:ascii="Verdana" w:hAnsi="Verdana" w:eastAsia="Arial" w:cs="Arial"/>
        </w:rPr>
      </w:pPr>
      <w:r w:rsidRPr="00B36F85">
        <w:rPr>
          <w:rFonts w:ascii="Verdana" w:hAnsi="Verdana" w:eastAsia="Arial" w:cs="Arial"/>
        </w:rPr>
        <w:t xml:space="preserve">De acuerdo con la jurisprudencia citada, existen dos casos en los que procede el rechazo de la oferta: </w:t>
      </w:r>
      <w:r>
        <w:rPr>
          <w:rFonts w:ascii="Verdana" w:hAnsi="Verdana" w:eastAsia="Arial" w:cs="Arial"/>
        </w:rPr>
        <w:t xml:space="preserve">i) </w:t>
      </w:r>
      <w:r w:rsidRPr="00B36F85">
        <w:rPr>
          <w:rFonts w:ascii="Verdana" w:hAnsi="Verdana" w:eastAsia="Arial" w:cs="Arial"/>
        </w:rPr>
        <w:t>que se configure alguna de las causales de rechazo originadas en la ley o</w:t>
      </w:r>
      <w:r>
        <w:rPr>
          <w:rFonts w:ascii="Verdana" w:hAnsi="Verdana" w:eastAsia="Arial" w:cs="Arial"/>
        </w:rPr>
        <w:t xml:space="preserve"> el reglamento y</w:t>
      </w:r>
      <w:r w:rsidRPr="00B36F85">
        <w:rPr>
          <w:rFonts w:ascii="Verdana" w:hAnsi="Verdana" w:eastAsia="Arial" w:cs="Arial"/>
        </w:rPr>
        <w:t xml:space="preserve"> </w:t>
      </w:r>
      <w:r>
        <w:rPr>
          <w:rFonts w:ascii="Verdana" w:hAnsi="Verdana" w:eastAsia="Arial" w:cs="Arial"/>
        </w:rPr>
        <w:t xml:space="preserve">ii) que se materialicen </w:t>
      </w:r>
      <w:r w:rsidRPr="00B36F85">
        <w:rPr>
          <w:rFonts w:ascii="Verdana" w:hAnsi="Verdana" w:eastAsia="Arial" w:cs="Arial"/>
        </w:rPr>
        <w:t>las establecidas en el pliego de condiciones. En tal sentido, las causales de rechazo de la oferta serán las consagradas en la ley o</w:t>
      </w:r>
      <w:r>
        <w:rPr>
          <w:rFonts w:ascii="Verdana" w:hAnsi="Verdana" w:eastAsia="Arial" w:cs="Arial"/>
        </w:rPr>
        <w:t xml:space="preserve"> el reglamento</w:t>
      </w:r>
      <w:r w:rsidRPr="00B36F85">
        <w:rPr>
          <w:rFonts w:ascii="Verdana" w:hAnsi="Verdana" w:eastAsia="Arial" w:cs="Arial"/>
        </w:rPr>
        <w:t xml:space="preserve"> producto de su aplicación, así como las definidas por las entidades en el respectivo pliego de condiciones. </w:t>
      </w:r>
    </w:p>
    <w:p w:rsidRPr="00B36F85" w:rsidR="001532F7" w:rsidP="001532F7" w:rsidRDefault="001532F7" w14:paraId="3B560AA6" w14:textId="77777777">
      <w:pPr>
        <w:spacing w:after="120"/>
        <w:jc w:val="both"/>
        <w:rPr>
          <w:rFonts w:ascii="Verdana" w:hAnsi="Verdana" w:eastAsia="Arial" w:cs="Arial"/>
        </w:rPr>
      </w:pPr>
      <w:r w:rsidRPr="00B36F85">
        <w:rPr>
          <w:rFonts w:ascii="Verdana" w:hAnsi="Verdana" w:eastAsia="Arial" w:cs="Arial"/>
        </w:rPr>
        <w:tab/>
      </w:r>
      <w:r w:rsidRPr="00B36F85">
        <w:rPr>
          <w:rFonts w:ascii="Verdana" w:hAnsi="Verdana" w:eastAsia="Arial" w:cs="Arial"/>
        </w:rPr>
        <w:t xml:space="preserve">En tales términos, la facultad de las entidades estatales para incluir en los pliegos de condiciones causales de rechazo de las ofertas, no es una facultad absoluta, en la medida que se encuentra limitada por lo dispuesto en ley, al igual que por los principios de razonabilidad y proporcionalidad, los cuales exigen que las causales de rechazo que sean establecidas por la entidad, además de no contrariar el ordenamiento jurídico, no versen sobre aspectos meramente formales sin relevancia para el transcurso del proceso de selección o el perfeccionamiento del contrato. </w:t>
      </w:r>
    </w:p>
    <w:p w:rsidR="00E460EC" w:rsidP="00E20ADE" w:rsidRDefault="001532F7" w14:paraId="7FA718F8" w14:textId="4BE71F95">
      <w:pPr>
        <w:spacing w:after="120" w:line="276" w:lineRule="auto"/>
        <w:ind w:firstLine="708"/>
        <w:jc w:val="both"/>
        <w:rPr>
          <w:rFonts w:ascii="Verdana" w:hAnsi="Verdana" w:eastAsia="Calibri" w:cs="Arial"/>
          <w:lang w:val="es-ES"/>
        </w:rPr>
      </w:pPr>
      <w:r w:rsidRPr="00B36F85">
        <w:rPr>
          <w:rFonts w:ascii="Verdana" w:hAnsi="Verdana" w:eastAsia="Arial" w:cs="Arial"/>
          <w:color w:val="000000"/>
        </w:rPr>
        <w:t>Ahora bien, aplicando lo dicho al objeto de la consulta</w:t>
      </w:r>
      <w:r w:rsidR="00E20ADE">
        <w:rPr>
          <w:rFonts w:ascii="Verdana" w:hAnsi="Verdana" w:eastAsia="Arial" w:cs="Arial"/>
          <w:color w:val="000000"/>
        </w:rPr>
        <w:t xml:space="preserve"> </w:t>
      </w:r>
      <w:r w:rsidRPr="00C36BD0" w:rsidR="00E20ADE">
        <w:rPr>
          <w:rFonts w:ascii="Verdana" w:hAnsi="Verdana" w:eastAsia="Batang" w:cs="Arial"/>
          <w:lang w:val="es-MX"/>
        </w:rPr>
        <w:t xml:space="preserve">la presentación de la garantía de seriedad </w:t>
      </w:r>
      <w:r w:rsidR="00E20ADE">
        <w:rPr>
          <w:rFonts w:ascii="Verdana" w:hAnsi="Verdana" w:eastAsia="Batang" w:cs="Arial"/>
          <w:lang w:val="es-MX"/>
        </w:rPr>
        <w:t xml:space="preserve">deberá corresponder </w:t>
      </w:r>
      <w:r w:rsidRPr="00C36BD0" w:rsidR="00E20ADE">
        <w:rPr>
          <w:rFonts w:ascii="Verdana" w:hAnsi="Verdana" w:eastAsia="Batang" w:cs="Arial"/>
          <w:lang w:val="es-MX"/>
        </w:rPr>
        <w:t xml:space="preserve"> al exigido en el pliego de condicione</w:t>
      </w:r>
      <w:r w:rsidR="00E20ADE">
        <w:rPr>
          <w:rFonts w:ascii="Verdana" w:hAnsi="Verdana" w:eastAsia="Batang" w:cs="Arial"/>
          <w:lang w:val="es-MX"/>
        </w:rPr>
        <w:t>s</w:t>
      </w:r>
      <w:r w:rsidRPr="00C36BD0" w:rsidR="00E20ADE">
        <w:rPr>
          <w:rFonts w:ascii="Verdana" w:hAnsi="Verdana" w:eastAsia="Batang" w:cs="Arial"/>
          <w:lang w:val="es-MX"/>
        </w:rPr>
        <w:t>. Esta exigencia legal tiene como propósito salvaguardar los principios de seriedad, transparencia y seguridad jurídica en los procesos de contratación, garantizando que solo se evalúen ofertas que cumplan plenamente con los requisitos esenciales previstos por la administración.</w:t>
      </w:r>
    </w:p>
    <w:p w:rsidRPr="00DB4737" w:rsidR="0087031A" w:rsidP="00CD7324" w:rsidRDefault="0087031A" w14:paraId="38172237" w14:textId="77777777">
      <w:pPr>
        <w:spacing w:after="120" w:line="276" w:lineRule="auto"/>
        <w:ind w:firstLine="709"/>
        <w:contextualSpacing/>
        <w:jc w:val="both"/>
        <w:rPr>
          <w:rFonts w:ascii="Verdana" w:hAnsi="Verdana" w:eastAsia="Calibri" w:cs="Times New Roman"/>
          <w:lang w:val="es-ES"/>
        </w:rPr>
      </w:pPr>
      <w:r>
        <w:rPr>
          <w:rFonts w:ascii="Verdana" w:hAnsi="Verdana" w:eastAsia="Calibri" w:cs="Arial"/>
          <w:bCs/>
          <w:color w:val="000000" w:themeColor="text1"/>
        </w:rPr>
        <w:t>Finalmente</w:t>
      </w:r>
      <w:r>
        <w:rPr>
          <w:rFonts w:ascii="Verdana" w:hAnsi="Verdana" w:eastAsia="Calibri" w:cs="Times New Roman"/>
          <w:lang w:val="es-ES"/>
        </w:rPr>
        <w:t>,</w:t>
      </w:r>
      <w:r w:rsidRPr="00DB4737">
        <w:rPr>
          <w:rFonts w:ascii="Verdana" w:hAnsi="Verdana" w:eastAsia="Calibri" w:cs="Times New Roman"/>
          <w:lang w:val="es-ES"/>
        </w:rPr>
        <w:t xml:space="preserve"> debe advertirse que el análisis en torno </w:t>
      </w:r>
      <w:r>
        <w:rPr>
          <w:rFonts w:ascii="Verdana" w:hAnsi="Verdana" w:eastAsia="Calibri" w:cs="Times New Roman"/>
          <w:lang w:val="es-ES"/>
        </w:rPr>
        <w:t>a un proceso de contratación especifico debe</w:t>
      </w:r>
      <w:r w:rsidRPr="0012388D">
        <w:rPr>
          <w:rFonts w:ascii="Verdana" w:hAnsi="Verdana" w:eastAsia="Calibri" w:cs="Times New Roman"/>
          <w:lang w:val="es-ES"/>
        </w:rPr>
        <w:t xml:space="preserve"> ser realizado por quienes tengan interés en ello.</w:t>
      </w:r>
      <w:r w:rsidRPr="00DB4737">
        <w:rPr>
          <w:rFonts w:ascii="Verdana" w:hAnsi="Verdana" w:eastAsia="Calibri"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rsidR="0087031A" w:rsidP="00CD7324" w:rsidRDefault="0087031A" w14:paraId="0E8C2216" w14:textId="77777777">
      <w:pPr>
        <w:widowControl w:val="0"/>
        <w:autoSpaceDE w:val="0"/>
        <w:autoSpaceDN w:val="0"/>
        <w:spacing w:after="120" w:line="276" w:lineRule="auto"/>
        <w:ind w:firstLine="709"/>
        <w:jc w:val="both"/>
        <w:rPr>
          <w:rFonts w:ascii="Verdana" w:hAnsi="Verdana" w:eastAsia="Calibri" w:cs="Arial"/>
        </w:rPr>
      </w:pPr>
      <w:r w:rsidRPr="00DB4737">
        <w:rPr>
          <w:rFonts w:ascii="Verdana" w:hAnsi="Verdana" w:eastAsia="Calibri"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sidRPr="00BE1034">
        <w:rPr>
          <w:rFonts w:ascii="Verdana" w:hAnsi="Verdana" w:eastAsia="Calibri" w:cs="Arial"/>
        </w:rPr>
        <w:t xml:space="preserve"> </w:t>
      </w:r>
    </w:p>
    <w:p w:rsidR="0087031A" w:rsidP="0087031A" w:rsidRDefault="0087031A" w14:paraId="31046229" w14:textId="77777777">
      <w:pPr>
        <w:spacing w:after="0" w:line="276" w:lineRule="auto"/>
        <w:jc w:val="both"/>
        <w:rPr>
          <w:rFonts w:ascii="Verdana" w:hAnsi="Verdana" w:eastAsia="Calibri" w:cs="Arial"/>
          <w:lang w:val="es-ES"/>
        </w:rPr>
      </w:pPr>
    </w:p>
    <w:p w:rsidRPr="0060676F" w:rsidR="0087031A" w:rsidP="0087031A" w:rsidRDefault="0087031A" w14:paraId="10369344" w14:textId="77777777">
      <w:pPr>
        <w:pStyle w:val="Prrafodelista"/>
        <w:numPr>
          <w:ilvl w:val="0"/>
          <w:numId w:val="16"/>
        </w:numPr>
        <w:spacing w:after="120" w:line="276" w:lineRule="auto"/>
        <w:ind w:left="284"/>
        <w:jc w:val="both"/>
        <w:rPr>
          <w:rFonts w:ascii="Verdana" w:hAnsi="Verdana" w:eastAsia="Century Gothic" w:cs="Century Gothic"/>
          <w:b/>
          <w:bCs/>
        </w:rPr>
      </w:pPr>
      <w:r w:rsidRPr="0060676F">
        <w:rPr>
          <w:rFonts w:ascii="Verdana" w:hAnsi="Verdana" w:eastAsia="Century Gothic" w:cs="Century Gothic"/>
          <w:b/>
          <w:bCs/>
        </w:rPr>
        <w:t>Referencias normativas, jurisprudenciales y otras fuentes:</w:t>
      </w:r>
    </w:p>
    <w:p w:rsidRPr="00593A5F" w:rsidR="0087031A" w:rsidP="0087031A" w:rsidRDefault="0087031A" w14:paraId="18BC5F6A" w14:textId="7777777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593A5F" w:rsidR="0087031A" w:rsidTr="00580B7F" w14:paraId="42DD39C5" w14:textId="77777777">
        <w:trPr>
          <w:trHeight w:val="870"/>
        </w:trPr>
        <w:tc>
          <w:tcPr>
            <w:tcW w:w="8647" w:type="dxa"/>
          </w:tcPr>
          <w:p w:rsidR="00E20ADE" w:rsidP="00682580" w:rsidRDefault="00E20ADE" w14:paraId="1F748877" w14:textId="77777777">
            <w:pPr>
              <w:pStyle w:val="Textoindependiente"/>
              <w:widowControl w:val="0"/>
              <w:numPr>
                <w:ilvl w:val="0"/>
                <w:numId w:val="18"/>
              </w:numPr>
              <w:tabs>
                <w:tab w:val="left" w:pos="816"/>
              </w:tabs>
              <w:autoSpaceDE w:val="0"/>
              <w:autoSpaceDN w:val="0"/>
              <w:spacing w:after="0" w:line="276" w:lineRule="auto"/>
              <w:ind w:right="108"/>
              <w:jc w:val="both"/>
              <w:rPr>
                <w:rFonts w:ascii="Verdana" w:hAnsi="Verdana" w:cs="Arial"/>
              </w:rPr>
            </w:pPr>
            <w:r w:rsidRPr="00E20ADE">
              <w:rPr>
                <w:rFonts w:ascii="Verdana" w:hAnsi="Verdana" w:cs="Arial"/>
              </w:rPr>
              <w:t xml:space="preserve">Ley 80 de 1993: Artículo 24. </w:t>
            </w:r>
          </w:p>
          <w:p w:rsidRPr="00682580" w:rsidR="00682580" w:rsidP="00682580" w:rsidRDefault="00682580" w14:paraId="08353451" w14:textId="77777777">
            <w:pPr>
              <w:pStyle w:val="Prrafodelista"/>
              <w:numPr>
                <w:ilvl w:val="0"/>
                <w:numId w:val="18"/>
              </w:numPr>
              <w:spacing w:line="259" w:lineRule="auto"/>
              <w:contextualSpacing w:val="0"/>
              <w:jc w:val="both"/>
              <w:rPr>
                <w:rFonts w:ascii="Verdana" w:hAnsi="Verdana" w:eastAsia="Calibri" w:cs="Arial"/>
                <w:color w:val="000000"/>
                <w:lang w:eastAsia="es-ES"/>
              </w:rPr>
            </w:pPr>
            <w:r w:rsidRPr="00086C7C">
              <w:rPr>
                <w:rFonts w:ascii="Verdana" w:hAnsi="Verdana" w:eastAsia="Calibri" w:cs="Arial"/>
                <w:color w:val="000000"/>
                <w:lang w:eastAsia="es-ES"/>
              </w:rPr>
              <w:t xml:space="preserve">Ley 1150 de 2007, </w:t>
            </w:r>
            <w:r>
              <w:rPr>
                <w:rFonts w:ascii="Verdana" w:hAnsi="Verdana" w:eastAsia="Calibri" w:cs="Arial"/>
                <w:color w:val="000000" w:themeColor="text1"/>
              </w:rPr>
              <w:t>artículo 5, parágrafo 1, 3 y 4</w:t>
            </w:r>
          </w:p>
          <w:p w:rsidRPr="00CA1687" w:rsidR="00682580" w:rsidP="00682580" w:rsidRDefault="00682580" w14:paraId="552084C2" w14:textId="77777777">
            <w:pPr>
              <w:pStyle w:val="Prrafodelista"/>
              <w:numPr>
                <w:ilvl w:val="0"/>
                <w:numId w:val="18"/>
              </w:numPr>
              <w:contextualSpacing w:val="0"/>
              <w:jc w:val="both"/>
              <w:rPr>
                <w:rFonts w:ascii="Verdana" w:hAnsi="Verdana" w:eastAsia="Calibri" w:cs="Arial"/>
                <w:shd w:val="clear" w:color="auto" w:fill="FFFFFF"/>
              </w:rPr>
            </w:pPr>
            <w:r w:rsidRPr="00CA1687">
              <w:rPr>
                <w:rFonts w:ascii="Verdana" w:hAnsi="Verdana" w:eastAsia="Calibri" w:cs="Arial"/>
                <w:color w:val="000000"/>
              </w:rPr>
              <w:t>Ley 1882 de 2018 artículo 5</w:t>
            </w:r>
          </w:p>
          <w:p w:rsidRPr="00E20ADE" w:rsidR="00E20ADE" w:rsidP="00682580" w:rsidRDefault="00E20ADE" w14:paraId="54A402B0" w14:textId="77777777">
            <w:pPr>
              <w:pStyle w:val="Textoindependiente"/>
              <w:widowControl w:val="0"/>
              <w:numPr>
                <w:ilvl w:val="0"/>
                <w:numId w:val="18"/>
              </w:numPr>
              <w:tabs>
                <w:tab w:val="left" w:pos="816"/>
              </w:tabs>
              <w:autoSpaceDE w:val="0"/>
              <w:autoSpaceDN w:val="0"/>
              <w:spacing w:after="0" w:line="276" w:lineRule="auto"/>
              <w:ind w:right="108"/>
              <w:jc w:val="both"/>
              <w:rPr>
                <w:rFonts w:ascii="Verdana" w:hAnsi="Verdana" w:cs="Arial"/>
              </w:rPr>
            </w:pPr>
            <w:r w:rsidRPr="00E20ADE">
              <w:rPr>
                <w:rFonts w:ascii="Verdana" w:hAnsi="Verdana" w:cs="Arial"/>
              </w:rPr>
              <w:t>Código Civil: Artículos 1618 a 1624.</w:t>
            </w:r>
          </w:p>
          <w:p w:rsidRPr="00682580" w:rsidR="00682580" w:rsidP="00682580" w:rsidRDefault="00E20ADE" w14:paraId="2CC4E3F1" w14:textId="1F2D0A78">
            <w:pPr>
              <w:pStyle w:val="Prrafodelista"/>
              <w:numPr>
                <w:ilvl w:val="0"/>
                <w:numId w:val="18"/>
              </w:numPr>
              <w:rPr>
                <w:rFonts w:ascii="Verdana" w:hAnsi="Verdana" w:cs="Arial"/>
                <w:lang w:val="es-CO"/>
              </w:rPr>
            </w:pPr>
            <w:r w:rsidRPr="00682580">
              <w:rPr>
                <w:rFonts w:ascii="Verdana" w:hAnsi="Verdana" w:cs="Arial"/>
              </w:rPr>
              <w:t>Decreto 1082 de 2015: Artículo 2.2.1.1.2.1.3</w:t>
            </w:r>
            <w:r w:rsidR="00682580">
              <w:t xml:space="preserve"> </w:t>
            </w:r>
            <w:r w:rsidRPr="00682580" w:rsidR="00682580">
              <w:rPr>
                <w:rFonts w:ascii="Verdana" w:hAnsi="Verdana" w:cs="Arial"/>
                <w:lang w:val="es-CO"/>
              </w:rPr>
              <w:t>artículo 2.2.1.1.2.1.3. numeral 6</w:t>
            </w:r>
          </w:p>
          <w:p w:rsidRPr="00E20ADE" w:rsidR="00E20ADE" w:rsidP="00682580" w:rsidRDefault="00E20ADE" w14:paraId="555071BF" w14:textId="77777777">
            <w:pPr>
              <w:pStyle w:val="Textoindependiente"/>
              <w:widowControl w:val="0"/>
              <w:numPr>
                <w:ilvl w:val="0"/>
                <w:numId w:val="18"/>
              </w:numPr>
              <w:tabs>
                <w:tab w:val="left" w:pos="816"/>
              </w:tabs>
              <w:autoSpaceDE w:val="0"/>
              <w:autoSpaceDN w:val="0"/>
              <w:spacing w:after="0" w:line="276" w:lineRule="auto"/>
              <w:ind w:right="108"/>
              <w:jc w:val="both"/>
              <w:rPr>
                <w:rFonts w:ascii="Verdana" w:hAnsi="Verdana" w:cs="Arial"/>
              </w:rPr>
            </w:pPr>
            <w:r w:rsidRPr="00E20ADE">
              <w:rPr>
                <w:rFonts w:ascii="Verdana" w:hAnsi="Verdana" w:cs="Arial"/>
              </w:rPr>
              <w:t>CORTE CONSTITUCIONAL. Sentencia C-128 de 2003. M.P. Álvaro Tafur Galvis</w:t>
            </w:r>
          </w:p>
          <w:p w:rsidRPr="00E20ADE" w:rsidR="00E20ADE" w:rsidP="00682580" w:rsidRDefault="00E20ADE" w14:paraId="0A2887CE" w14:textId="77777777">
            <w:pPr>
              <w:pStyle w:val="Textoindependiente"/>
              <w:widowControl w:val="0"/>
              <w:numPr>
                <w:ilvl w:val="0"/>
                <w:numId w:val="18"/>
              </w:numPr>
              <w:tabs>
                <w:tab w:val="left" w:pos="816"/>
              </w:tabs>
              <w:autoSpaceDE w:val="0"/>
              <w:autoSpaceDN w:val="0"/>
              <w:spacing w:after="0" w:line="276" w:lineRule="auto"/>
              <w:ind w:right="108"/>
              <w:jc w:val="both"/>
              <w:rPr>
                <w:rFonts w:ascii="Verdana" w:hAnsi="Verdana" w:cs="Arial"/>
              </w:rPr>
            </w:pPr>
            <w:r w:rsidRPr="00E20ADE">
              <w:rPr>
                <w:rFonts w:ascii="Verdana" w:hAnsi="Verdana" w:cs="Arial"/>
              </w:rPr>
              <w:t>CONSEJO DE ESTADO. Sección Tercera. Sentencia del 11 de noviembre de 2009. Exp. 17.366. C.P. Mauricio Fajardo Gómez.</w:t>
            </w:r>
          </w:p>
          <w:p w:rsidRPr="00E20ADE" w:rsidR="00E20ADE" w:rsidP="00682580" w:rsidRDefault="00E20ADE" w14:paraId="4FEE8E07" w14:textId="77777777">
            <w:pPr>
              <w:pStyle w:val="Textoindependiente"/>
              <w:widowControl w:val="0"/>
              <w:numPr>
                <w:ilvl w:val="0"/>
                <w:numId w:val="18"/>
              </w:numPr>
              <w:tabs>
                <w:tab w:val="left" w:pos="816"/>
              </w:tabs>
              <w:autoSpaceDE w:val="0"/>
              <w:autoSpaceDN w:val="0"/>
              <w:spacing w:after="0" w:line="276" w:lineRule="auto"/>
              <w:ind w:right="108"/>
              <w:jc w:val="both"/>
              <w:rPr>
                <w:rFonts w:ascii="Verdana" w:hAnsi="Verdana" w:cs="Arial"/>
              </w:rPr>
            </w:pPr>
            <w:r w:rsidRPr="00E20ADE">
              <w:rPr>
                <w:rFonts w:ascii="Verdana" w:hAnsi="Verdana" w:cs="Arial"/>
              </w:rPr>
              <w:t>CONSEJO DE ESTADO. Sección Tercera. Sentencia del 24 de julio de 2013. Exp. 25.642. C.P. Enrique Gil Botero</w:t>
            </w:r>
          </w:p>
          <w:p w:rsidRPr="00E20ADE" w:rsidR="00E20ADE" w:rsidP="00682580" w:rsidRDefault="00E20ADE" w14:paraId="0DCB721F" w14:textId="77777777">
            <w:pPr>
              <w:pStyle w:val="Textoindependiente"/>
              <w:widowControl w:val="0"/>
              <w:numPr>
                <w:ilvl w:val="0"/>
                <w:numId w:val="18"/>
              </w:numPr>
              <w:tabs>
                <w:tab w:val="left" w:pos="816"/>
              </w:tabs>
              <w:autoSpaceDE w:val="0"/>
              <w:autoSpaceDN w:val="0"/>
              <w:spacing w:after="0" w:line="276" w:lineRule="auto"/>
              <w:ind w:right="108"/>
              <w:jc w:val="both"/>
              <w:rPr>
                <w:rFonts w:ascii="Verdana" w:hAnsi="Verdana" w:cs="Arial"/>
              </w:rPr>
            </w:pPr>
            <w:r w:rsidRPr="00E20ADE">
              <w:rPr>
                <w:rFonts w:ascii="Verdana" w:hAnsi="Verdana" w:cs="Arial"/>
              </w:rPr>
              <w:t>CONSEJO DE ESTADO, Sala de lo Contencioso Administrativo, Sección Tercera, sentencias del 1 de junio de 2022, radicado 60248; 29 de julio de 2015, radicado 40660; y, del 26 de abril de 2006, radicado 16041.</w:t>
            </w:r>
          </w:p>
          <w:p w:rsidRPr="00E20ADE" w:rsidR="00E20ADE" w:rsidP="00682580" w:rsidRDefault="00E20ADE" w14:paraId="50E5BEFE" w14:textId="77777777">
            <w:pPr>
              <w:pStyle w:val="Textoindependiente"/>
              <w:widowControl w:val="0"/>
              <w:numPr>
                <w:ilvl w:val="0"/>
                <w:numId w:val="18"/>
              </w:numPr>
              <w:tabs>
                <w:tab w:val="left" w:pos="816"/>
              </w:tabs>
              <w:autoSpaceDE w:val="0"/>
              <w:autoSpaceDN w:val="0"/>
              <w:spacing w:after="0" w:line="276" w:lineRule="auto"/>
              <w:ind w:right="108"/>
              <w:jc w:val="both"/>
              <w:rPr>
                <w:rFonts w:ascii="Verdana" w:hAnsi="Verdana" w:cs="Arial"/>
              </w:rPr>
            </w:pPr>
            <w:r w:rsidRPr="00E20ADE">
              <w:rPr>
                <w:rFonts w:ascii="Verdana" w:hAnsi="Verdana" w:cs="Arial"/>
              </w:rPr>
              <w:t>CONSEJO DE ESTADO, Sala de lo Contencioso Administrativo, Sección Tercera, sentencias del 1 de junio de 2022, radicado 60248 y del 2 de julio de 2021, radicado 51910.</w:t>
            </w:r>
          </w:p>
          <w:p w:rsidRPr="00E20ADE" w:rsidR="00E20ADE" w:rsidP="00682580" w:rsidRDefault="00E20ADE" w14:paraId="18DCE4CD" w14:textId="77777777">
            <w:pPr>
              <w:pStyle w:val="Textoindependiente"/>
              <w:widowControl w:val="0"/>
              <w:numPr>
                <w:ilvl w:val="0"/>
                <w:numId w:val="18"/>
              </w:numPr>
              <w:tabs>
                <w:tab w:val="left" w:pos="816"/>
              </w:tabs>
              <w:autoSpaceDE w:val="0"/>
              <w:autoSpaceDN w:val="0"/>
              <w:spacing w:after="0" w:line="276" w:lineRule="auto"/>
              <w:ind w:right="108"/>
              <w:jc w:val="both"/>
              <w:rPr>
                <w:rFonts w:ascii="Verdana" w:hAnsi="Verdana" w:cs="Arial"/>
              </w:rPr>
            </w:pPr>
            <w:r w:rsidRPr="00E20ADE">
              <w:rPr>
                <w:rFonts w:ascii="Verdana" w:hAnsi="Verdana" w:cs="Arial"/>
              </w:rPr>
              <w:t xml:space="preserve">GONZÁLEZ LÓPEZ, Edgar. El pliego de condiciones en la contratación. La reforma consagrada en la Ley 1150 de 2007 y sus decretos reglamentarios. Universidad Externado de Colombia. Primera edición, 2010, pp. 64.  </w:t>
            </w:r>
          </w:p>
          <w:p w:rsidRPr="00332677" w:rsidR="0087031A" w:rsidP="00471CAF" w:rsidRDefault="0087031A" w14:paraId="1C1DEB6B" w14:textId="23AD0728">
            <w:pPr>
              <w:pStyle w:val="Prrafodelista"/>
              <w:widowControl w:val="0"/>
              <w:autoSpaceDE w:val="0"/>
              <w:autoSpaceDN w:val="0"/>
              <w:spacing w:after="120"/>
              <w:contextualSpacing w:val="0"/>
              <w:jc w:val="both"/>
              <w:rPr>
                <w:rFonts w:ascii="Verdana" w:hAnsi="Verdana" w:cs="Arial"/>
              </w:rPr>
            </w:pPr>
          </w:p>
        </w:tc>
      </w:tr>
    </w:tbl>
    <w:p w:rsidR="0087031A" w:rsidP="0087031A" w:rsidRDefault="0087031A" w14:paraId="3BFE0280" w14:textId="77777777">
      <w:pPr>
        <w:pStyle w:val="Prrafodelista"/>
        <w:tabs>
          <w:tab w:val="left" w:pos="142"/>
          <w:tab w:val="left" w:pos="284"/>
        </w:tabs>
        <w:spacing w:after="0" w:line="276" w:lineRule="auto"/>
        <w:ind w:left="0"/>
        <w:contextualSpacing w:val="0"/>
        <w:jc w:val="both"/>
        <w:rPr>
          <w:rFonts w:ascii="Verdana" w:hAnsi="Verdana" w:eastAsia="Century Gothic" w:cs="Century Gothic"/>
          <w:b/>
          <w:bCs/>
        </w:rPr>
      </w:pPr>
    </w:p>
    <w:p w:rsidR="0087031A" w:rsidP="0087031A" w:rsidRDefault="0087031A" w14:paraId="1AB2AA5D" w14:textId="77777777">
      <w:pPr>
        <w:pStyle w:val="Prrafodelista"/>
        <w:numPr>
          <w:ilvl w:val="0"/>
          <w:numId w:val="16"/>
        </w:numPr>
        <w:tabs>
          <w:tab w:val="left" w:pos="142"/>
          <w:tab w:val="left" w:pos="284"/>
        </w:tabs>
        <w:spacing w:after="0" w:line="276" w:lineRule="auto"/>
        <w:ind w:left="284"/>
        <w:contextualSpacing w:val="0"/>
        <w:jc w:val="both"/>
        <w:rPr>
          <w:rFonts w:ascii="Verdana" w:hAnsi="Verdana" w:eastAsia="Century Gothic" w:cs="Century Gothic"/>
          <w:b/>
          <w:bCs/>
        </w:rPr>
      </w:pPr>
      <w:r>
        <w:rPr>
          <w:rFonts w:ascii="Verdana" w:hAnsi="Verdana" w:eastAsia="Century Gothic" w:cs="Century Gothic"/>
          <w:b/>
          <w:bCs/>
        </w:rPr>
        <w:t>Doctrina de la Agencia Nacional de Contratación Pública</w:t>
      </w:r>
      <w:r w:rsidRPr="00593A5F">
        <w:rPr>
          <w:rFonts w:ascii="Verdana" w:hAnsi="Verdana" w:eastAsia="Century Gothic" w:cs="Century Gothic"/>
          <w:b/>
          <w:bCs/>
        </w:rPr>
        <w:t>:</w:t>
      </w:r>
    </w:p>
    <w:p w:rsidRPr="00593A5F" w:rsidR="0087031A" w:rsidP="0087031A" w:rsidRDefault="0087031A" w14:paraId="533E7EA9" w14:textId="77777777">
      <w:pPr>
        <w:pStyle w:val="Prrafodelista"/>
        <w:tabs>
          <w:tab w:val="left" w:pos="142"/>
          <w:tab w:val="left" w:pos="284"/>
        </w:tabs>
        <w:spacing w:after="0" w:line="276" w:lineRule="auto"/>
        <w:ind w:left="0"/>
        <w:contextualSpacing w:val="0"/>
        <w:jc w:val="both"/>
        <w:rPr>
          <w:rFonts w:ascii="Verdana" w:hAnsi="Verdana" w:eastAsia="Century Gothic" w:cs="Century Gothic"/>
          <w:b/>
          <w:bCs/>
        </w:rPr>
      </w:pPr>
    </w:p>
    <w:p w:rsidRPr="00AE7E03" w:rsidR="0087031A" w:rsidP="0087031A" w:rsidRDefault="00DA08E3" w14:paraId="1F8E012C" w14:textId="4B469816">
      <w:pPr>
        <w:widowControl w:val="0"/>
        <w:autoSpaceDE w:val="0"/>
        <w:autoSpaceDN w:val="0"/>
        <w:spacing w:after="0" w:line="276" w:lineRule="auto"/>
        <w:jc w:val="both"/>
        <w:rPr>
          <w:rFonts w:ascii="Verdana" w:hAnsi="Verdana" w:eastAsia="Arial" w:cs="Arial"/>
          <w:lang w:val="es-MX" w:eastAsia="es-ES_tradnl"/>
        </w:rPr>
      </w:pPr>
      <w:r w:rsidRPr="00833CE2">
        <w:rPr>
          <w:rFonts w:ascii="Verdana" w:hAnsi="Verdana" w:eastAsia="Aptos" w:cs="Arial"/>
          <w:shd w:val="clear" w:color="auto" w:fill="FFFFFF"/>
          <w:lang w:val="es-ES"/>
        </w:rPr>
        <w:t>Sobre las generalidades del pliego de condiciones, esta Subdirección se ha manifestado en los conceptos C-693 del 24 de octubre de 2023, C-534 del 10 de octubre de 2024, C-404 del 11 de septiembre de 2024, C-427 del 13 de septiembre de 2024, C-714 del 25 de noviembre de 2024,</w:t>
      </w:r>
      <w:r>
        <w:rPr>
          <w:rFonts w:ascii="Verdana" w:hAnsi="Verdana" w:eastAsia="Aptos" w:cs="Arial"/>
          <w:shd w:val="clear" w:color="auto" w:fill="FFFFFF"/>
          <w:lang w:val="es-ES"/>
        </w:rPr>
        <w:t xml:space="preserve"> C-969 del 20 de enero de 2025</w:t>
      </w:r>
      <w:r w:rsidRPr="00833CE2">
        <w:rPr>
          <w:rFonts w:ascii="Verdana" w:hAnsi="Verdana" w:eastAsia="Aptos" w:cs="Arial"/>
          <w:shd w:val="clear" w:color="auto" w:fill="FFFFFF"/>
          <w:lang w:val="es-ES"/>
        </w:rPr>
        <w:t xml:space="preserve"> entre otros</w:t>
      </w:r>
      <w:r w:rsidR="0087031A">
        <w:rPr>
          <w:rFonts w:ascii="Verdana" w:hAnsi="Verdana" w:eastAsia="Calibri" w:cs="Arial"/>
          <w:lang w:val="es-ES" w:eastAsia="es-ES_tradnl"/>
        </w:rPr>
        <w:t>;</w:t>
      </w:r>
      <w:r>
        <w:rPr>
          <w:rFonts w:ascii="Verdana" w:hAnsi="Verdana" w:eastAsia="Calibri" w:cs="Arial"/>
          <w:lang w:val="es-ES" w:eastAsia="es-ES_tradnl"/>
        </w:rPr>
        <w:t xml:space="preserve"> por su parte </w:t>
      </w:r>
      <w:r>
        <w:rPr>
          <w:rFonts w:ascii="Verdana" w:hAnsi="Verdana" w:eastAsia="Calibri" w:cs="Arial"/>
          <w:lang w:val="es-ES" w:eastAsia="es-ES"/>
        </w:rPr>
        <w:t>s</w:t>
      </w:r>
      <w:r w:rsidRPr="00D16A5E">
        <w:rPr>
          <w:rFonts w:ascii="Verdana" w:hAnsi="Verdana" w:eastAsia="Calibri" w:cs="Arial"/>
          <w:lang w:val="es-ES" w:eastAsia="es-ES"/>
        </w:rPr>
        <w:t xml:space="preserve">obre la </w:t>
      </w:r>
      <w:r w:rsidRPr="00D16A5E">
        <w:rPr>
          <w:rFonts w:ascii="Verdana" w:hAnsi="Verdana" w:eastAsia="Calibri" w:cs="Arial"/>
          <w:lang w:val="es-ES"/>
        </w:rPr>
        <w:t>regla de subsanabilidad en los procesos de selección,</w:t>
      </w:r>
      <w:r w:rsidRPr="00D16A5E">
        <w:rPr>
          <w:rStyle w:val="superscript"/>
          <w:rFonts w:ascii="Verdana" w:hAnsi="Verdana" w:cs="Arial"/>
          <w:shd w:val="clear" w:color="auto" w:fill="FFFFFF"/>
        </w:rPr>
        <w:t xml:space="preserve"> </w:t>
      </w:r>
      <w:r w:rsidRPr="00D16A5E">
        <w:rPr>
          <w:rStyle w:val="normaltextrun"/>
          <w:rFonts w:ascii="Verdana" w:hAnsi="Verdana" w:cs="Arial"/>
          <w:shd w:val="clear" w:color="auto" w:fill="FFFFFF"/>
          <w:lang w:val="es-ES"/>
        </w:rPr>
        <w:t xml:space="preserve">se pronunció esta Subdirección </w:t>
      </w:r>
      <w:r w:rsidRPr="00D16A5E">
        <w:rPr>
          <w:rFonts w:ascii="Verdana" w:hAnsi="Verdana" w:eastAsia="Calibri" w:cs="Arial"/>
          <w:lang w:val="es-ES"/>
        </w:rPr>
        <w:t xml:space="preserve">en los conceptos 4201913000007643 del 26 de diciembre de 2019, C-343 del 17 de junio de 2020, C-518 del 9 de septiembre de 2020, </w:t>
      </w:r>
      <w:r w:rsidRPr="00607549">
        <w:rPr>
          <w:rFonts w:ascii="Verdana" w:hAnsi="Verdana" w:eastAsia="Calibri" w:cs="Arial"/>
          <w:shd w:val="clear" w:color="auto" w:fill="FFFFFF"/>
        </w:rPr>
        <w:t>C-285 del 20 de mayo de 2022</w:t>
      </w:r>
      <w:r>
        <w:rPr>
          <w:rFonts w:ascii="Verdana" w:hAnsi="Verdana" w:eastAsia="Calibri" w:cs="Arial"/>
          <w:shd w:val="clear" w:color="auto" w:fill="FFFFFF"/>
        </w:rPr>
        <w:t xml:space="preserve">, </w:t>
      </w:r>
      <w:r w:rsidRPr="00D16A5E">
        <w:rPr>
          <w:rFonts w:ascii="Verdana" w:hAnsi="Verdana" w:eastAsia="Calibri" w:cs="Arial"/>
          <w:lang w:val="es-ES"/>
        </w:rPr>
        <w:t>C-614 del 5 de octubre de 2022, C-882 del 21 de diciembre de 2022</w:t>
      </w:r>
      <w:r>
        <w:rPr>
          <w:rFonts w:ascii="Verdana" w:hAnsi="Verdana" w:eastAsia="Calibri" w:cs="Arial"/>
          <w:lang w:val="es-ES"/>
        </w:rPr>
        <w:t>,</w:t>
      </w:r>
      <w:r w:rsidRPr="00D16A5E">
        <w:rPr>
          <w:rFonts w:ascii="Verdana" w:hAnsi="Verdana" w:eastAsia="Calibri" w:cs="Arial"/>
          <w:lang w:val="es-ES"/>
        </w:rPr>
        <w:t xml:space="preserve"> C-172 del 6 de junio de 2023</w:t>
      </w:r>
      <w:r>
        <w:rPr>
          <w:rFonts w:ascii="Verdana" w:hAnsi="Verdana" w:eastAsia="Calibri" w:cs="Arial"/>
          <w:lang w:val="es-ES"/>
        </w:rPr>
        <w:t xml:space="preserve">, </w:t>
      </w:r>
      <w:r w:rsidRPr="00607549">
        <w:rPr>
          <w:rFonts w:ascii="Verdana" w:hAnsi="Verdana" w:eastAsia="Calibri" w:cs="Arial"/>
          <w:shd w:val="clear" w:color="auto" w:fill="FFFFFF"/>
        </w:rPr>
        <w:t>C-447 del 19 de septiembre de 2024</w:t>
      </w:r>
      <w:r>
        <w:rPr>
          <w:rFonts w:ascii="Verdana" w:hAnsi="Verdana" w:eastAsia="Calibri" w:cs="Arial"/>
          <w:shd w:val="clear" w:color="auto" w:fill="FFFFFF"/>
        </w:rPr>
        <w:t xml:space="preserve"> y C-1009 del 30 de enero de 2025.</w:t>
      </w:r>
      <w:r w:rsidRPr="00185EE9" w:rsidR="0087031A">
        <w:rPr>
          <w:rFonts w:ascii="Verdana" w:hAnsi="Verdana" w:eastAsia="Calibri" w:cs="Times New Roman"/>
        </w:rPr>
        <w:t xml:space="preserve"> </w:t>
      </w:r>
      <w:r w:rsidR="004B10BA">
        <w:rPr>
          <w:rFonts w:ascii="Verdana" w:hAnsi="Verdana" w:eastAsia="Calibri" w:cs="Times New Roman"/>
        </w:rPr>
        <w:t>E</w:t>
      </w:r>
      <w:r w:rsidR="0087031A">
        <w:rPr>
          <w:rFonts w:ascii="Verdana" w:hAnsi="Verdana" w:eastAsia="Calibri" w:cs="Times New Roman"/>
        </w:rPr>
        <w:t xml:space="preserve">stos </w:t>
      </w:r>
      <w:r w:rsidRPr="00185EE9" w:rsidR="0087031A">
        <w:rPr>
          <w:rFonts w:ascii="Verdana" w:hAnsi="Verdana" w:eastAsia="Calibri"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rsidRPr="0065720B" w:rsidR="0087031A" w:rsidP="0087031A" w:rsidRDefault="0087031A" w14:paraId="25CFBE6B" w14:textId="77777777">
      <w:pPr>
        <w:widowControl w:val="0"/>
        <w:autoSpaceDE w:val="0"/>
        <w:autoSpaceDN w:val="0"/>
        <w:spacing w:after="0" w:line="276" w:lineRule="auto"/>
        <w:jc w:val="both"/>
        <w:rPr>
          <w:rStyle w:val="normaltextrun"/>
          <w:rFonts w:ascii="Verdana" w:hAnsi="Verdana" w:eastAsia="Calibri" w:cs="Arial"/>
          <w:lang w:val="es-ES_tradnl" w:eastAsia="en-GB"/>
        </w:rPr>
      </w:pPr>
      <w:hyperlink w:history="1" r:id="rId13">
        <w:r w:rsidRPr="00191357">
          <w:rPr>
            <w:rStyle w:val="Hipervnculo"/>
            <w:rFonts w:ascii="Verdana" w:hAnsi="Verdana" w:eastAsia="Calibri" w:cs="Times New Roman"/>
            <w:lang w:val="es-ES"/>
          </w:rPr>
          <w:t>https://relatoria.colombiacompra.gov.co/busqueda/conceptos</w:t>
        </w:r>
      </w:hyperlink>
      <w:r w:rsidRPr="00185EE9">
        <w:rPr>
          <w:rFonts w:ascii="Verdana" w:hAnsi="Verdana" w:eastAsia="Calibri" w:cs="Times New Roman"/>
        </w:rPr>
        <w:t>.</w:t>
      </w:r>
    </w:p>
    <w:p w:rsidRPr="00505CD6" w:rsidR="0087031A" w:rsidP="0087031A" w:rsidRDefault="0087031A" w14:paraId="0208491B" w14:textId="77777777">
      <w:pPr>
        <w:widowControl w:val="0"/>
        <w:autoSpaceDE w:val="0"/>
        <w:autoSpaceDN w:val="0"/>
        <w:spacing w:after="0" w:line="276" w:lineRule="auto"/>
        <w:jc w:val="both"/>
        <w:rPr>
          <w:rFonts w:ascii="Verdana" w:hAnsi="Verdana" w:cs="Arial"/>
          <w:color w:val="000000" w:themeColor="text1"/>
          <w:shd w:val="clear" w:color="auto" w:fill="FFFFFF"/>
        </w:rPr>
      </w:pPr>
    </w:p>
    <w:p w:rsidR="0087031A" w:rsidP="0087031A" w:rsidRDefault="0087031A" w14:paraId="12E9336E" w14:textId="77777777">
      <w:pPr>
        <w:widowControl w:val="0"/>
        <w:autoSpaceDE w:val="0"/>
        <w:autoSpaceDN w:val="0"/>
        <w:spacing w:after="0" w:line="276" w:lineRule="auto"/>
        <w:jc w:val="both"/>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w:tgtFrame="_blank" w:tooltip="Dirección URL original: https://www.colombiacompra.gov.co/manuales-guias-y-pliegos-tipo/manuales-y-guias/guia-de-contratacion-publica-sostenible-y-socialmente. Haga clic o pulse si confía en este vínculo." w:history="1" r:id="rId14">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t>.</w:t>
      </w:r>
    </w:p>
    <w:p w:rsidR="0087031A" w:rsidP="0087031A" w:rsidRDefault="0087031A" w14:paraId="1766B34B" w14:textId="77777777">
      <w:pPr>
        <w:widowControl w:val="0"/>
        <w:autoSpaceDE w:val="0"/>
        <w:autoSpaceDN w:val="0"/>
        <w:spacing w:after="0" w:line="276" w:lineRule="auto"/>
        <w:jc w:val="both"/>
      </w:pPr>
    </w:p>
    <w:p w:rsidRPr="00505CD6" w:rsidR="0087031A" w:rsidP="0087031A" w:rsidRDefault="0087031A" w14:paraId="59F914CB" w14:textId="7777777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rsidRPr="00505CD6" w:rsidR="0087031A" w:rsidP="0087031A" w:rsidRDefault="0087031A" w14:paraId="439F93B3" w14:textId="77777777">
      <w:pPr>
        <w:widowControl w:val="0"/>
        <w:autoSpaceDE w:val="0"/>
        <w:autoSpaceDN w:val="0"/>
        <w:spacing w:after="0" w:line="276" w:lineRule="auto"/>
        <w:jc w:val="both"/>
        <w:rPr>
          <w:rFonts w:ascii="Verdana" w:hAnsi="Verdana" w:cs="Arial"/>
        </w:rPr>
      </w:pPr>
    </w:p>
    <w:p w:rsidRPr="00505CD6" w:rsidR="0087031A" w:rsidP="0087031A" w:rsidRDefault="0087031A" w14:paraId="5BF21FB4" w14:textId="77777777">
      <w:pPr>
        <w:spacing w:after="0" w:line="276" w:lineRule="auto"/>
        <w:jc w:val="both"/>
        <w:rPr>
          <w:rFonts w:ascii="Verdana" w:hAnsi="Verdana" w:cs="Arial"/>
          <w:lang w:eastAsia="es-CO"/>
        </w:rPr>
      </w:pPr>
      <w:r w:rsidRPr="00505CD6">
        <w:rPr>
          <w:rFonts w:ascii="Verdana" w:hAnsi="Verdana" w:eastAsia="Times New Roman" w:cs="Arial"/>
          <w:lang w:eastAsia="es-CO"/>
        </w:rPr>
        <w:t>Atentamente,</w:t>
      </w:r>
      <w:r w:rsidRPr="00505CD6">
        <w:rPr>
          <w:rFonts w:ascii="Verdana" w:hAnsi="Verdana" w:cs="Arial"/>
          <w:lang w:eastAsia="es-CO"/>
        </w:rPr>
        <w:t xml:space="preserve"> </w:t>
      </w:r>
    </w:p>
    <w:p w:rsidR="0087031A" w:rsidP="0087031A" w:rsidRDefault="0087031A" w14:paraId="72B728E2" w14:textId="77777777">
      <w:pPr>
        <w:spacing w:line="276" w:lineRule="auto"/>
        <w:jc w:val="center"/>
        <w:rPr>
          <w:rFonts w:ascii="Verdana" w:hAnsi="Verdana"/>
          <w:noProof/>
        </w:rPr>
      </w:pPr>
    </w:p>
    <w:p w:rsidR="007B6FE0" w:rsidP="0087031A" w:rsidRDefault="007B6FE0" w14:paraId="192413C2" w14:textId="6F568463">
      <w:pPr>
        <w:spacing w:line="276" w:lineRule="auto"/>
        <w:jc w:val="center"/>
        <w:rPr>
          <w:rFonts w:ascii="Verdana" w:hAnsi="Verdana"/>
          <w:noProof/>
        </w:rPr>
      </w:pPr>
      <w:r>
        <w:rPr>
          <w:rFonts w:ascii="Verdana" w:hAnsi="Verdana"/>
          <w:noProof/>
          <w:color w:val="000000"/>
        </w:rPr>
        <w:drawing>
          <wp:inline distT="0" distB="0" distL="0" distR="0" wp14:anchorId="6521BC3B" wp14:editId="5A3EFD6C">
            <wp:extent cx="4248150" cy="1781175"/>
            <wp:effectExtent l="0" t="0" r="0" b="9525"/>
            <wp:docPr id="135453568"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48150" cy="1781175"/>
                    </a:xfrm>
                    <a:prstGeom prst="rect">
                      <a:avLst/>
                    </a:prstGeom>
                    <a:noFill/>
                  </pic:spPr>
                </pic:pic>
              </a:graphicData>
            </a:graphic>
          </wp:inline>
        </w:drawing>
      </w:r>
    </w:p>
    <w:tbl>
      <w:tblPr>
        <w:tblStyle w:val="Tablaconcuadrcula"/>
        <w:tblW w:w="6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628"/>
      </w:tblGrid>
      <w:tr w:rsidRPr="00593A5F" w:rsidR="0087031A" w:rsidTr="00580B7F" w14:paraId="7952AB6B" w14:textId="77777777">
        <w:trPr>
          <w:trHeight w:val="315"/>
        </w:trPr>
        <w:tc>
          <w:tcPr>
            <w:tcW w:w="893" w:type="dxa"/>
            <w:vAlign w:val="center"/>
            <w:hideMark/>
          </w:tcPr>
          <w:p w:rsidR="0087031A" w:rsidP="0087031A" w:rsidRDefault="0087031A" w14:paraId="77A866E6" w14:textId="61CC114F">
            <w:pPr>
              <w:spacing w:line="276" w:lineRule="auto"/>
              <w:jc w:val="center"/>
              <w:rPr>
                <w:rFonts w:ascii="Verdana" w:hAnsi="Verdana"/>
                <w:noProof/>
                <w:color w:val="000000"/>
              </w:rPr>
            </w:pPr>
          </w:p>
          <w:p w:rsidRPr="003751C7" w:rsidR="0087031A" w:rsidP="00580B7F" w:rsidRDefault="0087031A" w14:paraId="12808F0D" w14:textId="7777777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color="7F7F7F" w:themeColor="text1" w:themeTint="80" w:sz="4" w:space="0"/>
              <w:right w:val="nil"/>
            </w:tcBorders>
            <w:vAlign w:val="center"/>
            <w:hideMark/>
          </w:tcPr>
          <w:p w:rsidRPr="007911EE" w:rsidR="0087031A" w:rsidP="00580B7F" w:rsidRDefault="0087031A" w14:paraId="68FCA52F" w14:textId="12471F21">
            <w:pPr>
              <w:contextualSpacing/>
              <w:rPr>
                <w:rFonts w:ascii="Verdana" w:hAnsi="Verdana"/>
                <w:sz w:val="16"/>
                <w:szCs w:val="16"/>
              </w:rPr>
            </w:pPr>
            <w:r w:rsidRPr="007911EE">
              <w:rPr>
                <w:rFonts w:ascii="Verdana" w:hAnsi="Verdana"/>
                <w:sz w:val="16"/>
                <w:szCs w:val="16"/>
              </w:rPr>
              <w:t xml:space="preserve">Nicolas </w:t>
            </w:r>
            <w:r w:rsidRPr="007911EE" w:rsidR="007911EE">
              <w:rPr>
                <w:rFonts w:ascii="Verdana" w:hAnsi="Verdana"/>
                <w:sz w:val="16"/>
                <w:szCs w:val="16"/>
              </w:rPr>
              <w:t>Andrés</w:t>
            </w:r>
            <w:r w:rsidRPr="007911EE">
              <w:rPr>
                <w:rFonts w:ascii="Verdana" w:hAnsi="Verdana"/>
                <w:sz w:val="16"/>
                <w:szCs w:val="16"/>
              </w:rPr>
              <w:t xml:space="preserve"> </w:t>
            </w:r>
            <w:r w:rsidRPr="007911EE" w:rsidR="007911EE">
              <w:rPr>
                <w:rFonts w:ascii="Verdana" w:hAnsi="Verdana"/>
                <w:sz w:val="16"/>
                <w:szCs w:val="16"/>
              </w:rPr>
              <w:t>Guzmán</w:t>
            </w:r>
            <w:r w:rsidRPr="007911EE">
              <w:rPr>
                <w:rFonts w:ascii="Verdana" w:hAnsi="Verdana"/>
                <w:sz w:val="16"/>
                <w:szCs w:val="16"/>
              </w:rPr>
              <w:t xml:space="preserve"> </w:t>
            </w:r>
          </w:p>
          <w:p w:rsidRPr="007911EE" w:rsidR="0087031A" w:rsidP="00580B7F" w:rsidRDefault="0087031A" w14:paraId="3F59F682" w14:textId="77777777">
            <w:pPr>
              <w:contextualSpacing/>
              <w:rPr>
                <w:rFonts w:ascii="Verdana" w:hAnsi="Verdana" w:eastAsia="Arial" w:cs="Arial"/>
                <w:sz w:val="16"/>
                <w:szCs w:val="16"/>
              </w:rPr>
            </w:pPr>
            <w:r w:rsidRPr="007911EE">
              <w:rPr>
                <w:rFonts w:ascii="Verdana" w:hAnsi="Verdana"/>
                <w:sz w:val="16"/>
                <w:szCs w:val="16"/>
              </w:rPr>
              <w:t>Contratista de la Subdirección de Gestión Contractual</w:t>
            </w:r>
          </w:p>
        </w:tc>
      </w:tr>
      <w:tr w:rsidRPr="00593A5F" w:rsidR="0087031A" w:rsidTr="00580B7F" w14:paraId="517166CF" w14:textId="77777777">
        <w:trPr>
          <w:trHeight w:val="330"/>
        </w:trPr>
        <w:tc>
          <w:tcPr>
            <w:tcW w:w="893" w:type="dxa"/>
            <w:vAlign w:val="center"/>
            <w:hideMark/>
          </w:tcPr>
          <w:p w:rsidRPr="003751C7" w:rsidR="0087031A" w:rsidP="00580B7F" w:rsidRDefault="0087031A" w14:paraId="73873209" w14:textId="7777777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color="7F7F7F" w:themeColor="text1" w:themeTint="80" w:sz="4" w:space="0"/>
              <w:left w:val="nil"/>
              <w:bottom w:val="dotted" w:color="7F7F7F" w:themeColor="text1" w:themeTint="80" w:sz="4" w:space="0"/>
              <w:right w:val="nil"/>
            </w:tcBorders>
            <w:vAlign w:val="center"/>
            <w:hideMark/>
          </w:tcPr>
          <w:p w:rsidRPr="007911EE" w:rsidR="0087031A" w:rsidP="00580B7F" w:rsidRDefault="004B10BA" w14:paraId="24978160" w14:textId="150B0533">
            <w:pPr>
              <w:spacing w:line="276" w:lineRule="auto"/>
              <w:contextualSpacing/>
              <w:jc w:val="both"/>
              <w:rPr>
                <w:rFonts w:ascii="Verdana" w:hAnsi="Verdana"/>
                <w:sz w:val="16"/>
                <w:szCs w:val="16"/>
              </w:rPr>
            </w:pPr>
            <w:r>
              <w:rPr>
                <w:rFonts w:ascii="Verdana" w:hAnsi="Verdana"/>
                <w:sz w:val="16"/>
                <w:szCs w:val="16"/>
              </w:rPr>
              <w:t>Diana Lucia Saavedra</w:t>
            </w:r>
          </w:p>
          <w:p w:rsidRPr="007911EE" w:rsidR="0087031A" w:rsidP="00580B7F" w:rsidRDefault="007911EE" w14:paraId="634B0E53" w14:textId="3315AE29">
            <w:pPr>
              <w:pStyle w:val="paragraph"/>
              <w:spacing w:before="0" w:beforeAutospacing="0" w:after="0" w:afterAutospacing="0"/>
              <w:contextualSpacing/>
              <w:textAlignment w:val="baseline"/>
              <w:rPr>
                <w:rFonts w:ascii="Verdana" w:hAnsi="Verdana" w:cstheme="minorHAnsi"/>
                <w:sz w:val="16"/>
                <w:szCs w:val="16"/>
              </w:rPr>
            </w:pPr>
            <w:r w:rsidRPr="00CD7324">
              <w:rPr>
                <w:rStyle w:val="normaltextrun"/>
                <w:rFonts w:ascii="Verdana" w:hAnsi="Verdana" w:eastAsia="Arial"/>
                <w:sz w:val="16"/>
                <w:szCs w:val="16"/>
              </w:rPr>
              <w:t xml:space="preserve"> </w:t>
            </w:r>
            <w:r w:rsidR="004B10BA">
              <w:rPr>
                <w:rStyle w:val="normaltextrun"/>
                <w:rFonts w:ascii="Verdana" w:hAnsi="Verdana" w:eastAsia="Arial"/>
                <w:sz w:val="16"/>
                <w:szCs w:val="16"/>
              </w:rPr>
              <w:t xml:space="preserve">Contratita </w:t>
            </w:r>
            <w:r w:rsidRPr="00CD7324">
              <w:rPr>
                <w:rStyle w:val="normaltextrun"/>
                <w:rFonts w:ascii="Verdana" w:hAnsi="Verdana" w:eastAsia="Arial"/>
                <w:sz w:val="16"/>
                <w:szCs w:val="16"/>
              </w:rPr>
              <w:t>de la</w:t>
            </w:r>
            <w:r w:rsidRPr="007911EE" w:rsidR="0087031A">
              <w:rPr>
                <w:rStyle w:val="normaltextrun"/>
                <w:rFonts w:ascii="Verdana" w:hAnsi="Verdana" w:eastAsia="Arial" w:cs="Arial"/>
                <w:sz w:val="16"/>
                <w:szCs w:val="16"/>
              </w:rPr>
              <w:t xml:space="preserve"> Subdirección de Gestión Contractual</w:t>
            </w:r>
          </w:p>
        </w:tc>
      </w:tr>
      <w:tr w:rsidRPr="00593A5F" w:rsidR="0087031A" w:rsidTr="00580B7F" w14:paraId="656F6DA4" w14:textId="77777777">
        <w:trPr>
          <w:trHeight w:val="300"/>
        </w:trPr>
        <w:tc>
          <w:tcPr>
            <w:tcW w:w="893" w:type="dxa"/>
            <w:vAlign w:val="center"/>
          </w:tcPr>
          <w:p w:rsidRPr="003751C7" w:rsidR="0087031A" w:rsidP="00580B7F" w:rsidRDefault="0087031A" w14:paraId="0681F92E" w14:textId="7E242965">
            <w:pPr>
              <w:contextualSpacing/>
              <w:rPr>
                <w:rFonts w:ascii="Verdana" w:hAnsi="Verdana" w:cs="Arial"/>
                <w:sz w:val="16"/>
                <w:szCs w:val="16"/>
                <w:lang w:val="es-ES" w:eastAsia="es-ES"/>
              </w:rPr>
            </w:pPr>
          </w:p>
        </w:tc>
        <w:tc>
          <w:tcPr>
            <w:tcW w:w="5628" w:type="dxa"/>
            <w:tcBorders>
              <w:top w:val="dotted" w:color="7F7F7F" w:themeColor="text1" w:themeTint="80" w:sz="4" w:space="0"/>
              <w:left w:val="nil"/>
              <w:bottom w:val="dotted" w:color="7F7F7F" w:themeColor="text1" w:themeTint="80" w:sz="4" w:space="0"/>
              <w:right w:val="nil"/>
            </w:tcBorders>
            <w:vAlign w:val="center"/>
          </w:tcPr>
          <w:p w:rsidRPr="0004784B" w:rsidR="007B6FE0" w:rsidP="007B6FE0" w:rsidRDefault="007B6FE0" w14:paraId="57B3BD02" w14:textId="1E928EAB">
            <w:pPr>
              <w:contextualSpacing/>
              <w:rPr>
                <w:rFonts w:ascii="Verdana" w:hAnsi="Verdana" w:eastAsia="Calibri" w:cs="Arial"/>
                <w:sz w:val="16"/>
                <w:szCs w:val="16"/>
                <w:lang w:val="pt-BR" w:eastAsia="es-ES"/>
              </w:rPr>
            </w:pPr>
            <w:r>
              <w:rPr>
                <w:rFonts w:ascii="Verdana" w:hAnsi="Verdana" w:eastAsia="Calibri" w:cs="Arial"/>
                <w:sz w:val="16"/>
                <w:szCs w:val="16"/>
                <w:lang w:val="pt-BR" w:eastAsia="es-ES"/>
              </w:rPr>
              <w:t>Ana Maria Tolosa Rico</w:t>
            </w:r>
            <w:r w:rsidRPr="0004784B">
              <w:rPr>
                <w:rFonts w:ascii="Verdana" w:hAnsi="Verdana" w:eastAsia="Calibri" w:cs="Arial"/>
                <w:sz w:val="16"/>
                <w:szCs w:val="16"/>
                <w:lang w:val="pt-BR" w:eastAsia="es-ES"/>
              </w:rPr>
              <w:t>.</w:t>
            </w:r>
          </w:p>
          <w:p w:rsidRPr="007911EE" w:rsidR="0087031A" w:rsidP="007B6FE0" w:rsidRDefault="007B6FE0" w14:paraId="32DD0E04" w14:textId="2566C7C6">
            <w:pPr>
              <w:contextualSpacing/>
              <w:rPr>
                <w:rFonts w:ascii="Verdana" w:hAnsi="Verdana" w:eastAsia="Calibri" w:cs="Arial"/>
                <w:sz w:val="16"/>
                <w:szCs w:val="16"/>
                <w:lang w:val="pt-BR" w:eastAsia="es-ES"/>
              </w:rPr>
            </w:pPr>
            <w:r w:rsidRPr="0004784B">
              <w:rPr>
                <w:rFonts w:ascii="Verdana" w:hAnsi="Verdana" w:eastAsia="Calibri" w:cs="Arial"/>
                <w:sz w:val="16"/>
                <w:szCs w:val="16"/>
                <w:lang w:eastAsia="es-ES"/>
              </w:rPr>
              <w:t>Subdirectora</w:t>
            </w:r>
            <w:r w:rsidRPr="0004784B">
              <w:rPr>
                <w:rFonts w:ascii="Verdana" w:hAnsi="Verdana" w:eastAsia="Calibri" w:cs="Arial"/>
                <w:sz w:val="16"/>
                <w:szCs w:val="16"/>
                <w:lang w:val="pt-BR" w:eastAsia="es-ES"/>
              </w:rPr>
              <w:t xml:space="preserve"> de Gestión Contratual ANCP – CCE</w:t>
            </w:r>
          </w:p>
        </w:tc>
      </w:tr>
      <w:bookmarkEnd w:id="1"/>
      <w:bookmarkEnd w:id="2"/>
      <w:bookmarkEnd w:id="3"/>
    </w:tbl>
    <w:p w:rsidRPr="0044528D" w:rsidR="0087031A" w:rsidP="0087031A" w:rsidRDefault="0087031A" w14:paraId="7ECE23A3" w14:textId="77777777">
      <w:pPr>
        <w:spacing w:after="0"/>
        <w:rPr>
          <w:rFonts w:ascii="Verdana" w:hAnsi="Verdana"/>
        </w:rPr>
      </w:pPr>
    </w:p>
    <w:p w:rsidRPr="00EA6F8B" w:rsidR="0087031A" w:rsidP="0087031A" w:rsidRDefault="0087031A" w14:paraId="453A161B" w14:textId="77777777"/>
    <w:p w:rsidRPr="00DE435A" w:rsidR="00DE435A" w:rsidP="00DE435A" w:rsidRDefault="00DE435A" w14:paraId="56912649" w14:textId="77777777">
      <w:pPr>
        <w:rPr>
          <w:lang w:val="es-ES"/>
        </w:rPr>
      </w:pPr>
    </w:p>
    <w:sectPr w:rsidRPr="00DE435A" w:rsidR="00DE435A" w:rsidSect="007C0C0F">
      <w:headerReference w:type="default" r:id="rId16"/>
      <w:footerReference w:type="default" r:id="rId17"/>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77453" w:rsidP="004A1847" w:rsidRDefault="00E77453" w14:paraId="73C15793" w14:textId="77777777">
      <w:pPr>
        <w:spacing w:after="0" w:line="240" w:lineRule="auto"/>
      </w:pPr>
      <w:r>
        <w:separator/>
      </w:r>
    </w:p>
  </w:endnote>
  <w:endnote w:type="continuationSeparator" w:id="0">
    <w:p w:rsidR="00E77453" w:rsidP="004A1847" w:rsidRDefault="00E77453" w14:paraId="3129BA7D"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A1847" w:rsidRDefault="004A1847" w14:paraId="18911A32" w14:textId="6CE791A4">
    <w:pPr>
      <w:pStyle w:val="Piedepgina"/>
    </w:pPr>
  </w:p>
  <w:p w:rsidRPr="00174B77" w:rsidR="00D520D8" w:rsidP="00D520D8" w:rsidRDefault="00D520D8" w14:paraId="594D6D9F" w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D520D8" w:rsidP="00D520D8" w:rsidRDefault="00D520D8" w14:paraId="0A735DD5"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D520D8" w:rsidP="00D520D8" w:rsidRDefault="00D520D8" w14:paraId="06E36B88" w14:textId="77777777">
    <w:pPr>
      <w:spacing w:after="0"/>
      <w:jc w:val="both"/>
      <w:rPr>
        <w:rFonts w:ascii="Verdana" w:hAnsi="Verdana"/>
        <w:sz w:val="18"/>
        <w:szCs w:val="18"/>
      </w:rPr>
    </w:pPr>
    <w:r w:rsidRPr="00E41027">
      <w:rPr>
        <w:rFonts w:ascii="Verdana" w:hAnsi="Verdana"/>
        <w:sz w:val="18"/>
        <w:szCs w:val="18"/>
      </w:rPr>
      <w:t>Mesa de servicio: (+57) 601 7456788</w:t>
    </w:r>
  </w:p>
  <w:p w:rsidR="006219F8" w:rsidP="0025796E" w:rsidRDefault="00D520D8" w14:paraId="744661F5" w14:textId="593AA28F">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sidR="00FA47C0">
      <w:rPr>
        <w:rFonts w:ascii="Century Gothic" w:hAnsi="Century Gothic" w:eastAsia="Geo" w:cs="Geo"/>
        <w:b/>
        <w:color w:val="000000"/>
        <w:sz w:val="16"/>
        <w:szCs w:val="16"/>
        <w:lang w:eastAsia="es-CO"/>
      </w:rPr>
      <w:t xml:space="preserve">Código: </w:t>
    </w:r>
    <w:r w:rsidRPr="004A305D" w:rsidR="00FA47C0">
      <w:rPr>
        <w:rFonts w:ascii="Century Gothic" w:hAnsi="Century Gothic" w:eastAsia="Geo" w:cs="Geo"/>
        <w:bCs/>
        <w:color w:val="000000"/>
        <w:sz w:val="16"/>
        <w:szCs w:val="16"/>
        <w:lang w:eastAsia="es-CO"/>
      </w:rPr>
      <w:t>CCE-</w:t>
    </w:r>
    <w:r w:rsidR="00FA47C0">
      <w:rPr>
        <w:rFonts w:ascii="Century Gothic" w:hAnsi="Century Gothic" w:eastAsia="Geo" w:cs="Geo"/>
        <w:bCs/>
        <w:color w:val="000000"/>
        <w:sz w:val="16"/>
        <w:szCs w:val="16"/>
        <w:lang w:eastAsia="es-CO"/>
      </w:rPr>
      <w:t>REC</w:t>
    </w:r>
    <w:r w:rsidRPr="004A305D" w:rsidR="00FA47C0">
      <w:rPr>
        <w:rFonts w:ascii="Century Gothic" w:hAnsi="Century Gothic" w:eastAsia="Geo" w:cs="Geo"/>
        <w:bCs/>
        <w:color w:val="000000"/>
        <w:sz w:val="16"/>
        <w:szCs w:val="16"/>
        <w:lang w:eastAsia="es-CO"/>
      </w:rPr>
      <w:t>-FM-</w:t>
    </w:r>
    <w:r w:rsidR="00FA47C0">
      <w:rPr>
        <w:rFonts w:ascii="Century Gothic" w:hAnsi="Century Gothic" w:eastAsia="Geo" w:cs="Geo"/>
        <w:bCs/>
        <w:color w:val="000000"/>
        <w:sz w:val="16"/>
        <w:szCs w:val="16"/>
        <w:lang w:eastAsia="es-CO"/>
      </w:rPr>
      <w:t>17</w:t>
    </w:r>
    <w:r w:rsidR="0025796E">
      <w:rPr>
        <w:rFonts w:ascii="Century Gothic" w:hAnsi="Century Gothic" w:eastAsia="Geo" w:cs="Geo"/>
        <w:bCs/>
        <w:color w:val="000000"/>
        <w:sz w:val="16"/>
        <w:szCs w:val="16"/>
        <w:lang w:eastAsia="es-CO"/>
      </w:rPr>
      <w:t xml:space="preserve"> </w:t>
    </w:r>
    <w:r w:rsidRPr="004A305D" w:rsidR="00FA47C0">
      <w:rPr>
        <w:rFonts w:ascii="Century Gothic" w:hAnsi="Century Gothic" w:eastAsia="Geo" w:cs="Geo"/>
        <w:b/>
        <w:color w:val="000000"/>
        <w:sz w:val="16"/>
        <w:szCs w:val="16"/>
        <w:lang w:eastAsia="es-CO"/>
      </w:rPr>
      <w:t>Versión</w:t>
    </w:r>
    <w:r w:rsidRPr="004A305D" w:rsidR="00FA47C0">
      <w:rPr>
        <w:rFonts w:ascii="Century Gothic" w:hAnsi="Century Gothic" w:eastAsia="Arial Nova" w:cs="Arial Nova"/>
        <w:b/>
        <w:color w:val="000000"/>
        <w:sz w:val="16"/>
        <w:szCs w:val="16"/>
        <w:lang w:eastAsia="es-CO"/>
      </w:rPr>
      <w:t xml:space="preserve">: </w:t>
    </w:r>
    <w:r w:rsidRPr="004A305D" w:rsidR="00FA47C0">
      <w:rPr>
        <w:rFonts w:ascii="Century Gothic" w:hAnsi="Century Gothic" w:eastAsia="Geo" w:cs="Geo"/>
        <w:sz w:val="16"/>
        <w:szCs w:val="16"/>
        <w:lang w:eastAsia="es-CO"/>
      </w:rPr>
      <w:t>0</w:t>
    </w:r>
    <w:r w:rsidR="00FA47C0">
      <w:rPr>
        <w:rFonts w:ascii="Century Gothic" w:hAnsi="Century Gothic" w:eastAsia="Geo" w:cs="Geo"/>
        <w:sz w:val="16"/>
        <w:szCs w:val="16"/>
        <w:lang w:eastAsia="es-CO"/>
      </w:rPr>
      <w:t>2</w:t>
    </w:r>
    <w:r w:rsidRPr="004A305D" w:rsidR="00FA47C0">
      <w:rPr>
        <w:rFonts w:ascii="Century Gothic" w:hAnsi="Century Gothic" w:eastAsia="Geo" w:cs="Geo"/>
        <w:sz w:val="16"/>
        <w:szCs w:val="16"/>
        <w:lang w:eastAsia="es-CO"/>
      </w:rPr>
      <w:t xml:space="preserve"> </w:t>
    </w:r>
    <w:r w:rsidR="0025796E">
      <w:rPr>
        <w:rFonts w:ascii="Century Gothic" w:hAnsi="Century Gothic" w:eastAsia="Geo"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77453" w:rsidP="004A1847" w:rsidRDefault="00E77453" w14:paraId="64DE90D8" w14:textId="77777777">
      <w:pPr>
        <w:spacing w:after="0" w:line="240" w:lineRule="auto"/>
      </w:pPr>
      <w:r>
        <w:separator/>
      </w:r>
    </w:p>
  </w:footnote>
  <w:footnote w:type="continuationSeparator" w:id="0">
    <w:p w:rsidR="00E77453" w:rsidP="004A1847" w:rsidRDefault="00E77453" w14:paraId="28E716B2" w14:textId="77777777">
      <w:pPr>
        <w:spacing w:after="0" w:line="240" w:lineRule="auto"/>
      </w:pPr>
      <w:r>
        <w:continuationSeparator/>
      </w:r>
    </w:p>
  </w:footnote>
  <w:footnote w:id="1">
    <w:p w:rsidRPr="00E20ADE" w:rsidR="002D2F47" w:rsidRDefault="002D2F47" w14:paraId="4F228FA5" w14:textId="51FD461A">
      <w:pPr>
        <w:pStyle w:val="Textonotapie"/>
        <w:rPr>
          <w:rFonts w:ascii="Verdana" w:hAnsi="Verdana"/>
          <w:sz w:val="16"/>
          <w:szCs w:val="16"/>
          <w:lang w:val="es-ES"/>
        </w:rPr>
      </w:pPr>
      <w:r w:rsidRPr="00E20ADE">
        <w:rPr>
          <w:rStyle w:val="Refdenotaalpie"/>
          <w:rFonts w:ascii="Verdana" w:hAnsi="Verdana"/>
          <w:sz w:val="16"/>
          <w:szCs w:val="16"/>
        </w:rPr>
        <w:footnoteRef/>
      </w:r>
      <w:r w:rsidRPr="00E20ADE">
        <w:rPr>
          <w:rFonts w:ascii="Verdana" w:hAnsi="Verdana"/>
          <w:sz w:val="16"/>
          <w:szCs w:val="16"/>
        </w:rPr>
        <w:t xml:space="preserve"> </w:t>
      </w:r>
      <w:r w:rsidRPr="00E20ADE">
        <w:rPr>
          <w:rFonts w:ascii="Verdana" w:hAnsi="Verdana" w:cs="Arial"/>
          <w:sz w:val="16"/>
          <w:szCs w:val="16"/>
        </w:rPr>
        <w:t>CONSEJO DE ESTADO, Sala de lo Contencioso Administrativo, Sección Tercera, sentencias del 1 de junio de 2022, radicado 60248 y del 2 de julio de 2021, radicado 51910.</w:t>
      </w:r>
    </w:p>
  </w:footnote>
  <w:footnote w:id="2">
    <w:p w:rsidRPr="00E20ADE" w:rsidR="001532F7" w:rsidP="001532F7" w:rsidRDefault="001532F7" w14:paraId="44F64D2F" w14:textId="77777777">
      <w:pPr>
        <w:pStyle w:val="Textonotapie"/>
        <w:ind w:firstLine="708"/>
        <w:contextualSpacing/>
        <w:jc w:val="both"/>
        <w:rPr>
          <w:rFonts w:ascii="Verdana" w:hAnsi="Verdana" w:cs="Arial"/>
          <w:color w:val="000000" w:themeColor="text1"/>
          <w:sz w:val="16"/>
          <w:szCs w:val="16"/>
        </w:rPr>
      </w:pPr>
      <w:r w:rsidRPr="00E20ADE">
        <w:rPr>
          <w:rStyle w:val="Refdenotaalpie"/>
          <w:rFonts w:ascii="Verdana" w:hAnsi="Verdana" w:cs="Arial"/>
          <w:color w:val="000000" w:themeColor="text1"/>
          <w:sz w:val="16"/>
          <w:szCs w:val="16"/>
        </w:rPr>
        <w:footnoteRef/>
      </w:r>
      <w:r w:rsidRPr="00E20ADE">
        <w:rPr>
          <w:rFonts w:ascii="Verdana" w:hAnsi="Verdana" w:cs="Arial"/>
          <w:color w:val="000000" w:themeColor="text1"/>
          <w:sz w:val="16"/>
          <w:szCs w:val="16"/>
        </w:rPr>
        <w:t xml:space="preserve"> DECRETO 1082 DE 2015: “Artículo 2.2.1.1.1.3.1. Definiciones. 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w:t>
      </w:r>
    </w:p>
    <w:p w:rsidRPr="00E20ADE" w:rsidR="001532F7" w:rsidP="001532F7" w:rsidRDefault="001532F7" w14:paraId="37FBE302" w14:textId="7777777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w:t>
      </w:r>
    </w:p>
    <w:p w:rsidRPr="00E20ADE" w:rsidR="001532F7" w:rsidP="001532F7" w:rsidRDefault="001532F7" w14:paraId="5540A2E2" w14:textId="7777777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Documentos del Proceso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rsidRPr="00E20ADE" w:rsidR="001532F7" w:rsidP="001532F7" w:rsidRDefault="001532F7" w14:paraId="2BB5AC2B" w14:textId="77777777">
      <w:pPr>
        <w:pStyle w:val="Textonotapie"/>
        <w:ind w:firstLine="708"/>
        <w:contextualSpacing/>
        <w:jc w:val="both"/>
        <w:rPr>
          <w:rFonts w:ascii="Verdana" w:hAnsi="Verdana" w:cs="Arial"/>
          <w:color w:val="000000" w:themeColor="text1"/>
          <w:sz w:val="16"/>
          <w:szCs w:val="16"/>
          <w:lang w:val="es-ES"/>
        </w:rPr>
      </w:pPr>
      <w:r w:rsidRPr="00E20ADE">
        <w:rPr>
          <w:rFonts w:ascii="Verdana" w:hAnsi="Verdana" w:cs="Arial"/>
          <w:color w:val="000000" w:themeColor="text1"/>
          <w:sz w:val="16"/>
          <w:szCs w:val="16"/>
        </w:rPr>
        <w:t>[...]”.</w:t>
      </w:r>
    </w:p>
  </w:footnote>
  <w:footnote w:id="3">
    <w:p w:rsidRPr="00E20ADE" w:rsidR="001532F7" w:rsidP="001532F7" w:rsidRDefault="001532F7" w14:paraId="739AAEF5" w14:textId="77777777">
      <w:pPr>
        <w:pStyle w:val="Textonotapie"/>
        <w:ind w:firstLine="708"/>
        <w:contextualSpacing/>
        <w:jc w:val="both"/>
        <w:rPr>
          <w:rFonts w:ascii="Verdana" w:hAnsi="Verdana" w:cs="Arial"/>
          <w:color w:val="000000" w:themeColor="text1"/>
          <w:sz w:val="16"/>
          <w:szCs w:val="16"/>
          <w:lang w:val="es-ES"/>
        </w:rPr>
      </w:pPr>
      <w:r w:rsidRPr="00E20ADE">
        <w:rPr>
          <w:rStyle w:val="Refdenotaalpie"/>
          <w:rFonts w:ascii="Verdana" w:hAnsi="Verdana" w:cs="Arial"/>
          <w:color w:val="000000" w:themeColor="text1"/>
          <w:sz w:val="16"/>
          <w:szCs w:val="16"/>
        </w:rPr>
        <w:footnoteRef/>
      </w:r>
      <w:r w:rsidRPr="00E20ADE">
        <w:rPr>
          <w:rFonts w:ascii="Verdana" w:hAnsi="Verdana" w:cs="Arial"/>
          <w:color w:val="000000" w:themeColor="text1"/>
          <w:sz w:val="16"/>
          <w:szCs w:val="16"/>
        </w:rPr>
        <w:t xml:space="preserve"> CORTE CONSTITUCIONAL. Sentencia C-128 de 2003. M.P. Álvaro Tafur Galvis: “De dichos textos (artículos 24 y 29 derogado de la Ley 80 de 1993) se desprende claramente, en consecuencia, la voluntad del legislador de que el proceso de selección del contratista sea ajeno a cualquier consideración subjetiva o discriminatoria. Dicha voluntad, atendiendo los principios constitucionales y en particular los señalados en el artículo 209 superior, se extiende a todas las fases del contrato, desde su preparación hasta su liquidación, de manera que en todo su desarrollo se observen rigurosamente los parámetros establecidos por la ley y por los pliegos de condiciones en las diferentes etapas y actuaciones y se adopte una conducta leal, diáfana y veraz conforme al postulado de la buena fe y la mutua confianza entre quienes intervienen en la actividad contractual”.</w:t>
      </w:r>
    </w:p>
  </w:footnote>
  <w:footnote w:id="4">
    <w:p w:rsidRPr="00E20ADE" w:rsidR="001532F7" w:rsidP="001532F7" w:rsidRDefault="001532F7" w14:paraId="1036D5D5" w14:textId="77777777">
      <w:pPr>
        <w:pStyle w:val="Textonotapie"/>
        <w:ind w:firstLine="708"/>
        <w:contextualSpacing/>
        <w:jc w:val="both"/>
        <w:rPr>
          <w:rFonts w:ascii="Verdana" w:hAnsi="Verdana" w:cs="Arial"/>
          <w:color w:val="000000" w:themeColor="text1"/>
          <w:sz w:val="16"/>
          <w:szCs w:val="16"/>
          <w:lang w:val="es-ES"/>
        </w:rPr>
      </w:pPr>
      <w:r w:rsidRPr="00E20ADE">
        <w:rPr>
          <w:rStyle w:val="Refdenotaalpie"/>
          <w:rFonts w:ascii="Verdana" w:hAnsi="Verdana" w:cs="Arial"/>
          <w:color w:val="000000" w:themeColor="text1"/>
          <w:sz w:val="16"/>
          <w:szCs w:val="16"/>
        </w:rPr>
        <w:footnoteRef/>
      </w:r>
      <w:r w:rsidRPr="00E20ADE">
        <w:rPr>
          <w:rFonts w:ascii="Verdana" w:hAnsi="Verdana" w:cs="Arial"/>
          <w:color w:val="000000" w:themeColor="text1"/>
          <w:sz w:val="16"/>
          <w:szCs w:val="16"/>
        </w:rPr>
        <w:t xml:space="preserve"> CONSEJO DE ESTADO. Sección Tercera. Sentencia del 11 de noviembre de 2009. Exp. 17.366. C.P. Mauricio Fajardo Gomez.</w:t>
      </w:r>
    </w:p>
  </w:footnote>
  <w:footnote w:id="5">
    <w:p w:rsidRPr="00E20ADE" w:rsidR="001532F7" w:rsidP="001532F7" w:rsidRDefault="001532F7" w14:paraId="22B6045A" w14:textId="77777777">
      <w:pPr>
        <w:pStyle w:val="Textonotapie"/>
        <w:ind w:firstLine="708"/>
        <w:contextualSpacing/>
        <w:jc w:val="both"/>
        <w:rPr>
          <w:rFonts w:ascii="Verdana" w:hAnsi="Verdana" w:cs="Arial"/>
          <w:color w:val="000000" w:themeColor="text1"/>
          <w:sz w:val="16"/>
          <w:szCs w:val="16"/>
        </w:rPr>
      </w:pPr>
      <w:r w:rsidRPr="00E20ADE">
        <w:rPr>
          <w:rStyle w:val="Refdenotaalpie"/>
          <w:rFonts w:ascii="Verdana" w:hAnsi="Verdana" w:cs="Arial"/>
          <w:color w:val="000000" w:themeColor="text1"/>
          <w:sz w:val="16"/>
          <w:szCs w:val="16"/>
        </w:rPr>
        <w:footnoteRef/>
      </w:r>
      <w:r w:rsidRPr="00E20ADE">
        <w:rPr>
          <w:rFonts w:ascii="Verdana" w:hAnsi="Verdana" w:cs="Arial"/>
          <w:color w:val="000000" w:themeColor="text1"/>
          <w:sz w:val="16"/>
          <w:szCs w:val="16"/>
        </w:rPr>
        <w:t xml:space="preserve"> CONSEJO DE ESTADO. Sección Tercera. Sentencia del 24 de julio de 2013. Exp. 25.642. C.P. Enrique Gil Botero: “Concreta o materializa los principios de planeación contractual y de trasparencia, comoquiera que su adecuada formulación permite o garantiza la selección objetiva del contratista de acuerdo con los parámetros de calificación correspondientes para cada tipo de procedimiento (v.gr. licitación pública, selección abreviada, concurso de méritos, etc.), de acuerdo con el marco establecido en la ley (art. 29 de la ley 80 de 1993, derogado por el artículo 32 de la ley 1150 de 2007, y este último, modificado por el artículo 88 de la ley 1474 de 2011 (Estatuto Anticorrupción). En esa perspectiva, el pliego de condiciones constituye la ley tanto del procedimiento administrativo de selección del contratista, como del contrato a celebrar”.</w:t>
      </w:r>
    </w:p>
  </w:footnote>
  <w:footnote w:id="6">
    <w:p w:rsidRPr="00E20ADE" w:rsidR="001532F7" w:rsidP="001532F7" w:rsidRDefault="001532F7" w14:paraId="3BD1BE79" w14:textId="77777777">
      <w:pPr>
        <w:pStyle w:val="Textonotapie"/>
        <w:ind w:firstLine="708"/>
        <w:contextualSpacing/>
        <w:jc w:val="both"/>
        <w:rPr>
          <w:rFonts w:ascii="Verdana" w:hAnsi="Verdana" w:cs="Arial"/>
          <w:color w:val="000000" w:themeColor="text1"/>
          <w:sz w:val="16"/>
          <w:szCs w:val="16"/>
        </w:rPr>
      </w:pPr>
      <w:r w:rsidRPr="00E20ADE">
        <w:rPr>
          <w:rStyle w:val="Refdenotaalpie"/>
          <w:rFonts w:ascii="Verdana" w:hAnsi="Verdana" w:cs="Arial"/>
          <w:color w:val="000000" w:themeColor="text1"/>
          <w:sz w:val="16"/>
          <w:szCs w:val="16"/>
        </w:rPr>
        <w:footnoteRef/>
      </w:r>
      <w:r w:rsidRPr="00E20ADE">
        <w:rPr>
          <w:rFonts w:ascii="Verdana" w:hAnsi="Verdana" w:cs="Arial"/>
          <w:color w:val="000000" w:themeColor="text1"/>
          <w:sz w:val="16"/>
          <w:szCs w:val="16"/>
        </w:rPr>
        <w:t xml:space="preserve"> DECRETO 1082 DE 2015: “Artículo 2.2.1.1.2.1.3. Pliegos de condiciones. Los pliegos de condiciones deben contener por lo menos la siguiente información:</w:t>
      </w:r>
    </w:p>
    <w:p w:rsidRPr="00E20ADE" w:rsidR="001532F7" w:rsidP="001532F7" w:rsidRDefault="001532F7" w14:paraId="7884F042" w14:textId="7777777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1. La descripción técnica, detallada y completa del bien o servicio objeto del contrato, identificado con el cuarto nivel del Clasificador de Bienes y Servicios, de ser posible o de lo contrario con el tercer nivel del mismo.</w:t>
      </w:r>
    </w:p>
    <w:p w:rsidRPr="00E20ADE" w:rsidR="001532F7" w:rsidP="001532F7" w:rsidRDefault="001532F7" w14:paraId="1F021F0C" w14:textId="7777777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2. La modalidad del proceso de selección y su justificación.</w:t>
      </w:r>
    </w:p>
    <w:p w:rsidRPr="00E20ADE" w:rsidR="001532F7" w:rsidP="001532F7" w:rsidRDefault="001532F7" w14:paraId="2F6DC7A2" w14:textId="7777777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3. Los criterios de selección, incluyendo los factores de desempate y los incentivos cuando a ello haya lugar.</w:t>
      </w:r>
    </w:p>
    <w:p w:rsidRPr="00E20ADE" w:rsidR="001532F7" w:rsidP="001532F7" w:rsidRDefault="001532F7" w14:paraId="21905524" w14:textId="7777777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4. Las condiciones de costo y/o calidad que la Entidad Estatal debe tener en cuenta para la selección objetiva, de acuerdo con la modalidad de selección del contratista.</w:t>
      </w:r>
    </w:p>
    <w:p w:rsidRPr="00E20ADE" w:rsidR="001532F7" w:rsidP="001532F7" w:rsidRDefault="001532F7" w14:paraId="391EFDE7" w14:textId="7777777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5. Las reglas aplicables a la presentación de las ofertas, su evaluación y a la adjudicación del contrato.</w:t>
      </w:r>
    </w:p>
    <w:p w:rsidRPr="00E20ADE" w:rsidR="001532F7" w:rsidP="001532F7" w:rsidRDefault="001532F7" w14:paraId="74FF46C1" w14:textId="7777777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6. Las causas que dan lugar a rechazar una oferta.</w:t>
      </w:r>
    </w:p>
    <w:p w:rsidRPr="00E20ADE" w:rsidR="001532F7" w:rsidP="001532F7" w:rsidRDefault="001532F7" w14:paraId="004A5107" w14:textId="7777777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7. El valor del contrato, el plazo, el cronograma de pagos y la determinación de si debe haber lugar a la entrega de anticipo, y si hubiere, indicar su valor, el cual debe tener en cuenta los rendimientos que este pueda generar.</w:t>
      </w:r>
    </w:p>
    <w:p w:rsidRPr="00E20ADE" w:rsidR="001532F7" w:rsidP="001532F7" w:rsidRDefault="001532F7" w14:paraId="3E133736" w14:textId="7777777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8. Los Riesgos asociados al contrato, la forma de mitigarlos y la asignación del Riesgo entre las partes contratantes.</w:t>
      </w:r>
    </w:p>
    <w:p w:rsidRPr="00E20ADE" w:rsidR="001532F7" w:rsidP="001532F7" w:rsidRDefault="001532F7" w14:paraId="0239D8E8" w14:textId="7777777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9. Las garantías exigidas en el Proceso de Contratación y sus condiciones.</w:t>
      </w:r>
    </w:p>
    <w:p w:rsidRPr="00E20ADE" w:rsidR="001532F7" w:rsidP="001532F7" w:rsidRDefault="001532F7" w14:paraId="0042E652" w14:textId="7777777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10. La mención de si la Entidad Estatal y el contrato objeto de los pliegos de condiciones están cubiertos por un Acuerdo Comercial.</w:t>
      </w:r>
    </w:p>
    <w:p w:rsidRPr="00E20ADE" w:rsidR="001532F7" w:rsidP="001532F7" w:rsidRDefault="001532F7" w14:paraId="218A8773" w14:textId="7777777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11. Los términos, condiciones y minuta del contrato.</w:t>
      </w:r>
    </w:p>
    <w:p w:rsidRPr="00E20ADE" w:rsidR="001532F7" w:rsidP="001532F7" w:rsidRDefault="001532F7" w14:paraId="5A7AFEF7" w14:textId="7777777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12. Los términos de la supervisión y/o de la interventoría del contrato.</w:t>
      </w:r>
    </w:p>
    <w:p w:rsidRPr="00E20ADE" w:rsidR="001532F7" w:rsidP="001532F7" w:rsidRDefault="001532F7" w14:paraId="3B944284" w14:textId="7777777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13. El plazo dentro del cual la Entidad Estatal puede expedir Adendas.</w:t>
      </w:r>
    </w:p>
    <w:p w:rsidRPr="00E20ADE" w:rsidR="001532F7" w:rsidP="001532F7" w:rsidRDefault="001532F7" w14:paraId="41C8944D" w14:textId="77777777">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14. El Cronograma”.</w:t>
      </w:r>
    </w:p>
  </w:footnote>
  <w:footnote w:id="7">
    <w:p w:rsidRPr="00E20ADE" w:rsidR="001532F7" w:rsidP="001532F7" w:rsidRDefault="001532F7" w14:paraId="46EE195A" w14:textId="77777777">
      <w:pPr>
        <w:pStyle w:val="Textonotapie"/>
        <w:ind w:firstLine="708"/>
        <w:contextualSpacing/>
        <w:jc w:val="both"/>
        <w:rPr>
          <w:rFonts w:ascii="Verdana" w:hAnsi="Verdana" w:cs="Arial"/>
          <w:sz w:val="16"/>
          <w:szCs w:val="16"/>
        </w:rPr>
      </w:pPr>
      <w:r w:rsidRPr="00E20ADE">
        <w:rPr>
          <w:rStyle w:val="Refdenotaalpie"/>
          <w:rFonts w:ascii="Verdana" w:hAnsi="Verdana" w:cs="Arial"/>
          <w:sz w:val="16"/>
          <w:szCs w:val="16"/>
        </w:rPr>
        <w:footnoteRef/>
      </w:r>
      <w:r w:rsidRPr="00E20ADE">
        <w:rPr>
          <w:rFonts w:ascii="Verdana" w:hAnsi="Verdana" w:cs="Arial"/>
          <w:sz w:val="16"/>
          <w:szCs w:val="16"/>
        </w:rPr>
        <w:t xml:space="preserve"> GONZÁLEZ LÓPEZ, Edgar</w:t>
      </w:r>
      <w:r w:rsidRPr="00E20ADE">
        <w:rPr>
          <w:rFonts w:ascii="Verdana" w:hAnsi="Verdana" w:cs="Arial"/>
          <w:i/>
          <w:iCs/>
          <w:sz w:val="16"/>
          <w:szCs w:val="16"/>
        </w:rPr>
        <w:t xml:space="preserve">. </w:t>
      </w:r>
      <w:r w:rsidRPr="00E20ADE">
        <w:rPr>
          <w:rFonts w:ascii="Verdana" w:hAnsi="Verdana" w:cs="Arial"/>
          <w:sz w:val="16"/>
          <w:szCs w:val="16"/>
        </w:rPr>
        <w:t xml:space="preserve">El pliego de condiciones en la contratación. La reforma consagrada en la Ley 1150 de 2007 y sus decretos reglamentarios. Universidad Externado de Colombia. Primera edición, 2010, pp. 64.  </w:t>
      </w:r>
    </w:p>
  </w:footnote>
  <w:footnote w:id="8">
    <w:p w:rsidRPr="00E20ADE" w:rsidR="001532F7" w:rsidP="001532F7" w:rsidRDefault="001532F7" w14:paraId="374F6132" w14:textId="77777777">
      <w:pPr>
        <w:pStyle w:val="Textonotapie"/>
        <w:ind w:firstLine="708"/>
        <w:contextualSpacing/>
        <w:jc w:val="both"/>
        <w:rPr>
          <w:rFonts w:ascii="Verdana" w:hAnsi="Verdana" w:cs="Arial"/>
          <w:sz w:val="16"/>
          <w:szCs w:val="16"/>
        </w:rPr>
      </w:pPr>
      <w:r w:rsidRPr="00E20ADE">
        <w:rPr>
          <w:rStyle w:val="Refdenotaalpie"/>
          <w:rFonts w:ascii="Verdana" w:hAnsi="Verdana" w:cs="Arial"/>
          <w:sz w:val="16"/>
          <w:szCs w:val="16"/>
        </w:rPr>
        <w:footnoteRef/>
      </w:r>
      <w:r w:rsidRPr="00E20ADE">
        <w:rPr>
          <w:rFonts w:ascii="Verdana" w:hAnsi="Verdana" w:cs="Arial"/>
          <w:sz w:val="16"/>
          <w:szCs w:val="16"/>
        </w:rPr>
        <w:t xml:space="preserve"> CONSEJO DE ESTADO, Sala de lo Contencioso Administrativo, Sección Tercera, sentencias del 1 de junio de 2022, radicado 60248; 29 de julio de 2015, radicado 40660; y, del 26 de abril de 2006, radicado 16041.</w:t>
      </w:r>
    </w:p>
  </w:footnote>
  <w:footnote w:id="9">
    <w:p w:rsidRPr="00E20ADE" w:rsidR="001532F7" w:rsidP="001532F7" w:rsidRDefault="001532F7" w14:paraId="7B508A49" w14:textId="77777777">
      <w:pPr>
        <w:pStyle w:val="Textonotapie"/>
        <w:ind w:firstLine="708"/>
        <w:contextualSpacing/>
        <w:jc w:val="both"/>
        <w:rPr>
          <w:rFonts w:ascii="Verdana" w:hAnsi="Verdana" w:cs="Arial"/>
          <w:sz w:val="16"/>
          <w:szCs w:val="16"/>
        </w:rPr>
      </w:pPr>
      <w:r w:rsidRPr="00E20ADE">
        <w:rPr>
          <w:rStyle w:val="Refdenotaalpie"/>
          <w:rFonts w:ascii="Verdana" w:hAnsi="Verdana" w:cs="Arial"/>
          <w:sz w:val="16"/>
          <w:szCs w:val="16"/>
        </w:rPr>
        <w:footnoteRef/>
      </w:r>
      <w:r w:rsidRPr="00E20ADE">
        <w:rPr>
          <w:rFonts w:ascii="Verdana" w:hAnsi="Verdana" w:cs="Arial"/>
          <w:sz w:val="16"/>
          <w:szCs w:val="16"/>
        </w:rPr>
        <w:t xml:space="preserve"> CONSEJO DE ESTADO, Sala de lo Contencioso Administrativo, Sección Tercera, sentencias del 1 de junio de 2022, radicado 60248 y del 2 de julio de 2021, radicado 51910.</w:t>
      </w:r>
    </w:p>
  </w:footnote>
  <w:footnote w:id="10">
    <w:p w:rsidRPr="00E20ADE" w:rsidR="001532F7" w:rsidP="001532F7" w:rsidRDefault="001532F7" w14:paraId="2258B45E" w14:textId="77777777">
      <w:pPr>
        <w:pBdr>
          <w:top w:val="nil"/>
          <w:left w:val="nil"/>
          <w:bottom w:val="nil"/>
          <w:right w:val="nil"/>
          <w:between w:val="nil"/>
        </w:pBdr>
        <w:spacing w:after="0" w:line="240" w:lineRule="auto"/>
        <w:ind w:firstLine="709"/>
        <w:jc w:val="both"/>
        <w:rPr>
          <w:rFonts w:ascii="Verdana" w:hAnsi="Verdana" w:eastAsia="Arial" w:cs="Arial"/>
          <w:color w:val="000000" w:themeColor="text1"/>
          <w:sz w:val="16"/>
          <w:szCs w:val="16"/>
        </w:rPr>
      </w:pPr>
      <w:r w:rsidRPr="00E20ADE">
        <w:rPr>
          <w:rFonts w:ascii="Verdana" w:hAnsi="Verdana" w:cs="Arial"/>
          <w:color w:val="000000" w:themeColor="text1"/>
          <w:sz w:val="16"/>
          <w:szCs w:val="16"/>
          <w:vertAlign w:val="superscript"/>
        </w:rPr>
        <w:footnoteRef/>
      </w:r>
      <w:r w:rsidRPr="00E20ADE">
        <w:rPr>
          <w:rFonts w:ascii="Verdana" w:hAnsi="Verdana" w:eastAsia="Arial" w:cs="Arial"/>
          <w:color w:val="000000" w:themeColor="text1"/>
          <w:sz w:val="16"/>
          <w:szCs w:val="16"/>
        </w:rPr>
        <w:t xml:space="preserve">  RODRÍGUEZ TAMAYO, Mauricio Fernando. Evaluación y rechazo de ofertas en la Ley 80 de 1993. Medellín: Librería Jurídica Sánchez, 2016. p. 190. </w:t>
      </w:r>
    </w:p>
    <w:p w:rsidRPr="00E20ADE" w:rsidR="001532F7" w:rsidP="001532F7" w:rsidRDefault="001532F7" w14:paraId="400C3A83" w14:textId="77777777">
      <w:pPr>
        <w:pBdr>
          <w:top w:val="nil"/>
          <w:left w:val="nil"/>
          <w:bottom w:val="nil"/>
          <w:right w:val="nil"/>
          <w:between w:val="nil"/>
        </w:pBdr>
        <w:spacing w:after="0" w:line="240" w:lineRule="auto"/>
        <w:ind w:firstLine="709"/>
        <w:jc w:val="both"/>
        <w:rPr>
          <w:rFonts w:ascii="Verdana" w:hAnsi="Verdana" w:eastAsia="Arial" w:cs="Arial"/>
          <w:color w:val="000000" w:themeColor="text1"/>
          <w:sz w:val="16"/>
          <w:szCs w:val="16"/>
        </w:rPr>
      </w:pPr>
    </w:p>
  </w:footnote>
  <w:footnote w:id="11">
    <w:p w:rsidRPr="00E20ADE" w:rsidR="001532F7" w:rsidP="001532F7" w:rsidRDefault="001532F7" w14:paraId="302D8E8E" w14:textId="77777777">
      <w:pPr>
        <w:pBdr>
          <w:top w:val="nil"/>
          <w:left w:val="nil"/>
          <w:bottom w:val="nil"/>
          <w:right w:val="nil"/>
          <w:between w:val="nil"/>
        </w:pBdr>
        <w:spacing w:after="0" w:line="240" w:lineRule="auto"/>
        <w:ind w:firstLine="709"/>
        <w:jc w:val="both"/>
        <w:rPr>
          <w:rFonts w:ascii="Verdana" w:hAnsi="Verdana" w:eastAsia="Arial" w:cs="Arial"/>
          <w:color w:val="000000" w:themeColor="text1"/>
          <w:sz w:val="16"/>
          <w:szCs w:val="16"/>
        </w:rPr>
      </w:pPr>
      <w:r w:rsidRPr="00E20ADE">
        <w:rPr>
          <w:rFonts w:ascii="Verdana" w:hAnsi="Verdana" w:cs="Arial"/>
          <w:color w:val="000000" w:themeColor="text1"/>
          <w:sz w:val="16"/>
          <w:szCs w:val="16"/>
          <w:vertAlign w:val="superscript"/>
        </w:rPr>
        <w:footnoteRef/>
      </w:r>
      <w:r w:rsidRPr="00E20ADE">
        <w:rPr>
          <w:rFonts w:ascii="Verdana" w:hAnsi="Verdana" w:eastAsia="Arial" w:cs="Arial"/>
          <w:color w:val="000000" w:themeColor="text1"/>
          <w:sz w:val="16"/>
          <w:szCs w:val="16"/>
        </w:rPr>
        <w:t xml:space="preserve">  Ley 80 de 1993 “</w:t>
      </w:r>
      <w:r w:rsidRPr="00E20ADE">
        <w:rPr>
          <w:rFonts w:ascii="Verdana" w:hAnsi="Verdana" w:eastAsia="Arial" w:cs="Arial"/>
          <w:bCs/>
          <w:color w:val="000000" w:themeColor="text1"/>
          <w:sz w:val="16"/>
          <w:szCs w:val="16"/>
        </w:rPr>
        <w:t>Articulo 24. Del principio de transparencia. </w:t>
      </w:r>
      <w:r w:rsidRPr="00E20ADE">
        <w:rPr>
          <w:rFonts w:ascii="Verdana" w:hAnsi="Verdana" w:eastAsia="Arial" w:cs="Arial"/>
          <w:color w:val="000000" w:themeColor="text1"/>
          <w:sz w:val="16"/>
          <w:szCs w:val="16"/>
        </w:rPr>
        <w:t xml:space="preserve">En virtud de este principio: </w:t>
      </w:r>
    </w:p>
    <w:p w:rsidRPr="00E20ADE" w:rsidR="001532F7" w:rsidP="001532F7" w:rsidRDefault="001532F7" w14:paraId="5EC2A4B1" w14:textId="77777777">
      <w:pPr>
        <w:pBdr>
          <w:top w:val="nil"/>
          <w:left w:val="nil"/>
          <w:bottom w:val="nil"/>
          <w:right w:val="nil"/>
          <w:between w:val="nil"/>
        </w:pBdr>
        <w:spacing w:after="0" w:line="240" w:lineRule="auto"/>
        <w:ind w:firstLine="709"/>
        <w:jc w:val="both"/>
        <w:rPr>
          <w:rFonts w:ascii="Verdana" w:hAnsi="Verdana" w:eastAsia="Arial" w:cs="Arial"/>
          <w:color w:val="000000" w:themeColor="text1"/>
          <w:sz w:val="16"/>
          <w:szCs w:val="16"/>
        </w:rPr>
      </w:pPr>
      <w:r w:rsidRPr="00E20ADE">
        <w:rPr>
          <w:rFonts w:ascii="Verdana" w:hAnsi="Verdana" w:eastAsia="Arial" w:cs="Arial"/>
          <w:color w:val="000000" w:themeColor="text1"/>
          <w:sz w:val="16"/>
          <w:szCs w:val="16"/>
        </w:rPr>
        <w:t>[…]</w:t>
      </w:r>
    </w:p>
    <w:p w:rsidRPr="00E20ADE" w:rsidR="001532F7" w:rsidP="001532F7" w:rsidRDefault="001532F7" w14:paraId="6C350299" w14:textId="77777777">
      <w:pPr>
        <w:spacing w:after="0" w:line="240" w:lineRule="auto"/>
        <w:ind w:firstLine="709"/>
        <w:jc w:val="both"/>
        <w:rPr>
          <w:rFonts w:ascii="Verdana" w:hAnsi="Verdana" w:eastAsia="Arial" w:cs="Arial"/>
          <w:color w:val="000000" w:themeColor="text1"/>
          <w:sz w:val="16"/>
          <w:szCs w:val="16"/>
        </w:rPr>
      </w:pPr>
      <w:r w:rsidRPr="00E20ADE">
        <w:rPr>
          <w:rFonts w:ascii="Verdana" w:hAnsi="Verdana" w:eastAsia="Arial" w:cs="Arial"/>
          <w:color w:val="000000" w:themeColor="text1"/>
          <w:sz w:val="16"/>
          <w:szCs w:val="16"/>
        </w:rPr>
        <w:t>5o. En los pliegos de condiciones:</w:t>
      </w:r>
    </w:p>
    <w:p w:rsidRPr="00E20ADE" w:rsidR="001532F7" w:rsidP="001532F7" w:rsidRDefault="001532F7" w14:paraId="48B1A1CA" w14:textId="77777777">
      <w:pPr>
        <w:spacing w:after="0" w:line="240" w:lineRule="auto"/>
        <w:ind w:firstLine="709"/>
        <w:jc w:val="both"/>
        <w:rPr>
          <w:rFonts w:ascii="Verdana" w:hAnsi="Verdana" w:eastAsia="Arial" w:cs="Arial"/>
          <w:color w:val="000000" w:themeColor="text1"/>
          <w:sz w:val="16"/>
          <w:szCs w:val="16"/>
        </w:rPr>
      </w:pPr>
      <w:r w:rsidRPr="00E20ADE">
        <w:rPr>
          <w:rFonts w:ascii="Verdana" w:hAnsi="Verdana" w:eastAsia="Arial" w:cs="Arial"/>
          <w:color w:val="000000" w:themeColor="text1"/>
          <w:sz w:val="16"/>
          <w:szCs w:val="16"/>
        </w:rPr>
        <w:t>[…]</w:t>
      </w:r>
    </w:p>
    <w:p w:rsidRPr="00E20ADE" w:rsidR="001532F7" w:rsidP="001532F7" w:rsidRDefault="001532F7" w14:paraId="6198A61C" w14:textId="77777777">
      <w:pPr>
        <w:spacing w:after="0" w:line="240" w:lineRule="auto"/>
        <w:ind w:firstLine="709"/>
        <w:jc w:val="both"/>
        <w:rPr>
          <w:rFonts w:ascii="Verdana" w:hAnsi="Verdana" w:eastAsia="Arial" w:cs="Arial"/>
          <w:color w:val="000000" w:themeColor="text1"/>
          <w:sz w:val="16"/>
          <w:szCs w:val="16"/>
        </w:rPr>
      </w:pPr>
      <w:r w:rsidRPr="00E20ADE">
        <w:rPr>
          <w:rFonts w:ascii="Verdana" w:hAnsi="Verdana" w:eastAsia="Arial" w:cs="Arial"/>
          <w:color w:val="000000" w:themeColor="text1"/>
          <w:sz w:val="16"/>
          <w:szCs w:val="16"/>
        </w:rPr>
        <w:t>b) Se definirán reglas objetivas, justas, claras y completas que permitan la confección de ofrecimientos de la misma índole, aseguren una escogencia objetiva y eviten la declaratoria de desierta de la licitación […]”.</w:t>
      </w:r>
    </w:p>
    <w:p w:rsidRPr="00E20ADE" w:rsidR="001532F7" w:rsidP="001532F7" w:rsidRDefault="001532F7" w14:paraId="3829774F" w14:textId="77777777">
      <w:pPr>
        <w:spacing w:after="0" w:line="240" w:lineRule="auto"/>
        <w:ind w:firstLine="709"/>
        <w:jc w:val="both"/>
        <w:rPr>
          <w:rFonts w:ascii="Verdana" w:hAnsi="Verdana" w:eastAsia="Arial" w:cs="Arial"/>
          <w:color w:val="000000" w:themeColor="text1"/>
          <w:sz w:val="16"/>
          <w:szCs w:val="16"/>
        </w:rPr>
      </w:pPr>
    </w:p>
  </w:footnote>
  <w:footnote w:id="12">
    <w:p w:rsidRPr="00E20ADE" w:rsidR="001532F7" w:rsidP="001532F7" w:rsidRDefault="001532F7" w14:paraId="29D2E432" w14:textId="77777777">
      <w:pPr>
        <w:pBdr>
          <w:top w:val="nil"/>
          <w:left w:val="nil"/>
          <w:bottom w:val="nil"/>
          <w:right w:val="nil"/>
          <w:between w:val="nil"/>
        </w:pBdr>
        <w:spacing w:after="0" w:line="240" w:lineRule="auto"/>
        <w:ind w:firstLine="709"/>
        <w:jc w:val="both"/>
        <w:rPr>
          <w:rFonts w:ascii="Verdana" w:hAnsi="Verdana" w:eastAsia="Arial" w:cs="Arial"/>
          <w:color w:val="000000" w:themeColor="text1"/>
          <w:sz w:val="16"/>
          <w:szCs w:val="16"/>
        </w:rPr>
      </w:pPr>
      <w:r w:rsidRPr="00E20ADE">
        <w:rPr>
          <w:rFonts w:ascii="Verdana" w:hAnsi="Verdana" w:cs="Arial"/>
          <w:color w:val="000000" w:themeColor="text1"/>
          <w:sz w:val="16"/>
          <w:szCs w:val="16"/>
          <w:vertAlign w:val="superscript"/>
        </w:rPr>
        <w:footnoteRef/>
      </w:r>
      <w:r w:rsidRPr="00E20ADE">
        <w:rPr>
          <w:rFonts w:ascii="Verdana" w:hAnsi="Verdana" w:eastAsia="Arial" w:cs="Arial"/>
          <w:color w:val="000000" w:themeColor="text1"/>
          <w:sz w:val="16"/>
          <w:szCs w:val="16"/>
        </w:rPr>
        <w:t xml:space="preserve"> Decreto 1082 de 2015 “Artículo 2.2.1.1.2.1.3. Pliegos de condiciones. Los pliegos de condiciones deben contener por lo menos la siguiente información</w:t>
      </w:r>
    </w:p>
    <w:p w:rsidRPr="00E20ADE" w:rsidR="001532F7" w:rsidP="001532F7" w:rsidRDefault="001532F7" w14:paraId="1A892B7B" w14:textId="77777777">
      <w:pPr>
        <w:pBdr>
          <w:top w:val="nil"/>
          <w:left w:val="nil"/>
          <w:bottom w:val="nil"/>
          <w:right w:val="nil"/>
          <w:between w:val="nil"/>
        </w:pBdr>
        <w:spacing w:after="0" w:line="240" w:lineRule="auto"/>
        <w:ind w:firstLine="709"/>
        <w:jc w:val="both"/>
        <w:rPr>
          <w:rFonts w:ascii="Verdana" w:hAnsi="Verdana" w:eastAsia="Arial" w:cs="Arial"/>
          <w:color w:val="000000" w:themeColor="text1"/>
          <w:sz w:val="16"/>
          <w:szCs w:val="16"/>
        </w:rPr>
      </w:pPr>
      <w:r w:rsidRPr="00E20ADE">
        <w:rPr>
          <w:rFonts w:ascii="Verdana" w:hAnsi="Verdana" w:eastAsia="Arial" w:cs="Arial"/>
          <w:color w:val="000000" w:themeColor="text1"/>
          <w:sz w:val="16"/>
          <w:szCs w:val="16"/>
        </w:rPr>
        <w:t>[…]</w:t>
      </w:r>
    </w:p>
    <w:p w:rsidRPr="00E20ADE" w:rsidR="001532F7" w:rsidP="001532F7" w:rsidRDefault="001532F7" w14:paraId="1B55D4F1" w14:textId="77777777">
      <w:pPr>
        <w:pBdr>
          <w:top w:val="nil"/>
          <w:left w:val="nil"/>
          <w:bottom w:val="nil"/>
          <w:right w:val="nil"/>
          <w:between w:val="nil"/>
        </w:pBdr>
        <w:spacing w:after="0" w:line="240" w:lineRule="auto"/>
        <w:ind w:firstLine="709"/>
        <w:jc w:val="both"/>
        <w:rPr>
          <w:rFonts w:ascii="Verdana" w:hAnsi="Verdana" w:eastAsia="Arial" w:cs="Arial"/>
          <w:color w:val="000000" w:themeColor="text1"/>
          <w:sz w:val="16"/>
          <w:szCs w:val="16"/>
        </w:rPr>
      </w:pPr>
      <w:r w:rsidRPr="00E20ADE">
        <w:rPr>
          <w:rFonts w:ascii="Verdana" w:hAnsi="Verdana" w:eastAsia="Arial" w:cs="Arial"/>
          <w:color w:val="000000" w:themeColor="text1"/>
          <w:sz w:val="16"/>
          <w:szCs w:val="16"/>
        </w:rPr>
        <w:t>6. Las causas que dan lugar a rechazar una oferta […]”</w:t>
      </w:r>
    </w:p>
  </w:footnote>
  <w:footnote w:id="13">
    <w:p w:rsidRPr="00E20ADE" w:rsidR="001532F7" w:rsidP="001532F7" w:rsidRDefault="001532F7" w14:paraId="46D6F16D" w14:textId="77777777">
      <w:pPr>
        <w:pBdr>
          <w:top w:val="nil"/>
          <w:left w:val="nil"/>
          <w:bottom w:val="nil"/>
          <w:right w:val="nil"/>
          <w:between w:val="nil"/>
        </w:pBdr>
        <w:spacing w:after="0" w:line="240" w:lineRule="auto"/>
        <w:ind w:firstLine="709"/>
        <w:jc w:val="both"/>
        <w:rPr>
          <w:rFonts w:ascii="Verdana" w:hAnsi="Verdana" w:eastAsia="Arial" w:cs="Arial"/>
          <w:color w:val="000000" w:themeColor="text1"/>
          <w:sz w:val="16"/>
          <w:szCs w:val="16"/>
        </w:rPr>
      </w:pPr>
      <w:r w:rsidRPr="00E20ADE">
        <w:rPr>
          <w:rFonts w:ascii="Verdana" w:hAnsi="Verdana" w:cs="Arial"/>
          <w:color w:val="000000" w:themeColor="text1"/>
          <w:sz w:val="16"/>
          <w:szCs w:val="16"/>
          <w:vertAlign w:val="superscript"/>
        </w:rPr>
        <w:footnoteRef/>
      </w:r>
      <w:r w:rsidRPr="00E20ADE">
        <w:rPr>
          <w:rFonts w:ascii="Verdana" w:hAnsi="Verdana" w:eastAsia="Arial" w:cs="Arial"/>
          <w:color w:val="000000" w:themeColor="text1"/>
          <w:sz w:val="16"/>
          <w:szCs w:val="16"/>
        </w:rPr>
        <w:t xml:space="preserve"> CONSEJO DE ESTADO. Sección Tercera Subsección B. Sentencia del 27 de abril de 2011. Expediente No. 18.293. C.P. Ponente: Ruth Stella Correa Palacio. </w:t>
      </w:r>
    </w:p>
    <w:p w:rsidRPr="00E20ADE" w:rsidR="001532F7" w:rsidP="001532F7" w:rsidRDefault="001532F7" w14:paraId="3EF8AE33" w14:textId="77777777">
      <w:pPr>
        <w:pBdr>
          <w:top w:val="nil"/>
          <w:left w:val="nil"/>
          <w:bottom w:val="nil"/>
          <w:right w:val="nil"/>
          <w:between w:val="nil"/>
        </w:pBdr>
        <w:spacing w:after="0" w:line="240" w:lineRule="auto"/>
        <w:ind w:firstLine="709"/>
        <w:jc w:val="both"/>
        <w:rPr>
          <w:rFonts w:ascii="Verdana" w:hAnsi="Verdana" w:eastAsia="Arial" w:cs="Arial"/>
          <w:color w:val="000000" w:themeColor="text1"/>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6841" w:rsidRDefault="009D3058" w14:paraId="435F4D03" w14:textId="0903BF04">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FC3B35F" wp14:editId="770E7ECD">
          <wp:simplePos x="0" y="0"/>
          <wp:positionH relativeFrom="margin">
            <wp:align>center</wp:align>
          </wp:positionH>
          <wp:positionV relativeFrom="paragraph">
            <wp:posOffset>-138611</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7216"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002B5862" w:rsidRDefault="002B5862" w14:paraId="6543F162" w14:textId="77777777">
    <w:pPr>
      <w:pStyle w:val="Encabezado"/>
    </w:pPr>
  </w:p>
  <w:p w:rsidR="002B5862" w:rsidRDefault="002B5862" w14:paraId="4711D484" w14:textId="77777777">
    <w:pPr>
      <w:pStyle w:val="Encabezado"/>
    </w:pPr>
  </w:p>
  <w:p w:rsidR="002B5862" w:rsidRDefault="002B5862" w14:paraId="3D79C711" w14:textId="7777777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150" style="width:11.15pt;height:11.15pt" o:bullet="t" type="#_x0000_t75">
        <v:imagedata o:title="mso1B13" r:id="rId1"/>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0" w15:restartNumberingAfterBreak="0">
    <w:nsid w:val="418679D0"/>
    <w:multiLevelType w:val="hybridMultilevel"/>
    <w:tmpl w:val="F2F430A2"/>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hint="default" w:ascii="Symbol" w:hAnsi="Symbol"/>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DD23916"/>
    <w:multiLevelType w:val="multilevel"/>
    <w:tmpl w:val="89F2ADC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380713882">
    <w:abstractNumId w:val="0"/>
  </w:num>
  <w:num w:numId="17" w16cid:durableId="1982299905">
    <w:abstractNumId w:val="16"/>
  </w:num>
  <w:num w:numId="18" w16cid:durableId="691802391">
    <w:abstractNumId w:val="9"/>
  </w:num>
  <w:num w:numId="19" w16cid:durableId="153255849">
    <w:abstractNumId w:val="1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444E"/>
    <w:rsid w:val="00082362"/>
    <w:rsid w:val="000A683E"/>
    <w:rsid w:val="000B19B9"/>
    <w:rsid w:val="000D0334"/>
    <w:rsid w:val="000F6486"/>
    <w:rsid w:val="00121EC5"/>
    <w:rsid w:val="00125105"/>
    <w:rsid w:val="00127233"/>
    <w:rsid w:val="001511A0"/>
    <w:rsid w:val="001532F7"/>
    <w:rsid w:val="001B0A93"/>
    <w:rsid w:val="001E4177"/>
    <w:rsid w:val="001F7DC6"/>
    <w:rsid w:val="00237609"/>
    <w:rsid w:val="002421BB"/>
    <w:rsid w:val="0025796E"/>
    <w:rsid w:val="002707A2"/>
    <w:rsid w:val="002951A0"/>
    <w:rsid w:val="002962BC"/>
    <w:rsid w:val="002965E2"/>
    <w:rsid w:val="002A093D"/>
    <w:rsid w:val="002A0DD0"/>
    <w:rsid w:val="002A49AC"/>
    <w:rsid w:val="002A64FD"/>
    <w:rsid w:val="002B5862"/>
    <w:rsid w:val="002C5070"/>
    <w:rsid w:val="002C7A84"/>
    <w:rsid w:val="002D2F47"/>
    <w:rsid w:val="002E4FD9"/>
    <w:rsid w:val="002E7478"/>
    <w:rsid w:val="00322A85"/>
    <w:rsid w:val="00324168"/>
    <w:rsid w:val="0033493C"/>
    <w:rsid w:val="003448F4"/>
    <w:rsid w:val="00374F5E"/>
    <w:rsid w:val="00377E3E"/>
    <w:rsid w:val="003A779E"/>
    <w:rsid w:val="003D0F4D"/>
    <w:rsid w:val="003D5B0D"/>
    <w:rsid w:val="003E0499"/>
    <w:rsid w:val="003F3941"/>
    <w:rsid w:val="00406575"/>
    <w:rsid w:val="00414C74"/>
    <w:rsid w:val="00416D78"/>
    <w:rsid w:val="0042722E"/>
    <w:rsid w:val="0044528D"/>
    <w:rsid w:val="004514F9"/>
    <w:rsid w:val="00471CAF"/>
    <w:rsid w:val="004A1847"/>
    <w:rsid w:val="004A305D"/>
    <w:rsid w:val="004B10BA"/>
    <w:rsid w:val="004F21C4"/>
    <w:rsid w:val="004F685F"/>
    <w:rsid w:val="00534063"/>
    <w:rsid w:val="005566E8"/>
    <w:rsid w:val="00567A42"/>
    <w:rsid w:val="00574867"/>
    <w:rsid w:val="00591460"/>
    <w:rsid w:val="005B3816"/>
    <w:rsid w:val="005C3777"/>
    <w:rsid w:val="005C5CDC"/>
    <w:rsid w:val="005D476C"/>
    <w:rsid w:val="006219F8"/>
    <w:rsid w:val="00665D70"/>
    <w:rsid w:val="00682580"/>
    <w:rsid w:val="006900D9"/>
    <w:rsid w:val="00706C16"/>
    <w:rsid w:val="0073695B"/>
    <w:rsid w:val="00756841"/>
    <w:rsid w:val="007649AB"/>
    <w:rsid w:val="00771D0C"/>
    <w:rsid w:val="007833AC"/>
    <w:rsid w:val="007911EE"/>
    <w:rsid w:val="007B268C"/>
    <w:rsid w:val="007B6FE0"/>
    <w:rsid w:val="007B7171"/>
    <w:rsid w:val="007C0C0F"/>
    <w:rsid w:val="007C3DC2"/>
    <w:rsid w:val="007D5A7C"/>
    <w:rsid w:val="007E5497"/>
    <w:rsid w:val="00806F5F"/>
    <w:rsid w:val="00811A9B"/>
    <w:rsid w:val="00820278"/>
    <w:rsid w:val="00867F95"/>
    <w:rsid w:val="0087031A"/>
    <w:rsid w:val="0087082B"/>
    <w:rsid w:val="00880A26"/>
    <w:rsid w:val="008843B6"/>
    <w:rsid w:val="00891928"/>
    <w:rsid w:val="0089254E"/>
    <w:rsid w:val="008A1F0D"/>
    <w:rsid w:val="008A446D"/>
    <w:rsid w:val="008D180B"/>
    <w:rsid w:val="008F0EA7"/>
    <w:rsid w:val="00916E20"/>
    <w:rsid w:val="00923EEF"/>
    <w:rsid w:val="009419F9"/>
    <w:rsid w:val="0095685E"/>
    <w:rsid w:val="00961B09"/>
    <w:rsid w:val="00965334"/>
    <w:rsid w:val="0097093E"/>
    <w:rsid w:val="00986AC5"/>
    <w:rsid w:val="009A0DFA"/>
    <w:rsid w:val="009B2D26"/>
    <w:rsid w:val="009C71FA"/>
    <w:rsid w:val="009C72E7"/>
    <w:rsid w:val="009D3058"/>
    <w:rsid w:val="009F3A13"/>
    <w:rsid w:val="00A122D3"/>
    <w:rsid w:val="00A17F13"/>
    <w:rsid w:val="00A20739"/>
    <w:rsid w:val="00A33C78"/>
    <w:rsid w:val="00AB0ADB"/>
    <w:rsid w:val="00AE025B"/>
    <w:rsid w:val="00B01B1A"/>
    <w:rsid w:val="00B66319"/>
    <w:rsid w:val="00B72CD3"/>
    <w:rsid w:val="00B72FFF"/>
    <w:rsid w:val="00BC3D36"/>
    <w:rsid w:val="00BD7F72"/>
    <w:rsid w:val="00C04FB3"/>
    <w:rsid w:val="00C330EB"/>
    <w:rsid w:val="00C36BD0"/>
    <w:rsid w:val="00C41061"/>
    <w:rsid w:val="00C754BE"/>
    <w:rsid w:val="00C76B1C"/>
    <w:rsid w:val="00CB6357"/>
    <w:rsid w:val="00CC1B26"/>
    <w:rsid w:val="00CD7324"/>
    <w:rsid w:val="00CF72C1"/>
    <w:rsid w:val="00D423A2"/>
    <w:rsid w:val="00D520D8"/>
    <w:rsid w:val="00D63AC2"/>
    <w:rsid w:val="00D7383B"/>
    <w:rsid w:val="00DA08E3"/>
    <w:rsid w:val="00DA231B"/>
    <w:rsid w:val="00DA65A2"/>
    <w:rsid w:val="00DC39FC"/>
    <w:rsid w:val="00DE435A"/>
    <w:rsid w:val="00DF5254"/>
    <w:rsid w:val="00E074A3"/>
    <w:rsid w:val="00E16408"/>
    <w:rsid w:val="00E20894"/>
    <w:rsid w:val="00E20ADE"/>
    <w:rsid w:val="00E245AB"/>
    <w:rsid w:val="00E2764C"/>
    <w:rsid w:val="00E27F2E"/>
    <w:rsid w:val="00E460EC"/>
    <w:rsid w:val="00E50AFE"/>
    <w:rsid w:val="00E75C92"/>
    <w:rsid w:val="00E771DC"/>
    <w:rsid w:val="00E77453"/>
    <w:rsid w:val="00E8772A"/>
    <w:rsid w:val="00E90F6B"/>
    <w:rsid w:val="00E92C27"/>
    <w:rsid w:val="00EA0E3D"/>
    <w:rsid w:val="00EA69B1"/>
    <w:rsid w:val="00EC38A7"/>
    <w:rsid w:val="00ED7384"/>
    <w:rsid w:val="00EE1AA8"/>
    <w:rsid w:val="00F31EDC"/>
    <w:rsid w:val="00F3779B"/>
    <w:rsid w:val="00F462B3"/>
    <w:rsid w:val="00F5664F"/>
    <w:rsid w:val="00F666C4"/>
    <w:rsid w:val="00F76AFC"/>
    <w:rsid w:val="00FA47C0"/>
    <w:rsid w:val="00FB5DD1"/>
    <w:rsid w:val="00FC2B5D"/>
    <w:rsid w:val="00FF1449"/>
    <w:rsid w:val="165E9519"/>
    <w:rsid w:val="382536D9"/>
    <w:rsid w:val="6EC39046"/>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Appelnotedebasde" w:customStyle="1">
    <w:name w:val="Appel note de bas de..."/>
    <w:basedOn w:val="Normal"/>
    <w:link w:val="Refdenotaalpie"/>
    <w:uiPriority w:val="99"/>
    <w:rsid w:val="0087031A"/>
    <w:pPr>
      <w:spacing w:line="240" w:lineRule="exact"/>
    </w:pPr>
    <w:rPr>
      <w:vertAlign w:val="superscript"/>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7031A"/>
    <w:rPr>
      <w:rFonts w:ascii="Geomanist Light" w:hAnsi="Geomanist Light"/>
      <w:lang w:val="es-ES"/>
    </w:rPr>
  </w:style>
  <w:style w:type="paragraph" w:styleId="Textoindependiente">
    <w:name w:val="Body Text"/>
    <w:basedOn w:val="Normal"/>
    <w:link w:val="TextoindependienteCar"/>
    <w:uiPriority w:val="1"/>
    <w:unhideWhenUsed/>
    <w:qFormat/>
    <w:rsid w:val="0087031A"/>
    <w:pPr>
      <w:spacing w:after="120"/>
    </w:pPr>
  </w:style>
  <w:style w:type="character" w:styleId="TextoindependienteCar" w:customStyle="1">
    <w:name w:val="Texto independiente Car"/>
    <w:basedOn w:val="Fuentedeprrafopredeter"/>
    <w:link w:val="Textoindependiente"/>
    <w:uiPriority w:val="1"/>
    <w:rsid w:val="0087031A"/>
  </w:style>
  <w:style w:type="character" w:styleId="superscript" w:customStyle="1">
    <w:name w:val="superscript"/>
    <w:basedOn w:val="Fuentedeprrafopredeter"/>
    <w:rsid w:val="00DA08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055393830">
      <w:bodyDiv w:val="1"/>
      <w:marLeft w:val="0"/>
      <w:marRight w:val="0"/>
      <w:marTop w:val="0"/>
      <w:marBottom w:val="0"/>
      <w:divBdr>
        <w:top w:val="none" w:sz="0" w:space="0" w:color="auto"/>
        <w:left w:val="none" w:sz="0" w:space="0" w:color="auto"/>
        <w:bottom w:val="none" w:sz="0" w:space="0" w:color="auto"/>
        <w:right w:val="none" w:sz="0" w:space="0" w:color="auto"/>
      </w:divBdr>
      <w:divsChild>
        <w:div w:id="2032563667">
          <w:marLeft w:val="0"/>
          <w:marRight w:val="0"/>
          <w:marTop w:val="0"/>
          <w:marBottom w:val="0"/>
          <w:divBdr>
            <w:top w:val="none" w:sz="0" w:space="0" w:color="auto"/>
            <w:left w:val="none" w:sz="0" w:space="0" w:color="auto"/>
            <w:bottom w:val="none" w:sz="0" w:space="0" w:color="auto"/>
            <w:right w:val="none" w:sz="0" w:space="0" w:color="auto"/>
          </w:divBdr>
          <w:divsChild>
            <w:div w:id="1148010697">
              <w:marLeft w:val="0"/>
              <w:marRight w:val="0"/>
              <w:marTop w:val="0"/>
              <w:marBottom w:val="0"/>
              <w:divBdr>
                <w:top w:val="none" w:sz="0" w:space="0" w:color="auto"/>
                <w:left w:val="none" w:sz="0" w:space="0" w:color="auto"/>
                <w:bottom w:val="none" w:sz="0" w:space="0" w:color="auto"/>
                <w:right w:val="none" w:sz="0" w:space="0" w:color="auto"/>
              </w:divBdr>
              <w:divsChild>
                <w:div w:id="293798143">
                  <w:marLeft w:val="0"/>
                  <w:marRight w:val="0"/>
                  <w:marTop w:val="0"/>
                  <w:marBottom w:val="0"/>
                  <w:divBdr>
                    <w:top w:val="none" w:sz="0" w:space="0" w:color="auto"/>
                    <w:left w:val="none" w:sz="0" w:space="0" w:color="auto"/>
                    <w:bottom w:val="none" w:sz="0" w:space="0" w:color="auto"/>
                    <w:right w:val="none" w:sz="0" w:space="0" w:color="auto"/>
                  </w:divBdr>
                  <w:divsChild>
                    <w:div w:id="540558418">
                      <w:marLeft w:val="0"/>
                      <w:marRight w:val="0"/>
                      <w:marTop w:val="0"/>
                      <w:marBottom w:val="0"/>
                      <w:divBdr>
                        <w:top w:val="none" w:sz="0" w:space="0" w:color="auto"/>
                        <w:left w:val="none" w:sz="0" w:space="0" w:color="auto"/>
                        <w:bottom w:val="none" w:sz="0" w:space="0" w:color="auto"/>
                        <w:right w:val="none" w:sz="0" w:space="0" w:color="auto"/>
                      </w:divBdr>
                      <w:divsChild>
                        <w:div w:id="1453088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relatoria.colombiacompra.gov.co/busqueda/conceptos" TargetMode="Externa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mailto:serfarhomecareips@gmail.com" TargetMode="External" Id="rId12" /><Relationship Type="http://schemas.openxmlformats.org/officeDocument/2006/relationships/footer" Target="footer1.xml" Id="rId17" /><Relationship Type="http://schemas.openxmlformats.org/officeDocument/2006/relationships/customXml" Target="../customXml/item2.xml" Id="rId2" /><Relationship Type="http://schemas.openxmlformats.org/officeDocument/2006/relationships/header" Target="header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2.png" Id="rId11" /><Relationship Type="http://schemas.openxmlformats.org/officeDocument/2006/relationships/numbering" Target="numbering.xml" Id="rId5" /><Relationship Type="http://schemas.openxmlformats.org/officeDocument/2006/relationships/image" Target="media/image3.png" Id="rId15" /><Relationship Type="http://schemas.openxmlformats.org/officeDocument/2006/relationships/endnotes" Target="endnotes.xml" Id="rId10" /><Relationship Type="http://schemas.openxmlformats.org/officeDocument/2006/relationships/theme" Target="theme/theme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 Id="rId14" /></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3D3E4C3-694F-49D6-A720-D4AC0E0E458D}"/>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1CF2A69-2909-4F9F-ABC0-7A9BA0FDB73B}">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Esperanza Contreras Pedreros</lastModifiedBy>
  <revision>15</revision>
  <lastPrinted>2023-01-10T21:18:00.0000000Z</lastPrinted>
  <dcterms:created xsi:type="dcterms:W3CDTF">2025-07-01T23:16:00.0000000Z</dcterms:created>
  <dcterms:modified xsi:type="dcterms:W3CDTF">2025-07-25T13:22:12.8527426Z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