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81C26" w14:textId="77777777" w:rsidR="00D95883" w:rsidRPr="00523932" w:rsidRDefault="00D95883" w:rsidP="00D95883">
      <w:pPr>
        <w:spacing w:after="0" w:line="240" w:lineRule="auto"/>
        <w:rPr>
          <w:rFonts w:ascii="Verdana" w:eastAsia="Calibri" w:hAnsi="Verdana" w:cs="Arial"/>
          <w:b/>
          <w:sz w:val="20"/>
          <w:szCs w:val="20"/>
          <w:lang w:val="es-MX" w:eastAsia="es-ES_tradnl"/>
        </w:rPr>
      </w:pPr>
    </w:p>
    <w:p w14:paraId="05ACB926" w14:textId="77777777" w:rsidR="00D95883" w:rsidRPr="00523932" w:rsidRDefault="00D95883" w:rsidP="00D95883">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INHABILIDADES – Definición – Finalidad – Limitación capacidad contractual</w:t>
      </w:r>
    </w:p>
    <w:p w14:paraId="4E478F7D" w14:textId="77777777" w:rsidR="00D95883" w:rsidRPr="00523932" w:rsidRDefault="00D95883" w:rsidP="00D95883">
      <w:pPr>
        <w:spacing w:after="0" w:line="240" w:lineRule="auto"/>
        <w:rPr>
          <w:rFonts w:ascii="Verdana" w:eastAsia="Calibri" w:hAnsi="Verdana" w:cs="Arial"/>
          <w:bCs/>
          <w:sz w:val="20"/>
          <w:szCs w:val="20"/>
          <w:lang w:val="es-MX" w:eastAsia="es-ES_tradnl"/>
        </w:rPr>
      </w:pPr>
    </w:p>
    <w:p w14:paraId="2A58A074" w14:textId="77777777" w:rsidR="00D95883" w:rsidRPr="00523932" w:rsidRDefault="00D95883" w:rsidP="00D95883">
      <w:pPr>
        <w:spacing w:after="0" w:line="240" w:lineRule="auto"/>
        <w:jc w:val="both"/>
        <w:rPr>
          <w:rFonts w:ascii="Verdana" w:eastAsia="Geomanist Light" w:hAnsi="Verdana" w:cs="Arial"/>
          <w:color w:val="000000" w:themeColor="text1"/>
          <w:sz w:val="20"/>
          <w:szCs w:val="20"/>
          <w:lang w:val="es-MX"/>
        </w:rPr>
      </w:pPr>
      <w:r w:rsidRPr="00523932">
        <w:rPr>
          <w:rFonts w:ascii="Verdana" w:eastAsia="Geomanist Light" w:hAnsi="Verdana" w:cs="Arial"/>
          <w:color w:val="000000" w:themeColor="text1"/>
          <w:sz w:val="20"/>
          <w:szCs w:val="20"/>
          <w:lang w:val="es-MX"/>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25104727" w14:textId="77777777" w:rsidR="00D95883" w:rsidRPr="00523932" w:rsidRDefault="00D95883" w:rsidP="00D95883">
      <w:pPr>
        <w:spacing w:after="0" w:line="240" w:lineRule="auto"/>
        <w:jc w:val="both"/>
        <w:rPr>
          <w:rFonts w:ascii="Verdana" w:eastAsia="Geomanist Light" w:hAnsi="Verdana" w:cs="Arial"/>
          <w:color w:val="000000" w:themeColor="text1"/>
          <w:sz w:val="20"/>
          <w:szCs w:val="20"/>
          <w:lang w:val="es-MX"/>
        </w:rPr>
      </w:pPr>
    </w:p>
    <w:p w14:paraId="7C8661CE" w14:textId="77777777" w:rsidR="00D95883" w:rsidRPr="00523932" w:rsidRDefault="00D95883" w:rsidP="00D95883">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CONTRATACIÓN ESTATAL – Capacidad – Validez contratos – Régimen de contratación – Inscripción – Limitación de la capacidad</w:t>
      </w:r>
    </w:p>
    <w:p w14:paraId="4A631658" w14:textId="77777777" w:rsidR="00D95883" w:rsidRPr="00523932" w:rsidRDefault="00D95883" w:rsidP="00D95883">
      <w:pPr>
        <w:spacing w:after="0" w:line="240" w:lineRule="auto"/>
        <w:jc w:val="both"/>
        <w:rPr>
          <w:rFonts w:ascii="Verdana" w:eastAsia="Calibri" w:hAnsi="Verdana" w:cs="Arial"/>
          <w:bCs/>
          <w:sz w:val="20"/>
          <w:szCs w:val="20"/>
          <w:lang w:val="es-MX" w:eastAsia="es-ES_tradnl"/>
        </w:rPr>
      </w:pPr>
    </w:p>
    <w:p w14:paraId="565D0735" w14:textId="77777777" w:rsidR="00D95883" w:rsidRPr="00523932" w:rsidRDefault="00D95883" w:rsidP="00D95883">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en la contratación estatal, la capacidad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 se destaca el régimen de inhabilidades e incompatibilidades como un conjunto de normas que imponen restricciones para los sujetos que, eventualmente, pretendan participar en los procedimientos de selección o celebrar contratos con las entidades estatales.</w:t>
      </w:r>
    </w:p>
    <w:p w14:paraId="49EA62E8" w14:textId="77777777" w:rsidR="00D95883" w:rsidRPr="00523932" w:rsidRDefault="00D95883" w:rsidP="00D95883">
      <w:pPr>
        <w:spacing w:after="0" w:line="240" w:lineRule="auto"/>
        <w:jc w:val="both"/>
        <w:rPr>
          <w:rFonts w:ascii="Verdana" w:eastAsia="Calibri" w:hAnsi="Verdana" w:cs="Arial"/>
          <w:bCs/>
          <w:sz w:val="20"/>
          <w:szCs w:val="20"/>
          <w:lang w:val="es-MX" w:eastAsia="es-ES_tradnl"/>
        </w:rPr>
      </w:pPr>
    </w:p>
    <w:p w14:paraId="3FE13247" w14:textId="77777777" w:rsidR="00D95883" w:rsidRDefault="00D95883" w:rsidP="00D95883">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xml:space="preserve">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w:t>
      </w:r>
      <w:r w:rsidRPr="00523932">
        <w:rPr>
          <w:rFonts w:ascii="Verdana" w:eastAsia="Calibri" w:hAnsi="Verdana" w:cs="Arial"/>
          <w:bCs/>
          <w:sz w:val="20"/>
          <w:szCs w:val="20"/>
          <w:lang w:val="es-MX" w:eastAsia="es-ES_tradnl"/>
        </w:rPr>
        <w:lastRenderedPageBreak/>
        <w:t>entidades estatales, por lo que de cualquiera de ellas se derivan los mismos efectos jurídicos.</w:t>
      </w:r>
    </w:p>
    <w:p w14:paraId="3D529905" w14:textId="77777777" w:rsidR="00D95883" w:rsidRPr="00523932" w:rsidRDefault="00D95883" w:rsidP="00D95883">
      <w:pPr>
        <w:spacing w:after="0" w:line="240" w:lineRule="auto"/>
        <w:jc w:val="both"/>
        <w:rPr>
          <w:rFonts w:ascii="Verdana" w:eastAsia="Calibri" w:hAnsi="Verdana" w:cs="Arial"/>
          <w:bCs/>
          <w:sz w:val="20"/>
          <w:szCs w:val="20"/>
          <w:lang w:val="es-MX" w:eastAsia="es-ES_tradnl"/>
        </w:rPr>
      </w:pPr>
    </w:p>
    <w:p w14:paraId="24C53CBE" w14:textId="77777777" w:rsidR="00D95883" w:rsidRPr="00523932" w:rsidRDefault="00D95883" w:rsidP="00D95883">
      <w:pPr>
        <w:spacing w:after="0" w:line="240" w:lineRule="auto"/>
        <w:jc w:val="both"/>
        <w:rPr>
          <w:rFonts w:ascii="Verdana" w:eastAsia="Calibri" w:hAnsi="Verdana" w:cs="Arial"/>
          <w:b/>
          <w:lang w:val="es-MX" w:eastAsia="es-ES_tradnl"/>
        </w:rPr>
      </w:pPr>
      <w:r>
        <w:rPr>
          <w:rFonts w:ascii="Verdana" w:eastAsia="Calibri" w:hAnsi="Verdana" w:cs="Arial"/>
          <w:b/>
          <w:lang w:val="es-MX" w:eastAsia="es-ES_tradnl"/>
        </w:rPr>
        <w:t>ACTOS DE CORRUPCIÓN</w:t>
      </w:r>
      <w:r w:rsidRPr="00523932">
        <w:rPr>
          <w:rFonts w:ascii="Verdana" w:eastAsia="Calibri" w:hAnsi="Verdana" w:cs="Arial"/>
          <w:b/>
          <w:lang w:val="es-MX" w:eastAsia="es-ES_tradnl"/>
        </w:rPr>
        <w:t xml:space="preserve"> –</w:t>
      </w:r>
      <w:r>
        <w:rPr>
          <w:rFonts w:ascii="Verdana" w:eastAsia="Calibri" w:hAnsi="Verdana" w:cs="Arial"/>
          <w:b/>
          <w:lang w:val="es-MX" w:eastAsia="es-ES_tradnl"/>
        </w:rPr>
        <w:t xml:space="preserve"> Inhabilidad – Fundamento</w:t>
      </w:r>
    </w:p>
    <w:p w14:paraId="3DB81C64" w14:textId="77777777" w:rsidR="00D95883" w:rsidRPr="00523932" w:rsidRDefault="00D95883" w:rsidP="00D95883">
      <w:pPr>
        <w:spacing w:after="0" w:line="240" w:lineRule="auto"/>
        <w:rPr>
          <w:rFonts w:ascii="Verdana" w:eastAsia="Calibri" w:hAnsi="Verdana" w:cs="Arial"/>
          <w:bCs/>
          <w:sz w:val="20"/>
          <w:szCs w:val="20"/>
          <w:lang w:val="es-MX" w:eastAsia="es-ES_tradnl"/>
        </w:rPr>
      </w:pPr>
    </w:p>
    <w:p w14:paraId="5B25FA39" w14:textId="77777777" w:rsidR="00D95883" w:rsidRDefault="00D95883" w:rsidP="00D95883">
      <w:pPr>
        <w:spacing w:after="0" w:line="240" w:lineRule="auto"/>
        <w:jc w:val="both"/>
        <w:rPr>
          <w:rFonts w:ascii="Verdana" w:eastAsia="Calibri" w:hAnsi="Verdana" w:cs="Arial"/>
          <w:bCs/>
          <w:sz w:val="20"/>
          <w:szCs w:val="20"/>
          <w:lang w:val="es-MX" w:eastAsia="es-ES_tradnl"/>
        </w:rPr>
      </w:pPr>
      <w:r w:rsidRPr="003575C9">
        <w:rPr>
          <w:rFonts w:ascii="Verdana" w:eastAsia="Calibri" w:hAnsi="Verdana" w:cs="Arial"/>
          <w:bCs/>
          <w:sz w:val="20"/>
          <w:szCs w:val="20"/>
          <w:lang w:val="es-MX" w:eastAsia="es-ES_tradnl"/>
        </w:rPr>
        <w:t xml:space="preserve">Respecto a la relación entre el fenómeno de la corrupción con la contratación estatal, </w:t>
      </w:r>
      <w:r>
        <w:rPr>
          <w:rFonts w:ascii="Verdana" w:eastAsia="Calibri" w:hAnsi="Verdana" w:cs="Arial"/>
          <w:bCs/>
          <w:sz w:val="20"/>
          <w:szCs w:val="20"/>
          <w:lang w:val="es-MX" w:eastAsia="es-ES_tradnl"/>
        </w:rPr>
        <w:t>se encuentra</w:t>
      </w:r>
      <w:r w:rsidRPr="003575C9">
        <w:rPr>
          <w:rFonts w:ascii="Verdana" w:eastAsia="Calibri" w:hAnsi="Verdana" w:cs="Arial"/>
          <w:bCs/>
          <w:sz w:val="20"/>
          <w:szCs w:val="20"/>
          <w:lang w:val="es-MX" w:eastAsia="es-ES_tradnl"/>
        </w:rPr>
        <w:t xml:space="preserve"> la inhabilidad del literal j del numeral 1° del artículo 8 de la Ley 80 de 1993, introducida inicialmente por el derogado artículo 18 de la Ley 1150 de 2007.</w:t>
      </w:r>
      <w:r>
        <w:rPr>
          <w:rFonts w:ascii="Verdana" w:eastAsia="Calibri" w:hAnsi="Verdana" w:cs="Arial"/>
          <w:bCs/>
          <w:sz w:val="20"/>
          <w:szCs w:val="20"/>
          <w:lang w:val="es-MX" w:eastAsia="es-ES_tradnl"/>
        </w:rPr>
        <w:t xml:space="preserve"> Modificada actualmente por la Ley 2014 de 2019, </w:t>
      </w:r>
      <w:r w:rsidRPr="003575C9">
        <w:rPr>
          <w:rFonts w:ascii="Verdana" w:eastAsia="Calibri" w:hAnsi="Verdana" w:cs="Arial"/>
          <w:bCs/>
          <w:sz w:val="20"/>
          <w:szCs w:val="20"/>
          <w:lang w:eastAsia="es-ES_tradnl"/>
        </w:rPr>
        <w:t>mantiene a grandes rasgos la configuración de la inhabilidad respecto a las personas naturales declaradas responsables judicialmente por la comisión de delitos relacionados con actos de corrupción, así como las personas jurídicas que hayan sido declaradas responsables administrativamente por la conducta de soborno transnacional. Además de las personas jurídicas sobre las cuales se haya ordenado la suspensión de la personería, la restricción se extiende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Aunque conserva la configuración preventiva, tiene carácter permanente al margen de la aplicación del principio de oportunidad por cualquier delito contra la Administración pública o el patrimonio del Estado</w:t>
      </w:r>
    </w:p>
    <w:p w14:paraId="5AFD4B00" w14:textId="77777777" w:rsidR="00D95883" w:rsidRPr="00523932" w:rsidRDefault="00D95883" w:rsidP="00D95883">
      <w:pPr>
        <w:spacing w:after="0" w:line="240" w:lineRule="auto"/>
        <w:jc w:val="both"/>
        <w:rPr>
          <w:rFonts w:ascii="Verdana" w:eastAsia="Geomanist Light" w:hAnsi="Verdana" w:cs="Arial"/>
          <w:color w:val="000000" w:themeColor="text1"/>
          <w:sz w:val="20"/>
          <w:szCs w:val="20"/>
          <w:lang w:val="es-MX"/>
        </w:rPr>
      </w:pPr>
    </w:p>
    <w:p w14:paraId="4233273A" w14:textId="77777777" w:rsidR="00D95883" w:rsidRPr="00523932" w:rsidRDefault="00D95883" w:rsidP="00D95883">
      <w:pPr>
        <w:spacing w:after="0" w:line="240" w:lineRule="auto"/>
        <w:jc w:val="both"/>
        <w:rPr>
          <w:rFonts w:ascii="Verdana" w:eastAsia="Calibri" w:hAnsi="Verdana" w:cs="Arial"/>
          <w:b/>
          <w:lang w:val="es-MX" w:eastAsia="es-ES_tradnl"/>
        </w:rPr>
      </w:pPr>
      <w:r>
        <w:rPr>
          <w:rFonts w:ascii="Verdana" w:eastAsia="Calibri" w:hAnsi="Verdana" w:cs="Arial"/>
          <w:b/>
          <w:lang w:val="es-MX" w:eastAsia="es-ES_tradnl"/>
        </w:rPr>
        <w:t>CAMPAÑAS POLÍTICAS</w:t>
      </w:r>
      <w:r w:rsidRPr="00523932">
        <w:rPr>
          <w:rFonts w:ascii="Verdana" w:eastAsia="Calibri" w:hAnsi="Verdana" w:cs="Arial"/>
          <w:b/>
          <w:lang w:val="es-MX" w:eastAsia="es-ES_tradnl"/>
        </w:rPr>
        <w:t xml:space="preserve"> – </w:t>
      </w:r>
      <w:r>
        <w:rPr>
          <w:rFonts w:ascii="Verdana" w:eastAsia="Calibri" w:hAnsi="Verdana" w:cs="Arial"/>
          <w:b/>
          <w:lang w:val="es-MX" w:eastAsia="es-ES_tradnl"/>
        </w:rPr>
        <w:t>Financiación</w:t>
      </w:r>
      <w:r w:rsidRPr="00523932">
        <w:rPr>
          <w:rFonts w:ascii="Verdana" w:eastAsia="Calibri" w:hAnsi="Verdana" w:cs="Arial"/>
          <w:b/>
          <w:lang w:val="es-MX" w:eastAsia="es-ES_tradnl"/>
        </w:rPr>
        <w:t xml:space="preserve"> – </w:t>
      </w:r>
      <w:r>
        <w:rPr>
          <w:rFonts w:ascii="Verdana" w:eastAsia="Calibri" w:hAnsi="Verdana" w:cs="Arial"/>
          <w:b/>
          <w:lang w:val="es-MX" w:eastAsia="es-ES_tradnl"/>
        </w:rPr>
        <w:t>Inhabilidad – Limitaciones</w:t>
      </w:r>
    </w:p>
    <w:p w14:paraId="3F74A8F2" w14:textId="77777777" w:rsidR="00D95883" w:rsidRPr="00523932" w:rsidRDefault="00D95883" w:rsidP="00D95883">
      <w:pPr>
        <w:spacing w:after="0" w:line="240" w:lineRule="auto"/>
        <w:rPr>
          <w:rFonts w:ascii="Verdana" w:eastAsia="Calibri" w:hAnsi="Verdana" w:cs="Arial"/>
          <w:bCs/>
          <w:sz w:val="20"/>
          <w:szCs w:val="20"/>
          <w:lang w:val="es-MX" w:eastAsia="es-ES_tradnl"/>
        </w:rPr>
      </w:pPr>
    </w:p>
    <w:p w14:paraId="798233B0" w14:textId="77777777" w:rsidR="00D95883" w:rsidRDefault="00D95883" w:rsidP="00D95883">
      <w:pPr>
        <w:spacing w:after="0" w:line="240" w:lineRule="auto"/>
        <w:jc w:val="both"/>
        <w:rPr>
          <w:rFonts w:ascii="Verdana" w:eastAsia="Calibri" w:hAnsi="Verdana" w:cs="Arial"/>
          <w:bCs/>
          <w:sz w:val="20"/>
          <w:szCs w:val="20"/>
          <w:lang w:val="es-MX" w:eastAsia="es-ES_tradnl"/>
        </w:rPr>
      </w:pPr>
      <w:r w:rsidRPr="006C4022">
        <w:rPr>
          <w:rFonts w:ascii="Verdana" w:eastAsia="Calibri" w:hAnsi="Verdana" w:cs="Arial"/>
          <w:bCs/>
          <w:sz w:val="20"/>
          <w:szCs w:val="20"/>
          <w:lang w:val="es-MX" w:eastAsia="es-ES_tradnl"/>
        </w:rPr>
        <w:t>Dentro de las inhabilidades que reguló el EGCAP, se encuentra la prevista en el literal k) del artículo 2.1 de la Ley 80 de 1993, adicionada por el artículo 2 de la Ley 1474 de 2011 y modificada por el artículo 33 de la Ley 1778 de 2016. Esta causal recae específicamente sobre las personas naturales o jurídicas que hayan financiado campañas en la proporción señalada en la norma, y solo se configura cuando la entidad pública del nivel administrativo para el cual fue elegido el candidato celebra un contrato con las personas que financiaron su campaña</w:t>
      </w:r>
      <w:r w:rsidRPr="00ED440C">
        <w:rPr>
          <w:rFonts w:ascii="Verdana" w:eastAsia="Calibri" w:hAnsi="Verdana" w:cs="Arial"/>
          <w:bCs/>
          <w:sz w:val="20"/>
          <w:szCs w:val="20"/>
          <w:lang w:val="es-MX" w:eastAsia="es-ES_tradnl"/>
        </w:rPr>
        <w:t>.</w:t>
      </w:r>
    </w:p>
    <w:p w14:paraId="1305D6BC" w14:textId="77777777" w:rsidR="00D95883" w:rsidRPr="00ED440C" w:rsidRDefault="00D95883" w:rsidP="00D95883">
      <w:pPr>
        <w:spacing w:after="0" w:line="240" w:lineRule="auto"/>
        <w:jc w:val="both"/>
        <w:rPr>
          <w:rFonts w:ascii="Verdana" w:eastAsia="Calibri" w:hAnsi="Verdana" w:cs="Arial"/>
          <w:bCs/>
          <w:sz w:val="20"/>
          <w:szCs w:val="20"/>
          <w:lang w:val="es-MX" w:eastAsia="es-ES_tradnl"/>
        </w:rPr>
      </w:pPr>
    </w:p>
    <w:p w14:paraId="620B9E12" w14:textId="77777777" w:rsidR="00D95883" w:rsidRDefault="00D95883" w:rsidP="00D95883">
      <w:pPr>
        <w:spacing w:after="0" w:line="240" w:lineRule="auto"/>
        <w:jc w:val="both"/>
        <w:rPr>
          <w:rFonts w:ascii="Verdana" w:eastAsia="Calibri" w:hAnsi="Verdana" w:cs="Arial"/>
          <w:bCs/>
          <w:sz w:val="20"/>
          <w:szCs w:val="20"/>
          <w:lang w:val="es-MX" w:eastAsia="es-ES_tradnl"/>
        </w:rPr>
      </w:pPr>
      <w:r w:rsidRPr="006C4022">
        <w:rPr>
          <w:rFonts w:ascii="Verdana" w:eastAsia="Calibri" w:hAnsi="Verdana" w:cs="Arial"/>
          <w:bCs/>
          <w:sz w:val="20"/>
          <w:szCs w:val="20"/>
          <w:lang w:val="es-MX" w:eastAsia="es-ES_tradnl"/>
        </w:rPr>
        <w:t>Con el objetivo de frenar la corrupción, la norma tiene un propósito moralizante en el ámbito electoral y contractual. Concretamente se orienta a impedir que las campañas políticas sean inversiones con expectativa de ganancia. En otras palabras, surge de la necesidad de “[…] establecer medidas para impedir las conexiones ilegales entre los particulares y la Administración Pública a través de financiación ilegal de campañas políticas. Para ese efecto, se prohíbe que quienes financien campañas electorales se beneficien de contratos públicos” . Sin embargo, se observan las siguientes limitaciones: i) se refiere a cargos de elección popular, es decir, no aplica a cargos de libre nombramiento y remoción, ii) sólo cubre campañas a la Presidencia, gobernaciones, alcaldías y Congreso, dejando fuera a las elecciones para asambleas departamentales y concejos municipales y iii) únicamente exceptúa los contratos de prestación de servicios profesionales</w:t>
      </w:r>
      <w:r w:rsidRPr="00ED440C">
        <w:rPr>
          <w:rFonts w:ascii="Verdana" w:eastAsia="Calibri" w:hAnsi="Verdana" w:cs="Arial"/>
          <w:bCs/>
          <w:sz w:val="20"/>
          <w:szCs w:val="20"/>
          <w:lang w:val="es-MX" w:eastAsia="es-ES_tradnl"/>
        </w:rPr>
        <w:t>.</w:t>
      </w:r>
    </w:p>
    <w:p w14:paraId="72BC0615" w14:textId="77777777" w:rsidR="00D95883" w:rsidRPr="000F6022" w:rsidRDefault="00D95883" w:rsidP="00D95883">
      <w:pPr>
        <w:spacing w:after="0" w:line="240" w:lineRule="auto"/>
        <w:jc w:val="both"/>
        <w:rPr>
          <w:rFonts w:ascii="Verdana" w:eastAsia="Times New Roman" w:hAnsi="Verdana" w:cs="Arial"/>
          <w:color w:val="000000"/>
          <w:sz w:val="20"/>
          <w:szCs w:val="20"/>
          <w:lang w:val="es-MX" w:eastAsia="es-MX"/>
        </w:rPr>
      </w:pPr>
    </w:p>
    <w:p w14:paraId="07FB5295" w14:textId="77777777" w:rsidR="00D95883" w:rsidRDefault="00D95883" w:rsidP="00AA335F">
      <w:pPr>
        <w:spacing w:after="0" w:line="240" w:lineRule="auto"/>
        <w:rPr>
          <w:rFonts w:ascii="Verdana" w:eastAsia="Geomanist Light" w:hAnsi="Verdana" w:cs="Arial"/>
          <w:color w:val="000000" w:themeColor="text1"/>
          <w:lang w:val="es-MX"/>
        </w:rPr>
      </w:pPr>
    </w:p>
    <w:p w14:paraId="52CEBBAC" w14:textId="77777777" w:rsidR="00D95883" w:rsidRDefault="00D95883" w:rsidP="00AA335F">
      <w:pPr>
        <w:spacing w:after="0" w:line="240" w:lineRule="auto"/>
        <w:rPr>
          <w:rFonts w:ascii="Verdana" w:eastAsia="Geomanist Light" w:hAnsi="Verdana" w:cs="Arial"/>
          <w:color w:val="000000" w:themeColor="text1"/>
          <w:lang w:val="es-MX"/>
        </w:rPr>
      </w:pPr>
    </w:p>
    <w:p w14:paraId="71C67BE8" w14:textId="7CC5FED9" w:rsidR="00AA335F" w:rsidRPr="00593A5F" w:rsidRDefault="00AA335F" w:rsidP="00AA335F">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A97A9E" w:rsidRPr="00A97A9E">
        <w:rPr>
          <w:rFonts w:ascii="Verdana" w:eastAsia="Geomanist Light" w:hAnsi="Verdana" w:cs="Arial"/>
          <w:color w:val="000000" w:themeColor="text1"/>
          <w:lang w:val="es-MX"/>
        </w:rPr>
        <w:t>15 de Julio de 2025</w:t>
      </w:r>
    </w:p>
    <w:p w14:paraId="668C76B4" w14:textId="77777777" w:rsidR="00AA335F" w:rsidRDefault="00AA335F" w:rsidP="00AA335F">
      <w:pPr>
        <w:spacing w:after="0" w:line="240" w:lineRule="auto"/>
        <w:jc w:val="both"/>
        <w:rPr>
          <w:rFonts w:ascii="Verdana" w:eastAsia="Calibri" w:hAnsi="Verdana" w:cs="Arial"/>
          <w:color w:val="000000"/>
          <w:lang w:val="es-ES"/>
        </w:rPr>
      </w:pPr>
    </w:p>
    <w:p w14:paraId="2F65DC52" w14:textId="6886CE98" w:rsidR="00A97A9E" w:rsidRDefault="00A97A9E" w:rsidP="00A97A9E">
      <w:pPr>
        <w:spacing w:after="0" w:line="240" w:lineRule="auto"/>
        <w:jc w:val="right"/>
        <w:rPr>
          <w:rFonts w:ascii="Verdana" w:eastAsia="Calibri" w:hAnsi="Verdana" w:cs="Arial"/>
          <w:color w:val="000000"/>
          <w:lang w:val="es-ES"/>
        </w:rPr>
      </w:pPr>
      <w:r w:rsidRPr="00A97A9E">
        <w:rPr>
          <w:rFonts w:ascii="Verdana" w:eastAsia="Calibri" w:hAnsi="Verdana" w:cs="Arial"/>
          <w:noProof/>
          <w:color w:val="000000"/>
          <w:lang w:val="es-ES"/>
        </w:rPr>
        <w:drawing>
          <wp:inline distT="0" distB="0" distL="0" distR="0" wp14:anchorId="16B08AC4" wp14:editId="0DC84A1D">
            <wp:extent cx="2400300" cy="622300"/>
            <wp:effectExtent l="0" t="0" r="0" b="0"/>
            <wp:docPr id="12394223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422390" name=""/>
                    <pic:cNvPicPr/>
                  </pic:nvPicPr>
                  <pic:blipFill>
                    <a:blip r:embed="rId10"/>
                    <a:stretch>
                      <a:fillRect/>
                    </a:stretch>
                  </pic:blipFill>
                  <pic:spPr>
                    <a:xfrm>
                      <a:off x="0" y="0"/>
                      <a:ext cx="2400300" cy="622300"/>
                    </a:xfrm>
                    <a:prstGeom prst="rect">
                      <a:avLst/>
                    </a:prstGeom>
                  </pic:spPr>
                </pic:pic>
              </a:graphicData>
            </a:graphic>
          </wp:inline>
        </w:drawing>
      </w:r>
    </w:p>
    <w:p w14:paraId="35B2C829" w14:textId="77777777" w:rsidR="00AA335F" w:rsidRPr="00593A5F" w:rsidRDefault="00AA335F" w:rsidP="00AA335F">
      <w:pPr>
        <w:spacing w:after="0" w:line="240" w:lineRule="auto"/>
        <w:jc w:val="both"/>
        <w:rPr>
          <w:rFonts w:ascii="Verdana" w:eastAsia="Calibri" w:hAnsi="Verdana" w:cs="Arial"/>
          <w:color w:val="000000"/>
          <w:lang w:val="es-ES"/>
        </w:rPr>
      </w:pPr>
    </w:p>
    <w:p w14:paraId="26B58E89" w14:textId="77777777" w:rsidR="00AA335F" w:rsidRPr="00B96799" w:rsidRDefault="00AA335F" w:rsidP="00AA335F">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E29D5BE" w14:textId="77777777" w:rsidR="00AA335F" w:rsidRPr="0085423D" w:rsidRDefault="00AA335F" w:rsidP="00AA335F">
      <w:pPr>
        <w:spacing w:after="0" w:line="240" w:lineRule="auto"/>
        <w:rPr>
          <w:rFonts w:ascii="Verdana" w:eastAsia="Calibri" w:hAnsi="Verdana" w:cs="Arial"/>
          <w:b/>
          <w:lang w:val="es-ES_tradnl" w:eastAsia="es-ES_tradnl"/>
        </w:rPr>
      </w:pPr>
      <w:bookmarkStart w:id="0" w:name="OLE_LINK1"/>
      <w:r w:rsidRPr="0084291A">
        <w:rPr>
          <w:rFonts w:ascii="Verdana" w:eastAsia="Calibri" w:hAnsi="Verdana" w:cs="Arial"/>
          <w:b/>
          <w:lang w:val="es-ES_tradnl" w:eastAsia="es-ES_tradnl"/>
        </w:rPr>
        <w:t>Martha Angélica Salinas Arenas</w:t>
      </w:r>
      <w:r>
        <w:rPr>
          <w:rFonts w:ascii="Verdana" w:eastAsia="Calibri" w:hAnsi="Verdana" w:cs="Arial"/>
          <w:b/>
          <w:lang w:val="es-ES_tradnl" w:eastAsia="es-ES_tradnl"/>
        </w:rPr>
        <w:t xml:space="preserve"> </w:t>
      </w:r>
    </w:p>
    <w:bookmarkEnd w:id="0"/>
    <w:p w14:paraId="45F9A7CD" w14:textId="5CBF90A9" w:rsidR="00AA335F" w:rsidRPr="00507587" w:rsidRDefault="00AA335F" w:rsidP="00AA335F">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84291A">
        <w:rPr>
          <w:rFonts w:ascii="Verdana" w:hAnsi="Verdana"/>
        </w:rPr>
        <w:instrText>martha.salinas@fac.mil.co</w:instrText>
      </w:r>
      <w:r>
        <w:rPr>
          <w:rFonts w:ascii="Verdana" w:hAnsi="Verdana"/>
        </w:rPr>
        <w:instrText>"</w:instrText>
      </w:r>
      <w:r>
        <w:rPr>
          <w:rFonts w:ascii="Verdana" w:hAnsi="Verdana"/>
        </w:rPr>
      </w:r>
      <w:r>
        <w:rPr>
          <w:rFonts w:ascii="Verdana" w:hAnsi="Verdana"/>
        </w:rPr>
        <w:fldChar w:fldCharType="separate"/>
      </w:r>
      <w:r w:rsidRPr="00D668B1">
        <w:rPr>
          <w:rStyle w:val="Hipervnculo"/>
          <w:rFonts w:ascii="Verdana" w:hAnsi="Verdana"/>
        </w:rPr>
        <w:t>martha.salinas@fac.mil.co</w:t>
      </w:r>
      <w:r>
        <w:rPr>
          <w:rFonts w:ascii="Verdana" w:hAnsi="Verdana"/>
        </w:rPr>
        <w:fldChar w:fldCharType="end"/>
      </w:r>
      <w:r>
        <w:rPr>
          <w:rFonts w:ascii="Verdana" w:hAnsi="Verdana"/>
        </w:rPr>
        <w:t xml:space="preserve"> </w:t>
      </w:r>
      <w:r w:rsidRPr="0084291A">
        <w:rPr>
          <w:rFonts w:ascii="Verdana" w:hAnsi="Verdana"/>
        </w:rPr>
        <w:t xml:space="preserve"> </w:t>
      </w:r>
      <w:r>
        <w:rPr>
          <w:rFonts w:ascii="Verdana" w:hAnsi="Verdana"/>
        </w:rPr>
        <w:t xml:space="preserve"> </w:t>
      </w:r>
      <w:r w:rsidRPr="00507587">
        <w:rPr>
          <w:rFonts w:ascii="Verdana" w:hAnsi="Verdana"/>
        </w:rPr>
        <w:t xml:space="preserve">            </w:t>
      </w:r>
      <w:r w:rsidRPr="00507587">
        <w:rPr>
          <w:rFonts w:ascii="Verdana" w:eastAsia="Calibri" w:hAnsi="Verdana" w:cs="Arial"/>
          <w:lang w:val="es-ES" w:eastAsia="es-ES"/>
        </w:rPr>
        <w:t xml:space="preserve">    </w:t>
      </w:r>
    </w:p>
    <w:p w14:paraId="15A72BC8" w14:textId="77777777" w:rsidR="00AA335F" w:rsidRDefault="00AA335F" w:rsidP="00AA335F">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494755FF" w14:textId="77777777" w:rsidR="00AA335F" w:rsidRPr="00593A5F" w:rsidRDefault="00AA335F" w:rsidP="00AA335F">
      <w:pPr>
        <w:spacing w:after="0" w:line="240" w:lineRule="auto"/>
        <w:rPr>
          <w:rFonts w:ascii="Verdana" w:eastAsia="Calibri" w:hAnsi="Verdana" w:cs="Arial"/>
          <w:b/>
          <w:bCs/>
          <w:color w:val="000000"/>
          <w:lang w:val="es-ES_tradnl" w:eastAsia="es-ES_tradnl"/>
        </w:rPr>
      </w:pPr>
    </w:p>
    <w:p w14:paraId="50BAF645" w14:textId="77777777" w:rsidR="00AA335F" w:rsidRPr="00593A5F" w:rsidRDefault="00AA335F" w:rsidP="00AA335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A335F" w:rsidRPr="00593A5F" w14:paraId="091D4FF7" w14:textId="77777777" w:rsidTr="007900A4">
        <w:trPr>
          <w:trHeight w:val="884"/>
        </w:trPr>
        <w:tc>
          <w:tcPr>
            <w:tcW w:w="2689" w:type="dxa"/>
          </w:tcPr>
          <w:p w14:paraId="2F869EB7" w14:textId="77777777" w:rsidR="00AA335F" w:rsidRPr="00C00976" w:rsidRDefault="00AA335F" w:rsidP="007900A4">
            <w:pPr>
              <w:jc w:val="both"/>
              <w:rPr>
                <w:rFonts w:ascii="Verdana" w:eastAsia="Calibri" w:hAnsi="Verdana" w:cs="Arial"/>
                <w:b/>
                <w:bCs/>
                <w:color w:val="7030A0"/>
                <w:lang w:val="es-ES_tradnl" w:eastAsia="es-ES_tradnl"/>
              </w:rPr>
            </w:pPr>
          </w:p>
        </w:tc>
        <w:tc>
          <w:tcPr>
            <w:tcW w:w="6100" w:type="dxa"/>
          </w:tcPr>
          <w:p w14:paraId="5A83B0AA" w14:textId="77777777" w:rsidR="00AA335F" w:rsidRPr="00C00976" w:rsidRDefault="00AA335F" w:rsidP="007900A4">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867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AA335F" w:rsidRPr="00593A5F" w14:paraId="34B5DD7E" w14:textId="77777777" w:rsidTr="007900A4">
        <w:trPr>
          <w:trHeight w:val="884"/>
        </w:trPr>
        <w:tc>
          <w:tcPr>
            <w:tcW w:w="2689" w:type="dxa"/>
          </w:tcPr>
          <w:p w14:paraId="449160EA" w14:textId="77777777" w:rsidR="00AA335F" w:rsidRPr="00593A5F" w:rsidRDefault="00AA335F" w:rsidP="007900A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83FD4F7" w14:textId="77777777" w:rsidR="00AA335F" w:rsidRPr="00A11406" w:rsidRDefault="00AA335F" w:rsidP="007900A4">
            <w:pPr>
              <w:spacing w:line="276" w:lineRule="auto"/>
              <w:jc w:val="both"/>
              <w:rPr>
                <w:rFonts w:ascii="Verdana" w:eastAsia="Calibri" w:hAnsi="Verdana" w:cs="Arial"/>
                <w:lang w:val="es-ES" w:eastAsia="es-ES"/>
              </w:rPr>
            </w:pPr>
            <w:r w:rsidRPr="003575C9">
              <w:rPr>
                <w:rFonts w:ascii="Verdana" w:eastAsia="Calibri" w:hAnsi="Verdana" w:cs="Arial"/>
                <w:lang w:val="es-ES" w:eastAsia="es-ES"/>
              </w:rPr>
              <w:t>INHABILIDADES – Definición – Finalidad – Limitación capacidad contractual</w:t>
            </w:r>
            <w:r>
              <w:rPr>
                <w:rFonts w:ascii="Verdana" w:eastAsia="Calibri" w:hAnsi="Verdana" w:cs="Arial"/>
                <w:lang w:val="es-ES" w:eastAsia="es-ES"/>
              </w:rPr>
              <w:t xml:space="preserve"> / </w:t>
            </w:r>
            <w:r w:rsidRPr="003575C9">
              <w:rPr>
                <w:rFonts w:ascii="Verdana" w:eastAsia="Calibri" w:hAnsi="Verdana" w:cs="Arial"/>
                <w:lang w:val="es-ES" w:eastAsia="es-ES"/>
              </w:rPr>
              <w:t>CONTRATACIÓN ESTATAL – Capacidad – Validez contratos – Régimen de contratación – Inscripción – Limitación de la capacidad</w:t>
            </w:r>
            <w:r>
              <w:rPr>
                <w:rFonts w:ascii="Verdana" w:eastAsia="Calibri" w:hAnsi="Verdana" w:cs="Arial"/>
                <w:lang w:val="es-ES" w:eastAsia="es-ES"/>
              </w:rPr>
              <w:t xml:space="preserve"> / </w:t>
            </w:r>
            <w:r w:rsidRPr="003575C9">
              <w:rPr>
                <w:rFonts w:ascii="Verdana" w:eastAsia="Calibri" w:hAnsi="Verdana" w:cs="Arial"/>
                <w:lang w:val="es-ES" w:eastAsia="es-ES"/>
              </w:rPr>
              <w:t>ACTOS DE CORRUPCIÓN – Inhabilidad – Fundamento</w:t>
            </w:r>
            <w:r>
              <w:rPr>
                <w:rFonts w:ascii="Verdana" w:eastAsia="Calibri" w:hAnsi="Verdana" w:cs="Arial"/>
                <w:lang w:val="es-ES" w:eastAsia="es-ES"/>
              </w:rPr>
              <w:t xml:space="preserve"> / </w:t>
            </w:r>
            <w:r w:rsidRPr="003575C9">
              <w:rPr>
                <w:rFonts w:ascii="Verdana" w:eastAsia="Calibri" w:hAnsi="Verdana" w:cs="Arial"/>
                <w:lang w:val="es-ES" w:eastAsia="es-ES"/>
              </w:rPr>
              <w:t>CAMPAÑAS POLÍTICAS – Financiación – Inhabilidad – Limitaciones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3D9C70B" w14:textId="77777777" w:rsidR="00AA335F" w:rsidRPr="00593A5F" w:rsidRDefault="00AA335F" w:rsidP="007900A4">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A335F" w:rsidRPr="008E6AD9" w14:paraId="4FCD6445" w14:textId="77777777" w:rsidTr="007900A4">
        <w:tc>
          <w:tcPr>
            <w:tcW w:w="2689" w:type="dxa"/>
          </w:tcPr>
          <w:p w14:paraId="3FFF0536" w14:textId="77777777" w:rsidR="00AA335F" w:rsidRPr="008E6AD9" w:rsidRDefault="00AA335F" w:rsidP="007900A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577CBAC" w14:textId="77777777" w:rsidR="00AA335F" w:rsidRPr="00B92340" w:rsidRDefault="00AA335F" w:rsidP="007900A4">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173D38">
              <w:rPr>
                <w:rFonts w:ascii="Verdana" w:eastAsia="Calibri" w:hAnsi="Verdana" w:cs="Arial"/>
                <w:lang w:val="es-ES_tradnl" w:eastAsia="es-ES_tradnl"/>
              </w:rPr>
              <w:t>1_2025_06_27_006473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58C7C4B" w14:textId="77777777" w:rsidR="00AA335F" w:rsidRPr="00593A5F" w:rsidRDefault="00AA335F" w:rsidP="00AA335F">
      <w:pPr>
        <w:spacing w:after="0" w:line="240" w:lineRule="auto"/>
        <w:jc w:val="both"/>
        <w:rPr>
          <w:rFonts w:ascii="Verdana" w:eastAsia="Calibri" w:hAnsi="Verdana" w:cs="Arial"/>
          <w:color w:val="000000"/>
          <w:lang w:val="es-ES_tradnl" w:eastAsia="es-ES_tradnl"/>
        </w:rPr>
      </w:pPr>
    </w:p>
    <w:p w14:paraId="4988F8D3" w14:textId="77777777" w:rsidR="00AA335F" w:rsidRPr="00593A5F" w:rsidRDefault="00AA335F" w:rsidP="00AA335F">
      <w:pPr>
        <w:spacing w:after="0" w:line="240" w:lineRule="auto"/>
        <w:jc w:val="both"/>
        <w:rPr>
          <w:rFonts w:ascii="Verdana" w:eastAsia="Calibri" w:hAnsi="Verdana" w:cs="Arial"/>
          <w:color w:val="000000"/>
          <w:lang w:val="es-ES_tradnl" w:eastAsia="es-ES_tradnl"/>
        </w:rPr>
      </w:pPr>
    </w:p>
    <w:p w14:paraId="26BE9D9B" w14:textId="77777777" w:rsidR="00AA335F" w:rsidRPr="008E6AD9" w:rsidRDefault="00AA335F" w:rsidP="00AA335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84291A">
        <w:rPr>
          <w:rFonts w:ascii="Verdana" w:eastAsia="Calibri" w:hAnsi="Verdana" w:cs="Arial"/>
          <w:lang w:val="es-ES" w:eastAsia="es-ES"/>
        </w:rPr>
        <w:t>Salinas Arenas</w:t>
      </w:r>
      <w:r w:rsidRPr="008E6AD9">
        <w:rPr>
          <w:rFonts w:ascii="Verdana" w:eastAsia="Calibri" w:hAnsi="Verdana" w:cs="Arial"/>
          <w:lang w:val="es-ES" w:eastAsia="es-ES"/>
        </w:rPr>
        <w:t xml:space="preserve">: </w:t>
      </w:r>
    </w:p>
    <w:p w14:paraId="79B10CCF" w14:textId="77777777" w:rsidR="00AA335F" w:rsidRDefault="00AA335F" w:rsidP="00AA335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84568AC" w14:textId="77777777" w:rsidR="00AA335F" w:rsidRPr="00593A5F" w:rsidRDefault="00AA335F" w:rsidP="00AA335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19 de junio de 2025 realizada a la Cámara de Comercio de Bogotá, en la cual plantea lo siguiente</w:t>
      </w:r>
      <w:r w:rsidRPr="008E6AD9">
        <w:rPr>
          <w:rFonts w:ascii="Verdana" w:eastAsia="Calibri" w:hAnsi="Verdana" w:cs="Arial"/>
          <w:lang w:val="es-ES" w:eastAsia="es-ES"/>
        </w:rPr>
        <w:t xml:space="preserve">: </w:t>
      </w:r>
    </w:p>
    <w:p w14:paraId="39CD518C" w14:textId="77777777" w:rsidR="00AA335F" w:rsidRPr="00272A7B" w:rsidRDefault="00AA335F" w:rsidP="00AA335F">
      <w:pPr>
        <w:pStyle w:val="Prrafodelista"/>
        <w:tabs>
          <w:tab w:val="left" w:pos="142"/>
          <w:tab w:val="left" w:pos="284"/>
        </w:tabs>
        <w:spacing w:after="0" w:line="276" w:lineRule="auto"/>
        <w:ind w:left="0"/>
        <w:jc w:val="both"/>
        <w:rPr>
          <w:rFonts w:ascii="Verdana" w:eastAsia="Century Gothic" w:hAnsi="Verdana" w:cs="Century Gothic"/>
          <w:b/>
          <w:bCs/>
        </w:rPr>
      </w:pPr>
    </w:p>
    <w:p w14:paraId="14BE3124" w14:textId="77777777" w:rsidR="00AA335F" w:rsidRDefault="00AA335F" w:rsidP="00AA335F">
      <w:pPr>
        <w:spacing w:after="0" w:line="240" w:lineRule="auto"/>
        <w:ind w:left="709" w:right="709"/>
        <w:jc w:val="both"/>
        <w:rPr>
          <w:rFonts w:ascii="Verdana" w:eastAsia="Century Gothic" w:hAnsi="Verdana" w:cs="Century Gothic"/>
          <w:sz w:val="21"/>
          <w:szCs w:val="21"/>
          <w:lang w:val="es-ES"/>
        </w:rPr>
      </w:pPr>
      <w:bookmarkStart w:id="1" w:name="_Hlk95313578"/>
      <w:r w:rsidRPr="006E7258">
        <w:rPr>
          <w:rFonts w:ascii="Verdana" w:eastAsia="Century Gothic" w:hAnsi="Verdana" w:cs="Century Gothic"/>
          <w:sz w:val="21"/>
          <w:szCs w:val="21"/>
          <w:lang w:val="es-ES"/>
        </w:rPr>
        <w:t>“</w:t>
      </w:r>
      <w:bookmarkEnd w:id="1"/>
      <w:r w:rsidRPr="0084291A">
        <w:rPr>
          <w:rFonts w:ascii="Verdana" w:eastAsia="Century Gothic" w:hAnsi="Verdana" w:cs="Century Gothic"/>
          <w:sz w:val="21"/>
          <w:szCs w:val="21"/>
          <w:lang w:val="es-ES"/>
        </w:rPr>
        <w:t>En atención a lo establecido en artículo 2.1.4.3.2.1. del Decreto 1600 de 2024 que indica:</w:t>
      </w:r>
    </w:p>
    <w:p w14:paraId="5F6FFE47" w14:textId="77777777" w:rsidR="00AA335F" w:rsidRDefault="00AA335F" w:rsidP="00AA335F">
      <w:pPr>
        <w:spacing w:after="0" w:line="240" w:lineRule="auto"/>
        <w:ind w:left="709" w:right="709"/>
        <w:jc w:val="both"/>
        <w:rPr>
          <w:rFonts w:ascii="Verdana" w:eastAsia="Century Gothic" w:hAnsi="Verdana" w:cs="Century Gothic"/>
          <w:sz w:val="21"/>
          <w:szCs w:val="21"/>
          <w:lang w:val="es-ES"/>
        </w:rPr>
      </w:pPr>
    </w:p>
    <w:p w14:paraId="667ADF94" w14:textId="77777777" w:rsidR="00AA335F" w:rsidRPr="0084291A" w:rsidRDefault="00AA335F" w:rsidP="00AA335F">
      <w:pPr>
        <w:spacing w:after="120" w:line="240" w:lineRule="auto"/>
        <w:ind w:left="709" w:right="709"/>
        <w:jc w:val="both"/>
        <w:rPr>
          <w:rFonts w:ascii="Verdana" w:eastAsia="Century Gothic" w:hAnsi="Verdana" w:cs="Century Gothic"/>
          <w:sz w:val="21"/>
          <w:szCs w:val="21"/>
        </w:rPr>
      </w:pPr>
      <w:r w:rsidRPr="0084291A">
        <w:rPr>
          <w:rFonts w:ascii="Verdana" w:eastAsia="Century Gothic" w:hAnsi="Verdana" w:cs="Century Gothic"/>
          <w:b/>
          <w:bCs/>
          <w:i/>
          <w:iCs/>
          <w:sz w:val="21"/>
          <w:szCs w:val="21"/>
        </w:rPr>
        <w:lastRenderedPageBreak/>
        <w:t>Artículo 2.1.4.3.2.1. Prevención de corrupción en la contratación pública. </w:t>
      </w:r>
      <w:r w:rsidRPr="0084291A">
        <w:rPr>
          <w:rFonts w:ascii="Verdana" w:eastAsia="Century Gothic" w:hAnsi="Verdana" w:cs="Century Gothic"/>
          <w:i/>
          <w:iCs/>
          <w:sz w:val="21"/>
          <w:szCs w:val="21"/>
        </w:rPr>
        <w:t>Las entidades mencionadas en el artículo 2.1.4.3.1.2 del presente decreto, sin perjuicio de las demás obligaciones legales y reglamentarias, deberán garantizar las siguientes acciones en el desarrollo y la gestión contractual a su cargo: </w:t>
      </w:r>
      <w:r w:rsidRPr="0084291A">
        <w:rPr>
          <w:rFonts w:ascii="Verdana" w:eastAsia="Century Gothic" w:hAnsi="Verdana" w:cs="Century Gothic"/>
          <w:sz w:val="21"/>
          <w:szCs w:val="21"/>
        </w:rPr>
        <w:t> </w:t>
      </w:r>
    </w:p>
    <w:p w14:paraId="12E01F4A" w14:textId="77777777" w:rsidR="00AA335F" w:rsidRPr="0084291A" w:rsidRDefault="00AA335F" w:rsidP="00AA335F">
      <w:pPr>
        <w:spacing w:after="120" w:line="240" w:lineRule="auto"/>
        <w:ind w:left="709" w:right="709"/>
        <w:jc w:val="both"/>
        <w:rPr>
          <w:rFonts w:ascii="Verdana" w:eastAsia="Century Gothic" w:hAnsi="Verdana" w:cs="Century Gothic"/>
          <w:sz w:val="21"/>
          <w:szCs w:val="21"/>
        </w:rPr>
      </w:pPr>
      <w:r w:rsidRPr="0084291A">
        <w:rPr>
          <w:rFonts w:ascii="Verdana" w:eastAsia="Century Gothic" w:hAnsi="Verdana" w:cs="Century Gothic"/>
          <w:i/>
          <w:iCs/>
          <w:sz w:val="21"/>
          <w:szCs w:val="21"/>
        </w:rPr>
        <w:t>a) </w:t>
      </w:r>
      <w:r w:rsidRPr="0084291A">
        <w:rPr>
          <w:rFonts w:ascii="Verdana" w:eastAsia="Century Gothic" w:hAnsi="Verdana" w:cs="Century Gothic"/>
          <w:b/>
          <w:bCs/>
          <w:i/>
          <w:iCs/>
          <w:sz w:val="21"/>
          <w:szCs w:val="21"/>
        </w:rPr>
        <w:t>Verificar la existencia de situaciones de control. </w:t>
      </w:r>
      <w:r w:rsidRPr="0084291A">
        <w:rPr>
          <w:rFonts w:ascii="Verdana" w:eastAsia="Century Gothic" w:hAnsi="Verdana" w:cs="Century Gothic"/>
          <w:i/>
          <w:iCs/>
          <w:sz w:val="21"/>
          <w:szCs w:val="21"/>
        </w:rPr>
        <w:t>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r w:rsidRPr="0084291A">
        <w:rPr>
          <w:rFonts w:ascii="Verdana" w:eastAsia="Century Gothic" w:hAnsi="Verdana" w:cs="Century Gothic"/>
          <w:sz w:val="21"/>
          <w:szCs w:val="21"/>
        </w:rPr>
        <w:t> </w:t>
      </w:r>
    </w:p>
    <w:p w14:paraId="3B1D0A4A" w14:textId="77777777" w:rsidR="00AA335F" w:rsidRDefault="00AA335F" w:rsidP="00AA335F">
      <w:pPr>
        <w:spacing w:after="0" w:line="240" w:lineRule="auto"/>
        <w:ind w:left="709" w:right="709"/>
        <w:jc w:val="both"/>
        <w:rPr>
          <w:rFonts w:ascii="Verdana" w:eastAsia="Century Gothic" w:hAnsi="Verdana" w:cs="Century Gothic"/>
          <w:i/>
          <w:iCs/>
          <w:sz w:val="21"/>
          <w:szCs w:val="21"/>
        </w:rPr>
      </w:pPr>
      <w:r w:rsidRPr="0084291A">
        <w:rPr>
          <w:rFonts w:ascii="Verdana" w:eastAsia="Century Gothic" w:hAnsi="Verdana" w:cs="Century Gothic"/>
          <w:i/>
          <w:iCs/>
          <w:sz w:val="21"/>
          <w:szCs w:val="21"/>
        </w:rPr>
        <w:t xml:space="preserve">Las entidades contratantes examinarán la existencia de las circunstancias antes descritas, con base en la información proporcionada por los oferentes y </w:t>
      </w:r>
      <w:r w:rsidRPr="0084291A">
        <w:rPr>
          <w:rFonts w:ascii="Verdana" w:eastAsia="Century Gothic" w:hAnsi="Verdana" w:cs="Century Gothic"/>
          <w:b/>
          <w:bCs/>
          <w:i/>
          <w:iCs/>
          <w:sz w:val="21"/>
          <w:szCs w:val="21"/>
          <w:u w:val="single"/>
        </w:rPr>
        <w:t>en la que reposa en los expedientes públicos registrados ante las Cámaras de Comercio</w:t>
      </w:r>
      <w:r w:rsidRPr="0084291A">
        <w:rPr>
          <w:rFonts w:ascii="Verdana" w:eastAsia="Century Gothic" w:hAnsi="Verdana" w:cs="Century Gothic"/>
          <w:i/>
          <w:iCs/>
          <w:sz w:val="21"/>
          <w:szCs w:val="21"/>
        </w:rPr>
        <w:t>, con el fin de prever la configuración de las causales de inhabilidad e incompatibilidad previstas en el artículo 8° de la Ley 80 de 1993.</w:t>
      </w:r>
    </w:p>
    <w:p w14:paraId="64207965" w14:textId="77777777" w:rsidR="00AA335F" w:rsidRPr="0084291A" w:rsidRDefault="00AA335F" w:rsidP="00AA335F">
      <w:pPr>
        <w:spacing w:after="0" w:line="240" w:lineRule="auto"/>
        <w:ind w:left="709" w:right="709"/>
        <w:jc w:val="both"/>
        <w:rPr>
          <w:rFonts w:ascii="Verdana" w:eastAsia="Century Gothic" w:hAnsi="Verdana" w:cs="Century Gothic"/>
          <w:sz w:val="21"/>
          <w:szCs w:val="21"/>
        </w:rPr>
      </w:pPr>
      <w:r>
        <w:rPr>
          <w:rFonts w:ascii="Verdana" w:eastAsia="Century Gothic" w:hAnsi="Verdana" w:cs="Century Gothic"/>
          <w:sz w:val="21"/>
          <w:szCs w:val="21"/>
        </w:rPr>
        <w:t>[…]</w:t>
      </w:r>
    </w:p>
    <w:p w14:paraId="4CDE0097" w14:textId="77777777" w:rsidR="00AA335F" w:rsidRDefault="00AA335F" w:rsidP="00AA335F">
      <w:pPr>
        <w:spacing w:after="0" w:line="240" w:lineRule="auto"/>
        <w:ind w:left="709" w:right="709"/>
        <w:jc w:val="both"/>
        <w:rPr>
          <w:rFonts w:ascii="Verdana" w:eastAsia="Century Gothic" w:hAnsi="Verdana" w:cs="Century Gothic"/>
          <w:i/>
          <w:iCs/>
          <w:sz w:val="21"/>
          <w:szCs w:val="21"/>
        </w:rPr>
      </w:pPr>
    </w:p>
    <w:p w14:paraId="7BC98615" w14:textId="77777777" w:rsidR="00AA335F" w:rsidRDefault="00AA335F" w:rsidP="00AA335F">
      <w:pPr>
        <w:spacing w:after="120" w:line="240" w:lineRule="auto"/>
        <w:ind w:left="709" w:right="709"/>
        <w:jc w:val="both"/>
        <w:rPr>
          <w:rFonts w:ascii="Verdana" w:eastAsia="Century Gothic" w:hAnsi="Verdana" w:cs="Century Gothic"/>
          <w:sz w:val="21"/>
          <w:szCs w:val="21"/>
        </w:rPr>
      </w:pPr>
      <w:r w:rsidRPr="0084291A">
        <w:rPr>
          <w:rFonts w:ascii="Verdana" w:eastAsia="Century Gothic" w:hAnsi="Verdana" w:cs="Century Gothic"/>
          <w:sz w:val="21"/>
          <w:szCs w:val="21"/>
        </w:rPr>
        <w:t>C</w:t>
      </w:r>
      <w:r>
        <w:rPr>
          <w:rFonts w:ascii="Verdana" w:eastAsia="Century Gothic" w:hAnsi="Verdana" w:cs="Century Gothic"/>
          <w:sz w:val="21"/>
          <w:szCs w:val="21"/>
        </w:rPr>
        <w:t>ó</w:t>
      </w:r>
      <w:r w:rsidRPr="0084291A">
        <w:rPr>
          <w:rFonts w:ascii="Verdana" w:eastAsia="Century Gothic" w:hAnsi="Verdana" w:cs="Century Gothic"/>
          <w:sz w:val="21"/>
          <w:szCs w:val="21"/>
        </w:rPr>
        <w:t>mo puede la entidad pública realizar la verificación en los expedientes públicos registrados en la Cámara de Comercio? o, si solamente, se verifica exclusivamente en el certificado de existencia y representación legal o desde su corporación se puede realizar una validación adicional para cotejar la información de la Cámara de Comercio.</w:t>
      </w:r>
    </w:p>
    <w:p w14:paraId="7D29BCAD" w14:textId="77777777" w:rsidR="00AA335F" w:rsidRPr="00D92842" w:rsidRDefault="00AA335F" w:rsidP="00AA335F">
      <w:pPr>
        <w:spacing w:after="0" w:line="240" w:lineRule="auto"/>
        <w:ind w:left="709" w:right="709"/>
        <w:jc w:val="both"/>
        <w:rPr>
          <w:rFonts w:ascii="Verdana" w:eastAsia="Century Gothic" w:hAnsi="Verdana" w:cs="Century Gothic"/>
          <w:sz w:val="21"/>
          <w:szCs w:val="21"/>
        </w:rPr>
      </w:pPr>
      <w:r w:rsidRPr="0084291A">
        <w:rPr>
          <w:rFonts w:ascii="Verdana" w:eastAsia="Century Gothic" w:hAnsi="Verdana" w:cs="Century Gothic"/>
          <w:sz w:val="21"/>
          <w:szCs w:val="21"/>
        </w:rPr>
        <w:t>Lo anterior, teniendo en cuenta que por ejemplo, en el caso de las multas y/o sanciones se han encontrado diferencias entre la información del RUP, y los reportes de consulta en RUES y el SECOP</w:t>
      </w:r>
      <w:r w:rsidRPr="008C4FF0">
        <w:rPr>
          <w:rFonts w:ascii="Verdana" w:eastAsia="Century Gothic" w:hAnsi="Verdana" w:cs="Century Gothic"/>
          <w:sz w:val="21"/>
          <w:szCs w:val="21"/>
        </w:rPr>
        <w:t>”.</w:t>
      </w:r>
      <w:r>
        <w:rPr>
          <w:rFonts w:ascii="Verdana" w:eastAsia="Century Gothic" w:hAnsi="Verdana" w:cs="Century Gothic"/>
          <w:sz w:val="21"/>
          <w:szCs w:val="21"/>
        </w:rPr>
        <w:t xml:space="preserve"> (Énfasis dentro del texto)</w:t>
      </w:r>
    </w:p>
    <w:p w14:paraId="45382C03" w14:textId="77777777" w:rsidR="00AA335F" w:rsidRPr="008E6AD9" w:rsidRDefault="00AA335F" w:rsidP="00AA335F">
      <w:pPr>
        <w:pStyle w:val="Prrafodelista"/>
        <w:tabs>
          <w:tab w:val="left" w:pos="142"/>
          <w:tab w:val="left" w:pos="284"/>
        </w:tabs>
        <w:spacing w:after="0" w:line="276" w:lineRule="auto"/>
        <w:ind w:left="0"/>
        <w:jc w:val="both"/>
        <w:rPr>
          <w:rFonts w:ascii="Verdana" w:eastAsia="Century Gothic" w:hAnsi="Verdana" w:cs="Century Gothic"/>
          <w:b/>
          <w:bCs/>
        </w:rPr>
      </w:pPr>
    </w:p>
    <w:p w14:paraId="16FD4FFA" w14:textId="77777777" w:rsidR="00AA335F" w:rsidRDefault="00AA335F" w:rsidP="00AA335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 xml:space="preserve">La Cámara de Comercio de Bogotá resolvió la solicitud mediante el Oficio </w:t>
      </w:r>
      <w:r w:rsidRPr="00D92842">
        <w:rPr>
          <w:rFonts w:ascii="Verdana" w:eastAsia="Calibri" w:hAnsi="Verdana" w:cs="Arial"/>
          <w:color w:val="000000"/>
          <w:lang w:val="es-ES" w:eastAsia="es-ES"/>
        </w:rPr>
        <w:t>CRS0165240</w:t>
      </w:r>
      <w:r>
        <w:rPr>
          <w:rFonts w:ascii="Verdana" w:eastAsia="Calibri" w:hAnsi="Verdana" w:cs="Arial"/>
          <w:color w:val="000000"/>
          <w:lang w:val="es-ES" w:eastAsia="es-ES"/>
        </w:rPr>
        <w:t xml:space="preserve"> del </w:t>
      </w:r>
      <w:r w:rsidRPr="00D92842">
        <w:rPr>
          <w:rFonts w:ascii="Verdana" w:eastAsia="Calibri" w:hAnsi="Verdana" w:cs="Arial"/>
          <w:color w:val="000000"/>
          <w:lang w:val="es-ES" w:eastAsia="es-ES"/>
        </w:rPr>
        <w:t>27 de junio de 2025</w:t>
      </w:r>
      <w:r>
        <w:rPr>
          <w:rFonts w:ascii="Verdana" w:eastAsia="Calibri" w:hAnsi="Verdana" w:cs="Arial"/>
          <w:color w:val="000000"/>
          <w:lang w:val="es-ES" w:eastAsia="es-ES"/>
        </w:rPr>
        <w:t xml:space="preserve">. Sin embargo, explica que “[…] </w:t>
      </w:r>
      <w:r w:rsidRPr="00D92842">
        <w:rPr>
          <w:rFonts w:ascii="Verdana" w:eastAsia="Calibri" w:hAnsi="Verdana" w:cs="Arial"/>
          <w:color w:val="000000"/>
          <w:lang w:val="es-ES" w:eastAsia="es-ES"/>
        </w:rPr>
        <w:t>respecto a la respuesta de fondo sobre el tema de la inhabilidad e incompatibilidad</w:t>
      </w:r>
      <w:r>
        <w:rPr>
          <w:rFonts w:ascii="Verdana" w:eastAsia="Calibri" w:hAnsi="Verdana" w:cs="Arial"/>
          <w:color w:val="000000"/>
          <w:lang w:val="es-ES" w:eastAsia="es-ES"/>
        </w:rPr>
        <w:t xml:space="preserve"> </w:t>
      </w:r>
      <w:r w:rsidRPr="00D92842">
        <w:rPr>
          <w:rFonts w:ascii="Verdana" w:eastAsia="Calibri" w:hAnsi="Verdana" w:cs="Arial"/>
          <w:color w:val="000000"/>
          <w:lang w:val="es-ES" w:eastAsia="es-ES"/>
        </w:rPr>
        <w:t>previsto en el artículo 8 de la Ley 80 de 1993, la Cámara de Comercio de Bogotá por carecer de</w:t>
      </w:r>
      <w:r>
        <w:rPr>
          <w:rFonts w:ascii="Verdana" w:eastAsia="Calibri" w:hAnsi="Verdana" w:cs="Arial"/>
          <w:color w:val="000000"/>
          <w:lang w:val="es-ES" w:eastAsia="es-ES"/>
        </w:rPr>
        <w:t xml:space="preserve"> </w:t>
      </w:r>
      <w:r w:rsidRPr="00D92842">
        <w:rPr>
          <w:rFonts w:ascii="Verdana" w:eastAsia="Calibri" w:hAnsi="Verdana" w:cs="Arial"/>
          <w:color w:val="000000"/>
          <w:lang w:val="es-ES" w:eastAsia="es-ES"/>
        </w:rPr>
        <w:t>competencia sobre el asunto, y en cumplimiento de lo establecido en el artículo 21 del Código de</w:t>
      </w:r>
      <w:r>
        <w:rPr>
          <w:rFonts w:ascii="Verdana" w:eastAsia="Calibri" w:hAnsi="Verdana" w:cs="Arial"/>
          <w:color w:val="000000"/>
          <w:lang w:val="es-ES" w:eastAsia="es-ES"/>
        </w:rPr>
        <w:t xml:space="preserve"> </w:t>
      </w:r>
      <w:r w:rsidRPr="00D92842">
        <w:rPr>
          <w:rFonts w:ascii="Verdana" w:eastAsia="Calibri" w:hAnsi="Verdana" w:cs="Arial"/>
          <w:color w:val="000000"/>
          <w:lang w:val="es-ES" w:eastAsia="es-ES"/>
        </w:rPr>
        <w:t>Procedimiento Administrativo y de lo Contencioso Administrativo, da traslado a la Agencia Nacional</w:t>
      </w:r>
      <w:r>
        <w:rPr>
          <w:rFonts w:ascii="Verdana" w:eastAsia="Calibri" w:hAnsi="Verdana" w:cs="Arial"/>
          <w:color w:val="000000"/>
          <w:lang w:val="es-ES" w:eastAsia="es-ES"/>
        </w:rPr>
        <w:t xml:space="preserve"> </w:t>
      </w:r>
      <w:r w:rsidRPr="00D92842">
        <w:rPr>
          <w:rFonts w:ascii="Verdana" w:eastAsia="Calibri" w:hAnsi="Verdana" w:cs="Arial"/>
          <w:color w:val="000000"/>
          <w:lang w:val="es-ES" w:eastAsia="es-ES"/>
        </w:rPr>
        <w:t>de Contratación Pública Colombia Compra Eficiente, por considerarlo de su competencia, con el fin</w:t>
      </w:r>
      <w:r>
        <w:rPr>
          <w:rFonts w:ascii="Verdana" w:eastAsia="Calibri" w:hAnsi="Verdana" w:cs="Arial"/>
          <w:color w:val="000000"/>
          <w:lang w:val="es-ES" w:eastAsia="es-ES"/>
        </w:rPr>
        <w:t xml:space="preserve"> </w:t>
      </w:r>
      <w:r w:rsidRPr="00D92842">
        <w:rPr>
          <w:rFonts w:ascii="Verdana" w:eastAsia="Calibri" w:hAnsi="Verdana" w:cs="Arial"/>
          <w:color w:val="000000"/>
          <w:lang w:val="es-ES" w:eastAsia="es-ES"/>
        </w:rPr>
        <w:t>de que se le brinde respuesta al peticionario</w:t>
      </w:r>
      <w:r>
        <w:rPr>
          <w:rFonts w:ascii="Verdana" w:eastAsia="Calibri" w:hAnsi="Verdana" w:cs="Arial"/>
          <w:color w:val="000000"/>
          <w:lang w:val="es-ES" w:eastAsia="es-ES"/>
        </w:rPr>
        <w:t>”</w:t>
      </w:r>
      <w:r w:rsidRPr="00D92842">
        <w:rPr>
          <w:rFonts w:ascii="Verdana" w:eastAsia="Calibri" w:hAnsi="Verdana" w:cs="Arial"/>
          <w:color w:val="000000"/>
          <w:lang w:val="es-ES" w:eastAsia="es-ES"/>
        </w:rPr>
        <w:t>.</w:t>
      </w:r>
      <w:r>
        <w:rPr>
          <w:rFonts w:ascii="Verdana" w:eastAsia="Calibri" w:hAnsi="Verdana" w:cs="Arial"/>
          <w:color w:val="000000"/>
          <w:lang w:val="es-ES" w:eastAsia="es-ES"/>
        </w:rPr>
        <w:t xml:space="preserve"> Dicho traslado se realizó mediante correo electrónico del 27 de junio de 2025, por lo que la respuesta de la Agencia se limitará al tema específico objeto de remisión. </w:t>
      </w:r>
    </w:p>
    <w:p w14:paraId="0EF1D7FB" w14:textId="77777777" w:rsidR="00AA335F" w:rsidRPr="00A652FF" w:rsidRDefault="00AA335F" w:rsidP="00AA335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EF76776" w14:textId="77777777" w:rsidR="00AA335F" w:rsidRDefault="00AA335F" w:rsidP="00AA335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4490B50" w14:textId="77777777" w:rsidR="00AA335F" w:rsidRPr="00593A5F" w:rsidRDefault="00AA335F" w:rsidP="00AA335F">
      <w:pPr>
        <w:spacing w:after="0" w:line="276" w:lineRule="auto"/>
        <w:ind w:firstLine="709"/>
        <w:jc w:val="both"/>
        <w:rPr>
          <w:rFonts w:ascii="Verdana" w:eastAsia="Calibri" w:hAnsi="Verdana" w:cs="Arial"/>
          <w:color w:val="000000"/>
          <w:lang w:val="es-ES" w:eastAsia="es-ES"/>
        </w:rPr>
      </w:pPr>
    </w:p>
    <w:p w14:paraId="2143AFB1" w14:textId="77777777" w:rsidR="00AA335F" w:rsidRPr="00593A5F" w:rsidRDefault="00AA335F" w:rsidP="00AA335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CB7D28C" w14:textId="77777777" w:rsidR="00AA335F" w:rsidRPr="00593A5F" w:rsidRDefault="00AA335F" w:rsidP="00AA335F">
      <w:pPr>
        <w:tabs>
          <w:tab w:val="left" w:pos="426"/>
        </w:tabs>
        <w:spacing w:after="0" w:line="276" w:lineRule="auto"/>
        <w:jc w:val="both"/>
        <w:rPr>
          <w:rFonts w:ascii="Verdana" w:eastAsia="Century Gothic" w:hAnsi="Verdana" w:cs="Century Gothic"/>
          <w:lang w:val="es-ES"/>
        </w:rPr>
      </w:pPr>
    </w:p>
    <w:p w14:paraId="73151601" w14:textId="77777777" w:rsidR="00AA335F" w:rsidRPr="00593A5F" w:rsidRDefault="00AA335F" w:rsidP="00AA335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 xml:space="preserve">¿respecto a la verificación de las situaciones de control de que trata </w:t>
      </w:r>
      <w:r w:rsidRPr="007F17F6">
        <w:rPr>
          <w:rFonts w:ascii="Verdana" w:eastAsia="Calibri" w:hAnsi="Verdana" w:cs="Arial"/>
          <w:color w:val="000000" w:themeColor="text1"/>
        </w:rPr>
        <w:t>el literal a) del artículo 2.1.4.3.2.1 del Decreto 1600 de 2024</w:t>
      </w:r>
      <w:r>
        <w:rPr>
          <w:rFonts w:ascii="Verdana" w:eastAsia="Calibri" w:hAnsi="Verdana" w:cs="Arial"/>
          <w:color w:val="000000" w:themeColor="text1"/>
        </w:rPr>
        <w:t>, existe riesgo de inhabilidad e incompatibilidad conforme al artículo 8 de la Ley 80 de 1993</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AFA19B4" w14:textId="77777777" w:rsidR="00AA335F" w:rsidRPr="004B140F" w:rsidRDefault="00AA335F" w:rsidP="00AA335F">
      <w:pPr>
        <w:spacing w:after="0" w:line="276" w:lineRule="auto"/>
        <w:jc w:val="both"/>
        <w:rPr>
          <w:rFonts w:ascii="Verdana" w:eastAsia="Calibri" w:hAnsi="Verdana" w:cs="Arial"/>
          <w:color w:val="7030A0"/>
        </w:rPr>
      </w:pPr>
    </w:p>
    <w:p w14:paraId="37B8D31A" w14:textId="77777777" w:rsidR="00AA335F" w:rsidRPr="00593A5F" w:rsidRDefault="00AA335F" w:rsidP="00AA33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875593" w14:textId="77777777" w:rsidR="00AA335F" w:rsidRPr="00593A5F" w:rsidRDefault="00AA335F" w:rsidP="00AA335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A335F" w:rsidRPr="00593A5F" w14:paraId="508A9415" w14:textId="77777777" w:rsidTr="007D0515">
        <w:trPr>
          <w:jc w:val="center"/>
        </w:trPr>
        <w:tc>
          <w:tcPr>
            <w:tcW w:w="8828" w:type="dxa"/>
          </w:tcPr>
          <w:p w14:paraId="0AEACD09" w14:textId="0672ACBC" w:rsidR="00AA335F" w:rsidRPr="0006410C" w:rsidRDefault="00AA335F" w:rsidP="007900A4">
            <w:pPr>
              <w:spacing w:after="120" w:line="276" w:lineRule="auto"/>
              <w:ind w:right="51"/>
              <w:jc w:val="both"/>
              <w:rPr>
                <w:rFonts w:ascii="Verdana" w:hAnsi="Verdana" w:cs="Arial"/>
                <w:color w:val="000000" w:themeColor="text1"/>
                <w:lang w:val="es-ES_tradnl"/>
              </w:rPr>
            </w:pPr>
            <w:bookmarkStart w:id="2" w:name="_Hlk171694685"/>
            <w:r>
              <w:rPr>
                <w:rFonts w:ascii="Verdana" w:eastAsia="Calibri" w:hAnsi="Verdana" w:cs="Arial"/>
                <w:bCs/>
                <w:color w:val="000000" w:themeColor="text1"/>
              </w:rPr>
              <w:t>Conforme a la interpretación general de las normas del sistema de compras públicas,</w:t>
            </w:r>
            <w:r>
              <w:rPr>
                <w:rFonts w:ascii="Verdana" w:eastAsia="Calibri" w:hAnsi="Verdana" w:cs="Arial"/>
                <w:color w:val="000000" w:themeColor="text1"/>
              </w:rPr>
              <w:t xml:space="preserve"> p</w:t>
            </w:r>
            <w:r w:rsidRPr="007F17F6">
              <w:rPr>
                <w:rFonts w:ascii="Verdana" w:eastAsia="Calibri" w:hAnsi="Verdana" w:cs="Arial"/>
                <w:color w:val="000000" w:themeColor="text1"/>
              </w:rPr>
              <w:t>ara efectos del literal a) del artículo 2.1.4.3.2.1 del Decreto 1600 de 2024, el Estatuto General de Contratación de la Administración Pública regula algunas inhabilidades relacionadas con la existencia de situaciones de control</w:t>
            </w:r>
            <w:r>
              <w:rPr>
                <w:rFonts w:ascii="Verdana" w:eastAsia="Calibri" w:hAnsi="Verdana" w:cs="Arial"/>
                <w:color w:val="000000" w:themeColor="text1"/>
              </w:rPr>
              <w:t>. Sin pretensión de exhaustividad, este es el caso de la prevista para condenas por actos de corrupción d</w:t>
            </w:r>
            <w:r w:rsidRPr="00331299">
              <w:rPr>
                <w:rFonts w:ascii="Verdana" w:hAnsi="Verdana" w:cs="Arial"/>
              </w:rPr>
              <w:t>el literal j del numeral 1° del artículo 8 de la Ley 80 de 1993</w:t>
            </w:r>
            <w:r>
              <w:rPr>
                <w:rFonts w:ascii="Verdana" w:hAnsi="Verdana" w:cs="Arial"/>
              </w:rPr>
              <w:t xml:space="preserve">, modificada por la Ley 2014 de 2019, caso en el cual la restricción aplica a “[…] </w:t>
            </w:r>
            <w:r w:rsidRPr="007F17F6">
              <w:rPr>
                <w:rFonts w:ascii="Verdana" w:hAnsi="Verdana" w:cs="Arial"/>
              </w:rPr>
              <w:t>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w:t>
            </w:r>
            <w:r>
              <w:rPr>
                <w:rFonts w:ascii="Verdana" w:hAnsi="Verdana" w:cs="Arial"/>
              </w:rPr>
              <w:t>”</w:t>
            </w:r>
            <w:r w:rsidR="00537C7B">
              <w:rPr>
                <w:rFonts w:ascii="Verdana" w:hAnsi="Verdana" w:cs="Arial"/>
              </w:rPr>
              <w:t>.</w:t>
            </w:r>
          </w:p>
          <w:p w14:paraId="6CC88392" w14:textId="77777777" w:rsidR="00AA335F" w:rsidRPr="0006410C" w:rsidRDefault="00AA335F" w:rsidP="007900A4">
            <w:pPr>
              <w:spacing w:after="120" w:line="276" w:lineRule="auto"/>
              <w:ind w:right="51" w:firstLine="737"/>
              <w:jc w:val="both"/>
              <w:rPr>
                <w:rFonts w:ascii="Verdana" w:hAnsi="Verdana" w:cs="Arial"/>
                <w:color w:val="000000" w:themeColor="text1"/>
                <w:lang w:val="es-ES_tradnl"/>
              </w:rPr>
            </w:pPr>
            <w:r>
              <w:rPr>
                <w:rFonts w:ascii="Verdana" w:hAnsi="Verdana" w:cs="Arial"/>
                <w:color w:val="000000" w:themeColor="text1"/>
                <w:lang w:val="es-ES_tradnl"/>
              </w:rPr>
              <w:t>Algo similar sucede con la inhabilidad derivada de la financiación de campañas políticas d</w:t>
            </w:r>
            <w:r>
              <w:rPr>
                <w:rFonts w:ascii="Verdana" w:eastAsia="Calibri" w:hAnsi="Verdana" w:cs="Arial"/>
                <w:lang w:val="es-ES_tradnl"/>
              </w:rPr>
              <w:t xml:space="preserve">el literal k) del artículo 2.1 de la Ley 80 de 1993, adicionada por el artículo 2 de la Ley 1474 de 2011 y modificada por el artículo 33 de la Ley 1778 de 2016. De acuerdo con el inciso tercero, dicha limitación a la capacidad contractual “[…] </w:t>
            </w:r>
            <w:r w:rsidRPr="00ED1CF9">
              <w:rPr>
                <w:rFonts w:ascii="Verdana" w:eastAsia="Calibri" w:hAnsi="Verdana" w:cs="Arial"/>
                <w:lang w:val="es-ES_tradnl"/>
              </w:rPr>
              <w:t>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r>
              <w:rPr>
                <w:rFonts w:ascii="Verdana" w:eastAsia="Calibri" w:hAnsi="Verdana" w:cs="Arial"/>
                <w:lang w:val="es-ES_tradnl"/>
              </w:rPr>
              <w:t>”</w:t>
            </w:r>
            <w:r w:rsidRPr="00ED1CF9">
              <w:rPr>
                <w:rFonts w:ascii="Verdana" w:eastAsia="Calibri" w:hAnsi="Verdana" w:cs="Arial"/>
                <w:lang w:val="es-ES_tradnl"/>
              </w:rPr>
              <w:t>.</w:t>
            </w:r>
          </w:p>
          <w:p w14:paraId="636C65CF" w14:textId="77777777" w:rsidR="00AA335F" w:rsidRPr="001941FD" w:rsidRDefault="00AA335F" w:rsidP="007900A4">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F5FDA52" w14:textId="77777777" w:rsidR="00AA335F" w:rsidRPr="00593A5F" w:rsidRDefault="00AA335F" w:rsidP="00AA335F">
      <w:pPr>
        <w:tabs>
          <w:tab w:val="left" w:pos="142"/>
          <w:tab w:val="left" w:pos="284"/>
        </w:tabs>
        <w:spacing w:after="0" w:line="276" w:lineRule="auto"/>
        <w:jc w:val="both"/>
        <w:rPr>
          <w:rFonts w:ascii="Verdana" w:eastAsia="Century Gothic" w:hAnsi="Verdana" w:cs="Century Gothic"/>
          <w:b/>
          <w:bCs/>
          <w:lang w:val="es-ES"/>
        </w:rPr>
      </w:pPr>
    </w:p>
    <w:bookmarkEnd w:id="2"/>
    <w:p w14:paraId="4B475CD2" w14:textId="77777777" w:rsidR="00AA335F" w:rsidRPr="00593A5F" w:rsidRDefault="00AA335F" w:rsidP="00AA33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0BC0C6D3" w14:textId="77777777" w:rsidR="00AA335F" w:rsidRPr="00593A5F" w:rsidRDefault="00AA335F" w:rsidP="00AA335F">
      <w:pPr>
        <w:spacing w:after="0" w:line="276" w:lineRule="auto"/>
        <w:jc w:val="both"/>
        <w:rPr>
          <w:rFonts w:ascii="Verdana" w:eastAsia="Calibri" w:hAnsi="Verdana" w:cs="Arial"/>
          <w:color w:val="7030A0"/>
          <w:lang w:val="es-ES"/>
        </w:rPr>
      </w:pPr>
    </w:p>
    <w:p w14:paraId="7D983AA8" w14:textId="77777777" w:rsidR="00AA335F" w:rsidRDefault="00AA335F" w:rsidP="00AA335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40F2D1A" w14:textId="77777777" w:rsidR="00AA335F" w:rsidRPr="00415608" w:rsidRDefault="00AA335F" w:rsidP="00AA335F">
      <w:pPr>
        <w:spacing w:after="0" w:line="276" w:lineRule="auto"/>
        <w:jc w:val="both"/>
        <w:rPr>
          <w:rFonts w:ascii="Verdana" w:eastAsia="Calibri" w:hAnsi="Verdana" w:cs="Arial"/>
          <w:lang w:val="es-ES"/>
        </w:rPr>
      </w:pPr>
    </w:p>
    <w:p w14:paraId="654211D7" w14:textId="77777777" w:rsidR="00AA335F" w:rsidRPr="00E96901" w:rsidRDefault="00AA335F" w:rsidP="00AA335F">
      <w:pPr>
        <w:pStyle w:val="Sinespaciado"/>
        <w:spacing w:after="120" w:line="276" w:lineRule="auto"/>
        <w:jc w:val="both"/>
        <w:rPr>
          <w:rFonts w:ascii="Verdana" w:hAnsi="Verdana" w:cs="Arial"/>
          <w:sz w:val="22"/>
        </w:rPr>
      </w:pPr>
      <w:r>
        <w:rPr>
          <w:rFonts w:ascii="Verdana" w:eastAsia="Calibri" w:hAnsi="Verdana" w:cs="Arial"/>
        </w:rPr>
        <w:t xml:space="preserve">i. </w:t>
      </w:r>
      <w:r w:rsidRPr="00E96901">
        <w:rPr>
          <w:rFonts w:ascii="Verdana" w:hAnsi="Verdana"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32B34551" w14:textId="77777777" w:rsidR="00AA335F" w:rsidRPr="00E96901" w:rsidRDefault="00AA335F" w:rsidP="00AA335F">
      <w:pPr>
        <w:spacing w:line="276" w:lineRule="auto"/>
        <w:ind w:firstLine="709"/>
        <w:jc w:val="both"/>
        <w:rPr>
          <w:rFonts w:ascii="Verdana" w:hAnsi="Verdana" w:cs="Arial"/>
        </w:rPr>
      </w:pPr>
      <w:r w:rsidRPr="00E96901">
        <w:rPr>
          <w:rFonts w:ascii="Verdana" w:hAnsi="Verdana"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E96901">
        <w:rPr>
          <w:rStyle w:val="Refdenotaalpie"/>
          <w:rFonts w:ascii="Verdana" w:hAnsi="Verdana" w:cs="Arial"/>
        </w:rPr>
        <w:footnoteReference w:id="2"/>
      </w:r>
      <w:r w:rsidRPr="00E96901">
        <w:rPr>
          <w:rFonts w:ascii="Verdana" w:hAnsi="Verdana" w:cs="Arial"/>
        </w:rPr>
        <w:t>.</w:t>
      </w:r>
    </w:p>
    <w:p w14:paraId="2276F098" w14:textId="77777777" w:rsidR="00AA335F" w:rsidRPr="00E96901" w:rsidRDefault="00AA335F" w:rsidP="00AA335F">
      <w:pPr>
        <w:pStyle w:val="Sinespaciado"/>
        <w:spacing w:line="276" w:lineRule="auto"/>
        <w:ind w:firstLine="709"/>
        <w:jc w:val="both"/>
        <w:rPr>
          <w:rFonts w:ascii="Verdana" w:hAnsi="Verdana" w:cs="Arial"/>
          <w:sz w:val="22"/>
        </w:rPr>
      </w:pPr>
      <w:r w:rsidRPr="00E96901">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47F8CB96" w14:textId="77777777" w:rsidR="00AA335F" w:rsidRPr="00E96901" w:rsidRDefault="00AA335F" w:rsidP="00AA335F">
      <w:pPr>
        <w:pStyle w:val="Sinespaciado"/>
        <w:spacing w:line="276" w:lineRule="auto"/>
        <w:jc w:val="both"/>
        <w:rPr>
          <w:rFonts w:ascii="Verdana" w:hAnsi="Verdana" w:cs="Arial"/>
          <w:sz w:val="22"/>
        </w:rPr>
      </w:pPr>
    </w:p>
    <w:p w14:paraId="2EA72790" w14:textId="77777777" w:rsidR="00AA335F" w:rsidRPr="00E96901" w:rsidRDefault="00AA335F" w:rsidP="00AA335F">
      <w:pPr>
        <w:pStyle w:val="NormalWeb"/>
        <w:shd w:val="clear" w:color="auto" w:fill="FFFFFF"/>
        <w:spacing w:before="0" w:beforeAutospacing="0" w:after="120" w:afterAutospacing="0"/>
        <w:ind w:left="709" w:right="709"/>
        <w:jc w:val="both"/>
        <w:rPr>
          <w:rFonts w:ascii="Verdana" w:hAnsi="Verdana" w:cs="Arial"/>
          <w:sz w:val="21"/>
          <w:szCs w:val="21"/>
          <w:lang w:val="es-ES"/>
        </w:rPr>
      </w:pPr>
      <w:r w:rsidRPr="00E96901">
        <w:rPr>
          <w:rFonts w:ascii="Verdana" w:hAnsi="Verdana" w:cs="Arial"/>
          <w:sz w:val="21"/>
          <w:szCs w:val="21"/>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5DA592A2" w14:textId="77777777" w:rsidR="00AA335F" w:rsidRDefault="00AA335F" w:rsidP="00AA335F">
      <w:pPr>
        <w:pStyle w:val="NormalWeb"/>
        <w:shd w:val="clear" w:color="auto" w:fill="FFFFFF"/>
        <w:spacing w:before="0" w:beforeAutospacing="0" w:after="0" w:afterAutospacing="0"/>
        <w:ind w:left="709" w:right="709"/>
        <w:jc w:val="both"/>
        <w:rPr>
          <w:rFonts w:ascii="Verdana" w:hAnsi="Verdana" w:cs="Arial"/>
          <w:sz w:val="21"/>
          <w:szCs w:val="21"/>
          <w:lang w:val="es-ES"/>
        </w:rPr>
      </w:pPr>
      <w:r w:rsidRPr="00E96901">
        <w:rPr>
          <w:rFonts w:ascii="Verdana" w:hAnsi="Verdana" w:cs="Arial"/>
          <w:sz w:val="21"/>
          <w:szCs w:val="21"/>
          <w:lang w:val="es-ES"/>
        </w:rPr>
        <w:t xml:space="preserve">Adicionalmente, toda vez que la Jurisprudencia Constitucional se ha referido a la protección del Interés General como causa que legitima la estructuración legal de las incompatibilidades e inhabilidades, se puede </w:t>
      </w:r>
      <w:r w:rsidRPr="00E96901">
        <w:rPr>
          <w:rFonts w:ascii="Verdana" w:hAnsi="Verdana" w:cs="Arial"/>
          <w:sz w:val="21"/>
          <w:szCs w:val="21"/>
          <w:lang w:val="es-ES"/>
        </w:rPr>
        <w:lastRenderedPageBreak/>
        <w:t>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E96901">
        <w:rPr>
          <w:rStyle w:val="Refdenotaalpie"/>
          <w:rFonts w:ascii="Verdana" w:hAnsi="Verdana" w:cs="Arial"/>
          <w:sz w:val="21"/>
          <w:szCs w:val="21"/>
          <w:lang w:val="es-ES"/>
        </w:rPr>
        <w:footnoteReference w:id="3"/>
      </w:r>
      <w:r w:rsidRPr="00E96901">
        <w:rPr>
          <w:rFonts w:ascii="Verdana" w:hAnsi="Verdana" w:cs="Arial"/>
          <w:sz w:val="21"/>
          <w:szCs w:val="21"/>
          <w:lang w:val="es-ES"/>
        </w:rPr>
        <w:t>.</w:t>
      </w:r>
    </w:p>
    <w:p w14:paraId="33F72A18" w14:textId="77777777" w:rsidR="00AA335F" w:rsidRPr="002829DE" w:rsidRDefault="00AA335F" w:rsidP="00AA335F">
      <w:pPr>
        <w:pStyle w:val="NormalWeb"/>
        <w:shd w:val="clear" w:color="auto" w:fill="FFFFFF"/>
        <w:spacing w:before="0" w:beforeAutospacing="0" w:after="0" w:afterAutospacing="0"/>
        <w:ind w:left="709" w:right="709"/>
        <w:jc w:val="both"/>
        <w:rPr>
          <w:rFonts w:ascii="Verdana" w:hAnsi="Verdana" w:cs="Arial"/>
          <w:sz w:val="21"/>
          <w:szCs w:val="21"/>
          <w:lang w:val="es-ES"/>
        </w:rPr>
      </w:pPr>
    </w:p>
    <w:p w14:paraId="2C169B02" w14:textId="77777777" w:rsidR="00AA335F" w:rsidRPr="00E96901" w:rsidRDefault="00AA335F" w:rsidP="00AA335F">
      <w:pPr>
        <w:pStyle w:val="Sinespaciado"/>
        <w:spacing w:line="276" w:lineRule="auto"/>
        <w:ind w:firstLine="709"/>
        <w:jc w:val="both"/>
        <w:rPr>
          <w:rFonts w:ascii="Verdana" w:hAnsi="Verdana" w:cs="Arial"/>
          <w:sz w:val="22"/>
        </w:rPr>
      </w:pPr>
      <w:r w:rsidRPr="00E96901">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7A456FB8" w14:textId="77777777" w:rsidR="00AA335F" w:rsidRPr="00E96901" w:rsidRDefault="00AA335F" w:rsidP="00AA335F">
      <w:pPr>
        <w:pStyle w:val="Sinespaciado"/>
        <w:spacing w:line="276" w:lineRule="auto"/>
        <w:ind w:firstLine="709"/>
        <w:jc w:val="both"/>
        <w:rPr>
          <w:rFonts w:ascii="Verdana" w:hAnsi="Verdana" w:cs="Arial"/>
          <w:sz w:val="22"/>
        </w:rPr>
      </w:pPr>
    </w:p>
    <w:p w14:paraId="54DBD76F" w14:textId="77777777" w:rsidR="00AA335F" w:rsidRPr="00E96901" w:rsidRDefault="00AA335F" w:rsidP="00AA335F">
      <w:pPr>
        <w:spacing w:after="120" w:line="240" w:lineRule="auto"/>
        <w:ind w:left="709" w:right="709"/>
        <w:jc w:val="both"/>
        <w:rPr>
          <w:rFonts w:ascii="Verdana" w:hAnsi="Verdana" w:cs="Arial"/>
          <w:sz w:val="21"/>
          <w:szCs w:val="21"/>
        </w:rPr>
      </w:pPr>
      <w:r w:rsidRPr="00E96901">
        <w:rPr>
          <w:rFonts w:ascii="Verdana" w:hAnsi="Verdana" w:cs="Arial"/>
          <w:sz w:val="21"/>
          <w:szCs w:val="21"/>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10E4A541" w14:textId="77777777" w:rsidR="00AA335F" w:rsidRPr="00E96901" w:rsidRDefault="00AA335F" w:rsidP="00AA335F">
      <w:pPr>
        <w:spacing w:after="0" w:line="240" w:lineRule="auto"/>
        <w:ind w:left="709" w:right="709"/>
        <w:jc w:val="both"/>
        <w:rPr>
          <w:rFonts w:ascii="Verdana" w:hAnsi="Verdana" w:cs="Arial"/>
          <w:sz w:val="21"/>
          <w:szCs w:val="21"/>
        </w:rPr>
      </w:pPr>
      <w:r w:rsidRPr="00E96901">
        <w:rPr>
          <w:rFonts w:ascii="Verdana" w:hAnsi="Verdana" w:cs="Arial"/>
          <w:sz w:val="21"/>
          <w:szCs w:val="21"/>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w:t>
      </w:r>
      <w:r w:rsidRPr="00E96901">
        <w:rPr>
          <w:rFonts w:ascii="Verdana" w:hAnsi="Verdana" w:cs="Arial"/>
          <w:sz w:val="21"/>
          <w:szCs w:val="21"/>
        </w:rPr>
        <w:lastRenderedPageBreak/>
        <w:t>derecho a la igualdad y el reconocimiento de la personalidad jurídica de las personas que resultan rechazadas del ámbito contractual del Estado”</w:t>
      </w:r>
      <w:r w:rsidRPr="00E96901">
        <w:rPr>
          <w:rStyle w:val="Refdenotaalpie"/>
          <w:rFonts w:ascii="Verdana" w:hAnsi="Verdana" w:cs="Arial"/>
          <w:sz w:val="21"/>
          <w:szCs w:val="21"/>
        </w:rPr>
        <w:footnoteReference w:id="4"/>
      </w:r>
      <w:r w:rsidRPr="00E96901">
        <w:rPr>
          <w:rFonts w:ascii="Verdana" w:hAnsi="Verdana" w:cs="Arial"/>
          <w:sz w:val="21"/>
          <w:szCs w:val="21"/>
        </w:rPr>
        <w:t>.</w:t>
      </w:r>
    </w:p>
    <w:p w14:paraId="2EA45F9E" w14:textId="77777777" w:rsidR="00AA335F" w:rsidRPr="00E96901" w:rsidRDefault="00AA335F" w:rsidP="00AA335F">
      <w:pPr>
        <w:spacing w:after="0" w:line="240" w:lineRule="auto"/>
        <w:ind w:right="709"/>
        <w:jc w:val="both"/>
        <w:rPr>
          <w:rFonts w:ascii="Verdana" w:hAnsi="Verdana" w:cs="Arial"/>
        </w:rPr>
      </w:pPr>
    </w:p>
    <w:p w14:paraId="72F5024B" w14:textId="77777777" w:rsidR="00AA335F" w:rsidRPr="00E96901" w:rsidRDefault="00AA335F" w:rsidP="00AA335F">
      <w:pPr>
        <w:spacing w:after="0" w:line="276" w:lineRule="auto"/>
        <w:ind w:firstLine="709"/>
        <w:jc w:val="both"/>
        <w:rPr>
          <w:rFonts w:ascii="Verdana" w:hAnsi="Verdana" w:cs="Arial"/>
        </w:rPr>
      </w:pPr>
      <w:r w:rsidRPr="00E96901">
        <w:rPr>
          <w:rFonts w:ascii="Verdana" w:hAnsi="Verdana"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3C65E58B" w14:textId="77777777" w:rsidR="00AA335F" w:rsidRPr="00E96901" w:rsidRDefault="00AA335F" w:rsidP="00AA335F">
      <w:pPr>
        <w:pStyle w:val="Sinespaciado"/>
        <w:tabs>
          <w:tab w:val="left" w:pos="1532"/>
        </w:tabs>
        <w:spacing w:line="276" w:lineRule="auto"/>
        <w:jc w:val="both"/>
        <w:rPr>
          <w:rFonts w:ascii="Verdana" w:hAnsi="Verdana" w:cs="Arial"/>
          <w:sz w:val="22"/>
        </w:rPr>
      </w:pPr>
    </w:p>
    <w:p w14:paraId="2C23C75C" w14:textId="77777777" w:rsidR="00AA335F" w:rsidRPr="00E96901" w:rsidRDefault="00AA335F" w:rsidP="00AA335F">
      <w:pPr>
        <w:spacing w:after="0" w:line="240" w:lineRule="auto"/>
        <w:ind w:left="709" w:right="709"/>
        <w:jc w:val="both"/>
        <w:rPr>
          <w:rFonts w:ascii="Verdana" w:hAnsi="Verdana" w:cs="Arial"/>
          <w:sz w:val="21"/>
          <w:szCs w:val="21"/>
        </w:rPr>
      </w:pPr>
      <w:r w:rsidRPr="00E96901">
        <w:rPr>
          <w:rFonts w:ascii="Verdana" w:hAnsi="Verdana" w:cs="Arial"/>
          <w:sz w:val="21"/>
          <w:szCs w:val="21"/>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E96901">
        <w:rPr>
          <w:rFonts w:ascii="Verdana" w:hAnsi="Verdana" w:cs="Arial"/>
          <w:i/>
          <w:iCs/>
          <w:sz w:val="21"/>
          <w:szCs w:val="21"/>
        </w:rPr>
        <w:t xml:space="preserve">pro </w:t>
      </w:r>
      <w:proofErr w:type="spellStart"/>
      <w:r w:rsidRPr="00E96901">
        <w:rPr>
          <w:rFonts w:ascii="Verdana" w:hAnsi="Verdana" w:cs="Arial"/>
          <w:i/>
          <w:iCs/>
          <w:sz w:val="21"/>
          <w:szCs w:val="21"/>
        </w:rPr>
        <w:t>libertate</w:t>
      </w:r>
      <w:proofErr w:type="spellEnd"/>
      <w:r w:rsidRPr="00E96901">
        <w:rPr>
          <w:rFonts w:ascii="Verdana" w:hAnsi="Verdana" w:cs="Arial"/>
          <w:sz w:val="21"/>
          <w:szCs w:val="21"/>
        </w:rPr>
        <w:t xml:space="preserve">, sino el de legalidad, el que ordena que la función pública debe someterse estrictamente a lo que disponga la Constitución y la ley (CP art. 6). </w:t>
      </w:r>
    </w:p>
    <w:p w14:paraId="73A3E14C" w14:textId="77777777" w:rsidR="00AA335F" w:rsidRPr="00E96901" w:rsidRDefault="00AA335F" w:rsidP="00AA335F">
      <w:pPr>
        <w:spacing w:after="120" w:line="240" w:lineRule="auto"/>
        <w:ind w:left="709" w:right="709"/>
        <w:jc w:val="both"/>
        <w:rPr>
          <w:rFonts w:ascii="Verdana" w:hAnsi="Verdana" w:cs="Arial"/>
          <w:sz w:val="21"/>
          <w:szCs w:val="21"/>
        </w:rPr>
      </w:pPr>
      <w:r w:rsidRPr="00E96901">
        <w:rPr>
          <w:rFonts w:ascii="Verdana" w:hAnsi="Verdana" w:cs="Arial"/>
          <w:sz w:val="21"/>
          <w:szCs w:val="21"/>
        </w:rPr>
        <w:t xml:space="preserve">[…] </w:t>
      </w:r>
    </w:p>
    <w:p w14:paraId="71070862" w14:textId="77777777" w:rsidR="00AA335F" w:rsidRPr="00E96901" w:rsidRDefault="00AA335F" w:rsidP="00AA335F">
      <w:pPr>
        <w:spacing w:after="0" w:line="240" w:lineRule="auto"/>
        <w:ind w:left="709" w:right="709"/>
        <w:jc w:val="both"/>
        <w:rPr>
          <w:rFonts w:ascii="Verdana" w:hAnsi="Verdana" w:cs="Arial"/>
          <w:sz w:val="21"/>
          <w:szCs w:val="21"/>
        </w:rPr>
      </w:pPr>
      <w:r w:rsidRPr="00E96901">
        <w:rPr>
          <w:rFonts w:ascii="Verdana" w:hAnsi="Verdana" w:cs="Arial"/>
          <w:sz w:val="21"/>
          <w:szCs w:val="21"/>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E96901">
        <w:rPr>
          <w:rStyle w:val="Refdenotaalpie"/>
          <w:rFonts w:ascii="Verdana" w:hAnsi="Verdana" w:cs="Arial"/>
          <w:sz w:val="21"/>
          <w:szCs w:val="21"/>
        </w:rPr>
        <w:footnoteReference w:id="5"/>
      </w:r>
      <w:r w:rsidRPr="00E96901">
        <w:rPr>
          <w:rFonts w:ascii="Verdana" w:hAnsi="Verdana" w:cs="Arial"/>
          <w:sz w:val="21"/>
          <w:szCs w:val="21"/>
        </w:rPr>
        <w:t>.</w:t>
      </w:r>
    </w:p>
    <w:p w14:paraId="35D98778" w14:textId="77777777" w:rsidR="00AA335F" w:rsidRPr="00E96901" w:rsidRDefault="00AA335F" w:rsidP="00AA335F">
      <w:pPr>
        <w:spacing w:after="0" w:line="276" w:lineRule="auto"/>
        <w:ind w:left="709" w:right="709"/>
        <w:jc w:val="both"/>
        <w:rPr>
          <w:rFonts w:ascii="Verdana" w:hAnsi="Verdana" w:cs="Arial"/>
        </w:rPr>
      </w:pPr>
    </w:p>
    <w:p w14:paraId="752EE7C6" w14:textId="77777777" w:rsidR="00AA335F" w:rsidRPr="00E96901" w:rsidRDefault="00AA335F" w:rsidP="00AA335F">
      <w:pPr>
        <w:spacing w:line="276" w:lineRule="auto"/>
        <w:ind w:firstLine="709"/>
        <w:jc w:val="both"/>
        <w:rPr>
          <w:rFonts w:ascii="Verdana" w:hAnsi="Verdana" w:cs="Arial"/>
        </w:rPr>
      </w:pPr>
      <w:r w:rsidRPr="00E96901">
        <w:rPr>
          <w:rFonts w:ascii="Verdana" w:hAnsi="Verdana" w:cs="Arial"/>
        </w:rPr>
        <w:t xml:space="preserve">Conviene también distinguir las fuentes de las inhabilidades, las cuales han sido clasificadas en dos (2) grupos: i) inhabilidades-sanción y </w:t>
      </w:r>
      <w:proofErr w:type="spellStart"/>
      <w:r w:rsidRPr="00E96901">
        <w:rPr>
          <w:rFonts w:ascii="Verdana" w:hAnsi="Verdana" w:cs="Arial"/>
        </w:rPr>
        <w:t>ii</w:t>
      </w:r>
      <w:proofErr w:type="spellEnd"/>
      <w:r w:rsidRPr="00E96901">
        <w:rPr>
          <w:rFonts w:ascii="Verdana" w:hAnsi="Verdana" w:cs="Ari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E96901">
        <w:rPr>
          <w:rStyle w:val="Refdenotaalpie"/>
          <w:rFonts w:ascii="Verdana" w:hAnsi="Verdana" w:cs="Arial"/>
        </w:rPr>
        <w:footnoteReference w:id="6"/>
      </w:r>
      <w:r w:rsidRPr="00E96901">
        <w:rPr>
          <w:rFonts w:ascii="Verdana" w:hAnsi="Verdana" w:cs="Arial"/>
        </w:rPr>
        <w:t>.</w:t>
      </w:r>
    </w:p>
    <w:p w14:paraId="237E8753" w14:textId="77777777" w:rsidR="00AA335F" w:rsidRPr="00E96901" w:rsidRDefault="00AA335F" w:rsidP="00AA335F">
      <w:pPr>
        <w:spacing w:before="120" w:after="120" w:line="276" w:lineRule="auto"/>
        <w:ind w:firstLine="709"/>
        <w:jc w:val="both"/>
        <w:rPr>
          <w:rFonts w:ascii="Verdana" w:hAnsi="Verdana" w:cs="Arial"/>
        </w:rPr>
      </w:pPr>
      <w:r w:rsidRPr="00E96901">
        <w:rPr>
          <w:rFonts w:ascii="Verdana" w:hAnsi="Verdana" w:cs="Arial"/>
        </w:rPr>
        <w:lastRenderedPageBreak/>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E96901">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481A4050" w14:textId="77777777" w:rsidR="00AA335F" w:rsidRPr="00E96901" w:rsidRDefault="00AA335F" w:rsidP="00AA335F">
      <w:pPr>
        <w:spacing w:after="120" w:line="276" w:lineRule="auto"/>
        <w:ind w:firstLine="708"/>
        <w:jc w:val="both"/>
        <w:rPr>
          <w:rFonts w:ascii="Verdana" w:eastAsia="Calibri" w:hAnsi="Verdana" w:cs="Arial"/>
          <w:lang w:val="es-ES_tradnl"/>
        </w:rPr>
      </w:pPr>
      <w:r w:rsidRPr="00E96901">
        <w:rPr>
          <w:rFonts w:ascii="Verdana" w:eastAsia="Calibri" w:hAnsi="Verdana" w:cs="Arial"/>
          <w:i/>
          <w:iCs/>
          <w:lang w:val="es-ES_tradnl"/>
        </w:rPr>
        <w:t>Igualmente</w:t>
      </w:r>
      <w:r w:rsidRPr="00E96901">
        <w:rPr>
          <w:rFonts w:ascii="Verdana" w:eastAsia="Calibri" w:hAnsi="Verdana" w:cs="Arial"/>
          <w:lang w:val="es-ES_tradnl"/>
        </w:rPr>
        <w:t xml:space="preserve">, </w:t>
      </w:r>
      <w:bookmarkStart w:id="4" w:name="_Hlk135133412"/>
      <w:r w:rsidRPr="00E96901">
        <w:rPr>
          <w:rFonts w:ascii="Verdana" w:eastAsia="Calibri" w:hAnsi="Verdana" w:cs="Arial"/>
          <w:lang w:val="es-ES_tradnl"/>
        </w:rPr>
        <w:t xml:space="preserve">en la contratación estatal, la </w:t>
      </w:r>
      <w:r w:rsidRPr="00E96901">
        <w:rPr>
          <w:rFonts w:ascii="Verdana" w:eastAsia="Calibri" w:hAnsi="Verdana" w:cs="Arial"/>
          <w:i/>
          <w:iCs/>
          <w:lang w:val="es-ES_tradnl"/>
        </w:rPr>
        <w:t>capacidad</w:t>
      </w:r>
      <w:r w:rsidRPr="00E96901">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Pr="00E96901">
        <w:rPr>
          <w:rStyle w:val="Refdenotaalpie"/>
          <w:rFonts w:ascii="Verdana" w:eastAsia="Calibri" w:hAnsi="Verdana" w:cs="Arial"/>
          <w:lang w:val="es-ES_tradnl"/>
        </w:rPr>
        <w:footnoteReference w:id="7"/>
      </w:r>
      <w:r w:rsidRPr="00E96901">
        <w:rPr>
          <w:rFonts w:ascii="Verdana" w:eastAsia="Calibri" w:hAnsi="Verdana" w:cs="Arial"/>
          <w:lang w:val="es-ES_tradnl"/>
        </w:rPr>
        <w:t xml:space="preserve"> como en el de las entidades exceptuadas de aquel</w:t>
      </w:r>
      <w:r w:rsidRPr="00E96901">
        <w:rPr>
          <w:rStyle w:val="Refdenotaalpie"/>
          <w:rFonts w:ascii="Verdana" w:eastAsia="Calibri" w:hAnsi="Verdana" w:cs="Arial"/>
          <w:lang w:val="es-ES_tradnl"/>
        </w:rPr>
        <w:footnoteReference w:id="8"/>
      </w:r>
      <w:r w:rsidRPr="00E96901">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E96901">
        <w:rPr>
          <w:rStyle w:val="Refdenotaalpie"/>
          <w:rFonts w:ascii="Verdana" w:eastAsia="Calibri" w:hAnsi="Verdana" w:cs="Arial"/>
          <w:lang w:val="es-ES_tradnl"/>
        </w:rPr>
        <w:footnoteReference w:id="9"/>
      </w:r>
      <w:r w:rsidRPr="00E96901">
        <w:rPr>
          <w:rFonts w:ascii="Verdana" w:eastAsia="Calibri" w:hAnsi="Verdana" w:cs="Arial"/>
          <w:lang w:val="es-ES_tradnl"/>
        </w:rPr>
        <w:t xml:space="preserve">–, se destaca el régimen de inhabilidades e </w:t>
      </w:r>
      <w:r w:rsidRPr="00E96901">
        <w:rPr>
          <w:rFonts w:ascii="Verdana" w:eastAsia="Calibri" w:hAnsi="Verdana" w:cs="Arial"/>
          <w:lang w:val="es-ES_tradnl"/>
        </w:rPr>
        <w:lastRenderedPageBreak/>
        <w:t>incompatibilidades como un conjunto de normas que imponen restricciones para los sujetos que, eventualmente, pretendan participar en los procedimientos de selección o celebrar contratos con las entidades estatales</w:t>
      </w:r>
      <w:r w:rsidRPr="00E96901">
        <w:rPr>
          <w:rStyle w:val="Refdenotaalpie"/>
          <w:rFonts w:ascii="Verdana" w:eastAsia="Calibri" w:hAnsi="Verdana" w:cs="Arial"/>
          <w:lang w:val="es-ES_tradnl"/>
        </w:rPr>
        <w:footnoteReference w:id="10"/>
      </w:r>
      <w:r w:rsidRPr="00E96901">
        <w:rPr>
          <w:rFonts w:ascii="Verdana" w:eastAsia="Calibri" w:hAnsi="Verdana" w:cs="Arial"/>
          <w:lang w:val="es-ES_tradnl"/>
        </w:rPr>
        <w:t>.</w:t>
      </w:r>
    </w:p>
    <w:p w14:paraId="322209A4" w14:textId="77777777" w:rsidR="00AA335F" w:rsidRPr="00E96901" w:rsidRDefault="00AA335F" w:rsidP="00AA335F">
      <w:pPr>
        <w:spacing w:after="120" w:line="276" w:lineRule="auto"/>
        <w:ind w:firstLine="709"/>
        <w:jc w:val="both"/>
        <w:rPr>
          <w:rFonts w:ascii="Verdana" w:eastAsia="Calibri" w:hAnsi="Verdana" w:cs="Arial"/>
          <w:lang w:val="es-ES"/>
        </w:rPr>
      </w:pPr>
      <w:r w:rsidRPr="1DA36D79">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1DA36D79">
        <w:rPr>
          <w:rFonts w:ascii="Verdana" w:eastAsia="Calibri" w:hAnsi="Verdana" w:cs="Arial"/>
          <w:lang w:val="es-ES"/>
        </w:rPr>
        <w:t>ii</w:t>
      </w:r>
      <w:proofErr w:type="spellEnd"/>
      <w:r w:rsidRPr="1DA36D79">
        <w:rPr>
          <w:rFonts w:ascii="Verdana" w:eastAsia="Calibri" w:hAnsi="Verdana" w:cs="Arial"/>
          <w:lang w:val="es-ES"/>
        </w:rPr>
        <w:t xml:space="preserve">) de vínculos personales relativos al parentesco o al estado civil o </w:t>
      </w:r>
      <w:proofErr w:type="spellStart"/>
      <w:r w:rsidRPr="1DA36D79">
        <w:rPr>
          <w:rFonts w:ascii="Verdana" w:eastAsia="Calibri" w:hAnsi="Verdana" w:cs="Arial"/>
          <w:lang w:val="es-ES"/>
        </w:rPr>
        <w:t>iii</w:t>
      </w:r>
      <w:proofErr w:type="spellEnd"/>
      <w:r w:rsidRPr="1DA36D79">
        <w:rPr>
          <w:rFonts w:ascii="Verdana" w:eastAsia="Calibri" w:hAnsi="Verdana" w:cs="Arial"/>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1DA36D79">
        <w:rPr>
          <w:rStyle w:val="Refdenotaalpie"/>
          <w:rFonts w:ascii="Verdana" w:eastAsia="Calibri" w:hAnsi="Verdana" w:cs="Arial"/>
          <w:lang w:val="es-ES"/>
        </w:rPr>
        <w:footnoteReference w:id="11"/>
      </w:r>
      <w:r w:rsidRPr="1DA36D79">
        <w:rPr>
          <w:rFonts w:ascii="Verdana" w:eastAsia="Calibri" w:hAnsi="Verdana" w:cs="Arial"/>
          <w:lang w:val="es-ES"/>
        </w:rPr>
        <w:t>.</w:t>
      </w:r>
    </w:p>
    <w:bookmarkEnd w:id="4"/>
    <w:p w14:paraId="5ED8A47B" w14:textId="77777777" w:rsidR="00AA335F" w:rsidRDefault="00AA335F" w:rsidP="00AA335F">
      <w:pPr>
        <w:spacing w:after="120" w:line="276" w:lineRule="auto"/>
        <w:ind w:firstLine="709"/>
        <w:jc w:val="both"/>
        <w:rPr>
          <w:rFonts w:ascii="Verdana" w:eastAsia="Calibri" w:hAnsi="Verdana" w:cs="Arial"/>
          <w:lang w:val="es-ES"/>
        </w:rPr>
      </w:pPr>
      <w:r w:rsidRPr="1DA36D79">
        <w:rPr>
          <w:rFonts w:ascii="Verdana" w:eastAsia="Calibri" w:hAnsi="Verdana" w:cs="Arial"/>
          <w:lang w:val="es-ES"/>
        </w:rPr>
        <w:t xml:space="preserve">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w:t>
      </w:r>
      <w:r w:rsidRPr="1DA36D79">
        <w:rPr>
          <w:rFonts w:ascii="Verdana" w:eastAsia="Calibri" w:hAnsi="Verdana" w:cs="Arial"/>
          <w:lang w:val="es-ES"/>
        </w:rPr>
        <w:lastRenderedPageBreak/>
        <w:t>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Pr="1DA36D79">
        <w:rPr>
          <w:rFonts w:ascii="Verdana" w:eastAsia="Calibri" w:hAnsi="Verdana" w:cs="Arial"/>
          <w:lang w:val="es-ES"/>
        </w:rPr>
        <w:t>neopunitiva</w:t>
      </w:r>
      <w:proofErr w:type="spellEnd"/>
      <w:r w:rsidRPr="1DA36D79">
        <w:rPr>
          <w:rFonts w:ascii="Verdana" w:eastAsia="Calibri" w:hAnsi="Verdana" w:cs="Arial"/>
          <w:lang w:val="es-ES"/>
        </w:rPr>
        <w:t>”</w:t>
      </w:r>
      <w:r w:rsidRPr="1DA36D79">
        <w:rPr>
          <w:rStyle w:val="Refdenotaalpie"/>
          <w:rFonts w:ascii="Verdana" w:eastAsia="Calibri" w:hAnsi="Verdana" w:cs="Arial"/>
          <w:lang w:val="es-ES"/>
        </w:rPr>
        <w:footnoteReference w:id="12"/>
      </w:r>
      <w:r w:rsidRPr="1DA36D79">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382ADC99" w14:textId="77777777" w:rsidR="00AA335F" w:rsidRDefault="00AA335F" w:rsidP="00AA335F">
      <w:pPr>
        <w:spacing w:after="0" w:line="276" w:lineRule="auto"/>
        <w:ind w:firstLine="708"/>
        <w:jc w:val="both"/>
        <w:rPr>
          <w:rFonts w:ascii="Verdana" w:eastAsia="Calibri" w:hAnsi="Verdana" w:cs="Arial"/>
          <w:lang w:val="es-ES_tradnl"/>
        </w:rPr>
      </w:pPr>
      <w:r>
        <w:rPr>
          <w:rFonts w:ascii="Verdana" w:eastAsia="Calibri" w:hAnsi="Verdana" w:cs="Arial"/>
          <w:lang w:val="es-ES_tradnl"/>
        </w:rPr>
        <w:t>Ahora bien, el literal a) del artículo 8.1 de la Ley 80 de 1993 dispone que s</w:t>
      </w:r>
      <w:r w:rsidRPr="00446B74">
        <w:rPr>
          <w:rFonts w:ascii="Verdana" w:eastAsia="Calibri" w:hAnsi="Verdana" w:cs="Arial"/>
          <w:lang w:val="es-ES_tradnl"/>
        </w:rPr>
        <w:t xml:space="preserve">on inhábiles para participar </w:t>
      </w:r>
      <w:r>
        <w:rPr>
          <w:rFonts w:ascii="Verdana" w:eastAsia="Calibri" w:hAnsi="Verdana" w:cs="Arial"/>
          <w:lang w:val="es-ES_tradnl"/>
        </w:rPr>
        <w:t xml:space="preserve">procesos de selección </w:t>
      </w:r>
      <w:r w:rsidRPr="00446B74">
        <w:rPr>
          <w:rFonts w:ascii="Verdana" w:eastAsia="Calibri" w:hAnsi="Verdana" w:cs="Arial"/>
          <w:lang w:val="es-ES_tradnl"/>
        </w:rPr>
        <w:t xml:space="preserve">y para celebrar contratos </w:t>
      </w:r>
      <w:r>
        <w:rPr>
          <w:rFonts w:ascii="Verdana" w:eastAsia="Calibri" w:hAnsi="Verdana" w:cs="Arial"/>
          <w:lang w:val="es-ES_tradnl"/>
        </w:rPr>
        <w:t>estatales “</w:t>
      </w:r>
      <w:r w:rsidRPr="00446B74">
        <w:rPr>
          <w:rFonts w:ascii="Verdana" w:eastAsia="Calibri" w:hAnsi="Verdana" w:cs="Arial"/>
          <w:lang w:val="es-ES_tradnl"/>
        </w:rPr>
        <w:t>Las personas que se hallen inhabilitadas para contratar por la Constitución y las leyes</w:t>
      </w:r>
      <w:r>
        <w:rPr>
          <w:rFonts w:ascii="Verdana" w:eastAsia="Calibri" w:hAnsi="Verdana" w:cs="Arial"/>
          <w:lang w:val="es-ES_tradnl"/>
        </w:rPr>
        <w:t>”</w:t>
      </w:r>
      <w:r w:rsidRPr="00446B74">
        <w:rPr>
          <w:rFonts w:ascii="Verdana" w:eastAsia="Calibri" w:hAnsi="Verdana" w:cs="Arial"/>
          <w:lang w:val="es-ES_tradnl"/>
        </w:rPr>
        <w:t>.</w:t>
      </w:r>
      <w:r>
        <w:rPr>
          <w:rFonts w:ascii="Verdana" w:eastAsia="Calibri" w:hAnsi="Verdana" w:cs="Arial"/>
          <w:lang w:val="es-ES_tradnl"/>
        </w:rPr>
        <w:t xml:space="preserve">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w:t>
      </w:r>
      <w:r w:rsidRPr="00446B74">
        <w:rPr>
          <w:rFonts w:ascii="Verdana" w:eastAsia="Calibri" w:hAnsi="Verdana" w:cs="Arial"/>
          <w:lang w:val="es-ES_tradnl"/>
        </w:rPr>
        <w:t>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Pr>
          <w:rFonts w:ascii="Verdana" w:eastAsia="Calibri" w:hAnsi="Verdana" w:cs="Arial"/>
          <w:lang w:val="es-ES_tradnl"/>
        </w:rPr>
        <w:t>”. Incluso, en virtud del artículo 6 del Decreto 092 de 2017, también hacen parte de los negocios jurídicos que se suscriban con las ESAL conforme a los artículos 355 constitucional o 96 de la Ley 489 de 1998</w:t>
      </w:r>
      <w:r>
        <w:rPr>
          <w:rStyle w:val="Refdenotaalpie"/>
          <w:rFonts w:ascii="Verdana" w:eastAsia="Calibri" w:hAnsi="Verdana" w:cs="Arial"/>
          <w:lang w:val="es-ES_tradnl"/>
        </w:rPr>
        <w:footnoteReference w:id="13"/>
      </w:r>
      <w:r>
        <w:rPr>
          <w:rFonts w:ascii="Verdana" w:eastAsia="Calibri" w:hAnsi="Verdana" w:cs="Arial"/>
          <w:lang w:val="es-ES_tradnl"/>
        </w:rPr>
        <w:t>.</w:t>
      </w:r>
    </w:p>
    <w:p w14:paraId="5F5DB238" w14:textId="77777777" w:rsidR="00AA335F" w:rsidRDefault="00AA335F" w:rsidP="00AA335F">
      <w:pPr>
        <w:spacing w:after="0" w:line="276" w:lineRule="auto"/>
        <w:ind w:firstLine="708"/>
        <w:jc w:val="both"/>
        <w:rPr>
          <w:rFonts w:ascii="Verdana" w:eastAsia="Calibri" w:hAnsi="Verdana" w:cs="Arial"/>
          <w:lang w:val="es-ES_tradnl"/>
        </w:rPr>
      </w:pPr>
    </w:p>
    <w:p w14:paraId="288B09FA" w14:textId="77777777" w:rsidR="00AA335F" w:rsidRPr="001E3133" w:rsidRDefault="00AA335F" w:rsidP="00AA335F">
      <w:pPr>
        <w:spacing w:after="120" w:line="276" w:lineRule="auto"/>
        <w:jc w:val="both"/>
        <w:rPr>
          <w:rFonts w:ascii="Verdana" w:eastAsia="Calibri" w:hAnsi="Verdana" w:cs="Arial"/>
          <w:lang w:val="es-ES_tradnl"/>
        </w:rPr>
      </w:pPr>
      <w:proofErr w:type="spellStart"/>
      <w:r>
        <w:rPr>
          <w:rFonts w:ascii="Verdana" w:eastAsia="Calibri" w:hAnsi="Verdana" w:cs="Arial"/>
          <w:lang w:val="es-ES_tradnl"/>
        </w:rPr>
        <w:t>ii</w:t>
      </w:r>
      <w:proofErr w:type="spellEnd"/>
      <w:r>
        <w:rPr>
          <w:rFonts w:ascii="Verdana" w:eastAsia="Calibri" w:hAnsi="Verdana" w:cs="Arial"/>
          <w:lang w:val="es-ES_tradnl"/>
        </w:rPr>
        <w:t xml:space="preserve">. Para efectos del literal a) del artículo </w:t>
      </w:r>
      <w:r w:rsidRPr="001E3133">
        <w:rPr>
          <w:rFonts w:ascii="Verdana" w:eastAsia="Calibri" w:hAnsi="Verdana" w:cs="Arial"/>
          <w:lang w:val="es-ES_tradnl"/>
        </w:rPr>
        <w:t>2.1.4.3.2.1</w:t>
      </w:r>
      <w:r>
        <w:rPr>
          <w:rFonts w:ascii="Verdana" w:eastAsia="Calibri" w:hAnsi="Verdana" w:cs="Arial"/>
          <w:lang w:val="es-ES_tradnl"/>
        </w:rPr>
        <w:t xml:space="preserve"> del </w:t>
      </w:r>
      <w:r w:rsidRPr="001E3133">
        <w:rPr>
          <w:rFonts w:ascii="Verdana" w:eastAsia="Calibri" w:hAnsi="Verdana" w:cs="Arial"/>
          <w:lang w:val="es-ES_tradnl"/>
        </w:rPr>
        <w:t>Decreto 1600 de 2024</w:t>
      </w:r>
      <w:r>
        <w:rPr>
          <w:rFonts w:ascii="Verdana" w:eastAsia="Calibri" w:hAnsi="Verdana" w:cs="Arial"/>
          <w:lang w:val="es-ES_tradnl"/>
        </w:rPr>
        <w:t xml:space="preserve">, el Estatuto General de Contratación de la Administración Pública regula algunas </w:t>
      </w:r>
      <w:r>
        <w:rPr>
          <w:rFonts w:ascii="Verdana" w:eastAsia="Calibri" w:hAnsi="Verdana" w:cs="Arial"/>
          <w:lang w:val="es-ES_tradnl"/>
        </w:rPr>
        <w:lastRenderedPageBreak/>
        <w:t xml:space="preserve">inhabilidades relacionadas con la existencia de situaciones de control. Por ejemplo, este el caso de </w:t>
      </w:r>
      <w:r>
        <w:rPr>
          <w:rFonts w:ascii="Verdana" w:hAnsi="Verdana" w:cs="Arial"/>
        </w:rPr>
        <w:t>la inhabilidad d</w:t>
      </w:r>
      <w:r w:rsidRPr="00331299">
        <w:rPr>
          <w:rFonts w:ascii="Verdana" w:hAnsi="Verdana" w:cs="Arial"/>
        </w:rPr>
        <w:t>el literal j del numeral 1° del artículo 8 de la Ley 80 de 1993</w:t>
      </w:r>
      <w:r>
        <w:rPr>
          <w:rFonts w:ascii="Verdana" w:hAnsi="Verdana" w:cs="Arial"/>
        </w:rPr>
        <w:t xml:space="preserve">, introducida inicialmente por el derogado artículo 18 de la Ley 1150 de 2007. </w:t>
      </w:r>
      <w:r w:rsidRPr="00A6165E">
        <w:rPr>
          <w:rFonts w:ascii="Verdana" w:hAnsi="Verdana" w:cs="Arial"/>
          <w:color w:val="000000" w:themeColor="text1"/>
        </w:rPr>
        <w:t>Conforme a la</w:t>
      </w:r>
      <w:r>
        <w:rPr>
          <w:rFonts w:ascii="Verdana" w:hAnsi="Verdana" w:cs="Arial"/>
          <w:color w:val="000000" w:themeColor="text1"/>
        </w:rPr>
        <w:t xml:space="preserve"> norma citada</w:t>
      </w:r>
      <w:r w:rsidRPr="00A6165E">
        <w:rPr>
          <w:rFonts w:ascii="Verdana" w:hAnsi="Verdana" w:cs="Arial"/>
          <w:color w:val="000000" w:themeColor="text1"/>
        </w:rPr>
        <w:t>, est</w:t>
      </w:r>
      <w:r>
        <w:rPr>
          <w:rFonts w:ascii="Verdana" w:hAnsi="Verdana" w:cs="Arial"/>
          <w:color w:val="000000" w:themeColor="text1"/>
        </w:rPr>
        <w:t>aban</w:t>
      </w:r>
      <w:r w:rsidRPr="00A6165E">
        <w:rPr>
          <w:rFonts w:ascii="Verdana" w:hAnsi="Verdana" w:cs="Arial"/>
          <w:color w:val="000000" w:themeColor="text1"/>
        </w:rPr>
        <w:t xml:space="preserve"> inhabilitados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con excepción de las sociedades anónimas abiertas”.</w:t>
      </w:r>
    </w:p>
    <w:p w14:paraId="790A8A6B" w14:textId="77777777" w:rsidR="00AA335F" w:rsidRPr="00A6165E" w:rsidRDefault="00AA335F" w:rsidP="00AA335F">
      <w:pPr>
        <w:spacing w:after="120" w:line="276" w:lineRule="auto"/>
        <w:ind w:firstLine="708"/>
        <w:jc w:val="both"/>
        <w:rPr>
          <w:rFonts w:ascii="Verdana" w:hAnsi="Verdana" w:cs="Arial"/>
          <w:color w:val="000000" w:themeColor="text1"/>
        </w:rPr>
      </w:pPr>
      <w:r w:rsidRPr="00A6165E">
        <w:rPr>
          <w:rFonts w:ascii="Verdana" w:hAnsi="Verdana" w:cs="Arial"/>
          <w:color w:val="000000" w:themeColor="text1"/>
        </w:rPr>
        <w:t>Con esta norma, el legislador hizo más severo el régimen de inhabilidades para la persona natural. Además de restringir su capacidad jurídica para participar en procesos de selección y celebrar contratos con las entidades estatales, también estará impedida para apoyarse en los diversos tipos societarios previstos en la legislación mercantil para mantener el vínculo contractual con el Estado. Como explica la Corte Constitucional, “[…] el legislador pretende que la persona natural inhabilitada cumpla realmente con la sanción proveniente de la condena judicial que la declaró responsable de los delitos que allí se mencionan”</w:t>
      </w:r>
      <w:r w:rsidRPr="00A6165E">
        <w:rPr>
          <w:rStyle w:val="Refdenotaalpie"/>
          <w:rFonts w:ascii="Verdana" w:hAnsi="Verdana" w:cs="Arial"/>
          <w:color w:val="000000" w:themeColor="text1"/>
        </w:rPr>
        <w:footnoteReference w:id="14"/>
      </w:r>
      <w:r w:rsidRPr="00A6165E">
        <w:rPr>
          <w:rFonts w:ascii="Verdana" w:hAnsi="Verdana" w:cs="Arial"/>
          <w:color w:val="000000" w:themeColor="text1"/>
        </w:rPr>
        <w:t xml:space="preserve">. </w:t>
      </w:r>
    </w:p>
    <w:p w14:paraId="246D1978" w14:textId="77777777" w:rsidR="00AA335F" w:rsidRPr="00A6165E" w:rsidRDefault="00AA335F" w:rsidP="00AA335F">
      <w:pPr>
        <w:spacing w:after="120" w:line="276" w:lineRule="auto"/>
        <w:ind w:firstLine="708"/>
        <w:jc w:val="both"/>
        <w:rPr>
          <w:rFonts w:ascii="Verdana" w:hAnsi="Verdana" w:cs="Arial"/>
          <w:color w:val="000000" w:themeColor="text1"/>
        </w:rPr>
      </w:pPr>
      <w:r w:rsidRPr="00A6165E">
        <w:rPr>
          <w:rFonts w:ascii="Verdana" w:hAnsi="Verdana" w:cs="Arial"/>
          <w:color w:val="000000" w:themeColor="text1"/>
        </w:rPr>
        <w:t xml:space="preserve">Sin embargo, esta causal ha sido modificada por la Leyes 1474 de 2011, 1778 de 2016 y 2014 de 2019. La </w:t>
      </w:r>
      <w:r w:rsidRPr="00A6165E">
        <w:rPr>
          <w:rFonts w:ascii="Verdana" w:hAnsi="Verdana" w:cs="Arial"/>
          <w:i/>
          <w:iCs/>
          <w:color w:val="000000" w:themeColor="text1"/>
        </w:rPr>
        <w:t>primera modificación</w:t>
      </w:r>
      <w:r w:rsidRPr="00A6165E">
        <w:rPr>
          <w:rFonts w:ascii="Verdana" w:hAnsi="Verdana" w:cs="Arial"/>
          <w:color w:val="000000" w:themeColor="text1"/>
        </w:rPr>
        <w:t xml:space="preserve"> circunscribió la inhabilidad a las personas naturales responsables judicialmente de la comisión de delitos contra la Administración Pública cuya pena sea privativa de la libertad o soborno transnacional, con excepción de delitos culposos; la extendió a las sociedades en las que sean socias tales personas, a sus matrices y a sus subordinadas, con excepción de las sociedades anónimas abiertas; y determinó una duración de veinte (20) años</w:t>
      </w:r>
      <w:r w:rsidRPr="00A6165E">
        <w:rPr>
          <w:rStyle w:val="Refdenotaalpie"/>
          <w:rFonts w:ascii="Verdana" w:hAnsi="Verdana" w:cs="Arial"/>
          <w:color w:val="000000" w:themeColor="text1"/>
        </w:rPr>
        <w:footnoteReference w:id="15"/>
      </w:r>
      <w:r w:rsidRPr="00A6165E">
        <w:rPr>
          <w:rFonts w:ascii="Verdana" w:hAnsi="Verdana" w:cs="Arial"/>
          <w:color w:val="000000" w:themeColor="text1"/>
        </w:rPr>
        <w:t xml:space="preserve">. </w:t>
      </w:r>
    </w:p>
    <w:p w14:paraId="0876C7F8" w14:textId="77777777" w:rsidR="00AA335F" w:rsidRPr="00A6165E" w:rsidRDefault="00AA335F" w:rsidP="00AA335F">
      <w:pPr>
        <w:spacing w:after="120" w:line="276" w:lineRule="auto"/>
        <w:ind w:firstLine="708"/>
        <w:jc w:val="both"/>
        <w:rPr>
          <w:rFonts w:ascii="Verdana" w:hAnsi="Verdana" w:cs="Arial"/>
          <w:color w:val="000000" w:themeColor="text1"/>
        </w:rPr>
      </w:pPr>
      <w:r w:rsidRPr="00A6165E">
        <w:rPr>
          <w:rFonts w:ascii="Verdana" w:hAnsi="Verdana" w:cs="Arial"/>
          <w:color w:val="000000" w:themeColor="text1"/>
        </w:rPr>
        <w:lastRenderedPageBreak/>
        <w:t xml:space="preserve">La </w:t>
      </w:r>
      <w:r w:rsidRPr="00A6165E">
        <w:rPr>
          <w:rFonts w:ascii="Verdana" w:hAnsi="Verdana" w:cs="Arial"/>
          <w:i/>
          <w:iCs/>
          <w:color w:val="000000" w:themeColor="text1"/>
        </w:rPr>
        <w:t>segunda modificación</w:t>
      </w:r>
      <w:r w:rsidRPr="00A6165E">
        <w:rPr>
          <w:rFonts w:ascii="Verdana" w:hAnsi="Verdana" w:cs="Arial"/>
          <w:color w:val="000000" w:themeColor="text1"/>
        </w:rPr>
        <w:t xml:space="preserve"> precisó que la restricción aplicaría a las personas naturales responsables judicialmente de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Asimismo, extendió la inhabilidad a las personas jurídicas que hayan sido declaradas responsables administrativamente por la conducta de soborno transnacional. Esta limitación también aplica por un término de 20 años, y cobija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 Sin embargo, establece la configuración preventiva de la inhabilidad aun cuando esté pendiente la impugnación de la sentencia condenatoria</w:t>
      </w:r>
      <w:r w:rsidRPr="00A6165E">
        <w:rPr>
          <w:rStyle w:val="Refdenotaalpie"/>
          <w:rFonts w:ascii="Verdana" w:hAnsi="Verdana" w:cs="Arial"/>
          <w:color w:val="000000" w:themeColor="text1"/>
        </w:rPr>
        <w:footnoteReference w:id="16"/>
      </w:r>
      <w:r w:rsidRPr="00A6165E">
        <w:rPr>
          <w:rFonts w:ascii="Verdana" w:hAnsi="Verdana" w:cs="Arial"/>
          <w:color w:val="000000" w:themeColor="text1"/>
        </w:rPr>
        <w:t xml:space="preserve">.  </w:t>
      </w:r>
    </w:p>
    <w:p w14:paraId="4FE2317C" w14:textId="77777777" w:rsidR="00AA335F" w:rsidRDefault="00AA335F" w:rsidP="00AA335F">
      <w:pPr>
        <w:spacing w:after="120" w:line="276" w:lineRule="auto"/>
        <w:ind w:firstLine="708"/>
        <w:jc w:val="both"/>
        <w:rPr>
          <w:rFonts w:ascii="Verdana" w:hAnsi="Verdana" w:cs="Arial"/>
          <w:color w:val="000000" w:themeColor="text1"/>
        </w:rPr>
      </w:pPr>
      <w:r w:rsidRPr="00A6165E">
        <w:rPr>
          <w:rFonts w:ascii="Verdana" w:hAnsi="Verdana" w:cs="Arial"/>
          <w:color w:val="000000" w:themeColor="text1"/>
        </w:rPr>
        <w:t xml:space="preserve">La </w:t>
      </w:r>
      <w:r w:rsidRPr="00A6165E">
        <w:rPr>
          <w:rFonts w:ascii="Verdana" w:hAnsi="Verdana" w:cs="Arial"/>
          <w:i/>
          <w:iCs/>
          <w:color w:val="000000" w:themeColor="text1"/>
        </w:rPr>
        <w:t>tercera modificación</w:t>
      </w:r>
      <w:r w:rsidRPr="00A6165E">
        <w:rPr>
          <w:rFonts w:ascii="Verdana" w:hAnsi="Verdana" w:cs="Arial"/>
          <w:color w:val="000000" w:themeColor="text1"/>
        </w:rPr>
        <w:t xml:space="preserve"> mantiene a grandes rasgos la configuración de la inhabilidad respecto a las personas naturales declaradas responsables judicialmente por la comisión de delitos relacionados con actos de corrupción, así como las personas jurídicas que hayan sido declaradas responsables administrativamente por la conducta de soborno transnacional. Además de las personas jurídicas sobre las cuales se haya ordenado la suspensión de la personería, la restricción se extiende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w:t>
      </w:r>
      <w:r w:rsidRPr="00A6165E">
        <w:rPr>
          <w:rFonts w:ascii="Verdana" w:hAnsi="Verdana" w:cs="Arial"/>
          <w:color w:val="000000" w:themeColor="text1"/>
        </w:rPr>
        <w:lastRenderedPageBreak/>
        <w:t>de sociedades extranjeras. Aunque conserva la configuración preventiva, tiene carácter permanente al margen de la aplicación del principio de oportunidad por cualquier delito contra la Administración pública o el patrimonio del Estado</w:t>
      </w:r>
      <w:r w:rsidRPr="00A6165E">
        <w:rPr>
          <w:rStyle w:val="Refdenotaalpie"/>
          <w:rFonts w:ascii="Verdana" w:hAnsi="Verdana" w:cs="Arial"/>
          <w:color w:val="000000" w:themeColor="text1"/>
        </w:rPr>
        <w:footnoteReference w:id="17"/>
      </w:r>
      <w:r w:rsidRPr="00A6165E">
        <w:rPr>
          <w:rFonts w:ascii="Verdana" w:hAnsi="Verdana" w:cs="Arial"/>
          <w:color w:val="000000" w:themeColor="text1"/>
        </w:rPr>
        <w:t xml:space="preserve">. </w:t>
      </w:r>
    </w:p>
    <w:p w14:paraId="33914B52" w14:textId="77777777" w:rsidR="00AA335F" w:rsidRDefault="00AA335F" w:rsidP="00AA335F">
      <w:pPr>
        <w:spacing w:after="0" w:line="276" w:lineRule="auto"/>
        <w:ind w:firstLine="708"/>
        <w:jc w:val="both"/>
        <w:rPr>
          <w:rFonts w:ascii="Verdana" w:hAnsi="Verdana" w:cs="Arial"/>
          <w:color w:val="000000" w:themeColor="text1"/>
        </w:rPr>
      </w:pPr>
      <w:r>
        <w:rPr>
          <w:rFonts w:ascii="Verdana" w:hAnsi="Verdana" w:cs="Arial"/>
          <w:color w:val="000000" w:themeColor="text1"/>
        </w:rPr>
        <w:t>Esta causal de inhabilidad aplica a nacionales y extranjeros, lo cual es congruente con el inciso 2 del artículo 4 de la Constitución Política de 1991</w:t>
      </w:r>
      <w:r>
        <w:rPr>
          <w:rStyle w:val="Refdenotaalpie"/>
          <w:rFonts w:ascii="Verdana" w:hAnsi="Verdana" w:cs="Arial"/>
          <w:color w:val="000000" w:themeColor="text1"/>
        </w:rPr>
        <w:footnoteReference w:id="18"/>
      </w:r>
      <w:r w:rsidRPr="00292CA0">
        <w:rPr>
          <w:rFonts w:ascii="Verdana" w:hAnsi="Verdana" w:cs="Arial"/>
          <w:color w:val="000000" w:themeColor="text1"/>
        </w:rPr>
        <w:t>.</w:t>
      </w:r>
      <w:r>
        <w:rPr>
          <w:rFonts w:ascii="Verdana" w:hAnsi="Verdana" w:cs="Arial"/>
          <w:color w:val="000000" w:themeColor="text1"/>
        </w:rPr>
        <w:t xml:space="preserve"> Por ello, considerando que la corrupción en un riesgo global, </w:t>
      </w:r>
      <w:r w:rsidRPr="00292CA0">
        <w:rPr>
          <w:rFonts w:ascii="Verdana" w:hAnsi="Verdana" w:cs="Arial"/>
          <w:color w:val="000000" w:themeColor="text1"/>
        </w:rPr>
        <w:t>los Estados signatarios</w:t>
      </w:r>
      <w:r>
        <w:rPr>
          <w:rFonts w:ascii="Verdana" w:hAnsi="Verdana" w:cs="Arial"/>
          <w:color w:val="000000" w:themeColor="text1"/>
        </w:rPr>
        <w:t xml:space="preserve"> de</w:t>
      </w:r>
      <w:r w:rsidRPr="00292CA0">
        <w:rPr>
          <w:rFonts w:ascii="Verdana" w:hAnsi="Verdana" w:cs="Arial"/>
          <w:color w:val="000000" w:themeColor="text1"/>
        </w:rPr>
        <w:t xml:space="preserve"> diferentes convenciones se comprometieron a adoptar medidas para combatir </w:t>
      </w:r>
      <w:r>
        <w:rPr>
          <w:rFonts w:ascii="Verdana" w:hAnsi="Verdana" w:cs="Arial"/>
          <w:color w:val="000000" w:themeColor="text1"/>
        </w:rPr>
        <w:t xml:space="preserve">estas </w:t>
      </w:r>
      <w:r w:rsidRPr="00292CA0">
        <w:rPr>
          <w:rFonts w:ascii="Verdana" w:hAnsi="Verdana" w:cs="Arial"/>
          <w:color w:val="000000" w:themeColor="text1"/>
        </w:rPr>
        <w:t>conductas delictiva</w:t>
      </w:r>
      <w:r>
        <w:rPr>
          <w:rFonts w:ascii="Verdana" w:hAnsi="Verdana" w:cs="Arial"/>
          <w:color w:val="000000" w:themeColor="text1"/>
        </w:rPr>
        <w:t xml:space="preserve">s. Entre dichos instrumentos, se encuentran </w:t>
      </w:r>
      <w:r w:rsidRPr="002A4B2C">
        <w:rPr>
          <w:rFonts w:ascii="Verdana" w:hAnsi="Verdana" w:cs="Arial"/>
          <w:color w:val="000000" w:themeColor="text1"/>
        </w:rPr>
        <w:t>la Convención para combatir el cohecho de servidores públicos extranjeros en transacciones comerciales internacionales de la Organización para la Cooperación y Desarrollo Económicos -OCDE-, aprobada por Colombia mediante la Ley 1573 de 2012</w:t>
      </w:r>
      <w:r>
        <w:rPr>
          <w:rFonts w:ascii="Verdana" w:hAnsi="Verdana" w:cs="Arial"/>
          <w:color w:val="000000" w:themeColor="text1"/>
        </w:rPr>
        <w:t xml:space="preserve">; </w:t>
      </w:r>
      <w:r w:rsidRPr="002A4B2C">
        <w:rPr>
          <w:rFonts w:ascii="Verdana" w:hAnsi="Verdana" w:cs="Arial"/>
          <w:color w:val="000000" w:themeColor="text1"/>
        </w:rPr>
        <w:t>la Convención de las Naciones Unidas contra la Delincuencia Organizada Transnacional, aprobada mediante la Ley 800 de 2003</w:t>
      </w:r>
      <w:r>
        <w:rPr>
          <w:rFonts w:ascii="Verdana" w:hAnsi="Verdana" w:cs="Arial"/>
          <w:color w:val="000000" w:themeColor="text1"/>
        </w:rPr>
        <w:t xml:space="preserve">; así como </w:t>
      </w:r>
      <w:r w:rsidRPr="002A4B2C">
        <w:rPr>
          <w:rFonts w:ascii="Verdana" w:hAnsi="Verdana" w:cs="Arial"/>
          <w:color w:val="000000" w:themeColor="text1"/>
        </w:rPr>
        <w:t>la convención de las Naciones Unidas contra la Corrupción, aprobada por Colombia mediante la Ley 970 de 2005</w:t>
      </w:r>
      <w:r>
        <w:rPr>
          <w:rFonts w:ascii="Verdana" w:hAnsi="Verdana" w:cs="Arial"/>
          <w:color w:val="000000" w:themeColor="text1"/>
        </w:rPr>
        <w:t>.</w:t>
      </w:r>
    </w:p>
    <w:p w14:paraId="68036A7E" w14:textId="77777777" w:rsidR="00AA335F" w:rsidRDefault="00AA335F" w:rsidP="00AA335F">
      <w:pPr>
        <w:spacing w:after="0" w:line="276" w:lineRule="auto"/>
        <w:jc w:val="both"/>
        <w:rPr>
          <w:rFonts w:ascii="Verdana" w:hAnsi="Verdana" w:cs="Arial"/>
          <w:color w:val="000000" w:themeColor="text1"/>
        </w:rPr>
      </w:pPr>
    </w:p>
    <w:p w14:paraId="66195E94" w14:textId="77777777" w:rsidR="00AA335F" w:rsidRDefault="00AA335F" w:rsidP="00AA335F">
      <w:pPr>
        <w:spacing w:after="0" w:line="276" w:lineRule="auto"/>
        <w:jc w:val="both"/>
        <w:rPr>
          <w:rFonts w:ascii="Verdana" w:eastAsia="Calibri" w:hAnsi="Verdana" w:cs="Arial"/>
          <w:lang w:val="es-ES_tradnl"/>
        </w:rPr>
      </w:pPr>
      <w:proofErr w:type="spellStart"/>
      <w:r>
        <w:rPr>
          <w:rFonts w:ascii="Verdana" w:hAnsi="Verdana" w:cs="Arial"/>
          <w:color w:val="000000" w:themeColor="text1"/>
        </w:rPr>
        <w:lastRenderedPageBreak/>
        <w:t>iii</w:t>
      </w:r>
      <w:proofErr w:type="spellEnd"/>
      <w:r>
        <w:rPr>
          <w:rFonts w:ascii="Verdana" w:hAnsi="Verdana" w:cs="Arial"/>
          <w:color w:val="000000" w:themeColor="text1"/>
        </w:rPr>
        <w:t xml:space="preserve">. De igual forma, </w:t>
      </w:r>
      <w:r>
        <w:rPr>
          <w:rFonts w:ascii="Verdana" w:eastAsia="Calibri" w:hAnsi="Verdana" w:cs="Arial"/>
          <w:lang w:val="es-ES_tradnl"/>
        </w:rPr>
        <w:t xml:space="preserve">se encuentra la prevista en el literal k) del artículo 2.1 de la Ley 80 de 1993, adicionada por el artículo 2 de la Ley 1474 de 2011 y modificada por el artículo 33 de la Ley 1778 de 2016. </w:t>
      </w:r>
      <w:r w:rsidRPr="009F0267">
        <w:rPr>
          <w:rFonts w:ascii="Verdana" w:eastAsia="Calibri" w:hAnsi="Verdana" w:cs="Arial"/>
          <w:lang w:val="es-ES_tradnl"/>
        </w:rPr>
        <w:t xml:space="preserve">Esta </w:t>
      </w:r>
      <w:r>
        <w:rPr>
          <w:rFonts w:ascii="Verdana" w:eastAsia="Calibri" w:hAnsi="Verdana" w:cs="Arial"/>
          <w:lang w:val="es-ES_tradnl"/>
        </w:rPr>
        <w:t xml:space="preserve">causal </w:t>
      </w:r>
      <w:r w:rsidRPr="009F0267">
        <w:rPr>
          <w:rFonts w:ascii="Verdana" w:eastAsia="Calibri" w:hAnsi="Verdana" w:cs="Arial"/>
          <w:lang w:val="es-ES_tradnl"/>
        </w:rPr>
        <w:t>recae específicamente sobre las personas naturales o jurídicas que hayan financiado campañas en la proporción señalada en la norma, y solo se configura cuando la entidad pública del nivel administrativo para el cual fue elegido el candidato celebra un contrato con las personas que financiaron su campaña.</w:t>
      </w:r>
      <w:r>
        <w:rPr>
          <w:rFonts w:ascii="Verdana" w:eastAsia="Calibri" w:hAnsi="Verdana" w:cs="Arial"/>
          <w:lang w:val="es-ES_tradnl"/>
        </w:rPr>
        <w:t xml:space="preserve"> La norma dispone lo siguiente:</w:t>
      </w:r>
    </w:p>
    <w:p w14:paraId="764E48CD" w14:textId="77777777" w:rsidR="00AA335F" w:rsidRDefault="00AA335F" w:rsidP="00AA335F">
      <w:pPr>
        <w:spacing w:after="0" w:line="276" w:lineRule="auto"/>
        <w:ind w:firstLine="709"/>
        <w:jc w:val="both"/>
        <w:rPr>
          <w:rFonts w:ascii="Verdana" w:eastAsia="Calibri" w:hAnsi="Verdana" w:cs="Arial"/>
          <w:lang w:val="es-ES_tradnl"/>
        </w:rPr>
      </w:pPr>
    </w:p>
    <w:p w14:paraId="344BD609" w14:textId="77777777" w:rsidR="00AA335F" w:rsidRPr="009B015A" w:rsidRDefault="00AA335F" w:rsidP="00AA335F">
      <w:pPr>
        <w:spacing w:after="120" w:line="240" w:lineRule="auto"/>
        <w:ind w:left="709" w:right="709"/>
        <w:jc w:val="both"/>
        <w:rPr>
          <w:rFonts w:ascii="Verdana" w:hAnsi="Verdana" w:cs="Arial"/>
          <w:sz w:val="21"/>
          <w:szCs w:val="21"/>
          <w:lang w:val="es-ES"/>
        </w:rPr>
      </w:pPr>
      <w:r w:rsidRPr="009B015A">
        <w:rPr>
          <w:rFonts w:ascii="Verdana" w:hAnsi="Verdana" w:cs="Arial"/>
          <w:sz w:val="21"/>
          <w:szCs w:val="21"/>
          <w:lang w:val="es-ES"/>
        </w:rPr>
        <w:t>“Las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5C5EF0F5" w14:textId="77777777" w:rsidR="00AA335F" w:rsidRPr="009B015A" w:rsidRDefault="00AA335F" w:rsidP="00AA335F">
      <w:pPr>
        <w:spacing w:after="120" w:line="240" w:lineRule="auto"/>
        <w:ind w:left="709" w:right="709"/>
        <w:jc w:val="both"/>
        <w:rPr>
          <w:rFonts w:ascii="Verdana" w:hAnsi="Verdana" w:cs="Arial"/>
          <w:sz w:val="21"/>
          <w:szCs w:val="21"/>
          <w:lang w:val="es-ES"/>
        </w:rPr>
      </w:pPr>
      <w:r w:rsidRPr="009B015A">
        <w:rPr>
          <w:rFonts w:ascii="Verdana" w:hAnsi="Verdana" w:cs="Arial"/>
          <w:sz w:val="21"/>
          <w:szCs w:val="21"/>
          <w:lang w:val="es-ES"/>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414ED11A" w14:textId="77777777" w:rsidR="00AA335F" w:rsidRPr="009B015A" w:rsidRDefault="00AA335F" w:rsidP="00AA335F">
      <w:pPr>
        <w:spacing w:after="120" w:line="240" w:lineRule="auto"/>
        <w:ind w:left="709" w:right="709"/>
        <w:jc w:val="both"/>
        <w:rPr>
          <w:rFonts w:ascii="Verdana" w:hAnsi="Verdana" w:cs="Arial"/>
          <w:sz w:val="21"/>
          <w:szCs w:val="21"/>
          <w:lang w:val="es-ES"/>
        </w:rPr>
      </w:pPr>
      <w:r w:rsidRPr="009B015A">
        <w:rPr>
          <w:rFonts w:ascii="Verdana" w:hAnsi="Verdana" w:cs="Arial"/>
          <w:sz w:val="21"/>
          <w:szCs w:val="21"/>
          <w:lang w:val="es-ES"/>
        </w:rPr>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07B8B415" w14:textId="77777777" w:rsidR="00AA335F" w:rsidRPr="009B015A" w:rsidRDefault="00AA335F" w:rsidP="00AA335F">
      <w:pPr>
        <w:spacing w:after="0" w:line="240" w:lineRule="auto"/>
        <w:ind w:left="709" w:right="709"/>
        <w:jc w:val="both"/>
        <w:rPr>
          <w:rFonts w:ascii="Verdana" w:hAnsi="Verdana" w:cs="Arial"/>
          <w:sz w:val="21"/>
          <w:szCs w:val="21"/>
          <w:lang w:val="es-ES"/>
        </w:rPr>
      </w:pPr>
      <w:r w:rsidRPr="009B015A">
        <w:rPr>
          <w:rFonts w:ascii="Verdana" w:hAnsi="Verdana" w:cs="Arial"/>
          <w:sz w:val="21"/>
          <w:szCs w:val="21"/>
          <w:lang w:val="es-ES"/>
        </w:rPr>
        <w:t>La inhabilidad contemplada en esta norma no se aplicará respecto de los contratos de prestación de servicios profesionales”.</w:t>
      </w:r>
    </w:p>
    <w:p w14:paraId="53E130BE" w14:textId="77777777" w:rsidR="00AA335F" w:rsidRDefault="00AA335F" w:rsidP="00AA335F">
      <w:pPr>
        <w:spacing w:after="0" w:line="276" w:lineRule="auto"/>
        <w:jc w:val="both"/>
        <w:rPr>
          <w:rFonts w:ascii="Verdana" w:hAnsi="Verdana" w:cs="Arial"/>
          <w:lang w:val="es-ES"/>
        </w:rPr>
      </w:pPr>
    </w:p>
    <w:p w14:paraId="0117BBD3" w14:textId="77777777" w:rsidR="00AA335F" w:rsidRDefault="00AA335F" w:rsidP="00AA335F">
      <w:pPr>
        <w:spacing w:after="120" w:line="276" w:lineRule="auto"/>
        <w:jc w:val="both"/>
        <w:rPr>
          <w:rFonts w:ascii="Verdana" w:hAnsi="Verdana" w:cs="Arial"/>
          <w:lang w:val="es-ES"/>
        </w:rPr>
      </w:pPr>
      <w:r>
        <w:rPr>
          <w:rFonts w:ascii="Verdana" w:hAnsi="Verdana" w:cs="Arial"/>
          <w:lang w:val="es-ES"/>
        </w:rPr>
        <w:tab/>
        <w:t>Con el objetivo de</w:t>
      </w:r>
      <w:r w:rsidRPr="009B015A">
        <w:rPr>
          <w:rFonts w:ascii="Verdana" w:hAnsi="Verdana" w:cs="Arial"/>
          <w:lang w:val="es-ES"/>
        </w:rPr>
        <w:t xml:space="preserve"> frenar la corrupción</w:t>
      </w:r>
      <w:r>
        <w:rPr>
          <w:rFonts w:ascii="Verdana" w:hAnsi="Verdana" w:cs="Arial"/>
          <w:lang w:val="es-ES"/>
        </w:rPr>
        <w:t xml:space="preserve">, la norma </w:t>
      </w:r>
      <w:r w:rsidRPr="009B015A">
        <w:rPr>
          <w:rFonts w:ascii="Verdana" w:hAnsi="Verdana" w:cs="Arial"/>
          <w:lang w:val="es-ES"/>
        </w:rPr>
        <w:t xml:space="preserve">tiene un propósito </w:t>
      </w:r>
      <w:r>
        <w:rPr>
          <w:rFonts w:ascii="Verdana" w:hAnsi="Verdana" w:cs="Arial"/>
          <w:lang w:val="es-ES"/>
        </w:rPr>
        <w:t>mo</w:t>
      </w:r>
      <w:r w:rsidRPr="009B015A">
        <w:rPr>
          <w:rFonts w:ascii="Verdana" w:hAnsi="Verdana" w:cs="Arial"/>
          <w:lang w:val="es-ES"/>
        </w:rPr>
        <w:t>r</w:t>
      </w:r>
      <w:r>
        <w:rPr>
          <w:rFonts w:ascii="Verdana" w:hAnsi="Verdana" w:cs="Arial"/>
          <w:lang w:val="es-ES"/>
        </w:rPr>
        <w:t>alizante</w:t>
      </w:r>
      <w:r w:rsidRPr="009B015A">
        <w:rPr>
          <w:rFonts w:ascii="Verdana" w:hAnsi="Verdana" w:cs="Arial"/>
          <w:lang w:val="es-ES"/>
        </w:rPr>
        <w:t xml:space="preserve"> en </w:t>
      </w:r>
      <w:r>
        <w:rPr>
          <w:rFonts w:ascii="Verdana" w:hAnsi="Verdana" w:cs="Arial"/>
          <w:lang w:val="es-ES"/>
        </w:rPr>
        <w:t>el ámbito electoral y contractual</w:t>
      </w:r>
      <w:r w:rsidRPr="009B015A">
        <w:rPr>
          <w:rFonts w:ascii="Verdana" w:hAnsi="Verdana" w:cs="Arial"/>
          <w:lang w:val="es-ES"/>
        </w:rPr>
        <w:t xml:space="preserve">. </w:t>
      </w:r>
      <w:r>
        <w:rPr>
          <w:rFonts w:ascii="Verdana" w:hAnsi="Verdana" w:cs="Arial"/>
          <w:lang w:val="es-ES"/>
        </w:rPr>
        <w:t>Concretamente se orienta a</w:t>
      </w:r>
      <w:r w:rsidRPr="009B015A">
        <w:rPr>
          <w:rFonts w:ascii="Verdana" w:hAnsi="Verdana" w:cs="Arial"/>
          <w:lang w:val="es-ES"/>
        </w:rPr>
        <w:t xml:space="preserve"> impedir que las campañas políticas </w:t>
      </w:r>
      <w:r>
        <w:rPr>
          <w:rFonts w:ascii="Verdana" w:hAnsi="Verdana" w:cs="Arial"/>
          <w:lang w:val="es-ES"/>
        </w:rPr>
        <w:t>sean</w:t>
      </w:r>
      <w:r w:rsidRPr="009B015A">
        <w:rPr>
          <w:rFonts w:ascii="Verdana" w:hAnsi="Verdana" w:cs="Arial"/>
          <w:lang w:val="es-ES"/>
        </w:rPr>
        <w:t xml:space="preserve"> inversiones con expectativa de ganancia</w:t>
      </w:r>
      <w:r>
        <w:rPr>
          <w:rFonts w:ascii="Verdana" w:hAnsi="Verdana" w:cs="Arial"/>
          <w:lang w:val="es-ES"/>
        </w:rPr>
        <w:t>. En otras palabras, surge de la necesidad de “</w:t>
      </w:r>
      <w:r w:rsidRPr="001F0D99">
        <w:rPr>
          <w:rFonts w:ascii="Verdana" w:hAnsi="Verdana" w:cs="Arial"/>
          <w:lang w:val="es-ES"/>
        </w:rPr>
        <w:t>[…] establecer medidas para</w:t>
      </w:r>
      <w:r>
        <w:rPr>
          <w:rFonts w:ascii="Verdana" w:hAnsi="Verdana" w:cs="Arial"/>
          <w:lang w:val="es-ES"/>
        </w:rPr>
        <w:t xml:space="preserve"> </w:t>
      </w:r>
      <w:r w:rsidRPr="001F0D99">
        <w:rPr>
          <w:rFonts w:ascii="Verdana" w:hAnsi="Verdana" w:cs="Arial"/>
          <w:lang w:val="es-ES"/>
        </w:rPr>
        <w:t>impedir las conexiones ilegales entre los particulares y la Administración Pública a</w:t>
      </w:r>
      <w:r>
        <w:rPr>
          <w:rFonts w:ascii="Verdana" w:hAnsi="Verdana" w:cs="Arial"/>
          <w:lang w:val="es-ES"/>
        </w:rPr>
        <w:t xml:space="preserve"> </w:t>
      </w:r>
      <w:r w:rsidRPr="001F0D99">
        <w:rPr>
          <w:rFonts w:ascii="Verdana" w:hAnsi="Verdana" w:cs="Arial"/>
          <w:lang w:val="es-ES"/>
        </w:rPr>
        <w:t>través de financiación ilegal de campañas políticas. Para ese efecto, se prohíbe que</w:t>
      </w:r>
      <w:r>
        <w:rPr>
          <w:rFonts w:ascii="Verdana" w:hAnsi="Verdana" w:cs="Arial"/>
          <w:lang w:val="es-ES"/>
        </w:rPr>
        <w:t xml:space="preserve"> </w:t>
      </w:r>
      <w:r w:rsidRPr="001F0D99">
        <w:rPr>
          <w:rFonts w:ascii="Verdana" w:hAnsi="Verdana" w:cs="Arial"/>
          <w:lang w:val="es-ES"/>
        </w:rPr>
        <w:t xml:space="preserve">quienes financien campañas electorales se beneficien de contratos </w:t>
      </w:r>
      <w:r w:rsidRPr="001F0D99">
        <w:rPr>
          <w:rFonts w:ascii="Verdana" w:hAnsi="Verdana" w:cs="Arial"/>
          <w:lang w:val="es-ES"/>
        </w:rPr>
        <w:lastRenderedPageBreak/>
        <w:t>públicos</w:t>
      </w:r>
      <w:r>
        <w:rPr>
          <w:rFonts w:ascii="Verdana" w:hAnsi="Verdana" w:cs="Arial"/>
          <w:lang w:val="es-ES"/>
        </w:rPr>
        <w:t>”</w:t>
      </w:r>
      <w:r>
        <w:rPr>
          <w:rStyle w:val="Refdenotaalpie"/>
          <w:rFonts w:ascii="Verdana" w:hAnsi="Verdana" w:cs="Arial"/>
          <w:lang w:val="es-ES"/>
        </w:rPr>
        <w:footnoteReference w:id="19"/>
      </w:r>
      <w:r>
        <w:rPr>
          <w:rFonts w:ascii="Verdana" w:hAnsi="Verdana" w:cs="Arial"/>
          <w:lang w:val="es-ES"/>
        </w:rPr>
        <w:t>. Sin embargo, se observan las siguientes limitaciones: i) se refiere a cargos de elección popular, es decir, n</w:t>
      </w:r>
      <w:r w:rsidRPr="00445CCB">
        <w:rPr>
          <w:rFonts w:ascii="Verdana" w:hAnsi="Verdana" w:cs="Arial"/>
          <w:lang w:val="es-ES"/>
        </w:rPr>
        <w:t>o aplica a cargos de libre nombramiento y remoción</w:t>
      </w:r>
      <w:r>
        <w:rPr>
          <w:rFonts w:ascii="Verdana" w:hAnsi="Verdana" w:cs="Arial"/>
          <w:lang w:val="es-ES"/>
        </w:rPr>
        <w:t xml:space="preserve">, </w:t>
      </w:r>
      <w:proofErr w:type="spellStart"/>
      <w:r>
        <w:rPr>
          <w:rFonts w:ascii="Verdana" w:hAnsi="Verdana" w:cs="Arial"/>
          <w:lang w:val="es-ES"/>
        </w:rPr>
        <w:t>ii</w:t>
      </w:r>
      <w:proofErr w:type="spellEnd"/>
      <w:r>
        <w:rPr>
          <w:rFonts w:ascii="Verdana" w:hAnsi="Verdana" w:cs="Arial"/>
          <w:lang w:val="es-ES"/>
        </w:rPr>
        <w:t xml:space="preserve">) </w:t>
      </w:r>
      <w:r w:rsidRPr="00445CCB">
        <w:rPr>
          <w:rFonts w:ascii="Verdana" w:hAnsi="Verdana" w:cs="Arial"/>
          <w:lang w:val="es-ES"/>
        </w:rPr>
        <w:t>s</w:t>
      </w:r>
      <w:r>
        <w:rPr>
          <w:rFonts w:ascii="Verdana" w:hAnsi="Verdana" w:cs="Arial"/>
          <w:lang w:val="es-ES"/>
        </w:rPr>
        <w:t>ó</w:t>
      </w:r>
      <w:r w:rsidRPr="00445CCB">
        <w:rPr>
          <w:rFonts w:ascii="Verdana" w:hAnsi="Verdana" w:cs="Arial"/>
          <w:lang w:val="es-ES"/>
        </w:rPr>
        <w:t xml:space="preserve">lo cubre campañas a la Presidencia, gobernaciones, alcaldías y Congreso, dejando fuera a </w:t>
      </w:r>
      <w:r>
        <w:rPr>
          <w:rFonts w:ascii="Verdana" w:hAnsi="Verdana" w:cs="Arial"/>
          <w:lang w:val="es-ES"/>
        </w:rPr>
        <w:t>las elecciones</w:t>
      </w:r>
      <w:r w:rsidRPr="00445CCB">
        <w:rPr>
          <w:rFonts w:ascii="Verdana" w:hAnsi="Verdana" w:cs="Arial"/>
          <w:lang w:val="es-ES"/>
        </w:rPr>
        <w:t xml:space="preserve"> para asambleas departamentales y concejos municipales</w:t>
      </w:r>
      <w:r>
        <w:rPr>
          <w:rFonts w:ascii="Verdana" w:hAnsi="Verdana" w:cs="Arial"/>
          <w:lang w:val="es-ES"/>
        </w:rPr>
        <w:t xml:space="preserve"> y </w:t>
      </w:r>
      <w:proofErr w:type="spellStart"/>
      <w:r>
        <w:rPr>
          <w:rFonts w:ascii="Verdana" w:hAnsi="Verdana" w:cs="Arial"/>
          <w:lang w:val="es-ES"/>
        </w:rPr>
        <w:t>iii</w:t>
      </w:r>
      <w:proofErr w:type="spellEnd"/>
      <w:r>
        <w:rPr>
          <w:rFonts w:ascii="Verdana" w:hAnsi="Verdana" w:cs="Arial"/>
          <w:lang w:val="es-ES"/>
        </w:rPr>
        <w:t xml:space="preserve">) únicamente </w:t>
      </w:r>
      <w:r w:rsidRPr="00445CCB">
        <w:rPr>
          <w:rFonts w:ascii="Verdana" w:hAnsi="Verdana" w:cs="Arial"/>
          <w:lang w:val="es-ES"/>
        </w:rPr>
        <w:t xml:space="preserve">exceptúa </w:t>
      </w:r>
      <w:r>
        <w:rPr>
          <w:rFonts w:ascii="Verdana" w:hAnsi="Verdana" w:cs="Arial"/>
          <w:lang w:val="es-ES"/>
        </w:rPr>
        <w:t>los</w:t>
      </w:r>
      <w:r w:rsidRPr="00445CCB">
        <w:rPr>
          <w:rFonts w:ascii="Verdana" w:hAnsi="Verdana" w:cs="Arial"/>
          <w:lang w:val="es-ES"/>
        </w:rPr>
        <w:t xml:space="preserve"> contratos de prestación de</w:t>
      </w:r>
      <w:r>
        <w:rPr>
          <w:rFonts w:ascii="Verdana" w:hAnsi="Verdana" w:cs="Arial"/>
          <w:lang w:val="es-ES"/>
        </w:rPr>
        <w:t xml:space="preserve"> </w:t>
      </w:r>
      <w:r w:rsidRPr="00445CCB">
        <w:rPr>
          <w:rFonts w:ascii="Verdana" w:hAnsi="Verdana" w:cs="Arial"/>
          <w:lang w:val="es-ES"/>
        </w:rPr>
        <w:t>servicios profesionales</w:t>
      </w:r>
      <w:r>
        <w:rPr>
          <w:rFonts w:ascii="Verdana" w:hAnsi="Verdana" w:cs="Arial"/>
          <w:lang w:val="es-ES"/>
        </w:rPr>
        <w:t>.</w:t>
      </w:r>
    </w:p>
    <w:p w14:paraId="068D361E" w14:textId="77777777" w:rsidR="00AA335F" w:rsidRDefault="00AA335F" w:rsidP="00AA335F">
      <w:pPr>
        <w:spacing w:after="120" w:line="276" w:lineRule="auto"/>
        <w:jc w:val="both"/>
        <w:rPr>
          <w:rFonts w:ascii="Verdana" w:hAnsi="Verdana" w:cs="Arial"/>
          <w:lang w:val="es-ES"/>
        </w:rPr>
      </w:pPr>
      <w:r>
        <w:rPr>
          <w:rFonts w:ascii="Verdana" w:hAnsi="Verdana" w:cs="Arial"/>
          <w:lang w:val="es-ES"/>
        </w:rPr>
        <w:tab/>
        <w:t xml:space="preserve">Pese a que la norma dispone que quienes participen en la financiación en las condiciones mencionadas “[…] </w:t>
      </w:r>
      <w:r w:rsidRPr="00252879">
        <w:rPr>
          <w:rFonts w:ascii="Verdana" w:hAnsi="Verdana" w:cs="Arial"/>
          <w:lang w:val="es-ES"/>
        </w:rPr>
        <w:t>no podrán celebrar contratos con las entidades públicas</w:t>
      </w:r>
      <w:r>
        <w:rPr>
          <w:rFonts w:ascii="Verdana" w:hAnsi="Verdana" w:cs="Arial"/>
          <w:lang w:val="es-ES"/>
        </w:rPr>
        <w:t xml:space="preserve"> […]”, autores como Dávila Vinueza </w:t>
      </w:r>
      <w:r w:rsidRPr="00252879">
        <w:rPr>
          <w:rFonts w:ascii="Verdana" w:hAnsi="Verdana" w:cs="Arial"/>
          <w:lang w:val="es-ES"/>
        </w:rPr>
        <w:t>considera</w:t>
      </w:r>
      <w:r>
        <w:rPr>
          <w:rFonts w:ascii="Verdana" w:hAnsi="Verdana" w:cs="Arial"/>
          <w:lang w:val="es-ES"/>
        </w:rPr>
        <w:t>n</w:t>
      </w:r>
      <w:r w:rsidRPr="00252879">
        <w:rPr>
          <w:rFonts w:ascii="Verdana" w:hAnsi="Verdana" w:cs="Arial"/>
          <w:lang w:val="es-ES"/>
        </w:rPr>
        <w:t xml:space="preserve"> que</w:t>
      </w:r>
      <w:r>
        <w:rPr>
          <w:rFonts w:ascii="Verdana" w:hAnsi="Verdana" w:cs="Arial"/>
          <w:lang w:val="es-ES"/>
        </w:rPr>
        <w:t xml:space="preserve"> también abarca</w:t>
      </w:r>
      <w:r w:rsidRPr="00252879">
        <w:rPr>
          <w:rFonts w:ascii="Verdana" w:hAnsi="Verdana" w:cs="Arial"/>
          <w:lang w:val="es-ES"/>
        </w:rPr>
        <w:t xml:space="preserve"> </w:t>
      </w:r>
      <w:r>
        <w:rPr>
          <w:rFonts w:ascii="Verdana" w:hAnsi="Verdana" w:cs="Arial"/>
          <w:lang w:val="es-ES"/>
        </w:rPr>
        <w:t>“</w:t>
      </w:r>
      <w:r w:rsidRPr="00252879">
        <w:rPr>
          <w:rFonts w:ascii="Verdana" w:hAnsi="Verdana" w:cs="Arial"/>
          <w:lang w:val="es-ES"/>
        </w:rPr>
        <w:t>[…] a pesar de la falta técnica y de</w:t>
      </w:r>
      <w:r>
        <w:rPr>
          <w:rFonts w:ascii="Verdana" w:hAnsi="Verdana" w:cs="Arial"/>
          <w:lang w:val="es-ES"/>
        </w:rPr>
        <w:t xml:space="preserve"> </w:t>
      </w:r>
      <w:r w:rsidRPr="00252879">
        <w:rPr>
          <w:rFonts w:ascii="Verdana" w:hAnsi="Verdana" w:cs="Arial"/>
          <w:lang w:val="es-ES"/>
        </w:rPr>
        <w:t>precisión, la participación en procesos de selección lo que implica la imposibilidad</w:t>
      </w:r>
      <w:r>
        <w:rPr>
          <w:rFonts w:ascii="Verdana" w:hAnsi="Verdana" w:cs="Arial"/>
          <w:lang w:val="es-ES"/>
        </w:rPr>
        <w:t xml:space="preserve"> </w:t>
      </w:r>
      <w:r w:rsidRPr="00252879">
        <w:rPr>
          <w:rFonts w:ascii="Verdana" w:hAnsi="Verdana" w:cs="Arial"/>
          <w:lang w:val="es-ES"/>
        </w:rPr>
        <w:t>de presentar ofertas</w:t>
      </w:r>
      <w:r>
        <w:rPr>
          <w:rFonts w:ascii="Verdana" w:hAnsi="Verdana" w:cs="Arial"/>
          <w:lang w:val="es-ES"/>
        </w:rPr>
        <w:t>”</w:t>
      </w:r>
      <w:r>
        <w:rPr>
          <w:rStyle w:val="Refdenotaalpie"/>
          <w:rFonts w:ascii="Verdana" w:hAnsi="Verdana" w:cs="Arial"/>
          <w:lang w:val="es-ES"/>
        </w:rPr>
        <w:footnoteReference w:id="20"/>
      </w:r>
      <w:r w:rsidRPr="00252879">
        <w:rPr>
          <w:rFonts w:ascii="Verdana" w:hAnsi="Verdana" w:cs="Arial"/>
          <w:lang w:val="es-ES"/>
        </w:rPr>
        <w:t xml:space="preserve">. Adicionalmente, aclara que </w:t>
      </w:r>
      <w:r>
        <w:rPr>
          <w:rFonts w:ascii="Verdana" w:hAnsi="Verdana" w:cs="Arial"/>
          <w:lang w:val="es-ES"/>
        </w:rPr>
        <w:t>“</w:t>
      </w:r>
      <w:r w:rsidRPr="00252879">
        <w:rPr>
          <w:rFonts w:ascii="Verdana" w:hAnsi="Verdana" w:cs="Arial"/>
          <w:lang w:val="es-ES"/>
        </w:rPr>
        <w:t>la prohibición se</w:t>
      </w:r>
      <w:r>
        <w:rPr>
          <w:rFonts w:ascii="Verdana" w:hAnsi="Verdana" w:cs="Arial"/>
          <w:lang w:val="es-ES"/>
        </w:rPr>
        <w:t xml:space="preserve"> </w:t>
      </w:r>
      <w:r w:rsidRPr="00252879">
        <w:rPr>
          <w:rFonts w:ascii="Verdana" w:hAnsi="Verdana" w:cs="Arial"/>
          <w:lang w:val="es-ES"/>
        </w:rPr>
        <w:t>configura, no respecto de todos los candidatos participantes sino solo en relación</w:t>
      </w:r>
      <w:r>
        <w:rPr>
          <w:rFonts w:ascii="Verdana" w:hAnsi="Verdana" w:cs="Arial"/>
          <w:lang w:val="es-ES"/>
        </w:rPr>
        <w:t xml:space="preserve"> </w:t>
      </w:r>
      <w:r w:rsidRPr="00252879">
        <w:rPr>
          <w:rFonts w:ascii="Verdana" w:hAnsi="Verdana" w:cs="Arial"/>
          <w:lang w:val="es-ES"/>
        </w:rPr>
        <w:t>con el elegido, pues es ahí en donde se corre el riesgo del favorecimiento con miras</w:t>
      </w:r>
      <w:r>
        <w:rPr>
          <w:rFonts w:ascii="Verdana" w:hAnsi="Verdana" w:cs="Arial"/>
          <w:lang w:val="es-ES"/>
        </w:rPr>
        <w:t xml:space="preserve"> </w:t>
      </w:r>
      <w:r w:rsidRPr="00252879">
        <w:rPr>
          <w:rFonts w:ascii="Verdana" w:hAnsi="Verdana" w:cs="Arial"/>
          <w:lang w:val="es-ES"/>
        </w:rPr>
        <w:t>a pagar la donación recibida y por eso, la inhabilidad […] comienza a producir</w:t>
      </w:r>
      <w:r>
        <w:rPr>
          <w:rFonts w:ascii="Verdana" w:hAnsi="Verdana" w:cs="Arial"/>
          <w:lang w:val="es-ES"/>
        </w:rPr>
        <w:t xml:space="preserve"> </w:t>
      </w:r>
      <w:r w:rsidRPr="00252879">
        <w:rPr>
          <w:rFonts w:ascii="Verdana" w:hAnsi="Verdana" w:cs="Arial"/>
          <w:lang w:val="es-ES"/>
        </w:rPr>
        <w:t>efectos desde la posesión del cargo</w:t>
      </w:r>
      <w:r>
        <w:rPr>
          <w:rFonts w:ascii="Verdana" w:hAnsi="Verdana" w:cs="Arial"/>
          <w:lang w:val="es-ES"/>
        </w:rPr>
        <w:t>”</w:t>
      </w:r>
      <w:r>
        <w:rPr>
          <w:rStyle w:val="Refdenotaalpie"/>
          <w:rFonts w:ascii="Verdana" w:hAnsi="Verdana" w:cs="Arial"/>
          <w:lang w:val="es-ES"/>
        </w:rPr>
        <w:footnoteReference w:id="21"/>
      </w:r>
      <w:r>
        <w:rPr>
          <w:rFonts w:ascii="Verdana" w:hAnsi="Verdana" w:cs="Arial"/>
          <w:lang w:val="es-ES"/>
        </w:rPr>
        <w:t>.</w:t>
      </w:r>
    </w:p>
    <w:p w14:paraId="7261D3AB" w14:textId="77777777" w:rsidR="00AA335F" w:rsidRDefault="00AA335F" w:rsidP="00AA335F">
      <w:pPr>
        <w:spacing w:after="120" w:line="276" w:lineRule="auto"/>
        <w:jc w:val="both"/>
        <w:rPr>
          <w:rFonts w:ascii="Verdana" w:hAnsi="Verdana" w:cs="Arial"/>
          <w:lang w:val="es-ES"/>
        </w:rPr>
      </w:pPr>
      <w:r>
        <w:rPr>
          <w:rFonts w:ascii="Verdana" w:hAnsi="Verdana" w:cs="Arial"/>
          <w:lang w:val="es-ES"/>
        </w:rPr>
        <w:tab/>
        <w:t xml:space="preserve">Para su aplicación de la causal, el artículo 109 constitucional dispone que “[…] </w:t>
      </w:r>
      <w:r w:rsidRPr="00F4573C">
        <w:rPr>
          <w:rFonts w:ascii="Verdana" w:hAnsi="Verdana" w:cs="Arial"/>
          <w:lang w:val="es-ES"/>
        </w:rPr>
        <w:t>se podrá limitar el monto de los gastos que los partidos, movimientos, grupos significativos de ciudadanos o candidatos puedan realizar en las campañas electorales, así como la máxima cuantía de las contribuciones privadas, de acuerdo con la ley</w:t>
      </w:r>
      <w:r>
        <w:rPr>
          <w:rFonts w:ascii="Verdana" w:hAnsi="Verdana" w:cs="Arial"/>
          <w:lang w:val="es-ES"/>
        </w:rPr>
        <w:t xml:space="preserve">” –inciso 4–. Por ello, “[…] </w:t>
      </w:r>
      <w:r w:rsidRPr="00F4573C">
        <w:rPr>
          <w:rFonts w:ascii="Verdana" w:hAnsi="Verdana" w:cs="Arial"/>
          <w:lang w:val="es-ES"/>
        </w:rPr>
        <w:t>la violación de los topes máximos de financiación de las campañas, debidamente comprobada, será sancionada con la pérdida de investidura o del cargo</w:t>
      </w:r>
      <w:r>
        <w:rPr>
          <w:rFonts w:ascii="Verdana" w:hAnsi="Verdana" w:cs="Arial"/>
          <w:lang w:val="es-ES"/>
        </w:rPr>
        <w:t xml:space="preserve"> […]” –inciso 7–. De esta manera, el inciso segundo del artículo 14 de la Ley 130 de 1994 dispone que “</w:t>
      </w:r>
      <w:r w:rsidRPr="00FD4D09">
        <w:rPr>
          <w:rFonts w:ascii="Verdana" w:hAnsi="Verdana" w:cs="Arial"/>
          <w:lang w:val="es-ES"/>
        </w:rPr>
        <w:t>Ningún candidato a cargo de elección popular podrá invertir en la respectiva campaña suma que sobrepase la que fije el Consejo Nacional Electoral, bien sea de su propio peculio, del de su familia o de contribuciones de particulares</w:t>
      </w:r>
      <w:r>
        <w:rPr>
          <w:rFonts w:ascii="Verdana" w:hAnsi="Verdana" w:cs="Arial"/>
          <w:lang w:val="es-ES"/>
        </w:rPr>
        <w:t xml:space="preserve"> […]”</w:t>
      </w:r>
      <w:r w:rsidRPr="00FD4D09">
        <w:rPr>
          <w:rFonts w:ascii="Verdana" w:hAnsi="Verdana" w:cs="Arial"/>
          <w:lang w:val="es-ES"/>
        </w:rPr>
        <w:t>.</w:t>
      </w:r>
    </w:p>
    <w:p w14:paraId="2E024A5C" w14:textId="77777777" w:rsidR="00AA335F" w:rsidRDefault="00AA335F" w:rsidP="00AA335F">
      <w:pPr>
        <w:spacing w:after="0" w:line="276" w:lineRule="auto"/>
        <w:jc w:val="both"/>
        <w:rPr>
          <w:rFonts w:ascii="Verdana" w:hAnsi="Verdana" w:cs="Arial"/>
          <w:lang w:val="es-ES"/>
        </w:rPr>
      </w:pPr>
      <w:r>
        <w:rPr>
          <w:rFonts w:ascii="Verdana" w:hAnsi="Verdana" w:cs="Arial"/>
          <w:lang w:val="es-ES"/>
        </w:rPr>
        <w:tab/>
        <w:t>Conforme al artículo 23 de la Ley 1475 de 2011, se reitera que “</w:t>
      </w:r>
      <w:r w:rsidRPr="000020C6">
        <w:rPr>
          <w:rFonts w:ascii="Verdana" w:hAnsi="Verdana" w:cs="Arial"/>
          <w:lang w:val="es-ES"/>
        </w:rPr>
        <w:t>Ningún partido, movimiento, grupo significativo de ciudadanos, candidato o campaña, podrá obtener créditos ni recaudar recursos originados en fuentes de financiación privada, por más del valor total de gastos que se pueden realizar en la respectiva campaña</w:t>
      </w:r>
      <w:r>
        <w:rPr>
          <w:rFonts w:ascii="Verdana" w:hAnsi="Verdana" w:cs="Arial"/>
          <w:lang w:val="es-ES"/>
        </w:rPr>
        <w:t xml:space="preserve"> […]”. Salvo que se trate de </w:t>
      </w:r>
      <w:r w:rsidRPr="000210B3">
        <w:rPr>
          <w:rFonts w:ascii="Verdana" w:hAnsi="Verdana" w:cs="Arial"/>
          <w:lang w:val="es-ES"/>
        </w:rPr>
        <w:t>recursos propios, del cónyuge, compañero permanente</w:t>
      </w:r>
      <w:r>
        <w:rPr>
          <w:rFonts w:ascii="Verdana" w:hAnsi="Verdana" w:cs="Arial"/>
          <w:lang w:val="es-ES"/>
        </w:rPr>
        <w:t>,</w:t>
      </w:r>
      <w:r w:rsidRPr="000210B3">
        <w:rPr>
          <w:rFonts w:ascii="Verdana" w:hAnsi="Verdana" w:cs="Arial"/>
          <w:lang w:val="es-ES"/>
        </w:rPr>
        <w:t xml:space="preserve"> parientes en el grado que autoriza la ley</w:t>
      </w:r>
      <w:r>
        <w:rPr>
          <w:rFonts w:ascii="Verdana" w:hAnsi="Verdana" w:cs="Arial"/>
          <w:lang w:val="es-ES"/>
        </w:rPr>
        <w:t xml:space="preserve"> o recursos </w:t>
      </w:r>
      <w:r>
        <w:rPr>
          <w:rFonts w:ascii="Verdana" w:hAnsi="Verdana" w:cs="Arial"/>
          <w:lang w:val="es-ES"/>
        </w:rPr>
        <w:lastRenderedPageBreak/>
        <w:t xml:space="preserve">provenientes de créditos, “[…] </w:t>
      </w:r>
      <w:r w:rsidRPr="000020C6">
        <w:rPr>
          <w:rFonts w:ascii="Verdana" w:hAnsi="Verdana" w:cs="Arial"/>
          <w:lang w:val="es-ES"/>
        </w:rPr>
        <w:t>Tampoco podrá recaudar contribuciones y donaciones individuales superiores al 10% de dicho valor total</w:t>
      </w:r>
      <w:r>
        <w:rPr>
          <w:rFonts w:ascii="Verdana" w:hAnsi="Verdana" w:cs="Arial"/>
          <w:lang w:val="es-ES"/>
        </w:rPr>
        <w:t xml:space="preserve">”. Para estos efectos, el inciso primero del artículo 24 </w:t>
      </w:r>
      <w:r w:rsidRPr="000020C6">
        <w:rPr>
          <w:rFonts w:ascii="Verdana" w:hAnsi="Verdana" w:cs="Arial"/>
          <w:i/>
          <w:iCs/>
          <w:lang w:val="es-ES"/>
        </w:rPr>
        <w:t>ibidem</w:t>
      </w:r>
      <w:r>
        <w:rPr>
          <w:rFonts w:ascii="Verdana" w:hAnsi="Verdana" w:cs="Arial"/>
          <w:lang w:val="es-ES"/>
        </w:rPr>
        <w:t xml:space="preserve"> precisa que “</w:t>
      </w:r>
      <w:r w:rsidRPr="000020C6">
        <w:rPr>
          <w:rFonts w:ascii="Verdana" w:hAnsi="Verdana" w:cs="Arial"/>
          <w:lang w:val="es-ES"/>
        </w:rPr>
        <w:t>Los límites de gastos de las campañas electorales a los distintos cargos y corporaciones de elección popular serán fijados por el Consejo Nacional Electoral en el mes de enero de cada año, teniendo en cuenta los costos reales de las campañas, el correspondiente censo electoral y la apropiación presupuestal para la financiación estatal de las mismas</w:t>
      </w:r>
      <w:r>
        <w:rPr>
          <w:rFonts w:ascii="Verdana" w:hAnsi="Verdana" w:cs="Arial"/>
          <w:lang w:val="es-ES"/>
        </w:rPr>
        <w:t>”</w:t>
      </w:r>
      <w:r w:rsidRPr="000020C6">
        <w:rPr>
          <w:rFonts w:ascii="Verdana" w:hAnsi="Verdana" w:cs="Arial"/>
          <w:lang w:val="es-ES"/>
        </w:rPr>
        <w:t>.</w:t>
      </w:r>
    </w:p>
    <w:p w14:paraId="28EB77A0" w14:textId="77777777" w:rsidR="00AA335F" w:rsidRDefault="00AA335F" w:rsidP="00AA335F">
      <w:pPr>
        <w:spacing w:after="0" w:line="276" w:lineRule="auto"/>
        <w:jc w:val="both"/>
        <w:rPr>
          <w:rFonts w:ascii="Verdana" w:eastAsia="Calibri" w:hAnsi="Verdana" w:cs="Arial"/>
        </w:rPr>
      </w:pPr>
    </w:p>
    <w:p w14:paraId="6C59048C" w14:textId="77777777" w:rsidR="00AA335F" w:rsidRDefault="00AA335F" w:rsidP="00AA335F">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E105D61" w14:textId="77777777" w:rsidR="00AA335F" w:rsidRDefault="00AA335F" w:rsidP="00AA335F">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4DB2915" w14:textId="77777777" w:rsidR="00AA335F" w:rsidRPr="0016510D" w:rsidRDefault="00AA335F" w:rsidP="00AA335F">
      <w:pPr>
        <w:spacing w:after="0" w:line="276" w:lineRule="auto"/>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 </w:t>
      </w:r>
    </w:p>
    <w:p w14:paraId="26C3D21D" w14:textId="77777777" w:rsidR="00AA335F" w:rsidRPr="00593A5F" w:rsidRDefault="00AA335F" w:rsidP="00AA33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16060F3" w14:textId="77777777" w:rsidR="00AA335F" w:rsidRPr="00593A5F" w:rsidRDefault="00AA335F" w:rsidP="00AA335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A335F" w:rsidRPr="002407CE" w14:paraId="1FF5B98E" w14:textId="77777777" w:rsidTr="007900A4">
        <w:trPr>
          <w:trHeight w:val="870"/>
          <w:jc w:val="center"/>
        </w:trPr>
        <w:tc>
          <w:tcPr>
            <w:tcW w:w="8647" w:type="dxa"/>
          </w:tcPr>
          <w:p w14:paraId="29742FE2" w14:textId="77777777" w:rsidR="00AA335F" w:rsidRDefault="00AA335F" w:rsidP="007900A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109, 209, 267 y 355.</w:t>
            </w:r>
          </w:p>
          <w:p w14:paraId="695DB044" w14:textId="77777777" w:rsidR="00AA335F" w:rsidRDefault="00AA335F" w:rsidP="007900A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8.</w:t>
            </w:r>
          </w:p>
          <w:p w14:paraId="4A3FFF43" w14:textId="77777777" w:rsidR="00AA335F" w:rsidRDefault="00AA335F" w:rsidP="007900A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130 de 1994, artículo 14.</w:t>
            </w:r>
          </w:p>
          <w:p w14:paraId="14309006" w14:textId="77777777" w:rsidR="00AA335F" w:rsidRDefault="00AA335F" w:rsidP="007900A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2611F220" w14:textId="77777777" w:rsidR="00AA335F" w:rsidRDefault="00AA335F" w:rsidP="007900A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1150 de 2007, artículos 6 y 13.</w:t>
            </w:r>
          </w:p>
          <w:p w14:paraId="19827518" w14:textId="77777777" w:rsidR="00AA335F" w:rsidRDefault="00AA335F" w:rsidP="007900A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1475 de 2011, artículos 23 y 24.</w:t>
            </w:r>
          </w:p>
          <w:p w14:paraId="3CD2C76D" w14:textId="77777777" w:rsidR="00AA335F" w:rsidRPr="00384930" w:rsidRDefault="00AA335F" w:rsidP="007900A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092 de 2017, artículo 6.</w:t>
            </w:r>
          </w:p>
          <w:p w14:paraId="7D3972CA" w14:textId="77777777" w:rsidR="00AA335F" w:rsidRPr="00B206CC" w:rsidRDefault="00AA335F" w:rsidP="007900A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1600 de 2024, artículo </w:t>
            </w:r>
            <w:r w:rsidRPr="001E3133">
              <w:rPr>
                <w:rFonts w:ascii="Verdana" w:eastAsia="Calibri" w:hAnsi="Verdana" w:cs="Arial"/>
                <w:lang w:val="es-ES_tradnl"/>
              </w:rPr>
              <w:t>2.1.4.3.2.1</w:t>
            </w:r>
            <w:r>
              <w:rPr>
                <w:rFonts w:ascii="Verdana" w:hAnsi="Verdana" w:cs="Arial"/>
              </w:rPr>
              <w:t>.</w:t>
            </w:r>
          </w:p>
        </w:tc>
      </w:tr>
    </w:tbl>
    <w:p w14:paraId="30DC2DF7" w14:textId="77777777" w:rsidR="00AA335F" w:rsidRPr="002407CE" w:rsidRDefault="00AA335F" w:rsidP="00AA335F">
      <w:pPr>
        <w:widowControl w:val="0"/>
        <w:autoSpaceDE w:val="0"/>
        <w:autoSpaceDN w:val="0"/>
        <w:spacing w:after="0" w:line="276" w:lineRule="auto"/>
        <w:jc w:val="both"/>
        <w:rPr>
          <w:rFonts w:ascii="Verdana" w:hAnsi="Verdana" w:cs="Arial"/>
        </w:rPr>
      </w:pPr>
    </w:p>
    <w:p w14:paraId="09DC2B1C" w14:textId="77777777" w:rsidR="00AA335F" w:rsidRPr="00593A5F" w:rsidRDefault="00AA335F" w:rsidP="00AA33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E6E847F" w14:textId="77777777" w:rsidR="00AA335F" w:rsidRPr="00593A5F" w:rsidRDefault="00AA335F" w:rsidP="00AA335F">
      <w:pPr>
        <w:widowControl w:val="0"/>
        <w:autoSpaceDE w:val="0"/>
        <w:autoSpaceDN w:val="0"/>
        <w:spacing w:after="0" w:line="276" w:lineRule="auto"/>
        <w:jc w:val="both"/>
        <w:rPr>
          <w:rFonts w:ascii="Verdana" w:hAnsi="Verdana" w:cs="Arial"/>
        </w:rPr>
      </w:pPr>
    </w:p>
    <w:p w14:paraId="50DDE63C" w14:textId="77777777" w:rsidR="00AA335F" w:rsidRPr="007E4299" w:rsidRDefault="00AA335F" w:rsidP="00AA335F">
      <w:pPr>
        <w:widowControl w:val="0"/>
        <w:autoSpaceDE w:val="0"/>
        <w:autoSpaceDN w:val="0"/>
        <w:spacing w:after="0" w:line="276" w:lineRule="auto"/>
        <w:jc w:val="both"/>
        <w:rPr>
          <w:rStyle w:val="normaltextrun"/>
          <w:rFonts w:ascii="Verdana" w:hAnsi="Verdana"/>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w:t>
      </w:r>
      <w:r>
        <w:rPr>
          <w:rStyle w:val="normaltextrun"/>
          <w:rFonts w:ascii="Verdana" w:hAnsi="Verdana" w:cs="Arial"/>
          <w:shd w:val="clear" w:color="auto" w:fill="FFFFFF"/>
          <w:lang w:val="es-ES"/>
        </w:rPr>
        <w:t>el régimen de inhabilidades e incompatibilidades</w:t>
      </w:r>
      <w:r w:rsidRPr="00277E26">
        <w:rPr>
          <w:rStyle w:val="normaltextrun"/>
          <w:rFonts w:ascii="Verdana" w:hAnsi="Verdana" w:cs="Arial"/>
          <w:shd w:val="clear" w:color="auto" w:fill="FFFFFF"/>
          <w:lang w:val="es-ES"/>
        </w:rPr>
        <w:t xml:space="preserve"> en los Conceptos </w:t>
      </w:r>
      <w:r w:rsidRPr="003D07ED">
        <w:rPr>
          <w:rStyle w:val="normaltextrun"/>
          <w:rFonts w:ascii="Verdana" w:hAnsi="Verdana" w:cs="Arial"/>
          <w:shd w:val="clear" w:color="auto" w:fill="FFFFFF"/>
          <w:lang w:val="es-ES"/>
        </w:rPr>
        <w:t>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w:t>
      </w:r>
      <w:r>
        <w:rPr>
          <w:rStyle w:val="normaltextrun"/>
          <w:rFonts w:ascii="Verdana" w:hAnsi="Verdana" w:cs="Arial"/>
          <w:shd w:val="clear" w:color="auto" w:fill="FFFFFF"/>
          <w:lang w:val="es-ES"/>
        </w:rPr>
        <w:t xml:space="preserve">, </w:t>
      </w:r>
      <w:r w:rsidRPr="003D07ED">
        <w:rPr>
          <w:rStyle w:val="normaltextrun"/>
          <w:rFonts w:ascii="Verdana" w:hAnsi="Verdana" w:cs="Arial"/>
          <w:shd w:val="clear" w:color="auto" w:fill="FFFFFF"/>
          <w:lang w:val="es-ES"/>
        </w:rPr>
        <w:t>C-408 del 21 de agosto de 2024</w:t>
      </w:r>
      <w:r>
        <w:rPr>
          <w:rStyle w:val="normaltextrun"/>
          <w:rFonts w:ascii="Verdana" w:hAnsi="Verdana" w:cs="Arial"/>
          <w:shd w:val="clear" w:color="auto" w:fill="FFFFFF"/>
          <w:lang w:val="es-ES"/>
        </w:rPr>
        <w:t>, C-975 del 16 de diciembre de 2024, C-1027 del 29 de enero de 2015, C-053 del 30 de enero de 2025, C-030 del 21 de febrero de 2025, C-344 del 28 de abril de 2025, C-434 del 14 de mayo de 2025 y C-595 del 4 de junio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BD66D6D" w14:textId="77777777" w:rsidR="00AA335F" w:rsidRPr="00096788" w:rsidRDefault="00AA335F" w:rsidP="00AA335F">
      <w:pPr>
        <w:widowControl w:val="0"/>
        <w:autoSpaceDE w:val="0"/>
        <w:autoSpaceDN w:val="0"/>
        <w:spacing w:after="0" w:line="276" w:lineRule="auto"/>
        <w:jc w:val="both"/>
        <w:rPr>
          <w:rFonts w:ascii="Verdana" w:hAnsi="Verdana" w:cs="Arial"/>
          <w:color w:val="000000" w:themeColor="text1"/>
          <w:shd w:val="clear" w:color="auto" w:fill="FFFFFF"/>
        </w:rPr>
      </w:pPr>
    </w:p>
    <w:p w14:paraId="1C30E270" w14:textId="77777777" w:rsidR="00AA335F" w:rsidRPr="001205D1" w:rsidRDefault="00AA335F" w:rsidP="00AA335F">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w:t>
      </w:r>
      <w:r w:rsidRPr="00032009">
        <w:rPr>
          <w:rFonts w:ascii="Verdana" w:hAnsi="Verdana"/>
          <w:color w:val="000000"/>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A6BB57C" w14:textId="77777777" w:rsidR="00AA335F" w:rsidRPr="009C4035" w:rsidRDefault="00AA335F" w:rsidP="00AA335F">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11E24DF" w14:textId="77777777" w:rsidR="00AA335F" w:rsidRPr="00593A5F" w:rsidRDefault="00AA335F" w:rsidP="00AA335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C795C25" w14:textId="77777777" w:rsidR="00AA335F" w:rsidRPr="00593A5F" w:rsidRDefault="00AA335F" w:rsidP="00AA335F">
      <w:pPr>
        <w:widowControl w:val="0"/>
        <w:autoSpaceDE w:val="0"/>
        <w:autoSpaceDN w:val="0"/>
        <w:spacing w:after="0" w:line="276" w:lineRule="auto"/>
        <w:jc w:val="both"/>
        <w:rPr>
          <w:rFonts w:ascii="Verdana" w:hAnsi="Verdana" w:cs="Arial"/>
        </w:rPr>
      </w:pPr>
    </w:p>
    <w:p w14:paraId="06D0EF2E" w14:textId="77777777" w:rsidR="00AA335F" w:rsidRPr="00593A5F" w:rsidRDefault="00AA335F" w:rsidP="00AA335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874753B" w14:textId="245F2D2C" w:rsidR="00AA335F" w:rsidRPr="00593A5F" w:rsidRDefault="0092423E" w:rsidP="00AA335F">
      <w:pPr>
        <w:spacing w:line="276" w:lineRule="auto"/>
        <w:jc w:val="center"/>
        <w:rPr>
          <w:rFonts w:ascii="Verdana" w:hAnsi="Verdana" w:cs="Arial"/>
          <w:color w:val="000000"/>
          <w:lang w:val="es-ES_tradnl" w:eastAsia="es-CO"/>
        </w:rPr>
      </w:pPr>
      <w:r>
        <w:rPr>
          <w:noProof/>
        </w:rPr>
        <w:drawing>
          <wp:inline distT="0" distB="0" distL="0" distR="0" wp14:anchorId="7254B04C" wp14:editId="35FC401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A335F" w:rsidRPr="00593A5F" w14:paraId="64B0DC54" w14:textId="77777777" w:rsidTr="007900A4">
        <w:trPr>
          <w:trHeight w:val="315"/>
        </w:trPr>
        <w:tc>
          <w:tcPr>
            <w:tcW w:w="893" w:type="dxa"/>
            <w:vAlign w:val="center"/>
            <w:hideMark/>
          </w:tcPr>
          <w:p w14:paraId="46C210C8" w14:textId="77777777" w:rsidR="00AA335F" w:rsidRPr="003751C7" w:rsidRDefault="00AA335F" w:rsidP="007900A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E0A92EA" w14:textId="77777777" w:rsidR="00AA335F" w:rsidRPr="00254A7A" w:rsidRDefault="00AA335F" w:rsidP="007900A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6B2CEB6" w14:textId="77777777" w:rsidR="00AA335F" w:rsidRPr="00254A7A" w:rsidRDefault="00AA335F" w:rsidP="007900A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A335F" w:rsidRPr="00593A5F" w14:paraId="5E05D664" w14:textId="77777777" w:rsidTr="007900A4">
        <w:trPr>
          <w:trHeight w:val="330"/>
        </w:trPr>
        <w:tc>
          <w:tcPr>
            <w:tcW w:w="893" w:type="dxa"/>
            <w:vAlign w:val="center"/>
            <w:hideMark/>
          </w:tcPr>
          <w:p w14:paraId="700175E7" w14:textId="77777777" w:rsidR="00AA335F" w:rsidRPr="003751C7" w:rsidRDefault="00AA335F" w:rsidP="007900A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1514A2" w14:textId="77777777" w:rsidR="00AA335F" w:rsidRPr="001B6B73" w:rsidRDefault="00AA335F" w:rsidP="007900A4">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AC54C1D" w14:textId="77777777" w:rsidR="00AA335F" w:rsidRPr="00254A7A" w:rsidRDefault="00AA335F" w:rsidP="007900A4">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AA335F" w:rsidRPr="00593A5F" w14:paraId="6ED89DCD" w14:textId="77777777" w:rsidTr="007900A4">
        <w:trPr>
          <w:trHeight w:val="300"/>
        </w:trPr>
        <w:tc>
          <w:tcPr>
            <w:tcW w:w="893" w:type="dxa"/>
            <w:vAlign w:val="center"/>
          </w:tcPr>
          <w:p w14:paraId="20FEB3B7" w14:textId="77777777" w:rsidR="00AA335F" w:rsidRPr="003751C7" w:rsidRDefault="00AA335F" w:rsidP="007900A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E63999" w14:textId="77777777" w:rsidR="00651035" w:rsidRPr="003751C7" w:rsidRDefault="00651035" w:rsidP="00651035">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DFBC59A" w14:textId="233C5B28" w:rsidR="00AA335F" w:rsidRPr="003751C7" w:rsidRDefault="00651035" w:rsidP="00651035">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72AC13B" w14:textId="77777777" w:rsidR="00AA335F" w:rsidRPr="00543BFE" w:rsidRDefault="00AA335F" w:rsidP="00AA335F"/>
    <w:p w14:paraId="0E439C60" w14:textId="77777777" w:rsidR="00AA335F" w:rsidRPr="00543BFE" w:rsidRDefault="00AA335F" w:rsidP="00AA335F"/>
    <w:p w14:paraId="3900974D" w14:textId="77777777" w:rsidR="003D5B0D" w:rsidRPr="00FD36B7" w:rsidRDefault="003D5B0D" w:rsidP="00FD36B7"/>
    <w:sectPr w:rsidR="003D5B0D" w:rsidRPr="00FD36B7"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99289" w14:textId="77777777" w:rsidR="00A707F0" w:rsidRDefault="00A707F0" w:rsidP="004A1847">
      <w:pPr>
        <w:spacing w:after="0" w:line="240" w:lineRule="auto"/>
      </w:pPr>
      <w:r>
        <w:separator/>
      </w:r>
    </w:p>
  </w:endnote>
  <w:endnote w:type="continuationSeparator" w:id="0">
    <w:p w14:paraId="03F3F241" w14:textId="77777777" w:rsidR="00A707F0" w:rsidRDefault="00A707F0" w:rsidP="004A1847">
      <w:pPr>
        <w:spacing w:after="0" w:line="240" w:lineRule="auto"/>
      </w:pPr>
      <w:r>
        <w:continuationSeparator/>
      </w:r>
    </w:p>
  </w:endnote>
  <w:endnote w:type="continuationNotice" w:id="1">
    <w:p w14:paraId="07B2043B" w14:textId="77777777" w:rsidR="00A707F0" w:rsidRDefault="00A707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12F5F" w14:textId="77777777" w:rsidR="00A707F0" w:rsidRDefault="00A707F0" w:rsidP="004A1847">
      <w:pPr>
        <w:spacing w:after="0" w:line="240" w:lineRule="auto"/>
      </w:pPr>
      <w:r>
        <w:separator/>
      </w:r>
    </w:p>
  </w:footnote>
  <w:footnote w:type="continuationSeparator" w:id="0">
    <w:p w14:paraId="0C94D931" w14:textId="77777777" w:rsidR="00A707F0" w:rsidRDefault="00A707F0" w:rsidP="004A1847">
      <w:pPr>
        <w:spacing w:after="0" w:line="240" w:lineRule="auto"/>
      </w:pPr>
      <w:r>
        <w:continuationSeparator/>
      </w:r>
    </w:p>
  </w:footnote>
  <w:footnote w:type="continuationNotice" w:id="1">
    <w:p w14:paraId="160F413D" w14:textId="77777777" w:rsidR="00A707F0" w:rsidRDefault="00A707F0">
      <w:pPr>
        <w:spacing w:after="0" w:line="240" w:lineRule="auto"/>
      </w:pPr>
    </w:p>
  </w:footnote>
  <w:footnote w:id="2">
    <w:p w14:paraId="52D2BB3B" w14:textId="77777777" w:rsidR="00AA335F" w:rsidRPr="001F0D99" w:rsidRDefault="00AA335F" w:rsidP="00AA335F">
      <w:pPr>
        <w:pStyle w:val="Textonotapie"/>
        <w:ind w:firstLine="709"/>
        <w:jc w:val="both"/>
        <w:rPr>
          <w:rFonts w:ascii="Verdana" w:hAnsi="Verdana" w:cs="Arial"/>
          <w:sz w:val="16"/>
          <w:szCs w:val="16"/>
          <w:lang w:val="es-ES_tradnl"/>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CORTE CONSTITUCIONAL. Sentencia C-1016 de 2012. M.P. Jorge Iván Palacio.</w:t>
      </w:r>
    </w:p>
  </w:footnote>
  <w:footnote w:id="3">
    <w:p w14:paraId="7965B4A6" w14:textId="77777777" w:rsidR="00AA335F" w:rsidRPr="001F0D99" w:rsidRDefault="00AA335F" w:rsidP="00AA335F">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1F0D99">
        <w:rPr>
          <w:rFonts w:ascii="Verdana" w:hAnsi="Verdana" w:cs="Arial"/>
          <w:sz w:val="16"/>
          <w:szCs w:val="16"/>
        </w:rPr>
        <w:t xml:space="preserve"> CONSEJO DE ESTADO. Sección Tercera. Subsección A. Sentencia del 13 de noviembre de 2013. </w:t>
      </w:r>
      <w:r w:rsidRPr="001F0D99">
        <w:rPr>
          <w:rFonts w:ascii="Verdana" w:hAnsi="Verdana" w:cs="Arial"/>
          <w:sz w:val="16"/>
          <w:szCs w:val="16"/>
          <w:lang w:val="pt-BR"/>
        </w:rPr>
        <w:t>Rad. 25.646. C.P. Mauricio Fajardo Gómez.</w:t>
      </w:r>
    </w:p>
  </w:footnote>
  <w:footnote w:id="4">
    <w:p w14:paraId="4DD04BED" w14:textId="77777777" w:rsidR="00AA335F" w:rsidRPr="001F0D99" w:rsidRDefault="00AA335F" w:rsidP="00AA335F">
      <w:pPr>
        <w:pStyle w:val="Textonotapie"/>
        <w:ind w:firstLine="709"/>
        <w:jc w:val="both"/>
        <w:rPr>
          <w:rFonts w:ascii="Verdana" w:hAnsi="Verdana" w:cs="Arial"/>
          <w:sz w:val="16"/>
          <w:szCs w:val="16"/>
          <w:lang w:val="es-ES_tradnl"/>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 xml:space="preserve">CORTE CONSTITUCIONAL. Sentencia C-415 de 1994. M.P. </w:t>
      </w:r>
      <w:r w:rsidRPr="001F0D99">
        <w:rPr>
          <w:rFonts w:ascii="Verdana" w:hAnsi="Verdana" w:cs="Arial"/>
          <w:sz w:val="16"/>
          <w:szCs w:val="16"/>
          <w:lang w:val="es-ES_tradnl"/>
        </w:rPr>
        <w:t>Eduardo Cifuentes Muñoz.</w:t>
      </w:r>
    </w:p>
  </w:footnote>
  <w:footnote w:id="5">
    <w:p w14:paraId="4AFD9418" w14:textId="77777777" w:rsidR="00AA335F" w:rsidRPr="001F0D99" w:rsidRDefault="00AA335F" w:rsidP="00AA335F">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Ibidem.</w:t>
      </w:r>
    </w:p>
  </w:footnote>
  <w:footnote w:id="6">
    <w:p w14:paraId="7D27441E" w14:textId="77777777" w:rsidR="00AA335F" w:rsidRPr="001F0D99" w:rsidRDefault="00AA335F" w:rsidP="00AA335F">
      <w:pPr>
        <w:pStyle w:val="Textonotapie"/>
        <w:ind w:firstLine="709"/>
        <w:jc w:val="both"/>
        <w:rPr>
          <w:rFonts w:ascii="Verdana" w:hAnsi="Verdana" w:cs="Arial"/>
          <w:sz w:val="16"/>
          <w:szCs w:val="16"/>
          <w:lang w:val="es-CO"/>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 xml:space="preserve">CORTE CONSTITUCIONAL. </w:t>
      </w:r>
      <w:r w:rsidRPr="001F0D99">
        <w:rPr>
          <w:rFonts w:ascii="Verdana" w:hAnsi="Verdana" w:cs="Arial"/>
          <w:sz w:val="16"/>
          <w:szCs w:val="16"/>
        </w:rPr>
        <w:t xml:space="preserve">Sentencia C-780 de 2001. </w:t>
      </w:r>
      <w:r w:rsidRPr="001F0D99">
        <w:rPr>
          <w:rFonts w:ascii="Verdana" w:hAnsi="Verdana" w:cs="Arial"/>
          <w:sz w:val="16"/>
          <w:szCs w:val="16"/>
          <w:lang w:val="es-CO"/>
        </w:rPr>
        <w:t xml:space="preserve">M.P. Jaime Córdoba Triviño. </w:t>
      </w:r>
    </w:p>
  </w:footnote>
  <w:footnote w:id="7">
    <w:p w14:paraId="666D2636" w14:textId="77777777" w:rsidR="00AA335F" w:rsidRPr="001F0D99" w:rsidRDefault="00AA335F" w:rsidP="00AA335F">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045FD471" w14:textId="77777777" w:rsidR="00AA335F" w:rsidRPr="001F0D99" w:rsidRDefault="00AA335F" w:rsidP="00AA335F">
      <w:pPr>
        <w:pStyle w:val="Textonotapie"/>
        <w:ind w:firstLine="709"/>
        <w:jc w:val="both"/>
        <w:rPr>
          <w:rFonts w:ascii="Verdana" w:hAnsi="Verdana" w:cs="Arial"/>
          <w:sz w:val="16"/>
          <w:szCs w:val="16"/>
        </w:rPr>
      </w:pPr>
      <w:r w:rsidRPr="001F0D99">
        <w:rPr>
          <w:rFonts w:ascii="Verdana" w:hAnsi="Verdana" w:cs="Arial"/>
          <w:sz w:val="16"/>
          <w:szCs w:val="16"/>
        </w:rPr>
        <w:t>Las personas jurídicas nacionales y extranjeras deberán acreditar que su duración no será inferior a la del plazo del contrato y un año más”.</w:t>
      </w:r>
    </w:p>
  </w:footnote>
  <w:footnote w:id="8">
    <w:p w14:paraId="6B6598F6" w14:textId="77777777" w:rsidR="00AA335F" w:rsidRPr="001F0D99" w:rsidRDefault="00AA335F" w:rsidP="00AA335F">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Código Civil: “Artículo 1502. Requisitos para obligarse. Para que una persona se obligue a otra por un acto o declaración de voluntad, es necesario:</w:t>
      </w:r>
    </w:p>
    <w:p w14:paraId="33AA1220" w14:textId="77777777" w:rsidR="00AA335F" w:rsidRPr="001F0D99" w:rsidRDefault="00AA335F" w:rsidP="00AA335F">
      <w:pPr>
        <w:pStyle w:val="Textonotapie"/>
        <w:ind w:firstLine="709"/>
        <w:jc w:val="both"/>
        <w:rPr>
          <w:rFonts w:ascii="Verdana" w:hAnsi="Verdana" w:cs="Arial"/>
          <w:sz w:val="16"/>
          <w:szCs w:val="16"/>
        </w:rPr>
      </w:pPr>
      <w:r w:rsidRPr="001F0D99">
        <w:rPr>
          <w:rFonts w:ascii="Verdana" w:hAnsi="Verdana" w:cs="Arial"/>
          <w:sz w:val="16"/>
          <w:szCs w:val="16"/>
        </w:rPr>
        <w:t>1o.) que sea legalmente capaz.</w:t>
      </w:r>
    </w:p>
    <w:p w14:paraId="1E8619BD" w14:textId="77777777" w:rsidR="00AA335F" w:rsidRPr="001F0D99" w:rsidRDefault="00AA335F" w:rsidP="00AA335F">
      <w:pPr>
        <w:pStyle w:val="Textonotapie"/>
        <w:ind w:firstLine="709"/>
        <w:jc w:val="both"/>
        <w:rPr>
          <w:rFonts w:ascii="Verdana" w:hAnsi="Verdana" w:cs="Arial"/>
          <w:sz w:val="16"/>
          <w:szCs w:val="16"/>
        </w:rPr>
      </w:pPr>
      <w:r w:rsidRPr="001F0D99">
        <w:rPr>
          <w:rFonts w:ascii="Verdana" w:hAnsi="Verdana" w:cs="Arial"/>
          <w:sz w:val="16"/>
          <w:szCs w:val="16"/>
        </w:rPr>
        <w:t>[…]</w:t>
      </w:r>
    </w:p>
    <w:p w14:paraId="19961F69" w14:textId="77777777" w:rsidR="00AA335F" w:rsidRPr="001F0D99" w:rsidRDefault="00AA335F" w:rsidP="00AA335F">
      <w:pPr>
        <w:pStyle w:val="Textonotapie"/>
        <w:ind w:firstLine="709"/>
        <w:jc w:val="both"/>
        <w:rPr>
          <w:rFonts w:ascii="Verdana" w:hAnsi="Verdana" w:cs="Arial"/>
          <w:sz w:val="16"/>
          <w:szCs w:val="16"/>
        </w:rPr>
      </w:pPr>
      <w:r w:rsidRPr="001F0D99">
        <w:rPr>
          <w:rFonts w:ascii="Verdana" w:hAnsi="Verdana" w:cs="Arial"/>
          <w:sz w:val="16"/>
          <w:szCs w:val="16"/>
        </w:rPr>
        <w:t>La capacidad legal de una persona consiste en poderse obligar por sí misma, sin el ministerio o la autorización de otra”.</w:t>
      </w:r>
    </w:p>
  </w:footnote>
  <w:footnote w:id="9">
    <w:p w14:paraId="2F3FB804" w14:textId="77777777" w:rsidR="00AA335F" w:rsidRPr="001F0D99" w:rsidRDefault="00AA335F" w:rsidP="00AA335F">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Decreto Ley 19 de 2012: “Artículo 221. El artículo 6 de la Ley 1150 de 2007, quedará así:</w:t>
      </w:r>
    </w:p>
    <w:p w14:paraId="3A83461F" w14:textId="77777777" w:rsidR="00AA335F" w:rsidRPr="001F0D99" w:rsidRDefault="00AA335F" w:rsidP="00AA335F">
      <w:pPr>
        <w:pStyle w:val="Textonotapie"/>
        <w:ind w:firstLine="709"/>
        <w:jc w:val="both"/>
        <w:rPr>
          <w:rFonts w:ascii="Verdana" w:hAnsi="Verdana" w:cs="Arial"/>
          <w:sz w:val="16"/>
          <w:szCs w:val="16"/>
          <w:lang w:val="es-ES"/>
        </w:rPr>
      </w:pPr>
      <w:r w:rsidRPr="001F0D99">
        <w:rPr>
          <w:rFonts w:ascii="Verdana" w:hAnsi="Verdana" w:cs="Arial"/>
          <w:sz w:val="16"/>
          <w:szCs w:val="16"/>
        </w:rPr>
        <w:t>Artículo 6. De la verificación de las condiciones de los proponentes. T</w:t>
      </w:r>
      <w:r w:rsidRPr="001F0D99">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925F6D7" w14:textId="77777777" w:rsidR="00AA335F" w:rsidRPr="001F0D99" w:rsidRDefault="00AA335F" w:rsidP="00AA335F">
      <w:pPr>
        <w:pStyle w:val="Textonotapie"/>
        <w:ind w:firstLine="709"/>
        <w:jc w:val="both"/>
        <w:rPr>
          <w:rFonts w:ascii="Verdana" w:hAnsi="Verdana" w:cs="Arial"/>
          <w:sz w:val="16"/>
          <w:szCs w:val="16"/>
          <w:lang w:val="es-ES"/>
        </w:rPr>
      </w:pPr>
      <w:r w:rsidRPr="001F0D99">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10">
    <w:p w14:paraId="207B7F4F" w14:textId="77777777" w:rsidR="00AA335F" w:rsidRPr="001F0D99" w:rsidRDefault="00AA335F" w:rsidP="00AA335F">
      <w:pPr>
        <w:pStyle w:val="Textonotapie"/>
        <w:ind w:firstLine="709"/>
        <w:jc w:val="both"/>
        <w:rPr>
          <w:rFonts w:ascii="Verdana" w:hAnsi="Verdana" w:cs="Arial"/>
          <w:sz w:val="16"/>
          <w:szCs w:val="16"/>
          <w:lang w:val="es-ES"/>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1F0D99">
        <w:rPr>
          <w:rFonts w:ascii="Verdana" w:hAnsi="Verdana" w:cs="Arial"/>
          <w:i/>
          <w:iCs/>
          <w:sz w:val="16"/>
          <w:szCs w:val="16"/>
          <w:lang w:val="es-ES"/>
        </w:rPr>
        <w:t>el régimen de inhabilidades e incompatibilidades</w:t>
      </w:r>
      <w:r w:rsidRPr="001F0D99">
        <w:rPr>
          <w:rFonts w:ascii="Verdana" w:hAnsi="Verdana" w:cs="Arial"/>
          <w:sz w:val="16"/>
          <w:szCs w:val="16"/>
          <w:lang w:val="es-ES"/>
        </w:rPr>
        <w:t xml:space="preserve"> (1) y la obligación de ciertos proponentes de inscribirse en el </w:t>
      </w:r>
      <w:r w:rsidRPr="001F0D99">
        <w:rPr>
          <w:rFonts w:ascii="Verdana" w:hAnsi="Verdana" w:cs="Arial"/>
          <w:i/>
          <w:iCs/>
          <w:sz w:val="16"/>
          <w:szCs w:val="16"/>
          <w:lang w:val="es-ES"/>
        </w:rPr>
        <w:t>registro único</w:t>
      </w:r>
      <w:r w:rsidRPr="001F0D99">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1">
    <w:p w14:paraId="3CCFAE13" w14:textId="77777777" w:rsidR="00AA335F" w:rsidRPr="001F0D99" w:rsidRDefault="00AA335F" w:rsidP="00AA335F">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2">
    <w:p w14:paraId="0655E779" w14:textId="77777777" w:rsidR="00AA335F" w:rsidRPr="001F0D99" w:rsidRDefault="00AA335F" w:rsidP="00AA335F">
      <w:pPr>
        <w:pStyle w:val="Textonotapie"/>
        <w:ind w:firstLine="709"/>
        <w:jc w:val="both"/>
        <w:rPr>
          <w:rFonts w:ascii="Verdana" w:hAnsi="Verdana" w:cs="Arial"/>
          <w:sz w:val="16"/>
          <w:szCs w:val="16"/>
          <w:lang w:val="es-ES"/>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3">
    <w:p w14:paraId="289DB4E5" w14:textId="77777777" w:rsidR="00AA335F" w:rsidRPr="001F0D99" w:rsidRDefault="00AA335F" w:rsidP="00AA335F">
      <w:pPr>
        <w:pStyle w:val="Textonotapie"/>
        <w:ind w:firstLine="709"/>
        <w:jc w:val="both"/>
        <w:rPr>
          <w:rFonts w:ascii="Verdana" w:hAnsi="Verdana"/>
          <w:sz w:val="16"/>
          <w:szCs w:val="16"/>
          <w:lang w:val="es-CO"/>
        </w:rPr>
      </w:pPr>
      <w:r w:rsidRPr="001F0D99">
        <w:rPr>
          <w:rStyle w:val="Refdenotaalpie"/>
          <w:rFonts w:ascii="Verdana" w:hAnsi="Verdana"/>
          <w:sz w:val="16"/>
          <w:szCs w:val="16"/>
        </w:rPr>
        <w:footnoteRef/>
      </w:r>
      <w:r w:rsidRPr="001F0D99">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14">
    <w:p w14:paraId="453187EA" w14:textId="77777777" w:rsidR="00AA335F" w:rsidRPr="0059007B" w:rsidRDefault="00AA335F" w:rsidP="00AA335F">
      <w:pPr>
        <w:pStyle w:val="Textonotapie"/>
        <w:ind w:firstLine="708"/>
        <w:jc w:val="both"/>
        <w:rPr>
          <w:rFonts w:ascii="Verdana" w:hAnsi="Verdana"/>
          <w:sz w:val="16"/>
          <w:szCs w:val="16"/>
        </w:rPr>
      </w:pPr>
      <w:r w:rsidRPr="0059007B">
        <w:rPr>
          <w:rStyle w:val="Refdenotaalpie"/>
          <w:rFonts w:ascii="Verdana" w:hAnsi="Verdana"/>
          <w:sz w:val="16"/>
          <w:szCs w:val="16"/>
        </w:rPr>
        <w:footnoteRef/>
      </w:r>
      <w:r w:rsidRPr="0059007B">
        <w:rPr>
          <w:rFonts w:ascii="Verdana" w:hAnsi="Verdana"/>
          <w:sz w:val="16"/>
          <w:szCs w:val="16"/>
        </w:rPr>
        <w:t xml:space="preserve"> CORTE CONSTITUCIONAL. Sentencia C-353 de 2009. M.P. Jorge Iván Palacio Palacio.</w:t>
      </w:r>
    </w:p>
  </w:footnote>
  <w:footnote w:id="15">
    <w:p w14:paraId="1837E3DE" w14:textId="77777777" w:rsidR="00AA335F" w:rsidRPr="0059007B" w:rsidRDefault="00AA335F" w:rsidP="00AA335F">
      <w:pPr>
        <w:pStyle w:val="Textonotapie"/>
        <w:ind w:firstLine="708"/>
        <w:jc w:val="both"/>
        <w:rPr>
          <w:rFonts w:ascii="Verdana" w:hAnsi="Verdana"/>
          <w:sz w:val="16"/>
          <w:szCs w:val="16"/>
        </w:rPr>
      </w:pPr>
      <w:r w:rsidRPr="0059007B">
        <w:rPr>
          <w:rStyle w:val="Refdenotaalpie"/>
          <w:rFonts w:ascii="Verdana" w:hAnsi="Verdana"/>
          <w:sz w:val="16"/>
          <w:szCs w:val="16"/>
        </w:rPr>
        <w:footnoteRef/>
      </w:r>
      <w:r w:rsidRPr="0059007B">
        <w:rPr>
          <w:rFonts w:ascii="Verdana" w:hAnsi="Verdana"/>
          <w:sz w:val="16"/>
          <w:szCs w:val="16"/>
        </w:rPr>
        <w:t xml:space="preserve"> El artículo 1 de la Ley 1474 de 2011 dispone que “El literal j) del numeral 1 del artículo 8 de la Ley 80 de 1993 quedará así:</w:t>
      </w:r>
    </w:p>
    <w:p w14:paraId="332D768B"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 xml:space="preserve">Las personas naturales que hayan sido declaradas responsables judicialmente por la comisión de delitos contra la Administración Pública cuya pena sea privativa de la libertad o que afecten el patrimonio del Estado </w:t>
      </w:r>
      <w:r w:rsidRPr="0059007B">
        <w:rPr>
          <w:rFonts w:ascii="Verdana" w:hAnsi="Verdana"/>
          <w:strike/>
          <w:sz w:val="16"/>
          <w:szCs w:val="16"/>
        </w:rPr>
        <w:t>o quienes hayan sido condenados por delitos relacionados con la pertenencia, promoción o financiación de grupos ilegales, delitos de lesa humanidad, narcotráfico en Colombia o en el exterior,</w:t>
      </w:r>
      <w:r w:rsidRPr="0059007B">
        <w:rPr>
          <w:rFonts w:ascii="Verdana" w:hAnsi="Verdana"/>
          <w:sz w:val="16"/>
          <w:szCs w:val="16"/>
        </w:rPr>
        <w:t xml:space="preserve"> o soborno transnacional, con excepción de delitos culposos.</w:t>
      </w:r>
    </w:p>
    <w:p w14:paraId="7229837E"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Esta inhabilidad se extenderá a las sociedades en las que sean socias tales personas, a sus matrices y a sus subordinadas, con excepción de las sociedades anónimas abiertas.</w:t>
      </w:r>
    </w:p>
    <w:p w14:paraId="3DA6602D"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La inhabilidad prevista en este literal se extenderá por un término de veinte (20) años” (Artículo declarado EXEQUIBLE, salvo el aparte tachado declarado INEXEQUIBLE, por la Corte Constitucional mediante Sentencia C-630 de 2012. M.P. Mauricio González Cuervo).</w:t>
      </w:r>
    </w:p>
  </w:footnote>
  <w:footnote w:id="16">
    <w:p w14:paraId="32C46B4D" w14:textId="77777777" w:rsidR="00AA335F" w:rsidRPr="0059007B" w:rsidRDefault="00AA335F" w:rsidP="00AA335F">
      <w:pPr>
        <w:pStyle w:val="Textonotapie"/>
        <w:ind w:firstLine="708"/>
        <w:jc w:val="both"/>
        <w:rPr>
          <w:rFonts w:ascii="Verdana" w:hAnsi="Verdana"/>
          <w:sz w:val="16"/>
          <w:szCs w:val="16"/>
        </w:rPr>
      </w:pPr>
      <w:r w:rsidRPr="0059007B">
        <w:rPr>
          <w:rStyle w:val="Refdenotaalpie"/>
          <w:rFonts w:ascii="Verdana" w:hAnsi="Verdana"/>
          <w:sz w:val="16"/>
          <w:szCs w:val="16"/>
        </w:rPr>
        <w:footnoteRef/>
      </w:r>
      <w:r w:rsidRPr="0059007B">
        <w:rPr>
          <w:rFonts w:ascii="Verdana" w:hAnsi="Verdana"/>
          <w:sz w:val="16"/>
          <w:szCs w:val="16"/>
        </w:rPr>
        <w:t xml:space="preserve"> De acuerdo con el artículo 31 de la Ley 1778 de 2016, “El literal j) del numeral 1 del artículo 8o de la Ley 80 de 1993 quedará así:</w:t>
      </w:r>
    </w:p>
    <w:p w14:paraId="3455315B"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4353355E"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Esta inhabilidad procederá preventivamente aún en los casos en los que esté pendiente la decisión sobre la impugnación de la sentencia condenatoria.</w:t>
      </w:r>
    </w:p>
    <w:p w14:paraId="6A3331A9"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Asimismo, la inhabilidad se extenderá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w:t>
      </w:r>
    </w:p>
    <w:p w14:paraId="49050A6B"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 xml:space="preserve">La inhabilidad prevista en este literal se extenderá por un término de veinte (20) años”. </w:t>
      </w:r>
    </w:p>
  </w:footnote>
  <w:footnote w:id="17">
    <w:p w14:paraId="616D8588" w14:textId="77777777" w:rsidR="00AA335F" w:rsidRPr="0059007B" w:rsidRDefault="00AA335F" w:rsidP="00AA335F">
      <w:pPr>
        <w:pStyle w:val="Textonotapie"/>
        <w:ind w:firstLine="708"/>
        <w:jc w:val="both"/>
        <w:rPr>
          <w:rFonts w:ascii="Verdana" w:hAnsi="Verdana"/>
          <w:sz w:val="16"/>
          <w:szCs w:val="16"/>
        </w:rPr>
      </w:pPr>
      <w:r w:rsidRPr="0059007B">
        <w:rPr>
          <w:rStyle w:val="Refdenotaalpie"/>
          <w:rFonts w:ascii="Verdana" w:hAnsi="Verdana"/>
          <w:sz w:val="16"/>
          <w:szCs w:val="16"/>
        </w:rPr>
        <w:footnoteRef/>
      </w:r>
      <w:r w:rsidRPr="0059007B">
        <w:rPr>
          <w:rFonts w:ascii="Verdana" w:hAnsi="Verdana"/>
          <w:sz w:val="16"/>
          <w:szCs w:val="16"/>
        </w:rPr>
        <w:t xml:space="preserve"> El artículo 2 de la Ley 2014 de 2019 prescribe que “Modifíquese el literal j) del numeral 1 del artículo 8o de la Ley 80 de 1993, el cual quedará así:</w:t>
      </w:r>
    </w:p>
    <w:p w14:paraId="41A8AA5E"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7E9CAA91"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Esta inhabilidad procederá preventivamente aún en los casos en los que esté pendiente la decisión sobre la impugnación de la sentencia condenatoria.</w:t>
      </w:r>
    </w:p>
    <w:p w14:paraId="5B487562"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 xml:space="preserve">Asimismo, la inhabilidad se extenderá a las </w:t>
      </w:r>
      <w:r w:rsidRPr="0059007B">
        <w:rPr>
          <w:rFonts w:ascii="Verdana" w:hAnsi="Verdana"/>
          <w:sz w:val="16"/>
          <w:szCs w:val="16"/>
          <w:u w:val="single"/>
        </w:rPr>
        <w:t>sociedades</w:t>
      </w:r>
      <w:r w:rsidRPr="0059007B">
        <w:rPr>
          <w:rFonts w:ascii="Verdana" w:hAnsi="Verdana"/>
          <w:sz w:val="16"/>
          <w:szCs w:val="16"/>
        </w:rPr>
        <w:t xml:space="preserve">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w:t>
      </w:r>
      <w:r w:rsidRPr="0059007B">
        <w:rPr>
          <w:rFonts w:ascii="Verdana" w:hAnsi="Verdana"/>
          <w:strike/>
          <w:sz w:val="16"/>
          <w:szCs w:val="16"/>
        </w:rPr>
        <w:t>, con excepción de las sociedades anónimas abiertas</w:t>
      </w:r>
      <w:r w:rsidRPr="0059007B">
        <w:rPr>
          <w:rFonts w:ascii="Verdana" w:hAnsi="Verdana"/>
          <w:sz w:val="16"/>
          <w:szCs w:val="16"/>
        </w:rPr>
        <w:t>.</w:t>
      </w:r>
    </w:p>
    <w:p w14:paraId="05CC226C"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03513958" w14:textId="77777777" w:rsidR="00AA335F" w:rsidRPr="0059007B" w:rsidRDefault="00AA335F" w:rsidP="00AA335F">
      <w:pPr>
        <w:pStyle w:val="Textonotapie"/>
        <w:ind w:firstLine="708"/>
        <w:jc w:val="both"/>
        <w:rPr>
          <w:rFonts w:ascii="Verdana" w:hAnsi="Verdana"/>
          <w:sz w:val="16"/>
          <w:szCs w:val="16"/>
        </w:rPr>
      </w:pPr>
      <w:r w:rsidRPr="0059007B">
        <w:rPr>
          <w:rFonts w:ascii="Verdana" w:hAnsi="Verdana"/>
          <w:sz w:val="16"/>
          <w:szCs w:val="16"/>
        </w:rPr>
        <w:t xml:space="preserve">La inhabilidad prevista en este literal se extenderá de forma permanente a las </w:t>
      </w:r>
      <w:r w:rsidRPr="0059007B">
        <w:rPr>
          <w:rFonts w:ascii="Verdana" w:hAnsi="Verdana"/>
          <w:sz w:val="16"/>
          <w:szCs w:val="16"/>
          <w:u w:val="single"/>
        </w:rPr>
        <w:t>sociedades</w:t>
      </w:r>
      <w:r w:rsidRPr="0059007B">
        <w:rPr>
          <w:rFonts w:ascii="Verdana" w:hAnsi="Verdana"/>
          <w:sz w:val="16"/>
          <w:szCs w:val="16"/>
        </w:rPr>
        <w:t xml:space="preserve"> de las que hagan parte dichas personas en las calidades presentadas en los incisos anteriores, y se aplicará de igual forma a las personas naturales que hayan sido declaradas responsables judicialmente por la comisión de delitos mencionados en este literal” (La Corte Constitucional mediante Sentencia C-437 de 2023, con ponencia de la Magistrada Paola Andrea Meneses Mosquera, declaró INEXEQUIBLE el aparte tachado. Asimismo, declaró CONDICIONALMENTE EXEQUIBLE la expresión “sociedades”, en el entendido de que la inhabilidad también se extenderá a todas las personas jurídicas sin ánimo de lucro con capacidad para contratar con el Estado. Por su parte, el inciso segundo de la norma citada fue declarado EXEQUIBLE en la Sentencia C-053 de 2021, con ponencia de dicha magistrada).</w:t>
      </w:r>
    </w:p>
  </w:footnote>
  <w:footnote w:id="18">
    <w:p w14:paraId="5E11899B" w14:textId="77777777" w:rsidR="00AA335F" w:rsidRPr="0059007B" w:rsidRDefault="00AA335F" w:rsidP="00AA335F">
      <w:pPr>
        <w:pStyle w:val="Textonotapie"/>
        <w:ind w:firstLine="708"/>
        <w:jc w:val="both"/>
        <w:rPr>
          <w:rFonts w:ascii="Verdana" w:hAnsi="Verdana"/>
          <w:sz w:val="16"/>
          <w:szCs w:val="16"/>
        </w:rPr>
      </w:pPr>
      <w:r w:rsidRPr="0059007B">
        <w:rPr>
          <w:rStyle w:val="Refdenotaalpie"/>
          <w:rFonts w:ascii="Verdana" w:hAnsi="Verdana"/>
          <w:sz w:val="16"/>
          <w:szCs w:val="16"/>
        </w:rPr>
        <w:footnoteRef/>
      </w:r>
      <w:r w:rsidRPr="0059007B">
        <w:rPr>
          <w:rFonts w:ascii="Verdana" w:hAnsi="Verdana"/>
          <w:sz w:val="16"/>
          <w:szCs w:val="16"/>
        </w:rPr>
        <w:t xml:space="preserve"> La norma dispone que “Es deber de los nacionales y de los extranjeros en Colombia acatar la Constitución y las leyes, y respetar y obedecer a las autoridades”.</w:t>
      </w:r>
    </w:p>
  </w:footnote>
  <w:footnote w:id="19">
    <w:p w14:paraId="61D8F8B1" w14:textId="77777777" w:rsidR="00AA335F" w:rsidRPr="001F0D99" w:rsidRDefault="00AA335F" w:rsidP="00AA335F">
      <w:pPr>
        <w:pStyle w:val="Textonotapie"/>
        <w:ind w:firstLine="708"/>
        <w:jc w:val="both"/>
        <w:rPr>
          <w:rFonts w:ascii="Verdana" w:hAnsi="Verdana"/>
          <w:sz w:val="16"/>
          <w:szCs w:val="16"/>
        </w:rPr>
      </w:pPr>
      <w:r w:rsidRPr="001F0D99">
        <w:rPr>
          <w:rStyle w:val="Refdenotaalpie"/>
          <w:rFonts w:ascii="Verdana" w:hAnsi="Verdana"/>
          <w:sz w:val="16"/>
          <w:szCs w:val="16"/>
        </w:rPr>
        <w:footnoteRef/>
      </w:r>
      <w:r w:rsidRPr="001F0D99">
        <w:rPr>
          <w:rFonts w:ascii="Verdana" w:hAnsi="Verdana"/>
          <w:sz w:val="16"/>
          <w:szCs w:val="16"/>
        </w:rPr>
        <w:t xml:space="preserve"> CONGRESO DE LA REPÚBLICA. Exposición de motivos de la Ley 1474 de 2011. Gaceta del Congreso No. 607 del 7 de septiembre de 2010.</w:t>
      </w:r>
      <w:r>
        <w:rPr>
          <w:rFonts w:ascii="Verdana" w:hAnsi="Verdana"/>
          <w:sz w:val="16"/>
          <w:szCs w:val="16"/>
        </w:rPr>
        <w:t xml:space="preserve"> p. 17.</w:t>
      </w:r>
    </w:p>
  </w:footnote>
  <w:footnote w:id="20">
    <w:p w14:paraId="5BC99908" w14:textId="77777777" w:rsidR="00AA335F" w:rsidRPr="00252879" w:rsidRDefault="00AA335F" w:rsidP="00AA335F">
      <w:pPr>
        <w:pStyle w:val="Textonotapie"/>
        <w:ind w:firstLine="708"/>
        <w:jc w:val="both"/>
        <w:rPr>
          <w:rFonts w:ascii="Verdana" w:hAnsi="Verdana"/>
          <w:sz w:val="16"/>
          <w:szCs w:val="16"/>
        </w:rPr>
      </w:pPr>
      <w:r w:rsidRPr="00252879">
        <w:rPr>
          <w:rStyle w:val="Refdenotaalpie"/>
          <w:rFonts w:ascii="Verdana" w:hAnsi="Verdana"/>
          <w:sz w:val="16"/>
          <w:szCs w:val="16"/>
        </w:rPr>
        <w:footnoteRef/>
      </w:r>
      <w:r w:rsidRPr="00252879">
        <w:rPr>
          <w:rFonts w:ascii="Verdana" w:hAnsi="Verdana"/>
          <w:sz w:val="16"/>
          <w:szCs w:val="16"/>
        </w:rPr>
        <w:t xml:space="preserve"> DÁVILA VINUEZA, Luis Guillermo. Régimen jurídico de la contratación estatal. </w:t>
      </w:r>
      <w:r>
        <w:rPr>
          <w:rFonts w:ascii="Verdana" w:hAnsi="Verdana"/>
          <w:sz w:val="16"/>
          <w:szCs w:val="16"/>
        </w:rPr>
        <w:t>Tercera edición</w:t>
      </w:r>
      <w:r w:rsidRPr="00252879">
        <w:rPr>
          <w:rFonts w:ascii="Verdana" w:hAnsi="Verdana"/>
          <w:sz w:val="16"/>
          <w:szCs w:val="16"/>
        </w:rPr>
        <w:t xml:space="preserve">. </w:t>
      </w:r>
      <w:r>
        <w:rPr>
          <w:rFonts w:ascii="Verdana" w:hAnsi="Verdana"/>
          <w:sz w:val="16"/>
          <w:szCs w:val="16"/>
        </w:rPr>
        <w:t>Bogotá</w:t>
      </w:r>
      <w:r w:rsidRPr="00252879">
        <w:rPr>
          <w:rFonts w:ascii="Verdana" w:hAnsi="Verdana"/>
          <w:sz w:val="16"/>
          <w:szCs w:val="16"/>
        </w:rPr>
        <w:t xml:space="preserve">: </w:t>
      </w:r>
      <w:r>
        <w:rPr>
          <w:rFonts w:ascii="Verdana" w:hAnsi="Verdana"/>
          <w:sz w:val="16"/>
          <w:szCs w:val="16"/>
        </w:rPr>
        <w:t>Legis</w:t>
      </w:r>
      <w:r w:rsidRPr="00252879">
        <w:rPr>
          <w:rFonts w:ascii="Verdana" w:hAnsi="Verdana"/>
          <w:sz w:val="16"/>
          <w:szCs w:val="16"/>
        </w:rPr>
        <w:t>, 2016. p. 175.</w:t>
      </w:r>
    </w:p>
  </w:footnote>
  <w:footnote w:id="21">
    <w:p w14:paraId="6000B5F9" w14:textId="77777777" w:rsidR="00AA335F" w:rsidRPr="00252879" w:rsidRDefault="00AA335F" w:rsidP="00AA335F">
      <w:pPr>
        <w:pStyle w:val="Textonotapie"/>
        <w:ind w:firstLine="708"/>
        <w:jc w:val="both"/>
        <w:rPr>
          <w:rFonts w:ascii="Verdana" w:hAnsi="Verdana"/>
          <w:sz w:val="16"/>
          <w:szCs w:val="16"/>
          <w:lang w:val="en-US"/>
        </w:rPr>
      </w:pPr>
      <w:r w:rsidRPr="00252879">
        <w:rPr>
          <w:rStyle w:val="Refdenotaalpie"/>
          <w:rFonts w:ascii="Verdana" w:hAnsi="Verdana"/>
          <w:sz w:val="16"/>
          <w:szCs w:val="16"/>
        </w:rPr>
        <w:footnoteRef/>
      </w:r>
      <w:r w:rsidRPr="00252879">
        <w:rPr>
          <w:rFonts w:ascii="Verdana" w:hAnsi="Verdana"/>
          <w:sz w:val="16"/>
          <w:szCs w:val="16"/>
        </w:rPr>
        <w:t xml:space="preserve"> </w:t>
      </w:r>
      <w:r w:rsidRPr="00252879">
        <w:rPr>
          <w:rFonts w:ascii="Verdana" w:hAnsi="Verdana"/>
          <w:i/>
          <w:iCs/>
          <w:sz w:val="16"/>
          <w:szCs w:val="16"/>
        </w:rPr>
        <w:t>Ibidem</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272"/>
    <w:rsid w:val="000A683E"/>
    <w:rsid w:val="000B19B9"/>
    <w:rsid w:val="000D0334"/>
    <w:rsid w:val="000F6486"/>
    <w:rsid w:val="00125105"/>
    <w:rsid w:val="00127233"/>
    <w:rsid w:val="001511A0"/>
    <w:rsid w:val="00166397"/>
    <w:rsid w:val="001E4177"/>
    <w:rsid w:val="001F7DC6"/>
    <w:rsid w:val="00237888"/>
    <w:rsid w:val="002421BB"/>
    <w:rsid w:val="0025796E"/>
    <w:rsid w:val="002707A2"/>
    <w:rsid w:val="002951A0"/>
    <w:rsid w:val="002962BC"/>
    <w:rsid w:val="002A093D"/>
    <w:rsid w:val="002A0DD0"/>
    <w:rsid w:val="002A49AC"/>
    <w:rsid w:val="002A64FD"/>
    <w:rsid w:val="002C7A84"/>
    <w:rsid w:val="002E4FD9"/>
    <w:rsid w:val="002F4020"/>
    <w:rsid w:val="00322A85"/>
    <w:rsid w:val="00324168"/>
    <w:rsid w:val="003448F4"/>
    <w:rsid w:val="00374F5E"/>
    <w:rsid w:val="00377E3E"/>
    <w:rsid w:val="003A779E"/>
    <w:rsid w:val="003D0F4D"/>
    <w:rsid w:val="003D5B0D"/>
    <w:rsid w:val="003E0499"/>
    <w:rsid w:val="003F3941"/>
    <w:rsid w:val="00406575"/>
    <w:rsid w:val="00410DDD"/>
    <w:rsid w:val="00414C74"/>
    <w:rsid w:val="0042288D"/>
    <w:rsid w:val="0042722E"/>
    <w:rsid w:val="0044528D"/>
    <w:rsid w:val="004A1847"/>
    <w:rsid w:val="004A305D"/>
    <w:rsid w:val="004F21C4"/>
    <w:rsid w:val="004F685F"/>
    <w:rsid w:val="004F7DD3"/>
    <w:rsid w:val="00537C7B"/>
    <w:rsid w:val="005566E8"/>
    <w:rsid w:val="00574867"/>
    <w:rsid w:val="00591460"/>
    <w:rsid w:val="005B3816"/>
    <w:rsid w:val="005C1FE0"/>
    <w:rsid w:val="005C3777"/>
    <w:rsid w:val="005C5CDC"/>
    <w:rsid w:val="005D476C"/>
    <w:rsid w:val="005E237C"/>
    <w:rsid w:val="005F50A6"/>
    <w:rsid w:val="006219F8"/>
    <w:rsid w:val="00651035"/>
    <w:rsid w:val="00665D70"/>
    <w:rsid w:val="006900D9"/>
    <w:rsid w:val="00706C16"/>
    <w:rsid w:val="007103C4"/>
    <w:rsid w:val="00724FE9"/>
    <w:rsid w:val="00756841"/>
    <w:rsid w:val="007649AB"/>
    <w:rsid w:val="00771D0C"/>
    <w:rsid w:val="007833AC"/>
    <w:rsid w:val="007B268C"/>
    <w:rsid w:val="007B7171"/>
    <w:rsid w:val="007C0C0F"/>
    <w:rsid w:val="007C3C31"/>
    <w:rsid w:val="007C3DC2"/>
    <w:rsid w:val="007D0515"/>
    <w:rsid w:val="007E5497"/>
    <w:rsid w:val="007E658F"/>
    <w:rsid w:val="00806F5F"/>
    <w:rsid w:val="00820278"/>
    <w:rsid w:val="00867F95"/>
    <w:rsid w:val="008843B6"/>
    <w:rsid w:val="00886582"/>
    <w:rsid w:val="00891928"/>
    <w:rsid w:val="008A446D"/>
    <w:rsid w:val="008D180B"/>
    <w:rsid w:val="008F0EA7"/>
    <w:rsid w:val="00923EEF"/>
    <w:rsid w:val="0092423E"/>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57228"/>
    <w:rsid w:val="00A707F0"/>
    <w:rsid w:val="00A9492C"/>
    <w:rsid w:val="00A97A9E"/>
    <w:rsid w:val="00AA335F"/>
    <w:rsid w:val="00AB0ADB"/>
    <w:rsid w:val="00B01B1A"/>
    <w:rsid w:val="00B30FCB"/>
    <w:rsid w:val="00B66319"/>
    <w:rsid w:val="00B72CD3"/>
    <w:rsid w:val="00B72FFF"/>
    <w:rsid w:val="00BC3D36"/>
    <w:rsid w:val="00BD7F72"/>
    <w:rsid w:val="00BF25D1"/>
    <w:rsid w:val="00BF4DBC"/>
    <w:rsid w:val="00C04FB3"/>
    <w:rsid w:val="00C32D32"/>
    <w:rsid w:val="00C330EB"/>
    <w:rsid w:val="00C35B79"/>
    <w:rsid w:val="00C41061"/>
    <w:rsid w:val="00C754BE"/>
    <w:rsid w:val="00C76B1C"/>
    <w:rsid w:val="00CB6357"/>
    <w:rsid w:val="00CC1B26"/>
    <w:rsid w:val="00CE5006"/>
    <w:rsid w:val="00D06CAB"/>
    <w:rsid w:val="00D423A2"/>
    <w:rsid w:val="00D520D8"/>
    <w:rsid w:val="00D63AC2"/>
    <w:rsid w:val="00D7383B"/>
    <w:rsid w:val="00D8675E"/>
    <w:rsid w:val="00D95883"/>
    <w:rsid w:val="00DA231B"/>
    <w:rsid w:val="00DC39FC"/>
    <w:rsid w:val="00DF5254"/>
    <w:rsid w:val="00E16408"/>
    <w:rsid w:val="00E20894"/>
    <w:rsid w:val="00E245AB"/>
    <w:rsid w:val="00E2764C"/>
    <w:rsid w:val="00E27F2E"/>
    <w:rsid w:val="00E50AFE"/>
    <w:rsid w:val="00E6615E"/>
    <w:rsid w:val="00E75C92"/>
    <w:rsid w:val="00E771DC"/>
    <w:rsid w:val="00E77470"/>
    <w:rsid w:val="00E8772A"/>
    <w:rsid w:val="00E90F6B"/>
    <w:rsid w:val="00E92C27"/>
    <w:rsid w:val="00EA0E3D"/>
    <w:rsid w:val="00EC38A7"/>
    <w:rsid w:val="00ED7384"/>
    <w:rsid w:val="00EE1AA8"/>
    <w:rsid w:val="00F31EDC"/>
    <w:rsid w:val="00F462B3"/>
    <w:rsid w:val="00F532EF"/>
    <w:rsid w:val="00F5664F"/>
    <w:rsid w:val="00F666C4"/>
    <w:rsid w:val="00F76AFC"/>
    <w:rsid w:val="00FA47C0"/>
    <w:rsid w:val="00FB5DD1"/>
    <w:rsid w:val="00FC2B5D"/>
    <w:rsid w:val="00FD36B7"/>
    <w:rsid w:val="00FF1449"/>
    <w:rsid w:val="165E9519"/>
    <w:rsid w:val="1DA36D7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A335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A335F"/>
    <w:rPr>
      <w:rFonts w:ascii="Geomanist Light" w:hAnsi="Geomanist Light"/>
      <w:lang w:val="es-ES"/>
    </w:rPr>
  </w:style>
  <w:style w:type="character" w:customStyle="1" w:styleId="s15">
    <w:name w:val="s15"/>
    <w:basedOn w:val="Fuentedeprrafopredeter"/>
    <w:rsid w:val="00AA335F"/>
  </w:style>
  <w:style w:type="character" w:customStyle="1" w:styleId="apple-converted-space">
    <w:name w:val="apple-converted-space"/>
    <w:basedOn w:val="Fuentedeprrafopredeter"/>
    <w:rsid w:val="00AA335F"/>
  </w:style>
  <w:style w:type="character" w:customStyle="1" w:styleId="NormalWebCar">
    <w:name w:val="Normal (Web) Car"/>
    <w:link w:val="NormalWeb"/>
    <w:uiPriority w:val="99"/>
    <w:rsid w:val="00AA335F"/>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AA335F"/>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F0118105-5BDF-4A33-9077-C1CCF21645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20</Pages>
  <Words>6692</Words>
  <Characters>36810</Characters>
  <Application>Microsoft Office Word</Application>
  <DocSecurity>0</DocSecurity>
  <Lines>306</Lines>
  <Paragraphs>86</Paragraphs>
  <ScaleCrop>false</ScaleCrop>
  <Company/>
  <LinksUpToDate>false</LinksUpToDate>
  <CharactersWithSpaces>43416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2025-07-16T03:08:00Z</dcterms:created>
  <dcterms:modified xsi:type="dcterms:W3CDTF">2025-07-16T21:19:00Z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