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7D82A" w14:textId="77777777" w:rsidR="003E1A2E" w:rsidRPr="004977A2" w:rsidRDefault="003E1A2E" w:rsidP="003E1A2E">
      <w:pPr>
        <w:spacing w:after="0" w:line="240" w:lineRule="auto"/>
        <w:rPr>
          <w:rFonts w:ascii="Verdana" w:eastAsia="Calibri" w:hAnsi="Verdana" w:cs="Arial"/>
          <w:b/>
          <w:bCs/>
          <w:lang w:val="es-ES" w:eastAsia="es-ES"/>
        </w:rPr>
      </w:pPr>
      <w:bookmarkStart w:id="0" w:name="_Hlk181166130"/>
      <w:bookmarkStart w:id="1" w:name="_Hlk143780582"/>
      <w:r w:rsidRPr="004977A2">
        <w:rPr>
          <w:rFonts w:ascii="Verdana" w:eastAsia="Calibri" w:hAnsi="Verdana" w:cs="Arial"/>
          <w:b/>
          <w:bCs/>
          <w:lang w:val="es-ES" w:eastAsia="es-ES"/>
        </w:rPr>
        <w:t>CAJAS DE COMPENSACIÓN FAMILIAR – Naturaleza Jurídica –Función Social</w:t>
      </w:r>
    </w:p>
    <w:p w14:paraId="18CCAC29" w14:textId="77777777" w:rsidR="003E1A2E" w:rsidRPr="004977A2" w:rsidRDefault="003E1A2E" w:rsidP="003E1A2E">
      <w:pPr>
        <w:spacing w:after="0" w:line="240" w:lineRule="auto"/>
        <w:rPr>
          <w:rFonts w:ascii="Verdana" w:eastAsia="Calibri" w:hAnsi="Verdana" w:cs="Arial"/>
          <w:b/>
          <w:bCs/>
          <w:lang w:val="es-ES" w:eastAsia="es-ES"/>
        </w:rPr>
      </w:pPr>
    </w:p>
    <w:p w14:paraId="7EF55FC1" w14:textId="77777777" w:rsidR="003E1A2E" w:rsidRPr="003E1A2E" w:rsidRDefault="003E1A2E" w:rsidP="003E1A2E">
      <w:pPr>
        <w:spacing w:line="240" w:lineRule="auto"/>
        <w:jc w:val="both"/>
        <w:rPr>
          <w:rFonts w:ascii="Verdana" w:eastAsia="Calibri" w:hAnsi="Verdana" w:cs="Arial"/>
          <w:sz w:val="20"/>
          <w:szCs w:val="20"/>
          <w:lang w:val="es-ES"/>
        </w:rPr>
      </w:pPr>
      <w:r w:rsidRPr="003E1A2E">
        <w:rPr>
          <w:rFonts w:ascii="Verdana" w:eastAsia="Calibri" w:hAnsi="Verdana" w:cs="Arial"/>
          <w:sz w:val="20"/>
          <w:szCs w:val="20"/>
          <w:lang w:val="es-ES"/>
        </w:rPr>
        <w:t xml:space="preserve">[…] dentro del grupo de asociaciones que conforman las ESAL están incluidas las Cajas de Compensación Familiar, esto en razón a que, el artículo 39 de la Ley 21 de 1982 las define como “personas jurídicas de derecho privado sin ánimo de lucro, organizadas como corporaciones en la forma prevista en el Código Civil, cumplen funciones de seguridad social y se hallan sometidas al control y vigilancia del Estado en la forma establecida por la ley”. </w:t>
      </w:r>
    </w:p>
    <w:p w14:paraId="26677E87" w14:textId="77777777" w:rsidR="003E1A2E" w:rsidRPr="003E1A2E" w:rsidRDefault="003E1A2E" w:rsidP="003E1A2E">
      <w:pPr>
        <w:spacing w:line="240" w:lineRule="auto"/>
        <w:jc w:val="both"/>
        <w:rPr>
          <w:rFonts w:ascii="Verdana" w:eastAsia="Calibri" w:hAnsi="Verdana" w:cs="Arial"/>
          <w:sz w:val="20"/>
          <w:szCs w:val="20"/>
          <w:lang w:val="es-ES"/>
        </w:rPr>
      </w:pPr>
      <w:r w:rsidRPr="003E1A2E">
        <w:rPr>
          <w:rFonts w:ascii="Verdana" w:eastAsia="Calibri" w:hAnsi="Verdana" w:cs="Arial"/>
          <w:sz w:val="20"/>
          <w:szCs w:val="20"/>
          <w:lang w:val="es-ES"/>
        </w:rPr>
        <w:t>La Corte Constitucional en Sentencia C-429 de 2019, señaló que “las Cajas de Compensación Familiar son entes jurídicos de naturaleza especialísima que no ejercen funciones públicas, sino que desarrollan una función social, pues se trata de actores privados que participan en la economía e intervienen en el servicio público de seguridad social e incluso, en algunos casos, pueden participar en su prestación, como ocurre con la participación que tienen en el sector salud”.</w:t>
      </w:r>
    </w:p>
    <w:p w14:paraId="6B6DCDFE" w14:textId="77777777" w:rsidR="003E1A2E" w:rsidRPr="004977A2" w:rsidRDefault="003E1A2E" w:rsidP="003E1A2E">
      <w:pPr>
        <w:spacing w:line="240" w:lineRule="auto"/>
        <w:jc w:val="both"/>
        <w:rPr>
          <w:rFonts w:ascii="Verdana" w:eastAsia="Calibri" w:hAnsi="Verdana" w:cs="Arial"/>
          <w:lang w:val="es-ES"/>
        </w:rPr>
      </w:pPr>
    </w:p>
    <w:p w14:paraId="6E847804" w14:textId="77777777" w:rsidR="003E1A2E" w:rsidRPr="004977A2" w:rsidRDefault="003E1A2E" w:rsidP="003E1A2E">
      <w:pPr>
        <w:spacing w:after="0" w:line="276" w:lineRule="auto"/>
        <w:jc w:val="both"/>
        <w:rPr>
          <w:rFonts w:ascii="Verdana" w:eastAsia="Calibri" w:hAnsi="Verdana" w:cs="Arial"/>
          <w:b/>
          <w:bCs/>
        </w:rPr>
      </w:pPr>
      <w:r w:rsidRPr="004977A2">
        <w:rPr>
          <w:rFonts w:ascii="Verdana" w:eastAsia="Calibri" w:hAnsi="Verdana" w:cs="Arial"/>
          <w:b/>
          <w:bCs/>
          <w:lang w:val="es-ES" w:eastAsia="es-ES"/>
        </w:rPr>
        <w:t>PUBLICACIÓN EN SECOP– Principio de Publicidad – Principio de Transparencia</w:t>
      </w:r>
    </w:p>
    <w:p w14:paraId="6AFD1D46" w14:textId="77777777" w:rsidR="003E1A2E" w:rsidRPr="004977A2" w:rsidRDefault="003E1A2E" w:rsidP="003E1A2E">
      <w:pPr>
        <w:spacing w:after="0" w:line="240" w:lineRule="auto"/>
        <w:rPr>
          <w:rFonts w:ascii="Verdana" w:eastAsia="Geomanist Light" w:hAnsi="Verdana" w:cs="Arial"/>
          <w:b/>
          <w:bCs/>
          <w:lang w:val="es-ES"/>
        </w:rPr>
      </w:pPr>
    </w:p>
    <w:p w14:paraId="0B58EEF5" w14:textId="77777777" w:rsidR="003E1A2E" w:rsidRPr="003E1A2E" w:rsidRDefault="003E1A2E" w:rsidP="003E1A2E">
      <w:pPr>
        <w:spacing w:after="0" w:line="240" w:lineRule="auto"/>
        <w:jc w:val="both"/>
        <w:rPr>
          <w:rFonts w:ascii="Verdana" w:eastAsia="Calibri" w:hAnsi="Verdana" w:cs="Arial"/>
          <w:sz w:val="20"/>
          <w:szCs w:val="20"/>
          <w:lang w:val="es-ES_tradnl"/>
        </w:rPr>
      </w:pPr>
      <w:r w:rsidRPr="003E1A2E">
        <w:rPr>
          <w:rFonts w:ascii="Verdana" w:eastAsia="Calibri" w:hAnsi="Verdana" w:cs="Arial"/>
          <w:sz w:val="20"/>
          <w:szCs w:val="20"/>
          <w:lang w:val="es-ES_tradnl"/>
        </w:rPr>
        <w:t>El principio de publicidad impone a las autoridades el deber de dar a conocer sus actos, contratos y decisiones, para que se divulguen y eventualmente se controlen dichas actuaciones. Es por eso que, en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p>
    <w:p w14:paraId="6DD3EF76" w14:textId="77777777" w:rsidR="003E1A2E" w:rsidRPr="003E1A2E" w:rsidRDefault="003E1A2E" w:rsidP="003E1A2E">
      <w:pPr>
        <w:spacing w:after="0" w:line="240" w:lineRule="auto"/>
        <w:rPr>
          <w:rFonts w:ascii="Verdana" w:eastAsia="Calibri" w:hAnsi="Verdana" w:cs="Arial"/>
          <w:sz w:val="20"/>
          <w:szCs w:val="20"/>
          <w:lang w:val="es-ES_tradnl"/>
        </w:rPr>
      </w:pPr>
    </w:p>
    <w:p w14:paraId="7696867D" w14:textId="77777777" w:rsidR="003E1A2E" w:rsidRPr="004977A2" w:rsidRDefault="003E1A2E" w:rsidP="003E1A2E">
      <w:pPr>
        <w:spacing w:after="0" w:line="240" w:lineRule="auto"/>
        <w:jc w:val="both"/>
        <w:rPr>
          <w:rFonts w:ascii="Verdana" w:eastAsia="Geomanist Light" w:hAnsi="Verdana" w:cs="Arial"/>
          <w:b/>
          <w:bCs/>
          <w:lang w:val="es-ES"/>
        </w:rPr>
      </w:pPr>
      <w:r w:rsidRPr="003E1A2E">
        <w:rPr>
          <w:rFonts w:ascii="Verdana" w:eastAsia="Calibri" w:hAnsi="Verdana" w:cs="Arial"/>
          <w:sz w:val="20"/>
          <w:szCs w:val="20"/>
          <w:lang w:val="es-ES_tradnl"/>
        </w:rPr>
        <w:t>[…]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legales</w:t>
      </w:r>
      <w:r w:rsidRPr="004977A2">
        <w:rPr>
          <w:rFonts w:ascii="Verdana" w:eastAsia="Calibri" w:hAnsi="Verdana" w:cs="Arial"/>
          <w:lang w:val="es-ES"/>
        </w:rPr>
        <w:t>.</w:t>
      </w:r>
    </w:p>
    <w:p w14:paraId="07B256BC" w14:textId="77777777" w:rsidR="003E1A2E" w:rsidRPr="004977A2" w:rsidRDefault="003E1A2E" w:rsidP="003E1A2E">
      <w:pPr>
        <w:spacing w:after="0" w:line="240" w:lineRule="auto"/>
        <w:rPr>
          <w:rFonts w:ascii="Verdana" w:eastAsia="Geomanist Light" w:hAnsi="Verdana" w:cs="Arial"/>
          <w:lang w:val="es-MX"/>
        </w:rPr>
      </w:pPr>
    </w:p>
    <w:p w14:paraId="5FB61E5F" w14:textId="77777777" w:rsidR="003E1A2E" w:rsidRPr="004977A2" w:rsidRDefault="003E1A2E" w:rsidP="003E1A2E">
      <w:pPr>
        <w:spacing w:after="0" w:line="240" w:lineRule="auto"/>
        <w:rPr>
          <w:rFonts w:ascii="Verdana" w:eastAsia="Geomanist Light" w:hAnsi="Verdana" w:cs="Arial"/>
          <w:lang w:val="es-MX"/>
        </w:rPr>
      </w:pPr>
    </w:p>
    <w:p w14:paraId="68B80591" w14:textId="77777777" w:rsidR="003E1A2E" w:rsidRPr="004977A2" w:rsidRDefault="003E1A2E" w:rsidP="003E1A2E">
      <w:pPr>
        <w:spacing w:after="0" w:line="240" w:lineRule="auto"/>
        <w:rPr>
          <w:rFonts w:ascii="Verdana" w:eastAsia="Geomanist Light" w:hAnsi="Verdana" w:cs="Arial"/>
          <w:lang w:val="es-MX"/>
        </w:rPr>
      </w:pPr>
    </w:p>
    <w:p w14:paraId="76BA6A75" w14:textId="77777777" w:rsidR="003E1A2E" w:rsidRPr="004977A2" w:rsidRDefault="003E1A2E" w:rsidP="003E1A2E">
      <w:pPr>
        <w:spacing w:after="0" w:line="240" w:lineRule="auto"/>
        <w:rPr>
          <w:rFonts w:ascii="Verdana" w:eastAsia="Geomanist Light" w:hAnsi="Verdana" w:cs="Arial"/>
          <w:lang w:val="es-MX"/>
        </w:rPr>
      </w:pPr>
    </w:p>
    <w:p w14:paraId="4D0D51B2" w14:textId="77777777" w:rsidR="00353844" w:rsidRDefault="00353844" w:rsidP="00DB44AA">
      <w:pPr>
        <w:spacing w:line="276" w:lineRule="auto"/>
        <w:jc w:val="both"/>
        <w:rPr>
          <w:rFonts w:ascii="Verdana" w:eastAsia="Aptos" w:hAnsi="Verdana" w:cs="Times New Roman"/>
          <w:sz w:val="20"/>
          <w:szCs w:val="20"/>
        </w:rPr>
      </w:pPr>
    </w:p>
    <w:p w14:paraId="1C648DB9" w14:textId="77777777" w:rsidR="00353844" w:rsidRDefault="00353844" w:rsidP="00DB44AA">
      <w:pPr>
        <w:spacing w:line="276" w:lineRule="auto"/>
        <w:jc w:val="both"/>
        <w:rPr>
          <w:rFonts w:ascii="Verdana" w:eastAsia="Aptos" w:hAnsi="Verdana" w:cs="Times New Roman"/>
          <w:sz w:val="20"/>
          <w:szCs w:val="20"/>
        </w:rPr>
      </w:pPr>
    </w:p>
    <w:p w14:paraId="61068EFA" w14:textId="091036F7" w:rsidR="0087031A" w:rsidRDefault="0087031A" w:rsidP="0087031A">
      <w:pPr>
        <w:spacing w:after="0"/>
        <w:rPr>
          <w:rFonts w:ascii="Verdana" w:hAnsi="Verdana"/>
        </w:rPr>
      </w:pPr>
      <w:r>
        <w:rPr>
          <w:rFonts w:ascii="Verdana" w:hAnsi="Verdana"/>
        </w:rPr>
        <w:lastRenderedPageBreak/>
        <w:t>B</w:t>
      </w:r>
      <w:r w:rsidRPr="0044528D">
        <w:rPr>
          <w:rFonts w:ascii="Verdana" w:hAnsi="Verdana"/>
        </w:rPr>
        <w:t xml:space="preserve">ogotá D.C., </w:t>
      </w:r>
      <w:r w:rsidR="00AC6E46">
        <w:rPr>
          <w:rFonts w:ascii="Verdana" w:hAnsi="Verdana"/>
        </w:rPr>
        <w:t>25 de julio de 2025.</w:t>
      </w:r>
    </w:p>
    <w:p w14:paraId="53A7EAEE" w14:textId="77777777" w:rsidR="0087031A" w:rsidRDefault="0087031A" w:rsidP="0087031A">
      <w:pPr>
        <w:spacing w:after="0"/>
        <w:rPr>
          <w:rFonts w:ascii="Verdana" w:hAnsi="Verdana"/>
        </w:rPr>
      </w:pPr>
      <w:bookmarkStart w:id="2" w:name="_Hlk180638295"/>
      <w:bookmarkEnd w:id="0"/>
    </w:p>
    <w:p w14:paraId="51425B11" w14:textId="294DE3B9" w:rsidR="00AC6E46" w:rsidRDefault="00AC6E46" w:rsidP="00AC6E46">
      <w:pPr>
        <w:spacing w:after="0"/>
        <w:jc w:val="right"/>
        <w:rPr>
          <w:rFonts w:ascii="Verdana" w:hAnsi="Verdana"/>
        </w:rPr>
      </w:pPr>
      <w:r>
        <w:rPr>
          <w:rFonts w:ascii="Verdana" w:hAnsi="Verdana"/>
          <w:noProof/>
        </w:rPr>
        <w:drawing>
          <wp:inline distT="0" distB="0" distL="0" distR="0" wp14:anchorId="714421B8" wp14:editId="73A8AEFC">
            <wp:extent cx="2686050" cy="771525"/>
            <wp:effectExtent l="0" t="0" r="0" b="9525"/>
            <wp:docPr id="17887143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6050" cy="771525"/>
                    </a:xfrm>
                    <a:prstGeom prst="rect">
                      <a:avLst/>
                    </a:prstGeom>
                    <a:noFill/>
                    <a:ln>
                      <a:noFill/>
                    </a:ln>
                  </pic:spPr>
                </pic:pic>
              </a:graphicData>
            </a:graphic>
          </wp:inline>
        </w:drawing>
      </w:r>
    </w:p>
    <w:p w14:paraId="6CB80055" w14:textId="77777777" w:rsidR="0087031A" w:rsidRDefault="0087031A" w:rsidP="0087031A">
      <w:pPr>
        <w:spacing w:after="0"/>
        <w:rPr>
          <w:rFonts w:ascii="Verdana" w:hAnsi="Verdana"/>
        </w:rPr>
      </w:pPr>
    </w:p>
    <w:p w14:paraId="69F1A09B" w14:textId="77777777" w:rsidR="0087031A" w:rsidRDefault="0087031A" w:rsidP="0087031A">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Pr="005E62E2">
        <w:rPr>
          <w:rFonts w:ascii="Verdana" w:eastAsia="Calibri" w:hAnsi="Verdana" w:cs="Arial"/>
          <w:lang w:eastAsia="es-ES"/>
        </w:rPr>
        <w:tab/>
      </w:r>
    </w:p>
    <w:p w14:paraId="24D98759" w14:textId="092142C3" w:rsidR="00C4006F" w:rsidRDefault="00C4006F" w:rsidP="0087031A">
      <w:pPr>
        <w:spacing w:after="0" w:line="240" w:lineRule="auto"/>
        <w:rPr>
          <w:rFonts w:ascii="Verdana" w:eastAsia="Calibri" w:hAnsi="Verdana" w:cs="Arial"/>
          <w:b/>
          <w:bCs/>
          <w:lang w:eastAsia="es-ES"/>
        </w:rPr>
      </w:pPr>
      <w:r w:rsidRPr="00C4006F">
        <w:rPr>
          <w:rFonts w:ascii="Verdana" w:eastAsia="Calibri" w:hAnsi="Verdana" w:cs="Arial"/>
          <w:b/>
          <w:bCs/>
          <w:lang w:eastAsia="es-ES"/>
        </w:rPr>
        <w:t>JEFE DEPARTAMENTO DE CONTRATACIÓN</w:t>
      </w:r>
    </w:p>
    <w:p w14:paraId="147AF7B3" w14:textId="270A9BEE" w:rsidR="00C4006F" w:rsidRDefault="00C4006F" w:rsidP="0087031A">
      <w:pPr>
        <w:spacing w:after="0" w:line="240" w:lineRule="auto"/>
        <w:rPr>
          <w:rFonts w:ascii="Verdana" w:eastAsia="Calibri" w:hAnsi="Verdana" w:cs="Arial"/>
          <w:b/>
          <w:bCs/>
          <w:lang w:eastAsia="es-ES"/>
        </w:rPr>
      </w:pPr>
      <w:r w:rsidRPr="00C4006F">
        <w:rPr>
          <w:rFonts w:ascii="Verdana" w:eastAsia="Calibri" w:hAnsi="Verdana" w:cs="Arial"/>
          <w:b/>
          <w:bCs/>
          <w:lang w:eastAsia="es-ES"/>
        </w:rPr>
        <w:t>Comfenalco Antioquia</w:t>
      </w:r>
    </w:p>
    <w:p w14:paraId="688A387F" w14:textId="4416CBB4" w:rsidR="00C4006F" w:rsidRDefault="00C4006F" w:rsidP="0087031A">
      <w:pPr>
        <w:spacing w:after="0" w:line="240" w:lineRule="auto"/>
        <w:rPr>
          <w:rFonts w:ascii="Verdana" w:hAnsi="Verdana"/>
        </w:rPr>
      </w:pPr>
      <w:hyperlink r:id="rId12" w:history="1">
        <w:r w:rsidRPr="00CC2130">
          <w:rPr>
            <w:rStyle w:val="Hipervnculo"/>
            <w:rFonts w:ascii="Verdana" w:hAnsi="Verdana"/>
          </w:rPr>
          <w:t>astrid.zapata@comfenalcoantioquia.com</w:t>
        </w:r>
      </w:hyperlink>
    </w:p>
    <w:p w14:paraId="20ECB200" w14:textId="5BE17120" w:rsidR="0087031A" w:rsidRDefault="00C4006F" w:rsidP="0087031A">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Medellín (Antioquia)</w:t>
      </w:r>
    </w:p>
    <w:p w14:paraId="33757F92" w14:textId="77777777" w:rsidR="0087031A" w:rsidRPr="00FE3DEC" w:rsidRDefault="0087031A" w:rsidP="0087031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87031A" w:rsidRPr="00593A5F" w14:paraId="28AFEB3E" w14:textId="77777777" w:rsidTr="00C67C7B">
        <w:trPr>
          <w:trHeight w:val="919"/>
        </w:trPr>
        <w:tc>
          <w:tcPr>
            <w:tcW w:w="2295" w:type="dxa"/>
          </w:tcPr>
          <w:p w14:paraId="3DABC826" w14:textId="77777777" w:rsidR="0087031A" w:rsidRPr="00E5644F" w:rsidRDefault="0087031A" w:rsidP="00580B7F">
            <w:pPr>
              <w:jc w:val="both"/>
              <w:rPr>
                <w:rFonts w:ascii="Verdana" w:eastAsia="Calibri" w:hAnsi="Verdana" w:cs="Arial"/>
                <w:b/>
                <w:bCs/>
                <w:color w:val="7030A0"/>
                <w:lang w:val="es-ES_tradnl" w:eastAsia="es-ES_tradnl"/>
              </w:rPr>
            </w:pPr>
          </w:p>
        </w:tc>
        <w:tc>
          <w:tcPr>
            <w:tcW w:w="6481" w:type="dxa"/>
            <w:gridSpan w:val="2"/>
          </w:tcPr>
          <w:p w14:paraId="022A37EB" w14:textId="79263AC7" w:rsidR="0087031A" w:rsidRPr="00E5644F" w:rsidRDefault="0087031A" w:rsidP="00580B7F">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8A727D" w:rsidRPr="00C4006F">
              <w:rPr>
                <w:rFonts w:ascii="Verdana" w:eastAsia="Calibri" w:hAnsi="Verdana" w:cs="Arial"/>
                <w:b/>
                <w:bCs/>
                <w:lang w:val="es-ES" w:eastAsia="es-ES"/>
              </w:rPr>
              <w:t>7</w:t>
            </w:r>
            <w:r w:rsidR="00C4006F" w:rsidRPr="00C4006F">
              <w:rPr>
                <w:rFonts w:ascii="Verdana" w:eastAsia="Calibri" w:hAnsi="Verdana" w:cs="Arial"/>
                <w:b/>
                <w:bCs/>
                <w:lang w:val="es-ES" w:eastAsia="es-ES"/>
              </w:rPr>
              <w:t>78</w:t>
            </w:r>
            <w:r w:rsidRPr="00C4006F">
              <w:rPr>
                <w:rFonts w:ascii="Verdana" w:eastAsia="Calibri" w:hAnsi="Verdana" w:cs="Arial"/>
                <w:b/>
                <w:bCs/>
                <w:lang w:val="es-ES" w:eastAsia="es-ES"/>
              </w:rPr>
              <w:t xml:space="preserve"> de 2025</w:t>
            </w:r>
          </w:p>
        </w:tc>
      </w:tr>
      <w:tr w:rsidR="0087031A" w:rsidRPr="00A52DE7" w14:paraId="38B6D2DC" w14:textId="77777777" w:rsidTr="00C67C7B">
        <w:trPr>
          <w:trHeight w:val="919"/>
        </w:trPr>
        <w:tc>
          <w:tcPr>
            <w:tcW w:w="2295" w:type="dxa"/>
          </w:tcPr>
          <w:p w14:paraId="7FE07E31" w14:textId="77777777" w:rsidR="0087031A" w:rsidRPr="00593A5F" w:rsidRDefault="0087031A" w:rsidP="00580B7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656449F4" w14:textId="77777777" w:rsidR="002C23FD" w:rsidRPr="004977A2" w:rsidRDefault="002C23FD" w:rsidP="002C23FD">
            <w:pPr>
              <w:spacing w:line="276" w:lineRule="auto"/>
              <w:jc w:val="both"/>
              <w:rPr>
                <w:rFonts w:ascii="Verdana" w:eastAsia="Calibri" w:hAnsi="Verdana" w:cs="Arial"/>
                <w:lang w:val="es-ES" w:eastAsia="es-ES"/>
              </w:rPr>
            </w:pPr>
            <w:r w:rsidRPr="004977A2">
              <w:rPr>
                <w:rFonts w:ascii="Verdana" w:eastAsia="Calibri" w:hAnsi="Verdana" w:cs="Arial"/>
                <w:lang w:val="es-ES" w:eastAsia="es-ES"/>
              </w:rPr>
              <w:t>CAJAS DE COMPESACIÓN FAMILIAR – Naturaleza Jurídica –Función Social / PUBLICACIÓN EN SECOP- Principio de Publicidad- Principio de Transparencia</w:t>
            </w:r>
            <w:r>
              <w:rPr>
                <w:rFonts w:ascii="Verdana" w:eastAsia="Calibri" w:hAnsi="Verdana" w:cs="Arial"/>
                <w:lang w:val="es-ES" w:eastAsia="es-ES"/>
              </w:rPr>
              <w:t>.</w:t>
            </w:r>
          </w:p>
          <w:p w14:paraId="1BF247BD" w14:textId="72D1DB25" w:rsidR="00471CAF" w:rsidRPr="00A52DE7" w:rsidRDefault="00471CAF" w:rsidP="00580B7F">
            <w:pPr>
              <w:jc w:val="both"/>
              <w:rPr>
                <w:rFonts w:ascii="Verdana" w:eastAsia="Calibri" w:hAnsi="Verdana" w:cs="Arial"/>
                <w:b/>
                <w:highlight w:val="yellow"/>
                <w:lang w:val="es-ES" w:eastAsia="es-ES"/>
              </w:rPr>
            </w:pPr>
          </w:p>
        </w:tc>
      </w:tr>
      <w:tr w:rsidR="0087031A" w:rsidRPr="00593A5F" w14:paraId="14D6DDF3" w14:textId="77777777" w:rsidTr="00C67C7B">
        <w:trPr>
          <w:trHeight w:val="545"/>
        </w:trPr>
        <w:tc>
          <w:tcPr>
            <w:tcW w:w="2295" w:type="dxa"/>
          </w:tcPr>
          <w:p w14:paraId="58C41A69" w14:textId="77777777" w:rsidR="0087031A" w:rsidRPr="006730E9" w:rsidRDefault="0087031A" w:rsidP="00580B7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6361BD6" w14:textId="6C8B5860" w:rsidR="0087031A" w:rsidRPr="006730E9" w:rsidRDefault="0087031A" w:rsidP="00580B7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C4006F" w:rsidRPr="00C4006F">
              <w:rPr>
                <w:rFonts w:ascii="Verdana" w:eastAsia="Calibri" w:hAnsi="Verdana" w:cs="Arial"/>
                <w:lang w:val="es-ES_tradnl" w:eastAsia="es-ES_tradnl"/>
              </w:rPr>
              <w:t>1_2025_06_16_005945</w:t>
            </w:r>
            <w:r>
              <w:rPr>
                <w:rFonts w:ascii="Verdana" w:eastAsia="Calibri" w:hAnsi="Verdana" w:cs="Arial"/>
                <w:lang w:val="es-ES_tradnl" w:eastAsia="es-ES_tradnl"/>
              </w:rPr>
              <w:t>.</w:t>
            </w:r>
          </w:p>
        </w:tc>
      </w:tr>
      <w:tr w:rsidR="0087031A" w:rsidRPr="00DB23D2" w14:paraId="2A2E2921" w14:textId="77777777" w:rsidTr="00C67C7B">
        <w:trPr>
          <w:gridAfter w:val="1"/>
          <w:wAfter w:w="319" w:type="dxa"/>
          <w:trHeight w:val="242"/>
        </w:trPr>
        <w:tc>
          <w:tcPr>
            <w:tcW w:w="8457" w:type="dxa"/>
            <w:gridSpan w:val="2"/>
          </w:tcPr>
          <w:p w14:paraId="120D7AD6" w14:textId="77777777" w:rsidR="0087031A" w:rsidRPr="00DB23D2" w:rsidRDefault="0087031A" w:rsidP="00580B7F">
            <w:pPr>
              <w:spacing w:after="120" w:line="276" w:lineRule="auto"/>
              <w:jc w:val="both"/>
              <w:rPr>
                <w:rFonts w:ascii="Verdana" w:eastAsia="Calibri" w:hAnsi="Verdana" w:cs="Arial"/>
                <w:lang w:val="es-ES_tradnl" w:eastAsia="es-ES"/>
              </w:rPr>
            </w:pPr>
          </w:p>
        </w:tc>
      </w:tr>
    </w:tbl>
    <w:p w14:paraId="47EC921B" w14:textId="47EEEE94"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2C23FD">
        <w:rPr>
          <w:rFonts w:ascii="Verdana" w:eastAsia="Calibri" w:hAnsi="Verdana" w:cs="Arial"/>
          <w:lang w:val="es-ES" w:eastAsia="es-ES"/>
        </w:rPr>
        <w:t>os</w:t>
      </w:r>
      <w:r>
        <w:rPr>
          <w:rFonts w:ascii="Verdana" w:eastAsia="Calibri" w:hAnsi="Verdana" w:cs="Arial"/>
          <w:lang w:val="es-ES" w:eastAsia="es-ES"/>
        </w:rPr>
        <w:t xml:space="preserve"> </w:t>
      </w:r>
      <w:r w:rsidRPr="006730E9">
        <w:rPr>
          <w:rFonts w:ascii="Verdana" w:eastAsia="Calibri" w:hAnsi="Verdana" w:cs="Arial"/>
          <w:lang w:val="es-ES" w:eastAsia="es-ES"/>
        </w:rPr>
        <w:t>señor</w:t>
      </w:r>
      <w:r w:rsidR="002C23FD">
        <w:rPr>
          <w:rFonts w:ascii="Verdana" w:eastAsia="Calibri" w:hAnsi="Verdana" w:cs="Arial"/>
          <w:lang w:val="es-ES" w:eastAsia="es-ES"/>
        </w:rPr>
        <w:t>es</w:t>
      </w:r>
      <w:r>
        <w:rPr>
          <w:rFonts w:ascii="Verdana" w:eastAsia="Calibri" w:hAnsi="Verdana" w:cs="Arial"/>
          <w:lang w:val="es-ES" w:eastAsia="es-ES"/>
        </w:rPr>
        <w:t>;</w:t>
      </w:r>
    </w:p>
    <w:p w14:paraId="59ADFBB6" w14:textId="77777777" w:rsidR="0087031A" w:rsidRDefault="0087031A" w:rsidP="008703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29E5029" w14:textId="59859C5A" w:rsidR="0087031A" w:rsidRPr="006730E9" w:rsidRDefault="0087031A" w:rsidP="008703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BF3745">
        <w:rPr>
          <w:rFonts w:ascii="Verdana" w:eastAsia="Calibri" w:hAnsi="Verdana" w:cs="Arial"/>
          <w:lang w:val="es-ES" w:eastAsia="es-ES"/>
        </w:rPr>
        <w:t xml:space="preserve">trasladada por competencia por el Departamento Administrativo de la Función Pública,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8A576E">
        <w:rPr>
          <w:rFonts w:ascii="Verdana" w:eastAsia="Calibri" w:hAnsi="Verdana" w:cs="Arial"/>
          <w:lang w:val="es-ES" w:eastAsia="es-ES"/>
        </w:rPr>
        <w:t>12</w:t>
      </w:r>
      <w:r>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8A576E">
        <w:rPr>
          <w:rFonts w:ascii="Verdana" w:eastAsia="Calibri" w:hAnsi="Verdana" w:cs="Arial"/>
          <w:lang w:val="es-ES" w:eastAsia="es-ES"/>
        </w:rPr>
        <w:t>junio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E75DC9C" w14:textId="77777777" w:rsidR="0087031A" w:rsidRPr="00326382" w:rsidRDefault="0087031A" w:rsidP="0087031A">
      <w:pPr>
        <w:spacing w:after="0" w:line="240" w:lineRule="auto"/>
        <w:ind w:left="709" w:right="474"/>
        <w:jc w:val="both"/>
        <w:rPr>
          <w:rFonts w:ascii="Verdana" w:hAnsi="Verdana" w:cs="Arial"/>
          <w:sz w:val="20"/>
          <w:szCs w:val="20"/>
          <w:shd w:val="clear" w:color="auto" w:fill="FFFFFF"/>
        </w:rPr>
      </w:pPr>
      <w:bookmarkStart w:id="4" w:name="_Hlk95313578"/>
    </w:p>
    <w:bookmarkEnd w:id="4"/>
    <w:p w14:paraId="292A93D4" w14:textId="2D864F0E" w:rsidR="00811A9B" w:rsidRDefault="0087031A" w:rsidP="001532F7">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007A6049">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7F6565DC" w14:textId="77777777" w:rsidR="007A6049" w:rsidRDefault="007A6049" w:rsidP="007A6049">
      <w:pPr>
        <w:tabs>
          <w:tab w:val="left" w:pos="142"/>
          <w:tab w:val="left" w:pos="709"/>
        </w:tabs>
        <w:ind w:left="709" w:right="709"/>
        <w:jc w:val="both"/>
        <w:rPr>
          <w:rFonts w:ascii="Verdana" w:eastAsia="Century Gothic" w:hAnsi="Verdana" w:cs="Century Gothic"/>
          <w:i/>
          <w:iCs/>
          <w:sz w:val="20"/>
          <w:szCs w:val="20"/>
        </w:rPr>
      </w:pPr>
      <w:r w:rsidRPr="007A6049">
        <w:rPr>
          <w:rFonts w:ascii="Verdana" w:eastAsia="Century Gothic" w:hAnsi="Verdana" w:cs="Century Gothic"/>
          <w:i/>
          <w:iCs/>
          <w:sz w:val="20"/>
          <w:szCs w:val="20"/>
        </w:rPr>
        <w:t>A</w:t>
      </w:r>
      <w:r>
        <w:rPr>
          <w:rFonts w:ascii="Verdana" w:eastAsia="Century Gothic" w:hAnsi="Verdana" w:cs="Century Gothic"/>
          <w:i/>
          <w:iCs/>
          <w:sz w:val="20"/>
          <w:szCs w:val="20"/>
        </w:rPr>
        <w:t xml:space="preserve"> e</w:t>
      </w:r>
      <w:r w:rsidRPr="007A6049">
        <w:rPr>
          <w:rFonts w:ascii="Verdana" w:eastAsia="Century Gothic" w:hAnsi="Verdana" w:cs="Century Gothic"/>
          <w:i/>
          <w:iCs/>
          <w:sz w:val="20"/>
          <w:szCs w:val="20"/>
        </w:rPr>
        <w:t>fectos de claridad en la gestión contractual de la caja, se solicita</w:t>
      </w:r>
      <w:r>
        <w:rPr>
          <w:rFonts w:ascii="Verdana" w:eastAsia="Century Gothic" w:hAnsi="Verdana" w:cs="Century Gothic"/>
          <w:i/>
          <w:iCs/>
          <w:sz w:val="20"/>
          <w:szCs w:val="20"/>
        </w:rPr>
        <w:t xml:space="preserve"> </w:t>
      </w:r>
      <w:r w:rsidRPr="007A6049">
        <w:rPr>
          <w:rFonts w:ascii="Verdana" w:eastAsia="Century Gothic" w:hAnsi="Verdana" w:cs="Century Gothic"/>
          <w:i/>
          <w:iCs/>
          <w:sz w:val="20"/>
          <w:szCs w:val="20"/>
        </w:rPr>
        <w:t>emitir concepto sobre la obligatoriedad de COMFENALCO de publicar sus procesos</w:t>
      </w:r>
      <w:r>
        <w:rPr>
          <w:rFonts w:ascii="Verdana" w:eastAsia="Century Gothic" w:hAnsi="Verdana" w:cs="Century Gothic"/>
          <w:i/>
          <w:iCs/>
          <w:sz w:val="20"/>
          <w:szCs w:val="20"/>
        </w:rPr>
        <w:t xml:space="preserve"> </w:t>
      </w:r>
      <w:r w:rsidRPr="007A6049">
        <w:rPr>
          <w:rFonts w:ascii="Verdana" w:eastAsia="Century Gothic" w:hAnsi="Verdana" w:cs="Century Gothic"/>
          <w:i/>
          <w:iCs/>
          <w:sz w:val="20"/>
          <w:szCs w:val="20"/>
        </w:rPr>
        <w:t>de contratación en el Sistema Electrónico para la Contratación Pública.</w:t>
      </w:r>
      <w:r w:rsidR="0053038A" w:rsidRPr="0053038A">
        <w:rPr>
          <w:rFonts w:ascii="Verdana" w:eastAsia="Century Gothic" w:hAnsi="Verdana" w:cs="Century Gothic"/>
          <w:i/>
          <w:iCs/>
          <w:sz w:val="20"/>
          <w:szCs w:val="20"/>
        </w:rPr>
        <w:t xml:space="preserve"> </w:t>
      </w:r>
    </w:p>
    <w:p w14:paraId="55A848A2" w14:textId="1493A674" w:rsidR="0087031A" w:rsidRPr="00CD7324" w:rsidRDefault="00E460EC" w:rsidP="007A6049">
      <w:pPr>
        <w:tabs>
          <w:tab w:val="left" w:pos="142"/>
          <w:tab w:val="left" w:pos="709"/>
        </w:tabs>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r w:rsidR="0087031A" w:rsidRPr="00CD7324">
        <w:rPr>
          <w:rFonts w:ascii="Verdana" w:eastAsia="Century Gothic" w:hAnsi="Verdana" w:cs="Century Gothic"/>
          <w:i/>
          <w:iCs/>
          <w:sz w:val="20"/>
          <w:szCs w:val="20"/>
        </w:rPr>
        <w:t>…)”</w:t>
      </w:r>
      <w:r w:rsidR="002B5862">
        <w:rPr>
          <w:rFonts w:ascii="Verdana" w:eastAsia="Century Gothic" w:hAnsi="Verdana" w:cs="Century Gothic"/>
          <w:i/>
          <w:iCs/>
          <w:sz w:val="20"/>
          <w:szCs w:val="20"/>
        </w:rPr>
        <w:t>.</w:t>
      </w:r>
      <w:r w:rsidR="0087031A" w:rsidRPr="00CD7324">
        <w:rPr>
          <w:rFonts w:ascii="Verdana" w:eastAsia="Century Gothic" w:hAnsi="Verdana" w:cs="Century Gothic"/>
          <w:i/>
          <w:iCs/>
          <w:sz w:val="20"/>
          <w:szCs w:val="20"/>
        </w:rPr>
        <w:t xml:space="preserve"> </w:t>
      </w:r>
    </w:p>
    <w:p w14:paraId="33F745EB" w14:textId="77777777" w:rsidR="0087031A" w:rsidRPr="00AA3B9F" w:rsidRDefault="0087031A" w:rsidP="008703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04224C2" w14:textId="77777777" w:rsidR="0087031A" w:rsidRPr="00AA3B9F" w:rsidRDefault="0087031A" w:rsidP="0087031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7488FEE4" w14:textId="77777777" w:rsidR="0087031A" w:rsidRDefault="0087031A" w:rsidP="008703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A7578E" w14:textId="77777777" w:rsidR="0087031A" w:rsidRDefault="0087031A" w:rsidP="008703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CD6BDA0" w14:textId="77777777" w:rsidR="0087031A" w:rsidRDefault="0087031A" w:rsidP="0087031A">
      <w:pPr>
        <w:pStyle w:val="Prrafodelista"/>
        <w:tabs>
          <w:tab w:val="left" w:pos="142"/>
          <w:tab w:val="left" w:pos="284"/>
        </w:tabs>
        <w:spacing w:after="0" w:line="276" w:lineRule="auto"/>
        <w:ind w:left="0"/>
        <w:jc w:val="both"/>
        <w:rPr>
          <w:rFonts w:ascii="Verdana" w:eastAsia="Century Gothic" w:hAnsi="Verdana" w:cs="Century Gothic"/>
          <w:b/>
          <w:bCs/>
        </w:rPr>
      </w:pPr>
    </w:p>
    <w:p w14:paraId="2996596F" w14:textId="0B3C7DFC" w:rsidR="0053038A" w:rsidRDefault="0087031A" w:rsidP="0087031A">
      <w:pPr>
        <w:pStyle w:val="Prrafodelista"/>
        <w:tabs>
          <w:tab w:val="left" w:pos="142"/>
          <w:tab w:val="left" w:pos="284"/>
        </w:tabs>
        <w:spacing w:after="0" w:line="276" w:lineRule="auto"/>
        <w:ind w:left="0"/>
        <w:jc w:val="both"/>
        <w:rPr>
          <w:rFonts w:ascii="Verdana" w:eastAsia="Calibri" w:hAnsi="Verdana" w:cs="Arial"/>
          <w:lang w:val="es-CO"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5" w:name="_Hlk196737317"/>
      <w:r w:rsidR="00311ADC" w:rsidRPr="00311ADC">
        <w:rPr>
          <w:rFonts w:asciiTheme="minorHAnsi" w:hAnsiTheme="minorHAnsi"/>
          <w:lang w:val="es-CO"/>
        </w:rPr>
        <w:t xml:space="preserve"> </w:t>
      </w:r>
      <w:r w:rsidR="00311ADC" w:rsidRPr="00311ADC">
        <w:rPr>
          <w:rFonts w:ascii="Verdana" w:eastAsia="Calibri" w:hAnsi="Verdana" w:cs="Arial"/>
          <w:lang w:val="es-CO" w:eastAsia="es-ES"/>
        </w:rPr>
        <w:t>¿</w:t>
      </w:r>
      <w:r w:rsidR="007A6049">
        <w:rPr>
          <w:rFonts w:ascii="Verdana" w:eastAsia="Calibri" w:hAnsi="Verdana" w:cs="Arial"/>
          <w:lang w:val="es-CO" w:eastAsia="es-ES"/>
        </w:rPr>
        <w:t>Están obligadas las Cajas de Compensación Familiar a publicar sus procesos en el SECOP II</w:t>
      </w:r>
      <w:r w:rsidR="00311ADC" w:rsidRPr="00311ADC">
        <w:rPr>
          <w:rFonts w:ascii="Verdana" w:eastAsia="Calibri" w:hAnsi="Verdana" w:cs="Arial"/>
          <w:lang w:val="es-CO" w:eastAsia="es-ES"/>
        </w:rPr>
        <w:t>?</w:t>
      </w:r>
      <w:r w:rsidR="007A6049">
        <w:rPr>
          <w:rFonts w:ascii="Verdana" w:eastAsia="Calibri" w:hAnsi="Verdana" w:cs="Arial"/>
          <w:lang w:val="es-CO" w:eastAsia="es-ES"/>
        </w:rPr>
        <w:t>.</w:t>
      </w:r>
      <w:r w:rsidR="00311ADC" w:rsidRPr="00311ADC">
        <w:rPr>
          <w:rFonts w:ascii="Verdana" w:eastAsia="Calibri" w:hAnsi="Verdana" w:cs="Arial"/>
          <w:lang w:val="es-CO" w:eastAsia="es-ES"/>
        </w:rPr>
        <w:t> </w:t>
      </w:r>
    </w:p>
    <w:p w14:paraId="5EADBB12" w14:textId="77777777" w:rsidR="0053038A" w:rsidRDefault="0053038A" w:rsidP="0087031A">
      <w:pPr>
        <w:pStyle w:val="Prrafodelista"/>
        <w:tabs>
          <w:tab w:val="left" w:pos="142"/>
          <w:tab w:val="left" w:pos="284"/>
        </w:tabs>
        <w:spacing w:after="0" w:line="276" w:lineRule="auto"/>
        <w:ind w:left="0"/>
        <w:jc w:val="both"/>
        <w:rPr>
          <w:rFonts w:ascii="Verdana" w:eastAsia="Calibri" w:hAnsi="Verdana" w:cs="Arial"/>
          <w:lang w:val="es-CO" w:eastAsia="es-ES"/>
        </w:rPr>
      </w:pPr>
    </w:p>
    <w:bookmarkEnd w:id="5"/>
    <w:p w14:paraId="4830150C" w14:textId="77777777" w:rsidR="0087031A"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376DABD" w14:textId="77777777" w:rsidR="001532F7" w:rsidRPr="00593A5F" w:rsidRDefault="001532F7" w:rsidP="001532F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031A" w:rsidRPr="00593A5F" w14:paraId="12E3C4B8" w14:textId="77777777" w:rsidTr="00580B7F">
        <w:tc>
          <w:tcPr>
            <w:tcW w:w="8828" w:type="dxa"/>
            <w:shd w:val="clear" w:color="auto" w:fill="auto"/>
          </w:tcPr>
          <w:p w14:paraId="4D8F70B6" w14:textId="0E62AF90" w:rsidR="0087031A" w:rsidRPr="00831CDD" w:rsidRDefault="001532F7" w:rsidP="002C23FD">
            <w:pPr>
              <w:spacing w:after="120" w:line="276" w:lineRule="auto"/>
              <w:jc w:val="both"/>
              <w:rPr>
                <w:rFonts w:ascii="Verdana" w:hAnsi="Verdana" w:cs="Arial"/>
                <w:bCs/>
                <w:color w:val="000000" w:themeColor="text1"/>
              </w:rPr>
            </w:pPr>
            <w:r>
              <w:rPr>
                <w:rFonts w:ascii="Verdana" w:eastAsia="Calibri" w:hAnsi="Verdana" w:cs="Arial"/>
                <w:lang w:val="es-MX"/>
              </w:rPr>
              <w:t xml:space="preserve">        </w:t>
            </w:r>
            <w:r w:rsidR="002C23FD" w:rsidRPr="004977A2">
              <w:rPr>
                <w:rFonts w:ascii="Verdana" w:hAnsi="Verdana" w:cs="Arial"/>
              </w:rPr>
              <w:t>Sí, las de Cajas de Compensación Familiar hacen parte de las</w:t>
            </w:r>
            <w:r w:rsidR="002C23FD" w:rsidRPr="004977A2">
              <w:rPr>
                <w:rFonts w:ascii="Verdana" w:eastAsia="Calibri" w:hAnsi="Verdana" w:cs="Arial"/>
                <w:bCs/>
                <w:lang w:val="es-MX"/>
              </w:rPr>
              <w:t xml:space="preserve"> asociaciones que conforman las Entidades Sin Ánimo de Lucro (ESAL) y</w:t>
            </w:r>
            <w:r w:rsidR="002C23FD" w:rsidRPr="004977A2">
              <w:rPr>
                <w:rFonts w:ascii="Verdana" w:hAnsi="Verdana" w:cs="Arial"/>
                <w:bCs/>
              </w:rPr>
              <w:t xml:space="preserve">, </w:t>
            </w:r>
            <w:r w:rsidR="002C23FD" w:rsidRPr="004977A2">
              <w:rPr>
                <w:rFonts w:ascii="Verdana" w:hAnsi="Verdana" w:cs="Arial"/>
              </w:rPr>
              <w:t xml:space="preserve">en virtud de lo dispuesto del artículo </w:t>
            </w:r>
            <w:r w:rsidR="002C23FD" w:rsidRPr="004977A2">
              <w:rPr>
                <w:rFonts w:ascii="Verdana" w:eastAsia="Calibri" w:hAnsi="Verdana" w:cs="Arial"/>
              </w:rPr>
              <w:t xml:space="preserve">53 de la Ley 2195 de 2022 y el </w:t>
            </w:r>
            <w:r w:rsidR="002C23FD" w:rsidRPr="004977A2">
              <w:rPr>
                <w:rFonts w:ascii="Verdana" w:eastAsia="Times New Roman" w:hAnsi="Verdana" w:cs="Arial"/>
                <w:lang w:val="es-ES_tradnl" w:eastAsia="es-ES_tradnl"/>
                <w14:ligatures w14:val="standardContextual"/>
              </w:rPr>
              <w:t>artículo 3 de la Ley 1150 de 2007,</w:t>
            </w:r>
            <w:r w:rsidR="002C23FD" w:rsidRPr="004977A2">
              <w:rPr>
                <w:rFonts w:ascii="Verdana" w:hAnsi="Verdana" w:cs="Arial"/>
                <w:bCs/>
              </w:rPr>
              <w:t xml:space="preserve"> </w:t>
            </w:r>
            <w:r w:rsidR="002C23FD" w:rsidRPr="004977A2">
              <w:rPr>
                <w:rFonts w:ascii="Verdana" w:hAnsi="Verdana" w:cs="Arial"/>
              </w:rPr>
              <w:t>se encuentran obligadas a publicar en el SECOP II los documentos de su actividad contractual cuya fuente de financiación sea con recursos públicos, sin perjuicio de estar sometidas a regímenes de derecho privado</w:t>
            </w:r>
            <w:r w:rsidR="002C23FD" w:rsidRPr="004977A2">
              <w:rPr>
                <w:rFonts w:ascii="Verdana" w:eastAsia="Calibri" w:hAnsi="Verdana" w:cs="Arial"/>
                <w:lang w:val="es-ES"/>
              </w:rPr>
              <w:t xml:space="preserve">. </w:t>
            </w:r>
          </w:p>
        </w:tc>
      </w:tr>
      <w:tr w:rsidR="0087031A" w:rsidRPr="00593A5F" w14:paraId="2EC3A9A4" w14:textId="77777777" w:rsidTr="00580B7F">
        <w:tc>
          <w:tcPr>
            <w:tcW w:w="8828" w:type="dxa"/>
            <w:shd w:val="clear" w:color="auto" w:fill="auto"/>
          </w:tcPr>
          <w:p w14:paraId="46FE8F13" w14:textId="77777777" w:rsidR="0087031A" w:rsidRPr="002973E9" w:rsidRDefault="0087031A" w:rsidP="00580B7F">
            <w:pPr>
              <w:spacing w:line="276" w:lineRule="auto"/>
              <w:jc w:val="both"/>
              <w:rPr>
                <w:rFonts w:ascii="Verdana" w:eastAsia="Calibri" w:hAnsi="Verdana" w:cs="Arial"/>
                <w:lang w:val="es-ES"/>
              </w:rPr>
            </w:pPr>
          </w:p>
        </w:tc>
      </w:tr>
    </w:tbl>
    <w:p w14:paraId="234FB4F9" w14:textId="77777777" w:rsidR="0087031A" w:rsidRDefault="0087031A" w:rsidP="0087031A">
      <w:pPr>
        <w:tabs>
          <w:tab w:val="left" w:pos="142"/>
          <w:tab w:val="left" w:pos="284"/>
        </w:tabs>
        <w:spacing w:after="0" w:line="276" w:lineRule="auto"/>
        <w:jc w:val="both"/>
        <w:rPr>
          <w:rFonts w:ascii="Verdana" w:eastAsia="Century Gothic" w:hAnsi="Verdana" w:cs="Century Gothic"/>
          <w:b/>
          <w:bCs/>
          <w:lang w:val="es-ES"/>
        </w:rPr>
      </w:pPr>
    </w:p>
    <w:p w14:paraId="69C4753B" w14:textId="77777777" w:rsidR="00501A0E" w:rsidRDefault="00501A0E" w:rsidP="0087031A">
      <w:pPr>
        <w:tabs>
          <w:tab w:val="left" w:pos="142"/>
          <w:tab w:val="left" w:pos="284"/>
        </w:tabs>
        <w:spacing w:after="0" w:line="276" w:lineRule="auto"/>
        <w:jc w:val="both"/>
        <w:rPr>
          <w:rFonts w:ascii="Verdana" w:eastAsia="Century Gothic" w:hAnsi="Verdana" w:cs="Century Gothic"/>
          <w:b/>
          <w:bCs/>
          <w:lang w:val="es-ES"/>
        </w:rPr>
      </w:pPr>
    </w:p>
    <w:p w14:paraId="0CBF8382" w14:textId="77777777" w:rsidR="00501A0E" w:rsidRDefault="00501A0E" w:rsidP="0087031A">
      <w:pPr>
        <w:tabs>
          <w:tab w:val="left" w:pos="142"/>
          <w:tab w:val="left" w:pos="284"/>
        </w:tabs>
        <w:spacing w:after="0" w:line="276" w:lineRule="auto"/>
        <w:jc w:val="both"/>
        <w:rPr>
          <w:rFonts w:ascii="Verdana" w:eastAsia="Century Gothic" w:hAnsi="Verdana" w:cs="Century Gothic"/>
          <w:b/>
          <w:bCs/>
          <w:lang w:val="es-ES"/>
        </w:rPr>
      </w:pPr>
    </w:p>
    <w:p w14:paraId="600938D4" w14:textId="77777777" w:rsidR="00501A0E" w:rsidRDefault="00501A0E" w:rsidP="0087031A">
      <w:pPr>
        <w:tabs>
          <w:tab w:val="left" w:pos="142"/>
          <w:tab w:val="left" w:pos="284"/>
        </w:tabs>
        <w:spacing w:after="0" w:line="276" w:lineRule="auto"/>
        <w:jc w:val="both"/>
        <w:rPr>
          <w:rFonts w:ascii="Verdana" w:eastAsia="Century Gothic" w:hAnsi="Verdana" w:cs="Century Gothic"/>
          <w:b/>
          <w:bCs/>
          <w:lang w:val="es-ES"/>
        </w:rPr>
      </w:pPr>
    </w:p>
    <w:p w14:paraId="43DE775E" w14:textId="77777777" w:rsidR="0087031A" w:rsidRPr="00593A5F" w:rsidRDefault="0087031A" w:rsidP="008703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2948E72" w14:textId="77777777" w:rsidR="00E1324D" w:rsidRDefault="00E1324D" w:rsidP="00E1324D">
      <w:pPr>
        <w:spacing w:after="0" w:line="276" w:lineRule="auto"/>
        <w:ind w:firstLine="708"/>
        <w:jc w:val="both"/>
        <w:rPr>
          <w:rFonts w:ascii="Verdana" w:eastAsia="Calibri" w:hAnsi="Verdana" w:cs="Arial"/>
          <w:color w:val="000000" w:themeColor="text1"/>
        </w:rPr>
      </w:pPr>
    </w:p>
    <w:p w14:paraId="70DA9956" w14:textId="77777777" w:rsidR="00DE6F00" w:rsidRPr="004977A2" w:rsidRDefault="00DE6F00" w:rsidP="00501A0E">
      <w:pPr>
        <w:spacing w:after="0" w:line="276" w:lineRule="auto"/>
        <w:ind w:firstLine="708"/>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En primer lugar, respecto a la naturaleza jurídica de las Cajas de Compensación Familiar, es pertinente mencionar que el Libro Segundo del Código de Comercio no incluyó a las corporaciones o asociaciones ni a las fundaciones, esto es, a las entidades sin ánimo de lucro, en adelante ESAL, en la enumeración de las sociedades comerciales. La razón de la exclusión, a criterio de esta Agencia, es obvia: estas organizaciones no tienen fines comerciales, es decir, carecen de ánimo de lucro, por eso no forman un tipo o clase de sociedad comercial</w:t>
      </w:r>
      <w:r w:rsidRPr="004977A2">
        <w:rPr>
          <w:rFonts w:ascii="Verdana" w:eastAsia="Calibri" w:hAnsi="Verdana" w:cs="Arial"/>
          <w:kern w:val="2"/>
          <w:vertAlign w:val="superscript"/>
          <w14:ligatures w14:val="standardContextual"/>
        </w:rPr>
        <w:footnoteReference w:id="1"/>
      </w:r>
      <w:r w:rsidRPr="004977A2">
        <w:rPr>
          <w:rFonts w:ascii="Verdana" w:eastAsia="Calibri" w:hAnsi="Verdana" w:cs="Arial"/>
          <w:kern w:val="2"/>
          <w14:ligatures w14:val="standardContextual"/>
        </w:rPr>
        <w:t>. La norma que regula este tipo de corporaciones o asociaciones es el Código Civil –entre otras normas que se armonizan con este–,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4977A2">
        <w:rPr>
          <w:rFonts w:ascii="Verdana" w:eastAsia="Calibri" w:hAnsi="Verdana" w:cs="Arial"/>
          <w:kern w:val="2"/>
          <w:vertAlign w:val="superscript"/>
          <w14:ligatures w14:val="standardContextual"/>
        </w:rPr>
        <w:footnoteReference w:id="2"/>
      </w:r>
      <w:r w:rsidRPr="004977A2">
        <w:rPr>
          <w:rFonts w:ascii="Verdana" w:eastAsia="Calibri" w:hAnsi="Verdana" w:cs="Arial"/>
          <w:kern w:val="2"/>
          <w14:ligatures w14:val="standardContextual"/>
        </w:rPr>
        <w:t>. La ausencia de ánimo de lucro es, entonces, la característica determinante de estas corporaciones u organizaciones, lo que explica su nombre y la diferencia fundamental con las sociedades comerciales.</w:t>
      </w:r>
    </w:p>
    <w:p w14:paraId="0D3962A5"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 xml:space="preserve">El inciso primero del artículo 98 del Código de Comercio señala que mediante el contrato de sociedad “dos o más personas se obligan a hacer un aporte en dinero, en trabajo o en otros bienes apreciables en dinero, </w:t>
      </w:r>
      <w:r w:rsidRPr="004977A2">
        <w:rPr>
          <w:rFonts w:ascii="Verdana" w:eastAsia="Calibri" w:hAnsi="Verdana" w:cs="Arial"/>
          <w:i/>
          <w:iCs/>
          <w:kern w:val="2"/>
          <w14:ligatures w14:val="standardContextual"/>
        </w:rPr>
        <w:t>con el fin de repartirse entre sí las utilidades obtenidas en la empresa o actividad social”</w:t>
      </w:r>
      <w:r w:rsidRPr="004977A2">
        <w:rPr>
          <w:rFonts w:ascii="Verdana" w:eastAsia="Calibri" w:hAnsi="Verdana" w:cs="Arial"/>
          <w:kern w:val="2"/>
          <w14:ligatures w14:val="standardContextual"/>
        </w:rPr>
        <w:t xml:space="preserve"> [Énfasis fuera de texto]. Así pues, para el caso de las ESAL no se admite el reparto de utilidades, ni durante la existencia de la organización ni cuando se extinga, aspecto en el que radica la diferencia más apreciable entre unas y otras organizaciones, pese a que ambas se crean con libertad y al amparo del derecho fundamental de asociación, previsto en el artículo 38 de la Constitución Política y otras normas contenidas en tratados internacionales suscritos por Colombia.</w:t>
      </w:r>
    </w:p>
    <w:p w14:paraId="6D8A04B8"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De conformidad con lo anterior, se desprende que dentro del grupo de asociaciones que conforman las ESAL están incluidas las Cajas de Compensación</w:t>
      </w:r>
      <w:r w:rsidRPr="004977A2">
        <w:rPr>
          <w:rFonts w:ascii="Verdana" w:eastAsia="Calibri" w:hAnsi="Verdana" w:cs="Arial"/>
          <w:kern w:val="2"/>
          <w:u w:val="single"/>
          <w14:ligatures w14:val="standardContextual"/>
        </w:rPr>
        <w:t xml:space="preserve"> </w:t>
      </w:r>
      <w:r w:rsidRPr="004977A2">
        <w:rPr>
          <w:rFonts w:ascii="Verdana" w:eastAsia="Calibri" w:hAnsi="Verdana" w:cs="Arial"/>
          <w:kern w:val="2"/>
          <w14:ligatures w14:val="standardContextual"/>
        </w:rPr>
        <w:t>Familiar, esto en razón a que, el artículo 39 de la Ley 21 de 1982 las define como “</w:t>
      </w:r>
      <w:r w:rsidRPr="004977A2">
        <w:rPr>
          <w:rFonts w:ascii="Verdana" w:eastAsia="Calibri" w:hAnsi="Verdana" w:cs="Arial"/>
          <w:i/>
          <w:iCs/>
          <w:kern w:val="2"/>
          <w14:ligatures w14:val="standardContextual"/>
        </w:rPr>
        <w:t>personas jurídicas de derecho privado sin ánimo de lucro, organizadas como corporaciones en la forma prevista en el Código Civil,</w:t>
      </w:r>
      <w:r w:rsidRPr="004977A2">
        <w:rPr>
          <w:rFonts w:ascii="Verdana" w:eastAsia="Calibri" w:hAnsi="Verdana" w:cs="Arial"/>
          <w:kern w:val="2"/>
          <w14:ligatures w14:val="standardContextual"/>
        </w:rPr>
        <w:t xml:space="preserve"> cumplen funciones de seguridad social y se hallan sometidas al control y vigilancia del Estado en la forma establecida por la ley”. </w:t>
      </w:r>
    </w:p>
    <w:p w14:paraId="62E3EA32"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 xml:space="preserve">La Corte Constitucional en Sentencia C-429 de 2019, señaló que “las Cajas de Compensación Familiar son entes jurídicos de naturaleza especialísima que </w:t>
      </w:r>
      <w:r w:rsidRPr="004977A2">
        <w:rPr>
          <w:rFonts w:ascii="Verdana" w:eastAsia="Calibri" w:hAnsi="Verdana" w:cs="Arial"/>
          <w:i/>
          <w:iCs/>
          <w:kern w:val="2"/>
          <w14:ligatures w14:val="standardContextual"/>
        </w:rPr>
        <w:t>no ejercen funciones públicas</w:t>
      </w:r>
      <w:r w:rsidRPr="004977A2">
        <w:rPr>
          <w:rFonts w:ascii="Verdana" w:eastAsia="Calibri" w:hAnsi="Verdana" w:cs="Arial"/>
          <w:kern w:val="2"/>
          <w14:ligatures w14:val="standardContextual"/>
        </w:rPr>
        <w:t xml:space="preserve">, sino que </w:t>
      </w:r>
      <w:r w:rsidRPr="004977A2">
        <w:rPr>
          <w:rFonts w:ascii="Verdana" w:eastAsia="Calibri" w:hAnsi="Verdana" w:cs="Arial"/>
          <w:i/>
          <w:iCs/>
          <w:kern w:val="2"/>
          <w14:ligatures w14:val="standardContextual"/>
        </w:rPr>
        <w:t>desarrollan una función social</w:t>
      </w:r>
      <w:r w:rsidRPr="004977A2">
        <w:rPr>
          <w:rFonts w:ascii="Verdana" w:eastAsia="Calibri" w:hAnsi="Verdana" w:cs="Arial"/>
          <w:kern w:val="2"/>
          <w14:ligatures w14:val="standardContextual"/>
        </w:rPr>
        <w:t xml:space="preserve">, pues se trata de actores privados que participan en la economía e intervienen en el servicio público de seguridad social e incluso, en algunos casos, pueden participar en su prestación, como ocurre con la participación que tienen en el sector salud”. </w:t>
      </w:r>
    </w:p>
    <w:p w14:paraId="5C9C7AF8"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 xml:space="preserve">En consecuencia, según lo dispuesto en el artículo 15 de la Ley 21 de 1982, el objeto principal de las Cajas de Compensación Familiar es el de recaudar y gestionar la aplicación de los aportes al </w:t>
      </w:r>
      <w:r w:rsidRPr="004977A2">
        <w:rPr>
          <w:rFonts w:ascii="Verdana" w:eastAsia="Calibri" w:hAnsi="Verdana" w:cs="Arial"/>
          <w:i/>
          <w:iCs/>
          <w:kern w:val="2"/>
          <w14:ligatures w14:val="standardContextual"/>
        </w:rPr>
        <w:t>subsidio familiar</w:t>
      </w:r>
      <w:r w:rsidRPr="004977A2">
        <w:rPr>
          <w:rFonts w:ascii="Verdana" w:eastAsia="Calibri" w:hAnsi="Verdana" w:cs="Arial"/>
          <w:kern w:val="2"/>
          <w14:ligatures w14:val="standardContextual"/>
        </w:rPr>
        <w:t xml:space="preserve"> que debe pagar todo empleador. La Sala de Consulta y Servicio Civil del Consejo de Estado, mediante Concepto 1763 del 15 de agosto de 2006 realizó las siguientes precisiones sobre las Cajas de Compensación Familiar: </w:t>
      </w:r>
    </w:p>
    <w:p w14:paraId="7A267121" w14:textId="77777777" w:rsidR="00DE6F00" w:rsidRPr="004977A2" w:rsidRDefault="00DE6F00" w:rsidP="00DE6F00">
      <w:pPr>
        <w:spacing w:after="0" w:line="276" w:lineRule="auto"/>
        <w:jc w:val="both"/>
        <w:rPr>
          <w:rFonts w:ascii="Verdana" w:eastAsia="Calibri" w:hAnsi="Verdana" w:cs="Arial"/>
          <w:kern w:val="2"/>
          <w14:ligatures w14:val="standardContextual"/>
        </w:rPr>
      </w:pPr>
    </w:p>
    <w:p w14:paraId="2FCEF48D" w14:textId="77777777" w:rsidR="00DE6F00" w:rsidRPr="00DC1A3B" w:rsidRDefault="00DE6F00" w:rsidP="00DE6F00">
      <w:pPr>
        <w:spacing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“Las Cajas de Compensación Familiar nacen paralelamente con el sistema de subsidio familiar, que en un principio se concibió como fruto de la libertad de los patronos o del acuerdo entre éstos y sus trabajadores.</w:t>
      </w:r>
    </w:p>
    <w:p w14:paraId="31889EEA" w14:textId="77777777" w:rsidR="00DE6F00" w:rsidRPr="00DC1A3B" w:rsidRDefault="00DE6F00" w:rsidP="00DE6F00">
      <w:pPr>
        <w:spacing w:before="120"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w:t>
      </w:r>
    </w:p>
    <w:p w14:paraId="61453ABE" w14:textId="77777777" w:rsidR="00DE6F00" w:rsidRPr="00DC1A3B" w:rsidRDefault="00DE6F00" w:rsidP="00DE6F00">
      <w:pPr>
        <w:spacing w:before="120"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 a partir del decreto 118 de 1957, las Cajas de Compensación Familiar se conformaron como corporaciones de acuerdo con lo dispuesto en el Código Civil, con personería jurídica, cuya creación dependía de la voluntad de asociación de los empleadores.</w:t>
      </w:r>
    </w:p>
    <w:p w14:paraId="37EB6CA8" w14:textId="77777777" w:rsidR="00DE6F00" w:rsidRPr="00DC1A3B" w:rsidRDefault="00DE6F00" w:rsidP="00DE6F00">
      <w:pPr>
        <w:spacing w:before="120"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Sin embargo, fue mediante la ley 21 de 1982, por la cual se modificó el régimen del subsidio familiar, que el legislador definió el subsidio familiar como una prestación social de obligatorio pago a través de las Cajas de Compensación Familiar, por parte de todos los empleadores del sector público o privado que tuvieran uno o más trabajadores de carácter permanente […].</w:t>
      </w:r>
    </w:p>
    <w:p w14:paraId="5DB43681" w14:textId="77777777" w:rsidR="00DE6F00" w:rsidRPr="00DC1A3B" w:rsidRDefault="00DE6F00" w:rsidP="00DE6F00">
      <w:pPr>
        <w:spacing w:before="120"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w:t>
      </w:r>
    </w:p>
    <w:p w14:paraId="659BEC05" w14:textId="77777777" w:rsidR="00DE6F00" w:rsidRPr="00DC1A3B" w:rsidRDefault="00DE6F00" w:rsidP="00DE6F00">
      <w:pPr>
        <w:spacing w:before="120" w:after="0" w:line="240" w:lineRule="auto"/>
        <w:ind w:left="709" w:right="709"/>
        <w:jc w:val="both"/>
        <w:rPr>
          <w:rFonts w:ascii="Verdana" w:eastAsia="Calibri" w:hAnsi="Verdana" w:cs="Arial"/>
          <w:b/>
          <w:bCs/>
          <w:kern w:val="2"/>
          <w:sz w:val="20"/>
          <w:szCs w:val="20"/>
          <w14:ligatures w14:val="standardContextual"/>
        </w:rPr>
      </w:pPr>
      <w:r w:rsidRPr="00DC1A3B">
        <w:rPr>
          <w:rFonts w:ascii="Verdana" w:eastAsia="Calibri" w:hAnsi="Verdana" w:cs="Arial"/>
          <w:kern w:val="2"/>
          <w:sz w:val="20"/>
          <w:szCs w:val="20"/>
          <w14:ligatures w14:val="standardContextual"/>
        </w:rPr>
        <w:t>En cuanto al ámbito funcional de las Cajas, es importante señalar que el artículo 41 de la ley 21, les asignó atribuciones relativas al recaudo, distribución y pago de los aportes destinados al subsidio familiar</w:t>
      </w:r>
      <w:r w:rsidRPr="00DC1A3B">
        <w:rPr>
          <w:rFonts w:ascii="Verdana" w:eastAsia="Calibri" w:hAnsi="Verdana" w:cs="Arial"/>
          <w:b/>
          <w:bCs/>
          <w:kern w:val="2"/>
          <w:sz w:val="20"/>
          <w:szCs w:val="20"/>
          <w14:ligatures w14:val="standardContextual"/>
        </w:rPr>
        <w:t xml:space="preserve">, </w:t>
      </w:r>
      <w:r w:rsidRPr="00DC1A3B">
        <w:rPr>
          <w:rFonts w:ascii="Verdana" w:eastAsia="Calibri" w:hAnsi="Verdana" w:cs="Arial"/>
          <w:kern w:val="2"/>
          <w:sz w:val="20"/>
          <w:szCs w:val="20"/>
          <w14:ligatures w14:val="standardContextual"/>
        </w:rPr>
        <w:t xml:space="preserve">Servicio Nacional de Aprendizaje (SENA), Escuela Superior de Administración Pública (ESAP), escuelas industriales etc, lo que significa que desde aquel entonces y actualmente en los términos del artículo 3° de la ley 610 de 2000, estos entes realizan </w:t>
      </w:r>
      <w:r w:rsidRPr="00DC1A3B">
        <w:rPr>
          <w:rFonts w:ascii="Verdana" w:eastAsia="Calibri" w:hAnsi="Verdana" w:cs="Arial"/>
          <w:i/>
          <w:iCs/>
          <w:kern w:val="2"/>
          <w:sz w:val="20"/>
          <w:szCs w:val="20"/>
          <w14:ligatures w14:val="standardContextual"/>
        </w:rPr>
        <w:t xml:space="preserve">gestión fiscal </w:t>
      </w:r>
      <w:r w:rsidRPr="00DC1A3B">
        <w:rPr>
          <w:rFonts w:ascii="Verdana" w:eastAsia="Calibri" w:hAnsi="Verdana" w:cs="Arial"/>
          <w:kern w:val="2"/>
          <w:sz w:val="20"/>
          <w:szCs w:val="20"/>
          <w14:ligatures w14:val="standardContextual"/>
        </w:rPr>
        <w:t>sobre los recursos del subsidio familiar.”.</w:t>
      </w:r>
    </w:p>
    <w:p w14:paraId="29BA7102"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p>
    <w:p w14:paraId="708E107F" w14:textId="77777777" w:rsidR="00DE6F00" w:rsidRPr="004977A2" w:rsidRDefault="00DE6F00" w:rsidP="00DE6F00">
      <w:pPr>
        <w:spacing w:after="0" w:line="276" w:lineRule="auto"/>
        <w:ind w:firstLine="708"/>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Ahora bien, el Consejo de Estado sobre la naturaleza de los aportes que reciben dichas Cajas en su calidad de administradoras del subsidio familiar, enfatizó que la legislación y la jurisprudencia le han otorgado la calidad de recursos parafiscales</w:t>
      </w:r>
      <w:r w:rsidRPr="004977A2">
        <w:rPr>
          <w:rFonts w:ascii="Verdana" w:eastAsia="Calibri" w:hAnsi="Verdana" w:cs="Arial"/>
          <w:kern w:val="2"/>
          <w:vertAlign w:val="superscript"/>
          <w14:ligatures w14:val="standardContextual"/>
        </w:rPr>
        <w:footnoteReference w:id="3"/>
      </w:r>
      <w:r w:rsidRPr="004977A2">
        <w:rPr>
          <w:rFonts w:ascii="Verdana" w:eastAsia="Calibri" w:hAnsi="Verdana" w:cs="Arial"/>
          <w:kern w:val="2"/>
          <w14:ligatures w14:val="standardContextual"/>
        </w:rPr>
        <w:t>. Apreciación, que se confirma con lo dispuesto en el artículo 2.2.7.5.3.2 del Decreto 1072 de 2015 –Decreto Único Reglamentario del Sector Trabajo– que señaló:</w:t>
      </w:r>
    </w:p>
    <w:p w14:paraId="151BCFE0" w14:textId="77777777" w:rsidR="00DE6F00" w:rsidRPr="004977A2" w:rsidRDefault="00DE6F00" w:rsidP="00DE6F00">
      <w:pPr>
        <w:spacing w:after="0" w:line="276" w:lineRule="auto"/>
        <w:jc w:val="both"/>
        <w:rPr>
          <w:rFonts w:ascii="Verdana" w:eastAsia="Calibri" w:hAnsi="Verdana" w:cs="Arial"/>
          <w:kern w:val="2"/>
          <w14:ligatures w14:val="standardContextual"/>
        </w:rPr>
      </w:pPr>
    </w:p>
    <w:p w14:paraId="6702820A" w14:textId="77777777" w:rsidR="00DE6F00" w:rsidRPr="00DC1A3B" w:rsidRDefault="00DE6F00" w:rsidP="00DE6F00">
      <w:pPr>
        <w:spacing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“Artículo 2.2.7.5.3.2. Afectación de los recursos administrados por las cajas de compensación familiar. Los recursos que administran las Cajas de Compensación Familiar están destinados a la atención de las prestaciones y servicios de la seguridad social y demás finalidades que prevea la ley y no podrán comprometerse para fines diferentes.</w:t>
      </w:r>
    </w:p>
    <w:p w14:paraId="6643A647" w14:textId="77777777" w:rsidR="00DE6F00" w:rsidRPr="00DC1A3B" w:rsidRDefault="00DE6F00" w:rsidP="00DE6F00">
      <w:pPr>
        <w:spacing w:before="120"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i/>
          <w:iCs/>
          <w:kern w:val="2"/>
          <w:sz w:val="20"/>
          <w:szCs w:val="20"/>
          <w14:ligatures w14:val="standardContextual"/>
        </w:rPr>
        <w:t>Los que provengan de los aportes obligatorios pagados por los empleadores y por las cooperativas de trabajo asociado tienen la condición de recursos parafiscales y como tales, su administración se rige por las disposiciones legales correspondientes.</w:t>
      </w:r>
      <w:r w:rsidRPr="00DC1A3B">
        <w:rPr>
          <w:rFonts w:ascii="Verdana" w:eastAsia="Calibri" w:hAnsi="Verdana" w:cs="Arial"/>
          <w:b/>
          <w:bCs/>
          <w:i/>
          <w:iCs/>
          <w:kern w:val="2"/>
          <w:sz w:val="20"/>
          <w:szCs w:val="20"/>
          <w14:ligatures w14:val="standardContextual"/>
        </w:rPr>
        <w:t xml:space="preserve"> </w:t>
      </w:r>
      <w:r w:rsidRPr="00DC1A3B">
        <w:rPr>
          <w:rFonts w:ascii="Verdana" w:eastAsia="Calibri" w:hAnsi="Verdana" w:cs="Arial"/>
          <w:kern w:val="2"/>
          <w:sz w:val="20"/>
          <w:szCs w:val="20"/>
          <w14:ligatures w14:val="standardContextual"/>
        </w:rPr>
        <w:t xml:space="preserve">[…]” </w:t>
      </w:r>
    </w:p>
    <w:p w14:paraId="4C4EDA2B" w14:textId="77777777" w:rsidR="00DE6F00" w:rsidRPr="004977A2" w:rsidRDefault="00DE6F00" w:rsidP="00DE6F00">
      <w:pPr>
        <w:spacing w:after="0" w:line="276" w:lineRule="auto"/>
        <w:jc w:val="both"/>
        <w:rPr>
          <w:rFonts w:ascii="Verdana" w:eastAsia="Calibri" w:hAnsi="Verdana" w:cs="Arial"/>
          <w:kern w:val="2"/>
          <w14:ligatures w14:val="standardContextual"/>
        </w:rPr>
      </w:pPr>
    </w:p>
    <w:p w14:paraId="08147E70" w14:textId="77777777" w:rsidR="00DE6F00" w:rsidRPr="004977A2" w:rsidRDefault="00DE6F00" w:rsidP="00DE6F00">
      <w:pPr>
        <w:spacing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En ese orden, para el Consejo de Estado, los recursos de carácter parafiscal que administran las Cajas de Compensación Familiar son de naturaleza pública, en tanto constituyen una fuente de financiación que el Estado consagra en beneficio de un sector, aunque desde la perspectiva presupuestal no integran el Presupuesto General de la Nación</w:t>
      </w:r>
      <w:r w:rsidRPr="004977A2">
        <w:rPr>
          <w:rFonts w:ascii="Verdana" w:eastAsia="Times New Roman" w:hAnsi="Verdana" w:cs="Arial"/>
          <w:i/>
          <w:vertAlign w:val="superscript"/>
          <w:lang w:val="es-ES" w:eastAsia="es-ES"/>
        </w:rPr>
        <w:footnoteReference w:id="4"/>
      </w:r>
      <w:r w:rsidRPr="004977A2">
        <w:rPr>
          <w:rFonts w:ascii="Verdana" w:eastAsia="Times New Roman" w:hAnsi="Verdana" w:cs="Arial"/>
          <w:i/>
          <w:lang w:val="es-ES" w:eastAsia="es-ES"/>
        </w:rPr>
        <w:t>.</w:t>
      </w:r>
    </w:p>
    <w:p w14:paraId="154347DC"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Teniendo en cuenta la función principal que desempeñan las Cajas de Compensación Familiar y la naturaleza de los recursos que administran, a continuación, se analizará el deber de publicar su actividad contractual en SECOP de estas entidades.</w:t>
      </w:r>
    </w:p>
    <w:p w14:paraId="51288D1A" w14:textId="77777777" w:rsidR="00DE6F00" w:rsidRPr="004977A2" w:rsidRDefault="00DE6F00" w:rsidP="00DE6F00">
      <w:pPr>
        <w:spacing w:after="0" w:line="276" w:lineRule="auto"/>
        <w:jc w:val="both"/>
        <w:rPr>
          <w:rFonts w:ascii="Verdana" w:eastAsia="Calibri" w:hAnsi="Verdana" w:cs="Arial"/>
          <w:b/>
          <w:lang w:val="es-MX"/>
        </w:rPr>
      </w:pPr>
    </w:p>
    <w:p w14:paraId="1BB9F18B" w14:textId="77777777" w:rsidR="00DE6F00" w:rsidRPr="004977A2" w:rsidRDefault="00DE6F00" w:rsidP="00501A0E">
      <w:pPr>
        <w:spacing w:after="0" w:line="276" w:lineRule="auto"/>
        <w:ind w:firstLine="708"/>
        <w:jc w:val="both"/>
        <w:rPr>
          <w:rFonts w:ascii="Verdana" w:eastAsia="Calibri" w:hAnsi="Verdana" w:cs="Arial"/>
          <w:kern w:val="2"/>
          <w:lang w:val="es-ES_tradnl"/>
          <w14:ligatures w14:val="standardContextual"/>
        </w:rPr>
      </w:pPr>
      <w:r w:rsidRPr="004977A2">
        <w:rPr>
          <w:rFonts w:ascii="Verdana" w:eastAsia="Calibri" w:hAnsi="Verdana" w:cs="Arial"/>
          <w:kern w:val="2"/>
          <w14:ligatures w14:val="standardContextual"/>
        </w:rPr>
        <w:t xml:space="preserve">Uno de los postulados más importantes del Estado Social y Democrático de Derecho es el principio de </w:t>
      </w:r>
      <w:r w:rsidRPr="004977A2">
        <w:rPr>
          <w:rFonts w:ascii="Verdana" w:eastAsia="Calibri" w:hAnsi="Verdana" w:cs="Arial"/>
          <w:i/>
          <w:iCs/>
          <w:kern w:val="2"/>
          <w14:ligatures w14:val="standardContextual"/>
        </w:rPr>
        <w:t xml:space="preserve">publicidad, </w:t>
      </w:r>
      <w:r w:rsidRPr="004977A2">
        <w:rPr>
          <w:rFonts w:ascii="Verdana" w:eastAsia="Calibri" w:hAnsi="Verdana" w:cs="Arial"/>
          <w:kern w:val="2"/>
          <w14:ligatures w14:val="standardContextual"/>
        </w:rPr>
        <w:t>pues este permite que las actuaciones de las autoridades gocen de visibilidad. En tal sentido, la filosofía política explica que la democracia “[…] es idealmente el gobierno de un poder visible, es decir, el gobierno cuyos actos se realizan ante el público y bajo la supervisión de la opinión pública</w:t>
      </w:r>
      <w:r w:rsidRPr="004977A2">
        <w:rPr>
          <w:rFonts w:ascii="Verdana" w:eastAsia="Calibri" w:hAnsi="Verdana" w:cs="Arial"/>
          <w:kern w:val="2"/>
          <w:vertAlign w:val="superscript"/>
          <w:lang w:val="es-ES_tradnl"/>
          <w14:ligatures w14:val="standardContextual"/>
        </w:rPr>
        <w:footnoteReference w:id="5"/>
      </w:r>
      <w:r w:rsidRPr="004977A2">
        <w:rPr>
          <w:rFonts w:ascii="Verdana" w:eastAsia="Calibri" w:hAnsi="Verdana" w:cs="Arial"/>
          <w:kern w:val="2"/>
          <w14:ligatures w14:val="standardContextual"/>
        </w:rPr>
        <w:t>”</w:t>
      </w:r>
      <w:r w:rsidRPr="004977A2">
        <w:rPr>
          <w:rFonts w:ascii="Verdana" w:eastAsia="Calibri" w:hAnsi="Verdana" w:cs="Arial"/>
          <w:kern w:val="2"/>
          <w:lang w:val="es-ES_tradnl"/>
          <w14:ligatures w14:val="standardContextual"/>
        </w:rPr>
        <w:t>. El secreto generalizado en el ejercicio del poder político constituye, por el contrario, una negación de la democracia, porque dificulta la supervisión de las autoridades por parte de la sociedad civil y establece una barrera para la participación ciudadana.</w:t>
      </w:r>
    </w:p>
    <w:p w14:paraId="477425D5"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Inspirada en esta concepción axiológica, la Constitución Política de 1991 consagra en varios artículos la publicidad como un principio rector del Estado Colombiano. Entre los más destacados, puede mencionarse el artículo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 En tal perspectiva, la Corte Constitucional ha señalado que el principio de publicidad es la garantía que tienen las personas de conocer las actuaciones judiciales y administrativas. De este modo, explica:</w:t>
      </w:r>
    </w:p>
    <w:p w14:paraId="4DDC2908" w14:textId="77777777" w:rsidR="00DE6F00" w:rsidRPr="004977A2" w:rsidRDefault="00DE6F00" w:rsidP="00DE6F00">
      <w:pPr>
        <w:spacing w:after="0" w:line="276" w:lineRule="auto"/>
        <w:jc w:val="both"/>
        <w:rPr>
          <w:rFonts w:ascii="Verdana" w:eastAsia="Calibri" w:hAnsi="Verdana" w:cs="Arial"/>
          <w:kern w:val="2"/>
          <w14:ligatures w14:val="standardContextual"/>
        </w:rPr>
      </w:pPr>
    </w:p>
    <w:p w14:paraId="121EEAC8" w14:textId="77777777" w:rsidR="00DE6F00" w:rsidRPr="00DC1A3B" w:rsidRDefault="00DE6F00" w:rsidP="00DE6F00">
      <w:pPr>
        <w:spacing w:after="0" w:line="240" w:lineRule="auto"/>
        <w:ind w:left="709" w:right="709"/>
        <w:jc w:val="both"/>
        <w:rPr>
          <w:rFonts w:ascii="Verdana" w:eastAsia="Calibri" w:hAnsi="Verdana" w:cs="Arial"/>
          <w:kern w:val="2"/>
          <w:sz w:val="20"/>
          <w:szCs w:val="20"/>
          <w14:ligatures w14:val="standardContextual"/>
        </w:rPr>
      </w:pPr>
      <w:r w:rsidRPr="00DC1A3B">
        <w:rPr>
          <w:rFonts w:ascii="Verdana" w:eastAsia="Calibri" w:hAnsi="Verdana" w:cs="Arial"/>
          <w:kern w:val="2"/>
          <w:sz w:val="20"/>
          <w:szCs w:val="20"/>
          <w14:ligatures w14:val="standardContextual"/>
        </w:rPr>
        <w:t>“El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w:t>
      </w:r>
    </w:p>
    <w:p w14:paraId="4721AA16" w14:textId="77777777" w:rsidR="00DE6F00" w:rsidRDefault="00DE6F00" w:rsidP="00DE6F00">
      <w:pPr>
        <w:spacing w:before="120" w:after="0" w:line="240" w:lineRule="auto"/>
        <w:ind w:left="709" w:right="709"/>
        <w:jc w:val="both"/>
        <w:rPr>
          <w:rFonts w:ascii="Verdana" w:eastAsia="Calibri" w:hAnsi="Verdana" w:cs="Arial"/>
          <w:kern w:val="2"/>
          <w:sz w:val="20"/>
          <w:szCs w:val="20"/>
          <w:lang w:val="es-ES_tradnl"/>
          <w14:ligatures w14:val="standardContextual"/>
        </w:rPr>
      </w:pPr>
      <w:r w:rsidRPr="00DC1A3B">
        <w:rPr>
          <w:rFonts w:ascii="Verdana" w:eastAsia="Calibri" w:hAnsi="Verdana" w:cs="Arial"/>
          <w:kern w:val="2"/>
          <w:sz w:val="20"/>
          <w:szCs w:val="20"/>
          <w14:ligatures w14:val="standardContextual"/>
        </w:rPr>
        <w:t>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autoridades públicas y, a través de ese conocimiento, a exigir que ellas se surtan conforme a la ley</w:t>
      </w:r>
      <w:r w:rsidRPr="00DC1A3B">
        <w:rPr>
          <w:rFonts w:ascii="Verdana" w:eastAsia="Calibri" w:hAnsi="Verdana" w:cs="Arial"/>
          <w:kern w:val="2"/>
          <w:sz w:val="20"/>
          <w:szCs w:val="20"/>
          <w:vertAlign w:val="superscript"/>
          <w:lang w:val="es-ES_tradnl"/>
          <w14:ligatures w14:val="standardContextual"/>
        </w:rPr>
        <w:footnoteReference w:id="6"/>
      </w:r>
      <w:r w:rsidRPr="00DC1A3B">
        <w:rPr>
          <w:rFonts w:ascii="Verdana" w:eastAsia="Calibri" w:hAnsi="Verdana" w:cs="Arial"/>
          <w:kern w:val="2"/>
          <w:sz w:val="20"/>
          <w:szCs w:val="20"/>
          <w14:ligatures w14:val="standardContextual"/>
        </w:rPr>
        <w:t>”</w:t>
      </w:r>
      <w:r w:rsidRPr="00DC1A3B">
        <w:rPr>
          <w:rFonts w:ascii="Verdana" w:eastAsia="Calibri" w:hAnsi="Verdana" w:cs="Arial"/>
          <w:kern w:val="2"/>
          <w:sz w:val="20"/>
          <w:szCs w:val="20"/>
          <w:lang w:val="es-ES_tradnl"/>
          <w14:ligatures w14:val="standardContextual"/>
        </w:rPr>
        <w:t>.</w:t>
      </w:r>
    </w:p>
    <w:p w14:paraId="19298D30" w14:textId="77777777" w:rsidR="00501A0E" w:rsidRPr="00DC1A3B" w:rsidRDefault="00501A0E" w:rsidP="00DE6F00">
      <w:pPr>
        <w:spacing w:before="120" w:after="0" w:line="240" w:lineRule="auto"/>
        <w:ind w:left="709" w:right="709"/>
        <w:jc w:val="both"/>
        <w:rPr>
          <w:rFonts w:ascii="Verdana" w:eastAsia="Calibri" w:hAnsi="Verdana" w:cs="Arial"/>
          <w:kern w:val="2"/>
          <w:sz w:val="20"/>
          <w:szCs w:val="20"/>
          <w14:ligatures w14:val="standardContextual"/>
        </w:rPr>
      </w:pPr>
    </w:p>
    <w:p w14:paraId="7186E701" w14:textId="77777777" w:rsidR="00DE6F00" w:rsidRPr="004977A2" w:rsidRDefault="00DE6F00" w:rsidP="00DE6F00">
      <w:pPr>
        <w:spacing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El principio de publicidad impone a las autoridades el deber de dar a conocer sus actos, contratos y decisiones, para que se divulguen y eventualmente se controlen dichas actuaciones. Es por eso que, en la contratación estatal, el literal c), del artículo 3, de la Ley 1150 de 2007 establece el Sistema Electrónico para la Contratación Pública –SECOP– como un mecanismo que “contará con la información oficial de la contratación realizada con dineros públicos, para lo cual establecerá los patrones a que haya lugar y se encargará de su difusión a través de canales electrónicos</w:t>
      </w:r>
      <w:r w:rsidRPr="004977A2">
        <w:rPr>
          <w:rFonts w:ascii="Verdana" w:eastAsia="Calibri" w:hAnsi="Verdana" w:cs="Arial"/>
          <w:lang w:val="es-ES_tradnl"/>
        </w:rPr>
        <w:t>”</w:t>
      </w:r>
      <w:r w:rsidRPr="004977A2">
        <w:rPr>
          <w:rFonts w:ascii="Verdana" w:eastAsia="Calibri" w:hAnsi="Verdana" w:cs="Arial"/>
          <w:vertAlign w:val="superscript"/>
          <w:lang w:val="es-ES_tradnl"/>
        </w:rPr>
        <w:footnoteReference w:id="7"/>
      </w:r>
      <w:r w:rsidRPr="004977A2">
        <w:rPr>
          <w:rFonts w:ascii="Verdana" w:eastAsia="Calibri" w:hAnsi="Verdana" w:cs="Arial"/>
          <w:lang w:val="es-ES_tradnl"/>
        </w:rPr>
        <w:t>.</w:t>
      </w:r>
    </w:p>
    <w:p w14:paraId="5F590979"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4977A2">
        <w:rPr>
          <w:rFonts w:ascii="Verdana" w:eastAsia="Calibri" w:hAnsi="Verdana" w:cs="Arial"/>
          <w:vertAlign w:val="superscript"/>
          <w:lang w:val="es-ES_tradnl"/>
        </w:rPr>
        <w:footnoteReference w:id="8"/>
      </w:r>
      <w:r w:rsidRPr="004977A2">
        <w:rPr>
          <w:rFonts w:ascii="Verdana" w:eastAsia="Calibri" w:hAnsi="Verdana" w:cs="Arial"/>
          <w:lang w:val="es-ES_tradnl"/>
        </w:rPr>
        <w:t xml:space="preserve">. El principio de transparencia en la información alude al deber de los sujetos de proporcionar y facilitar el acceso a la misma en los términos más amplios posibles, y a través de los medios y procedimientos legales. En el artículo 5 de dicha ley, se incluye como se mencionó en el considerando 2.1 de este concepto, dentro de la lista de sujetos obligados a todas las entidades públicas y, además, en el literal c) a las personas naturales y jurídicas, públicas o privadas, que presten </w:t>
      </w:r>
      <w:r w:rsidRPr="004977A2">
        <w:rPr>
          <w:rFonts w:ascii="Verdana" w:eastAsia="Calibri" w:hAnsi="Verdana" w:cs="Arial"/>
          <w:i/>
          <w:iCs/>
          <w:lang w:val="es-ES_tradnl"/>
        </w:rPr>
        <w:t>función pública y servicios públicos</w:t>
      </w:r>
      <w:r w:rsidRPr="004977A2">
        <w:rPr>
          <w:rFonts w:ascii="Verdana" w:eastAsia="Calibri" w:hAnsi="Verdana" w:cs="Arial"/>
          <w:lang w:val="es-ES_tradnl"/>
        </w:rPr>
        <w:t xml:space="preserve"> respecto de la información directamente relacionada con la prestación del servicio público, adicionalmente, en el literal g) incluyó a las entidades que administren recursos de naturaleza u origen público</w:t>
      </w:r>
      <w:r w:rsidRPr="004977A2">
        <w:rPr>
          <w:rFonts w:ascii="Verdana" w:eastAsia="Calibri" w:hAnsi="Verdana" w:cs="Arial"/>
          <w:kern w:val="2"/>
          <w:vertAlign w:val="superscript"/>
          <w:lang w:val="es-ES_tradnl"/>
          <w14:ligatures w14:val="standardContextual"/>
        </w:rPr>
        <w:footnoteReference w:id="9"/>
      </w:r>
      <w:r w:rsidRPr="004977A2">
        <w:rPr>
          <w:rFonts w:ascii="Verdana" w:eastAsia="Calibri" w:hAnsi="Verdana" w:cs="Arial"/>
          <w:kern w:val="2"/>
          <w14:ligatures w14:val="standardContextual"/>
        </w:rPr>
        <w:t>.</w:t>
      </w:r>
    </w:p>
    <w:p w14:paraId="75CD4763" w14:textId="77777777" w:rsidR="00DE6F00" w:rsidRPr="004977A2" w:rsidRDefault="00DE6F00" w:rsidP="00DE6F00">
      <w:pPr>
        <w:spacing w:before="120" w:after="0" w:line="276" w:lineRule="auto"/>
        <w:jc w:val="both"/>
        <w:rPr>
          <w:rFonts w:ascii="Verdana" w:eastAsia="Calibri" w:hAnsi="Verdana" w:cs="Arial"/>
          <w:kern w:val="2"/>
          <w14:ligatures w14:val="standardContextual"/>
        </w:rPr>
      </w:pPr>
      <w:r w:rsidRPr="004977A2">
        <w:rPr>
          <w:rFonts w:ascii="Verdana" w:eastAsia="Calibri" w:hAnsi="Verdana" w:cs="Arial"/>
          <w:kern w:val="2"/>
          <w14:ligatures w14:val="standardContextual"/>
        </w:rPr>
        <w:tab/>
        <w:t>Uno de los deberes definidos en la Ley 1712 de 2014, que deben acatar los sujetos obligados, es publicar la información contractual en el SECOP. En efecto, el literal e) del artículo 9 señala que los sujetos obligados deben publicar la información relativo a su contratación. Así 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información esta, que también debe estar en el SECOP, adicionalmente el  Decreto 1081 de 2015</w:t>
      </w:r>
      <w:r w:rsidRPr="004977A2">
        <w:rPr>
          <w:rFonts w:ascii="Verdana" w:eastAsia="Calibri" w:hAnsi="Verdana" w:cs="Arial"/>
          <w:kern w:val="2"/>
          <w:vertAlign w:val="superscript"/>
          <w:lang w:val="es-ES_tradnl"/>
          <w14:ligatures w14:val="standardContextual"/>
        </w:rPr>
        <w:footnoteReference w:id="10"/>
      </w:r>
      <w:r w:rsidRPr="004977A2">
        <w:rPr>
          <w:rFonts w:ascii="Verdana" w:eastAsia="Calibri" w:hAnsi="Verdana" w:cs="Arial"/>
          <w:kern w:val="2"/>
          <w14:ligatures w14:val="standardContextual"/>
        </w:rPr>
        <w:t xml:space="preserve"> reglamentó la materia estableciendo que la información contractual de los sujetos obligados que </w:t>
      </w:r>
      <w:r w:rsidRPr="004977A2">
        <w:rPr>
          <w:rFonts w:ascii="Verdana" w:eastAsia="Calibri" w:hAnsi="Verdana" w:cs="Arial"/>
          <w:i/>
          <w:iCs/>
          <w:kern w:val="2"/>
          <w14:ligatures w14:val="standardContextual"/>
        </w:rPr>
        <w:t xml:space="preserve">“contratan con cargo a recursos públicos”, </w:t>
      </w:r>
      <w:r w:rsidRPr="004977A2">
        <w:rPr>
          <w:rFonts w:ascii="Verdana" w:eastAsia="Calibri" w:hAnsi="Verdana" w:cs="Arial"/>
          <w:kern w:val="2"/>
          <w14:ligatures w14:val="standardContextual"/>
        </w:rPr>
        <w:t xml:space="preserve">debe hacerse en el Sistema Electrónico para la Contratación Pública – SECOP–. </w:t>
      </w:r>
    </w:p>
    <w:p w14:paraId="08EBB54F" w14:textId="77777777" w:rsidR="00501A0E" w:rsidRDefault="00501A0E" w:rsidP="00DE6F00">
      <w:pPr>
        <w:spacing w:after="0" w:line="276" w:lineRule="auto"/>
        <w:ind w:firstLine="709"/>
        <w:contextualSpacing/>
        <w:jc w:val="both"/>
        <w:rPr>
          <w:rFonts w:ascii="Verdana" w:eastAsia="Calibri" w:hAnsi="Verdana" w:cs="Arial"/>
          <w:kern w:val="2"/>
          <w14:ligatures w14:val="standardContextual"/>
        </w:rPr>
      </w:pPr>
    </w:p>
    <w:p w14:paraId="193B6F94" w14:textId="6A1A2AE0" w:rsidR="00DE6F00" w:rsidRPr="004977A2" w:rsidRDefault="00DE6F00" w:rsidP="00DE6F00">
      <w:pPr>
        <w:spacing w:after="0" w:line="276" w:lineRule="auto"/>
        <w:ind w:firstLine="709"/>
        <w:contextualSpacing/>
        <w:jc w:val="both"/>
        <w:rPr>
          <w:rFonts w:ascii="Verdana" w:hAnsi="Verdana" w:cs="Arial"/>
        </w:rPr>
      </w:pPr>
      <w:r w:rsidRPr="004977A2">
        <w:rPr>
          <w:rFonts w:ascii="Verdana" w:eastAsia="Calibri" w:hAnsi="Verdana" w:cs="Arial"/>
          <w:kern w:val="2"/>
          <w14:ligatures w14:val="standardContextual"/>
        </w:rPr>
        <w:t xml:space="preserve">Ahora </w:t>
      </w:r>
      <w:bookmarkStart w:id="6" w:name="_Hlk109111930"/>
      <w:r w:rsidRPr="004977A2">
        <w:rPr>
          <w:rFonts w:ascii="Verdana" w:eastAsia="Calibri" w:hAnsi="Verdana" w:cs="Arial"/>
          <w:kern w:val="2"/>
          <w14:ligatures w14:val="standardContextual"/>
        </w:rPr>
        <w:t>bien, las</w:t>
      </w:r>
      <w:r w:rsidRPr="004977A2">
        <w:rPr>
          <w:rFonts w:ascii="Verdana" w:hAnsi="Verdana" w:cs="Arial"/>
        </w:rPr>
        <w:t xml:space="preserve"> disposiciones normativas anteriormente mencionadas fueron complementadas con la expedición de la Ley 2195 de 2022, </w:t>
      </w:r>
      <w:r w:rsidRPr="004977A2">
        <w:rPr>
          <w:rFonts w:ascii="Verdana" w:eastAsia="Calibri" w:hAnsi="Verdana" w:cs="Arial"/>
        </w:rPr>
        <w:t>“P</w:t>
      </w:r>
      <w:r w:rsidRPr="004977A2">
        <w:rPr>
          <w:rFonts w:ascii="Verdana" w:hAnsi="Verdana" w:cs="Arial"/>
        </w:rPr>
        <w:t>or medio de la cual se adoptan medidas en materia de transparencia, prevención y lucha contra la corrupción y se dictan otras disposiciones</w:t>
      </w:r>
      <w:r w:rsidRPr="004977A2">
        <w:rPr>
          <w:rFonts w:ascii="Verdana" w:eastAsia="Calibri" w:hAnsi="Verdana" w:cs="Arial"/>
        </w:rPr>
        <w:t>”</w:t>
      </w:r>
      <w:r w:rsidRPr="004977A2">
        <w:rPr>
          <w:rFonts w:ascii="Verdana" w:hAnsi="Verdana" w:cs="Arial"/>
        </w:rPr>
        <w:t xml:space="preserve">. </w:t>
      </w:r>
      <w:r w:rsidRPr="004977A2">
        <w:rPr>
          <w:rFonts w:ascii="Verdana" w:eastAsia="Calibri" w:hAnsi="Verdana" w:cs="Arial"/>
          <w:lang w:val="es-ES_tradnl" w:eastAsia="es-ES_tradnl"/>
        </w:rPr>
        <w:t>Según el artículo 1, esta Ley “</w:t>
      </w:r>
      <w:r w:rsidRPr="004977A2">
        <w:rPr>
          <w:rFonts w:ascii="Verdana" w:eastAsia="Times New Roman" w:hAnsi="Verdana" w:cs="Arial"/>
          <w:lang w:val="es-ES_tradnl" w:eastAsia="es-ES_tradnl"/>
        </w:rPr>
        <w:t xml:space="preserve">[…] </w:t>
      </w:r>
      <w:r w:rsidRPr="004977A2">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Dentro del capítulo VIII de la mencionada Ley, que lleva por título “Disposiciones en materia contractual para la moralización y la transparencia”, se ubica </w:t>
      </w:r>
      <w:r w:rsidRPr="004977A2">
        <w:rPr>
          <w:rFonts w:ascii="Verdana" w:hAnsi="Verdana" w:cs="Arial"/>
        </w:rPr>
        <w:t xml:space="preserve">el artículo 53, mediante el cual se adiciona el artículo 13 de la Ley 1150 de 2007. La referida disposición les asigna a las entidades estatales que por disposición legal cuenten con un régimen contractual excepcional al del Estatuto General de Contratación de la Administración Pública – en adelante EGCAP, la obligación de publicar los documentos relacionados con su actividad contractual en el Sistema Electrónico para la Contratación Pública –SECOP II– o la plataforma transaccional que haga sus veces. </w:t>
      </w:r>
      <w:bookmarkEnd w:id="6"/>
      <w:r w:rsidRPr="004977A2">
        <w:rPr>
          <w:rFonts w:ascii="Verdana" w:hAnsi="Verdana" w:cs="Arial"/>
        </w:rPr>
        <w:t>Al respecto, la norma citada, de manera expresa, señala:</w:t>
      </w:r>
    </w:p>
    <w:p w14:paraId="1834312C" w14:textId="77777777" w:rsidR="00DE6F00" w:rsidRPr="004977A2" w:rsidRDefault="00DE6F00" w:rsidP="00DE6F00">
      <w:pPr>
        <w:spacing w:after="0" w:line="276" w:lineRule="auto"/>
        <w:ind w:firstLine="301"/>
        <w:contextualSpacing/>
        <w:rPr>
          <w:rFonts w:ascii="Verdana" w:hAnsi="Verdana" w:cs="Arial"/>
        </w:rPr>
      </w:pPr>
    </w:p>
    <w:p w14:paraId="254F2580" w14:textId="77777777" w:rsidR="00DE6F00" w:rsidRPr="004977A2" w:rsidRDefault="00DE6F00" w:rsidP="00DE6F00">
      <w:pPr>
        <w:spacing w:after="0" w:line="240" w:lineRule="auto"/>
        <w:ind w:left="709" w:right="709"/>
        <w:contextualSpacing/>
        <w:jc w:val="both"/>
        <w:rPr>
          <w:rFonts w:ascii="Verdana" w:eastAsia="Calibri" w:hAnsi="Verdana" w:cs="Arial"/>
          <w:sz w:val="20"/>
          <w:szCs w:val="20"/>
        </w:rPr>
      </w:pPr>
      <w:r w:rsidRPr="004977A2">
        <w:rPr>
          <w:rFonts w:ascii="Verdana" w:eastAsia="Calibri" w:hAnsi="Verdana" w:cs="Arial"/>
          <w:sz w:val="20"/>
          <w:szCs w:val="20"/>
          <w:lang w:val="es-ES_tradnl" w:eastAsia="es-ES_tradnl"/>
        </w:rPr>
        <w:t>“</w:t>
      </w:r>
      <w:r w:rsidRPr="004977A2">
        <w:rPr>
          <w:rFonts w:ascii="Verdana" w:eastAsia="Calibri" w:hAnsi="Verdana" w:cs="Arial"/>
          <w:sz w:val="20"/>
          <w:szCs w:val="20"/>
        </w:rPr>
        <w:t>Adiciónese los siguientes incisos al artículo 13 de la Ley 1150 de 2007, el cual quedará así:</w:t>
      </w:r>
    </w:p>
    <w:p w14:paraId="685E6209" w14:textId="77777777" w:rsidR="00DE6F00" w:rsidRPr="004977A2" w:rsidRDefault="00DE6F00" w:rsidP="00DE6F00">
      <w:pPr>
        <w:spacing w:after="0" w:line="240" w:lineRule="auto"/>
        <w:ind w:left="709" w:right="709"/>
        <w:contextualSpacing/>
        <w:jc w:val="both"/>
        <w:rPr>
          <w:rFonts w:ascii="Verdana" w:eastAsia="Calibri" w:hAnsi="Verdana" w:cs="Arial"/>
          <w:sz w:val="20"/>
          <w:szCs w:val="20"/>
        </w:rPr>
      </w:pPr>
    </w:p>
    <w:p w14:paraId="07E3D880" w14:textId="77777777" w:rsidR="00DE6F00" w:rsidRPr="004977A2" w:rsidRDefault="00DE6F00" w:rsidP="00DE6F00">
      <w:pPr>
        <w:spacing w:after="0" w:line="240" w:lineRule="auto"/>
        <w:ind w:left="709" w:right="709"/>
        <w:contextualSpacing/>
        <w:jc w:val="both"/>
        <w:rPr>
          <w:rFonts w:ascii="Verdana" w:eastAsia="Calibri" w:hAnsi="Verdana" w:cs="Arial"/>
          <w:sz w:val="20"/>
          <w:szCs w:val="20"/>
        </w:rPr>
      </w:pPr>
      <w:r w:rsidRPr="004977A2">
        <w:rPr>
          <w:rFonts w:ascii="Verdana" w:eastAsia="Calibri" w:hAnsi="Verdana" w:cs="Arial"/>
          <w:sz w:val="20"/>
          <w:szCs w:val="20"/>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4AF56930" w14:textId="77777777" w:rsidR="00DE6F00" w:rsidRPr="004977A2" w:rsidRDefault="00DE6F00" w:rsidP="00DE6F00">
      <w:pPr>
        <w:spacing w:after="0" w:line="240" w:lineRule="auto"/>
        <w:ind w:left="709" w:right="709"/>
        <w:contextualSpacing/>
        <w:jc w:val="both"/>
        <w:rPr>
          <w:rFonts w:ascii="Verdana" w:eastAsia="Calibri" w:hAnsi="Verdana" w:cs="Arial"/>
          <w:sz w:val="20"/>
          <w:szCs w:val="20"/>
        </w:rPr>
      </w:pPr>
    </w:p>
    <w:p w14:paraId="43D1233D" w14:textId="77777777" w:rsidR="00DE6F00" w:rsidRPr="004977A2" w:rsidRDefault="00DE6F00" w:rsidP="00DE6F00">
      <w:pPr>
        <w:spacing w:after="0" w:line="240" w:lineRule="auto"/>
        <w:ind w:left="709" w:right="709"/>
        <w:contextualSpacing/>
        <w:jc w:val="both"/>
        <w:rPr>
          <w:rFonts w:ascii="Verdana" w:eastAsia="Calibri" w:hAnsi="Verdana" w:cs="Arial"/>
          <w:i/>
          <w:iCs/>
          <w:sz w:val="20"/>
          <w:szCs w:val="20"/>
        </w:rPr>
      </w:pPr>
      <w:r w:rsidRPr="004977A2">
        <w:rPr>
          <w:rFonts w:ascii="Verdana" w:eastAsia="Calibri" w:hAnsi="Verdana" w:cs="Arial"/>
          <w:i/>
          <w:iCs/>
          <w:sz w:val="20"/>
          <w:szCs w:val="20"/>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4941BBF8" w14:textId="77777777" w:rsidR="00DE6F00" w:rsidRPr="004977A2" w:rsidRDefault="00DE6F00" w:rsidP="00DE6F00">
      <w:pPr>
        <w:spacing w:after="0" w:line="240" w:lineRule="auto"/>
        <w:ind w:left="709" w:right="709"/>
        <w:contextualSpacing/>
        <w:jc w:val="both"/>
        <w:rPr>
          <w:rFonts w:ascii="Verdana" w:eastAsia="Calibri" w:hAnsi="Verdana" w:cs="Arial"/>
          <w:sz w:val="20"/>
          <w:szCs w:val="20"/>
        </w:rPr>
      </w:pPr>
    </w:p>
    <w:p w14:paraId="79D4E6A4" w14:textId="77777777" w:rsidR="00DE6F00" w:rsidRPr="004977A2" w:rsidRDefault="00DE6F00" w:rsidP="00DE6F00">
      <w:pPr>
        <w:spacing w:after="0" w:line="240" w:lineRule="auto"/>
        <w:ind w:left="709" w:right="709"/>
        <w:contextualSpacing/>
        <w:jc w:val="both"/>
        <w:rPr>
          <w:rFonts w:ascii="Verdana" w:eastAsia="Calibri" w:hAnsi="Verdana" w:cs="Arial"/>
          <w:sz w:val="20"/>
          <w:szCs w:val="20"/>
        </w:rPr>
      </w:pPr>
      <w:r w:rsidRPr="004977A2">
        <w:rPr>
          <w:rFonts w:ascii="Verdana" w:eastAsia="Calibri" w:hAnsi="Verdana" w:cs="Arial"/>
          <w:sz w:val="20"/>
          <w:szCs w:val="20"/>
        </w:rPr>
        <w:t>A partir de la entrada en vigencia de la presente Ley, se establecerá un periodo de transición de seis (6) meses, para que las entidades den cumplimiento efectivo a lo aquí establecido. (Cursiva fuera del original).</w:t>
      </w:r>
      <w:r w:rsidRPr="004977A2">
        <w:rPr>
          <w:rFonts w:ascii="Verdana" w:eastAsia="Calibri" w:hAnsi="Verdana" w:cs="Arial"/>
          <w:sz w:val="20"/>
          <w:szCs w:val="20"/>
          <w:lang w:val="es-ES_tradnl" w:eastAsia="es-ES_tradnl"/>
        </w:rPr>
        <w:t>”</w:t>
      </w:r>
    </w:p>
    <w:p w14:paraId="77A121B4" w14:textId="77777777" w:rsidR="00DE6F00" w:rsidRPr="004977A2" w:rsidRDefault="00DE6F00" w:rsidP="00DE6F00">
      <w:pPr>
        <w:spacing w:after="0" w:line="240" w:lineRule="auto"/>
        <w:ind w:firstLine="709"/>
        <w:contextualSpacing/>
        <w:jc w:val="both"/>
        <w:rPr>
          <w:rFonts w:ascii="Verdana" w:eastAsia="Calibri" w:hAnsi="Verdana" w:cs="Arial"/>
          <w:sz w:val="16"/>
          <w:szCs w:val="16"/>
          <w:lang w:val="es-ES_tradnl"/>
        </w:rPr>
      </w:pPr>
    </w:p>
    <w:p w14:paraId="7B96E79B" w14:textId="77777777" w:rsidR="00DE6F00" w:rsidRPr="004977A2" w:rsidRDefault="00DE6F00" w:rsidP="00DE6F00">
      <w:pPr>
        <w:spacing w:after="120" w:line="276" w:lineRule="auto"/>
        <w:ind w:firstLine="709"/>
        <w:jc w:val="both"/>
        <w:rPr>
          <w:rFonts w:ascii="Verdana" w:eastAsia="Calibri" w:hAnsi="Verdana" w:cs="Arial"/>
          <w:lang w:val="es-ES_tradnl"/>
        </w:rPr>
      </w:pPr>
      <w:r w:rsidRPr="004977A2">
        <w:rPr>
          <w:rFonts w:ascii="Verdana" w:eastAsia="Calibri" w:hAnsi="Verdana" w:cs="Arial"/>
          <w:lang w:val="es-ES_tradnl"/>
        </w:rPr>
        <w:t xml:space="preserve">Como puede observarse, aunque la publicación en el SECOP de los documentos relacionados con la actividad contractual ya era obligatoria para las entidades que cuentan con un régimen especial, el artículo 53 de la Ley 2195 de 2022 –que modifica el artículo 13 de la Ley 1150 de 2007– establece con mayor precisión esta obligación y la complementa con la exigencia de emplear el SECOP II. En otras palabras, a través del artículo 53 de la Ley 2195 de 2022 el Congreso de la República dispone que las entidades estatales exceptuadas del EGCAP deben publicar en el SECOP II –es decir en la plataforma transaccional vigente– su actividad contractual. </w:t>
      </w:r>
    </w:p>
    <w:p w14:paraId="674010D4" w14:textId="77777777" w:rsidR="00DE6F00" w:rsidRPr="004977A2" w:rsidRDefault="00DE6F00" w:rsidP="00DE6F00">
      <w:pPr>
        <w:spacing w:after="120" w:line="276" w:lineRule="auto"/>
        <w:ind w:firstLine="709"/>
        <w:jc w:val="both"/>
        <w:rPr>
          <w:rFonts w:ascii="Verdana" w:eastAsia="Calibri" w:hAnsi="Verdana" w:cs="Arial"/>
          <w:lang w:val="es-ES_tradnl" w:eastAsia="es-ES_tradnl"/>
        </w:rPr>
      </w:pPr>
      <w:r w:rsidRPr="004977A2">
        <w:rPr>
          <w:rFonts w:ascii="Verdana" w:eastAsia="Calibri" w:hAnsi="Verdana" w:cs="Arial"/>
          <w:lang w:val="es-ES_tradnl"/>
        </w:rPr>
        <w:t xml:space="preserve">Ahora bien, cabe destacar que, cuando la norma trascrita hace referencia a que el mencionado deber de publicidad debe cumplirse en el SECOP II o </w:t>
      </w:r>
      <w:r w:rsidRPr="004977A2">
        <w:rPr>
          <w:rFonts w:ascii="Verdana" w:hAnsi="Verdana" w:cs="Arial"/>
        </w:rPr>
        <w:t>“</w:t>
      </w:r>
      <w:r w:rsidRPr="004977A2">
        <w:rPr>
          <w:rFonts w:ascii="Verdana" w:eastAsia="Calibri" w:hAnsi="Verdana" w:cs="Arial"/>
          <w:lang w:val="es-ES_tradnl"/>
        </w:rPr>
        <w:t>la plataforma transaccional que haga sus veces</w:t>
      </w:r>
      <w:r w:rsidRPr="004977A2">
        <w:rPr>
          <w:rFonts w:ascii="Verdana" w:hAnsi="Verdana" w:cs="Arial"/>
        </w:rPr>
        <w:t>”</w:t>
      </w:r>
      <w:r w:rsidRPr="004977A2">
        <w:rPr>
          <w:rFonts w:ascii="Verdana" w:eastAsia="Calibri" w:hAnsi="Verdana" w:cs="Arial"/>
          <w:lang w:val="es-ES_tradnl"/>
        </w:rPr>
        <w:t xml:space="preserve">, esta expresión debe interpretarse en el sentido de que si bien el SECOP II es la plataforma oficial que actualmente se utiliza como mecanismo transaccional, en caso de que en el futuro dicha plataforma sea remplazada por otra que tenga una denominación distinta, las entidades que tienen un régimen exceptuado deberán continuar publicando la documentación de su actividad contractual en la nueva plataforma transaccional que para efecto se cree. En ese sentido, la expresión </w:t>
      </w:r>
      <w:r w:rsidRPr="004977A2">
        <w:rPr>
          <w:rFonts w:ascii="Verdana" w:hAnsi="Verdana" w:cs="Arial"/>
        </w:rPr>
        <w:t>“</w:t>
      </w:r>
      <w:r w:rsidRPr="004977A2">
        <w:rPr>
          <w:rFonts w:ascii="Verdana" w:eastAsia="Calibri" w:hAnsi="Verdana" w:cs="Arial"/>
          <w:lang w:val="es-ES_tradnl"/>
        </w:rPr>
        <w:t>la plataforma que haga sus veces</w:t>
      </w:r>
      <w:r w:rsidRPr="004977A2">
        <w:rPr>
          <w:rFonts w:ascii="Verdana" w:hAnsi="Verdana" w:cs="Arial"/>
        </w:rPr>
        <w:t>”</w:t>
      </w:r>
      <w:r w:rsidRPr="004977A2">
        <w:rPr>
          <w:rFonts w:ascii="Verdana" w:eastAsia="Calibri" w:hAnsi="Verdana" w:cs="Arial"/>
          <w:lang w:val="es-ES_tradnl"/>
        </w:rPr>
        <w:t xml:space="preserve"> no puede interpretarse como una autorización para que las entidades obligadas en virtud del artículo 53 de la Ley 2195 de 2022 empleen sus páginas web o sus propios portales electrónicos para cumplir con el deber de publicidad que les asiste. </w:t>
      </w:r>
      <w:r w:rsidRPr="004977A2">
        <w:rPr>
          <w:rFonts w:ascii="Verdana" w:eastAsia="Calibri" w:hAnsi="Verdana" w:cs="Arial"/>
          <w:lang w:val="es-ES_tradnl" w:eastAsia="es-ES_tradnl"/>
        </w:rPr>
        <w:t>Con esto se logra que la ciudadanía pueda encontrar en un mismo sistema la gestión de la actividad contractual del Estado, garantizándose en mayor grado la transparencia y el acceso a la documentación pública.</w:t>
      </w:r>
    </w:p>
    <w:p w14:paraId="1FD28808" w14:textId="77777777" w:rsidR="00DE6F00" w:rsidRPr="004977A2" w:rsidRDefault="00DE6F00" w:rsidP="00DE6F00">
      <w:pPr>
        <w:spacing w:before="120" w:after="120" w:line="276" w:lineRule="auto"/>
        <w:ind w:firstLine="709"/>
        <w:jc w:val="both"/>
        <w:rPr>
          <w:rFonts w:ascii="Verdana" w:eastAsia="Calibri" w:hAnsi="Verdana" w:cs="Arial"/>
          <w:lang w:val="es-ES_tradnl"/>
        </w:rPr>
      </w:pPr>
      <w:bookmarkStart w:id="7" w:name="_Hlk109111956"/>
      <w:r w:rsidRPr="004977A2">
        <w:rPr>
          <w:rFonts w:ascii="Verdana" w:eastAsia="Calibri" w:hAnsi="Verdana" w:cs="Arial"/>
          <w:lang w:val="es-ES_tradnl"/>
        </w:rPr>
        <w:t xml:space="preserve">En cuanto a los documentos que deben ser publicados en el SECOP II a efectos de dar cumplimiento al mandato consagrado en el artículo 53 de la Ley 2195 de 2022, es preciso advertir que la disposición hace referencia a los documentos relacionados con su </w:t>
      </w:r>
      <w:r w:rsidRPr="004977A2">
        <w:rPr>
          <w:rFonts w:ascii="Verdana" w:eastAsia="Calibri" w:hAnsi="Verdana" w:cs="Arial"/>
          <w:i/>
          <w:iCs/>
          <w:lang w:val="es-ES_tradnl"/>
        </w:rPr>
        <w:t>actividad contractual,</w:t>
      </w:r>
      <w:r w:rsidRPr="004977A2">
        <w:rPr>
          <w:rFonts w:ascii="Verdana" w:eastAsia="Calibri" w:hAnsi="Verdana" w:cs="Arial"/>
          <w:lang w:val="es-ES_tradnl"/>
        </w:rPr>
        <w:t xml:space="preserve">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w:t>
      </w:r>
      <w:r w:rsidRPr="004977A2">
        <w:rPr>
          <w:rFonts w:ascii="Verdana" w:eastAsia="Calibri" w:hAnsi="Verdana" w:cs="Arial"/>
          <w:u w:val="single"/>
          <w:lang w:val="es-ES_tradnl"/>
        </w:rPr>
        <w:t>sin incluir ninguna excepción relacionada con la naturaleza u objeto contractual</w:t>
      </w:r>
      <w:r w:rsidRPr="004977A2">
        <w:rPr>
          <w:rFonts w:ascii="Verdana" w:eastAsia="Calibri" w:hAnsi="Verdana" w:cs="Arial"/>
          <w:lang w:val="es-ES_tradnl"/>
        </w:rPr>
        <w:t>.</w:t>
      </w:r>
      <w:bookmarkEnd w:id="7"/>
      <w:r w:rsidRPr="004977A2">
        <w:rPr>
          <w:rFonts w:ascii="Verdana" w:eastAsia="Calibri" w:hAnsi="Verdana" w:cs="Arial"/>
          <w:lang w:val="es-ES_tradnl"/>
        </w:rPr>
        <w:t xml:space="preserve"> Por lo tanto, para que las entidades exceptuadas cumplan con el deber de publicidad consagrado en el artículo 53 de la Ley 2195 de 2022, se requiere que publiquen en el SECOP II todo documento expedido durante las diferentes etapas del proceso contractual, lo que abarca tanto la fase previa a su celebración, como la ejecución y la fase posterior a su ejecución. </w:t>
      </w:r>
    </w:p>
    <w:p w14:paraId="6AB96DC6" w14:textId="77777777" w:rsidR="00DE6F00" w:rsidRPr="004977A2" w:rsidRDefault="00DE6F00" w:rsidP="00DE6F00">
      <w:pPr>
        <w:spacing w:before="120" w:after="120" w:line="276" w:lineRule="auto"/>
        <w:ind w:firstLine="709"/>
        <w:jc w:val="both"/>
        <w:rPr>
          <w:rFonts w:ascii="Verdana" w:eastAsia="Calibri" w:hAnsi="Verdana" w:cs="Arial"/>
          <w:lang w:val="es-ES"/>
        </w:rPr>
      </w:pPr>
      <w:r w:rsidRPr="004977A2">
        <w:rPr>
          <w:rFonts w:ascii="Verdana" w:eastAsia="Calibri" w:hAnsi="Verdana" w:cs="Arial"/>
          <w:lang w:val="es-ES"/>
        </w:rPr>
        <w:t>Sin perjuicio de lo anterior, vale la pena aclarar que el cumplimiento del deber de publicar la documentación contractual debe armonizarse con las normas aplicables al tipo de información que estas contienen, para garantizar la reserva de algunos documentos o de una parte de estos</w:t>
      </w:r>
      <w:r w:rsidRPr="004977A2">
        <w:rPr>
          <w:rFonts w:ascii="Verdana" w:eastAsia="Calibri" w:hAnsi="Verdana" w:cs="Arial"/>
          <w:vertAlign w:val="superscript"/>
          <w:lang w:val="es-ES"/>
        </w:rPr>
        <w:footnoteReference w:id="11"/>
      </w:r>
      <w:r w:rsidRPr="004977A2">
        <w:rPr>
          <w:rFonts w:ascii="Verdana" w:eastAsia="Calibri" w:hAnsi="Verdana" w:cs="Arial"/>
          <w:lang w:val="es-ES"/>
        </w:rPr>
        <w:t xml:space="preserve">. Lo anterior significa que, respecto de datos sensibles, información sometida a reserva o de la cual proceda un tratamiento especial que impida su publicidad, las entidades deberán proceder de conformidad con el tratamiento que impongan tales normas. </w:t>
      </w:r>
    </w:p>
    <w:p w14:paraId="66B54115" w14:textId="77777777" w:rsidR="00DE6F00" w:rsidRPr="004977A2" w:rsidRDefault="00DE6F00" w:rsidP="00DE6F00">
      <w:pPr>
        <w:spacing w:after="120" w:line="276" w:lineRule="auto"/>
        <w:ind w:firstLine="708"/>
        <w:jc w:val="both"/>
        <w:rPr>
          <w:rFonts w:ascii="Verdana" w:hAnsi="Verdana" w:cs="Arial"/>
          <w:shd w:val="clear" w:color="auto" w:fill="FFFFFF"/>
          <w:lang w:val="es-ES"/>
        </w:rPr>
      </w:pPr>
      <w:bookmarkStart w:id="8" w:name="_Hlk110869120"/>
      <w:r w:rsidRPr="004977A2">
        <w:rPr>
          <w:rFonts w:ascii="Verdana" w:hAnsi="Verdana" w:cs="Arial"/>
          <w:shd w:val="clear" w:color="auto" w:fill="FFFFFF"/>
          <w:lang w:val="es-ES"/>
        </w:rPr>
        <w:t xml:space="preserve">Así las cosas, dado que el artículo 53 de la Ley 2195 de 2022 complementó las disposiciones ya establecidas en la Ley 1150 de 2007, la lectura que se haga de dicho artículo debe efectuarse de forma sistemática. </w:t>
      </w:r>
      <w:r w:rsidRPr="004977A2">
        <w:rPr>
          <w:rFonts w:ascii="Verdana" w:hAnsi="Verdana" w:cs="Arial"/>
          <w:shd w:val="clear" w:color="auto" w:fill="FFFFFF"/>
        </w:rPr>
        <w:t xml:space="preserve"> En este sentido, debe </w:t>
      </w:r>
      <w:r w:rsidRPr="004977A2">
        <w:rPr>
          <w:rFonts w:ascii="Verdana" w:eastAsia="Calibri" w:hAnsi="Verdana" w:cs="Arial"/>
          <w:lang w:val="es-ES_tradnl" w:eastAsia="es-ES_tradnl"/>
        </w:rPr>
        <w:t xml:space="preserve">señalarse que </w:t>
      </w:r>
      <w:r w:rsidRPr="004977A2">
        <w:rPr>
          <w:rFonts w:ascii="Verdana" w:hAnsi="Verdana" w:cs="Arial"/>
          <w:i/>
          <w:iCs/>
          <w:lang w:val="es-ES_tradnl" w:eastAsia="es-CO"/>
        </w:rPr>
        <w:t>contratación con cargo a recursos públicos</w:t>
      </w:r>
      <w:r w:rsidRPr="004977A2">
        <w:rPr>
          <w:rFonts w:ascii="Verdana" w:hAnsi="Verdana" w:cs="Arial"/>
          <w:lang w:val="es-ES_tradnl" w:eastAsia="es-CO"/>
        </w:rPr>
        <w:t xml:space="preserve"> es un concepto al que alude expresamente la Ley 1150 de 2007, incluso desde el mismo título, pues este indica que dicha Ley es </w:t>
      </w:r>
      <w:r w:rsidRPr="004977A2">
        <w:rPr>
          <w:rFonts w:ascii="Verdana" w:eastAsia="Calibri" w:hAnsi="Verdana" w:cs="Arial"/>
          <w:lang w:val="es-ES_tradnl"/>
        </w:rPr>
        <w:t>“</w:t>
      </w:r>
      <w:r w:rsidRPr="004977A2">
        <w:rPr>
          <w:rFonts w:ascii="Verdana" w:hAnsi="Verdana" w:cs="Arial"/>
        </w:rPr>
        <w:t xml:space="preserve">Por medio de la cual se introducen medidas para la eficiencia y la transparencia en la Ley 80 de 1993 y se dictan otras disposiciones generales sobre la contratación con </w:t>
      </w:r>
      <w:r w:rsidRPr="004977A2">
        <w:rPr>
          <w:rFonts w:ascii="Verdana" w:hAnsi="Verdana" w:cs="Arial"/>
          <w:i/>
          <w:iCs/>
        </w:rPr>
        <w:t>Recursos Públicos</w:t>
      </w:r>
      <w:r w:rsidRPr="004977A2">
        <w:rPr>
          <w:rFonts w:ascii="Verdana" w:eastAsia="Calibri" w:hAnsi="Verdana" w:cs="Arial"/>
          <w:lang w:val="es-ES_tradnl"/>
        </w:rPr>
        <w:t>”</w:t>
      </w:r>
      <w:r w:rsidRPr="004977A2">
        <w:rPr>
          <w:rFonts w:ascii="Verdana" w:hAnsi="Verdana" w:cs="Arial"/>
        </w:rPr>
        <w:t>.</w:t>
      </w:r>
      <w:r w:rsidRPr="004977A2">
        <w:rPr>
          <w:rFonts w:ascii="Verdana" w:hAnsi="Verdana" w:cs="Arial"/>
          <w:lang w:val="es-ES_tradnl" w:eastAsia="es-CO"/>
        </w:rPr>
        <w:t xml:space="preserve"> Asimismo, la terminología </w:t>
      </w:r>
      <w:r w:rsidRPr="004977A2">
        <w:rPr>
          <w:rFonts w:ascii="Verdana" w:hAnsi="Verdana" w:cs="Arial"/>
          <w:i/>
          <w:iCs/>
          <w:lang w:val="es-ES_tradnl" w:eastAsia="es-CO"/>
        </w:rPr>
        <w:t xml:space="preserve">contratación con cargo recursos públicos </w:t>
      </w:r>
      <w:r w:rsidRPr="004977A2">
        <w:rPr>
          <w:rFonts w:ascii="Verdana" w:hAnsi="Verdana" w:cs="Arial"/>
          <w:lang w:val="es-ES_tradnl" w:eastAsia="es-CO"/>
        </w:rPr>
        <w:t>se encuentra en el artículo primero, al definir el ámbito de aplicación de sus disposiciones</w:t>
      </w:r>
      <w:r w:rsidRPr="004977A2">
        <w:rPr>
          <w:rFonts w:ascii="Verdana" w:hAnsi="Verdana" w:cs="Arial"/>
          <w:vertAlign w:val="superscript"/>
          <w:lang w:val="es-ES_tradnl" w:eastAsia="es-CO"/>
        </w:rPr>
        <w:footnoteReference w:id="12"/>
      </w:r>
      <w:r w:rsidRPr="004977A2">
        <w:rPr>
          <w:rFonts w:ascii="Verdana" w:hAnsi="Verdana" w:cs="Arial"/>
          <w:lang w:val="es-ES_tradnl" w:eastAsia="es-CO"/>
        </w:rPr>
        <w:t xml:space="preserve"> y en el literal c) del artículo 3 –del que surge el deber de publicar en el SECOP–, que expresamente </w:t>
      </w:r>
      <w:r w:rsidRPr="004977A2">
        <w:rPr>
          <w:rFonts w:ascii="Verdana" w:hAnsi="Verdana" w:cs="Arial"/>
          <w:shd w:val="clear" w:color="auto" w:fill="FFFFFF"/>
          <w:lang w:val="es-ES"/>
        </w:rPr>
        <w:t>establece que ese aparte del artículo se aplica a la “</w:t>
      </w:r>
      <w:r w:rsidRPr="004977A2">
        <w:rPr>
          <w:rFonts w:ascii="Verdana" w:hAnsi="Verdana" w:cs="Arial"/>
          <w:i/>
          <w:iCs/>
          <w:shd w:val="clear" w:color="auto" w:fill="FFFFFF"/>
          <w:lang w:val="es-ES"/>
        </w:rPr>
        <w:t>contratación realizada con dineros públicos</w:t>
      </w:r>
      <w:r w:rsidRPr="004977A2">
        <w:rPr>
          <w:rFonts w:ascii="Verdana" w:hAnsi="Verdana" w:cs="Arial"/>
          <w:shd w:val="clear" w:color="auto" w:fill="FFFFFF"/>
          <w:lang w:val="es-ES"/>
        </w:rPr>
        <w:t xml:space="preserve">”. </w:t>
      </w:r>
      <w:r w:rsidRPr="004977A2">
        <w:rPr>
          <w:rFonts w:ascii="Verdana" w:hAnsi="Verdana" w:cs="Arial"/>
          <w:shd w:val="clear" w:color="auto" w:fill="FFFFFF"/>
        </w:rPr>
        <w:t>Esta interpretación concuerda con el ámbito al que se encuentran destinadas las disposiciones del Título II de dicha norma, titulado “DISPOSICIONES GENERALES PARA LA CONTRATACION CON RECURSOS PUBLICOS”, en el cual se ubica el artículo 13 que fue modificado por el artículo 53 de la Ley 2195 de 2022.</w:t>
      </w:r>
    </w:p>
    <w:bookmarkEnd w:id="8"/>
    <w:p w14:paraId="528EC202" w14:textId="77777777" w:rsidR="00DE6F00" w:rsidRPr="004977A2" w:rsidRDefault="00DE6F00" w:rsidP="00DE6F00">
      <w:pPr>
        <w:spacing w:after="0" w:line="276" w:lineRule="auto"/>
        <w:ind w:firstLine="709"/>
        <w:jc w:val="both"/>
        <w:rPr>
          <w:rFonts w:ascii="Verdana" w:hAnsi="Verdana" w:cs="Arial"/>
        </w:rPr>
      </w:pPr>
      <w:r w:rsidRPr="004977A2">
        <w:rPr>
          <w:rFonts w:ascii="Verdana" w:hAnsi="Verdana" w:cs="Arial"/>
          <w:lang w:val="es-ES_tradnl" w:eastAsia="es-CO"/>
        </w:rPr>
        <w:t xml:space="preserve">Por otro lado, </w:t>
      </w:r>
      <w:r w:rsidRPr="004977A2">
        <w:rPr>
          <w:rFonts w:ascii="Verdana" w:hAnsi="Verdana" w:cs="Arial"/>
        </w:rPr>
        <w:t xml:space="preserve">el Decreto 103, mediante el cual se reglamentó la Ley 1712 de 2014, y que fue compilado </w:t>
      </w:r>
      <w:r w:rsidRPr="004977A2">
        <w:rPr>
          <w:rFonts w:ascii="Verdana" w:hAnsi="Verdana" w:cs="Arial"/>
          <w:shd w:val="clear" w:color="auto" w:fill="FFFFFF"/>
        </w:rPr>
        <w:t xml:space="preserve">en los artículos 2.1.1.1.1. al 2.1.1.6.1. del Decreto 1081 de 2015–.  </w:t>
      </w:r>
      <w:r w:rsidRPr="004977A2">
        <w:rPr>
          <w:rFonts w:ascii="Verdana" w:hAnsi="Verdana" w:cs="Arial"/>
        </w:rPr>
        <w:t>señala:</w:t>
      </w:r>
    </w:p>
    <w:p w14:paraId="49B59879" w14:textId="77777777" w:rsidR="00DE6F00" w:rsidRPr="004977A2" w:rsidRDefault="00DE6F00" w:rsidP="00DE6F00">
      <w:pPr>
        <w:spacing w:after="0" w:line="276" w:lineRule="auto"/>
        <w:ind w:firstLine="709"/>
        <w:contextualSpacing/>
        <w:jc w:val="both"/>
        <w:rPr>
          <w:rFonts w:ascii="Verdana" w:hAnsi="Verdana" w:cs="Arial"/>
        </w:rPr>
      </w:pPr>
      <w:r w:rsidRPr="004977A2">
        <w:rPr>
          <w:rFonts w:ascii="Verdana" w:hAnsi="Verdana" w:cs="Arial"/>
        </w:rPr>
        <w:t xml:space="preserve"> </w:t>
      </w:r>
    </w:p>
    <w:p w14:paraId="56A73A50" w14:textId="77777777" w:rsidR="00DE6F00" w:rsidRPr="004977A2" w:rsidRDefault="00DE6F00" w:rsidP="00DE6F00">
      <w:pPr>
        <w:spacing w:after="0" w:line="240" w:lineRule="auto"/>
        <w:ind w:left="709" w:right="709"/>
        <w:contextualSpacing/>
        <w:jc w:val="both"/>
        <w:rPr>
          <w:rFonts w:ascii="Verdana" w:eastAsia="Times New Roman" w:hAnsi="Verdana" w:cs="Arial"/>
          <w:sz w:val="20"/>
          <w:szCs w:val="20"/>
          <w:lang w:eastAsia="es-CO"/>
        </w:rPr>
      </w:pPr>
      <w:r w:rsidRPr="004977A2">
        <w:rPr>
          <w:rFonts w:ascii="Verdana" w:hAnsi="Verdana" w:cs="Arial"/>
          <w:sz w:val="20"/>
          <w:szCs w:val="20"/>
          <w:shd w:val="clear" w:color="auto" w:fill="FFFFFF"/>
          <w:lang w:val="es-ES"/>
        </w:rPr>
        <w:t>“</w:t>
      </w:r>
      <w:r w:rsidRPr="004977A2">
        <w:rPr>
          <w:rFonts w:ascii="Verdana" w:eastAsia="Times New Roman" w:hAnsi="Verdana" w:cs="Arial"/>
          <w:sz w:val="20"/>
          <w:szCs w:val="20"/>
          <w:lang w:eastAsia="es-CO"/>
        </w:rPr>
        <w:t>Artículo 7°.</w:t>
      </w:r>
      <w:r w:rsidRPr="004977A2">
        <w:rPr>
          <w:rFonts w:ascii="Verdana" w:eastAsia="Times New Roman" w:hAnsi="Verdana" w:cs="Arial"/>
          <w:i/>
          <w:iCs/>
          <w:sz w:val="20"/>
          <w:szCs w:val="20"/>
          <w:lang w:eastAsia="es-CO"/>
        </w:rPr>
        <w:t xml:space="preserve"> Publicación de la información contractual. </w:t>
      </w:r>
      <w:r w:rsidRPr="004977A2">
        <w:rPr>
          <w:rFonts w:ascii="Verdana" w:eastAsia="Times New Roman" w:hAnsi="Verdana" w:cs="Arial"/>
          <w:sz w:val="20"/>
          <w:szCs w:val="20"/>
          <w:lang w:eastAsia="es-CO"/>
        </w:rPr>
        <w:t xml:space="preserve">De conformidad con el literal (c) del artículo 3° de la Ley 1150 de 2007, el sistema de información del Estado en el cual los sujetos obligados que contratan </w:t>
      </w:r>
      <w:r w:rsidRPr="004977A2">
        <w:rPr>
          <w:rFonts w:ascii="Verdana" w:eastAsia="Times New Roman" w:hAnsi="Verdana" w:cs="Arial"/>
          <w:i/>
          <w:iCs/>
          <w:sz w:val="20"/>
          <w:szCs w:val="20"/>
          <w:lang w:eastAsia="es-CO"/>
        </w:rPr>
        <w:t>con cargo a recursos públicos</w:t>
      </w:r>
      <w:r w:rsidRPr="004977A2">
        <w:rPr>
          <w:rFonts w:ascii="Verdana" w:eastAsia="Times New Roman" w:hAnsi="Verdana" w:cs="Arial"/>
          <w:sz w:val="20"/>
          <w:szCs w:val="20"/>
          <w:lang w:eastAsia="es-CO"/>
        </w:rPr>
        <w:t xml:space="preserve"> deben cumplir la obligación de publicar la información de su gestión contractual es el Sistema Electrónico para la Contratación Pública (Secop). </w:t>
      </w:r>
    </w:p>
    <w:p w14:paraId="6874FF87" w14:textId="77777777" w:rsidR="00DE6F00" w:rsidRPr="004977A2" w:rsidRDefault="00DE6F00" w:rsidP="00DE6F00">
      <w:pPr>
        <w:spacing w:after="0" w:line="240" w:lineRule="auto"/>
        <w:ind w:left="709" w:right="709"/>
        <w:contextualSpacing/>
        <w:jc w:val="both"/>
        <w:rPr>
          <w:rFonts w:ascii="Verdana" w:eastAsia="Times New Roman" w:hAnsi="Verdana" w:cs="Arial"/>
          <w:sz w:val="20"/>
          <w:szCs w:val="20"/>
          <w:lang w:eastAsia="es-CO"/>
        </w:rPr>
      </w:pPr>
      <w:r w:rsidRPr="004977A2">
        <w:rPr>
          <w:rFonts w:ascii="Verdana" w:eastAsia="Times New Roman" w:hAnsi="Verdana" w:cs="Arial"/>
          <w:sz w:val="20"/>
          <w:szCs w:val="20"/>
          <w:lang w:eastAsia="es-CO"/>
        </w:rPr>
        <w:t>  </w:t>
      </w:r>
    </w:p>
    <w:p w14:paraId="6B7BD088" w14:textId="77777777" w:rsidR="00DE6F00" w:rsidRPr="004977A2" w:rsidRDefault="00DE6F00" w:rsidP="00DE6F00">
      <w:pPr>
        <w:spacing w:after="0" w:line="240" w:lineRule="auto"/>
        <w:ind w:left="709" w:right="709"/>
        <w:contextualSpacing/>
        <w:jc w:val="both"/>
        <w:rPr>
          <w:rFonts w:ascii="Verdana" w:eastAsia="Times New Roman" w:hAnsi="Verdana" w:cs="Arial"/>
          <w:sz w:val="20"/>
          <w:szCs w:val="20"/>
          <w:lang w:eastAsia="es-CO"/>
        </w:rPr>
      </w:pPr>
      <w:r w:rsidRPr="004977A2">
        <w:rPr>
          <w:rFonts w:ascii="Verdana" w:eastAsia="Times New Roman" w:hAnsi="Verdana" w:cs="Arial"/>
          <w:sz w:val="20"/>
          <w:szCs w:val="20"/>
          <w:lang w:eastAsia="es-CO"/>
        </w:rPr>
        <w:t xml:space="preserve">Los sujetos obligados que contratan </w:t>
      </w:r>
      <w:r w:rsidRPr="004977A2">
        <w:rPr>
          <w:rFonts w:ascii="Verdana" w:eastAsia="Times New Roman" w:hAnsi="Verdana" w:cs="Arial"/>
          <w:i/>
          <w:iCs/>
          <w:sz w:val="20"/>
          <w:szCs w:val="20"/>
          <w:lang w:eastAsia="es-CO"/>
        </w:rPr>
        <w:t>con cargo a recursos públicos</w:t>
      </w:r>
      <w:r w:rsidRPr="004977A2">
        <w:rPr>
          <w:rFonts w:ascii="Verdana" w:eastAsia="Times New Roman" w:hAnsi="Verdana" w:cs="Arial"/>
          <w:sz w:val="20"/>
          <w:szCs w:val="20"/>
          <w:lang w:eastAsia="es-CO"/>
        </w:rPr>
        <w:t xml:space="preserve"> deben publicar la información de su gestión contractual en el plazo previsto en el artículo 19 del Decreto 1510 de 2013, o el que lo modifique, sustituya o adicione. </w:t>
      </w:r>
    </w:p>
    <w:p w14:paraId="07FBE03B" w14:textId="77777777" w:rsidR="00DE6F00" w:rsidRPr="004977A2" w:rsidRDefault="00DE6F00" w:rsidP="00DE6F00">
      <w:pPr>
        <w:spacing w:after="0" w:line="240" w:lineRule="auto"/>
        <w:ind w:left="709" w:right="709"/>
        <w:contextualSpacing/>
        <w:jc w:val="both"/>
        <w:rPr>
          <w:rFonts w:ascii="Verdana" w:eastAsia="Times New Roman" w:hAnsi="Verdana" w:cs="Arial"/>
          <w:sz w:val="20"/>
          <w:szCs w:val="20"/>
          <w:lang w:eastAsia="es-CO"/>
        </w:rPr>
      </w:pPr>
      <w:r w:rsidRPr="004977A2">
        <w:rPr>
          <w:rFonts w:ascii="Verdana" w:eastAsia="Times New Roman" w:hAnsi="Verdana" w:cs="Arial"/>
          <w:sz w:val="20"/>
          <w:szCs w:val="20"/>
          <w:lang w:eastAsia="es-CO"/>
        </w:rPr>
        <w:t>  </w:t>
      </w:r>
    </w:p>
    <w:p w14:paraId="64D5DD6C" w14:textId="77777777" w:rsidR="00DE6F00" w:rsidRPr="004977A2" w:rsidRDefault="00DE6F00" w:rsidP="00DE6F00">
      <w:pPr>
        <w:spacing w:after="0" w:line="240" w:lineRule="auto"/>
        <w:ind w:left="709" w:right="709"/>
        <w:contextualSpacing/>
        <w:jc w:val="both"/>
        <w:rPr>
          <w:rFonts w:ascii="Verdana" w:eastAsia="Times New Roman" w:hAnsi="Verdana" w:cs="Arial"/>
          <w:sz w:val="20"/>
          <w:szCs w:val="20"/>
          <w:lang w:eastAsia="es-CO"/>
        </w:rPr>
      </w:pPr>
      <w:r w:rsidRPr="004977A2">
        <w:rPr>
          <w:rFonts w:ascii="Verdana" w:eastAsia="Times New Roman" w:hAnsi="Verdana" w:cs="Arial"/>
          <w:sz w:val="20"/>
          <w:szCs w:val="20"/>
          <w:lang w:eastAsia="es-CO"/>
        </w:rPr>
        <w:t>Los sujetos obligados que contratan con recursos públicos y recursos privados, deben publicar la información de su gestión contractual con cargo a recursos públicos en el Sistema Electrónico para la Contratación Pública (Secop). (Cursivas fuera del texto original).</w:t>
      </w:r>
      <w:r w:rsidRPr="004977A2">
        <w:rPr>
          <w:rFonts w:ascii="Verdana" w:hAnsi="Verdana" w:cs="Arial"/>
          <w:sz w:val="20"/>
          <w:szCs w:val="20"/>
          <w:shd w:val="clear" w:color="auto" w:fill="FFFFFF"/>
          <w:lang w:val="es-ES"/>
        </w:rPr>
        <w:t>”</w:t>
      </w:r>
    </w:p>
    <w:p w14:paraId="7B9C5597" w14:textId="77777777" w:rsidR="00DE6F00" w:rsidRPr="004977A2" w:rsidRDefault="00DE6F00" w:rsidP="00DE6F00">
      <w:pPr>
        <w:spacing w:after="0" w:line="276" w:lineRule="auto"/>
        <w:ind w:left="709" w:right="709"/>
        <w:contextualSpacing/>
        <w:jc w:val="both"/>
        <w:rPr>
          <w:rFonts w:ascii="Verdana" w:eastAsia="Times New Roman" w:hAnsi="Verdana" w:cs="Arial"/>
          <w:lang w:eastAsia="es-CO"/>
        </w:rPr>
      </w:pPr>
      <w:r w:rsidRPr="004977A2">
        <w:rPr>
          <w:rFonts w:ascii="Verdana" w:eastAsia="Times New Roman" w:hAnsi="Verdana" w:cs="Arial"/>
          <w:lang w:eastAsia="es-CO"/>
        </w:rPr>
        <w:t>  </w:t>
      </w:r>
    </w:p>
    <w:p w14:paraId="378C8E7F" w14:textId="77777777" w:rsidR="00DE6F00" w:rsidRPr="004977A2" w:rsidRDefault="00DE6F00" w:rsidP="00DE6F00">
      <w:pPr>
        <w:spacing w:after="120" w:line="276" w:lineRule="auto"/>
        <w:ind w:firstLine="709"/>
        <w:jc w:val="both"/>
        <w:rPr>
          <w:rFonts w:ascii="Verdana" w:eastAsia="Calibri" w:hAnsi="Verdana" w:cs="Arial"/>
          <w:lang w:val="es-ES_tradnl" w:eastAsia="es-ES_tradnl"/>
        </w:rPr>
      </w:pPr>
      <w:bookmarkStart w:id="9" w:name="_Hlk110869205"/>
      <w:r w:rsidRPr="004977A2">
        <w:rPr>
          <w:rFonts w:ascii="Verdana" w:eastAsia="Calibri" w:hAnsi="Verdana" w:cs="Arial"/>
          <w:lang w:val="es-ES_tradnl" w:eastAsia="es-ES_tradnl"/>
        </w:rPr>
        <w:t xml:space="preserve">De las normas antes citadas es posible establecer que 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w:t>
      </w:r>
    </w:p>
    <w:bookmarkEnd w:id="9"/>
    <w:p w14:paraId="264375BB" w14:textId="77777777" w:rsidR="00DE6F00" w:rsidRPr="004977A2" w:rsidRDefault="00DE6F00" w:rsidP="00DE6F00">
      <w:pPr>
        <w:spacing w:after="0" w:line="276" w:lineRule="auto"/>
        <w:ind w:firstLine="709"/>
        <w:jc w:val="both"/>
        <w:rPr>
          <w:rFonts w:ascii="Verdana" w:hAnsi="Verdana" w:cs="Arial"/>
          <w:lang w:val="es-ES"/>
        </w:rPr>
      </w:pPr>
      <w:r w:rsidRPr="004977A2">
        <w:rPr>
          <w:rFonts w:ascii="Verdana" w:hAnsi="Verdana" w:cs="Arial"/>
          <w:shd w:val="clear" w:color="auto" w:fill="FFFFFF"/>
          <w:lang w:val="es-ES"/>
        </w:rPr>
        <w:t xml:space="preserve">En consonancia con la interpretación antes expuesta, </w:t>
      </w:r>
      <w:r w:rsidRPr="004977A2">
        <w:rPr>
          <w:rFonts w:ascii="Verdana" w:hAnsi="Verdana" w:cs="Arial"/>
          <w:lang w:val="es-ES"/>
        </w:rPr>
        <w:t xml:space="preserve">la </w:t>
      </w:r>
      <w:r w:rsidRPr="004977A2">
        <w:rPr>
          <w:rFonts w:ascii="Verdana" w:eastAsia="Calibri" w:hAnsi="Verdana" w:cs="Arial"/>
          <w:lang w:val="es-ES"/>
        </w:rPr>
        <w:t>Circular 002 del 1 de junio de 2022</w:t>
      </w:r>
      <w:r w:rsidRPr="004977A2">
        <w:rPr>
          <w:rFonts w:ascii="Verdana" w:eastAsia="Calibri" w:hAnsi="Verdana" w:cs="Arial"/>
          <w:vertAlign w:val="superscript"/>
          <w:lang w:val="es-ES"/>
        </w:rPr>
        <w:footnoteReference w:id="13"/>
      </w:r>
      <w:r w:rsidRPr="004977A2">
        <w:rPr>
          <w:rFonts w:ascii="Verdana" w:eastAsia="Calibri" w:hAnsi="Verdana" w:cs="Arial"/>
          <w:lang w:val="es-ES"/>
        </w:rPr>
        <w:t>, dictada por el Departamento Administrativo de la Presidencia de la República</w:t>
      </w:r>
      <w:r w:rsidRPr="004977A2">
        <w:rPr>
          <w:rFonts w:ascii="Verdana" w:hAnsi="Verdana" w:cs="Arial"/>
          <w:lang w:val="es-ES"/>
        </w:rPr>
        <w:t xml:space="preserve">, a través de la cual fueron impartidas instrucciones relacionadas con la aplicación del artículo 53 de la Ley 2195 de 2022, en el numeral I –denominado “Publicación de los documentos contractuales en el SECOP II”–, señala: </w:t>
      </w:r>
    </w:p>
    <w:p w14:paraId="05084760" w14:textId="77777777" w:rsidR="00DE6F00" w:rsidRPr="004977A2" w:rsidRDefault="00DE6F00" w:rsidP="00DE6F00">
      <w:pPr>
        <w:spacing w:after="0" w:line="276" w:lineRule="auto"/>
        <w:contextualSpacing/>
        <w:jc w:val="both"/>
        <w:rPr>
          <w:rFonts w:ascii="Verdana" w:eastAsia="Calibri" w:hAnsi="Verdana" w:cs="Arial"/>
          <w:lang w:val="es-ES_tradnl" w:eastAsia="es-ES_tradnl"/>
        </w:rPr>
      </w:pPr>
    </w:p>
    <w:p w14:paraId="29A6E972" w14:textId="77777777" w:rsidR="00DE6F00" w:rsidRPr="00DC1A3B" w:rsidRDefault="00DE6F00" w:rsidP="00DE6F00">
      <w:pPr>
        <w:spacing w:after="0" w:line="240" w:lineRule="auto"/>
        <w:ind w:left="709" w:right="709"/>
        <w:contextualSpacing/>
        <w:jc w:val="both"/>
        <w:rPr>
          <w:rFonts w:ascii="Verdana" w:eastAsia="Calibri" w:hAnsi="Verdana" w:cs="Arial"/>
          <w:sz w:val="20"/>
          <w:szCs w:val="20"/>
          <w:lang w:val="es-ES_tradnl" w:eastAsia="es-ES_tradnl"/>
        </w:rPr>
      </w:pPr>
      <w:r w:rsidRPr="00DC1A3B">
        <w:rPr>
          <w:rFonts w:ascii="Verdana" w:hAnsi="Verdana" w:cs="Arial"/>
          <w:sz w:val="20"/>
          <w:szCs w:val="20"/>
          <w:shd w:val="clear" w:color="auto" w:fill="FFFFFF"/>
          <w:lang w:val="es-ES"/>
        </w:rPr>
        <w:t>“</w:t>
      </w:r>
      <w:r w:rsidRPr="00DC1A3B">
        <w:rPr>
          <w:rFonts w:ascii="Verdana" w:eastAsia="Calibri" w:hAnsi="Verdana" w:cs="Arial"/>
          <w:sz w:val="20"/>
          <w:szCs w:val="20"/>
          <w:lang w:val="es-ES_tradnl" w:eastAsia="es-ES_tradnl"/>
        </w:rPr>
        <w:t xml:space="preserve">El Sistema Electrónico de Contratación Pública – SECOP – es una herramienta tecnológica de apoyo a la contratación pública, en la cual se encuentra la información oficial de la contratación realizada </w:t>
      </w:r>
      <w:r w:rsidRPr="00DC1A3B">
        <w:rPr>
          <w:rFonts w:ascii="Verdana" w:eastAsia="Calibri" w:hAnsi="Verdana" w:cs="Arial"/>
          <w:i/>
          <w:iCs/>
          <w:sz w:val="20"/>
          <w:szCs w:val="20"/>
          <w:lang w:val="es-ES_tradnl" w:eastAsia="es-ES_tradnl"/>
        </w:rPr>
        <w:t>con dineros públicos</w:t>
      </w:r>
      <w:r w:rsidRPr="00DC1A3B">
        <w:rPr>
          <w:rFonts w:ascii="Verdana" w:eastAsia="Calibri" w:hAnsi="Verdana" w:cs="Arial"/>
          <w:sz w:val="20"/>
          <w:szCs w:val="20"/>
          <w:lang w:val="es-ES_tradnl" w:eastAsia="es-ES_tradnl"/>
        </w:rPr>
        <w:t xml:space="preserve">. Lo anterior, de conformidad con lo establecido en el literal c) del artículo 3 de la Ley 1150 de 2007. </w:t>
      </w:r>
    </w:p>
    <w:p w14:paraId="03567D67" w14:textId="77777777" w:rsidR="00DE6F00" w:rsidRPr="00DC1A3B" w:rsidRDefault="00DE6F00" w:rsidP="00DE6F00">
      <w:pPr>
        <w:spacing w:after="0" w:line="240" w:lineRule="auto"/>
        <w:ind w:left="709" w:right="709"/>
        <w:contextualSpacing/>
        <w:jc w:val="both"/>
        <w:rPr>
          <w:rFonts w:ascii="Verdana" w:eastAsia="Calibri" w:hAnsi="Verdana" w:cs="Arial"/>
          <w:sz w:val="20"/>
          <w:szCs w:val="20"/>
          <w:lang w:val="es-ES_tradnl" w:eastAsia="es-ES_tradnl"/>
        </w:rPr>
      </w:pPr>
    </w:p>
    <w:p w14:paraId="28159ABB" w14:textId="77777777" w:rsidR="00DE6F00" w:rsidRPr="00DC1A3B" w:rsidRDefault="00DE6F00" w:rsidP="00DE6F00">
      <w:pPr>
        <w:spacing w:after="0" w:line="240" w:lineRule="auto"/>
        <w:ind w:left="709" w:right="709"/>
        <w:contextualSpacing/>
        <w:jc w:val="both"/>
        <w:rPr>
          <w:rFonts w:ascii="Verdana" w:eastAsia="Calibri" w:hAnsi="Verdana" w:cs="Arial"/>
          <w:sz w:val="20"/>
          <w:szCs w:val="20"/>
          <w:lang w:val="es-ES_tradnl" w:eastAsia="es-ES_tradnl"/>
        </w:rPr>
      </w:pPr>
      <w:r w:rsidRPr="00DC1A3B">
        <w:rPr>
          <w:rFonts w:ascii="Verdana" w:eastAsia="Calibri" w:hAnsi="Verdana" w:cs="Arial"/>
          <w:sz w:val="20"/>
          <w:szCs w:val="20"/>
          <w:lang w:val="es-ES_tradnl" w:eastAsia="es-ES_tradnl"/>
        </w:rPr>
        <w:t xml:space="preserve">En ese sentido, las entidades obligadas en virtud del artículo 53 de la Ley 2195 de 2022, deberán realizar la publicación en el SECOP II </w:t>
      </w:r>
      <w:r w:rsidRPr="00DC1A3B">
        <w:rPr>
          <w:rFonts w:ascii="Verdana" w:eastAsia="Calibri" w:hAnsi="Verdana" w:cs="Arial"/>
          <w:i/>
          <w:iCs/>
          <w:sz w:val="20"/>
          <w:szCs w:val="20"/>
          <w:lang w:val="es-ES_tradnl" w:eastAsia="es-ES_tradnl"/>
        </w:rPr>
        <w:t>de aquellos documentos relacionados con la actividad contractual que se realice con dineros públicos</w:t>
      </w:r>
      <w:r w:rsidRPr="00DC1A3B">
        <w:rPr>
          <w:rFonts w:ascii="Verdana" w:eastAsia="Calibri" w:hAnsi="Verdana" w:cs="Arial"/>
          <w:sz w:val="20"/>
          <w:szCs w:val="20"/>
          <w:lang w:val="es-ES_tradnl" w:eastAsia="es-ES_tradnl"/>
        </w:rPr>
        <w:t xml:space="preserve"> […] </w:t>
      </w:r>
      <w:r w:rsidRPr="00DC1A3B">
        <w:rPr>
          <w:rFonts w:ascii="Verdana" w:hAnsi="Verdana" w:cs="Arial"/>
          <w:sz w:val="20"/>
          <w:szCs w:val="20"/>
          <w:lang w:val="es-ES"/>
        </w:rPr>
        <w:t>(Cursivas fuera del texto original)</w:t>
      </w:r>
      <w:r w:rsidRPr="00DC1A3B">
        <w:rPr>
          <w:rFonts w:ascii="Verdana" w:hAnsi="Verdana" w:cs="Arial"/>
          <w:sz w:val="20"/>
          <w:szCs w:val="20"/>
          <w:shd w:val="clear" w:color="auto" w:fill="FFFFFF"/>
          <w:lang w:val="es-ES"/>
        </w:rPr>
        <w:t>”</w:t>
      </w:r>
    </w:p>
    <w:p w14:paraId="5FDDC841" w14:textId="77777777" w:rsidR="00DE6F00" w:rsidRPr="004977A2" w:rsidRDefault="00DE6F00" w:rsidP="00DE6F00">
      <w:pPr>
        <w:spacing w:after="0" w:line="276" w:lineRule="auto"/>
        <w:contextualSpacing/>
        <w:jc w:val="both"/>
        <w:rPr>
          <w:rFonts w:ascii="Verdana" w:eastAsia="Calibri" w:hAnsi="Verdana" w:cs="Arial"/>
          <w:lang w:val="es-ES" w:eastAsia="es-ES_tradnl"/>
        </w:rPr>
      </w:pPr>
    </w:p>
    <w:p w14:paraId="5A585B06" w14:textId="77777777" w:rsidR="00DE6F00" w:rsidRPr="004977A2" w:rsidRDefault="00DE6F00" w:rsidP="00DE6F00">
      <w:pPr>
        <w:spacing w:after="0" w:line="276" w:lineRule="auto"/>
        <w:ind w:firstLine="709"/>
        <w:contextualSpacing/>
        <w:jc w:val="both"/>
        <w:rPr>
          <w:rFonts w:ascii="Verdana" w:hAnsi="Verdana" w:cs="Arial"/>
          <w:lang w:val="es-ES"/>
        </w:rPr>
      </w:pPr>
      <w:r w:rsidRPr="004977A2">
        <w:rPr>
          <w:rFonts w:ascii="Verdana" w:hAnsi="Verdana" w:cs="Arial"/>
          <w:lang w:val="es-ES"/>
        </w:rPr>
        <w:t xml:space="preserve">De conformidad con lo expuesto, teniendo en cuenta que el artículo 53 complementa la disposición contenida en el artículo 3 de la Ley 1150 de 2007, debe entenderse que la contratación a la que se refiere es aquella realizada con </w:t>
      </w:r>
      <w:r w:rsidRPr="004977A2">
        <w:rPr>
          <w:rFonts w:ascii="Verdana" w:hAnsi="Verdana" w:cs="Arial"/>
          <w:u w:val="single"/>
          <w:lang w:val="es-ES"/>
        </w:rPr>
        <w:t>recursos públicos</w:t>
      </w:r>
      <w:r w:rsidRPr="004977A2">
        <w:rPr>
          <w:rFonts w:ascii="Verdana" w:hAnsi="Verdana" w:cs="Arial"/>
          <w:lang w:val="es-ES"/>
        </w:rPr>
        <w:t xml:space="preserve">, cuya información es la que debe publicarse en el SECOP II, acorde con la interpretación sistemática que permite armonizar el referido artículo 53 de la Ley 2195 de 2022 con todo el contexto normativo que establece que en dicha plataforma se debe publicar solo la información relativa a la actividad contractual con dineros públicos. </w:t>
      </w:r>
    </w:p>
    <w:p w14:paraId="0AA8E739" w14:textId="77777777" w:rsidR="00DE6F00" w:rsidRPr="004977A2" w:rsidRDefault="00DE6F00" w:rsidP="00DE6F00">
      <w:pPr>
        <w:spacing w:after="0" w:line="276" w:lineRule="auto"/>
        <w:ind w:firstLine="709"/>
        <w:contextualSpacing/>
        <w:jc w:val="both"/>
        <w:rPr>
          <w:rFonts w:ascii="Verdana" w:hAnsi="Verdana" w:cs="Arial"/>
          <w:lang w:val="es-ES"/>
        </w:rPr>
      </w:pPr>
    </w:p>
    <w:p w14:paraId="0CBB3AB8" w14:textId="77777777" w:rsidR="00DE6F00" w:rsidRPr="004977A2" w:rsidRDefault="00DE6F00" w:rsidP="00DE6F00">
      <w:pPr>
        <w:spacing w:after="120" w:line="276" w:lineRule="auto"/>
        <w:ind w:firstLine="709"/>
        <w:jc w:val="both"/>
        <w:rPr>
          <w:rFonts w:ascii="Verdana" w:eastAsia="Calibri" w:hAnsi="Verdana" w:cs="Arial"/>
        </w:rPr>
      </w:pPr>
      <w:r w:rsidRPr="004977A2">
        <w:rPr>
          <w:rFonts w:ascii="Verdana" w:eastAsia="Calibri" w:hAnsi="Verdana" w:cs="Arial"/>
        </w:rPr>
        <w:t xml:space="preserve">Ahora bien, sobre la procedencia de los recursos para efectos de la publicidad de la actividad contractual de las entidades exceptuadas, es preciso indicar que </w:t>
      </w:r>
      <w:r w:rsidRPr="004977A2">
        <w:rPr>
          <w:rFonts w:ascii="Verdana" w:eastAsia="Calibri" w:hAnsi="Verdana" w:cs="Arial"/>
          <w:lang w:val="es-ES_tradnl"/>
        </w:rPr>
        <w:t>la Agencia Nacional de Contratación Pública – Colombia Compra Eficiente expidió</w:t>
      </w:r>
      <w:r w:rsidRPr="004977A2">
        <w:rPr>
          <w:rFonts w:ascii="Verdana" w:eastAsia="Calibri" w:hAnsi="Verdana" w:cs="Arial"/>
        </w:rPr>
        <w:t xml:space="preserve"> Circular</w:t>
      </w:r>
      <w:r w:rsidRPr="004977A2">
        <w:rPr>
          <w:rFonts w:ascii="Verdana" w:eastAsia="Calibri" w:hAnsi="Verdana" w:cs="Arial"/>
          <w:lang w:val="es-ES_tradnl"/>
        </w:rPr>
        <w:t xml:space="preserve"> Externa 002 del 23 de agosto de 2024, </w:t>
      </w:r>
      <w:r w:rsidRPr="004977A2">
        <w:rPr>
          <w:rFonts w:ascii="Verdana" w:eastAsia="Calibri" w:hAnsi="Verdana" w:cs="Arial"/>
        </w:rPr>
        <w:t>en la cual</w:t>
      </w:r>
      <w:r w:rsidRPr="004977A2">
        <w:rPr>
          <w:rFonts w:ascii="Verdana" w:eastAsia="Calibri" w:hAnsi="Verdana" w:cs="Arial"/>
          <w:lang w:val="es-ES_tradnl"/>
        </w:rPr>
        <w:t xml:space="preserve"> señaló lo siguiente: </w:t>
      </w:r>
    </w:p>
    <w:p w14:paraId="05C8637D" w14:textId="77777777" w:rsidR="00DE6F00" w:rsidRPr="00DC1A3B" w:rsidRDefault="00DE6F00" w:rsidP="00DE6F00">
      <w:pPr>
        <w:spacing w:before="120" w:line="276" w:lineRule="auto"/>
        <w:ind w:left="709" w:right="616"/>
        <w:jc w:val="both"/>
        <w:rPr>
          <w:rFonts w:ascii="Verdana" w:eastAsia="Calibri" w:hAnsi="Verdana" w:cs="Arial"/>
          <w:sz w:val="20"/>
          <w:szCs w:val="20"/>
          <w:lang w:val="es-ES_tradnl"/>
        </w:rPr>
      </w:pPr>
      <w:r w:rsidRPr="00DC1A3B">
        <w:rPr>
          <w:rFonts w:ascii="Verdana" w:eastAsia="Calibri" w:hAnsi="Verdana" w:cs="Arial"/>
          <w:sz w:val="20"/>
          <w:szCs w:val="20"/>
        </w:rPr>
        <w:t xml:space="preserve">“La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De conformidad con lo expuesto, teniendo en cuenta que el artículo 53 complementa la disposición contenida en el artículo 3 de la Ley 1150 de 2007, debe entenderse que la contratación a la que se refiere es aquella </w:t>
      </w:r>
      <w:bookmarkStart w:id="10" w:name="_Hlk186230457"/>
      <w:r w:rsidRPr="00DC1A3B">
        <w:rPr>
          <w:rFonts w:ascii="Verdana" w:eastAsia="Calibri" w:hAnsi="Verdana" w:cs="Arial"/>
          <w:sz w:val="20"/>
          <w:szCs w:val="20"/>
        </w:rPr>
        <w:t>realizada con recursos públicos</w:t>
      </w:r>
      <w:bookmarkEnd w:id="10"/>
      <w:r w:rsidRPr="00DC1A3B">
        <w:rPr>
          <w:rFonts w:ascii="Verdana" w:eastAsia="Calibri" w:hAnsi="Verdana" w:cs="Arial"/>
          <w:sz w:val="20"/>
          <w:szCs w:val="20"/>
        </w:rPr>
        <w:t>, cuya información es la que debe publicarse en el SECOP II”.</w:t>
      </w:r>
    </w:p>
    <w:p w14:paraId="739D6030" w14:textId="77777777" w:rsidR="00DE6F00" w:rsidRPr="004977A2" w:rsidRDefault="00DE6F00" w:rsidP="00DE6F00">
      <w:pPr>
        <w:spacing w:after="120" w:line="276" w:lineRule="auto"/>
        <w:ind w:firstLine="708"/>
        <w:jc w:val="both"/>
        <w:rPr>
          <w:rFonts w:ascii="Verdana" w:hAnsi="Verdana" w:cs="Arial"/>
        </w:rPr>
      </w:pPr>
      <w:r w:rsidRPr="004977A2">
        <w:rPr>
          <w:rFonts w:ascii="Verdana" w:hAnsi="Verdana" w:cs="Arial"/>
        </w:rPr>
        <w:t xml:space="preserve">Conforme a lo anterior, esta Agencia entiende que, en aplicación del artículo 53 de la Ley 2195 de 2022, las entidades exceptuadas están obligadas a publicar en el SECOP II los documentos relacionados con su actividad contractual cuando esta se financie con recursos públicos, aun cuando se rijan por un régimen de derecho privado. En ese sentido, las Cajas de Compensación Familiar, que se rigen por el derecho privado pero ejecutan recursos públicos, deben publicar en el SECOP II los documentos derivados de los contratos celebrados para la ejecución de dichos recursos. </w:t>
      </w:r>
    </w:p>
    <w:p w14:paraId="2FC8D498" w14:textId="77777777" w:rsidR="00E1324D" w:rsidRDefault="00E1324D" w:rsidP="00E1324D">
      <w:pPr>
        <w:spacing w:after="0" w:line="276" w:lineRule="auto"/>
        <w:ind w:firstLine="708"/>
        <w:jc w:val="both"/>
        <w:rPr>
          <w:rFonts w:ascii="Verdana" w:eastAsia="Calibri" w:hAnsi="Verdana" w:cs="Arial"/>
          <w:lang w:val="es-ES"/>
        </w:rPr>
      </w:pPr>
    </w:p>
    <w:p w14:paraId="10369344" w14:textId="77777777" w:rsidR="0087031A" w:rsidRPr="0060676F" w:rsidRDefault="0087031A" w:rsidP="0087031A">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8BC5F6A" w14:textId="77777777" w:rsidR="0087031A" w:rsidRPr="00593A5F" w:rsidRDefault="0087031A" w:rsidP="008703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031A" w:rsidRPr="00593A5F" w14:paraId="42DD39C5" w14:textId="77777777" w:rsidTr="00580B7F">
        <w:trPr>
          <w:trHeight w:val="870"/>
        </w:trPr>
        <w:tc>
          <w:tcPr>
            <w:tcW w:w="8647" w:type="dxa"/>
          </w:tcPr>
          <w:p w14:paraId="3256F8BD" w14:textId="77777777" w:rsidR="0062050E" w:rsidRPr="004977A2" w:rsidRDefault="0062050E" w:rsidP="0062050E">
            <w:pPr>
              <w:pStyle w:val="Prrafodelista"/>
              <w:numPr>
                <w:ilvl w:val="0"/>
                <w:numId w:val="18"/>
              </w:numPr>
              <w:spacing w:before="120" w:line="276" w:lineRule="auto"/>
              <w:jc w:val="both"/>
              <w:rPr>
                <w:rFonts w:ascii="Verdana" w:eastAsia="Times New Roman" w:hAnsi="Verdana" w:cs="Arial"/>
                <w:lang w:eastAsia="es-ES_tradnl"/>
              </w:rPr>
            </w:pPr>
            <w:r w:rsidRPr="004977A2">
              <w:rPr>
                <w:rFonts w:ascii="Verdana" w:eastAsia="Times New Roman" w:hAnsi="Verdana" w:cs="Arial"/>
                <w:lang w:eastAsia="es-ES_tradnl"/>
              </w:rPr>
              <w:t>Ley 1150 de 2007, artículo 3 y 13</w:t>
            </w:r>
          </w:p>
          <w:p w14:paraId="4D913D15" w14:textId="77777777" w:rsidR="0062050E" w:rsidRPr="004977A2" w:rsidRDefault="0062050E" w:rsidP="0062050E">
            <w:pPr>
              <w:pStyle w:val="Prrafodelista"/>
              <w:numPr>
                <w:ilvl w:val="0"/>
                <w:numId w:val="18"/>
              </w:numPr>
              <w:spacing w:before="120" w:line="276" w:lineRule="auto"/>
              <w:jc w:val="both"/>
              <w:rPr>
                <w:rFonts w:ascii="Verdana" w:eastAsia="Times New Roman" w:hAnsi="Verdana" w:cs="Arial"/>
                <w:lang w:eastAsia="es-ES_tradnl"/>
              </w:rPr>
            </w:pPr>
            <w:r w:rsidRPr="004977A2">
              <w:rPr>
                <w:rFonts w:ascii="Verdana" w:eastAsia="Times New Roman" w:hAnsi="Verdana" w:cs="Arial"/>
                <w:lang w:eastAsia="es-ES_tradnl"/>
              </w:rPr>
              <w:t>Ley 2195 de 2022, artículo 53</w:t>
            </w:r>
          </w:p>
          <w:p w14:paraId="57E120F9" w14:textId="77777777" w:rsidR="0062050E" w:rsidRPr="004977A2" w:rsidRDefault="0062050E" w:rsidP="0062050E">
            <w:pPr>
              <w:pStyle w:val="Prrafodelista"/>
              <w:numPr>
                <w:ilvl w:val="0"/>
                <w:numId w:val="18"/>
              </w:numPr>
              <w:spacing w:before="120" w:line="276" w:lineRule="auto"/>
              <w:jc w:val="both"/>
              <w:rPr>
                <w:rFonts w:ascii="Verdana" w:eastAsia="Times New Roman" w:hAnsi="Verdana" w:cs="Arial"/>
                <w:lang w:eastAsia="es-ES_tradnl"/>
              </w:rPr>
            </w:pPr>
            <w:r w:rsidRPr="004977A2">
              <w:rPr>
                <w:rFonts w:ascii="Verdana" w:eastAsia="Calibri" w:hAnsi="Verdana" w:cs="Arial"/>
                <w:kern w:val="2"/>
                <w14:ligatures w14:val="standardContextual"/>
              </w:rPr>
              <w:t xml:space="preserve">Ley 21 de 1982, artículo 39 </w:t>
            </w:r>
          </w:p>
          <w:p w14:paraId="72BAE232" w14:textId="77777777" w:rsidR="0062050E" w:rsidRPr="004977A2" w:rsidRDefault="0062050E" w:rsidP="0062050E">
            <w:pPr>
              <w:pStyle w:val="Prrafodelista"/>
              <w:numPr>
                <w:ilvl w:val="0"/>
                <w:numId w:val="18"/>
              </w:numPr>
              <w:spacing w:before="120" w:line="276" w:lineRule="auto"/>
              <w:jc w:val="both"/>
              <w:rPr>
                <w:rFonts w:ascii="Verdana" w:eastAsia="Times New Roman" w:hAnsi="Verdana" w:cs="Arial"/>
                <w:lang w:eastAsia="es-ES_tradnl"/>
              </w:rPr>
            </w:pPr>
            <w:r w:rsidRPr="004977A2">
              <w:rPr>
                <w:rFonts w:ascii="Verdana" w:eastAsia="Calibri" w:hAnsi="Verdana" w:cs="Arial"/>
                <w:kern w:val="2"/>
                <w14:ligatures w14:val="standardContextual"/>
              </w:rPr>
              <w:t>Ley 1712 de 2014.</w:t>
            </w:r>
          </w:p>
          <w:p w14:paraId="6388DC38" w14:textId="77777777" w:rsidR="0062050E" w:rsidRDefault="0062050E" w:rsidP="0062050E">
            <w:pPr>
              <w:pStyle w:val="Prrafodelista"/>
              <w:numPr>
                <w:ilvl w:val="0"/>
                <w:numId w:val="18"/>
              </w:numPr>
              <w:spacing w:before="120" w:line="276" w:lineRule="auto"/>
              <w:jc w:val="both"/>
              <w:rPr>
                <w:rFonts w:ascii="Verdana" w:eastAsia="Times New Roman" w:hAnsi="Verdana" w:cs="Arial"/>
                <w:lang w:eastAsia="es-ES_tradnl"/>
              </w:rPr>
            </w:pPr>
            <w:r w:rsidRPr="004977A2">
              <w:rPr>
                <w:rFonts w:ascii="Verdana" w:eastAsia="Times New Roman" w:hAnsi="Verdana" w:cs="Arial"/>
                <w:lang w:eastAsia="es-ES_tradnl"/>
              </w:rPr>
              <w:t>Circular 002 del 1 de junio de 2022 , dictada por el Departamento Administrativo de la Presidencia de la República.</w:t>
            </w:r>
          </w:p>
          <w:p w14:paraId="52FEE382" w14:textId="72312C99" w:rsidR="0062050E" w:rsidRPr="0062050E" w:rsidRDefault="0062050E" w:rsidP="0062050E">
            <w:pPr>
              <w:pStyle w:val="Prrafodelista"/>
              <w:numPr>
                <w:ilvl w:val="0"/>
                <w:numId w:val="18"/>
              </w:numPr>
              <w:spacing w:before="120" w:line="276" w:lineRule="auto"/>
              <w:jc w:val="both"/>
              <w:rPr>
                <w:rFonts w:ascii="Verdana" w:eastAsia="Times New Roman" w:hAnsi="Verdana" w:cs="Arial"/>
                <w:lang w:eastAsia="es-ES_tradnl"/>
              </w:rPr>
            </w:pPr>
            <w:r w:rsidRPr="0062050E">
              <w:rPr>
                <w:rFonts w:ascii="Verdana" w:hAnsi="Verdana" w:cs="Arial"/>
              </w:rPr>
              <w:t>Circular Externa No. 002 del 23 de agosto de 2024</w:t>
            </w:r>
          </w:p>
          <w:p w14:paraId="1C1DEB6B" w14:textId="23383725" w:rsidR="0087031A" w:rsidRPr="00332677" w:rsidRDefault="0087031A" w:rsidP="0062050E">
            <w:pPr>
              <w:pStyle w:val="Textoindependiente"/>
              <w:widowControl w:val="0"/>
              <w:tabs>
                <w:tab w:val="left" w:pos="816"/>
              </w:tabs>
              <w:autoSpaceDE w:val="0"/>
              <w:autoSpaceDN w:val="0"/>
              <w:spacing w:after="0" w:line="276" w:lineRule="auto"/>
              <w:ind w:left="454" w:right="108"/>
              <w:jc w:val="both"/>
              <w:rPr>
                <w:rFonts w:ascii="Verdana" w:hAnsi="Verdana" w:cs="Arial"/>
              </w:rPr>
            </w:pPr>
          </w:p>
        </w:tc>
      </w:tr>
    </w:tbl>
    <w:p w14:paraId="3BFE0280" w14:textId="77777777" w:rsidR="0087031A"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AB2AA5D" w14:textId="77777777" w:rsidR="0087031A" w:rsidRDefault="0087031A" w:rsidP="008703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33E7EA9" w14:textId="77777777" w:rsidR="0087031A" w:rsidRPr="00593A5F" w:rsidRDefault="0087031A" w:rsidP="008703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F8E012C" w14:textId="47A81FF0" w:rsidR="0087031A" w:rsidRPr="00AE7E03" w:rsidRDefault="0062050E" w:rsidP="0087031A">
      <w:pPr>
        <w:widowControl w:val="0"/>
        <w:autoSpaceDE w:val="0"/>
        <w:autoSpaceDN w:val="0"/>
        <w:spacing w:after="0" w:line="276" w:lineRule="auto"/>
        <w:jc w:val="both"/>
        <w:rPr>
          <w:rFonts w:ascii="Verdana" w:eastAsia="Arial" w:hAnsi="Verdana" w:cs="Arial"/>
          <w:lang w:val="es-MX" w:eastAsia="es-ES_tradnl"/>
        </w:rPr>
      </w:pPr>
      <w:r w:rsidRPr="004977A2">
        <w:rPr>
          <w:rStyle w:val="normaltextrun"/>
          <w:rFonts w:ascii="Verdana" w:hAnsi="Verdana" w:cs="Arial"/>
          <w:shd w:val="clear" w:color="auto" w:fill="FFFFFF"/>
          <w:lang w:val="es-ES"/>
        </w:rPr>
        <w:t xml:space="preserve">Sobre el principio de publicidad, la obligatoriedad de publicación en la plataforma SECOP II y </w:t>
      </w:r>
      <w:r w:rsidRPr="004977A2">
        <w:rPr>
          <w:rFonts w:ascii="Verdana" w:hAnsi="Verdana"/>
        </w:rPr>
        <w:t>la interpretación del artículo 53 de la Ley 2195 de 2022, se pronunció esta Subdirección en los conceptos CU-367 del 23 de julio de 2020, C-049 del 7 de marzo de 2022, C-120 del 22 de marzo de 2022, C-124 del 22 de marzo de 2022, C-132 del 28 de marzo de 2022,</w:t>
      </w:r>
      <w:r w:rsidRPr="004977A2">
        <w:rPr>
          <w:rStyle w:val="normaltextrun"/>
          <w:rFonts w:ascii="Verdana" w:hAnsi="Verdana" w:cs="Arial"/>
          <w:shd w:val="clear" w:color="auto" w:fill="FFFFFF"/>
          <w:lang w:val="es-ES"/>
        </w:rPr>
        <w:t xml:space="preserve"> C-941-2024, C-009 de 2025, C-073 de 2025, C-139 de 2025</w:t>
      </w:r>
      <w:r w:rsidR="005467AB">
        <w:rPr>
          <w:rFonts w:ascii="Verdana" w:eastAsia="Calibri" w:hAnsi="Verdana" w:cs="Arial"/>
          <w:color w:val="000000" w:themeColor="text1"/>
          <w:lang w:val="es-ES"/>
        </w:rPr>
        <w:t>,</w:t>
      </w:r>
      <w:r>
        <w:rPr>
          <w:rFonts w:ascii="Verdana" w:eastAsia="Calibri" w:hAnsi="Verdana" w:cs="Arial"/>
          <w:color w:val="000000" w:themeColor="text1"/>
          <w:lang w:val="es-ES"/>
        </w:rPr>
        <w:t xml:space="preserve"> C-294 de 2025,</w:t>
      </w:r>
      <w:r w:rsidR="006E42DC" w:rsidRPr="005467AB">
        <w:rPr>
          <w:rFonts w:ascii="Verdana" w:eastAsia="Calibri" w:hAnsi="Verdana" w:cs="Arial"/>
          <w:color w:val="000000" w:themeColor="text1"/>
          <w:lang w:eastAsia="es-ES_tradnl"/>
        </w:rPr>
        <w:t xml:space="preserve"> entre</w:t>
      </w:r>
      <w:r w:rsidR="006E42DC">
        <w:rPr>
          <w:rFonts w:ascii="Verdana" w:eastAsia="Calibri" w:hAnsi="Verdana" w:cs="Arial"/>
          <w:color w:val="000000" w:themeColor="text1"/>
          <w:lang w:eastAsia="es-ES_tradnl"/>
        </w:rPr>
        <w:t xml:space="preserve"> otros</w:t>
      </w:r>
      <w:r w:rsidR="00DA08E3">
        <w:rPr>
          <w:rFonts w:ascii="Verdana" w:eastAsia="Calibri" w:hAnsi="Verdana" w:cs="Arial"/>
          <w:shd w:val="clear" w:color="auto" w:fill="FFFFFF"/>
        </w:rPr>
        <w:t>.</w:t>
      </w:r>
      <w:r w:rsidR="0087031A" w:rsidRPr="00185EE9">
        <w:rPr>
          <w:rFonts w:ascii="Verdana" w:eastAsia="Calibri" w:hAnsi="Verdana" w:cs="Times New Roman"/>
        </w:rPr>
        <w:t xml:space="preserve"> </w:t>
      </w:r>
      <w:r w:rsidR="004B10BA">
        <w:rPr>
          <w:rFonts w:ascii="Verdana" w:eastAsia="Calibri" w:hAnsi="Verdana" w:cs="Times New Roman"/>
        </w:rPr>
        <w:t>E</w:t>
      </w:r>
      <w:r w:rsidR="0087031A">
        <w:rPr>
          <w:rFonts w:ascii="Verdana" w:eastAsia="Calibri" w:hAnsi="Verdana" w:cs="Times New Roman"/>
        </w:rPr>
        <w:t xml:space="preserve">stos </w:t>
      </w:r>
      <w:r w:rsidR="0087031A"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5CFBE6B" w14:textId="77777777" w:rsidR="0087031A" w:rsidRPr="0065720B" w:rsidRDefault="0087031A" w:rsidP="0087031A">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0208491B" w14:textId="77777777" w:rsidR="0087031A" w:rsidRPr="00505CD6" w:rsidRDefault="0087031A" w:rsidP="0087031A">
      <w:pPr>
        <w:widowControl w:val="0"/>
        <w:autoSpaceDE w:val="0"/>
        <w:autoSpaceDN w:val="0"/>
        <w:spacing w:after="0" w:line="276" w:lineRule="auto"/>
        <w:jc w:val="both"/>
        <w:rPr>
          <w:rFonts w:ascii="Verdana" w:hAnsi="Verdana" w:cs="Arial"/>
          <w:color w:val="000000" w:themeColor="text1"/>
          <w:shd w:val="clear" w:color="auto" w:fill="FFFFFF"/>
        </w:rPr>
      </w:pPr>
    </w:p>
    <w:p w14:paraId="12E9336E" w14:textId="77777777" w:rsidR="0087031A" w:rsidRDefault="0087031A" w:rsidP="0087031A">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1766B34B" w14:textId="77777777" w:rsidR="0087031A" w:rsidRDefault="0087031A" w:rsidP="0087031A">
      <w:pPr>
        <w:widowControl w:val="0"/>
        <w:autoSpaceDE w:val="0"/>
        <w:autoSpaceDN w:val="0"/>
        <w:spacing w:after="0" w:line="276" w:lineRule="auto"/>
        <w:jc w:val="both"/>
      </w:pPr>
    </w:p>
    <w:p w14:paraId="59F914CB" w14:textId="77777777" w:rsidR="0087031A" w:rsidRPr="00505CD6" w:rsidRDefault="0087031A" w:rsidP="0087031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39F93B3" w14:textId="77777777" w:rsidR="0087031A" w:rsidRPr="00505CD6" w:rsidRDefault="0087031A" w:rsidP="0087031A">
      <w:pPr>
        <w:widowControl w:val="0"/>
        <w:autoSpaceDE w:val="0"/>
        <w:autoSpaceDN w:val="0"/>
        <w:spacing w:after="0" w:line="276" w:lineRule="auto"/>
        <w:jc w:val="both"/>
        <w:rPr>
          <w:rFonts w:ascii="Verdana" w:hAnsi="Verdana" w:cs="Arial"/>
        </w:rPr>
      </w:pPr>
    </w:p>
    <w:p w14:paraId="5BF21FB4" w14:textId="77777777" w:rsidR="0087031A" w:rsidRPr="00505CD6" w:rsidRDefault="0087031A" w:rsidP="0087031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2B728E2" w14:textId="77777777" w:rsidR="0087031A" w:rsidRDefault="0087031A" w:rsidP="0087031A">
      <w:pPr>
        <w:spacing w:line="276" w:lineRule="auto"/>
        <w:jc w:val="center"/>
        <w:rPr>
          <w:rFonts w:ascii="Verdana" w:hAnsi="Verdana"/>
          <w:noProof/>
        </w:rPr>
      </w:pPr>
    </w:p>
    <w:p w14:paraId="3F097FA3" w14:textId="608BE33E" w:rsidR="00AC6E46" w:rsidRPr="00AC6E46" w:rsidRDefault="00AC6E46" w:rsidP="00AC6E46">
      <w:pPr>
        <w:spacing w:line="276" w:lineRule="auto"/>
        <w:jc w:val="center"/>
        <w:rPr>
          <w:rFonts w:ascii="Verdana" w:hAnsi="Verdana"/>
          <w:noProof/>
        </w:rPr>
      </w:pPr>
      <w:r w:rsidRPr="00AC6E46">
        <w:rPr>
          <w:rFonts w:ascii="Verdana" w:hAnsi="Verdana"/>
          <w:noProof/>
        </w:rPr>
        <w:drawing>
          <wp:inline distT="0" distB="0" distL="0" distR="0" wp14:anchorId="21CC8B52" wp14:editId="6567F76C">
            <wp:extent cx="4248150" cy="1781175"/>
            <wp:effectExtent l="0" t="0" r="0" b="9525"/>
            <wp:docPr id="165258553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48150" cy="178117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031A" w:rsidRPr="00593A5F" w14:paraId="7952AB6B" w14:textId="77777777" w:rsidTr="00580B7F">
        <w:trPr>
          <w:trHeight w:val="315"/>
        </w:trPr>
        <w:tc>
          <w:tcPr>
            <w:tcW w:w="893" w:type="dxa"/>
            <w:vAlign w:val="center"/>
            <w:hideMark/>
          </w:tcPr>
          <w:p w14:paraId="12808F0D"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FCA52F" w14:textId="12471F21" w:rsidR="0087031A" w:rsidRPr="007911EE" w:rsidRDefault="0087031A" w:rsidP="00580B7F">
            <w:pPr>
              <w:contextualSpacing/>
              <w:rPr>
                <w:rFonts w:ascii="Verdana" w:hAnsi="Verdana"/>
                <w:sz w:val="16"/>
                <w:szCs w:val="16"/>
              </w:rPr>
            </w:pPr>
            <w:r w:rsidRPr="007911EE">
              <w:rPr>
                <w:rFonts w:ascii="Verdana" w:hAnsi="Verdana"/>
                <w:sz w:val="16"/>
                <w:szCs w:val="16"/>
              </w:rPr>
              <w:t xml:space="preserve">Nicolas </w:t>
            </w:r>
            <w:r w:rsidR="007911EE" w:rsidRPr="007911EE">
              <w:rPr>
                <w:rFonts w:ascii="Verdana" w:hAnsi="Verdana"/>
                <w:sz w:val="16"/>
                <w:szCs w:val="16"/>
              </w:rPr>
              <w:t>Andrés</w:t>
            </w:r>
            <w:r w:rsidRPr="007911EE">
              <w:rPr>
                <w:rFonts w:ascii="Verdana" w:hAnsi="Verdana"/>
                <w:sz w:val="16"/>
                <w:szCs w:val="16"/>
              </w:rPr>
              <w:t xml:space="preserve"> </w:t>
            </w:r>
            <w:r w:rsidR="007911EE" w:rsidRPr="007911EE">
              <w:rPr>
                <w:rFonts w:ascii="Verdana" w:hAnsi="Verdana"/>
                <w:sz w:val="16"/>
                <w:szCs w:val="16"/>
              </w:rPr>
              <w:t>Guzmán</w:t>
            </w:r>
            <w:r w:rsidRPr="007911EE">
              <w:rPr>
                <w:rFonts w:ascii="Verdana" w:hAnsi="Verdana"/>
                <w:sz w:val="16"/>
                <w:szCs w:val="16"/>
              </w:rPr>
              <w:t xml:space="preserve"> </w:t>
            </w:r>
          </w:p>
          <w:p w14:paraId="3F59F682" w14:textId="77777777" w:rsidR="0087031A" w:rsidRPr="007911EE" w:rsidRDefault="0087031A" w:rsidP="00580B7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7031A" w:rsidRPr="00593A5F" w14:paraId="517166CF" w14:textId="77777777" w:rsidTr="00580B7F">
        <w:trPr>
          <w:trHeight w:val="330"/>
        </w:trPr>
        <w:tc>
          <w:tcPr>
            <w:tcW w:w="893" w:type="dxa"/>
            <w:vAlign w:val="center"/>
            <w:hideMark/>
          </w:tcPr>
          <w:p w14:paraId="73873209" w14:textId="77777777" w:rsidR="0087031A" w:rsidRPr="003751C7" w:rsidRDefault="0087031A" w:rsidP="00580B7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9B9AAD" w14:textId="54D87704" w:rsidR="00BC5770" w:rsidRDefault="007626D0" w:rsidP="00BC5770">
            <w:pPr>
              <w:spacing w:line="276" w:lineRule="auto"/>
              <w:contextualSpacing/>
              <w:jc w:val="both"/>
              <w:rPr>
                <w:rFonts w:ascii="Verdana" w:hAnsi="Verdana"/>
                <w:sz w:val="16"/>
                <w:szCs w:val="16"/>
              </w:rPr>
            </w:pPr>
            <w:r>
              <w:rPr>
                <w:rFonts w:ascii="Verdana" w:hAnsi="Verdana"/>
                <w:sz w:val="16"/>
                <w:szCs w:val="16"/>
              </w:rPr>
              <w:t>Diana Lucia Saavedra</w:t>
            </w:r>
          </w:p>
          <w:p w14:paraId="634B0E53" w14:textId="1B300924" w:rsidR="0087031A" w:rsidRPr="007911EE" w:rsidRDefault="004B10BA" w:rsidP="00BC5770">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Contratita </w:t>
            </w:r>
            <w:r w:rsidR="007911EE" w:rsidRPr="00CD7324">
              <w:rPr>
                <w:rStyle w:val="normaltextrun"/>
                <w:rFonts w:ascii="Verdana" w:eastAsia="Arial" w:hAnsi="Verdana"/>
                <w:sz w:val="16"/>
                <w:szCs w:val="16"/>
              </w:rPr>
              <w:t>de la</w:t>
            </w:r>
            <w:r w:rsidR="0087031A" w:rsidRPr="007911EE">
              <w:rPr>
                <w:rStyle w:val="normaltextrun"/>
                <w:rFonts w:ascii="Verdana" w:eastAsia="Arial" w:hAnsi="Verdana" w:cs="Arial"/>
                <w:sz w:val="16"/>
                <w:szCs w:val="16"/>
              </w:rPr>
              <w:t xml:space="preserve"> Subdirección de Gestión Contractual</w:t>
            </w:r>
          </w:p>
        </w:tc>
      </w:tr>
      <w:tr w:rsidR="004F18D3" w:rsidRPr="00593A5F" w14:paraId="5BCB255D" w14:textId="77777777" w:rsidTr="00580B7F">
        <w:trPr>
          <w:trHeight w:val="330"/>
        </w:trPr>
        <w:tc>
          <w:tcPr>
            <w:tcW w:w="893" w:type="dxa"/>
            <w:vAlign w:val="center"/>
          </w:tcPr>
          <w:p w14:paraId="527C3AA8" w14:textId="4AF2DAE0" w:rsidR="004F18D3" w:rsidRPr="003751C7" w:rsidRDefault="004F18D3" w:rsidP="004F18D3">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C3A47B" w14:textId="122A9C0D" w:rsidR="004F18D3" w:rsidRPr="00EB1CF7" w:rsidRDefault="005467AB" w:rsidP="004F18D3">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w:t>
            </w:r>
          </w:p>
          <w:p w14:paraId="02E30F35" w14:textId="69494424" w:rsidR="004F18D3" w:rsidRDefault="004F18D3" w:rsidP="004F18D3">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w:t>
            </w:r>
            <w:r w:rsidR="005467AB" w:rsidRPr="00EB1CF7">
              <w:rPr>
                <w:rFonts w:ascii="Verdana" w:eastAsia="Calibri" w:hAnsi="Verdana" w:cs="Arial"/>
                <w:sz w:val="16"/>
                <w:szCs w:val="16"/>
                <w:lang w:val="pt-BR" w:eastAsia="es-ES"/>
              </w:rPr>
              <w:t>Contratual</w:t>
            </w:r>
            <w:r w:rsidR="005467AB">
              <w:rPr>
                <w:rFonts w:ascii="Verdana" w:eastAsia="Calibri" w:hAnsi="Verdana" w:cs="Arial"/>
                <w:sz w:val="16"/>
                <w:szCs w:val="16"/>
                <w:lang w:val="pt-BR" w:eastAsia="es-ES"/>
              </w:rPr>
              <w:t xml:space="preserve"> (E)</w:t>
            </w:r>
            <w:r w:rsidRPr="00EB1CF7">
              <w:rPr>
                <w:rFonts w:ascii="Verdana" w:eastAsia="Calibri" w:hAnsi="Verdana" w:cs="Arial"/>
                <w:sz w:val="16"/>
                <w:szCs w:val="16"/>
                <w:lang w:val="pt-BR" w:eastAsia="es-ES"/>
              </w:rPr>
              <w:t xml:space="preserve"> ANCP – CCE</w:t>
            </w:r>
          </w:p>
        </w:tc>
      </w:tr>
      <w:bookmarkEnd w:id="1"/>
      <w:bookmarkEnd w:id="2"/>
      <w:bookmarkEnd w:id="3"/>
    </w:tbl>
    <w:p w14:paraId="453A161B" w14:textId="77777777" w:rsidR="0087031A" w:rsidRPr="00EA6F8B" w:rsidRDefault="0087031A" w:rsidP="0087031A"/>
    <w:p w14:paraId="56912649" w14:textId="77777777" w:rsidR="00DE435A" w:rsidRPr="00DE435A" w:rsidRDefault="00DE435A" w:rsidP="00DE435A">
      <w:pPr>
        <w:rPr>
          <w:lang w:val="es-ES"/>
        </w:rPr>
      </w:pPr>
    </w:p>
    <w:sectPr w:rsidR="00DE435A" w:rsidRPr="00DE435A"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D0998" w14:textId="77777777" w:rsidR="00856A8F" w:rsidRDefault="00856A8F" w:rsidP="004A1847">
      <w:pPr>
        <w:spacing w:after="0" w:line="240" w:lineRule="auto"/>
      </w:pPr>
      <w:r>
        <w:separator/>
      </w:r>
    </w:p>
  </w:endnote>
  <w:endnote w:type="continuationSeparator" w:id="0">
    <w:p w14:paraId="095B4C51" w14:textId="77777777" w:rsidR="00856A8F" w:rsidRDefault="00856A8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8E0FB" w14:textId="77777777" w:rsidR="00856A8F" w:rsidRDefault="00856A8F" w:rsidP="004A1847">
      <w:pPr>
        <w:spacing w:after="0" w:line="240" w:lineRule="auto"/>
      </w:pPr>
      <w:r>
        <w:separator/>
      </w:r>
    </w:p>
  </w:footnote>
  <w:footnote w:type="continuationSeparator" w:id="0">
    <w:p w14:paraId="0293B4BD" w14:textId="77777777" w:rsidR="00856A8F" w:rsidRDefault="00856A8F" w:rsidP="004A1847">
      <w:pPr>
        <w:spacing w:after="0" w:line="240" w:lineRule="auto"/>
      </w:pPr>
      <w:r>
        <w:continuationSeparator/>
      </w:r>
    </w:p>
  </w:footnote>
  <w:footnote w:id="1">
    <w:p w14:paraId="778010F6" w14:textId="77777777" w:rsidR="00DE6F00" w:rsidRPr="00DE6F00" w:rsidRDefault="00DE6F00" w:rsidP="00DE6F00">
      <w:pPr>
        <w:pStyle w:val="Textonotapie"/>
        <w:ind w:firstLine="708"/>
        <w:jc w:val="both"/>
        <w:rPr>
          <w:rFonts w:ascii="Verdana" w:hAnsi="Verdana" w:cs="Arial"/>
          <w:color w:val="000000"/>
          <w:sz w:val="16"/>
          <w:szCs w:val="16"/>
        </w:rPr>
      </w:pPr>
      <w:r w:rsidRPr="00DE6F00">
        <w:rPr>
          <w:rStyle w:val="Refdenotaalpie"/>
          <w:rFonts w:ascii="Verdana" w:hAnsi="Verdana" w:cs="Arial"/>
          <w:color w:val="000000"/>
          <w:sz w:val="16"/>
          <w:szCs w:val="16"/>
        </w:rPr>
        <w:footnoteRef/>
      </w:r>
      <w:r w:rsidRPr="00DE6F00">
        <w:rPr>
          <w:rFonts w:ascii="Verdana" w:hAnsi="Verdana" w:cs="Arial"/>
          <w:color w:val="000000"/>
          <w:sz w:val="16"/>
          <w:szCs w:val="16"/>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p w14:paraId="0717B391" w14:textId="77777777" w:rsidR="00DE6F00" w:rsidRPr="00DE6F00" w:rsidRDefault="00DE6F00" w:rsidP="00DE6F00">
      <w:pPr>
        <w:pStyle w:val="Textonotapie"/>
        <w:ind w:firstLine="708"/>
        <w:jc w:val="both"/>
        <w:rPr>
          <w:rFonts w:ascii="Verdana" w:hAnsi="Verdana" w:cs="Arial"/>
          <w:color w:val="000000"/>
          <w:sz w:val="16"/>
          <w:szCs w:val="16"/>
        </w:rPr>
      </w:pPr>
    </w:p>
  </w:footnote>
  <w:footnote w:id="2">
    <w:p w14:paraId="33508171" w14:textId="77777777" w:rsidR="00DE6F00" w:rsidRPr="00DE6F00" w:rsidRDefault="00DE6F00" w:rsidP="00DE6F00">
      <w:pPr>
        <w:pStyle w:val="Textonotapie"/>
        <w:ind w:firstLine="708"/>
        <w:jc w:val="both"/>
        <w:rPr>
          <w:rFonts w:ascii="Verdana" w:hAnsi="Verdana" w:cs="Arial"/>
          <w:color w:val="000000"/>
          <w:sz w:val="16"/>
          <w:szCs w:val="16"/>
        </w:rPr>
      </w:pPr>
      <w:r w:rsidRPr="00DE6F00">
        <w:rPr>
          <w:rStyle w:val="Refdenotaalpie"/>
          <w:rFonts w:ascii="Verdana" w:hAnsi="Verdana" w:cs="Arial"/>
          <w:color w:val="000000"/>
          <w:sz w:val="16"/>
          <w:szCs w:val="16"/>
        </w:rPr>
        <w:footnoteRef/>
      </w:r>
      <w:r w:rsidRPr="00DE6F00">
        <w:rPr>
          <w:rFonts w:ascii="Verdana" w:hAnsi="Verdana" w:cs="Arial"/>
          <w:color w:val="000000"/>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328295A2" w14:textId="77777777" w:rsidR="00DE6F00" w:rsidRPr="00DE6F00" w:rsidRDefault="00DE6F00" w:rsidP="00DE6F00">
      <w:pPr>
        <w:pStyle w:val="Textonotapie"/>
        <w:spacing w:before="120"/>
        <w:ind w:firstLine="709"/>
        <w:jc w:val="both"/>
        <w:rPr>
          <w:rFonts w:ascii="Verdana" w:hAnsi="Verdana" w:cs="Arial"/>
          <w:color w:val="000000"/>
          <w:sz w:val="16"/>
          <w:szCs w:val="16"/>
        </w:rPr>
      </w:pPr>
      <w:r w:rsidRPr="00DE6F00">
        <w:rPr>
          <w:rFonts w:ascii="Verdana" w:hAnsi="Verdana" w:cs="Arial"/>
          <w:color w:val="000000"/>
          <w:sz w:val="16"/>
          <w:szCs w:val="16"/>
        </w:rPr>
        <w:t>La ausencia de lucro es una de sus características fundamentales, lo cual significa que no existe el reparto de utilidades o remanentes generados en el desarrollo de sus objetivos, ni es viable el reembolso de los bienes o dineros aportados a la entidad […]”.</w:t>
      </w:r>
    </w:p>
    <w:p w14:paraId="56B32990" w14:textId="77777777" w:rsidR="00DE6F00" w:rsidRPr="00DE6F00" w:rsidRDefault="00DE6F00" w:rsidP="00DE6F00">
      <w:pPr>
        <w:pStyle w:val="Textonotapie"/>
        <w:ind w:firstLine="708"/>
        <w:jc w:val="both"/>
        <w:rPr>
          <w:rFonts w:ascii="Verdana" w:hAnsi="Verdana" w:cs="Arial"/>
          <w:color w:val="000000"/>
          <w:sz w:val="16"/>
          <w:szCs w:val="16"/>
        </w:rPr>
      </w:pPr>
    </w:p>
  </w:footnote>
  <w:footnote w:id="3">
    <w:p w14:paraId="324E5E9E" w14:textId="77777777" w:rsidR="00DE6F00" w:rsidRPr="00DE6F00" w:rsidRDefault="00DE6F00" w:rsidP="00DE6F00">
      <w:pPr>
        <w:pStyle w:val="Textonotapie"/>
        <w:ind w:firstLine="708"/>
        <w:jc w:val="both"/>
        <w:rPr>
          <w:rFonts w:ascii="Verdana" w:hAnsi="Verdana" w:cs="Arial"/>
          <w:sz w:val="16"/>
          <w:szCs w:val="16"/>
          <w:lang w:val="es-CO"/>
        </w:rPr>
      </w:pPr>
      <w:r w:rsidRPr="00DE6F00">
        <w:rPr>
          <w:rStyle w:val="Refdenotaalpie"/>
          <w:rFonts w:ascii="Verdana" w:hAnsi="Verdana" w:cs="Arial"/>
          <w:sz w:val="16"/>
          <w:szCs w:val="16"/>
        </w:rPr>
        <w:footnoteRef/>
      </w:r>
      <w:r w:rsidRPr="00DE6F00">
        <w:rPr>
          <w:rFonts w:ascii="Verdana" w:hAnsi="Verdana" w:cs="Arial"/>
          <w:sz w:val="16"/>
          <w:szCs w:val="16"/>
        </w:rPr>
        <w:t xml:space="preserve"> CONSEJO DE ESTADO. Sentencia del 02 de diciembre de 2015. Radicado No. 11001-03-06-000-2015-00144-00(2267). M.P. William Zambrano Centina</w:t>
      </w:r>
    </w:p>
  </w:footnote>
  <w:footnote w:id="4">
    <w:p w14:paraId="03909D0F" w14:textId="77777777" w:rsidR="00DE6F00" w:rsidRPr="00DE6F00" w:rsidRDefault="00DE6F00" w:rsidP="00DE6F00">
      <w:pPr>
        <w:pStyle w:val="Textonotapie"/>
        <w:jc w:val="both"/>
        <w:rPr>
          <w:rFonts w:ascii="Verdana" w:hAnsi="Verdana" w:cs="Arial"/>
          <w:sz w:val="16"/>
          <w:szCs w:val="16"/>
        </w:rPr>
      </w:pPr>
    </w:p>
    <w:p w14:paraId="5DE5EAC4" w14:textId="77777777" w:rsidR="00DE6F00" w:rsidRPr="00DE6F00" w:rsidRDefault="00DE6F00" w:rsidP="00DE6F00">
      <w:pPr>
        <w:pStyle w:val="Textonotapie"/>
        <w:jc w:val="both"/>
        <w:rPr>
          <w:rFonts w:ascii="Verdana" w:hAnsi="Verdana" w:cs="Arial"/>
          <w:sz w:val="16"/>
          <w:szCs w:val="16"/>
        </w:rPr>
      </w:pPr>
      <w:r w:rsidRPr="00DE6F00">
        <w:rPr>
          <w:rStyle w:val="Refdenotaalpie"/>
          <w:rFonts w:ascii="Verdana" w:hAnsi="Verdana" w:cs="Arial"/>
          <w:sz w:val="16"/>
          <w:szCs w:val="16"/>
        </w:rPr>
        <w:footnoteRef/>
      </w:r>
      <w:r w:rsidRPr="00DE6F00">
        <w:rPr>
          <w:rFonts w:ascii="Verdana" w:hAnsi="Verdana" w:cs="Arial"/>
          <w:sz w:val="16"/>
          <w:szCs w:val="16"/>
        </w:rPr>
        <w:t xml:space="preserve"> Consejo de Estado, Sala de Consulta y Servicio Civil. Concepto del 15 de agosto de 2006, </w:t>
      </w:r>
      <w:r w:rsidRPr="00DE6F00">
        <w:rPr>
          <w:rFonts w:ascii="Verdana" w:hAnsi="Verdana" w:cs="Arial"/>
          <w:bCs/>
          <w:sz w:val="16"/>
          <w:szCs w:val="16"/>
        </w:rPr>
        <w:t xml:space="preserve">Radicación número: </w:t>
      </w:r>
      <w:r w:rsidRPr="00DE6F00">
        <w:rPr>
          <w:rFonts w:ascii="Verdana" w:hAnsi="Verdana" w:cs="Arial"/>
          <w:sz w:val="16"/>
          <w:szCs w:val="16"/>
        </w:rPr>
        <w:t>11001-03-06-000-2006-00073-00(1763).</w:t>
      </w:r>
    </w:p>
  </w:footnote>
  <w:footnote w:id="5">
    <w:p w14:paraId="586C4262" w14:textId="77777777" w:rsidR="00DE6F00" w:rsidRPr="00DE6F00" w:rsidRDefault="00DE6F00" w:rsidP="00DE6F00">
      <w:pPr>
        <w:pStyle w:val="Textonotapie"/>
        <w:ind w:firstLine="709"/>
        <w:jc w:val="both"/>
        <w:rPr>
          <w:rFonts w:ascii="Verdana" w:hAnsi="Verdana" w:cs="Arial"/>
          <w:sz w:val="16"/>
          <w:szCs w:val="16"/>
        </w:rPr>
      </w:pPr>
    </w:p>
    <w:p w14:paraId="4C3B99FE" w14:textId="77777777" w:rsidR="00DE6F00" w:rsidRPr="00DE6F00" w:rsidRDefault="00DE6F00" w:rsidP="00DE6F00">
      <w:pPr>
        <w:pStyle w:val="Textonotapie"/>
        <w:ind w:firstLine="709"/>
        <w:jc w:val="both"/>
        <w:rPr>
          <w:rFonts w:ascii="Verdana" w:hAnsi="Verdana" w:cs="Arial"/>
          <w:sz w:val="16"/>
          <w:szCs w:val="16"/>
          <w:lang w:val="es-ES"/>
        </w:rPr>
      </w:pPr>
      <w:r w:rsidRPr="00DE6F00">
        <w:rPr>
          <w:rStyle w:val="Refdenotaalpie"/>
          <w:rFonts w:ascii="Verdana" w:hAnsi="Verdana" w:cs="Arial"/>
          <w:sz w:val="16"/>
          <w:szCs w:val="16"/>
        </w:rPr>
        <w:footnoteRef/>
      </w:r>
      <w:r w:rsidRPr="00DE6F00">
        <w:rPr>
          <w:rFonts w:ascii="Verdana" w:hAnsi="Verdana" w:cs="Arial"/>
          <w:sz w:val="16"/>
          <w:szCs w:val="16"/>
        </w:rPr>
        <w:t xml:space="preserve"> </w:t>
      </w:r>
      <w:r w:rsidRPr="00DE6F00">
        <w:rPr>
          <w:rFonts w:ascii="Verdana" w:hAnsi="Verdana" w:cs="Arial"/>
          <w:sz w:val="16"/>
          <w:szCs w:val="16"/>
          <w:lang w:val="es-ES"/>
        </w:rPr>
        <w:t>BOBBIO, Norberto. Democracia y secreto. México: Fondo de Cultura Económica, 2013. p. 27.</w:t>
      </w:r>
    </w:p>
  </w:footnote>
  <w:footnote w:id="6">
    <w:p w14:paraId="258F90CC" w14:textId="77777777" w:rsidR="00DE6F00" w:rsidRPr="00DE6F00" w:rsidRDefault="00DE6F00" w:rsidP="00DE6F00">
      <w:pPr>
        <w:pStyle w:val="Textonotapie"/>
        <w:ind w:firstLine="709"/>
        <w:jc w:val="both"/>
        <w:rPr>
          <w:rFonts w:ascii="Verdana" w:hAnsi="Verdana" w:cs="Arial"/>
          <w:color w:val="000000"/>
          <w:sz w:val="16"/>
          <w:szCs w:val="16"/>
        </w:rPr>
      </w:pPr>
    </w:p>
    <w:p w14:paraId="0FB2AEB0" w14:textId="77777777" w:rsidR="00DE6F00" w:rsidRPr="00DE6F00" w:rsidRDefault="00DE6F00" w:rsidP="00DE6F00">
      <w:pPr>
        <w:pStyle w:val="Textonotapie"/>
        <w:ind w:firstLine="709"/>
        <w:jc w:val="both"/>
        <w:rPr>
          <w:rFonts w:ascii="Verdana" w:hAnsi="Verdana" w:cs="Arial"/>
          <w:color w:val="000000"/>
          <w:sz w:val="16"/>
          <w:szCs w:val="16"/>
        </w:rPr>
      </w:pPr>
      <w:r w:rsidRPr="00DE6F00">
        <w:rPr>
          <w:rStyle w:val="Refdenotaalpie"/>
          <w:rFonts w:ascii="Verdana" w:hAnsi="Verdana" w:cs="Arial"/>
          <w:color w:val="000000"/>
          <w:sz w:val="16"/>
          <w:szCs w:val="16"/>
        </w:rPr>
        <w:footnoteRef/>
      </w:r>
      <w:r w:rsidRPr="00DE6F00">
        <w:rPr>
          <w:rFonts w:ascii="Verdana" w:hAnsi="Verdana" w:cs="Arial"/>
          <w:color w:val="000000"/>
          <w:sz w:val="16"/>
          <w:szCs w:val="16"/>
        </w:rPr>
        <w:t xml:space="preserve"> Corte Constitucional. Sentencia C- 341 del 4 de junio de 2014. M. P. Mauricio González Cuervo.</w:t>
      </w:r>
    </w:p>
    <w:p w14:paraId="54E461D7" w14:textId="77777777" w:rsidR="00DE6F00" w:rsidRPr="00DE6F00" w:rsidRDefault="00DE6F00" w:rsidP="00DE6F00">
      <w:pPr>
        <w:pStyle w:val="Textonotapie"/>
        <w:ind w:firstLine="709"/>
        <w:jc w:val="both"/>
        <w:rPr>
          <w:rFonts w:ascii="Verdana" w:hAnsi="Verdana" w:cs="Arial"/>
          <w:color w:val="000000"/>
          <w:sz w:val="16"/>
          <w:szCs w:val="16"/>
        </w:rPr>
      </w:pPr>
    </w:p>
  </w:footnote>
  <w:footnote w:id="7">
    <w:p w14:paraId="588A4F05" w14:textId="77777777" w:rsidR="00DE6F00" w:rsidRPr="00DE6F00" w:rsidRDefault="00DE6F00" w:rsidP="00DE6F00">
      <w:pPr>
        <w:pStyle w:val="Textonotapie"/>
        <w:ind w:firstLine="709"/>
        <w:jc w:val="both"/>
        <w:rPr>
          <w:rFonts w:ascii="Verdana" w:hAnsi="Verdana" w:cs="Arial"/>
          <w:color w:val="000000"/>
          <w:sz w:val="16"/>
          <w:szCs w:val="16"/>
        </w:rPr>
      </w:pPr>
      <w:r w:rsidRPr="00DE6F00">
        <w:rPr>
          <w:rStyle w:val="Refdenotaalpie"/>
          <w:rFonts w:ascii="Verdana" w:hAnsi="Verdana" w:cs="Arial"/>
          <w:color w:val="000000"/>
          <w:sz w:val="16"/>
          <w:szCs w:val="16"/>
        </w:rPr>
        <w:footnoteRef/>
      </w:r>
      <w:r w:rsidRPr="00DE6F00">
        <w:rPr>
          <w:rFonts w:ascii="Verdana" w:hAnsi="Verdana" w:cs="Arial"/>
          <w:color w:val="000000"/>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D064B75" w14:textId="77777777" w:rsidR="00DE6F00" w:rsidRPr="00DE6F00" w:rsidRDefault="00DE6F00" w:rsidP="00DE6F00">
      <w:pPr>
        <w:pStyle w:val="Textonotapie"/>
        <w:ind w:firstLine="709"/>
        <w:jc w:val="both"/>
        <w:rPr>
          <w:rFonts w:ascii="Verdana" w:hAnsi="Verdana" w:cs="Arial"/>
          <w:color w:val="000000"/>
          <w:sz w:val="16"/>
          <w:szCs w:val="16"/>
        </w:rPr>
      </w:pPr>
    </w:p>
    <w:p w14:paraId="05899CC7"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Lo anterior, sin perjuicio de las publicaciones previstas en el numeral 3 del artículo 30 de la Ley 80 de 1993.</w:t>
      </w:r>
    </w:p>
    <w:p w14:paraId="0B502688"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 xml:space="preserve">Con el fin de materializar los objetivos a que se refiere el inciso anterior, el Gobierno Nacional desarrollará el Sistema Electrónico para la Contratación Pública, Secop, el cual: </w:t>
      </w:r>
    </w:p>
    <w:p w14:paraId="1CE2F7A4"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w:t>
      </w:r>
    </w:p>
    <w:p w14:paraId="4A4305F3"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08481E09" w14:textId="77777777" w:rsidR="00DE6F00" w:rsidRPr="00DE6F00" w:rsidRDefault="00DE6F00" w:rsidP="00DE6F00">
      <w:pPr>
        <w:pStyle w:val="Textonotapie"/>
        <w:ind w:firstLine="709"/>
        <w:jc w:val="both"/>
        <w:rPr>
          <w:rFonts w:ascii="Verdana" w:hAnsi="Verdana" w:cs="Arial"/>
          <w:color w:val="000000"/>
          <w:sz w:val="16"/>
          <w:szCs w:val="16"/>
          <w:lang w:val="es-CO"/>
        </w:rPr>
      </w:pPr>
    </w:p>
  </w:footnote>
  <w:footnote w:id="8">
    <w:p w14:paraId="51B5022E" w14:textId="77777777" w:rsidR="00DE6F00" w:rsidRPr="00DE6F00" w:rsidRDefault="00DE6F00" w:rsidP="00DE6F00">
      <w:pPr>
        <w:pStyle w:val="Textonotapie"/>
        <w:ind w:firstLine="709"/>
        <w:jc w:val="both"/>
        <w:rPr>
          <w:rFonts w:ascii="Verdana" w:hAnsi="Verdana" w:cs="Arial"/>
          <w:color w:val="000000"/>
          <w:sz w:val="16"/>
          <w:szCs w:val="16"/>
        </w:rPr>
      </w:pPr>
      <w:r w:rsidRPr="00DE6F00">
        <w:rPr>
          <w:rStyle w:val="Refdenotaalpie"/>
          <w:rFonts w:ascii="Verdana" w:hAnsi="Verdana" w:cs="Arial"/>
          <w:color w:val="000000"/>
          <w:sz w:val="16"/>
          <w:szCs w:val="16"/>
        </w:rPr>
        <w:footnoteRef/>
      </w:r>
      <w:r w:rsidRPr="00DE6F00">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2821806B" w14:textId="77777777" w:rsidR="00DE6F00" w:rsidRPr="00DE6F00" w:rsidRDefault="00DE6F00" w:rsidP="00DE6F00">
      <w:pPr>
        <w:pStyle w:val="Textonotapie"/>
        <w:ind w:firstLine="709"/>
        <w:jc w:val="both"/>
        <w:rPr>
          <w:rFonts w:ascii="Verdana" w:hAnsi="Verdana" w:cs="Arial"/>
          <w:color w:val="000000"/>
          <w:sz w:val="16"/>
          <w:szCs w:val="16"/>
          <w:lang w:val="es-CO"/>
        </w:rPr>
      </w:pPr>
    </w:p>
  </w:footnote>
  <w:footnote w:id="9">
    <w:p w14:paraId="28485D51" w14:textId="77777777" w:rsidR="00DE6F00" w:rsidRPr="00DE6F00" w:rsidRDefault="00DE6F00" w:rsidP="00DE6F00">
      <w:pPr>
        <w:pStyle w:val="Textonotapie"/>
        <w:ind w:firstLine="709"/>
        <w:jc w:val="both"/>
        <w:rPr>
          <w:rFonts w:ascii="Verdana" w:hAnsi="Verdana" w:cs="Arial"/>
          <w:color w:val="000000"/>
          <w:sz w:val="16"/>
          <w:szCs w:val="16"/>
        </w:rPr>
      </w:pPr>
      <w:r w:rsidRPr="00DE6F00">
        <w:rPr>
          <w:rStyle w:val="Refdenotaalpie"/>
          <w:rFonts w:ascii="Verdana" w:hAnsi="Verdana" w:cs="Arial"/>
          <w:color w:val="000000"/>
          <w:sz w:val="16"/>
          <w:szCs w:val="16"/>
        </w:rPr>
        <w:footnoteRef/>
      </w:r>
      <w:r w:rsidRPr="00DE6F00">
        <w:rPr>
          <w:rFonts w:ascii="Verdana" w:hAnsi="Verdana" w:cs="Arial"/>
          <w:color w:val="000000"/>
          <w:sz w:val="16"/>
          <w:szCs w:val="16"/>
        </w:rPr>
        <w:t xml:space="preserve"> Ley 1712 de 2014: “Artículo 5. Ámbito de aplicación. Las disposiciones de esta ley serán aplicables a las siguientes personas en calidad de sujetos obligados: </w:t>
      </w:r>
    </w:p>
    <w:p w14:paraId="7B30BB19"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1786A3A6" w14:textId="77777777" w:rsidR="00DE6F00" w:rsidRPr="00DE6F00" w:rsidRDefault="00DE6F00" w:rsidP="00DE6F00">
      <w:pPr>
        <w:pStyle w:val="Textonotapie"/>
        <w:ind w:firstLine="709"/>
        <w:jc w:val="both"/>
        <w:rPr>
          <w:rFonts w:ascii="Verdana" w:hAnsi="Verdana" w:cs="Arial"/>
          <w:color w:val="000000"/>
          <w:sz w:val="16"/>
          <w:szCs w:val="16"/>
        </w:rPr>
      </w:pPr>
    </w:p>
    <w:p w14:paraId="2340CAA2"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b) Los órganos, organismos y entidades estatales independientes o autónomos y de control.</w:t>
      </w:r>
    </w:p>
    <w:p w14:paraId="07AA6C97" w14:textId="77777777" w:rsidR="00DE6F00" w:rsidRPr="00DE6F00" w:rsidRDefault="00DE6F00" w:rsidP="00DE6F00">
      <w:pPr>
        <w:pStyle w:val="Textonotapie"/>
        <w:ind w:firstLine="709"/>
        <w:jc w:val="both"/>
        <w:rPr>
          <w:rFonts w:ascii="Verdana" w:hAnsi="Verdana" w:cs="Arial"/>
          <w:color w:val="000000"/>
          <w:sz w:val="16"/>
          <w:szCs w:val="16"/>
        </w:rPr>
      </w:pPr>
    </w:p>
    <w:p w14:paraId="30149820"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c) Las personas naturales y jurídicas, públicas o privadas, que presten función pública, que presten servicios públicos respecto de la información directamente relacionada con la prestación del servicio público.</w:t>
      </w:r>
    </w:p>
    <w:p w14:paraId="211CD11A" w14:textId="77777777" w:rsidR="00DE6F00" w:rsidRPr="00DE6F00" w:rsidRDefault="00DE6F00" w:rsidP="00DE6F00">
      <w:pPr>
        <w:pStyle w:val="Textonotapie"/>
        <w:ind w:firstLine="709"/>
        <w:jc w:val="both"/>
        <w:rPr>
          <w:rFonts w:ascii="Verdana" w:hAnsi="Verdana" w:cs="Arial"/>
          <w:color w:val="000000"/>
          <w:sz w:val="16"/>
          <w:szCs w:val="16"/>
        </w:rPr>
      </w:pPr>
    </w:p>
    <w:p w14:paraId="698EA53D"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d) Cualquier persona natural, jurídica o dependencia de persona jurídica que desempeñe función pública o de autoridad pública, respecto de la información directamente relacionada con el desempeño de su función.</w:t>
      </w:r>
    </w:p>
    <w:p w14:paraId="20660A5A" w14:textId="77777777" w:rsidR="00DE6F00" w:rsidRPr="00DE6F00" w:rsidRDefault="00DE6F00" w:rsidP="00DE6F00">
      <w:pPr>
        <w:pStyle w:val="Textonotapie"/>
        <w:ind w:firstLine="709"/>
        <w:jc w:val="both"/>
        <w:rPr>
          <w:rFonts w:ascii="Verdana" w:hAnsi="Verdana" w:cs="Arial"/>
          <w:color w:val="000000"/>
          <w:sz w:val="16"/>
          <w:szCs w:val="16"/>
        </w:rPr>
      </w:pPr>
    </w:p>
    <w:p w14:paraId="05A7D579"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e) &lt;Literal CONDICIONALMENTE exequible&gt; Las empresas públicas creadas por ley, las empresas del Estado y sociedades en que este tenga participación.</w:t>
      </w:r>
    </w:p>
    <w:p w14:paraId="12B52DF8" w14:textId="77777777" w:rsidR="00DE6F00" w:rsidRPr="00DE6F00" w:rsidRDefault="00DE6F00" w:rsidP="00DE6F00">
      <w:pPr>
        <w:pStyle w:val="Textonotapie"/>
        <w:ind w:firstLine="709"/>
        <w:jc w:val="both"/>
        <w:rPr>
          <w:rFonts w:ascii="Verdana" w:hAnsi="Verdana" w:cs="Arial"/>
          <w:color w:val="000000"/>
          <w:sz w:val="16"/>
          <w:szCs w:val="16"/>
        </w:rPr>
      </w:pPr>
    </w:p>
    <w:p w14:paraId="4BB1409C"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f) Los partidos o movimientos políticos y los grupos significativos de ciudadanos.</w:t>
      </w:r>
    </w:p>
    <w:p w14:paraId="6A087F61" w14:textId="77777777" w:rsidR="00DE6F00" w:rsidRPr="00DE6F00" w:rsidRDefault="00DE6F00" w:rsidP="00DE6F00">
      <w:pPr>
        <w:pStyle w:val="Textonotapie"/>
        <w:ind w:firstLine="709"/>
        <w:jc w:val="both"/>
        <w:rPr>
          <w:rFonts w:ascii="Verdana" w:hAnsi="Verdana" w:cs="Arial"/>
          <w:color w:val="000000"/>
          <w:sz w:val="16"/>
          <w:szCs w:val="16"/>
        </w:rPr>
      </w:pPr>
    </w:p>
    <w:p w14:paraId="630B9CDB"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g) Las entidades que administren instituciones parafiscales, fondos o recursos de naturaleza u origen público.</w:t>
      </w:r>
    </w:p>
    <w:p w14:paraId="4F8D579F" w14:textId="77777777" w:rsidR="00DE6F00" w:rsidRPr="00DE6F00" w:rsidRDefault="00DE6F00" w:rsidP="00DE6F00">
      <w:pPr>
        <w:pStyle w:val="Textonotapie"/>
        <w:ind w:firstLine="709"/>
        <w:jc w:val="both"/>
        <w:rPr>
          <w:rFonts w:ascii="Verdana" w:hAnsi="Verdana" w:cs="Arial"/>
          <w:color w:val="000000"/>
          <w:sz w:val="16"/>
          <w:szCs w:val="16"/>
        </w:rPr>
      </w:pPr>
    </w:p>
    <w:p w14:paraId="7C675556"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2341B7A2" w14:textId="77777777" w:rsidR="00DE6F00" w:rsidRPr="00DE6F00" w:rsidRDefault="00DE6F00" w:rsidP="00DE6F00">
      <w:pPr>
        <w:pStyle w:val="Textonotapie"/>
        <w:ind w:firstLine="709"/>
        <w:jc w:val="both"/>
        <w:rPr>
          <w:rFonts w:ascii="Verdana" w:hAnsi="Verdana" w:cs="Arial"/>
          <w:color w:val="000000"/>
          <w:sz w:val="16"/>
          <w:szCs w:val="16"/>
        </w:rPr>
      </w:pPr>
    </w:p>
    <w:p w14:paraId="2B2E9134"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hAnsi="Verdana" w:cs="Arial"/>
          <w:color w:val="000000"/>
          <w:sz w:val="16"/>
          <w:szCs w:val="16"/>
        </w:rPr>
        <w:t>PARÁGRAFO 1o. No serán sujetos obligados aquellas personas naturales o jurídicas de carácter privado que sean usuarios de información pública”.</w:t>
      </w:r>
    </w:p>
    <w:p w14:paraId="34853914" w14:textId="77777777" w:rsidR="00DE6F00" w:rsidRPr="00DE6F00" w:rsidRDefault="00DE6F00" w:rsidP="00DE6F00">
      <w:pPr>
        <w:pStyle w:val="Textonotapie"/>
        <w:ind w:firstLine="709"/>
        <w:jc w:val="both"/>
        <w:rPr>
          <w:rFonts w:ascii="Verdana" w:hAnsi="Verdana" w:cs="Arial"/>
          <w:color w:val="000000"/>
          <w:sz w:val="16"/>
          <w:szCs w:val="16"/>
          <w:lang w:val="es-CO"/>
        </w:rPr>
      </w:pPr>
    </w:p>
  </w:footnote>
  <w:footnote w:id="10">
    <w:p w14:paraId="75EB8F27" w14:textId="77777777" w:rsidR="00DE6F00" w:rsidRPr="00DE6F00" w:rsidRDefault="00DE6F00" w:rsidP="00DE6F00">
      <w:pPr>
        <w:pStyle w:val="Textonotapie"/>
        <w:ind w:firstLine="709"/>
        <w:jc w:val="both"/>
        <w:rPr>
          <w:rFonts w:ascii="Verdana" w:hAnsi="Verdana" w:cs="Arial"/>
          <w:color w:val="000000"/>
          <w:sz w:val="16"/>
          <w:szCs w:val="16"/>
        </w:rPr>
      </w:pPr>
      <w:r w:rsidRPr="00DE6F00">
        <w:rPr>
          <w:rFonts w:ascii="Verdana" w:eastAsia="Times New Roman" w:hAnsi="Verdana" w:cs="Arial"/>
          <w:color w:val="000000"/>
          <w:sz w:val="16"/>
          <w:szCs w:val="16"/>
          <w:vertAlign w:val="superscript"/>
          <w:lang w:val="es-ES" w:eastAsia="es-ES"/>
        </w:rPr>
        <w:footnoteRef/>
      </w:r>
      <w:r w:rsidRPr="00DE6F00">
        <w:rPr>
          <w:rFonts w:ascii="Verdana" w:eastAsia="Times New Roman" w:hAnsi="Verdana" w:cs="Arial"/>
          <w:color w:val="000000"/>
          <w:sz w:val="16"/>
          <w:szCs w:val="16"/>
          <w:vertAlign w:val="superscript"/>
          <w:lang w:val="es-ES" w:eastAsia="es-ES"/>
        </w:rPr>
        <w:t xml:space="preserve"> </w:t>
      </w:r>
      <w:r w:rsidRPr="00DE6F00">
        <w:rPr>
          <w:rFonts w:ascii="Verdana" w:eastAsia="Times New Roman" w:hAnsi="Verdana" w:cs="Arial"/>
          <w:color w:val="000000"/>
          <w:sz w:val="16"/>
          <w:szCs w:val="16"/>
          <w:lang w:val="es-ES" w:eastAsia="es-ES"/>
        </w:rPr>
        <w:t>“</w:t>
      </w:r>
      <w:r w:rsidRPr="00DE6F00">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68DFB1AB" w14:textId="77777777" w:rsidR="00DE6F00" w:rsidRPr="00DE6F00" w:rsidRDefault="00DE6F00" w:rsidP="00DE6F00">
      <w:pPr>
        <w:pStyle w:val="Textonotapie"/>
        <w:ind w:firstLine="709"/>
        <w:jc w:val="both"/>
        <w:rPr>
          <w:rFonts w:ascii="Verdana" w:eastAsia="Times New Roman" w:hAnsi="Verdana" w:cs="Arial"/>
          <w:color w:val="000000"/>
          <w:sz w:val="16"/>
          <w:szCs w:val="16"/>
          <w:lang w:val="es-ES" w:eastAsia="es-ES"/>
        </w:rPr>
      </w:pPr>
      <w:r w:rsidRPr="00DE6F00">
        <w:rPr>
          <w:rFonts w:ascii="Verdana" w:hAnsi="Verdana" w:cs="Arial"/>
          <w:color w:val="000000"/>
          <w:sz w:val="16"/>
          <w:szCs w:val="16"/>
        </w:rPr>
        <w:t>[…]</w:t>
      </w:r>
      <w:r w:rsidRPr="00DE6F00">
        <w:rPr>
          <w:rFonts w:ascii="Verdana" w:eastAsia="Times New Roman" w:hAnsi="Verdana" w:cs="Arial"/>
          <w:color w:val="000000"/>
          <w:sz w:val="16"/>
          <w:szCs w:val="16"/>
          <w:lang w:val="es-ES" w:eastAsia="es-ES"/>
        </w:rPr>
        <w:t>”.</w:t>
      </w:r>
    </w:p>
    <w:p w14:paraId="68AFD98A" w14:textId="77777777" w:rsidR="00DE6F00" w:rsidRPr="00DE6F00" w:rsidRDefault="00DE6F00" w:rsidP="00DE6F00">
      <w:pPr>
        <w:pStyle w:val="Textonotapie"/>
        <w:ind w:firstLine="709"/>
        <w:jc w:val="both"/>
        <w:rPr>
          <w:rFonts w:ascii="Verdana" w:eastAsia="Times New Roman" w:hAnsi="Verdana" w:cs="Arial"/>
          <w:color w:val="000000"/>
          <w:sz w:val="16"/>
          <w:szCs w:val="16"/>
          <w:lang w:val="es-ES" w:eastAsia="es-ES"/>
        </w:rPr>
      </w:pPr>
    </w:p>
  </w:footnote>
  <w:footnote w:id="11">
    <w:p w14:paraId="3D397CF7"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Style w:val="Refdenotaalpie"/>
          <w:rFonts w:ascii="Verdana" w:hAnsi="Verdana" w:cs="Arial"/>
          <w:sz w:val="16"/>
          <w:szCs w:val="16"/>
        </w:rPr>
        <w:footnoteRef/>
      </w:r>
      <w:r w:rsidRPr="00DE6F00">
        <w:rPr>
          <w:rFonts w:ascii="Verdana" w:hAnsi="Verdana" w:cs="Arial"/>
          <w:sz w:val="16"/>
          <w:szCs w:val="16"/>
        </w:rPr>
        <w:t xml:space="preserve"> Ley 1437 de 2011: “Artículo 24. Informaciones y documentos reservados. Solo tendrán carácter reservado las informaciones y documentos expresamente sometidos a reserva por la Constitución Política o la ley, y en especial:  </w:t>
      </w:r>
    </w:p>
    <w:p w14:paraId="617BF6E8"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“1. Los relacionados con la defensa o seguridad nacionales.  </w:t>
      </w:r>
    </w:p>
    <w:p w14:paraId="6BBC00B0"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“2. Las instrucciones en materia diplomática o sobre negociaciones reservadas.  </w:t>
      </w:r>
    </w:p>
    <w:p w14:paraId="26735B0C"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32789F9F"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58905C72"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“5. Los datos referentes a la información financiera y comercial, en los términos de la Ley Estatutaria 1266 de 2008.  </w:t>
      </w:r>
    </w:p>
    <w:p w14:paraId="35375868"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“6. Los protegidos por el secreto comercial o industrial, así como los planes estratégicos de las empresas públicas de servicios públicos.  </w:t>
      </w:r>
    </w:p>
    <w:p w14:paraId="27476334"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“7. Los amparados por el secreto profesional.  </w:t>
      </w:r>
    </w:p>
    <w:p w14:paraId="78B57810"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“8. Los datos genéticos humanos.  </w:t>
      </w:r>
    </w:p>
    <w:p w14:paraId="64CBE42A" w14:textId="77777777" w:rsidR="00DE6F00" w:rsidRPr="00DE6F00" w:rsidRDefault="00DE6F00" w:rsidP="00DE6F00">
      <w:pPr>
        <w:pStyle w:val="Textonotapie"/>
        <w:ind w:firstLine="708"/>
        <w:contextualSpacing/>
        <w:jc w:val="both"/>
        <w:rPr>
          <w:rFonts w:ascii="Verdana" w:hAnsi="Verdana" w:cs="Arial"/>
          <w:sz w:val="16"/>
          <w:szCs w:val="16"/>
        </w:rPr>
      </w:pPr>
      <w:r w:rsidRPr="00DE6F00">
        <w:rPr>
          <w:rFonts w:ascii="Verdana" w:hAnsi="Verdana" w:cs="Arial"/>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p w14:paraId="7CFCFDE4" w14:textId="77777777" w:rsidR="00DE6F00" w:rsidRPr="00DE6F00" w:rsidRDefault="00DE6F00" w:rsidP="00DE6F00">
      <w:pPr>
        <w:pStyle w:val="Textonotapie"/>
        <w:ind w:firstLine="708"/>
        <w:contextualSpacing/>
        <w:jc w:val="both"/>
        <w:rPr>
          <w:rFonts w:ascii="Verdana" w:hAnsi="Verdana" w:cs="Arial"/>
          <w:sz w:val="16"/>
          <w:szCs w:val="16"/>
        </w:rPr>
      </w:pPr>
    </w:p>
  </w:footnote>
  <w:footnote w:id="12">
    <w:p w14:paraId="10A4FD7B" w14:textId="77777777" w:rsidR="00DE6F00" w:rsidRPr="00DE6F00" w:rsidRDefault="00DE6F00" w:rsidP="00DE6F00">
      <w:pPr>
        <w:pStyle w:val="Textonotapie"/>
        <w:ind w:firstLine="708"/>
        <w:contextualSpacing/>
        <w:rPr>
          <w:rFonts w:ascii="Verdana" w:hAnsi="Verdana" w:cs="Arial"/>
          <w:sz w:val="16"/>
          <w:szCs w:val="16"/>
        </w:rPr>
      </w:pPr>
    </w:p>
    <w:p w14:paraId="249D0FA8" w14:textId="77777777" w:rsidR="00DE6F00" w:rsidRPr="00DE6F00" w:rsidRDefault="00DE6F00" w:rsidP="00DE6F00">
      <w:pPr>
        <w:pStyle w:val="Textonotapie"/>
        <w:ind w:firstLine="708"/>
        <w:contextualSpacing/>
        <w:jc w:val="both"/>
        <w:rPr>
          <w:rFonts w:ascii="Verdana" w:hAnsi="Verdana" w:cs="Arial"/>
          <w:sz w:val="16"/>
          <w:szCs w:val="16"/>
          <w:lang w:val="es-CO"/>
        </w:rPr>
      </w:pPr>
      <w:r w:rsidRPr="00DE6F00">
        <w:rPr>
          <w:rStyle w:val="Refdenotaalpie"/>
          <w:rFonts w:ascii="Verdana" w:hAnsi="Verdana" w:cs="Arial"/>
          <w:sz w:val="16"/>
          <w:szCs w:val="16"/>
        </w:rPr>
        <w:footnoteRef/>
      </w:r>
      <w:r w:rsidRPr="00DE6F00">
        <w:rPr>
          <w:rFonts w:ascii="Verdana" w:hAnsi="Verdana" w:cs="Arial"/>
          <w:sz w:val="16"/>
          <w:szCs w:val="16"/>
        </w:rPr>
        <w:t xml:space="preserve"> Ley 1150 de 2007. “Artículo 1. Objeto. La presente ley tiene por objeto introducir modificaciones en la Ley 80 de 1993, así como dictar otras disposiciones generales aplicables a toda contratación con recursos públicos”.</w:t>
      </w:r>
    </w:p>
  </w:footnote>
  <w:footnote w:id="13">
    <w:p w14:paraId="386E6DCF" w14:textId="77777777" w:rsidR="00DE6F00" w:rsidRPr="00DE6F00" w:rsidRDefault="00DE6F00" w:rsidP="00DE6F00">
      <w:pPr>
        <w:autoSpaceDE w:val="0"/>
        <w:autoSpaceDN w:val="0"/>
        <w:adjustRightInd w:val="0"/>
        <w:spacing w:after="0" w:line="240" w:lineRule="auto"/>
        <w:ind w:firstLine="708"/>
        <w:contextualSpacing/>
        <w:jc w:val="both"/>
        <w:rPr>
          <w:rFonts w:ascii="Verdana" w:eastAsia="Calibri" w:hAnsi="Verdana" w:cs="Arial"/>
          <w:sz w:val="16"/>
          <w:szCs w:val="16"/>
          <w:lang w:val="es-ES" w:eastAsia="es-ES_tradnl"/>
        </w:rPr>
      </w:pPr>
      <w:r w:rsidRPr="00DE6F00">
        <w:rPr>
          <w:rStyle w:val="Refdenotaalpie"/>
          <w:rFonts w:ascii="Verdana" w:hAnsi="Verdana" w:cs="Arial"/>
          <w:sz w:val="16"/>
          <w:szCs w:val="16"/>
        </w:rPr>
        <w:footnoteRef/>
      </w:r>
      <w:r w:rsidRPr="00DE6F00">
        <w:rPr>
          <w:rFonts w:ascii="Verdana" w:hAnsi="Verdana" w:cs="Arial"/>
          <w:sz w:val="16"/>
          <w:szCs w:val="16"/>
        </w:rPr>
        <w:t xml:space="preserve"> E</w:t>
      </w:r>
      <w:r w:rsidRPr="00DE6F00">
        <w:rPr>
          <w:rFonts w:ascii="Verdana" w:eastAsia="Calibri" w:hAnsi="Verdana" w:cs="Arial"/>
          <w:sz w:val="16"/>
          <w:szCs w:val="16"/>
          <w:lang w:val="es-ES_tradnl" w:eastAsia="es-ES_tradnl"/>
        </w:rPr>
        <w:t xml:space="preserve">l pasado </w:t>
      </w:r>
      <w:r w:rsidRPr="00DE6F00">
        <w:rPr>
          <w:rFonts w:ascii="Verdana" w:eastAsia="Calibri" w:hAnsi="Verdana" w:cs="Arial"/>
          <w:sz w:val="16"/>
          <w:szCs w:val="16"/>
          <w:lang w:val="es-ES" w:eastAsia="es-ES_tradnl"/>
        </w:rPr>
        <w:t xml:space="preserve">1 de junio, el Departamento Administrativo de la Presidencia de la Republica profirió la Circular 02 del 2022, mediante la cual se imparten instrucciones sobre la aplicación del artículo 53 de la Ley 2195 de 2022, en los siguientes aspectos: i) publicación de los documentos contractuales en el SECOP II; ii) reserva de los documentos relacionados con la actividad contractual y; iii) régimen de transición de los contratos celebrados con anterioridad a la entrada en vigencia de la obligación consagrada en el artículo 53 de la Ley 2195 de 2022. La mencionada Circular contiene una serie de instrucciones con miras a garantizar el cumplimiento del deber legal por parte de las entidades estatales exceptuadas del Estatuto General de Contratación Pública. </w:t>
      </w:r>
    </w:p>
    <w:p w14:paraId="7F776680" w14:textId="77777777" w:rsidR="00DE6F00" w:rsidRPr="00DE6F00" w:rsidRDefault="00DE6F00" w:rsidP="00DE6F00">
      <w:pPr>
        <w:autoSpaceDE w:val="0"/>
        <w:autoSpaceDN w:val="0"/>
        <w:adjustRightInd w:val="0"/>
        <w:spacing w:after="0" w:line="240" w:lineRule="auto"/>
        <w:ind w:firstLine="708"/>
        <w:contextualSpacing/>
        <w:jc w:val="both"/>
        <w:rPr>
          <w:rFonts w:ascii="Verdana" w:eastAsia="Times New Roman" w:hAnsi="Verdana" w:cs="Arial"/>
          <w:sz w:val="16"/>
          <w:szCs w:val="16"/>
          <w:lang w:eastAsia="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3B35F" wp14:editId="770E7ECD">
          <wp:simplePos x="0" y="0"/>
          <wp:positionH relativeFrom="margin">
            <wp:align>center</wp:align>
          </wp:positionH>
          <wp:positionV relativeFrom="paragraph">
            <wp:posOffset>-138611</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6543F162" w14:textId="77777777" w:rsidR="002B5862" w:rsidRDefault="002B5862">
    <w:pPr>
      <w:pStyle w:val="Encabezado"/>
    </w:pPr>
  </w:p>
  <w:p w14:paraId="4711D484" w14:textId="77777777" w:rsidR="002B5862" w:rsidRDefault="002B5862">
    <w:pPr>
      <w:pStyle w:val="Encabezado"/>
    </w:pPr>
  </w:p>
  <w:p w14:paraId="3D79C711" w14:textId="77777777" w:rsidR="002B5862" w:rsidRDefault="002B58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15pt;height:1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3B2B87"/>
    <w:multiLevelType w:val="hybridMultilevel"/>
    <w:tmpl w:val="18AE16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70E3F50"/>
    <w:multiLevelType w:val="hybridMultilevel"/>
    <w:tmpl w:val="469C2D86"/>
    <w:lvl w:ilvl="0" w:tplc="BB342CEE">
      <w:start w:val="4"/>
      <w:numFmt w:val="decimal"/>
      <w:lvlText w:val="%1."/>
      <w:lvlJc w:val="left"/>
      <w:pPr>
        <w:ind w:left="968" w:hanging="535"/>
      </w:pPr>
      <w:rPr>
        <w:rFonts w:ascii="Arial" w:eastAsia="Arial" w:hAnsi="Arial" w:cs="Arial" w:hint="default"/>
        <w:color w:val="4E4D4D"/>
        <w:spacing w:val="-20"/>
        <w:w w:val="100"/>
        <w:sz w:val="20"/>
        <w:szCs w:val="20"/>
        <w:lang w:val="es-ES" w:eastAsia="en-US" w:bidi="ar-SA"/>
      </w:rPr>
    </w:lvl>
    <w:lvl w:ilvl="1" w:tplc="1C789076">
      <w:numFmt w:val="bullet"/>
      <w:lvlText w:val="•"/>
      <w:lvlJc w:val="left"/>
      <w:pPr>
        <w:ind w:left="1804" w:hanging="535"/>
      </w:pPr>
      <w:rPr>
        <w:rFonts w:hint="default"/>
        <w:lang w:val="es-ES" w:eastAsia="en-US" w:bidi="ar-SA"/>
      </w:rPr>
    </w:lvl>
    <w:lvl w:ilvl="2" w:tplc="6AFCBF2A">
      <w:numFmt w:val="bullet"/>
      <w:lvlText w:val="•"/>
      <w:lvlJc w:val="left"/>
      <w:pPr>
        <w:ind w:left="2648" w:hanging="535"/>
      </w:pPr>
      <w:rPr>
        <w:rFonts w:hint="default"/>
        <w:lang w:val="es-ES" w:eastAsia="en-US" w:bidi="ar-SA"/>
      </w:rPr>
    </w:lvl>
    <w:lvl w:ilvl="3" w:tplc="3F748F58">
      <w:numFmt w:val="bullet"/>
      <w:lvlText w:val="•"/>
      <w:lvlJc w:val="left"/>
      <w:pPr>
        <w:ind w:left="3492" w:hanging="535"/>
      </w:pPr>
      <w:rPr>
        <w:rFonts w:hint="default"/>
        <w:lang w:val="es-ES" w:eastAsia="en-US" w:bidi="ar-SA"/>
      </w:rPr>
    </w:lvl>
    <w:lvl w:ilvl="4" w:tplc="C6C89C04">
      <w:numFmt w:val="bullet"/>
      <w:lvlText w:val="•"/>
      <w:lvlJc w:val="left"/>
      <w:pPr>
        <w:ind w:left="4336" w:hanging="535"/>
      </w:pPr>
      <w:rPr>
        <w:rFonts w:hint="default"/>
        <w:lang w:val="es-ES" w:eastAsia="en-US" w:bidi="ar-SA"/>
      </w:rPr>
    </w:lvl>
    <w:lvl w:ilvl="5" w:tplc="B302CD28">
      <w:numFmt w:val="bullet"/>
      <w:lvlText w:val="•"/>
      <w:lvlJc w:val="left"/>
      <w:pPr>
        <w:ind w:left="5180" w:hanging="535"/>
      </w:pPr>
      <w:rPr>
        <w:rFonts w:hint="default"/>
        <w:lang w:val="es-ES" w:eastAsia="en-US" w:bidi="ar-SA"/>
      </w:rPr>
    </w:lvl>
    <w:lvl w:ilvl="6" w:tplc="EF7C1184">
      <w:numFmt w:val="bullet"/>
      <w:lvlText w:val="•"/>
      <w:lvlJc w:val="left"/>
      <w:pPr>
        <w:ind w:left="6024" w:hanging="535"/>
      </w:pPr>
      <w:rPr>
        <w:rFonts w:hint="default"/>
        <w:lang w:val="es-ES" w:eastAsia="en-US" w:bidi="ar-SA"/>
      </w:rPr>
    </w:lvl>
    <w:lvl w:ilvl="7" w:tplc="3C8C58C4">
      <w:numFmt w:val="bullet"/>
      <w:lvlText w:val="•"/>
      <w:lvlJc w:val="left"/>
      <w:pPr>
        <w:ind w:left="6868" w:hanging="535"/>
      </w:pPr>
      <w:rPr>
        <w:rFonts w:hint="default"/>
        <w:lang w:val="es-ES" w:eastAsia="en-US" w:bidi="ar-SA"/>
      </w:rPr>
    </w:lvl>
    <w:lvl w:ilvl="8" w:tplc="F094E6FE">
      <w:numFmt w:val="bullet"/>
      <w:lvlText w:val="•"/>
      <w:lvlJc w:val="left"/>
      <w:pPr>
        <w:ind w:left="7712" w:hanging="535"/>
      </w:pPr>
      <w:rPr>
        <w:rFonts w:hint="default"/>
        <w:lang w:val="es-ES" w:eastAsia="en-US" w:bidi="ar-SA"/>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1"/>
  </w:num>
  <w:num w:numId="16" w16cid:durableId="1380713882">
    <w:abstractNumId w:val="0"/>
  </w:num>
  <w:num w:numId="17" w16cid:durableId="1982299905">
    <w:abstractNumId w:val="19"/>
  </w:num>
  <w:num w:numId="18" w16cid:durableId="691802391">
    <w:abstractNumId w:val="9"/>
  </w:num>
  <w:num w:numId="19" w16cid:durableId="153255849">
    <w:abstractNumId w:val="10"/>
  </w:num>
  <w:num w:numId="20" w16cid:durableId="262541512">
    <w:abstractNumId w:val="18"/>
  </w:num>
  <w:num w:numId="21" w16cid:durableId="1900483209">
    <w:abstractNumId w:val="13"/>
  </w:num>
  <w:num w:numId="22" w16cid:durableId="15235196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7D0"/>
    <w:rsid w:val="00061B2A"/>
    <w:rsid w:val="0007444E"/>
    <w:rsid w:val="00082362"/>
    <w:rsid w:val="000A683E"/>
    <w:rsid w:val="000B19B9"/>
    <w:rsid w:val="000D0334"/>
    <w:rsid w:val="000F6486"/>
    <w:rsid w:val="00105433"/>
    <w:rsid w:val="00121EC5"/>
    <w:rsid w:val="00125105"/>
    <w:rsid w:val="00127233"/>
    <w:rsid w:val="00144712"/>
    <w:rsid w:val="00144EC3"/>
    <w:rsid w:val="001511A0"/>
    <w:rsid w:val="001532F7"/>
    <w:rsid w:val="00155F27"/>
    <w:rsid w:val="00180C5A"/>
    <w:rsid w:val="001B0A93"/>
    <w:rsid w:val="001E4177"/>
    <w:rsid w:val="001F7DC6"/>
    <w:rsid w:val="00205642"/>
    <w:rsid w:val="00210C70"/>
    <w:rsid w:val="00223D88"/>
    <w:rsid w:val="00237609"/>
    <w:rsid w:val="002421BB"/>
    <w:rsid w:val="0025796E"/>
    <w:rsid w:val="002707A2"/>
    <w:rsid w:val="002951A0"/>
    <w:rsid w:val="00296227"/>
    <w:rsid w:val="002962BC"/>
    <w:rsid w:val="002965E2"/>
    <w:rsid w:val="002A093D"/>
    <w:rsid w:val="002A0DD0"/>
    <w:rsid w:val="002A49AC"/>
    <w:rsid w:val="002A64FD"/>
    <w:rsid w:val="002B5862"/>
    <w:rsid w:val="002C23FD"/>
    <w:rsid w:val="002C5070"/>
    <w:rsid w:val="002C7A84"/>
    <w:rsid w:val="002D2F47"/>
    <w:rsid w:val="002E4FD9"/>
    <w:rsid w:val="002E7478"/>
    <w:rsid w:val="00301770"/>
    <w:rsid w:val="00311ADC"/>
    <w:rsid w:val="00322A85"/>
    <w:rsid w:val="00324168"/>
    <w:rsid w:val="0033493C"/>
    <w:rsid w:val="003448F4"/>
    <w:rsid w:val="00353844"/>
    <w:rsid w:val="00373E7B"/>
    <w:rsid w:val="00374F5E"/>
    <w:rsid w:val="00377E3E"/>
    <w:rsid w:val="003A4FCF"/>
    <w:rsid w:val="003A779E"/>
    <w:rsid w:val="003D0F4D"/>
    <w:rsid w:val="003D5B0D"/>
    <w:rsid w:val="003E0499"/>
    <w:rsid w:val="003E1A2E"/>
    <w:rsid w:val="003F3941"/>
    <w:rsid w:val="003F482F"/>
    <w:rsid w:val="00406575"/>
    <w:rsid w:val="00414C74"/>
    <w:rsid w:val="00416D78"/>
    <w:rsid w:val="0042722E"/>
    <w:rsid w:val="0044528D"/>
    <w:rsid w:val="004514F9"/>
    <w:rsid w:val="00471CAF"/>
    <w:rsid w:val="004A1847"/>
    <w:rsid w:val="004A305D"/>
    <w:rsid w:val="004B10BA"/>
    <w:rsid w:val="004F18D3"/>
    <w:rsid w:val="004F21C4"/>
    <w:rsid w:val="004F685F"/>
    <w:rsid w:val="00501A0E"/>
    <w:rsid w:val="00521084"/>
    <w:rsid w:val="0053038A"/>
    <w:rsid w:val="00534063"/>
    <w:rsid w:val="005467AB"/>
    <w:rsid w:val="005566E8"/>
    <w:rsid w:val="00567A42"/>
    <w:rsid w:val="00574867"/>
    <w:rsid w:val="00575896"/>
    <w:rsid w:val="00591460"/>
    <w:rsid w:val="005B3816"/>
    <w:rsid w:val="005C3777"/>
    <w:rsid w:val="005C5CDC"/>
    <w:rsid w:val="005D476C"/>
    <w:rsid w:val="005E6D46"/>
    <w:rsid w:val="0062050E"/>
    <w:rsid w:val="006219F8"/>
    <w:rsid w:val="00665D70"/>
    <w:rsid w:val="00682580"/>
    <w:rsid w:val="006900D9"/>
    <w:rsid w:val="006E42DC"/>
    <w:rsid w:val="0070625E"/>
    <w:rsid w:val="00706AFE"/>
    <w:rsid w:val="00706C16"/>
    <w:rsid w:val="007340F2"/>
    <w:rsid w:val="00741CEA"/>
    <w:rsid w:val="00756841"/>
    <w:rsid w:val="0076029C"/>
    <w:rsid w:val="007626D0"/>
    <w:rsid w:val="007649AB"/>
    <w:rsid w:val="00771D0C"/>
    <w:rsid w:val="007833AC"/>
    <w:rsid w:val="007911EE"/>
    <w:rsid w:val="007A6049"/>
    <w:rsid w:val="007B268C"/>
    <w:rsid w:val="007B7171"/>
    <w:rsid w:val="007C0C0F"/>
    <w:rsid w:val="007C3DC2"/>
    <w:rsid w:val="007D5A7C"/>
    <w:rsid w:val="007E5497"/>
    <w:rsid w:val="00806F5F"/>
    <w:rsid w:val="00807B04"/>
    <w:rsid w:val="00811A9B"/>
    <w:rsid w:val="00820278"/>
    <w:rsid w:val="00856A8F"/>
    <w:rsid w:val="00867F95"/>
    <w:rsid w:val="0087031A"/>
    <w:rsid w:val="0087082B"/>
    <w:rsid w:val="00880A26"/>
    <w:rsid w:val="008843B6"/>
    <w:rsid w:val="00891928"/>
    <w:rsid w:val="0089254E"/>
    <w:rsid w:val="008A1F0D"/>
    <w:rsid w:val="008A3D6A"/>
    <w:rsid w:val="008A446D"/>
    <w:rsid w:val="008A576E"/>
    <w:rsid w:val="008A727D"/>
    <w:rsid w:val="008B5069"/>
    <w:rsid w:val="008D180B"/>
    <w:rsid w:val="008F0EA7"/>
    <w:rsid w:val="008F4113"/>
    <w:rsid w:val="00916E20"/>
    <w:rsid w:val="00923EEF"/>
    <w:rsid w:val="0092707B"/>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43261"/>
    <w:rsid w:val="00A54C2B"/>
    <w:rsid w:val="00AB0ADB"/>
    <w:rsid w:val="00AB252F"/>
    <w:rsid w:val="00AC6E46"/>
    <w:rsid w:val="00AE025B"/>
    <w:rsid w:val="00B01B1A"/>
    <w:rsid w:val="00B32769"/>
    <w:rsid w:val="00B66319"/>
    <w:rsid w:val="00B72CD3"/>
    <w:rsid w:val="00B72FFF"/>
    <w:rsid w:val="00BA550A"/>
    <w:rsid w:val="00BC3D36"/>
    <w:rsid w:val="00BC5770"/>
    <w:rsid w:val="00BD7F72"/>
    <w:rsid w:val="00BF3745"/>
    <w:rsid w:val="00C04FB3"/>
    <w:rsid w:val="00C07B81"/>
    <w:rsid w:val="00C1421D"/>
    <w:rsid w:val="00C330EB"/>
    <w:rsid w:val="00C36BD0"/>
    <w:rsid w:val="00C4006F"/>
    <w:rsid w:val="00C41061"/>
    <w:rsid w:val="00C67C7B"/>
    <w:rsid w:val="00C754BE"/>
    <w:rsid w:val="00C76B1C"/>
    <w:rsid w:val="00CB6357"/>
    <w:rsid w:val="00CB73B2"/>
    <w:rsid w:val="00CC1B26"/>
    <w:rsid w:val="00CD6A04"/>
    <w:rsid w:val="00CD7324"/>
    <w:rsid w:val="00CF72C1"/>
    <w:rsid w:val="00D423A2"/>
    <w:rsid w:val="00D520D8"/>
    <w:rsid w:val="00D63AC2"/>
    <w:rsid w:val="00D7331F"/>
    <w:rsid w:val="00D7383B"/>
    <w:rsid w:val="00DA08E3"/>
    <w:rsid w:val="00DA231B"/>
    <w:rsid w:val="00DA65A2"/>
    <w:rsid w:val="00DB3136"/>
    <w:rsid w:val="00DB44AA"/>
    <w:rsid w:val="00DB5E4B"/>
    <w:rsid w:val="00DB69C7"/>
    <w:rsid w:val="00DC1A3B"/>
    <w:rsid w:val="00DC39FC"/>
    <w:rsid w:val="00DE435A"/>
    <w:rsid w:val="00DE6F00"/>
    <w:rsid w:val="00DF5254"/>
    <w:rsid w:val="00E074A3"/>
    <w:rsid w:val="00E1324D"/>
    <w:rsid w:val="00E16408"/>
    <w:rsid w:val="00E20894"/>
    <w:rsid w:val="00E20ADE"/>
    <w:rsid w:val="00E245AB"/>
    <w:rsid w:val="00E2764C"/>
    <w:rsid w:val="00E27F2E"/>
    <w:rsid w:val="00E460EC"/>
    <w:rsid w:val="00E50AFE"/>
    <w:rsid w:val="00E51664"/>
    <w:rsid w:val="00E612F1"/>
    <w:rsid w:val="00E75C92"/>
    <w:rsid w:val="00E771DC"/>
    <w:rsid w:val="00E8772A"/>
    <w:rsid w:val="00E902AA"/>
    <w:rsid w:val="00E90F6B"/>
    <w:rsid w:val="00E92C27"/>
    <w:rsid w:val="00EA0B6E"/>
    <w:rsid w:val="00EA0E3D"/>
    <w:rsid w:val="00EA69B1"/>
    <w:rsid w:val="00EC38A7"/>
    <w:rsid w:val="00ED7384"/>
    <w:rsid w:val="00EE1AA8"/>
    <w:rsid w:val="00EE5478"/>
    <w:rsid w:val="00F11D40"/>
    <w:rsid w:val="00F31EDC"/>
    <w:rsid w:val="00F3779B"/>
    <w:rsid w:val="00F462B3"/>
    <w:rsid w:val="00F5664F"/>
    <w:rsid w:val="00F666C4"/>
    <w:rsid w:val="00F76AFC"/>
    <w:rsid w:val="00FA47C0"/>
    <w:rsid w:val="00FB5DD1"/>
    <w:rsid w:val="00FC2B5D"/>
    <w:rsid w:val="00FD7798"/>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703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7031A"/>
    <w:rPr>
      <w:rFonts w:ascii="Geomanist Light" w:hAnsi="Geomanist Light"/>
      <w:lang w:val="es-ES"/>
    </w:rPr>
  </w:style>
  <w:style w:type="paragraph" w:styleId="Textoindependiente">
    <w:name w:val="Body Text"/>
    <w:basedOn w:val="Normal"/>
    <w:link w:val="TextoindependienteCar"/>
    <w:uiPriority w:val="1"/>
    <w:unhideWhenUsed/>
    <w:qFormat/>
    <w:rsid w:val="0087031A"/>
    <w:pPr>
      <w:spacing w:after="120"/>
    </w:pPr>
  </w:style>
  <w:style w:type="character" w:customStyle="1" w:styleId="TextoindependienteCar">
    <w:name w:val="Texto independiente Car"/>
    <w:basedOn w:val="Fuentedeprrafopredeter"/>
    <w:link w:val="Textoindependiente"/>
    <w:uiPriority w:val="1"/>
    <w:rsid w:val="0087031A"/>
  </w:style>
  <w:style w:type="character" w:customStyle="1" w:styleId="superscript">
    <w:name w:val="superscript"/>
    <w:basedOn w:val="Fuentedeprrafopredeter"/>
    <w:rsid w:val="00DA08E3"/>
  </w:style>
  <w:style w:type="paragraph" w:styleId="Textocomentario">
    <w:name w:val="annotation text"/>
    <w:basedOn w:val="Normal"/>
    <w:link w:val="TextocomentarioCar"/>
    <w:uiPriority w:val="99"/>
    <w:semiHidden/>
    <w:unhideWhenUsed/>
    <w:rsid w:val="006E42D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E42D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03639412">
      <w:bodyDiv w:val="1"/>
      <w:marLeft w:val="0"/>
      <w:marRight w:val="0"/>
      <w:marTop w:val="0"/>
      <w:marBottom w:val="0"/>
      <w:divBdr>
        <w:top w:val="none" w:sz="0" w:space="0" w:color="auto"/>
        <w:left w:val="none" w:sz="0" w:space="0" w:color="auto"/>
        <w:bottom w:val="none" w:sz="0" w:space="0" w:color="auto"/>
        <w:right w:val="none" w:sz="0" w:space="0" w:color="auto"/>
      </w:divBdr>
    </w:div>
    <w:div w:id="1055393830">
      <w:bodyDiv w:val="1"/>
      <w:marLeft w:val="0"/>
      <w:marRight w:val="0"/>
      <w:marTop w:val="0"/>
      <w:marBottom w:val="0"/>
      <w:divBdr>
        <w:top w:val="none" w:sz="0" w:space="0" w:color="auto"/>
        <w:left w:val="none" w:sz="0" w:space="0" w:color="auto"/>
        <w:bottom w:val="none" w:sz="0" w:space="0" w:color="auto"/>
        <w:right w:val="none" w:sz="0" w:space="0" w:color="auto"/>
      </w:divBdr>
      <w:divsChild>
        <w:div w:id="2032563667">
          <w:marLeft w:val="0"/>
          <w:marRight w:val="0"/>
          <w:marTop w:val="0"/>
          <w:marBottom w:val="0"/>
          <w:divBdr>
            <w:top w:val="none" w:sz="0" w:space="0" w:color="auto"/>
            <w:left w:val="none" w:sz="0" w:space="0" w:color="auto"/>
            <w:bottom w:val="none" w:sz="0" w:space="0" w:color="auto"/>
            <w:right w:val="none" w:sz="0" w:space="0" w:color="auto"/>
          </w:divBdr>
          <w:divsChild>
            <w:div w:id="1148010697">
              <w:marLeft w:val="0"/>
              <w:marRight w:val="0"/>
              <w:marTop w:val="0"/>
              <w:marBottom w:val="0"/>
              <w:divBdr>
                <w:top w:val="none" w:sz="0" w:space="0" w:color="auto"/>
                <w:left w:val="none" w:sz="0" w:space="0" w:color="auto"/>
                <w:bottom w:val="none" w:sz="0" w:space="0" w:color="auto"/>
                <w:right w:val="none" w:sz="0" w:space="0" w:color="auto"/>
              </w:divBdr>
              <w:divsChild>
                <w:div w:id="293798143">
                  <w:marLeft w:val="0"/>
                  <w:marRight w:val="0"/>
                  <w:marTop w:val="0"/>
                  <w:marBottom w:val="0"/>
                  <w:divBdr>
                    <w:top w:val="none" w:sz="0" w:space="0" w:color="auto"/>
                    <w:left w:val="none" w:sz="0" w:space="0" w:color="auto"/>
                    <w:bottom w:val="none" w:sz="0" w:space="0" w:color="auto"/>
                    <w:right w:val="none" w:sz="0" w:space="0" w:color="auto"/>
                  </w:divBdr>
                  <w:divsChild>
                    <w:div w:id="540558418">
                      <w:marLeft w:val="0"/>
                      <w:marRight w:val="0"/>
                      <w:marTop w:val="0"/>
                      <w:marBottom w:val="0"/>
                      <w:divBdr>
                        <w:top w:val="none" w:sz="0" w:space="0" w:color="auto"/>
                        <w:left w:val="none" w:sz="0" w:space="0" w:color="auto"/>
                        <w:bottom w:val="none" w:sz="0" w:space="0" w:color="auto"/>
                        <w:right w:val="none" w:sz="0" w:space="0" w:color="auto"/>
                      </w:divBdr>
                      <w:divsChild>
                        <w:div w:id="145308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0032476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strid.zapata@comfenalcoantioquia.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BC5EF03-E944-473C-9ACB-205DC5D65125}"/>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1CF2A69-2909-4F9F-ABC0-7A9BA0FDB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TotalTime>
  <Pages>17</Pages>
  <Words>5025</Words>
  <Characters>27639</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42</cp:revision>
  <cp:lastPrinted>2023-01-10T21:18:00Z</cp:lastPrinted>
  <dcterms:created xsi:type="dcterms:W3CDTF">2025-07-01T23:16:00Z</dcterms:created>
  <dcterms:modified xsi:type="dcterms:W3CDTF">2025-07-28T17:15:00Z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