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E7701E" w:rsidR="000D19A6" w:rsidP="000D19A6" w:rsidRDefault="000D19A6" w14:paraId="799A8D27" w14:textId="77777777">
      <w:pPr>
        <w:spacing w:after="0" w:line="240" w:lineRule="auto"/>
        <w:jc w:val="both"/>
        <w:rPr>
          <w:rFonts w:ascii="Verdana" w:hAnsi="Verdana" w:eastAsia="Calibri" w:cs="Arial"/>
          <w:b/>
          <w:lang w:val="es-ES" w:eastAsia="es-ES"/>
        </w:rPr>
      </w:pPr>
      <w:bookmarkStart w:name="_Hlk181166130" w:id="0"/>
      <w:bookmarkStart w:name="_Hlk143780582" w:id="1"/>
      <w:r w:rsidRPr="00E7701E">
        <w:rPr>
          <w:rFonts w:ascii="Verdana" w:hAnsi="Verdana" w:eastAsia="Calibri" w:cs="Arial"/>
          <w:b/>
          <w:lang w:val="es-ES" w:eastAsia="es-ES"/>
        </w:rPr>
        <w:t xml:space="preserve">CONTRATACIÓN PÚBLICA – Principio de publicidad – Principio de transparencia – Uso del SECOP </w:t>
      </w:r>
    </w:p>
    <w:p w:rsidRPr="00E7701E" w:rsidR="000D19A6" w:rsidP="000D19A6" w:rsidRDefault="000D19A6" w14:paraId="392604DC" w14:textId="77777777">
      <w:pPr>
        <w:spacing w:after="0" w:line="240" w:lineRule="auto"/>
        <w:jc w:val="both"/>
        <w:rPr>
          <w:rFonts w:ascii="Verdana" w:hAnsi="Verdana" w:eastAsia="Calibri" w:cs="Arial"/>
          <w:b/>
          <w:bCs/>
          <w:sz w:val="20"/>
          <w:szCs w:val="20"/>
          <w:highlight w:val="yellow"/>
          <w:lang w:val="es-ES_tradnl" w:eastAsia="es-ES_tradnl"/>
        </w:rPr>
      </w:pPr>
    </w:p>
    <w:p w:rsidRPr="00E7701E" w:rsidR="000D19A6" w:rsidP="000D19A6" w:rsidRDefault="000D19A6" w14:paraId="029530C9" w14:textId="77777777">
      <w:pPr>
        <w:spacing w:after="0" w:line="240" w:lineRule="auto"/>
        <w:jc w:val="both"/>
        <w:rPr>
          <w:rFonts w:ascii="Verdana" w:hAnsi="Verdana" w:eastAsia="Aptos" w:cs="Times New Roman"/>
          <w:sz w:val="20"/>
          <w:szCs w:val="20"/>
        </w:rPr>
      </w:pPr>
      <w:r w:rsidRPr="00E7701E">
        <w:rPr>
          <w:rFonts w:ascii="Verdana" w:hAnsi="Verdana" w:eastAsia="Aptos" w:cs="Times New Roman"/>
          <w:sz w:val="20"/>
          <w:szCs w:val="20"/>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rsidRPr="002309A6" w:rsidR="000D19A6" w:rsidP="000D19A6" w:rsidRDefault="000D19A6" w14:paraId="307D3FB9" w14:textId="77777777">
      <w:pPr>
        <w:spacing w:line="240" w:lineRule="auto"/>
        <w:jc w:val="both"/>
        <w:rPr>
          <w:rFonts w:ascii="Verdana" w:hAnsi="Verdana" w:eastAsia="Calibri" w:cs="Arial"/>
          <w:b/>
          <w:color w:val="4472C4" w:themeColor="accent1"/>
        </w:rPr>
      </w:pPr>
    </w:p>
    <w:p w:rsidRPr="00E7701E" w:rsidR="000D19A6" w:rsidP="000D19A6" w:rsidRDefault="000D19A6" w14:paraId="50027898" w14:textId="77777777">
      <w:pPr>
        <w:spacing w:after="0" w:line="240" w:lineRule="auto"/>
        <w:jc w:val="both"/>
        <w:rPr>
          <w:rFonts w:ascii="Verdana" w:hAnsi="Verdana"/>
          <w:b/>
          <w:bCs/>
          <w:lang w:val="es-ES"/>
        </w:rPr>
      </w:pPr>
      <w:r w:rsidRPr="00E7701E">
        <w:rPr>
          <w:rFonts w:ascii="Verdana" w:hAnsi="Verdana"/>
          <w:b/>
          <w:bCs/>
          <w:lang w:val="es-ES"/>
        </w:rPr>
        <w:t xml:space="preserve">PRINCIPIO DE TRANSPARENCIA – Ley 1712 de 2014 – Documentos públicos </w:t>
      </w:r>
    </w:p>
    <w:p w:rsidRPr="00E7701E" w:rsidR="000D19A6" w:rsidP="000D19A6" w:rsidRDefault="000D19A6" w14:paraId="09D94EA4" w14:textId="77777777">
      <w:pPr>
        <w:spacing w:after="0" w:line="240" w:lineRule="auto"/>
        <w:rPr>
          <w:rFonts w:ascii="Verdana" w:hAnsi="Verdana"/>
        </w:rPr>
      </w:pPr>
    </w:p>
    <w:p w:rsidRPr="00A103D8" w:rsidR="000D19A6" w:rsidP="000D19A6" w:rsidRDefault="000D19A6" w14:paraId="70AAA0DF" w14:textId="77777777">
      <w:pPr>
        <w:spacing w:after="0" w:line="240" w:lineRule="auto"/>
        <w:jc w:val="both"/>
        <w:rPr>
          <w:rFonts w:ascii="Verdana" w:hAnsi="Verdana" w:eastAsia="Times New Roman" w:cs="Arial"/>
          <w:sz w:val="20"/>
          <w:szCs w:val="20"/>
          <w:lang w:eastAsia="es-CO"/>
        </w:rPr>
      </w:pPr>
      <w:r w:rsidRPr="00A103D8">
        <w:rPr>
          <w:rFonts w:ascii="Verdana" w:hAnsi="Verdana" w:eastAsia="Arial" w:cs="Arial"/>
          <w:sz w:val="20"/>
          <w:szCs w:val="20"/>
          <w:lang w:val="es-ES"/>
        </w:rPr>
        <w:t>La Ley 1712 de 2014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 El principio de transparencia en la información alude al deber de los sujetos de proporcionar y facilitar el acceso a la misma en los términos más amplios posibles, y a través de los medios y procedimientos que establezca la ley</w:t>
      </w:r>
      <w:r w:rsidRPr="00A103D8">
        <w:rPr>
          <w:rFonts w:ascii="Verdana" w:hAnsi="Verdana" w:eastAsia="Times New Roman" w:cs="Arial"/>
          <w:sz w:val="20"/>
          <w:szCs w:val="20"/>
          <w:lang w:eastAsia="es-CO"/>
        </w:rPr>
        <w:t>. Finalmente, el principio de buena fe hace referencia al deber de todo sujeto obligado de cumplir con las obligaciones derivadas del derecho de acceso a la información pública con motivación honesta, leal y desprovista de cualquier intención dolosa o culposa.</w:t>
      </w:r>
    </w:p>
    <w:p w:rsidRPr="00A103D8" w:rsidR="000D19A6" w:rsidP="000D19A6" w:rsidRDefault="000D19A6" w14:paraId="5CEA8D29" w14:textId="77777777">
      <w:pPr>
        <w:spacing w:after="0" w:line="240" w:lineRule="auto"/>
        <w:jc w:val="both"/>
        <w:rPr>
          <w:rFonts w:ascii="Verdana" w:hAnsi="Verdana" w:eastAsia="Times New Roman" w:cs="Arial"/>
          <w:lang w:eastAsia="es-CO"/>
        </w:rPr>
      </w:pPr>
    </w:p>
    <w:p w:rsidRPr="00A103D8" w:rsidR="000D19A6" w:rsidP="000D19A6" w:rsidRDefault="000D19A6" w14:paraId="2D364B5E" w14:textId="77777777">
      <w:pPr>
        <w:spacing w:after="0" w:line="240" w:lineRule="auto"/>
        <w:jc w:val="both"/>
        <w:rPr>
          <w:rFonts w:ascii="Verdana" w:hAnsi="Verdana"/>
          <w:b/>
          <w:bCs/>
        </w:rPr>
      </w:pPr>
      <w:r w:rsidRPr="00A103D8">
        <w:rPr>
          <w:rFonts w:ascii="Verdana" w:hAnsi="Verdana"/>
          <w:b/>
          <w:bCs/>
        </w:rPr>
        <w:t xml:space="preserve">CIRCULAR ÚNICA EXTERNA – Publicación en el SECOP </w:t>
      </w:r>
      <w:r w:rsidRPr="005D69DA">
        <w:rPr>
          <w:rFonts w:ascii="Verdana" w:hAnsi="Verdana"/>
          <w:b/>
          <w:bCs/>
        </w:rPr>
        <w:t>–</w:t>
      </w:r>
      <w:r w:rsidRPr="00A103D8">
        <w:rPr>
          <w:rFonts w:ascii="Verdana" w:hAnsi="Verdana"/>
          <w:b/>
          <w:bCs/>
        </w:rPr>
        <w:t xml:space="preserve"> Oportunidad</w:t>
      </w:r>
    </w:p>
    <w:p w:rsidRPr="002309A6" w:rsidR="000D19A6" w:rsidP="000D19A6" w:rsidRDefault="000D19A6" w14:paraId="16F61717" w14:textId="77777777">
      <w:pPr>
        <w:spacing w:after="0" w:line="240" w:lineRule="auto"/>
        <w:jc w:val="both"/>
        <w:rPr>
          <w:rFonts w:ascii="Verdana" w:hAnsi="Verdana"/>
          <w:color w:val="4472C4" w:themeColor="accent1"/>
        </w:rPr>
      </w:pPr>
    </w:p>
    <w:p w:rsidRPr="00D8664B" w:rsidR="000D19A6" w:rsidP="000D19A6" w:rsidRDefault="000D19A6" w14:paraId="79E07AD5" w14:textId="77777777">
      <w:pPr>
        <w:spacing w:after="0" w:line="240" w:lineRule="auto"/>
        <w:jc w:val="both"/>
        <w:rPr>
          <w:rFonts w:ascii="Verdana" w:hAnsi="Verdana"/>
          <w:sz w:val="20"/>
          <w:szCs w:val="20"/>
        </w:rPr>
      </w:pPr>
      <w:r w:rsidRPr="00D8664B">
        <w:rPr>
          <w:rFonts w:ascii="Verdana" w:hAnsi="Verdana"/>
          <w:sz w:val="20"/>
          <w:szCs w:val="20"/>
        </w:rPr>
        <w:t xml:space="preserve">La Circular Externa Única, recordó a todas las entidades del Estado el deber de publicar oportunamente su actividad contractual en el SECOP, sin distinción de su régimen jurídico, naturaleza jurídica o la pertenencia a una u otra rama del poder público. Además, la Circular Externa Única. Las Entidades que aún utilizan el SECOP I están obligadas a publicar en este sistema los Documentos del Proceso dentro de los tres (3) días siguientes a su expedición, por disposición del artículo 2.2.1.1.1.7.1 del decreto 1082 de 2015. La información registrada por las Entidades en el SECOP II y en la Tienda Virtual del Estado Colombiano está disponible en tiempo real, debido a que las actuaciones del Proceso de Contratación tienen lugar electrónicamente, a través de dichas plataformas transaccionales. Sin embargo, a pesar del carácter transaccional, que permite que el trámite de gran parte de las actuaciones de la gestión contractual se realice en línea y de forma concomitante a su publicidad, las Entidades pueden crear documentos en medio físico o electrónico por fuera de la plataforma para, posteriormente, ser incorporados en el módulo dispuesto para el efecto. Por lo tanto, el SECOP II y la TVEC están conformados por documentos electrónicos como formularios o plantillas generados a partir de la información diligenciada por la Entidad Estatal o el Proveedor y documentos producidos originalmente en físico o por medios electrónicos, </w:t>
      </w:r>
      <w:r w:rsidRPr="00D8664B">
        <w:rPr>
          <w:rFonts w:ascii="Verdana" w:hAnsi="Verdana"/>
          <w:sz w:val="20"/>
          <w:szCs w:val="20"/>
        </w:rPr>
        <w:lastRenderedPageBreak/>
        <w:t>que la Entidad Estatal o el Proveedor digitalizan y cargan o publican en las plataformas mediante las secciones correspondientes de acuerdo con la etapa del Proceso de Contratación. Respecto a los documentos que no son generados en línea, el SECOP II y la TVEC permiten su publicidad. Para ello, se aplicará la misma regla de los tres (3) días siguientes a la expedición, conforme con lo previsto en el artículo 2.2.1.1.1.7.1. del Decreto Reglamentario 1082 de 2015.</w:t>
      </w:r>
    </w:p>
    <w:p w:rsidRPr="002309A6" w:rsidR="000D19A6" w:rsidP="000D19A6" w:rsidRDefault="000D19A6" w14:paraId="33D54766" w14:textId="77777777">
      <w:pPr>
        <w:spacing w:after="0" w:line="240" w:lineRule="auto"/>
        <w:jc w:val="both"/>
        <w:rPr>
          <w:rFonts w:ascii="Verdana" w:hAnsi="Verdana" w:eastAsia="Times New Roman" w:cs="Arial"/>
          <w:color w:val="4472C4" w:themeColor="accent1"/>
          <w:lang w:eastAsia="es-CO"/>
        </w:rPr>
      </w:pPr>
    </w:p>
    <w:p w:rsidR="000D19A6" w:rsidP="000D19A6" w:rsidRDefault="000D19A6" w14:paraId="1820DE03"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3FF1D748"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3BDCB5DB"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1D395E17"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3CDB4F6E"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4482F5D8"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6F1E32DD"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7492287D"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26284C4E"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730420C7"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006A6756"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0D0AF73B"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78BB539F" w14:textId="77777777">
      <w:pPr>
        <w:spacing w:after="0" w:line="240" w:lineRule="auto"/>
        <w:contextualSpacing/>
        <w:jc w:val="both"/>
        <w:rPr>
          <w:rFonts w:ascii="Verdana" w:hAnsi="Verdana" w:eastAsia="Calibri" w:cs="Arial"/>
          <w:b/>
          <w:bCs/>
          <w:color w:val="4472C4" w:themeColor="accent1"/>
        </w:rPr>
      </w:pPr>
    </w:p>
    <w:p w:rsidR="000D19A6" w:rsidP="000D19A6" w:rsidRDefault="000D19A6" w14:paraId="4583E127" w14:textId="77777777">
      <w:pPr>
        <w:spacing w:after="0" w:line="240" w:lineRule="auto"/>
        <w:contextualSpacing/>
        <w:jc w:val="both"/>
        <w:rPr>
          <w:rFonts w:ascii="Verdana" w:hAnsi="Verdana" w:eastAsia="Calibri" w:cs="Arial"/>
          <w:b/>
          <w:bCs/>
          <w:color w:val="4472C4" w:themeColor="accent1"/>
          <w:lang w:eastAsia="es-ES"/>
        </w:rPr>
      </w:pPr>
    </w:p>
    <w:p w:rsidR="000D19A6" w:rsidP="000D19A6" w:rsidRDefault="000D19A6" w14:paraId="6F616411" w14:textId="77777777">
      <w:pPr>
        <w:spacing w:after="0" w:line="240" w:lineRule="auto"/>
        <w:contextualSpacing/>
        <w:jc w:val="both"/>
        <w:rPr>
          <w:rFonts w:ascii="Verdana" w:hAnsi="Verdana" w:eastAsia="Calibri" w:cs="Arial"/>
          <w:b/>
          <w:bCs/>
          <w:color w:val="4472C4" w:themeColor="accent1"/>
          <w:lang w:eastAsia="es-ES"/>
        </w:rPr>
      </w:pPr>
    </w:p>
    <w:p w:rsidR="000D19A6" w:rsidP="000D19A6" w:rsidRDefault="000D19A6" w14:paraId="0648C449" w14:textId="77777777">
      <w:pPr>
        <w:spacing w:after="0" w:line="240" w:lineRule="auto"/>
        <w:contextualSpacing/>
        <w:jc w:val="both"/>
        <w:rPr>
          <w:rFonts w:ascii="Verdana" w:hAnsi="Verdana" w:eastAsia="Calibri" w:cs="Arial"/>
          <w:b/>
          <w:bCs/>
          <w:color w:val="4472C4" w:themeColor="accent1"/>
          <w:lang w:eastAsia="es-ES"/>
        </w:rPr>
      </w:pPr>
    </w:p>
    <w:p w:rsidR="000D19A6" w:rsidP="000D19A6" w:rsidRDefault="000D19A6" w14:paraId="309ECB69" w14:textId="77777777">
      <w:pPr>
        <w:spacing w:after="0" w:line="240" w:lineRule="auto"/>
        <w:contextualSpacing/>
        <w:jc w:val="both"/>
        <w:rPr>
          <w:rFonts w:ascii="Verdana" w:hAnsi="Verdana" w:eastAsia="Calibri" w:cs="Arial"/>
          <w:b/>
          <w:bCs/>
          <w:color w:val="4472C4" w:themeColor="accent1"/>
          <w:lang w:eastAsia="es-ES"/>
        </w:rPr>
      </w:pPr>
    </w:p>
    <w:p w:rsidR="000D19A6" w:rsidP="000D19A6" w:rsidRDefault="000D19A6" w14:paraId="56EE3909" w14:textId="77777777">
      <w:pPr>
        <w:spacing w:after="0" w:line="240" w:lineRule="auto"/>
        <w:contextualSpacing/>
        <w:jc w:val="both"/>
        <w:rPr>
          <w:rFonts w:ascii="Verdana" w:hAnsi="Verdana" w:eastAsia="Calibri" w:cs="Arial"/>
          <w:b/>
          <w:bCs/>
          <w:color w:val="4472C4" w:themeColor="accent1"/>
          <w:lang w:eastAsia="es-ES"/>
        </w:rPr>
      </w:pPr>
    </w:p>
    <w:p w:rsidR="000D19A6" w:rsidP="000D19A6" w:rsidRDefault="000D19A6" w14:paraId="0C0EE976" w14:textId="77777777">
      <w:pPr>
        <w:spacing w:after="0" w:line="240" w:lineRule="auto"/>
        <w:contextualSpacing/>
        <w:jc w:val="both"/>
        <w:rPr>
          <w:rFonts w:ascii="Verdana" w:hAnsi="Verdana" w:eastAsia="Calibri" w:cs="Arial"/>
          <w:b/>
          <w:bCs/>
          <w:color w:val="4472C4" w:themeColor="accent1"/>
          <w:lang w:eastAsia="es-ES"/>
        </w:rPr>
      </w:pPr>
    </w:p>
    <w:p w:rsidR="000D19A6" w:rsidP="000D19A6" w:rsidRDefault="000D19A6" w14:paraId="331F0984" w14:textId="77777777">
      <w:pPr>
        <w:spacing w:after="0" w:line="240" w:lineRule="auto"/>
        <w:contextualSpacing/>
        <w:jc w:val="both"/>
        <w:rPr>
          <w:rFonts w:ascii="Verdana" w:hAnsi="Verdana" w:eastAsia="Calibri" w:cs="Arial"/>
          <w:b/>
          <w:bCs/>
          <w:color w:val="4472C4" w:themeColor="accent1"/>
          <w:lang w:eastAsia="es-ES"/>
        </w:rPr>
      </w:pPr>
    </w:p>
    <w:p w:rsidR="000D19A6" w:rsidP="0087031A" w:rsidRDefault="000D19A6" w14:paraId="0FC9628F" w14:textId="77777777">
      <w:pPr>
        <w:spacing w:after="0"/>
        <w:rPr>
          <w:rFonts w:ascii="Verdana" w:hAnsi="Verdana"/>
        </w:rPr>
      </w:pPr>
    </w:p>
    <w:p w:rsidR="000D19A6" w:rsidP="0087031A" w:rsidRDefault="000D19A6" w14:paraId="4FAA1442" w14:textId="77777777">
      <w:pPr>
        <w:spacing w:after="0"/>
        <w:rPr>
          <w:rFonts w:ascii="Verdana" w:hAnsi="Verdana"/>
        </w:rPr>
      </w:pPr>
    </w:p>
    <w:p w:rsidR="000D19A6" w:rsidP="0087031A" w:rsidRDefault="000D19A6" w14:paraId="5DAA8B00" w14:textId="77777777">
      <w:pPr>
        <w:spacing w:after="0"/>
        <w:rPr>
          <w:rFonts w:ascii="Verdana" w:hAnsi="Verdana"/>
        </w:rPr>
      </w:pPr>
    </w:p>
    <w:p w:rsidR="000D19A6" w:rsidP="0087031A" w:rsidRDefault="000D19A6" w14:paraId="7FDBDE8A" w14:textId="77777777">
      <w:pPr>
        <w:spacing w:after="0"/>
        <w:rPr>
          <w:rFonts w:ascii="Verdana" w:hAnsi="Verdana"/>
        </w:rPr>
      </w:pPr>
    </w:p>
    <w:p w:rsidR="000D19A6" w:rsidP="0087031A" w:rsidRDefault="000D19A6" w14:paraId="5071A4D0" w14:textId="77777777">
      <w:pPr>
        <w:spacing w:after="0"/>
        <w:rPr>
          <w:rFonts w:ascii="Verdana" w:hAnsi="Verdana"/>
        </w:rPr>
      </w:pPr>
    </w:p>
    <w:p w:rsidR="000D19A6" w:rsidP="0087031A" w:rsidRDefault="000D19A6" w14:paraId="70845ACD" w14:textId="77777777">
      <w:pPr>
        <w:spacing w:after="0"/>
        <w:rPr>
          <w:rFonts w:ascii="Verdana" w:hAnsi="Verdana"/>
        </w:rPr>
      </w:pPr>
    </w:p>
    <w:p w:rsidR="000D19A6" w:rsidP="0087031A" w:rsidRDefault="000D19A6" w14:paraId="27CFCD66" w14:textId="77777777">
      <w:pPr>
        <w:spacing w:after="0"/>
        <w:rPr>
          <w:rFonts w:ascii="Verdana" w:hAnsi="Verdana"/>
        </w:rPr>
      </w:pPr>
    </w:p>
    <w:p w:rsidR="000D19A6" w:rsidP="0087031A" w:rsidRDefault="000D19A6" w14:paraId="3CB8C29F" w14:textId="77777777">
      <w:pPr>
        <w:spacing w:after="0"/>
        <w:rPr>
          <w:rFonts w:ascii="Verdana" w:hAnsi="Verdana"/>
        </w:rPr>
      </w:pPr>
    </w:p>
    <w:p w:rsidR="000D19A6" w:rsidP="0087031A" w:rsidRDefault="000D19A6" w14:paraId="387B12A1" w14:textId="77777777">
      <w:pPr>
        <w:spacing w:after="0"/>
        <w:rPr>
          <w:rFonts w:ascii="Verdana" w:hAnsi="Verdana"/>
        </w:rPr>
      </w:pPr>
    </w:p>
    <w:p w:rsidR="000D19A6" w:rsidP="0087031A" w:rsidRDefault="000D19A6" w14:paraId="18F0EC48" w14:textId="77777777">
      <w:pPr>
        <w:spacing w:after="0"/>
        <w:rPr>
          <w:rFonts w:ascii="Verdana" w:hAnsi="Verdana"/>
        </w:rPr>
      </w:pPr>
    </w:p>
    <w:p w:rsidR="000D19A6" w:rsidP="0087031A" w:rsidRDefault="000D19A6" w14:paraId="7B15FA2E" w14:textId="77777777">
      <w:pPr>
        <w:spacing w:after="0"/>
        <w:rPr>
          <w:rFonts w:ascii="Verdana" w:hAnsi="Verdana"/>
        </w:rPr>
      </w:pPr>
    </w:p>
    <w:p w:rsidR="000D19A6" w:rsidP="0087031A" w:rsidRDefault="000D19A6" w14:paraId="454F2C35" w14:textId="77777777">
      <w:pPr>
        <w:spacing w:after="0"/>
        <w:rPr>
          <w:rFonts w:ascii="Verdana" w:hAnsi="Verdana"/>
        </w:rPr>
      </w:pPr>
    </w:p>
    <w:p w:rsidR="000D19A6" w:rsidP="0087031A" w:rsidRDefault="000D19A6" w14:paraId="37B03878" w14:textId="77777777">
      <w:pPr>
        <w:spacing w:after="0"/>
        <w:rPr>
          <w:rFonts w:ascii="Verdana" w:hAnsi="Verdana"/>
        </w:rPr>
      </w:pPr>
    </w:p>
    <w:p w:rsidR="000D19A6" w:rsidP="0087031A" w:rsidRDefault="000D19A6" w14:paraId="2291B949" w14:textId="77777777">
      <w:pPr>
        <w:spacing w:after="0"/>
        <w:rPr>
          <w:rFonts w:ascii="Verdana" w:hAnsi="Verdana"/>
        </w:rPr>
      </w:pPr>
    </w:p>
    <w:p w:rsidR="000D19A6" w:rsidP="0087031A" w:rsidRDefault="000D19A6" w14:paraId="3719F360" w14:textId="77777777">
      <w:pPr>
        <w:spacing w:after="0"/>
        <w:rPr>
          <w:rFonts w:ascii="Verdana" w:hAnsi="Verdana"/>
        </w:rPr>
      </w:pPr>
    </w:p>
    <w:p w:rsidR="0087031A" w:rsidP="14A1EB0B" w:rsidRDefault="0087031A" w14:paraId="24C80061" w14:textId="46EC6BB9">
      <w:pPr>
        <w:pStyle w:val="Normal"/>
        <w:suppressLineNumbers w:val="0"/>
        <w:bidi w:val="0"/>
        <w:spacing w:before="0" w:beforeAutospacing="off" w:after="0" w:afterAutospacing="off" w:line="259" w:lineRule="auto"/>
        <w:ind w:left="0" w:right="0"/>
        <w:jc w:val="left"/>
        <w:rPr>
          <w:rFonts w:ascii="Verdana" w:hAnsi="Verdana"/>
        </w:rPr>
      </w:pPr>
      <w:r w:rsidRPr="14A1EB0B" w:rsidR="0087031A">
        <w:rPr>
          <w:rFonts w:ascii="Verdana" w:hAnsi="Verdana"/>
        </w:rPr>
        <w:t>B</w:t>
      </w:r>
      <w:r w:rsidRPr="14A1EB0B" w:rsidR="0087031A">
        <w:rPr>
          <w:rFonts w:ascii="Verdana" w:hAnsi="Verdana"/>
        </w:rPr>
        <w:t xml:space="preserve">ogotá D.C., </w:t>
      </w:r>
      <w:r w:rsidRPr="14A1EB0B" w:rsidR="01DAA948">
        <w:rPr>
          <w:rFonts w:ascii="Verdana" w:hAnsi="Verdana"/>
        </w:rPr>
        <w:t>29 julio de 2025.</w:t>
      </w:r>
    </w:p>
    <w:p w:rsidR="0087031A" w:rsidP="0087031A" w:rsidRDefault="0087031A" w14:paraId="53A7EAEE" w14:textId="77777777">
      <w:pPr>
        <w:spacing w:after="0"/>
        <w:rPr>
          <w:rFonts w:ascii="Verdana" w:hAnsi="Verdana"/>
        </w:rPr>
      </w:pPr>
      <w:bookmarkStart w:name="_Hlk180638295" w:id="2"/>
      <w:bookmarkEnd w:id="0"/>
    </w:p>
    <w:p w:rsidR="0087031A" w:rsidP="0087031A" w:rsidRDefault="0087031A" w14:paraId="6CB80055" w14:textId="77777777">
      <w:pPr>
        <w:spacing w:after="0"/>
        <w:rPr>
          <w:rFonts w:ascii="Verdana" w:hAnsi="Verdana"/>
        </w:rPr>
      </w:pPr>
    </w:p>
    <w:p w:rsidR="01DAA948" w:rsidP="14A1EB0B" w:rsidRDefault="01DAA948" w14:paraId="41EDEDFA" w14:textId="5C2E9651">
      <w:pPr>
        <w:spacing w:after="0"/>
      </w:pPr>
      <w:r w:rsidR="01DAA948">
        <w:drawing>
          <wp:inline wp14:editId="0FE38F60" wp14:anchorId="6951B08C">
            <wp:extent cx="2737341" cy="902286"/>
            <wp:effectExtent l="0" t="0" r="0" b="0"/>
            <wp:docPr id="156144460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561444609" name=""/>
                    <pic:cNvPicPr/>
                  </pic:nvPicPr>
                  <pic:blipFill>
                    <a:blip xmlns:r="http://schemas.openxmlformats.org/officeDocument/2006/relationships" r:embed="rId1726940859">
                      <a:extLst>
                        <a:ext xmlns:a="http://schemas.openxmlformats.org/drawingml/2006/main" uri="{28A0092B-C50C-407E-A947-70E740481C1C}">
                          <a14:useLocalDpi xmlns:a14="http://schemas.microsoft.com/office/drawing/2010/main" val="0"/>
                        </a:ext>
                      </a:extLst>
                    </a:blip>
                    <a:stretch>
                      <a:fillRect/>
                    </a:stretch>
                  </pic:blipFill>
                  <pic:spPr>
                    <a:xfrm>
                      <a:off x="0" y="0"/>
                      <a:ext cx="2737341" cy="902286"/>
                    </a:xfrm>
                    <a:prstGeom prst="rect">
                      <a:avLst/>
                    </a:prstGeom>
                  </pic:spPr>
                </pic:pic>
              </a:graphicData>
            </a:graphic>
          </wp:inline>
        </w:drawing>
      </w:r>
    </w:p>
    <w:p w:rsidR="14A1EB0B" w:rsidP="14A1EB0B" w:rsidRDefault="14A1EB0B" w14:paraId="78E56969" w14:textId="56495C7F">
      <w:pPr>
        <w:spacing w:after="0"/>
        <w:rPr>
          <w:rFonts w:ascii="Verdana" w:hAnsi="Verdana"/>
        </w:rPr>
      </w:pPr>
    </w:p>
    <w:p w:rsidR="14A1EB0B" w:rsidP="14A1EB0B" w:rsidRDefault="14A1EB0B" w14:paraId="560C2965" w14:textId="2B9498D1">
      <w:pPr>
        <w:spacing w:after="0"/>
        <w:rPr>
          <w:rFonts w:ascii="Verdana" w:hAnsi="Verdana"/>
        </w:rPr>
      </w:pPr>
    </w:p>
    <w:p w:rsidR="14A1EB0B" w:rsidP="14A1EB0B" w:rsidRDefault="14A1EB0B" w14:paraId="15D3299A" w14:textId="4BF9BB54">
      <w:pPr>
        <w:spacing w:after="0"/>
        <w:rPr>
          <w:rFonts w:ascii="Verdana" w:hAnsi="Verdana"/>
        </w:rPr>
      </w:pPr>
    </w:p>
    <w:p w:rsidR="00574779" w:rsidP="00574779" w:rsidRDefault="0087031A" w14:paraId="379699C5" w14:textId="1B32E6C6">
      <w:pPr>
        <w:spacing w:after="0" w:line="240" w:lineRule="auto"/>
        <w:jc w:val="both"/>
        <w:rPr>
          <w:rFonts w:ascii="Verdana" w:hAnsi="Verdana" w:eastAsia="Calibri" w:cs="Arial"/>
          <w:lang w:eastAsia="es-ES"/>
        </w:rPr>
      </w:pPr>
      <w:bookmarkStart w:name="_Hlk181166167" w:id="3"/>
      <w:r w:rsidRPr="005E62E2">
        <w:rPr>
          <w:rFonts w:ascii="Verdana" w:hAnsi="Verdana" w:eastAsia="Calibri" w:cs="Arial"/>
          <w:lang w:eastAsia="es-ES"/>
        </w:rPr>
        <w:t>Señor</w:t>
      </w:r>
      <w:r w:rsidR="00574779">
        <w:rPr>
          <w:rFonts w:ascii="Verdana" w:hAnsi="Verdana" w:eastAsia="Calibri" w:cs="Arial"/>
          <w:lang w:eastAsia="es-ES"/>
        </w:rPr>
        <w:t>a</w:t>
      </w:r>
      <w:r w:rsidRPr="005E62E2">
        <w:rPr>
          <w:rFonts w:ascii="Verdana" w:hAnsi="Verdana" w:eastAsia="Calibri" w:cs="Arial"/>
          <w:lang w:eastAsia="es-ES"/>
        </w:rPr>
        <w:tab/>
      </w:r>
    </w:p>
    <w:p w:rsidRPr="00574779" w:rsidR="00574779" w:rsidP="00574779" w:rsidRDefault="00720339" w14:paraId="3DB8C980" w14:textId="67B9EC73">
      <w:pPr>
        <w:spacing w:after="0" w:line="240" w:lineRule="auto"/>
        <w:jc w:val="both"/>
        <w:rPr>
          <w:rFonts w:ascii="Verdana" w:hAnsi="Verdana" w:eastAsia="Calibri" w:cs="Arial"/>
          <w:lang w:eastAsia="es-ES"/>
        </w:rPr>
      </w:pPr>
      <w:r w:rsidRPr="00720339">
        <w:rPr>
          <w:rFonts w:ascii="Verdana" w:hAnsi="Verdana" w:eastAsia="Calibri" w:cs="Arial"/>
          <w:b/>
          <w:bCs/>
          <w:lang w:eastAsia="es-ES"/>
        </w:rPr>
        <w:t>LINA</w:t>
      </w:r>
      <w:r>
        <w:rPr>
          <w:rFonts w:ascii="Verdana" w:hAnsi="Verdana" w:eastAsia="Calibri" w:cs="Arial"/>
          <w:b/>
          <w:bCs/>
          <w:lang w:eastAsia="es-ES"/>
        </w:rPr>
        <w:t xml:space="preserve"> </w:t>
      </w:r>
      <w:r w:rsidRPr="00720339">
        <w:rPr>
          <w:rFonts w:ascii="Verdana" w:hAnsi="Verdana" w:eastAsia="Calibri" w:cs="Arial"/>
          <w:b/>
          <w:bCs/>
          <w:lang w:eastAsia="es-ES"/>
        </w:rPr>
        <w:t>SOFIA PEREZ PEDRAZA</w:t>
      </w:r>
    </w:p>
    <w:p w:rsidRPr="00720339" w:rsidR="00574779" w:rsidP="0087031A" w:rsidRDefault="00720339" w14:paraId="5210DB66" w14:textId="708714CF">
      <w:pPr>
        <w:spacing w:after="0" w:line="240" w:lineRule="auto"/>
        <w:rPr>
          <w:rFonts w:ascii="Verdana" w:hAnsi="Verdana"/>
        </w:rPr>
      </w:pPr>
      <w:r w:rsidRPr="00720339">
        <w:rPr>
          <w:rFonts w:ascii="Verdana" w:hAnsi="Verdana"/>
        </w:rPr>
        <w:t>lperez@uapa-pae.gov.co</w:t>
      </w:r>
    </w:p>
    <w:p w:rsidR="0087031A" w:rsidP="0087031A" w:rsidRDefault="00574779" w14:paraId="20ECB200" w14:textId="69E89898">
      <w:pPr>
        <w:spacing w:after="0" w:line="240" w:lineRule="auto"/>
        <w:rPr>
          <w:rFonts w:ascii="Verdana" w:hAnsi="Verdana" w:eastAsia="Calibri" w:cs="Arial"/>
          <w:color w:val="000000"/>
          <w:lang w:val="es-ES_tradnl" w:eastAsia="es-ES_tradnl"/>
        </w:rPr>
      </w:pPr>
      <w:r>
        <w:rPr>
          <w:rFonts w:ascii="Verdana" w:hAnsi="Verdana" w:eastAsia="Calibri" w:cs="Arial"/>
          <w:color w:val="000000"/>
          <w:lang w:val="es-ES_tradnl" w:eastAsia="es-ES_tradnl"/>
        </w:rPr>
        <w:t>Bogotá D.C.</w:t>
      </w:r>
    </w:p>
    <w:p w:rsidRPr="00FE3DEC" w:rsidR="0087031A" w:rsidP="0087031A" w:rsidRDefault="0087031A" w14:paraId="33757F92" w14:textId="77777777">
      <w:pPr>
        <w:spacing w:after="0" w:line="240" w:lineRule="auto"/>
        <w:rPr>
          <w:rFonts w:ascii="Verdana" w:hAnsi="Verdana" w:eastAsia="Calibri" w:cs="Arial"/>
          <w:color w:val="000000"/>
          <w:lang w:val="es-ES_tradnl" w:eastAsia="es-ES_tradnl"/>
        </w:rPr>
      </w:pPr>
    </w:p>
    <w:tbl>
      <w:tblPr>
        <w:tblStyle w:val="Tablaconcuadrcula"/>
        <w:tblW w:w="87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295"/>
        <w:gridCol w:w="6162"/>
        <w:gridCol w:w="319"/>
      </w:tblGrid>
      <w:tr w:rsidRPr="00593A5F" w:rsidR="0087031A" w:rsidTr="00C67C7B" w14:paraId="28AFEB3E" w14:textId="77777777">
        <w:trPr>
          <w:trHeight w:val="919"/>
        </w:trPr>
        <w:tc>
          <w:tcPr>
            <w:tcW w:w="2295" w:type="dxa"/>
          </w:tcPr>
          <w:p w:rsidRPr="00E5644F" w:rsidR="0087031A" w:rsidRDefault="0087031A" w14:paraId="3DABC826" w14:textId="77777777">
            <w:pPr>
              <w:jc w:val="both"/>
              <w:rPr>
                <w:rFonts w:ascii="Verdana" w:hAnsi="Verdana" w:eastAsia="Calibri" w:cs="Arial"/>
                <w:b/>
                <w:bCs/>
                <w:color w:val="7030A0"/>
                <w:lang w:val="es-ES_tradnl" w:eastAsia="es-ES_tradnl"/>
              </w:rPr>
            </w:pPr>
          </w:p>
        </w:tc>
        <w:tc>
          <w:tcPr>
            <w:tcW w:w="6481" w:type="dxa"/>
            <w:gridSpan w:val="2"/>
          </w:tcPr>
          <w:p w:rsidRPr="00E5644F" w:rsidR="0087031A" w:rsidRDefault="0087031A" w14:paraId="022A37EB" w14:textId="0925AD3E">
            <w:pPr>
              <w:jc w:val="both"/>
              <w:rPr>
                <w:rFonts w:ascii="Verdana" w:hAnsi="Verdana" w:eastAsia="Calibri" w:cs="Arial"/>
                <w:b/>
                <w:bCs/>
                <w:color w:val="7030A0"/>
                <w:lang w:val="es-ES" w:eastAsia="es-ES"/>
              </w:rPr>
            </w:pPr>
            <w:r w:rsidRPr="00E5644F">
              <w:rPr>
                <w:rFonts w:ascii="Verdana" w:hAnsi="Verdana" w:eastAsia="Calibri" w:cs="Arial"/>
                <w:b/>
                <w:bCs/>
                <w:lang w:val="es-ES" w:eastAsia="es-ES"/>
              </w:rPr>
              <w:t xml:space="preserve">Concepto C- </w:t>
            </w:r>
            <w:r w:rsidR="00720339">
              <w:rPr>
                <w:rFonts w:ascii="Verdana" w:hAnsi="Verdana" w:eastAsia="Calibri" w:cs="Arial"/>
                <w:b/>
                <w:bCs/>
                <w:lang w:val="es-ES" w:eastAsia="es-ES"/>
              </w:rPr>
              <w:t>810</w:t>
            </w:r>
            <w:r w:rsidRPr="00C4006F">
              <w:rPr>
                <w:rFonts w:ascii="Verdana" w:hAnsi="Verdana" w:eastAsia="Calibri" w:cs="Arial"/>
                <w:b/>
                <w:bCs/>
                <w:lang w:val="es-ES" w:eastAsia="es-ES"/>
              </w:rPr>
              <w:t xml:space="preserve"> de 2025</w:t>
            </w:r>
          </w:p>
        </w:tc>
      </w:tr>
      <w:tr w:rsidRPr="00A52DE7" w:rsidR="0087031A" w:rsidTr="00C67C7B" w14:paraId="38B6D2DC" w14:textId="77777777">
        <w:trPr>
          <w:trHeight w:val="919"/>
        </w:trPr>
        <w:tc>
          <w:tcPr>
            <w:tcW w:w="2295" w:type="dxa"/>
          </w:tcPr>
          <w:p w:rsidRPr="00593A5F" w:rsidR="0087031A" w:rsidRDefault="0087031A" w14:paraId="7FE07E31" w14:textId="77777777">
            <w:pPr>
              <w:jc w:val="both"/>
              <w:rPr>
                <w:rFonts w:ascii="Verdana" w:hAnsi="Verdana" w:eastAsia="Calibri" w:cs="Arial"/>
                <w:color w:val="000000"/>
                <w:lang w:val="es-ES_tradnl" w:eastAsia="es-ES_tradnl"/>
              </w:rPr>
            </w:pPr>
            <w:r w:rsidRPr="00593A5F">
              <w:rPr>
                <w:rFonts w:ascii="Verdana" w:hAnsi="Verdana" w:eastAsia="Calibri" w:cs="Arial"/>
                <w:b/>
                <w:color w:val="000000"/>
                <w:lang w:val="es-ES_tradnl" w:eastAsia="es-ES_tradnl"/>
              </w:rPr>
              <w:t>Temas:</w:t>
            </w:r>
            <w:r w:rsidRPr="00593A5F">
              <w:rPr>
                <w:rFonts w:ascii="Verdana" w:hAnsi="Verdana" w:eastAsia="Calibri" w:cs="Arial"/>
                <w:color w:val="000000"/>
                <w:lang w:val="es-ES_tradnl" w:eastAsia="es-ES_tradnl"/>
              </w:rPr>
              <w:t xml:space="preserve">                   </w:t>
            </w:r>
          </w:p>
        </w:tc>
        <w:tc>
          <w:tcPr>
            <w:tcW w:w="6481" w:type="dxa"/>
            <w:gridSpan w:val="2"/>
          </w:tcPr>
          <w:p w:rsidR="00751954" w:rsidP="00751954" w:rsidRDefault="001B401D" w14:paraId="087A7364" w14:textId="3E49888A">
            <w:pPr>
              <w:jc w:val="both"/>
              <w:rPr>
                <w:rFonts w:ascii="Verdana" w:hAnsi="Verdana" w:eastAsia="Calibri" w:cs="Arial"/>
                <w:lang w:eastAsia="es-ES"/>
              </w:rPr>
            </w:pPr>
            <w:r w:rsidRPr="00D83401">
              <w:rPr>
                <w:rFonts w:ascii="Verdana" w:hAnsi="Verdana" w:eastAsia="Calibri" w:cs="Arial"/>
                <w:bCs/>
                <w:lang w:val="es-ES_tradnl"/>
              </w:rPr>
              <w:t xml:space="preserve">CONTRATACIÓN PÚBLICA – Principio de publicidad – Principio de transparencia – Uso del SECOP </w:t>
            </w:r>
            <w:r w:rsidRPr="00D83401">
              <w:rPr>
                <w:rFonts w:ascii="Verdana" w:hAnsi="Verdana" w:eastAsia="Times New Roman" w:cs="Arial"/>
                <w:bCs/>
                <w:lang w:eastAsia="es-ES_tradnl"/>
              </w:rPr>
              <w:t xml:space="preserve">/ </w:t>
            </w:r>
            <w:r w:rsidRPr="00D83401">
              <w:rPr>
                <w:rFonts w:ascii="Verdana" w:hAnsi="Verdana" w:eastAsia="Calibri" w:cs="Arial"/>
                <w:bCs/>
                <w:lang w:val="es-ES_tradnl"/>
              </w:rPr>
              <w:t xml:space="preserve">PRINCIPIO DE TRANSPARENCIA – Ley 1712 de 2014 – Documentos públicos / </w:t>
            </w:r>
            <w:r w:rsidRPr="00A103D8">
              <w:rPr>
                <w:rFonts w:ascii="Verdana" w:hAnsi="Verdana" w:eastAsia="Calibri" w:cs="Arial"/>
                <w:bCs/>
                <w:lang w:val="es-ES_tradnl"/>
              </w:rPr>
              <w:t>CIRCULAR ÚNICA EXTERNA – Publicación en el SECOP - Oportunidad</w:t>
            </w:r>
            <w:r w:rsidR="00751954">
              <w:rPr>
                <w:rFonts w:ascii="Verdana" w:hAnsi="Verdana" w:eastAsia="Calibri" w:cs="Arial"/>
                <w:lang w:eastAsia="es-ES"/>
              </w:rPr>
              <w:t>.</w:t>
            </w:r>
          </w:p>
          <w:p w:rsidRPr="00A52DE7" w:rsidR="00471CAF" w:rsidRDefault="00471CAF" w14:paraId="1BF247BD" w14:textId="72D1DB25">
            <w:pPr>
              <w:jc w:val="both"/>
              <w:rPr>
                <w:rFonts w:ascii="Verdana" w:hAnsi="Verdana" w:eastAsia="Calibri" w:cs="Arial"/>
                <w:b/>
                <w:highlight w:val="yellow"/>
                <w:lang w:val="es-ES" w:eastAsia="es-ES"/>
              </w:rPr>
            </w:pPr>
          </w:p>
        </w:tc>
      </w:tr>
      <w:tr w:rsidRPr="00593A5F" w:rsidR="0087031A" w:rsidTr="00C67C7B" w14:paraId="14D6DDF3" w14:textId="77777777">
        <w:trPr>
          <w:trHeight w:val="545"/>
        </w:trPr>
        <w:tc>
          <w:tcPr>
            <w:tcW w:w="2295" w:type="dxa"/>
          </w:tcPr>
          <w:p w:rsidRPr="006730E9" w:rsidR="0087031A" w:rsidRDefault="0087031A" w14:paraId="58C41A69" w14:textId="77777777">
            <w:pPr>
              <w:jc w:val="both"/>
              <w:rPr>
                <w:rFonts w:ascii="Verdana" w:hAnsi="Verdana" w:eastAsia="Calibri" w:cs="Arial"/>
                <w:b/>
                <w:lang w:val="es-ES_tradnl" w:eastAsia="es-ES_tradnl"/>
              </w:rPr>
            </w:pPr>
            <w:r w:rsidRPr="006730E9">
              <w:rPr>
                <w:rFonts w:ascii="Verdana" w:hAnsi="Verdana" w:eastAsia="Calibri" w:cs="Arial"/>
                <w:b/>
                <w:lang w:val="es-ES_tradnl" w:eastAsia="es-ES_tradnl"/>
              </w:rPr>
              <w:t>Radicación:</w:t>
            </w:r>
            <w:r w:rsidRPr="006730E9">
              <w:rPr>
                <w:rFonts w:ascii="Verdana" w:hAnsi="Verdana" w:eastAsia="Calibri" w:cs="Arial"/>
                <w:lang w:val="es-ES_tradnl" w:eastAsia="es-ES_tradnl"/>
              </w:rPr>
              <w:t xml:space="preserve">               </w:t>
            </w:r>
          </w:p>
        </w:tc>
        <w:tc>
          <w:tcPr>
            <w:tcW w:w="6481" w:type="dxa"/>
            <w:gridSpan w:val="2"/>
          </w:tcPr>
          <w:p w:rsidRPr="006730E9" w:rsidR="0087031A" w:rsidRDefault="0087031A" w14:paraId="76361BD6" w14:textId="47602B71">
            <w:pPr>
              <w:jc w:val="both"/>
              <w:rPr>
                <w:rFonts w:ascii="Verdana" w:hAnsi="Verdana" w:eastAsia="Calibri" w:cs="Arial"/>
                <w:lang w:val="es-ES_tradnl" w:eastAsia="es-ES_tradnl"/>
              </w:rPr>
            </w:pPr>
            <w:r w:rsidRPr="007121A5">
              <w:rPr>
                <w:rFonts w:ascii="Verdana" w:hAnsi="Verdana" w:eastAsia="Calibri" w:cs="Arial"/>
                <w:lang w:val="es-ES_tradnl" w:eastAsia="es-ES_tradnl"/>
              </w:rPr>
              <w:t xml:space="preserve">Respuesta a consulta con radicado No. </w:t>
            </w:r>
            <w:r w:rsidRPr="00720339" w:rsidR="00720339">
              <w:rPr>
                <w:rFonts w:ascii="Verdana" w:hAnsi="Verdana" w:eastAsia="Calibri" w:cs="Arial"/>
                <w:lang w:val="es-ES_tradnl" w:eastAsia="es-ES_tradnl"/>
              </w:rPr>
              <w:t>1_2025_06_18_006036</w:t>
            </w:r>
            <w:r>
              <w:rPr>
                <w:rFonts w:ascii="Verdana" w:hAnsi="Verdana" w:eastAsia="Calibri" w:cs="Arial"/>
                <w:lang w:val="es-ES_tradnl" w:eastAsia="es-ES_tradnl"/>
              </w:rPr>
              <w:t>.</w:t>
            </w:r>
          </w:p>
        </w:tc>
      </w:tr>
      <w:tr w:rsidRPr="00DB23D2" w:rsidR="0087031A" w:rsidTr="00C67C7B" w14:paraId="2A2E2921" w14:textId="77777777">
        <w:trPr>
          <w:gridAfter w:val="1"/>
          <w:wAfter w:w="319" w:type="dxa"/>
          <w:trHeight w:val="242"/>
        </w:trPr>
        <w:tc>
          <w:tcPr>
            <w:tcW w:w="8457" w:type="dxa"/>
            <w:gridSpan w:val="2"/>
          </w:tcPr>
          <w:p w:rsidRPr="00DB23D2" w:rsidR="0087031A" w:rsidRDefault="0087031A" w14:paraId="120D7AD6" w14:textId="77777777">
            <w:pPr>
              <w:spacing w:after="120" w:line="276" w:lineRule="auto"/>
              <w:jc w:val="both"/>
              <w:rPr>
                <w:rFonts w:ascii="Verdana" w:hAnsi="Verdana" w:eastAsia="Calibri" w:cs="Arial"/>
                <w:lang w:val="es-ES_tradnl" w:eastAsia="es-ES"/>
              </w:rPr>
            </w:pPr>
          </w:p>
        </w:tc>
      </w:tr>
    </w:tbl>
    <w:p w:rsidRPr="006730E9" w:rsidR="0087031A" w:rsidP="0087031A" w:rsidRDefault="0087031A" w14:paraId="47EC921B" w14:textId="2B690341">
      <w:pPr>
        <w:spacing w:after="0" w:line="276" w:lineRule="auto"/>
        <w:jc w:val="both"/>
        <w:rPr>
          <w:rFonts w:ascii="Verdana" w:hAnsi="Verdana" w:eastAsia="Calibri" w:cs="Arial"/>
          <w:lang w:val="es-ES" w:eastAsia="es-ES"/>
        </w:rPr>
      </w:pPr>
      <w:r w:rsidRPr="006730E9">
        <w:rPr>
          <w:rFonts w:ascii="Verdana" w:hAnsi="Verdana" w:eastAsia="Calibri" w:cs="Arial"/>
          <w:lang w:val="es-ES" w:eastAsia="es-ES"/>
        </w:rPr>
        <w:t>Estimad</w:t>
      </w:r>
      <w:r w:rsidR="00574779">
        <w:rPr>
          <w:rFonts w:ascii="Verdana" w:hAnsi="Verdana" w:eastAsia="Calibri" w:cs="Arial"/>
          <w:lang w:val="es-ES" w:eastAsia="es-ES"/>
        </w:rPr>
        <w:t>a</w:t>
      </w:r>
      <w:r>
        <w:rPr>
          <w:rFonts w:ascii="Verdana" w:hAnsi="Verdana" w:eastAsia="Calibri" w:cs="Arial"/>
          <w:lang w:val="es-ES" w:eastAsia="es-ES"/>
        </w:rPr>
        <w:t xml:space="preserve"> </w:t>
      </w:r>
      <w:r w:rsidRPr="006730E9">
        <w:rPr>
          <w:rFonts w:ascii="Verdana" w:hAnsi="Verdana" w:eastAsia="Calibri" w:cs="Arial"/>
          <w:lang w:val="es-ES" w:eastAsia="es-ES"/>
        </w:rPr>
        <w:t>señor</w:t>
      </w:r>
      <w:r w:rsidR="00574779">
        <w:rPr>
          <w:rFonts w:ascii="Verdana" w:hAnsi="Verdana" w:eastAsia="Calibri" w:cs="Arial"/>
          <w:lang w:val="es-ES" w:eastAsia="es-ES"/>
        </w:rPr>
        <w:t>a</w:t>
      </w:r>
      <w:r>
        <w:rPr>
          <w:rFonts w:ascii="Verdana" w:hAnsi="Verdana" w:eastAsia="Calibri" w:cs="Arial"/>
          <w:lang w:val="es-ES" w:eastAsia="es-ES"/>
        </w:rPr>
        <w:t>;</w:t>
      </w:r>
    </w:p>
    <w:p w:rsidR="0087031A" w:rsidP="0087031A" w:rsidRDefault="0087031A" w14:paraId="59ADFBB6" w14:textId="77777777">
      <w:pPr>
        <w:tabs>
          <w:tab w:val="left" w:pos="3768"/>
        </w:tabs>
        <w:spacing w:after="0" w:line="276" w:lineRule="auto"/>
        <w:jc w:val="both"/>
        <w:rPr>
          <w:rFonts w:ascii="Verdana" w:hAnsi="Verdana" w:eastAsia="Calibri" w:cs="Arial"/>
          <w:color w:val="000000" w:themeColor="text1"/>
          <w:lang w:val="es-ES" w:eastAsia="es-ES"/>
        </w:rPr>
      </w:pPr>
      <w:r>
        <w:rPr>
          <w:rFonts w:ascii="Verdana" w:hAnsi="Verdana" w:eastAsia="Calibri" w:cs="Arial"/>
          <w:color w:val="000000" w:themeColor="text1"/>
          <w:lang w:val="es-ES" w:eastAsia="es-ES"/>
        </w:rPr>
        <w:tab/>
      </w:r>
    </w:p>
    <w:p w:rsidRPr="006730E9" w:rsidR="0087031A" w:rsidP="0087031A" w:rsidRDefault="0087031A" w14:paraId="029E5029" w14:textId="43D29CA8">
      <w:pPr>
        <w:spacing w:after="0" w:line="276" w:lineRule="auto"/>
        <w:jc w:val="both"/>
        <w:rPr>
          <w:rFonts w:ascii="Verdana" w:hAnsi="Verdana" w:eastAsia="Calibri" w:cs="Arial"/>
          <w:lang w:val="es-ES" w:eastAsia="es-ES"/>
        </w:rPr>
      </w:pPr>
      <w:r w:rsidRPr="006730E9">
        <w:rPr>
          <w:rFonts w:ascii="Verdana" w:hAnsi="Verdana" w:eastAsia="Calibri" w:cs="Arial"/>
          <w:lang w:val="es-ES" w:eastAsia="es-ES"/>
        </w:rPr>
        <w:t>En ejercicio de la competencia otorgada por los artículos 3, numeral 5º, y 11, numeral 8º, del Decreto Ley 4170 de 2011,</w:t>
      </w:r>
      <w:r w:rsidRPr="006730E9">
        <w:rPr>
          <w:rFonts w:ascii="Verdana" w:hAnsi="Verdana" w:eastAsia="Arial MT"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hAnsi="Verdana" w:eastAsia="Calibri" w:cs="Arial"/>
          <w:lang w:val="es-ES" w:eastAsia="es-ES"/>
        </w:rPr>
        <w:t xml:space="preserve">la Agencia Nacional de Contratación Pública – Colombia Compra Eficiente– responde su solicitud </w:t>
      </w:r>
      <w:r>
        <w:rPr>
          <w:rFonts w:ascii="Verdana" w:hAnsi="Verdana" w:eastAsia="Calibri" w:cs="Arial"/>
          <w:lang w:val="es-ES" w:eastAsia="es-ES"/>
        </w:rPr>
        <w:t xml:space="preserve">radicada en esta entidad </w:t>
      </w:r>
      <w:r w:rsidRPr="00E5644F">
        <w:rPr>
          <w:rFonts w:ascii="Verdana" w:hAnsi="Verdana" w:eastAsia="Calibri" w:cs="Arial"/>
          <w:lang w:val="es-ES" w:eastAsia="es-ES"/>
        </w:rPr>
        <w:t xml:space="preserve">el </w:t>
      </w:r>
      <w:r w:rsidR="008A576E">
        <w:rPr>
          <w:rFonts w:ascii="Verdana" w:hAnsi="Verdana" w:eastAsia="Calibri" w:cs="Arial"/>
          <w:lang w:val="es-ES" w:eastAsia="es-ES"/>
        </w:rPr>
        <w:t>1</w:t>
      </w:r>
      <w:r w:rsidR="00720339">
        <w:rPr>
          <w:rFonts w:ascii="Verdana" w:hAnsi="Verdana" w:eastAsia="Calibri" w:cs="Arial"/>
          <w:lang w:val="es-ES" w:eastAsia="es-ES"/>
        </w:rPr>
        <w:t>8</w:t>
      </w:r>
      <w:r>
        <w:rPr>
          <w:rFonts w:ascii="Verdana" w:hAnsi="Verdana" w:eastAsia="Calibri" w:cs="Arial"/>
          <w:lang w:val="es-ES" w:eastAsia="es-ES"/>
        </w:rPr>
        <w:t xml:space="preserve"> </w:t>
      </w:r>
      <w:r w:rsidRPr="00E5644F">
        <w:rPr>
          <w:rFonts w:ascii="Verdana" w:hAnsi="Verdana" w:eastAsia="Calibri" w:cs="Arial"/>
          <w:lang w:val="es-ES" w:eastAsia="es-ES"/>
        </w:rPr>
        <w:t xml:space="preserve">de </w:t>
      </w:r>
      <w:r w:rsidR="008A576E">
        <w:rPr>
          <w:rFonts w:ascii="Verdana" w:hAnsi="Verdana" w:eastAsia="Calibri" w:cs="Arial"/>
          <w:lang w:val="es-ES" w:eastAsia="es-ES"/>
        </w:rPr>
        <w:t>junio</w:t>
      </w:r>
      <w:r w:rsidRPr="00E5644F">
        <w:rPr>
          <w:rFonts w:ascii="Verdana" w:hAnsi="Verdana" w:eastAsia="Calibri" w:cs="Arial"/>
          <w:lang w:val="es-ES" w:eastAsia="es-ES"/>
        </w:rPr>
        <w:t xml:space="preserve"> de</w:t>
      </w:r>
      <w:r>
        <w:rPr>
          <w:rFonts w:ascii="Verdana" w:hAnsi="Verdana" w:eastAsia="Calibri" w:cs="Arial"/>
          <w:lang w:val="es-ES" w:eastAsia="es-ES"/>
        </w:rPr>
        <w:t xml:space="preserve"> </w:t>
      </w:r>
      <w:r w:rsidRPr="00E5644F">
        <w:rPr>
          <w:rFonts w:ascii="Verdana" w:hAnsi="Verdana" w:eastAsia="Calibri" w:cs="Arial"/>
          <w:lang w:val="es-ES" w:eastAsia="es-ES"/>
        </w:rPr>
        <w:t>202</w:t>
      </w:r>
      <w:r>
        <w:rPr>
          <w:rFonts w:ascii="Verdana" w:hAnsi="Verdana" w:eastAsia="Calibri" w:cs="Arial"/>
          <w:lang w:val="es-ES" w:eastAsia="es-ES"/>
        </w:rPr>
        <w:t>5</w:t>
      </w:r>
      <w:r w:rsidRPr="00E5644F">
        <w:rPr>
          <w:rFonts w:ascii="Verdana" w:hAnsi="Verdana" w:eastAsia="Calibri" w:cs="Arial"/>
          <w:lang w:val="es-ES" w:eastAsia="es-ES"/>
        </w:rPr>
        <w:t>, en</w:t>
      </w:r>
      <w:r w:rsidRPr="006730E9">
        <w:rPr>
          <w:rFonts w:ascii="Verdana" w:hAnsi="Verdana" w:eastAsia="Calibri" w:cs="Arial"/>
          <w:lang w:val="es-ES" w:eastAsia="es-ES"/>
        </w:rPr>
        <w:t xml:space="preserve"> la cual manifiesta lo siguiente: </w:t>
      </w:r>
    </w:p>
    <w:p w:rsidRPr="00326382" w:rsidR="0087031A" w:rsidP="0087031A" w:rsidRDefault="0087031A" w14:paraId="0E75DC9C" w14:textId="77777777">
      <w:pPr>
        <w:spacing w:after="0" w:line="240" w:lineRule="auto"/>
        <w:ind w:left="709" w:right="474"/>
        <w:jc w:val="both"/>
        <w:rPr>
          <w:rFonts w:ascii="Verdana" w:hAnsi="Verdana" w:cs="Arial"/>
          <w:sz w:val="20"/>
          <w:szCs w:val="20"/>
          <w:shd w:val="clear" w:color="auto" w:fill="FFFFFF"/>
        </w:rPr>
      </w:pPr>
      <w:bookmarkStart w:name="_Hlk95313578" w:id="4"/>
    </w:p>
    <w:bookmarkEnd w:id="4"/>
    <w:p w:rsidRPr="00CD7324" w:rsidR="0087031A" w:rsidP="00720339" w:rsidRDefault="0087031A" w14:paraId="55A848A2" w14:textId="60A477DA">
      <w:pPr>
        <w:tabs>
          <w:tab w:val="left" w:pos="142"/>
          <w:tab w:val="left" w:pos="567"/>
        </w:tabs>
        <w:ind w:left="426" w:right="709"/>
        <w:jc w:val="both"/>
        <w:rPr>
          <w:rFonts w:ascii="Verdana" w:hAnsi="Verdana" w:eastAsia="Century Gothic" w:cs="Century Gothic"/>
          <w:i/>
          <w:iCs/>
          <w:sz w:val="20"/>
          <w:szCs w:val="20"/>
        </w:rPr>
      </w:pPr>
      <w:r>
        <w:rPr>
          <w:rFonts w:ascii="Verdana" w:hAnsi="Verdana" w:eastAsia="Century Gothic" w:cs="Century Gothic"/>
          <w:i/>
          <w:iCs/>
        </w:rPr>
        <w:t xml:space="preserve"> </w:t>
      </w:r>
      <w:r w:rsidR="007A6049">
        <w:rPr>
          <w:rFonts w:ascii="Verdana" w:hAnsi="Verdana" w:eastAsia="Century Gothic" w:cs="Century Gothic"/>
          <w:i/>
          <w:iCs/>
        </w:rPr>
        <w:t xml:space="preserve"> </w:t>
      </w:r>
      <w:r w:rsidR="00D67C17">
        <w:rPr>
          <w:rFonts w:ascii="Verdana" w:hAnsi="Verdana" w:eastAsia="Century Gothic" w:cs="Century Gothic"/>
          <w:i/>
          <w:iCs/>
        </w:rPr>
        <w:t>“</w:t>
      </w:r>
      <w:r w:rsidRPr="00CD7324">
        <w:rPr>
          <w:rFonts w:ascii="Verdana" w:hAnsi="Verdana" w:eastAsia="Century Gothic" w:cs="Century Gothic"/>
          <w:i/>
          <w:iCs/>
          <w:sz w:val="20"/>
          <w:szCs w:val="20"/>
        </w:rPr>
        <w:t xml:space="preserve">(…) </w:t>
      </w:r>
      <w:r w:rsidRPr="00720339" w:rsidR="00720339">
        <w:rPr>
          <w:rFonts w:ascii="Verdana" w:hAnsi="Verdana" w:eastAsia="Century Gothic" w:cs="Century Gothic"/>
          <w:i/>
          <w:iCs/>
          <w:sz w:val="20"/>
          <w:szCs w:val="20"/>
        </w:rPr>
        <w:t>Teniendo en cuenta los principios de publicidad y habeas data, ¿</w:t>
      </w:r>
      <w:r w:rsidRPr="00720339" w:rsidR="00112483">
        <w:rPr>
          <w:rFonts w:ascii="Verdana" w:hAnsi="Verdana" w:eastAsia="Century Gothic" w:cs="Century Gothic"/>
          <w:i/>
          <w:iCs/>
          <w:sz w:val="20"/>
          <w:szCs w:val="20"/>
        </w:rPr>
        <w:t>Cuál</w:t>
      </w:r>
      <w:r w:rsidRPr="00720339" w:rsidR="00720339">
        <w:rPr>
          <w:rFonts w:ascii="Verdana" w:hAnsi="Verdana" w:eastAsia="Century Gothic" w:cs="Century Gothic"/>
          <w:i/>
          <w:iCs/>
          <w:sz w:val="20"/>
          <w:szCs w:val="20"/>
        </w:rPr>
        <w:t xml:space="preserve"> es el listado</w:t>
      </w:r>
      <w:r w:rsidR="00720339">
        <w:rPr>
          <w:rFonts w:ascii="Verdana" w:hAnsi="Verdana" w:eastAsia="Century Gothic" w:cs="Century Gothic"/>
          <w:i/>
          <w:iCs/>
          <w:sz w:val="20"/>
          <w:szCs w:val="20"/>
        </w:rPr>
        <w:t xml:space="preserve"> </w:t>
      </w:r>
      <w:r w:rsidRPr="00720339" w:rsidR="00720339">
        <w:rPr>
          <w:rFonts w:ascii="Verdana" w:hAnsi="Verdana" w:eastAsia="Century Gothic" w:cs="Century Gothic"/>
          <w:i/>
          <w:iCs/>
          <w:sz w:val="20"/>
          <w:szCs w:val="20"/>
        </w:rPr>
        <w:t>de documentos del proveedor se deben publicar, particularmente tratándose de</w:t>
      </w:r>
      <w:r w:rsidR="00720339">
        <w:rPr>
          <w:rFonts w:ascii="Verdana" w:hAnsi="Verdana" w:eastAsia="Century Gothic" w:cs="Century Gothic"/>
          <w:i/>
          <w:iCs/>
          <w:sz w:val="20"/>
          <w:szCs w:val="20"/>
        </w:rPr>
        <w:t xml:space="preserve"> </w:t>
      </w:r>
      <w:r w:rsidRPr="00720339" w:rsidR="00720339">
        <w:rPr>
          <w:rFonts w:ascii="Verdana" w:hAnsi="Verdana" w:eastAsia="Century Gothic" w:cs="Century Gothic"/>
          <w:i/>
          <w:iCs/>
          <w:sz w:val="20"/>
          <w:szCs w:val="20"/>
        </w:rPr>
        <w:t>contratos de prestación de servicios profesionales y de apoyo a la gestión? ¿La HV</w:t>
      </w:r>
      <w:r w:rsidR="00720339">
        <w:rPr>
          <w:rFonts w:ascii="Verdana" w:hAnsi="Verdana" w:eastAsia="Century Gothic" w:cs="Century Gothic"/>
          <w:i/>
          <w:iCs/>
          <w:sz w:val="20"/>
          <w:szCs w:val="20"/>
        </w:rPr>
        <w:t xml:space="preserve"> </w:t>
      </w:r>
      <w:r w:rsidRPr="00720339" w:rsidR="00720339">
        <w:rPr>
          <w:rFonts w:ascii="Verdana" w:hAnsi="Verdana" w:eastAsia="Century Gothic" w:cs="Century Gothic"/>
          <w:i/>
          <w:iCs/>
          <w:sz w:val="20"/>
          <w:szCs w:val="20"/>
        </w:rPr>
        <w:t>SIGEP, la declaración de bienes y renta y conflicto de interés (Ley 2013 de 2019)</w:t>
      </w:r>
      <w:r w:rsidR="00720339">
        <w:rPr>
          <w:rFonts w:ascii="Verdana" w:hAnsi="Verdana" w:eastAsia="Century Gothic" w:cs="Century Gothic"/>
          <w:i/>
          <w:iCs/>
          <w:sz w:val="20"/>
          <w:szCs w:val="20"/>
        </w:rPr>
        <w:t xml:space="preserve"> </w:t>
      </w:r>
      <w:r w:rsidRPr="00720339" w:rsidR="00720339">
        <w:rPr>
          <w:rFonts w:ascii="Verdana" w:hAnsi="Verdana" w:eastAsia="Century Gothic" w:cs="Century Gothic"/>
          <w:i/>
          <w:iCs/>
          <w:sz w:val="20"/>
          <w:szCs w:val="20"/>
        </w:rPr>
        <w:t xml:space="preserve">a pesar que se encuentran publicadas en la página de la Función </w:t>
      </w:r>
      <w:r w:rsidRPr="00720339" w:rsidR="00112483">
        <w:rPr>
          <w:rFonts w:ascii="Verdana" w:hAnsi="Verdana" w:eastAsia="Century Gothic" w:cs="Century Gothic"/>
          <w:i/>
          <w:iCs/>
          <w:sz w:val="20"/>
          <w:szCs w:val="20"/>
        </w:rPr>
        <w:t>Pública</w:t>
      </w:r>
      <w:r w:rsidRPr="00720339" w:rsidR="00720339">
        <w:rPr>
          <w:rFonts w:ascii="Verdana" w:hAnsi="Verdana" w:eastAsia="Century Gothic" w:cs="Century Gothic"/>
          <w:i/>
          <w:iCs/>
          <w:sz w:val="20"/>
          <w:szCs w:val="20"/>
        </w:rPr>
        <w:t xml:space="preserve"> requieren</w:t>
      </w:r>
      <w:r w:rsidR="00720339">
        <w:rPr>
          <w:rFonts w:ascii="Verdana" w:hAnsi="Verdana" w:eastAsia="Century Gothic" w:cs="Century Gothic"/>
          <w:i/>
          <w:iCs/>
          <w:sz w:val="20"/>
          <w:szCs w:val="20"/>
        </w:rPr>
        <w:t xml:space="preserve"> </w:t>
      </w:r>
      <w:r w:rsidRPr="00720339" w:rsidR="00720339">
        <w:rPr>
          <w:rFonts w:ascii="Verdana" w:hAnsi="Verdana" w:eastAsia="Century Gothic" w:cs="Century Gothic"/>
          <w:i/>
          <w:iCs/>
          <w:sz w:val="20"/>
          <w:szCs w:val="20"/>
        </w:rPr>
        <w:t>publicación en SECOP? ¿El RUT, la Cédula, tarjeta profesional y libreta militar</w:t>
      </w:r>
      <w:r w:rsidR="00720339">
        <w:rPr>
          <w:rFonts w:ascii="Verdana" w:hAnsi="Verdana" w:eastAsia="Century Gothic" w:cs="Century Gothic"/>
          <w:i/>
          <w:iCs/>
          <w:sz w:val="20"/>
          <w:szCs w:val="20"/>
        </w:rPr>
        <w:t xml:space="preserve"> </w:t>
      </w:r>
      <w:r w:rsidRPr="00720339" w:rsidR="00720339">
        <w:rPr>
          <w:rFonts w:ascii="Verdana" w:hAnsi="Verdana" w:eastAsia="Century Gothic" w:cs="Century Gothic"/>
          <w:i/>
          <w:iCs/>
          <w:sz w:val="20"/>
          <w:szCs w:val="20"/>
        </w:rPr>
        <w:t>también requieren publicación en el SECOP?</w:t>
      </w:r>
      <w:r w:rsidR="00D67C17">
        <w:rPr>
          <w:rFonts w:ascii="Verdana" w:hAnsi="Verdana" w:eastAsia="Century Gothic" w:cs="Century Gothic"/>
          <w:i/>
          <w:iCs/>
          <w:sz w:val="20"/>
          <w:szCs w:val="20"/>
        </w:rPr>
        <w:t xml:space="preserve"> </w:t>
      </w:r>
      <w:r w:rsidR="00E460EC">
        <w:rPr>
          <w:rFonts w:ascii="Verdana" w:hAnsi="Verdana" w:eastAsia="Century Gothic" w:cs="Century Gothic"/>
          <w:i/>
          <w:iCs/>
          <w:sz w:val="20"/>
          <w:szCs w:val="20"/>
        </w:rPr>
        <w:t>(</w:t>
      </w:r>
      <w:r w:rsidRPr="00CD7324">
        <w:rPr>
          <w:rFonts w:ascii="Verdana" w:hAnsi="Verdana" w:eastAsia="Century Gothic" w:cs="Century Gothic"/>
          <w:i/>
          <w:iCs/>
          <w:sz w:val="20"/>
          <w:szCs w:val="20"/>
        </w:rPr>
        <w:t>…)”</w:t>
      </w:r>
      <w:r w:rsidR="002B5862">
        <w:rPr>
          <w:rFonts w:ascii="Verdana" w:hAnsi="Verdana" w:eastAsia="Century Gothic" w:cs="Century Gothic"/>
          <w:i/>
          <w:iCs/>
          <w:sz w:val="20"/>
          <w:szCs w:val="20"/>
        </w:rPr>
        <w:t>.</w:t>
      </w:r>
      <w:r w:rsidRPr="00CD7324">
        <w:rPr>
          <w:rFonts w:ascii="Verdana" w:hAnsi="Verdana" w:eastAsia="Century Gothic" w:cs="Century Gothic"/>
          <w:i/>
          <w:iCs/>
          <w:sz w:val="20"/>
          <w:szCs w:val="20"/>
        </w:rPr>
        <w:t xml:space="preserve"> </w:t>
      </w:r>
    </w:p>
    <w:p w:rsidRPr="00AA3B9F" w:rsidR="0087031A" w:rsidP="0087031A" w:rsidRDefault="0087031A" w14:paraId="33F745EB" w14:textId="77777777">
      <w:pPr>
        <w:spacing w:after="120" w:line="276" w:lineRule="auto"/>
        <w:ind w:firstLine="709"/>
        <w:jc w:val="both"/>
        <w:rPr>
          <w:rFonts w:ascii="Verdana" w:hAnsi="Verdana" w:eastAsia="Calibri" w:cs="Arial"/>
          <w:lang w:val="es-ES_tradnl" w:eastAsia="es-ES_tradnl"/>
        </w:rPr>
      </w:pPr>
      <w:r w:rsidRPr="00AA3B9F">
        <w:rPr>
          <w:rFonts w:ascii="Verdana" w:hAnsi="Verdana" w:eastAsia="Calibri" w:cs="Arial"/>
          <w:lang w:val="es-ES" w:eastAsia="es-ES"/>
        </w:rPr>
        <w:t xml:space="preserve">De manera preliminar, resulta necesario acotar que esta entidad solo tiene competencia para responder consultas sobre la aplicación de normas de carácter </w:t>
      </w:r>
      <w:r w:rsidRPr="00AA3B9F">
        <w:rPr>
          <w:rFonts w:ascii="Verdana" w:hAnsi="Verdana" w:eastAsia="Calibri" w:cs="Arial"/>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hAnsi="Verdana" w:eastAsia="Calibri" w:cs="Arial"/>
          <w:lang w:val="es-ES" w:eastAsia="es-ES"/>
        </w:rPr>
        <w:t>E</w:t>
      </w:r>
      <w:r w:rsidRPr="00AA3B9F">
        <w:rPr>
          <w:rFonts w:ascii="Verdana" w:hAnsi="Verdana" w:eastAsia="Calibri" w:cs="Arial"/>
          <w:lang w:val="es-ES" w:eastAsia="es-ES"/>
        </w:rPr>
        <w:t xml:space="preserve">ntidades </w:t>
      </w:r>
      <w:r>
        <w:rPr>
          <w:rFonts w:ascii="Verdana" w:hAnsi="Verdana" w:eastAsia="Calibri" w:cs="Arial"/>
          <w:lang w:val="es-ES" w:eastAsia="es-ES"/>
        </w:rPr>
        <w:t xml:space="preserve">Estatales </w:t>
      </w:r>
      <w:r w:rsidRPr="00AA3B9F">
        <w:rPr>
          <w:rFonts w:ascii="Verdana" w:hAnsi="Verdana" w:eastAsia="Calibri"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rsidRPr="00AA3B9F" w:rsidR="0087031A" w:rsidP="0087031A" w:rsidRDefault="0087031A" w14:paraId="304224C2" w14:textId="77777777">
      <w:pPr>
        <w:spacing w:after="0" w:line="276" w:lineRule="auto"/>
        <w:ind w:firstLine="709"/>
        <w:jc w:val="both"/>
        <w:rPr>
          <w:rFonts w:ascii="Verdana" w:hAnsi="Verdana" w:eastAsia="Calibri" w:cs="Arial"/>
          <w:lang w:val="es-ES" w:eastAsia="es-ES"/>
        </w:rPr>
      </w:pPr>
      <w:r w:rsidRPr="00AA3B9F">
        <w:rPr>
          <w:rFonts w:ascii="Verdana" w:hAnsi="Verdana" w:eastAsia="Calibri"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rsidR="0087031A" w:rsidP="0087031A" w:rsidRDefault="0087031A" w14:paraId="7488FEE4" w14:textId="77777777">
      <w:pPr>
        <w:pStyle w:val="Prrafodelista"/>
        <w:tabs>
          <w:tab w:val="left" w:pos="142"/>
          <w:tab w:val="left" w:pos="284"/>
        </w:tabs>
        <w:spacing w:after="0" w:line="240" w:lineRule="auto"/>
        <w:ind w:left="425" w:right="1185"/>
        <w:jc w:val="both"/>
        <w:rPr>
          <w:rFonts w:ascii="Verdana" w:hAnsi="Verdana" w:eastAsia="Century Gothic" w:cs="Century Gothic"/>
          <w:i/>
          <w:iCs/>
          <w:lang w:val="es-CO"/>
        </w:rPr>
      </w:pPr>
    </w:p>
    <w:p w:rsidR="0087031A" w:rsidP="0087031A" w:rsidRDefault="0087031A" w14:paraId="46A7578E"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593A5F">
        <w:rPr>
          <w:rFonts w:ascii="Verdana" w:hAnsi="Verdana" w:eastAsia="Century Gothic" w:cs="Century Gothic"/>
          <w:b/>
          <w:bCs/>
        </w:rPr>
        <w:t>Problema</w:t>
      </w:r>
      <w:r>
        <w:rPr>
          <w:rFonts w:ascii="Verdana" w:hAnsi="Verdana" w:eastAsia="Century Gothic" w:cs="Century Gothic"/>
          <w:b/>
          <w:bCs/>
        </w:rPr>
        <w:t xml:space="preserve"> jurídico </w:t>
      </w:r>
      <w:r w:rsidRPr="00593A5F">
        <w:rPr>
          <w:rFonts w:ascii="Verdana" w:hAnsi="Verdana" w:eastAsia="Century Gothic" w:cs="Century Gothic"/>
          <w:b/>
          <w:bCs/>
        </w:rPr>
        <w:t>planteado:</w:t>
      </w:r>
    </w:p>
    <w:p w:rsidR="0087031A" w:rsidP="0087031A" w:rsidRDefault="0087031A" w14:paraId="1CD6BDA0" w14:textId="77777777">
      <w:pPr>
        <w:pStyle w:val="Prrafodelista"/>
        <w:tabs>
          <w:tab w:val="left" w:pos="142"/>
          <w:tab w:val="left" w:pos="284"/>
        </w:tabs>
        <w:spacing w:after="0" w:line="276" w:lineRule="auto"/>
        <w:ind w:left="0"/>
        <w:jc w:val="both"/>
        <w:rPr>
          <w:rFonts w:ascii="Verdana" w:hAnsi="Verdana" w:eastAsia="Century Gothic" w:cs="Century Gothic"/>
          <w:b/>
          <w:bCs/>
        </w:rPr>
      </w:pPr>
    </w:p>
    <w:p w:rsidR="00D67C17" w:rsidP="00574779" w:rsidRDefault="0087031A" w14:paraId="553F3F6E" w14:textId="6E4C785B">
      <w:pPr>
        <w:pStyle w:val="Prrafodelista"/>
        <w:tabs>
          <w:tab w:val="left" w:pos="142"/>
          <w:tab w:val="left" w:pos="284"/>
        </w:tabs>
        <w:spacing w:after="0" w:line="276" w:lineRule="auto"/>
        <w:ind w:left="0"/>
        <w:jc w:val="both"/>
        <w:rPr>
          <w:rFonts w:ascii="Verdana" w:hAnsi="Verdana" w:eastAsia="Century Gothic" w:cs="Century Gothic"/>
        </w:rPr>
      </w:pPr>
      <w:r w:rsidRPr="00E21BD1">
        <w:rPr>
          <w:rFonts w:ascii="Verdana" w:hAnsi="Verdana" w:eastAsia="Calibri" w:cs="Arial"/>
          <w:lang w:eastAsia="es-ES"/>
        </w:rPr>
        <w:t xml:space="preserve">De acuerdo con el contenido de su solicitud, esta Agencia resolverá </w:t>
      </w:r>
      <w:r w:rsidR="00D67C17">
        <w:rPr>
          <w:rFonts w:ascii="Verdana" w:hAnsi="Verdana" w:eastAsia="Calibri" w:cs="Arial"/>
          <w:lang w:eastAsia="es-ES"/>
        </w:rPr>
        <w:t>el</w:t>
      </w:r>
      <w:r>
        <w:rPr>
          <w:rFonts w:ascii="Verdana" w:hAnsi="Verdana" w:eastAsia="Calibri" w:cs="Arial"/>
          <w:lang w:eastAsia="es-ES"/>
        </w:rPr>
        <w:t xml:space="preserve"> </w:t>
      </w:r>
      <w:r w:rsidRPr="00E21BD1">
        <w:rPr>
          <w:rFonts w:ascii="Verdana" w:hAnsi="Verdana" w:eastAsia="Calibri" w:cs="Arial"/>
          <w:lang w:eastAsia="es-ES"/>
        </w:rPr>
        <w:t>siguiente problema jurídico:</w:t>
      </w:r>
      <w:bookmarkStart w:name="_Hlk196737317" w:id="5"/>
      <w:r w:rsidRPr="00311ADC" w:rsidR="00311ADC">
        <w:rPr>
          <w:rFonts w:asciiTheme="minorHAnsi" w:hAnsiTheme="minorHAnsi"/>
          <w:lang w:val="es-CO"/>
        </w:rPr>
        <w:t xml:space="preserve"> </w:t>
      </w:r>
      <w:r w:rsidRPr="7ADE4504" w:rsidR="000D19A6">
        <w:rPr>
          <w:rFonts w:ascii="Verdana" w:hAnsi="Verdana" w:eastAsia="Calibri" w:cs="Arial"/>
          <w:color w:val="000000" w:themeColor="text1"/>
          <w:lang w:eastAsia="es-ES"/>
        </w:rPr>
        <w:t>¿</w:t>
      </w:r>
      <w:r w:rsidRPr="00D90350" w:rsidR="000D19A6">
        <w:rPr>
          <w:rFonts w:ascii="Verdana" w:hAnsi="Verdana" w:eastAsia="Calibri" w:cs="Arial"/>
          <w:color w:val="000000" w:themeColor="text1"/>
          <w:lang w:eastAsia="es-ES"/>
        </w:rPr>
        <w:t>Qué documentos están sujetos al deber de publicación por parte de la Entidad Estatal en el SECOP II en virtud del principio</w:t>
      </w:r>
      <w:r w:rsidR="002B365D">
        <w:rPr>
          <w:rFonts w:ascii="Verdana" w:hAnsi="Verdana" w:eastAsia="Calibri" w:cs="Arial"/>
          <w:color w:val="000000" w:themeColor="text1"/>
          <w:lang w:eastAsia="es-ES"/>
        </w:rPr>
        <w:t xml:space="preserve"> de transparencia</w:t>
      </w:r>
      <w:r w:rsidRPr="00D90350" w:rsidR="000D19A6">
        <w:rPr>
          <w:rFonts w:ascii="Verdana" w:hAnsi="Verdana" w:eastAsia="Calibri" w:cs="Arial"/>
          <w:color w:val="000000" w:themeColor="text1"/>
          <w:lang w:eastAsia="es-ES"/>
        </w:rPr>
        <w:t xml:space="preserve"> </w:t>
      </w:r>
      <w:r w:rsidR="000D19A6">
        <w:rPr>
          <w:rFonts w:ascii="Verdana" w:hAnsi="Verdana" w:eastAsia="Calibri" w:cs="Arial"/>
          <w:color w:val="000000" w:themeColor="text1"/>
          <w:lang w:eastAsia="es-ES"/>
        </w:rPr>
        <w:t xml:space="preserve">de </w:t>
      </w:r>
      <w:r w:rsidRPr="00D90350" w:rsidR="000D19A6">
        <w:rPr>
          <w:rFonts w:ascii="Verdana" w:hAnsi="Verdana" w:eastAsia="Calibri" w:cs="Arial"/>
          <w:color w:val="000000" w:themeColor="text1"/>
          <w:lang w:eastAsia="es-ES"/>
        </w:rPr>
        <w:t>la contratación pública?</w:t>
      </w:r>
    </w:p>
    <w:p w:rsidR="00BE0F24" w:rsidP="00574779" w:rsidRDefault="00BE0F24" w14:paraId="0E0EB65A" w14:textId="77777777">
      <w:pPr>
        <w:pStyle w:val="Prrafodelista"/>
        <w:tabs>
          <w:tab w:val="left" w:pos="142"/>
          <w:tab w:val="left" w:pos="284"/>
        </w:tabs>
        <w:spacing w:after="0" w:line="276" w:lineRule="auto"/>
        <w:ind w:left="0"/>
        <w:jc w:val="both"/>
        <w:rPr>
          <w:rFonts w:ascii="Verdana" w:hAnsi="Verdana" w:eastAsia="Century Gothic" w:cs="Century Gothic"/>
        </w:rPr>
      </w:pPr>
    </w:p>
    <w:bookmarkEnd w:id="5"/>
    <w:p w:rsidR="0087031A" w:rsidP="0087031A" w:rsidRDefault="0087031A" w14:paraId="4830150C"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93A5F">
        <w:rPr>
          <w:rFonts w:ascii="Verdana" w:hAnsi="Verdana" w:eastAsia="Century Gothic" w:cs="Century Gothic"/>
          <w:b/>
          <w:bCs/>
        </w:rPr>
        <w:t>Respuesta:</w:t>
      </w:r>
    </w:p>
    <w:p w:rsidRPr="00593A5F" w:rsidR="001532F7" w:rsidP="001532F7" w:rsidRDefault="001532F7" w14:paraId="7376DABD"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593A5F" w:rsidR="0087031A" w14:paraId="12E3C4B8" w14:textId="77777777">
        <w:tc>
          <w:tcPr>
            <w:tcW w:w="8828" w:type="dxa"/>
            <w:shd w:val="clear" w:color="auto" w:fill="auto"/>
          </w:tcPr>
          <w:p w:rsidRPr="00DD113D" w:rsidR="00112483" w:rsidP="00112483" w:rsidRDefault="001532F7" w14:paraId="62E3F007" w14:textId="455E4B1A">
            <w:pPr>
              <w:spacing w:after="120" w:line="276" w:lineRule="auto"/>
              <w:jc w:val="both"/>
              <w:rPr>
                <w:rFonts w:ascii="Verdana" w:hAnsi="Verdana"/>
                <w:lang w:eastAsia="es-ES_tradnl"/>
              </w:rPr>
            </w:pPr>
            <w:r>
              <w:rPr>
                <w:rFonts w:ascii="Verdana" w:hAnsi="Verdana" w:eastAsia="Calibri" w:cs="Arial"/>
                <w:lang w:val="es-MX"/>
              </w:rPr>
              <w:t xml:space="preserve">        </w:t>
            </w:r>
            <w:r w:rsidR="00112483">
              <w:rPr>
                <w:rFonts w:ascii="Verdana" w:hAnsi="Verdana" w:eastAsia="Calibri" w:cs="Arial"/>
                <w:lang w:val="es-ES" w:eastAsia="es-ES_tradnl"/>
              </w:rPr>
              <w:t xml:space="preserve">En </w:t>
            </w:r>
            <w:r w:rsidRPr="00AD6B46" w:rsidR="00112483">
              <w:rPr>
                <w:rFonts w:ascii="Verdana" w:hAnsi="Verdana" w:eastAsia="Calibri" w:cs="Arial"/>
                <w:lang w:val="es-ES" w:eastAsia="es-ES_tradnl"/>
              </w:rPr>
              <w:t xml:space="preserve">cuanto al problema jurídico objeto de consulta, se expresa que </w:t>
            </w:r>
            <w:r w:rsidRPr="00AD6B46" w:rsidR="00112483">
              <w:rPr>
                <w:rFonts w:ascii="Verdana" w:hAnsi="Verdana" w:eastAsia="Times New Roman" w:cs="Arial"/>
                <w:lang w:val="es-ES_tradnl" w:eastAsia="es-ES_tradnl"/>
                <w14:ligatures w14:val="standardContextual"/>
              </w:rPr>
              <w:t>las Entidades Estatales</w:t>
            </w:r>
            <w:r w:rsidRPr="00B32095" w:rsidR="00112483">
              <w:rPr>
                <w:rFonts w:ascii="Verdana" w:hAnsi="Verdana"/>
                <w:lang w:eastAsia="es-ES_tradnl"/>
              </w:rPr>
              <w:t>, de conformidad con el artículo 2.2.1.1.1.7.1. del Decreto 1082 de 2015, está</w:t>
            </w:r>
            <w:r w:rsidR="00112483">
              <w:rPr>
                <w:rFonts w:ascii="Verdana" w:hAnsi="Verdana"/>
                <w:lang w:eastAsia="es-ES_tradnl"/>
              </w:rPr>
              <w:t>n</w:t>
            </w:r>
            <w:r w:rsidRPr="00B32095" w:rsidR="00112483">
              <w:rPr>
                <w:rFonts w:ascii="Verdana" w:hAnsi="Verdana"/>
                <w:lang w:eastAsia="es-ES_tradnl"/>
              </w:rPr>
              <w:t xml:space="preserve"> obligada</w:t>
            </w:r>
            <w:r w:rsidR="00112483">
              <w:rPr>
                <w:rFonts w:ascii="Verdana" w:hAnsi="Verdana"/>
                <w:lang w:eastAsia="es-ES_tradnl"/>
              </w:rPr>
              <w:t>s</w:t>
            </w:r>
            <w:r w:rsidRPr="00B32095" w:rsidR="00112483">
              <w:rPr>
                <w:rFonts w:ascii="Verdana" w:hAnsi="Verdana"/>
                <w:lang w:eastAsia="es-ES_tradnl"/>
              </w:rPr>
              <w:t xml:space="preserve"> a publicar en el SECOP los Documentos del Proceso y los actos administrativos del Proceso de Contratación, dentro de los tres (3) días siguientes a su expedición.</w:t>
            </w:r>
            <w:r w:rsidR="00112483">
              <w:rPr>
                <w:rFonts w:ascii="Verdana" w:hAnsi="Verdana"/>
                <w:lang w:eastAsia="es-ES_tradnl"/>
              </w:rPr>
              <w:t xml:space="preserve"> </w:t>
            </w:r>
            <w:r w:rsidRPr="007663DF" w:rsidR="00112483">
              <w:rPr>
                <w:rFonts w:ascii="Verdana" w:hAnsi="Verdana" w:eastAsia="Aptos" w:cs="Arial"/>
                <w:lang w:val="es-ES_tradnl" w:eastAsia="es-MX"/>
              </w:rPr>
              <w:t xml:space="preserve">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w:t>
            </w:r>
            <w:r w:rsidRPr="007663DF" w:rsidR="00112483">
              <w:rPr>
                <w:rFonts w:ascii="Verdana" w:hAnsi="Verdana" w:eastAsia="Aptos" w:cs="Arial"/>
                <w:lang w:val="es-ES_tradnl" w:eastAsia="es-MX"/>
              </w:rPr>
              <w:lastRenderedPageBreak/>
              <w:t>documento expedido por la Entidad Estatal durante el Proceso de Contratación”.</w:t>
            </w:r>
            <w:r w:rsidRPr="00B32095" w:rsidR="00112483">
              <w:rPr>
                <w:rFonts w:ascii="Verdana" w:hAnsi="Verdana"/>
                <w:lang w:eastAsia="es-ES_tradnl"/>
              </w:rPr>
              <w:t xml:space="preserve"> </w:t>
            </w:r>
          </w:p>
          <w:p w:rsidR="00112483" w:rsidP="00112483" w:rsidRDefault="00112483" w14:paraId="5D7C20CC" w14:textId="77777777">
            <w:pPr>
              <w:tabs>
                <w:tab w:val="left" w:pos="597"/>
              </w:tabs>
              <w:spacing w:after="120" w:line="276" w:lineRule="auto"/>
              <w:ind w:firstLine="592"/>
              <w:jc w:val="both"/>
              <w:rPr>
                <w:rFonts w:ascii="Verdana" w:hAnsi="Verdana" w:eastAsia="Calibri" w:cs="Arial"/>
                <w:lang w:val="es-ES"/>
              </w:rPr>
            </w:pPr>
            <w:r w:rsidRPr="7ADE4504">
              <w:rPr>
                <w:rFonts w:ascii="Verdana" w:hAnsi="Verdana" w:eastAsia="Calibri" w:cs="Arial"/>
                <w:lang w:val="es-ES"/>
              </w:rPr>
              <w:t>La Circular Externa Única emitida por esta Agencia recordó</w:t>
            </w:r>
            <w:r>
              <w:rPr>
                <w:rFonts w:ascii="Verdana" w:hAnsi="Verdana" w:eastAsia="Calibri" w:cs="Arial"/>
                <w:lang w:val="es-ES"/>
              </w:rPr>
              <w:t>, quiénes deben publicar la actividad contractual en SECOP: “</w:t>
            </w:r>
            <w:r w:rsidRPr="00D14FE8">
              <w:rPr>
                <w:rFonts w:ascii="Verdana" w:hAnsi="Verdana" w:eastAsia="Calibri" w:cs="Arial"/>
                <w:lang w:val="es-ES"/>
              </w:rPr>
              <w:t>Las Entidades Estatales de acuerdo con la definición del Decreto</w:t>
            </w:r>
            <w:r>
              <w:rPr>
                <w:rFonts w:ascii="Verdana" w:hAnsi="Verdana" w:eastAsia="Calibri" w:cs="Arial"/>
                <w:lang w:val="es-ES"/>
              </w:rPr>
              <w:t xml:space="preserve"> </w:t>
            </w:r>
            <w:r w:rsidRPr="00D14FE8">
              <w:rPr>
                <w:rFonts w:ascii="Verdana" w:hAnsi="Verdana" w:eastAsia="Calibri" w:cs="Arial"/>
                <w:lang w:val="es-ES"/>
              </w:rPr>
              <w:t>1082 de 2015</w:t>
            </w:r>
            <w:r>
              <w:rPr>
                <w:rFonts w:ascii="Verdana" w:hAnsi="Verdana" w:eastAsia="Calibri" w:cs="Arial"/>
                <w:lang w:val="es-ES"/>
              </w:rPr>
              <w:t xml:space="preserve"> (…)</w:t>
            </w:r>
            <w:r w:rsidRPr="00863E74">
              <w:rPr>
                <w:rFonts w:ascii="Verdana" w:hAnsi="Verdana" w:eastAsia="Calibri" w:cs="Arial"/>
                <w:lang w:val="es-ES"/>
              </w:rPr>
              <w:t xml:space="preserve"> las Entidades Estatales que por disposición legal cuenten con un régimen contractual excepcional al del Estatuto General de Contratación de la Administración Pública, deberán publicar en </w:t>
            </w:r>
            <w:r>
              <w:rPr>
                <w:rFonts w:ascii="Verdana" w:hAnsi="Verdana" w:eastAsia="Calibri" w:cs="Arial"/>
                <w:lang w:val="es-ES"/>
              </w:rPr>
              <w:t xml:space="preserve"> </w:t>
            </w:r>
            <w:r w:rsidRPr="00863E74">
              <w:rPr>
                <w:rFonts w:ascii="Verdana" w:hAnsi="Verdana" w:eastAsia="Calibri" w:cs="Arial"/>
                <w:lang w:val="es-ES"/>
              </w:rPr>
              <w:t>el SECOP II, todos los documentos relacionados con su actividad contractual, de conformidad con lo señalado en el artículo 53 de la Ley 2195 de 2022</w:t>
            </w:r>
            <w:r>
              <w:rPr>
                <w:rFonts w:ascii="Verdana" w:hAnsi="Verdana" w:eastAsia="Calibri" w:cs="Arial"/>
                <w:lang w:val="es-ES"/>
              </w:rPr>
              <w:t xml:space="preserve"> (…)</w:t>
            </w:r>
            <w:r w:rsidRPr="005A471C">
              <w:rPr>
                <w:rFonts w:ascii="Verdana" w:hAnsi="Verdana" w:eastAsia="Calibri" w:cs="Arial"/>
                <w:lang w:val="es-ES"/>
              </w:rPr>
              <w:t xml:space="preserve">Los particulares deberán publicar la información oficial de la contratación realizada con cargo a recursos públicos. Estos deberán realizar la publicación a través del módulo </w:t>
            </w:r>
            <w:r>
              <w:rPr>
                <w:rFonts w:ascii="Verdana" w:hAnsi="Verdana" w:eastAsia="Calibri" w:cs="Arial"/>
                <w:lang w:val="es-ES"/>
              </w:rPr>
              <w:t xml:space="preserve">denominado Régimen Especial (…)”. Así mismo, se indica que las Entidades Estatales que celebran contratos o convenios de los que versa el artículo 20 de la Ley 1150 de 2007, sin importar el régimen aplicable, deben reportar la información en el SECOP. </w:t>
            </w:r>
          </w:p>
          <w:p w:rsidR="00112483" w:rsidP="00112483" w:rsidRDefault="00112483" w14:paraId="40F84738" w14:textId="67ABB9DB">
            <w:pPr>
              <w:tabs>
                <w:tab w:val="left" w:pos="597"/>
              </w:tabs>
              <w:spacing w:after="120" w:line="276" w:lineRule="auto"/>
              <w:ind w:firstLine="592"/>
              <w:jc w:val="both"/>
              <w:rPr>
                <w:rFonts w:ascii="Verdana" w:hAnsi="Verdana" w:eastAsia="Batang" w:cs="Arial"/>
              </w:rPr>
            </w:pPr>
            <w:r w:rsidRPr="00F74892">
              <w:rPr>
                <w:rFonts w:ascii="Verdana" w:hAnsi="Verdana" w:eastAsia="Calibri" w:cs="Arial"/>
              </w:rPr>
              <w:t xml:space="preserve">Las Entidades Estatales que contratan con cargo a recursos públicos </w:t>
            </w:r>
            <w:r w:rsidRPr="00F74892">
              <w:rPr>
                <w:rFonts w:ascii="Verdana" w:hAnsi="Verdana" w:eastAsia="Calibri" w:cs="Arial"/>
                <w:lang w:val="es-ES"/>
              </w:rPr>
              <w:t xml:space="preserve">a todas las entidades del Estado </w:t>
            </w:r>
            <w:r>
              <w:rPr>
                <w:rFonts w:ascii="Verdana" w:hAnsi="Verdana" w:eastAsia="Calibri" w:cs="Arial"/>
                <w:lang w:val="es-ES"/>
              </w:rPr>
              <w:t>deben</w:t>
            </w:r>
            <w:r w:rsidRPr="00F74892">
              <w:rPr>
                <w:rFonts w:ascii="Verdana" w:hAnsi="Verdana" w:eastAsia="Calibri" w:cs="Arial"/>
                <w:lang w:val="es-ES"/>
              </w:rPr>
              <w:t xml:space="preserve"> de publicar oportunamente su actividad contractual en el SECOP, lo anterior en razón a que, el </w:t>
            </w:r>
            <w:r w:rsidRPr="00F74892">
              <w:rPr>
                <w:rFonts w:ascii="Verdana" w:hAnsi="Verdana" w:eastAsia="Calibri" w:cs="Arial"/>
              </w:rPr>
              <w:t>SECOP es el medio de información oficial de toda la contratación realizada con cargo a recursos públicos y es el único punto de ingreso de información y de generación de reportes para las Entidades Estatales, los entes de control y la ciudadanía en general, el cual garantiza que se cumplan los principios de publicidad y transparencia en la gestión contractual.</w:t>
            </w:r>
          </w:p>
          <w:p w:rsidR="00C93421" w:rsidP="00C93421" w:rsidRDefault="009A6F9B" w14:paraId="5D703D68" w14:textId="674AF079">
            <w:pPr>
              <w:spacing w:before="120" w:line="276" w:lineRule="auto"/>
              <w:ind w:firstLine="360"/>
              <w:jc w:val="both"/>
            </w:pPr>
            <w:r>
              <w:rPr>
                <w:rFonts w:ascii="Verdana" w:hAnsi="Verdana" w:eastAsia="Batang" w:cs="Arial"/>
              </w:rPr>
              <w:t xml:space="preserve">Finalmente, </w:t>
            </w:r>
            <w:r w:rsidRPr="00DB4737">
              <w:rPr>
                <w:rFonts w:ascii="Verdana" w:hAnsi="Verdana" w:eastAsia="Calibri" w:cs="Times New Roman"/>
                <w:lang w:val="es-ES"/>
              </w:rPr>
              <w:t xml:space="preserve">debe advertirse que el análisis en torno </w:t>
            </w:r>
            <w:r>
              <w:rPr>
                <w:rFonts w:ascii="Verdana" w:hAnsi="Verdana" w:eastAsia="Calibri" w:cs="Times New Roman"/>
                <w:lang w:val="es-ES"/>
              </w:rPr>
              <w:t>a una situación particular en el marco de la ejecución de un contrato estatal debe</w:t>
            </w:r>
            <w:r w:rsidRPr="0012388D">
              <w:rPr>
                <w:rFonts w:ascii="Verdana" w:hAnsi="Verdana" w:eastAsia="Calibri" w:cs="Times New Roman"/>
                <w:lang w:val="es-ES"/>
              </w:rPr>
              <w:t xml:space="preserve"> ser realizado por quienes tengan interés en ello.</w:t>
            </w:r>
            <w:r w:rsidRPr="00DB4737">
              <w:rPr>
                <w:rFonts w:ascii="Verdana" w:hAnsi="Verdana" w:eastAsia="Calibri"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rsidRPr="00C93421" w:rsidR="009A6F9B" w:rsidP="00C93421" w:rsidRDefault="009A6F9B" w14:paraId="4D8F70B6" w14:textId="7BC8B261">
            <w:pPr>
              <w:spacing w:before="120" w:line="276" w:lineRule="auto"/>
              <w:ind w:firstLine="360"/>
              <w:jc w:val="both"/>
            </w:pPr>
            <w:r w:rsidRPr="00DB4737">
              <w:rPr>
                <w:rFonts w:ascii="Verdana" w:hAnsi="Verdana" w:eastAsia="Calibri"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w:t>
            </w:r>
            <w:r w:rsidRPr="00DB4737">
              <w:rPr>
                <w:rFonts w:ascii="Verdana" w:hAnsi="Verdana" w:eastAsia="Calibri" w:cs="Times New Roman"/>
                <w:lang w:val="es-ES"/>
              </w:rPr>
              <w:lastRenderedPageBreak/>
              <w:t>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hAnsi="Verdana" w:eastAsia="Calibri" w:cs="Times New Roman"/>
                <w:lang w:val="es-ES"/>
              </w:rPr>
              <w:t>.</w:t>
            </w:r>
          </w:p>
        </w:tc>
      </w:tr>
      <w:tr w:rsidRPr="00593A5F" w:rsidR="0087031A" w14:paraId="2EC3A9A4" w14:textId="77777777">
        <w:tc>
          <w:tcPr>
            <w:tcW w:w="8828" w:type="dxa"/>
            <w:shd w:val="clear" w:color="auto" w:fill="auto"/>
          </w:tcPr>
          <w:p w:rsidRPr="002973E9" w:rsidR="0087031A" w:rsidRDefault="0087031A" w14:paraId="46FE8F13" w14:textId="77777777">
            <w:pPr>
              <w:spacing w:line="276" w:lineRule="auto"/>
              <w:jc w:val="both"/>
              <w:rPr>
                <w:rFonts w:ascii="Verdana" w:hAnsi="Verdana" w:eastAsia="Calibri" w:cs="Arial"/>
                <w:lang w:val="es-ES"/>
              </w:rPr>
            </w:pPr>
          </w:p>
        </w:tc>
      </w:tr>
    </w:tbl>
    <w:p w:rsidR="0087031A" w:rsidP="0087031A" w:rsidRDefault="0087031A" w14:paraId="234FB4F9" w14:textId="77777777">
      <w:pPr>
        <w:tabs>
          <w:tab w:val="left" w:pos="142"/>
          <w:tab w:val="left" w:pos="284"/>
        </w:tabs>
        <w:spacing w:after="0" w:line="276" w:lineRule="auto"/>
        <w:jc w:val="both"/>
        <w:rPr>
          <w:rFonts w:ascii="Verdana" w:hAnsi="Verdana" w:eastAsia="Century Gothic" w:cs="Century Gothic"/>
          <w:b/>
          <w:bCs/>
          <w:lang w:val="es-ES"/>
        </w:rPr>
      </w:pPr>
    </w:p>
    <w:p w:rsidRPr="00593A5F" w:rsidR="0087031A" w:rsidP="0087031A" w:rsidRDefault="0087031A" w14:paraId="43DE775E"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93A5F">
        <w:rPr>
          <w:rFonts w:ascii="Verdana" w:hAnsi="Verdana" w:eastAsia="Century Gothic" w:cs="Century Gothic"/>
          <w:b/>
          <w:bCs/>
        </w:rPr>
        <w:t>Razones de la respuesta:</w:t>
      </w:r>
    </w:p>
    <w:p w:rsidR="00E1324D" w:rsidP="00E1324D" w:rsidRDefault="00E1324D" w14:paraId="52948E72" w14:textId="77777777">
      <w:pPr>
        <w:spacing w:after="0" w:line="276" w:lineRule="auto"/>
        <w:ind w:firstLine="708"/>
        <w:jc w:val="both"/>
        <w:rPr>
          <w:rFonts w:ascii="Verdana" w:hAnsi="Verdana" w:eastAsia="Calibri" w:cs="Arial"/>
          <w:color w:val="000000" w:themeColor="text1"/>
        </w:rPr>
      </w:pPr>
    </w:p>
    <w:p w:rsidRPr="001E30D9" w:rsidR="00112483" w:rsidP="00112483" w:rsidRDefault="00112483" w14:paraId="7D16DBF6" w14:textId="4E99C8B9">
      <w:pPr>
        <w:spacing w:after="120" w:line="276" w:lineRule="auto"/>
        <w:ind w:firstLine="708"/>
        <w:jc w:val="both"/>
        <w:rPr>
          <w:rFonts w:ascii="Verdana" w:hAnsi="Verdana" w:eastAsia="Arial" w:cs="Arial"/>
          <w:lang w:val="es-ES"/>
        </w:rPr>
      </w:pPr>
      <w:r w:rsidRPr="001E30D9">
        <w:rPr>
          <w:rFonts w:ascii="Verdana" w:hAnsi="Verdana" w:eastAsia="Calibri" w:cs="Arial"/>
          <w:lang w:val="es-ES_tradnl"/>
        </w:rPr>
        <w:t xml:space="preserve">La Constitución Política de 1991 consagra en varios artículos la </w:t>
      </w:r>
      <w:r w:rsidRPr="001E30D9">
        <w:rPr>
          <w:rFonts w:ascii="Verdana" w:hAnsi="Verdana" w:eastAsia="Calibri" w:cs="Arial"/>
          <w:i/>
          <w:iCs/>
          <w:lang w:val="es-ES_tradnl"/>
        </w:rPr>
        <w:t>publicidad</w:t>
      </w:r>
      <w:r w:rsidRPr="001E30D9">
        <w:rPr>
          <w:rFonts w:ascii="Verdana" w:hAnsi="Verdana" w:eastAsia="Calibri" w:cs="Arial"/>
          <w:lang w:val="es-ES_tradnl"/>
        </w:rPr>
        <w:t xml:space="preserve"> como un principio rector del Estado colombiano. Entre los más destacados, puede mencionarse el 209, que afirma que la publicidad es uno de los principios que fundamentan el ejercicio de la función administrativa. Asimismo, </w:t>
      </w:r>
      <w:r w:rsidRPr="001E30D9">
        <w:rPr>
          <w:rFonts w:ascii="Verdana" w:hAnsi="Verdana" w:eastAsia="Arial" w:cs="Arial"/>
          <w:lang w:val="es-ES"/>
        </w:rPr>
        <w:t xml:space="preserve">el artículo 74 de la Constitución Política establece que: “Todas las personas tienen derecho a acceder a los documentos públicos salvo los casos que establezca la ley”. Esta disposición constitucional consagra la garantía fundamental de acceso a la información y a la documentación pública, salvo causal de reserva expresamente prevista en la Constitución o en la Ley. </w:t>
      </w:r>
    </w:p>
    <w:p w:rsidRPr="00FE3589" w:rsidR="00112483" w:rsidP="00112483" w:rsidRDefault="00112483" w14:paraId="710170D6" w14:textId="77777777">
      <w:pPr>
        <w:spacing w:after="120" w:line="276" w:lineRule="auto"/>
        <w:ind w:firstLine="709"/>
        <w:jc w:val="both"/>
        <w:rPr>
          <w:rFonts w:ascii="Verdana" w:hAnsi="Verdana" w:eastAsia="Arial" w:cs="Arial"/>
          <w:lang w:val="es-ES"/>
        </w:rPr>
      </w:pPr>
      <w:r w:rsidRPr="001E30D9">
        <w:rPr>
          <w:rFonts w:ascii="Verdana" w:hAnsi="Verdana" w:eastAsia="Arial" w:cs="Arial"/>
          <w:lang w:val="es-ES"/>
        </w:rPr>
        <w:t>El principio de publicidad impone a las autoridades administrativas el deber de dar a conocer sus actos, contratos y decisiones, para que se divulguen y, eventualmente, se controlen las actuaciones</w:t>
      </w:r>
      <w:r w:rsidRPr="001E30D9">
        <w:rPr>
          <w:rStyle w:val="Refdenotaalpie"/>
          <w:rFonts w:ascii="Verdana" w:hAnsi="Verdana" w:eastAsia="Arial" w:cs="Arial"/>
          <w:lang w:val="es-ES"/>
        </w:rPr>
        <w:footnoteReference w:id="1"/>
      </w:r>
      <w:r w:rsidRPr="001E30D9">
        <w:rPr>
          <w:rFonts w:ascii="Verdana" w:hAnsi="Verdana" w:eastAsia="Arial" w:cs="Arial"/>
          <w:lang w:val="es-ES"/>
        </w:rPr>
        <w:t xml:space="preserve">. El literal c) del artículo 3 de la Ley 1150 de 2007 establece que el Sistema Electrónico para la Contratación Pública –SECOP– “contará con la información oficial de la contratación realizada con dineros públicos, para lo cual establecerá los patrones a que haya lugar y se </w:t>
      </w:r>
      <w:r w:rsidRPr="00FE3589">
        <w:rPr>
          <w:rFonts w:ascii="Verdana" w:hAnsi="Verdana" w:eastAsia="Arial" w:cs="Arial"/>
          <w:lang w:val="es-ES"/>
        </w:rPr>
        <w:t>encargará de su difusión a través de canales electrónicos”.</w:t>
      </w:r>
    </w:p>
    <w:p w:rsidRPr="004C75C7" w:rsidR="00112483" w:rsidP="00112483" w:rsidRDefault="00112483" w14:paraId="5F52C756" w14:textId="77777777">
      <w:pPr>
        <w:spacing w:after="120" w:line="276" w:lineRule="auto"/>
        <w:ind w:firstLine="709"/>
        <w:jc w:val="both"/>
        <w:rPr>
          <w:rFonts w:ascii="Verdana" w:hAnsi="Verdana" w:eastAsia="Arial" w:cs="Arial"/>
          <w:lang w:val="es-ES"/>
        </w:rPr>
      </w:pPr>
      <w:r w:rsidRPr="00FE3589">
        <w:rPr>
          <w:rFonts w:ascii="Verdana" w:hAnsi="Verdana" w:eastAsia="Arial" w:cs="Arial"/>
          <w:lang w:val="es-ES"/>
        </w:rPr>
        <w:t xml:space="preserve">Del artículo 3 de la Ley 1150 de 2007 se desprende un deber de publicar las actuaciones contractuales, el cual implica que todas las entidades estatales, publiquen los documentos en los que se evidencia el desarrollo de sus procesos de contratación. Esto, como quiera que el objetivo del deber de dar publicidad a </w:t>
      </w:r>
      <w:r w:rsidRPr="004C75C7">
        <w:rPr>
          <w:rFonts w:ascii="Verdana" w:hAnsi="Verdana" w:eastAsia="Arial" w:cs="Arial"/>
          <w:lang w:val="es-ES"/>
        </w:rPr>
        <w:lastRenderedPageBreak/>
        <w:t>las actuaciones contractuales es materializar el derecho a conocer e intervenir de las decisiones de la Administración Pública.</w:t>
      </w:r>
    </w:p>
    <w:p w:rsidRPr="004C75C7" w:rsidR="00112483" w:rsidP="00112483" w:rsidRDefault="00112483" w14:paraId="05B6295A" w14:textId="77777777">
      <w:pPr>
        <w:spacing w:after="120" w:line="276" w:lineRule="auto"/>
        <w:ind w:firstLine="708"/>
        <w:jc w:val="both"/>
        <w:rPr>
          <w:rFonts w:ascii="Verdana" w:hAnsi="Verdana" w:eastAsia="Times New Roman" w:cs="Arial"/>
          <w:lang w:eastAsia="es-CO"/>
        </w:rPr>
      </w:pPr>
      <w:r w:rsidRPr="004C75C7">
        <w:rPr>
          <w:rFonts w:ascii="Verdana" w:hAnsi="Verdana" w:eastAsia="Arial" w:cs="Arial"/>
          <w:lang w:val="es-ES"/>
        </w:rPr>
        <w:t>De otra parte, la Ley 1712 de 2014</w:t>
      </w:r>
      <w:r w:rsidRPr="004C75C7">
        <w:rPr>
          <w:rStyle w:val="Refdenotaalpie"/>
          <w:rFonts w:ascii="Verdana" w:hAnsi="Verdana" w:eastAsia="Arial" w:cs="Arial"/>
          <w:lang w:val="es-ES"/>
        </w:rPr>
        <w:footnoteReference w:id="2"/>
      </w:r>
      <w:r w:rsidRPr="004C75C7">
        <w:rPr>
          <w:rFonts w:ascii="Verdana" w:hAnsi="Verdana" w:eastAsia="Arial" w:cs="Arial"/>
          <w:lang w:val="es-ES"/>
        </w:rPr>
        <w:t xml:space="preserve">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w:t>
      </w:r>
      <w:r w:rsidRPr="004C75C7">
        <w:rPr>
          <w:rStyle w:val="Refdenotaalpie"/>
          <w:rFonts w:ascii="Verdana" w:hAnsi="Verdana" w:eastAsia="Arial" w:cs="Arial"/>
          <w:lang w:val="es-ES"/>
        </w:rPr>
        <w:footnoteReference w:id="3"/>
      </w:r>
      <w:r w:rsidRPr="004C75C7">
        <w:rPr>
          <w:rFonts w:ascii="Verdana" w:hAnsi="Verdana" w:eastAsia="Arial" w:cs="Arial"/>
          <w:lang w:val="es-ES"/>
        </w:rPr>
        <w:t>. El principio de transparencia en la información alude al deber de los sujetos de proporcionar y facilitar el acceso a la misma en los términos más amplios posibles, y a través de los medios y procedimientos que establezca la ley</w:t>
      </w:r>
      <w:r w:rsidRPr="004C75C7">
        <w:rPr>
          <w:rFonts w:ascii="Verdana" w:hAnsi="Verdana" w:eastAsia="Times New Roman" w:cs="Arial"/>
          <w:vertAlign w:val="superscript"/>
          <w:lang w:eastAsia="es-CO"/>
        </w:rPr>
        <w:footnoteReference w:id="4"/>
      </w:r>
      <w:r w:rsidRPr="004C75C7">
        <w:rPr>
          <w:rFonts w:ascii="Verdana" w:hAnsi="Verdana" w:eastAsia="Times New Roman" w:cs="Arial"/>
          <w:lang w:eastAsia="es-CO"/>
        </w:rPr>
        <w:t>. Finalmente, el principio de buena fe hace referencia al deber de todo sujeto obligado de cumplir con las obligaciones derivadas del derecho de acceso a la información pública con motivación honesta, leal y desprovista de cualquier intención dolosa o culposa</w:t>
      </w:r>
      <w:r w:rsidRPr="004C75C7">
        <w:rPr>
          <w:rFonts w:ascii="Verdana" w:hAnsi="Verdana" w:eastAsia="Times New Roman" w:cs="Arial"/>
          <w:vertAlign w:val="superscript"/>
          <w:lang w:eastAsia="es-CO"/>
        </w:rPr>
        <w:footnoteReference w:id="5"/>
      </w:r>
      <w:r w:rsidRPr="004C75C7">
        <w:rPr>
          <w:rFonts w:ascii="Verdana" w:hAnsi="Verdana" w:eastAsia="Times New Roman" w:cs="Arial"/>
          <w:lang w:eastAsia="es-CO"/>
        </w:rPr>
        <w:t xml:space="preserve">. </w:t>
      </w:r>
    </w:p>
    <w:p w:rsidRPr="004C75C7" w:rsidR="00112483" w:rsidP="00112483" w:rsidRDefault="00112483" w14:paraId="385D25E1" w14:textId="77777777">
      <w:pPr>
        <w:spacing w:after="120" w:line="276" w:lineRule="auto"/>
        <w:ind w:firstLine="709"/>
        <w:jc w:val="both"/>
        <w:rPr>
          <w:rFonts w:ascii="Verdana" w:hAnsi="Verdana" w:eastAsia="Arial" w:cs="Arial"/>
          <w:lang w:val="es-ES"/>
        </w:rPr>
      </w:pPr>
      <w:r w:rsidRPr="004C75C7">
        <w:rPr>
          <w:rFonts w:ascii="Verdana" w:hAnsi="Verdana" w:eastAsia="Arial" w:cs="Arial"/>
          <w:lang w:val="es-ES"/>
        </w:rPr>
        <w:t>La ley citada establece, en el literal e) del artículo 9, que los sujetos obligados, que son todas las entidades públicas, deben publicar la información relativa a su contratación</w:t>
      </w:r>
      <w:r w:rsidRPr="004C75C7">
        <w:rPr>
          <w:rFonts w:ascii="Verdana" w:hAnsi="Verdana" w:eastAsia="Times New Roman" w:cs="Arial"/>
          <w:vertAlign w:val="superscript"/>
          <w:lang w:eastAsia="es-CO"/>
        </w:rPr>
        <w:footnoteReference w:id="6"/>
      </w:r>
      <w:r w:rsidRPr="004C75C7">
        <w:rPr>
          <w:rFonts w:ascii="Verdana" w:hAnsi="Verdana" w:eastAsia="Arial" w:cs="Arial"/>
          <w:lang w:val="es-ES"/>
        </w:rPr>
        <w:t xml:space="preserve">. </w:t>
      </w:r>
      <w:r w:rsidRPr="004C75C7">
        <w:rPr>
          <w:rFonts w:ascii="Verdana" w:hAnsi="Verdana" w:eastAsia="Arial MT" w:cs="Arial"/>
          <w:lang w:val="es-ES"/>
        </w:rPr>
        <w:t xml:space="preserve">El artículo 5 </w:t>
      </w:r>
      <w:r w:rsidRPr="004C75C7">
        <w:rPr>
          <w:rFonts w:ascii="Verdana" w:hAnsi="Verdana" w:eastAsia="Arial MT" w:cs="Arial"/>
          <w:i/>
          <w:iCs/>
          <w:lang w:val="es-ES"/>
        </w:rPr>
        <w:t>ibidem</w:t>
      </w:r>
      <w:r w:rsidRPr="004C75C7">
        <w:rPr>
          <w:rFonts w:ascii="Verdana" w:hAnsi="Verdana" w:eastAsia="Arial MT" w:cs="Arial"/>
          <w:lang w:val="es-ES"/>
        </w:rPr>
        <w:t xml:space="preserve">, al describir qué se entiende por </w:t>
      </w:r>
      <w:r w:rsidRPr="004C75C7">
        <w:rPr>
          <w:rFonts w:ascii="Verdana" w:hAnsi="Verdana" w:eastAsia="Arial MT" w:cs="Arial"/>
          <w:lang w:val="es-ES"/>
        </w:rPr>
        <w:lastRenderedPageBreak/>
        <w:t>sujetos obligados, consagra una lista cuyo propósito es incluir a cualquier entidad, órgano, organismo, o persona natural que desempeñe funciones públicas o administre recursos públicos</w:t>
      </w:r>
      <w:r w:rsidRPr="004C75C7">
        <w:rPr>
          <w:rFonts w:ascii="Verdana" w:hAnsi="Verdana" w:eastAsia="Times New Roman" w:cs="Arial"/>
          <w:vertAlign w:val="superscript"/>
          <w:lang w:eastAsia="es-CO"/>
        </w:rPr>
        <w:footnoteReference w:id="7"/>
      </w:r>
      <w:r w:rsidRPr="004C75C7">
        <w:rPr>
          <w:rFonts w:ascii="Verdana" w:hAnsi="Verdana" w:eastAsia="Arial MT" w:cs="Arial"/>
          <w:lang w:val="es-ES"/>
        </w:rPr>
        <w:t>.</w:t>
      </w:r>
      <w:r w:rsidRPr="004C75C7">
        <w:rPr>
          <w:rFonts w:ascii="Verdana" w:hAnsi="Verdana" w:eastAsia="Times New Roman" w:cs="Arial"/>
          <w:lang w:eastAsia="es-CO"/>
        </w:rPr>
        <w:t xml:space="preserve"> </w:t>
      </w:r>
      <w:r w:rsidRPr="004C75C7">
        <w:rPr>
          <w:rFonts w:ascii="Verdana" w:hAnsi="Verdana" w:eastAsia="Arial" w:cs="Arial"/>
          <w:lang w:val="es-ES"/>
        </w:rPr>
        <w:t>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p>
    <w:p w:rsidRPr="007663DF" w:rsidR="00112483" w:rsidP="00112483" w:rsidRDefault="00112483" w14:paraId="68830DD0" w14:textId="77777777">
      <w:pPr>
        <w:pStyle w:val="Textoindependiente"/>
        <w:spacing w:line="278" w:lineRule="auto"/>
        <w:ind w:right="130" w:firstLine="709"/>
        <w:jc w:val="both"/>
        <w:rPr>
          <w:rFonts w:ascii="Verdana" w:hAnsi="Verdana" w:eastAsia="Calibri"/>
        </w:rPr>
      </w:pPr>
      <w:r w:rsidRPr="007663DF">
        <w:rPr>
          <w:rFonts w:ascii="Verdana" w:hAnsi="Verdana" w:eastAsia="Calibri"/>
        </w:rPr>
        <w:t>En el año 2013, la Agencia Nacional de Contratación Pública – Colombia Compra Eficiente, mediante la Circular Externa No 1 del 21 de junio de 2013</w:t>
      </w:r>
      <w:r w:rsidRPr="007663DF">
        <w:rPr>
          <w:rFonts w:ascii="Verdana" w:hAnsi="Verdana" w:eastAsia="Calibri"/>
          <w:vertAlign w:val="superscript"/>
        </w:rPr>
        <w:footnoteReference w:id="8"/>
      </w:r>
      <w:r w:rsidRPr="007663DF">
        <w:rPr>
          <w:rFonts w:ascii="Verdana" w:hAnsi="Verdana" w:eastAsia="Calibri"/>
        </w:rPr>
        <w:t>, recopilada en la Circular Externa Única, recordó a todas las entidades del Estado el deber de publicar oportunamente su actividad contractual en el SECOP, sin distinción de su régimen jurídico, naturaleza jurídica o la pertenencia a una u otra rama del poder público</w:t>
      </w:r>
      <w:r w:rsidRPr="007663DF">
        <w:rPr>
          <w:rFonts w:ascii="Verdana" w:hAnsi="Verdana" w:eastAsia="Calibri"/>
          <w:vertAlign w:val="superscript"/>
        </w:rPr>
        <w:footnoteReference w:id="9"/>
      </w:r>
      <w:r w:rsidRPr="007663DF">
        <w:rPr>
          <w:rFonts w:ascii="Verdana" w:hAnsi="Verdana" w:eastAsia="Calibri"/>
        </w:rPr>
        <w:t xml:space="preserve">. Además, la Circular Externa Única, en el numeral 1.1., establece, de manera enunciativa, que deben publicar en el SECOP: “las Entidades Estatales que por disposición legal cuenten con un régimen contractual excepcional al del Estatuto General de Contratación de la Administración Pública, deberán publicar en el SECOP II, todos los documentos relacionados con su actividad contractual, de conformidad con lo señalado en el artículo 53 de la Ley 2195 de 2022. </w:t>
      </w:r>
    </w:p>
    <w:p w:rsidRPr="007663DF" w:rsidR="00112483" w:rsidP="00112483" w:rsidRDefault="00112483" w14:paraId="06B5E60B" w14:textId="77777777">
      <w:pPr>
        <w:spacing w:after="120" w:line="276" w:lineRule="auto"/>
        <w:ind w:firstLine="708"/>
        <w:jc w:val="both"/>
        <w:textAlignment w:val="baseline"/>
        <w:rPr>
          <w:rFonts w:ascii="Verdana" w:hAnsi="Verdana" w:eastAsia="Aptos" w:cs="Arial"/>
          <w:lang w:val="es-ES_tradnl" w:eastAsia="es-MX"/>
        </w:rPr>
      </w:pPr>
      <w:r w:rsidRPr="007663DF">
        <w:rPr>
          <w:rFonts w:ascii="Verdana" w:hAnsi="Verdana" w:eastAsia="Aptos" w:cs="Arial"/>
          <w:lang w:val="es-ES_tradnl" w:eastAsia="es-MX"/>
        </w:rPr>
        <w:t xml:space="preserve">Resulta importante resaltar que las Entidades Estatales, conforme al artículo 2.2.1.1.1.7.1 del Decreto 1082 de 2015, tienen la obligación de publicar en el SECOP “[…] los Documentos del Proceso y los actos administrativos del Proceso de Contratación, dentro de los tres (3) días siguientes a su expedición […]”. La expresión Documentos del Proceso está definida en el artículo 2.2.1.1.1.3.1. del Decreto 1082 de 2015, donde se establece que: “son: (a) los estudios y documentos previos; (b) el aviso de convocatoria; (c) los pliegos de </w:t>
      </w:r>
      <w:r w:rsidRPr="007663DF">
        <w:rPr>
          <w:rFonts w:ascii="Verdana" w:hAnsi="Verdana" w:eastAsia="Aptos" w:cs="Arial"/>
          <w:lang w:val="es-ES_tradnl" w:eastAsia="es-MX"/>
        </w:rPr>
        <w:lastRenderedPageBreak/>
        <w:t>condiciones o la invitación; (d) las adendas; (e) la oferta; (f) el informe de evaluación; (g) el contrato; y cualquier otro documento expedido por la Entidad Estatal durante el Proceso de Contratación”.</w:t>
      </w:r>
    </w:p>
    <w:p w:rsidRPr="00137216" w:rsidR="00112483" w:rsidP="00112483" w:rsidRDefault="00112483" w14:paraId="0B46E2AE" w14:textId="77777777">
      <w:pPr>
        <w:spacing w:after="120" w:line="276" w:lineRule="auto"/>
        <w:ind w:firstLine="709"/>
        <w:jc w:val="both"/>
        <w:textAlignment w:val="baseline"/>
        <w:rPr>
          <w:rFonts w:ascii="Verdana" w:hAnsi="Verdana" w:eastAsia="Aptos" w:cs="Arial"/>
          <w:lang w:val="es-ES_tradnl" w:eastAsia="es-MX"/>
        </w:rPr>
      </w:pPr>
      <w:r w:rsidRPr="00AD4DDC">
        <w:rPr>
          <w:rFonts w:ascii="Verdana" w:hAnsi="Verdana" w:eastAsia="Aptos" w:cs="Arial"/>
          <w:lang w:val="es-ES_tradnl" w:eastAsia="es-MX"/>
        </w:rPr>
        <w:t xml:space="preserve">En consecuencia,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recoge en la noción de Documentos del Proceso “cualquier otro documento expedido por la Entidad Estatal durante el Proceso de Contratación”. 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w:t>
      </w:r>
      <w:r w:rsidRPr="00137216">
        <w:rPr>
          <w:rFonts w:ascii="Verdana" w:hAnsi="Verdana" w:eastAsia="Aptos" w:cs="Arial"/>
          <w:lang w:val="es-ES_tradnl" w:eastAsia="es-MX"/>
        </w:rPr>
        <w:t>ocurra más tarde”.</w:t>
      </w:r>
    </w:p>
    <w:p w:rsidRPr="00860447" w:rsidR="00112483" w:rsidP="00112483" w:rsidRDefault="00112483" w14:paraId="3972E6E8" w14:textId="77777777">
      <w:pPr>
        <w:spacing w:after="120" w:line="276" w:lineRule="auto"/>
        <w:ind w:firstLine="709"/>
        <w:jc w:val="both"/>
        <w:rPr>
          <w:rFonts w:ascii="Verdana" w:hAnsi="Verdana" w:eastAsia="Aptos" w:cs="Arial"/>
          <w:lang w:val="es-ES" w:eastAsia="es-MX"/>
        </w:rPr>
      </w:pPr>
      <w:r w:rsidRPr="00137216">
        <w:rPr>
          <w:rFonts w:ascii="Verdana" w:hAnsi="Verdana" w:eastAsia="Aptos" w:cs="Arial"/>
          <w:lang w:val="es-ES" w:eastAsia="es-MX"/>
        </w:rPr>
        <w:t xml:space="preserve">Nótese que la norma hace referencia a los documentos “expedidos por la entidad estatal” durante el proceso de contratación, excluyendo de la noción de Documentos del Proceso los expedidos por un sujeto distinto a la entidad, salvo la oferta, la cual se incluye expresamente en el referido artículo 2.2.1.1.1.3.1. En ese sentido, </w:t>
      </w:r>
      <w:bookmarkStart w:name="_Hlk178832591" w:id="7"/>
      <w:r w:rsidRPr="00137216">
        <w:rPr>
          <w:rFonts w:ascii="Verdana" w:hAnsi="Verdana" w:eastAsia="Aptos" w:cs="Arial"/>
          <w:lang w:val="es-ES" w:eastAsia="es-MX"/>
        </w:rPr>
        <w:t>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postcontractual deberán ser publicados en SECOP ll.</w:t>
      </w:r>
      <w:bookmarkEnd w:id="7"/>
    </w:p>
    <w:p w:rsidRPr="009A6F9B" w:rsidR="009A6F9B" w:rsidP="00112483" w:rsidRDefault="009A6F9B" w14:paraId="21581845" w14:textId="5C54D38A">
      <w:pPr>
        <w:pStyle w:val="Textoindependiente"/>
        <w:spacing w:line="276" w:lineRule="auto"/>
        <w:ind w:firstLine="708"/>
        <w:jc w:val="both"/>
        <w:rPr>
          <w:rFonts w:ascii="Verdana" w:hAnsi="Verdana" w:eastAsia="Calibri" w:cs="Arial"/>
          <w:color w:val="000000" w:themeColor="text1"/>
        </w:rPr>
      </w:pPr>
      <w:r w:rsidRPr="009A6F9B">
        <w:rPr>
          <w:rFonts w:ascii="Verdana" w:hAnsi="Verdana"/>
          <w:spacing w:val="-19"/>
        </w:rPr>
        <w:t xml:space="preserve"> </w:t>
      </w:r>
      <w:r w:rsidR="00112483">
        <w:rPr>
          <w:rFonts w:ascii="Verdana" w:hAnsi="Verdana"/>
          <w:spacing w:val="-19"/>
        </w:rPr>
        <w:t>A</w:t>
      </w:r>
      <w:r w:rsidRPr="009A6F9B">
        <w:rPr>
          <w:rFonts w:ascii="Verdana" w:hAnsi="Verdana" w:cs="Arial"/>
          <w:lang w:eastAsia="es-ES"/>
        </w:rPr>
        <w:t>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rsidRPr="009A6F9B" w:rsidR="009A6F9B" w:rsidP="009A6F9B" w:rsidRDefault="009A6F9B" w14:paraId="4BA7DD37" w14:textId="77777777">
      <w:pPr>
        <w:spacing w:before="120" w:after="0" w:line="276" w:lineRule="auto"/>
        <w:ind w:firstLine="709"/>
        <w:jc w:val="both"/>
        <w:rPr>
          <w:rFonts w:ascii="Verdana" w:hAnsi="Verdana" w:cs="Arial"/>
          <w:lang w:eastAsia="es-ES"/>
        </w:rPr>
      </w:pPr>
      <w:r w:rsidRPr="009A6F9B">
        <w:rPr>
          <w:rFonts w:ascii="Verdana" w:hAnsi="Verdana" w:cs="Arial"/>
          <w:lang w:eastAsia="es-ES"/>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rsidR="00E1324D" w:rsidP="00E1324D" w:rsidRDefault="00E1324D" w14:paraId="2FC8D498" w14:textId="77777777">
      <w:pPr>
        <w:spacing w:after="0" w:line="276" w:lineRule="auto"/>
        <w:ind w:firstLine="708"/>
        <w:jc w:val="both"/>
        <w:rPr>
          <w:rFonts w:ascii="Verdana" w:hAnsi="Verdana" w:eastAsia="Calibri" w:cs="Arial"/>
          <w:lang w:val="es-ES"/>
        </w:rPr>
      </w:pPr>
    </w:p>
    <w:p w:rsidRPr="0060676F" w:rsidR="0087031A" w:rsidP="0087031A" w:rsidRDefault="0087031A" w14:paraId="10369344" w14:textId="77777777">
      <w:pPr>
        <w:pStyle w:val="Prrafodelista"/>
        <w:numPr>
          <w:ilvl w:val="0"/>
          <w:numId w:val="16"/>
        </w:numPr>
        <w:spacing w:after="120" w:line="276" w:lineRule="auto"/>
        <w:ind w:left="284"/>
        <w:jc w:val="both"/>
        <w:rPr>
          <w:rFonts w:ascii="Verdana" w:hAnsi="Verdana" w:eastAsia="Century Gothic" w:cs="Century Gothic"/>
          <w:b/>
          <w:bCs/>
        </w:rPr>
      </w:pPr>
      <w:r w:rsidRPr="0060676F">
        <w:rPr>
          <w:rFonts w:ascii="Verdana" w:hAnsi="Verdana" w:eastAsia="Century Gothic" w:cs="Century Gothic"/>
          <w:b/>
          <w:bCs/>
        </w:rPr>
        <w:t>Referencias normativas, jurisprudenciales y otras fuentes:</w:t>
      </w:r>
    </w:p>
    <w:p w:rsidRPr="00593A5F" w:rsidR="0087031A" w:rsidP="0087031A" w:rsidRDefault="0087031A" w14:paraId="18BC5F6A"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593A5F" w:rsidR="0087031A" w14:paraId="42DD39C5" w14:textId="77777777">
        <w:trPr>
          <w:trHeight w:val="870"/>
        </w:trPr>
        <w:tc>
          <w:tcPr>
            <w:tcW w:w="8647" w:type="dxa"/>
          </w:tcPr>
          <w:p w:rsidRPr="00860447" w:rsidR="00112483" w:rsidP="00112483" w:rsidRDefault="00112483" w14:paraId="57CA294D" w14:textId="77777777">
            <w:pPr>
              <w:pStyle w:val="Prrafodelista"/>
              <w:widowControl w:val="0"/>
              <w:numPr>
                <w:ilvl w:val="0"/>
                <w:numId w:val="18"/>
              </w:numPr>
              <w:autoSpaceDE w:val="0"/>
              <w:autoSpaceDN w:val="0"/>
              <w:spacing w:after="120" w:line="276" w:lineRule="auto"/>
              <w:jc w:val="both"/>
              <w:rPr>
                <w:rFonts w:ascii="Verdana" w:hAnsi="Verdana" w:cs="Arial"/>
              </w:rPr>
            </w:pPr>
            <w:r w:rsidRPr="00860447">
              <w:rPr>
                <w:rFonts w:ascii="Verdana" w:hAnsi="Verdana" w:cs="Arial"/>
              </w:rPr>
              <w:t>Constitución Política de Colombia, artículo 209.</w:t>
            </w:r>
          </w:p>
          <w:p w:rsidR="00112483" w:rsidP="00112483" w:rsidRDefault="00112483" w14:paraId="019F4226" w14:textId="77777777">
            <w:pPr>
              <w:pStyle w:val="Prrafodelista"/>
              <w:widowControl w:val="0"/>
              <w:numPr>
                <w:ilvl w:val="0"/>
                <w:numId w:val="18"/>
              </w:numPr>
              <w:autoSpaceDE w:val="0"/>
              <w:autoSpaceDN w:val="0"/>
              <w:spacing w:after="120" w:line="276" w:lineRule="auto"/>
              <w:jc w:val="both"/>
              <w:rPr>
                <w:rFonts w:ascii="Verdana" w:hAnsi="Verdana" w:cs="Arial"/>
              </w:rPr>
            </w:pPr>
            <w:r>
              <w:rPr>
                <w:rFonts w:ascii="Verdana" w:hAnsi="Verdana" w:cs="Arial"/>
              </w:rPr>
              <w:t>Ley 1712 de 2014, artículo 3</w:t>
            </w:r>
          </w:p>
          <w:p w:rsidR="00112483" w:rsidP="00112483" w:rsidRDefault="00112483" w14:paraId="55B950BE" w14:textId="77777777">
            <w:pPr>
              <w:pStyle w:val="Prrafodelista"/>
              <w:widowControl w:val="0"/>
              <w:numPr>
                <w:ilvl w:val="0"/>
                <w:numId w:val="18"/>
              </w:numPr>
              <w:autoSpaceDE w:val="0"/>
              <w:autoSpaceDN w:val="0"/>
              <w:spacing w:after="120" w:line="276" w:lineRule="auto"/>
              <w:jc w:val="both"/>
              <w:rPr>
                <w:rFonts w:ascii="Verdana" w:hAnsi="Verdana" w:cs="Arial"/>
              </w:rPr>
            </w:pPr>
            <w:r>
              <w:rPr>
                <w:rFonts w:ascii="Verdana" w:hAnsi="Verdana" w:cs="Arial"/>
              </w:rPr>
              <w:t>Ley 1150 de 2007, artículo 3.</w:t>
            </w:r>
          </w:p>
          <w:p w:rsidRPr="00112483" w:rsidR="00112483" w:rsidP="00112483" w:rsidRDefault="00112483" w14:paraId="01082A01" w14:textId="77777777">
            <w:pPr>
              <w:pStyle w:val="Prrafodelista"/>
              <w:widowControl w:val="0"/>
              <w:numPr>
                <w:ilvl w:val="0"/>
                <w:numId w:val="18"/>
              </w:numPr>
              <w:autoSpaceDE w:val="0"/>
              <w:autoSpaceDN w:val="0"/>
              <w:spacing w:after="120" w:line="276" w:lineRule="auto"/>
              <w:jc w:val="both"/>
              <w:rPr>
                <w:rFonts w:ascii="Verdana" w:hAnsi="Verdana" w:cs="Arial"/>
              </w:rPr>
            </w:pPr>
            <w:r w:rsidRPr="00860447">
              <w:rPr>
                <w:rFonts w:ascii="Verdana" w:hAnsi="Verdana" w:cs="Arial"/>
              </w:rPr>
              <w:t xml:space="preserve">Decreto 1082 de 2015, artículo </w:t>
            </w:r>
            <w:r w:rsidRPr="00860447">
              <w:rPr>
                <w:rFonts w:ascii="Verdana" w:hAnsi="Verdana"/>
                <w:lang w:eastAsia="es-ES_tradnl"/>
              </w:rPr>
              <w:t>2.2.1.1.1.7.1.</w:t>
            </w:r>
          </w:p>
          <w:p w:rsidRPr="00112483" w:rsidR="0087031A" w:rsidP="00112483" w:rsidRDefault="00112483" w14:paraId="1C1DEB6B" w14:textId="2224DC97">
            <w:pPr>
              <w:pStyle w:val="Prrafodelista"/>
              <w:widowControl w:val="0"/>
              <w:numPr>
                <w:ilvl w:val="0"/>
                <w:numId w:val="18"/>
              </w:numPr>
              <w:autoSpaceDE w:val="0"/>
              <w:autoSpaceDN w:val="0"/>
              <w:spacing w:after="120" w:line="276" w:lineRule="auto"/>
              <w:jc w:val="both"/>
              <w:rPr>
                <w:rFonts w:ascii="Verdana" w:hAnsi="Verdana" w:cs="Arial"/>
              </w:rPr>
            </w:pPr>
            <w:r w:rsidRPr="00112483">
              <w:rPr>
                <w:rFonts w:ascii="Verdana" w:hAnsi="Verdana" w:cs="Arial"/>
              </w:rPr>
              <w:t xml:space="preserve">Agencia Nacional de Contratación Pública - Colombia Compra Eficiente. Circular Externa Única. </w:t>
            </w:r>
            <w:r w:rsidRPr="00112483">
              <w:rPr>
                <w:rFonts w:ascii="Verdana" w:hAnsi="Verdana" w:cs="Arial"/>
              </w:rPr>
              <w:t>https://www.colombiacompra.gov. co/normativa-y-relatoria/circular-unica-externa</w:t>
            </w:r>
          </w:p>
        </w:tc>
      </w:tr>
    </w:tbl>
    <w:p w:rsidR="0087031A" w:rsidP="0087031A" w:rsidRDefault="0087031A" w14:paraId="3BFE0280"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p w:rsidR="0087031A" w:rsidP="0087031A" w:rsidRDefault="0087031A" w14:paraId="1AB2AA5D" w14:textId="77777777">
      <w:pPr>
        <w:pStyle w:val="Prrafodelista"/>
        <w:numPr>
          <w:ilvl w:val="0"/>
          <w:numId w:val="16"/>
        </w:numPr>
        <w:tabs>
          <w:tab w:val="left" w:pos="142"/>
          <w:tab w:val="left" w:pos="284"/>
        </w:tabs>
        <w:spacing w:after="0" w:line="276" w:lineRule="auto"/>
        <w:ind w:left="284"/>
        <w:contextualSpacing w:val="0"/>
        <w:jc w:val="both"/>
        <w:rPr>
          <w:rFonts w:ascii="Verdana" w:hAnsi="Verdana" w:eastAsia="Century Gothic" w:cs="Century Gothic"/>
          <w:b/>
          <w:bCs/>
        </w:rPr>
      </w:pPr>
      <w:r>
        <w:rPr>
          <w:rFonts w:ascii="Verdana" w:hAnsi="Verdana" w:eastAsia="Century Gothic" w:cs="Century Gothic"/>
          <w:b/>
          <w:bCs/>
        </w:rPr>
        <w:t>Doctrina de la Agencia Nacional de Contratación Pública</w:t>
      </w:r>
      <w:r w:rsidRPr="00593A5F">
        <w:rPr>
          <w:rFonts w:ascii="Verdana" w:hAnsi="Verdana" w:eastAsia="Century Gothic" w:cs="Century Gothic"/>
          <w:b/>
          <w:bCs/>
        </w:rPr>
        <w:t>:</w:t>
      </w:r>
    </w:p>
    <w:p w:rsidRPr="00593A5F" w:rsidR="0087031A" w:rsidP="0087031A" w:rsidRDefault="0087031A" w14:paraId="533E7EA9"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p w:rsidRPr="00AE7E03" w:rsidR="0087031A" w:rsidP="0087031A" w:rsidRDefault="00644C87" w14:paraId="1F8E012C" w14:textId="52156592">
      <w:pPr>
        <w:widowControl w:val="0"/>
        <w:autoSpaceDE w:val="0"/>
        <w:autoSpaceDN w:val="0"/>
        <w:spacing w:after="0" w:line="276" w:lineRule="auto"/>
        <w:jc w:val="both"/>
        <w:rPr>
          <w:rFonts w:ascii="Verdana" w:hAnsi="Verdana" w:eastAsia="Arial" w:cs="Arial"/>
          <w:lang w:val="es-MX" w:eastAsia="es-ES_tradnl"/>
        </w:rPr>
      </w:pPr>
      <w:r w:rsidRPr="00860447">
        <w:rPr>
          <w:rFonts w:ascii="Verdana" w:hAnsi="Verdana" w:eastAsia="Calibri" w:cs="Arial"/>
          <w:bCs/>
          <w:lang w:val="es-ES"/>
        </w:rPr>
        <w:t xml:space="preserve">La Agencia Nacional de Contratación Pública </w:t>
      </w:r>
      <w:r w:rsidRPr="00860447">
        <w:rPr>
          <w:rFonts w:ascii="Verdana" w:hAnsi="Verdana" w:eastAsia="Calibri" w:cs="Arial"/>
          <w:bCs/>
        </w:rPr>
        <w:t xml:space="preserve">estudió el deber de publicidad de las actuaciones contractuales, en los conceptos con radicado No. 4201913000005397 del 9 de agosto de 2019, 4201912000006611 del 25 de septiembre de 2019, </w:t>
      </w:r>
      <w:r w:rsidRPr="00860447">
        <w:rPr>
          <w:rFonts w:ascii="Verdana" w:hAnsi="Verdana" w:eastAsia="Calibri" w:cs="Arial"/>
        </w:rPr>
        <w:t xml:space="preserve">4201913000006847 del 4 de octubre de 2019, </w:t>
      </w:r>
      <w:r w:rsidRPr="00860447">
        <w:rPr>
          <w:rFonts w:ascii="Verdana" w:hAnsi="Verdana" w:eastAsia="Calibri" w:cs="Arial"/>
          <w:bCs/>
        </w:rPr>
        <w:t>4201912000007828 del 13 de noviembre de 2019,</w:t>
      </w:r>
      <w:r w:rsidRPr="00860447">
        <w:rPr>
          <w:rFonts w:ascii="Verdana" w:hAnsi="Verdana" w:eastAsia="Calibri" w:cs="Arial"/>
        </w:rPr>
        <w:t xml:space="preserve"> </w:t>
      </w:r>
      <w:r w:rsidRPr="00860447">
        <w:rPr>
          <w:rFonts w:ascii="Verdana" w:hAnsi="Verdana" w:eastAsia="Calibri" w:cs="Arial"/>
          <w:bCs/>
        </w:rPr>
        <w:t xml:space="preserve">4201912000007762 del 18 de noviembre de 2019. Las posturas expuestas por la Subdirección en relación con la materia, </w:t>
      </w:r>
      <w:r w:rsidRPr="00860447">
        <w:rPr>
          <w:rFonts w:ascii="Verdana" w:hAnsi="Verdana" w:eastAsia="Calibri" w:cs="Arial"/>
        </w:rPr>
        <w:t>fueron unificadas en el concepto CU–003 de 3 de enero de 2020, confirmado en los conceptos C–061 de 21 de enero de 2020, C–115 de 11 de febrero de 2020, C–149 de 14 de febrero de 2020, C–312 del 6 de mayo de 2020, C–346 del 26 de mayo de 2020, C-369 del 4 de junio de 2020, C-399 del 23 de junio de 2020, C-372 del 30 de junio de 2020, C-437 del 6 de julio de 2020, C-468 del 24 de julio de 2020, C-494 del 4 de agosto de 2020, C-449 del 5 de agosto de 2020, C-559  del 25 de agosto de 2020, C-562 del 25 de agosto de 2020, C-574 del 27 de agosto de 2020, C-146 del 4 de marzo de 2025</w:t>
      </w:r>
      <w:r>
        <w:rPr>
          <w:rFonts w:ascii="Verdana" w:hAnsi="Verdana" w:eastAsia="Calibri" w:cs="Arial"/>
        </w:rPr>
        <w:t xml:space="preserve">, </w:t>
      </w:r>
      <w:r w:rsidRPr="00860447">
        <w:rPr>
          <w:rFonts w:ascii="Verdana" w:hAnsi="Verdana" w:eastAsia="Calibri" w:cs="Arial"/>
        </w:rPr>
        <w:t>C-</w:t>
      </w:r>
      <w:r w:rsidRPr="00860447">
        <w:rPr>
          <w:rFonts w:ascii="Verdana" w:hAnsi="Verdana" w:eastAsia="Calibri" w:cs="Arial"/>
        </w:rPr>
        <w:lastRenderedPageBreak/>
        <w:t>468 del 19 de mayo de 2025</w:t>
      </w:r>
      <w:r>
        <w:rPr>
          <w:rFonts w:ascii="Verdana" w:hAnsi="Verdana" w:eastAsia="Calibri" w:cs="Arial"/>
        </w:rPr>
        <w:t xml:space="preserve"> y C-721 del 11 de julio de 2025</w:t>
      </w:r>
      <w:r w:rsidR="00DA08E3">
        <w:rPr>
          <w:rFonts w:ascii="Verdana" w:hAnsi="Verdana" w:eastAsia="Calibri" w:cs="Arial"/>
          <w:shd w:val="clear" w:color="auto" w:fill="FFFFFF"/>
        </w:rPr>
        <w:t>.</w:t>
      </w:r>
      <w:r w:rsidRPr="00185EE9" w:rsidR="0087031A">
        <w:rPr>
          <w:rFonts w:ascii="Verdana" w:hAnsi="Verdana" w:eastAsia="Calibri" w:cs="Times New Roman"/>
        </w:rPr>
        <w:t xml:space="preserve"> </w:t>
      </w:r>
      <w:r w:rsidR="004B10BA">
        <w:rPr>
          <w:rFonts w:ascii="Verdana" w:hAnsi="Verdana" w:eastAsia="Calibri" w:cs="Times New Roman"/>
        </w:rPr>
        <w:t>E</w:t>
      </w:r>
      <w:r w:rsidR="0087031A">
        <w:rPr>
          <w:rFonts w:ascii="Verdana" w:hAnsi="Verdana" w:eastAsia="Calibri" w:cs="Times New Roman"/>
        </w:rPr>
        <w:t xml:space="preserve">stos </w:t>
      </w:r>
      <w:r w:rsidRPr="00185EE9" w:rsidR="0087031A">
        <w:rPr>
          <w:rFonts w:ascii="Verdana" w:hAnsi="Verdana" w:eastAsia="Calibri"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rsidRPr="0065720B" w:rsidR="0087031A" w:rsidP="0087031A" w:rsidRDefault="00644C87" w14:paraId="25CFBE6B" w14:textId="380D6B60">
      <w:pPr>
        <w:widowControl w:val="0"/>
        <w:autoSpaceDE w:val="0"/>
        <w:autoSpaceDN w:val="0"/>
        <w:spacing w:after="0" w:line="276" w:lineRule="auto"/>
        <w:jc w:val="both"/>
        <w:rPr>
          <w:rStyle w:val="normaltextrun"/>
          <w:rFonts w:ascii="Verdana" w:hAnsi="Verdana" w:eastAsia="Calibri" w:cs="Arial"/>
          <w:lang w:val="es-ES_tradnl" w:eastAsia="en-GB"/>
        </w:rPr>
      </w:pPr>
      <w:hyperlink w:history="1" r:id="rId11">
        <w:r w:rsidRPr="00085526">
          <w:rPr>
            <w:rStyle w:val="Hipervnculo"/>
            <w:rFonts w:ascii="Verdana" w:hAnsi="Verdana" w:eastAsia="Calibri" w:cs="Times New Roman"/>
            <w:lang w:val="es-ES"/>
          </w:rPr>
          <w:t>https://relatoria.colombiacompra.gov.co/busqueda/conceptos</w:t>
        </w:r>
      </w:hyperlink>
      <w:r w:rsidRPr="00185EE9" w:rsidR="0087031A">
        <w:rPr>
          <w:rFonts w:ascii="Verdana" w:hAnsi="Verdana" w:eastAsia="Calibri" w:cs="Times New Roman"/>
        </w:rPr>
        <w:t>.</w:t>
      </w:r>
    </w:p>
    <w:p w:rsidRPr="00505CD6" w:rsidR="0087031A" w:rsidP="0087031A" w:rsidRDefault="0087031A" w14:paraId="0208491B" w14:textId="77777777">
      <w:pPr>
        <w:widowControl w:val="0"/>
        <w:autoSpaceDE w:val="0"/>
        <w:autoSpaceDN w:val="0"/>
        <w:spacing w:after="0" w:line="276" w:lineRule="auto"/>
        <w:jc w:val="both"/>
        <w:rPr>
          <w:rFonts w:ascii="Verdana" w:hAnsi="Verdana" w:cs="Arial"/>
          <w:color w:val="000000" w:themeColor="text1"/>
          <w:shd w:val="clear" w:color="auto" w:fill="FFFFFF"/>
        </w:rPr>
      </w:pPr>
    </w:p>
    <w:p w:rsidR="0087031A" w:rsidP="0087031A" w:rsidRDefault="0087031A" w14:paraId="12E9336E" w14:textId="77777777">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w:tgtFrame="_blank" w:tooltip="Dirección URL original: https://www.colombiacompra.gov.co/manuales-guias-y-pliegos-tipo/manuales-y-guias/guia-de-contratacion-publica-sostenible-y-socialmente. Haga clic o pulse si confía en este vínculo." w:history="1" r:id="rId12">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rsidR="0087031A" w:rsidP="0087031A" w:rsidRDefault="0087031A" w14:paraId="1766B34B" w14:textId="77777777">
      <w:pPr>
        <w:widowControl w:val="0"/>
        <w:autoSpaceDE w:val="0"/>
        <w:autoSpaceDN w:val="0"/>
        <w:spacing w:after="0" w:line="276" w:lineRule="auto"/>
        <w:jc w:val="both"/>
      </w:pPr>
    </w:p>
    <w:p w:rsidRPr="00505CD6" w:rsidR="0087031A" w:rsidP="0087031A" w:rsidRDefault="0087031A" w14:paraId="59F914CB" w14:textId="7777777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rsidRPr="00505CD6" w:rsidR="0087031A" w:rsidP="0087031A" w:rsidRDefault="0087031A" w14:paraId="439F93B3" w14:textId="77777777">
      <w:pPr>
        <w:widowControl w:val="0"/>
        <w:autoSpaceDE w:val="0"/>
        <w:autoSpaceDN w:val="0"/>
        <w:spacing w:after="0" w:line="276" w:lineRule="auto"/>
        <w:jc w:val="both"/>
        <w:rPr>
          <w:rFonts w:ascii="Verdana" w:hAnsi="Verdana" w:cs="Arial"/>
        </w:rPr>
      </w:pPr>
    </w:p>
    <w:p w:rsidRPr="00505CD6" w:rsidR="0087031A" w:rsidP="0087031A" w:rsidRDefault="0087031A" w14:paraId="5BF21FB4" w14:textId="77777777">
      <w:pPr>
        <w:spacing w:after="0" w:line="276" w:lineRule="auto"/>
        <w:jc w:val="both"/>
        <w:rPr>
          <w:rFonts w:ascii="Verdana" w:hAnsi="Verdana" w:cs="Arial"/>
          <w:lang w:eastAsia="es-CO"/>
        </w:rPr>
      </w:pPr>
      <w:r w:rsidRPr="00505CD6">
        <w:rPr>
          <w:rFonts w:ascii="Verdana" w:hAnsi="Verdana" w:eastAsia="Times New Roman" w:cs="Arial"/>
          <w:lang w:eastAsia="es-CO"/>
        </w:rPr>
        <w:t>Atentamente,</w:t>
      </w:r>
      <w:r w:rsidRPr="00505CD6">
        <w:rPr>
          <w:rFonts w:ascii="Verdana" w:hAnsi="Verdana" w:cs="Arial"/>
          <w:lang w:eastAsia="es-CO"/>
        </w:rPr>
        <w:t xml:space="preserve"> </w:t>
      </w:r>
    </w:p>
    <w:p w:rsidR="0087031A" w:rsidP="0087031A" w:rsidRDefault="0087031A" w14:paraId="72B728E2" w14:textId="77777777">
      <w:pPr>
        <w:spacing w:line="276" w:lineRule="auto"/>
        <w:jc w:val="center"/>
        <w:rPr>
          <w:rFonts w:ascii="Verdana" w:hAnsi="Verdana"/>
          <w:noProof/>
        </w:rPr>
      </w:pPr>
    </w:p>
    <w:p w:rsidR="004F18D3" w:rsidP="0087031A" w:rsidRDefault="004F18D3" w14:paraId="308F8B3C" w14:textId="4A5A8837">
      <w:pPr>
        <w:spacing w:line="276" w:lineRule="auto"/>
        <w:jc w:val="center"/>
      </w:pPr>
      <w:r w:rsidR="363279BE">
        <w:drawing>
          <wp:inline wp14:editId="69F78174" wp14:anchorId="13FCDA7B">
            <wp:extent cx="4248743" cy="1781424"/>
            <wp:effectExtent l="0" t="0" r="0" b="0"/>
            <wp:docPr id="167035770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670357701" name=""/>
                    <pic:cNvPicPr/>
                  </pic:nvPicPr>
                  <pic:blipFill>
                    <a:blip xmlns:r="http://schemas.openxmlformats.org/officeDocument/2006/relationships" r:embed="rId356591387">
                      <a:extLst>
                        <a:ext xmlns:a="http://schemas.openxmlformats.org/drawingml/2006/main" uri="{28A0092B-C50C-407E-A947-70E740481C1C}">
                          <a14:useLocalDpi xmlns:a14="http://schemas.microsoft.com/office/drawing/2010/main" val="0"/>
                        </a:ext>
                      </a:extLst>
                    </a:blip>
                    <a:stretch>
                      <a:fillRect/>
                    </a:stretch>
                  </pic:blipFill>
                  <pic:spPr>
                    <a:xfrm>
                      <a:off x="0" y="0"/>
                      <a:ext cx="4248743" cy="1781424"/>
                    </a:xfrm>
                    <a:prstGeom prst="rect">
                      <a:avLst/>
                    </a:prstGeom>
                  </pic:spPr>
                </pic:pic>
              </a:graphicData>
            </a:graphic>
          </wp:inline>
        </w:drawing>
      </w:r>
    </w:p>
    <w:p w:rsidR="5521A7CA" w:rsidP="5521A7CA" w:rsidRDefault="5521A7CA" w14:paraId="4BF0EC9C" w14:textId="11D7F5B7">
      <w:pPr>
        <w:spacing w:line="276" w:lineRule="auto"/>
        <w:jc w:val="center"/>
        <w:rPr>
          <w:rFonts w:ascii="Verdana" w:hAnsi="Verdana"/>
          <w:noProof/>
        </w:rPr>
      </w:pPr>
    </w:p>
    <w:p w:rsidR="5521A7CA" w:rsidP="5521A7CA" w:rsidRDefault="5521A7CA" w14:paraId="27D09945" w14:textId="02F27D6E">
      <w:pPr>
        <w:spacing w:line="276" w:lineRule="auto"/>
        <w:jc w:val="center"/>
        <w:rPr>
          <w:rFonts w:ascii="Verdana" w:hAnsi="Verdana"/>
          <w:noProof/>
        </w:rPr>
      </w:pPr>
    </w:p>
    <w:p w:rsidR="0087031A" w:rsidP="0087031A" w:rsidRDefault="0087031A" w14:paraId="77A866E6" w14:textId="4B5D9684">
      <w:pPr>
        <w:spacing w:line="276" w:lineRule="auto"/>
        <w:jc w:val="center"/>
        <w:rPr>
          <w:rFonts w:ascii="Verdana" w:hAnsi="Verdana"/>
          <w:noProof/>
          <w:color w:val="000000"/>
        </w:rPr>
      </w:pP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593A5F" w:rsidR="0087031A" w14:paraId="7952AB6B" w14:textId="77777777">
        <w:trPr>
          <w:trHeight w:val="315"/>
        </w:trPr>
        <w:tc>
          <w:tcPr>
            <w:tcW w:w="893" w:type="dxa"/>
            <w:vAlign w:val="center"/>
            <w:hideMark/>
          </w:tcPr>
          <w:p w:rsidRPr="003751C7" w:rsidR="0087031A" w:rsidRDefault="0087031A" w14:paraId="12808F0D"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7911EE" w:rsidR="0087031A" w:rsidRDefault="0087031A" w14:paraId="68FCA52F" w14:textId="12471F21">
            <w:pPr>
              <w:contextualSpacing/>
              <w:rPr>
                <w:rFonts w:ascii="Verdana" w:hAnsi="Verdana"/>
                <w:sz w:val="16"/>
                <w:szCs w:val="16"/>
              </w:rPr>
            </w:pPr>
            <w:r w:rsidRPr="007911EE">
              <w:rPr>
                <w:rFonts w:ascii="Verdana" w:hAnsi="Verdana"/>
                <w:sz w:val="16"/>
                <w:szCs w:val="16"/>
              </w:rPr>
              <w:t xml:space="preserve">Nicolas </w:t>
            </w:r>
            <w:r w:rsidRPr="007911EE" w:rsidR="007911EE">
              <w:rPr>
                <w:rFonts w:ascii="Verdana" w:hAnsi="Verdana"/>
                <w:sz w:val="16"/>
                <w:szCs w:val="16"/>
              </w:rPr>
              <w:t>Andrés</w:t>
            </w:r>
            <w:r w:rsidRPr="007911EE">
              <w:rPr>
                <w:rFonts w:ascii="Verdana" w:hAnsi="Verdana"/>
                <w:sz w:val="16"/>
                <w:szCs w:val="16"/>
              </w:rPr>
              <w:t xml:space="preserve"> </w:t>
            </w:r>
            <w:r w:rsidRPr="007911EE" w:rsidR="007911EE">
              <w:rPr>
                <w:rFonts w:ascii="Verdana" w:hAnsi="Verdana"/>
                <w:sz w:val="16"/>
                <w:szCs w:val="16"/>
              </w:rPr>
              <w:t>Guzmán</w:t>
            </w:r>
            <w:r w:rsidRPr="007911EE">
              <w:rPr>
                <w:rFonts w:ascii="Verdana" w:hAnsi="Verdana"/>
                <w:sz w:val="16"/>
                <w:szCs w:val="16"/>
              </w:rPr>
              <w:t xml:space="preserve"> </w:t>
            </w:r>
          </w:p>
          <w:p w:rsidRPr="007911EE" w:rsidR="0087031A" w:rsidRDefault="0087031A" w14:paraId="3F59F682" w14:textId="77777777">
            <w:pPr>
              <w:contextualSpacing/>
              <w:rPr>
                <w:rFonts w:ascii="Verdana" w:hAnsi="Verdana" w:eastAsia="Arial" w:cs="Arial"/>
                <w:sz w:val="16"/>
                <w:szCs w:val="16"/>
              </w:rPr>
            </w:pPr>
            <w:r w:rsidRPr="007911EE">
              <w:rPr>
                <w:rFonts w:ascii="Verdana" w:hAnsi="Verdana"/>
                <w:sz w:val="16"/>
                <w:szCs w:val="16"/>
              </w:rPr>
              <w:t>Contratista de la Subdirección de Gestión Contractual</w:t>
            </w:r>
          </w:p>
        </w:tc>
      </w:tr>
      <w:tr w:rsidRPr="00593A5F" w:rsidR="0087031A" w14:paraId="517166CF" w14:textId="77777777">
        <w:trPr>
          <w:trHeight w:val="330"/>
        </w:trPr>
        <w:tc>
          <w:tcPr>
            <w:tcW w:w="893" w:type="dxa"/>
            <w:vAlign w:val="center"/>
            <w:hideMark/>
          </w:tcPr>
          <w:p w:rsidRPr="003751C7" w:rsidR="0087031A" w:rsidRDefault="0087031A" w14:paraId="73873209"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00720339" w:rsidP="00BC5770" w:rsidRDefault="00720339" w14:paraId="7612AD5C" w14:textId="77777777">
            <w:pPr>
              <w:spacing w:line="276" w:lineRule="auto"/>
              <w:contextualSpacing/>
              <w:jc w:val="both"/>
              <w:rPr>
                <w:rFonts w:ascii="Verdana" w:hAnsi="Verdana"/>
                <w:sz w:val="16"/>
                <w:szCs w:val="16"/>
              </w:rPr>
            </w:pPr>
            <w:r w:rsidRPr="00720339">
              <w:rPr>
                <w:rFonts w:ascii="Verdana" w:hAnsi="Verdana"/>
                <w:sz w:val="16"/>
                <w:szCs w:val="16"/>
              </w:rPr>
              <w:t>Juan Carlos González</w:t>
            </w:r>
          </w:p>
          <w:p w:rsidRPr="007911EE" w:rsidR="0087031A" w:rsidP="00BC5770" w:rsidRDefault="004B10BA" w14:paraId="634B0E53" w14:textId="7F31D454">
            <w:pPr>
              <w:spacing w:line="276" w:lineRule="auto"/>
              <w:contextualSpacing/>
              <w:jc w:val="both"/>
              <w:rPr>
                <w:rFonts w:ascii="Verdana" w:hAnsi="Verdana" w:cstheme="minorHAnsi"/>
                <w:sz w:val="16"/>
                <w:szCs w:val="16"/>
              </w:rPr>
            </w:pPr>
            <w:r>
              <w:rPr>
                <w:rStyle w:val="normaltextrun"/>
                <w:rFonts w:ascii="Verdana" w:hAnsi="Verdana" w:eastAsia="Arial"/>
                <w:sz w:val="16"/>
                <w:szCs w:val="16"/>
              </w:rPr>
              <w:t>Contrati</w:t>
            </w:r>
            <w:r w:rsidR="00720339">
              <w:rPr>
                <w:rStyle w:val="normaltextrun"/>
                <w:rFonts w:ascii="Verdana" w:hAnsi="Verdana" w:eastAsia="Arial"/>
                <w:sz w:val="16"/>
                <w:szCs w:val="16"/>
              </w:rPr>
              <w:t>s</w:t>
            </w:r>
            <w:r>
              <w:rPr>
                <w:rStyle w:val="normaltextrun"/>
                <w:rFonts w:ascii="Verdana" w:hAnsi="Verdana" w:eastAsia="Arial"/>
                <w:sz w:val="16"/>
                <w:szCs w:val="16"/>
              </w:rPr>
              <w:t xml:space="preserve">ta </w:t>
            </w:r>
            <w:r w:rsidRPr="00CD7324" w:rsidR="007911EE">
              <w:rPr>
                <w:rStyle w:val="normaltextrun"/>
                <w:rFonts w:ascii="Verdana" w:hAnsi="Verdana" w:eastAsia="Arial"/>
                <w:sz w:val="16"/>
                <w:szCs w:val="16"/>
              </w:rPr>
              <w:t>de la</w:t>
            </w:r>
            <w:r w:rsidRPr="007911EE" w:rsidR="0087031A">
              <w:rPr>
                <w:rStyle w:val="normaltextrun"/>
                <w:rFonts w:ascii="Verdana" w:hAnsi="Verdana" w:eastAsia="Arial" w:cs="Arial"/>
                <w:sz w:val="16"/>
                <w:szCs w:val="16"/>
              </w:rPr>
              <w:t xml:space="preserve"> Subdirección de Gestión Contractual</w:t>
            </w:r>
          </w:p>
        </w:tc>
      </w:tr>
      <w:tr w:rsidRPr="00593A5F" w:rsidR="004F18D3" w14:paraId="5BCB255D" w14:textId="77777777">
        <w:trPr>
          <w:trHeight w:val="330"/>
        </w:trPr>
        <w:tc>
          <w:tcPr>
            <w:tcW w:w="893" w:type="dxa"/>
            <w:vAlign w:val="center"/>
          </w:tcPr>
          <w:p w:rsidRPr="003751C7" w:rsidR="004F18D3" w:rsidP="004F18D3" w:rsidRDefault="004F18D3" w14:paraId="527C3AA8" w14:textId="4AF2DAE0">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EB1CF7" w:rsidR="004F18D3" w:rsidP="004F18D3" w:rsidRDefault="005467AB" w14:paraId="61C3A47B" w14:textId="122A9C0D">
            <w:pPr>
              <w:contextualSpacing/>
              <w:rPr>
                <w:rFonts w:ascii="Verdana" w:hAnsi="Verdana" w:eastAsia="Calibri" w:cs="Arial"/>
                <w:sz w:val="16"/>
                <w:szCs w:val="16"/>
                <w:lang w:val="pt-BR" w:eastAsia="es-ES"/>
              </w:rPr>
            </w:pPr>
            <w:r>
              <w:rPr>
                <w:rFonts w:ascii="Verdana" w:hAnsi="Verdana" w:eastAsia="Calibri" w:cs="Arial"/>
                <w:sz w:val="16"/>
                <w:szCs w:val="16"/>
                <w:lang w:val="pt-BR" w:eastAsia="es-ES"/>
              </w:rPr>
              <w:t>Ana Maria Tolosa</w:t>
            </w:r>
          </w:p>
          <w:p w:rsidR="004F18D3" w:rsidP="004F18D3" w:rsidRDefault="004F18D3" w14:paraId="02E30F35" w14:textId="69494424">
            <w:pPr>
              <w:spacing w:line="276" w:lineRule="auto"/>
              <w:contextualSpacing/>
              <w:jc w:val="both"/>
              <w:rPr>
                <w:rFonts w:ascii="Verdana" w:hAnsi="Verdana"/>
                <w:sz w:val="16"/>
                <w:szCs w:val="16"/>
              </w:rPr>
            </w:pPr>
            <w:r w:rsidRPr="00EB1CF7">
              <w:rPr>
                <w:rFonts w:ascii="Verdana" w:hAnsi="Verdana" w:eastAsia="Calibri" w:cs="Arial"/>
                <w:sz w:val="16"/>
                <w:szCs w:val="16"/>
                <w:lang w:eastAsia="es-ES"/>
              </w:rPr>
              <w:t>Subdirectora</w:t>
            </w:r>
            <w:r w:rsidRPr="00EB1CF7">
              <w:rPr>
                <w:rFonts w:ascii="Verdana" w:hAnsi="Verdana" w:eastAsia="Calibri" w:cs="Arial"/>
                <w:sz w:val="16"/>
                <w:szCs w:val="16"/>
                <w:lang w:val="pt-BR" w:eastAsia="es-ES"/>
              </w:rPr>
              <w:t xml:space="preserve"> de Gestión </w:t>
            </w:r>
            <w:r w:rsidRPr="00EB1CF7" w:rsidR="005467AB">
              <w:rPr>
                <w:rFonts w:ascii="Verdana" w:hAnsi="Verdana" w:eastAsia="Calibri" w:cs="Arial"/>
                <w:sz w:val="16"/>
                <w:szCs w:val="16"/>
                <w:lang w:val="pt-BR" w:eastAsia="es-ES"/>
              </w:rPr>
              <w:t>Contratual</w:t>
            </w:r>
            <w:r w:rsidR="005467AB">
              <w:rPr>
                <w:rFonts w:ascii="Verdana" w:hAnsi="Verdana" w:eastAsia="Calibri" w:cs="Arial"/>
                <w:sz w:val="16"/>
                <w:szCs w:val="16"/>
                <w:lang w:val="pt-BR" w:eastAsia="es-ES"/>
              </w:rPr>
              <w:t xml:space="preserve"> (E)</w:t>
            </w:r>
            <w:r w:rsidRPr="00EB1CF7">
              <w:rPr>
                <w:rFonts w:ascii="Verdana" w:hAnsi="Verdana" w:eastAsia="Calibri" w:cs="Arial"/>
                <w:sz w:val="16"/>
                <w:szCs w:val="16"/>
                <w:lang w:val="pt-BR" w:eastAsia="es-ES"/>
              </w:rPr>
              <w:t xml:space="preserve"> ANCP – CCE</w:t>
            </w:r>
          </w:p>
        </w:tc>
      </w:tr>
      <w:bookmarkEnd w:id="1"/>
      <w:bookmarkEnd w:id="2"/>
      <w:bookmarkEnd w:id="3"/>
    </w:tbl>
    <w:p w:rsidRPr="00EA6F8B" w:rsidR="0087031A" w:rsidP="0087031A" w:rsidRDefault="0087031A" w14:paraId="453A161B" w14:textId="77777777"/>
    <w:p w:rsidRPr="00DE435A" w:rsidR="00DE435A" w:rsidP="00DE435A" w:rsidRDefault="00DE435A" w14:paraId="56912649" w14:textId="77777777">
      <w:pPr>
        <w:rPr>
          <w:lang w:val="es-ES"/>
        </w:rPr>
      </w:pPr>
    </w:p>
    <w:sectPr w:rsidRPr="00DE435A" w:rsidR="00DE435A" w:rsidSect="007C0C0F">
      <w:headerReference w:type="default" r:id="rId13"/>
      <w:footerReference w:type="default" r:id="rId14"/>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02937" w:rsidP="004A1847" w:rsidRDefault="00902937" w14:paraId="5AABB1A0" w14:textId="77777777">
      <w:pPr>
        <w:spacing w:after="0" w:line="240" w:lineRule="auto"/>
      </w:pPr>
      <w:r>
        <w:separator/>
      </w:r>
    </w:p>
  </w:endnote>
  <w:endnote w:type="continuationSeparator" w:id="0">
    <w:p w:rsidR="00902937" w:rsidP="004A1847" w:rsidRDefault="00902937" w14:paraId="7302F70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0025796E" w:rsidRDefault="00D520D8" w14:paraId="744661F5" w14:textId="593AA28F">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sidR="00FA47C0">
      <w:rPr>
        <w:rFonts w:ascii="Century Gothic" w:hAnsi="Century Gothic" w:eastAsia="Geo" w:cs="Geo"/>
        <w:b/>
        <w:color w:val="000000"/>
        <w:sz w:val="16"/>
        <w:szCs w:val="16"/>
        <w:lang w:eastAsia="es-CO"/>
      </w:rPr>
      <w:t xml:space="preserve">Código: </w:t>
    </w:r>
    <w:r w:rsidRPr="004A305D" w:rsidR="00FA47C0">
      <w:rPr>
        <w:rFonts w:ascii="Century Gothic" w:hAnsi="Century Gothic" w:eastAsia="Geo" w:cs="Geo"/>
        <w:bCs/>
        <w:color w:val="000000"/>
        <w:sz w:val="16"/>
        <w:szCs w:val="16"/>
        <w:lang w:eastAsia="es-CO"/>
      </w:rPr>
      <w:t>CCE-</w:t>
    </w:r>
    <w:r w:rsidR="00FA47C0">
      <w:rPr>
        <w:rFonts w:ascii="Century Gothic" w:hAnsi="Century Gothic" w:eastAsia="Geo" w:cs="Geo"/>
        <w:bCs/>
        <w:color w:val="000000"/>
        <w:sz w:val="16"/>
        <w:szCs w:val="16"/>
        <w:lang w:eastAsia="es-CO"/>
      </w:rPr>
      <w:t>REC</w:t>
    </w:r>
    <w:r w:rsidRPr="004A305D" w:rsidR="00FA47C0">
      <w:rPr>
        <w:rFonts w:ascii="Century Gothic" w:hAnsi="Century Gothic" w:eastAsia="Geo" w:cs="Geo"/>
        <w:bCs/>
        <w:color w:val="000000"/>
        <w:sz w:val="16"/>
        <w:szCs w:val="16"/>
        <w:lang w:eastAsia="es-CO"/>
      </w:rPr>
      <w:t>-FM-</w:t>
    </w:r>
    <w:r w:rsidR="00FA47C0">
      <w:rPr>
        <w:rFonts w:ascii="Century Gothic" w:hAnsi="Century Gothic" w:eastAsia="Geo" w:cs="Geo"/>
        <w:bCs/>
        <w:color w:val="000000"/>
        <w:sz w:val="16"/>
        <w:szCs w:val="16"/>
        <w:lang w:eastAsia="es-CO"/>
      </w:rPr>
      <w:t>17</w:t>
    </w:r>
    <w:r w:rsidR="0025796E">
      <w:rPr>
        <w:rFonts w:ascii="Century Gothic" w:hAnsi="Century Gothic" w:eastAsia="Geo" w:cs="Geo"/>
        <w:bCs/>
        <w:color w:val="000000"/>
        <w:sz w:val="16"/>
        <w:szCs w:val="16"/>
        <w:lang w:eastAsia="es-CO"/>
      </w:rPr>
      <w:t xml:space="preserve"> </w:t>
    </w:r>
    <w:r w:rsidRPr="004A305D" w:rsidR="00FA47C0">
      <w:rPr>
        <w:rFonts w:ascii="Century Gothic" w:hAnsi="Century Gothic" w:eastAsia="Geo" w:cs="Geo"/>
        <w:b/>
        <w:color w:val="000000"/>
        <w:sz w:val="16"/>
        <w:szCs w:val="16"/>
        <w:lang w:eastAsia="es-CO"/>
      </w:rPr>
      <w:t>Versión</w:t>
    </w:r>
    <w:r w:rsidRPr="004A305D" w:rsidR="00FA47C0">
      <w:rPr>
        <w:rFonts w:ascii="Century Gothic" w:hAnsi="Century Gothic" w:eastAsia="Arial Nova" w:cs="Arial Nova"/>
        <w:b/>
        <w:color w:val="000000"/>
        <w:sz w:val="16"/>
        <w:szCs w:val="16"/>
        <w:lang w:eastAsia="es-CO"/>
      </w:rPr>
      <w:t xml:space="preserve">: </w:t>
    </w:r>
    <w:r w:rsidRPr="004A305D" w:rsidR="00FA47C0">
      <w:rPr>
        <w:rFonts w:ascii="Century Gothic" w:hAnsi="Century Gothic" w:eastAsia="Geo" w:cs="Geo"/>
        <w:sz w:val="16"/>
        <w:szCs w:val="16"/>
        <w:lang w:eastAsia="es-CO"/>
      </w:rPr>
      <w:t>0</w:t>
    </w:r>
    <w:r w:rsidR="00FA47C0">
      <w:rPr>
        <w:rFonts w:ascii="Century Gothic" w:hAnsi="Century Gothic" w:eastAsia="Geo" w:cs="Geo"/>
        <w:sz w:val="16"/>
        <w:szCs w:val="16"/>
        <w:lang w:eastAsia="es-CO"/>
      </w:rPr>
      <w:t>2</w:t>
    </w:r>
    <w:r w:rsidRPr="004A305D" w:rsidR="00FA47C0">
      <w:rPr>
        <w:rFonts w:ascii="Century Gothic" w:hAnsi="Century Gothic" w:eastAsia="Geo" w:cs="Geo"/>
        <w:sz w:val="16"/>
        <w:szCs w:val="16"/>
        <w:lang w:eastAsia="es-CO"/>
      </w:rPr>
      <w:t xml:space="preserve"> </w:t>
    </w:r>
    <w:r w:rsidR="0025796E">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02937" w:rsidP="004A1847" w:rsidRDefault="00902937" w14:paraId="69A2A4F6" w14:textId="77777777">
      <w:pPr>
        <w:spacing w:after="0" w:line="240" w:lineRule="auto"/>
      </w:pPr>
      <w:r>
        <w:separator/>
      </w:r>
    </w:p>
  </w:footnote>
  <w:footnote w:type="continuationSeparator" w:id="0">
    <w:p w:rsidR="00902937" w:rsidP="004A1847" w:rsidRDefault="00902937" w14:paraId="42BAE0E0" w14:textId="77777777">
      <w:pPr>
        <w:spacing w:after="0" w:line="240" w:lineRule="auto"/>
      </w:pPr>
      <w:r>
        <w:continuationSeparator/>
      </w:r>
    </w:p>
  </w:footnote>
  <w:footnote w:id="1">
    <w:p w:rsidRPr="006515D6" w:rsidR="00112483" w:rsidP="00112483" w:rsidRDefault="00112483" w14:paraId="150D3BFD" w14:textId="77777777">
      <w:pPr>
        <w:pStyle w:val="Textonotapie"/>
        <w:ind w:firstLine="709"/>
        <w:jc w:val="both"/>
        <w:rPr>
          <w:rFonts w:ascii="Verdana" w:hAnsi="Verdana" w:cs="Arial"/>
          <w:sz w:val="16"/>
          <w:szCs w:val="16"/>
          <w:lang w:val="es-CO"/>
        </w:rPr>
      </w:pPr>
      <w:r w:rsidRPr="006515D6">
        <w:rPr>
          <w:rStyle w:val="Refdenotaalpie"/>
          <w:rFonts w:ascii="Verdana" w:hAnsi="Verdana"/>
          <w:sz w:val="12"/>
          <w:szCs w:val="12"/>
        </w:rPr>
        <w:footnoteRef/>
      </w:r>
      <w:r w:rsidRPr="006515D6">
        <w:rPr>
          <w:rFonts w:ascii="Verdana" w:hAnsi="Verdana"/>
          <w:sz w:val="12"/>
          <w:szCs w:val="12"/>
        </w:rPr>
        <w:t xml:space="preserve"> </w:t>
      </w:r>
      <w:r w:rsidRPr="006515D6">
        <w:rPr>
          <w:rFonts w:ascii="Verdana" w:hAnsi="Verdana" w:cs="Arial"/>
          <w:sz w:val="16"/>
          <w:szCs w:val="16"/>
        </w:rPr>
        <w:t>Para la Corte Constitucional, el principio de publicidad es la garantía que tienen las personas de conocer las actuaciones judiciales y administrativas y con base en ese conocimiento tener la posibilidad de exigir que se surtan conforme a la ley: «El principio de publicidad se encuentra consagrado en el artículo 209 de la Constitución Política, que señala que la función administrativa está al servicio de los intereses generales y se desarrolla con fundamento entre otros, en el «principio de publicidad», el cual se evidencia en dos dimensiones. 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autoridades y, a través de ese conocimiento, a exigir que ellas se surtan conforme a la ley». Corte Constitucional. Sentencia C- 341 del 4 de junio de 2014. M. P. Mauricio González Cuervo.</w:t>
      </w:r>
    </w:p>
    <w:p w:rsidRPr="006515D6" w:rsidR="00112483" w:rsidP="00112483" w:rsidRDefault="00112483" w14:paraId="37C31FDE" w14:textId="77777777">
      <w:pPr>
        <w:pStyle w:val="Textonotapie"/>
        <w:rPr>
          <w:rFonts w:ascii="Verdana" w:hAnsi="Verdana"/>
          <w:sz w:val="16"/>
          <w:szCs w:val="16"/>
          <w:lang w:val="es-CO"/>
        </w:rPr>
      </w:pPr>
    </w:p>
  </w:footnote>
  <w:footnote w:id="2">
    <w:p w:rsidRPr="006515D6" w:rsidR="00112483" w:rsidP="00112483" w:rsidRDefault="00112483" w14:paraId="53AA6203" w14:textId="77777777">
      <w:pPr>
        <w:pStyle w:val="Textonotapie"/>
        <w:ind w:firstLine="709"/>
        <w:jc w:val="both"/>
        <w:rPr>
          <w:rFonts w:ascii="Verdana" w:hAnsi="Verdana"/>
          <w:sz w:val="16"/>
          <w:szCs w:val="16"/>
        </w:rPr>
      </w:pPr>
      <w:r w:rsidRPr="006515D6">
        <w:rPr>
          <w:rStyle w:val="Refdenotaalpie"/>
          <w:rFonts w:ascii="Verdana" w:hAnsi="Verdana"/>
          <w:sz w:val="16"/>
          <w:szCs w:val="16"/>
        </w:rPr>
        <w:footnoteRef/>
      </w:r>
      <w:r w:rsidRPr="006515D6">
        <w:rPr>
          <w:rFonts w:ascii="Verdana" w:hAnsi="Verdana"/>
          <w:sz w:val="16"/>
          <w:szCs w:val="16"/>
        </w:rPr>
        <w:t xml:space="preserve"> Por medio de la cual se crea la Ley de Transparencia y del Derecho de Acceso a la Información Pública Nacional y se dictan otras disposiciones.</w:t>
      </w:r>
    </w:p>
    <w:p w:rsidRPr="006515D6" w:rsidR="00112483" w:rsidP="00112483" w:rsidRDefault="00112483" w14:paraId="4A7EE92D" w14:textId="77777777">
      <w:pPr>
        <w:pStyle w:val="Textonotapie"/>
        <w:ind w:firstLine="709"/>
        <w:jc w:val="both"/>
        <w:rPr>
          <w:rFonts w:ascii="Verdana" w:hAnsi="Verdana"/>
          <w:sz w:val="16"/>
          <w:szCs w:val="16"/>
          <w:lang w:val="es-ES"/>
        </w:rPr>
      </w:pPr>
    </w:p>
  </w:footnote>
  <w:footnote w:id="3">
    <w:p w:rsidRPr="006515D6" w:rsidR="00112483" w:rsidP="00112483" w:rsidRDefault="00112483" w14:paraId="01C44642" w14:textId="77777777">
      <w:pPr>
        <w:pStyle w:val="Textonotapie"/>
        <w:ind w:firstLine="709"/>
        <w:jc w:val="both"/>
        <w:rPr>
          <w:rFonts w:ascii="Verdana" w:hAnsi="Verdana" w:cs="Arial"/>
          <w:color w:val="000000" w:themeColor="text1"/>
          <w:sz w:val="16"/>
          <w:szCs w:val="16"/>
        </w:rPr>
      </w:pPr>
      <w:r w:rsidRPr="006515D6">
        <w:rPr>
          <w:rStyle w:val="Refdenotaalpie"/>
          <w:rFonts w:ascii="Verdana" w:hAnsi="Verdana"/>
          <w:sz w:val="16"/>
          <w:szCs w:val="16"/>
        </w:rPr>
        <w:footnoteRef/>
      </w:r>
      <w:r w:rsidRPr="006515D6">
        <w:rPr>
          <w:rFonts w:ascii="Verdana" w:hAnsi="Verdana"/>
          <w:sz w:val="16"/>
          <w:szCs w:val="16"/>
        </w:rPr>
        <w:t xml:space="preserve"> </w:t>
      </w:r>
      <w:r w:rsidRPr="006515D6">
        <w:rPr>
          <w:rFonts w:ascii="Verdana" w:hAnsi="Verdana" w:cs="Arial"/>
          <w:color w:val="000000" w:themeColor="text1"/>
          <w:sz w:val="16"/>
          <w:szCs w:val="16"/>
        </w:rPr>
        <w:t>Ley 1712 de 2014: Artículo 2. Toda información en posesión, bajo control o custodia de un sujeto obligado es pública y no podrá ser reservada o limitada sino por disposición constitucional o legal, de conformidad con la presente ley”.</w:t>
      </w:r>
    </w:p>
    <w:p w:rsidRPr="006515D6" w:rsidR="00112483" w:rsidP="00112483" w:rsidRDefault="00112483" w14:paraId="61C7FC76" w14:textId="77777777">
      <w:pPr>
        <w:pStyle w:val="Textonotapie"/>
        <w:ind w:firstLine="709"/>
        <w:rPr>
          <w:rFonts w:ascii="Verdana" w:hAnsi="Verdana"/>
          <w:sz w:val="16"/>
          <w:szCs w:val="16"/>
        </w:rPr>
      </w:pPr>
    </w:p>
  </w:footnote>
  <w:footnote w:id="4">
    <w:p w:rsidRPr="006515D6" w:rsidR="00112483" w:rsidP="00112483" w:rsidRDefault="00112483" w14:paraId="502D1455" w14:textId="77777777">
      <w:pPr>
        <w:pStyle w:val="Textonotapie"/>
        <w:contextualSpacing/>
        <w:jc w:val="both"/>
        <w:rPr>
          <w:rFonts w:ascii="Verdana" w:hAnsi="Verdana" w:cs="Arial"/>
          <w:sz w:val="16"/>
          <w:szCs w:val="16"/>
        </w:rPr>
      </w:pPr>
    </w:p>
    <w:p w:rsidRPr="006515D6" w:rsidR="00112483" w:rsidP="00112483" w:rsidRDefault="00112483" w14:paraId="6C71ED13" w14:textId="77777777">
      <w:pPr>
        <w:pStyle w:val="Textonotapie"/>
        <w:ind w:firstLine="707"/>
        <w:contextualSpacing/>
        <w:jc w:val="both"/>
        <w:rPr>
          <w:rFonts w:ascii="Verdana" w:hAnsi="Verdana" w:cs="Arial"/>
          <w:sz w:val="16"/>
          <w:szCs w:val="16"/>
          <w:lang w:val="es-CO"/>
        </w:rPr>
      </w:pPr>
      <w:r w:rsidRPr="006515D6">
        <w:rPr>
          <w:rStyle w:val="Refdenotaalpie"/>
          <w:rFonts w:ascii="Verdana" w:hAnsi="Verdana" w:cs="Arial"/>
          <w:sz w:val="16"/>
          <w:szCs w:val="16"/>
        </w:rPr>
        <w:footnoteRef/>
      </w:r>
      <w:r w:rsidRPr="006515D6">
        <w:rPr>
          <w:rFonts w:ascii="Verdana" w:hAnsi="Verdana" w:cs="Arial"/>
          <w:sz w:val="16"/>
          <w:szCs w:val="16"/>
          <w:vertAlign w:val="superscript"/>
        </w:rPr>
        <w:t xml:space="preserve"> </w:t>
      </w:r>
      <w:r w:rsidRPr="006515D6">
        <w:rPr>
          <w:rFonts w:ascii="Verdana" w:hAnsi="Verdana" w:cs="Arial"/>
          <w:sz w:val="16"/>
          <w:szCs w:val="16"/>
        </w:rPr>
        <w:t xml:space="preserve">Ley 1712 de 2014: “Artículo 3. </w:t>
      </w:r>
      <w:bookmarkStart w:name="3" w:id="6"/>
      <w:r w:rsidRPr="006515D6">
        <w:rPr>
          <w:rFonts w:ascii="Verdana" w:hAnsi="Verdana" w:cs="Arial"/>
          <w:sz w:val="16"/>
          <w:szCs w:val="16"/>
          <w:lang w:val="es-CO"/>
        </w:rPr>
        <w:t>Otros principios de la transparencia y acceso a la información pública.</w:t>
      </w:r>
      <w:bookmarkEnd w:id="6"/>
      <w:r w:rsidRPr="006515D6">
        <w:rPr>
          <w:rFonts w:ascii="Verdana" w:hAnsi="Verdana" w:cs="Arial"/>
          <w:sz w:val="16"/>
          <w:szCs w:val="16"/>
          <w:lang w:val="es-CO"/>
        </w:rPr>
        <w:t> </w:t>
      </w:r>
    </w:p>
    <w:p w:rsidRPr="00F0611A" w:rsidR="00112483" w:rsidP="00112483" w:rsidRDefault="00112483" w14:paraId="69A0D6D4" w14:textId="77777777">
      <w:pPr>
        <w:pStyle w:val="Textonotapie"/>
        <w:ind w:firstLine="707"/>
        <w:contextualSpacing/>
        <w:jc w:val="both"/>
        <w:rPr>
          <w:rFonts w:ascii="Verdana" w:hAnsi="Verdana" w:cs="Arial"/>
          <w:sz w:val="16"/>
          <w:szCs w:val="16"/>
          <w:lang w:val="es-CO"/>
        </w:rPr>
      </w:pPr>
      <w:r w:rsidRPr="006515D6">
        <w:rPr>
          <w:rFonts w:ascii="Verdana" w:hAnsi="Verdana" w:cs="Arial"/>
          <w:sz w:val="16"/>
          <w:szCs w:val="16"/>
          <w:lang w:val="es-CO"/>
        </w:rPr>
        <w:t>[…]</w:t>
      </w:r>
      <w:r>
        <w:rPr>
          <w:rFonts w:ascii="Verdana" w:hAnsi="Verdana" w:cs="Arial"/>
          <w:sz w:val="16"/>
          <w:szCs w:val="16"/>
          <w:lang w:val="es-CO"/>
        </w:rPr>
        <w:t xml:space="preserve"> </w:t>
      </w:r>
      <w:r w:rsidRPr="006515D6">
        <w:rPr>
          <w:rStyle w:val="baj"/>
          <w:rFonts w:ascii="Verdana" w:hAnsi="Verdana" w:cs="Arial"/>
          <w:sz w:val="16"/>
          <w:szCs w:val="16"/>
        </w:rPr>
        <w:t>Principio de transparencia</w:t>
      </w:r>
      <w:r w:rsidRPr="006515D6">
        <w:rPr>
          <w:rFonts w:ascii="Verdana" w:hAnsi="Verdana" w:cs="Arial"/>
          <w:sz w:val="16"/>
          <w:szCs w:val="16"/>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rsidRPr="006515D6" w:rsidR="00112483" w:rsidP="00112483" w:rsidRDefault="00112483" w14:paraId="5A5E76A1" w14:textId="77777777">
      <w:pPr>
        <w:pStyle w:val="Textonotapie"/>
        <w:contextualSpacing/>
        <w:jc w:val="both"/>
        <w:rPr>
          <w:rFonts w:ascii="Verdana" w:hAnsi="Verdana" w:cs="Arial"/>
          <w:sz w:val="16"/>
          <w:szCs w:val="16"/>
          <w:lang w:val="es-CO"/>
        </w:rPr>
      </w:pPr>
    </w:p>
  </w:footnote>
  <w:footnote w:id="5">
    <w:p w:rsidRPr="006515D6" w:rsidR="00112483" w:rsidP="00112483" w:rsidRDefault="00112483" w14:paraId="74F9E2BD" w14:textId="77777777">
      <w:pPr>
        <w:pStyle w:val="Textonotapie"/>
        <w:ind w:firstLine="707"/>
        <w:contextualSpacing/>
        <w:jc w:val="both"/>
        <w:rPr>
          <w:rFonts w:ascii="Verdana" w:hAnsi="Verdana" w:cs="Arial"/>
          <w:sz w:val="16"/>
          <w:szCs w:val="16"/>
          <w:lang w:val="es-CO"/>
        </w:rPr>
      </w:pPr>
      <w:r w:rsidRPr="006515D6">
        <w:rPr>
          <w:rStyle w:val="Refdenotaalpie"/>
          <w:rFonts w:ascii="Verdana" w:hAnsi="Verdana" w:cs="Arial"/>
          <w:sz w:val="16"/>
          <w:szCs w:val="16"/>
        </w:rPr>
        <w:footnoteRef/>
      </w:r>
      <w:r w:rsidRPr="006515D6">
        <w:rPr>
          <w:rFonts w:ascii="Verdana" w:hAnsi="Verdana" w:cs="Arial"/>
          <w:sz w:val="16"/>
          <w:szCs w:val="16"/>
          <w:vertAlign w:val="superscript"/>
        </w:rPr>
        <w:t xml:space="preserve"> </w:t>
      </w:r>
      <w:r w:rsidRPr="006515D6">
        <w:rPr>
          <w:rFonts w:ascii="Verdana" w:hAnsi="Verdana" w:cs="Arial"/>
          <w:sz w:val="16"/>
          <w:szCs w:val="16"/>
        </w:rPr>
        <w:t xml:space="preserve">Ley 1712 de 2014: “Artículo 3. </w:t>
      </w:r>
      <w:r w:rsidRPr="006515D6">
        <w:rPr>
          <w:rFonts w:ascii="Verdana" w:hAnsi="Verdana" w:cs="Arial"/>
          <w:sz w:val="16"/>
          <w:szCs w:val="16"/>
          <w:lang w:val="es-CO"/>
        </w:rPr>
        <w:t>Otros principios de la transparencia y acceso a la información pública. </w:t>
      </w:r>
    </w:p>
    <w:p w:rsidRPr="006515D6" w:rsidR="00112483" w:rsidP="00112483" w:rsidRDefault="00112483" w14:paraId="317C6E36" w14:textId="77777777">
      <w:pPr>
        <w:pStyle w:val="Textonotapie"/>
        <w:ind w:firstLine="707"/>
        <w:contextualSpacing/>
        <w:jc w:val="both"/>
        <w:rPr>
          <w:rFonts w:ascii="Verdana" w:hAnsi="Verdana" w:cs="Arial"/>
          <w:sz w:val="16"/>
          <w:szCs w:val="16"/>
          <w:lang w:val="es-ES"/>
        </w:rPr>
      </w:pPr>
      <w:r w:rsidRPr="006515D6">
        <w:rPr>
          <w:rFonts w:ascii="Verdana" w:hAnsi="Verdana" w:cs="Arial"/>
          <w:sz w:val="16"/>
          <w:szCs w:val="16"/>
          <w:lang w:val="es-ES"/>
        </w:rPr>
        <w:t>[…]</w:t>
      </w:r>
      <w:r>
        <w:rPr>
          <w:rFonts w:ascii="Verdana" w:hAnsi="Verdana" w:cs="Arial"/>
          <w:sz w:val="16"/>
          <w:szCs w:val="16"/>
          <w:lang w:val="es-ES"/>
        </w:rPr>
        <w:t xml:space="preserve"> </w:t>
      </w:r>
      <w:r w:rsidRPr="006515D6">
        <w:rPr>
          <w:rStyle w:val="baj"/>
          <w:rFonts w:ascii="Verdana" w:hAnsi="Verdana" w:cs="Arial"/>
          <w:sz w:val="16"/>
          <w:szCs w:val="16"/>
        </w:rPr>
        <w:t>Principio de buena fe</w:t>
      </w:r>
      <w:r w:rsidRPr="006515D6">
        <w:rPr>
          <w:rFonts w:ascii="Verdana" w:hAnsi="Verdana" w:cs="Arial"/>
          <w:sz w:val="16"/>
          <w:szCs w:val="16"/>
        </w:rPr>
        <w:t>. En virtud del cual todo sujeto obligado, al cumplir con las obligaciones derivadas del derecho de acceso a la información pública, lo hará con motivación honesta, leal y desprovista de cualquier intención dolosa o culposa”.</w:t>
      </w:r>
    </w:p>
  </w:footnote>
  <w:footnote w:id="6">
    <w:p w:rsidRPr="006515D6" w:rsidR="00112483" w:rsidP="00112483" w:rsidRDefault="00112483" w14:paraId="0D9CE9B5" w14:textId="77777777">
      <w:pPr>
        <w:pStyle w:val="Textonotapie"/>
        <w:ind w:firstLine="707"/>
        <w:contextualSpacing/>
        <w:jc w:val="both"/>
        <w:rPr>
          <w:rFonts w:ascii="Verdana" w:hAnsi="Verdana" w:cs="Arial"/>
          <w:sz w:val="16"/>
          <w:szCs w:val="16"/>
        </w:rPr>
      </w:pPr>
    </w:p>
    <w:p w:rsidRPr="00522572" w:rsidR="00112483" w:rsidP="00112483" w:rsidRDefault="00112483" w14:paraId="57BE814B" w14:textId="77777777">
      <w:pPr>
        <w:pStyle w:val="Textonotapie"/>
        <w:ind w:firstLine="707"/>
        <w:contextualSpacing/>
        <w:jc w:val="both"/>
        <w:rPr>
          <w:rFonts w:ascii="Verdana" w:hAnsi="Verdana" w:cs="Arial"/>
          <w:sz w:val="16"/>
          <w:szCs w:val="16"/>
          <w:shd w:val="clear" w:color="auto" w:fill="FFFFFF"/>
        </w:rPr>
      </w:pPr>
      <w:r w:rsidRPr="006515D6">
        <w:rPr>
          <w:rStyle w:val="Refdenotaalpie"/>
          <w:rFonts w:ascii="Verdana" w:hAnsi="Verdana" w:cs="Arial"/>
          <w:sz w:val="16"/>
          <w:szCs w:val="16"/>
        </w:rPr>
        <w:footnoteRef/>
      </w:r>
      <w:r w:rsidRPr="006515D6">
        <w:rPr>
          <w:rFonts w:ascii="Verdana" w:hAnsi="Verdana" w:cs="Arial"/>
          <w:sz w:val="16"/>
          <w:szCs w:val="16"/>
        </w:rPr>
        <w:t xml:space="preserve"> Ley 1712 de 2014: “Artículo 9. </w:t>
      </w:r>
      <w:r w:rsidRPr="006515D6">
        <w:rPr>
          <w:rFonts w:ascii="Verdana" w:hAnsi="Verdana" w:cs="Arial"/>
          <w:sz w:val="16"/>
          <w:szCs w:val="16"/>
          <w:shd w:val="clear" w:color="auto" w:fill="FFFFFF"/>
        </w:rPr>
        <w:t> </w:t>
      </w:r>
      <w:r w:rsidRPr="006515D6">
        <w:rPr>
          <w:rStyle w:val="nfasis"/>
          <w:rFonts w:ascii="Verdana" w:hAnsi="Verdana" w:cs="Arial"/>
          <w:sz w:val="16"/>
          <w:szCs w:val="16"/>
          <w:shd w:val="clear" w:color="auto" w:fill="FFFFFF"/>
        </w:rPr>
        <w:t>Información mínima obligatoria respecto a la estructura del sujeto obligado. </w:t>
      </w:r>
      <w:r w:rsidRPr="006515D6">
        <w:rPr>
          <w:rFonts w:ascii="Verdana" w:hAnsi="Verdana" w:cs="Arial"/>
          <w:sz w:val="16"/>
          <w:szCs w:val="16"/>
          <w:shd w:val="clear" w:color="auto" w:fill="FFFFFF"/>
        </w:rPr>
        <w:t>Todo sujeto obligado deberá publicar la siguiente información mínima obligatoria de manera proactiva en los sistemas de información del Estado o herramientas que lo sustituyan</w:t>
      </w:r>
      <w:r>
        <w:rPr>
          <w:rFonts w:ascii="Verdana" w:hAnsi="Verdana" w:cs="Arial"/>
          <w:sz w:val="16"/>
          <w:szCs w:val="16"/>
          <w:shd w:val="clear" w:color="auto" w:fill="FFFFFF"/>
        </w:rPr>
        <w:t xml:space="preserve"> </w:t>
      </w:r>
      <w:r w:rsidRPr="006515D6">
        <w:rPr>
          <w:rFonts w:ascii="Verdana" w:hAnsi="Verdana" w:cs="Arial"/>
          <w:sz w:val="16"/>
          <w:szCs w:val="16"/>
          <w:shd w:val="clear" w:color="auto" w:fill="FFFFFF"/>
        </w:rPr>
        <w:t>[…]</w:t>
      </w:r>
      <w:r>
        <w:rPr>
          <w:rFonts w:ascii="Verdana" w:hAnsi="Verdana" w:cs="Arial"/>
          <w:sz w:val="16"/>
          <w:szCs w:val="16"/>
          <w:shd w:val="clear" w:color="auto" w:fill="FFFFFF"/>
        </w:rPr>
        <w:t xml:space="preserve"> </w:t>
      </w:r>
      <w:r w:rsidRPr="006515D6">
        <w:rPr>
          <w:rFonts w:ascii="Verdana" w:hAnsi="Verdana" w:cs="Arial"/>
          <w:sz w:val="16"/>
          <w:szCs w:val="16"/>
          <w:shd w:val="clear" w:color="auto" w:fill="FFFFFF"/>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6515D6">
        <w:rPr>
          <w:rFonts w:ascii="Verdana" w:hAnsi="Verdana" w:cs="Arial"/>
          <w:sz w:val="16"/>
          <w:szCs w:val="16"/>
        </w:rPr>
        <w:t xml:space="preserve"> </w:t>
      </w:r>
      <w:r w:rsidRPr="006515D6">
        <w:rPr>
          <w:rFonts w:ascii="Verdana" w:hAnsi="Verdana" w:cs="Arial"/>
          <w:sz w:val="16"/>
          <w:szCs w:val="16"/>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6515D6">
        <w:rPr>
          <w:rFonts w:ascii="Verdana" w:hAnsi="Verdana" w:cs="Arial"/>
          <w:sz w:val="16"/>
          <w:szCs w:val="16"/>
        </w:rPr>
        <w:t>”.</w:t>
      </w:r>
    </w:p>
  </w:footnote>
  <w:footnote w:id="7">
    <w:p w:rsidRPr="006515D6" w:rsidR="00112483" w:rsidP="00112483" w:rsidRDefault="00112483" w14:paraId="42731175" w14:textId="77777777">
      <w:pPr>
        <w:spacing w:after="0" w:line="240" w:lineRule="auto"/>
        <w:ind w:firstLine="707"/>
        <w:contextualSpacing/>
        <w:jc w:val="both"/>
        <w:rPr>
          <w:rFonts w:ascii="Verdana" w:hAnsi="Verdana" w:cs="Arial"/>
          <w:sz w:val="16"/>
          <w:szCs w:val="16"/>
        </w:rPr>
      </w:pPr>
    </w:p>
    <w:p w:rsidRPr="006515D6" w:rsidR="00112483" w:rsidP="00112483" w:rsidRDefault="00112483" w14:paraId="53718EF8" w14:textId="77777777">
      <w:pPr>
        <w:spacing w:after="0" w:line="240" w:lineRule="auto"/>
        <w:ind w:firstLine="707"/>
        <w:contextualSpacing/>
        <w:jc w:val="both"/>
        <w:rPr>
          <w:rFonts w:ascii="Verdana" w:hAnsi="Verdana" w:cs="Arial"/>
          <w:sz w:val="16"/>
          <w:szCs w:val="16"/>
        </w:rPr>
      </w:pPr>
      <w:r w:rsidRPr="006515D6">
        <w:rPr>
          <w:rStyle w:val="Refdenotaalpie"/>
          <w:rFonts w:ascii="Verdana" w:hAnsi="Verdana" w:cs="Arial"/>
          <w:sz w:val="16"/>
          <w:szCs w:val="16"/>
        </w:rPr>
        <w:footnoteRef/>
      </w:r>
      <w:r w:rsidRPr="006515D6">
        <w:rPr>
          <w:rFonts w:ascii="Verdana" w:hAnsi="Verdana" w:cs="Arial"/>
          <w:sz w:val="16"/>
          <w:szCs w:val="16"/>
        </w:rPr>
        <w:t xml:space="preserve"> Ley 1712 de 2014: “Artículo 5. Ámbito de aplicación. Las disposiciones de esta ley serán aplicables a las siguientes personas en calidad de sujetos obligados:</w:t>
      </w:r>
      <w:r>
        <w:rPr>
          <w:rFonts w:ascii="Verdana" w:hAnsi="Verdana" w:cs="Arial"/>
          <w:sz w:val="16"/>
          <w:szCs w:val="16"/>
        </w:rPr>
        <w:t xml:space="preserve"> </w:t>
      </w:r>
      <w:r w:rsidRPr="006515D6">
        <w:rPr>
          <w:rFonts w:ascii="Verdana" w:hAnsi="Verdana" w:cs="Arial"/>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rsidRPr="006515D6" w:rsidR="00112483" w:rsidP="00112483" w:rsidRDefault="00112483" w14:paraId="4686954A" w14:textId="77777777">
      <w:pPr>
        <w:pStyle w:val="Textonotapie"/>
        <w:contextualSpacing/>
        <w:jc w:val="both"/>
        <w:rPr>
          <w:rFonts w:ascii="Verdana" w:hAnsi="Verdana" w:cs="Arial"/>
          <w:sz w:val="16"/>
          <w:szCs w:val="16"/>
        </w:rPr>
      </w:pPr>
    </w:p>
  </w:footnote>
  <w:footnote w:id="8">
    <w:p w:rsidRPr="006515D6" w:rsidR="00112483" w:rsidP="00112483" w:rsidRDefault="00112483" w14:paraId="3419FF84" w14:textId="77777777">
      <w:pPr>
        <w:pStyle w:val="Textonotapie"/>
        <w:ind w:firstLine="709"/>
        <w:jc w:val="both"/>
        <w:rPr>
          <w:rFonts w:ascii="Verdana" w:hAnsi="Verdana"/>
          <w:sz w:val="16"/>
          <w:szCs w:val="16"/>
          <w:lang w:val="es-ES"/>
        </w:rPr>
      </w:pPr>
      <w:r w:rsidRPr="006515D6">
        <w:rPr>
          <w:rStyle w:val="Refdenotaalpie"/>
          <w:rFonts w:ascii="Verdana" w:hAnsi="Verdana"/>
          <w:sz w:val="16"/>
          <w:szCs w:val="16"/>
        </w:rPr>
        <w:footnoteRef/>
      </w:r>
      <w:r w:rsidRPr="006515D6">
        <w:rPr>
          <w:rFonts w:ascii="Verdana" w:hAnsi="Verdana"/>
          <w:sz w:val="16"/>
          <w:szCs w:val="16"/>
        </w:rPr>
        <w:t xml:space="preserve"> </w:t>
      </w:r>
      <w:r w:rsidRPr="006515D6">
        <w:rPr>
          <w:rFonts w:ascii="Verdana" w:hAnsi="Verdana"/>
          <w:sz w:val="16"/>
          <w:szCs w:val="16"/>
          <w:lang w:val="es-ES"/>
        </w:rPr>
        <w:t xml:space="preserve">Actualizada por la Circular Externa Única del 27 de diciembre de 2023. En </w:t>
      </w:r>
      <w:hyperlink w:history="1" r:id="rId1">
        <w:r w:rsidRPr="0054318D">
          <w:rPr>
            <w:rStyle w:val="Hipervnculo"/>
            <w:rFonts w:ascii="Verdana" w:hAnsi="Verdana" w:cs="Arial"/>
            <w:sz w:val="16"/>
            <w:szCs w:val="16"/>
          </w:rPr>
          <w:t>https://www.colombiacompra.gov.co/normativa-y-relatoria/circular-unica-externa</w:t>
        </w:r>
      </w:hyperlink>
    </w:p>
    <w:p w:rsidRPr="006515D6" w:rsidR="00112483" w:rsidP="00112483" w:rsidRDefault="00112483" w14:paraId="646C374E" w14:textId="77777777">
      <w:pPr>
        <w:pStyle w:val="Textonotapie"/>
        <w:ind w:firstLine="709"/>
        <w:jc w:val="both"/>
        <w:rPr>
          <w:rFonts w:ascii="Verdana" w:hAnsi="Verdana"/>
          <w:sz w:val="16"/>
          <w:szCs w:val="16"/>
          <w:lang w:val="es-ES"/>
        </w:rPr>
      </w:pPr>
    </w:p>
  </w:footnote>
  <w:footnote w:id="9">
    <w:p w:rsidRPr="006515D6" w:rsidR="00112483" w:rsidP="00112483" w:rsidRDefault="00112483" w14:paraId="269288B3" w14:textId="77777777">
      <w:pPr>
        <w:pStyle w:val="Textonotapie"/>
        <w:ind w:firstLine="709"/>
        <w:jc w:val="both"/>
        <w:rPr>
          <w:rFonts w:ascii="Verdana" w:hAnsi="Verdana" w:cs="Arial"/>
          <w:color w:val="000000" w:themeColor="text1"/>
          <w:sz w:val="16"/>
          <w:szCs w:val="16"/>
          <w:lang w:val="es-CO"/>
        </w:rPr>
      </w:pPr>
      <w:r w:rsidRPr="006515D6">
        <w:rPr>
          <w:rStyle w:val="Refdenotaalpie"/>
          <w:rFonts w:ascii="Verdana" w:hAnsi="Verdana" w:cs="Arial"/>
          <w:color w:val="000000" w:themeColor="text1"/>
          <w:sz w:val="16"/>
          <w:szCs w:val="16"/>
        </w:rPr>
        <w:footnoteRef/>
      </w:r>
      <w:r w:rsidRPr="006515D6">
        <w:rPr>
          <w:rFonts w:ascii="Verdana" w:hAnsi="Verdana" w:cs="Arial"/>
          <w:color w:val="000000" w:themeColor="text1"/>
          <w:sz w:val="16"/>
          <w:szCs w:val="16"/>
        </w:rPr>
        <w:t xml:space="preserve"> “Numeral 1.1 […] Las Entidades que contratan con cargo a recursos públicos están obligadas a publicar oportunamente su actividad contractual en el SECOP, sin que sea relevante para la exigencia de esta obligación su régimen jurídico, naturaleza de público o privado o la pertenencia a una u otra rama del poder público.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RDefault="009D3058" w14:paraId="435F4D03" w14:textId="0903BF04">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FC3B35F" wp14:editId="770E7ECD">
          <wp:simplePos x="0" y="0"/>
          <wp:positionH relativeFrom="margin">
            <wp:align>center</wp:align>
          </wp:positionH>
          <wp:positionV relativeFrom="paragraph">
            <wp:posOffset>-138611</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002B5862" w:rsidRDefault="002B5862" w14:paraId="6543F162" w14:textId="77777777">
    <w:pPr>
      <w:pStyle w:val="Encabezado"/>
    </w:pPr>
  </w:p>
  <w:p w:rsidR="002B5862" w:rsidRDefault="002B5862" w14:paraId="4711D484" w14:textId="77777777">
    <w:pPr>
      <w:pStyle w:val="Encabezado"/>
    </w:pPr>
  </w:p>
  <w:p w:rsidR="002B5862" w:rsidRDefault="002B5862" w14:paraId="3D79C711" w14:textId="777777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65" style="width:11.25pt;height:11.2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BD2B42"/>
    <w:multiLevelType w:val="hybridMultilevel"/>
    <w:tmpl w:val="8C3A30C6"/>
    <w:lvl w:ilvl="0" w:tplc="A70E43FA">
      <w:start w:val="8"/>
      <w:numFmt w:val="lowerLetter"/>
      <w:lvlText w:val="%1)"/>
      <w:lvlJc w:val="left"/>
      <w:pPr>
        <w:ind w:left="261" w:hanging="173"/>
      </w:pPr>
      <w:rPr>
        <w:rFonts w:hint="default" w:ascii="Verdana" w:hAnsi="Verdana" w:eastAsia="Verdana" w:cs="Verdana"/>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hint="default" w:ascii="Verdana" w:hAnsi="Verdana" w:eastAsia="Verdana" w:cs="Verdana"/>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1" w15:restartNumberingAfterBreak="0">
    <w:nsid w:val="3DA8180E"/>
    <w:multiLevelType w:val="hybridMultilevel"/>
    <w:tmpl w:val="F10E498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12" w15:restartNumberingAfterBreak="0">
    <w:nsid w:val="418679D0"/>
    <w:multiLevelType w:val="hybridMultilevel"/>
    <w:tmpl w:val="F2F430A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13" w15:restartNumberingAfterBreak="0">
    <w:nsid w:val="494936A6"/>
    <w:multiLevelType w:val="hybridMultilevel"/>
    <w:tmpl w:val="D730E3DE"/>
    <w:lvl w:ilvl="0" w:tplc="416AD218">
      <w:start w:val="1"/>
      <w:numFmt w:val="decimal"/>
      <w:lvlText w:val="%1."/>
      <w:lvlJc w:val="left"/>
      <w:pPr>
        <w:ind w:left="970" w:hanging="201"/>
      </w:pPr>
      <w:rPr>
        <w:rFonts w:hint="default" w:ascii="Verdana" w:hAnsi="Verdana" w:eastAsia="Verdana" w:cs="Verdana"/>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4" w15:restartNumberingAfterBreak="0">
    <w:nsid w:val="5CDB15FB"/>
    <w:multiLevelType w:val="hybridMultilevel"/>
    <w:tmpl w:val="C8ACE6BC"/>
    <w:lvl w:ilvl="0" w:tplc="FFFFFFFF">
      <w:start w:val="1"/>
      <w:numFmt w:val="lowerLetter"/>
      <w:lvlText w:val="%1."/>
      <w:lvlJc w:val="left"/>
      <w:pPr>
        <w:ind w:left="360" w:hanging="360"/>
      </w:pPr>
      <w:rPr>
        <w:rFonts w:hint="default" w:ascii="Verdana" w:hAnsi="Verdana" w:eastAsia="Verdana" w:cs="Verdana"/>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5"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6" w15:restartNumberingAfterBreak="0">
    <w:nsid w:val="663B2B87"/>
    <w:multiLevelType w:val="hybridMultilevel"/>
    <w:tmpl w:val="18AE167A"/>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abstractNum w:abstractNumId="17" w15:restartNumberingAfterBreak="0">
    <w:nsid w:val="670E3F50"/>
    <w:multiLevelType w:val="hybridMultilevel"/>
    <w:tmpl w:val="469C2D86"/>
    <w:lvl w:ilvl="0" w:tplc="BB342CEE">
      <w:start w:val="4"/>
      <w:numFmt w:val="decimal"/>
      <w:lvlText w:val="%1."/>
      <w:lvlJc w:val="left"/>
      <w:pPr>
        <w:ind w:left="968" w:hanging="535"/>
      </w:pPr>
      <w:rPr>
        <w:rFonts w:hint="default" w:ascii="Arial" w:hAnsi="Arial" w:eastAsia="Arial" w:cs="Arial"/>
        <w:color w:val="4E4D4D"/>
        <w:spacing w:val="-20"/>
        <w:w w:val="100"/>
        <w:sz w:val="20"/>
        <w:szCs w:val="20"/>
        <w:lang w:val="es-ES" w:eastAsia="en-US" w:bidi="ar-SA"/>
      </w:rPr>
    </w:lvl>
    <w:lvl w:ilvl="1" w:tplc="1C789076">
      <w:numFmt w:val="bullet"/>
      <w:lvlText w:val="•"/>
      <w:lvlJc w:val="left"/>
      <w:pPr>
        <w:ind w:left="1804" w:hanging="535"/>
      </w:pPr>
      <w:rPr>
        <w:rFonts w:hint="default"/>
        <w:lang w:val="es-ES" w:eastAsia="en-US" w:bidi="ar-SA"/>
      </w:rPr>
    </w:lvl>
    <w:lvl w:ilvl="2" w:tplc="6AFCBF2A">
      <w:numFmt w:val="bullet"/>
      <w:lvlText w:val="•"/>
      <w:lvlJc w:val="left"/>
      <w:pPr>
        <w:ind w:left="2648" w:hanging="535"/>
      </w:pPr>
      <w:rPr>
        <w:rFonts w:hint="default"/>
        <w:lang w:val="es-ES" w:eastAsia="en-US" w:bidi="ar-SA"/>
      </w:rPr>
    </w:lvl>
    <w:lvl w:ilvl="3" w:tplc="3F748F58">
      <w:numFmt w:val="bullet"/>
      <w:lvlText w:val="•"/>
      <w:lvlJc w:val="left"/>
      <w:pPr>
        <w:ind w:left="3492" w:hanging="535"/>
      </w:pPr>
      <w:rPr>
        <w:rFonts w:hint="default"/>
        <w:lang w:val="es-ES" w:eastAsia="en-US" w:bidi="ar-SA"/>
      </w:rPr>
    </w:lvl>
    <w:lvl w:ilvl="4" w:tplc="C6C89C04">
      <w:numFmt w:val="bullet"/>
      <w:lvlText w:val="•"/>
      <w:lvlJc w:val="left"/>
      <w:pPr>
        <w:ind w:left="4336" w:hanging="535"/>
      </w:pPr>
      <w:rPr>
        <w:rFonts w:hint="default"/>
        <w:lang w:val="es-ES" w:eastAsia="en-US" w:bidi="ar-SA"/>
      </w:rPr>
    </w:lvl>
    <w:lvl w:ilvl="5" w:tplc="B302CD28">
      <w:numFmt w:val="bullet"/>
      <w:lvlText w:val="•"/>
      <w:lvlJc w:val="left"/>
      <w:pPr>
        <w:ind w:left="5180" w:hanging="535"/>
      </w:pPr>
      <w:rPr>
        <w:rFonts w:hint="default"/>
        <w:lang w:val="es-ES" w:eastAsia="en-US" w:bidi="ar-SA"/>
      </w:rPr>
    </w:lvl>
    <w:lvl w:ilvl="6" w:tplc="EF7C1184">
      <w:numFmt w:val="bullet"/>
      <w:lvlText w:val="•"/>
      <w:lvlJc w:val="left"/>
      <w:pPr>
        <w:ind w:left="6024" w:hanging="535"/>
      </w:pPr>
      <w:rPr>
        <w:rFonts w:hint="default"/>
        <w:lang w:val="es-ES" w:eastAsia="en-US" w:bidi="ar-SA"/>
      </w:rPr>
    </w:lvl>
    <w:lvl w:ilvl="7" w:tplc="3C8C58C4">
      <w:numFmt w:val="bullet"/>
      <w:lvlText w:val="•"/>
      <w:lvlJc w:val="left"/>
      <w:pPr>
        <w:ind w:left="6868" w:hanging="535"/>
      </w:pPr>
      <w:rPr>
        <w:rFonts w:hint="default"/>
        <w:lang w:val="es-ES" w:eastAsia="en-US" w:bidi="ar-SA"/>
      </w:rPr>
    </w:lvl>
    <w:lvl w:ilvl="8" w:tplc="F094E6FE">
      <w:numFmt w:val="bullet"/>
      <w:lvlText w:val="•"/>
      <w:lvlJc w:val="left"/>
      <w:pPr>
        <w:ind w:left="7712" w:hanging="535"/>
      </w:pPr>
      <w:rPr>
        <w:rFonts w:hint="default"/>
        <w:lang w:val="es-ES" w:eastAsia="en-US" w:bidi="ar-SA"/>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7681820"/>
    <w:multiLevelType w:val="hybridMultilevel"/>
    <w:tmpl w:val="978A042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23"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4" w15:restartNumberingAfterBreak="0">
    <w:nsid w:val="7DD23916"/>
    <w:multiLevelType w:val="multilevel"/>
    <w:tmpl w:val="89F2AD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0"/>
  </w:num>
  <w:num w:numId="7" w16cid:durableId="1946422806">
    <w:abstractNumId w:val="5"/>
  </w:num>
  <w:num w:numId="8" w16cid:durableId="152644682">
    <w:abstractNumId w:val="19"/>
  </w:num>
  <w:num w:numId="9" w16cid:durableId="1317221377">
    <w:abstractNumId w:val="8"/>
  </w:num>
  <w:num w:numId="10" w16cid:durableId="1471245386">
    <w:abstractNumId w:val="18"/>
  </w:num>
  <w:num w:numId="11" w16cid:durableId="289172385">
    <w:abstractNumId w:val="9"/>
  </w:num>
  <w:num w:numId="12" w16cid:durableId="1470781324">
    <w:abstractNumId w:val="1"/>
  </w:num>
  <w:num w:numId="13" w16cid:durableId="1512908409">
    <w:abstractNumId w:val="3"/>
  </w:num>
  <w:num w:numId="14" w16cid:durableId="895897244">
    <w:abstractNumId w:val="21"/>
  </w:num>
  <w:num w:numId="15" w16cid:durableId="390349800">
    <w:abstractNumId w:val="15"/>
  </w:num>
  <w:num w:numId="16" w16cid:durableId="1380713882">
    <w:abstractNumId w:val="0"/>
  </w:num>
  <w:num w:numId="17" w16cid:durableId="1982299905">
    <w:abstractNumId w:val="24"/>
  </w:num>
  <w:num w:numId="18" w16cid:durableId="691802391">
    <w:abstractNumId w:val="10"/>
  </w:num>
  <w:num w:numId="19" w16cid:durableId="153255849">
    <w:abstractNumId w:val="12"/>
  </w:num>
  <w:num w:numId="20" w16cid:durableId="262541512">
    <w:abstractNumId w:val="22"/>
  </w:num>
  <w:num w:numId="21" w16cid:durableId="1900483209">
    <w:abstractNumId w:val="17"/>
  </w:num>
  <w:num w:numId="22" w16cid:durableId="1523519647">
    <w:abstractNumId w:val="16"/>
  </w:num>
  <w:num w:numId="23" w16cid:durableId="1524516111">
    <w:abstractNumId w:val="6"/>
  </w:num>
  <w:num w:numId="24" w16cid:durableId="424040949">
    <w:abstractNumId w:val="23"/>
  </w:num>
  <w:num w:numId="25" w16cid:durableId="1534726307">
    <w:abstractNumId w:val="13"/>
  </w:num>
  <w:num w:numId="26" w16cid:durableId="1619603397">
    <w:abstractNumId w:val="14"/>
  </w:num>
  <w:num w:numId="27" w16cid:durableId="164469879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37D0"/>
    <w:rsid w:val="00061B2A"/>
    <w:rsid w:val="0007444E"/>
    <w:rsid w:val="00082362"/>
    <w:rsid w:val="000A683E"/>
    <w:rsid w:val="000B19B9"/>
    <w:rsid w:val="000D0334"/>
    <w:rsid w:val="000D19A6"/>
    <w:rsid w:val="000E63F6"/>
    <w:rsid w:val="000F6486"/>
    <w:rsid w:val="00105433"/>
    <w:rsid w:val="00112483"/>
    <w:rsid w:val="001165DD"/>
    <w:rsid w:val="00121EC5"/>
    <w:rsid w:val="00125105"/>
    <w:rsid w:val="00127233"/>
    <w:rsid w:val="00144712"/>
    <w:rsid w:val="00144EC3"/>
    <w:rsid w:val="001511A0"/>
    <w:rsid w:val="001532F7"/>
    <w:rsid w:val="00155F27"/>
    <w:rsid w:val="00180C5A"/>
    <w:rsid w:val="001B0A93"/>
    <w:rsid w:val="001B401D"/>
    <w:rsid w:val="001B6883"/>
    <w:rsid w:val="001E4177"/>
    <w:rsid w:val="001F7DC6"/>
    <w:rsid w:val="00205642"/>
    <w:rsid w:val="00210C70"/>
    <w:rsid w:val="00223D88"/>
    <w:rsid w:val="00237609"/>
    <w:rsid w:val="002421BB"/>
    <w:rsid w:val="0025796E"/>
    <w:rsid w:val="002707A2"/>
    <w:rsid w:val="002951A0"/>
    <w:rsid w:val="00296227"/>
    <w:rsid w:val="002962BC"/>
    <w:rsid w:val="002965E2"/>
    <w:rsid w:val="002A093D"/>
    <w:rsid w:val="002A0DD0"/>
    <w:rsid w:val="002A49AC"/>
    <w:rsid w:val="002A64FD"/>
    <w:rsid w:val="002B365D"/>
    <w:rsid w:val="002B5862"/>
    <w:rsid w:val="002C23FD"/>
    <w:rsid w:val="002C5070"/>
    <w:rsid w:val="002C7A84"/>
    <w:rsid w:val="002D2F47"/>
    <w:rsid w:val="002D3CC6"/>
    <w:rsid w:val="002E4FD9"/>
    <w:rsid w:val="002E7478"/>
    <w:rsid w:val="00301770"/>
    <w:rsid w:val="00311ADC"/>
    <w:rsid w:val="00322A85"/>
    <w:rsid w:val="00324168"/>
    <w:rsid w:val="0033493C"/>
    <w:rsid w:val="003448F4"/>
    <w:rsid w:val="00353844"/>
    <w:rsid w:val="00373E7B"/>
    <w:rsid w:val="00374F5E"/>
    <w:rsid w:val="00377E3E"/>
    <w:rsid w:val="003A4FCF"/>
    <w:rsid w:val="003A779E"/>
    <w:rsid w:val="003D0F4D"/>
    <w:rsid w:val="003D5B0D"/>
    <w:rsid w:val="003E0499"/>
    <w:rsid w:val="003E1A2E"/>
    <w:rsid w:val="003F3941"/>
    <w:rsid w:val="003F482F"/>
    <w:rsid w:val="00406575"/>
    <w:rsid w:val="00414C74"/>
    <w:rsid w:val="00416D78"/>
    <w:rsid w:val="0042722E"/>
    <w:rsid w:val="0044528D"/>
    <w:rsid w:val="004514F9"/>
    <w:rsid w:val="00471CAF"/>
    <w:rsid w:val="004A1847"/>
    <w:rsid w:val="004A305D"/>
    <w:rsid w:val="004B10BA"/>
    <w:rsid w:val="004B3A90"/>
    <w:rsid w:val="004F1457"/>
    <w:rsid w:val="004F18D3"/>
    <w:rsid w:val="004F21C4"/>
    <w:rsid w:val="004F5B0B"/>
    <w:rsid w:val="004F63B2"/>
    <w:rsid w:val="004F685F"/>
    <w:rsid w:val="00501A0E"/>
    <w:rsid w:val="00521084"/>
    <w:rsid w:val="0053038A"/>
    <w:rsid w:val="00534063"/>
    <w:rsid w:val="005467AB"/>
    <w:rsid w:val="005566E8"/>
    <w:rsid w:val="00567A42"/>
    <w:rsid w:val="00574779"/>
    <w:rsid w:val="00574867"/>
    <w:rsid w:val="00575896"/>
    <w:rsid w:val="00591460"/>
    <w:rsid w:val="005B3816"/>
    <w:rsid w:val="005C3777"/>
    <w:rsid w:val="005C5CDC"/>
    <w:rsid w:val="005D476C"/>
    <w:rsid w:val="005E6D46"/>
    <w:rsid w:val="0062050E"/>
    <w:rsid w:val="006219F8"/>
    <w:rsid w:val="00644C87"/>
    <w:rsid w:val="00665D70"/>
    <w:rsid w:val="00682580"/>
    <w:rsid w:val="006900D9"/>
    <w:rsid w:val="006E42DC"/>
    <w:rsid w:val="0070625E"/>
    <w:rsid w:val="00706AFE"/>
    <w:rsid w:val="00706C16"/>
    <w:rsid w:val="00720339"/>
    <w:rsid w:val="007340F2"/>
    <w:rsid w:val="00741CEA"/>
    <w:rsid w:val="00743A48"/>
    <w:rsid w:val="00751954"/>
    <w:rsid w:val="00756841"/>
    <w:rsid w:val="0076029C"/>
    <w:rsid w:val="007626D0"/>
    <w:rsid w:val="007649AB"/>
    <w:rsid w:val="00771D0C"/>
    <w:rsid w:val="007833AC"/>
    <w:rsid w:val="007911EE"/>
    <w:rsid w:val="007A6049"/>
    <w:rsid w:val="007B268C"/>
    <w:rsid w:val="007B7171"/>
    <w:rsid w:val="007C0C0F"/>
    <w:rsid w:val="007C3DC2"/>
    <w:rsid w:val="007D5A7C"/>
    <w:rsid w:val="007E5497"/>
    <w:rsid w:val="00806F5F"/>
    <w:rsid w:val="00807B04"/>
    <w:rsid w:val="00811A9B"/>
    <w:rsid w:val="00820278"/>
    <w:rsid w:val="00867F95"/>
    <w:rsid w:val="0087031A"/>
    <w:rsid w:val="0087082B"/>
    <w:rsid w:val="00880A26"/>
    <w:rsid w:val="008843B6"/>
    <w:rsid w:val="00886E96"/>
    <w:rsid w:val="00891928"/>
    <w:rsid w:val="0089254E"/>
    <w:rsid w:val="008A1F0D"/>
    <w:rsid w:val="008A3D6A"/>
    <w:rsid w:val="008A446D"/>
    <w:rsid w:val="008A576E"/>
    <w:rsid w:val="008A727D"/>
    <w:rsid w:val="008B5069"/>
    <w:rsid w:val="008D180B"/>
    <w:rsid w:val="008E2E18"/>
    <w:rsid w:val="008F0EA7"/>
    <w:rsid w:val="008F4113"/>
    <w:rsid w:val="00902937"/>
    <w:rsid w:val="00916E20"/>
    <w:rsid w:val="00923EEF"/>
    <w:rsid w:val="0092707B"/>
    <w:rsid w:val="009419F9"/>
    <w:rsid w:val="0095685E"/>
    <w:rsid w:val="00961B09"/>
    <w:rsid w:val="00965334"/>
    <w:rsid w:val="0097093E"/>
    <w:rsid w:val="00986AC5"/>
    <w:rsid w:val="009A0DFA"/>
    <w:rsid w:val="009A6F9B"/>
    <w:rsid w:val="009B2D26"/>
    <w:rsid w:val="009C71FA"/>
    <w:rsid w:val="009C72E7"/>
    <w:rsid w:val="009D3058"/>
    <w:rsid w:val="009F3A13"/>
    <w:rsid w:val="00A122D3"/>
    <w:rsid w:val="00A17F13"/>
    <w:rsid w:val="00A20739"/>
    <w:rsid w:val="00A33C78"/>
    <w:rsid w:val="00A43261"/>
    <w:rsid w:val="00A54C2B"/>
    <w:rsid w:val="00AB0ADB"/>
    <w:rsid w:val="00AB252F"/>
    <w:rsid w:val="00AE025B"/>
    <w:rsid w:val="00B01B1A"/>
    <w:rsid w:val="00B32769"/>
    <w:rsid w:val="00B66319"/>
    <w:rsid w:val="00B72CD3"/>
    <w:rsid w:val="00B72FFF"/>
    <w:rsid w:val="00BA550A"/>
    <w:rsid w:val="00BC3D36"/>
    <w:rsid w:val="00BC5770"/>
    <w:rsid w:val="00BD7F72"/>
    <w:rsid w:val="00BE0F24"/>
    <w:rsid w:val="00BF3745"/>
    <w:rsid w:val="00C04FB3"/>
    <w:rsid w:val="00C05B40"/>
    <w:rsid w:val="00C07B81"/>
    <w:rsid w:val="00C1421D"/>
    <w:rsid w:val="00C330EB"/>
    <w:rsid w:val="00C36BD0"/>
    <w:rsid w:val="00C4006F"/>
    <w:rsid w:val="00C41061"/>
    <w:rsid w:val="00C67C7B"/>
    <w:rsid w:val="00C754BE"/>
    <w:rsid w:val="00C76B1C"/>
    <w:rsid w:val="00C93421"/>
    <w:rsid w:val="00CB6357"/>
    <w:rsid w:val="00CB73B2"/>
    <w:rsid w:val="00CC1B26"/>
    <w:rsid w:val="00CD6A04"/>
    <w:rsid w:val="00CD7324"/>
    <w:rsid w:val="00CF72C1"/>
    <w:rsid w:val="00D423A2"/>
    <w:rsid w:val="00D4485F"/>
    <w:rsid w:val="00D520D8"/>
    <w:rsid w:val="00D63AC2"/>
    <w:rsid w:val="00D67C17"/>
    <w:rsid w:val="00D7331F"/>
    <w:rsid w:val="00D7383B"/>
    <w:rsid w:val="00DA08E3"/>
    <w:rsid w:val="00DA231B"/>
    <w:rsid w:val="00DA65A2"/>
    <w:rsid w:val="00DB3136"/>
    <w:rsid w:val="00DB44AA"/>
    <w:rsid w:val="00DB69C7"/>
    <w:rsid w:val="00DC1771"/>
    <w:rsid w:val="00DC1A3B"/>
    <w:rsid w:val="00DC39FC"/>
    <w:rsid w:val="00DE435A"/>
    <w:rsid w:val="00DE6F00"/>
    <w:rsid w:val="00DF5254"/>
    <w:rsid w:val="00E074A3"/>
    <w:rsid w:val="00E1324D"/>
    <w:rsid w:val="00E16408"/>
    <w:rsid w:val="00E20894"/>
    <w:rsid w:val="00E20ADE"/>
    <w:rsid w:val="00E245AB"/>
    <w:rsid w:val="00E2764C"/>
    <w:rsid w:val="00E27F2E"/>
    <w:rsid w:val="00E460EC"/>
    <w:rsid w:val="00E50AFE"/>
    <w:rsid w:val="00E51664"/>
    <w:rsid w:val="00E612F1"/>
    <w:rsid w:val="00E75C92"/>
    <w:rsid w:val="00E771DC"/>
    <w:rsid w:val="00E8772A"/>
    <w:rsid w:val="00E902AA"/>
    <w:rsid w:val="00E90F6B"/>
    <w:rsid w:val="00E92C27"/>
    <w:rsid w:val="00EA0B6E"/>
    <w:rsid w:val="00EA0E3D"/>
    <w:rsid w:val="00EA69B1"/>
    <w:rsid w:val="00EC38A7"/>
    <w:rsid w:val="00ED7384"/>
    <w:rsid w:val="00EE1AA8"/>
    <w:rsid w:val="00EE5478"/>
    <w:rsid w:val="00F11D40"/>
    <w:rsid w:val="00F31EDC"/>
    <w:rsid w:val="00F3779B"/>
    <w:rsid w:val="00F412D5"/>
    <w:rsid w:val="00F462B3"/>
    <w:rsid w:val="00F5664F"/>
    <w:rsid w:val="00F666C4"/>
    <w:rsid w:val="00F76AFC"/>
    <w:rsid w:val="00FA47C0"/>
    <w:rsid w:val="00FB5DD1"/>
    <w:rsid w:val="00FC2B5D"/>
    <w:rsid w:val="00FD7798"/>
    <w:rsid w:val="00FE53C8"/>
    <w:rsid w:val="00FF1449"/>
    <w:rsid w:val="01DAA948"/>
    <w:rsid w:val="14620EB9"/>
    <w:rsid w:val="14A1EB0B"/>
    <w:rsid w:val="165E9519"/>
    <w:rsid w:val="363279BE"/>
    <w:rsid w:val="382536D9"/>
    <w:rsid w:val="5521A7CA"/>
    <w:rsid w:val="6EFDAB80"/>
    <w:rsid w:val="7AD02139"/>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40C4311-6BB8-40A3-8DE4-5B1CA638A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87031A"/>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7031A"/>
    <w:rPr>
      <w:rFonts w:ascii="Geomanist Light" w:hAnsi="Geomanist Light"/>
      <w:lang w:val="es-ES"/>
    </w:rPr>
  </w:style>
  <w:style w:type="paragraph" w:styleId="Textoindependiente">
    <w:name w:val="Body Text"/>
    <w:basedOn w:val="Normal"/>
    <w:link w:val="TextoindependienteCar"/>
    <w:uiPriority w:val="1"/>
    <w:unhideWhenUsed/>
    <w:qFormat/>
    <w:rsid w:val="0087031A"/>
    <w:pPr>
      <w:spacing w:after="120"/>
    </w:pPr>
  </w:style>
  <w:style w:type="character" w:styleId="TextoindependienteCar" w:customStyle="1">
    <w:name w:val="Texto independiente Car"/>
    <w:basedOn w:val="Fuentedeprrafopredeter"/>
    <w:link w:val="Textoindependiente"/>
    <w:uiPriority w:val="1"/>
    <w:rsid w:val="0087031A"/>
  </w:style>
  <w:style w:type="character" w:styleId="superscript" w:customStyle="1">
    <w:name w:val="superscript"/>
    <w:basedOn w:val="Fuentedeprrafopredeter"/>
    <w:rsid w:val="00DA08E3"/>
  </w:style>
  <w:style w:type="paragraph" w:styleId="Textocomentario">
    <w:name w:val="annotation text"/>
    <w:basedOn w:val="Normal"/>
    <w:link w:val="TextocomentarioCar"/>
    <w:uiPriority w:val="99"/>
    <w:semiHidden/>
    <w:unhideWhenUsed/>
    <w:rsid w:val="006E42DC"/>
    <w:pPr>
      <w:spacing w:line="240" w:lineRule="auto"/>
    </w:pPr>
    <w:rPr>
      <w:sz w:val="20"/>
      <w:szCs w:val="20"/>
    </w:rPr>
  </w:style>
  <w:style w:type="character" w:styleId="TextocomentarioCar" w:customStyle="1">
    <w:name w:val="Texto comentario Car"/>
    <w:basedOn w:val="Fuentedeprrafopredeter"/>
    <w:link w:val="Textocomentario"/>
    <w:uiPriority w:val="99"/>
    <w:semiHidden/>
    <w:rsid w:val="006E42DC"/>
    <w:rPr>
      <w:sz w:val="20"/>
      <w:szCs w:val="20"/>
    </w:rPr>
  </w:style>
  <w:style w:type="paragraph" w:styleId="TableParagraph" w:customStyle="1">
    <w:name w:val="Table Paragraph"/>
    <w:basedOn w:val="Normal"/>
    <w:uiPriority w:val="1"/>
    <w:qFormat/>
    <w:rsid w:val="009A6F9B"/>
    <w:pPr>
      <w:widowControl w:val="0"/>
      <w:autoSpaceDE w:val="0"/>
      <w:autoSpaceDN w:val="0"/>
      <w:spacing w:after="0" w:line="240" w:lineRule="auto"/>
      <w:jc w:val="both"/>
    </w:pPr>
    <w:rPr>
      <w:rFonts w:ascii="Verdana" w:hAnsi="Verdana" w:eastAsia="Verdana" w:cs="Verdana"/>
      <w:lang w:val="es-ES"/>
    </w:rPr>
  </w:style>
  <w:style w:type="table" w:styleId="TableNormal1" w:customStyle="1">
    <w:name w:val="Table Normal1"/>
    <w:uiPriority w:val="2"/>
    <w:semiHidden/>
    <w:unhideWhenUsed/>
    <w:qFormat/>
    <w:rsid w:val="009A6F9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nfasis">
    <w:name w:val="Emphasis"/>
    <w:basedOn w:val="Fuentedeprrafopredeter"/>
    <w:uiPriority w:val="20"/>
    <w:qFormat/>
    <w:rsid w:val="00112483"/>
    <w:rPr>
      <w:i/>
      <w:iCs/>
    </w:rPr>
  </w:style>
  <w:style w:type="character" w:styleId="baj" w:customStyle="1">
    <w:name w:val="b_aj"/>
    <w:basedOn w:val="Fuentedeprrafopredeter"/>
    <w:rsid w:val="001124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03639412">
      <w:bodyDiv w:val="1"/>
      <w:marLeft w:val="0"/>
      <w:marRight w:val="0"/>
      <w:marTop w:val="0"/>
      <w:marBottom w:val="0"/>
      <w:divBdr>
        <w:top w:val="none" w:sz="0" w:space="0" w:color="auto"/>
        <w:left w:val="none" w:sz="0" w:space="0" w:color="auto"/>
        <w:bottom w:val="none" w:sz="0" w:space="0" w:color="auto"/>
        <w:right w:val="none" w:sz="0" w:space="0" w:color="auto"/>
      </w:divBdr>
    </w:div>
    <w:div w:id="1055393830">
      <w:bodyDiv w:val="1"/>
      <w:marLeft w:val="0"/>
      <w:marRight w:val="0"/>
      <w:marTop w:val="0"/>
      <w:marBottom w:val="0"/>
      <w:divBdr>
        <w:top w:val="none" w:sz="0" w:space="0" w:color="auto"/>
        <w:left w:val="none" w:sz="0" w:space="0" w:color="auto"/>
        <w:bottom w:val="none" w:sz="0" w:space="0" w:color="auto"/>
        <w:right w:val="none" w:sz="0" w:space="0" w:color="auto"/>
      </w:divBdr>
      <w:divsChild>
        <w:div w:id="2032563667">
          <w:marLeft w:val="0"/>
          <w:marRight w:val="0"/>
          <w:marTop w:val="0"/>
          <w:marBottom w:val="0"/>
          <w:divBdr>
            <w:top w:val="none" w:sz="0" w:space="0" w:color="auto"/>
            <w:left w:val="none" w:sz="0" w:space="0" w:color="auto"/>
            <w:bottom w:val="none" w:sz="0" w:space="0" w:color="auto"/>
            <w:right w:val="none" w:sz="0" w:space="0" w:color="auto"/>
          </w:divBdr>
          <w:divsChild>
            <w:div w:id="1148010697">
              <w:marLeft w:val="0"/>
              <w:marRight w:val="0"/>
              <w:marTop w:val="0"/>
              <w:marBottom w:val="0"/>
              <w:divBdr>
                <w:top w:val="none" w:sz="0" w:space="0" w:color="auto"/>
                <w:left w:val="none" w:sz="0" w:space="0" w:color="auto"/>
                <w:bottom w:val="none" w:sz="0" w:space="0" w:color="auto"/>
                <w:right w:val="none" w:sz="0" w:space="0" w:color="auto"/>
              </w:divBdr>
              <w:divsChild>
                <w:div w:id="293798143">
                  <w:marLeft w:val="0"/>
                  <w:marRight w:val="0"/>
                  <w:marTop w:val="0"/>
                  <w:marBottom w:val="0"/>
                  <w:divBdr>
                    <w:top w:val="none" w:sz="0" w:space="0" w:color="auto"/>
                    <w:left w:val="none" w:sz="0" w:space="0" w:color="auto"/>
                    <w:bottom w:val="none" w:sz="0" w:space="0" w:color="auto"/>
                    <w:right w:val="none" w:sz="0" w:space="0" w:color="auto"/>
                  </w:divBdr>
                  <w:divsChild>
                    <w:div w:id="540558418">
                      <w:marLeft w:val="0"/>
                      <w:marRight w:val="0"/>
                      <w:marTop w:val="0"/>
                      <w:marBottom w:val="0"/>
                      <w:divBdr>
                        <w:top w:val="none" w:sz="0" w:space="0" w:color="auto"/>
                        <w:left w:val="none" w:sz="0" w:space="0" w:color="auto"/>
                        <w:bottom w:val="none" w:sz="0" w:space="0" w:color="auto"/>
                        <w:right w:val="none" w:sz="0" w:space="0" w:color="auto"/>
                      </w:divBdr>
                      <w:divsChild>
                        <w:div w:id="145308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032476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relatoria.colombiacompra.gov.co/busqueda/conceptos" TargetMode="Externa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image" Target="/media/image3.png" Id="rId356591387" /><Relationship Type="http://schemas.openxmlformats.org/officeDocument/2006/relationships/image" Target="/media/image4.png" Id="rId1726940859" /></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normativa-y-relatoria/circular-unica-extern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CF2A69-2909-4F9F-ABC0-7A9BA0FDB73B}">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8714245-E4EC-4742-A5E1-4AC950B9F89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Nicolas Andres Guzman Padilla</lastModifiedBy>
  <revision>26</revision>
  <lastPrinted>2023-01-10T21:18:00.0000000Z</lastPrinted>
  <dcterms:created xsi:type="dcterms:W3CDTF">2025-07-01T23:16:00.0000000Z</dcterms:created>
  <dcterms:modified xsi:type="dcterms:W3CDTF">2025-08-04T12:30:48.5318005Z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