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910C4E" w14:textId="77777777" w:rsidR="006C3AB9" w:rsidRDefault="006C3AB9" w:rsidP="006C3AB9">
      <w:pPr>
        <w:jc w:val="both"/>
        <w:rPr>
          <w:rFonts w:ascii="Verdana" w:hAnsi="Verdana"/>
        </w:rPr>
      </w:pPr>
      <w:bookmarkStart w:id="0" w:name="_Hlk143780582"/>
    </w:p>
    <w:p w14:paraId="41E5D334" w14:textId="77777777" w:rsidR="006C3AB9" w:rsidRPr="006C3AB9" w:rsidRDefault="006C3AB9" w:rsidP="006C3AB9">
      <w:pPr>
        <w:jc w:val="both"/>
        <w:rPr>
          <w:rFonts w:ascii="Verdana" w:hAnsi="Verdana"/>
          <w:b/>
          <w:bCs/>
          <w:lang w:val="es-MX"/>
        </w:rPr>
      </w:pPr>
      <w:r w:rsidRPr="006C3AB9">
        <w:rPr>
          <w:rFonts w:ascii="Verdana" w:hAnsi="Verdana"/>
          <w:b/>
          <w:bCs/>
          <w:lang w:val="es-ES_tradnl"/>
        </w:rPr>
        <w:t xml:space="preserve">DOCUMENTO TIPO DE CONVENIOS SOLIDARIOS </w:t>
      </w:r>
      <w:r w:rsidRPr="006C3AB9">
        <w:rPr>
          <w:rFonts w:ascii="Verdana" w:hAnsi="Verdana"/>
          <w:b/>
          <w:bCs/>
          <w:lang w:val="es-MX"/>
        </w:rPr>
        <w:t>– Fundamento normativo</w:t>
      </w:r>
    </w:p>
    <w:p w14:paraId="28E45B04" w14:textId="77777777" w:rsidR="006C3AB9" w:rsidRPr="006C3AB9" w:rsidRDefault="006C3AB9" w:rsidP="006C3AB9">
      <w:pPr>
        <w:jc w:val="both"/>
        <w:rPr>
          <w:rFonts w:ascii="Verdana" w:hAnsi="Verdana"/>
          <w:lang w:val="es-MX"/>
        </w:rPr>
      </w:pPr>
    </w:p>
    <w:p w14:paraId="5B847C39" w14:textId="77777777" w:rsidR="006C3AB9" w:rsidRPr="006C3AB9" w:rsidRDefault="006C3AB9" w:rsidP="006C3AB9">
      <w:pPr>
        <w:jc w:val="both"/>
        <w:rPr>
          <w:rFonts w:ascii="Verdana" w:hAnsi="Verdana"/>
          <w:lang w:val="es-MX"/>
        </w:rPr>
      </w:pPr>
      <w:r w:rsidRPr="006C3AB9">
        <w:rPr>
          <w:rFonts w:ascii="Verdana" w:hAnsi="Verdana"/>
        </w:rPr>
        <w:t xml:space="preserve">Con fundamento en la competencia prevista en el artículo 1 de la Ley 2022 de 2020, el 30 de junio de 2023 la Agencia Nacional de Contratación Pública </w:t>
      </w:r>
      <w:r w:rsidRPr="006C3AB9">
        <w:rPr>
          <w:rFonts w:ascii="Verdana" w:hAnsi="Verdana"/>
          <w:lang w:val="es-ES"/>
        </w:rPr>
        <w:t>– Colombia Compra Eficiente</w:t>
      </w:r>
      <w:r w:rsidRPr="006C3AB9">
        <w:rPr>
          <w:rFonts w:ascii="Verdana" w:hAnsi="Verdana"/>
        </w:rPr>
        <w:t xml:space="preserve"> expidió la Resolución 358 de 2023 “</w:t>
      </w:r>
      <w:hyperlink r:id="rId10" w:history="1">
        <w:r w:rsidRPr="006C3AB9">
          <w:rPr>
            <w:rStyle w:val="Hipervnculo"/>
            <w:rFonts w:ascii="Verdana" w:hAnsi="Verdana"/>
          </w:rPr>
          <w:t>Por la cual se adopta el documento tipo para la contratación directa de convenios solidarios para la ejecución de obras hasta la menor cuantía con organismos de acción comunal”. </w:t>
        </w:r>
      </w:hyperlink>
      <w:r w:rsidRPr="006C3AB9">
        <w:rPr>
          <w:rFonts w:ascii="Verdana" w:hAnsi="Verdana"/>
        </w:rPr>
        <w:t xml:space="preserve">La Resolución señalada, consta de cuatro artículos, el primero dispone que esta adopta los documentos tipo para la contratación directa de convenios solidarios para la ejecución de obras hasta la menor cuantía con Organismos de Acción Comunal. </w:t>
      </w:r>
    </w:p>
    <w:p w14:paraId="049E7366" w14:textId="77777777" w:rsidR="006C3AB9" w:rsidRPr="006C3AB9" w:rsidRDefault="006C3AB9" w:rsidP="006C3AB9">
      <w:pPr>
        <w:jc w:val="both"/>
        <w:rPr>
          <w:rFonts w:ascii="Verdana" w:hAnsi="Verdana"/>
        </w:rPr>
      </w:pPr>
    </w:p>
    <w:p w14:paraId="4DBDB79E" w14:textId="77777777" w:rsidR="006C3AB9" w:rsidRPr="006C3AB9" w:rsidRDefault="006C3AB9" w:rsidP="006C3AB9">
      <w:pPr>
        <w:jc w:val="both"/>
        <w:rPr>
          <w:rFonts w:ascii="Verdana" w:hAnsi="Verdana"/>
          <w:b/>
          <w:bCs/>
        </w:rPr>
      </w:pPr>
      <w:r w:rsidRPr="006C3AB9">
        <w:rPr>
          <w:rFonts w:ascii="Verdana" w:hAnsi="Verdana"/>
          <w:b/>
          <w:bCs/>
          <w:lang w:val="es-ES_tradnl"/>
        </w:rPr>
        <w:t xml:space="preserve">DOCUMENTO TIPO DE CONVENIOS SOLIDARIOS </w:t>
      </w:r>
      <w:r w:rsidRPr="006C3AB9">
        <w:rPr>
          <w:rFonts w:ascii="Verdana" w:hAnsi="Verdana"/>
          <w:b/>
          <w:bCs/>
        </w:rPr>
        <w:t>– Inalterabilidad</w:t>
      </w:r>
    </w:p>
    <w:p w14:paraId="0239FEA5" w14:textId="77777777" w:rsidR="006C3AB9" w:rsidRPr="006C3AB9" w:rsidRDefault="006C3AB9" w:rsidP="006C3AB9">
      <w:pPr>
        <w:jc w:val="both"/>
        <w:rPr>
          <w:rFonts w:ascii="Verdana" w:hAnsi="Verdana"/>
        </w:rPr>
      </w:pPr>
    </w:p>
    <w:p w14:paraId="05EAB60B" w14:textId="77777777" w:rsidR="006C3AB9" w:rsidRPr="006C3AB9" w:rsidRDefault="006C3AB9" w:rsidP="006C3AB9">
      <w:pPr>
        <w:jc w:val="both"/>
        <w:rPr>
          <w:rFonts w:ascii="Verdana" w:hAnsi="Verdana"/>
          <w:bCs/>
          <w:lang w:val="es-ES_tradnl"/>
        </w:rPr>
      </w:pPr>
      <w:r w:rsidRPr="006C3AB9">
        <w:rPr>
          <w:rFonts w:ascii="Verdana" w:hAnsi="Verdana"/>
        </w:rPr>
        <w:t xml:space="preserve">El artículo 3 </w:t>
      </w:r>
      <w:r w:rsidRPr="006C3AB9">
        <w:rPr>
          <w:rFonts w:ascii="Verdana" w:hAnsi="Verdana"/>
          <w:bCs/>
          <w:lang w:val="es-ES_tradnl"/>
        </w:rPr>
        <w:t xml:space="preserve">dispone la inalterabilidad de los documentos tipo </w:t>
      </w:r>
      <w:r w:rsidRPr="006C3AB9">
        <w:rPr>
          <w:rFonts w:ascii="Verdana" w:hAnsi="Verdana"/>
          <w:lang w:val="es-ES"/>
        </w:rPr>
        <w:t>para la contratación directa de convenios solidarios para la ejecución de obras hasta la menor cuantía con organismos de acción comunal</w:t>
      </w:r>
      <w:r w:rsidRPr="006C3AB9">
        <w:rPr>
          <w:rFonts w:ascii="Verdana" w:hAnsi="Verdana"/>
          <w:bCs/>
          <w:lang w:val="es-ES_tradnl"/>
        </w:rPr>
        <w:t xml:space="preserve">. En consecuencia, las condiciones establecidas en los documentos que adopte la Agencia, en ejercicio del mandato establecido en el artículo 1 de la Ley 2022 de 2020, son de obligatorio cumplimiento para las entidades sometidas al Estatuto General de Contratación de la Administración Pública que adelanten procesos que deban regirse por su contenido y, salvo que se permita expresamente, podrán variarse algunos de los requisitos fijados en ellos. </w:t>
      </w:r>
    </w:p>
    <w:p w14:paraId="18567D06" w14:textId="77777777" w:rsidR="006C3AB9" w:rsidRPr="006C3AB9" w:rsidRDefault="006C3AB9" w:rsidP="006C3AB9">
      <w:pPr>
        <w:jc w:val="both"/>
        <w:rPr>
          <w:rFonts w:ascii="Verdana" w:hAnsi="Verdana"/>
          <w:bCs/>
          <w:lang w:val="es-ES_tradnl"/>
        </w:rPr>
      </w:pPr>
    </w:p>
    <w:p w14:paraId="4906FC0D" w14:textId="77777777" w:rsidR="006C3AB9" w:rsidRPr="006C3AB9" w:rsidRDefault="006C3AB9" w:rsidP="006C3AB9">
      <w:pPr>
        <w:jc w:val="both"/>
        <w:rPr>
          <w:rFonts w:ascii="Verdana" w:hAnsi="Verdana"/>
          <w:b/>
          <w:bCs/>
        </w:rPr>
      </w:pPr>
      <w:r w:rsidRPr="006C3AB9">
        <w:rPr>
          <w:rFonts w:ascii="Verdana" w:hAnsi="Verdana"/>
          <w:b/>
          <w:bCs/>
          <w:lang w:val="es-ES_tradnl"/>
        </w:rPr>
        <w:t xml:space="preserve">DOCUMENTO TIPO DE CONVENIOS SOLIDARIOS – Giro y manejo de los recursos – Cláusulas 7 y 8 – Minuta Tipo – Alternativas – Administración de los recursos – Entidad financiera </w:t>
      </w:r>
    </w:p>
    <w:p w14:paraId="2C00681C" w14:textId="77777777" w:rsidR="006C3AB9" w:rsidRPr="006C3AB9" w:rsidRDefault="006C3AB9" w:rsidP="006C3AB9">
      <w:pPr>
        <w:jc w:val="both"/>
        <w:rPr>
          <w:rFonts w:ascii="Verdana" w:hAnsi="Verdana"/>
          <w:bCs/>
          <w:lang w:val="es-ES_tradnl"/>
        </w:rPr>
      </w:pPr>
    </w:p>
    <w:p w14:paraId="26A6D330" w14:textId="77777777" w:rsidR="006C3AB9" w:rsidRPr="006C3AB9" w:rsidRDefault="006C3AB9" w:rsidP="006C3AB9">
      <w:pPr>
        <w:jc w:val="both"/>
        <w:rPr>
          <w:rFonts w:ascii="Verdana" w:hAnsi="Verdana"/>
          <w:bCs/>
        </w:rPr>
      </w:pPr>
      <w:r w:rsidRPr="006C3AB9">
        <w:rPr>
          <w:rFonts w:ascii="Verdana" w:hAnsi="Verdana"/>
          <w:lang w:val="es-ES_tradnl"/>
        </w:rPr>
        <w:t xml:space="preserve">El documento tipo para la contratación directa de convenios solidarios para la ejecución de obras hasta la menor cuantía con organismos de acción comunal, contempla tres (3) opciones para el giro de los recursos por parte de la Entidad Estatal, de acuerdo con la cláusula 7 de la Minuta Tipo. De esta manera, el giro de los recursos puede realizarse, según una de las siguientes opciones por la que opte </w:t>
      </w:r>
      <w:r w:rsidRPr="006C3AB9">
        <w:rPr>
          <w:rFonts w:ascii="Verdana" w:hAnsi="Verdana"/>
          <w:lang w:val="es-ES_tradnl"/>
        </w:rPr>
        <w:lastRenderedPageBreak/>
        <w:t xml:space="preserve">la entidad estatal: i) a una cuenta de manejo conjunto a nombre del convenio – opción 1, </w:t>
      </w:r>
      <w:proofErr w:type="spellStart"/>
      <w:r w:rsidRPr="006C3AB9">
        <w:rPr>
          <w:rFonts w:ascii="Verdana" w:hAnsi="Verdana"/>
          <w:lang w:val="es-ES_tradnl"/>
        </w:rPr>
        <w:t>ii</w:t>
      </w:r>
      <w:proofErr w:type="spellEnd"/>
      <w:r w:rsidRPr="006C3AB9">
        <w:rPr>
          <w:rFonts w:ascii="Verdana" w:hAnsi="Verdana"/>
          <w:lang w:val="es-ES_tradnl"/>
        </w:rPr>
        <w:t xml:space="preserve">) a un patrimonio autónomo irrevocable al nombre del convenio – opción 2, o </w:t>
      </w:r>
      <w:proofErr w:type="spellStart"/>
      <w:r w:rsidRPr="006C3AB9">
        <w:rPr>
          <w:rFonts w:ascii="Verdana" w:hAnsi="Verdana"/>
          <w:lang w:val="es-ES_tradnl"/>
        </w:rPr>
        <w:t>iii</w:t>
      </w:r>
      <w:proofErr w:type="spellEnd"/>
      <w:r w:rsidRPr="006C3AB9">
        <w:rPr>
          <w:rFonts w:ascii="Verdana" w:hAnsi="Verdana"/>
          <w:lang w:val="es-ES_tradnl"/>
        </w:rPr>
        <w:t xml:space="preserve">) a cuenta bancaria a nombre del convenio – opción 3. </w:t>
      </w:r>
    </w:p>
    <w:p w14:paraId="6900AA2F" w14:textId="77777777" w:rsidR="006C3AB9" w:rsidRPr="006C3AB9" w:rsidRDefault="006C3AB9" w:rsidP="006C3AB9">
      <w:pPr>
        <w:jc w:val="both"/>
        <w:rPr>
          <w:rFonts w:ascii="Verdana" w:hAnsi="Verdana"/>
          <w:bCs/>
          <w:lang w:val="es-ES"/>
        </w:rPr>
      </w:pPr>
    </w:p>
    <w:p w14:paraId="598DAD6E" w14:textId="77777777" w:rsidR="006C3AB9" w:rsidRPr="006C3AB9" w:rsidRDefault="006C3AB9" w:rsidP="006C3AB9">
      <w:pPr>
        <w:jc w:val="both"/>
        <w:rPr>
          <w:rFonts w:ascii="Verdana" w:hAnsi="Verdana"/>
          <w:b/>
          <w:bCs/>
          <w:lang w:val="es-ES_tradnl"/>
        </w:rPr>
      </w:pPr>
      <w:r w:rsidRPr="006C3AB9">
        <w:rPr>
          <w:rFonts w:ascii="Verdana" w:hAnsi="Verdana"/>
          <w:b/>
          <w:bCs/>
          <w:lang w:val="es-ES_tradnl"/>
        </w:rPr>
        <w:t>DOCUMENTO TIPO DE CONVENIOS SOLIDARIOS – Giro y manejo de los recursos – Cláusulas 7 – Opción 1</w:t>
      </w:r>
    </w:p>
    <w:p w14:paraId="2B43456E" w14:textId="77777777" w:rsidR="006C3AB9" w:rsidRPr="006C3AB9" w:rsidRDefault="006C3AB9" w:rsidP="006C3AB9">
      <w:pPr>
        <w:jc w:val="both"/>
        <w:rPr>
          <w:rFonts w:ascii="Verdana" w:hAnsi="Verdana"/>
        </w:rPr>
      </w:pPr>
    </w:p>
    <w:p w14:paraId="4ECB5916" w14:textId="77777777" w:rsidR="006C3AB9" w:rsidRPr="006C3AB9" w:rsidRDefault="006C3AB9" w:rsidP="006C3AB9">
      <w:pPr>
        <w:jc w:val="both"/>
        <w:rPr>
          <w:rFonts w:ascii="Verdana" w:hAnsi="Verdana"/>
        </w:rPr>
      </w:pPr>
      <w:r w:rsidRPr="006C3AB9">
        <w:rPr>
          <w:rFonts w:ascii="Verdana" w:hAnsi="Verdana"/>
        </w:rPr>
        <w:t>Como se aprecia, el inciso primero de la opción 1 indica parámetros obligatorios que debe incluir la entidad que acoja esa opción. De esta forma, el giro de los recursos se realizará en una cuenta de manejo conjunto a nombre del convenio, que es aquella que permite a la entidad y al OAC gestionar los fondos del convenio de manera compartida. Además, la cláusula de agrega que la misma debe generar rendimientos financieros, y no será posible el sobregiro.</w:t>
      </w:r>
    </w:p>
    <w:p w14:paraId="6A258FCF" w14:textId="77777777" w:rsidR="006C3AB9" w:rsidRPr="006C3AB9" w:rsidRDefault="006C3AB9" w:rsidP="006C3AB9">
      <w:pPr>
        <w:jc w:val="both"/>
        <w:rPr>
          <w:rFonts w:ascii="Verdana" w:hAnsi="Verdana"/>
          <w:lang w:val="es-ES"/>
        </w:rPr>
      </w:pPr>
      <w:r w:rsidRPr="006C3AB9">
        <w:rPr>
          <w:rFonts w:ascii="Verdana" w:hAnsi="Verdana"/>
          <w:lang w:val="es-ES"/>
        </w:rPr>
        <w:t xml:space="preserve"> </w:t>
      </w:r>
    </w:p>
    <w:p w14:paraId="3E0AEAD7" w14:textId="77777777" w:rsidR="006C3AB9" w:rsidRPr="006C3AB9" w:rsidRDefault="006C3AB9" w:rsidP="006C3AB9">
      <w:pPr>
        <w:jc w:val="both"/>
        <w:rPr>
          <w:rFonts w:ascii="Verdana" w:hAnsi="Verdana"/>
        </w:rPr>
      </w:pPr>
      <w:r w:rsidRPr="006C3AB9">
        <w:rPr>
          <w:rFonts w:ascii="Verdana" w:hAnsi="Verdana"/>
        </w:rPr>
        <w:t>Así mismo, la opción señala que en esa cuenta conjunta no se podrá disponer de los recursos de forma electrónica por el OAC, y que para disponer de ellos se requiere la autorización del Representante Legal del OAC y del Interventor y/o Supervisor de la Entidad.</w:t>
      </w:r>
    </w:p>
    <w:p w14:paraId="43E0107F" w14:textId="77777777" w:rsidR="006C3AB9" w:rsidRPr="006C3AB9" w:rsidRDefault="006C3AB9" w:rsidP="006C3AB9">
      <w:pPr>
        <w:jc w:val="both"/>
        <w:rPr>
          <w:rFonts w:ascii="Verdana" w:hAnsi="Verdana"/>
          <w:lang w:val="es-ES"/>
        </w:rPr>
      </w:pPr>
    </w:p>
    <w:p w14:paraId="05E5C28A" w14:textId="77777777" w:rsidR="006C3AB9" w:rsidRPr="006C3AB9" w:rsidRDefault="006C3AB9" w:rsidP="006C3AB9">
      <w:pPr>
        <w:jc w:val="both"/>
        <w:rPr>
          <w:rFonts w:ascii="Verdana" w:hAnsi="Verdana"/>
        </w:rPr>
      </w:pPr>
      <w:r w:rsidRPr="006C3AB9">
        <w:rPr>
          <w:rFonts w:ascii="Verdana" w:hAnsi="Verdana"/>
        </w:rPr>
        <w:t xml:space="preserve">Finalmente, el segundo inciso de la opción 1 dispone que la entidad </w:t>
      </w:r>
      <w:r w:rsidRPr="006C3AB9">
        <w:rPr>
          <w:rFonts w:ascii="Verdana" w:hAnsi="Verdana"/>
          <w:i/>
          <w:iCs/>
        </w:rPr>
        <w:t xml:space="preserve">podrá </w:t>
      </w:r>
      <w:r w:rsidRPr="006C3AB9">
        <w:rPr>
          <w:rFonts w:ascii="Verdana" w:hAnsi="Verdana"/>
        </w:rPr>
        <w:t xml:space="preserve">señalar opciones propias de los giros en relación con los siguientes aspectos: i) disponibilidad de Plan Anual de Caja – PAC, o </w:t>
      </w:r>
      <w:proofErr w:type="spellStart"/>
      <w:r w:rsidRPr="006C3AB9">
        <w:rPr>
          <w:rFonts w:ascii="Verdana" w:hAnsi="Verdana"/>
        </w:rPr>
        <w:t>ii</w:t>
      </w:r>
      <w:proofErr w:type="spellEnd"/>
      <w:r w:rsidRPr="006C3AB9">
        <w:rPr>
          <w:rFonts w:ascii="Verdana" w:hAnsi="Verdana"/>
        </w:rPr>
        <w:t xml:space="preserve">) soportes que se requieran del Organismo de Acción Comunal OAC para efectuar el giro de los recursos. Este aspecto, es de aquellos que permite que la entidad </w:t>
      </w:r>
      <w:r w:rsidRPr="006C3AB9">
        <w:rPr>
          <w:rFonts w:ascii="Verdana" w:hAnsi="Verdana"/>
          <w:bCs/>
          <w:lang w:val="es-ES_tradnl"/>
        </w:rPr>
        <w:t xml:space="preserve">complemente o indique las condiciones que allí se permiten, sin embargo, solo es posible en relación con el PAC y soportes para el giro de los recursos. </w:t>
      </w:r>
    </w:p>
    <w:p w14:paraId="5A64D8E9" w14:textId="77777777" w:rsidR="006C3AB9" w:rsidRPr="006C3AB9" w:rsidRDefault="006C3AB9" w:rsidP="006C3AB9">
      <w:pPr>
        <w:jc w:val="both"/>
        <w:rPr>
          <w:rFonts w:ascii="Verdana" w:hAnsi="Verdana"/>
          <w:lang w:val="es-MX"/>
        </w:rPr>
      </w:pPr>
    </w:p>
    <w:p w14:paraId="69E245FF" w14:textId="77777777" w:rsidR="006C3AB9" w:rsidRPr="006C3AB9" w:rsidRDefault="006C3AB9" w:rsidP="006C3AB9">
      <w:pPr>
        <w:jc w:val="both"/>
        <w:rPr>
          <w:rFonts w:ascii="Verdana" w:hAnsi="Verdana"/>
          <w:b/>
          <w:bCs/>
          <w:lang w:val="es-ES_tradnl"/>
        </w:rPr>
      </w:pPr>
      <w:r w:rsidRPr="006C3AB9">
        <w:rPr>
          <w:rFonts w:ascii="Verdana" w:hAnsi="Verdana"/>
          <w:b/>
          <w:bCs/>
          <w:lang w:val="es-ES_tradnl"/>
        </w:rPr>
        <w:t>DOCUMENTO TIPO DE CONVENIOS SOLIDARIOS – Giro y manejo de los recursos – Cláusulas 8 – Opción 1</w:t>
      </w:r>
    </w:p>
    <w:p w14:paraId="28A4424C" w14:textId="77777777" w:rsidR="006C3AB9" w:rsidRPr="006C3AB9" w:rsidRDefault="006C3AB9" w:rsidP="006C3AB9">
      <w:pPr>
        <w:jc w:val="both"/>
        <w:rPr>
          <w:rFonts w:ascii="Verdana" w:hAnsi="Verdana"/>
        </w:rPr>
      </w:pPr>
    </w:p>
    <w:p w14:paraId="40901E59" w14:textId="77777777" w:rsidR="006C3AB9" w:rsidRPr="006C3AB9" w:rsidRDefault="006C3AB9" w:rsidP="006C3AB9">
      <w:pPr>
        <w:jc w:val="both"/>
        <w:rPr>
          <w:rFonts w:ascii="Verdana" w:hAnsi="Verdana"/>
        </w:rPr>
      </w:pPr>
      <w:r w:rsidRPr="006C3AB9">
        <w:rPr>
          <w:rFonts w:ascii="Verdana" w:hAnsi="Verdana"/>
        </w:rPr>
        <w:t xml:space="preserve">El numeral, indica que debe aperturarse una cuenta de “manejo y firmas conjuntas”, lo que implica que lo que deba pagarse con cargo a esa cuenta requiere la firma del Representante Legal del OAC y del Interventor y/o Supervisor de la Entidad. Además, en este numeral de obligatorio cumplimiento se indica que, </w:t>
      </w:r>
      <w:r w:rsidRPr="006C3AB9">
        <w:rPr>
          <w:rFonts w:ascii="Verdana" w:hAnsi="Verdana"/>
        </w:rPr>
        <w:lastRenderedPageBreak/>
        <w:t xml:space="preserve">ningún pago o gravamen que afecte el giro o desembolso podrá darse sin la autorización de este último -Interventor y/o Supervisor de la Entidad. </w:t>
      </w:r>
    </w:p>
    <w:p w14:paraId="73E913C5" w14:textId="77777777" w:rsidR="006C3AB9" w:rsidRPr="006C3AB9" w:rsidRDefault="006C3AB9" w:rsidP="006C3AB9">
      <w:pPr>
        <w:jc w:val="both"/>
        <w:rPr>
          <w:rFonts w:ascii="Verdana" w:hAnsi="Verdana"/>
        </w:rPr>
      </w:pPr>
    </w:p>
    <w:p w14:paraId="4FA86BCB" w14:textId="27C7E2DA" w:rsidR="006C3AB9" w:rsidRPr="006C3AB9" w:rsidRDefault="006C3AB9" w:rsidP="006C3AB9">
      <w:pPr>
        <w:jc w:val="both"/>
        <w:rPr>
          <w:rFonts w:ascii="Verdana" w:hAnsi="Verdana"/>
          <w:b/>
          <w:bCs/>
          <w:lang w:val="es-ES_tradnl"/>
        </w:rPr>
      </w:pPr>
      <w:r w:rsidRPr="006C3AB9">
        <w:rPr>
          <w:rFonts w:ascii="Verdana" w:hAnsi="Verdana"/>
          <w:b/>
          <w:bCs/>
          <w:lang w:val="es-ES_tradnl"/>
        </w:rPr>
        <w:t>DOCUMENTO TIPO DE CONVENIOS SOLIDARIOS – Giro y manejo de los recursos</w:t>
      </w:r>
    </w:p>
    <w:p w14:paraId="0B3C3513" w14:textId="77777777" w:rsidR="006C3AB9" w:rsidRPr="006C3AB9" w:rsidRDefault="006C3AB9" w:rsidP="006C3AB9">
      <w:pPr>
        <w:jc w:val="both"/>
        <w:rPr>
          <w:rFonts w:ascii="Verdana" w:hAnsi="Verdana"/>
        </w:rPr>
      </w:pPr>
    </w:p>
    <w:p w14:paraId="1FCCC3B7" w14:textId="77777777" w:rsidR="006C3AB9" w:rsidRPr="006C3AB9" w:rsidRDefault="006C3AB9" w:rsidP="006C3AB9">
      <w:pPr>
        <w:jc w:val="both"/>
        <w:rPr>
          <w:rFonts w:ascii="Verdana" w:hAnsi="Verdana"/>
          <w:lang w:val="es-ES_tradnl"/>
        </w:rPr>
      </w:pPr>
      <w:r w:rsidRPr="006C3AB9">
        <w:rPr>
          <w:rFonts w:ascii="Verdana" w:hAnsi="Verdana"/>
        </w:rPr>
        <w:t>Finalmente, debe indicarse que, el numeral II. del parágrafo 1 de la Cláusula 8 de la Minuta Tipo, señala que la cuenta de manejo conjunto debe ser abierta en una entidad financiera autorizada por la Superintendencia Financiera. En este sentido, la entidad financiera que realizará la administración de los recursos puede ser seleccionada de forma discrecional por la entidad estatal, y en consecuencia para la apertura de la cuenta se observaran los requisitos particulares que exija la entidad financiera seleccionada, y para su manejo, las condiciones establecidas en la Minuta Tipo de Convenio Solidario para la ejecución de obras adoptada por medio de la Resolución 358 de 2023.</w:t>
      </w:r>
    </w:p>
    <w:p w14:paraId="0D7D0499" w14:textId="77777777" w:rsidR="006C3AB9" w:rsidRPr="006C3AB9" w:rsidRDefault="006C3AB9" w:rsidP="006C3AB9">
      <w:pPr>
        <w:rPr>
          <w:rFonts w:ascii="Verdana" w:hAnsi="Verdana"/>
          <w:lang w:val="es-MX"/>
        </w:rPr>
      </w:pPr>
    </w:p>
    <w:p w14:paraId="10260F24" w14:textId="77777777" w:rsidR="006C3AB9" w:rsidRPr="006C3AB9" w:rsidRDefault="006C3AB9" w:rsidP="006C3AB9">
      <w:pPr>
        <w:rPr>
          <w:rFonts w:ascii="Verdana" w:hAnsi="Verdana"/>
          <w:lang w:val="es-MX"/>
        </w:rPr>
      </w:pPr>
    </w:p>
    <w:p w14:paraId="1F1F9C57" w14:textId="77777777" w:rsidR="006C3AB9" w:rsidRPr="006C3AB9" w:rsidRDefault="006C3AB9" w:rsidP="006C3AB9">
      <w:pPr>
        <w:rPr>
          <w:rFonts w:ascii="Verdana" w:hAnsi="Verdana"/>
          <w:lang w:val="es-MX"/>
        </w:rPr>
      </w:pPr>
    </w:p>
    <w:p w14:paraId="43211F0E" w14:textId="77777777" w:rsidR="006C3AB9" w:rsidRDefault="006C3AB9">
      <w:pPr>
        <w:rPr>
          <w:rFonts w:ascii="Verdana" w:hAnsi="Verdana"/>
        </w:rPr>
      </w:pPr>
      <w:r>
        <w:rPr>
          <w:rFonts w:ascii="Verdana" w:hAnsi="Verdana"/>
        </w:rPr>
        <w:br w:type="page"/>
      </w:r>
    </w:p>
    <w:p w14:paraId="67373214" w14:textId="4791E593" w:rsidR="008034AA" w:rsidRPr="0044528D" w:rsidRDefault="008034AA" w:rsidP="009475C6">
      <w:pPr>
        <w:rPr>
          <w:rFonts w:ascii="Verdana" w:hAnsi="Verdana"/>
        </w:rPr>
      </w:pPr>
      <w:r w:rsidRPr="0044528D">
        <w:rPr>
          <w:rFonts w:ascii="Verdana" w:hAnsi="Verdana"/>
        </w:rPr>
        <w:lastRenderedPageBreak/>
        <w:t xml:space="preserve">Bogotá D.C., [Día] </w:t>
      </w:r>
      <w:r w:rsidRPr="001511A0">
        <w:rPr>
          <w:rFonts w:ascii="Verdana" w:hAnsi="Verdana"/>
        </w:rPr>
        <w:t>[</w:t>
      </w:r>
      <w:proofErr w:type="spellStart"/>
      <w:r w:rsidRPr="001511A0">
        <w:rPr>
          <w:rFonts w:ascii="Verdana" w:hAnsi="Verdana"/>
        </w:rPr>
        <w:t>Mes.NombreCapitalizado</w:t>
      </w:r>
      <w:proofErr w:type="spellEnd"/>
      <w:r w:rsidRPr="001511A0">
        <w:rPr>
          <w:rFonts w:ascii="Verdana" w:hAnsi="Verdana"/>
        </w:rPr>
        <w:t xml:space="preserve">] </w:t>
      </w:r>
      <w:r w:rsidRPr="0044528D">
        <w:rPr>
          <w:rFonts w:ascii="Verdana" w:hAnsi="Verdana"/>
        </w:rPr>
        <w:t>[Año]</w:t>
      </w:r>
      <w:r w:rsidRPr="0044528D">
        <w:rPr>
          <w:rFonts w:ascii="Verdana" w:hAnsi="Verdana"/>
        </w:rPr>
        <w:tab/>
      </w:r>
    </w:p>
    <w:p w14:paraId="4B891F5A" w14:textId="431C25E6" w:rsidR="008034AA" w:rsidRPr="0044528D" w:rsidRDefault="00963BCE" w:rsidP="008034AA">
      <w:pPr>
        <w:spacing w:after="0"/>
        <w:rPr>
          <w:rFonts w:ascii="Verdana" w:hAnsi="Verdana"/>
        </w:rPr>
      </w:pPr>
      <w:bookmarkStart w:id="1" w:name="_Hlk194589254"/>
      <w:r>
        <w:rPr>
          <w:rFonts w:ascii="Verdana" w:hAnsi="Verdana" w:cs="Arial"/>
          <w:b/>
          <w:bCs/>
          <w:noProof/>
        </w:rPr>
        <w:drawing>
          <wp:anchor distT="0" distB="0" distL="114300" distR="114300" simplePos="0" relativeHeight="251659264" behindDoc="1" locked="0" layoutInCell="1" allowOverlap="1" wp14:anchorId="43FA6B92" wp14:editId="7A9773E9">
            <wp:simplePos x="0" y="0"/>
            <wp:positionH relativeFrom="column">
              <wp:posOffset>3187065</wp:posOffset>
            </wp:positionH>
            <wp:positionV relativeFrom="paragraph">
              <wp:posOffset>97790</wp:posOffset>
            </wp:positionV>
            <wp:extent cx="2390775" cy="895350"/>
            <wp:effectExtent l="0" t="0" r="9525" b="0"/>
            <wp:wrapTight wrapText="bothSides">
              <wp:wrapPolygon edited="0">
                <wp:start x="0" y="0"/>
                <wp:lineTo x="0" y="21140"/>
                <wp:lineTo x="21514" y="21140"/>
                <wp:lineTo x="21514" y="0"/>
                <wp:lineTo x="0" y="0"/>
              </wp:wrapPolygon>
            </wp:wrapTight>
            <wp:docPr id="30211101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111019"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390775" cy="895350"/>
                    </a:xfrm>
                    <a:prstGeom prst="rect">
                      <a:avLst/>
                    </a:prstGeom>
                  </pic:spPr>
                </pic:pic>
              </a:graphicData>
            </a:graphic>
            <wp14:sizeRelV relativeFrom="margin">
              <wp14:pctHeight>0</wp14:pctHeight>
            </wp14:sizeRelV>
          </wp:anchor>
        </w:drawing>
      </w:r>
      <w:r w:rsidR="008034AA" w:rsidRPr="0044528D">
        <w:rPr>
          <w:rFonts w:ascii="Verdana" w:hAnsi="Verdana"/>
        </w:rPr>
        <w:tab/>
      </w:r>
    </w:p>
    <w:p w14:paraId="6684A3B9" w14:textId="72A871A1" w:rsidR="008034AA" w:rsidRDefault="008034AA" w:rsidP="008034AA">
      <w:pPr>
        <w:spacing w:after="0"/>
        <w:rPr>
          <w:rFonts w:ascii="Verdana" w:hAnsi="Verdana" w:cs="Arial"/>
        </w:rPr>
      </w:pPr>
      <w:r w:rsidRPr="007017D1">
        <w:rPr>
          <w:rFonts w:ascii="Verdana" w:hAnsi="Verdana" w:cs="Arial"/>
        </w:rPr>
        <w:t>Señor</w:t>
      </w:r>
    </w:p>
    <w:p w14:paraId="0989DCDB" w14:textId="48029463" w:rsidR="008034AA" w:rsidRPr="000E0B73" w:rsidRDefault="008034AA" w:rsidP="008034AA">
      <w:pPr>
        <w:spacing w:after="0"/>
        <w:rPr>
          <w:rFonts w:ascii="Verdana" w:hAnsi="Verdana" w:cs="Arial"/>
          <w:b/>
          <w:bCs/>
        </w:rPr>
      </w:pPr>
      <w:r w:rsidRPr="000E0B73">
        <w:rPr>
          <w:rFonts w:ascii="Verdana" w:hAnsi="Verdana" w:cs="Arial"/>
          <w:b/>
          <w:bCs/>
        </w:rPr>
        <w:t xml:space="preserve">Danny Enrique Rico Zamora </w:t>
      </w:r>
      <w:r w:rsidR="00963BCE">
        <w:rPr>
          <w:rFonts w:ascii="Verdana" w:hAnsi="Verdana" w:cs="Arial"/>
          <w:b/>
          <w:bCs/>
        </w:rPr>
        <w:t xml:space="preserve">                                 </w:t>
      </w:r>
    </w:p>
    <w:p w14:paraId="08EA7F93" w14:textId="77777777" w:rsidR="008034AA" w:rsidRDefault="008034AA" w:rsidP="008034AA">
      <w:pPr>
        <w:spacing w:after="0"/>
        <w:rPr>
          <w:rFonts w:ascii="Verdana" w:hAnsi="Verdana" w:cs="Arial"/>
        </w:rPr>
      </w:pPr>
      <w:hyperlink r:id="rId12" w:history="1">
        <w:r w:rsidRPr="005A3B30">
          <w:rPr>
            <w:rStyle w:val="Hipervnculo"/>
            <w:rFonts w:ascii="Verdana" w:hAnsi="Verdana" w:cs="Arial"/>
          </w:rPr>
          <w:t>danny.rico@cundinamarca.gov.co</w:t>
        </w:r>
      </w:hyperlink>
      <w:r>
        <w:rPr>
          <w:rFonts w:ascii="Verdana" w:hAnsi="Verdana" w:cs="Arial"/>
        </w:rPr>
        <w:t xml:space="preserve"> </w:t>
      </w:r>
    </w:p>
    <w:p w14:paraId="272CDEDB" w14:textId="77777777" w:rsidR="008034AA" w:rsidRDefault="008034AA" w:rsidP="008034AA">
      <w:pPr>
        <w:spacing w:after="0"/>
        <w:rPr>
          <w:rFonts w:ascii="Verdana" w:hAnsi="Verdana" w:cs="Arial"/>
        </w:rPr>
      </w:pPr>
      <w:r>
        <w:rPr>
          <w:rFonts w:ascii="Verdana" w:hAnsi="Verdana" w:cs="Arial"/>
        </w:rPr>
        <w:t>Ciudad</w:t>
      </w:r>
    </w:p>
    <w:p w14:paraId="7F6E30BA" w14:textId="77777777" w:rsidR="008034AA" w:rsidRDefault="008034AA" w:rsidP="008034AA">
      <w:pPr>
        <w:spacing w:after="0"/>
        <w:rPr>
          <w:rFonts w:ascii="Verdana" w:hAnsi="Verdana" w:cs="Arial"/>
        </w:rPr>
      </w:pPr>
    </w:p>
    <w:p w14:paraId="4150401D" w14:textId="77777777" w:rsidR="008034AA" w:rsidRPr="00DD3F69" w:rsidRDefault="008034AA" w:rsidP="008034AA">
      <w:pPr>
        <w:spacing w:after="0"/>
        <w:rPr>
          <w:rFonts w:ascii="Verdana" w:hAnsi="Verdana" w:cs="Arial"/>
        </w:rPr>
      </w:pPr>
    </w:p>
    <w:p w14:paraId="3EB86BC8" w14:textId="77777777" w:rsidR="008034AA" w:rsidRPr="004565C9" w:rsidRDefault="008034AA" w:rsidP="008034AA">
      <w:pPr>
        <w:jc w:val="both"/>
        <w:rPr>
          <w:rFonts w:ascii="Verdana" w:hAnsi="Verdana" w:cs="Calibri"/>
          <w:b/>
          <w:bCs/>
          <w:lang w:eastAsia="es-CO"/>
        </w:rPr>
      </w:pPr>
      <w:r>
        <w:rPr>
          <w:rFonts w:ascii="Verdana" w:hAnsi="Verdana" w:cs="Arial"/>
        </w:rPr>
        <w:t xml:space="preserve">                            </w:t>
      </w:r>
      <w:r>
        <w:rPr>
          <w:rFonts w:ascii="Verdana" w:hAnsi="Verdana" w:cs="Arial"/>
          <w:b/>
          <w:bCs/>
        </w:rPr>
        <w:t xml:space="preserve">Concepto </w:t>
      </w:r>
      <w:r w:rsidRPr="004565C9">
        <w:rPr>
          <w:rFonts w:ascii="Verdana" w:hAnsi="Verdana" w:cs="Calibri"/>
          <w:b/>
          <w:bCs/>
          <w:lang w:eastAsia="es-CO"/>
        </w:rPr>
        <w:t>C-813</w:t>
      </w:r>
    </w:p>
    <w:p w14:paraId="440BA9ED" w14:textId="0CC3DFE6" w:rsidR="008034AA" w:rsidRDefault="008034AA" w:rsidP="008034AA">
      <w:pPr>
        <w:ind w:left="2124"/>
        <w:jc w:val="both"/>
        <w:rPr>
          <w:rFonts w:ascii="Verdana" w:hAnsi="Verdana"/>
          <w:lang w:val="es-ES"/>
        </w:rPr>
      </w:pPr>
      <w:r w:rsidRPr="00DE6B2A">
        <w:rPr>
          <w:rFonts w:ascii="Verdana" w:hAnsi="Verdana"/>
          <w:b/>
          <w:bCs/>
          <w:lang w:val="es-MX"/>
        </w:rPr>
        <w:t>Temas:</w:t>
      </w:r>
      <w:r>
        <w:rPr>
          <w:rFonts w:ascii="Verdana" w:hAnsi="Verdana"/>
          <w:lang w:val="es-MX"/>
        </w:rPr>
        <w:t xml:space="preserve"> </w:t>
      </w:r>
      <w:r w:rsidR="00D867EA">
        <w:rPr>
          <w:rFonts w:ascii="Verdana" w:hAnsi="Verdana"/>
          <w:lang w:val="es-MX"/>
        </w:rPr>
        <w:t>DOCUMENTO TIPO DE CONVENIOS SOLIDA</w:t>
      </w:r>
      <w:r w:rsidR="00D50ED2">
        <w:rPr>
          <w:rFonts w:ascii="Verdana" w:hAnsi="Verdana"/>
          <w:lang w:val="es-MX"/>
        </w:rPr>
        <w:t>RIOS</w:t>
      </w:r>
      <w:r w:rsidRPr="008E7CED">
        <w:rPr>
          <w:rFonts w:ascii="Verdana" w:hAnsi="Verdana"/>
          <w:lang w:val="es-MX"/>
        </w:rPr>
        <w:t xml:space="preserve"> – </w:t>
      </w:r>
      <w:r w:rsidR="00D50ED2">
        <w:rPr>
          <w:rFonts w:ascii="Verdana" w:hAnsi="Verdana"/>
          <w:lang w:val="es-MX"/>
        </w:rPr>
        <w:t>Fundamento normativo</w:t>
      </w:r>
      <w:r w:rsidRPr="008E7CED">
        <w:rPr>
          <w:rFonts w:ascii="Verdana" w:hAnsi="Verdana"/>
          <w:lang w:val="es-MX"/>
        </w:rPr>
        <w:t xml:space="preserve"> </w:t>
      </w:r>
      <w:r w:rsidR="00FE517F">
        <w:rPr>
          <w:rFonts w:ascii="Verdana" w:hAnsi="Verdana"/>
          <w:lang w:val="es-MX"/>
        </w:rPr>
        <w:t>/ DOCUMENTOS TIPO DE CONVENIOS SOLIDARIOS -</w:t>
      </w:r>
      <w:r w:rsidR="00FE517F">
        <w:rPr>
          <w:rFonts w:ascii="Verdana" w:hAnsi="Verdana"/>
          <w:lang w:val="es-ES"/>
        </w:rPr>
        <w:t xml:space="preserve"> </w:t>
      </w:r>
      <w:r w:rsidR="00AE6CDB" w:rsidRPr="00AE6CDB">
        <w:rPr>
          <w:rFonts w:ascii="Verdana" w:hAnsi="Verdana"/>
        </w:rPr>
        <w:t xml:space="preserve">Inalterabilidad </w:t>
      </w:r>
      <w:r w:rsidR="00AE6CDB" w:rsidRPr="00AE6CDB">
        <w:rPr>
          <w:rFonts w:ascii="Verdana" w:hAnsi="Verdana"/>
          <w:lang w:val="es-MX"/>
        </w:rPr>
        <w:t xml:space="preserve">/ </w:t>
      </w:r>
      <w:r w:rsidR="00AE6CDB" w:rsidRPr="00AE6CDB">
        <w:rPr>
          <w:rFonts w:ascii="Verdana" w:hAnsi="Verdana"/>
          <w:lang w:val="es-ES_tradnl"/>
        </w:rPr>
        <w:t>DOCUMENTO TIPO DE CONVENIOS SOLIDARIOS – Giro y manejo de los recursos – Cláusulas 7 y 8 – Minuta Tipo – Alternativas – Administración de los recursos – Entidad financiera / DOCUMENTO TIPO DE CONVENIOS SOLIDARIOS – Giro y manejo de los recursos – Cláusulas 7 – Opción 1 / DOCUMENTO TIPO DE CONVENIOS SOLIDARIOS – Giro y manejo de los recursos – Cláusulas 8 – Opción 1 / DOCUMENTO TIPO DE CONVENIOS SOLIDARIOS – Giro y manejo de los recursos</w:t>
      </w:r>
    </w:p>
    <w:p w14:paraId="0E82D3E0" w14:textId="77777777" w:rsidR="008034AA" w:rsidRDefault="008034AA" w:rsidP="008034AA">
      <w:pPr>
        <w:ind w:left="2124"/>
        <w:jc w:val="both"/>
        <w:rPr>
          <w:rFonts w:ascii="Verdana" w:hAnsi="Verdana" w:cs="Calibri"/>
          <w:lang w:eastAsia="es-CO"/>
        </w:rPr>
      </w:pPr>
      <w:r w:rsidRPr="001B0CC7">
        <w:rPr>
          <w:rFonts w:ascii="Verdana" w:hAnsi="Verdana"/>
          <w:b/>
          <w:bCs/>
          <w:lang w:val="es-ES"/>
        </w:rPr>
        <w:t>Radicación:</w:t>
      </w:r>
      <w:r w:rsidRPr="00107EAC">
        <w:rPr>
          <w:rFonts w:ascii="Verdana" w:hAnsi="Verdana"/>
          <w:lang w:val="es-ES"/>
        </w:rPr>
        <w:t xml:space="preserve">  </w:t>
      </w:r>
      <w:r>
        <w:rPr>
          <w:rFonts w:ascii="Verdana" w:hAnsi="Verdana"/>
          <w:lang w:val="es-ES"/>
        </w:rPr>
        <w:t>Respuesta a las consultas acumuladas Nros.</w:t>
      </w:r>
      <w:r w:rsidRPr="00107EAC">
        <w:rPr>
          <w:rFonts w:ascii="Verdana" w:hAnsi="Verdana"/>
          <w:lang w:val="es-ES"/>
        </w:rPr>
        <w:t xml:space="preserve"> </w:t>
      </w:r>
      <w:r w:rsidRPr="00B3377E">
        <w:rPr>
          <w:rFonts w:ascii="Verdana" w:hAnsi="Verdana" w:cs="Calibri"/>
          <w:lang w:eastAsia="es-CO"/>
        </w:rPr>
        <w:t>1_2025_06_19_006143 - 1_2025_06_18_006112</w:t>
      </w:r>
    </w:p>
    <w:p w14:paraId="4C06E5A2" w14:textId="77777777" w:rsidR="008034AA" w:rsidRPr="00705C21" w:rsidRDefault="008034AA" w:rsidP="008034AA">
      <w:pPr>
        <w:ind w:left="2124"/>
        <w:jc w:val="both"/>
        <w:rPr>
          <w:rFonts w:ascii="Verdana" w:hAnsi="Verdana" w:cs="Calibri"/>
          <w:b/>
          <w:bCs/>
          <w:lang w:eastAsia="es-CO"/>
        </w:rPr>
      </w:pPr>
    </w:p>
    <w:p w14:paraId="3FA4469A" w14:textId="77777777" w:rsidR="008034AA" w:rsidRDefault="008034AA" w:rsidP="008034AA">
      <w:pPr>
        <w:jc w:val="both"/>
        <w:rPr>
          <w:rFonts w:ascii="Verdana" w:hAnsi="Verdana" w:cs="Arial"/>
        </w:rPr>
      </w:pPr>
      <w:r>
        <w:rPr>
          <w:rFonts w:ascii="Verdana" w:hAnsi="Verdana" w:cs="Arial"/>
        </w:rPr>
        <w:t>Estimado señor Rico Zamora, cordial saludo,</w:t>
      </w:r>
    </w:p>
    <w:p w14:paraId="1C35581E" w14:textId="77777777" w:rsidR="008034AA" w:rsidRPr="00912E71" w:rsidRDefault="008034AA" w:rsidP="008034AA">
      <w:pPr>
        <w:jc w:val="both"/>
        <w:rPr>
          <w:rFonts w:ascii="Verdana" w:hAnsi="Verdana" w:cs="Calibri"/>
          <w:color w:val="000000"/>
          <w:lang w:val="es-ES_tradnl" w:eastAsia="es-CO"/>
        </w:rPr>
      </w:pPr>
      <w:r>
        <w:rPr>
          <w:rFonts w:ascii="Verdana" w:hAnsi="Verdana" w:cs="Arial"/>
        </w:rPr>
        <w:t>E</w:t>
      </w:r>
      <w:r w:rsidRPr="00327DBF">
        <w:rPr>
          <w:rFonts w:ascii="Verdana" w:hAnsi="Verdana" w:cs="Calibri"/>
          <w:color w:val="000000"/>
          <w:lang w:val="es-ES_tradnl" w:eastAsia="es-CO"/>
        </w:rPr>
        <w:t>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21 de noviembre de 2024, en la cual manifiesta lo siguiente:</w:t>
      </w:r>
    </w:p>
    <w:p w14:paraId="45822607" w14:textId="77777777" w:rsidR="008034AA" w:rsidRPr="00912E71" w:rsidRDefault="008034AA" w:rsidP="008034AA">
      <w:pPr>
        <w:jc w:val="center"/>
        <w:rPr>
          <w:rFonts w:ascii="Verdana" w:hAnsi="Verdana" w:cs="Calibri"/>
          <w:color w:val="000000"/>
          <w:lang w:val="es-ES_tradnl" w:eastAsia="es-CO"/>
        </w:rPr>
      </w:pPr>
    </w:p>
    <w:p w14:paraId="2CF9BE0D" w14:textId="77777777" w:rsidR="008034AA" w:rsidRPr="005C16B7" w:rsidRDefault="008034AA" w:rsidP="008034AA">
      <w:pPr>
        <w:spacing w:after="0"/>
        <w:ind w:left="709" w:right="709"/>
        <w:jc w:val="both"/>
        <w:rPr>
          <w:rFonts w:ascii="Verdana" w:hAnsi="Verdana" w:cs="Calibri"/>
          <w:i/>
          <w:iCs/>
          <w:color w:val="000000"/>
          <w:sz w:val="21"/>
          <w:szCs w:val="21"/>
          <w:lang w:eastAsia="es-CO"/>
        </w:rPr>
      </w:pPr>
      <w:r w:rsidRPr="005C16B7">
        <w:rPr>
          <w:rFonts w:ascii="Verdana" w:hAnsi="Verdana" w:cs="Calibri"/>
          <w:i/>
          <w:iCs/>
          <w:color w:val="000000"/>
          <w:sz w:val="21"/>
          <w:szCs w:val="21"/>
          <w:lang w:eastAsia="es-CO"/>
        </w:rPr>
        <w:t>1. ¿Es viable que el representante legal del OAC mediante manifestación escrita autorice al supervisor el trámite de preparador y aprobador del giro electrónico?</w:t>
      </w:r>
    </w:p>
    <w:p w14:paraId="03FCB498" w14:textId="77777777" w:rsidR="008034AA" w:rsidRPr="005C16B7" w:rsidRDefault="008034AA" w:rsidP="008034AA">
      <w:pPr>
        <w:spacing w:after="0"/>
        <w:ind w:left="709" w:right="709"/>
        <w:jc w:val="both"/>
        <w:rPr>
          <w:rFonts w:ascii="Verdana" w:hAnsi="Verdana" w:cs="Calibri"/>
          <w:i/>
          <w:iCs/>
          <w:color w:val="000000"/>
          <w:sz w:val="21"/>
          <w:szCs w:val="21"/>
          <w:lang w:eastAsia="es-CO"/>
        </w:rPr>
      </w:pPr>
      <w:r w:rsidRPr="005C16B7">
        <w:rPr>
          <w:rFonts w:ascii="Verdana" w:hAnsi="Verdana" w:cs="Calibri"/>
          <w:i/>
          <w:iCs/>
          <w:color w:val="000000"/>
          <w:sz w:val="21"/>
          <w:szCs w:val="21"/>
          <w:lang w:eastAsia="es-CO"/>
        </w:rPr>
        <w:t>2. ¿Es viable que el método de autenticación dual sea entre el Interventor y/o Supervisor y el Instituto de Acción Comunal y Capital Social-IDACO, previa autorización por escrito del OAC” (SIC):</w:t>
      </w:r>
    </w:p>
    <w:p w14:paraId="10A8E3B8" w14:textId="77777777" w:rsidR="008034AA" w:rsidRDefault="008034AA" w:rsidP="008034AA">
      <w:pPr>
        <w:spacing w:after="0" w:line="276" w:lineRule="auto"/>
        <w:jc w:val="both"/>
        <w:textAlignment w:val="baseline"/>
        <w:rPr>
          <w:rFonts w:ascii="Verdana" w:hAnsi="Verdana" w:cs="Calibri"/>
          <w:color w:val="000000"/>
          <w:lang w:eastAsia="es-CO"/>
        </w:rPr>
      </w:pPr>
    </w:p>
    <w:p w14:paraId="3A34BBAC" w14:textId="77777777" w:rsidR="008034AA" w:rsidRPr="009A726D" w:rsidRDefault="008034AA" w:rsidP="008034AA">
      <w:pPr>
        <w:spacing w:after="120" w:line="276" w:lineRule="auto"/>
        <w:ind w:firstLine="709"/>
        <w:jc w:val="both"/>
        <w:rPr>
          <w:rFonts w:ascii="Verdana" w:hAnsi="Verdana" w:cs="Arial"/>
          <w:color w:val="000000"/>
          <w:szCs w:val="24"/>
          <w:lang w:val="es-ES_tradnl" w:eastAsia="es-ES_tradnl"/>
        </w:rPr>
      </w:pPr>
      <w:r w:rsidRPr="009A726D">
        <w:rPr>
          <w:rFonts w:ascii="Verdana" w:hAnsi="Verdana" w:cs="Arial"/>
          <w:color w:val="000000"/>
          <w:lang w:val="es-ES" w:eastAsia="es-ES"/>
        </w:rPr>
        <w:t xml:space="preserve">De manera preliminar, resulta necesario precisar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A726D">
        <w:rPr>
          <w:rFonts w:ascii="Verdana" w:hAnsi="Verdana" w:cs="Arial"/>
          <w:color w:val="000000"/>
          <w:szCs w:val="24"/>
          <w:lang w:val="es-ES_tradnl" w:eastAsia="es-ES_tradnl"/>
        </w:rPr>
        <w:tab/>
      </w:r>
    </w:p>
    <w:p w14:paraId="1410874F" w14:textId="77777777" w:rsidR="008034AA" w:rsidRPr="009A726D" w:rsidRDefault="008034AA" w:rsidP="008034AA">
      <w:pPr>
        <w:spacing w:after="120" w:line="276" w:lineRule="auto"/>
        <w:ind w:firstLine="709"/>
        <w:jc w:val="both"/>
        <w:rPr>
          <w:rFonts w:ascii="Verdana" w:hAnsi="Verdana" w:cs="Arial"/>
          <w:lang w:val="es-ES" w:eastAsia="es-ES"/>
        </w:rPr>
      </w:pPr>
      <w:r w:rsidRPr="009A726D">
        <w:rPr>
          <w:rFonts w:ascii="Verdana"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923A2A9" w14:textId="77777777" w:rsidR="008034AA" w:rsidRPr="009A726D" w:rsidRDefault="008034AA" w:rsidP="008034AA">
      <w:pPr>
        <w:spacing w:after="0" w:line="276" w:lineRule="auto"/>
        <w:jc w:val="both"/>
        <w:rPr>
          <w:rFonts w:ascii="Verdana" w:hAnsi="Verdana" w:cs="Arial"/>
          <w:color w:val="000000"/>
          <w:lang w:val="es-ES" w:eastAsia="es-ES"/>
        </w:rPr>
      </w:pPr>
    </w:p>
    <w:p w14:paraId="472419BE" w14:textId="77777777" w:rsidR="008034AA" w:rsidRPr="009A726D" w:rsidRDefault="008034AA" w:rsidP="008034AA">
      <w:pPr>
        <w:numPr>
          <w:ilvl w:val="0"/>
          <w:numId w:val="16"/>
        </w:numPr>
        <w:tabs>
          <w:tab w:val="left" w:pos="142"/>
          <w:tab w:val="left" w:pos="284"/>
        </w:tabs>
        <w:spacing w:after="0" w:line="276" w:lineRule="auto"/>
        <w:ind w:left="0" w:firstLine="0"/>
        <w:contextualSpacing/>
        <w:jc w:val="both"/>
        <w:rPr>
          <w:rFonts w:ascii="Verdana" w:hAnsi="Verdana" w:cs="Century Gothic"/>
          <w:b/>
          <w:bCs/>
          <w:lang w:val="es-ES"/>
        </w:rPr>
      </w:pPr>
      <w:r w:rsidRPr="009A726D">
        <w:rPr>
          <w:rFonts w:ascii="Verdana" w:hAnsi="Verdana" w:cs="Century Gothic"/>
          <w:b/>
          <w:bCs/>
          <w:lang w:val="es-ES"/>
        </w:rPr>
        <w:t>Problema planteado:</w:t>
      </w:r>
    </w:p>
    <w:p w14:paraId="4EFC5A86" w14:textId="77777777" w:rsidR="008034AA" w:rsidRPr="009A726D" w:rsidRDefault="008034AA" w:rsidP="008034AA">
      <w:pPr>
        <w:spacing w:after="0" w:line="240" w:lineRule="auto"/>
        <w:ind w:right="709"/>
        <w:jc w:val="both"/>
        <w:rPr>
          <w:rFonts w:ascii="Verdana" w:hAnsi="Verdana" w:cs="Century Gothic"/>
          <w:lang w:val="es-ES"/>
        </w:rPr>
      </w:pPr>
    </w:p>
    <w:p w14:paraId="4229B1FA" w14:textId="2D301000" w:rsidR="008034AA" w:rsidRDefault="008034AA" w:rsidP="008034AA">
      <w:pPr>
        <w:spacing w:after="0" w:line="276" w:lineRule="auto"/>
        <w:jc w:val="both"/>
        <w:rPr>
          <w:rFonts w:ascii="Verdana" w:hAnsi="Verdana" w:cs="Century Gothic"/>
          <w:lang w:val="es-ES"/>
        </w:rPr>
      </w:pPr>
      <w:r w:rsidRPr="009A726D">
        <w:rPr>
          <w:rFonts w:ascii="Verdana" w:hAnsi="Verdana"/>
        </w:rPr>
        <w:t>De acuerdo con el contenido de su solicitud, esta Agencia resolverá el siguiente problema jurídico:</w:t>
      </w:r>
      <w:r w:rsidRPr="009A726D">
        <w:rPr>
          <w:rFonts w:ascii="Verdana" w:hAnsi="Verdana" w:cs="Century Gothic"/>
          <w:lang w:val="es-ES"/>
        </w:rPr>
        <w:t xml:space="preserve"> </w:t>
      </w:r>
      <w:r>
        <w:rPr>
          <w:rFonts w:ascii="Verdana" w:hAnsi="Verdana" w:cs="Century Gothic"/>
          <w:lang w:val="es-ES"/>
        </w:rPr>
        <w:t>¿Cómo debe ser el manejo de los recursos en los convenios solidarios con Organismos de Acción Comunal</w:t>
      </w:r>
      <w:r w:rsidR="00BA4842">
        <w:rPr>
          <w:rFonts w:ascii="Verdana" w:hAnsi="Verdana" w:cs="Century Gothic"/>
          <w:lang w:val="es-ES"/>
        </w:rPr>
        <w:t>, bajo la opción 3 de la cláusula 7 de la Minuta Tipo</w:t>
      </w:r>
      <w:r>
        <w:rPr>
          <w:rFonts w:ascii="Verdana" w:hAnsi="Verdana" w:cs="Century Gothic"/>
          <w:lang w:val="es-ES"/>
        </w:rPr>
        <w:t>?</w:t>
      </w:r>
    </w:p>
    <w:p w14:paraId="549DA1DB" w14:textId="77777777" w:rsidR="008034AA" w:rsidRDefault="008034AA" w:rsidP="008034AA">
      <w:pPr>
        <w:spacing w:after="0" w:line="276" w:lineRule="auto"/>
        <w:jc w:val="both"/>
        <w:rPr>
          <w:rFonts w:ascii="Verdana" w:hAnsi="Verdana" w:cs="Century Gothic"/>
          <w:lang w:val="es-ES"/>
        </w:rPr>
      </w:pPr>
    </w:p>
    <w:p w14:paraId="3E5726D3" w14:textId="77777777" w:rsidR="008034AA" w:rsidRDefault="008034AA" w:rsidP="008034AA">
      <w:pPr>
        <w:spacing w:after="0" w:line="276" w:lineRule="auto"/>
        <w:jc w:val="both"/>
        <w:rPr>
          <w:rFonts w:ascii="Verdana" w:hAnsi="Verdana" w:cs="Century Gothic"/>
          <w:b/>
          <w:bCs/>
          <w:lang w:val="es-ES"/>
        </w:rPr>
      </w:pPr>
      <w:r w:rsidRPr="00FA6B40">
        <w:rPr>
          <w:rFonts w:ascii="Verdana" w:hAnsi="Verdana" w:cs="Century Gothic"/>
          <w:b/>
          <w:bCs/>
          <w:lang w:val="es-ES"/>
        </w:rPr>
        <w:t xml:space="preserve">2. Respuesta: </w:t>
      </w:r>
    </w:p>
    <w:p w14:paraId="3769E342" w14:textId="7F48BB53" w:rsidR="008034AA" w:rsidRDefault="008034AA" w:rsidP="008034AA">
      <w:pPr>
        <w:pBdr>
          <w:top w:val="single" w:sz="4" w:space="1" w:color="auto"/>
          <w:left w:val="single" w:sz="4" w:space="4" w:color="auto"/>
          <w:bottom w:val="single" w:sz="4" w:space="1" w:color="auto"/>
          <w:right w:val="single" w:sz="4" w:space="4" w:color="auto"/>
        </w:pBdr>
        <w:spacing w:after="0" w:line="276" w:lineRule="auto"/>
        <w:jc w:val="both"/>
        <w:rPr>
          <w:rFonts w:ascii="Verdana" w:hAnsi="Verdana" w:cs="Century Gothic"/>
          <w:lang w:val="es-ES"/>
        </w:rPr>
      </w:pPr>
      <w:r>
        <w:rPr>
          <w:rFonts w:ascii="Verdana" w:hAnsi="Verdana" w:cs="Century Gothic"/>
          <w:lang w:val="es-ES"/>
        </w:rPr>
        <w:t>Con respecto a su solicitud, es menester mencionar que en la Minuta Tipo de convenios Solidarios está establecid</w:t>
      </w:r>
      <w:r w:rsidR="00983C35">
        <w:rPr>
          <w:rFonts w:ascii="Verdana" w:hAnsi="Verdana" w:cs="Century Gothic"/>
          <w:lang w:val="es-ES"/>
        </w:rPr>
        <w:t>o</w:t>
      </w:r>
      <w:r>
        <w:rPr>
          <w:rFonts w:ascii="Verdana" w:hAnsi="Verdana" w:cs="Century Gothic"/>
          <w:lang w:val="es-ES"/>
        </w:rPr>
        <w:t xml:space="preserve"> </w:t>
      </w:r>
      <w:r w:rsidR="00983C35">
        <w:rPr>
          <w:rFonts w:ascii="Verdana" w:hAnsi="Verdana" w:cs="Century Gothic"/>
          <w:lang w:val="es-ES"/>
        </w:rPr>
        <w:t>que,</w:t>
      </w:r>
      <w:r>
        <w:rPr>
          <w:rFonts w:ascii="Verdana" w:hAnsi="Verdana" w:cs="Century Gothic"/>
          <w:lang w:val="es-ES"/>
        </w:rPr>
        <w:t xml:space="preserve"> para la ejecución y manejo de los recursos de los convenios solidarios, existen tres opciones</w:t>
      </w:r>
      <w:r w:rsidR="001F0719">
        <w:rPr>
          <w:rFonts w:ascii="Verdana" w:hAnsi="Verdana" w:cs="Century Gothic"/>
          <w:lang w:val="es-ES"/>
        </w:rPr>
        <w:t>.</w:t>
      </w:r>
    </w:p>
    <w:p w14:paraId="74402155" w14:textId="77777777" w:rsidR="008034AA" w:rsidRDefault="008034AA" w:rsidP="008034AA">
      <w:pPr>
        <w:pBdr>
          <w:top w:val="single" w:sz="4" w:space="1" w:color="auto"/>
          <w:left w:val="single" w:sz="4" w:space="4" w:color="auto"/>
          <w:bottom w:val="single" w:sz="4" w:space="1" w:color="auto"/>
          <w:right w:val="single" w:sz="4" w:space="4" w:color="auto"/>
        </w:pBdr>
        <w:spacing w:after="0" w:line="276" w:lineRule="auto"/>
        <w:jc w:val="both"/>
        <w:rPr>
          <w:rFonts w:ascii="Verdana" w:hAnsi="Verdana" w:cs="Century Gothic"/>
          <w:lang w:val="es-ES"/>
        </w:rPr>
      </w:pPr>
    </w:p>
    <w:p w14:paraId="5B4BA939" w14:textId="4A8BF2B4" w:rsidR="008034AA" w:rsidRPr="0029410B" w:rsidRDefault="00D90036" w:rsidP="008034AA">
      <w:pPr>
        <w:pBdr>
          <w:top w:val="single" w:sz="4" w:space="1" w:color="auto"/>
          <w:left w:val="single" w:sz="4" w:space="4" w:color="auto"/>
          <w:bottom w:val="single" w:sz="4" w:space="1" w:color="auto"/>
          <w:right w:val="single" w:sz="4" w:space="4" w:color="auto"/>
        </w:pBdr>
        <w:spacing w:after="0" w:line="276" w:lineRule="auto"/>
        <w:jc w:val="both"/>
        <w:rPr>
          <w:rFonts w:ascii="Verdana" w:hAnsi="Verdana" w:cs="Century Gothic"/>
        </w:rPr>
      </w:pPr>
      <w:r>
        <w:rPr>
          <w:rFonts w:ascii="Verdana" w:hAnsi="Verdana" w:cs="Century Gothic"/>
          <w:bCs/>
        </w:rPr>
        <w:t xml:space="preserve">Ahora bien, al </w:t>
      </w:r>
      <w:r w:rsidR="008034AA" w:rsidRPr="0029410B">
        <w:rPr>
          <w:rFonts w:ascii="Verdana" w:hAnsi="Verdana" w:cs="Century Gothic"/>
          <w:bCs/>
        </w:rPr>
        <w:t xml:space="preserve">mencionar el </w:t>
      </w:r>
      <w:r w:rsidR="00C0328E">
        <w:rPr>
          <w:rFonts w:ascii="Verdana" w:hAnsi="Verdana" w:cs="Century Gothic"/>
          <w:bCs/>
        </w:rPr>
        <w:t xml:space="preserve">giro electrónico o </w:t>
      </w:r>
      <w:r w:rsidR="0091683A">
        <w:rPr>
          <w:rFonts w:ascii="Verdana" w:hAnsi="Verdana" w:cs="Century Gothic"/>
          <w:bCs/>
        </w:rPr>
        <w:t xml:space="preserve">el método de autenticación dual, inmediatamente entendemos que se está frente al </w:t>
      </w:r>
      <w:r w:rsidR="008034AA" w:rsidRPr="0029410B">
        <w:rPr>
          <w:rFonts w:ascii="Verdana" w:hAnsi="Verdana" w:cs="Century Gothic"/>
          <w:bCs/>
        </w:rPr>
        <w:t xml:space="preserve">alcance de la Opción </w:t>
      </w:r>
      <w:r w:rsidR="0091683A">
        <w:rPr>
          <w:rFonts w:ascii="Verdana" w:hAnsi="Verdana" w:cs="Century Gothic"/>
          <w:bCs/>
        </w:rPr>
        <w:t>3 de la Clausula 7</w:t>
      </w:r>
      <w:r w:rsidR="008034AA" w:rsidRPr="0029410B">
        <w:rPr>
          <w:rFonts w:ascii="Verdana" w:hAnsi="Verdana" w:cs="Century Gothic"/>
          <w:bCs/>
        </w:rPr>
        <w:t xml:space="preserve"> “Giro de los recursos” de la Minuta Tipo de Convenios Solidarios.</w:t>
      </w:r>
      <w:r w:rsidR="008034AA" w:rsidRPr="0029410B">
        <w:rPr>
          <w:rFonts w:ascii="Verdana" w:hAnsi="Verdana" w:cs="Century Gothic"/>
        </w:rPr>
        <w:t xml:space="preserve"> El inciso primero de esa opción, indica parámetros obligatorios que debe incluir la entidad que la escoja. De esta forma, el giro de los recursos se realizará </w:t>
      </w:r>
      <w:r w:rsidR="001C4BD0" w:rsidRPr="001C4BD0">
        <w:rPr>
          <w:rFonts w:ascii="Verdana" w:hAnsi="Verdana" w:cs="Century Gothic"/>
        </w:rPr>
        <w:t xml:space="preserve">a cuenta bancaria a nombre del convenio que genere rendimientos financieros y sin </w:t>
      </w:r>
      <w:r w:rsidR="001C4BD0" w:rsidRPr="001C4BD0">
        <w:rPr>
          <w:rFonts w:ascii="Verdana" w:hAnsi="Verdana" w:cs="Century Gothic"/>
        </w:rPr>
        <w:lastRenderedPageBreak/>
        <w:t>posibilidad de sobregiro, en la que se dispondrá de los recursos únicamente de manera electrónica, por lo cual esta cuenta deberá contar con un mecanismo de autenticación dual, en el cual, el usuario preparador será asignado al OAC y el usuario aprobador será asignado al Interventor y/o Supervisor de la Entidad Estatal, por lo cual para cualquier disposición que se realice de los recursos se deberá contar siempre con la aprobación dual</w:t>
      </w:r>
      <w:r w:rsidR="008034AA" w:rsidRPr="0029410B">
        <w:rPr>
          <w:rFonts w:ascii="Verdana" w:hAnsi="Verdana" w:cs="Century Gothic"/>
        </w:rPr>
        <w:t>.</w:t>
      </w:r>
    </w:p>
    <w:p w14:paraId="00A7C68E" w14:textId="77777777" w:rsidR="008034AA" w:rsidRPr="0029410B" w:rsidRDefault="008034AA" w:rsidP="008034AA">
      <w:pPr>
        <w:pBdr>
          <w:top w:val="single" w:sz="4" w:space="1" w:color="auto"/>
          <w:left w:val="single" w:sz="4" w:space="4" w:color="auto"/>
          <w:bottom w:val="single" w:sz="4" w:space="1" w:color="auto"/>
          <w:right w:val="single" w:sz="4" w:space="4" w:color="auto"/>
        </w:pBdr>
        <w:spacing w:after="0" w:line="276" w:lineRule="auto"/>
        <w:jc w:val="both"/>
        <w:rPr>
          <w:rFonts w:ascii="Verdana" w:hAnsi="Verdana" w:cs="Century Gothic"/>
          <w:lang w:val="es-ES"/>
        </w:rPr>
      </w:pPr>
      <w:r w:rsidRPr="0029410B">
        <w:rPr>
          <w:rFonts w:ascii="Verdana" w:hAnsi="Verdana" w:cs="Century Gothic"/>
          <w:lang w:val="es-ES"/>
        </w:rPr>
        <w:t xml:space="preserve"> </w:t>
      </w:r>
    </w:p>
    <w:p w14:paraId="3F78D6B4" w14:textId="42FCE56D" w:rsidR="008034AA" w:rsidRPr="0029410B" w:rsidRDefault="008034AA" w:rsidP="008034AA">
      <w:pPr>
        <w:pBdr>
          <w:top w:val="single" w:sz="4" w:space="1" w:color="auto"/>
          <w:left w:val="single" w:sz="4" w:space="4" w:color="auto"/>
          <w:bottom w:val="single" w:sz="4" w:space="1" w:color="auto"/>
          <w:right w:val="single" w:sz="4" w:space="4" w:color="auto"/>
        </w:pBdr>
        <w:spacing w:after="0" w:line="276" w:lineRule="auto"/>
        <w:jc w:val="both"/>
        <w:rPr>
          <w:rFonts w:ascii="Verdana" w:hAnsi="Verdana" w:cs="Century Gothic"/>
        </w:rPr>
      </w:pPr>
      <w:r w:rsidRPr="0029410B">
        <w:rPr>
          <w:rFonts w:ascii="Verdana" w:hAnsi="Verdana" w:cs="Century Gothic"/>
        </w:rPr>
        <w:t xml:space="preserve">Así mismo, la opción señala que </w:t>
      </w:r>
      <w:r w:rsidR="00B03462" w:rsidRPr="00B03462">
        <w:rPr>
          <w:rFonts w:ascii="Verdana" w:hAnsi="Verdana" w:cs="Century Gothic"/>
        </w:rPr>
        <w:t>La Entidad Estatal puede indicar condiciones propias de los giros respecto de la disponibilidad de PAC o Soportes que se requieran de la OAC para efectuar el giro de los recursos</w:t>
      </w:r>
      <w:r w:rsidRPr="0029410B">
        <w:rPr>
          <w:rFonts w:ascii="Verdana" w:hAnsi="Verdana" w:cs="Century Gothic"/>
        </w:rPr>
        <w:t>.</w:t>
      </w:r>
    </w:p>
    <w:p w14:paraId="19D19C2C" w14:textId="77777777" w:rsidR="008034AA" w:rsidRDefault="008034AA" w:rsidP="008034AA">
      <w:pPr>
        <w:pBdr>
          <w:top w:val="single" w:sz="4" w:space="1" w:color="auto"/>
          <w:left w:val="single" w:sz="4" w:space="4" w:color="auto"/>
          <w:bottom w:val="single" w:sz="4" w:space="1" w:color="auto"/>
          <w:right w:val="single" w:sz="4" w:space="4" w:color="auto"/>
        </w:pBdr>
        <w:spacing w:after="0" w:line="276" w:lineRule="auto"/>
        <w:jc w:val="both"/>
        <w:rPr>
          <w:rFonts w:ascii="Verdana" w:hAnsi="Verdana" w:cs="Century Gothic"/>
          <w:lang w:val="es-ES"/>
        </w:rPr>
      </w:pPr>
    </w:p>
    <w:p w14:paraId="51F730A1" w14:textId="59637D23" w:rsidR="008034AA" w:rsidRPr="00FE147C" w:rsidRDefault="008034AA" w:rsidP="008034AA">
      <w:pPr>
        <w:pBdr>
          <w:top w:val="single" w:sz="4" w:space="1" w:color="auto"/>
          <w:left w:val="single" w:sz="4" w:space="4" w:color="auto"/>
          <w:bottom w:val="single" w:sz="4" w:space="1" w:color="auto"/>
          <w:right w:val="single" w:sz="4" w:space="4" w:color="auto"/>
        </w:pBdr>
        <w:spacing w:after="0" w:line="276" w:lineRule="auto"/>
        <w:jc w:val="both"/>
        <w:rPr>
          <w:rFonts w:ascii="Verdana" w:hAnsi="Verdana" w:cs="Century Gothic"/>
          <w:lang w:val="es-MX"/>
        </w:rPr>
      </w:pPr>
      <w:r>
        <w:rPr>
          <w:rFonts w:ascii="Verdana" w:hAnsi="Verdana" w:cs="Century Gothic"/>
        </w:rPr>
        <w:t xml:space="preserve">En relación con lo anterior, </w:t>
      </w:r>
      <w:r w:rsidRPr="00FE147C">
        <w:rPr>
          <w:rFonts w:ascii="Verdana" w:hAnsi="Verdana" w:cs="Century Gothic"/>
        </w:rPr>
        <w:t xml:space="preserve">la cláusula 8 de la Minuta Tipo dispone de tres (3) alternativas para el manejo de los recursos, dependiendo de si se opta por la opción 1, 2 o 3 de la cláusula 7 para el giro de los recursos. Esto significa que la opción para el manejo de los recursos debe incluirse dependiendo de la opción de giro de recursos que se haya escogido. Estas opciones contienen unas condiciones que deben cumplirse y, en caso de que se opte por la opción </w:t>
      </w:r>
      <w:r w:rsidR="00186DAA">
        <w:rPr>
          <w:rFonts w:ascii="Verdana" w:hAnsi="Verdana" w:cs="Century Gothic"/>
        </w:rPr>
        <w:t>3</w:t>
      </w:r>
      <w:r w:rsidRPr="00FE147C">
        <w:rPr>
          <w:rFonts w:ascii="Verdana" w:hAnsi="Verdana" w:cs="Century Gothic"/>
        </w:rPr>
        <w:t xml:space="preserve"> de la cláusula 7 de la Minuta Tipo, que implica que se realicen giros de recursos a cuenta conjunta a nombre del convenio</w:t>
      </w:r>
      <w:r w:rsidR="00A46621">
        <w:rPr>
          <w:rFonts w:ascii="Verdana" w:hAnsi="Verdana" w:cs="Century Gothic"/>
        </w:rPr>
        <w:t xml:space="preserve"> con manejo electrónico</w:t>
      </w:r>
      <w:r w:rsidRPr="00FE147C">
        <w:rPr>
          <w:rFonts w:ascii="Verdana" w:hAnsi="Verdana" w:cs="Century Gothic"/>
        </w:rPr>
        <w:t xml:space="preserve">, debe tenerse en cuenta -para efectos de su consulta-, el numeral I. </w:t>
      </w:r>
    </w:p>
    <w:p w14:paraId="13115FC4" w14:textId="77777777" w:rsidR="008034AA" w:rsidRPr="00FE147C" w:rsidRDefault="008034AA" w:rsidP="008034AA">
      <w:pPr>
        <w:pBdr>
          <w:top w:val="single" w:sz="4" w:space="1" w:color="auto"/>
          <w:left w:val="single" w:sz="4" w:space="4" w:color="auto"/>
          <w:bottom w:val="single" w:sz="4" w:space="1" w:color="auto"/>
          <w:right w:val="single" w:sz="4" w:space="4" w:color="auto"/>
        </w:pBdr>
        <w:spacing w:after="0" w:line="276" w:lineRule="auto"/>
        <w:jc w:val="both"/>
        <w:rPr>
          <w:rFonts w:ascii="Verdana" w:hAnsi="Verdana" w:cs="Century Gothic"/>
          <w:lang w:val="es-MX"/>
        </w:rPr>
      </w:pPr>
    </w:p>
    <w:p w14:paraId="23F5C53C" w14:textId="150AC105" w:rsidR="00BB67C4" w:rsidRDefault="008034AA" w:rsidP="008034AA">
      <w:pPr>
        <w:pBdr>
          <w:top w:val="single" w:sz="4" w:space="1" w:color="auto"/>
          <w:left w:val="single" w:sz="4" w:space="4" w:color="auto"/>
          <w:bottom w:val="single" w:sz="4" w:space="1" w:color="auto"/>
          <w:right w:val="single" w:sz="4" w:space="4" w:color="auto"/>
        </w:pBdr>
        <w:spacing w:after="0" w:line="276" w:lineRule="auto"/>
        <w:jc w:val="both"/>
        <w:rPr>
          <w:rFonts w:ascii="Verdana" w:hAnsi="Verdana" w:cs="Century Gothic"/>
        </w:rPr>
      </w:pPr>
      <w:r w:rsidRPr="00FE147C">
        <w:rPr>
          <w:rFonts w:ascii="Verdana" w:hAnsi="Verdana" w:cs="Century Gothic"/>
        </w:rPr>
        <w:t xml:space="preserve">El numeral, </w:t>
      </w:r>
      <w:bookmarkStart w:id="2" w:name="_Hlk205496064"/>
      <w:r w:rsidRPr="00FE147C">
        <w:rPr>
          <w:rFonts w:ascii="Verdana" w:hAnsi="Verdana" w:cs="Century Gothic"/>
        </w:rPr>
        <w:t>indica que debe aperturarse una cuenta</w:t>
      </w:r>
      <w:r w:rsidR="00BB67C4">
        <w:rPr>
          <w:rFonts w:ascii="Verdana" w:hAnsi="Verdana" w:cs="Century Gothic"/>
        </w:rPr>
        <w:t xml:space="preserve"> </w:t>
      </w:r>
      <w:r w:rsidR="00BB67C4" w:rsidRPr="00BB67C4">
        <w:rPr>
          <w:rFonts w:ascii="Verdana" w:hAnsi="Verdana" w:cs="Century Gothic"/>
        </w:rPr>
        <w:t>bancaria a nombre del convenio que genere rendimientos financieros y sin posibilidad de sobregiro, en la que se dispondrá de los recursos únicamente de manera electrónica, por lo cual esta cuenta deberá contar con un mecanismo de autenticación dual, en el cual, el usuario preparador será asignado al OAC y el usuario aprobador será asignado al Interventor y/o Supervisor de la Entidad Estatal, por lo cual para cualquier disposición que se realice de los recursos se deberá contar siempre con la aprobación dual y debe tener los respectivos soportes que justifiquen el desembolso.</w:t>
      </w:r>
    </w:p>
    <w:bookmarkEnd w:id="2"/>
    <w:p w14:paraId="5578F426" w14:textId="77777777" w:rsidR="00BB67C4" w:rsidRDefault="00BB67C4" w:rsidP="008034AA">
      <w:pPr>
        <w:pBdr>
          <w:top w:val="single" w:sz="4" w:space="1" w:color="auto"/>
          <w:left w:val="single" w:sz="4" w:space="4" w:color="auto"/>
          <w:bottom w:val="single" w:sz="4" w:space="1" w:color="auto"/>
          <w:right w:val="single" w:sz="4" w:space="4" w:color="auto"/>
        </w:pBdr>
        <w:spacing w:after="0" w:line="276" w:lineRule="auto"/>
        <w:jc w:val="both"/>
        <w:rPr>
          <w:rFonts w:ascii="Verdana" w:hAnsi="Verdana" w:cs="Century Gothic"/>
        </w:rPr>
      </w:pPr>
    </w:p>
    <w:p w14:paraId="7EFB0EA6" w14:textId="4A816D3E" w:rsidR="00BB67C4" w:rsidRDefault="00BB67C4" w:rsidP="008034AA">
      <w:pPr>
        <w:pBdr>
          <w:top w:val="single" w:sz="4" w:space="1" w:color="auto"/>
          <w:left w:val="single" w:sz="4" w:space="4" w:color="auto"/>
          <w:bottom w:val="single" w:sz="4" w:space="1" w:color="auto"/>
          <w:right w:val="single" w:sz="4" w:space="4" w:color="auto"/>
        </w:pBdr>
        <w:spacing w:after="0" w:line="276" w:lineRule="auto"/>
        <w:jc w:val="both"/>
        <w:rPr>
          <w:rFonts w:ascii="Verdana" w:hAnsi="Verdana" w:cs="Century Gothic"/>
        </w:rPr>
      </w:pPr>
      <w:bookmarkStart w:id="3" w:name="_Hlk205496133"/>
      <w:r>
        <w:rPr>
          <w:rFonts w:ascii="Verdana" w:hAnsi="Verdana" w:cs="Century Gothic"/>
        </w:rPr>
        <w:t xml:space="preserve">En ese sentido, es importante traer a colación el </w:t>
      </w:r>
      <w:r w:rsidR="009A4E6D">
        <w:rPr>
          <w:rFonts w:ascii="Verdana" w:hAnsi="Verdana" w:cs="Century Gothic"/>
        </w:rPr>
        <w:t>criterio de inalterabilidad de los Documentos Tipo</w:t>
      </w:r>
      <w:r w:rsidR="000B72A7">
        <w:rPr>
          <w:rFonts w:ascii="Verdana" w:hAnsi="Verdana" w:cs="Century Gothic"/>
        </w:rPr>
        <w:t xml:space="preserve">, que aplica también para la minuta </w:t>
      </w:r>
      <w:r w:rsidR="000B72A7" w:rsidRPr="00E64194">
        <w:rPr>
          <w:rFonts w:ascii="Verdana" w:hAnsi="Verdana" w:cs="Century Gothic"/>
          <w:lang w:val="es-ES"/>
        </w:rPr>
        <w:t>para la contratación directa de convenios solidarios para la ejecución de obras hasta la menor cuantía con organismos de acción comunal</w:t>
      </w:r>
      <w:r w:rsidR="000B72A7">
        <w:rPr>
          <w:rFonts w:ascii="Verdana" w:hAnsi="Verdana" w:cs="Century Gothic"/>
          <w:lang w:val="es-ES"/>
        </w:rPr>
        <w:t xml:space="preserve">, tal cual lo dispone el </w:t>
      </w:r>
      <w:r w:rsidR="00665661">
        <w:rPr>
          <w:rFonts w:ascii="Verdana" w:hAnsi="Verdana" w:cs="Century Gothic"/>
          <w:lang w:val="es-ES"/>
        </w:rPr>
        <w:t>artículo</w:t>
      </w:r>
      <w:r w:rsidR="000B72A7">
        <w:rPr>
          <w:rFonts w:ascii="Verdana" w:hAnsi="Verdana" w:cs="Century Gothic"/>
          <w:lang w:val="es-ES"/>
        </w:rPr>
        <w:t xml:space="preserve"> 3 </w:t>
      </w:r>
      <w:r w:rsidR="005D5158">
        <w:rPr>
          <w:rFonts w:ascii="Verdana" w:hAnsi="Verdana" w:cs="Century Gothic"/>
          <w:lang w:val="es-ES"/>
        </w:rPr>
        <w:t xml:space="preserve">de la resolución 358 de 2023, </w:t>
      </w:r>
      <w:r w:rsidR="00132F6E">
        <w:rPr>
          <w:rFonts w:ascii="Verdana" w:hAnsi="Verdana" w:cs="Century Gothic"/>
          <w:lang w:val="es-ES"/>
        </w:rPr>
        <w:t xml:space="preserve">bajo el cual no es factible modificar condiciones de la Minuta, si de forma expresa esta no lo permite, razón por la cual en atención a su consulta es importante destacar que la Opción 3 de la Clausula 7 de la Minuta Tipo no permite </w:t>
      </w:r>
      <w:r w:rsidR="00132F6E">
        <w:rPr>
          <w:rFonts w:ascii="Verdana" w:hAnsi="Verdana" w:cs="Century Gothic"/>
          <w:lang w:val="es-ES"/>
        </w:rPr>
        <w:lastRenderedPageBreak/>
        <w:t>modificación alguna a l</w:t>
      </w:r>
      <w:r w:rsidR="004D2825">
        <w:rPr>
          <w:rFonts w:ascii="Verdana" w:hAnsi="Verdana" w:cs="Century Gothic"/>
          <w:lang w:val="es-ES"/>
        </w:rPr>
        <w:t>a forma y personas que deben realizar la aprobación dual para giros electrónicos.</w:t>
      </w:r>
    </w:p>
    <w:bookmarkEnd w:id="3"/>
    <w:p w14:paraId="108B9424" w14:textId="77777777" w:rsidR="008034AA" w:rsidRPr="00FA6B40" w:rsidRDefault="008034AA" w:rsidP="008034AA">
      <w:pPr>
        <w:spacing w:after="0" w:line="276" w:lineRule="auto"/>
        <w:jc w:val="both"/>
        <w:rPr>
          <w:rFonts w:ascii="Verdana" w:hAnsi="Verdana" w:cs="Century Gothic"/>
          <w:b/>
          <w:bCs/>
          <w:lang w:val="es-ES"/>
        </w:rPr>
      </w:pPr>
    </w:p>
    <w:p w14:paraId="55BEF1C2" w14:textId="77777777" w:rsidR="008034AA" w:rsidRDefault="008034AA" w:rsidP="008034AA">
      <w:pPr>
        <w:spacing w:after="0" w:line="276" w:lineRule="auto"/>
        <w:jc w:val="both"/>
        <w:rPr>
          <w:rFonts w:ascii="Verdana" w:hAnsi="Verdana" w:cs="Century Gothic"/>
          <w:lang w:val="es-ES"/>
        </w:rPr>
      </w:pPr>
      <w:r w:rsidRPr="00FA6B40">
        <w:rPr>
          <w:rFonts w:ascii="Verdana" w:hAnsi="Verdana" w:cs="Century Gothic"/>
          <w:b/>
          <w:bCs/>
          <w:lang w:val="es-ES"/>
        </w:rPr>
        <w:t>3. Razones de la respuesta</w:t>
      </w:r>
      <w:r>
        <w:rPr>
          <w:rFonts w:ascii="Verdana" w:hAnsi="Verdana" w:cs="Century Gothic"/>
          <w:lang w:val="es-ES"/>
        </w:rPr>
        <w:t xml:space="preserve">: </w:t>
      </w:r>
    </w:p>
    <w:p w14:paraId="194D80A9" w14:textId="77777777" w:rsidR="008034AA" w:rsidRDefault="008034AA" w:rsidP="008034AA">
      <w:pPr>
        <w:spacing w:after="0" w:line="276" w:lineRule="auto"/>
        <w:jc w:val="both"/>
        <w:rPr>
          <w:rFonts w:ascii="Verdana" w:hAnsi="Verdana" w:cs="Century Gothic"/>
          <w:lang w:val="es-ES"/>
        </w:rPr>
      </w:pPr>
    </w:p>
    <w:p w14:paraId="4D4D9D6C" w14:textId="77777777" w:rsidR="008034AA" w:rsidRDefault="008034AA" w:rsidP="008034AA">
      <w:pPr>
        <w:spacing w:after="0" w:line="276" w:lineRule="auto"/>
        <w:jc w:val="both"/>
        <w:rPr>
          <w:rFonts w:ascii="Verdana" w:hAnsi="Verdana" w:cs="Century Gothic"/>
          <w:lang w:val="es-ES"/>
        </w:rPr>
      </w:pPr>
      <w:r>
        <w:rPr>
          <w:rFonts w:ascii="Verdana" w:hAnsi="Verdana" w:cs="Century Gothic"/>
          <w:lang w:val="es-ES"/>
        </w:rPr>
        <w:t xml:space="preserve">Lo anterior se sustenta en las siguientes consideraciones: </w:t>
      </w:r>
    </w:p>
    <w:p w14:paraId="359D23C2" w14:textId="77777777" w:rsidR="008034AA" w:rsidRDefault="008034AA" w:rsidP="008034AA">
      <w:pPr>
        <w:spacing w:after="0" w:line="276" w:lineRule="auto"/>
        <w:jc w:val="both"/>
        <w:rPr>
          <w:rFonts w:ascii="Verdana" w:hAnsi="Verdana" w:cs="Century Gothic"/>
          <w:lang w:val="es-ES"/>
        </w:rPr>
      </w:pPr>
    </w:p>
    <w:p w14:paraId="6871960D" w14:textId="77777777" w:rsidR="008034AA" w:rsidRPr="00E64194" w:rsidRDefault="008034AA" w:rsidP="008034AA">
      <w:pPr>
        <w:spacing w:after="0" w:line="276" w:lineRule="auto"/>
        <w:jc w:val="both"/>
        <w:rPr>
          <w:rFonts w:ascii="Verdana" w:hAnsi="Verdana" w:cs="Century Gothic"/>
          <w:lang w:val="es-ES"/>
        </w:rPr>
      </w:pPr>
      <w:r>
        <w:rPr>
          <w:rFonts w:ascii="Verdana" w:hAnsi="Verdana" w:cs="Century Gothic"/>
          <w:lang w:val="es-ES"/>
        </w:rPr>
        <w:t xml:space="preserve">Con </w:t>
      </w:r>
      <w:r w:rsidRPr="00E64194">
        <w:rPr>
          <w:rFonts w:ascii="Verdana" w:hAnsi="Verdana" w:cs="Century Gothic"/>
          <w:lang w:val="es-ES"/>
        </w:rPr>
        <w:t>fundamento en la competencia prevista en el artículo 1 de la Ley 2022 de 2020</w:t>
      </w:r>
      <w:r w:rsidRPr="00E64194">
        <w:rPr>
          <w:rFonts w:ascii="Verdana" w:hAnsi="Verdana" w:cs="Century Gothic"/>
          <w:vertAlign w:val="superscript"/>
          <w:lang w:val="es-ES"/>
        </w:rPr>
        <w:footnoteReference w:id="1"/>
      </w:r>
      <w:r w:rsidRPr="00E64194">
        <w:rPr>
          <w:rFonts w:ascii="Verdana" w:hAnsi="Verdana" w:cs="Century Gothic"/>
          <w:lang w:val="es-ES"/>
        </w:rPr>
        <w:t>, el 30 de junio de 2023 la Agencia Nacional de Contratación Pública – Colombia Compra Eficiente expidió la Resolución 358 de 2023 “</w:t>
      </w:r>
      <w:hyperlink r:id="rId13" w:history="1">
        <w:r w:rsidRPr="00E64194">
          <w:rPr>
            <w:rStyle w:val="Hipervnculo"/>
            <w:rFonts w:ascii="Verdana" w:hAnsi="Verdana" w:cs="Century Gothic"/>
            <w:lang w:val="es-ES"/>
          </w:rPr>
          <w:t>Por la cual se adopta el documento tipo para la contratación directa de convenios solidarios para la ejecución de obras hasta la menor cuantía con organismos de acción comunal”. </w:t>
        </w:r>
      </w:hyperlink>
      <w:r w:rsidRPr="00E64194">
        <w:rPr>
          <w:rFonts w:ascii="Verdana" w:hAnsi="Verdana" w:cs="Century Gothic"/>
          <w:lang w:val="es-ES"/>
        </w:rPr>
        <w:t xml:space="preserve">La Resolución señalada, consta de cuatro artículos, el primero dispone que esta adopta los documentos tipo para la contratación directa de convenios solidarios para la ejecución de obras hasta la menor cuantía con Organismos de Acción Comunal. </w:t>
      </w:r>
    </w:p>
    <w:p w14:paraId="6C605DD2" w14:textId="77777777" w:rsidR="008034AA" w:rsidRDefault="008034AA" w:rsidP="008034AA">
      <w:pPr>
        <w:spacing w:after="0" w:line="276" w:lineRule="auto"/>
        <w:ind w:firstLine="708"/>
        <w:jc w:val="both"/>
        <w:rPr>
          <w:rFonts w:ascii="Verdana" w:hAnsi="Verdana" w:cs="Century Gothic"/>
          <w:lang w:val="es-ES"/>
        </w:rPr>
      </w:pPr>
    </w:p>
    <w:p w14:paraId="47FC404B" w14:textId="77777777" w:rsidR="008034AA" w:rsidRPr="00E64194" w:rsidRDefault="008034AA" w:rsidP="008034AA">
      <w:pPr>
        <w:spacing w:after="0" w:line="276" w:lineRule="auto"/>
        <w:ind w:firstLine="708"/>
        <w:jc w:val="both"/>
        <w:rPr>
          <w:rFonts w:ascii="Verdana" w:hAnsi="Verdana" w:cs="Century Gothic"/>
          <w:lang w:val="es-ES"/>
        </w:rPr>
      </w:pPr>
      <w:r w:rsidRPr="00E64194">
        <w:rPr>
          <w:rFonts w:ascii="Verdana" w:hAnsi="Verdana" w:cs="Century Gothic"/>
          <w:lang w:val="es-ES"/>
        </w:rPr>
        <w:t>El artículo 2 consagra que los documentos que se adoptan por medio de la Resolución contienen parámetros obligatorios para las entidades sometidas al Estatuto General de Contratación de la Administración Pública que adelanten procesos de selección bajo la modalidad de contratación directa para la celebración de convenios solidarios con organismos de acción comunal para la ejecución de obras hasta el monto de la menor cuantía</w:t>
      </w:r>
      <w:r w:rsidRPr="00E64194">
        <w:rPr>
          <w:rFonts w:ascii="Verdana" w:hAnsi="Verdana" w:cs="Century Gothic"/>
          <w:vertAlign w:val="superscript"/>
          <w:lang w:val="es-ES"/>
        </w:rPr>
        <w:footnoteReference w:id="2"/>
      </w:r>
      <w:r w:rsidRPr="00E64194">
        <w:rPr>
          <w:rFonts w:ascii="Verdana" w:hAnsi="Verdana" w:cs="Century Gothic"/>
          <w:lang w:val="es-ES"/>
        </w:rPr>
        <w:t xml:space="preserve">. Además, en este artículo se señala que componen ese documento tipo: i) Minuta tipo, </w:t>
      </w:r>
      <w:proofErr w:type="spellStart"/>
      <w:r w:rsidRPr="00E64194">
        <w:rPr>
          <w:rFonts w:ascii="Verdana" w:hAnsi="Verdana" w:cs="Century Gothic"/>
          <w:lang w:val="es-ES"/>
        </w:rPr>
        <w:t>ii</w:t>
      </w:r>
      <w:proofErr w:type="spellEnd"/>
      <w:r w:rsidRPr="00E64194">
        <w:rPr>
          <w:rFonts w:ascii="Verdana" w:hAnsi="Verdana" w:cs="Century Gothic"/>
          <w:lang w:val="es-ES"/>
        </w:rPr>
        <w:t xml:space="preserve">) Anexo1 – Especificaciones técnicas, </w:t>
      </w:r>
      <w:proofErr w:type="spellStart"/>
      <w:r w:rsidRPr="00E64194">
        <w:rPr>
          <w:rFonts w:ascii="Verdana" w:hAnsi="Verdana" w:cs="Century Gothic"/>
          <w:lang w:val="es-ES"/>
        </w:rPr>
        <w:t>iii</w:t>
      </w:r>
      <w:proofErr w:type="spellEnd"/>
      <w:r w:rsidRPr="00E64194">
        <w:rPr>
          <w:rFonts w:ascii="Verdana" w:hAnsi="Verdana" w:cs="Century Gothic"/>
          <w:lang w:val="es-ES"/>
        </w:rPr>
        <w:t xml:space="preserve">) Anexo 2 – Análisis del Sector y </w:t>
      </w:r>
      <w:proofErr w:type="spellStart"/>
      <w:r w:rsidRPr="00E64194">
        <w:rPr>
          <w:rFonts w:ascii="Verdana" w:hAnsi="Verdana" w:cs="Century Gothic"/>
          <w:lang w:val="es-ES"/>
        </w:rPr>
        <w:t>iv</w:t>
      </w:r>
      <w:proofErr w:type="spellEnd"/>
      <w:r w:rsidRPr="00E64194">
        <w:rPr>
          <w:rFonts w:ascii="Verdana" w:hAnsi="Verdana" w:cs="Century Gothic"/>
          <w:lang w:val="es-ES"/>
        </w:rPr>
        <w:t xml:space="preserve">) Matriz de Riesgos. </w:t>
      </w:r>
    </w:p>
    <w:p w14:paraId="333B5297" w14:textId="77777777" w:rsidR="008034AA" w:rsidRPr="00E64194" w:rsidRDefault="008034AA" w:rsidP="008034AA">
      <w:pPr>
        <w:spacing w:after="0" w:line="276" w:lineRule="auto"/>
        <w:jc w:val="both"/>
        <w:rPr>
          <w:rFonts w:ascii="Verdana" w:hAnsi="Verdana" w:cs="Century Gothic"/>
          <w:lang w:val="es-ES"/>
        </w:rPr>
      </w:pPr>
    </w:p>
    <w:p w14:paraId="05DC406D" w14:textId="77777777" w:rsidR="008034AA" w:rsidRPr="00E64194" w:rsidRDefault="008034AA" w:rsidP="008034AA">
      <w:pPr>
        <w:spacing w:after="0" w:line="276" w:lineRule="auto"/>
        <w:ind w:firstLine="708"/>
        <w:jc w:val="both"/>
        <w:rPr>
          <w:rFonts w:ascii="Verdana" w:hAnsi="Verdana" w:cs="Century Gothic"/>
          <w:bCs/>
          <w:lang w:val="es-ES_tradnl"/>
        </w:rPr>
      </w:pPr>
      <w:r w:rsidRPr="00E64194">
        <w:rPr>
          <w:rFonts w:ascii="Verdana" w:hAnsi="Verdana" w:cs="Century Gothic"/>
          <w:lang w:val="es-ES"/>
        </w:rPr>
        <w:t xml:space="preserve">El artículo 3 </w:t>
      </w:r>
      <w:r w:rsidRPr="00E64194">
        <w:rPr>
          <w:rFonts w:ascii="Verdana" w:hAnsi="Verdana" w:cs="Century Gothic"/>
          <w:bCs/>
          <w:lang w:val="es-ES_tradnl"/>
        </w:rPr>
        <w:t xml:space="preserve">dispone la inalterabilidad de los documentos tipo </w:t>
      </w:r>
      <w:r w:rsidRPr="00E64194">
        <w:rPr>
          <w:rFonts w:ascii="Verdana" w:hAnsi="Verdana" w:cs="Century Gothic"/>
          <w:lang w:val="es-ES"/>
        </w:rPr>
        <w:t>para la contratación directa de convenios solidarios para la ejecución de obras hasta la menor cuantía con organismos de acción comunal</w:t>
      </w:r>
      <w:r w:rsidRPr="00E64194">
        <w:rPr>
          <w:rFonts w:ascii="Verdana" w:hAnsi="Verdana" w:cs="Century Gothic"/>
          <w:bCs/>
          <w:lang w:val="es-ES_tradnl"/>
        </w:rPr>
        <w:t>. En consecuencia</w:t>
      </w:r>
      <w:bookmarkStart w:id="4" w:name="_Hlk64290904"/>
      <w:r w:rsidRPr="00E64194">
        <w:rPr>
          <w:rFonts w:ascii="Verdana" w:hAnsi="Verdana" w:cs="Century Gothic"/>
          <w:bCs/>
          <w:lang w:val="es-ES_tradnl"/>
        </w:rPr>
        <w:t xml:space="preserve">, las condiciones establecidas en los documentos que adopte la Agencia, en ejercicio del mandato establecido en el artículo 1 de la Ley 2022 de 2020, son de obligatorio </w:t>
      </w:r>
      <w:r w:rsidRPr="00E64194">
        <w:rPr>
          <w:rFonts w:ascii="Verdana" w:hAnsi="Verdana" w:cs="Century Gothic"/>
          <w:bCs/>
          <w:lang w:val="es-ES_tradnl"/>
        </w:rPr>
        <w:lastRenderedPageBreak/>
        <w:t>cumplimiento para las entidades sometidas al Estatuto General de Contratación de la Administración Pública que adelanten procesos que deban regirse por su contenido y, salvo que se permita expresamente, podrán variarse algunos de los requisitos fijados en ellos.</w:t>
      </w:r>
      <w:bookmarkEnd w:id="4"/>
      <w:r w:rsidRPr="00E64194">
        <w:rPr>
          <w:rFonts w:ascii="Verdana" w:hAnsi="Verdana" w:cs="Century Gothic"/>
          <w:bCs/>
          <w:lang w:val="es-ES_tradnl"/>
        </w:rPr>
        <w:t xml:space="preserve"> </w:t>
      </w:r>
    </w:p>
    <w:p w14:paraId="6DA059B4" w14:textId="77777777" w:rsidR="008034AA" w:rsidRPr="00E64194" w:rsidRDefault="008034AA" w:rsidP="008034AA">
      <w:pPr>
        <w:spacing w:after="0" w:line="276" w:lineRule="auto"/>
        <w:jc w:val="both"/>
        <w:rPr>
          <w:rFonts w:ascii="Verdana" w:hAnsi="Verdana" w:cs="Century Gothic"/>
          <w:bCs/>
          <w:lang w:val="es-ES_tradnl"/>
        </w:rPr>
      </w:pPr>
    </w:p>
    <w:p w14:paraId="3B9E52DD" w14:textId="77777777" w:rsidR="008034AA" w:rsidRPr="00E64194" w:rsidRDefault="008034AA" w:rsidP="008034AA">
      <w:pPr>
        <w:spacing w:after="0" w:line="276" w:lineRule="auto"/>
        <w:jc w:val="both"/>
        <w:rPr>
          <w:rFonts w:ascii="Verdana" w:hAnsi="Verdana" w:cs="Century Gothic"/>
          <w:bCs/>
          <w:lang w:val="es-ES_tradnl"/>
        </w:rPr>
      </w:pPr>
      <w:r w:rsidRPr="00E64194">
        <w:rPr>
          <w:rFonts w:ascii="Verdana" w:hAnsi="Verdana" w:cs="Century Gothic"/>
          <w:bCs/>
          <w:lang w:val="es-ES_tradnl"/>
        </w:rPr>
        <w:t xml:space="preserve">El artículo 4 consagra que la Resolución 358 del 30 de junio de 2023, rige a partir de su publicación y aplicará a la contratación directa de convenios solidarios para la ejecución de obras hasta la menor cuantía con Organismos de Acción Comunal. </w:t>
      </w:r>
    </w:p>
    <w:p w14:paraId="43DDC785" w14:textId="77777777" w:rsidR="008034AA" w:rsidRPr="00E64194" w:rsidRDefault="008034AA" w:rsidP="008034AA">
      <w:pPr>
        <w:spacing w:after="0" w:line="276" w:lineRule="auto"/>
        <w:jc w:val="both"/>
        <w:rPr>
          <w:rFonts w:ascii="Verdana" w:hAnsi="Verdana" w:cs="Century Gothic"/>
          <w:bCs/>
          <w:lang w:val="es-ES_tradnl"/>
        </w:rPr>
      </w:pPr>
    </w:p>
    <w:p w14:paraId="2E3C0DFD" w14:textId="77777777" w:rsidR="008034AA" w:rsidRPr="00E64194" w:rsidRDefault="008034AA" w:rsidP="008034AA">
      <w:pPr>
        <w:spacing w:after="0" w:line="276" w:lineRule="auto"/>
        <w:jc w:val="both"/>
        <w:rPr>
          <w:rFonts w:ascii="Verdana" w:hAnsi="Verdana" w:cs="Century Gothic"/>
          <w:bCs/>
          <w:lang w:val="es-ES"/>
        </w:rPr>
      </w:pPr>
      <w:r w:rsidRPr="00E64194">
        <w:rPr>
          <w:rFonts w:ascii="Verdana" w:hAnsi="Verdana" w:cs="Century Gothic"/>
          <w:bCs/>
          <w:lang w:val="es-ES_tradnl"/>
        </w:rPr>
        <w:t xml:space="preserve">Conforme al contenido de la Resolución 358 del 30 de junio de 2023, conviene precisar que los documentos tipo que se adoptan, son aquellos </w:t>
      </w:r>
      <w:r w:rsidRPr="00E64194">
        <w:rPr>
          <w:rFonts w:ascii="Verdana" w:hAnsi="Verdana" w:cs="Century Gothic"/>
          <w:lang w:val="es-ES"/>
        </w:rPr>
        <w:t>para la contratación directa de convenios solidarios para la ejecución de obras hasta la menor cuantía con Organismos de Acción Comunal, los cuales tiene como fundamento normativo el artículo 95 “Convenios solidarios” de la Ley 2166 de 2021</w:t>
      </w:r>
      <w:r w:rsidRPr="00E64194">
        <w:rPr>
          <w:rFonts w:ascii="Verdana" w:hAnsi="Verdana" w:cs="Century Gothic"/>
          <w:vertAlign w:val="superscript"/>
          <w:lang w:val="es-ES"/>
        </w:rPr>
        <w:footnoteReference w:id="3"/>
      </w:r>
      <w:r w:rsidRPr="00E64194">
        <w:rPr>
          <w:rFonts w:ascii="Verdana" w:hAnsi="Verdana" w:cs="Century Gothic"/>
          <w:lang w:val="es-ES"/>
        </w:rPr>
        <w:t>.</w:t>
      </w:r>
    </w:p>
    <w:p w14:paraId="50F16020" w14:textId="77777777" w:rsidR="008034AA" w:rsidRPr="00E64194" w:rsidRDefault="008034AA" w:rsidP="008034AA">
      <w:pPr>
        <w:spacing w:after="0" w:line="276" w:lineRule="auto"/>
        <w:jc w:val="both"/>
        <w:rPr>
          <w:rFonts w:ascii="Verdana" w:hAnsi="Verdana" w:cs="Century Gothic"/>
          <w:lang w:val="es-ES_tradnl"/>
        </w:rPr>
      </w:pPr>
    </w:p>
    <w:p w14:paraId="570194D3" w14:textId="77777777" w:rsidR="008034AA" w:rsidRPr="00E64194" w:rsidRDefault="008034AA" w:rsidP="008034AA">
      <w:pPr>
        <w:spacing w:after="0" w:line="276" w:lineRule="auto"/>
        <w:jc w:val="both"/>
        <w:rPr>
          <w:rFonts w:ascii="Verdana" w:hAnsi="Verdana" w:cs="Century Gothic"/>
          <w:bCs/>
        </w:rPr>
      </w:pPr>
      <w:r w:rsidRPr="00E64194">
        <w:rPr>
          <w:rFonts w:ascii="Verdana" w:hAnsi="Verdana" w:cs="Century Gothic"/>
          <w:lang w:val="es-ES_tradnl"/>
        </w:rPr>
        <w:t xml:space="preserve">El documento tipo para la contratación directa de convenios solidarios para la ejecución de obras hasta la menor cuantía con organismos de acción comunal, </w:t>
      </w:r>
      <w:bookmarkStart w:id="5" w:name="_Hlk145072611"/>
      <w:r w:rsidRPr="00E64194">
        <w:rPr>
          <w:rFonts w:ascii="Verdana" w:hAnsi="Verdana" w:cs="Century Gothic"/>
          <w:lang w:val="es-ES_tradnl"/>
        </w:rPr>
        <w:t xml:space="preserve">contempla tres (3) opciones para el giro de los recursos por parte de la Entidad Estatal, de acuerdo con la cláusula 7 de la Minuta Tipo. De esta manera, el giro de los recursos puede realizarse, según una de las siguientes opciones por la que opte la entidad estatal: i) a una cuenta de manejo conjunto a nombre del convenio – opción 1, </w:t>
      </w:r>
      <w:proofErr w:type="spellStart"/>
      <w:r w:rsidRPr="00E64194">
        <w:rPr>
          <w:rFonts w:ascii="Verdana" w:hAnsi="Verdana" w:cs="Century Gothic"/>
          <w:lang w:val="es-ES_tradnl"/>
        </w:rPr>
        <w:t>ii</w:t>
      </w:r>
      <w:proofErr w:type="spellEnd"/>
      <w:r w:rsidRPr="00E64194">
        <w:rPr>
          <w:rFonts w:ascii="Verdana" w:hAnsi="Verdana" w:cs="Century Gothic"/>
          <w:lang w:val="es-ES_tradnl"/>
        </w:rPr>
        <w:t xml:space="preserve">) a un patrimonio autónomo irrevocable al nombre del convenio – opción 2, o </w:t>
      </w:r>
      <w:proofErr w:type="spellStart"/>
      <w:r w:rsidRPr="00E64194">
        <w:rPr>
          <w:rFonts w:ascii="Verdana" w:hAnsi="Verdana" w:cs="Century Gothic"/>
          <w:lang w:val="es-ES_tradnl"/>
        </w:rPr>
        <w:t>iii</w:t>
      </w:r>
      <w:proofErr w:type="spellEnd"/>
      <w:r w:rsidRPr="00E64194">
        <w:rPr>
          <w:rFonts w:ascii="Verdana" w:hAnsi="Verdana" w:cs="Century Gothic"/>
          <w:lang w:val="es-ES_tradnl"/>
        </w:rPr>
        <w:t xml:space="preserve">) a cuenta bancaria a nombre del convenio – opción 3. </w:t>
      </w:r>
    </w:p>
    <w:p w14:paraId="72B73D63" w14:textId="77777777" w:rsidR="008034AA" w:rsidRPr="00E64194" w:rsidRDefault="008034AA" w:rsidP="008034AA">
      <w:pPr>
        <w:spacing w:after="0" w:line="276" w:lineRule="auto"/>
        <w:jc w:val="both"/>
        <w:rPr>
          <w:rFonts w:ascii="Verdana" w:hAnsi="Verdana" w:cs="Century Gothic"/>
          <w:bCs/>
          <w:lang w:val="es-ES"/>
        </w:rPr>
      </w:pPr>
    </w:p>
    <w:p w14:paraId="7ABAFDE4" w14:textId="77777777" w:rsidR="008034AA" w:rsidRPr="00E64194" w:rsidRDefault="008034AA" w:rsidP="008034AA">
      <w:pPr>
        <w:spacing w:after="0" w:line="276" w:lineRule="auto"/>
        <w:jc w:val="both"/>
        <w:rPr>
          <w:rFonts w:ascii="Verdana" w:hAnsi="Verdana" w:cs="Century Gothic"/>
          <w:bCs/>
        </w:rPr>
      </w:pPr>
      <w:r w:rsidRPr="00E64194">
        <w:rPr>
          <w:rFonts w:ascii="Verdana" w:hAnsi="Verdana" w:cs="Century Gothic"/>
          <w:bCs/>
          <w:lang w:val="es-ES"/>
        </w:rPr>
        <w:t xml:space="preserve">En relación con la solicitud, convine mencionar el alcance de la Opción 1 “Giro de los recursos” de la Minuta Tipo de Convenios Solidarios, que dispone lo siguiente: </w:t>
      </w:r>
    </w:p>
    <w:bookmarkEnd w:id="5"/>
    <w:p w14:paraId="72AB08A3" w14:textId="77777777" w:rsidR="008034AA" w:rsidRPr="00E64194" w:rsidRDefault="008034AA" w:rsidP="008034AA">
      <w:pPr>
        <w:spacing w:after="0" w:line="276" w:lineRule="auto"/>
        <w:jc w:val="both"/>
        <w:rPr>
          <w:rFonts w:ascii="Verdana" w:hAnsi="Verdana" w:cs="Century Gothic"/>
          <w:lang w:val="es-ES_tradnl"/>
        </w:rPr>
      </w:pPr>
    </w:p>
    <w:p w14:paraId="26775C50" w14:textId="430BDF09" w:rsidR="008034AA" w:rsidRPr="00E64194" w:rsidRDefault="008034AA" w:rsidP="008034AA">
      <w:pPr>
        <w:spacing w:after="0" w:line="276" w:lineRule="auto"/>
        <w:jc w:val="both"/>
        <w:rPr>
          <w:rFonts w:ascii="Verdana" w:hAnsi="Verdana" w:cs="Century Gothic"/>
          <w:b/>
          <w:bCs/>
        </w:rPr>
      </w:pPr>
      <w:r w:rsidRPr="00E64194">
        <w:rPr>
          <w:rFonts w:ascii="Verdana" w:hAnsi="Verdana" w:cs="Century Gothic"/>
          <w:b/>
          <w:bCs/>
        </w:rPr>
        <w:t xml:space="preserve">Opción </w:t>
      </w:r>
      <w:r w:rsidR="004D2825">
        <w:rPr>
          <w:rFonts w:ascii="Verdana" w:hAnsi="Verdana" w:cs="Century Gothic"/>
          <w:b/>
          <w:bCs/>
        </w:rPr>
        <w:t>3</w:t>
      </w:r>
    </w:p>
    <w:p w14:paraId="55672ED5" w14:textId="77777777" w:rsidR="004D2825" w:rsidRPr="00E64194" w:rsidRDefault="004D2825" w:rsidP="008034AA">
      <w:pPr>
        <w:spacing w:after="0" w:line="276" w:lineRule="auto"/>
        <w:jc w:val="both"/>
        <w:rPr>
          <w:rFonts w:ascii="Verdana" w:hAnsi="Verdana" w:cs="Century Gothic"/>
          <w:b/>
          <w:bCs/>
        </w:rPr>
      </w:pPr>
    </w:p>
    <w:p w14:paraId="622F050E" w14:textId="77777777" w:rsidR="00EF143F" w:rsidRPr="00EF143F" w:rsidRDefault="00EF143F" w:rsidP="00EF143F">
      <w:pPr>
        <w:spacing w:after="0" w:line="276" w:lineRule="auto"/>
        <w:jc w:val="both"/>
        <w:rPr>
          <w:rFonts w:ascii="Verdana" w:hAnsi="Verdana" w:cs="Century Gothic"/>
          <w:lang w:val="es-MX"/>
        </w:rPr>
      </w:pPr>
      <w:r w:rsidRPr="00EF143F">
        <w:rPr>
          <w:rFonts w:ascii="Verdana" w:hAnsi="Verdana" w:cs="Century Gothic"/>
          <w:lang w:val="es-MX"/>
        </w:rPr>
        <w:t xml:space="preserve">[Los giros de los recursos que realice la Entidad Estatal deberán realizarse a cuenta bancaria a nombre del convenio que genere rendimientos financieros y sin posibilidad de sobregiro, en la que se dispondrá de los recursos únicamente de manera electrónica, por lo cual esta cuenta deberá contar con un mecanismo de autenticación dual, en el cual, el usuario preparador será asignado al OAC y el usuario aprobador será asignado al Interventor y/o Supervisor de la Entidad </w:t>
      </w:r>
      <w:r w:rsidRPr="00EF143F">
        <w:rPr>
          <w:rFonts w:ascii="Verdana" w:hAnsi="Verdana" w:cs="Century Gothic"/>
          <w:lang w:val="es-MX"/>
        </w:rPr>
        <w:lastRenderedPageBreak/>
        <w:t>Estatal], por lo cual para cualquier disposición que se realice de los recursos se deberá contar siempre con la aprobación dual.</w:t>
      </w:r>
    </w:p>
    <w:p w14:paraId="40E1C38D" w14:textId="77777777" w:rsidR="00EF143F" w:rsidRPr="00EF143F" w:rsidRDefault="00EF143F" w:rsidP="00EF143F">
      <w:pPr>
        <w:spacing w:after="0" w:line="276" w:lineRule="auto"/>
        <w:jc w:val="both"/>
        <w:rPr>
          <w:rFonts w:ascii="Verdana" w:hAnsi="Verdana" w:cs="Century Gothic"/>
          <w:lang w:val="es-MX"/>
        </w:rPr>
      </w:pPr>
    </w:p>
    <w:p w14:paraId="3017CD6B" w14:textId="77777777" w:rsidR="00EF143F" w:rsidRPr="00EF143F" w:rsidRDefault="00EF143F" w:rsidP="00EF143F">
      <w:pPr>
        <w:spacing w:after="0" w:line="276" w:lineRule="auto"/>
        <w:jc w:val="both"/>
        <w:rPr>
          <w:rFonts w:ascii="Verdana" w:hAnsi="Verdana" w:cs="Century Gothic"/>
          <w:lang w:val="es-MX"/>
        </w:rPr>
      </w:pPr>
      <w:r w:rsidRPr="00EF143F">
        <w:rPr>
          <w:rFonts w:ascii="Verdana" w:hAnsi="Verdana" w:cs="Century Gothic"/>
          <w:lang w:val="es-MX"/>
        </w:rPr>
        <w:t>[La Entidad Estatal puede indicar condiciones propias de los giros respecto de la disponibilidad de PAC o Soportes que se requieran de la OAC para efectuar el giro de los recursos]</w:t>
      </w:r>
    </w:p>
    <w:p w14:paraId="5A21BB3C" w14:textId="77777777" w:rsidR="008034AA" w:rsidRPr="00E64194" w:rsidRDefault="008034AA" w:rsidP="008034AA">
      <w:pPr>
        <w:spacing w:after="0" w:line="276" w:lineRule="auto"/>
        <w:jc w:val="both"/>
        <w:rPr>
          <w:rFonts w:ascii="Verdana" w:hAnsi="Verdana" w:cs="Century Gothic"/>
          <w:lang w:val="es-MX"/>
        </w:rPr>
      </w:pPr>
    </w:p>
    <w:p w14:paraId="5B18CE34" w14:textId="5B04EC2D" w:rsidR="008034AA" w:rsidRPr="00E64194" w:rsidRDefault="008034AA" w:rsidP="008034AA">
      <w:pPr>
        <w:spacing w:after="0" w:line="276" w:lineRule="auto"/>
        <w:jc w:val="both"/>
        <w:rPr>
          <w:rFonts w:ascii="Verdana" w:hAnsi="Verdana" w:cs="Century Gothic"/>
          <w:lang w:val="es-ES"/>
        </w:rPr>
      </w:pPr>
      <w:r w:rsidRPr="00E64194">
        <w:rPr>
          <w:rFonts w:ascii="Verdana" w:hAnsi="Verdana" w:cs="Century Gothic"/>
          <w:lang w:val="es-ES"/>
        </w:rPr>
        <w:t xml:space="preserve">Como se aprecia, el inciso primero de la opción </w:t>
      </w:r>
      <w:r w:rsidR="007B122D">
        <w:rPr>
          <w:rFonts w:ascii="Verdana" w:hAnsi="Verdana" w:cs="Century Gothic"/>
          <w:lang w:val="es-ES"/>
        </w:rPr>
        <w:t>3</w:t>
      </w:r>
      <w:r w:rsidRPr="00E64194">
        <w:rPr>
          <w:rFonts w:ascii="Verdana" w:hAnsi="Verdana" w:cs="Century Gothic"/>
          <w:lang w:val="es-ES"/>
        </w:rPr>
        <w:t xml:space="preserve"> indica parámetros obligatorios que debe incluir la entidad que acoja esa opción. De esta forma, el giro de los recursos se realizará en una </w:t>
      </w:r>
      <w:r w:rsidR="007B122D">
        <w:rPr>
          <w:rFonts w:ascii="Verdana" w:hAnsi="Verdana" w:cs="Century Gothic"/>
          <w:lang w:val="es-ES"/>
        </w:rPr>
        <w:t xml:space="preserve">cuenta </w:t>
      </w:r>
      <w:r w:rsidR="007B122D" w:rsidRPr="00EF143F">
        <w:rPr>
          <w:rFonts w:ascii="Verdana" w:hAnsi="Verdana" w:cs="Century Gothic"/>
          <w:lang w:val="es-MX"/>
        </w:rPr>
        <w:t>bancaria a nombre del convenio que genere rendimientos financieros y sin posibilidad de sobregiro, en la que se dispondrá de los recursos únicamente de manera electrónica, por lo cual esta cuenta deberá contar con un mecanismo de autenticación dual, en el cual, el usuario preparador será asignado al OAC y el usuario aprobador será asignado al Interventor y/o Supervisor de la Entidad Estatal], por lo cual para cualquier disposición que se realice de los recursos se deberá contar siempre con la aprobación dual</w:t>
      </w:r>
      <w:r w:rsidRPr="00E64194">
        <w:rPr>
          <w:rFonts w:ascii="Verdana" w:hAnsi="Verdana" w:cs="Century Gothic"/>
          <w:lang w:val="es-ES"/>
        </w:rPr>
        <w:t>.</w:t>
      </w:r>
    </w:p>
    <w:p w14:paraId="61AB7FD3" w14:textId="77777777" w:rsidR="008034AA" w:rsidRPr="00E64194" w:rsidRDefault="008034AA" w:rsidP="008034AA">
      <w:pPr>
        <w:spacing w:after="0" w:line="276" w:lineRule="auto"/>
        <w:jc w:val="both"/>
        <w:rPr>
          <w:rFonts w:ascii="Verdana" w:hAnsi="Verdana" w:cs="Century Gothic"/>
          <w:lang w:val="es-ES"/>
        </w:rPr>
      </w:pPr>
      <w:r w:rsidRPr="00E64194">
        <w:rPr>
          <w:rFonts w:ascii="Verdana" w:hAnsi="Verdana" w:cs="Century Gothic"/>
          <w:lang w:val="es-ES"/>
        </w:rPr>
        <w:t xml:space="preserve"> </w:t>
      </w:r>
    </w:p>
    <w:p w14:paraId="02CF070B" w14:textId="656564BF" w:rsidR="008034AA" w:rsidRPr="00E64194" w:rsidRDefault="006B7CC2" w:rsidP="008034AA">
      <w:pPr>
        <w:spacing w:after="0" w:line="276" w:lineRule="auto"/>
        <w:jc w:val="both"/>
        <w:rPr>
          <w:rFonts w:ascii="Verdana" w:hAnsi="Verdana" w:cs="Century Gothic"/>
          <w:lang w:val="es-ES"/>
        </w:rPr>
      </w:pPr>
      <w:r>
        <w:rPr>
          <w:rFonts w:ascii="Verdana" w:hAnsi="Verdana" w:cs="Century Gothic"/>
          <w:lang w:val="es-ES"/>
        </w:rPr>
        <w:t>Por otra parte</w:t>
      </w:r>
      <w:r w:rsidR="008034AA" w:rsidRPr="00E64194">
        <w:rPr>
          <w:rFonts w:ascii="Verdana" w:hAnsi="Verdana" w:cs="Century Gothic"/>
          <w:lang w:val="es-ES"/>
        </w:rPr>
        <w:t xml:space="preserve">, el segundo inciso de la opción </w:t>
      </w:r>
      <w:r>
        <w:rPr>
          <w:rFonts w:ascii="Verdana" w:hAnsi="Verdana" w:cs="Century Gothic"/>
          <w:lang w:val="es-ES"/>
        </w:rPr>
        <w:t>3</w:t>
      </w:r>
      <w:r w:rsidR="008034AA" w:rsidRPr="00E64194">
        <w:rPr>
          <w:rFonts w:ascii="Verdana" w:hAnsi="Verdana" w:cs="Century Gothic"/>
          <w:lang w:val="es-ES"/>
        </w:rPr>
        <w:t xml:space="preserve"> dispone que la entidad </w:t>
      </w:r>
      <w:r w:rsidR="008034AA" w:rsidRPr="00E64194">
        <w:rPr>
          <w:rFonts w:ascii="Verdana" w:hAnsi="Verdana" w:cs="Century Gothic"/>
          <w:i/>
          <w:iCs/>
          <w:lang w:val="es-ES"/>
        </w:rPr>
        <w:t xml:space="preserve">podrá </w:t>
      </w:r>
      <w:r w:rsidR="008034AA" w:rsidRPr="00E64194">
        <w:rPr>
          <w:rFonts w:ascii="Verdana" w:hAnsi="Verdana" w:cs="Century Gothic"/>
          <w:lang w:val="es-ES"/>
        </w:rPr>
        <w:t xml:space="preserve">señalar opciones propias de los giros en relación con los siguientes aspectos: i) disponibilidad de Plan Anual de Caja – PAC, o </w:t>
      </w:r>
      <w:proofErr w:type="spellStart"/>
      <w:r w:rsidR="008034AA" w:rsidRPr="00E64194">
        <w:rPr>
          <w:rFonts w:ascii="Verdana" w:hAnsi="Verdana" w:cs="Century Gothic"/>
          <w:lang w:val="es-ES"/>
        </w:rPr>
        <w:t>ii</w:t>
      </w:r>
      <w:proofErr w:type="spellEnd"/>
      <w:r w:rsidR="008034AA" w:rsidRPr="00E64194">
        <w:rPr>
          <w:rFonts w:ascii="Verdana" w:hAnsi="Verdana" w:cs="Century Gothic"/>
          <w:lang w:val="es-ES"/>
        </w:rPr>
        <w:t xml:space="preserve">) soportes que se requieran del Organismo de Acción Comunal OAC para efectuar el giro de los recursos. Este aspecto, es de aquellos que permite que la entidad </w:t>
      </w:r>
      <w:r w:rsidR="008034AA" w:rsidRPr="00E64194">
        <w:rPr>
          <w:rFonts w:ascii="Verdana" w:hAnsi="Verdana" w:cs="Century Gothic"/>
          <w:bCs/>
          <w:lang w:val="es-ES_tradnl"/>
        </w:rPr>
        <w:t xml:space="preserve">complemente o indique las condiciones que allí se permiten, sin embargo, solo es posible en relación con el PAC y soportes para el giro de los recursos. </w:t>
      </w:r>
    </w:p>
    <w:p w14:paraId="5B4DF375" w14:textId="77777777" w:rsidR="008034AA" w:rsidRPr="00E64194" w:rsidRDefault="008034AA" w:rsidP="008034AA">
      <w:pPr>
        <w:spacing w:after="0" w:line="276" w:lineRule="auto"/>
        <w:jc w:val="both"/>
        <w:rPr>
          <w:rFonts w:ascii="Verdana" w:hAnsi="Verdana" w:cs="Century Gothic"/>
          <w:lang w:val="es-ES"/>
        </w:rPr>
      </w:pPr>
    </w:p>
    <w:p w14:paraId="5881ADC4" w14:textId="3A30F82B" w:rsidR="008034AA" w:rsidRPr="00E64194" w:rsidRDefault="008034AA" w:rsidP="008034AA">
      <w:pPr>
        <w:spacing w:after="0" w:line="276" w:lineRule="auto"/>
        <w:jc w:val="both"/>
        <w:rPr>
          <w:rFonts w:ascii="Verdana" w:hAnsi="Verdana" w:cs="Century Gothic"/>
          <w:lang w:val="es-ES"/>
        </w:rPr>
      </w:pPr>
      <w:r w:rsidRPr="00E64194">
        <w:rPr>
          <w:rFonts w:ascii="Verdana" w:hAnsi="Verdana" w:cs="Century Gothic"/>
          <w:lang w:val="es-ES"/>
        </w:rPr>
        <w:t xml:space="preserve">Por su parte, la cláusula 8 de la Minuta Tipo dispone de tres (3) alternativas para el manejo de los recursos, dependiendo de si se opta por la opción 1, 2 o 3 de la cláusula 7 para el giro de los recursos. Esto significa que la opción para el manejo de los recursos debe incluirse dependiendo de la opción de giro de recursos que se haya escogido. Estas opciones contienen unas condiciones que deben cumplirse y, en caso de que se opte por la opción </w:t>
      </w:r>
      <w:r w:rsidR="00D55DF8">
        <w:rPr>
          <w:rFonts w:ascii="Verdana" w:hAnsi="Verdana" w:cs="Century Gothic"/>
          <w:lang w:val="es-ES"/>
        </w:rPr>
        <w:t>3</w:t>
      </w:r>
      <w:r w:rsidRPr="00E64194">
        <w:rPr>
          <w:rFonts w:ascii="Verdana" w:hAnsi="Verdana" w:cs="Century Gothic"/>
          <w:lang w:val="es-ES"/>
        </w:rPr>
        <w:t xml:space="preserve"> de la cláusula 7 de la Minuta Tipo, que implica que se realicen giros de recursos a cuenta conjunta a nombre del convenio, debe tenerse en cuenta -para efectos de su consulta-, el numeral I. que señala lo siguiente:</w:t>
      </w:r>
    </w:p>
    <w:p w14:paraId="01F41604" w14:textId="77777777" w:rsidR="008034AA" w:rsidRPr="00E64194" w:rsidRDefault="008034AA" w:rsidP="008034AA">
      <w:pPr>
        <w:spacing w:after="0" w:line="276" w:lineRule="auto"/>
        <w:jc w:val="both"/>
        <w:rPr>
          <w:rFonts w:ascii="Verdana" w:hAnsi="Verdana" w:cs="Century Gothic"/>
          <w:lang w:val="es-ES"/>
        </w:rPr>
      </w:pPr>
    </w:p>
    <w:p w14:paraId="0BFD5AD1" w14:textId="6968C4BA" w:rsidR="008034AA" w:rsidRPr="00E64194" w:rsidRDefault="008034AA" w:rsidP="008034AA">
      <w:pPr>
        <w:spacing w:after="0" w:line="276" w:lineRule="auto"/>
        <w:jc w:val="both"/>
        <w:rPr>
          <w:rFonts w:ascii="Verdana" w:hAnsi="Verdana" w:cs="Century Gothic"/>
        </w:rPr>
      </w:pPr>
      <w:r>
        <w:rPr>
          <w:rFonts w:ascii="Verdana" w:hAnsi="Verdana" w:cs="Century Gothic"/>
          <w:lang w:val="es-MX"/>
        </w:rPr>
        <w:t>I</w:t>
      </w:r>
      <w:r w:rsidR="00D40027" w:rsidRPr="00D40027">
        <w:rPr>
          <w:rFonts w:ascii="Verdana" w:hAnsi="Verdana" w:cs="Century Gothic"/>
          <w:lang w:val="es-MX"/>
        </w:rPr>
        <w:t>.</w:t>
      </w:r>
      <w:r w:rsidR="00D40027" w:rsidRPr="00D40027">
        <w:rPr>
          <w:rFonts w:ascii="Verdana" w:hAnsi="Verdana" w:cs="Century Gothic"/>
          <w:lang w:val="es-MX"/>
        </w:rPr>
        <w:tab/>
      </w:r>
      <w:r w:rsidRPr="00E64194">
        <w:rPr>
          <w:rFonts w:ascii="Verdana" w:hAnsi="Verdana" w:cs="Century Gothic"/>
          <w:lang w:val="es-MX"/>
        </w:rPr>
        <w:t xml:space="preserve">El manejo de los recursos del Convenio se hará mediante la apertura de una cuenta </w:t>
      </w:r>
      <w:r w:rsidR="00D55DF8" w:rsidRPr="00D55DF8">
        <w:rPr>
          <w:rFonts w:ascii="Verdana" w:hAnsi="Verdana" w:cs="Century Gothic"/>
          <w:lang w:val="es-MX"/>
        </w:rPr>
        <w:t xml:space="preserve">bancaria a nombre del convenio </w:t>
      </w:r>
      <w:r w:rsidRPr="00E64194">
        <w:rPr>
          <w:rFonts w:ascii="Verdana" w:hAnsi="Verdana" w:cs="Century Gothic"/>
          <w:lang w:val="es-MX"/>
        </w:rPr>
        <w:t xml:space="preserve">que genere rendimientos financieros </w:t>
      </w:r>
      <w:r w:rsidR="00D55DF8" w:rsidRPr="00D55DF8">
        <w:rPr>
          <w:rFonts w:ascii="Verdana" w:hAnsi="Verdana" w:cs="Century Gothic"/>
          <w:lang w:val="es-MX"/>
        </w:rPr>
        <w:t xml:space="preserve">y sin posibilidad </w:t>
      </w:r>
      <w:r w:rsidRPr="00E64194">
        <w:rPr>
          <w:rFonts w:ascii="Verdana" w:hAnsi="Verdana" w:cs="Century Gothic"/>
          <w:lang w:val="es-MX"/>
        </w:rPr>
        <w:t xml:space="preserve">de </w:t>
      </w:r>
      <w:r w:rsidR="00D55DF8" w:rsidRPr="00D55DF8">
        <w:rPr>
          <w:rFonts w:ascii="Verdana" w:hAnsi="Verdana" w:cs="Century Gothic"/>
          <w:lang w:val="es-MX"/>
        </w:rPr>
        <w:t xml:space="preserve">sobregiro, en la </w:t>
      </w:r>
      <w:r w:rsidRPr="00E64194">
        <w:rPr>
          <w:rFonts w:ascii="Verdana" w:hAnsi="Verdana" w:cs="Century Gothic"/>
          <w:lang w:val="es-MX"/>
        </w:rPr>
        <w:t xml:space="preserve">que se </w:t>
      </w:r>
      <w:r w:rsidR="00D55DF8" w:rsidRPr="00D55DF8">
        <w:rPr>
          <w:rFonts w:ascii="Verdana" w:hAnsi="Verdana" w:cs="Century Gothic"/>
          <w:lang w:val="es-MX"/>
        </w:rPr>
        <w:t xml:space="preserve">dispondrá de los recursos únicamente de </w:t>
      </w:r>
      <w:r w:rsidR="00D55DF8" w:rsidRPr="00D55DF8">
        <w:rPr>
          <w:rFonts w:ascii="Verdana" w:hAnsi="Verdana" w:cs="Century Gothic"/>
          <w:lang w:val="es-MX"/>
        </w:rPr>
        <w:lastRenderedPageBreak/>
        <w:t>manera electrónica, por lo cual esta cuenta deberá contar</w:t>
      </w:r>
      <w:r w:rsidRPr="00E64194">
        <w:rPr>
          <w:rFonts w:ascii="Verdana" w:hAnsi="Verdana" w:cs="Century Gothic"/>
          <w:lang w:val="es-MX"/>
        </w:rPr>
        <w:t xml:space="preserve"> con </w:t>
      </w:r>
      <w:r w:rsidR="00D55DF8" w:rsidRPr="00D55DF8">
        <w:rPr>
          <w:rFonts w:ascii="Verdana" w:hAnsi="Verdana" w:cs="Century Gothic"/>
          <w:lang w:val="es-MX"/>
        </w:rPr>
        <w:t>un mecanismo de autenticación dual, en el cual, el usuario preparador será asignado al</w:t>
      </w:r>
      <w:r w:rsidRPr="00E64194">
        <w:rPr>
          <w:rFonts w:ascii="Verdana" w:hAnsi="Verdana" w:cs="Century Gothic"/>
          <w:lang w:val="es-MX"/>
        </w:rPr>
        <w:t xml:space="preserve"> OAC</w:t>
      </w:r>
      <w:r w:rsidR="00D55DF8" w:rsidRPr="00D55DF8">
        <w:rPr>
          <w:rFonts w:ascii="Verdana" w:hAnsi="Verdana" w:cs="Century Gothic"/>
          <w:lang w:val="es-MX"/>
        </w:rPr>
        <w:t xml:space="preserve"> y el usuario aprobador será asignado al Interventor y/o Supervisor</w:t>
      </w:r>
      <w:r w:rsidRPr="00E64194">
        <w:rPr>
          <w:rFonts w:ascii="Verdana" w:hAnsi="Verdana" w:cs="Century Gothic"/>
          <w:lang w:val="es-MX"/>
        </w:rPr>
        <w:t xml:space="preserve"> de la Entidad Estatal</w:t>
      </w:r>
      <w:r w:rsidR="00D55DF8" w:rsidRPr="00D55DF8">
        <w:rPr>
          <w:rFonts w:ascii="Verdana" w:hAnsi="Verdana" w:cs="Century Gothic"/>
          <w:lang w:val="es-MX"/>
        </w:rPr>
        <w:t>, por lo cual para cualquier disposición que se realice de los recursos se deberá contar siempre con la aprobación dual</w:t>
      </w:r>
      <w:r w:rsidRPr="00E64194">
        <w:rPr>
          <w:rFonts w:ascii="Verdana" w:hAnsi="Verdana" w:cs="Century Gothic"/>
          <w:lang w:val="es-MX"/>
        </w:rPr>
        <w:t xml:space="preserve"> y debe tener los respectivos soportes que justifiquen el desembolso.</w:t>
      </w:r>
    </w:p>
    <w:p w14:paraId="1191C2B9" w14:textId="77777777" w:rsidR="008034AA" w:rsidRPr="00E64194" w:rsidRDefault="008034AA" w:rsidP="008034AA">
      <w:pPr>
        <w:spacing w:after="0" w:line="276" w:lineRule="auto"/>
        <w:jc w:val="both"/>
        <w:rPr>
          <w:rFonts w:ascii="Verdana" w:hAnsi="Verdana" w:cs="Century Gothic"/>
          <w:lang w:val="es-MX"/>
        </w:rPr>
      </w:pPr>
    </w:p>
    <w:p w14:paraId="483B8793" w14:textId="79AD8AD2" w:rsidR="008034AA" w:rsidRPr="00E64194" w:rsidRDefault="00D40027" w:rsidP="008034AA">
      <w:pPr>
        <w:spacing w:after="0" w:line="276" w:lineRule="auto"/>
        <w:jc w:val="both"/>
        <w:rPr>
          <w:rFonts w:ascii="Verdana" w:hAnsi="Verdana" w:cs="Century Gothic"/>
          <w:lang w:val="es-ES_tradnl"/>
        </w:rPr>
      </w:pPr>
      <w:r w:rsidRPr="00D40027">
        <w:rPr>
          <w:rFonts w:ascii="Verdana" w:hAnsi="Verdana" w:cs="Century Gothic"/>
        </w:rPr>
        <w:t xml:space="preserve">En ese sentido, es importante traer a colación el criterio de inalterabilidad de los Documentos Tipo, que aplica también para la minuta para la contratación directa de convenios solidarios para la ejecución de obras hasta la menor cuantía con organismos de acción comunal, tal cual lo dispone el </w:t>
      </w:r>
      <w:proofErr w:type="spellStart"/>
      <w:r w:rsidRPr="00D40027">
        <w:rPr>
          <w:rFonts w:ascii="Verdana" w:hAnsi="Verdana" w:cs="Century Gothic"/>
        </w:rPr>
        <w:t>articulo</w:t>
      </w:r>
      <w:proofErr w:type="spellEnd"/>
      <w:r w:rsidRPr="00D40027">
        <w:rPr>
          <w:rFonts w:ascii="Verdana" w:hAnsi="Verdana" w:cs="Century Gothic"/>
        </w:rPr>
        <w:t xml:space="preserve"> 3 de la resolución 358 de 2023, bajo el cual no es factible modificar condiciones de la Minuta, si de forma expresa esta no lo permite, razón por la cual en atención a su consulta es importante destacar que la Opción 3 de la Clausula 7 de la Minuta Tipo no permite modificación alguna a la forma y personas que deben realizar la aprobación dual para giros electrónicos.</w:t>
      </w:r>
    </w:p>
    <w:p w14:paraId="2ECCF0D0" w14:textId="77777777" w:rsidR="008034AA" w:rsidRDefault="008034AA" w:rsidP="008034AA">
      <w:pPr>
        <w:spacing w:after="0" w:line="276" w:lineRule="auto"/>
        <w:jc w:val="both"/>
        <w:rPr>
          <w:rFonts w:ascii="Verdana" w:hAnsi="Verdana" w:cs="Century Gothic"/>
        </w:rPr>
      </w:pPr>
    </w:p>
    <w:p w14:paraId="073F304F" w14:textId="77777777" w:rsidR="008034AA" w:rsidRDefault="008034AA" w:rsidP="008034AA">
      <w:pPr>
        <w:tabs>
          <w:tab w:val="left" w:pos="142"/>
          <w:tab w:val="left" w:pos="284"/>
        </w:tabs>
        <w:spacing w:after="0" w:line="276" w:lineRule="auto"/>
        <w:jc w:val="both"/>
        <w:rPr>
          <w:rFonts w:ascii="Verdana" w:hAnsi="Verdana" w:cs="Century Gothic"/>
          <w:b/>
          <w:bCs/>
          <w:lang w:val="es-ES"/>
        </w:rPr>
      </w:pPr>
      <w:r>
        <w:rPr>
          <w:rFonts w:ascii="Verdana" w:hAnsi="Verdana" w:cs="Century Gothic"/>
          <w:b/>
          <w:bCs/>
          <w:lang w:val="es-ES"/>
        </w:rPr>
        <w:t xml:space="preserve">4. Referencias normativas, jurisprudenciales y otras fuentes: </w:t>
      </w:r>
    </w:p>
    <w:p w14:paraId="1E2D0AE3" w14:textId="77777777" w:rsidR="008034AA" w:rsidRDefault="008034AA" w:rsidP="008034AA">
      <w:pPr>
        <w:tabs>
          <w:tab w:val="left" w:pos="142"/>
          <w:tab w:val="left" w:pos="284"/>
        </w:tabs>
        <w:spacing w:after="0" w:line="276" w:lineRule="auto"/>
        <w:jc w:val="both"/>
        <w:rPr>
          <w:rFonts w:ascii="Verdana" w:hAnsi="Verdana" w:cs="Century Gothic"/>
          <w:b/>
          <w:bCs/>
          <w:lang w:val="es-ES"/>
        </w:rPr>
      </w:pPr>
    </w:p>
    <w:bookmarkEnd w:id="0"/>
    <w:bookmarkEnd w:id="1"/>
    <w:p w14:paraId="4107652E" w14:textId="77777777" w:rsidR="008034AA" w:rsidRDefault="008034AA" w:rsidP="008034AA">
      <w:pPr>
        <w:spacing w:after="0"/>
        <w:ind w:left="720"/>
        <w:contextualSpacing/>
        <w:jc w:val="both"/>
        <w:rPr>
          <w:rFonts w:ascii="Verdana" w:eastAsia="Calibri" w:hAnsi="Verdana" w:cs="Arial"/>
          <w:bCs/>
        </w:rPr>
      </w:pPr>
    </w:p>
    <w:p w14:paraId="53C170D3" w14:textId="77777777" w:rsidR="008034AA" w:rsidRDefault="008034AA" w:rsidP="008034AA">
      <w:pPr>
        <w:widowControl w:val="0"/>
        <w:numPr>
          <w:ilvl w:val="0"/>
          <w:numId w:val="25"/>
        </w:numPr>
        <w:pBdr>
          <w:top w:val="single" w:sz="4" w:space="1" w:color="auto"/>
          <w:left w:val="single" w:sz="4" w:space="4" w:color="auto"/>
          <w:bottom w:val="single" w:sz="4" w:space="1" w:color="auto"/>
          <w:right w:val="single" w:sz="4" w:space="4" w:color="auto"/>
        </w:pBdr>
        <w:autoSpaceDE w:val="0"/>
        <w:autoSpaceDN w:val="0"/>
        <w:spacing w:after="255" w:line="276" w:lineRule="auto"/>
        <w:contextualSpacing/>
        <w:jc w:val="both"/>
        <w:rPr>
          <w:rFonts w:ascii="Verdana" w:eastAsiaTheme="minorHAnsi" w:hAnsi="Verdana" w:cs="Arial"/>
        </w:rPr>
      </w:pPr>
      <w:r>
        <w:rPr>
          <w:rFonts w:ascii="Verdana" w:eastAsia="Calibri" w:hAnsi="Verdana" w:cs="Arial"/>
          <w:lang w:val="es-ES_tradnl"/>
        </w:rPr>
        <w:t xml:space="preserve">Documentos Tipo para la contratación directa de convenios </w:t>
      </w:r>
      <w:proofErr w:type="gramStart"/>
      <w:r>
        <w:rPr>
          <w:rFonts w:ascii="Verdana" w:eastAsia="Calibri" w:hAnsi="Verdana" w:cs="Arial"/>
          <w:lang w:val="es-ES_tradnl"/>
        </w:rPr>
        <w:t>solidarios  disponible</w:t>
      </w:r>
      <w:proofErr w:type="gramEnd"/>
      <w:r>
        <w:rPr>
          <w:rFonts w:ascii="Verdana" w:eastAsia="Calibri" w:hAnsi="Verdana" w:cs="Arial"/>
          <w:lang w:val="es-ES_tradnl"/>
        </w:rPr>
        <w:t xml:space="preserve"> en: </w:t>
      </w:r>
      <w:hyperlink r:id="rId14" w:history="1">
        <w:r>
          <w:rPr>
            <w:rStyle w:val="Hipervnculo"/>
            <w:rFonts w:ascii="Verdana" w:eastAsia="Calibri" w:hAnsi="Verdana" w:cs="Arial"/>
            <w:lang w:val="es-ES_tradnl"/>
          </w:rPr>
          <w:t>https://www.colombiacompra.gov.co/content/documento-tipo-para-la-contratacion-directa-de-convenios-solidarios-para-la-ejecucion-de</w:t>
        </w:r>
      </w:hyperlink>
      <w:r>
        <w:rPr>
          <w:rFonts w:ascii="Verdana" w:eastAsia="Calibri" w:hAnsi="Verdana" w:cs="Arial"/>
          <w:lang w:val="es-ES_tradnl"/>
        </w:rPr>
        <w:t xml:space="preserve"> </w:t>
      </w:r>
    </w:p>
    <w:p w14:paraId="3F1223B2" w14:textId="77777777" w:rsidR="008034AA" w:rsidRDefault="008034AA" w:rsidP="008034AA">
      <w:pPr>
        <w:widowControl w:val="0"/>
        <w:numPr>
          <w:ilvl w:val="0"/>
          <w:numId w:val="25"/>
        </w:numPr>
        <w:pBdr>
          <w:top w:val="single" w:sz="4" w:space="1" w:color="auto"/>
          <w:left w:val="single" w:sz="4" w:space="4" w:color="auto"/>
          <w:bottom w:val="single" w:sz="4" w:space="1" w:color="auto"/>
          <w:right w:val="single" w:sz="4" w:space="4" w:color="auto"/>
        </w:pBdr>
        <w:autoSpaceDE w:val="0"/>
        <w:autoSpaceDN w:val="0"/>
        <w:spacing w:after="255" w:line="276" w:lineRule="auto"/>
        <w:contextualSpacing/>
        <w:jc w:val="both"/>
        <w:rPr>
          <w:rFonts w:ascii="Verdana" w:hAnsi="Verdana" w:cs="Arial"/>
        </w:rPr>
      </w:pPr>
      <w:r>
        <w:rPr>
          <w:rFonts w:ascii="Verdana" w:hAnsi="Verdana" w:cs="Arial"/>
          <w:spacing w:val="2"/>
          <w:lang w:eastAsia="es-CO"/>
        </w:rPr>
        <w:t xml:space="preserve">Resolución 358 de 2023. </w:t>
      </w:r>
      <w:r>
        <w:rPr>
          <w:rFonts w:ascii="Verdana" w:hAnsi="Verdana" w:cs="Arial"/>
        </w:rPr>
        <w:t xml:space="preserve">Disponible </w:t>
      </w:r>
      <w:r>
        <w:rPr>
          <w:rFonts w:ascii="Verdana" w:eastAsia="Calibri" w:hAnsi="Verdana" w:cs="Arial"/>
          <w:lang w:val="es-ES" w:eastAsia="es-ES"/>
        </w:rPr>
        <w:t xml:space="preserve">en el siguiente enlace: </w:t>
      </w:r>
      <w:hyperlink r:id="rId15" w:history="1">
        <w:r>
          <w:rPr>
            <w:rStyle w:val="Hipervnculo"/>
            <w:rFonts w:ascii="Verdana" w:eastAsia="Calibri" w:hAnsi="Verdana" w:cs="Arial"/>
            <w:lang w:val="es-ES" w:eastAsia="es-ES"/>
          </w:rPr>
          <w:t>https://www.colombiacompra.gov.co/content/documento-tipo-para-la-contratacion-directa-de-convenios-solidarios-para-la-ejecucion-de</w:t>
        </w:r>
      </w:hyperlink>
    </w:p>
    <w:p w14:paraId="35F043B9" w14:textId="77777777" w:rsidR="008034AA" w:rsidRPr="00566D08" w:rsidRDefault="008034AA" w:rsidP="008034AA">
      <w:pPr>
        <w:tabs>
          <w:tab w:val="left" w:pos="142"/>
          <w:tab w:val="left" w:pos="284"/>
        </w:tabs>
        <w:spacing w:after="0" w:line="240" w:lineRule="auto"/>
        <w:ind w:right="709"/>
        <w:jc w:val="both"/>
        <w:rPr>
          <w:rFonts w:ascii="Verdana" w:hAnsi="Verdana" w:cs="Century Gothic"/>
        </w:rPr>
      </w:pPr>
    </w:p>
    <w:p w14:paraId="5D62E4CD" w14:textId="77777777" w:rsidR="008034AA" w:rsidRPr="005D645D" w:rsidRDefault="008034AA" w:rsidP="008034AA">
      <w:pPr>
        <w:tabs>
          <w:tab w:val="left" w:pos="142"/>
          <w:tab w:val="left" w:pos="284"/>
        </w:tabs>
        <w:spacing w:after="0" w:line="240" w:lineRule="auto"/>
        <w:ind w:right="709"/>
        <w:jc w:val="both"/>
        <w:rPr>
          <w:rFonts w:ascii="Verdana" w:hAnsi="Verdana" w:cs="Century Gothic"/>
          <w:b/>
          <w:bCs/>
          <w:i/>
          <w:iCs/>
        </w:rPr>
      </w:pPr>
      <w:r w:rsidRPr="005D645D">
        <w:rPr>
          <w:rFonts w:ascii="Verdana" w:hAnsi="Verdana" w:cs="Century Gothic"/>
          <w:b/>
          <w:bCs/>
          <w:i/>
          <w:iCs/>
        </w:rPr>
        <w:t xml:space="preserve">5. Doctrina de la Agencia Nacional de Contratación Pública: </w:t>
      </w:r>
    </w:p>
    <w:p w14:paraId="35F06916" w14:textId="77777777" w:rsidR="008034AA" w:rsidRPr="005D645D" w:rsidRDefault="008034AA" w:rsidP="008034AA">
      <w:pPr>
        <w:tabs>
          <w:tab w:val="left" w:pos="142"/>
          <w:tab w:val="left" w:pos="284"/>
        </w:tabs>
        <w:spacing w:after="0" w:line="240" w:lineRule="auto"/>
        <w:ind w:right="709"/>
        <w:jc w:val="both"/>
        <w:rPr>
          <w:rFonts w:ascii="Verdana" w:hAnsi="Verdana" w:cs="Century Gothic"/>
          <w:b/>
          <w:bCs/>
          <w:i/>
          <w:iCs/>
        </w:rPr>
      </w:pPr>
    </w:p>
    <w:p w14:paraId="62FC37F3" w14:textId="77777777" w:rsidR="008034AA" w:rsidRPr="00F05275" w:rsidRDefault="008034AA" w:rsidP="008034AA">
      <w:pPr>
        <w:tabs>
          <w:tab w:val="left" w:pos="142"/>
          <w:tab w:val="left" w:pos="284"/>
          <w:tab w:val="left" w:pos="8080"/>
        </w:tabs>
        <w:spacing w:after="0" w:line="240" w:lineRule="auto"/>
        <w:jc w:val="both"/>
        <w:rPr>
          <w:rFonts w:ascii="Verdana" w:hAnsi="Verdana" w:cs="Century Gothic"/>
          <w:lang w:val="es-ES"/>
        </w:rPr>
      </w:pPr>
      <w:r w:rsidRPr="00F05275">
        <w:rPr>
          <w:rFonts w:ascii="Verdana" w:hAnsi="Verdana" w:cs="Century Gothic"/>
        </w:rPr>
        <w:t>L</w:t>
      </w:r>
      <w:r w:rsidRPr="00F05275">
        <w:rPr>
          <w:rFonts w:ascii="Verdana" w:hAnsi="Verdana" w:cs="Century Gothic"/>
          <w:lang w:val="es-ES"/>
        </w:rPr>
        <w:t>a Agencia Nacional de Contratación Pública – Colombia Compra Eficiente, se ha pronunciado sobre el giro y manejo de los recursos en los documentos tipo para la contratación directa de los convenios solidarios para la ejecución de obras hasta la menor cuantía con organismos de acción comunal en el concepto C-370 del 19 de septiembre de 2023</w:t>
      </w:r>
      <w:r>
        <w:rPr>
          <w:rFonts w:ascii="Verdana" w:hAnsi="Verdana" w:cs="Century Gothic"/>
          <w:lang w:val="es-ES"/>
        </w:rPr>
        <w:t>, en el concepto C-199 del 28 de marzo de 2025</w:t>
      </w:r>
    </w:p>
    <w:p w14:paraId="00FB3FA5" w14:textId="77777777" w:rsidR="008034AA" w:rsidRPr="00F05275" w:rsidRDefault="008034AA" w:rsidP="008034AA">
      <w:pPr>
        <w:tabs>
          <w:tab w:val="left" w:pos="142"/>
          <w:tab w:val="left" w:pos="284"/>
          <w:tab w:val="left" w:pos="8080"/>
        </w:tabs>
        <w:spacing w:after="0" w:line="240" w:lineRule="auto"/>
        <w:jc w:val="both"/>
        <w:rPr>
          <w:rFonts w:ascii="Verdana" w:hAnsi="Verdana" w:cs="Century Gothic"/>
          <w:lang w:val="es-ES"/>
        </w:rPr>
      </w:pPr>
    </w:p>
    <w:p w14:paraId="41C552AA" w14:textId="1B2DF340" w:rsidR="008034AA" w:rsidRDefault="008034AA" w:rsidP="008034AA">
      <w:pPr>
        <w:tabs>
          <w:tab w:val="left" w:pos="142"/>
          <w:tab w:val="left" w:pos="284"/>
          <w:tab w:val="left" w:pos="8080"/>
        </w:tabs>
        <w:spacing w:after="0" w:line="240" w:lineRule="auto"/>
        <w:jc w:val="both"/>
        <w:rPr>
          <w:rFonts w:ascii="Verdana" w:hAnsi="Verdana" w:cs="Century Gothic"/>
          <w:i/>
          <w:iCs/>
        </w:rPr>
      </w:pPr>
      <w:r w:rsidRPr="00F05275">
        <w:rPr>
          <w:rFonts w:ascii="Verdana" w:hAnsi="Verdana" w:cs="Century Gothic"/>
        </w:rPr>
        <w:t xml:space="preserve">Este y otros conceptos se encuentran disponibles para consulta en el Sistema de Relatoría de la Agencia, en el cual también podrás encontrar jurisprudencia del Consejo de Estado, laudos arbitrales y la normativa de la contratación concordada </w:t>
      </w:r>
      <w:r w:rsidRPr="00F05275">
        <w:rPr>
          <w:rFonts w:ascii="Verdana" w:hAnsi="Verdana" w:cs="Century Gothic"/>
        </w:rPr>
        <w:lastRenderedPageBreak/>
        <w:t>con la doctrina de la Subdirección de Gestión Contractual. Accede a través del siguiente enlace: </w:t>
      </w:r>
      <w:hyperlink r:id="rId16" w:tgtFrame="_blank" w:tooltip="Dirección URL original: https://relatoria.colombiacompra.gov.co/. Haga clic o pulse si confía en este vínculo." w:history="1">
        <w:r w:rsidRPr="00F05275">
          <w:rPr>
            <w:rStyle w:val="Hipervnculo"/>
            <w:rFonts w:ascii="Verdana" w:hAnsi="Verdana" w:cs="Century Gothic"/>
            <w:lang w:val="es-ES"/>
          </w:rPr>
          <w:t>https://relatoria.colombiacompra.gov.co/</w:t>
        </w:r>
      </w:hyperlink>
    </w:p>
    <w:p w14:paraId="4A0126AA" w14:textId="77777777" w:rsidR="008034AA" w:rsidRDefault="008034AA" w:rsidP="008034AA">
      <w:pPr>
        <w:tabs>
          <w:tab w:val="left" w:pos="142"/>
          <w:tab w:val="left" w:pos="284"/>
          <w:tab w:val="left" w:pos="8080"/>
        </w:tabs>
        <w:spacing w:after="0" w:line="240" w:lineRule="auto"/>
        <w:jc w:val="both"/>
        <w:rPr>
          <w:rFonts w:ascii="Verdana" w:hAnsi="Verdana" w:cs="Century Gothic"/>
          <w:i/>
          <w:iCs/>
        </w:rPr>
      </w:pPr>
    </w:p>
    <w:p w14:paraId="76B597FC" w14:textId="77777777" w:rsidR="008034AA" w:rsidRPr="00F200E4" w:rsidRDefault="008034AA" w:rsidP="008034AA">
      <w:pPr>
        <w:tabs>
          <w:tab w:val="left" w:pos="142"/>
          <w:tab w:val="left" w:pos="284"/>
          <w:tab w:val="left" w:pos="8080"/>
        </w:tabs>
        <w:spacing w:after="0" w:line="240" w:lineRule="auto"/>
        <w:jc w:val="both"/>
        <w:rPr>
          <w:rFonts w:ascii="Verdana" w:hAnsi="Verdana" w:cs="Century Gothic"/>
        </w:rPr>
      </w:pPr>
      <w:r w:rsidRPr="00F200E4">
        <w:rPr>
          <w:rFonts w:ascii="Verdana" w:hAnsi="Verdana" w:cs="Century Gothic"/>
        </w:rPr>
        <w:t>Por último, lo invitamos a seguirnos en las redes sociales en las cuales se difunde información institucional:</w:t>
      </w:r>
    </w:p>
    <w:p w14:paraId="2F948965" w14:textId="77777777" w:rsidR="008034AA" w:rsidRPr="00F200E4" w:rsidRDefault="008034AA" w:rsidP="008034AA">
      <w:pPr>
        <w:tabs>
          <w:tab w:val="left" w:pos="142"/>
          <w:tab w:val="left" w:pos="284"/>
          <w:tab w:val="left" w:pos="8080"/>
        </w:tabs>
        <w:spacing w:after="0" w:line="240" w:lineRule="auto"/>
        <w:jc w:val="both"/>
        <w:rPr>
          <w:rFonts w:ascii="Verdana" w:hAnsi="Verdana" w:cs="Century Gothic"/>
        </w:rPr>
      </w:pPr>
    </w:p>
    <w:p w14:paraId="7067C26D" w14:textId="77777777" w:rsidR="008034AA" w:rsidRPr="00F200E4" w:rsidRDefault="008034AA" w:rsidP="008034AA">
      <w:pPr>
        <w:tabs>
          <w:tab w:val="left" w:pos="142"/>
          <w:tab w:val="left" w:pos="284"/>
          <w:tab w:val="left" w:pos="8080"/>
        </w:tabs>
        <w:spacing w:after="0" w:line="240" w:lineRule="auto"/>
        <w:jc w:val="both"/>
        <w:rPr>
          <w:rFonts w:ascii="Verdana" w:hAnsi="Verdana" w:cs="Century Gothic"/>
        </w:rPr>
      </w:pPr>
      <w:r w:rsidRPr="00F200E4">
        <w:rPr>
          <w:rFonts w:ascii="Verdana" w:hAnsi="Verdana" w:cs="Century Gothic"/>
        </w:rPr>
        <w:t xml:space="preserve">Twitter: </w:t>
      </w:r>
      <w:r w:rsidRPr="00F200E4">
        <w:rPr>
          <w:rFonts w:ascii="Verdana" w:hAnsi="Verdana" w:cs="Century Gothic"/>
          <w:u w:val="single"/>
        </w:rPr>
        <w:t>@colombiacompra</w:t>
      </w:r>
      <w:r w:rsidRPr="00F200E4">
        <w:rPr>
          <w:rFonts w:ascii="Verdana" w:hAnsi="Verdana" w:cs="Century Gothic"/>
        </w:rPr>
        <w:t xml:space="preserve"> </w:t>
      </w:r>
      <w:r>
        <w:rPr>
          <w:rFonts w:ascii="Verdana" w:hAnsi="Verdana" w:cs="Century Gothic"/>
        </w:rPr>
        <w:t xml:space="preserve"> </w:t>
      </w:r>
    </w:p>
    <w:p w14:paraId="579ACE86" w14:textId="77777777" w:rsidR="008034AA" w:rsidRPr="00F200E4" w:rsidRDefault="008034AA" w:rsidP="008034AA">
      <w:pPr>
        <w:tabs>
          <w:tab w:val="left" w:pos="142"/>
          <w:tab w:val="left" w:pos="284"/>
          <w:tab w:val="left" w:pos="8080"/>
        </w:tabs>
        <w:spacing w:after="0" w:line="240" w:lineRule="auto"/>
        <w:jc w:val="both"/>
        <w:rPr>
          <w:rFonts w:ascii="Verdana" w:hAnsi="Verdana" w:cs="Century Gothic"/>
        </w:rPr>
      </w:pPr>
      <w:r w:rsidRPr="00F200E4">
        <w:rPr>
          <w:rFonts w:ascii="Verdana" w:hAnsi="Verdana" w:cs="Century Gothic"/>
        </w:rPr>
        <w:t xml:space="preserve">Facebook: </w:t>
      </w:r>
      <w:proofErr w:type="spellStart"/>
      <w:r w:rsidRPr="00F200E4">
        <w:rPr>
          <w:rFonts w:ascii="Verdana" w:hAnsi="Verdana" w:cs="Century Gothic"/>
          <w:u w:val="single"/>
        </w:rPr>
        <w:t>ColombiaCompraEficiente</w:t>
      </w:r>
      <w:proofErr w:type="spellEnd"/>
      <w:r>
        <w:rPr>
          <w:rFonts w:ascii="Verdana" w:hAnsi="Verdana" w:cs="Century Gothic"/>
          <w:u w:val="single"/>
        </w:rPr>
        <w:t xml:space="preserve"> </w:t>
      </w:r>
    </w:p>
    <w:p w14:paraId="68F1DF7E" w14:textId="77777777" w:rsidR="008034AA" w:rsidRPr="00F200E4" w:rsidRDefault="008034AA" w:rsidP="008034AA">
      <w:pPr>
        <w:tabs>
          <w:tab w:val="left" w:pos="142"/>
          <w:tab w:val="left" w:pos="284"/>
          <w:tab w:val="left" w:pos="8080"/>
        </w:tabs>
        <w:spacing w:after="0" w:line="240" w:lineRule="auto"/>
        <w:jc w:val="both"/>
        <w:rPr>
          <w:rFonts w:ascii="Verdana" w:hAnsi="Verdana" w:cs="Century Gothic"/>
        </w:rPr>
      </w:pPr>
      <w:r w:rsidRPr="00F200E4">
        <w:rPr>
          <w:rFonts w:ascii="Verdana" w:hAnsi="Verdana" w:cs="Century Gothic"/>
        </w:rPr>
        <w:t xml:space="preserve">LinkedIn: </w:t>
      </w:r>
      <w:r w:rsidRPr="00F200E4">
        <w:rPr>
          <w:rFonts w:ascii="Verdana" w:hAnsi="Verdana" w:cs="Century Gothic"/>
          <w:u w:val="single"/>
        </w:rPr>
        <w:t>Agencia Nacional de Contratación Pública - Colombia Compra Eficiente</w:t>
      </w:r>
      <w:r w:rsidRPr="00F200E4">
        <w:rPr>
          <w:rFonts w:ascii="Verdana" w:hAnsi="Verdana" w:cs="Century Gothic"/>
        </w:rPr>
        <w:t xml:space="preserve"> Instagram: </w:t>
      </w:r>
      <w:r w:rsidRPr="00F200E4">
        <w:rPr>
          <w:rFonts w:ascii="Verdana" w:hAnsi="Verdana" w:cs="Century Gothic"/>
          <w:u w:val="single"/>
        </w:rPr>
        <w:t>@colombiacompraeficiente_cce</w:t>
      </w:r>
      <w:r>
        <w:rPr>
          <w:rFonts w:ascii="Verdana" w:hAnsi="Verdana" w:cs="Century Gothic"/>
          <w:u w:val="single"/>
        </w:rPr>
        <w:t xml:space="preserve"> </w:t>
      </w:r>
    </w:p>
    <w:p w14:paraId="2217C56F" w14:textId="77777777" w:rsidR="008034AA" w:rsidRPr="00F200E4" w:rsidRDefault="008034AA" w:rsidP="008034AA">
      <w:pPr>
        <w:tabs>
          <w:tab w:val="left" w:pos="142"/>
          <w:tab w:val="left" w:pos="284"/>
          <w:tab w:val="left" w:pos="8080"/>
        </w:tabs>
        <w:spacing w:after="0" w:line="240" w:lineRule="auto"/>
        <w:jc w:val="both"/>
        <w:rPr>
          <w:rFonts w:ascii="Verdana" w:hAnsi="Verdana" w:cs="Century Gothic"/>
        </w:rPr>
      </w:pPr>
    </w:p>
    <w:p w14:paraId="04FDF2F1" w14:textId="77777777" w:rsidR="008034AA" w:rsidRPr="00F200E4" w:rsidRDefault="008034AA" w:rsidP="008034AA">
      <w:pPr>
        <w:tabs>
          <w:tab w:val="left" w:pos="142"/>
          <w:tab w:val="left" w:pos="284"/>
          <w:tab w:val="left" w:pos="8080"/>
        </w:tabs>
        <w:spacing w:after="0" w:line="240" w:lineRule="auto"/>
        <w:jc w:val="both"/>
        <w:rPr>
          <w:rFonts w:ascii="Verdana" w:hAnsi="Verdana" w:cs="Century Gothic"/>
          <w:lang w:val="es-ES_tradnl"/>
        </w:rPr>
      </w:pPr>
      <w:r w:rsidRPr="00F200E4">
        <w:rPr>
          <w:rFonts w:ascii="Verdana" w:hAnsi="Verdana" w:cs="Century Gothic"/>
        </w:rPr>
        <w:t xml:space="preserve">Este concepto tiene el alcance previsto en el artículo 28 del Código de Procedimiento Administrativo y de lo Contencioso Administrativo </w:t>
      </w:r>
      <w:r w:rsidRPr="00F200E4">
        <w:rPr>
          <w:rFonts w:ascii="Verdana" w:hAnsi="Verdana" w:cs="Century Gothic"/>
          <w:lang w:val="es-ES_tradnl"/>
        </w:rPr>
        <w:t>y las expresiones aquí utilizadas con mayúscula inicial deben ser entendidas con el significado que les otorga el artículo 2.2.1.1.1.3.1. del Decreto 1082 de 2015.</w:t>
      </w:r>
    </w:p>
    <w:p w14:paraId="1D5DC332" w14:textId="77777777" w:rsidR="008034AA" w:rsidRPr="00F200E4" w:rsidRDefault="008034AA" w:rsidP="008034AA">
      <w:pPr>
        <w:tabs>
          <w:tab w:val="left" w:pos="142"/>
          <w:tab w:val="left" w:pos="284"/>
          <w:tab w:val="left" w:pos="8080"/>
        </w:tabs>
        <w:spacing w:after="0" w:line="240" w:lineRule="auto"/>
        <w:jc w:val="both"/>
        <w:rPr>
          <w:rFonts w:ascii="Verdana" w:hAnsi="Verdana" w:cs="Century Gothic"/>
        </w:rPr>
      </w:pPr>
    </w:p>
    <w:p w14:paraId="31161F1F" w14:textId="77777777" w:rsidR="008034AA" w:rsidRPr="00F200E4" w:rsidRDefault="008034AA" w:rsidP="008034AA">
      <w:pPr>
        <w:tabs>
          <w:tab w:val="left" w:pos="142"/>
          <w:tab w:val="left" w:pos="284"/>
          <w:tab w:val="left" w:pos="8080"/>
        </w:tabs>
        <w:spacing w:after="0" w:line="240" w:lineRule="auto"/>
        <w:jc w:val="both"/>
        <w:rPr>
          <w:rFonts w:ascii="Verdana" w:hAnsi="Verdana" w:cs="Century Gothic"/>
        </w:rPr>
      </w:pPr>
      <w:r w:rsidRPr="00F200E4">
        <w:rPr>
          <w:rFonts w:ascii="Verdana" w:hAnsi="Verdana" w:cs="Century Gothic"/>
        </w:rPr>
        <w:t xml:space="preserve">Atentamente, </w:t>
      </w:r>
    </w:p>
    <w:p w14:paraId="38B4A674" w14:textId="77777777" w:rsidR="008034AA" w:rsidRDefault="008034AA" w:rsidP="008034AA">
      <w:pPr>
        <w:tabs>
          <w:tab w:val="left" w:pos="142"/>
          <w:tab w:val="left" w:pos="284"/>
          <w:tab w:val="left" w:pos="8080"/>
        </w:tabs>
        <w:spacing w:after="0" w:line="240" w:lineRule="auto"/>
        <w:jc w:val="both"/>
        <w:rPr>
          <w:rFonts w:ascii="Verdana" w:hAnsi="Verdana" w:cs="Century Gothic"/>
        </w:rPr>
      </w:pPr>
    </w:p>
    <w:p w14:paraId="056280D8" w14:textId="77777777" w:rsidR="008034AA" w:rsidRDefault="008034AA" w:rsidP="008034AA">
      <w:pPr>
        <w:tabs>
          <w:tab w:val="left" w:pos="142"/>
          <w:tab w:val="left" w:pos="284"/>
          <w:tab w:val="left" w:pos="8080"/>
        </w:tabs>
        <w:spacing w:after="0" w:line="240" w:lineRule="auto"/>
        <w:jc w:val="both"/>
        <w:rPr>
          <w:rFonts w:ascii="Verdana" w:hAnsi="Verdana" w:cs="Century Gothic"/>
        </w:rPr>
      </w:pPr>
    </w:p>
    <w:p w14:paraId="2EF583A2" w14:textId="60CA66F5" w:rsidR="008034AA" w:rsidRDefault="006C3AB9" w:rsidP="008034AA">
      <w:pPr>
        <w:tabs>
          <w:tab w:val="left" w:pos="142"/>
          <w:tab w:val="left" w:pos="284"/>
          <w:tab w:val="left" w:pos="8080"/>
        </w:tabs>
        <w:spacing w:after="0" w:line="240" w:lineRule="auto"/>
        <w:jc w:val="both"/>
        <w:rPr>
          <w:rFonts w:ascii="Verdana" w:hAnsi="Verdana" w:cs="Century Gothic"/>
        </w:rPr>
      </w:pPr>
      <w:r>
        <w:rPr>
          <w:noProof/>
        </w:rPr>
        <w:drawing>
          <wp:anchor distT="0" distB="0" distL="114300" distR="114300" simplePos="0" relativeHeight="251658240" behindDoc="1" locked="0" layoutInCell="1" allowOverlap="1" wp14:anchorId="4FDC9E8B" wp14:editId="0667A271">
            <wp:simplePos x="0" y="0"/>
            <wp:positionH relativeFrom="column">
              <wp:posOffset>1205865</wp:posOffset>
            </wp:positionH>
            <wp:positionV relativeFrom="paragraph">
              <wp:posOffset>5080</wp:posOffset>
            </wp:positionV>
            <wp:extent cx="3705225" cy="1590675"/>
            <wp:effectExtent l="0" t="0" r="9525" b="9525"/>
            <wp:wrapTight wrapText="bothSides">
              <wp:wrapPolygon edited="0">
                <wp:start x="0" y="0"/>
                <wp:lineTo x="0" y="21471"/>
                <wp:lineTo x="21544" y="21471"/>
                <wp:lineTo x="21544" y="0"/>
                <wp:lineTo x="0" y="0"/>
              </wp:wrapPolygon>
            </wp:wrapTight>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3705225" cy="1590675"/>
                    </a:xfrm>
                    <a:prstGeom prst="rect">
                      <a:avLst/>
                    </a:prstGeom>
                  </pic:spPr>
                </pic:pic>
              </a:graphicData>
            </a:graphic>
          </wp:anchor>
        </w:drawing>
      </w:r>
    </w:p>
    <w:p w14:paraId="1BC7BB4A" w14:textId="77777777" w:rsidR="008034AA" w:rsidRDefault="008034AA" w:rsidP="008034AA">
      <w:pPr>
        <w:tabs>
          <w:tab w:val="left" w:pos="142"/>
          <w:tab w:val="left" w:pos="284"/>
          <w:tab w:val="left" w:pos="8080"/>
        </w:tabs>
        <w:spacing w:after="0" w:line="240" w:lineRule="auto"/>
        <w:jc w:val="both"/>
        <w:rPr>
          <w:rFonts w:ascii="Verdana" w:hAnsi="Verdana" w:cs="Century Gothic"/>
        </w:rPr>
      </w:pPr>
    </w:p>
    <w:p w14:paraId="5868CCC4" w14:textId="77777777" w:rsidR="008034AA" w:rsidRDefault="008034AA" w:rsidP="008034AA">
      <w:pPr>
        <w:tabs>
          <w:tab w:val="left" w:pos="142"/>
          <w:tab w:val="left" w:pos="284"/>
          <w:tab w:val="left" w:pos="8080"/>
        </w:tabs>
        <w:spacing w:after="0" w:line="240" w:lineRule="auto"/>
        <w:jc w:val="both"/>
        <w:rPr>
          <w:rFonts w:ascii="Verdana" w:hAnsi="Verdana" w:cs="Century Gothic"/>
        </w:rPr>
      </w:pPr>
    </w:p>
    <w:p w14:paraId="47844E99" w14:textId="77777777" w:rsidR="008034AA" w:rsidRDefault="008034AA" w:rsidP="008034AA">
      <w:pPr>
        <w:tabs>
          <w:tab w:val="left" w:pos="142"/>
          <w:tab w:val="left" w:pos="284"/>
          <w:tab w:val="left" w:pos="8080"/>
        </w:tabs>
        <w:spacing w:after="0" w:line="240" w:lineRule="auto"/>
        <w:jc w:val="both"/>
        <w:rPr>
          <w:rFonts w:ascii="Verdana" w:hAnsi="Verdana" w:cs="Century Gothic"/>
        </w:rPr>
      </w:pPr>
    </w:p>
    <w:p w14:paraId="39C823CA" w14:textId="77777777" w:rsidR="008034AA" w:rsidRDefault="008034AA" w:rsidP="008034AA">
      <w:pPr>
        <w:tabs>
          <w:tab w:val="left" w:pos="142"/>
          <w:tab w:val="left" w:pos="284"/>
          <w:tab w:val="left" w:pos="8080"/>
        </w:tabs>
        <w:spacing w:after="0" w:line="240" w:lineRule="auto"/>
        <w:jc w:val="both"/>
        <w:rPr>
          <w:rFonts w:ascii="Verdana" w:hAnsi="Verdana" w:cs="Century Gothic"/>
        </w:rPr>
      </w:pPr>
    </w:p>
    <w:p w14:paraId="4E11DEEA" w14:textId="77777777" w:rsidR="008034AA" w:rsidRDefault="008034AA" w:rsidP="008034AA">
      <w:pPr>
        <w:tabs>
          <w:tab w:val="left" w:pos="142"/>
          <w:tab w:val="left" w:pos="284"/>
          <w:tab w:val="left" w:pos="8080"/>
        </w:tabs>
        <w:spacing w:after="0" w:line="240" w:lineRule="auto"/>
        <w:jc w:val="both"/>
        <w:rPr>
          <w:rFonts w:ascii="Verdana" w:hAnsi="Verdana" w:cs="Century Gothic"/>
        </w:rPr>
      </w:pPr>
    </w:p>
    <w:p w14:paraId="1EA18B61" w14:textId="77777777" w:rsidR="008034AA" w:rsidRDefault="008034AA" w:rsidP="008034AA">
      <w:pPr>
        <w:tabs>
          <w:tab w:val="left" w:pos="142"/>
          <w:tab w:val="left" w:pos="284"/>
          <w:tab w:val="left" w:pos="8080"/>
        </w:tabs>
        <w:spacing w:after="0" w:line="240" w:lineRule="auto"/>
        <w:jc w:val="both"/>
        <w:rPr>
          <w:rFonts w:ascii="Verdana" w:hAnsi="Verdana" w:cs="Century Gothic"/>
        </w:rPr>
      </w:pPr>
    </w:p>
    <w:p w14:paraId="366CCFF2" w14:textId="77777777" w:rsidR="008034AA" w:rsidRDefault="008034AA" w:rsidP="008034AA">
      <w:pPr>
        <w:tabs>
          <w:tab w:val="left" w:pos="142"/>
          <w:tab w:val="left" w:pos="284"/>
          <w:tab w:val="left" w:pos="8080"/>
        </w:tabs>
        <w:spacing w:after="0" w:line="240" w:lineRule="auto"/>
        <w:jc w:val="both"/>
        <w:rPr>
          <w:rFonts w:ascii="Verdana" w:hAnsi="Verdana" w:cs="Century Gothic"/>
        </w:rPr>
      </w:pPr>
    </w:p>
    <w:p w14:paraId="4EFD1D24" w14:textId="77777777" w:rsidR="006C3AB9" w:rsidRDefault="006C3AB9" w:rsidP="008034AA">
      <w:pPr>
        <w:tabs>
          <w:tab w:val="left" w:pos="142"/>
          <w:tab w:val="left" w:pos="284"/>
          <w:tab w:val="left" w:pos="8080"/>
        </w:tabs>
        <w:spacing w:after="0" w:line="240" w:lineRule="auto"/>
        <w:jc w:val="both"/>
        <w:rPr>
          <w:rFonts w:ascii="Verdana" w:hAnsi="Verdana" w:cs="Century Gothic"/>
        </w:rPr>
      </w:pPr>
    </w:p>
    <w:p w14:paraId="07724A3D" w14:textId="77777777" w:rsidR="008034AA" w:rsidRDefault="008034AA" w:rsidP="008034AA">
      <w:pPr>
        <w:tabs>
          <w:tab w:val="left" w:pos="142"/>
          <w:tab w:val="left" w:pos="284"/>
          <w:tab w:val="left" w:pos="8080"/>
        </w:tabs>
        <w:spacing w:after="0" w:line="240" w:lineRule="auto"/>
        <w:jc w:val="both"/>
        <w:rPr>
          <w:rFonts w:ascii="Verdana" w:hAnsi="Verdana" w:cs="Century Gothic"/>
        </w:rPr>
      </w:pPr>
    </w:p>
    <w:tbl>
      <w:tblPr>
        <w:tblW w:w="5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7"/>
        <w:gridCol w:w="4363"/>
      </w:tblGrid>
      <w:tr w:rsidR="008034AA" w:rsidRPr="00B45B4E" w14:paraId="031CB22A" w14:textId="77777777" w:rsidTr="00C37C3E">
        <w:trPr>
          <w:trHeight w:val="315"/>
        </w:trPr>
        <w:tc>
          <w:tcPr>
            <w:tcW w:w="857" w:type="dxa"/>
            <w:tcBorders>
              <w:top w:val="nil"/>
              <w:left w:val="nil"/>
              <w:bottom w:val="nil"/>
              <w:right w:val="nil"/>
            </w:tcBorders>
            <w:vAlign w:val="center"/>
            <w:hideMark/>
          </w:tcPr>
          <w:p w14:paraId="4696B909" w14:textId="77777777" w:rsidR="008034AA" w:rsidRPr="00B45B4E" w:rsidRDefault="008034AA" w:rsidP="00C37C3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4363" w:type="dxa"/>
            <w:tcBorders>
              <w:top w:val="nil"/>
              <w:left w:val="nil"/>
              <w:bottom w:val="dotted" w:sz="6" w:space="0" w:color="7F7F7F" w:themeColor="text1" w:themeTint="80"/>
              <w:right w:val="nil"/>
            </w:tcBorders>
            <w:vAlign w:val="center"/>
            <w:hideMark/>
          </w:tcPr>
          <w:p w14:paraId="1F4574EC" w14:textId="77777777" w:rsidR="008034AA" w:rsidRPr="00B45B4E" w:rsidRDefault="008034AA" w:rsidP="00C37C3E">
            <w:pPr>
              <w:spacing w:after="0" w:line="240" w:lineRule="auto"/>
              <w:jc w:val="both"/>
              <w:rPr>
                <w:rFonts w:ascii="Verdana" w:hAnsi="Verdana" w:cs="Arial"/>
                <w:sz w:val="16"/>
                <w:szCs w:val="16"/>
              </w:rPr>
            </w:pPr>
            <w:r w:rsidRPr="00B45B4E">
              <w:rPr>
                <w:rFonts w:ascii="Verdana" w:hAnsi="Verdana" w:cs="Arial"/>
                <w:sz w:val="16"/>
                <w:szCs w:val="16"/>
              </w:rPr>
              <w:t xml:space="preserve">Kelmis Yirama Brugés Alvarado </w:t>
            </w:r>
          </w:p>
          <w:p w14:paraId="46A355BB" w14:textId="77777777" w:rsidR="008034AA" w:rsidRPr="00B45B4E" w:rsidRDefault="008034AA" w:rsidP="00C37C3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T2-04 de la Subdirección de Gestión Contractual</w:t>
            </w:r>
          </w:p>
        </w:tc>
      </w:tr>
      <w:tr w:rsidR="008034AA" w:rsidRPr="00B45B4E" w14:paraId="3F0EA58F" w14:textId="77777777" w:rsidTr="00C37C3E">
        <w:trPr>
          <w:trHeight w:val="315"/>
        </w:trPr>
        <w:tc>
          <w:tcPr>
            <w:tcW w:w="857" w:type="dxa"/>
            <w:tcBorders>
              <w:top w:val="nil"/>
              <w:left w:val="nil"/>
              <w:bottom w:val="nil"/>
              <w:right w:val="nil"/>
            </w:tcBorders>
            <w:vAlign w:val="center"/>
            <w:hideMark/>
          </w:tcPr>
          <w:p w14:paraId="7EEBB6D1" w14:textId="77777777" w:rsidR="008034AA" w:rsidRPr="00B45B4E" w:rsidRDefault="008034AA" w:rsidP="00C37C3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33D16DA9" w14:textId="11B390D4" w:rsidR="008034AA" w:rsidRPr="00B45B4E" w:rsidRDefault="008034AA" w:rsidP="00C37C3E">
            <w:pPr>
              <w:spacing w:after="0" w:line="240" w:lineRule="auto"/>
              <w:jc w:val="both"/>
              <w:rPr>
                <w:rFonts w:ascii="Verdana" w:hAnsi="Verdana" w:cs="Arial"/>
                <w:sz w:val="16"/>
                <w:szCs w:val="16"/>
              </w:rPr>
            </w:pPr>
            <w:r>
              <w:rPr>
                <w:rFonts w:ascii="Verdana" w:hAnsi="Verdana" w:cs="Arial"/>
                <w:sz w:val="16"/>
                <w:szCs w:val="16"/>
              </w:rPr>
              <w:t>Juan David Cárdenas Cabeza</w:t>
            </w:r>
          </w:p>
          <w:p w14:paraId="0468AF02" w14:textId="77777777" w:rsidR="008034AA" w:rsidRPr="00B45B4E" w:rsidRDefault="008034AA" w:rsidP="00C37C3E">
            <w:pPr>
              <w:spacing w:after="0" w:line="240" w:lineRule="auto"/>
              <w:jc w:val="both"/>
              <w:rPr>
                <w:rFonts w:ascii="Verdana" w:hAnsi="Verdana" w:cs="Arial"/>
                <w:sz w:val="16"/>
                <w:szCs w:val="16"/>
              </w:rPr>
            </w:pPr>
            <w:r>
              <w:rPr>
                <w:rFonts w:ascii="Verdana" w:eastAsia="Calibri" w:hAnsi="Verdana" w:cs="Arial"/>
                <w:sz w:val="16"/>
                <w:szCs w:val="16"/>
              </w:rPr>
              <w:t>Contratista</w:t>
            </w:r>
            <w:r w:rsidRPr="00B45B4E">
              <w:rPr>
                <w:rFonts w:ascii="Verdana" w:eastAsia="Calibri" w:hAnsi="Verdana" w:cs="Arial"/>
                <w:sz w:val="16"/>
                <w:szCs w:val="16"/>
              </w:rPr>
              <w:t xml:space="preserve"> d</w:t>
            </w:r>
            <w:r>
              <w:rPr>
                <w:rFonts w:ascii="Verdana" w:eastAsia="Calibri" w:hAnsi="Verdana" w:cs="Arial"/>
                <w:sz w:val="16"/>
                <w:szCs w:val="16"/>
              </w:rPr>
              <w:t xml:space="preserve">e </w:t>
            </w:r>
            <w:r w:rsidRPr="00B45B4E">
              <w:rPr>
                <w:rFonts w:ascii="Verdana" w:eastAsia="Calibri" w:hAnsi="Verdana" w:cs="Arial"/>
                <w:sz w:val="16"/>
                <w:szCs w:val="16"/>
              </w:rPr>
              <w:t>la Subdirección de Gestión Contractual</w:t>
            </w:r>
          </w:p>
        </w:tc>
      </w:tr>
      <w:tr w:rsidR="008034AA" w:rsidRPr="00B45B4E" w14:paraId="30E285A2" w14:textId="77777777" w:rsidTr="00C37C3E">
        <w:trPr>
          <w:trHeight w:val="300"/>
        </w:trPr>
        <w:tc>
          <w:tcPr>
            <w:tcW w:w="857" w:type="dxa"/>
            <w:tcBorders>
              <w:top w:val="nil"/>
              <w:left w:val="nil"/>
              <w:bottom w:val="nil"/>
              <w:right w:val="nil"/>
            </w:tcBorders>
            <w:vAlign w:val="center"/>
            <w:hideMark/>
          </w:tcPr>
          <w:p w14:paraId="2FF243E1" w14:textId="77777777" w:rsidR="008034AA" w:rsidRPr="00B45B4E" w:rsidRDefault="008034AA" w:rsidP="00C37C3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7C22DBE9" w14:textId="77777777" w:rsidR="008034AA" w:rsidRPr="00B45B4E" w:rsidRDefault="008034AA" w:rsidP="00C37C3E">
            <w:pPr>
              <w:autoSpaceDE w:val="0"/>
              <w:autoSpaceDN w:val="0"/>
              <w:adjustRightInd w:val="0"/>
              <w:spacing w:after="0" w:line="240" w:lineRule="auto"/>
              <w:jc w:val="both"/>
              <w:rPr>
                <w:rFonts w:ascii="Verdana" w:eastAsia="Calibri" w:hAnsi="Verdana" w:cs="Arial"/>
                <w:sz w:val="16"/>
                <w:szCs w:val="16"/>
              </w:rPr>
            </w:pPr>
            <w:r>
              <w:rPr>
                <w:rFonts w:ascii="Verdana" w:eastAsia="Calibri" w:hAnsi="Verdana" w:cs="Arial"/>
                <w:sz w:val="16"/>
                <w:szCs w:val="16"/>
              </w:rPr>
              <w:t>Carolina Quintero Gacharná</w:t>
            </w:r>
          </w:p>
          <w:p w14:paraId="605B7D4B" w14:textId="77777777" w:rsidR="008034AA" w:rsidRPr="00B45B4E" w:rsidRDefault="008034AA" w:rsidP="00C37C3E">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 xml:space="preserve">Subdirectora de Gestión Contractual </w:t>
            </w:r>
          </w:p>
        </w:tc>
      </w:tr>
    </w:tbl>
    <w:p w14:paraId="7D2D5417" w14:textId="77777777" w:rsidR="008034AA" w:rsidRPr="00FE5786" w:rsidRDefault="008034AA" w:rsidP="008034AA"/>
    <w:p w14:paraId="4EFFF80E" w14:textId="77777777" w:rsidR="008034AA" w:rsidRPr="005D645D" w:rsidRDefault="008034AA" w:rsidP="008034AA">
      <w:pPr>
        <w:tabs>
          <w:tab w:val="left" w:pos="142"/>
          <w:tab w:val="left" w:pos="284"/>
          <w:tab w:val="left" w:pos="8080"/>
        </w:tabs>
        <w:spacing w:after="0" w:line="240" w:lineRule="auto"/>
        <w:jc w:val="both"/>
        <w:rPr>
          <w:rFonts w:ascii="Verdana" w:hAnsi="Verdana" w:cs="Century Gothic"/>
        </w:rPr>
      </w:pPr>
    </w:p>
    <w:p w14:paraId="4CDC1B1C" w14:textId="77777777" w:rsidR="008034AA" w:rsidRPr="00602A2E" w:rsidRDefault="008034AA" w:rsidP="008034AA">
      <w:pPr>
        <w:tabs>
          <w:tab w:val="left" w:pos="142"/>
          <w:tab w:val="left" w:pos="284"/>
          <w:tab w:val="left" w:pos="8080"/>
        </w:tabs>
        <w:spacing w:after="0" w:line="240" w:lineRule="auto"/>
        <w:jc w:val="both"/>
        <w:rPr>
          <w:rFonts w:ascii="Verdana" w:hAnsi="Verdana" w:cs="Century Gothic"/>
          <w:b/>
          <w:bCs/>
          <w:i/>
          <w:iCs/>
        </w:rPr>
      </w:pPr>
    </w:p>
    <w:p w14:paraId="3308DBD6" w14:textId="77777777" w:rsidR="008034AA" w:rsidRPr="001420BB" w:rsidRDefault="008034AA" w:rsidP="008034AA">
      <w:pPr>
        <w:tabs>
          <w:tab w:val="left" w:pos="142"/>
          <w:tab w:val="left" w:pos="284"/>
          <w:tab w:val="left" w:pos="8080"/>
        </w:tabs>
        <w:spacing w:after="0" w:line="240" w:lineRule="auto"/>
        <w:jc w:val="both"/>
        <w:rPr>
          <w:rFonts w:ascii="Verdana" w:hAnsi="Verdana" w:cs="Century Gothic"/>
        </w:rPr>
      </w:pPr>
    </w:p>
    <w:p w14:paraId="631F0E07" w14:textId="77777777" w:rsidR="001420BB" w:rsidRPr="008034AA" w:rsidRDefault="001420BB" w:rsidP="008034AA"/>
    <w:sectPr w:rsidR="001420BB" w:rsidRPr="008034AA" w:rsidSect="005D645D">
      <w:headerReference w:type="default" r:id="rId18"/>
      <w:footerReference w:type="default" r:id="rId19"/>
      <w:pgSz w:w="12240" w:h="15840" w:code="1"/>
      <w:pgMar w:top="1417" w:right="1467"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B72D86" w14:textId="77777777" w:rsidR="00CE5A44" w:rsidRDefault="00CE5A44" w:rsidP="004A1847">
      <w:pPr>
        <w:spacing w:after="0" w:line="240" w:lineRule="auto"/>
      </w:pPr>
      <w:r>
        <w:separator/>
      </w:r>
    </w:p>
  </w:endnote>
  <w:endnote w:type="continuationSeparator" w:id="0">
    <w:p w14:paraId="073FED73" w14:textId="77777777" w:rsidR="00CE5A44" w:rsidRDefault="00CE5A4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default"/>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cstheme="minorBidi"/>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cstheme="minorBidi"/>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4C5BD4" w14:textId="77777777" w:rsidR="00CE5A44" w:rsidRDefault="00CE5A44" w:rsidP="004A1847">
      <w:pPr>
        <w:spacing w:after="0" w:line="240" w:lineRule="auto"/>
      </w:pPr>
      <w:r>
        <w:separator/>
      </w:r>
    </w:p>
  </w:footnote>
  <w:footnote w:type="continuationSeparator" w:id="0">
    <w:p w14:paraId="7CCC2C56" w14:textId="77777777" w:rsidR="00CE5A44" w:rsidRDefault="00CE5A44" w:rsidP="004A1847">
      <w:pPr>
        <w:spacing w:after="0" w:line="240" w:lineRule="auto"/>
      </w:pPr>
      <w:r>
        <w:continuationSeparator/>
      </w:r>
    </w:p>
  </w:footnote>
  <w:footnote w:id="1">
    <w:p w14:paraId="0C344CE5" w14:textId="77777777" w:rsidR="008034AA" w:rsidRPr="00D36753" w:rsidRDefault="008034AA" w:rsidP="008034AA">
      <w:pPr>
        <w:pStyle w:val="Textonotapie"/>
        <w:ind w:firstLine="709"/>
        <w:jc w:val="both"/>
        <w:rPr>
          <w:rFonts w:ascii="Verdana" w:eastAsiaTheme="minorHAnsi" w:hAnsi="Verdana" w:cs="Arial"/>
          <w:sz w:val="16"/>
          <w:szCs w:val="16"/>
        </w:rPr>
      </w:pPr>
      <w:r w:rsidRPr="00D36753">
        <w:rPr>
          <w:rStyle w:val="Refdenotaalpie"/>
          <w:rFonts w:ascii="Verdana" w:hAnsi="Verdana" w:cs="Arial"/>
          <w:sz w:val="16"/>
          <w:szCs w:val="16"/>
        </w:rPr>
        <w:footnoteRef/>
      </w:r>
      <w:r w:rsidRPr="00D36753">
        <w:rPr>
          <w:rFonts w:ascii="Verdana" w:hAnsi="Verdana" w:cs="Arial"/>
          <w:sz w:val="16"/>
          <w:szCs w:val="16"/>
        </w:rPr>
        <w:t xml:space="preserve"> Es importante señalar que los documentos tipo adoptados son obligatorios para las entidades estatales regidas por el Estatuto General de Contratación de la Administración Pública –EGCAP– que adelanten procesos de contratación mediante las modalidades de selección y objetos contractuales cobijados por alguno de los documentos tipo vigentes en los diferentes sectores. La obligatoriedad del contenido de los documentos tipo implica que las entidades estatales tengan que adelantar los procesos de contratación ciñéndose a las condiciones establecidas en los documentos tipo, sin que puedan variarse los requisitos fijados en ellos.</w:t>
      </w:r>
    </w:p>
  </w:footnote>
  <w:footnote w:id="2">
    <w:p w14:paraId="4D769235" w14:textId="77777777" w:rsidR="008034AA" w:rsidRPr="000F6451" w:rsidRDefault="008034AA" w:rsidP="008034AA">
      <w:pPr>
        <w:pStyle w:val="Textonotapie"/>
        <w:ind w:firstLine="709"/>
        <w:jc w:val="both"/>
        <w:rPr>
          <w:rFonts w:ascii="Verdana" w:hAnsi="Verdana" w:cs="Arial"/>
          <w:sz w:val="16"/>
          <w:szCs w:val="16"/>
          <w:lang w:val="es-CO"/>
        </w:rPr>
      </w:pPr>
      <w:r w:rsidRPr="000F6451">
        <w:rPr>
          <w:rStyle w:val="Refdenotaalpie"/>
          <w:rFonts w:ascii="Verdana" w:hAnsi="Verdana" w:cs="Arial"/>
          <w:sz w:val="16"/>
          <w:szCs w:val="16"/>
        </w:rPr>
        <w:footnoteRef/>
      </w:r>
      <w:r w:rsidRPr="000F6451">
        <w:rPr>
          <w:rFonts w:ascii="Verdana" w:hAnsi="Verdana" w:cs="Arial"/>
          <w:sz w:val="16"/>
          <w:szCs w:val="16"/>
        </w:rPr>
        <w:t xml:space="preserve"> En relación con el artículo 2. “Desarrollo e implementación de los documentos tipo” contenido en la Resolución 358 del 30 de junio de 2023, debe aclararse que respecto a la palabra subrayada “[…] la ejecución de obras hasta el </w:t>
      </w:r>
      <w:r w:rsidRPr="000F6451">
        <w:rPr>
          <w:rFonts w:ascii="Verdana" w:hAnsi="Verdana" w:cs="Arial"/>
          <w:i/>
          <w:iCs/>
          <w:sz w:val="16"/>
          <w:szCs w:val="16"/>
          <w:u w:val="single"/>
        </w:rPr>
        <w:t>momento</w:t>
      </w:r>
      <w:r w:rsidRPr="000F6451">
        <w:rPr>
          <w:rFonts w:ascii="Verdana" w:hAnsi="Verdana" w:cs="Arial"/>
          <w:sz w:val="16"/>
          <w:szCs w:val="16"/>
        </w:rPr>
        <w:t xml:space="preserve"> de la menor cuantía”, se cometió una impresión en la digitación, y esta palabra debe entenderse como </w:t>
      </w:r>
      <w:r w:rsidRPr="000F6451">
        <w:rPr>
          <w:rFonts w:ascii="Verdana" w:hAnsi="Verdana" w:cs="Arial"/>
          <w:i/>
          <w:iCs/>
          <w:sz w:val="16"/>
          <w:szCs w:val="16"/>
          <w:u w:val="single"/>
        </w:rPr>
        <w:t>monto</w:t>
      </w:r>
      <w:r w:rsidRPr="000F6451">
        <w:rPr>
          <w:rFonts w:ascii="Verdana" w:hAnsi="Verdana" w:cs="Arial"/>
          <w:sz w:val="16"/>
          <w:szCs w:val="16"/>
        </w:rPr>
        <w:t xml:space="preserve">. </w:t>
      </w:r>
    </w:p>
  </w:footnote>
  <w:footnote w:id="3">
    <w:p w14:paraId="58D3CAC0" w14:textId="77777777" w:rsidR="008034AA" w:rsidRDefault="008034AA" w:rsidP="008034AA">
      <w:pPr>
        <w:pStyle w:val="Textonotapie"/>
        <w:ind w:firstLine="709"/>
        <w:jc w:val="both"/>
        <w:rPr>
          <w:rFonts w:ascii="Arial" w:hAnsi="Arial" w:cs="Arial"/>
          <w:b/>
          <w:bCs/>
          <w:sz w:val="19"/>
          <w:szCs w:val="19"/>
          <w:lang w:val="es-CO"/>
        </w:rPr>
      </w:pPr>
      <w:r w:rsidRPr="000F6451">
        <w:rPr>
          <w:rStyle w:val="Refdenotaalpie"/>
          <w:rFonts w:ascii="Verdana" w:hAnsi="Verdana" w:cs="Arial"/>
          <w:b/>
          <w:bCs/>
          <w:sz w:val="16"/>
          <w:szCs w:val="16"/>
        </w:rPr>
        <w:footnoteRef/>
      </w:r>
      <w:r w:rsidRPr="000F6451">
        <w:rPr>
          <w:rFonts w:ascii="Verdana" w:hAnsi="Verdana" w:cs="Arial"/>
          <w:b/>
          <w:bCs/>
          <w:sz w:val="16"/>
          <w:szCs w:val="16"/>
        </w:rPr>
        <w:t xml:space="preserve"> “</w:t>
      </w:r>
      <w:r w:rsidRPr="000F6451">
        <w:rPr>
          <w:rStyle w:val="Textoennegrita"/>
          <w:rFonts w:ascii="Verdana" w:hAnsi="Verdana" w:cs="Arial"/>
          <w:sz w:val="16"/>
          <w:szCs w:val="16"/>
          <w:shd w:val="clear" w:color="auto" w:fill="FFFFFF"/>
        </w:rPr>
        <w:t>Por la cual se deroga la Ley 743 de 2002, se desarrolla el Artículo 38 de la Constitución Política de Colombia en lo referente a los organismos de acción comunal y se establecen lineamientos para la formulación e implementación de la política pública de los organismos de acción comunal y de sus afiliados, y se dictan otras disposiciones”.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287693471"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715329621" name="Imagen 715329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39" type="#_x0000_t75" style="width:12pt;height:12pt;visibility:visible;mso-wrap-style:square" o:bullet="t">
        <v:imagedata r:id="rId1" o:title=""/>
      </v:shape>
    </w:pict>
  </w:numPicBullet>
  <w:abstractNum w:abstractNumId="0" w15:restartNumberingAfterBreak="0">
    <w:nsid w:val="01C06310"/>
    <w:multiLevelType w:val="multilevel"/>
    <w:tmpl w:val="FFFFFFFF"/>
    <w:lvl w:ilvl="0">
      <w:start w:val="1"/>
      <w:numFmt w:val="decimal"/>
      <w:lvlText w:val="%1."/>
      <w:lvlJc w:val="left"/>
      <w:pPr>
        <w:ind w:left="6601" w:hanging="360"/>
      </w:pPr>
      <w:rPr>
        <w:rFonts w:cs="Times New Roman"/>
        <w:b/>
        <w:color w:val="000000" w:themeColor="text1"/>
      </w:rPr>
    </w:lvl>
    <w:lvl w:ilvl="1">
      <w:start w:val="2"/>
      <w:numFmt w:val="decimal"/>
      <w:isLgl/>
      <w:lvlText w:val="%1.%2"/>
      <w:lvlJc w:val="left"/>
      <w:pPr>
        <w:ind w:left="6241" w:hanging="360"/>
      </w:pPr>
      <w:rPr>
        <w:rFonts w:cs="Times New Roman"/>
      </w:rPr>
    </w:lvl>
    <w:lvl w:ilvl="2">
      <w:start w:val="1"/>
      <w:numFmt w:val="decimal"/>
      <w:isLgl/>
      <w:lvlText w:val="%1.%2.%3"/>
      <w:lvlJc w:val="left"/>
      <w:pPr>
        <w:ind w:left="6961" w:hanging="720"/>
      </w:pPr>
      <w:rPr>
        <w:rFonts w:cs="Times New Roman"/>
      </w:rPr>
    </w:lvl>
    <w:lvl w:ilvl="3">
      <w:start w:val="1"/>
      <w:numFmt w:val="decimal"/>
      <w:isLgl/>
      <w:lvlText w:val="%1.%2.%3.%4"/>
      <w:lvlJc w:val="left"/>
      <w:pPr>
        <w:ind w:left="6961" w:hanging="720"/>
      </w:pPr>
      <w:rPr>
        <w:rFonts w:cs="Times New Roman"/>
      </w:rPr>
    </w:lvl>
    <w:lvl w:ilvl="4">
      <w:start w:val="1"/>
      <w:numFmt w:val="decimal"/>
      <w:isLgl/>
      <w:lvlText w:val="%1.%2.%3.%4.%5"/>
      <w:lvlJc w:val="left"/>
      <w:pPr>
        <w:ind w:left="7321" w:hanging="1080"/>
      </w:pPr>
      <w:rPr>
        <w:rFonts w:cs="Times New Roman"/>
      </w:rPr>
    </w:lvl>
    <w:lvl w:ilvl="5">
      <w:start w:val="1"/>
      <w:numFmt w:val="decimal"/>
      <w:isLgl/>
      <w:lvlText w:val="%1.%2.%3.%4.%5.%6"/>
      <w:lvlJc w:val="left"/>
      <w:pPr>
        <w:ind w:left="7321" w:hanging="1080"/>
      </w:pPr>
      <w:rPr>
        <w:rFonts w:cs="Times New Roman"/>
      </w:rPr>
    </w:lvl>
    <w:lvl w:ilvl="6">
      <w:start w:val="1"/>
      <w:numFmt w:val="decimal"/>
      <w:isLgl/>
      <w:lvlText w:val="%1.%2.%3.%4.%5.%6.%7"/>
      <w:lvlJc w:val="left"/>
      <w:pPr>
        <w:ind w:left="7681" w:hanging="1440"/>
      </w:pPr>
      <w:rPr>
        <w:rFonts w:cs="Times New Roman"/>
      </w:rPr>
    </w:lvl>
    <w:lvl w:ilvl="7">
      <w:start w:val="1"/>
      <w:numFmt w:val="decimal"/>
      <w:isLgl/>
      <w:lvlText w:val="%1.%2.%3.%4.%5.%6.%7.%8"/>
      <w:lvlJc w:val="left"/>
      <w:pPr>
        <w:ind w:left="7681" w:hanging="1440"/>
      </w:pPr>
      <w:rPr>
        <w:rFonts w:cs="Times New Roman"/>
      </w:rPr>
    </w:lvl>
    <w:lvl w:ilvl="8">
      <w:start w:val="1"/>
      <w:numFmt w:val="decimal"/>
      <w:isLgl/>
      <w:lvlText w:val="%1.%2.%3.%4.%5.%6.%7.%8.%9"/>
      <w:lvlJc w:val="left"/>
      <w:pPr>
        <w:ind w:left="8041" w:hanging="1800"/>
      </w:pPr>
      <w:rPr>
        <w:rFonts w:cs="Times New Roman"/>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6E40DEB"/>
    <w:multiLevelType w:val="hybridMultilevel"/>
    <w:tmpl w:val="235E143A"/>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4" w15:restartNumberingAfterBreak="0">
    <w:nsid w:val="18E77B80"/>
    <w:multiLevelType w:val="hybridMultilevel"/>
    <w:tmpl w:val="6784928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97F46E0"/>
    <w:multiLevelType w:val="hybridMultilevel"/>
    <w:tmpl w:val="7F02D21C"/>
    <w:lvl w:ilvl="0" w:tplc="240A000F">
      <w:start w:val="1"/>
      <w:numFmt w:val="decimal"/>
      <w:lvlText w:val="%1."/>
      <w:lvlJc w:val="left"/>
      <w:pPr>
        <w:ind w:left="2136" w:hanging="360"/>
      </w:pPr>
    </w:lvl>
    <w:lvl w:ilvl="1" w:tplc="240A0019" w:tentative="1">
      <w:start w:val="1"/>
      <w:numFmt w:val="lowerLetter"/>
      <w:lvlText w:val="%2."/>
      <w:lvlJc w:val="left"/>
      <w:pPr>
        <w:ind w:left="2856" w:hanging="360"/>
      </w:pPr>
    </w:lvl>
    <w:lvl w:ilvl="2" w:tplc="240A001B" w:tentative="1">
      <w:start w:val="1"/>
      <w:numFmt w:val="lowerRoman"/>
      <w:lvlText w:val="%3."/>
      <w:lvlJc w:val="right"/>
      <w:pPr>
        <w:ind w:left="3576" w:hanging="180"/>
      </w:pPr>
    </w:lvl>
    <w:lvl w:ilvl="3" w:tplc="240A000F" w:tentative="1">
      <w:start w:val="1"/>
      <w:numFmt w:val="decimal"/>
      <w:lvlText w:val="%4."/>
      <w:lvlJc w:val="left"/>
      <w:pPr>
        <w:ind w:left="4296" w:hanging="360"/>
      </w:pPr>
    </w:lvl>
    <w:lvl w:ilvl="4" w:tplc="240A0019" w:tentative="1">
      <w:start w:val="1"/>
      <w:numFmt w:val="lowerLetter"/>
      <w:lvlText w:val="%5."/>
      <w:lvlJc w:val="left"/>
      <w:pPr>
        <w:ind w:left="5016" w:hanging="360"/>
      </w:pPr>
    </w:lvl>
    <w:lvl w:ilvl="5" w:tplc="240A001B" w:tentative="1">
      <w:start w:val="1"/>
      <w:numFmt w:val="lowerRoman"/>
      <w:lvlText w:val="%6."/>
      <w:lvlJc w:val="right"/>
      <w:pPr>
        <w:ind w:left="5736" w:hanging="180"/>
      </w:pPr>
    </w:lvl>
    <w:lvl w:ilvl="6" w:tplc="240A000F" w:tentative="1">
      <w:start w:val="1"/>
      <w:numFmt w:val="decimal"/>
      <w:lvlText w:val="%7."/>
      <w:lvlJc w:val="left"/>
      <w:pPr>
        <w:ind w:left="6456" w:hanging="360"/>
      </w:pPr>
    </w:lvl>
    <w:lvl w:ilvl="7" w:tplc="240A0019" w:tentative="1">
      <w:start w:val="1"/>
      <w:numFmt w:val="lowerLetter"/>
      <w:lvlText w:val="%8."/>
      <w:lvlJc w:val="left"/>
      <w:pPr>
        <w:ind w:left="7176" w:hanging="360"/>
      </w:pPr>
    </w:lvl>
    <w:lvl w:ilvl="8" w:tplc="240A001B" w:tentative="1">
      <w:start w:val="1"/>
      <w:numFmt w:val="lowerRoman"/>
      <w:lvlText w:val="%9."/>
      <w:lvlJc w:val="right"/>
      <w:pPr>
        <w:ind w:left="7896" w:hanging="180"/>
      </w:pPr>
    </w:lvl>
  </w:abstractNum>
  <w:abstractNum w:abstractNumId="6" w15:restartNumberingAfterBreak="0">
    <w:nsid w:val="23E40A8F"/>
    <w:multiLevelType w:val="hybridMultilevel"/>
    <w:tmpl w:val="A20EA3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FFFFFFFF"/>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40DB4B61"/>
    <w:multiLevelType w:val="hybridMultilevel"/>
    <w:tmpl w:val="FFFFFFFF"/>
    <w:lvl w:ilvl="0" w:tplc="8418173A">
      <w:start w:val="1"/>
      <w:numFmt w:val="lowerRoman"/>
      <w:lvlText w:val="%1)"/>
      <w:lvlJc w:val="left"/>
      <w:pPr>
        <w:ind w:left="1429" w:hanging="720"/>
      </w:pPr>
      <w:rPr>
        <w:rFonts w:cs="Times New Roman" w:hint="default"/>
      </w:rPr>
    </w:lvl>
    <w:lvl w:ilvl="1" w:tplc="080A0019" w:tentative="1">
      <w:start w:val="1"/>
      <w:numFmt w:val="lowerLetter"/>
      <w:lvlText w:val="%2."/>
      <w:lvlJc w:val="left"/>
      <w:pPr>
        <w:ind w:left="1789" w:hanging="360"/>
      </w:pPr>
      <w:rPr>
        <w:rFonts w:cs="Times New Roman"/>
      </w:rPr>
    </w:lvl>
    <w:lvl w:ilvl="2" w:tplc="080A001B" w:tentative="1">
      <w:start w:val="1"/>
      <w:numFmt w:val="lowerRoman"/>
      <w:lvlText w:val="%3."/>
      <w:lvlJc w:val="right"/>
      <w:pPr>
        <w:ind w:left="2509" w:hanging="180"/>
      </w:pPr>
      <w:rPr>
        <w:rFonts w:cs="Times New Roman"/>
      </w:rPr>
    </w:lvl>
    <w:lvl w:ilvl="3" w:tplc="080A000F" w:tentative="1">
      <w:start w:val="1"/>
      <w:numFmt w:val="decimal"/>
      <w:lvlText w:val="%4."/>
      <w:lvlJc w:val="left"/>
      <w:pPr>
        <w:ind w:left="3229" w:hanging="360"/>
      </w:pPr>
      <w:rPr>
        <w:rFonts w:cs="Times New Roman"/>
      </w:rPr>
    </w:lvl>
    <w:lvl w:ilvl="4" w:tplc="080A0019" w:tentative="1">
      <w:start w:val="1"/>
      <w:numFmt w:val="lowerLetter"/>
      <w:lvlText w:val="%5."/>
      <w:lvlJc w:val="left"/>
      <w:pPr>
        <w:ind w:left="3949" w:hanging="360"/>
      </w:pPr>
      <w:rPr>
        <w:rFonts w:cs="Times New Roman"/>
      </w:rPr>
    </w:lvl>
    <w:lvl w:ilvl="5" w:tplc="080A001B" w:tentative="1">
      <w:start w:val="1"/>
      <w:numFmt w:val="lowerRoman"/>
      <w:lvlText w:val="%6."/>
      <w:lvlJc w:val="right"/>
      <w:pPr>
        <w:ind w:left="4669" w:hanging="180"/>
      </w:pPr>
      <w:rPr>
        <w:rFonts w:cs="Times New Roman"/>
      </w:rPr>
    </w:lvl>
    <w:lvl w:ilvl="6" w:tplc="080A000F" w:tentative="1">
      <w:start w:val="1"/>
      <w:numFmt w:val="decimal"/>
      <w:lvlText w:val="%7."/>
      <w:lvlJc w:val="left"/>
      <w:pPr>
        <w:ind w:left="5389" w:hanging="360"/>
      </w:pPr>
      <w:rPr>
        <w:rFonts w:cs="Times New Roman"/>
      </w:rPr>
    </w:lvl>
    <w:lvl w:ilvl="7" w:tplc="080A0019" w:tentative="1">
      <w:start w:val="1"/>
      <w:numFmt w:val="lowerLetter"/>
      <w:lvlText w:val="%8."/>
      <w:lvlJc w:val="left"/>
      <w:pPr>
        <w:ind w:left="6109" w:hanging="360"/>
      </w:pPr>
      <w:rPr>
        <w:rFonts w:cs="Times New Roman"/>
      </w:rPr>
    </w:lvl>
    <w:lvl w:ilvl="8" w:tplc="080A001B" w:tentative="1">
      <w:start w:val="1"/>
      <w:numFmt w:val="lowerRoman"/>
      <w:lvlText w:val="%9."/>
      <w:lvlJc w:val="right"/>
      <w:pPr>
        <w:ind w:left="6829" w:hanging="180"/>
      </w:pPr>
      <w:rPr>
        <w:rFonts w:cs="Times New Roman"/>
      </w:rPr>
    </w:lvl>
  </w:abstractNum>
  <w:abstractNum w:abstractNumId="15" w15:restartNumberingAfterBreak="0">
    <w:nsid w:val="46742368"/>
    <w:multiLevelType w:val="hybridMultilevel"/>
    <w:tmpl w:val="310882A2"/>
    <w:lvl w:ilvl="0" w:tplc="240A0001">
      <w:start w:val="1"/>
      <w:numFmt w:val="bullet"/>
      <w:lvlText w:val=""/>
      <w:lvlJc w:val="left"/>
      <w:pPr>
        <w:ind w:left="1424" w:hanging="360"/>
      </w:pPr>
      <w:rPr>
        <w:rFonts w:ascii="Symbol" w:hAnsi="Symbol" w:hint="default"/>
      </w:rPr>
    </w:lvl>
    <w:lvl w:ilvl="1" w:tplc="240A0003" w:tentative="1">
      <w:start w:val="1"/>
      <w:numFmt w:val="bullet"/>
      <w:lvlText w:val="o"/>
      <w:lvlJc w:val="left"/>
      <w:pPr>
        <w:ind w:left="2144" w:hanging="360"/>
      </w:pPr>
      <w:rPr>
        <w:rFonts w:ascii="Courier New" w:hAnsi="Courier New" w:cs="Courier New" w:hint="default"/>
      </w:rPr>
    </w:lvl>
    <w:lvl w:ilvl="2" w:tplc="240A0005" w:tentative="1">
      <w:start w:val="1"/>
      <w:numFmt w:val="bullet"/>
      <w:lvlText w:val=""/>
      <w:lvlJc w:val="left"/>
      <w:pPr>
        <w:ind w:left="2864" w:hanging="360"/>
      </w:pPr>
      <w:rPr>
        <w:rFonts w:ascii="Wingdings" w:hAnsi="Wingdings" w:hint="default"/>
      </w:rPr>
    </w:lvl>
    <w:lvl w:ilvl="3" w:tplc="240A0001" w:tentative="1">
      <w:start w:val="1"/>
      <w:numFmt w:val="bullet"/>
      <w:lvlText w:val=""/>
      <w:lvlJc w:val="left"/>
      <w:pPr>
        <w:ind w:left="3584" w:hanging="360"/>
      </w:pPr>
      <w:rPr>
        <w:rFonts w:ascii="Symbol" w:hAnsi="Symbol" w:hint="default"/>
      </w:rPr>
    </w:lvl>
    <w:lvl w:ilvl="4" w:tplc="240A0003" w:tentative="1">
      <w:start w:val="1"/>
      <w:numFmt w:val="bullet"/>
      <w:lvlText w:val="o"/>
      <w:lvlJc w:val="left"/>
      <w:pPr>
        <w:ind w:left="4304" w:hanging="360"/>
      </w:pPr>
      <w:rPr>
        <w:rFonts w:ascii="Courier New" w:hAnsi="Courier New" w:cs="Courier New" w:hint="default"/>
      </w:rPr>
    </w:lvl>
    <w:lvl w:ilvl="5" w:tplc="240A0005" w:tentative="1">
      <w:start w:val="1"/>
      <w:numFmt w:val="bullet"/>
      <w:lvlText w:val=""/>
      <w:lvlJc w:val="left"/>
      <w:pPr>
        <w:ind w:left="5024" w:hanging="360"/>
      </w:pPr>
      <w:rPr>
        <w:rFonts w:ascii="Wingdings" w:hAnsi="Wingdings" w:hint="default"/>
      </w:rPr>
    </w:lvl>
    <w:lvl w:ilvl="6" w:tplc="240A0001" w:tentative="1">
      <w:start w:val="1"/>
      <w:numFmt w:val="bullet"/>
      <w:lvlText w:val=""/>
      <w:lvlJc w:val="left"/>
      <w:pPr>
        <w:ind w:left="5744" w:hanging="360"/>
      </w:pPr>
      <w:rPr>
        <w:rFonts w:ascii="Symbol" w:hAnsi="Symbol" w:hint="default"/>
      </w:rPr>
    </w:lvl>
    <w:lvl w:ilvl="7" w:tplc="240A0003" w:tentative="1">
      <w:start w:val="1"/>
      <w:numFmt w:val="bullet"/>
      <w:lvlText w:val="o"/>
      <w:lvlJc w:val="left"/>
      <w:pPr>
        <w:ind w:left="6464" w:hanging="360"/>
      </w:pPr>
      <w:rPr>
        <w:rFonts w:ascii="Courier New" w:hAnsi="Courier New" w:cs="Courier New" w:hint="default"/>
      </w:rPr>
    </w:lvl>
    <w:lvl w:ilvl="8" w:tplc="240A0005" w:tentative="1">
      <w:start w:val="1"/>
      <w:numFmt w:val="bullet"/>
      <w:lvlText w:val=""/>
      <w:lvlJc w:val="left"/>
      <w:pPr>
        <w:ind w:left="7184" w:hanging="360"/>
      </w:pPr>
      <w:rPr>
        <w:rFonts w:ascii="Wingdings" w:hAnsi="Wingdings" w:hint="default"/>
      </w:rPr>
    </w:lvl>
  </w:abstractNum>
  <w:abstractNum w:abstractNumId="16"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60A5A92"/>
    <w:multiLevelType w:val="hybridMultilevel"/>
    <w:tmpl w:val="D848D8E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10"/>
  </w:num>
  <w:num w:numId="2" w16cid:durableId="19822139">
    <w:abstractNumId w:val="2"/>
  </w:num>
  <w:num w:numId="3" w16cid:durableId="876742304">
    <w:abstractNumId w:val="8"/>
  </w:num>
  <w:num w:numId="4" w16cid:durableId="2451864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0"/>
  </w:num>
  <w:num w:numId="7" w16cid:durableId="1946422806">
    <w:abstractNumId w:val="9"/>
  </w:num>
  <w:num w:numId="8" w16cid:durableId="152644682">
    <w:abstractNumId w:val="19"/>
  </w:num>
  <w:num w:numId="9" w16cid:durableId="1317221377">
    <w:abstractNumId w:val="11"/>
  </w:num>
  <w:num w:numId="10" w16cid:durableId="1471245386">
    <w:abstractNumId w:val="18"/>
  </w:num>
  <w:num w:numId="11" w16cid:durableId="289172385">
    <w:abstractNumId w:val="12"/>
  </w:num>
  <w:num w:numId="12" w16cid:durableId="1470781324">
    <w:abstractNumId w:val="1"/>
  </w:num>
  <w:num w:numId="13" w16cid:durableId="1512908409">
    <w:abstractNumId w:val="7"/>
  </w:num>
  <w:num w:numId="14" w16cid:durableId="895897244">
    <w:abstractNumId w:val="21"/>
  </w:num>
  <w:num w:numId="15" w16cid:durableId="390349800">
    <w:abstractNumId w:val="16"/>
  </w:num>
  <w:num w:numId="16" w16cid:durableId="158740587">
    <w:abstractNumId w:val="0"/>
  </w:num>
  <w:num w:numId="17" w16cid:durableId="471169268">
    <w:abstractNumId w:val="14"/>
  </w:num>
  <w:num w:numId="18" w16cid:durableId="1865240118">
    <w:abstractNumId w:val="13"/>
  </w:num>
  <w:num w:numId="19" w16cid:durableId="1904289348">
    <w:abstractNumId w:val="15"/>
  </w:num>
  <w:num w:numId="20" w16cid:durableId="1691566181">
    <w:abstractNumId w:val="4"/>
  </w:num>
  <w:num w:numId="21" w16cid:durableId="430319001">
    <w:abstractNumId w:val="3"/>
  </w:num>
  <w:num w:numId="22" w16cid:durableId="662393211">
    <w:abstractNumId w:val="6"/>
  </w:num>
  <w:num w:numId="23" w16cid:durableId="2033722372">
    <w:abstractNumId w:val="17"/>
  </w:num>
  <w:num w:numId="24" w16cid:durableId="359162253">
    <w:abstractNumId w:val="5"/>
  </w:num>
  <w:num w:numId="25" w16cid:durableId="90494725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B87"/>
    <w:rsid w:val="00016F78"/>
    <w:rsid w:val="00020DC5"/>
    <w:rsid w:val="00024B37"/>
    <w:rsid w:val="000427C4"/>
    <w:rsid w:val="00042942"/>
    <w:rsid w:val="00046945"/>
    <w:rsid w:val="00055AEF"/>
    <w:rsid w:val="000610C7"/>
    <w:rsid w:val="00061B2A"/>
    <w:rsid w:val="00065F62"/>
    <w:rsid w:val="00073A2C"/>
    <w:rsid w:val="00082362"/>
    <w:rsid w:val="00092831"/>
    <w:rsid w:val="00094C20"/>
    <w:rsid w:val="000A438E"/>
    <w:rsid w:val="000A683E"/>
    <w:rsid w:val="000A7D15"/>
    <w:rsid w:val="000B19B9"/>
    <w:rsid w:val="000B72A7"/>
    <w:rsid w:val="000D0334"/>
    <w:rsid w:val="000D5A20"/>
    <w:rsid w:val="000D6391"/>
    <w:rsid w:val="000D7E0A"/>
    <w:rsid w:val="000E0B73"/>
    <w:rsid w:val="000F5D72"/>
    <w:rsid w:val="000F6486"/>
    <w:rsid w:val="00107EAC"/>
    <w:rsid w:val="00125105"/>
    <w:rsid w:val="00127233"/>
    <w:rsid w:val="00132F6E"/>
    <w:rsid w:val="001420BB"/>
    <w:rsid w:val="001511A0"/>
    <w:rsid w:val="00186DAA"/>
    <w:rsid w:val="001950BE"/>
    <w:rsid w:val="001A7902"/>
    <w:rsid w:val="001B0CC7"/>
    <w:rsid w:val="001B7487"/>
    <w:rsid w:val="001C261B"/>
    <w:rsid w:val="001C4BD0"/>
    <w:rsid w:val="001D3D94"/>
    <w:rsid w:val="001E4177"/>
    <w:rsid w:val="001F0719"/>
    <w:rsid w:val="001F7699"/>
    <w:rsid w:val="001F7DC6"/>
    <w:rsid w:val="00223B3B"/>
    <w:rsid w:val="00224EF7"/>
    <w:rsid w:val="0022792E"/>
    <w:rsid w:val="00235AB5"/>
    <w:rsid w:val="002421BB"/>
    <w:rsid w:val="00250139"/>
    <w:rsid w:val="0025073A"/>
    <w:rsid w:val="0025796E"/>
    <w:rsid w:val="00264EA6"/>
    <w:rsid w:val="002707A2"/>
    <w:rsid w:val="002951A0"/>
    <w:rsid w:val="00295B00"/>
    <w:rsid w:val="002962BC"/>
    <w:rsid w:val="002A093D"/>
    <w:rsid w:val="002A0DD0"/>
    <w:rsid w:val="002A1571"/>
    <w:rsid w:val="002A49AC"/>
    <w:rsid w:val="002A64FD"/>
    <w:rsid w:val="002C7612"/>
    <w:rsid w:val="002C7A84"/>
    <w:rsid w:val="002E3DA4"/>
    <w:rsid w:val="002E4FD9"/>
    <w:rsid w:val="00322A85"/>
    <w:rsid w:val="00324168"/>
    <w:rsid w:val="0032419D"/>
    <w:rsid w:val="00327DBF"/>
    <w:rsid w:val="00334101"/>
    <w:rsid w:val="003448F4"/>
    <w:rsid w:val="00374F5E"/>
    <w:rsid w:val="00377E3E"/>
    <w:rsid w:val="003A779E"/>
    <w:rsid w:val="003C2750"/>
    <w:rsid w:val="003D0F4D"/>
    <w:rsid w:val="003D5B0D"/>
    <w:rsid w:val="003E0499"/>
    <w:rsid w:val="003E6958"/>
    <w:rsid w:val="003F3941"/>
    <w:rsid w:val="00403B54"/>
    <w:rsid w:val="00406575"/>
    <w:rsid w:val="00414C74"/>
    <w:rsid w:val="00415790"/>
    <w:rsid w:val="0042722E"/>
    <w:rsid w:val="004309E7"/>
    <w:rsid w:val="0044528D"/>
    <w:rsid w:val="004468A1"/>
    <w:rsid w:val="004565C9"/>
    <w:rsid w:val="004624FE"/>
    <w:rsid w:val="0046769F"/>
    <w:rsid w:val="00467771"/>
    <w:rsid w:val="004A000B"/>
    <w:rsid w:val="004A1847"/>
    <w:rsid w:val="004A2581"/>
    <w:rsid w:val="004A305D"/>
    <w:rsid w:val="004B357B"/>
    <w:rsid w:val="004B6294"/>
    <w:rsid w:val="004B7989"/>
    <w:rsid w:val="004B7C6A"/>
    <w:rsid w:val="004D2825"/>
    <w:rsid w:val="004D5A1E"/>
    <w:rsid w:val="004D6FAC"/>
    <w:rsid w:val="004D7F88"/>
    <w:rsid w:val="004E1ECA"/>
    <w:rsid w:val="004F21C4"/>
    <w:rsid w:val="004F685F"/>
    <w:rsid w:val="00506499"/>
    <w:rsid w:val="005117D5"/>
    <w:rsid w:val="005122F9"/>
    <w:rsid w:val="005206CD"/>
    <w:rsid w:val="00520A9F"/>
    <w:rsid w:val="0052115A"/>
    <w:rsid w:val="005233B1"/>
    <w:rsid w:val="005301A3"/>
    <w:rsid w:val="00533F2C"/>
    <w:rsid w:val="00551470"/>
    <w:rsid w:val="00553591"/>
    <w:rsid w:val="005566E8"/>
    <w:rsid w:val="005600F7"/>
    <w:rsid w:val="00566D08"/>
    <w:rsid w:val="00574867"/>
    <w:rsid w:val="00591460"/>
    <w:rsid w:val="005A0D43"/>
    <w:rsid w:val="005B3816"/>
    <w:rsid w:val="005C16B7"/>
    <w:rsid w:val="005C3777"/>
    <w:rsid w:val="005C5CDC"/>
    <w:rsid w:val="005D476C"/>
    <w:rsid w:val="005D5158"/>
    <w:rsid w:val="005D645D"/>
    <w:rsid w:val="005F2B40"/>
    <w:rsid w:val="00602A2E"/>
    <w:rsid w:val="00610EA2"/>
    <w:rsid w:val="00612DB0"/>
    <w:rsid w:val="00613BB6"/>
    <w:rsid w:val="00615CFC"/>
    <w:rsid w:val="006219F8"/>
    <w:rsid w:val="0063654C"/>
    <w:rsid w:val="00640A3F"/>
    <w:rsid w:val="00644EEE"/>
    <w:rsid w:val="00651E29"/>
    <w:rsid w:val="006529DA"/>
    <w:rsid w:val="00665661"/>
    <w:rsid w:val="00665D70"/>
    <w:rsid w:val="00686F09"/>
    <w:rsid w:val="006900D9"/>
    <w:rsid w:val="006906FC"/>
    <w:rsid w:val="006B7CC2"/>
    <w:rsid w:val="006B7F35"/>
    <w:rsid w:val="006C292A"/>
    <w:rsid w:val="006C33C2"/>
    <w:rsid w:val="006C3AB9"/>
    <w:rsid w:val="006E08D0"/>
    <w:rsid w:val="006E66E1"/>
    <w:rsid w:val="006F0730"/>
    <w:rsid w:val="006F1A99"/>
    <w:rsid w:val="00704757"/>
    <w:rsid w:val="00705C21"/>
    <w:rsid w:val="0070627C"/>
    <w:rsid w:val="00706C16"/>
    <w:rsid w:val="00717BF0"/>
    <w:rsid w:val="00727ED4"/>
    <w:rsid w:val="00740184"/>
    <w:rsid w:val="00747FE6"/>
    <w:rsid w:val="007557BD"/>
    <w:rsid w:val="00756841"/>
    <w:rsid w:val="00756A8A"/>
    <w:rsid w:val="007649AB"/>
    <w:rsid w:val="00771D0C"/>
    <w:rsid w:val="00780703"/>
    <w:rsid w:val="00781152"/>
    <w:rsid w:val="007833AC"/>
    <w:rsid w:val="00784077"/>
    <w:rsid w:val="00793D84"/>
    <w:rsid w:val="007966FB"/>
    <w:rsid w:val="007A1DA9"/>
    <w:rsid w:val="007B122D"/>
    <w:rsid w:val="007B268C"/>
    <w:rsid w:val="007B7171"/>
    <w:rsid w:val="007C0C0F"/>
    <w:rsid w:val="007C3DC2"/>
    <w:rsid w:val="007C757F"/>
    <w:rsid w:val="007C76B2"/>
    <w:rsid w:val="007D2169"/>
    <w:rsid w:val="007E0443"/>
    <w:rsid w:val="007E5497"/>
    <w:rsid w:val="007E6BE2"/>
    <w:rsid w:val="008034AA"/>
    <w:rsid w:val="00806F5F"/>
    <w:rsid w:val="00820278"/>
    <w:rsid w:val="00840BF9"/>
    <w:rsid w:val="00864A8B"/>
    <w:rsid w:val="00867F95"/>
    <w:rsid w:val="00873B0C"/>
    <w:rsid w:val="00880944"/>
    <w:rsid w:val="008843B6"/>
    <w:rsid w:val="00891928"/>
    <w:rsid w:val="008A0555"/>
    <w:rsid w:val="008A2D5D"/>
    <w:rsid w:val="008A446D"/>
    <w:rsid w:val="008A4E11"/>
    <w:rsid w:val="008B1376"/>
    <w:rsid w:val="008B4A17"/>
    <w:rsid w:val="008B590B"/>
    <w:rsid w:val="008D180B"/>
    <w:rsid w:val="008D3879"/>
    <w:rsid w:val="008E7CED"/>
    <w:rsid w:val="008F0EA7"/>
    <w:rsid w:val="00912E71"/>
    <w:rsid w:val="009133C0"/>
    <w:rsid w:val="00913E67"/>
    <w:rsid w:val="0091683A"/>
    <w:rsid w:val="00923EEF"/>
    <w:rsid w:val="00933317"/>
    <w:rsid w:val="009419F9"/>
    <w:rsid w:val="009475C6"/>
    <w:rsid w:val="0095685E"/>
    <w:rsid w:val="00961B09"/>
    <w:rsid w:val="00963BCE"/>
    <w:rsid w:val="00964690"/>
    <w:rsid w:val="00965334"/>
    <w:rsid w:val="009707A2"/>
    <w:rsid w:val="0097093E"/>
    <w:rsid w:val="00983C35"/>
    <w:rsid w:val="00986AC5"/>
    <w:rsid w:val="00994D02"/>
    <w:rsid w:val="009A0DFA"/>
    <w:rsid w:val="009A4E6D"/>
    <w:rsid w:val="009B2D26"/>
    <w:rsid w:val="009C71FA"/>
    <w:rsid w:val="009C72E7"/>
    <w:rsid w:val="009D3058"/>
    <w:rsid w:val="009F3A13"/>
    <w:rsid w:val="009F6CA1"/>
    <w:rsid w:val="009F733D"/>
    <w:rsid w:val="00A10D1A"/>
    <w:rsid w:val="00A122D3"/>
    <w:rsid w:val="00A15338"/>
    <w:rsid w:val="00A17F13"/>
    <w:rsid w:val="00A20739"/>
    <w:rsid w:val="00A33C78"/>
    <w:rsid w:val="00A35CAC"/>
    <w:rsid w:val="00A40E59"/>
    <w:rsid w:val="00A4141F"/>
    <w:rsid w:val="00A43AB5"/>
    <w:rsid w:val="00A46621"/>
    <w:rsid w:val="00A5155A"/>
    <w:rsid w:val="00A537A9"/>
    <w:rsid w:val="00A64041"/>
    <w:rsid w:val="00A72F36"/>
    <w:rsid w:val="00A764EA"/>
    <w:rsid w:val="00A9219C"/>
    <w:rsid w:val="00A97C04"/>
    <w:rsid w:val="00AB0ADB"/>
    <w:rsid w:val="00AB3A4B"/>
    <w:rsid w:val="00AC5A6C"/>
    <w:rsid w:val="00AD3189"/>
    <w:rsid w:val="00AD6C30"/>
    <w:rsid w:val="00AE3C37"/>
    <w:rsid w:val="00AE6CDB"/>
    <w:rsid w:val="00B01B1A"/>
    <w:rsid w:val="00B03462"/>
    <w:rsid w:val="00B252B6"/>
    <w:rsid w:val="00B3377E"/>
    <w:rsid w:val="00B3552E"/>
    <w:rsid w:val="00B35719"/>
    <w:rsid w:val="00B5098B"/>
    <w:rsid w:val="00B6156C"/>
    <w:rsid w:val="00B66319"/>
    <w:rsid w:val="00B72CD3"/>
    <w:rsid w:val="00B72FFF"/>
    <w:rsid w:val="00BA4842"/>
    <w:rsid w:val="00BA558A"/>
    <w:rsid w:val="00BB67C4"/>
    <w:rsid w:val="00BC3D36"/>
    <w:rsid w:val="00BC6CAA"/>
    <w:rsid w:val="00BD0361"/>
    <w:rsid w:val="00BD3A15"/>
    <w:rsid w:val="00BD7F72"/>
    <w:rsid w:val="00BF196D"/>
    <w:rsid w:val="00C00ADC"/>
    <w:rsid w:val="00C0328E"/>
    <w:rsid w:val="00C04FB3"/>
    <w:rsid w:val="00C107D0"/>
    <w:rsid w:val="00C15627"/>
    <w:rsid w:val="00C3246F"/>
    <w:rsid w:val="00C330EB"/>
    <w:rsid w:val="00C3567E"/>
    <w:rsid w:val="00C41061"/>
    <w:rsid w:val="00C41F29"/>
    <w:rsid w:val="00C5440D"/>
    <w:rsid w:val="00C71F95"/>
    <w:rsid w:val="00C754BE"/>
    <w:rsid w:val="00C76B1C"/>
    <w:rsid w:val="00C862A5"/>
    <w:rsid w:val="00C87579"/>
    <w:rsid w:val="00C91E39"/>
    <w:rsid w:val="00C95A28"/>
    <w:rsid w:val="00CA44F9"/>
    <w:rsid w:val="00CB6357"/>
    <w:rsid w:val="00CC1B26"/>
    <w:rsid w:val="00CC3CC7"/>
    <w:rsid w:val="00CE05F9"/>
    <w:rsid w:val="00CE2C4A"/>
    <w:rsid w:val="00CE5A44"/>
    <w:rsid w:val="00CF58A3"/>
    <w:rsid w:val="00D10BEE"/>
    <w:rsid w:val="00D20465"/>
    <w:rsid w:val="00D40027"/>
    <w:rsid w:val="00D423A2"/>
    <w:rsid w:val="00D50ED2"/>
    <w:rsid w:val="00D520D8"/>
    <w:rsid w:val="00D55DF8"/>
    <w:rsid w:val="00D63AC2"/>
    <w:rsid w:val="00D7383B"/>
    <w:rsid w:val="00D867EA"/>
    <w:rsid w:val="00D90036"/>
    <w:rsid w:val="00D90FE7"/>
    <w:rsid w:val="00DA231B"/>
    <w:rsid w:val="00DA4462"/>
    <w:rsid w:val="00DB449D"/>
    <w:rsid w:val="00DC39FC"/>
    <w:rsid w:val="00DC4741"/>
    <w:rsid w:val="00DD3F86"/>
    <w:rsid w:val="00DE5995"/>
    <w:rsid w:val="00DE6B2A"/>
    <w:rsid w:val="00DF5254"/>
    <w:rsid w:val="00E007F4"/>
    <w:rsid w:val="00E01864"/>
    <w:rsid w:val="00E040E0"/>
    <w:rsid w:val="00E16408"/>
    <w:rsid w:val="00E17280"/>
    <w:rsid w:val="00E20894"/>
    <w:rsid w:val="00E245AB"/>
    <w:rsid w:val="00E2764C"/>
    <w:rsid w:val="00E27F2E"/>
    <w:rsid w:val="00E372BB"/>
    <w:rsid w:val="00E50AFE"/>
    <w:rsid w:val="00E75C92"/>
    <w:rsid w:val="00E771DC"/>
    <w:rsid w:val="00E870AA"/>
    <w:rsid w:val="00E8772A"/>
    <w:rsid w:val="00E90F6B"/>
    <w:rsid w:val="00E92C27"/>
    <w:rsid w:val="00EA0E3D"/>
    <w:rsid w:val="00EC38A7"/>
    <w:rsid w:val="00ED7384"/>
    <w:rsid w:val="00EE0953"/>
    <w:rsid w:val="00EE1AA8"/>
    <w:rsid w:val="00EE4530"/>
    <w:rsid w:val="00EE603C"/>
    <w:rsid w:val="00EF143F"/>
    <w:rsid w:val="00F07C6F"/>
    <w:rsid w:val="00F200E4"/>
    <w:rsid w:val="00F214DB"/>
    <w:rsid w:val="00F31EDC"/>
    <w:rsid w:val="00F32E55"/>
    <w:rsid w:val="00F40FD2"/>
    <w:rsid w:val="00F41F9C"/>
    <w:rsid w:val="00F462B3"/>
    <w:rsid w:val="00F5664F"/>
    <w:rsid w:val="00F5692B"/>
    <w:rsid w:val="00F666C4"/>
    <w:rsid w:val="00F7562F"/>
    <w:rsid w:val="00F76AFC"/>
    <w:rsid w:val="00FA47C0"/>
    <w:rsid w:val="00FA6B40"/>
    <w:rsid w:val="00FB12D8"/>
    <w:rsid w:val="00FB5DD1"/>
    <w:rsid w:val="00FB7FFA"/>
    <w:rsid w:val="00FC0FEA"/>
    <w:rsid w:val="00FC1AEE"/>
    <w:rsid w:val="00FC2B5D"/>
    <w:rsid w:val="00FC7871"/>
    <w:rsid w:val="00FE1956"/>
    <w:rsid w:val="00FE3BDA"/>
    <w:rsid w:val="00FE517F"/>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5CAC"/>
    <w:rPr>
      <w:rFonts w:eastAsia="Times New Roman" w:cs="Times New Roman"/>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hAnsi="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hAnsi="Times New Roman"/>
      <w:sz w:val="24"/>
      <w:szCs w:val="24"/>
      <w:lang w:eastAsia="es-CO"/>
    </w:rPr>
  </w:style>
  <w:style w:type="paragraph" w:styleId="Revisin">
    <w:name w:val="Revision"/>
    <w:hidden/>
    <w:uiPriority w:val="99"/>
    <w:semiHidden/>
    <w:rsid w:val="009F3A13"/>
    <w:pPr>
      <w:spacing w:after="0" w:line="240" w:lineRule="auto"/>
    </w:pPr>
  </w:style>
  <w:style w:type="paragraph" w:styleId="Sinespaciado">
    <w:name w:val="No Spacing"/>
    <w:uiPriority w:val="1"/>
    <w:qFormat/>
    <w:rsid w:val="008E7CED"/>
    <w:pPr>
      <w:spacing w:after="0" w:line="240" w:lineRule="auto"/>
    </w:pPr>
    <w:rPr>
      <w:rFonts w:eastAsia="Times New Roman" w:cs="Times New Roman"/>
    </w:rPr>
  </w:style>
  <w:style w:type="character" w:styleId="Textoennegrita">
    <w:name w:val="Strong"/>
    <w:basedOn w:val="Fuentedeprrafopredeter"/>
    <w:uiPriority w:val="22"/>
    <w:qFormat/>
    <w:rsid w:val="008034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37438503">
      <w:bodyDiv w:val="1"/>
      <w:marLeft w:val="0"/>
      <w:marRight w:val="0"/>
      <w:marTop w:val="0"/>
      <w:marBottom w:val="0"/>
      <w:divBdr>
        <w:top w:val="none" w:sz="0" w:space="0" w:color="auto"/>
        <w:left w:val="none" w:sz="0" w:space="0" w:color="auto"/>
        <w:bottom w:val="none" w:sz="0" w:space="0" w:color="auto"/>
        <w:right w:val="none" w:sz="0" w:space="0" w:color="auto"/>
      </w:divBdr>
      <w:divsChild>
        <w:div w:id="520707029">
          <w:marLeft w:val="0"/>
          <w:marRight w:val="0"/>
          <w:marTop w:val="0"/>
          <w:marBottom w:val="0"/>
          <w:divBdr>
            <w:top w:val="none" w:sz="0" w:space="0" w:color="auto"/>
            <w:left w:val="none" w:sz="0" w:space="0" w:color="auto"/>
            <w:bottom w:val="none" w:sz="0" w:space="0" w:color="auto"/>
            <w:right w:val="none" w:sz="0" w:space="0" w:color="auto"/>
          </w:divBdr>
        </w:div>
      </w:divsChild>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99953468">
      <w:bodyDiv w:val="1"/>
      <w:marLeft w:val="0"/>
      <w:marRight w:val="0"/>
      <w:marTop w:val="0"/>
      <w:marBottom w:val="0"/>
      <w:divBdr>
        <w:top w:val="none" w:sz="0" w:space="0" w:color="auto"/>
        <w:left w:val="none" w:sz="0" w:space="0" w:color="auto"/>
        <w:bottom w:val="none" w:sz="0" w:space="0" w:color="auto"/>
        <w:right w:val="none" w:sz="0" w:space="0" w:color="auto"/>
      </w:divBdr>
    </w:div>
    <w:div w:id="835341855">
      <w:bodyDiv w:val="1"/>
      <w:marLeft w:val="0"/>
      <w:marRight w:val="0"/>
      <w:marTop w:val="0"/>
      <w:marBottom w:val="0"/>
      <w:divBdr>
        <w:top w:val="none" w:sz="0" w:space="0" w:color="auto"/>
        <w:left w:val="none" w:sz="0" w:space="0" w:color="auto"/>
        <w:bottom w:val="none" w:sz="0" w:space="0" w:color="auto"/>
        <w:right w:val="none" w:sz="0" w:space="0" w:color="auto"/>
      </w:divBdr>
    </w:div>
    <w:div w:id="1062757940">
      <w:bodyDiv w:val="1"/>
      <w:marLeft w:val="0"/>
      <w:marRight w:val="0"/>
      <w:marTop w:val="0"/>
      <w:marBottom w:val="0"/>
      <w:divBdr>
        <w:top w:val="none" w:sz="0" w:space="0" w:color="auto"/>
        <w:left w:val="none" w:sz="0" w:space="0" w:color="auto"/>
        <w:bottom w:val="none" w:sz="0" w:space="0" w:color="auto"/>
        <w:right w:val="none" w:sz="0" w:space="0" w:color="auto"/>
      </w:divBdr>
      <w:divsChild>
        <w:div w:id="1931962056">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82008647">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401634128">
      <w:bodyDiv w:val="1"/>
      <w:marLeft w:val="0"/>
      <w:marRight w:val="0"/>
      <w:marTop w:val="0"/>
      <w:marBottom w:val="0"/>
      <w:divBdr>
        <w:top w:val="none" w:sz="0" w:space="0" w:color="auto"/>
        <w:left w:val="none" w:sz="0" w:space="0" w:color="auto"/>
        <w:bottom w:val="none" w:sz="0" w:space="0" w:color="auto"/>
        <w:right w:val="none" w:sz="0" w:space="0" w:color="auto"/>
      </w:divBdr>
      <w:divsChild>
        <w:div w:id="1252354388">
          <w:marLeft w:val="0"/>
          <w:marRight w:val="0"/>
          <w:marTop w:val="0"/>
          <w:marBottom w:val="0"/>
          <w:divBdr>
            <w:top w:val="none" w:sz="0" w:space="0" w:color="auto"/>
            <w:left w:val="none" w:sz="0" w:space="0" w:color="auto"/>
            <w:bottom w:val="none" w:sz="0" w:space="0" w:color="auto"/>
            <w:right w:val="none" w:sz="0" w:space="0" w:color="auto"/>
          </w:divBdr>
        </w:div>
      </w:divsChild>
    </w:div>
    <w:div w:id="1418360879">
      <w:marLeft w:val="0"/>
      <w:marRight w:val="0"/>
      <w:marTop w:val="0"/>
      <w:marBottom w:val="0"/>
      <w:divBdr>
        <w:top w:val="none" w:sz="0" w:space="0" w:color="auto"/>
        <w:left w:val="none" w:sz="0" w:space="0" w:color="auto"/>
        <w:bottom w:val="none" w:sz="0" w:space="0" w:color="auto"/>
        <w:right w:val="none" w:sz="0" w:space="0" w:color="auto"/>
      </w:divBdr>
    </w:div>
    <w:div w:id="1531526161">
      <w:bodyDiv w:val="1"/>
      <w:marLeft w:val="0"/>
      <w:marRight w:val="0"/>
      <w:marTop w:val="0"/>
      <w:marBottom w:val="0"/>
      <w:divBdr>
        <w:top w:val="none" w:sz="0" w:space="0" w:color="auto"/>
        <w:left w:val="none" w:sz="0" w:space="0" w:color="auto"/>
        <w:bottom w:val="none" w:sz="0" w:space="0" w:color="auto"/>
        <w:right w:val="none" w:sz="0" w:space="0" w:color="auto"/>
      </w:divBdr>
      <w:divsChild>
        <w:div w:id="1722361994">
          <w:marLeft w:val="0"/>
          <w:marRight w:val="0"/>
          <w:marTop w:val="0"/>
          <w:marBottom w:val="0"/>
          <w:divBdr>
            <w:top w:val="none" w:sz="0" w:space="0" w:color="auto"/>
            <w:left w:val="none" w:sz="0" w:space="0" w:color="auto"/>
            <w:bottom w:val="none" w:sz="0" w:space="0" w:color="auto"/>
            <w:right w:val="none" w:sz="0" w:space="0" w:color="auto"/>
          </w:divBdr>
        </w:div>
      </w:divsChild>
    </w:div>
    <w:div w:id="1554153199">
      <w:marLeft w:val="0"/>
      <w:marRight w:val="0"/>
      <w:marTop w:val="0"/>
      <w:marBottom w:val="0"/>
      <w:divBdr>
        <w:top w:val="none" w:sz="0" w:space="0" w:color="auto"/>
        <w:left w:val="none" w:sz="0" w:space="0" w:color="auto"/>
        <w:bottom w:val="none" w:sz="0" w:space="0" w:color="auto"/>
        <w:right w:val="none" w:sz="0" w:space="0" w:color="auto"/>
      </w:divBdr>
    </w:div>
    <w:div w:id="16048752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ites/cce_public/files/files_2020/02._resolucion_358_de_2023_dt_-_convenios_solidarios.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danny.rico@cundinamarca.gov.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hyperlink" Target="https://www.colombiacompra.gov.co/content/documento-tipo-para-la-contratacion-directa-de-convenios-solidarios-para-la-ejecucion-de" TargetMode="External"/><Relationship Id="rId10" Type="http://schemas.openxmlformats.org/officeDocument/2006/relationships/hyperlink" Target="https://www.colombiacompra.gov.co/sites/cce_public/files/files_2020/02._resolucion_358_de_2023_dt_-_convenios_solidarios.pdf" TargetMode="External"/><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content/documento-tipo-para-la-contratacion-directa-de-convenios-solidarios-para-la-ejecucion-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592fe157-d5c2-474d-aeb4-2e8e8fcba8d3"/>
    <ds:schemaRef ds:uri="8ae15d26-076e-464e-81a7-6f76a0fb3917"/>
  </ds:schemaRefs>
</ds:datastoreItem>
</file>

<file path=customXml/itemProps3.xml><?xml version="1.0" encoding="utf-8"?>
<ds:datastoreItem xmlns:ds="http://schemas.openxmlformats.org/officeDocument/2006/customXml" ds:itemID="{58208779-DB44-40AB-A1E9-986EF6DA8B0E}"/>
</file>

<file path=docProps/app.xml><?xml version="1.0" encoding="utf-8"?>
<Properties xmlns="http://schemas.openxmlformats.org/officeDocument/2006/extended-properties" xmlns:vt="http://schemas.openxmlformats.org/officeDocument/2006/docPropsVTypes">
  <Template>Normal</Template>
  <TotalTime>2</TotalTime>
  <Pages>11</Pages>
  <Words>3437</Words>
  <Characters>18904</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22297</CharactersWithSpaces>
  <SharedDoc>false</SharedDoc>
  <HLinks>
    <vt:vector size="72" baseType="variant">
      <vt:variant>
        <vt:i4>3866680</vt:i4>
      </vt:variant>
      <vt:variant>
        <vt:i4>24</vt:i4>
      </vt:variant>
      <vt:variant>
        <vt:i4>0</vt:i4>
      </vt:variant>
      <vt:variant>
        <vt:i4>5</vt:i4>
      </vt:variant>
      <vt:variant>
        <vt:lpwstr>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vt:lpwstr>
      </vt:variant>
      <vt:variant>
        <vt:lpwstr/>
      </vt:variant>
      <vt:variant>
        <vt:i4>7536761</vt:i4>
      </vt:variant>
      <vt:variant>
        <vt:i4>21</vt:i4>
      </vt:variant>
      <vt:variant>
        <vt:i4>0</vt:i4>
      </vt:variant>
      <vt:variant>
        <vt:i4>5</vt:i4>
      </vt:variant>
      <vt:variant>
        <vt:lpwstr>https://www.colombiacompra.gov.co/content/documento-tipo-para-la-contratacion-directa-de-convenios-solidarios-para-la-ejecucion-de</vt:lpwstr>
      </vt:variant>
      <vt:variant>
        <vt:lpwstr/>
      </vt:variant>
      <vt:variant>
        <vt:i4>5963855</vt:i4>
      </vt:variant>
      <vt:variant>
        <vt:i4>18</vt:i4>
      </vt:variant>
      <vt:variant>
        <vt:i4>0</vt:i4>
      </vt:variant>
      <vt:variant>
        <vt:i4>5</vt:i4>
      </vt:variant>
      <vt:variant>
        <vt:lpwstr>http://www.secretariasenado.gov.co/senado/basedoc/ley_0080_1993.html</vt:lpwstr>
      </vt:variant>
      <vt:variant>
        <vt:lpwstr>inicio</vt:lpwstr>
      </vt:variant>
      <vt:variant>
        <vt:i4>1310842</vt:i4>
      </vt:variant>
      <vt:variant>
        <vt:i4>15</vt:i4>
      </vt:variant>
      <vt:variant>
        <vt:i4>0</vt:i4>
      </vt:variant>
      <vt:variant>
        <vt:i4>5</vt:i4>
      </vt:variant>
      <vt:variant>
        <vt:lpwstr>http://www.secretariasenado.gov.co/senado/basedoc/decreto_1333_1986_pr008.html</vt:lpwstr>
      </vt:variant>
      <vt:variant>
        <vt:lpwstr>378</vt:lpwstr>
      </vt:variant>
      <vt:variant>
        <vt:i4>1310842</vt:i4>
      </vt:variant>
      <vt:variant>
        <vt:i4>12</vt:i4>
      </vt:variant>
      <vt:variant>
        <vt:i4>0</vt:i4>
      </vt:variant>
      <vt:variant>
        <vt:i4>5</vt:i4>
      </vt:variant>
      <vt:variant>
        <vt:lpwstr>http://www.secretariasenado.gov.co/senado/basedoc/decreto_1333_1986_pr008.html</vt:lpwstr>
      </vt:variant>
      <vt:variant>
        <vt:lpwstr>375</vt:lpwstr>
      </vt:variant>
      <vt:variant>
        <vt:i4>1769582</vt:i4>
      </vt:variant>
      <vt:variant>
        <vt:i4>9</vt:i4>
      </vt:variant>
      <vt:variant>
        <vt:i4>0</vt:i4>
      </vt:variant>
      <vt:variant>
        <vt:i4>5</vt:i4>
      </vt:variant>
      <vt:variant>
        <vt:lpwstr>http://www.secretariasenado.gov.co/senado/basedoc/ley_1955_2019_pr005.html</vt:lpwstr>
      </vt:variant>
      <vt:variant>
        <vt:lpwstr>281</vt:lpwstr>
      </vt:variant>
      <vt:variant>
        <vt:i4>1769582</vt:i4>
      </vt:variant>
      <vt:variant>
        <vt:i4>6</vt:i4>
      </vt:variant>
      <vt:variant>
        <vt:i4>0</vt:i4>
      </vt:variant>
      <vt:variant>
        <vt:i4>5</vt:i4>
      </vt:variant>
      <vt:variant>
        <vt:lpwstr>http://www.secretariasenado.gov.co/senado/basedoc/ley_1955_2019_pr005.html</vt:lpwstr>
      </vt:variant>
      <vt:variant>
        <vt:lpwstr>281</vt:lpwstr>
      </vt:variant>
      <vt:variant>
        <vt:i4>1507433</vt:i4>
      </vt:variant>
      <vt:variant>
        <vt:i4>3</vt:i4>
      </vt:variant>
      <vt:variant>
        <vt:i4>0</vt:i4>
      </vt:variant>
      <vt:variant>
        <vt:i4>5</vt:i4>
      </vt:variant>
      <vt:variant>
        <vt:lpwstr>http://www.secretariasenado.gov.co/senado/basedoc/ley_0136_1994_pr002.html</vt:lpwstr>
      </vt:variant>
      <vt:variant>
        <vt:lpwstr>141</vt:lpwstr>
      </vt:variant>
      <vt:variant>
        <vt:i4>3342341</vt:i4>
      </vt:variant>
      <vt:variant>
        <vt:i4>0</vt:i4>
      </vt:variant>
      <vt:variant>
        <vt:i4>0</vt:i4>
      </vt:variant>
      <vt:variant>
        <vt:i4>5</vt:i4>
      </vt:variant>
      <vt:variant>
        <vt:lpwstr>mailto:danny.rico@cundinamarca.gov.co</vt:lpwstr>
      </vt:variant>
      <vt:variant>
        <vt:lpwstr/>
      </vt:variant>
      <vt:variant>
        <vt:i4>1114133</vt:i4>
      </vt:variant>
      <vt:variant>
        <vt:i4>6</vt:i4>
      </vt:variant>
      <vt:variant>
        <vt:i4>0</vt:i4>
      </vt:variant>
      <vt:variant>
        <vt:i4>5</vt:i4>
      </vt:variant>
      <vt:variant>
        <vt:lpwstr>https://www.funcionpublica.gov.co/eva/gestornormativo/norma.php?i=77653</vt:lpwstr>
      </vt:variant>
      <vt:variant>
        <vt:lpwstr>2.2.15.1.2</vt:lpwstr>
      </vt:variant>
      <vt:variant>
        <vt:i4>2555946</vt:i4>
      </vt:variant>
      <vt:variant>
        <vt:i4>3</vt:i4>
      </vt:variant>
      <vt:variant>
        <vt:i4>0</vt:i4>
      </vt:variant>
      <vt:variant>
        <vt:i4>5</vt:i4>
      </vt:variant>
      <vt:variant>
        <vt:lpwstr>https://www.camara.gov.co/juntas-de-accion-comunal</vt:lpwstr>
      </vt:variant>
      <vt:variant>
        <vt:lpwstr/>
      </vt:variant>
      <vt:variant>
        <vt:i4>6094936</vt:i4>
      </vt:variant>
      <vt:variant>
        <vt:i4>0</vt:i4>
      </vt:variant>
      <vt:variant>
        <vt:i4>0</vt:i4>
      </vt:variant>
      <vt:variant>
        <vt:i4>5</vt:i4>
      </vt:variant>
      <vt:variant>
        <vt:lpwstr>https://dapre.presidencia.gov.co/normativa/leyes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yirama bruges alvarado</cp:lastModifiedBy>
  <cp:revision>2</cp:revision>
  <cp:lastPrinted>2023-01-10T21:18:00Z</cp:lastPrinted>
  <dcterms:created xsi:type="dcterms:W3CDTF">2025-08-14T18:44:00Z</dcterms:created>
  <dcterms:modified xsi:type="dcterms:W3CDTF">2025-08-14T18:44:00Z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