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0974D" w14:textId="77777777" w:rsidR="003D5B0D" w:rsidRDefault="003D5B0D" w:rsidP="001E04C7">
      <w:pPr>
        <w:rPr>
          <w:lang w:val="es-ES"/>
        </w:rPr>
      </w:pPr>
    </w:p>
    <w:p w14:paraId="6BA1FE7E" w14:textId="3203E336" w:rsidR="009D1250" w:rsidRPr="00CF07F3" w:rsidRDefault="009D1250" w:rsidP="009D1250">
      <w:pPr>
        <w:spacing w:before="120" w:after="120" w:line="276" w:lineRule="auto"/>
        <w:jc w:val="both"/>
        <w:rPr>
          <w:rFonts w:ascii="Verdana" w:eastAsia="Geomanist Light" w:hAnsi="Verdana" w:cs="Arial"/>
          <w:color w:val="000000" w:themeColor="text1"/>
        </w:rPr>
      </w:pPr>
      <w:bookmarkStart w:id="0" w:name="_Hlk181166130"/>
      <w:bookmarkStart w:id="1" w:name="_Hlk143780582"/>
      <w:r w:rsidRPr="00CF07F3">
        <w:rPr>
          <w:rFonts w:ascii="Verdana" w:eastAsia="Geomanist Light" w:hAnsi="Verdana" w:cs="Arial"/>
          <w:b/>
          <w:bCs/>
          <w:color w:val="000000" w:themeColor="text1"/>
        </w:rPr>
        <w:t xml:space="preserve">CONTRATO DE </w:t>
      </w:r>
      <w:r w:rsidRPr="4181C9DE">
        <w:rPr>
          <w:rFonts w:ascii="Verdana" w:eastAsia="Geomanist Light" w:hAnsi="Verdana" w:cs="Arial"/>
          <w:b/>
          <w:bCs/>
          <w:color w:val="000000" w:themeColor="text1"/>
        </w:rPr>
        <w:t>PRESTACIÓN</w:t>
      </w:r>
      <w:r w:rsidRPr="00CF07F3">
        <w:rPr>
          <w:rFonts w:ascii="Verdana" w:eastAsia="Geomanist Light" w:hAnsi="Verdana" w:cs="Arial"/>
          <w:b/>
          <w:bCs/>
          <w:color w:val="000000" w:themeColor="text1"/>
        </w:rPr>
        <w:t xml:space="preserve"> DE SERVICIOS – </w:t>
      </w:r>
      <w:r>
        <w:rPr>
          <w:rFonts w:ascii="Verdana" w:eastAsia="Geomanist Light" w:hAnsi="Verdana" w:cs="Arial"/>
          <w:b/>
          <w:bCs/>
          <w:color w:val="000000" w:themeColor="text1"/>
        </w:rPr>
        <w:t>Definición</w:t>
      </w:r>
    </w:p>
    <w:p w14:paraId="40AD250E" w14:textId="77777777" w:rsidR="009D1250" w:rsidRPr="00CF07F3" w:rsidRDefault="009D1250" w:rsidP="009D1250">
      <w:pPr>
        <w:spacing w:after="0"/>
        <w:jc w:val="both"/>
        <w:rPr>
          <w:rFonts w:ascii="Verdana" w:eastAsia="Calibri" w:hAnsi="Verdana" w:cs="Arial"/>
          <w:sz w:val="20"/>
          <w:szCs w:val="20"/>
          <w:lang w:val="es-ES"/>
        </w:rPr>
      </w:pPr>
      <w:r w:rsidRPr="00CF07F3">
        <w:rPr>
          <w:rFonts w:ascii="Verdana" w:eastAsia="Calibri" w:hAnsi="Verdana" w:cs="Arial"/>
          <w:sz w:val="20"/>
          <w:szCs w:val="20"/>
          <w:lang w:val="es-ES"/>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w:t>
      </w:r>
    </w:p>
    <w:p w14:paraId="4D735889" w14:textId="77777777" w:rsidR="009D1250" w:rsidRPr="00CF07F3" w:rsidRDefault="009D1250" w:rsidP="009D1250">
      <w:pPr>
        <w:spacing w:after="0"/>
        <w:jc w:val="both"/>
        <w:rPr>
          <w:rFonts w:ascii="Verdana" w:eastAsia="Calibri" w:hAnsi="Verdana" w:cs="Arial"/>
          <w:sz w:val="20"/>
          <w:szCs w:val="20"/>
          <w:lang w:val="es-ES"/>
        </w:rPr>
      </w:pPr>
      <w:r w:rsidRPr="00CF07F3">
        <w:rPr>
          <w:rFonts w:ascii="Verdana" w:eastAsia="Calibri" w:hAnsi="Verdana" w:cs="Arial"/>
          <w:sz w:val="20"/>
          <w:szCs w:val="20"/>
          <w:lang w:val="es-ES"/>
        </w:rPr>
        <w:t>[…]</w:t>
      </w:r>
    </w:p>
    <w:p w14:paraId="5D18606D" w14:textId="77777777" w:rsidR="009D1250" w:rsidRDefault="009D1250" w:rsidP="009D1250">
      <w:pPr>
        <w:spacing w:after="0"/>
        <w:jc w:val="both"/>
        <w:rPr>
          <w:rFonts w:ascii="Verdana" w:eastAsia="Calibri" w:hAnsi="Verdana" w:cs="Arial"/>
          <w:sz w:val="20"/>
          <w:szCs w:val="20"/>
          <w:lang w:val="es-ES"/>
        </w:rPr>
      </w:pPr>
      <w:r w:rsidRPr="00CF07F3">
        <w:rPr>
          <w:rFonts w:ascii="Verdana" w:eastAsia="Calibri" w:hAnsi="Verdana" w:cs="Arial"/>
          <w:sz w:val="20"/>
          <w:szCs w:val="20"/>
          <w:lang w:val="es-ES"/>
        </w:rPr>
        <w:t xml:space="preserve">[…] de la reciente Sentencia de Unificación Jurisprudencial del 9 de septiembre de 2021, proferida por el Consejo de Estado, es posible señalar las siguientes características del contrato de prestación de servicios: i) Solo puede celebrarse para realizar “actividades relacionadas con la administración o funcionamiento de la entidad” […]. </w:t>
      </w:r>
      <w:proofErr w:type="spellStart"/>
      <w:r w:rsidRPr="00CF07F3">
        <w:rPr>
          <w:rFonts w:ascii="Verdana" w:eastAsia="Calibri" w:hAnsi="Verdana" w:cs="Arial"/>
          <w:sz w:val="20"/>
          <w:szCs w:val="20"/>
          <w:lang w:val="es-ES"/>
        </w:rPr>
        <w:t>ii</w:t>
      </w:r>
      <w:proofErr w:type="spellEnd"/>
      <w:r w:rsidRPr="00CF07F3">
        <w:rPr>
          <w:rFonts w:ascii="Verdana" w:eastAsia="Calibri" w:hAnsi="Verdana" w:cs="Arial"/>
          <w:sz w:val="20"/>
          <w:szCs w:val="20"/>
          <w:lang w:val="es-ES"/>
        </w:rPr>
        <w:t xml:space="preserve">) Respecto del tipo de personas que pueden ser contratadas, admite que se suscriba con personas naturales o jurídicas. </w:t>
      </w:r>
      <w:proofErr w:type="spellStart"/>
      <w:r w:rsidRPr="00CF07F3">
        <w:rPr>
          <w:rFonts w:ascii="Verdana" w:eastAsia="Calibri" w:hAnsi="Verdana" w:cs="Arial"/>
          <w:sz w:val="20"/>
          <w:szCs w:val="20"/>
          <w:lang w:val="es-ES"/>
        </w:rPr>
        <w:t>iii</w:t>
      </w:r>
      <w:proofErr w:type="spellEnd"/>
      <w:r w:rsidRPr="00CF07F3">
        <w:rPr>
          <w:rFonts w:ascii="Verdana" w:eastAsia="Calibri" w:hAnsi="Verdana" w:cs="Arial"/>
          <w:sz w:val="20"/>
          <w:szCs w:val="20"/>
          <w:lang w:val="es-ES"/>
        </w:rPr>
        <w:t xml:space="preserve">) Si bien se celebran para obtener la prestación personal de un servicio, se diferencian del contrato de trabajo en que quien celebra el contrato de prestación de servicios debe mantener autonomía e independencia en la ejecución de la labor […]; </w:t>
      </w:r>
      <w:proofErr w:type="spellStart"/>
      <w:r w:rsidRPr="00CF07F3">
        <w:rPr>
          <w:rFonts w:ascii="Verdana" w:eastAsia="Calibri" w:hAnsi="Verdana" w:cs="Arial"/>
          <w:sz w:val="20"/>
          <w:szCs w:val="20"/>
          <w:lang w:val="es-ES"/>
        </w:rPr>
        <w:t>iv</w:t>
      </w:r>
      <w:proofErr w:type="spellEnd"/>
      <w:r w:rsidRPr="00CF07F3">
        <w:rPr>
          <w:rFonts w:ascii="Verdana" w:eastAsia="Calibri" w:hAnsi="Verdana" w:cs="Arial"/>
          <w:sz w:val="20"/>
          <w:szCs w:val="20"/>
          <w:lang w:val="es-ES"/>
        </w:rPr>
        <w:t xml:space="preserve">) Deben ser temporales. v) Se celebran a través de la modalidad de contratación directa, independientemente de la cuantía y del tipo de servicio profesional, siempre que su objeto no sea la consultoría. vi) Para su celebración no se requiere expedir un acto administrativo de justificación de la contratación directa. </w:t>
      </w:r>
      <w:proofErr w:type="spellStart"/>
      <w:r w:rsidRPr="00CF07F3">
        <w:rPr>
          <w:rFonts w:ascii="Verdana" w:eastAsia="Calibri" w:hAnsi="Verdana" w:cs="Arial"/>
          <w:sz w:val="20"/>
          <w:szCs w:val="20"/>
          <w:lang w:val="es-ES"/>
        </w:rPr>
        <w:t>vii</w:t>
      </w:r>
      <w:proofErr w:type="spellEnd"/>
      <w:r w:rsidRPr="00CF07F3">
        <w:rPr>
          <w:rFonts w:ascii="Verdana" w:eastAsia="Calibri" w:hAnsi="Verdana" w:cs="Arial"/>
          <w:sz w:val="20"/>
          <w:szCs w:val="20"/>
          <w:lang w:val="es-ES"/>
        </w:rPr>
        <w:t xml:space="preserve">) El contrato admite la inclusión de cláusulas excepcionales. </w:t>
      </w:r>
      <w:proofErr w:type="spellStart"/>
      <w:r w:rsidRPr="00CF07F3">
        <w:rPr>
          <w:rFonts w:ascii="Verdana" w:eastAsia="Calibri" w:hAnsi="Verdana" w:cs="Arial"/>
          <w:sz w:val="20"/>
          <w:szCs w:val="20"/>
          <w:lang w:val="es-ES"/>
        </w:rPr>
        <w:t>viii</w:t>
      </w:r>
      <w:proofErr w:type="spellEnd"/>
      <w:r w:rsidRPr="00CF07F3">
        <w:rPr>
          <w:rFonts w:ascii="Verdana" w:eastAsia="Calibri" w:hAnsi="Verdana" w:cs="Arial"/>
          <w:sz w:val="20"/>
          <w:szCs w:val="20"/>
          <w:lang w:val="es-ES"/>
        </w:rPr>
        <w:t xml:space="preserve">) No es obligatoria la liquidación de estos contratos, como lo establece el artículo 217 del Decreto 019 de 2012, que modificó el artículo 60 de la Ley 80 de 1993. </w:t>
      </w:r>
      <w:proofErr w:type="spellStart"/>
      <w:r w:rsidRPr="00CF07F3">
        <w:rPr>
          <w:rFonts w:ascii="Verdana" w:eastAsia="Calibri" w:hAnsi="Verdana" w:cs="Arial"/>
          <w:sz w:val="20"/>
          <w:szCs w:val="20"/>
          <w:lang w:val="es-ES"/>
        </w:rPr>
        <w:t>ix</w:t>
      </w:r>
      <w:proofErr w:type="spellEnd"/>
      <w:r w:rsidRPr="00CF07F3">
        <w:rPr>
          <w:rFonts w:ascii="Verdana" w:eastAsia="Calibri" w:hAnsi="Verdana" w:cs="Arial"/>
          <w:sz w:val="20"/>
          <w:szCs w:val="20"/>
          <w:lang w:val="es-ES"/>
        </w:rPr>
        <w:t xml:space="preserve">) Para su celebración el contratista no requiere estar inscrito en el Registro Único de Proponentes –RUP–, como lo señala el artículo 6 de la Ley 1150 de 2007. x) No es obligatoria la exigencia de garantías. xi) Como los demás contratos estatales, se trata de un contrato solemne que debe constar por escrito y debe ser publicado en el SECOP. </w:t>
      </w:r>
      <w:proofErr w:type="spellStart"/>
      <w:r w:rsidRPr="00CF07F3">
        <w:rPr>
          <w:rFonts w:ascii="Verdana" w:eastAsia="Calibri" w:hAnsi="Verdana" w:cs="Arial"/>
          <w:sz w:val="20"/>
          <w:szCs w:val="20"/>
          <w:lang w:val="es-ES"/>
        </w:rPr>
        <w:t>xii</w:t>
      </w:r>
      <w:proofErr w:type="spellEnd"/>
      <w:r w:rsidRPr="00CF07F3">
        <w:rPr>
          <w:rFonts w:ascii="Verdana" w:eastAsia="Calibri" w:hAnsi="Verdana" w:cs="Arial"/>
          <w:sz w:val="20"/>
          <w:szCs w:val="20"/>
          <w:lang w:val="es-ES"/>
        </w:rPr>
        <w:t>) Como especies del género prestación de servicios, se incluyen los contratos de prestación de servicios profesionales, los contratos de prestación de servicios de apoyo a la gestión y los contratos de prestación de servicios artísticos que solo pueden encomendarse a determinadas personas naturales.</w:t>
      </w:r>
    </w:p>
    <w:p w14:paraId="0B381B94" w14:textId="77777777" w:rsidR="009D1250" w:rsidRPr="00CF07F3" w:rsidRDefault="009D1250" w:rsidP="009D1250">
      <w:pPr>
        <w:spacing w:after="0" w:line="240" w:lineRule="auto"/>
        <w:jc w:val="both"/>
        <w:rPr>
          <w:rFonts w:ascii="Verdana" w:eastAsia="Calibri" w:hAnsi="Verdana" w:cs="Arial"/>
          <w:sz w:val="20"/>
          <w:szCs w:val="20"/>
          <w:lang w:val="es-ES"/>
        </w:rPr>
      </w:pPr>
    </w:p>
    <w:p w14:paraId="0286B86A" w14:textId="77777777" w:rsidR="009D1250" w:rsidRPr="000E1704" w:rsidRDefault="009D1250" w:rsidP="009D1250">
      <w:pPr>
        <w:spacing w:line="276" w:lineRule="auto"/>
        <w:jc w:val="both"/>
        <w:rPr>
          <w:rFonts w:ascii="Verdana" w:eastAsia="Calibri" w:hAnsi="Verdana" w:cs="Arial"/>
          <w:b/>
          <w:lang w:val="es-MX"/>
        </w:rPr>
      </w:pPr>
      <w:r w:rsidRPr="000E1704">
        <w:rPr>
          <w:rFonts w:ascii="Verdana" w:eastAsia="Calibri" w:hAnsi="Verdana" w:cs="Arial"/>
          <w:b/>
          <w:lang w:val="es-MX"/>
        </w:rPr>
        <w:t>REQUISITOS DE EJECUCIÓN – Diferencias entre requisitos de perfeccionamiento y ejecución – Requisitos de ejecución legales y convencionales.</w:t>
      </w:r>
    </w:p>
    <w:p w14:paraId="055D5E1A" w14:textId="77777777" w:rsidR="009D1250" w:rsidRPr="009A02D4" w:rsidRDefault="009D1250" w:rsidP="009D1250">
      <w:pPr>
        <w:spacing w:after="0"/>
        <w:jc w:val="both"/>
        <w:rPr>
          <w:rFonts w:ascii="Verdana" w:eastAsia="Calibri" w:hAnsi="Verdana" w:cs="Arial"/>
          <w:sz w:val="20"/>
          <w:szCs w:val="20"/>
          <w:lang w:val="es-ES" w:eastAsia="es-ES"/>
        </w:rPr>
      </w:pPr>
      <w:r w:rsidRPr="009A02D4">
        <w:rPr>
          <w:rFonts w:ascii="Verdana" w:eastAsia="Calibri" w:hAnsi="Verdana" w:cs="Arial"/>
          <w:sz w:val="20"/>
          <w:szCs w:val="20"/>
          <w:lang w:val="es-ES" w:eastAsia="es-ES"/>
        </w:rPr>
        <w:t xml:space="preserve"> En consecuencia, a pesar de que están facultadas para acordar cláusulas accidentales en el negocio jurídico, estas no pueden ir en contra de los mandatos contenidos en el Estatuto General de Contratación de la Administración Pública. 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w:t>
      </w:r>
      <w:r w:rsidRPr="009A02D4">
        <w:rPr>
          <w:rFonts w:ascii="Verdana" w:eastAsia="Calibri" w:hAnsi="Verdana" w:cs="Arial"/>
          <w:sz w:val="20"/>
          <w:szCs w:val="20"/>
          <w:lang w:val="es-ES" w:eastAsia="es-ES"/>
        </w:rPr>
        <w:lastRenderedPageBreak/>
        <w:t xml:space="preserve">Seguridad Social Integral, las partes no pueden establecer que el contrato estatal comenzará su ejecución cuando se firme el acta de inicio pretermitiendo las tres exigencias legales. </w:t>
      </w:r>
    </w:p>
    <w:p w14:paraId="69EFC9A3" w14:textId="77777777" w:rsidR="009D1250" w:rsidRPr="009A02D4" w:rsidRDefault="009D1250" w:rsidP="009D1250">
      <w:pPr>
        <w:spacing w:after="0"/>
        <w:jc w:val="both"/>
        <w:rPr>
          <w:rFonts w:ascii="Verdana" w:eastAsia="Calibri" w:hAnsi="Verdana" w:cs="Arial"/>
          <w:sz w:val="20"/>
          <w:szCs w:val="20"/>
          <w:lang w:val="es-ES" w:eastAsia="es-ES"/>
        </w:rPr>
      </w:pPr>
    </w:p>
    <w:p w14:paraId="2F1759E8" w14:textId="77777777" w:rsidR="009D1250" w:rsidRDefault="009D1250" w:rsidP="009D1250">
      <w:pPr>
        <w:spacing w:after="0"/>
        <w:jc w:val="both"/>
        <w:rPr>
          <w:rFonts w:ascii="Verdana" w:eastAsia="Calibri" w:hAnsi="Verdana" w:cs="Arial"/>
          <w:sz w:val="20"/>
          <w:szCs w:val="20"/>
          <w:lang w:val="es-ES" w:eastAsia="es-ES"/>
        </w:rPr>
      </w:pPr>
      <w:r w:rsidRPr="009A02D4">
        <w:rPr>
          <w:rFonts w:ascii="Verdana" w:eastAsia="Calibri" w:hAnsi="Verdana" w:cs="Arial"/>
          <w:sz w:val="20"/>
          <w:szCs w:val="20"/>
          <w:lang w:val="es-ES" w:eastAsia="es-ES"/>
        </w:rPr>
        <w:t>Además, el artículo 6 de la Constitución dispone que «Los particulares sólo son responsables ante las autoridades por infringir la Constitución y las leyes» y que «Los servidores públicos lo son por la misma causa y por omisión o extralimitación en el ejercicio de sus funciones». Por tanto, no se puede suscribir el acta de inicio, estableciendo como fecha de inicio del contrato un día en el que aún no se hayan cumplido los requisitos de ejecución establecidos en el artículo 41 de la Ley 80 de 1993, porque ello implica una infracción de la ley.</w:t>
      </w:r>
    </w:p>
    <w:p w14:paraId="2DE0F2D2" w14:textId="77777777" w:rsidR="009D1250" w:rsidRPr="009A02D4" w:rsidRDefault="009D1250" w:rsidP="009D1250">
      <w:pPr>
        <w:spacing w:after="0"/>
        <w:jc w:val="both"/>
        <w:rPr>
          <w:rFonts w:ascii="Verdana" w:eastAsia="Calibri" w:hAnsi="Verdana" w:cs="Arial"/>
          <w:sz w:val="20"/>
          <w:szCs w:val="20"/>
          <w:lang w:val="es-ES" w:eastAsia="es-ES"/>
        </w:rPr>
      </w:pPr>
    </w:p>
    <w:p w14:paraId="29D03E74" w14:textId="77777777" w:rsidR="009D1250" w:rsidRPr="009A02D4" w:rsidRDefault="009D1250" w:rsidP="009D1250">
      <w:pPr>
        <w:spacing w:line="276" w:lineRule="auto"/>
        <w:jc w:val="both"/>
        <w:rPr>
          <w:rFonts w:ascii="Verdana" w:eastAsia="Calibri" w:hAnsi="Verdana" w:cs="Arial"/>
          <w:b/>
          <w:lang w:val="es-MX"/>
        </w:rPr>
      </w:pPr>
      <w:r w:rsidRPr="000E1704">
        <w:rPr>
          <w:rFonts w:ascii="Verdana" w:eastAsia="Calibri" w:hAnsi="Verdana" w:cs="Arial"/>
          <w:b/>
          <w:lang w:val="es-MX"/>
        </w:rPr>
        <w:t>ACTA DE INICIO – Definición – Marco normativo</w:t>
      </w:r>
    </w:p>
    <w:p w14:paraId="34F8ABA7" w14:textId="77777777" w:rsidR="009D1250" w:rsidRPr="009A02D4" w:rsidRDefault="009D1250" w:rsidP="009D1250">
      <w:pPr>
        <w:spacing w:line="276" w:lineRule="auto"/>
        <w:jc w:val="both"/>
        <w:rPr>
          <w:rFonts w:ascii="Verdana" w:eastAsia="Calibri" w:hAnsi="Verdana" w:cs="Arial"/>
          <w:sz w:val="20"/>
          <w:szCs w:val="20"/>
          <w:lang w:val="es-ES" w:eastAsia="es-ES"/>
        </w:rPr>
      </w:pPr>
      <w:r w:rsidRPr="009A02D4">
        <w:rPr>
          <w:rFonts w:ascii="Verdana" w:eastAsia="Calibri" w:hAnsi="Verdana" w:cs="Arial"/>
          <w:sz w:val="20"/>
          <w:szCs w:val="20"/>
          <w:lang w:val="es-ES" w:eastAsia="es-ES"/>
        </w:rPr>
        <w:t>El acta de inicio constituye un requisito de ejecución convencional, que se pacta en la minuta del contrato o que el contratista acepta, adhiriéndose al clausulado del pliego de condiciones o documento equivalente. Sin embargo, en el lenguaje de la contratación estatal, el acta de inicio es un documento en el que se fija la fecha en la que comienza el cómputo del plazo del contrato, una vez cumplidos los requisitos legales para el inicio de la ejecución del contrato. Es por ello, que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 El fundamento legal que habilita a las partes para establecer la suscripción del acta de inicio como un requisito de ejecución convencional, se encuentra en el segundo inciso del artículo 40 de la Ley 80 de 1993.</w:t>
      </w:r>
    </w:p>
    <w:p w14:paraId="42DDF265" w14:textId="77777777" w:rsidR="009D1250" w:rsidRPr="00E123B7" w:rsidRDefault="009D1250" w:rsidP="009D1250">
      <w:pPr>
        <w:spacing w:before="120" w:after="120" w:line="276" w:lineRule="auto"/>
        <w:jc w:val="both"/>
        <w:rPr>
          <w:rFonts w:ascii="Verdana" w:eastAsia="Geomanist Light" w:hAnsi="Verdana" w:cs="Arial"/>
          <w:b/>
          <w:bCs/>
          <w:color w:val="000000" w:themeColor="text1"/>
        </w:rPr>
      </w:pPr>
      <w:r w:rsidRPr="00E123B7">
        <w:rPr>
          <w:rFonts w:ascii="Verdana" w:eastAsia="Geomanist Light" w:hAnsi="Verdana" w:cs="Arial"/>
          <w:b/>
          <w:bCs/>
          <w:color w:val="000000" w:themeColor="text1"/>
        </w:rPr>
        <w:t xml:space="preserve">TERMINACIÓN ANTICIPADA – Mutuo acuerdo </w:t>
      </w:r>
    </w:p>
    <w:p w14:paraId="57A8E688" w14:textId="77777777" w:rsidR="009D1250" w:rsidRDefault="009D1250" w:rsidP="009D1250">
      <w:pPr>
        <w:spacing w:after="100" w:afterAutospacing="1" w:line="276" w:lineRule="auto"/>
        <w:jc w:val="both"/>
        <w:rPr>
          <w:rFonts w:ascii="Verdana" w:eastAsia="Calibri" w:hAnsi="Verdana" w:cs="Arial"/>
          <w:sz w:val="20"/>
          <w:szCs w:val="20"/>
          <w:lang w:val="es-ES"/>
        </w:rPr>
      </w:pPr>
      <w:r w:rsidRPr="00815D89">
        <w:rPr>
          <w:rFonts w:ascii="Verdana" w:eastAsia="Calibri" w:hAnsi="Verdana" w:cs="Arial"/>
          <w:sz w:val="20"/>
          <w:szCs w:val="20"/>
          <w:lang w:val="es-ES"/>
        </w:rPr>
        <w:t>[…] la terminación anticipada de mutuo acuerdo es una práctica común en la contratación estatal a la que se acude cuando el contratista manifiesta a la Entidad Estatal contratante su voluntad de no continuar con la ejecución del contrato. Esto implica que, en ejercicio de la autonomía de la voluntad la entidad estatal contratante y el contratista convengan la terminación anticipada del contrato y lo eleven a escrito, de manera que la primera libera recursos asociados al contrato terminado, los cuales pueden ser destinados a la celebración de un nuevo contrato con otro contratista, en caso de que persista la necesidad que motivó la contratación. De esta manera, las partes además evitan que se consolide el incumplimiento del contrato, evitando la imposición de multas o clausulas penales, siempre que se hayan cumplido a satisfacción durante el periodo que estuvo vigente el contrato.</w:t>
      </w:r>
    </w:p>
    <w:p w14:paraId="05A0C115" w14:textId="77777777" w:rsidR="009D1250" w:rsidRDefault="009D1250" w:rsidP="009D1250">
      <w:pPr>
        <w:spacing w:after="0" w:line="240" w:lineRule="auto"/>
        <w:contextualSpacing/>
        <w:jc w:val="both"/>
        <w:rPr>
          <w:rFonts w:ascii="Verdana" w:eastAsia="Calibri" w:hAnsi="Verdana" w:cs="Arial"/>
          <w:b/>
          <w:bCs/>
          <w:color w:val="4472C4" w:themeColor="accent1"/>
          <w:lang w:eastAsia="es-ES"/>
        </w:rPr>
      </w:pPr>
    </w:p>
    <w:p w14:paraId="6300F304" w14:textId="77777777" w:rsidR="00094BBC" w:rsidRDefault="00094BBC" w:rsidP="009D1250">
      <w:pPr>
        <w:spacing w:after="0" w:line="240" w:lineRule="auto"/>
        <w:contextualSpacing/>
        <w:jc w:val="both"/>
        <w:rPr>
          <w:rFonts w:ascii="Verdana" w:eastAsia="Calibri" w:hAnsi="Verdana" w:cs="Arial"/>
          <w:b/>
          <w:bCs/>
          <w:color w:val="4472C4" w:themeColor="accent1"/>
          <w:lang w:eastAsia="es-ES"/>
        </w:rPr>
      </w:pPr>
    </w:p>
    <w:p w14:paraId="2F62A52C" w14:textId="77777777" w:rsidR="00094BBC" w:rsidRDefault="00094BBC" w:rsidP="009D1250">
      <w:pPr>
        <w:spacing w:after="0" w:line="240" w:lineRule="auto"/>
        <w:contextualSpacing/>
        <w:jc w:val="both"/>
        <w:rPr>
          <w:rFonts w:ascii="Verdana" w:eastAsia="Calibri" w:hAnsi="Verdana" w:cs="Arial"/>
          <w:b/>
          <w:bCs/>
          <w:color w:val="4472C4" w:themeColor="accent1"/>
          <w:lang w:eastAsia="es-ES"/>
        </w:rPr>
      </w:pPr>
    </w:p>
    <w:p w14:paraId="739834BE" w14:textId="77777777" w:rsidR="00094BBC" w:rsidRDefault="00094BBC" w:rsidP="009D1250">
      <w:pPr>
        <w:spacing w:after="0" w:line="240" w:lineRule="auto"/>
        <w:contextualSpacing/>
        <w:jc w:val="both"/>
        <w:rPr>
          <w:rFonts w:ascii="Verdana" w:eastAsia="Calibri" w:hAnsi="Verdana" w:cs="Arial"/>
          <w:b/>
          <w:bCs/>
          <w:color w:val="4472C4" w:themeColor="accent1"/>
          <w:lang w:eastAsia="es-ES"/>
        </w:rPr>
      </w:pPr>
    </w:p>
    <w:p w14:paraId="098EFF09" w14:textId="77777777" w:rsidR="00094BBC" w:rsidRDefault="00094BBC" w:rsidP="009D1250">
      <w:pPr>
        <w:spacing w:after="0"/>
        <w:rPr>
          <w:rFonts w:ascii="Verdana" w:hAnsi="Verdana"/>
        </w:rPr>
      </w:pPr>
    </w:p>
    <w:p w14:paraId="031BF5A9" w14:textId="2F043516" w:rsidR="009D1250" w:rsidRDefault="009D1250" w:rsidP="009D1250">
      <w:pPr>
        <w:spacing w:after="0"/>
        <w:rPr>
          <w:rFonts w:ascii="Verdana" w:hAnsi="Verdana"/>
        </w:rPr>
      </w:pPr>
      <w:r>
        <w:rPr>
          <w:rFonts w:ascii="Verdana" w:hAnsi="Verdana"/>
        </w:rPr>
        <w:t>B</w:t>
      </w:r>
      <w:r w:rsidRPr="0044528D">
        <w:rPr>
          <w:rFonts w:ascii="Verdana" w:hAnsi="Verdana"/>
        </w:rPr>
        <w:t xml:space="preserve">ogotá D.C., </w:t>
      </w:r>
      <w:r w:rsidR="00CF3143">
        <w:rPr>
          <w:rFonts w:ascii="Verdana" w:hAnsi="Verdana"/>
        </w:rPr>
        <w:t>01 de agosto de 2025.</w:t>
      </w:r>
    </w:p>
    <w:p w14:paraId="62ABFC41" w14:textId="77777777" w:rsidR="009D1250" w:rsidRDefault="009D1250" w:rsidP="009D1250">
      <w:pPr>
        <w:spacing w:after="0"/>
        <w:rPr>
          <w:rFonts w:ascii="Verdana" w:hAnsi="Verdana"/>
        </w:rPr>
      </w:pPr>
      <w:bookmarkStart w:id="2" w:name="_Hlk180638295"/>
      <w:bookmarkEnd w:id="0"/>
    </w:p>
    <w:p w14:paraId="7AF93BBA" w14:textId="77777777" w:rsidR="009D1250" w:rsidRDefault="009D1250" w:rsidP="009D1250">
      <w:pPr>
        <w:spacing w:after="0"/>
        <w:rPr>
          <w:rFonts w:ascii="Verdana" w:hAnsi="Verdana"/>
        </w:rPr>
      </w:pPr>
    </w:p>
    <w:p w14:paraId="49A1405A" w14:textId="5CB083EE" w:rsidR="0001088B" w:rsidRDefault="00CF3143" w:rsidP="00CF3143">
      <w:pPr>
        <w:spacing w:after="0" w:line="240" w:lineRule="auto"/>
        <w:jc w:val="right"/>
        <w:rPr>
          <w:rFonts w:ascii="Verdana" w:eastAsia="Calibri" w:hAnsi="Verdana" w:cs="Arial"/>
          <w:lang w:eastAsia="es-ES"/>
        </w:rPr>
      </w:pPr>
      <w:bookmarkStart w:id="3" w:name="_Hlk181166167"/>
      <w:r>
        <w:rPr>
          <w:rFonts w:ascii="Verdana" w:eastAsia="Calibri" w:hAnsi="Verdana" w:cs="Arial"/>
          <w:noProof/>
          <w:lang w:eastAsia="es-ES"/>
        </w:rPr>
        <w:drawing>
          <wp:inline distT="0" distB="0" distL="0" distR="0" wp14:anchorId="18C29D8B" wp14:editId="16A1EA91">
            <wp:extent cx="2790825" cy="657225"/>
            <wp:effectExtent l="0" t="0" r="9525" b="9525"/>
            <wp:docPr id="14105860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0825" cy="657225"/>
                    </a:xfrm>
                    <a:prstGeom prst="rect">
                      <a:avLst/>
                    </a:prstGeom>
                    <a:noFill/>
                    <a:ln>
                      <a:noFill/>
                    </a:ln>
                  </pic:spPr>
                </pic:pic>
              </a:graphicData>
            </a:graphic>
          </wp:inline>
        </w:drawing>
      </w:r>
    </w:p>
    <w:p w14:paraId="760491F3" w14:textId="77777777" w:rsidR="0001088B" w:rsidRDefault="0001088B" w:rsidP="009D1250">
      <w:pPr>
        <w:spacing w:after="0" w:line="240" w:lineRule="auto"/>
        <w:jc w:val="both"/>
        <w:rPr>
          <w:rFonts w:ascii="Verdana" w:eastAsia="Calibri" w:hAnsi="Verdana" w:cs="Arial"/>
          <w:lang w:eastAsia="es-ES"/>
        </w:rPr>
      </w:pPr>
    </w:p>
    <w:p w14:paraId="097FFAB6" w14:textId="77777777" w:rsidR="0001088B" w:rsidRDefault="0001088B" w:rsidP="009D1250">
      <w:pPr>
        <w:spacing w:after="0" w:line="240" w:lineRule="auto"/>
        <w:jc w:val="both"/>
        <w:rPr>
          <w:rFonts w:ascii="Verdana" w:eastAsia="Calibri" w:hAnsi="Verdana" w:cs="Arial"/>
          <w:lang w:eastAsia="es-ES"/>
        </w:rPr>
      </w:pPr>
    </w:p>
    <w:p w14:paraId="61445A04" w14:textId="77777777" w:rsidR="0001088B" w:rsidRDefault="0001088B" w:rsidP="009D1250">
      <w:pPr>
        <w:spacing w:after="0" w:line="240" w:lineRule="auto"/>
        <w:jc w:val="both"/>
        <w:rPr>
          <w:rFonts w:ascii="Verdana" w:eastAsia="Calibri" w:hAnsi="Verdana" w:cs="Arial"/>
          <w:lang w:eastAsia="es-ES"/>
        </w:rPr>
      </w:pPr>
    </w:p>
    <w:p w14:paraId="467557EA" w14:textId="0DC1DCE8" w:rsidR="009D1250" w:rsidRDefault="009D1250" w:rsidP="009D1250">
      <w:pPr>
        <w:spacing w:after="0" w:line="240" w:lineRule="auto"/>
        <w:jc w:val="both"/>
        <w:rPr>
          <w:rFonts w:ascii="Verdana" w:eastAsia="Calibri" w:hAnsi="Verdana" w:cs="Arial"/>
          <w:lang w:eastAsia="es-ES"/>
        </w:rPr>
      </w:pPr>
      <w:r w:rsidRPr="005E62E2">
        <w:rPr>
          <w:rFonts w:ascii="Verdana" w:eastAsia="Calibri" w:hAnsi="Verdana" w:cs="Arial"/>
          <w:lang w:eastAsia="es-ES"/>
        </w:rPr>
        <w:t>Señor</w:t>
      </w:r>
      <w:r>
        <w:rPr>
          <w:rFonts w:ascii="Verdana" w:eastAsia="Calibri" w:hAnsi="Verdana" w:cs="Arial"/>
          <w:lang w:eastAsia="es-ES"/>
        </w:rPr>
        <w:t>a</w:t>
      </w:r>
      <w:r w:rsidRPr="005E62E2">
        <w:rPr>
          <w:rFonts w:ascii="Verdana" w:eastAsia="Calibri" w:hAnsi="Verdana" w:cs="Arial"/>
          <w:lang w:eastAsia="es-ES"/>
        </w:rPr>
        <w:tab/>
      </w:r>
    </w:p>
    <w:p w14:paraId="1EBA83E7" w14:textId="77777777" w:rsidR="009D1250" w:rsidRPr="00574779" w:rsidRDefault="009D1250" w:rsidP="009D1250">
      <w:pPr>
        <w:spacing w:after="0" w:line="240" w:lineRule="auto"/>
        <w:jc w:val="both"/>
        <w:rPr>
          <w:rFonts w:ascii="Verdana" w:eastAsia="Calibri" w:hAnsi="Verdana" w:cs="Arial"/>
          <w:lang w:eastAsia="es-ES"/>
        </w:rPr>
      </w:pPr>
      <w:r w:rsidRPr="00720339">
        <w:rPr>
          <w:rFonts w:ascii="Verdana" w:eastAsia="Calibri" w:hAnsi="Verdana" w:cs="Arial"/>
          <w:b/>
          <w:bCs/>
          <w:lang w:eastAsia="es-ES"/>
        </w:rPr>
        <w:t>LINA</w:t>
      </w:r>
      <w:r>
        <w:rPr>
          <w:rFonts w:ascii="Verdana" w:eastAsia="Calibri" w:hAnsi="Verdana" w:cs="Arial"/>
          <w:b/>
          <w:bCs/>
          <w:lang w:eastAsia="es-ES"/>
        </w:rPr>
        <w:t xml:space="preserve"> </w:t>
      </w:r>
      <w:r w:rsidRPr="00720339">
        <w:rPr>
          <w:rFonts w:ascii="Verdana" w:eastAsia="Calibri" w:hAnsi="Verdana" w:cs="Arial"/>
          <w:b/>
          <w:bCs/>
          <w:lang w:eastAsia="es-ES"/>
        </w:rPr>
        <w:t>SOFIA PEREZ PEDRAZA</w:t>
      </w:r>
    </w:p>
    <w:p w14:paraId="7462EADD" w14:textId="77777777" w:rsidR="009D1250" w:rsidRPr="00720339" w:rsidRDefault="009D1250" w:rsidP="009D1250">
      <w:pPr>
        <w:spacing w:after="0" w:line="240" w:lineRule="auto"/>
        <w:rPr>
          <w:rFonts w:ascii="Verdana" w:hAnsi="Verdana"/>
        </w:rPr>
      </w:pPr>
      <w:r w:rsidRPr="00720339">
        <w:rPr>
          <w:rFonts w:ascii="Verdana" w:hAnsi="Verdana"/>
        </w:rPr>
        <w:t>lperez@uapa-pae.gov.co</w:t>
      </w:r>
    </w:p>
    <w:p w14:paraId="11D91819" w14:textId="77777777" w:rsidR="009D1250" w:rsidRDefault="009D1250" w:rsidP="009D1250">
      <w:pPr>
        <w:spacing w:after="0" w:line="240" w:lineRule="auto"/>
        <w:rPr>
          <w:rFonts w:ascii="Verdana" w:eastAsia="Calibri" w:hAnsi="Verdana" w:cs="Arial"/>
          <w:color w:val="000000"/>
          <w:lang w:val="es-ES_tradnl" w:eastAsia="es-ES_tradnl"/>
        </w:rPr>
      </w:pPr>
      <w:r>
        <w:rPr>
          <w:rFonts w:ascii="Verdana" w:eastAsia="Calibri" w:hAnsi="Verdana" w:cs="Arial"/>
          <w:color w:val="000000"/>
          <w:lang w:val="es-ES_tradnl" w:eastAsia="es-ES_tradnl"/>
        </w:rPr>
        <w:t>Bogotá D.C.</w:t>
      </w:r>
    </w:p>
    <w:p w14:paraId="507E3BA4" w14:textId="77777777" w:rsidR="009D1250" w:rsidRPr="00FE3DEC" w:rsidRDefault="009D1250" w:rsidP="009D1250">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9D1250" w:rsidRPr="00593A5F" w14:paraId="31B836A0" w14:textId="77777777" w:rsidTr="00875B49">
        <w:trPr>
          <w:trHeight w:val="919"/>
        </w:trPr>
        <w:tc>
          <w:tcPr>
            <w:tcW w:w="2295" w:type="dxa"/>
          </w:tcPr>
          <w:p w14:paraId="15C2E423" w14:textId="77777777" w:rsidR="009D1250" w:rsidRPr="00E5644F" w:rsidRDefault="009D1250" w:rsidP="00875B49">
            <w:pPr>
              <w:jc w:val="both"/>
              <w:rPr>
                <w:rFonts w:ascii="Verdana" w:eastAsia="Calibri" w:hAnsi="Verdana" w:cs="Arial"/>
                <w:b/>
                <w:bCs/>
                <w:color w:val="7030A0"/>
                <w:lang w:val="es-ES_tradnl" w:eastAsia="es-ES_tradnl"/>
              </w:rPr>
            </w:pPr>
          </w:p>
        </w:tc>
        <w:tc>
          <w:tcPr>
            <w:tcW w:w="6481" w:type="dxa"/>
            <w:gridSpan w:val="2"/>
          </w:tcPr>
          <w:p w14:paraId="70B6D938" w14:textId="77777777" w:rsidR="009D1250" w:rsidRPr="00E5644F" w:rsidRDefault="009D1250" w:rsidP="00875B49">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821</w:t>
            </w:r>
            <w:r w:rsidRPr="00C4006F">
              <w:rPr>
                <w:rFonts w:ascii="Verdana" w:eastAsia="Calibri" w:hAnsi="Verdana" w:cs="Arial"/>
                <w:b/>
                <w:bCs/>
                <w:lang w:val="es-ES" w:eastAsia="es-ES"/>
              </w:rPr>
              <w:t xml:space="preserve"> de 2025</w:t>
            </w:r>
          </w:p>
        </w:tc>
      </w:tr>
      <w:tr w:rsidR="009D1250" w:rsidRPr="00A52DE7" w14:paraId="5432528F" w14:textId="77777777" w:rsidTr="00875B49">
        <w:trPr>
          <w:trHeight w:val="919"/>
        </w:trPr>
        <w:tc>
          <w:tcPr>
            <w:tcW w:w="2295" w:type="dxa"/>
          </w:tcPr>
          <w:p w14:paraId="03146694" w14:textId="77777777" w:rsidR="009D1250" w:rsidRPr="00593A5F" w:rsidRDefault="009D1250" w:rsidP="00875B49">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40AFF60F" w14:textId="77777777" w:rsidR="009D1250" w:rsidRDefault="009D1250" w:rsidP="00875B49">
            <w:pPr>
              <w:spacing w:line="276" w:lineRule="auto"/>
              <w:jc w:val="both"/>
              <w:rPr>
                <w:rFonts w:ascii="Verdana" w:eastAsia="Calibri" w:hAnsi="Verdana" w:cs="Arial"/>
                <w:lang w:val="es-MX"/>
              </w:rPr>
            </w:pPr>
            <w:r w:rsidRPr="0067284E">
              <w:rPr>
                <w:rFonts w:ascii="Verdana" w:eastAsia="Calibri" w:hAnsi="Verdana" w:cs="Arial"/>
                <w:lang w:val="es-ES" w:eastAsia="es-ES"/>
              </w:rPr>
              <w:t>CONTRATO DE PRESTACIÓN DE SERVICIOS</w:t>
            </w:r>
            <w:r>
              <w:rPr>
                <w:rFonts w:ascii="Verdana" w:eastAsia="Calibri" w:hAnsi="Verdana" w:cs="Arial"/>
                <w:lang w:val="es-ES" w:eastAsia="es-ES"/>
              </w:rPr>
              <w:t xml:space="preserve"> – Definición</w:t>
            </w:r>
            <w:r w:rsidRPr="0067284E">
              <w:rPr>
                <w:rFonts w:ascii="Verdana" w:eastAsia="Calibri" w:hAnsi="Verdana" w:cs="Arial"/>
                <w:lang w:val="es-ES" w:eastAsia="es-ES"/>
              </w:rPr>
              <w:t xml:space="preserve"> </w:t>
            </w:r>
            <w:r>
              <w:rPr>
                <w:rFonts w:ascii="Verdana" w:eastAsia="Calibri" w:hAnsi="Verdana" w:cs="Arial"/>
                <w:lang w:val="es-ES" w:eastAsia="es-ES"/>
              </w:rPr>
              <w:t xml:space="preserve">/ </w:t>
            </w:r>
            <w:r w:rsidRPr="00515AC9">
              <w:rPr>
                <w:rFonts w:ascii="Verdana" w:eastAsia="Calibri" w:hAnsi="Verdana" w:cs="Arial"/>
                <w:lang w:val="es-MX"/>
              </w:rPr>
              <w:t xml:space="preserve">REQUISITOS DE EJECUCIÓN – Diferencias entre requisitos de perfeccionamiento y ejecución – Requisitos de ejecución legales y convencionales </w:t>
            </w:r>
            <w:r>
              <w:rPr>
                <w:rFonts w:ascii="Verdana" w:eastAsia="Calibri" w:hAnsi="Verdana" w:cs="Arial"/>
                <w:lang w:val="es-MX"/>
              </w:rPr>
              <w:t xml:space="preserve">/ </w:t>
            </w:r>
            <w:r w:rsidRPr="000E1704">
              <w:rPr>
                <w:rFonts w:ascii="Verdana" w:eastAsia="Calibri" w:hAnsi="Verdana" w:cs="Arial"/>
                <w:lang w:val="es-MX"/>
              </w:rPr>
              <w:t>ACTA DE INICIO – Definición – Marco</w:t>
            </w:r>
            <w:r>
              <w:rPr>
                <w:rFonts w:ascii="Verdana" w:eastAsia="Calibri" w:hAnsi="Verdana" w:cs="Arial"/>
                <w:lang w:val="es-MX"/>
              </w:rPr>
              <w:t xml:space="preserve"> </w:t>
            </w:r>
            <w:r w:rsidRPr="000E1704">
              <w:rPr>
                <w:rFonts w:ascii="Verdana" w:eastAsia="Calibri" w:hAnsi="Verdana" w:cs="Arial"/>
                <w:lang w:val="es-MX"/>
              </w:rPr>
              <w:t>normativo</w:t>
            </w:r>
            <w:r>
              <w:rPr>
                <w:rFonts w:ascii="Verdana" w:eastAsia="Calibri" w:hAnsi="Verdana" w:cs="Arial"/>
                <w:lang w:val="es-MX"/>
              </w:rPr>
              <w:t xml:space="preserve"> / </w:t>
            </w:r>
            <w:r w:rsidRPr="0067284E">
              <w:rPr>
                <w:rFonts w:ascii="Verdana" w:eastAsia="Calibri" w:hAnsi="Verdana" w:cs="Arial"/>
                <w:lang w:val="es-ES" w:eastAsia="es-ES"/>
              </w:rPr>
              <w:t>TERMINACIÓN ANTICIPADA – Mutuo acuerdo</w:t>
            </w:r>
            <w:r>
              <w:rPr>
                <w:rFonts w:ascii="Verdana" w:eastAsia="Calibri" w:hAnsi="Verdana" w:cs="Arial"/>
                <w:lang w:val="es-ES" w:eastAsia="es-ES"/>
              </w:rPr>
              <w:t>.</w:t>
            </w:r>
          </w:p>
          <w:p w14:paraId="397F836E" w14:textId="77777777" w:rsidR="009D1250" w:rsidRDefault="009D1250" w:rsidP="00875B49">
            <w:pPr>
              <w:jc w:val="both"/>
              <w:rPr>
                <w:rFonts w:ascii="Verdana" w:eastAsia="Calibri" w:hAnsi="Verdana" w:cs="Arial"/>
                <w:lang w:eastAsia="es-ES"/>
              </w:rPr>
            </w:pPr>
          </w:p>
          <w:p w14:paraId="6BE1E59B" w14:textId="77777777" w:rsidR="009D1250" w:rsidRPr="00A52DE7" w:rsidRDefault="009D1250" w:rsidP="00875B49">
            <w:pPr>
              <w:jc w:val="both"/>
              <w:rPr>
                <w:rFonts w:ascii="Verdana" w:eastAsia="Calibri" w:hAnsi="Verdana" w:cs="Arial"/>
                <w:b/>
                <w:highlight w:val="yellow"/>
                <w:lang w:val="es-ES" w:eastAsia="es-ES"/>
              </w:rPr>
            </w:pPr>
          </w:p>
        </w:tc>
      </w:tr>
      <w:tr w:rsidR="009D1250" w:rsidRPr="00593A5F" w14:paraId="32692D6C" w14:textId="77777777" w:rsidTr="00875B49">
        <w:trPr>
          <w:trHeight w:val="545"/>
        </w:trPr>
        <w:tc>
          <w:tcPr>
            <w:tcW w:w="2295" w:type="dxa"/>
          </w:tcPr>
          <w:p w14:paraId="29961D7B" w14:textId="77777777" w:rsidR="009D1250" w:rsidRPr="006730E9" w:rsidRDefault="009D1250" w:rsidP="00875B49">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EF5AFE0" w14:textId="77777777" w:rsidR="009D1250" w:rsidRPr="006730E9" w:rsidRDefault="009D1250" w:rsidP="00875B49">
            <w:pPr>
              <w:jc w:val="both"/>
              <w:rPr>
                <w:rFonts w:ascii="Verdana" w:eastAsia="Calibri" w:hAnsi="Verdana" w:cs="Arial"/>
                <w:lang w:val="es-ES_tradnl" w:eastAsia="es-ES_tradnl"/>
              </w:rPr>
            </w:pPr>
            <w:r w:rsidRPr="007121A5">
              <w:rPr>
                <w:rFonts w:ascii="Verdana" w:eastAsia="Calibri" w:hAnsi="Verdana" w:cs="Arial"/>
                <w:lang w:val="es-ES_tradnl" w:eastAsia="es-ES_tradnl"/>
              </w:rPr>
              <w:t>Respuesta a consulta con radicado</w:t>
            </w:r>
            <w:r>
              <w:rPr>
                <w:rFonts w:ascii="Verdana" w:eastAsia="Calibri" w:hAnsi="Verdana" w:cs="Arial"/>
                <w:lang w:val="es-ES_tradnl" w:eastAsia="es-ES_tradnl"/>
              </w:rPr>
              <w:t>s</w:t>
            </w:r>
            <w:r w:rsidRPr="007121A5">
              <w:rPr>
                <w:rFonts w:ascii="Verdana" w:eastAsia="Calibri" w:hAnsi="Verdana" w:cs="Arial"/>
                <w:lang w:val="es-ES_tradnl" w:eastAsia="es-ES_tradnl"/>
              </w:rPr>
              <w:t xml:space="preserve"> No. </w:t>
            </w:r>
            <w:r w:rsidRPr="00726ECE">
              <w:rPr>
                <w:rFonts w:ascii="Verdana" w:eastAsia="Calibri" w:hAnsi="Verdana" w:cs="Arial"/>
                <w:lang w:val="es-ES_tradnl" w:eastAsia="es-ES_tradnl"/>
              </w:rPr>
              <w:t>1_2025_06_19_006196</w:t>
            </w:r>
            <w:r>
              <w:rPr>
                <w:rFonts w:ascii="Verdana" w:eastAsia="Calibri" w:hAnsi="Verdana" w:cs="Arial"/>
                <w:lang w:val="es-ES_tradnl" w:eastAsia="es-ES_tradnl"/>
              </w:rPr>
              <w:t xml:space="preserve"> y </w:t>
            </w:r>
            <w:r w:rsidRPr="00726ECE">
              <w:rPr>
                <w:rFonts w:ascii="Verdana" w:eastAsia="Calibri" w:hAnsi="Verdana" w:cs="Arial"/>
                <w:lang w:val="es-ES_tradnl" w:eastAsia="es-ES_tradnl"/>
              </w:rPr>
              <w:t>1_2025_06_20_006228</w:t>
            </w:r>
            <w:r>
              <w:rPr>
                <w:rFonts w:ascii="Verdana" w:eastAsia="Calibri" w:hAnsi="Verdana" w:cs="Arial"/>
                <w:lang w:val="es-ES_tradnl" w:eastAsia="es-ES_tradnl"/>
              </w:rPr>
              <w:t>.</w:t>
            </w:r>
          </w:p>
        </w:tc>
      </w:tr>
      <w:tr w:rsidR="009D1250" w:rsidRPr="00DB23D2" w14:paraId="0D47380D" w14:textId="77777777" w:rsidTr="00875B49">
        <w:trPr>
          <w:gridAfter w:val="1"/>
          <w:wAfter w:w="319" w:type="dxa"/>
          <w:trHeight w:val="242"/>
        </w:trPr>
        <w:tc>
          <w:tcPr>
            <w:tcW w:w="8457" w:type="dxa"/>
            <w:gridSpan w:val="2"/>
          </w:tcPr>
          <w:p w14:paraId="08004441" w14:textId="77777777" w:rsidR="009D1250" w:rsidRPr="00DB23D2" w:rsidRDefault="009D1250" w:rsidP="00875B49">
            <w:pPr>
              <w:spacing w:after="120" w:line="276" w:lineRule="auto"/>
              <w:jc w:val="both"/>
              <w:rPr>
                <w:rFonts w:ascii="Verdana" w:eastAsia="Calibri" w:hAnsi="Verdana" w:cs="Arial"/>
                <w:lang w:val="es-ES_tradnl" w:eastAsia="es-ES"/>
              </w:rPr>
            </w:pPr>
          </w:p>
        </w:tc>
      </w:tr>
    </w:tbl>
    <w:p w14:paraId="003DF450" w14:textId="77777777" w:rsidR="009D1250" w:rsidRPr="006730E9" w:rsidRDefault="009D1250" w:rsidP="009D1250">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w:t>
      </w:r>
    </w:p>
    <w:p w14:paraId="63D24D45" w14:textId="77777777" w:rsidR="009D1250" w:rsidRDefault="009D1250" w:rsidP="009D125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5EB305B" w14:textId="77777777" w:rsidR="009D1250" w:rsidRPr="006730E9" w:rsidRDefault="009D1250" w:rsidP="009D1250">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19 </w:t>
      </w:r>
      <w:r w:rsidRPr="00E5644F">
        <w:rPr>
          <w:rFonts w:ascii="Verdana" w:eastAsia="Calibri" w:hAnsi="Verdana" w:cs="Arial"/>
          <w:lang w:val="es-ES" w:eastAsia="es-ES"/>
        </w:rPr>
        <w:t xml:space="preserve">de </w:t>
      </w:r>
      <w:r>
        <w:rPr>
          <w:rFonts w:ascii="Verdana" w:eastAsia="Calibri" w:hAnsi="Verdana" w:cs="Arial"/>
          <w:lang w:val="es-ES" w:eastAsia="es-ES"/>
        </w:rPr>
        <w:t>junio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AAABE37" w14:textId="77777777" w:rsidR="009D1250" w:rsidRPr="00326382" w:rsidRDefault="009D1250" w:rsidP="009D1250">
      <w:pPr>
        <w:spacing w:after="0" w:line="240" w:lineRule="auto"/>
        <w:ind w:left="709" w:right="474"/>
        <w:jc w:val="both"/>
        <w:rPr>
          <w:rFonts w:ascii="Verdana" w:hAnsi="Verdana" w:cs="Arial"/>
          <w:sz w:val="20"/>
          <w:szCs w:val="20"/>
          <w:shd w:val="clear" w:color="auto" w:fill="FFFFFF"/>
        </w:rPr>
      </w:pPr>
      <w:bookmarkStart w:id="4" w:name="_Hlk95313578"/>
    </w:p>
    <w:bookmarkEnd w:id="4"/>
    <w:p w14:paraId="035035CD" w14:textId="77777777" w:rsidR="009D1250" w:rsidRDefault="009D1250" w:rsidP="009D1250">
      <w:pPr>
        <w:tabs>
          <w:tab w:val="left" w:pos="142"/>
          <w:tab w:val="left" w:pos="567"/>
        </w:tabs>
        <w:ind w:left="426" w:right="709"/>
        <w:jc w:val="both"/>
        <w:rPr>
          <w:rFonts w:ascii="Verdana" w:eastAsia="Century Gothic" w:hAnsi="Verdana" w:cs="Century Gothic"/>
          <w:i/>
          <w:iCs/>
          <w:sz w:val="20"/>
          <w:szCs w:val="20"/>
        </w:rPr>
      </w:pPr>
      <w:r>
        <w:rPr>
          <w:rFonts w:ascii="Verdana" w:eastAsia="Century Gothic" w:hAnsi="Verdana" w:cs="Century Gothic"/>
          <w:i/>
          <w:iCs/>
        </w:rPr>
        <w:t xml:space="preserve">  “</w:t>
      </w:r>
      <w:r w:rsidRPr="00CD7324">
        <w:rPr>
          <w:rFonts w:ascii="Verdana" w:eastAsia="Century Gothic" w:hAnsi="Verdana" w:cs="Century Gothic"/>
          <w:i/>
          <w:iCs/>
          <w:sz w:val="20"/>
          <w:szCs w:val="20"/>
        </w:rPr>
        <w:t xml:space="preserve">(…) </w:t>
      </w:r>
    </w:p>
    <w:p w14:paraId="372CA9A7" w14:textId="77777777" w:rsidR="009D1250" w:rsidRPr="00726ECE" w:rsidRDefault="009D1250" w:rsidP="009D1250">
      <w:pPr>
        <w:tabs>
          <w:tab w:val="left" w:pos="142"/>
          <w:tab w:val="left" w:pos="567"/>
        </w:tabs>
        <w:ind w:left="426" w:right="709"/>
        <w:jc w:val="both"/>
        <w:rPr>
          <w:rFonts w:ascii="Verdana" w:eastAsia="Century Gothic" w:hAnsi="Verdana" w:cs="Century Gothic"/>
          <w:i/>
          <w:iCs/>
          <w:sz w:val="20"/>
          <w:szCs w:val="20"/>
        </w:rPr>
      </w:pPr>
      <w:r w:rsidRPr="00726ECE">
        <w:rPr>
          <w:rFonts w:ascii="Verdana" w:eastAsia="Century Gothic" w:hAnsi="Verdana" w:cs="Century Gothic"/>
          <w:i/>
          <w:iCs/>
          <w:sz w:val="20"/>
          <w:szCs w:val="20"/>
        </w:rPr>
        <w:lastRenderedPageBreak/>
        <w:t>Actualmente tengo un contrato perfeccionado en el SECOP, pero no ha iniciado</w:t>
      </w:r>
      <w:r>
        <w:rPr>
          <w:rFonts w:ascii="Verdana" w:eastAsia="Century Gothic" w:hAnsi="Verdana" w:cs="Century Gothic"/>
          <w:i/>
          <w:iCs/>
          <w:sz w:val="20"/>
          <w:szCs w:val="20"/>
        </w:rPr>
        <w:t xml:space="preserve"> </w:t>
      </w:r>
      <w:r w:rsidRPr="00726ECE">
        <w:rPr>
          <w:rFonts w:ascii="Verdana" w:eastAsia="Century Gothic" w:hAnsi="Verdana" w:cs="Century Gothic"/>
          <w:i/>
          <w:iCs/>
          <w:sz w:val="20"/>
          <w:szCs w:val="20"/>
        </w:rPr>
        <w:t>ejecución (no hay acta de inicio). Debido a fuerza mayor (razones familiares con</w:t>
      </w:r>
      <w:r>
        <w:rPr>
          <w:rFonts w:ascii="Verdana" w:eastAsia="Century Gothic" w:hAnsi="Verdana" w:cs="Century Gothic"/>
          <w:i/>
          <w:iCs/>
          <w:sz w:val="20"/>
          <w:szCs w:val="20"/>
        </w:rPr>
        <w:t xml:space="preserve"> </w:t>
      </w:r>
      <w:r w:rsidRPr="00726ECE">
        <w:rPr>
          <w:rFonts w:ascii="Verdana" w:eastAsia="Century Gothic" w:hAnsi="Verdana" w:cs="Century Gothic"/>
          <w:i/>
          <w:iCs/>
          <w:sz w:val="20"/>
          <w:szCs w:val="20"/>
        </w:rPr>
        <w:t>soporte), solicité terminación BILATERAL. (Aclaro existe firma del contrato, pero no</w:t>
      </w:r>
      <w:r>
        <w:rPr>
          <w:rFonts w:ascii="Verdana" w:eastAsia="Century Gothic" w:hAnsi="Verdana" w:cs="Century Gothic"/>
          <w:i/>
          <w:iCs/>
          <w:sz w:val="20"/>
          <w:szCs w:val="20"/>
        </w:rPr>
        <w:t xml:space="preserve"> </w:t>
      </w:r>
      <w:r w:rsidRPr="00726ECE">
        <w:rPr>
          <w:rFonts w:ascii="Verdana" w:eastAsia="Century Gothic" w:hAnsi="Verdana" w:cs="Century Gothic"/>
          <w:i/>
          <w:iCs/>
          <w:sz w:val="20"/>
          <w:szCs w:val="20"/>
        </w:rPr>
        <w:t>acta de inicio y por ende de ejecución)</w:t>
      </w:r>
    </w:p>
    <w:p w14:paraId="47753DA4" w14:textId="77777777" w:rsidR="009D1250" w:rsidRPr="00726ECE" w:rsidRDefault="009D1250" w:rsidP="009D1250">
      <w:pPr>
        <w:tabs>
          <w:tab w:val="left" w:pos="142"/>
          <w:tab w:val="left" w:pos="567"/>
        </w:tabs>
        <w:ind w:left="426" w:right="709"/>
        <w:jc w:val="both"/>
        <w:rPr>
          <w:rFonts w:ascii="Verdana" w:eastAsia="Century Gothic" w:hAnsi="Verdana" w:cs="Century Gothic"/>
          <w:i/>
          <w:iCs/>
          <w:sz w:val="20"/>
          <w:szCs w:val="20"/>
        </w:rPr>
      </w:pPr>
      <w:r w:rsidRPr="00726ECE">
        <w:rPr>
          <w:rFonts w:ascii="Verdana" w:eastAsia="Century Gothic" w:hAnsi="Verdana" w:cs="Century Gothic"/>
          <w:i/>
          <w:iCs/>
          <w:sz w:val="20"/>
          <w:szCs w:val="20"/>
        </w:rPr>
        <w:t>La Entidad ahora exige:</w:t>
      </w:r>
    </w:p>
    <w:p w14:paraId="77CAA27A" w14:textId="77777777" w:rsidR="009D1250" w:rsidRPr="00726ECE" w:rsidRDefault="009D1250" w:rsidP="009D1250">
      <w:pPr>
        <w:tabs>
          <w:tab w:val="left" w:pos="142"/>
          <w:tab w:val="left" w:pos="567"/>
        </w:tabs>
        <w:ind w:left="426" w:right="709"/>
        <w:jc w:val="both"/>
        <w:rPr>
          <w:rFonts w:ascii="Verdana" w:eastAsia="Century Gothic" w:hAnsi="Verdana" w:cs="Century Gothic"/>
          <w:i/>
          <w:iCs/>
          <w:sz w:val="20"/>
          <w:szCs w:val="20"/>
        </w:rPr>
      </w:pPr>
      <w:r w:rsidRPr="00726ECE">
        <w:rPr>
          <w:rFonts w:ascii="Verdana" w:eastAsia="Century Gothic" w:hAnsi="Verdana" w:cs="Century Gothic"/>
          <w:i/>
          <w:iCs/>
          <w:sz w:val="20"/>
          <w:szCs w:val="20"/>
        </w:rPr>
        <w:t>Solicitar terminación unilateral por mi parte.</w:t>
      </w:r>
    </w:p>
    <w:p w14:paraId="33C823B9" w14:textId="77777777" w:rsidR="009D1250" w:rsidRPr="00726ECE" w:rsidRDefault="009D1250" w:rsidP="009D1250">
      <w:pPr>
        <w:tabs>
          <w:tab w:val="left" w:pos="142"/>
          <w:tab w:val="left" w:pos="567"/>
        </w:tabs>
        <w:ind w:left="426" w:right="709"/>
        <w:jc w:val="both"/>
        <w:rPr>
          <w:rFonts w:ascii="Verdana" w:eastAsia="Century Gothic" w:hAnsi="Verdana" w:cs="Century Gothic"/>
          <w:i/>
          <w:iCs/>
          <w:sz w:val="20"/>
          <w:szCs w:val="20"/>
        </w:rPr>
      </w:pPr>
      <w:r w:rsidRPr="00726ECE">
        <w:rPr>
          <w:rFonts w:ascii="Verdana" w:eastAsia="Century Gothic" w:hAnsi="Verdana" w:cs="Century Gothic"/>
          <w:i/>
          <w:iCs/>
          <w:sz w:val="20"/>
          <w:szCs w:val="20"/>
        </w:rPr>
        <w:t>Firmar acta de inicio. Alegan que esto es requisito de Colombia Compra Eficiente.</w:t>
      </w:r>
    </w:p>
    <w:p w14:paraId="200F3E5C" w14:textId="77777777" w:rsidR="009D1250" w:rsidRPr="00726ECE" w:rsidRDefault="009D1250" w:rsidP="009D1250">
      <w:pPr>
        <w:tabs>
          <w:tab w:val="left" w:pos="142"/>
          <w:tab w:val="left" w:pos="567"/>
        </w:tabs>
        <w:ind w:left="426" w:right="709"/>
        <w:jc w:val="both"/>
        <w:rPr>
          <w:rFonts w:ascii="Verdana" w:eastAsia="Century Gothic" w:hAnsi="Verdana" w:cs="Century Gothic"/>
          <w:i/>
          <w:iCs/>
          <w:sz w:val="20"/>
          <w:szCs w:val="20"/>
        </w:rPr>
      </w:pPr>
      <w:r w:rsidRPr="00726ECE">
        <w:rPr>
          <w:rFonts w:ascii="Verdana" w:eastAsia="Century Gothic" w:hAnsi="Verdana" w:cs="Century Gothic"/>
          <w:i/>
          <w:iCs/>
          <w:sz w:val="20"/>
          <w:szCs w:val="20"/>
        </w:rPr>
        <w:t>Por favor, aclaren:</w:t>
      </w:r>
    </w:p>
    <w:p w14:paraId="03D81436" w14:textId="77777777" w:rsidR="009D1250" w:rsidRPr="00726ECE" w:rsidRDefault="009D1250" w:rsidP="009D1250">
      <w:pPr>
        <w:tabs>
          <w:tab w:val="left" w:pos="142"/>
          <w:tab w:val="left" w:pos="567"/>
        </w:tabs>
        <w:ind w:left="426" w:right="709"/>
        <w:jc w:val="both"/>
        <w:rPr>
          <w:rFonts w:ascii="Verdana" w:eastAsia="Century Gothic" w:hAnsi="Verdana" w:cs="Century Gothic"/>
          <w:i/>
          <w:iCs/>
          <w:sz w:val="20"/>
          <w:szCs w:val="20"/>
        </w:rPr>
      </w:pPr>
      <w:r w:rsidRPr="00726ECE">
        <w:rPr>
          <w:rFonts w:ascii="Verdana" w:eastAsia="Century Gothic" w:hAnsi="Verdana" w:cs="Century Gothic"/>
          <w:i/>
          <w:iCs/>
          <w:sz w:val="20"/>
          <w:szCs w:val="20"/>
        </w:rPr>
        <w:t>¿Existe lineamiento de CCE que exija firmar acta de inicio para terminación</w:t>
      </w:r>
      <w:r>
        <w:rPr>
          <w:rFonts w:ascii="Verdana" w:eastAsia="Century Gothic" w:hAnsi="Verdana" w:cs="Century Gothic"/>
          <w:i/>
          <w:iCs/>
          <w:sz w:val="20"/>
          <w:szCs w:val="20"/>
        </w:rPr>
        <w:t xml:space="preserve"> </w:t>
      </w:r>
      <w:r w:rsidRPr="00726ECE">
        <w:rPr>
          <w:rFonts w:ascii="Verdana" w:eastAsia="Century Gothic" w:hAnsi="Verdana" w:cs="Century Gothic"/>
          <w:i/>
          <w:iCs/>
          <w:sz w:val="20"/>
          <w:szCs w:val="20"/>
        </w:rPr>
        <w:t>unilateral de contrato no iniciado por fuerza mayor?</w:t>
      </w:r>
    </w:p>
    <w:p w14:paraId="138C055B" w14:textId="77777777" w:rsidR="009D1250" w:rsidRDefault="009D1250" w:rsidP="009D1250">
      <w:pPr>
        <w:tabs>
          <w:tab w:val="left" w:pos="142"/>
          <w:tab w:val="left" w:pos="567"/>
        </w:tabs>
        <w:ind w:left="426" w:right="709"/>
        <w:jc w:val="both"/>
        <w:rPr>
          <w:rFonts w:ascii="Verdana" w:eastAsia="Century Gothic" w:hAnsi="Verdana" w:cs="Century Gothic"/>
          <w:i/>
          <w:iCs/>
          <w:sz w:val="20"/>
          <w:szCs w:val="20"/>
        </w:rPr>
      </w:pPr>
      <w:r w:rsidRPr="00726ECE">
        <w:rPr>
          <w:rFonts w:ascii="Verdana" w:eastAsia="Century Gothic" w:hAnsi="Verdana" w:cs="Century Gothic"/>
          <w:i/>
          <w:iCs/>
          <w:sz w:val="20"/>
          <w:szCs w:val="20"/>
        </w:rPr>
        <w:t xml:space="preserve">¿Cuál es el procedimiento adecuado para terminar un contrato </w:t>
      </w:r>
      <w:proofErr w:type="gramStart"/>
      <w:r w:rsidRPr="00726ECE">
        <w:rPr>
          <w:rFonts w:ascii="Verdana" w:eastAsia="Century Gothic" w:hAnsi="Verdana" w:cs="Century Gothic"/>
          <w:i/>
          <w:iCs/>
          <w:sz w:val="20"/>
          <w:szCs w:val="20"/>
        </w:rPr>
        <w:t>perfeccionado</w:t>
      </w:r>
      <w:proofErr w:type="gramEnd"/>
      <w:r w:rsidRPr="00726ECE">
        <w:rPr>
          <w:rFonts w:ascii="Verdana" w:eastAsia="Century Gothic" w:hAnsi="Verdana" w:cs="Century Gothic"/>
          <w:i/>
          <w:iCs/>
          <w:sz w:val="20"/>
          <w:szCs w:val="20"/>
        </w:rPr>
        <w:t xml:space="preserve"> pero</w:t>
      </w:r>
      <w:r>
        <w:rPr>
          <w:rFonts w:ascii="Verdana" w:eastAsia="Century Gothic" w:hAnsi="Verdana" w:cs="Century Gothic"/>
          <w:i/>
          <w:iCs/>
          <w:sz w:val="20"/>
          <w:szCs w:val="20"/>
        </w:rPr>
        <w:t xml:space="preserve"> </w:t>
      </w:r>
      <w:r w:rsidRPr="00726ECE">
        <w:rPr>
          <w:rFonts w:ascii="Verdana" w:eastAsia="Century Gothic" w:hAnsi="Verdana" w:cs="Century Gothic"/>
          <w:i/>
          <w:iCs/>
          <w:sz w:val="20"/>
          <w:szCs w:val="20"/>
        </w:rPr>
        <w:t>no iniciado, por fuerza mayor del contratista?</w:t>
      </w:r>
    </w:p>
    <w:p w14:paraId="7DB62E33" w14:textId="77777777" w:rsidR="009D1250" w:rsidRPr="00CD7324" w:rsidRDefault="009D1250" w:rsidP="009D1250">
      <w:pPr>
        <w:tabs>
          <w:tab w:val="left" w:pos="142"/>
          <w:tab w:val="left" w:pos="567"/>
        </w:tabs>
        <w:ind w:left="426" w:right="709"/>
        <w:jc w:val="both"/>
        <w:rPr>
          <w:rFonts w:ascii="Verdana" w:eastAsia="Century Gothic" w:hAnsi="Verdana" w:cs="Century Gothic"/>
          <w:i/>
          <w:iCs/>
          <w:sz w:val="20"/>
          <w:szCs w:val="20"/>
        </w:rPr>
      </w:pPr>
      <w:r>
        <w:rPr>
          <w:rFonts w:ascii="Verdana" w:eastAsia="Century Gothic" w:hAnsi="Verdana" w:cs="Century Gothic"/>
          <w:i/>
          <w:iCs/>
          <w:sz w:val="20"/>
          <w:szCs w:val="20"/>
        </w:rPr>
        <w:t>(</w:t>
      </w:r>
      <w:r w:rsidRPr="00CD7324">
        <w:rPr>
          <w:rFonts w:ascii="Verdana" w:eastAsia="Century Gothic" w:hAnsi="Verdana" w:cs="Century Gothic"/>
          <w:i/>
          <w:iCs/>
          <w:sz w:val="20"/>
          <w:szCs w:val="20"/>
        </w:rPr>
        <w:t>…)”</w:t>
      </w:r>
      <w:r>
        <w:rPr>
          <w:rFonts w:ascii="Verdana" w:eastAsia="Century Gothic" w:hAnsi="Verdana" w:cs="Century Gothic"/>
          <w:i/>
          <w:iCs/>
          <w:sz w:val="20"/>
          <w:szCs w:val="20"/>
        </w:rPr>
        <w:t>.</w:t>
      </w:r>
      <w:r w:rsidRPr="00CD7324">
        <w:rPr>
          <w:rFonts w:ascii="Verdana" w:eastAsia="Century Gothic" w:hAnsi="Verdana" w:cs="Century Gothic"/>
          <w:i/>
          <w:iCs/>
          <w:sz w:val="20"/>
          <w:szCs w:val="20"/>
        </w:rPr>
        <w:t xml:space="preserve"> </w:t>
      </w:r>
    </w:p>
    <w:p w14:paraId="511758EE" w14:textId="77777777" w:rsidR="009D1250" w:rsidRPr="00AA3B9F" w:rsidRDefault="009D1250" w:rsidP="009D1250">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07BB8CCA" w14:textId="77777777" w:rsidR="009D1250" w:rsidRPr="00AA3B9F" w:rsidRDefault="009D1250" w:rsidP="009D1250">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4114CB31" w14:textId="77777777" w:rsidR="009D1250" w:rsidRDefault="009D1250" w:rsidP="009D1250">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55C3FE47" w14:textId="77777777" w:rsidR="009D1250" w:rsidRDefault="009D1250" w:rsidP="009D125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FEBDB6" w14:textId="77777777" w:rsidR="009D1250" w:rsidRDefault="009D1250" w:rsidP="009D1250">
      <w:pPr>
        <w:pStyle w:val="Prrafodelista"/>
        <w:tabs>
          <w:tab w:val="left" w:pos="142"/>
          <w:tab w:val="left" w:pos="284"/>
        </w:tabs>
        <w:spacing w:after="0" w:line="276" w:lineRule="auto"/>
        <w:ind w:left="0"/>
        <w:jc w:val="both"/>
        <w:rPr>
          <w:rFonts w:ascii="Verdana" w:eastAsia="Century Gothic" w:hAnsi="Verdana" w:cs="Century Gothic"/>
          <w:b/>
          <w:bCs/>
        </w:rPr>
      </w:pPr>
    </w:p>
    <w:p w14:paraId="79C0D9BD" w14:textId="47FA93DA" w:rsidR="009D1250" w:rsidRPr="00D375FA" w:rsidRDefault="009D1250" w:rsidP="009D1250">
      <w:pPr>
        <w:pStyle w:val="Prrafodelista"/>
        <w:tabs>
          <w:tab w:val="left" w:pos="142"/>
          <w:tab w:val="left" w:pos="284"/>
        </w:tabs>
        <w:spacing w:after="0" w:line="276" w:lineRule="auto"/>
        <w:ind w:left="0"/>
        <w:jc w:val="both"/>
        <w:rPr>
          <w:rFonts w:ascii="Verdana" w:eastAsia="Calibri" w:hAnsi="Verdana" w:cs="Arial"/>
          <w:color w:val="000000" w:themeColor="text1"/>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5" w:name="_Hlk196737317"/>
      <w:r w:rsidRPr="00311ADC">
        <w:rPr>
          <w:rFonts w:asciiTheme="minorHAnsi" w:hAnsiTheme="minorHAnsi"/>
          <w:lang w:val="es-CO"/>
        </w:rPr>
        <w:t xml:space="preserve"> </w:t>
      </w:r>
      <w:r w:rsidRPr="7ADE4504">
        <w:rPr>
          <w:rFonts w:ascii="Verdana" w:eastAsia="Calibri" w:hAnsi="Verdana" w:cs="Arial"/>
          <w:color w:val="000000" w:themeColor="text1"/>
          <w:lang w:eastAsia="es-ES"/>
        </w:rPr>
        <w:t>¿</w:t>
      </w:r>
      <w:r w:rsidRPr="00D375FA">
        <w:rPr>
          <w:rFonts w:ascii="Verdana" w:eastAsia="Calibri" w:hAnsi="Verdana" w:cs="Arial"/>
          <w:color w:val="000000" w:themeColor="text1"/>
          <w:lang w:eastAsia="es-ES"/>
        </w:rPr>
        <w:t xml:space="preserve">Es jurídicamente exigible la firma del acta de inicio como </w:t>
      </w:r>
      <w:r w:rsidRPr="00D375FA">
        <w:rPr>
          <w:rFonts w:ascii="Verdana" w:eastAsia="Calibri" w:hAnsi="Verdana" w:cs="Arial"/>
          <w:color w:val="000000" w:themeColor="text1"/>
          <w:lang w:eastAsia="es-ES"/>
        </w:rPr>
        <w:lastRenderedPageBreak/>
        <w:t xml:space="preserve">requisito previo para que un contratista solicite o tramite la terminación </w:t>
      </w:r>
      <w:r w:rsidR="0E4BC7AC" w:rsidRPr="3ECB06F2">
        <w:rPr>
          <w:rFonts w:ascii="Verdana" w:eastAsia="Calibri" w:hAnsi="Verdana" w:cs="Arial"/>
          <w:color w:val="000000" w:themeColor="text1"/>
          <w:lang w:eastAsia="es-ES"/>
        </w:rPr>
        <w:t>anticipada</w:t>
      </w:r>
      <w:r w:rsidRPr="3ECB06F2">
        <w:rPr>
          <w:rFonts w:ascii="Verdana" w:eastAsia="Calibri" w:hAnsi="Verdana" w:cs="Arial"/>
          <w:color w:val="000000" w:themeColor="text1"/>
          <w:lang w:eastAsia="es-ES"/>
        </w:rPr>
        <w:t xml:space="preserve"> </w:t>
      </w:r>
      <w:r w:rsidRPr="00D375FA">
        <w:rPr>
          <w:rFonts w:ascii="Verdana" w:eastAsia="Calibri" w:hAnsi="Verdana" w:cs="Arial"/>
          <w:color w:val="000000" w:themeColor="text1"/>
          <w:lang w:eastAsia="es-ES"/>
        </w:rPr>
        <w:t>de un contrato estatal perfeccionado, pero no ejecutado</w:t>
      </w:r>
      <w:r w:rsidRPr="00D90350">
        <w:rPr>
          <w:rFonts w:ascii="Verdana" w:eastAsia="Calibri" w:hAnsi="Verdana" w:cs="Arial"/>
          <w:color w:val="000000" w:themeColor="text1"/>
          <w:lang w:eastAsia="es-ES"/>
        </w:rPr>
        <w:t>?</w:t>
      </w:r>
    </w:p>
    <w:p w14:paraId="766E13B4" w14:textId="77777777" w:rsidR="009D1250" w:rsidRDefault="009D1250" w:rsidP="009D1250">
      <w:pPr>
        <w:pStyle w:val="Prrafodelista"/>
        <w:tabs>
          <w:tab w:val="left" w:pos="142"/>
          <w:tab w:val="left" w:pos="284"/>
        </w:tabs>
        <w:spacing w:after="0" w:line="276" w:lineRule="auto"/>
        <w:ind w:left="0"/>
        <w:jc w:val="both"/>
        <w:rPr>
          <w:rFonts w:ascii="Verdana" w:eastAsia="Century Gothic" w:hAnsi="Verdana" w:cs="Century Gothic"/>
        </w:rPr>
      </w:pPr>
    </w:p>
    <w:bookmarkEnd w:id="5"/>
    <w:p w14:paraId="77F6DDE4" w14:textId="77777777" w:rsidR="009D1250" w:rsidRDefault="009D1250" w:rsidP="009D125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4AB7D9F" w14:textId="77777777" w:rsidR="009D1250" w:rsidRPr="00593A5F" w:rsidRDefault="009D1250" w:rsidP="009D125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D1250" w:rsidRPr="00593A5F" w14:paraId="2355DF3C" w14:textId="77777777" w:rsidTr="00875B49">
        <w:tc>
          <w:tcPr>
            <w:tcW w:w="8828" w:type="dxa"/>
          </w:tcPr>
          <w:p w14:paraId="51FF1819" w14:textId="3FE98832" w:rsidR="009D1250" w:rsidRPr="009C5F2C" w:rsidRDefault="009D1250" w:rsidP="00875B49">
            <w:pPr>
              <w:spacing w:after="120" w:line="276" w:lineRule="auto"/>
              <w:jc w:val="both"/>
              <w:rPr>
                <w:rFonts w:ascii="Verdana" w:eastAsia="Calibri" w:hAnsi="Verdana" w:cs="Arial"/>
                <w:lang w:val="es-ES" w:eastAsia="es-ES"/>
              </w:rPr>
            </w:pPr>
            <w:r>
              <w:rPr>
                <w:rFonts w:ascii="Verdana" w:eastAsia="Calibri" w:hAnsi="Verdana" w:cs="Arial"/>
                <w:lang w:val="es-MX"/>
              </w:rPr>
              <w:t xml:space="preserve">        </w:t>
            </w:r>
            <w:r w:rsidRPr="3ECB06F2">
              <w:rPr>
                <w:rFonts w:ascii="Verdana" w:eastAsia="Calibri" w:hAnsi="Verdana" w:cs="Arial"/>
                <w:lang w:val="es-ES" w:eastAsia="es-ES"/>
              </w:rPr>
              <w:t xml:space="preserve">En cuanto al problema jurídico objeto de consulta, se indica que </w:t>
            </w:r>
            <w:r w:rsidR="58F112AF" w:rsidRPr="3ECB06F2">
              <w:rPr>
                <w:rFonts w:ascii="Verdana" w:eastAsia="Calibri" w:hAnsi="Verdana" w:cs="Arial"/>
                <w:lang w:val="es-ES" w:eastAsia="es-ES"/>
              </w:rPr>
              <w:t>e</w:t>
            </w:r>
            <w:r w:rsidRPr="000E1704">
              <w:rPr>
                <w:rFonts w:ascii="Verdana" w:eastAsia="Calibri" w:hAnsi="Verdana" w:cs="Arial"/>
                <w:lang w:val="es-ES" w:eastAsia="es-ES"/>
              </w:rPr>
              <w:t xml:space="preserve">l </w:t>
            </w:r>
            <w:r w:rsidRPr="00CD7324">
              <w:rPr>
                <w:rFonts w:ascii="Verdana" w:eastAsia="Calibri" w:hAnsi="Verdana" w:cs="Arial"/>
                <w:i/>
                <w:iCs/>
                <w:lang w:val="es-ES" w:eastAsia="es-ES"/>
              </w:rPr>
              <w:t>acta de inicio</w:t>
            </w:r>
            <w:r w:rsidRPr="000E1704">
              <w:rPr>
                <w:rFonts w:ascii="Verdana" w:eastAsia="Calibri" w:hAnsi="Verdana" w:cs="Arial"/>
                <w:lang w:val="es-ES" w:eastAsia="es-ES"/>
              </w:rPr>
              <w:t xml:space="preserve"> constituye un requisito de ejecución convencional, que se pacta en la minuta del contrato. </w:t>
            </w:r>
            <w:r>
              <w:rPr>
                <w:rFonts w:ascii="Verdana" w:eastAsia="Calibri" w:hAnsi="Verdana" w:cs="Arial"/>
                <w:lang w:val="es-ES" w:eastAsia="es-ES"/>
              </w:rPr>
              <w:t xml:space="preserve">En consecuencia, </w:t>
            </w:r>
            <w:r w:rsidRPr="3ECB06F2">
              <w:rPr>
                <w:rFonts w:ascii="Verdana" w:eastAsia="Calibri" w:hAnsi="Verdana" w:cs="Arial"/>
                <w:lang w:val="es-ES" w:eastAsia="en-GB"/>
              </w:rPr>
              <w:t>se torna de obligatorio cumplimiento en la medida en que se encuentre pactado en el contrato y en los estudios previos.</w:t>
            </w:r>
          </w:p>
          <w:p w14:paraId="424C6108" w14:textId="77777777" w:rsidR="009D1250" w:rsidRPr="000E1704" w:rsidRDefault="009D1250" w:rsidP="00875B49">
            <w:pPr>
              <w:spacing w:after="120" w:line="276" w:lineRule="auto"/>
              <w:ind w:firstLine="709"/>
              <w:jc w:val="both"/>
              <w:rPr>
                <w:rFonts w:ascii="Verdana" w:eastAsia="Calibri" w:hAnsi="Verdana" w:cs="Arial"/>
                <w:lang w:val="es-ES" w:eastAsia="es-ES"/>
              </w:rPr>
            </w:pPr>
            <w:r w:rsidRPr="009C5F2C">
              <w:rPr>
                <w:rFonts w:ascii="Verdana" w:eastAsia="Calibri" w:hAnsi="Verdana" w:cs="Arial"/>
                <w:lang w:val="es-ES" w:eastAsia="es-ES"/>
              </w:rPr>
              <w:t>En</w:t>
            </w:r>
            <w:r w:rsidRPr="000E1704">
              <w:rPr>
                <w:rFonts w:ascii="Verdana" w:eastAsia="Calibri" w:hAnsi="Verdana" w:cs="Arial"/>
                <w:lang w:val="es-ES" w:eastAsia="es-ES"/>
              </w:rPr>
              <w:t xml:space="preserve"> el lenguaje de la contratación estatal, el </w:t>
            </w:r>
            <w:r w:rsidRPr="00CD7324">
              <w:rPr>
                <w:rFonts w:ascii="Verdana" w:eastAsia="Calibri" w:hAnsi="Verdana" w:cs="Arial"/>
                <w:i/>
                <w:iCs/>
                <w:lang w:val="es-ES" w:eastAsia="es-ES"/>
              </w:rPr>
              <w:t>acta de inicio</w:t>
            </w:r>
            <w:r w:rsidRPr="000E1704">
              <w:rPr>
                <w:rFonts w:ascii="Verdana" w:eastAsia="Calibri" w:hAnsi="Verdana" w:cs="Arial"/>
                <w:lang w:val="es-ES" w:eastAsia="es-ES"/>
              </w:rPr>
              <w:t xml:space="preserve"> es un documento en el que se fija la fecha en la que comienza el cómputo del plazo</w:t>
            </w:r>
            <w:r>
              <w:rPr>
                <w:rFonts w:ascii="Verdana" w:eastAsia="Calibri" w:hAnsi="Verdana" w:cs="Arial"/>
                <w:lang w:val="es-ES" w:eastAsia="es-ES"/>
              </w:rPr>
              <w:t xml:space="preserve"> </w:t>
            </w:r>
            <w:r w:rsidRPr="000E1704">
              <w:rPr>
                <w:rFonts w:ascii="Verdana" w:eastAsia="Calibri" w:hAnsi="Verdana" w:cs="Arial"/>
                <w:lang w:val="es-ES" w:eastAsia="es-ES"/>
              </w:rPr>
              <w:t>del contrato, una vez cumplidos los requisitos legales para el inicio de la ejecución del contrato. Es por ello, que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w:t>
            </w:r>
          </w:p>
          <w:p w14:paraId="0733439B" w14:textId="77777777" w:rsidR="009D1250" w:rsidRDefault="009D1250" w:rsidP="00875B49">
            <w:pPr>
              <w:spacing w:after="120" w:line="276" w:lineRule="auto"/>
              <w:ind w:firstLine="709"/>
              <w:jc w:val="both"/>
              <w:rPr>
                <w:rFonts w:ascii="Verdana" w:eastAsia="Calibri" w:hAnsi="Verdana" w:cs="Arial"/>
                <w:lang w:val="es-ES" w:eastAsia="es-ES"/>
              </w:rPr>
            </w:pPr>
            <w:r w:rsidRPr="000E1704">
              <w:rPr>
                <w:rFonts w:ascii="Verdana" w:eastAsia="Calibri" w:hAnsi="Verdana" w:cs="Arial"/>
                <w:lang w:val="es-ES" w:eastAsia="es-ES"/>
              </w:rPr>
              <w:t xml:space="preserve">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 </w:t>
            </w:r>
          </w:p>
          <w:p w14:paraId="7F49004D" w14:textId="4C02415B" w:rsidR="004D131E" w:rsidRDefault="004D131E" w:rsidP="00875B49">
            <w:pPr>
              <w:spacing w:after="120" w:line="276" w:lineRule="auto"/>
              <w:ind w:firstLine="709"/>
              <w:jc w:val="both"/>
              <w:rPr>
                <w:rFonts w:ascii="Verdana" w:eastAsia="Calibri" w:hAnsi="Verdana" w:cs="Arial"/>
              </w:rPr>
            </w:pPr>
            <w:r w:rsidRPr="004D131E">
              <w:rPr>
                <w:rFonts w:ascii="Verdana" w:eastAsia="Calibri" w:hAnsi="Verdana" w:cs="Arial"/>
              </w:rPr>
              <w:t>Ahora bien, por otra parte, un contratista de prestación de servicios tiene a su disposición solicitar la terminación anticipada del contrato en caso de que no sea su voluntad continuar con la ejecución del mismo. De cualquier modo, es claro que cualquier mecanismo debe estar precedido del acuerdo o autorización con la Entidad Estatal contratante, esto sin perjuicio de los demás mecanismos que las partes estimen procedentes en el marco de la autonomía de la voluntad. No obstante, es importante advertir que, si la solicitud de terminación anticipada obedece únicamente a la simple voluntad del contratista de no ejecutar el contrato, ello puede representar un grave riesgo, especialmente en contratos de obra ya adjudicados. Por ello, se deben revisar cuidadosamente las pólizas de seriedad de la oferta, cumplimiento y demás garantías, a fin de evitar vacíos que permitan una desvinculación unilateral sin consecuencias.</w:t>
            </w:r>
          </w:p>
          <w:p w14:paraId="487E8BCE" w14:textId="4EF0842D" w:rsidR="009D1250" w:rsidRPr="00D375FA" w:rsidRDefault="009D1250" w:rsidP="00875B49">
            <w:pPr>
              <w:spacing w:after="120" w:line="276" w:lineRule="auto"/>
              <w:jc w:val="both"/>
              <w:rPr>
                <w:rFonts w:ascii="Verdana" w:eastAsia="Calibri" w:hAnsi="Verdana" w:cs="Arial"/>
              </w:rPr>
            </w:pPr>
            <w:r>
              <w:rPr>
                <w:rFonts w:ascii="Verdana" w:eastAsia="Calibri" w:hAnsi="Verdana" w:cs="Arial"/>
              </w:rPr>
              <w:lastRenderedPageBreak/>
              <w:t xml:space="preserve">         Así las cosas</w:t>
            </w:r>
            <w:r w:rsidRPr="00D375FA">
              <w:rPr>
                <w:rFonts w:ascii="Verdana" w:eastAsia="Calibri" w:hAnsi="Verdana" w:cs="Arial"/>
              </w:rPr>
              <w:t xml:space="preserve">, corresponderá a la entidad estatal, con base en lo establecido en el contrato y en los estudios previos, evaluar si existe una disposición específica que condicione la viabilidad de la terminación </w:t>
            </w:r>
            <w:r w:rsidR="004D131E">
              <w:rPr>
                <w:rFonts w:ascii="Verdana" w:eastAsia="Calibri" w:hAnsi="Verdana" w:cs="Arial"/>
              </w:rPr>
              <w:t xml:space="preserve">anticipada del contrato </w:t>
            </w:r>
            <w:r w:rsidRPr="00D375FA">
              <w:rPr>
                <w:rFonts w:ascii="Verdana" w:eastAsia="Calibri" w:hAnsi="Verdana" w:cs="Arial"/>
              </w:rPr>
              <w:t>a la suscripción del acta de inicio. En ese sentido, deberá revisarse el clausulado contractual, en particular las disposiciones sobre ejecución, causa</w:t>
            </w:r>
            <w:r w:rsidR="004D131E">
              <w:rPr>
                <w:rFonts w:ascii="Verdana" w:eastAsia="Calibri" w:hAnsi="Verdana" w:cs="Arial"/>
              </w:rPr>
              <w:t>les</w:t>
            </w:r>
            <w:r w:rsidRPr="00D375FA">
              <w:rPr>
                <w:rFonts w:ascii="Verdana" w:eastAsia="Calibri" w:hAnsi="Verdana" w:cs="Arial"/>
              </w:rPr>
              <w:t xml:space="preserve"> de terminación y condiciones para la </w:t>
            </w:r>
            <w:r w:rsidR="004D131E">
              <w:rPr>
                <w:rFonts w:ascii="Verdana" w:eastAsia="Calibri" w:hAnsi="Verdana" w:cs="Arial"/>
              </w:rPr>
              <w:t>misma.</w:t>
            </w:r>
          </w:p>
          <w:p w14:paraId="39C633B4" w14:textId="77777777" w:rsidR="009D1250" w:rsidRPr="00D375FA" w:rsidRDefault="009D1250" w:rsidP="00875B49">
            <w:pPr>
              <w:spacing w:after="120" w:line="276" w:lineRule="auto"/>
              <w:jc w:val="both"/>
              <w:rPr>
                <w:rFonts w:ascii="Verdana" w:eastAsia="Calibri" w:hAnsi="Verdana" w:cs="Arial"/>
              </w:rPr>
            </w:pPr>
            <w:r>
              <w:rPr>
                <w:rFonts w:ascii="Verdana" w:eastAsia="Calibri" w:hAnsi="Verdana" w:cs="Arial"/>
              </w:rPr>
              <w:t xml:space="preserve">        </w:t>
            </w:r>
            <w:r w:rsidRPr="00D375FA">
              <w:rPr>
                <w:rFonts w:ascii="Verdana" w:eastAsia="Calibri" w:hAnsi="Verdana" w:cs="Arial"/>
              </w:rPr>
              <w:t>Asimismo, resulta indispensable acudir al Manual de Contratación de la entidad contratante, en tanto este documento establece los procedimientos internos y directrices que rigen la gestión contractua</w:t>
            </w:r>
            <w:r>
              <w:rPr>
                <w:rFonts w:ascii="Verdana" w:eastAsia="Calibri" w:hAnsi="Verdana" w:cs="Arial"/>
              </w:rPr>
              <w:t>l</w:t>
            </w:r>
            <w:r w:rsidRPr="00D375FA">
              <w:rPr>
                <w:rFonts w:ascii="Verdana" w:eastAsia="Calibri" w:hAnsi="Verdana" w:cs="Arial"/>
              </w:rPr>
              <w:t>. El manual puede contener instrucciones adicionales sobre la suscripción del acta de inicio, causales de terminación</w:t>
            </w:r>
            <w:r>
              <w:rPr>
                <w:rFonts w:ascii="Verdana" w:eastAsia="Calibri" w:hAnsi="Verdana" w:cs="Arial"/>
              </w:rPr>
              <w:t xml:space="preserve"> y </w:t>
            </w:r>
            <w:r w:rsidRPr="00D375FA">
              <w:rPr>
                <w:rFonts w:ascii="Verdana" w:eastAsia="Calibri" w:hAnsi="Verdana" w:cs="Arial"/>
              </w:rPr>
              <w:t>requisitos de formalización</w:t>
            </w:r>
            <w:r>
              <w:rPr>
                <w:rFonts w:ascii="Verdana" w:eastAsia="Calibri" w:hAnsi="Verdana" w:cs="Arial"/>
              </w:rPr>
              <w:t>.</w:t>
            </w:r>
          </w:p>
          <w:p w14:paraId="03BA6061" w14:textId="77777777" w:rsidR="009D1250" w:rsidRDefault="009D1250" w:rsidP="00875B49">
            <w:pPr>
              <w:spacing w:after="120" w:line="276" w:lineRule="auto"/>
              <w:jc w:val="both"/>
            </w:pPr>
            <w:r>
              <w:rPr>
                <w:rFonts w:ascii="Verdana" w:eastAsia="Calibri" w:hAnsi="Verdana" w:cs="Arial"/>
              </w:rPr>
              <w:t xml:space="preserve">         </w:t>
            </w:r>
            <w:r>
              <w:rPr>
                <w:rFonts w:ascii="Verdana" w:eastAsia="Batang" w:hAnsi="Verdana" w:cs="Arial"/>
              </w:rPr>
              <w:t xml:space="preserve">Finalmente, </w:t>
            </w:r>
            <w:r w:rsidRPr="00DB4737">
              <w:rPr>
                <w:rFonts w:ascii="Verdana" w:eastAsia="Calibri" w:hAnsi="Verdana" w:cs="Times New Roman"/>
                <w:lang w:val="es-ES"/>
              </w:rPr>
              <w:t xml:space="preserve">debe advertirse que el análisis en torno </w:t>
            </w:r>
            <w:r>
              <w:rPr>
                <w:rFonts w:ascii="Verdana" w:eastAsia="Calibri" w:hAnsi="Verdana" w:cs="Times New Roman"/>
                <w:lang w:val="es-ES"/>
              </w:rPr>
              <w:t>a una situación particular en el marco de la ejecución de un contrato estatal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20101081" w14:textId="77777777" w:rsidR="009D1250" w:rsidRPr="00C93421" w:rsidRDefault="009D1250" w:rsidP="00875B49">
            <w:pPr>
              <w:spacing w:before="120" w:line="276" w:lineRule="auto"/>
              <w:ind w:firstLine="360"/>
              <w:jc w:val="both"/>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9D1250" w:rsidRPr="00593A5F" w14:paraId="322AB220" w14:textId="77777777" w:rsidTr="00875B49">
        <w:tc>
          <w:tcPr>
            <w:tcW w:w="8828" w:type="dxa"/>
          </w:tcPr>
          <w:p w14:paraId="3061C761" w14:textId="77777777" w:rsidR="009D1250" w:rsidRPr="002973E9" w:rsidRDefault="009D1250" w:rsidP="00875B49">
            <w:pPr>
              <w:spacing w:line="276" w:lineRule="auto"/>
              <w:jc w:val="both"/>
              <w:rPr>
                <w:rFonts w:ascii="Verdana" w:eastAsia="Calibri" w:hAnsi="Verdana" w:cs="Arial"/>
                <w:lang w:val="es-ES"/>
              </w:rPr>
            </w:pPr>
          </w:p>
        </w:tc>
      </w:tr>
    </w:tbl>
    <w:p w14:paraId="2B003FF5" w14:textId="77777777" w:rsidR="009D1250" w:rsidRDefault="009D1250" w:rsidP="009D1250">
      <w:pPr>
        <w:tabs>
          <w:tab w:val="left" w:pos="142"/>
          <w:tab w:val="left" w:pos="284"/>
        </w:tabs>
        <w:spacing w:after="0" w:line="276" w:lineRule="auto"/>
        <w:jc w:val="both"/>
        <w:rPr>
          <w:rFonts w:ascii="Verdana" w:eastAsia="Century Gothic" w:hAnsi="Verdana" w:cs="Century Gothic"/>
          <w:b/>
          <w:bCs/>
          <w:lang w:val="es-ES"/>
        </w:rPr>
      </w:pPr>
    </w:p>
    <w:p w14:paraId="43A254AC" w14:textId="77777777" w:rsidR="009D1250" w:rsidRPr="00593A5F" w:rsidRDefault="009D1250" w:rsidP="009D125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5972CF1" w14:textId="77777777" w:rsidR="009D1250" w:rsidRDefault="009D1250" w:rsidP="009D1250">
      <w:pPr>
        <w:spacing w:after="0" w:line="276" w:lineRule="auto"/>
        <w:ind w:firstLine="708"/>
        <w:jc w:val="both"/>
        <w:rPr>
          <w:rFonts w:ascii="Verdana" w:eastAsia="Calibri" w:hAnsi="Verdana" w:cs="Arial"/>
          <w:color w:val="000000" w:themeColor="text1"/>
        </w:rPr>
      </w:pPr>
    </w:p>
    <w:p w14:paraId="53A3E6F3" w14:textId="77777777" w:rsidR="009D1250" w:rsidRPr="00515AC9" w:rsidRDefault="009D1250" w:rsidP="009D1250">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El Estatuto General de Contratación de la Administración Pública – en adelante EGCAP – prevé dos tipos de exigencias en relación con los contratos estatales: (i) las relacionadas con el perfeccionamiento y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xml:space="preserve">) las que tienen que ver con la ejecución. Si bien ambas se complementan y marcan el origen de la fase contractual –o de ejecución–, es importante distinguirlas, ya que las consecuencias jurídicas que generan son diferentes. </w:t>
      </w:r>
    </w:p>
    <w:p w14:paraId="51DFEA78" w14:textId="78C7052A" w:rsidR="009D1250" w:rsidRDefault="009D1250" w:rsidP="009D1250">
      <w:pPr>
        <w:spacing w:after="120" w:line="276" w:lineRule="auto"/>
        <w:ind w:firstLine="709"/>
        <w:jc w:val="both"/>
        <w:rPr>
          <w:rFonts w:ascii="Verdana" w:eastAsia="Calibri" w:hAnsi="Verdana" w:cs="Arial"/>
          <w:lang w:val="es-ES"/>
        </w:rPr>
      </w:pPr>
      <w:r w:rsidRPr="3ECB06F2">
        <w:rPr>
          <w:rFonts w:ascii="Verdana" w:eastAsia="Calibri" w:hAnsi="Verdana" w:cs="Arial"/>
          <w:lang w:val="es-ES"/>
        </w:rPr>
        <w:lastRenderedPageBreak/>
        <w:t xml:space="preserve">Los </w:t>
      </w:r>
      <w:r w:rsidRPr="3ECB06F2">
        <w:rPr>
          <w:rFonts w:ascii="Verdana" w:eastAsia="Calibri" w:hAnsi="Verdana" w:cs="Arial"/>
          <w:i/>
          <w:lang w:val="es-ES"/>
        </w:rPr>
        <w:t>requisitos de perfeccionamiento</w:t>
      </w:r>
      <w:r w:rsidRPr="3ECB06F2">
        <w:rPr>
          <w:rFonts w:ascii="Verdana" w:eastAsia="Calibri" w:hAnsi="Verdana" w:cs="Arial"/>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1632D08B" w14:textId="77777777" w:rsidR="009D1250" w:rsidRPr="00515AC9" w:rsidRDefault="009D1250" w:rsidP="009D1250">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Los de la </w:t>
      </w:r>
      <w:r w:rsidRPr="00515AC9">
        <w:rPr>
          <w:rFonts w:ascii="Verdana" w:eastAsia="Calibri" w:hAnsi="Verdana" w:cs="Arial"/>
          <w:i/>
          <w:iCs/>
          <w:lang w:val="es-ES_tradnl"/>
        </w:rPr>
        <w:t>esencia</w:t>
      </w:r>
      <w:r w:rsidRPr="00515AC9">
        <w:rPr>
          <w:rFonts w:ascii="Verdana" w:eastAsia="Calibri" w:hAnsi="Verdana" w:cs="Arial"/>
          <w:lang w:val="es-ES_tradnl"/>
        </w:rPr>
        <w:t xml:space="preserve"> son aquellos que, al cumplirse, marcan la existencia del contrato y le otorgan su identidad o tipología, permitiendo que no se confunda con otro contrato. Los de la </w:t>
      </w:r>
      <w:r w:rsidRPr="00515AC9">
        <w:rPr>
          <w:rFonts w:ascii="Verdana" w:eastAsia="Calibri" w:hAnsi="Verdana" w:cs="Arial"/>
          <w:i/>
          <w:iCs/>
          <w:lang w:val="es-ES_tradnl"/>
        </w:rPr>
        <w:t>naturaleza</w:t>
      </w:r>
      <w:r w:rsidRPr="00515AC9">
        <w:rPr>
          <w:rFonts w:ascii="Verdana" w:eastAsia="Calibri" w:hAnsi="Verdana" w:cs="Arial"/>
          <w:lang w:val="es-ES_tradnl"/>
        </w:rPr>
        <w:t xml:space="preserve"> son aquellos que, no siendo esenciales al contrato, se entienden incorporados por ministerio de la ley, aun ante el silencio de las partes. Y los </w:t>
      </w:r>
      <w:r w:rsidRPr="00515AC9">
        <w:rPr>
          <w:rFonts w:ascii="Verdana" w:eastAsia="Calibri" w:hAnsi="Verdana" w:cs="Arial"/>
          <w:i/>
          <w:iCs/>
          <w:lang w:val="es-ES_tradnl"/>
        </w:rPr>
        <w:t>accidentales</w:t>
      </w:r>
      <w:r w:rsidRPr="00515AC9">
        <w:rPr>
          <w:rFonts w:ascii="Verdana" w:eastAsia="Calibri" w:hAnsi="Verdana" w:cs="Arial"/>
          <w:lang w:val="es-ES_tradnl"/>
        </w:rPr>
        <w:t xml:space="preserve"> son los que las partes agregan en ejercicio de su autonomía de la voluntad, ya que no son ni esenciales, ni de la naturaleza del contrato</w:t>
      </w:r>
      <w:r w:rsidRPr="00515AC9">
        <w:rPr>
          <w:rStyle w:val="Refdenotaalpie"/>
          <w:rFonts w:ascii="Verdana" w:hAnsi="Verdana" w:cs="Arial"/>
        </w:rPr>
        <w:footnoteReference w:id="1"/>
      </w:r>
      <w:r w:rsidRPr="00515AC9">
        <w:rPr>
          <w:rFonts w:ascii="Verdana" w:eastAsia="Calibri" w:hAnsi="Verdana" w:cs="Arial"/>
          <w:lang w:val="es-ES_tradnl"/>
        </w:rPr>
        <w:t>. Los requisitos de perfeccionamiento del contrato estatal ingresan dentro de los elementos de la esencia.</w:t>
      </w:r>
    </w:p>
    <w:p w14:paraId="36771AE5" w14:textId="77777777" w:rsidR="009D1250" w:rsidRPr="00515AC9" w:rsidRDefault="009D1250" w:rsidP="009D1250">
      <w:pPr>
        <w:spacing w:after="120" w:line="276" w:lineRule="auto"/>
        <w:ind w:firstLine="709"/>
        <w:jc w:val="both"/>
        <w:rPr>
          <w:rFonts w:ascii="Verdana" w:eastAsia="Calibri" w:hAnsi="Verdana" w:cs="Arial"/>
          <w:lang w:val="es-ES"/>
        </w:rPr>
      </w:pPr>
      <w:r w:rsidRPr="3ECB06F2">
        <w:rPr>
          <w:rFonts w:ascii="Verdana" w:eastAsia="Calibri" w:hAnsi="Verdana" w:cs="Arial"/>
          <w:lang w:val="es-ES"/>
        </w:rPr>
        <w:t xml:space="preserve">Además, los contratos –en términos generales– pueden ser: consensuales, reales o solemnes. Son </w:t>
      </w:r>
      <w:r w:rsidRPr="3ECB06F2">
        <w:rPr>
          <w:rFonts w:ascii="Verdana" w:eastAsia="Calibri" w:hAnsi="Verdana" w:cs="Arial"/>
          <w:i/>
          <w:lang w:val="es-ES"/>
        </w:rPr>
        <w:t>consensuales</w:t>
      </w:r>
      <w:r w:rsidRPr="3ECB06F2">
        <w:rPr>
          <w:rFonts w:ascii="Verdana" w:eastAsia="Calibri" w:hAnsi="Verdana" w:cs="Arial"/>
          <w:lang w:val="es-ES"/>
        </w:rPr>
        <w:t xml:space="preserve"> los que se perfeccionan con el consentimiento informal, pues no requieren de formalidades especiales. Son </w:t>
      </w:r>
      <w:r w:rsidRPr="3ECB06F2">
        <w:rPr>
          <w:rFonts w:ascii="Verdana" w:eastAsia="Calibri" w:hAnsi="Verdana" w:cs="Arial"/>
          <w:i/>
          <w:lang w:val="es-ES"/>
        </w:rPr>
        <w:t>reales</w:t>
      </w:r>
      <w:r w:rsidRPr="3ECB06F2">
        <w:rPr>
          <w:rFonts w:ascii="Verdana" w:eastAsia="Calibri" w:hAnsi="Verdana" w:cs="Arial"/>
          <w:lang w:val="es-ES"/>
        </w:rPr>
        <w:t xml:space="preserve"> aquellos que existen solo con la tradición o entrega de una cosa. Por su parte, son </w:t>
      </w:r>
      <w:r w:rsidRPr="3ECB06F2">
        <w:rPr>
          <w:rFonts w:ascii="Verdana" w:eastAsia="Calibri" w:hAnsi="Verdana" w:cs="Arial"/>
          <w:i/>
          <w:lang w:val="es-ES"/>
        </w:rPr>
        <w:t>solemnes</w:t>
      </w:r>
      <w:r w:rsidRPr="3ECB06F2">
        <w:rPr>
          <w:rFonts w:ascii="Verdana" w:eastAsia="Calibri" w:hAnsi="Verdana" w:cs="Arial"/>
          <w:lang w:val="es-ES"/>
        </w:rPr>
        <w:t xml:space="preserve"> aquellos contratos cuyo perfeccionamiento está revestido del cumplimiento de exigencias formales o ritualidades específicas</w:t>
      </w:r>
      <w:r w:rsidRPr="00515AC9">
        <w:rPr>
          <w:rStyle w:val="Refdenotaalpie"/>
          <w:rFonts w:ascii="Verdana" w:hAnsi="Verdana" w:cs="Arial"/>
        </w:rPr>
        <w:footnoteReference w:id="2"/>
      </w:r>
      <w:r w:rsidRPr="3ECB06F2">
        <w:rPr>
          <w:rFonts w:ascii="Verdana" w:eastAsia="Calibri" w:hAnsi="Verdana" w:cs="Arial"/>
          <w:lang w:val="es-ES"/>
        </w:rPr>
        <w:t>. Pues bien, los contratos estatales regulados por el EGCAP, por regla general, son solemnes, ya que solo se entienden celebrados si se cumplen ciertas formalidades. Esta regla general solo tiene una excepción, como se explicará.</w:t>
      </w:r>
    </w:p>
    <w:p w14:paraId="124F9817" w14:textId="77777777" w:rsidR="009D1250" w:rsidRDefault="009D1250" w:rsidP="009D1250">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En efecto, el primer inciso del artículo 41 de la Ley 80 de 1993 establece que </w:t>
      </w:r>
      <w:r>
        <w:rPr>
          <w:rFonts w:ascii="Verdana" w:eastAsia="Calibri" w:hAnsi="Verdana" w:cs="Arial"/>
          <w:lang w:val="es-ES_tradnl"/>
        </w:rPr>
        <w:t>“</w:t>
      </w:r>
      <w:r w:rsidRPr="00515AC9">
        <w:rPr>
          <w:rFonts w:ascii="Verdana" w:eastAsia="Calibri" w:hAnsi="Verdana" w:cs="Arial"/>
          <w:i/>
          <w:iCs/>
          <w:lang w:val="es-ES_tradnl"/>
        </w:rPr>
        <w:t>Los contratos del Estado se perfeccionan cuando se logre acuerdo sobre el objeto y la contraprestación y éste se eleve a escrito</w:t>
      </w:r>
      <w:r>
        <w:rPr>
          <w:rFonts w:ascii="Verdana" w:eastAsia="Calibri" w:hAnsi="Verdana" w:cs="Arial"/>
          <w:lang w:val="es-ES_tradnl"/>
        </w:rPr>
        <w:t>”</w:t>
      </w:r>
      <w:r w:rsidRPr="00515AC9">
        <w:rPr>
          <w:rFonts w:ascii="Verdana" w:eastAsia="Calibri" w:hAnsi="Verdana" w:cs="Arial"/>
          <w:lang w:val="es-ES_tradnl"/>
        </w:rPr>
        <w:t xml:space="preserve">. Como se advierte, el legislador dispuso que para que el contrato estatal exista, no solo debe haber un acuerdo sobre la obligación principal del negocio –es decir, sobre el </w:t>
      </w:r>
      <w:r>
        <w:rPr>
          <w:rFonts w:ascii="Verdana" w:eastAsia="Calibri" w:hAnsi="Verdana" w:cs="Arial"/>
          <w:lang w:val="es-ES_tradnl"/>
        </w:rPr>
        <w:t>“</w:t>
      </w:r>
      <w:r w:rsidRPr="00515AC9">
        <w:rPr>
          <w:rFonts w:ascii="Verdana" w:eastAsia="Calibri" w:hAnsi="Verdana" w:cs="Arial"/>
          <w:lang w:val="es-ES_tradnl"/>
        </w:rPr>
        <w:t>objeto</w:t>
      </w:r>
      <w:r>
        <w:rPr>
          <w:rFonts w:ascii="Verdana" w:eastAsia="Calibri" w:hAnsi="Verdana" w:cs="Arial"/>
          <w:lang w:val="es-ES_tradnl"/>
        </w:rPr>
        <w:t>”</w:t>
      </w:r>
      <w:r w:rsidRPr="00515AC9">
        <w:rPr>
          <w:rFonts w:ascii="Verdana" w:eastAsia="Calibri" w:hAnsi="Verdana" w:cs="Arial"/>
          <w:lang w:val="es-ES_tradnl"/>
        </w:rPr>
        <w:t xml:space="preserve">– y sobre la contraprestación, sino que se debe plasmar por escrito. </w:t>
      </w:r>
    </w:p>
    <w:p w14:paraId="128A561E" w14:textId="77777777" w:rsidR="009D1250" w:rsidRPr="00515AC9" w:rsidRDefault="009D1250" w:rsidP="009D1250">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lastRenderedPageBreak/>
        <w:t xml:space="preserve">Tal circunstancia le ha permitido a la doctrina concluir que el contrato estatal regulado en el Estatuto General de Contratación de la Administración Pública es </w:t>
      </w:r>
      <w:r>
        <w:rPr>
          <w:rFonts w:ascii="Verdana" w:eastAsia="Calibri" w:hAnsi="Verdana" w:cs="Arial"/>
          <w:lang w:val="es-ES_tradnl"/>
        </w:rPr>
        <w:t>“</w:t>
      </w:r>
      <w:r w:rsidRPr="00515AC9">
        <w:rPr>
          <w:rFonts w:ascii="Verdana" w:eastAsia="Calibri" w:hAnsi="Verdana" w:cs="Arial"/>
          <w:lang w:val="es-ES_tradnl"/>
        </w:rPr>
        <w:t xml:space="preserve">[…] </w:t>
      </w:r>
      <w:r w:rsidRPr="00515AC9">
        <w:rPr>
          <w:rFonts w:ascii="Verdana" w:eastAsia="Calibri" w:hAnsi="Verdana" w:cs="Arial"/>
          <w:i/>
          <w:iCs/>
          <w:lang w:val="es-ES_tradnl"/>
        </w:rPr>
        <w:t xml:space="preserve">principalmente, solemne, ya que la manifestación de voluntad, si no se expresa bajo la forma ad </w:t>
      </w:r>
      <w:proofErr w:type="spellStart"/>
      <w:r w:rsidRPr="00515AC9">
        <w:rPr>
          <w:rFonts w:ascii="Verdana" w:eastAsia="Calibri" w:hAnsi="Verdana" w:cs="Arial"/>
          <w:i/>
          <w:iCs/>
          <w:lang w:val="es-ES_tradnl"/>
        </w:rPr>
        <w:t>solemnitatem</w:t>
      </w:r>
      <w:proofErr w:type="spellEnd"/>
      <w:r w:rsidRPr="00515AC9">
        <w:rPr>
          <w:rFonts w:ascii="Verdana" w:eastAsia="Calibri" w:hAnsi="Verdana" w:cs="Arial"/>
          <w:i/>
          <w:iCs/>
          <w:lang w:val="es-ES_tradnl"/>
        </w:rPr>
        <w:t xml:space="preserve"> o ad </w:t>
      </w:r>
      <w:proofErr w:type="spellStart"/>
      <w:r w:rsidRPr="00515AC9">
        <w:rPr>
          <w:rFonts w:ascii="Verdana" w:eastAsia="Calibri" w:hAnsi="Verdana" w:cs="Arial"/>
          <w:i/>
          <w:iCs/>
          <w:lang w:val="es-ES_tradnl"/>
        </w:rPr>
        <w:t>substantiam</w:t>
      </w:r>
      <w:proofErr w:type="spellEnd"/>
      <w:r w:rsidRPr="00515AC9">
        <w:rPr>
          <w:rFonts w:ascii="Verdana" w:eastAsia="Calibri" w:hAnsi="Verdana" w:cs="Arial"/>
          <w:i/>
          <w:iCs/>
          <w:lang w:val="es-ES_tradnl"/>
        </w:rPr>
        <w:t xml:space="preserve"> </w:t>
      </w:r>
      <w:proofErr w:type="spellStart"/>
      <w:r w:rsidRPr="00515AC9">
        <w:rPr>
          <w:rFonts w:ascii="Verdana" w:eastAsia="Calibri" w:hAnsi="Verdana" w:cs="Arial"/>
          <w:i/>
          <w:iCs/>
          <w:lang w:val="es-ES_tradnl"/>
        </w:rPr>
        <w:t>actus</w:t>
      </w:r>
      <w:proofErr w:type="spellEnd"/>
      <w:r w:rsidRPr="00515AC9">
        <w:rPr>
          <w:rFonts w:ascii="Verdana" w:eastAsia="Calibri" w:hAnsi="Verdana" w:cs="Arial"/>
          <w:i/>
          <w:iCs/>
          <w:lang w:val="es-ES_tradnl"/>
        </w:rPr>
        <w:t xml:space="preserve"> exigida por la ley, es inexistente, es decir, se entiende que el contrato jamás ha sido creado para el mundo jurídico</w:t>
      </w:r>
      <w:r>
        <w:rPr>
          <w:rFonts w:ascii="Verdana" w:eastAsia="Calibri" w:hAnsi="Verdana" w:cs="Arial"/>
          <w:i/>
          <w:iCs/>
          <w:lang w:val="es-ES_tradnl"/>
        </w:rPr>
        <w:t>”</w:t>
      </w:r>
      <w:r w:rsidRPr="00515AC9">
        <w:rPr>
          <w:rStyle w:val="Refdenotaalpie"/>
          <w:rFonts w:ascii="Verdana" w:hAnsi="Verdana" w:cs="Arial"/>
        </w:rPr>
        <w:footnoteReference w:id="3"/>
      </w:r>
      <w:r w:rsidRPr="00515AC9">
        <w:rPr>
          <w:rFonts w:ascii="Verdana" w:eastAsia="Calibri" w:hAnsi="Verdana" w:cs="Arial"/>
          <w:lang w:val="es-ES_tradnl"/>
        </w:rPr>
        <w:t xml:space="preserve">. </w:t>
      </w:r>
    </w:p>
    <w:p w14:paraId="6016735F" w14:textId="77777777" w:rsidR="009D1250" w:rsidRPr="00515AC9" w:rsidRDefault="009D1250" w:rsidP="009D1250">
      <w:pPr>
        <w:spacing w:after="120" w:line="276" w:lineRule="auto"/>
        <w:ind w:firstLine="709"/>
        <w:jc w:val="both"/>
        <w:rPr>
          <w:rFonts w:ascii="Verdana" w:eastAsia="Calibri" w:hAnsi="Verdana" w:cs="Arial"/>
          <w:lang w:val="es-ES"/>
        </w:rPr>
      </w:pPr>
      <w:r w:rsidRPr="573DC269">
        <w:rPr>
          <w:rFonts w:ascii="Verdana" w:eastAsia="Calibri" w:hAnsi="Verdana" w:cs="Arial"/>
          <w:lang w:val="es-ES"/>
        </w:rPr>
        <w:t>La excepción a la anterior regla se encuentra en el cuarto inciso del mismo artículo, según el cual, “</w:t>
      </w:r>
      <w:r w:rsidRPr="573DC269">
        <w:rPr>
          <w:rFonts w:ascii="Verdana" w:eastAsia="Calibri" w:hAnsi="Verdana" w:cs="Arial"/>
          <w:i/>
          <w:iCs/>
          <w:lang w:val="es-ES"/>
        </w:rPr>
        <w:t>En caso de situaciones de urgencia manifiesta a que se refiere el artículo </w:t>
      </w:r>
      <w:hyperlink r:id="rId11" w:anchor="42" w:history="1">
        <w:r w:rsidRPr="00B41137">
          <w:rPr>
            <w:rStyle w:val="Hipervnculo"/>
            <w:rFonts w:ascii="Verdana" w:eastAsia="Calibri" w:hAnsi="Verdana" w:cs="Arial"/>
            <w:i/>
            <w:iCs/>
            <w:color w:val="auto"/>
            <w:u w:val="none"/>
            <w:lang w:val="es-ES"/>
          </w:rPr>
          <w:t>42</w:t>
        </w:r>
      </w:hyperlink>
      <w:r w:rsidRPr="573DC269">
        <w:rPr>
          <w:rFonts w:ascii="Verdana" w:eastAsia="Calibri" w:hAnsi="Verdana" w:cs="Arial"/>
          <w:i/>
          <w:iCs/>
          <w:lang w:val="es-ES"/>
        </w:rPr>
        <w:t> de esta ley que no permitan la suscripción de contrato escrito, se prescindirá de éste y aún del acuerdo acerca de la remuneración, no obstante, deberá dejarse constancia escrita de la autorización impartida por la entidad estatal contratante</w:t>
      </w:r>
      <w:r w:rsidRPr="573DC269">
        <w:rPr>
          <w:rFonts w:ascii="Verdana" w:eastAsia="Calibri" w:hAnsi="Verdana" w:cs="Arial"/>
          <w:lang w:val="es-ES"/>
        </w:rPr>
        <w:t>”. En otras palabras, por regla general, los contratos estatales deben constar por escrito, salvo que se presente una situación de urgencia manifiesta en la que no haya tiempo de cumplir con esta formalidad.</w:t>
      </w:r>
    </w:p>
    <w:p w14:paraId="5854DF5F" w14:textId="77777777" w:rsidR="009D1250" w:rsidRPr="00515AC9" w:rsidRDefault="009D1250" w:rsidP="009D1250">
      <w:pPr>
        <w:spacing w:after="0"/>
        <w:ind w:firstLine="708"/>
        <w:jc w:val="both"/>
        <w:rPr>
          <w:rFonts w:ascii="Verdana" w:eastAsia="Calibri" w:hAnsi="Verdana" w:cs="Arial"/>
        </w:rPr>
      </w:pPr>
      <w:r>
        <w:rPr>
          <w:rFonts w:ascii="Verdana" w:eastAsia="Calibri" w:hAnsi="Verdana" w:cs="Arial"/>
          <w:lang w:val="es-ES_tradnl"/>
        </w:rPr>
        <w:t>Ahora bien, en relación con</w:t>
      </w:r>
      <w:r w:rsidRPr="00515AC9">
        <w:rPr>
          <w:rFonts w:ascii="Verdana" w:eastAsia="Calibri" w:hAnsi="Verdana" w:cs="Arial"/>
          <w:lang w:val="es-ES_tradnl"/>
        </w:rPr>
        <w:t xml:space="preserve"> los </w:t>
      </w:r>
      <w:r w:rsidRPr="00515AC9">
        <w:rPr>
          <w:rFonts w:ascii="Verdana" w:eastAsia="Calibri" w:hAnsi="Verdana" w:cs="Arial"/>
          <w:i/>
          <w:iCs/>
          <w:lang w:val="es-ES_tradnl"/>
        </w:rPr>
        <w:t>requisitos de ejecución</w:t>
      </w:r>
      <w:r>
        <w:rPr>
          <w:rFonts w:ascii="Verdana" w:eastAsia="Calibri" w:hAnsi="Verdana" w:cs="Arial"/>
          <w:lang w:val="es-ES_tradnl"/>
        </w:rPr>
        <w:t xml:space="preserve"> debe señalarse que, estos</w:t>
      </w:r>
      <w:r w:rsidRPr="00515AC9">
        <w:rPr>
          <w:rFonts w:ascii="Verdana" w:eastAsia="Calibri" w:hAnsi="Verdana" w:cs="Arial"/>
          <w:lang w:val="es-ES_tradnl"/>
        </w:rPr>
        <w:t xml:space="preserve">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w:t>
      </w:r>
      <w:r>
        <w:rPr>
          <w:rFonts w:ascii="Verdana" w:eastAsia="Calibri" w:hAnsi="Verdana" w:cs="Arial"/>
          <w:lang w:val="es-ES_tradnl"/>
        </w:rPr>
        <w:t xml:space="preserve">. </w:t>
      </w:r>
      <w:r w:rsidRPr="00515AC9">
        <w:rPr>
          <w:rFonts w:ascii="Verdana" w:eastAsia="Calibri" w:hAnsi="Verdana" w:cs="Arial"/>
          <w:lang w:val="es-ES_tradnl"/>
        </w:rPr>
        <w:t xml:space="preserve">Sobre el particular, </w:t>
      </w:r>
      <w:r w:rsidRPr="00515AC9">
        <w:rPr>
          <w:rFonts w:ascii="Verdana" w:eastAsia="Calibri" w:hAnsi="Verdana" w:cs="Arial"/>
        </w:rPr>
        <w:t>el Consejo de Estado aclaró la diferencia entre el perfeccionamiento y la ejecución del contrato, de la siguiente manera:</w:t>
      </w:r>
    </w:p>
    <w:p w14:paraId="4B0A33E0" w14:textId="77777777" w:rsidR="009D1250" w:rsidRPr="00515AC9" w:rsidRDefault="009D1250" w:rsidP="009D1250">
      <w:pPr>
        <w:spacing w:after="0"/>
        <w:jc w:val="both"/>
        <w:rPr>
          <w:rFonts w:ascii="Verdana" w:eastAsia="Calibri" w:hAnsi="Verdana" w:cs="Arial"/>
        </w:rPr>
      </w:pPr>
    </w:p>
    <w:p w14:paraId="6174F596" w14:textId="77777777" w:rsidR="009D1250" w:rsidRPr="00B41137" w:rsidRDefault="009D1250" w:rsidP="009D1250">
      <w:pPr>
        <w:spacing w:after="0"/>
        <w:ind w:left="708" w:right="709"/>
        <w:jc w:val="both"/>
        <w:rPr>
          <w:rFonts w:ascii="Verdana" w:eastAsia="Calibri" w:hAnsi="Verdana" w:cs="Arial"/>
          <w:sz w:val="20"/>
          <w:szCs w:val="20"/>
          <w:lang w:val="es-ES_tradnl"/>
        </w:rPr>
      </w:pPr>
      <w:r w:rsidRPr="00B41137">
        <w:rPr>
          <w:rFonts w:ascii="Verdana" w:eastAsia="Calibri" w:hAnsi="Verdana" w:cs="Arial"/>
          <w:sz w:val="20"/>
          <w:szCs w:val="20"/>
          <w:lang w:val="es-ES_tradnl"/>
        </w:rPr>
        <w:t>“</w:t>
      </w:r>
      <w:r w:rsidRPr="00B41137">
        <w:rPr>
          <w:rFonts w:ascii="Verdana" w:eastAsia="Calibri" w:hAnsi="Verdana" w:cs="Arial"/>
          <w:i/>
          <w:iCs/>
          <w:sz w:val="20"/>
          <w:szCs w:val="20"/>
        </w:rPr>
        <w:t xml:space="preserve">La Sala concluyó y ahora se reitera que i) la existencia del contrato no difiere de la perfección, esto es cumplidos los elementos esenciales que dan lugar al contrato no queda sino aceptar la relación jurídico contractual; </w:t>
      </w:r>
      <w:proofErr w:type="spellStart"/>
      <w:r w:rsidRPr="00B41137">
        <w:rPr>
          <w:rFonts w:ascii="Verdana" w:eastAsia="Calibri" w:hAnsi="Verdana" w:cs="Arial"/>
          <w:i/>
          <w:iCs/>
          <w:sz w:val="20"/>
          <w:szCs w:val="20"/>
        </w:rPr>
        <w:t>ii</w:t>
      </w:r>
      <w:proofErr w:type="spellEnd"/>
      <w:r w:rsidRPr="00B41137">
        <w:rPr>
          <w:rFonts w:ascii="Verdana" w:eastAsia="Calibri" w:hAnsi="Verdana" w:cs="Arial"/>
          <w:i/>
          <w:iCs/>
          <w:sz w:val="20"/>
          <w:szCs w:val="20"/>
        </w:rPr>
        <w:t xml:space="preserve">) por virtud de lo dispuesto en la Ley 80 de 1993 el contrato estatal existe, esto es, “se perfecciona” cuando “se logra acuerdo sobre el objeto y la contraprestación y éste se eleve a escrito”; </w:t>
      </w:r>
      <w:proofErr w:type="spellStart"/>
      <w:r w:rsidRPr="00B41137">
        <w:rPr>
          <w:rFonts w:ascii="Verdana" w:eastAsia="Calibri" w:hAnsi="Verdana" w:cs="Arial"/>
          <w:i/>
          <w:iCs/>
          <w:sz w:val="20"/>
          <w:szCs w:val="20"/>
        </w:rPr>
        <w:t>iii</w:t>
      </w:r>
      <w:proofErr w:type="spellEnd"/>
      <w:r w:rsidRPr="00B41137">
        <w:rPr>
          <w:rFonts w:ascii="Verdana" w:eastAsia="Calibri" w:hAnsi="Verdana" w:cs="Arial"/>
          <w:i/>
          <w:iCs/>
          <w:sz w:val="20"/>
          <w:szCs w:val="20"/>
        </w:rPr>
        <w:t xml:space="preserve">)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w:t>
      </w:r>
      <w:proofErr w:type="spellStart"/>
      <w:r w:rsidRPr="00B41137">
        <w:rPr>
          <w:rFonts w:ascii="Verdana" w:eastAsia="Calibri" w:hAnsi="Verdana" w:cs="Arial"/>
          <w:i/>
          <w:iCs/>
          <w:sz w:val="20"/>
          <w:szCs w:val="20"/>
        </w:rPr>
        <w:t>iv</w:t>
      </w:r>
      <w:proofErr w:type="spellEnd"/>
      <w:r w:rsidRPr="00B41137">
        <w:rPr>
          <w:rFonts w:ascii="Verdana" w:eastAsia="Calibri" w:hAnsi="Verdana" w:cs="Arial"/>
          <w:i/>
          <w:iCs/>
          <w:sz w:val="20"/>
          <w:szCs w:val="20"/>
        </w:rPr>
        <w:t>) el requisito relativo al registro presupuestal no es una condición de existencia del contrato estatal, es un requisito de ejecución</w:t>
      </w:r>
      <w:r w:rsidRPr="00B41137">
        <w:rPr>
          <w:rFonts w:ascii="Verdana" w:eastAsia="Calibri" w:hAnsi="Verdana" w:cs="Arial"/>
          <w:sz w:val="20"/>
          <w:szCs w:val="20"/>
        </w:rPr>
        <w:t>”</w:t>
      </w:r>
      <w:r w:rsidRPr="00B41137">
        <w:rPr>
          <w:rStyle w:val="Refdenotaalpie"/>
          <w:rFonts w:ascii="Verdana" w:hAnsi="Verdana" w:cs="Arial"/>
          <w:sz w:val="20"/>
          <w:szCs w:val="20"/>
        </w:rPr>
        <w:footnoteReference w:id="4"/>
      </w:r>
      <w:r w:rsidRPr="00B41137">
        <w:rPr>
          <w:rFonts w:ascii="Verdana" w:eastAsia="Calibri" w:hAnsi="Verdana" w:cs="Arial"/>
          <w:i/>
          <w:iCs/>
          <w:sz w:val="20"/>
          <w:szCs w:val="20"/>
        </w:rPr>
        <w:t>.</w:t>
      </w:r>
    </w:p>
    <w:p w14:paraId="5EFE53D5" w14:textId="77777777" w:rsidR="009D1250" w:rsidRPr="00515AC9" w:rsidRDefault="009D1250" w:rsidP="009D1250">
      <w:pPr>
        <w:spacing w:after="0" w:line="276" w:lineRule="auto"/>
        <w:ind w:left="708"/>
        <w:jc w:val="both"/>
        <w:rPr>
          <w:rFonts w:ascii="Verdana" w:eastAsia="Calibri" w:hAnsi="Verdana" w:cs="Arial"/>
          <w:i/>
          <w:iCs/>
        </w:rPr>
      </w:pPr>
    </w:p>
    <w:p w14:paraId="5DE2F223" w14:textId="77777777" w:rsidR="009D1250" w:rsidRPr="00515AC9" w:rsidRDefault="009D1250" w:rsidP="009D1250">
      <w:pPr>
        <w:spacing w:after="120"/>
        <w:ind w:firstLine="708"/>
        <w:jc w:val="both"/>
        <w:rPr>
          <w:rFonts w:ascii="Verdana" w:eastAsia="Calibri" w:hAnsi="Verdana" w:cs="Arial"/>
          <w:lang w:val="es-ES"/>
        </w:rPr>
      </w:pPr>
      <w:r w:rsidRPr="00B41137">
        <w:rPr>
          <w:rFonts w:ascii="Verdana" w:eastAsia="Calibri" w:hAnsi="Verdana" w:cs="Arial"/>
          <w:lang w:val="es-ES"/>
        </w:rPr>
        <w:lastRenderedPageBreak/>
        <w:t>En</w:t>
      </w:r>
      <w:r w:rsidRPr="573DC269">
        <w:rPr>
          <w:rFonts w:ascii="Verdana" w:eastAsia="Calibri" w:hAnsi="Verdana" w:cs="Arial"/>
          <w:lang w:val="es-ES"/>
        </w:rPr>
        <w:t xml:space="preserve"> ese orden, los requisitos de ejecución de los contratos estatales pueden ser “legales” o “convencionales”. Los primeros son aquellos que se encuentran previstos en la ley. Los segundos son estipulados por las partes. En otros términos,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elementos de la </w:t>
      </w:r>
      <w:r w:rsidRPr="573DC269">
        <w:rPr>
          <w:rFonts w:ascii="Verdana" w:eastAsia="Calibri" w:hAnsi="Verdana" w:cs="Arial"/>
          <w:i/>
          <w:iCs/>
          <w:lang w:val="es-ES"/>
        </w:rPr>
        <w:t>naturaleza</w:t>
      </w:r>
      <w:r w:rsidRPr="573DC269">
        <w:rPr>
          <w:rFonts w:ascii="Verdana" w:eastAsia="Calibri" w:hAnsi="Verdana" w:cs="Arial"/>
          <w:lang w:val="es-ES"/>
        </w:rPr>
        <w:t xml:space="preserve">, mientras que los requisitos </w:t>
      </w:r>
      <w:r w:rsidRPr="573DC269">
        <w:rPr>
          <w:rFonts w:ascii="Verdana" w:eastAsia="Calibri" w:hAnsi="Verdana" w:cs="Arial"/>
          <w:i/>
          <w:iCs/>
          <w:lang w:val="es-ES"/>
        </w:rPr>
        <w:t>convencionales</w:t>
      </w:r>
      <w:r w:rsidRPr="573DC269">
        <w:rPr>
          <w:rFonts w:ascii="Verdana" w:eastAsia="Calibri" w:hAnsi="Verdana" w:cs="Arial"/>
          <w:lang w:val="es-ES"/>
        </w:rPr>
        <w:t xml:space="preserve"> de ejecución son elementos </w:t>
      </w:r>
      <w:r w:rsidRPr="573DC269">
        <w:rPr>
          <w:rFonts w:ascii="Verdana" w:eastAsia="Calibri" w:hAnsi="Verdana" w:cs="Arial"/>
          <w:i/>
          <w:iCs/>
          <w:lang w:val="es-ES"/>
        </w:rPr>
        <w:t>accidentales</w:t>
      </w:r>
      <w:r w:rsidRPr="573DC269">
        <w:rPr>
          <w:rFonts w:ascii="Verdana" w:eastAsia="Calibri" w:hAnsi="Verdana" w:cs="Arial"/>
          <w:lang w:val="es-ES"/>
        </w:rPr>
        <w:t xml:space="preserve">. Teniendo en cuenta que en la consulta se indaga por el acta de inicio, es importante precisar si se trata de un requisito de ejecución legal o convencional. </w:t>
      </w:r>
    </w:p>
    <w:p w14:paraId="667007CC" w14:textId="77777777" w:rsidR="009D1250" w:rsidRPr="00515AC9" w:rsidRDefault="009D1250" w:rsidP="009D1250">
      <w:pPr>
        <w:spacing w:after="0"/>
        <w:ind w:firstLine="708"/>
        <w:jc w:val="both"/>
        <w:rPr>
          <w:rFonts w:ascii="Verdana" w:eastAsia="Calibri" w:hAnsi="Verdana" w:cs="Arial"/>
          <w:lang w:val="es-ES_tradnl"/>
        </w:rPr>
      </w:pPr>
      <w:r w:rsidRPr="00515AC9">
        <w:rPr>
          <w:rFonts w:ascii="Verdana" w:eastAsia="Calibri" w:hAnsi="Verdana" w:cs="Arial"/>
          <w:lang w:val="es-ES_tradnl"/>
        </w:rPr>
        <w:t>Para dilucidar lo anterior, conviene hacer referencia al segundo inciso del artículo 41 de la Ley 80 de 1993</w:t>
      </w:r>
      <w:r w:rsidRPr="00515AC9">
        <w:rPr>
          <w:rFonts w:ascii="Verdana" w:eastAsia="Calibri" w:hAnsi="Verdana" w:cs="Arial"/>
        </w:rPr>
        <w:t>, modificado por el artículo 23 de la Ley 1150 de 2007</w:t>
      </w:r>
      <w:r w:rsidRPr="00515AC9">
        <w:rPr>
          <w:rFonts w:ascii="Verdana" w:eastAsia="Calibri" w:hAnsi="Verdana" w:cs="Arial"/>
          <w:lang w:val="es-ES_tradnl"/>
        </w:rPr>
        <w:t xml:space="preserve">. Esta disposición normativa establece los requisitos </w:t>
      </w:r>
      <w:r w:rsidRPr="00515AC9">
        <w:rPr>
          <w:rFonts w:ascii="Verdana" w:eastAsia="Calibri" w:hAnsi="Verdana" w:cs="Arial"/>
          <w:i/>
          <w:iCs/>
          <w:lang w:val="es-ES_tradnl"/>
        </w:rPr>
        <w:t xml:space="preserve">legales </w:t>
      </w:r>
      <w:r w:rsidRPr="00515AC9">
        <w:rPr>
          <w:rFonts w:ascii="Verdana" w:eastAsia="Calibri" w:hAnsi="Verdana" w:cs="Arial"/>
          <w:lang w:val="es-ES_tradnl"/>
        </w:rPr>
        <w:t>de la siguiente manera:</w:t>
      </w:r>
    </w:p>
    <w:p w14:paraId="72E80A34" w14:textId="77777777" w:rsidR="009D1250" w:rsidRPr="00515AC9" w:rsidRDefault="009D1250" w:rsidP="009D1250">
      <w:pPr>
        <w:spacing w:after="0" w:line="276" w:lineRule="auto"/>
        <w:jc w:val="both"/>
        <w:rPr>
          <w:rFonts w:ascii="Verdana" w:eastAsia="Calibri" w:hAnsi="Verdana" w:cs="Arial"/>
          <w:i/>
          <w:iCs/>
        </w:rPr>
      </w:pPr>
    </w:p>
    <w:p w14:paraId="4ADC58B6" w14:textId="77777777" w:rsidR="009D1250" w:rsidRPr="00B41137" w:rsidRDefault="009D1250" w:rsidP="009D1250">
      <w:pPr>
        <w:spacing w:after="0" w:line="240" w:lineRule="auto"/>
        <w:ind w:left="709" w:right="709"/>
        <w:jc w:val="both"/>
        <w:rPr>
          <w:rFonts w:ascii="Verdana" w:eastAsia="Calibri" w:hAnsi="Verdana" w:cs="Arial"/>
          <w:sz w:val="20"/>
          <w:szCs w:val="20"/>
        </w:rPr>
      </w:pPr>
      <w:r w:rsidRPr="00B41137">
        <w:rPr>
          <w:rFonts w:ascii="Verdana" w:eastAsia="Calibri" w:hAnsi="Verdana" w:cs="Arial"/>
          <w:sz w:val="20"/>
          <w:szCs w:val="20"/>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 </w:t>
      </w:r>
    </w:p>
    <w:p w14:paraId="024426A5" w14:textId="77777777" w:rsidR="009D1250" w:rsidRPr="00515AC9" w:rsidRDefault="009D1250" w:rsidP="009D1250">
      <w:pPr>
        <w:spacing w:after="0" w:line="276" w:lineRule="auto"/>
        <w:jc w:val="both"/>
        <w:rPr>
          <w:rFonts w:ascii="Verdana" w:eastAsia="Calibri" w:hAnsi="Verdana" w:cs="Arial"/>
          <w:lang w:val="es-ES_tradnl"/>
        </w:rPr>
      </w:pPr>
    </w:p>
    <w:p w14:paraId="0B8B4A55" w14:textId="77777777" w:rsidR="009D1250" w:rsidRPr="00515AC9" w:rsidRDefault="009D1250" w:rsidP="009D1250">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Como puede observarse,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(i) la aprobación de las garantías exigidas en el contrato,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la existencia de la apropiación presupuestal correspondiente y (</w:t>
      </w:r>
      <w:proofErr w:type="spellStart"/>
      <w:r w:rsidRPr="573DC269">
        <w:rPr>
          <w:rFonts w:ascii="Verdana" w:eastAsia="Calibri" w:hAnsi="Verdana" w:cs="Arial"/>
          <w:lang w:val="es-ES"/>
        </w:rPr>
        <w:t>iii</w:t>
      </w:r>
      <w:proofErr w:type="spellEnd"/>
      <w:r w:rsidRPr="573DC269">
        <w:rPr>
          <w:rFonts w:ascii="Verdana" w:eastAsia="Calibri" w:hAnsi="Verdana" w:cs="Arial"/>
          <w:lang w:val="es-ES"/>
        </w:rPr>
        <w:t xml:space="preserve">) la acreditación del cumplimiento de las obligaciones con el Sistema de Seguridad Social Integral. </w:t>
      </w:r>
      <w:r>
        <w:tab/>
      </w:r>
    </w:p>
    <w:p w14:paraId="79AF4FCE" w14:textId="77777777" w:rsidR="009D1250" w:rsidRPr="00515AC9" w:rsidRDefault="009D1250" w:rsidP="009D1250">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Por su parte, serán requisitos </w:t>
      </w:r>
      <w:r w:rsidRPr="573DC269">
        <w:rPr>
          <w:rFonts w:ascii="Verdana" w:eastAsia="Calibri" w:hAnsi="Verdana" w:cs="Arial"/>
          <w:i/>
          <w:iCs/>
          <w:lang w:val="es-ES"/>
        </w:rPr>
        <w:t xml:space="preserve">convencionales </w:t>
      </w:r>
      <w:r w:rsidRPr="573DC269">
        <w:rPr>
          <w:rFonts w:ascii="Verdana" w:eastAsia="Calibri" w:hAnsi="Verdana" w:cs="Arial"/>
          <w:lang w:val="es-ES"/>
        </w:rPr>
        <w:t>aquellos que no se encuentran consagrados en la ley, sino que se pactan en la minuta del contrato o que el contratista acepta al momento de adherirse al clausulado del pliego de condiciones o documento equivalente.</w:t>
      </w:r>
    </w:p>
    <w:p w14:paraId="55959A1F" w14:textId="77777777" w:rsidR="009D1250" w:rsidRPr="00515AC9" w:rsidRDefault="009D1250" w:rsidP="009D1250">
      <w:pPr>
        <w:spacing w:after="120" w:line="276" w:lineRule="auto"/>
        <w:ind w:firstLine="708"/>
        <w:jc w:val="both"/>
        <w:rPr>
          <w:rFonts w:ascii="Verdana" w:eastAsia="Calibri" w:hAnsi="Verdana" w:cs="Arial"/>
          <w:lang w:val="es-ES_tradnl"/>
        </w:rPr>
      </w:pPr>
      <w:r w:rsidRPr="00515AC9">
        <w:rPr>
          <w:rFonts w:ascii="Verdana" w:eastAsia="Calibri" w:hAnsi="Verdana" w:cs="Arial"/>
          <w:lang w:val="es-ES_tradnl"/>
        </w:rPr>
        <w:t xml:space="preserve">Lo que tienen en común tales requisitos es que deben cumplirse para que inicie la ejecución del contrato, sin que por ello puedan considerarse elementos de la esencia –de perfeccionamiento– del negocio jurídico, ni de su validez. En otras palabras, un contrato estatal existe, así no se haya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w:t>
      </w:r>
      <w:r w:rsidRPr="00515AC9">
        <w:rPr>
          <w:rFonts w:ascii="Verdana" w:eastAsia="Calibri" w:hAnsi="Verdana" w:cs="Arial"/>
          <w:lang w:val="es-ES_tradnl"/>
        </w:rPr>
        <w:lastRenderedPageBreak/>
        <w:t>responsabilidades subjetivas en los servidores públicos, pero no por ello el contrato estatal deja de existir o queda viciado de nulidad</w:t>
      </w:r>
      <w:r w:rsidRPr="00515AC9">
        <w:rPr>
          <w:rStyle w:val="Refdenotaalpie"/>
          <w:rFonts w:ascii="Verdana" w:hAnsi="Verdana" w:cs="Arial"/>
        </w:rPr>
        <w:footnoteReference w:id="5"/>
      </w:r>
      <w:r w:rsidRPr="00515AC9">
        <w:rPr>
          <w:rFonts w:ascii="Verdana" w:eastAsia="Calibri" w:hAnsi="Verdana" w:cs="Arial"/>
          <w:lang w:val="es-ES_tradnl"/>
        </w:rPr>
        <w:t>.</w:t>
      </w:r>
    </w:p>
    <w:p w14:paraId="67467166" w14:textId="77777777" w:rsidR="009D1250" w:rsidRPr="000E1704" w:rsidRDefault="009D1250" w:rsidP="009D1250">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 xml:space="preserve">Al no ser un requisito legal de ejecución de los contratos estatales –pues no se encuentra consagrado en la ley–, el acta de inicio constituye un requisito de ejecución convencional, que se pacta en la minuta del contrato o que el contratista acepta, adhiriéndose al clausulado del pliego de condiciones o documento equivalente. </w:t>
      </w:r>
    </w:p>
    <w:p w14:paraId="1479439A" w14:textId="77777777" w:rsidR="009D1250" w:rsidRPr="000E1704" w:rsidRDefault="009D1250" w:rsidP="009D1250">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que</w:t>
      </w:r>
      <w:r>
        <w:rPr>
          <w:rFonts w:ascii="Verdana" w:eastAsia="Calibri" w:hAnsi="Verdana" w:cs="Arial"/>
          <w:lang w:val="es-ES"/>
        </w:rPr>
        <w:t>,</w:t>
      </w:r>
      <w:r w:rsidRPr="000E1704">
        <w:rPr>
          <w:rFonts w:ascii="Verdana" w:eastAsia="Calibri" w:hAnsi="Verdana" w:cs="Arial"/>
          <w:lang w:val="es-ES"/>
        </w:rPr>
        <w:t xml:space="preserv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 </w:t>
      </w:r>
    </w:p>
    <w:p w14:paraId="0B2333DB" w14:textId="77777777" w:rsidR="009D1250" w:rsidRDefault="009D1250" w:rsidP="009D1250">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 xml:space="preserve">El fundamento legal que habilita a las partes para establecer la suscripción del acta de inicio como un requisito de ejecución convencional se encuentra en el segundo inciso del artículo 40 de la Ley 80 de 1993, el cual indica que </w:t>
      </w:r>
      <w:r>
        <w:rPr>
          <w:rFonts w:ascii="Verdana" w:eastAsia="Calibri" w:hAnsi="Verdana" w:cs="Arial"/>
          <w:lang w:val="es-ES"/>
        </w:rPr>
        <w:t>“</w:t>
      </w:r>
      <w:r w:rsidRPr="000E1704">
        <w:rPr>
          <w:rFonts w:ascii="Verdana" w:eastAsia="Calibri" w:hAnsi="Verdana" w:cs="Arial"/>
          <w:lang w:val="es-ES"/>
        </w:rPr>
        <w:t>Las entidades podrán celebrar los contratos y acuerdos que permitan la autonomía de la voluntad y requieran el cumplimiento de los fines estatales</w:t>
      </w:r>
      <w:r>
        <w:rPr>
          <w:rFonts w:ascii="Verdana" w:eastAsia="Calibri" w:hAnsi="Verdana" w:cs="Arial"/>
          <w:lang w:val="es-ES"/>
        </w:rPr>
        <w:t>”</w:t>
      </w:r>
      <w:r w:rsidRPr="00515AC9">
        <w:rPr>
          <w:rFonts w:ascii="Verdana" w:eastAsia="Calibri" w:hAnsi="Verdana" w:cs="Arial"/>
          <w:lang w:val="es-ES"/>
        </w:rPr>
        <w:t xml:space="preserve">. </w:t>
      </w:r>
    </w:p>
    <w:p w14:paraId="608901EB" w14:textId="77777777" w:rsidR="009D1250" w:rsidRPr="000E1704" w:rsidRDefault="009D1250" w:rsidP="009D1250">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 xml:space="preserve">Sin embargo, en el ejercicio de la autonomía de la voluntad las partes del contrato deben respetar las normas de orden público. En consecuencia, a pesar de que están facultadas para acordar cláusulas accidentales en el negocio jurídico, estas no pueden ir en contra de los mandatos contenidos en el </w:t>
      </w:r>
      <w:r>
        <w:rPr>
          <w:rFonts w:ascii="Verdana" w:eastAsia="Calibri" w:hAnsi="Verdana" w:cs="Arial"/>
          <w:lang w:val="es-ES"/>
        </w:rPr>
        <w:t>EGCAP</w:t>
      </w:r>
      <w:r w:rsidRPr="00515AC9">
        <w:rPr>
          <w:rFonts w:ascii="Verdana" w:eastAsia="Calibri" w:hAnsi="Verdana" w:cs="Arial"/>
          <w:lang w:val="es-ES"/>
        </w:rPr>
        <w:t>.</w:t>
      </w:r>
      <w:r w:rsidRPr="000E1704">
        <w:rPr>
          <w:rFonts w:ascii="Verdana" w:eastAsia="Calibri" w:hAnsi="Verdana" w:cs="Arial"/>
          <w:lang w:val="es-ES"/>
        </w:rPr>
        <w:t xml:space="preserve"> 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Seguridad Social Integral, las partes no pueden establecer que el contrato estatal comenzará su ejecución </w:t>
      </w:r>
      <w:r w:rsidRPr="000E1704">
        <w:rPr>
          <w:rFonts w:ascii="Verdana" w:eastAsia="Calibri" w:hAnsi="Verdana" w:cs="Arial"/>
          <w:lang w:val="es-ES"/>
        </w:rPr>
        <w:lastRenderedPageBreak/>
        <w:t xml:space="preserve">cuando se firme el acta de inicio pretermitiendo las tres exigencias legales. </w:t>
      </w:r>
    </w:p>
    <w:p w14:paraId="031B7868" w14:textId="77777777" w:rsidR="009D1250" w:rsidRPr="000E1704" w:rsidRDefault="009D1250" w:rsidP="009D1250">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Dicho de otra manera, el acta de inicio puede ser pactada como requisito para el comienzo del cómputo del plazo, pero la fecha que se defina en ella para iniciar la ejecución del contrato no puede ser anterior al cumplimiento de los requisitos de ejecución establecidos en la ley. Verbigracia, si las garantías no han sido aprobadas por la entidad estatal, aún no se puede suscribir el acta de inicio, pues de lo contrario las partes estarían contrariando normas de orden público, que, como bien se ha señalado, son indisponibles. O si la fecha de expedición del registro presupuestal es el día de hoy, no puede establecerse como fecha de inicio de ejecución del contrato el día de ayer, porque lo que eso estaría indicando es que el contrato estatal comenzó su ejecución sin la apropiación presupuestal suficiente.</w:t>
      </w:r>
    </w:p>
    <w:p w14:paraId="4FE6CDB3" w14:textId="77777777" w:rsidR="009D1250" w:rsidRPr="000E1704" w:rsidRDefault="009D1250" w:rsidP="009D1250">
      <w:pPr>
        <w:widowControl w:val="0"/>
        <w:autoSpaceDE w:val="0"/>
        <w:autoSpaceDN w:val="0"/>
        <w:spacing w:after="120" w:line="276" w:lineRule="auto"/>
        <w:ind w:firstLine="708"/>
        <w:jc w:val="both"/>
        <w:rPr>
          <w:rFonts w:ascii="Verdana" w:eastAsia="Calibri" w:hAnsi="Verdana" w:cs="Arial"/>
          <w:lang w:val="es-ES"/>
        </w:rPr>
      </w:pPr>
      <w:r w:rsidRPr="000E1704">
        <w:rPr>
          <w:rFonts w:ascii="Verdana" w:eastAsia="Calibri" w:hAnsi="Verdana" w:cs="Arial"/>
          <w:lang w:val="es-ES"/>
        </w:rPr>
        <w:t xml:space="preserve">Además, el artículo 6 de la Constitución dispone que </w:t>
      </w:r>
      <w:r>
        <w:rPr>
          <w:rFonts w:ascii="Verdana" w:eastAsia="Calibri" w:hAnsi="Verdana" w:cs="Arial"/>
          <w:lang w:val="es-ES"/>
        </w:rPr>
        <w:t>“</w:t>
      </w:r>
      <w:r w:rsidRPr="000E1704">
        <w:rPr>
          <w:rFonts w:ascii="Verdana" w:eastAsia="Calibri" w:hAnsi="Verdana" w:cs="Arial"/>
          <w:lang w:val="es-ES"/>
        </w:rPr>
        <w:t>Los particulares sólo son responsables ante las autoridades por infringir la Constitución y las leyes</w:t>
      </w:r>
      <w:r>
        <w:rPr>
          <w:rFonts w:ascii="Verdana" w:eastAsia="Calibri" w:hAnsi="Verdana" w:cs="Arial"/>
          <w:lang w:val="es-ES"/>
        </w:rPr>
        <w:t>”</w:t>
      </w:r>
      <w:r w:rsidRPr="000E1704">
        <w:rPr>
          <w:rFonts w:ascii="Verdana" w:eastAsia="Calibri" w:hAnsi="Verdana" w:cs="Arial"/>
          <w:lang w:val="es-ES"/>
        </w:rPr>
        <w:t xml:space="preserve"> y que </w:t>
      </w:r>
      <w:r>
        <w:rPr>
          <w:rFonts w:ascii="Verdana" w:eastAsia="Calibri" w:hAnsi="Verdana" w:cs="Arial"/>
          <w:lang w:val="es-ES"/>
        </w:rPr>
        <w:t>“</w:t>
      </w:r>
      <w:r w:rsidRPr="000E1704">
        <w:rPr>
          <w:rFonts w:ascii="Verdana" w:eastAsia="Calibri" w:hAnsi="Verdana" w:cs="Arial"/>
          <w:lang w:val="es-ES"/>
        </w:rPr>
        <w:t>Los servidores públicos lo son por la misma causa y por omisión o extralimitación en el ejercicio de sus funciones</w:t>
      </w:r>
      <w:r>
        <w:rPr>
          <w:rFonts w:ascii="Verdana" w:eastAsia="Calibri" w:hAnsi="Verdana" w:cs="Arial"/>
          <w:lang w:val="es-ES"/>
        </w:rPr>
        <w:t>”</w:t>
      </w:r>
      <w:r w:rsidRPr="000E1704">
        <w:rPr>
          <w:rFonts w:ascii="Verdana" w:eastAsia="Calibri" w:hAnsi="Verdana" w:cs="Arial"/>
          <w:lang w:val="es-ES"/>
        </w:rPr>
        <w:t>. Por tanto, no se puede suscribir el acta de inicio, estableciendo como fecha de inicio del contrato un día en el que aún no se hayan cumplido los requisitos de ejecución establecidos en el artículo 41 de la Ley 80 de 1993, porque ello implica una infracción de la ley.</w:t>
      </w:r>
    </w:p>
    <w:p w14:paraId="646E3467" w14:textId="77777777" w:rsidR="009D1250" w:rsidRPr="000E1704" w:rsidRDefault="009D1250" w:rsidP="009D1250">
      <w:pPr>
        <w:widowControl w:val="0"/>
        <w:autoSpaceDE w:val="0"/>
        <w:autoSpaceDN w:val="0"/>
        <w:spacing w:after="0" w:line="276" w:lineRule="auto"/>
        <w:ind w:firstLine="708"/>
        <w:jc w:val="both"/>
        <w:rPr>
          <w:rFonts w:ascii="Verdana" w:eastAsia="Calibri" w:hAnsi="Verdana" w:cs="Arial"/>
          <w:lang w:val="es-ES"/>
        </w:rPr>
      </w:pPr>
      <w:r w:rsidRPr="000E1704">
        <w:rPr>
          <w:rFonts w:ascii="Verdana" w:eastAsia="Calibri" w:hAnsi="Verdana" w:cs="Arial"/>
          <w:lang w:val="es-ES"/>
        </w:rPr>
        <w:t>Finalmente, a juicio del Consejo de Estado, una vez se pacte el acta de inicio como requisito de ejecución del contrato, su ausencia tiene como consecuencia la falta de autorización para desplegar cualquier actividad contractual. Por ende, concluye el alto tribunal en sentencia del 3 de abril de 2020</w:t>
      </w:r>
      <w:r w:rsidRPr="000E1704">
        <w:rPr>
          <w:rStyle w:val="Refdenotaalpie"/>
          <w:rFonts w:ascii="Verdana" w:eastAsia="Calibri" w:hAnsi="Verdana" w:cs="Arial"/>
          <w:lang w:val="es-ES"/>
        </w:rPr>
        <w:footnoteReference w:id="6"/>
      </w:r>
      <w:r w:rsidRPr="000E1704">
        <w:rPr>
          <w:rFonts w:ascii="Verdana" w:eastAsia="Calibri" w:hAnsi="Verdana" w:cs="Arial"/>
          <w:lang w:val="es-ES"/>
        </w:rPr>
        <w:t>, la eventual ejecución del contrato en estos casos no merecería reconocimiento pecuniario:</w:t>
      </w:r>
    </w:p>
    <w:p w14:paraId="72DD453B" w14:textId="77777777" w:rsidR="009D1250" w:rsidRPr="000E1704" w:rsidRDefault="009D1250" w:rsidP="009D1250">
      <w:pPr>
        <w:widowControl w:val="0"/>
        <w:autoSpaceDE w:val="0"/>
        <w:autoSpaceDN w:val="0"/>
        <w:spacing w:after="0" w:line="276" w:lineRule="auto"/>
        <w:jc w:val="both"/>
        <w:rPr>
          <w:rFonts w:ascii="Verdana" w:eastAsia="Calibri" w:hAnsi="Verdana" w:cs="Arial"/>
          <w:lang w:val="es-ES"/>
        </w:rPr>
      </w:pPr>
    </w:p>
    <w:p w14:paraId="2DB5E544" w14:textId="77777777" w:rsidR="009D1250" w:rsidRPr="00B41137" w:rsidRDefault="009D1250" w:rsidP="009D1250">
      <w:pPr>
        <w:widowControl w:val="0"/>
        <w:autoSpaceDE w:val="0"/>
        <w:autoSpaceDN w:val="0"/>
        <w:spacing w:after="0" w:line="240" w:lineRule="auto"/>
        <w:ind w:left="709" w:right="709"/>
        <w:jc w:val="both"/>
        <w:rPr>
          <w:rFonts w:ascii="Verdana" w:eastAsia="Calibri" w:hAnsi="Verdana" w:cs="Arial"/>
          <w:sz w:val="20"/>
          <w:szCs w:val="20"/>
          <w:lang w:val="es-ES"/>
        </w:rPr>
      </w:pPr>
      <w:r w:rsidRPr="00B41137">
        <w:rPr>
          <w:rFonts w:ascii="Verdana" w:eastAsia="Calibri" w:hAnsi="Verdana" w:cs="Arial"/>
          <w:sz w:val="20"/>
          <w:szCs w:val="20"/>
          <w:lang w:val="es-ES"/>
        </w:rPr>
        <w:t xml:space="preserve">“Pese a declararse en esta oportunidad la nulidad del acto de terminación unilateral del convenio, la Sala encuentra que no está llamada a prosperar la pretensión de incumplimiento ni el consecuencial reconocimiento de los perjuicios reclamados por la parte demandante […] [L]as partes no suscribieron el acta para dar inicio a la ejecución del convenio y la entidad demandada no impartió autorización que avalara las actividades de la fundación cooperante encaminadas a la ejecución prematura de sus obligaciones. En razón de lo anterior, pese a la declaratoria de nulidad del acta de terminación unilateral del convenio 497 de 2007, no es dable acceder a la pretensión de incumplimiento, en tanto no se suscribió el acta de inicio convenida por las partes como requisito para su ejecución, lo cual </w:t>
      </w:r>
      <w:r w:rsidRPr="00B41137">
        <w:rPr>
          <w:rFonts w:ascii="Verdana" w:eastAsia="Calibri" w:hAnsi="Verdana" w:cs="Arial"/>
          <w:sz w:val="20"/>
          <w:szCs w:val="20"/>
          <w:lang w:val="es-ES"/>
        </w:rPr>
        <w:lastRenderedPageBreak/>
        <w:t xml:space="preserve">significa </w:t>
      </w:r>
      <w:proofErr w:type="gramStart"/>
      <w:r w:rsidRPr="00B41137">
        <w:rPr>
          <w:rFonts w:ascii="Verdana" w:eastAsia="Calibri" w:hAnsi="Verdana" w:cs="Arial"/>
          <w:sz w:val="20"/>
          <w:szCs w:val="20"/>
          <w:lang w:val="es-ES"/>
        </w:rPr>
        <w:t>que</w:t>
      </w:r>
      <w:proofErr w:type="gramEnd"/>
      <w:r w:rsidRPr="00B41137">
        <w:rPr>
          <w:rFonts w:ascii="Verdana" w:eastAsia="Calibri" w:hAnsi="Verdana" w:cs="Arial"/>
          <w:sz w:val="20"/>
          <w:szCs w:val="20"/>
          <w:lang w:val="es-ES"/>
        </w:rPr>
        <w:t xml:space="preserve"> al momento de la terminación unilateral, no contaba el demandante con autorización para ejecutar las obligaciones contraídas con ocasión del contrato. En este orden, ante la ausencia de autorización, cualquier actividad desplegada por el cooperante no resultaría merecedora de reconocimiento pecuniario”.</w:t>
      </w:r>
    </w:p>
    <w:p w14:paraId="36292CDB" w14:textId="77777777" w:rsidR="009D1250" w:rsidRPr="000E1704" w:rsidRDefault="009D1250" w:rsidP="009D1250">
      <w:pPr>
        <w:widowControl w:val="0"/>
        <w:autoSpaceDE w:val="0"/>
        <w:autoSpaceDN w:val="0"/>
        <w:spacing w:after="0" w:line="276" w:lineRule="auto"/>
        <w:jc w:val="both"/>
        <w:rPr>
          <w:rFonts w:ascii="Verdana" w:eastAsia="Calibri" w:hAnsi="Verdana" w:cs="Arial"/>
          <w:lang w:val="es-ES"/>
        </w:rPr>
      </w:pPr>
    </w:p>
    <w:p w14:paraId="64AAAE84" w14:textId="2D9F74F9" w:rsidR="009D1250" w:rsidRDefault="00E65AC0" w:rsidP="009D1250">
      <w:pPr>
        <w:widowControl w:val="0"/>
        <w:autoSpaceDE w:val="0"/>
        <w:autoSpaceDN w:val="0"/>
        <w:spacing w:after="120" w:line="276" w:lineRule="auto"/>
        <w:ind w:firstLine="709"/>
        <w:jc w:val="both"/>
        <w:rPr>
          <w:rFonts w:ascii="Verdana" w:eastAsia="Calibri" w:hAnsi="Verdana" w:cs="Arial"/>
          <w:lang w:val="es-ES"/>
        </w:rPr>
      </w:pPr>
      <w:r>
        <w:rPr>
          <w:rFonts w:ascii="Verdana" w:eastAsia="Calibri" w:hAnsi="Verdana" w:cs="Arial"/>
          <w:lang w:val="es-ES"/>
        </w:rPr>
        <w:t xml:space="preserve">En </w:t>
      </w:r>
      <w:proofErr w:type="gramStart"/>
      <w:r>
        <w:rPr>
          <w:rFonts w:ascii="Verdana" w:eastAsia="Calibri" w:hAnsi="Verdana" w:cs="Arial"/>
          <w:lang w:val="es-ES"/>
        </w:rPr>
        <w:t>síntesis</w:t>
      </w:r>
      <w:proofErr w:type="gramEnd"/>
      <w:r>
        <w:rPr>
          <w:rFonts w:ascii="Verdana" w:eastAsia="Calibri" w:hAnsi="Verdana" w:cs="Arial"/>
          <w:lang w:val="es-ES"/>
        </w:rPr>
        <w:t xml:space="preserve"> se</w:t>
      </w:r>
      <w:r w:rsidR="009D1250" w:rsidRPr="000E1704">
        <w:rPr>
          <w:rFonts w:ascii="Verdana" w:eastAsia="Calibri" w:hAnsi="Verdana" w:cs="Arial"/>
          <w:lang w:val="es-ES"/>
        </w:rPr>
        <w:t>rá la Entidad Estatal entonces la que en principio defina, conforme a las circunstancias del caso en concreto, si el incumplimiento es relevante y si es susceptible de alguna medida sancionatoria que se encuentre previamente pactada.</w:t>
      </w:r>
    </w:p>
    <w:p w14:paraId="4CD553B8" w14:textId="77777777" w:rsidR="00E65AC0" w:rsidRDefault="00E65AC0" w:rsidP="00E65AC0">
      <w:pPr>
        <w:spacing w:after="120" w:line="276" w:lineRule="auto"/>
        <w:ind w:firstLine="709"/>
        <w:jc w:val="both"/>
        <w:rPr>
          <w:rFonts w:ascii="Verdana" w:eastAsia="Calibri" w:hAnsi="Verdana" w:cs="Arial"/>
        </w:rPr>
      </w:pPr>
    </w:p>
    <w:p w14:paraId="37785430" w14:textId="77777777" w:rsidR="00E65AC0" w:rsidRDefault="00E65AC0" w:rsidP="00E65AC0">
      <w:pPr>
        <w:spacing w:after="120" w:line="276" w:lineRule="auto"/>
        <w:ind w:firstLine="709"/>
        <w:jc w:val="both"/>
        <w:rPr>
          <w:rFonts w:ascii="Verdana" w:eastAsia="Calibri" w:hAnsi="Verdana" w:cs="Arial"/>
        </w:rPr>
      </w:pPr>
    </w:p>
    <w:p w14:paraId="389C8105" w14:textId="783222F9" w:rsidR="00E65AC0" w:rsidRDefault="00E65AC0" w:rsidP="00E65AC0">
      <w:pPr>
        <w:spacing w:after="120" w:line="276" w:lineRule="auto"/>
        <w:ind w:firstLine="709"/>
        <w:jc w:val="both"/>
        <w:rPr>
          <w:rFonts w:ascii="Verdana" w:eastAsia="Calibri" w:hAnsi="Verdana" w:cs="Arial"/>
        </w:rPr>
      </w:pPr>
      <w:r w:rsidRPr="004D131E">
        <w:rPr>
          <w:rFonts w:ascii="Verdana" w:eastAsia="Calibri" w:hAnsi="Verdana" w:cs="Arial"/>
        </w:rPr>
        <w:t>Ahora bien, por otra parte, un contratista de prestación de servicios tiene a su disposición solicitar la terminación anticipada del contrato en caso de que no sea su voluntad continuar con la ejecución de este. De cualquier modo, es claro que cualquier mecanismo debe estar precedido del acuerdo o autorización con la Entidad Estatal contratante, esto sin perjuicio de los demás mecanismos que las partes estimen procedentes en el marco de la autonomía de la voluntad. No obstante, es importante advertir que, si la solicitud de terminación anticipada obedece únicamente a la simple voluntad del contratista de no ejecutar el contrato, ello puede representar un grave riesgo, especialmente en contratos de obra ya adjudicados. Por ello, se deben revisar cuidadosamente las pólizas de seriedad de la oferta, cumplimiento y demás garantías, a fin de evitar vacíos que permitan una desvinculación unilateral sin consecuencias.</w:t>
      </w:r>
    </w:p>
    <w:p w14:paraId="2CA39593" w14:textId="670E78C0" w:rsidR="009D1250" w:rsidRPr="00D375FA" w:rsidRDefault="00E65AC0" w:rsidP="00E65AC0">
      <w:pPr>
        <w:spacing w:after="120" w:line="276" w:lineRule="auto"/>
        <w:jc w:val="both"/>
        <w:rPr>
          <w:rFonts w:ascii="Verdana" w:eastAsia="Calibri" w:hAnsi="Verdana" w:cs="Arial"/>
        </w:rPr>
      </w:pPr>
      <w:r>
        <w:rPr>
          <w:rFonts w:ascii="Verdana" w:eastAsia="Calibri" w:hAnsi="Verdana" w:cs="Arial"/>
        </w:rPr>
        <w:t xml:space="preserve">         Así las cosas</w:t>
      </w:r>
      <w:r w:rsidRPr="00D375FA">
        <w:rPr>
          <w:rFonts w:ascii="Verdana" w:eastAsia="Calibri" w:hAnsi="Verdana" w:cs="Arial"/>
        </w:rPr>
        <w:t xml:space="preserve">, corresponderá a la entidad estatal, con base en lo establecido en el contrato y en los estudios previos, evaluar si existe una disposición específica que condicione la viabilidad de la terminación </w:t>
      </w:r>
      <w:r>
        <w:rPr>
          <w:rFonts w:ascii="Verdana" w:eastAsia="Calibri" w:hAnsi="Verdana" w:cs="Arial"/>
        </w:rPr>
        <w:t xml:space="preserve">anticipada del contrato </w:t>
      </w:r>
      <w:r w:rsidRPr="00D375FA">
        <w:rPr>
          <w:rFonts w:ascii="Verdana" w:eastAsia="Calibri" w:hAnsi="Verdana" w:cs="Arial"/>
        </w:rPr>
        <w:t>a la suscripción del acta de inicio. En ese sentido, deberá revisarse el clausulado contractual, en particular las disposiciones sobre ejecución, causa</w:t>
      </w:r>
      <w:r>
        <w:rPr>
          <w:rFonts w:ascii="Verdana" w:eastAsia="Calibri" w:hAnsi="Verdana" w:cs="Arial"/>
        </w:rPr>
        <w:t>les</w:t>
      </w:r>
      <w:r w:rsidRPr="00D375FA">
        <w:rPr>
          <w:rFonts w:ascii="Verdana" w:eastAsia="Calibri" w:hAnsi="Verdana" w:cs="Arial"/>
        </w:rPr>
        <w:t xml:space="preserve"> de terminación y condiciones para la </w:t>
      </w:r>
      <w:r>
        <w:rPr>
          <w:rFonts w:ascii="Verdana" w:eastAsia="Calibri" w:hAnsi="Verdana" w:cs="Arial"/>
        </w:rPr>
        <w:t>misma</w:t>
      </w:r>
      <w:r w:rsidR="009D1250" w:rsidRPr="00D375FA">
        <w:rPr>
          <w:rFonts w:ascii="Verdana" w:eastAsia="Calibri" w:hAnsi="Verdana" w:cs="Arial"/>
        </w:rPr>
        <w:t>.</w:t>
      </w:r>
    </w:p>
    <w:p w14:paraId="1AADF3DC" w14:textId="77777777" w:rsidR="009D1250" w:rsidRPr="00D375FA" w:rsidRDefault="009D1250" w:rsidP="009D1250">
      <w:pPr>
        <w:spacing w:after="120" w:line="276" w:lineRule="auto"/>
        <w:jc w:val="both"/>
        <w:rPr>
          <w:rFonts w:ascii="Verdana" w:eastAsia="Calibri" w:hAnsi="Verdana" w:cs="Arial"/>
        </w:rPr>
      </w:pPr>
      <w:r>
        <w:rPr>
          <w:rFonts w:ascii="Verdana" w:eastAsia="Calibri" w:hAnsi="Verdana" w:cs="Arial"/>
        </w:rPr>
        <w:t xml:space="preserve">        </w:t>
      </w:r>
      <w:r w:rsidRPr="00D375FA">
        <w:rPr>
          <w:rFonts w:ascii="Verdana" w:eastAsia="Calibri" w:hAnsi="Verdana" w:cs="Arial"/>
        </w:rPr>
        <w:t>Asimismo, resulta indispensable acudir al Manual de Contratación de la entidad contratante, en tanto este documento establece los procedimientos internos y directrices que rigen la gestión contractua</w:t>
      </w:r>
      <w:r>
        <w:rPr>
          <w:rFonts w:ascii="Verdana" w:eastAsia="Calibri" w:hAnsi="Verdana" w:cs="Arial"/>
        </w:rPr>
        <w:t>l</w:t>
      </w:r>
      <w:r w:rsidRPr="00D375FA">
        <w:rPr>
          <w:rFonts w:ascii="Verdana" w:eastAsia="Calibri" w:hAnsi="Verdana" w:cs="Arial"/>
        </w:rPr>
        <w:t>. El manual puede contener instrucciones adicionales sobre la suscripción del acta de inicio, causales de terminación</w:t>
      </w:r>
      <w:r>
        <w:rPr>
          <w:rFonts w:ascii="Verdana" w:eastAsia="Calibri" w:hAnsi="Verdana" w:cs="Arial"/>
        </w:rPr>
        <w:t xml:space="preserve"> y </w:t>
      </w:r>
      <w:r w:rsidRPr="00D375FA">
        <w:rPr>
          <w:rFonts w:ascii="Verdana" w:eastAsia="Calibri" w:hAnsi="Verdana" w:cs="Arial"/>
        </w:rPr>
        <w:t>requisitos de formalización</w:t>
      </w:r>
      <w:r>
        <w:rPr>
          <w:rFonts w:ascii="Verdana" w:eastAsia="Calibri" w:hAnsi="Verdana" w:cs="Arial"/>
        </w:rPr>
        <w:t>.</w:t>
      </w:r>
    </w:p>
    <w:p w14:paraId="1E710608" w14:textId="77777777" w:rsidR="009D1250" w:rsidRPr="009A6F9B" w:rsidRDefault="009D1250" w:rsidP="009D1250">
      <w:pPr>
        <w:pStyle w:val="Textoindependiente"/>
        <w:spacing w:line="276" w:lineRule="auto"/>
        <w:ind w:firstLine="708"/>
        <w:jc w:val="both"/>
        <w:rPr>
          <w:rFonts w:ascii="Verdana" w:eastAsia="Calibri" w:hAnsi="Verdana" w:cs="Arial"/>
          <w:color w:val="000000" w:themeColor="text1"/>
        </w:rPr>
      </w:pPr>
      <w:r>
        <w:rPr>
          <w:rFonts w:ascii="Verdana" w:hAnsi="Verdana"/>
          <w:spacing w:val="-19"/>
        </w:rPr>
        <w:t>A</w:t>
      </w:r>
      <w:r w:rsidRPr="009A6F9B">
        <w:rPr>
          <w:rFonts w:ascii="Verdana" w:hAnsi="Verdana" w:cs="Arial"/>
          <w:lang w:eastAsia="es-ES"/>
        </w:rPr>
        <w:t xml:space="preserve">l margen de la explicación precedente debe advertirse que el análisis requerido para resolver problemas específicos en torno a la gestión contractual debe ser realizado por quienes tengan interés en ello, de acuerdo con lo </w:t>
      </w:r>
      <w:r w:rsidRPr="009A6F9B">
        <w:rPr>
          <w:rFonts w:ascii="Verdana" w:hAnsi="Verdana" w:cs="Arial"/>
          <w:lang w:eastAsia="es-ES"/>
        </w:rPr>
        <w:lastRenderedPageBreak/>
        <w:t>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10122D7" w14:textId="77777777" w:rsidR="009D1250" w:rsidRPr="009A6F9B" w:rsidRDefault="009D1250" w:rsidP="009D1250">
      <w:pPr>
        <w:spacing w:before="120" w:after="0" w:line="276" w:lineRule="auto"/>
        <w:ind w:firstLine="709"/>
        <w:jc w:val="both"/>
        <w:rPr>
          <w:rFonts w:ascii="Verdana" w:hAnsi="Verdana" w:cs="Arial"/>
          <w:lang w:eastAsia="es-ES"/>
        </w:rPr>
      </w:pPr>
      <w:r w:rsidRPr="009A6F9B">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3A28C50" w14:textId="77777777" w:rsidR="009D1250" w:rsidRDefault="009D1250" w:rsidP="009D1250">
      <w:pPr>
        <w:spacing w:after="0" w:line="276" w:lineRule="auto"/>
        <w:ind w:firstLine="708"/>
        <w:jc w:val="both"/>
        <w:rPr>
          <w:rFonts w:ascii="Verdana" w:eastAsia="Calibri" w:hAnsi="Verdana" w:cs="Arial"/>
          <w:lang w:val="es-ES"/>
        </w:rPr>
      </w:pPr>
    </w:p>
    <w:p w14:paraId="1DEDBCCB" w14:textId="77777777" w:rsidR="009D1250" w:rsidRPr="0060676F" w:rsidRDefault="009D1250" w:rsidP="009D1250">
      <w:pPr>
        <w:pStyle w:val="Prrafodelista"/>
        <w:numPr>
          <w:ilvl w:val="0"/>
          <w:numId w:val="16"/>
        </w:numPr>
        <w:spacing w:after="12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44708885" w14:textId="77777777" w:rsidR="009D1250" w:rsidRPr="00593A5F" w:rsidRDefault="009D1250" w:rsidP="009D1250">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D1250" w:rsidRPr="00593A5F" w14:paraId="36EA4639" w14:textId="77777777" w:rsidTr="00875B49">
        <w:trPr>
          <w:trHeight w:val="870"/>
        </w:trPr>
        <w:tc>
          <w:tcPr>
            <w:tcW w:w="8647" w:type="dxa"/>
          </w:tcPr>
          <w:p w14:paraId="2C3228D0" w14:textId="77777777" w:rsidR="009D1250" w:rsidRPr="00B41137" w:rsidRDefault="009D1250" w:rsidP="009D1250">
            <w:pPr>
              <w:pStyle w:val="Textoindependiente"/>
              <w:widowControl w:val="0"/>
              <w:numPr>
                <w:ilvl w:val="0"/>
                <w:numId w:val="17"/>
              </w:numPr>
              <w:tabs>
                <w:tab w:val="left" w:pos="816"/>
              </w:tabs>
              <w:autoSpaceDE w:val="0"/>
              <w:autoSpaceDN w:val="0"/>
              <w:spacing w:after="0" w:line="276" w:lineRule="auto"/>
              <w:ind w:right="108"/>
              <w:jc w:val="both"/>
              <w:rPr>
                <w:rFonts w:ascii="Verdana" w:hAnsi="Verdana" w:cs="Arial"/>
              </w:rPr>
            </w:pPr>
            <w:r w:rsidRPr="00B45E74">
              <w:rPr>
                <w:rFonts w:ascii="Verdana" w:hAnsi="Verdana" w:cs="Arial"/>
              </w:rPr>
              <w:t xml:space="preserve">Código Civil: Artículo 1500. </w:t>
            </w:r>
          </w:p>
          <w:p w14:paraId="1B548CE1" w14:textId="77777777" w:rsidR="009D1250" w:rsidRPr="000E1704" w:rsidRDefault="009D1250" w:rsidP="009D1250">
            <w:pPr>
              <w:pStyle w:val="Textoindependiente"/>
              <w:widowControl w:val="0"/>
              <w:numPr>
                <w:ilvl w:val="0"/>
                <w:numId w:val="17"/>
              </w:numPr>
              <w:tabs>
                <w:tab w:val="left" w:pos="816"/>
              </w:tabs>
              <w:autoSpaceDE w:val="0"/>
              <w:autoSpaceDN w:val="0"/>
              <w:spacing w:after="0" w:line="276" w:lineRule="auto"/>
              <w:ind w:right="108"/>
              <w:jc w:val="both"/>
              <w:rPr>
                <w:rFonts w:ascii="Verdana" w:hAnsi="Verdana" w:cs="Arial"/>
              </w:rPr>
            </w:pPr>
            <w:r w:rsidRPr="000E1704">
              <w:rPr>
                <w:rFonts w:ascii="Verdana" w:eastAsia="Times New Roman" w:hAnsi="Verdana" w:cs="Arial"/>
                <w:lang w:eastAsia="es-ES_tradnl"/>
              </w:rPr>
              <w:t>Ley 1150 de 2007.</w:t>
            </w:r>
            <w:r w:rsidRPr="000E1704">
              <w:rPr>
                <w:rFonts w:ascii="Verdana" w:eastAsia="Times New Roman" w:hAnsi="Verdana" w:cs="Arial"/>
                <w:lang w:val="es-ES_tradnl" w:eastAsia="es-ES_tradnl"/>
              </w:rPr>
              <w:t xml:space="preserve"> </w:t>
            </w:r>
            <w:r w:rsidRPr="000E1704">
              <w:rPr>
                <w:rFonts w:ascii="Verdana" w:eastAsia="Times New Roman" w:hAnsi="Verdana" w:cs="Arial"/>
                <w:lang w:eastAsia="es-ES_tradnl"/>
              </w:rPr>
              <w:t xml:space="preserve">Artículo 23. </w:t>
            </w:r>
          </w:p>
          <w:p w14:paraId="15AD5AFF" w14:textId="77777777" w:rsidR="009D1250" w:rsidRPr="00B41137" w:rsidRDefault="009D1250" w:rsidP="009D1250">
            <w:pPr>
              <w:pStyle w:val="Textoindependiente"/>
              <w:widowControl w:val="0"/>
              <w:numPr>
                <w:ilvl w:val="0"/>
                <w:numId w:val="17"/>
              </w:numPr>
              <w:tabs>
                <w:tab w:val="left" w:pos="816"/>
              </w:tabs>
              <w:autoSpaceDE w:val="0"/>
              <w:autoSpaceDN w:val="0"/>
              <w:spacing w:after="0" w:line="276" w:lineRule="auto"/>
              <w:ind w:right="108"/>
              <w:jc w:val="both"/>
              <w:rPr>
                <w:rFonts w:ascii="Verdana" w:hAnsi="Verdana" w:cs="Arial"/>
              </w:rPr>
            </w:pPr>
            <w:r w:rsidRPr="000E1704">
              <w:rPr>
                <w:rFonts w:ascii="Verdana" w:eastAsia="Times New Roman" w:hAnsi="Verdana" w:cs="Arial"/>
                <w:lang w:val="es-ES_tradnl" w:eastAsia="es-ES_tradnl"/>
              </w:rPr>
              <w:t>Ley 80 de 1993.</w:t>
            </w:r>
            <w:r>
              <w:rPr>
                <w:rFonts w:ascii="Verdana" w:eastAsia="Times New Roman" w:hAnsi="Verdana" w:cs="Arial"/>
                <w:lang w:val="es-ES_tradnl" w:eastAsia="es-ES_tradnl"/>
              </w:rPr>
              <w:t xml:space="preserve"> </w:t>
            </w:r>
            <w:r w:rsidRPr="000E1704">
              <w:rPr>
                <w:rFonts w:ascii="Verdana" w:eastAsia="Times New Roman" w:hAnsi="Verdana" w:cs="Arial"/>
                <w:lang w:val="es-ES_tradnl" w:eastAsia="es-ES_tradnl"/>
              </w:rPr>
              <w:t xml:space="preserve">Articulo 40 y 41. </w:t>
            </w:r>
          </w:p>
          <w:p w14:paraId="3688B883" w14:textId="77777777" w:rsidR="009D1250" w:rsidRPr="00B45E74" w:rsidRDefault="009D1250" w:rsidP="009D1250">
            <w:pPr>
              <w:pStyle w:val="Textoindependiente"/>
              <w:widowControl w:val="0"/>
              <w:numPr>
                <w:ilvl w:val="0"/>
                <w:numId w:val="17"/>
              </w:numPr>
              <w:tabs>
                <w:tab w:val="left" w:pos="816"/>
              </w:tabs>
              <w:autoSpaceDE w:val="0"/>
              <w:autoSpaceDN w:val="0"/>
              <w:spacing w:after="0" w:line="276" w:lineRule="auto"/>
              <w:ind w:right="108"/>
              <w:jc w:val="both"/>
              <w:rPr>
                <w:rFonts w:ascii="Verdana" w:hAnsi="Verdana" w:cs="Arial"/>
              </w:rPr>
            </w:pPr>
            <w:r w:rsidRPr="00B41137">
              <w:rPr>
                <w:rFonts w:ascii="Verdana" w:hAnsi="Verdana" w:cs="Arial"/>
                <w:color w:val="000000" w:themeColor="text1"/>
              </w:rPr>
              <w:t xml:space="preserve">Consejo de Estado. Sección tercera. Sentencia del 10 de mayo de 2018. </w:t>
            </w:r>
            <w:proofErr w:type="spellStart"/>
            <w:r w:rsidRPr="00B41137">
              <w:rPr>
                <w:rFonts w:ascii="Verdana" w:hAnsi="Verdana" w:cs="Arial"/>
                <w:color w:val="000000" w:themeColor="text1"/>
              </w:rPr>
              <w:t>Exp</w:t>
            </w:r>
            <w:proofErr w:type="spellEnd"/>
            <w:r w:rsidRPr="00B41137">
              <w:rPr>
                <w:rFonts w:ascii="Verdana" w:hAnsi="Verdana" w:cs="Arial"/>
                <w:color w:val="000000" w:themeColor="text1"/>
              </w:rPr>
              <w:t>. 41.186. C.P. Stella Conto Díaz del Castillo.</w:t>
            </w:r>
          </w:p>
          <w:p w14:paraId="361B4532" w14:textId="77777777" w:rsidR="009D1250" w:rsidRPr="00B41137" w:rsidRDefault="009D1250" w:rsidP="009D1250">
            <w:pPr>
              <w:pStyle w:val="Textoindependiente"/>
              <w:widowControl w:val="0"/>
              <w:numPr>
                <w:ilvl w:val="0"/>
                <w:numId w:val="17"/>
              </w:numPr>
              <w:tabs>
                <w:tab w:val="left" w:pos="816"/>
              </w:tabs>
              <w:autoSpaceDE w:val="0"/>
              <w:autoSpaceDN w:val="0"/>
              <w:spacing w:after="0" w:line="276" w:lineRule="auto"/>
              <w:ind w:right="108"/>
              <w:jc w:val="both"/>
              <w:rPr>
                <w:rFonts w:ascii="Verdana" w:hAnsi="Verdana" w:cs="Arial"/>
              </w:rPr>
            </w:pPr>
            <w:r w:rsidRPr="00B41137">
              <w:rPr>
                <w:rFonts w:ascii="Verdana" w:hAnsi="Verdana" w:cs="Arial"/>
                <w:lang w:val="es-ES"/>
              </w:rPr>
              <w:t xml:space="preserve">Consejo de Estado. Sección Tercera. Subsección C. Sentencia del 12 de agosto de 2014. Consejero Ponente: Enrique Gil Botero. Expediente: </w:t>
            </w:r>
            <w:r w:rsidRPr="00B41137">
              <w:rPr>
                <w:rFonts w:ascii="Verdana" w:hAnsi="Verdana" w:cs="Arial"/>
                <w:iCs/>
              </w:rPr>
              <w:t>28.565.</w:t>
            </w:r>
          </w:p>
          <w:p w14:paraId="4F3A4D34" w14:textId="77777777" w:rsidR="009D1250" w:rsidRPr="00B41137" w:rsidRDefault="009D1250" w:rsidP="009D1250">
            <w:pPr>
              <w:pStyle w:val="Textoindependiente"/>
              <w:widowControl w:val="0"/>
              <w:numPr>
                <w:ilvl w:val="0"/>
                <w:numId w:val="17"/>
              </w:numPr>
              <w:tabs>
                <w:tab w:val="left" w:pos="816"/>
              </w:tabs>
              <w:autoSpaceDE w:val="0"/>
              <w:autoSpaceDN w:val="0"/>
              <w:spacing w:after="0" w:line="276" w:lineRule="auto"/>
              <w:ind w:right="108"/>
              <w:jc w:val="both"/>
              <w:rPr>
                <w:rFonts w:ascii="Verdana" w:hAnsi="Verdana" w:cs="Arial"/>
              </w:rPr>
            </w:pPr>
            <w:r w:rsidRPr="00B41137">
              <w:rPr>
                <w:rFonts w:ascii="Verdana" w:hAnsi="Verdana" w:cs="Arial"/>
                <w:lang w:val="es-ES"/>
              </w:rPr>
              <w:t xml:space="preserve">Consejo de Estado. Sección Tercera. Subsección B. Sentencia del 3 de abril de 2020. Consejero Ponente: Ramiro Pazos Guerrero. Expediente: 46.963. </w:t>
            </w:r>
          </w:p>
          <w:p w14:paraId="0AB0AD05" w14:textId="77777777" w:rsidR="009D1250" w:rsidRPr="00112483" w:rsidRDefault="009D1250" w:rsidP="009D1250">
            <w:pPr>
              <w:pStyle w:val="Prrafodelista"/>
              <w:widowControl w:val="0"/>
              <w:numPr>
                <w:ilvl w:val="0"/>
                <w:numId w:val="17"/>
              </w:numPr>
              <w:autoSpaceDE w:val="0"/>
              <w:autoSpaceDN w:val="0"/>
              <w:spacing w:after="120" w:line="276" w:lineRule="auto"/>
              <w:jc w:val="both"/>
              <w:rPr>
                <w:rFonts w:ascii="Verdana" w:hAnsi="Verdana" w:cs="Arial"/>
              </w:rPr>
            </w:pPr>
            <w:r w:rsidRPr="00B41137">
              <w:rPr>
                <w:rFonts w:ascii="Verdana" w:hAnsi="Verdana" w:cs="Arial"/>
              </w:rPr>
              <w:t>EXPÓSITO VÉLEZ, Juan Carlos. Forma y contenido del contrato estatal. Bogotá: Universidad Externado de Colombia, 2013. pp. 28-29.</w:t>
            </w:r>
          </w:p>
        </w:tc>
      </w:tr>
    </w:tbl>
    <w:p w14:paraId="5494D564" w14:textId="77777777" w:rsidR="009D1250" w:rsidRDefault="009D1250" w:rsidP="009D125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CCB519D" w14:textId="77777777" w:rsidR="009D1250" w:rsidRDefault="009D1250" w:rsidP="009D1250">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F06F0A4" w14:textId="77777777" w:rsidR="009D1250" w:rsidRPr="00593A5F" w:rsidRDefault="009D1250" w:rsidP="009D125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84AA01D" w14:textId="77777777" w:rsidR="009D1250" w:rsidRPr="00AE7E03" w:rsidRDefault="009D1250" w:rsidP="009D1250">
      <w:pPr>
        <w:widowControl w:val="0"/>
        <w:autoSpaceDE w:val="0"/>
        <w:autoSpaceDN w:val="0"/>
        <w:spacing w:after="0" w:line="276" w:lineRule="auto"/>
        <w:jc w:val="both"/>
        <w:rPr>
          <w:rFonts w:ascii="Verdana" w:eastAsia="Arial" w:hAnsi="Verdana" w:cs="Arial"/>
          <w:lang w:val="es-MX" w:eastAsia="es-ES_tradnl"/>
        </w:rPr>
      </w:pPr>
      <w:r w:rsidRPr="000E1704">
        <w:rPr>
          <w:rFonts w:ascii="Verdana" w:eastAsia="Calibri" w:hAnsi="Verdana" w:cs="Arial"/>
          <w:lang w:val="es-ES"/>
        </w:rPr>
        <w:t xml:space="preserve">La Agencia Nacional de Contratación Pública – Colombia Compra Eficiente analizó el acta de inicio como requisito de ejecución convencional del contrato Estatal en los conceptos C- 053 del 7 de mayo de 2024, C– 638 de 2022, C-797 del 22 </w:t>
      </w:r>
      <w:r w:rsidRPr="000E1704">
        <w:rPr>
          <w:rFonts w:ascii="Verdana" w:eastAsia="Calibri" w:hAnsi="Verdana" w:cs="Arial"/>
          <w:lang w:val="es-ES"/>
        </w:rPr>
        <w:lastRenderedPageBreak/>
        <w:t>de enero de 2021, C-797 de 2020 638 de 10 de octubre de 2022, 053 del 13 de mayo de 2024</w:t>
      </w:r>
      <w:r>
        <w:rPr>
          <w:rFonts w:ascii="Verdana" w:eastAsia="Calibri" w:hAnsi="Verdana" w:cs="Arial"/>
          <w:lang w:val="es-ES"/>
        </w:rPr>
        <w:t>, C-464 del 16 de mayo de 2025 y C-625 del 01 de julio de 2025</w:t>
      </w:r>
      <w:r>
        <w:rPr>
          <w:rFonts w:ascii="Verdana" w:eastAsia="Calibri" w:hAnsi="Verdana" w:cs="Arial"/>
          <w:shd w:val="clear" w:color="auto" w:fill="FFFFFF"/>
        </w:rPr>
        <w:t>.</w:t>
      </w:r>
      <w:r w:rsidRPr="00185EE9">
        <w:rPr>
          <w:rFonts w:ascii="Verdana" w:eastAsia="Calibri" w:hAnsi="Verdana" w:cs="Times New Roman"/>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1ED5EE3" w14:textId="77777777" w:rsidR="009D1250" w:rsidRPr="0065720B" w:rsidRDefault="00613375" w:rsidP="009D1250">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009D1250" w:rsidRPr="00085526">
          <w:rPr>
            <w:rStyle w:val="Hipervnculo"/>
            <w:rFonts w:ascii="Verdana" w:eastAsia="Calibri" w:hAnsi="Verdana" w:cs="Times New Roman"/>
            <w:lang w:val="es-ES"/>
          </w:rPr>
          <w:t>https://relatoria.colombiacompra.gov.co/busqueda/conceptos</w:t>
        </w:r>
      </w:hyperlink>
      <w:r w:rsidR="009D1250" w:rsidRPr="00185EE9">
        <w:rPr>
          <w:rFonts w:ascii="Verdana" w:eastAsia="Calibri" w:hAnsi="Verdana" w:cs="Times New Roman"/>
        </w:rPr>
        <w:t>.</w:t>
      </w:r>
    </w:p>
    <w:p w14:paraId="4A5E08F3" w14:textId="77777777" w:rsidR="009D1250" w:rsidRPr="00505CD6" w:rsidRDefault="009D1250" w:rsidP="009D1250">
      <w:pPr>
        <w:widowControl w:val="0"/>
        <w:autoSpaceDE w:val="0"/>
        <w:autoSpaceDN w:val="0"/>
        <w:spacing w:after="0" w:line="276" w:lineRule="auto"/>
        <w:jc w:val="both"/>
        <w:rPr>
          <w:rFonts w:ascii="Verdana" w:hAnsi="Verdana" w:cs="Arial"/>
          <w:color w:val="000000" w:themeColor="text1"/>
          <w:shd w:val="clear" w:color="auto" w:fill="FFFFFF"/>
        </w:rPr>
      </w:pPr>
    </w:p>
    <w:p w14:paraId="148A2DFE" w14:textId="77777777" w:rsidR="009D1250" w:rsidRDefault="009D1250" w:rsidP="009D1250">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14:paraId="14132957" w14:textId="77777777" w:rsidR="009D1250" w:rsidRDefault="009D1250" w:rsidP="009D1250">
      <w:pPr>
        <w:widowControl w:val="0"/>
        <w:autoSpaceDE w:val="0"/>
        <w:autoSpaceDN w:val="0"/>
        <w:spacing w:after="0" w:line="276" w:lineRule="auto"/>
        <w:jc w:val="both"/>
      </w:pPr>
    </w:p>
    <w:p w14:paraId="3E25ADB2" w14:textId="77777777" w:rsidR="009D1250" w:rsidRPr="00505CD6" w:rsidRDefault="009D1250" w:rsidP="009D1250">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6855D41" w14:textId="77777777" w:rsidR="009D1250" w:rsidRPr="00505CD6" w:rsidRDefault="009D1250" w:rsidP="009D1250">
      <w:pPr>
        <w:widowControl w:val="0"/>
        <w:autoSpaceDE w:val="0"/>
        <w:autoSpaceDN w:val="0"/>
        <w:spacing w:after="0" w:line="276" w:lineRule="auto"/>
        <w:jc w:val="both"/>
        <w:rPr>
          <w:rFonts w:ascii="Verdana" w:hAnsi="Verdana" w:cs="Arial"/>
        </w:rPr>
      </w:pPr>
    </w:p>
    <w:p w14:paraId="05576D6B" w14:textId="77777777" w:rsidR="009D1250" w:rsidRPr="00505CD6" w:rsidRDefault="009D1250" w:rsidP="009D1250">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60D5D71" w14:textId="77777777" w:rsidR="009D1250" w:rsidRDefault="009D1250" w:rsidP="009D1250">
      <w:pPr>
        <w:spacing w:line="276" w:lineRule="auto"/>
        <w:jc w:val="center"/>
        <w:rPr>
          <w:rFonts w:ascii="Verdana" w:hAnsi="Verdana"/>
          <w:noProof/>
        </w:rPr>
      </w:pPr>
    </w:p>
    <w:p w14:paraId="49C67B09" w14:textId="19172B02" w:rsidR="009D1250" w:rsidRDefault="009964AC" w:rsidP="009D1250">
      <w:pPr>
        <w:spacing w:line="276" w:lineRule="auto"/>
        <w:jc w:val="center"/>
        <w:rPr>
          <w:rFonts w:ascii="Verdana" w:hAnsi="Verdana"/>
          <w:noProof/>
        </w:rPr>
      </w:pPr>
      <w:r>
        <w:rPr>
          <w:rFonts w:ascii="Verdana" w:hAnsi="Verdana"/>
          <w:noProof/>
        </w:rPr>
        <w:drawing>
          <wp:inline distT="0" distB="0" distL="0" distR="0" wp14:anchorId="28D9B0E3" wp14:editId="696C4924">
            <wp:extent cx="2603500" cy="1091602"/>
            <wp:effectExtent l="0" t="0" r="6350" b="0"/>
            <wp:docPr id="135618248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23218" cy="1099869"/>
                    </a:xfrm>
                    <a:prstGeom prst="rect">
                      <a:avLst/>
                    </a:prstGeom>
                    <a:noFill/>
                  </pic:spPr>
                </pic:pic>
              </a:graphicData>
            </a:graphic>
          </wp:inline>
        </w:drawing>
      </w:r>
    </w:p>
    <w:p w14:paraId="5E6AF0F1" w14:textId="77777777" w:rsidR="009D1250" w:rsidRDefault="009D1250" w:rsidP="009D1250">
      <w:pPr>
        <w:spacing w:line="276" w:lineRule="auto"/>
        <w:jc w:val="center"/>
        <w:rPr>
          <w:rFonts w:ascii="Verdana" w:hAnsi="Verdana"/>
          <w:noProof/>
          <w:color w:val="000000"/>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D1250" w:rsidRPr="00593A5F" w14:paraId="4876BE9E" w14:textId="77777777" w:rsidTr="00875B49">
        <w:trPr>
          <w:trHeight w:val="315"/>
        </w:trPr>
        <w:tc>
          <w:tcPr>
            <w:tcW w:w="893" w:type="dxa"/>
            <w:vAlign w:val="center"/>
            <w:hideMark/>
          </w:tcPr>
          <w:p w14:paraId="47AA443D" w14:textId="77777777" w:rsidR="009D1250" w:rsidRPr="003751C7" w:rsidRDefault="009D1250" w:rsidP="00875B49">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A08A735" w14:textId="77777777" w:rsidR="009D1250" w:rsidRPr="007911EE" w:rsidRDefault="009D1250" w:rsidP="00875B49">
            <w:pPr>
              <w:contextualSpacing/>
              <w:rPr>
                <w:rFonts w:ascii="Verdana" w:hAnsi="Verdana"/>
                <w:sz w:val="16"/>
                <w:szCs w:val="16"/>
              </w:rPr>
            </w:pPr>
            <w:r w:rsidRPr="007911EE">
              <w:rPr>
                <w:rFonts w:ascii="Verdana" w:hAnsi="Verdana"/>
                <w:sz w:val="16"/>
                <w:szCs w:val="16"/>
              </w:rPr>
              <w:t xml:space="preserve">Nicolas Andrés Guzmán </w:t>
            </w:r>
          </w:p>
          <w:p w14:paraId="69038E4B" w14:textId="77777777" w:rsidR="009D1250" w:rsidRPr="007911EE" w:rsidRDefault="009D1250" w:rsidP="00875B49">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9D1250" w:rsidRPr="00593A5F" w14:paraId="55A05401" w14:textId="77777777" w:rsidTr="00875B49">
        <w:trPr>
          <w:trHeight w:val="330"/>
        </w:trPr>
        <w:tc>
          <w:tcPr>
            <w:tcW w:w="893" w:type="dxa"/>
            <w:vAlign w:val="center"/>
            <w:hideMark/>
          </w:tcPr>
          <w:p w14:paraId="0E7B9868" w14:textId="77777777" w:rsidR="009D1250" w:rsidRPr="003751C7" w:rsidRDefault="009D1250" w:rsidP="00875B4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927B90" w14:textId="475A362C" w:rsidR="009D1250" w:rsidRDefault="009D1250" w:rsidP="00875B49">
            <w:pPr>
              <w:spacing w:line="276" w:lineRule="auto"/>
              <w:contextualSpacing/>
              <w:jc w:val="both"/>
              <w:rPr>
                <w:rFonts w:ascii="Verdana" w:hAnsi="Verdana"/>
                <w:sz w:val="16"/>
                <w:szCs w:val="16"/>
              </w:rPr>
            </w:pPr>
            <w:r w:rsidRPr="00720339">
              <w:rPr>
                <w:rFonts w:ascii="Verdana" w:hAnsi="Verdana"/>
                <w:sz w:val="16"/>
                <w:szCs w:val="16"/>
              </w:rPr>
              <w:t>Juan Carlos González</w:t>
            </w:r>
            <w:r w:rsidR="7856133A" w:rsidRPr="23413563">
              <w:rPr>
                <w:rFonts w:ascii="Verdana" w:hAnsi="Verdana"/>
                <w:sz w:val="16"/>
                <w:szCs w:val="16"/>
              </w:rPr>
              <w:t xml:space="preserve"> Vásquez</w:t>
            </w:r>
          </w:p>
          <w:p w14:paraId="2C9B1C7B" w14:textId="77777777" w:rsidR="009D1250" w:rsidRPr="007911EE" w:rsidRDefault="009D1250" w:rsidP="00875B49">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9D1250" w:rsidRPr="00593A5F" w14:paraId="3E4852F5" w14:textId="77777777" w:rsidTr="00875B49">
        <w:trPr>
          <w:trHeight w:val="330"/>
        </w:trPr>
        <w:tc>
          <w:tcPr>
            <w:tcW w:w="893" w:type="dxa"/>
            <w:vAlign w:val="center"/>
          </w:tcPr>
          <w:p w14:paraId="02C3827C" w14:textId="77777777" w:rsidR="009D1250" w:rsidRPr="003751C7" w:rsidRDefault="009D1250" w:rsidP="00875B49">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171738A" w14:textId="7B03DFFD" w:rsidR="009D1250" w:rsidRPr="00EB1CF7" w:rsidRDefault="009D1250" w:rsidP="00875B49">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Ana Maria Tolosa</w:t>
            </w:r>
            <w:r w:rsidR="009964AC">
              <w:rPr>
                <w:rFonts w:ascii="Verdana" w:eastAsia="Calibri" w:hAnsi="Verdana" w:cs="Arial"/>
                <w:sz w:val="16"/>
                <w:szCs w:val="16"/>
                <w:lang w:val="pt-BR" w:eastAsia="es-ES"/>
              </w:rPr>
              <w:t xml:space="preserve"> Rico</w:t>
            </w:r>
          </w:p>
          <w:p w14:paraId="186A3A39" w14:textId="5EB4EE4F" w:rsidR="009D1250" w:rsidRDefault="009D1250" w:rsidP="00875B49">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w:t>
            </w:r>
            <w:proofErr w:type="spellStart"/>
            <w:r w:rsidRPr="00EB1CF7">
              <w:rPr>
                <w:rFonts w:ascii="Verdana" w:eastAsia="Calibri" w:hAnsi="Verdana" w:cs="Arial"/>
                <w:sz w:val="16"/>
                <w:szCs w:val="16"/>
                <w:lang w:val="pt-BR" w:eastAsia="es-ES"/>
              </w:rPr>
              <w:t>Contra</w:t>
            </w:r>
            <w:r w:rsidR="009964AC">
              <w:rPr>
                <w:rFonts w:ascii="Verdana" w:eastAsia="Calibri" w:hAnsi="Verdana" w:cs="Arial"/>
                <w:sz w:val="16"/>
                <w:szCs w:val="16"/>
                <w:lang w:val="pt-BR" w:eastAsia="es-ES"/>
              </w:rPr>
              <w:t>c</w:t>
            </w:r>
            <w:r w:rsidRPr="00EB1CF7">
              <w:rPr>
                <w:rFonts w:ascii="Verdana" w:eastAsia="Calibri" w:hAnsi="Verdana" w:cs="Arial"/>
                <w:sz w:val="16"/>
                <w:szCs w:val="16"/>
                <w:lang w:val="pt-BR" w:eastAsia="es-ES"/>
              </w:rPr>
              <w:t>tual</w:t>
            </w:r>
            <w:proofErr w:type="spellEnd"/>
            <w:r>
              <w:rPr>
                <w:rFonts w:ascii="Verdana" w:eastAsia="Calibri" w:hAnsi="Verdana" w:cs="Arial"/>
                <w:sz w:val="16"/>
                <w:szCs w:val="16"/>
                <w:lang w:val="pt-BR" w:eastAsia="es-ES"/>
              </w:rPr>
              <w:t xml:space="preserve"> (E)</w:t>
            </w:r>
            <w:r w:rsidRPr="00EB1CF7">
              <w:rPr>
                <w:rFonts w:ascii="Verdana" w:eastAsia="Calibri" w:hAnsi="Verdana" w:cs="Arial"/>
                <w:sz w:val="16"/>
                <w:szCs w:val="16"/>
                <w:lang w:val="pt-BR" w:eastAsia="es-ES"/>
              </w:rPr>
              <w:t xml:space="preserve"> ANCP – CCE</w:t>
            </w:r>
          </w:p>
        </w:tc>
      </w:tr>
      <w:bookmarkEnd w:id="1"/>
      <w:bookmarkEnd w:id="2"/>
      <w:bookmarkEnd w:id="3"/>
    </w:tbl>
    <w:p w14:paraId="6AE5D4E6" w14:textId="77777777" w:rsidR="001E04C7" w:rsidRPr="001E04C7" w:rsidRDefault="001E04C7" w:rsidP="001E04C7">
      <w:pPr>
        <w:rPr>
          <w:lang w:val="es-ES"/>
        </w:rPr>
      </w:pPr>
    </w:p>
    <w:sectPr w:rsidR="001E04C7" w:rsidRPr="001E04C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74DD4" w14:textId="77777777" w:rsidR="00613375" w:rsidRDefault="00613375" w:rsidP="004A1847">
      <w:pPr>
        <w:spacing w:after="0" w:line="240" w:lineRule="auto"/>
      </w:pPr>
      <w:r>
        <w:separator/>
      </w:r>
    </w:p>
  </w:endnote>
  <w:endnote w:type="continuationSeparator" w:id="0">
    <w:p w14:paraId="18D6B119" w14:textId="77777777" w:rsidR="00613375" w:rsidRDefault="0061337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EDBBFF" w14:textId="77777777" w:rsidR="00613375" w:rsidRDefault="00613375" w:rsidP="004A1847">
      <w:pPr>
        <w:spacing w:after="0" w:line="240" w:lineRule="auto"/>
      </w:pPr>
      <w:r>
        <w:separator/>
      </w:r>
    </w:p>
  </w:footnote>
  <w:footnote w:type="continuationSeparator" w:id="0">
    <w:p w14:paraId="5B24A41B" w14:textId="77777777" w:rsidR="00613375" w:rsidRDefault="00613375" w:rsidP="004A1847">
      <w:pPr>
        <w:spacing w:after="0" w:line="240" w:lineRule="auto"/>
      </w:pPr>
      <w:r>
        <w:continuationSeparator/>
      </w:r>
    </w:p>
  </w:footnote>
  <w:footnote w:id="1">
    <w:p w14:paraId="51001C2B" w14:textId="77777777" w:rsidR="009D1250" w:rsidRPr="00CA1F2A" w:rsidRDefault="009D1250" w:rsidP="009D1250">
      <w:pPr>
        <w:spacing w:after="0" w:line="240" w:lineRule="auto"/>
        <w:ind w:firstLine="708"/>
        <w:jc w:val="both"/>
        <w:rPr>
          <w:rFonts w:ascii="Verdana" w:hAnsi="Verdana" w:cs="Arial"/>
          <w:sz w:val="16"/>
          <w:szCs w:val="16"/>
          <w:lang w:val="es-ES"/>
        </w:rPr>
      </w:pPr>
      <w:r w:rsidRPr="00CA1F2A">
        <w:rPr>
          <w:rStyle w:val="Refdenotaalpie"/>
          <w:rFonts w:ascii="Verdana" w:hAnsi="Verdana" w:cs="Arial"/>
          <w:sz w:val="16"/>
          <w:szCs w:val="16"/>
        </w:rPr>
        <w:footnoteRef/>
      </w:r>
      <w:r w:rsidRPr="00CA1F2A">
        <w:rPr>
          <w:rFonts w:ascii="Verdana" w:hAnsi="Verdana" w:cs="Arial"/>
          <w:sz w:val="16"/>
          <w:szCs w:val="16"/>
        </w:rPr>
        <w:t xml:space="preserve"> </w:t>
      </w:r>
      <w:r w:rsidRPr="00CA1F2A">
        <w:rPr>
          <w:rFonts w:ascii="Verdana" w:hAnsi="Verdana" w:cs="Arial"/>
          <w:sz w:val="16"/>
          <w:szCs w:val="16"/>
          <w:lang w:val="es-ES"/>
        </w:rPr>
        <w:t>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p w14:paraId="0C458E77" w14:textId="77777777" w:rsidR="009D1250" w:rsidRPr="00CA1F2A" w:rsidRDefault="009D1250" w:rsidP="009D1250">
      <w:pPr>
        <w:spacing w:after="0" w:line="240" w:lineRule="auto"/>
        <w:jc w:val="both"/>
        <w:rPr>
          <w:rFonts w:ascii="Verdana" w:hAnsi="Verdana" w:cs="Arial"/>
          <w:sz w:val="16"/>
          <w:szCs w:val="16"/>
          <w:lang w:val="es-ES"/>
        </w:rPr>
      </w:pPr>
      <w:r>
        <w:rPr>
          <w:rFonts w:ascii="Verdana" w:hAnsi="Verdana" w:cs="Arial"/>
          <w:sz w:val="16"/>
          <w:szCs w:val="16"/>
          <w:lang w:val="es-ES"/>
        </w:rPr>
        <w:tab/>
      </w:r>
    </w:p>
  </w:footnote>
  <w:footnote w:id="2">
    <w:p w14:paraId="637733D6" w14:textId="77777777" w:rsidR="009D1250" w:rsidRPr="00CA1F2A" w:rsidRDefault="009D1250" w:rsidP="009D1250">
      <w:pPr>
        <w:spacing w:after="0" w:line="240" w:lineRule="auto"/>
        <w:ind w:firstLine="708"/>
        <w:jc w:val="both"/>
        <w:rPr>
          <w:rFonts w:ascii="Verdana" w:hAnsi="Verdana" w:cs="Arial"/>
          <w:sz w:val="16"/>
          <w:szCs w:val="16"/>
          <w:lang w:val="es-ES"/>
        </w:rPr>
      </w:pPr>
      <w:r w:rsidRPr="00CA1F2A">
        <w:rPr>
          <w:rStyle w:val="Refdenotaalpie"/>
          <w:rFonts w:ascii="Verdana" w:hAnsi="Verdana" w:cs="Arial"/>
          <w:sz w:val="16"/>
          <w:szCs w:val="16"/>
        </w:rPr>
        <w:footnoteRef/>
      </w:r>
      <w:r w:rsidRPr="00CA1F2A">
        <w:rPr>
          <w:rFonts w:ascii="Verdana" w:hAnsi="Verdana" w:cs="Arial"/>
          <w:sz w:val="16"/>
          <w:szCs w:val="16"/>
        </w:rPr>
        <w:t xml:space="preserve"> </w:t>
      </w:r>
      <w:r w:rsidRPr="00CA1F2A">
        <w:rPr>
          <w:rFonts w:ascii="Verdana" w:hAnsi="Verdana" w:cs="Arial"/>
          <w:sz w:val="16"/>
          <w:szCs w:val="16"/>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6F0C72F4" w14:textId="77777777" w:rsidR="009D1250" w:rsidRPr="00CA1F2A" w:rsidRDefault="009D1250" w:rsidP="009D1250">
      <w:pPr>
        <w:spacing w:after="0" w:line="240" w:lineRule="auto"/>
        <w:jc w:val="both"/>
        <w:rPr>
          <w:rFonts w:ascii="Verdana" w:hAnsi="Verdana" w:cs="Arial"/>
          <w:sz w:val="16"/>
          <w:szCs w:val="16"/>
          <w:lang w:val="es-ES"/>
        </w:rPr>
      </w:pPr>
    </w:p>
  </w:footnote>
  <w:footnote w:id="3">
    <w:p w14:paraId="4BA2EF27" w14:textId="77777777" w:rsidR="009D1250" w:rsidRPr="00CA1F2A" w:rsidRDefault="009D1250" w:rsidP="009D1250">
      <w:pPr>
        <w:pStyle w:val="Textonotapie"/>
        <w:ind w:firstLine="708"/>
        <w:jc w:val="both"/>
        <w:rPr>
          <w:rFonts w:ascii="Verdana" w:hAnsi="Verdana" w:cs="Arial"/>
          <w:sz w:val="16"/>
          <w:szCs w:val="16"/>
          <w:lang w:val="es-ES"/>
        </w:rPr>
      </w:pPr>
      <w:r w:rsidRPr="00CA1F2A">
        <w:rPr>
          <w:rStyle w:val="Refdenotaalpie"/>
          <w:rFonts w:ascii="Verdana" w:hAnsi="Verdana" w:cs="Arial"/>
          <w:sz w:val="16"/>
          <w:szCs w:val="16"/>
        </w:rPr>
        <w:footnoteRef/>
      </w:r>
      <w:r w:rsidRPr="00CA1F2A">
        <w:rPr>
          <w:rFonts w:ascii="Verdana" w:hAnsi="Verdana" w:cs="Arial"/>
          <w:sz w:val="16"/>
          <w:szCs w:val="16"/>
        </w:rPr>
        <w:t xml:space="preserve"> </w:t>
      </w:r>
      <w:r w:rsidRPr="00CA1F2A">
        <w:rPr>
          <w:rFonts w:ascii="Verdana" w:hAnsi="Verdana" w:cs="Arial"/>
          <w:sz w:val="16"/>
          <w:szCs w:val="16"/>
          <w:lang w:val="es-ES"/>
        </w:rPr>
        <w:t>EXPÓSITO VÉLEZ, Juan Carlos. Forma y contenido del contrato estatal. Bogotá: Universidad Externado de Colombia, 2013. pp. 28-29.</w:t>
      </w:r>
    </w:p>
    <w:p w14:paraId="44BD9664" w14:textId="77777777" w:rsidR="009D1250" w:rsidRPr="00CA1F2A" w:rsidRDefault="009D1250" w:rsidP="009D1250">
      <w:pPr>
        <w:pStyle w:val="Textonotapie"/>
        <w:jc w:val="both"/>
        <w:rPr>
          <w:rFonts w:ascii="Verdana" w:hAnsi="Verdana" w:cs="Arial"/>
          <w:sz w:val="16"/>
          <w:szCs w:val="16"/>
          <w:lang w:val="es-ES"/>
        </w:rPr>
      </w:pPr>
    </w:p>
  </w:footnote>
  <w:footnote w:id="4">
    <w:p w14:paraId="383F5165" w14:textId="77777777" w:rsidR="009D1250" w:rsidRPr="00CA1F2A" w:rsidRDefault="009D1250" w:rsidP="009D1250">
      <w:pPr>
        <w:pStyle w:val="Textonotapie"/>
        <w:ind w:firstLine="708"/>
        <w:jc w:val="both"/>
        <w:rPr>
          <w:rFonts w:ascii="Verdana" w:hAnsi="Verdana" w:cs="Arial"/>
          <w:color w:val="000000" w:themeColor="text1"/>
          <w:sz w:val="16"/>
          <w:szCs w:val="16"/>
        </w:rPr>
      </w:pPr>
      <w:r w:rsidRPr="00CA1F2A">
        <w:rPr>
          <w:rStyle w:val="Refdenotaalpie"/>
          <w:rFonts w:ascii="Verdana" w:hAnsi="Verdana" w:cs="Arial"/>
          <w:sz w:val="16"/>
          <w:szCs w:val="16"/>
        </w:rPr>
        <w:footnoteRef/>
      </w:r>
      <w:r w:rsidRPr="00CA1F2A">
        <w:rPr>
          <w:rFonts w:ascii="Verdana" w:hAnsi="Verdana" w:cs="Arial"/>
          <w:color w:val="000000" w:themeColor="text1"/>
          <w:sz w:val="16"/>
          <w:szCs w:val="16"/>
        </w:rPr>
        <w:t xml:space="preserve"> CONSEJO DE ESTADO. Sección tercera. Sentencia del 10 de mayo de 2018. Exp. 41.186. C.P. Stella Conto Díaz del Castillo.</w:t>
      </w:r>
    </w:p>
    <w:p w14:paraId="70226C13" w14:textId="77777777" w:rsidR="009D1250" w:rsidRPr="00CA1F2A" w:rsidRDefault="009D1250" w:rsidP="009D1250">
      <w:pPr>
        <w:pStyle w:val="Textonotapie"/>
        <w:jc w:val="both"/>
        <w:rPr>
          <w:rFonts w:ascii="Verdana" w:hAnsi="Verdana" w:cs="Arial"/>
          <w:color w:val="000000" w:themeColor="text1"/>
          <w:sz w:val="16"/>
          <w:szCs w:val="16"/>
          <w:lang w:val="es-ES"/>
        </w:rPr>
      </w:pPr>
    </w:p>
  </w:footnote>
  <w:footnote w:id="5">
    <w:p w14:paraId="739913AE" w14:textId="77777777" w:rsidR="009D1250" w:rsidRPr="00CA1F2A" w:rsidRDefault="009D1250" w:rsidP="009D1250">
      <w:pPr>
        <w:pStyle w:val="Textonotapie"/>
        <w:ind w:firstLine="708"/>
        <w:jc w:val="both"/>
        <w:rPr>
          <w:rFonts w:ascii="Verdana" w:hAnsi="Verdana" w:cs="Arial"/>
          <w:iCs/>
          <w:sz w:val="16"/>
          <w:szCs w:val="16"/>
        </w:rPr>
      </w:pPr>
      <w:r w:rsidRPr="00CA1F2A">
        <w:rPr>
          <w:rStyle w:val="Refdenotaalpie"/>
          <w:rFonts w:ascii="Verdana" w:hAnsi="Verdana" w:cs="Arial"/>
          <w:sz w:val="16"/>
          <w:szCs w:val="16"/>
        </w:rPr>
        <w:footnoteRef/>
      </w:r>
      <w:r w:rsidRPr="00CA1F2A">
        <w:rPr>
          <w:rFonts w:ascii="Verdana" w:hAnsi="Verdana" w:cs="Arial"/>
          <w:sz w:val="16"/>
          <w:szCs w:val="16"/>
        </w:rPr>
        <w:t xml:space="preserve"> </w:t>
      </w:r>
      <w:r w:rsidRPr="00CA1F2A">
        <w:rPr>
          <w:rFonts w:ascii="Verdana" w:eastAsia="Calibri" w:hAnsi="Verdana" w:cs="Arial"/>
          <w:color w:val="000000"/>
          <w:sz w:val="16"/>
          <w:szCs w:val="16"/>
          <w:lang w:val="es-ES_tradnl" w:eastAsia="en-GB"/>
        </w:rPr>
        <w:t xml:space="preserve">A esta conclusión llegó la Sección Tercera del CONSEJO DE ESTADO en la sentencia del 12 de agosto de 2014, luego de distinguir los requisitos de perfeccionamiento respecto de los requisitos de ejecución de los contratos estatales. En tal oportunidad el órgano judicial se preguntó, dentro de las consideraciones, si la ausencia de registro presupuestal tenía como efecto que un contrato de prestación de servicios profesionales se considerara inexistente o viciado de nulidad absoluta. La respuesta del alto tribunal es que no se genera inexistencia ni vicio de nulidad absoluta, sino una eventual responsabilidad en los servidores públicos que incumplieron tal requisito presupuestal. </w:t>
      </w:r>
      <w:r w:rsidRPr="00CA1F2A">
        <w:rPr>
          <w:rFonts w:ascii="Verdana" w:hAnsi="Verdana" w:cs="Arial"/>
          <w:sz w:val="16"/>
          <w:szCs w:val="16"/>
          <w:lang w:val="es-ES"/>
        </w:rPr>
        <w:t xml:space="preserve">Consejo de Estado. Sección Tercera. Subsección C. Sentencia del 12 de agosto de 2014. Consejero Ponente: Enrique Gil Botero. Expediente: </w:t>
      </w:r>
      <w:r w:rsidRPr="00CA1F2A">
        <w:rPr>
          <w:rFonts w:ascii="Verdana" w:hAnsi="Verdana" w:cs="Arial"/>
          <w:iCs/>
          <w:sz w:val="16"/>
          <w:szCs w:val="16"/>
        </w:rPr>
        <w:t>28.565.</w:t>
      </w:r>
    </w:p>
    <w:p w14:paraId="5294E0F0" w14:textId="77777777" w:rsidR="009D1250" w:rsidRPr="00CA1F2A" w:rsidRDefault="009D1250" w:rsidP="009D1250">
      <w:pPr>
        <w:pStyle w:val="Textonotapie"/>
        <w:jc w:val="both"/>
        <w:rPr>
          <w:rFonts w:ascii="Verdana" w:hAnsi="Verdana" w:cs="Arial"/>
          <w:sz w:val="16"/>
          <w:szCs w:val="16"/>
          <w:lang w:val="es-ES"/>
        </w:rPr>
      </w:pPr>
    </w:p>
  </w:footnote>
  <w:footnote w:id="6">
    <w:p w14:paraId="3486323A" w14:textId="77777777" w:rsidR="009D1250" w:rsidRPr="00CA1F2A" w:rsidRDefault="009D1250" w:rsidP="009D1250">
      <w:pPr>
        <w:pStyle w:val="Textonotapie"/>
        <w:ind w:firstLine="708"/>
        <w:jc w:val="both"/>
        <w:rPr>
          <w:rFonts w:ascii="Verdana" w:hAnsi="Verdana" w:cs="Arial"/>
          <w:sz w:val="16"/>
          <w:szCs w:val="16"/>
          <w:lang w:val="es-ES"/>
        </w:rPr>
      </w:pPr>
      <w:r w:rsidRPr="00CA1F2A">
        <w:rPr>
          <w:rStyle w:val="Refdenotaalpie"/>
          <w:rFonts w:ascii="Verdana" w:hAnsi="Verdana"/>
          <w:sz w:val="16"/>
          <w:szCs w:val="16"/>
        </w:rPr>
        <w:footnoteRef/>
      </w:r>
      <w:r w:rsidRPr="00CA1F2A">
        <w:rPr>
          <w:rFonts w:ascii="Verdana" w:hAnsi="Verdana"/>
          <w:sz w:val="16"/>
          <w:szCs w:val="16"/>
        </w:rPr>
        <w:t xml:space="preserve"> </w:t>
      </w:r>
      <w:r w:rsidRPr="00CA1F2A">
        <w:rPr>
          <w:rFonts w:ascii="Verdana" w:hAnsi="Verdana" w:cs="Arial"/>
          <w:sz w:val="16"/>
          <w:szCs w:val="16"/>
          <w:lang w:val="es-ES"/>
        </w:rPr>
        <w:t>CONSEJO DE ESTADO. Sección Tercera. Subsección B. Sentencia del 3 de abril de 2020. Consejero Ponente: Ramiro Pazos Guerrero. Expediente: 46.963.</w:t>
      </w:r>
    </w:p>
    <w:p w14:paraId="1B41A926" w14:textId="77777777" w:rsidR="009D1250" w:rsidRPr="00CA1F2A" w:rsidRDefault="009D1250" w:rsidP="009D1250">
      <w:pPr>
        <w:pStyle w:val="Textonotapie"/>
        <w:jc w:val="both"/>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88B"/>
    <w:rsid w:val="00016F78"/>
    <w:rsid w:val="00046945"/>
    <w:rsid w:val="00061B2A"/>
    <w:rsid w:val="00082362"/>
    <w:rsid w:val="00094BBC"/>
    <w:rsid w:val="000A683E"/>
    <w:rsid w:val="000B19B9"/>
    <w:rsid w:val="000D0334"/>
    <w:rsid w:val="000F6486"/>
    <w:rsid w:val="00125105"/>
    <w:rsid w:val="00127233"/>
    <w:rsid w:val="001511A0"/>
    <w:rsid w:val="001C0DFA"/>
    <w:rsid w:val="001E04C7"/>
    <w:rsid w:val="001E4177"/>
    <w:rsid w:val="001F0A8E"/>
    <w:rsid w:val="001F7DC6"/>
    <w:rsid w:val="002421BB"/>
    <w:rsid w:val="0025796E"/>
    <w:rsid w:val="002707A2"/>
    <w:rsid w:val="002951A0"/>
    <w:rsid w:val="002962BC"/>
    <w:rsid w:val="002A093D"/>
    <w:rsid w:val="002A0DD0"/>
    <w:rsid w:val="002A49AC"/>
    <w:rsid w:val="002A64FD"/>
    <w:rsid w:val="002B3E43"/>
    <w:rsid w:val="002C7A84"/>
    <w:rsid w:val="002E4FD9"/>
    <w:rsid w:val="00322A85"/>
    <w:rsid w:val="00324168"/>
    <w:rsid w:val="003448F4"/>
    <w:rsid w:val="0035417D"/>
    <w:rsid w:val="00374F5E"/>
    <w:rsid w:val="00377E3E"/>
    <w:rsid w:val="003A779E"/>
    <w:rsid w:val="003D0F4D"/>
    <w:rsid w:val="003D5B0D"/>
    <w:rsid w:val="003E0499"/>
    <w:rsid w:val="003F3941"/>
    <w:rsid w:val="00406575"/>
    <w:rsid w:val="00414C74"/>
    <w:rsid w:val="0042722E"/>
    <w:rsid w:val="0044528D"/>
    <w:rsid w:val="004A1847"/>
    <w:rsid w:val="004A305D"/>
    <w:rsid w:val="004D131E"/>
    <w:rsid w:val="004E0686"/>
    <w:rsid w:val="004F21C4"/>
    <w:rsid w:val="004F685F"/>
    <w:rsid w:val="005566E8"/>
    <w:rsid w:val="00574867"/>
    <w:rsid w:val="00591460"/>
    <w:rsid w:val="005B3816"/>
    <w:rsid w:val="005C3777"/>
    <w:rsid w:val="005C5CDC"/>
    <w:rsid w:val="005D476C"/>
    <w:rsid w:val="006003AF"/>
    <w:rsid w:val="00613375"/>
    <w:rsid w:val="006219F8"/>
    <w:rsid w:val="00665D70"/>
    <w:rsid w:val="006900D9"/>
    <w:rsid w:val="00706C16"/>
    <w:rsid w:val="00756841"/>
    <w:rsid w:val="007649AB"/>
    <w:rsid w:val="00771D0C"/>
    <w:rsid w:val="007833AC"/>
    <w:rsid w:val="007B268C"/>
    <w:rsid w:val="007B7171"/>
    <w:rsid w:val="007C0C0F"/>
    <w:rsid w:val="007C3DC2"/>
    <w:rsid w:val="007E5497"/>
    <w:rsid w:val="00806F5F"/>
    <w:rsid w:val="00810735"/>
    <w:rsid w:val="00820278"/>
    <w:rsid w:val="00867F95"/>
    <w:rsid w:val="008843B6"/>
    <w:rsid w:val="00891928"/>
    <w:rsid w:val="008A446D"/>
    <w:rsid w:val="008D180B"/>
    <w:rsid w:val="008F0EA7"/>
    <w:rsid w:val="00923EEF"/>
    <w:rsid w:val="009419F9"/>
    <w:rsid w:val="0095685E"/>
    <w:rsid w:val="00961B09"/>
    <w:rsid w:val="00965334"/>
    <w:rsid w:val="0097093E"/>
    <w:rsid w:val="00986AC5"/>
    <w:rsid w:val="009964AC"/>
    <w:rsid w:val="009A0DFA"/>
    <w:rsid w:val="009B2D26"/>
    <w:rsid w:val="009C71FA"/>
    <w:rsid w:val="009C72E7"/>
    <w:rsid w:val="009D1250"/>
    <w:rsid w:val="009D3058"/>
    <w:rsid w:val="009F3A13"/>
    <w:rsid w:val="00A122D3"/>
    <w:rsid w:val="00A17F13"/>
    <w:rsid w:val="00A20739"/>
    <w:rsid w:val="00A33C78"/>
    <w:rsid w:val="00AB0ADB"/>
    <w:rsid w:val="00B01B1A"/>
    <w:rsid w:val="00B62B4B"/>
    <w:rsid w:val="00B66319"/>
    <w:rsid w:val="00B72CD3"/>
    <w:rsid w:val="00B72FFF"/>
    <w:rsid w:val="00B937C6"/>
    <w:rsid w:val="00BC3D36"/>
    <w:rsid w:val="00BD7F72"/>
    <w:rsid w:val="00C04FB3"/>
    <w:rsid w:val="00C330EB"/>
    <w:rsid w:val="00C41061"/>
    <w:rsid w:val="00C754BE"/>
    <w:rsid w:val="00C76B1C"/>
    <w:rsid w:val="00CB6357"/>
    <w:rsid w:val="00CC1B26"/>
    <w:rsid w:val="00CF3143"/>
    <w:rsid w:val="00CF6096"/>
    <w:rsid w:val="00D423A2"/>
    <w:rsid w:val="00D520D8"/>
    <w:rsid w:val="00D63AC2"/>
    <w:rsid w:val="00D7383B"/>
    <w:rsid w:val="00DA231B"/>
    <w:rsid w:val="00DC39FC"/>
    <w:rsid w:val="00DD7F1E"/>
    <w:rsid w:val="00DF5254"/>
    <w:rsid w:val="00E16408"/>
    <w:rsid w:val="00E20894"/>
    <w:rsid w:val="00E245AB"/>
    <w:rsid w:val="00E2764C"/>
    <w:rsid w:val="00E27F2E"/>
    <w:rsid w:val="00E50AFE"/>
    <w:rsid w:val="00E65AC0"/>
    <w:rsid w:val="00E75C92"/>
    <w:rsid w:val="00E771DC"/>
    <w:rsid w:val="00E8772A"/>
    <w:rsid w:val="00E90F6B"/>
    <w:rsid w:val="00E92C27"/>
    <w:rsid w:val="00EA0E3D"/>
    <w:rsid w:val="00EC38A7"/>
    <w:rsid w:val="00ED72DC"/>
    <w:rsid w:val="00ED7384"/>
    <w:rsid w:val="00EE1AA8"/>
    <w:rsid w:val="00F31EDC"/>
    <w:rsid w:val="00F462B3"/>
    <w:rsid w:val="00F5664F"/>
    <w:rsid w:val="00F666C4"/>
    <w:rsid w:val="00F76AFC"/>
    <w:rsid w:val="00FA47C0"/>
    <w:rsid w:val="00FB5DD1"/>
    <w:rsid w:val="00FC2B5D"/>
    <w:rsid w:val="00FF1449"/>
    <w:rsid w:val="00FF4928"/>
    <w:rsid w:val="04B97FA6"/>
    <w:rsid w:val="0E4BC7AC"/>
    <w:rsid w:val="119B339D"/>
    <w:rsid w:val="12ED7D2A"/>
    <w:rsid w:val="165E9519"/>
    <w:rsid w:val="23413563"/>
    <w:rsid w:val="28AA0A01"/>
    <w:rsid w:val="382536D9"/>
    <w:rsid w:val="3ECB06F2"/>
    <w:rsid w:val="4181C9DE"/>
    <w:rsid w:val="49E18592"/>
    <w:rsid w:val="4ABEC205"/>
    <w:rsid w:val="58F112AF"/>
    <w:rsid w:val="6CF9077E"/>
    <w:rsid w:val="6EFDAB80"/>
    <w:rsid w:val="70840FC8"/>
    <w:rsid w:val="726B6FCF"/>
    <w:rsid w:val="7856133A"/>
    <w:rsid w:val="7B6AA7A6"/>
    <w:rsid w:val="7C183931"/>
    <w:rsid w:val="7C7B8967"/>
    <w:rsid w:val="7ECC189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D125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D1250"/>
    <w:rPr>
      <w:rFonts w:ascii="Geomanist Light" w:hAnsi="Geomanist Light"/>
      <w:lang w:val="es-ES"/>
    </w:rPr>
  </w:style>
  <w:style w:type="paragraph" w:styleId="Textoindependiente">
    <w:name w:val="Body Text"/>
    <w:basedOn w:val="Normal"/>
    <w:link w:val="TextoindependienteCar"/>
    <w:uiPriority w:val="1"/>
    <w:unhideWhenUsed/>
    <w:qFormat/>
    <w:rsid w:val="009D1250"/>
    <w:pPr>
      <w:spacing w:after="120"/>
    </w:pPr>
  </w:style>
  <w:style w:type="character" w:customStyle="1" w:styleId="TextoindependienteCar">
    <w:name w:val="Texto independiente Car"/>
    <w:basedOn w:val="Fuentedeprrafopredeter"/>
    <w:link w:val="Textoindependiente"/>
    <w:uiPriority w:val="1"/>
    <w:rsid w:val="009D1250"/>
  </w:style>
  <w:style w:type="paragraph" w:styleId="Textocomentario">
    <w:name w:val="annotation text"/>
    <w:basedOn w:val="Normal"/>
    <w:link w:val="TextocomentarioCar"/>
    <w:uiPriority w:val="99"/>
    <w:semiHidden/>
    <w:unhideWhenUsed/>
    <w:rsid w:val="00ED72D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D72DC"/>
    <w:rPr>
      <w:sz w:val="20"/>
      <w:szCs w:val="20"/>
    </w:rPr>
  </w:style>
  <w:style w:type="character" w:styleId="Refdecomentario">
    <w:name w:val="annotation reference"/>
    <w:basedOn w:val="Fuentedeprrafopredeter"/>
    <w:uiPriority w:val="99"/>
    <w:semiHidden/>
    <w:unhideWhenUsed/>
    <w:rsid w:val="00ED72D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retariasenado.gov.co/senado/basedoc/ley_0080_1993.html"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671319B8-9513-44A3-B836-79BDE0CCD4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14</Pages>
  <Words>5137</Words>
  <Characters>28255</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9</cp:revision>
  <cp:lastPrinted>2023-01-10T21:18:00Z</cp:lastPrinted>
  <dcterms:created xsi:type="dcterms:W3CDTF">2025-07-31T10:18:00Z</dcterms:created>
  <dcterms:modified xsi:type="dcterms:W3CDTF">2025-08-13T01:36:00Z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