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50024" w14:textId="6B92B74F" w:rsidR="00642148" w:rsidRPr="00642148" w:rsidRDefault="00642148" w:rsidP="006A44DA">
      <w:pPr>
        <w:spacing w:after="0" w:line="240" w:lineRule="auto"/>
        <w:jc w:val="both"/>
        <w:rPr>
          <w:rFonts w:ascii="Verdana" w:eastAsia="Calibri" w:hAnsi="Verdana" w:cs="Arial"/>
          <w:b/>
          <w:bCs/>
          <w:lang w:val="es-ES_tradnl" w:eastAsia="es-ES_tradnl"/>
        </w:rPr>
      </w:pPr>
      <w:bookmarkStart w:id="0" w:name="_Hlk202875225"/>
      <w:bookmarkStart w:id="1" w:name="_Hlk203032812"/>
      <w:bookmarkStart w:id="2" w:name="_Hlk204367265"/>
      <w:bookmarkStart w:id="3" w:name="_Hlk143780582"/>
      <w:r w:rsidRPr="00642148">
        <w:rPr>
          <w:rFonts w:ascii="Verdana" w:eastAsia="Calibri" w:hAnsi="Verdana" w:cs="Arial"/>
          <w:b/>
          <w:bCs/>
          <w:lang w:val="es-ES_tradnl" w:eastAsia="es-ES_tradnl"/>
        </w:rPr>
        <w:t>ESAL – Finalidad – Ausencia de ánimo de lucro</w:t>
      </w:r>
      <w:r w:rsidR="006A44DA">
        <w:rPr>
          <w:rFonts w:ascii="Verdana" w:eastAsia="Calibri" w:hAnsi="Verdana" w:cs="Arial"/>
          <w:b/>
          <w:bCs/>
          <w:lang w:val="es-ES_tradnl" w:eastAsia="es-ES_tradnl"/>
        </w:rPr>
        <w:t xml:space="preserve"> – Reparto de utilidades – Distinción - Sociedades</w:t>
      </w:r>
      <w:r w:rsidRPr="00642148">
        <w:rPr>
          <w:rFonts w:ascii="Verdana" w:eastAsia="Calibri" w:hAnsi="Verdana" w:cs="Arial"/>
          <w:b/>
          <w:bCs/>
          <w:lang w:val="es-ES_tradnl" w:eastAsia="es-ES_tradnl"/>
        </w:rPr>
        <w:t xml:space="preserve"> </w:t>
      </w:r>
    </w:p>
    <w:p w14:paraId="25A439EF" w14:textId="77777777" w:rsidR="00642148" w:rsidRDefault="00642148" w:rsidP="006A44DA">
      <w:pPr>
        <w:spacing w:after="0" w:line="240" w:lineRule="auto"/>
        <w:jc w:val="both"/>
        <w:rPr>
          <w:rFonts w:ascii="Verdana" w:eastAsia="Calibri" w:hAnsi="Verdana" w:cs="Arial"/>
          <w:sz w:val="20"/>
          <w:szCs w:val="20"/>
          <w:lang w:val="es-ES_tradnl" w:eastAsia="es-ES_tradnl"/>
        </w:rPr>
      </w:pPr>
    </w:p>
    <w:p w14:paraId="0777C0C2" w14:textId="483E3F53" w:rsidR="00642148" w:rsidRPr="00AA3AE7" w:rsidRDefault="00642148" w:rsidP="00AA3AE7">
      <w:pPr>
        <w:spacing w:after="0" w:line="240" w:lineRule="auto"/>
        <w:jc w:val="both"/>
        <w:rPr>
          <w:rFonts w:ascii="Verdana" w:eastAsia="Calibri" w:hAnsi="Verdana" w:cs="Arial"/>
          <w:sz w:val="20"/>
          <w:szCs w:val="20"/>
          <w:lang w:val="es-ES_tradnl" w:eastAsia="es-ES_tradnl"/>
        </w:rPr>
      </w:pPr>
      <w:r w:rsidRPr="00642148">
        <w:rPr>
          <w:rFonts w:ascii="Verdana" w:eastAsia="Calibri" w:hAnsi="Verdana" w:cs="Arial"/>
          <w:sz w:val="20"/>
          <w:szCs w:val="20"/>
          <w:lang w:val="es-ES_tradnl" w:eastAsia="es-ES_tradnl"/>
        </w:rPr>
        <w:t xml:space="preserve">[…] </w:t>
      </w:r>
      <w:r w:rsidRPr="00642148">
        <w:rPr>
          <w:rFonts w:ascii="Verdana" w:eastAsia="Calibri" w:hAnsi="Verdana" w:cs="Arial"/>
          <w:sz w:val="20"/>
          <w:szCs w:val="20"/>
          <w:lang w:val="es-ES_tradnl" w:eastAsia="es-ES_tradnl"/>
        </w:rPr>
        <w:t>este tipo de corporaciones o asociaciones se encuentran reguladas en el Código Civil –entre otras normas concordantes–, de lo que se sigue que no constituyen formas de sociedad comercial, sino formas de organización civil con fines esencialmente altruistas o de interés general, que se conforman entre personas que tienen como finalidad contribuir con su esfuerzo, y hasta con sus bienes, para ayudar a la comunidad. La ausencia de ánimo de lucro es, entonces, la característica determinante de estas corporaciones u organizaciones</w:t>
      </w:r>
      <w:r w:rsidRPr="00642148">
        <w:rPr>
          <w:rFonts w:ascii="Verdana" w:eastAsia="Calibri" w:hAnsi="Verdana" w:cs="Arial"/>
          <w:sz w:val="20"/>
          <w:szCs w:val="20"/>
          <w:lang w:val="es-ES_tradnl" w:eastAsia="es-ES_tradnl"/>
        </w:rPr>
        <w:t xml:space="preserve"> […].</w:t>
      </w:r>
    </w:p>
    <w:p w14:paraId="01C28275" w14:textId="77777777" w:rsidR="006A44DA" w:rsidRDefault="006A44DA" w:rsidP="006A44DA">
      <w:pPr>
        <w:spacing w:after="0" w:line="240" w:lineRule="auto"/>
        <w:jc w:val="both"/>
        <w:rPr>
          <w:rFonts w:ascii="Verdana" w:eastAsia="Calibri" w:hAnsi="Verdana" w:cs="Arial"/>
          <w:sz w:val="20"/>
          <w:szCs w:val="20"/>
          <w:lang w:val="es-ES" w:eastAsia="es-ES"/>
        </w:rPr>
      </w:pPr>
    </w:p>
    <w:p w14:paraId="182A8FB2" w14:textId="54DEC899" w:rsidR="00642148" w:rsidRPr="006A44DA" w:rsidRDefault="00642148" w:rsidP="006A44DA">
      <w:pPr>
        <w:spacing w:after="0" w:line="240" w:lineRule="auto"/>
        <w:jc w:val="both"/>
        <w:rPr>
          <w:rFonts w:ascii="Verdana" w:eastAsia="Calibri" w:hAnsi="Verdana" w:cs="Arial"/>
          <w:sz w:val="20"/>
          <w:szCs w:val="20"/>
          <w:lang w:val="es-ES" w:eastAsia="es-ES"/>
        </w:rPr>
      </w:pPr>
      <w:r w:rsidRPr="006A44DA">
        <w:rPr>
          <w:rFonts w:ascii="Verdana" w:eastAsia="Calibri" w:hAnsi="Verdana" w:cs="Arial"/>
          <w:sz w:val="20"/>
          <w:szCs w:val="20"/>
          <w:lang w:val="es-ES" w:eastAsia="es-ES"/>
        </w:rPr>
        <w:t>De conformidad con lo anterior, una “asociación o corporación” constituidas en los términos del Código Civil, no puede asimilarse o identificarse con una “sociedad comercial”, como uniformemente lo considera la doctrina y la jurisprudencia civil y comercial. Lo anterior, en la medida en que las sociedades comerciales se crean con la finalidad de que sus socios repartan las utilidades obtenidas en desarrollo de la empresa o actividad social. Por el contrario, las corporaciones, fundaciones o asociaciones destinan su patrimonio a la consecución de un interés general y no perciben lucro, pues los excedentes monetarios que se presenten deben ser reinvertidos en la ESAL y no es viable repartirlos entre los asociados.</w:t>
      </w:r>
    </w:p>
    <w:p w14:paraId="7DE8145C" w14:textId="77777777" w:rsidR="006A44DA" w:rsidRDefault="006A44DA" w:rsidP="006A44DA">
      <w:pPr>
        <w:spacing w:after="0" w:line="240" w:lineRule="auto"/>
        <w:jc w:val="both"/>
        <w:rPr>
          <w:rFonts w:ascii="Verdana" w:eastAsia="Calibri" w:hAnsi="Verdana" w:cs="Arial"/>
          <w:lang w:val="es-ES_tradnl" w:eastAsia="es-ES_tradnl"/>
        </w:rPr>
      </w:pPr>
    </w:p>
    <w:p w14:paraId="256DE1F8" w14:textId="2159BC73" w:rsidR="006A44DA" w:rsidRDefault="006A44DA" w:rsidP="00B234F7">
      <w:pPr>
        <w:spacing w:after="0" w:line="240" w:lineRule="auto"/>
        <w:jc w:val="both"/>
        <w:rPr>
          <w:rFonts w:ascii="Verdana" w:eastAsia="Calibri" w:hAnsi="Verdana" w:cs="Arial"/>
          <w:b/>
          <w:bCs/>
          <w:lang w:val="es-ES_tradnl" w:eastAsia="es-ES_tradnl"/>
        </w:rPr>
      </w:pPr>
      <w:r w:rsidRPr="006A44DA">
        <w:rPr>
          <w:rFonts w:ascii="Verdana" w:eastAsia="Calibri" w:hAnsi="Verdana" w:cs="Arial"/>
          <w:b/>
          <w:bCs/>
          <w:lang w:val="es-ES_tradnl" w:eastAsia="es-ES_tradnl"/>
        </w:rPr>
        <w:t>MIPYMES – Empresas – Unidades de explotación económica – Reparto de utilidades</w:t>
      </w:r>
      <w:r w:rsidR="00B234F7">
        <w:rPr>
          <w:rFonts w:ascii="Verdana" w:eastAsia="Calibri" w:hAnsi="Verdana" w:cs="Arial"/>
          <w:b/>
          <w:bCs/>
          <w:lang w:val="es-ES_tradnl" w:eastAsia="es-ES_tradnl"/>
        </w:rPr>
        <w:t xml:space="preserve"> – ESAL – Diferencias </w:t>
      </w:r>
      <w:r w:rsidRPr="006A44DA">
        <w:rPr>
          <w:rFonts w:ascii="Verdana" w:eastAsia="Calibri" w:hAnsi="Verdana" w:cs="Arial"/>
          <w:b/>
          <w:bCs/>
          <w:lang w:val="es-ES_tradnl" w:eastAsia="es-ES_tradnl"/>
        </w:rPr>
        <w:t xml:space="preserve">  </w:t>
      </w:r>
    </w:p>
    <w:p w14:paraId="65558090" w14:textId="77777777" w:rsidR="00B234F7" w:rsidRPr="006A44DA" w:rsidRDefault="00B234F7" w:rsidP="00B234F7">
      <w:pPr>
        <w:spacing w:after="0" w:line="240" w:lineRule="auto"/>
        <w:jc w:val="both"/>
        <w:rPr>
          <w:rFonts w:ascii="Verdana" w:eastAsia="Calibri" w:hAnsi="Verdana" w:cs="Arial"/>
          <w:b/>
          <w:bCs/>
          <w:lang w:val="es-ES_tradnl" w:eastAsia="es-ES_tradnl"/>
        </w:rPr>
      </w:pPr>
    </w:p>
    <w:p w14:paraId="750580C4" w14:textId="77777777" w:rsidR="00B234F7" w:rsidRDefault="00B234F7" w:rsidP="00B234F7">
      <w:pPr>
        <w:spacing w:after="0" w:line="240" w:lineRule="auto"/>
        <w:jc w:val="both"/>
        <w:rPr>
          <w:rFonts w:ascii="Verdana" w:hAnsi="Verdana" w:cs="Arial"/>
          <w:sz w:val="20"/>
          <w:szCs w:val="20"/>
          <w:lang w:val="es-ES"/>
        </w:rPr>
      </w:pPr>
      <w:r w:rsidRPr="00B234F7">
        <w:rPr>
          <w:rFonts w:ascii="Verdana" w:hAnsi="Verdana" w:cs="Arial"/>
          <w:sz w:val="20"/>
          <w:szCs w:val="20"/>
          <w:lang w:val="es-ES"/>
        </w:rPr>
        <w:t xml:space="preserve">[…] </w:t>
      </w:r>
      <w:r w:rsidR="00642148" w:rsidRPr="00B234F7">
        <w:rPr>
          <w:rFonts w:ascii="Verdana" w:hAnsi="Verdana" w:cs="Arial"/>
          <w:sz w:val="20"/>
          <w:szCs w:val="20"/>
          <w:lang w:val="es-ES"/>
        </w:rPr>
        <w:t xml:space="preserve">en virtud de lo señalado en el artículo 43 de la Ley 1450 de 2011, que modificó el artículo 2 de la Ley 590 de 2000, solo podrán ser consideradas </w:t>
      </w:r>
      <w:proofErr w:type="spellStart"/>
      <w:r w:rsidR="00642148" w:rsidRPr="00B234F7">
        <w:rPr>
          <w:rFonts w:ascii="Verdana" w:hAnsi="Verdana" w:cs="Arial"/>
          <w:sz w:val="20"/>
          <w:szCs w:val="20"/>
          <w:lang w:val="es-ES"/>
        </w:rPr>
        <w:t>Mipymes</w:t>
      </w:r>
      <w:proofErr w:type="spellEnd"/>
      <w:r w:rsidR="00642148" w:rsidRPr="00B234F7">
        <w:rPr>
          <w:rFonts w:ascii="Verdana" w:hAnsi="Verdana" w:cs="Arial"/>
          <w:sz w:val="20"/>
          <w:szCs w:val="20"/>
          <w:lang w:val="es-ES"/>
        </w:rPr>
        <w:t xml:space="preserve"> las empresas, pues son unidades de explotación económica que buscan el reparto de utilidades entre los miembros de la empresa, sin perjuicio de las precisiones que se realizarán más adelante en relación con el artículo 23 de la Ley 2069 de 2020. </w:t>
      </w:r>
    </w:p>
    <w:p w14:paraId="3552602F" w14:textId="77777777" w:rsidR="00B234F7" w:rsidRDefault="00B234F7" w:rsidP="00B234F7">
      <w:pPr>
        <w:spacing w:after="0" w:line="240" w:lineRule="auto"/>
        <w:jc w:val="both"/>
        <w:rPr>
          <w:rFonts w:ascii="Verdana" w:hAnsi="Verdana" w:cs="Arial"/>
          <w:sz w:val="20"/>
          <w:szCs w:val="20"/>
          <w:lang w:val="es-ES"/>
        </w:rPr>
      </w:pPr>
    </w:p>
    <w:p w14:paraId="3162329E" w14:textId="77777777" w:rsidR="00B234F7" w:rsidRDefault="00642148" w:rsidP="00B234F7">
      <w:pPr>
        <w:spacing w:after="0" w:line="240" w:lineRule="auto"/>
        <w:jc w:val="both"/>
        <w:rPr>
          <w:rFonts w:ascii="Verdana" w:hAnsi="Verdana" w:cs="Arial"/>
          <w:sz w:val="20"/>
          <w:szCs w:val="20"/>
          <w:lang w:val="es-ES"/>
        </w:rPr>
      </w:pPr>
      <w:r w:rsidRPr="00B234F7">
        <w:rPr>
          <w:rFonts w:ascii="Verdana" w:hAnsi="Verdana" w:cs="Arial"/>
          <w:sz w:val="20"/>
          <w:szCs w:val="20"/>
          <w:lang w:val="es-ES"/>
        </w:rPr>
        <w:t xml:space="preserve">De esta forma, es claro que solo pueden ser consideradas MiPymes las empresas, entendidas estas como las unidades de explotación económica, que buscan el reparto de utilidades entre los miembros de la empresa. En razón a que las ESAL no persiguen el reparto de utilidades entre sus miembros, en el entendido en que no tienen ánimo de lucro, y que su objeto está destinado a realizar actividades de interés general sin esperar a cambio un reparto de ganancia en proporción a sus utilidades, lo cierto es que no pueden acceder a los incentivos </w:t>
      </w:r>
      <w:r w:rsidRPr="00B234F7">
        <w:rPr>
          <w:rFonts w:ascii="Verdana" w:hAnsi="Verdana" w:cs="Arial"/>
          <w:sz w:val="20"/>
          <w:szCs w:val="20"/>
        </w:rPr>
        <w:t>ni participar en los procesos de contratación limitados a MiPymes</w:t>
      </w:r>
      <w:r w:rsidRPr="00B234F7">
        <w:rPr>
          <w:rFonts w:ascii="Verdana" w:hAnsi="Verdana" w:cs="Arial"/>
          <w:sz w:val="20"/>
          <w:szCs w:val="20"/>
          <w:lang w:val="es-ES"/>
        </w:rPr>
        <w:t xml:space="preserve">. </w:t>
      </w:r>
    </w:p>
    <w:p w14:paraId="5A42946D" w14:textId="77777777" w:rsidR="00B234F7" w:rsidRDefault="00B234F7" w:rsidP="00B234F7">
      <w:pPr>
        <w:spacing w:after="0" w:line="240" w:lineRule="auto"/>
        <w:jc w:val="both"/>
        <w:rPr>
          <w:rFonts w:ascii="Verdana" w:hAnsi="Verdana" w:cs="Arial"/>
          <w:sz w:val="20"/>
          <w:szCs w:val="20"/>
          <w:lang w:val="es-ES"/>
        </w:rPr>
      </w:pPr>
    </w:p>
    <w:p w14:paraId="3CFC4D2F" w14:textId="10D9630E" w:rsidR="00B234F7" w:rsidRPr="00B234F7" w:rsidRDefault="00B234F7" w:rsidP="00B234F7">
      <w:pPr>
        <w:spacing w:after="0" w:line="240" w:lineRule="auto"/>
        <w:jc w:val="both"/>
        <w:rPr>
          <w:rFonts w:ascii="Verdana" w:hAnsi="Verdana" w:cs="Arial"/>
          <w:b/>
          <w:bCs/>
          <w:lang w:val="es-ES"/>
        </w:rPr>
      </w:pPr>
      <w:r w:rsidRPr="00B234F7">
        <w:rPr>
          <w:rFonts w:ascii="Verdana" w:hAnsi="Verdana" w:cs="Arial"/>
          <w:b/>
          <w:bCs/>
          <w:lang w:val="es-ES"/>
        </w:rPr>
        <w:t xml:space="preserve">LEY DE EMPRENDIMIENTO – Ley 2069 de 2020 – </w:t>
      </w:r>
      <w:r>
        <w:rPr>
          <w:rFonts w:ascii="Verdana" w:hAnsi="Verdana" w:cs="Arial"/>
          <w:b/>
          <w:bCs/>
          <w:lang w:val="es-ES"/>
        </w:rPr>
        <w:t xml:space="preserve">ESAL - </w:t>
      </w:r>
      <w:r w:rsidRPr="00B234F7">
        <w:rPr>
          <w:rFonts w:ascii="Verdana" w:hAnsi="Verdana" w:cs="Arial"/>
          <w:b/>
          <w:bCs/>
          <w:lang w:val="es-ES"/>
        </w:rPr>
        <w:t xml:space="preserve">Cooperativas y entidades de economía solidaria </w:t>
      </w:r>
      <w:r>
        <w:rPr>
          <w:rFonts w:ascii="Verdana" w:hAnsi="Verdana" w:cs="Arial"/>
          <w:b/>
          <w:bCs/>
          <w:lang w:val="es-ES"/>
        </w:rPr>
        <w:t>–</w:t>
      </w:r>
      <w:r w:rsidRPr="00B234F7">
        <w:rPr>
          <w:rFonts w:ascii="Verdana" w:hAnsi="Verdana" w:cs="Arial"/>
          <w:b/>
          <w:bCs/>
          <w:lang w:val="es-ES"/>
        </w:rPr>
        <w:t xml:space="preserve"> </w:t>
      </w:r>
      <w:r>
        <w:rPr>
          <w:rFonts w:ascii="Verdana" w:hAnsi="Verdana" w:cs="Arial"/>
          <w:b/>
          <w:bCs/>
          <w:lang w:val="es-ES"/>
        </w:rPr>
        <w:t xml:space="preserve">Asimilación a MiPymes – Finalidad </w:t>
      </w:r>
    </w:p>
    <w:p w14:paraId="71C2385F" w14:textId="77777777" w:rsidR="00B234F7" w:rsidRDefault="00B234F7" w:rsidP="00B234F7">
      <w:pPr>
        <w:spacing w:after="0" w:line="240" w:lineRule="auto"/>
        <w:jc w:val="both"/>
        <w:rPr>
          <w:rFonts w:ascii="Verdana" w:hAnsi="Verdana" w:cs="Arial"/>
          <w:lang w:val="es-ES"/>
        </w:rPr>
      </w:pPr>
    </w:p>
    <w:p w14:paraId="11B7C27C" w14:textId="51388173" w:rsidR="00642148" w:rsidRDefault="00642148" w:rsidP="00B234F7">
      <w:pPr>
        <w:spacing w:after="0" w:line="240" w:lineRule="auto"/>
        <w:jc w:val="both"/>
        <w:rPr>
          <w:rFonts w:ascii="Verdana" w:eastAsia="Calibri" w:hAnsi="Verdana" w:cs="Arial"/>
          <w:color w:val="000000" w:themeColor="text1"/>
          <w:sz w:val="20"/>
          <w:szCs w:val="20"/>
          <w:lang w:val="es-ES"/>
        </w:rPr>
      </w:pPr>
      <w:r w:rsidRPr="00B234F7">
        <w:rPr>
          <w:rFonts w:ascii="Verdana" w:hAnsi="Verdana" w:cs="Arial"/>
          <w:sz w:val="20"/>
          <w:szCs w:val="20"/>
          <w:lang w:val="es-ES"/>
        </w:rPr>
        <w:t xml:space="preserve">Aunque no es posible que las ESAL sean equiparadas a las MiPymes en la normativa del sistema de compras públicas, es necesario aclarar que la Ley determinó un matiz para esta regla. </w:t>
      </w:r>
      <w:r w:rsidRPr="00B234F7">
        <w:rPr>
          <w:rFonts w:ascii="Verdana" w:eastAsia="Calibri" w:hAnsi="Verdana" w:cs="Arial"/>
          <w:color w:val="000000" w:themeColor="text1"/>
          <w:sz w:val="20"/>
          <w:szCs w:val="20"/>
          <w:lang w:val="es-ES"/>
        </w:rPr>
        <w:t>El artículo 23 de la Ley 2069 de 2020 asimila las cooperativas y las demás entidades de economía solidaria -que incluye a las asociaciones mutualistas</w:t>
      </w:r>
      <w:r w:rsidRPr="00B234F7">
        <w:rPr>
          <w:rFonts w:ascii="Verdana" w:eastAsia="Calibri" w:hAnsi="Verdana" w:cs="Arial"/>
          <w:i/>
          <w:iCs/>
          <w:color w:val="000000" w:themeColor="text1"/>
          <w:sz w:val="20"/>
          <w:szCs w:val="20"/>
          <w:lang w:val="es-ES"/>
        </w:rPr>
        <w:t>-</w:t>
      </w:r>
      <w:r w:rsidRPr="00B234F7">
        <w:rPr>
          <w:rFonts w:ascii="Verdana" w:eastAsia="Calibri" w:hAnsi="Verdana" w:cs="Arial"/>
          <w:color w:val="000000" w:themeColor="text1"/>
          <w:sz w:val="20"/>
          <w:szCs w:val="20"/>
          <w:lang w:val="es-ES"/>
        </w:rPr>
        <w:t xml:space="preserve"> a </w:t>
      </w:r>
      <w:r w:rsidRPr="00B234F7">
        <w:rPr>
          <w:rFonts w:ascii="Verdana" w:eastAsia="Calibri" w:hAnsi="Verdana" w:cs="Arial"/>
          <w:i/>
          <w:iCs/>
          <w:color w:val="000000" w:themeColor="text1"/>
          <w:sz w:val="20"/>
          <w:szCs w:val="20"/>
          <w:lang w:val="es-ES"/>
        </w:rPr>
        <w:t xml:space="preserve">empresas, </w:t>
      </w:r>
      <w:r w:rsidRPr="00B234F7">
        <w:rPr>
          <w:rFonts w:ascii="Verdana" w:eastAsia="Calibri" w:hAnsi="Verdana" w:cs="Arial"/>
          <w:i/>
          <w:iCs/>
          <w:color w:val="000000" w:themeColor="text1"/>
          <w:sz w:val="20"/>
          <w:szCs w:val="20"/>
          <w:lang w:val="es-ES"/>
        </w:rPr>
        <w:lastRenderedPageBreak/>
        <w:t>específicamente a MiPymes</w:t>
      </w:r>
      <w:r w:rsidRPr="00B234F7">
        <w:rPr>
          <w:rFonts w:ascii="Verdana" w:eastAsia="Calibri" w:hAnsi="Verdana" w:cs="Arial"/>
          <w:color w:val="000000" w:themeColor="text1"/>
          <w:sz w:val="20"/>
          <w:szCs w:val="20"/>
          <w:lang w:val="es-ES"/>
        </w:rPr>
        <w:t xml:space="preserve">, de conformidad con el artículo 2 de la Ley 590 de 2000 y el Decreto 957 de 2019, los cuales desarrollan las categorías de micro, pequeña y mediana en función del tamaño empresarial. El principal efecto de esta norma es que las medidas contempladas en la Ley 2069 de 2020 para promover la participación de la </w:t>
      </w:r>
      <w:proofErr w:type="spellStart"/>
      <w:r w:rsidRPr="00B234F7">
        <w:rPr>
          <w:rFonts w:ascii="Verdana" w:eastAsia="Calibri" w:hAnsi="Verdana" w:cs="Arial"/>
          <w:color w:val="000000" w:themeColor="text1"/>
          <w:sz w:val="20"/>
          <w:szCs w:val="20"/>
          <w:lang w:val="es-ES"/>
        </w:rPr>
        <w:t>Mipymes</w:t>
      </w:r>
      <w:proofErr w:type="spellEnd"/>
      <w:r w:rsidRPr="00B234F7">
        <w:rPr>
          <w:rFonts w:ascii="Verdana" w:eastAsia="Calibri" w:hAnsi="Verdana" w:cs="Arial"/>
          <w:color w:val="000000" w:themeColor="text1"/>
          <w:sz w:val="20"/>
          <w:szCs w:val="20"/>
          <w:lang w:val="es-ES"/>
        </w:rPr>
        <w:t xml:space="preserve"> sean aplicables a las cooperativas, las asociaciones mutualistas y a las demás entidades de economía solidaria.</w:t>
      </w:r>
    </w:p>
    <w:p w14:paraId="211C3371" w14:textId="77777777" w:rsidR="00B234F7" w:rsidRPr="00B234F7" w:rsidRDefault="00B234F7" w:rsidP="00B234F7">
      <w:pPr>
        <w:spacing w:after="0" w:line="240" w:lineRule="auto"/>
        <w:jc w:val="both"/>
        <w:rPr>
          <w:rFonts w:ascii="Verdana" w:eastAsia="Calibri" w:hAnsi="Verdana" w:cs="Arial"/>
          <w:color w:val="000000" w:themeColor="text1"/>
          <w:sz w:val="20"/>
          <w:szCs w:val="20"/>
          <w:lang w:val="es-ES"/>
        </w:rPr>
      </w:pPr>
    </w:p>
    <w:p w14:paraId="1D00FC52" w14:textId="3CD0DA13" w:rsidR="008864D1" w:rsidRPr="008864D1" w:rsidRDefault="008864D1" w:rsidP="008864D1">
      <w:pPr>
        <w:spacing w:after="0" w:line="240" w:lineRule="auto"/>
        <w:jc w:val="both"/>
        <w:rPr>
          <w:rFonts w:ascii="Verdana" w:eastAsia="Calibri" w:hAnsi="Verdana" w:cs="Arial"/>
          <w:b/>
          <w:bCs/>
          <w:color w:val="000000" w:themeColor="text1"/>
          <w:lang w:val="es-ES"/>
        </w:rPr>
      </w:pPr>
      <w:r w:rsidRPr="008864D1">
        <w:rPr>
          <w:rFonts w:ascii="Verdana" w:eastAsia="Calibri" w:hAnsi="Verdana" w:cs="Arial"/>
          <w:b/>
          <w:bCs/>
          <w:color w:val="000000" w:themeColor="text1"/>
          <w:lang w:val="es-ES"/>
        </w:rPr>
        <w:t xml:space="preserve">LEY DE EMPRENDIMIENTO – </w:t>
      </w:r>
      <w:r>
        <w:rPr>
          <w:rFonts w:ascii="Verdana" w:eastAsia="Calibri" w:hAnsi="Verdana" w:cs="Arial"/>
          <w:b/>
          <w:bCs/>
          <w:color w:val="000000" w:themeColor="text1"/>
          <w:lang w:val="es-ES"/>
        </w:rPr>
        <w:t>Decreto 1082 de 2015</w:t>
      </w:r>
      <w:r w:rsidRPr="008864D1">
        <w:rPr>
          <w:rFonts w:ascii="Verdana" w:eastAsia="Calibri" w:hAnsi="Verdana" w:cs="Arial"/>
          <w:b/>
          <w:bCs/>
          <w:color w:val="000000" w:themeColor="text1"/>
          <w:lang w:val="es-ES"/>
        </w:rPr>
        <w:t xml:space="preserve"> – LIMITACIÓN A MIPYMES – Cooperativas y entidades de economía solidaria </w:t>
      </w:r>
    </w:p>
    <w:p w14:paraId="2964026D" w14:textId="77777777" w:rsidR="008864D1" w:rsidRDefault="008864D1" w:rsidP="008864D1">
      <w:pPr>
        <w:spacing w:after="0" w:line="240" w:lineRule="auto"/>
        <w:jc w:val="both"/>
        <w:rPr>
          <w:rFonts w:ascii="Verdana" w:eastAsia="Calibri" w:hAnsi="Verdana" w:cs="Arial"/>
          <w:color w:val="000000" w:themeColor="text1"/>
          <w:lang w:val="es-ES"/>
        </w:rPr>
      </w:pPr>
    </w:p>
    <w:p w14:paraId="13FE82F2" w14:textId="77777777" w:rsidR="00FA5394" w:rsidRDefault="008864D1" w:rsidP="00FA5394">
      <w:pPr>
        <w:spacing w:after="0" w:line="240" w:lineRule="auto"/>
        <w:jc w:val="both"/>
        <w:rPr>
          <w:rFonts w:ascii="Verdana" w:eastAsia="Calibri" w:hAnsi="Verdana" w:cs="Arial"/>
          <w:color w:val="000000" w:themeColor="text1"/>
          <w:sz w:val="20"/>
          <w:szCs w:val="20"/>
          <w:lang w:val="es-ES"/>
        </w:rPr>
      </w:pPr>
      <w:r w:rsidRPr="008864D1">
        <w:rPr>
          <w:rFonts w:ascii="Verdana" w:eastAsia="Calibri" w:hAnsi="Verdana" w:cs="Arial"/>
          <w:color w:val="000000" w:themeColor="text1"/>
          <w:sz w:val="20"/>
          <w:szCs w:val="20"/>
          <w:lang w:val="es-ES"/>
        </w:rPr>
        <w:t>[…]</w:t>
      </w:r>
      <w:r w:rsidR="00642148" w:rsidRPr="008864D1">
        <w:rPr>
          <w:rFonts w:ascii="Verdana" w:eastAsia="Calibri" w:hAnsi="Verdana" w:cs="Arial"/>
          <w:color w:val="000000" w:themeColor="text1"/>
          <w:sz w:val="20"/>
          <w:szCs w:val="20"/>
          <w:lang w:val="es-ES"/>
        </w:rPr>
        <w:t xml:space="preserve"> el parágrafo del Artículo 2.2.1.2.4.2.2</w:t>
      </w:r>
      <w:r w:rsidRPr="008864D1">
        <w:rPr>
          <w:rFonts w:ascii="Verdana" w:eastAsia="Calibri" w:hAnsi="Verdana" w:cs="Arial"/>
          <w:color w:val="000000" w:themeColor="text1"/>
          <w:sz w:val="20"/>
          <w:szCs w:val="20"/>
          <w:lang w:val="es-ES"/>
        </w:rPr>
        <w:t xml:space="preserve"> […]</w:t>
      </w:r>
      <w:r w:rsidR="00642148" w:rsidRPr="008864D1">
        <w:rPr>
          <w:rFonts w:ascii="Verdana" w:eastAsia="Calibri" w:hAnsi="Verdana" w:cs="Arial"/>
          <w:color w:val="000000" w:themeColor="text1"/>
          <w:sz w:val="20"/>
          <w:szCs w:val="20"/>
          <w:lang w:val="es-ES"/>
        </w:rPr>
        <w:t xml:space="preserve"> se refirió a dicha asimilación en el caso específico de la limitación de convocatorias a </w:t>
      </w:r>
      <w:proofErr w:type="spellStart"/>
      <w:r w:rsidR="00642148" w:rsidRPr="008864D1">
        <w:rPr>
          <w:rFonts w:ascii="Verdana" w:eastAsia="Calibri" w:hAnsi="Verdana" w:cs="Arial"/>
          <w:color w:val="000000" w:themeColor="text1"/>
          <w:sz w:val="20"/>
          <w:szCs w:val="20"/>
          <w:lang w:val="es-ES"/>
        </w:rPr>
        <w:t>Mipymes</w:t>
      </w:r>
      <w:proofErr w:type="spellEnd"/>
      <w:r w:rsidR="00642148" w:rsidRPr="008864D1">
        <w:rPr>
          <w:rFonts w:ascii="Verdana" w:eastAsia="Calibri" w:hAnsi="Verdana" w:cs="Arial"/>
          <w:color w:val="000000" w:themeColor="text1"/>
          <w:sz w:val="20"/>
          <w:szCs w:val="20"/>
          <w:lang w:val="es-ES"/>
        </w:rPr>
        <w:t>. Esta norma determina que “</w:t>
      </w:r>
      <w:r w:rsidR="00642148" w:rsidRPr="008864D1">
        <w:rPr>
          <w:rFonts w:ascii="Verdana" w:eastAsia="Calibri" w:hAnsi="Verdana" w:cs="Arial"/>
          <w:color w:val="000000" w:themeColor="text1"/>
          <w:sz w:val="20"/>
          <w:szCs w:val="20"/>
        </w:rPr>
        <w:t xml:space="preserve">Las cooperativas y demás entidades de economía solidaria, siempre que tengan la calidad de </w:t>
      </w:r>
      <w:proofErr w:type="spellStart"/>
      <w:r w:rsidR="00642148" w:rsidRPr="008864D1">
        <w:rPr>
          <w:rFonts w:ascii="Verdana" w:eastAsia="Calibri" w:hAnsi="Verdana" w:cs="Arial"/>
          <w:color w:val="000000" w:themeColor="text1"/>
          <w:sz w:val="20"/>
          <w:szCs w:val="20"/>
        </w:rPr>
        <w:t>Mipyme</w:t>
      </w:r>
      <w:proofErr w:type="spellEnd"/>
      <w:r w:rsidR="00642148" w:rsidRPr="008864D1">
        <w:rPr>
          <w:rFonts w:ascii="Verdana" w:eastAsia="Calibri" w:hAnsi="Verdana" w:cs="Arial"/>
          <w:color w:val="000000" w:themeColor="text1"/>
          <w:sz w:val="20"/>
          <w:szCs w:val="20"/>
        </w:rPr>
        <w:t xml:space="preserve">, podrán solicitar y participar en las convocatorias limitadas en las mismas condiciones dispuestas en el presente artículo”. En virtud de lo anterior, las cooperativas y demás entidades de la economía solidaria se encuentran facultadas para presentar solicitudes para la limitación de los procesos, siempre que cumplan con las condiciones de tamaño empresarial dispuestas para la categorización de las </w:t>
      </w:r>
      <w:proofErr w:type="spellStart"/>
      <w:r w:rsidR="00642148" w:rsidRPr="008864D1">
        <w:rPr>
          <w:rFonts w:ascii="Verdana" w:eastAsia="Calibri" w:hAnsi="Verdana" w:cs="Arial"/>
          <w:color w:val="000000" w:themeColor="text1"/>
          <w:sz w:val="20"/>
          <w:szCs w:val="20"/>
        </w:rPr>
        <w:t>Mipyme</w:t>
      </w:r>
      <w:proofErr w:type="spellEnd"/>
      <w:r w:rsidR="00642148" w:rsidRPr="008864D1">
        <w:rPr>
          <w:rFonts w:ascii="Verdana" w:eastAsia="Calibri" w:hAnsi="Verdana" w:cs="Arial"/>
          <w:color w:val="000000" w:themeColor="text1"/>
          <w:sz w:val="20"/>
          <w:szCs w:val="20"/>
        </w:rPr>
        <w:t>.</w:t>
      </w:r>
    </w:p>
    <w:p w14:paraId="56B122C2" w14:textId="77777777" w:rsidR="00FA5394" w:rsidRDefault="00FA5394" w:rsidP="00FA5394">
      <w:pPr>
        <w:spacing w:after="0" w:line="240" w:lineRule="auto"/>
        <w:jc w:val="both"/>
        <w:rPr>
          <w:rFonts w:ascii="Verdana" w:eastAsia="Calibri" w:hAnsi="Verdana" w:cs="Arial"/>
          <w:color w:val="000000" w:themeColor="text1"/>
          <w:sz w:val="20"/>
          <w:szCs w:val="20"/>
          <w:lang w:val="es-ES"/>
        </w:rPr>
      </w:pPr>
    </w:p>
    <w:p w14:paraId="71329C7B" w14:textId="77777777" w:rsidR="00FA5394" w:rsidRDefault="00FA5394" w:rsidP="00FA5394">
      <w:pPr>
        <w:spacing w:after="0" w:line="240" w:lineRule="auto"/>
        <w:jc w:val="both"/>
        <w:rPr>
          <w:rFonts w:ascii="Verdana" w:eastAsia="Calibri" w:hAnsi="Verdana" w:cs="Arial"/>
          <w:color w:val="000000" w:themeColor="text1"/>
          <w:sz w:val="20"/>
          <w:szCs w:val="20"/>
          <w:lang w:val="es-ES"/>
        </w:rPr>
      </w:pPr>
      <w:r>
        <w:rPr>
          <w:rFonts w:ascii="Verdana" w:eastAsia="Calibri" w:hAnsi="Verdana" w:cs="Arial"/>
          <w:color w:val="000000" w:themeColor="text1"/>
          <w:sz w:val="20"/>
          <w:szCs w:val="20"/>
          <w:lang w:val="es-ES"/>
        </w:rPr>
        <w:t>[…]</w:t>
      </w:r>
    </w:p>
    <w:p w14:paraId="40C5346C" w14:textId="77777777" w:rsidR="00FA5394" w:rsidRDefault="00FA5394" w:rsidP="00FA5394">
      <w:pPr>
        <w:spacing w:after="0" w:line="240" w:lineRule="auto"/>
        <w:jc w:val="both"/>
        <w:rPr>
          <w:rFonts w:ascii="Verdana" w:eastAsia="Calibri" w:hAnsi="Verdana" w:cs="Arial"/>
          <w:color w:val="000000" w:themeColor="text1"/>
          <w:sz w:val="20"/>
          <w:szCs w:val="20"/>
          <w:lang w:val="es-ES"/>
        </w:rPr>
      </w:pPr>
    </w:p>
    <w:p w14:paraId="6D6B03AF" w14:textId="77777777" w:rsidR="00FA5394" w:rsidRDefault="00642148" w:rsidP="00FA5394">
      <w:pPr>
        <w:spacing w:after="0" w:line="240" w:lineRule="auto"/>
        <w:jc w:val="both"/>
        <w:rPr>
          <w:rFonts w:ascii="Verdana" w:eastAsia="Calibri" w:hAnsi="Verdana" w:cs="Arial"/>
          <w:color w:val="000000" w:themeColor="text1"/>
          <w:sz w:val="20"/>
          <w:szCs w:val="20"/>
          <w:lang w:val="es-ES"/>
        </w:rPr>
      </w:pPr>
      <w:r w:rsidRPr="00FA5394">
        <w:rPr>
          <w:rFonts w:ascii="Verdana" w:eastAsia="Calibri" w:hAnsi="Verdana" w:cs="Arial"/>
          <w:color w:val="000000" w:themeColor="text1"/>
          <w:sz w:val="20"/>
          <w:szCs w:val="20"/>
          <w:lang w:val="es-ES"/>
        </w:rPr>
        <w:t xml:space="preserve">En ese sentido, el mandato de considerar este tipo de entidades como empresas y clasificarlas como MiPymes es una acción que busca vincularlas como proveedoras del mercado de compra pública dentro del ámbito de explotación económica que la ley ha concedido a estas entidades del sector solidario. </w:t>
      </w:r>
    </w:p>
    <w:p w14:paraId="6D1D8DAA" w14:textId="77777777" w:rsidR="00FA5394" w:rsidRDefault="00FA5394" w:rsidP="00FA5394">
      <w:pPr>
        <w:spacing w:after="0" w:line="240" w:lineRule="auto"/>
        <w:jc w:val="both"/>
        <w:rPr>
          <w:rFonts w:ascii="Verdana" w:eastAsia="Calibri" w:hAnsi="Verdana" w:cs="Arial"/>
          <w:color w:val="000000" w:themeColor="text1"/>
          <w:sz w:val="20"/>
          <w:szCs w:val="20"/>
          <w:lang w:val="es-ES"/>
        </w:rPr>
      </w:pPr>
    </w:p>
    <w:p w14:paraId="419B02C2" w14:textId="3D792F6F" w:rsidR="00FA5394" w:rsidRPr="00FA5394" w:rsidRDefault="00FA5394" w:rsidP="00FA5394">
      <w:pPr>
        <w:spacing w:after="0" w:line="240" w:lineRule="auto"/>
        <w:jc w:val="both"/>
        <w:rPr>
          <w:rFonts w:ascii="Verdana" w:eastAsia="Calibri" w:hAnsi="Verdana" w:cs="Arial"/>
          <w:color w:val="000000" w:themeColor="text1"/>
          <w:sz w:val="20"/>
          <w:szCs w:val="20"/>
          <w:lang w:val="es-ES"/>
        </w:rPr>
      </w:pPr>
      <w:r w:rsidRPr="00FA5394">
        <w:rPr>
          <w:rFonts w:ascii="Verdana" w:eastAsia="Calibri" w:hAnsi="Verdana" w:cs="Arial"/>
          <w:color w:val="000000" w:themeColor="text1"/>
          <w:sz w:val="20"/>
          <w:szCs w:val="20"/>
          <w:lang w:val="es-ES"/>
        </w:rPr>
        <w:t xml:space="preserve">[…] </w:t>
      </w:r>
    </w:p>
    <w:p w14:paraId="5991B130" w14:textId="77777777" w:rsidR="00FA5394" w:rsidRPr="00FA5394" w:rsidRDefault="00FA5394" w:rsidP="00FA5394">
      <w:pPr>
        <w:spacing w:after="0" w:line="240" w:lineRule="auto"/>
        <w:jc w:val="both"/>
        <w:rPr>
          <w:rFonts w:ascii="Verdana" w:hAnsi="Verdana" w:cs="Arial"/>
          <w:color w:val="000000" w:themeColor="text1"/>
          <w:sz w:val="20"/>
          <w:szCs w:val="20"/>
          <w:lang w:val="es-ES"/>
        </w:rPr>
      </w:pPr>
    </w:p>
    <w:p w14:paraId="450B3CD0" w14:textId="5C4C1663" w:rsidR="00642148" w:rsidRPr="00FA5394" w:rsidRDefault="00642148" w:rsidP="00FA5394">
      <w:pPr>
        <w:spacing w:after="0" w:line="240" w:lineRule="auto"/>
        <w:jc w:val="both"/>
        <w:rPr>
          <w:rFonts w:ascii="Verdana" w:hAnsi="Verdana"/>
          <w:sz w:val="20"/>
          <w:szCs w:val="20"/>
          <w:lang w:val="es-ES"/>
        </w:rPr>
      </w:pPr>
      <w:r w:rsidRPr="00FA5394">
        <w:rPr>
          <w:rFonts w:ascii="Verdana" w:hAnsi="Verdana" w:cs="Arial"/>
          <w:color w:val="000000" w:themeColor="text1"/>
          <w:sz w:val="20"/>
          <w:szCs w:val="20"/>
          <w:lang w:val="es-ES"/>
        </w:rPr>
        <w:t xml:space="preserve">De esta manera, los incentivos referidos en la Ley 2069 de 2020 y la posibilidad de solicitar la limitación de las convocatorias a MiPymes no son extensibles a todas las ESAL, sino únicamente a aquellas que corresponden al concepto de </w:t>
      </w:r>
      <w:r w:rsidRPr="00FA5394">
        <w:rPr>
          <w:rFonts w:ascii="Verdana" w:eastAsia="Calibri" w:hAnsi="Verdana" w:cs="Arial"/>
          <w:color w:val="000000" w:themeColor="text1"/>
          <w:sz w:val="20"/>
          <w:szCs w:val="20"/>
          <w:lang w:val="es-ES"/>
        </w:rPr>
        <w:t xml:space="preserve">cooperativas y demás entes considerados de economía solidaria, </w:t>
      </w:r>
      <w:r w:rsidRPr="00FA5394">
        <w:rPr>
          <w:rFonts w:ascii="Verdana" w:eastAsia="Geomanist Light" w:hAnsi="Verdana" w:cs="Arial"/>
          <w:sz w:val="20"/>
          <w:szCs w:val="20"/>
          <w:lang w:val="es-ES"/>
        </w:rPr>
        <w:t>en los términos del artículo 6 de la Ley 454 de 1998 –norma a la que remite el artículo 23 de la Ley de Emprendimiento</w:t>
      </w:r>
      <w:r w:rsidR="00FA5394" w:rsidRPr="00FA5394">
        <w:rPr>
          <w:rFonts w:ascii="Verdana" w:eastAsia="Geomanist Light" w:hAnsi="Verdana" w:cs="Arial"/>
          <w:sz w:val="20"/>
          <w:szCs w:val="20"/>
          <w:lang w:val="es-ES"/>
        </w:rPr>
        <w:t>.</w:t>
      </w:r>
    </w:p>
    <w:p w14:paraId="6C8DDF8B" w14:textId="77777777" w:rsidR="00FA5394" w:rsidRDefault="00FA5394" w:rsidP="00867B6A">
      <w:pPr>
        <w:spacing w:after="0" w:line="240" w:lineRule="auto"/>
        <w:jc w:val="both"/>
        <w:rPr>
          <w:rFonts w:ascii="Verdana" w:hAnsi="Verdana"/>
        </w:rPr>
      </w:pPr>
    </w:p>
    <w:p w14:paraId="52D49A99" w14:textId="77777777" w:rsidR="00FA5394" w:rsidRDefault="00FA5394" w:rsidP="00867B6A">
      <w:pPr>
        <w:spacing w:after="0" w:line="240" w:lineRule="auto"/>
        <w:jc w:val="both"/>
        <w:rPr>
          <w:rFonts w:ascii="Verdana" w:hAnsi="Verdana"/>
        </w:rPr>
      </w:pPr>
    </w:p>
    <w:p w14:paraId="2F3BE841" w14:textId="77777777" w:rsidR="00FA5394" w:rsidRDefault="00FA5394" w:rsidP="00867B6A">
      <w:pPr>
        <w:spacing w:after="0" w:line="240" w:lineRule="auto"/>
        <w:jc w:val="both"/>
        <w:rPr>
          <w:rFonts w:ascii="Verdana" w:hAnsi="Verdana"/>
        </w:rPr>
      </w:pPr>
    </w:p>
    <w:p w14:paraId="3572D249" w14:textId="77777777" w:rsidR="00FA5394" w:rsidRDefault="00FA5394" w:rsidP="00867B6A">
      <w:pPr>
        <w:spacing w:after="0" w:line="240" w:lineRule="auto"/>
        <w:jc w:val="both"/>
        <w:rPr>
          <w:rFonts w:ascii="Verdana" w:hAnsi="Verdana"/>
        </w:rPr>
      </w:pPr>
    </w:p>
    <w:p w14:paraId="663C2FF6" w14:textId="77777777" w:rsidR="00FA5394" w:rsidRDefault="00FA5394" w:rsidP="00867B6A">
      <w:pPr>
        <w:spacing w:after="0" w:line="240" w:lineRule="auto"/>
        <w:jc w:val="both"/>
        <w:rPr>
          <w:rFonts w:ascii="Verdana" w:hAnsi="Verdana"/>
        </w:rPr>
      </w:pPr>
    </w:p>
    <w:p w14:paraId="24AC291F" w14:textId="77777777" w:rsidR="00FA5394" w:rsidRDefault="00FA5394" w:rsidP="00867B6A">
      <w:pPr>
        <w:spacing w:after="0" w:line="240" w:lineRule="auto"/>
        <w:jc w:val="both"/>
        <w:rPr>
          <w:rFonts w:ascii="Verdana" w:hAnsi="Verdana"/>
        </w:rPr>
      </w:pPr>
    </w:p>
    <w:p w14:paraId="0518F23C" w14:textId="77777777" w:rsidR="00FA5394" w:rsidRDefault="00FA5394" w:rsidP="00867B6A">
      <w:pPr>
        <w:spacing w:after="0" w:line="240" w:lineRule="auto"/>
        <w:jc w:val="both"/>
        <w:rPr>
          <w:rFonts w:ascii="Verdana" w:hAnsi="Verdana"/>
        </w:rPr>
      </w:pPr>
    </w:p>
    <w:p w14:paraId="22E924D4" w14:textId="77777777" w:rsidR="00FA5394" w:rsidRDefault="00FA5394" w:rsidP="00867B6A">
      <w:pPr>
        <w:spacing w:after="0" w:line="240" w:lineRule="auto"/>
        <w:jc w:val="both"/>
        <w:rPr>
          <w:rFonts w:ascii="Verdana" w:hAnsi="Verdana"/>
        </w:rPr>
      </w:pPr>
    </w:p>
    <w:p w14:paraId="7C05A96C" w14:textId="77777777" w:rsidR="00FA5394" w:rsidRDefault="00FA5394" w:rsidP="00867B6A">
      <w:pPr>
        <w:spacing w:after="0" w:line="240" w:lineRule="auto"/>
        <w:jc w:val="both"/>
        <w:rPr>
          <w:rFonts w:ascii="Verdana" w:hAnsi="Verdana"/>
        </w:rPr>
      </w:pPr>
    </w:p>
    <w:p w14:paraId="6B7E85BF" w14:textId="77777777" w:rsidR="00FA5394" w:rsidRDefault="00FA5394" w:rsidP="00867B6A">
      <w:pPr>
        <w:spacing w:after="0" w:line="240" w:lineRule="auto"/>
        <w:jc w:val="both"/>
        <w:rPr>
          <w:rFonts w:ascii="Verdana" w:hAnsi="Verdana"/>
        </w:rPr>
      </w:pPr>
    </w:p>
    <w:p w14:paraId="2F63DC6D" w14:textId="77777777" w:rsidR="00FA5394" w:rsidRDefault="00FA5394" w:rsidP="00867B6A">
      <w:pPr>
        <w:spacing w:after="0" w:line="240" w:lineRule="auto"/>
        <w:jc w:val="both"/>
        <w:rPr>
          <w:rFonts w:ascii="Verdana" w:hAnsi="Verdana"/>
        </w:rPr>
      </w:pPr>
    </w:p>
    <w:p w14:paraId="59384F61" w14:textId="77777777" w:rsidR="00FA5394" w:rsidRDefault="00FA5394" w:rsidP="00867B6A">
      <w:pPr>
        <w:spacing w:after="0" w:line="240" w:lineRule="auto"/>
        <w:jc w:val="both"/>
        <w:rPr>
          <w:rFonts w:ascii="Verdana" w:hAnsi="Verdana"/>
        </w:rPr>
      </w:pPr>
    </w:p>
    <w:p w14:paraId="6A7DF780" w14:textId="250C0569" w:rsidR="00867B6A" w:rsidRDefault="00867B6A" w:rsidP="00867B6A">
      <w:pPr>
        <w:spacing w:after="0" w:line="240" w:lineRule="auto"/>
        <w:jc w:val="both"/>
        <w:rPr>
          <w:rFonts w:ascii="Verdana" w:hAnsi="Verdana"/>
        </w:rPr>
      </w:pPr>
      <w:r w:rsidRPr="008E4F36">
        <w:rPr>
          <w:rFonts w:ascii="Verdana" w:hAnsi="Verdana"/>
        </w:rPr>
        <w:lastRenderedPageBreak/>
        <w:t xml:space="preserve">Bogotá D.C., </w:t>
      </w:r>
      <w:bookmarkStart w:id="4" w:name="_Hlk197462763"/>
      <w:bookmarkStart w:id="5" w:name="_Hlk197529996"/>
      <w:r w:rsidR="005B59DB">
        <w:rPr>
          <w:rFonts w:ascii="Verdana" w:hAnsi="Verdana"/>
        </w:rPr>
        <w:t xml:space="preserve">1 de agosto de 2025 </w:t>
      </w:r>
    </w:p>
    <w:p w14:paraId="4191D9E9" w14:textId="77777777" w:rsidR="005B59DB" w:rsidRDefault="005B59DB" w:rsidP="00867B6A">
      <w:pPr>
        <w:spacing w:after="0" w:line="240" w:lineRule="auto"/>
        <w:jc w:val="both"/>
        <w:rPr>
          <w:rFonts w:ascii="Verdana" w:hAnsi="Verdana"/>
        </w:rPr>
      </w:pPr>
    </w:p>
    <w:p w14:paraId="15AC97F5" w14:textId="2FE8A42A" w:rsidR="005B59DB" w:rsidRPr="008E4F36" w:rsidRDefault="005B59DB" w:rsidP="005B59DB">
      <w:pPr>
        <w:spacing w:after="0" w:line="240" w:lineRule="auto"/>
        <w:jc w:val="right"/>
        <w:rPr>
          <w:rFonts w:ascii="Verdana" w:eastAsia="Calibri" w:hAnsi="Verdana" w:cs="Arial"/>
          <w:lang w:eastAsia="es-ES"/>
        </w:rPr>
      </w:pPr>
      <w:r w:rsidRPr="005B59DB">
        <w:rPr>
          <w:rFonts w:ascii="Verdana" w:eastAsia="Calibri" w:hAnsi="Verdana" w:cs="Arial"/>
          <w:noProof/>
          <w:lang w:eastAsia="es-ES"/>
        </w:rPr>
        <w:drawing>
          <wp:inline distT="0" distB="0" distL="0" distR="0" wp14:anchorId="0AEEB4E8" wp14:editId="1E64257A">
            <wp:extent cx="2582266" cy="745262"/>
            <wp:effectExtent l="0" t="0" r="0" b="0"/>
            <wp:docPr id="2200516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051624" name=""/>
                    <pic:cNvPicPr/>
                  </pic:nvPicPr>
                  <pic:blipFill>
                    <a:blip r:embed="rId11"/>
                    <a:stretch>
                      <a:fillRect/>
                    </a:stretch>
                  </pic:blipFill>
                  <pic:spPr>
                    <a:xfrm>
                      <a:off x="0" y="0"/>
                      <a:ext cx="2603472" cy="751382"/>
                    </a:xfrm>
                    <a:prstGeom prst="rect">
                      <a:avLst/>
                    </a:prstGeom>
                  </pic:spPr>
                </pic:pic>
              </a:graphicData>
            </a:graphic>
          </wp:inline>
        </w:drawing>
      </w:r>
    </w:p>
    <w:p w14:paraId="7D8CDC10" w14:textId="77777777" w:rsidR="00867B6A" w:rsidRPr="008E4F36" w:rsidRDefault="00867B6A" w:rsidP="00867B6A">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1FE3479A" w14:textId="77777777" w:rsidR="00867B6A" w:rsidRDefault="00867B6A" w:rsidP="00867B6A">
      <w:pPr>
        <w:spacing w:after="0" w:line="240" w:lineRule="auto"/>
        <w:jc w:val="both"/>
        <w:rPr>
          <w:rFonts w:ascii="Verdana" w:eastAsia="Calibri" w:hAnsi="Verdana" w:cs="Arial"/>
          <w:b/>
          <w:lang w:eastAsia="es-ES_tradnl"/>
        </w:rPr>
      </w:pPr>
      <w:r w:rsidRPr="00C81A55">
        <w:rPr>
          <w:rFonts w:ascii="Verdana" w:eastAsia="Calibri" w:hAnsi="Verdana" w:cs="Arial"/>
          <w:b/>
          <w:lang w:eastAsia="es-ES_tradnl"/>
        </w:rPr>
        <w:t>Juan Jos</w:t>
      </w:r>
      <w:r>
        <w:rPr>
          <w:rFonts w:ascii="Verdana" w:eastAsia="Calibri" w:hAnsi="Verdana" w:cs="Arial"/>
          <w:b/>
          <w:lang w:eastAsia="es-ES_tradnl"/>
        </w:rPr>
        <w:t>é</w:t>
      </w:r>
      <w:r w:rsidRPr="00C81A55">
        <w:rPr>
          <w:rFonts w:ascii="Verdana" w:eastAsia="Calibri" w:hAnsi="Verdana" w:cs="Arial"/>
          <w:b/>
          <w:lang w:eastAsia="es-ES_tradnl"/>
        </w:rPr>
        <w:t xml:space="preserve"> Cruz Mej</w:t>
      </w:r>
      <w:r>
        <w:rPr>
          <w:rFonts w:ascii="Verdana" w:eastAsia="Calibri" w:hAnsi="Verdana" w:cs="Arial"/>
          <w:b/>
          <w:lang w:eastAsia="es-ES_tradnl"/>
        </w:rPr>
        <w:t>í</w:t>
      </w:r>
      <w:r w:rsidRPr="00C81A55">
        <w:rPr>
          <w:rFonts w:ascii="Verdana" w:eastAsia="Calibri" w:hAnsi="Verdana" w:cs="Arial"/>
          <w:b/>
          <w:lang w:eastAsia="es-ES_tradnl"/>
        </w:rPr>
        <w:t>a</w:t>
      </w:r>
    </w:p>
    <w:p w14:paraId="6D3EA719" w14:textId="77777777" w:rsidR="00867B6A" w:rsidRPr="00C81A55" w:rsidRDefault="00867B6A" w:rsidP="00867B6A">
      <w:pPr>
        <w:spacing w:after="0" w:line="240" w:lineRule="auto"/>
        <w:jc w:val="both"/>
        <w:rPr>
          <w:rFonts w:ascii="Verdana" w:hAnsi="Verdana"/>
          <w:b/>
          <w:bCs/>
        </w:rPr>
      </w:pPr>
      <w:hyperlink r:id="rId12" w:history="1">
        <w:r w:rsidRPr="00C81A55">
          <w:rPr>
            <w:rStyle w:val="Hipervnculo"/>
            <w:rFonts w:ascii="Verdana" w:hAnsi="Verdana"/>
            <w:b/>
            <w:bCs/>
          </w:rPr>
          <w:t>gidelman@hotmail.com</w:t>
        </w:r>
      </w:hyperlink>
    </w:p>
    <w:p w14:paraId="179D6737" w14:textId="77777777" w:rsidR="00867B6A" w:rsidRPr="00C81A55" w:rsidRDefault="00867B6A" w:rsidP="00867B6A">
      <w:pPr>
        <w:spacing w:after="0" w:line="240" w:lineRule="auto"/>
        <w:jc w:val="both"/>
        <w:rPr>
          <w:rFonts w:ascii="Verdana" w:hAnsi="Verdana"/>
        </w:rPr>
      </w:pPr>
      <w:r w:rsidRPr="00C81A55">
        <w:rPr>
          <w:rFonts w:ascii="Verdana" w:hAnsi="Verdana"/>
        </w:rPr>
        <w:t xml:space="preserve">Arauca – Arauca </w:t>
      </w:r>
    </w:p>
    <w:p w14:paraId="0C8D69A6" w14:textId="77777777" w:rsidR="00867B6A" w:rsidRDefault="00867B6A" w:rsidP="00867B6A">
      <w:pPr>
        <w:spacing w:after="0" w:line="240" w:lineRule="auto"/>
        <w:jc w:val="both"/>
        <w:rPr>
          <w:rFonts w:ascii="Verdana" w:hAnsi="Verdana"/>
          <w:lang w:val="it-CH"/>
        </w:rPr>
      </w:pPr>
    </w:p>
    <w:p w14:paraId="281AAF6B" w14:textId="77777777" w:rsidR="00867B6A" w:rsidRPr="005B4C57" w:rsidRDefault="00867B6A" w:rsidP="00867B6A">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867B6A" w:rsidRPr="002842E0" w14:paraId="1EF478EF" w14:textId="77777777" w:rsidTr="003B48A4">
        <w:trPr>
          <w:trHeight w:val="162"/>
        </w:trPr>
        <w:tc>
          <w:tcPr>
            <w:tcW w:w="3119" w:type="dxa"/>
          </w:tcPr>
          <w:p w14:paraId="22C8527F" w14:textId="77777777" w:rsidR="00867B6A" w:rsidRPr="005B4C57" w:rsidRDefault="00867B6A" w:rsidP="003B48A4">
            <w:pPr>
              <w:jc w:val="both"/>
              <w:rPr>
                <w:rFonts w:ascii="Verdana" w:eastAsia="Calibri" w:hAnsi="Verdana" w:cs="Arial"/>
                <w:b/>
                <w:bCs/>
                <w:color w:val="7030A0"/>
                <w:lang w:val="it-CH" w:eastAsia="es-ES_tradnl"/>
              </w:rPr>
            </w:pPr>
          </w:p>
        </w:tc>
        <w:tc>
          <w:tcPr>
            <w:tcW w:w="5670" w:type="dxa"/>
          </w:tcPr>
          <w:p w14:paraId="7A119592" w14:textId="77777777" w:rsidR="00867B6A" w:rsidRPr="00801462" w:rsidRDefault="00867B6A" w:rsidP="003B48A4">
            <w:pPr>
              <w:jc w:val="both"/>
              <w:rPr>
                <w:rFonts w:ascii="Verdana" w:eastAsia="Calibri" w:hAnsi="Verdana" w:cs="Arial"/>
                <w:b/>
                <w:bCs/>
                <w:lang w:eastAsia="es-ES"/>
              </w:rPr>
            </w:pPr>
            <w:r w:rsidRPr="00801462">
              <w:rPr>
                <w:rFonts w:ascii="Verdana" w:eastAsia="Calibri" w:hAnsi="Verdana" w:cs="Arial"/>
                <w:b/>
                <w:bCs/>
                <w:lang w:eastAsia="es-ES"/>
              </w:rPr>
              <w:t xml:space="preserve">Concepto C- </w:t>
            </w:r>
            <w:r>
              <w:rPr>
                <w:rFonts w:ascii="Verdana" w:eastAsia="Calibri" w:hAnsi="Verdana" w:cs="Arial"/>
                <w:b/>
                <w:bCs/>
                <w:lang w:eastAsia="es-ES"/>
              </w:rPr>
              <w:t>855</w:t>
            </w:r>
            <w:r w:rsidRPr="00801462">
              <w:rPr>
                <w:rFonts w:ascii="Verdana" w:eastAsia="Calibri" w:hAnsi="Verdana" w:cs="Arial"/>
                <w:b/>
                <w:bCs/>
                <w:lang w:eastAsia="es-ES"/>
              </w:rPr>
              <w:t xml:space="preserve"> de 2025</w:t>
            </w:r>
          </w:p>
          <w:p w14:paraId="0FA3EE2A" w14:textId="77777777" w:rsidR="00867B6A" w:rsidRPr="00801462" w:rsidRDefault="00867B6A" w:rsidP="003B48A4">
            <w:pPr>
              <w:jc w:val="both"/>
              <w:rPr>
                <w:rFonts w:ascii="Verdana" w:eastAsia="Calibri" w:hAnsi="Verdana" w:cs="Arial"/>
                <w:b/>
                <w:bCs/>
                <w:color w:val="7030A0"/>
                <w:lang w:eastAsia="es-ES"/>
              </w:rPr>
            </w:pPr>
          </w:p>
        </w:tc>
      </w:tr>
      <w:tr w:rsidR="00867B6A" w:rsidRPr="002842E0" w14:paraId="498E5CD9" w14:textId="77777777" w:rsidTr="003B48A4">
        <w:trPr>
          <w:trHeight w:val="884"/>
        </w:trPr>
        <w:tc>
          <w:tcPr>
            <w:tcW w:w="3119" w:type="dxa"/>
          </w:tcPr>
          <w:p w14:paraId="23D01ABA" w14:textId="77777777" w:rsidR="00867B6A" w:rsidRPr="00801462" w:rsidRDefault="00867B6A" w:rsidP="003B48A4">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019E2A5D" w14:textId="77777777" w:rsidR="00867B6A" w:rsidRPr="00A10C01" w:rsidRDefault="00867B6A" w:rsidP="003B48A4">
            <w:pPr>
              <w:jc w:val="both"/>
              <w:rPr>
                <w:rFonts w:ascii="Verdana" w:eastAsia="Calibri" w:hAnsi="Verdana" w:cs="Arial"/>
                <w:b/>
                <w:lang w:eastAsia="es-ES"/>
              </w:rPr>
            </w:pPr>
            <w:r w:rsidRPr="00A10C01">
              <w:rPr>
                <w:rFonts w:ascii="Verdana" w:eastAsia="Calibri" w:hAnsi="Verdana" w:cs="Arial"/>
                <w:lang w:eastAsia="es-ES"/>
              </w:rPr>
              <w:t>ESAL– MiPymes – Distinción /   ENTIDADES DE ECONOMÍA SOLIDARIA</w:t>
            </w:r>
            <w:r>
              <w:rPr>
                <w:rFonts w:ascii="Verdana" w:eastAsia="Calibri" w:hAnsi="Verdana" w:cs="Arial"/>
                <w:lang w:eastAsia="es-ES"/>
              </w:rPr>
              <w:t xml:space="preserve"> </w:t>
            </w:r>
            <w:r w:rsidRPr="00A10C01">
              <w:rPr>
                <w:rFonts w:ascii="Verdana" w:eastAsia="Calibri" w:hAnsi="Verdana" w:cs="Arial"/>
                <w:lang w:eastAsia="es-ES"/>
              </w:rPr>
              <w:t>–</w:t>
            </w:r>
            <w:r>
              <w:rPr>
                <w:rFonts w:ascii="Verdana" w:eastAsia="Calibri" w:hAnsi="Verdana" w:cs="Arial"/>
                <w:lang w:eastAsia="es-ES"/>
              </w:rPr>
              <w:t xml:space="preserve"> </w:t>
            </w:r>
            <w:r w:rsidRPr="00A10C01">
              <w:rPr>
                <w:rFonts w:ascii="Verdana" w:eastAsia="Calibri" w:hAnsi="Verdana" w:cs="Arial"/>
                <w:lang w:eastAsia="es-ES"/>
              </w:rPr>
              <w:t>Asimilación a Mi</w:t>
            </w:r>
            <w:r>
              <w:rPr>
                <w:rFonts w:ascii="Verdana" w:eastAsia="Calibri" w:hAnsi="Verdana" w:cs="Arial"/>
                <w:lang w:eastAsia="es-ES"/>
              </w:rPr>
              <w:t>P</w:t>
            </w:r>
            <w:r w:rsidRPr="00A10C01">
              <w:rPr>
                <w:rFonts w:ascii="Verdana" w:eastAsia="Calibri" w:hAnsi="Verdana" w:cs="Arial"/>
                <w:lang w:eastAsia="es-ES"/>
              </w:rPr>
              <w:t xml:space="preserve">ymes – Cooperativas – Asociaciones mutualistas – Demás entidades de economía solidaria </w:t>
            </w:r>
            <w:r>
              <w:rPr>
                <w:rFonts w:ascii="Verdana" w:eastAsia="Calibri" w:hAnsi="Verdana" w:cs="Arial"/>
                <w:lang w:eastAsia="es-ES"/>
              </w:rPr>
              <w:t xml:space="preserve">/ </w:t>
            </w:r>
            <w:r w:rsidRPr="00A10C01">
              <w:rPr>
                <w:rFonts w:ascii="Verdana" w:eastAsia="Calibri" w:hAnsi="Verdana" w:cs="Arial"/>
                <w:lang w:eastAsia="es-ES"/>
              </w:rPr>
              <w:t xml:space="preserve">CONVOCATORIAS LIMITADAS A MIPYMES </w:t>
            </w:r>
            <w:r>
              <w:rPr>
                <w:rFonts w:ascii="Verdana" w:eastAsia="Calibri" w:hAnsi="Verdana" w:cs="Arial"/>
                <w:lang w:eastAsia="es-ES"/>
              </w:rPr>
              <w:t xml:space="preserve">- </w:t>
            </w:r>
            <w:r w:rsidRPr="00A10C01">
              <w:rPr>
                <w:rFonts w:ascii="Verdana" w:eastAsia="Calibri" w:hAnsi="Verdana" w:cs="Arial"/>
                <w:lang w:eastAsia="es-ES"/>
              </w:rPr>
              <w:t>MiPymes – Entidades Sin Ánimo de Lucro /</w:t>
            </w:r>
            <w:r>
              <w:rPr>
                <w:rFonts w:ascii="Verdana" w:eastAsia="Calibri" w:hAnsi="Verdana" w:cs="Arial"/>
                <w:lang w:eastAsia="es-ES"/>
              </w:rPr>
              <w:t xml:space="preserve"> </w:t>
            </w:r>
            <w:r w:rsidRPr="00A10C01">
              <w:rPr>
                <w:rFonts w:ascii="Verdana" w:eastAsia="Calibri" w:hAnsi="Verdana" w:cs="Arial"/>
                <w:lang w:eastAsia="es-ES"/>
              </w:rPr>
              <w:t xml:space="preserve">ESAL – MiPymes - </w:t>
            </w:r>
            <w:r>
              <w:rPr>
                <w:rFonts w:ascii="Verdana" w:eastAsia="Calibri" w:hAnsi="Verdana" w:cs="Arial"/>
                <w:lang w:eastAsia="es-ES"/>
              </w:rPr>
              <w:t xml:space="preserve">Cooperativas </w:t>
            </w:r>
          </w:p>
          <w:p w14:paraId="2BCBEEA1" w14:textId="77777777" w:rsidR="00867B6A" w:rsidRPr="00A10C01" w:rsidRDefault="00867B6A" w:rsidP="003B48A4">
            <w:pPr>
              <w:jc w:val="both"/>
              <w:rPr>
                <w:rFonts w:ascii="Verdana" w:eastAsia="Calibri" w:hAnsi="Verdana" w:cs="Arial"/>
                <w:lang w:eastAsia="es-ES"/>
              </w:rPr>
            </w:pPr>
          </w:p>
        </w:tc>
      </w:tr>
      <w:tr w:rsidR="00867B6A" w:rsidRPr="002842E0" w14:paraId="58A8A6CD" w14:textId="77777777" w:rsidTr="003B48A4">
        <w:tc>
          <w:tcPr>
            <w:tcW w:w="3119" w:type="dxa"/>
          </w:tcPr>
          <w:p w14:paraId="758CC550" w14:textId="77777777" w:rsidR="00867B6A" w:rsidRPr="00801462" w:rsidRDefault="00867B6A" w:rsidP="003B48A4">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347A735E" w14:textId="77777777" w:rsidR="00867B6A" w:rsidRPr="00801462" w:rsidRDefault="00867B6A" w:rsidP="003B48A4">
            <w:pPr>
              <w:jc w:val="both"/>
              <w:rPr>
                <w:rFonts w:ascii="Verdana" w:eastAsia="Calibri" w:hAnsi="Verdana" w:cs="Arial"/>
                <w:lang w:eastAsia="es-ES_tradnl"/>
              </w:rPr>
            </w:pPr>
            <w:r w:rsidRPr="00801462">
              <w:rPr>
                <w:rFonts w:ascii="Verdana" w:eastAsia="Calibri" w:hAnsi="Verdana" w:cs="Arial"/>
                <w:lang w:eastAsia="es-ES_tradnl"/>
              </w:rPr>
              <w:t xml:space="preserve">Respuesta a consulta con radicado </w:t>
            </w:r>
            <w:r w:rsidRPr="00C81A55">
              <w:rPr>
                <w:rFonts w:ascii="Verdana" w:eastAsia="Calibri" w:hAnsi="Verdana" w:cs="Arial"/>
                <w:lang w:eastAsia="es-ES_tradnl"/>
              </w:rPr>
              <w:t>1_2025_06_27_006472</w:t>
            </w:r>
          </w:p>
        </w:tc>
      </w:tr>
    </w:tbl>
    <w:p w14:paraId="5913F584" w14:textId="77777777" w:rsidR="00867B6A" w:rsidRDefault="00867B6A" w:rsidP="00867B6A">
      <w:pPr>
        <w:spacing w:after="0" w:line="276" w:lineRule="auto"/>
        <w:jc w:val="both"/>
        <w:rPr>
          <w:rFonts w:ascii="Verdana" w:eastAsia="Calibri" w:hAnsi="Verdana" w:cs="Arial"/>
          <w:lang w:eastAsia="es-ES_tradnl"/>
        </w:rPr>
      </w:pPr>
    </w:p>
    <w:p w14:paraId="6DBEAA22" w14:textId="77777777" w:rsidR="00867B6A" w:rsidRPr="008E4F36" w:rsidRDefault="00867B6A" w:rsidP="00867B6A">
      <w:pPr>
        <w:spacing w:after="0" w:line="276" w:lineRule="auto"/>
        <w:jc w:val="both"/>
        <w:rPr>
          <w:rFonts w:ascii="Verdana" w:eastAsia="Calibri" w:hAnsi="Verdana" w:cs="Arial"/>
          <w:lang w:eastAsia="es-ES"/>
        </w:rPr>
      </w:pPr>
      <w:r w:rsidRPr="008E4F36">
        <w:rPr>
          <w:rFonts w:ascii="Verdana" w:eastAsia="Calibri" w:hAnsi="Verdana" w:cs="Arial"/>
          <w:lang w:eastAsia="es-ES"/>
        </w:rPr>
        <w:t>Estimad</w:t>
      </w:r>
      <w:r>
        <w:rPr>
          <w:rFonts w:ascii="Verdana" w:eastAsia="Calibri" w:hAnsi="Verdana" w:cs="Arial"/>
          <w:lang w:eastAsia="es-ES"/>
        </w:rPr>
        <w:t xml:space="preserve">o </w:t>
      </w:r>
      <w:r w:rsidRPr="008E4F36">
        <w:rPr>
          <w:rFonts w:ascii="Verdana" w:eastAsia="Calibri" w:hAnsi="Verdana" w:cs="Arial"/>
          <w:lang w:eastAsia="es-ES"/>
        </w:rPr>
        <w:t>señor</w:t>
      </w:r>
      <w:r>
        <w:rPr>
          <w:rFonts w:ascii="Verdana" w:eastAsia="Calibri" w:hAnsi="Verdana" w:cs="Arial"/>
          <w:lang w:eastAsia="es-ES"/>
        </w:rPr>
        <w:t xml:space="preserve"> Cruz</w:t>
      </w:r>
      <w:r w:rsidRPr="008E4F36">
        <w:rPr>
          <w:rFonts w:ascii="Verdana" w:eastAsia="Calibri" w:hAnsi="Verdana" w:cs="Arial"/>
          <w:lang w:eastAsia="es-ES"/>
        </w:rPr>
        <w:t xml:space="preserve">: </w:t>
      </w:r>
    </w:p>
    <w:p w14:paraId="4691CABE" w14:textId="77777777" w:rsidR="00867B6A" w:rsidRDefault="00867B6A" w:rsidP="00867B6A">
      <w:pPr>
        <w:tabs>
          <w:tab w:val="left" w:pos="3768"/>
        </w:tabs>
        <w:spacing w:after="0" w:line="240" w:lineRule="auto"/>
        <w:jc w:val="both"/>
        <w:rPr>
          <w:rFonts w:ascii="Verdana" w:eastAsia="Calibri" w:hAnsi="Verdana" w:cs="Arial"/>
          <w:lang w:eastAsia="es-ES"/>
        </w:rPr>
      </w:pPr>
    </w:p>
    <w:p w14:paraId="621BC68B" w14:textId="77777777" w:rsidR="00867B6A" w:rsidRPr="008E4F36" w:rsidRDefault="00867B6A" w:rsidP="00867B6A">
      <w:pPr>
        <w:tabs>
          <w:tab w:val="left" w:pos="3768"/>
        </w:tabs>
        <w:spacing w:after="0" w:line="276" w:lineRule="auto"/>
        <w:jc w:val="both"/>
        <w:rPr>
          <w:rFonts w:ascii="Verdana" w:eastAsia="Calibri" w:hAnsi="Verdana" w:cs="Arial"/>
          <w:lang w:eastAsia="es-ES"/>
        </w:rPr>
      </w:pPr>
      <w:r w:rsidRPr="008E4F36">
        <w:rPr>
          <w:rFonts w:ascii="Verdana" w:eastAsia="Calibri" w:hAnsi="Verdana" w:cs="Arial"/>
          <w:color w:val="000000" w:themeColor="text1"/>
          <w:lang w:eastAsia="es-ES"/>
        </w:rPr>
        <w:t>En ejercicio de la competencia otorgada por los artículos 3, numeral 5º, y 11, numeral 8º, del Decreto Ley 4170 de 2011,</w:t>
      </w:r>
      <w:r w:rsidRPr="008E4F36">
        <w:rPr>
          <w:rFonts w:ascii="Verdana" w:eastAsia="Arial MT" w:hAnsi="Verdana" w:cs="Arial MT"/>
          <w:lang w:eastAsia="es-ES"/>
        </w:rPr>
        <w:t xml:space="preserve"> </w:t>
      </w:r>
      <w:r w:rsidRPr="008E4F36">
        <w:rPr>
          <w:rFonts w:ascii="Verdana" w:hAnsi="Verdana" w:cs="Arial"/>
        </w:rPr>
        <w:t xml:space="preserve">así como lo establecido en el artículo 4 de la Resolución 1707 de 2018 expedida por esta Entidad, </w:t>
      </w:r>
      <w:r w:rsidRPr="008E4F36">
        <w:rPr>
          <w:rFonts w:ascii="Verdana" w:eastAsia="Calibri" w:hAnsi="Verdana" w:cs="Arial"/>
          <w:color w:val="000000" w:themeColor="text1"/>
          <w:lang w:eastAsia="es-ES"/>
        </w:rPr>
        <w:t xml:space="preserve">la Agencia Nacional de Contratación </w:t>
      </w:r>
      <w:r w:rsidRPr="008E4F36">
        <w:rPr>
          <w:rFonts w:ascii="Verdana" w:eastAsia="Calibri" w:hAnsi="Verdana" w:cs="Arial"/>
          <w:lang w:eastAsia="es-ES"/>
        </w:rPr>
        <w:t xml:space="preserve">Pública – Colombia Compra Eficiente– responde su solicitud de consulta de fecha </w:t>
      </w:r>
      <w:r>
        <w:rPr>
          <w:rFonts w:ascii="Verdana" w:eastAsia="Calibri" w:hAnsi="Verdana" w:cs="Arial"/>
          <w:lang w:eastAsia="es-ES"/>
        </w:rPr>
        <w:t xml:space="preserve">27 </w:t>
      </w:r>
      <w:r w:rsidRPr="008E4F36">
        <w:rPr>
          <w:rFonts w:ascii="Verdana" w:eastAsia="Calibri" w:hAnsi="Verdana" w:cs="Arial"/>
          <w:lang w:eastAsia="es-ES"/>
        </w:rPr>
        <w:t xml:space="preserve">de junio de 2025, en la cual manifiesta lo siguiente: </w:t>
      </w:r>
    </w:p>
    <w:p w14:paraId="5E9CB56F" w14:textId="77777777" w:rsidR="00867B6A" w:rsidRPr="008E4F36" w:rsidRDefault="00867B6A" w:rsidP="00867B6A">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3CE95597" w14:textId="77777777" w:rsidR="00867B6A" w:rsidRPr="00617A31" w:rsidRDefault="00867B6A" w:rsidP="00867B6A">
      <w:pPr>
        <w:spacing w:after="0" w:line="240" w:lineRule="auto"/>
        <w:ind w:left="709" w:right="709"/>
        <w:jc w:val="both"/>
        <w:rPr>
          <w:rFonts w:ascii="Verdana" w:eastAsia="Century Gothic" w:hAnsi="Verdana" w:cs="Century Gothic"/>
          <w:sz w:val="20"/>
          <w:szCs w:val="20"/>
        </w:rPr>
      </w:pPr>
      <w:bookmarkStart w:id="6" w:name="_Hlk192699624"/>
      <w:bookmarkStart w:id="7" w:name="_Hlk199394899"/>
      <w:r>
        <w:rPr>
          <w:rFonts w:ascii="Verdana" w:eastAsia="Century Gothic" w:hAnsi="Verdana" w:cs="Century Gothic"/>
          <w:sz w:val="20"/>
          <w:szCs w:val="20"/>
        </w:rPr>
        <w:t xml:space="preserve">“(…) </w:t>
      </w:r>
      <w:bookmarkEnd w:id="6"/>
      <w:r w:rsidRPr="0006691F">
        <w:rPr>
          <w:rFonts w:ascii="Verdana" w:eastAsia="Century Gothic" w:hAnsi="Verdana" w:cs="Century Gothic"/>
          <w:sz w:val="20"/>
          <w:szCs w:val="20"/>
        </w:rPr>
        <w:t>¿Puede una Cooperativa cuyo objeto social es prestación de bienes y servicios, que en el Certificado de existencia y Representación Legal pertenece a NIIF Grupo 3 y en su tamaño de Empresa está clasificada en Microempresa con Responsabilidad 4 - Impuesto Sobre la Renta y Complementarios Régimen Tributario Especial en el RUT, solicitar que un proceso de contratación sea Limitado a MIPYMES y presentar oferta como Proponente Individual o Proponente Plural en un proceso de contratación que se encuentra limitado a MIPYMES?</w:t>
      </w:r>
      <w:r w:rsidRPr="00624A4C">
        <w:rPr>
          <w:rFonts w:ascii="Verdana" w:eastAsia="Century Gothic" w:hAnsi="Verdana" w:cs="Century Gothic"/>
          <w:sz w:val="20"/>
          <w:szCs w:val="20"/>
        </w:rPr>
        <w:t xml:space="preserve"> </w:t>
      </w:r>
      <w:r>
        <w:rPr>
          <w:rFonts w:ascii="Verdana" w:eastAsia="Century Gothic" w:hAnsi="Verdana" w:cs="Century Gothic"/>
          <w:sz w:val="20"/>
          <w:szCs w:val="20"/>
        </w:rPr>
        <w:t>(</w:t>
      </w:r>
      <w:r w:rsidRPr="008E4F36">
        <w:rPr>
          <w:rFonts w:ascii="Verdana" w:hAnsi="Verdana"/>
          <w:sz w:val="20"/>
          <w:szCs w:val="20"/>
        </w:rPr>
        <w:t>…)”.</w:t>
      </w:r>
      <w:bookmarkEnd w:id="7"/>
    </w:p>
    <w:p w14:paraId="5E855BC5" w14:textId="77777777" w:rsidR="00867B6A" w:rsidRPr="008E4F36" w:rsidRDefault="00867B6A" w:rsidP="00867B6A">
      <w:pPr>
        <w:spacing w:after="0" w:line="240" w:lineRule="auto"/>
        <w:ind w:left="709" w:right="709"/>
        <w:jc w:val="both"/>
        <w:rPr>
          <w:rFonts w:ascii="Verdana" w:hAnsi="Verdana"/>
          <w:sz w:val="20"/>
          <w:szCs w:val="20"/>
        </w:rPr>
      </w:pPr>
    </w:p>
    <w:p w14:paraId="3D1E6D35" w14:textId="77777777" w:rsidR="00867B6A" w:rsidRDefault="00867B6A" w:rsidP="00867B6A">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3505F85" w14:textId="77777777" w:rsidR="00867B6A" w:rsidRPr="00054383" w:rsidRDefault="00867B6A" w:rsidP="00867B6A">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4D6D6647" w14:textId="77777777" w:rsidR="00867B6A" w:rsidRPr="008E4F36" w:rsidRDefault="00867B6A" w:rsidP="00867B6A">
      <w:pPr>
        <w:spacing w:after="0"/>
        <w:ind w:firstLine="709"/>
        <w:jc w:val="both"/>
        <w:rPr>
          <w:rFonts w:ascii="Verdana" w:eastAsia="Calibri" w:hAnsi="Verdana" w:cs="Arial"/>
          <w:color w:val="000000"/>
          <w:lang w:eastAsia="es-ES"/>
        </w:rPr>
      </w:pPr>
    </w:p>
    <w:p w14:paraId="78F9A062" w14:textId="77777777" w:rsidR="00867B6A" w:rsidRDefault="00867B6A" w:rsidP="00867B6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1B8AD3B4" w14:textId="77777777" w:rsidR="00867B6A" w:rsidRDefault="00867B6A" w:rsidP="00867B6A">
      <w:pPr>
        <w:spacing w:after="0" w:line="276" w:lineRule="auto"/>
        <w:jc w:val="both"/>
        <w:rPr>
          <w:rFonts w:ascii="Verdana" w:eastAsia="Calibri" w:hAnsi="Verdana" w:cs="Arial"/>
          <w:color w:val="000000"/>
          <w:highlight w:val="yellow"/>
          <w:lang w:eastAsia="es-ES"/>
        </w:rPr>
      </w:pPr>
    </w:p>
    <w:p w14:paraId="37E85CDC" w14:textId="77777777" w:rsidR="00867B6A" w:rsidRPr="00EA5150" w:rsidRDefault="00867B6A" w:rsidP="00867B6A">
      <w:pPr>
        <w:spacing w:after="0" w:line="276" w:lineRule="auto"/>
        <w:jc w:val="both"/>
        <w:rPr>
          <w:rFonts w:ascii="Verdana" w:eastAsia="Century Gothic" w:hAnsi="Verdana" w:cs="Century Gothic"/>
        </w:rPr>
      </w:pPr>
      <w:r w:rsidRPr="00EA5150">
        <w:rPr>
          <w:rFonts w:ascii="Verdana" w:eastAsia="Calibri" w:hAnsi="Verdana" w:cs="Arial"/>
          <w:color w:val="000000"/>
          <w:lang w:eastAsia="es-ES"/>
        </w:rPr>
        <w:t xml:space="preserve">De acuerdo con el contenido de su solicitud, esta Agencia resolverá el siguiente problema jurídico: </w:t>
      </w:r>
      <w:r w:rsidRPr="00EA5150">
        <w:rPr>
          <w:rFonts w:ascii="Verdana" w:eastAsia="Century Gothic" w:hAnsi="Verdana" w:cs="Century Gothic"/>
        </w:rPr>
        <w:t xml:space="preserve">¿Es posible que una entidad sin ánimo de lucro manifieste interés para </w:t>
      </w:r>
      <w:r>
        <w:rPr>
          <w:rFonts w:ascii="Verdana" w:eastAsia="Century Gothic" w:hAnsi="Verdana" w:cs="Century Gothic"/>
        </w:rPr>
        <w:t xml:space="preserve">limitar un proceso precontractual </w:t>
      </w:r>
      <w:r w:rsidRPr="00EA5150">
        <w:rPr>
          <w:rFonts w:ascii="Verdana" w:eastAsia="Century Gothic" w:hAnsi="Verdana" w:cs="Century Gothic"/>
        </w:rPr>
        <w:t xml:space="preserve">a </w:t>
      </w:r>
      <w:proofErr w:type="spellStart"/>
      <w:r w:rsidRPr="00EA5150">
        <w:rPr>
          <w:rFonts w:ascii="Verdana" w:eastAsia="Century Gothic" w:hAnsi="Verdana" w:cs="Century Gothic"/>
        </w:rPr>
        <w:t>Mipymes</w:t>
      </w:r>
      <w:proofErr w:type="spellEnd"/>
      <w:r w:rsidRPr="00EA5150">
        <w:rPr>
          <w:rFonts w:ascii="Verdana" w:eastAsia="Century Gothic" w:hAnsi="Verdana" w:cs="Century Gothic"/>
        </w:rPr>
        <w:t>?</w:t>
      </w:r>
      <w:r w:rsidRPr="00810A46">
        <w:rPr>
          <w:rFonts w:ascii="Verdana" w:eastAsia="Century Gothic" w:hAnsi="Verdana" w:cs="Century Gothic"/>
        </w:rPr>
        <w:t xml:space="preserve"> </w:t>
      </w:r>
    </w:p>
    <w:p w14:paraId="683F2DCD" w14:textId="77777777" w:rsidR="00867B6A" w:rsidRPr="00EA5150" w:rsidRDefault="00867B6A" w:rsidP="00867B6A">
      <w:pPr>
        <w:spacing w:after="0" w:line="276" w:lineRule="auto"/>
        <w:jc w:val="both"/>
        <w:rPr>
          <w:rFonts w:ascii="Verdana" w:eastAsia="Calibri" w:hAnsi="Verdana" w:cs="Times New Roman"/>
          <w:i/>
          <w:iCs/>
        </w:rPr>
      </w:pPr>
    </w:p>
    <w:p w14:paraId="5ACCEF0F" w14:textId="77777777" w:rsidR="00867B6A" w:rsidRPr="008E4F36" w:rsidRDefault="00867B6A" w:rsidP="00867B6A">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02FBE746" w14:textId="77777777" w:rsidR="00867B6A" w:rsidRPr="008E4F36" w:rsidRDefault="00867B6A" w:rsidP="00867B6A">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867B6A" w:rsidRPr="008E4F36" w14:paraId="52158737" w14:textId="77777777" w:rsidTr="003B48A4">
        <w:tc>
          <w:tcPr>
            <w:tcW w:w="8828" w:type="dxa"/>
          </w:tcPr>
          <w:p w14:paraId="14E40D39" w14:textId="77777777" w:rsidR="00867B6A" w:rsidRDefault="00867B6A" w:rsidP="003B48A4">
            <w:pPr>
              <w:spacing w:after="120" w:line="276" w:lineRule="auto"/>
              <w:jc w:val="both"/>
              <w:rPr>
                <w:rFonts w:ascii="Verdana" w:hAnsi="Verdana" w:cs="Arial"/>
                <w:lang w:val="es-ES"/>
              </w:rPr>
            </w:pPr>
            <w:r w:rsidRPr="3A5322BA">
              <w:rPr>
                <w:rFonts w:ascii="Verdana" w:hAnsi="Verdana" w:cs="Arial"/>
                <w:color w:val="000000" w:themeColor="text1"/>
                <w:lang w:val="es-ES"/>
              </w:rPr>
              <w:t xml:space="preserve"> </w:t>
            </w:r>
            <w:r w:rsidRPr="00995CAD">
              <w:rPr>
                <w:rFonts w:ascii="Verdana" w:hAnsi="Verdana"/>
              </w:rPr>
              <w:t>De acuerdo con el artículo 43 de la Ley 1450 de 2011</w:t>
            </w:r>
            <w:r>
              <w:rPr>
                <w:rFonts w:ascii="Verdana" w:hAnsi="Verdana"/>
              </w:rPr>
              <w:t xml:space="preserve"> </w:t>
            </w:r>
            <w:r w:rsidRPr="00995CAD">
              <w:rPr>
                <w:rFonts w:ascii="Verdana" w:hAnsi="Verdana"/>
              </w:rPr>
              <w:t xml:space="preserve">solo podrán ser consideradas </w:t>
            </w:r>
            <w:proofErr w:type="spellStart"/>
            <w:r w:rsidRPr="00995CAD">
              <w:rPr>
                <w:rFonts w:ascii="Verdana" w:hAnsi="Verdana"/>
              </w:rPr>
              <w:t>Mipymes</w:t>
            </w:r>
            <w:proofErr w:type="spellEnd"/>
            <w:r w:rsidRPr="00995CAD">
              <w:rPr>
                <w:rFonts w:ascii="Verdana" w:hAnsi="Verdana"/>
              </w:rPr>
              <w:t xml:space="preserve"> aquellas unidades de explotación económica</w:t>
            </w:r>
            <w:r>
              <w:rPr>
                <w:rFonts w:ascii="Verdana" w:hAnsi="Verdana"/>
              </w:rPr>
              <w:t xml:space="preserve"> que</w:t>
            </w:r>
            <w:r w:rsidRPr="00995CAD">
              <w:rPr>
                <w:rFonts w:ascii="Verdana" w:hAnsi="Verdana"/>
              </w:rPr>
              <w:t xml:space="preserve"> busquen el reparto de utilidades entre sus miembros</w:t>
            </w:r>
            <w:r>
              <w:rPr>
                <w:rFonts w:ascii="Verdana" w:hAnsi="Verdana"/>
              </w:rPr>
              <w:t xml:space="preserve">. Dado que las </w:t>
            </w:r>
            <w:r w:rsidRPr="0040650F">
              <w:rPr>
                <w:rFonts w:ascii="Verdana" w:hAnsi="Verdana" w:cs="Arial"/>
                <w:lang w:val="es-ES"/>
              </w:rPr>
              <w:t>ESAL no persiguen</w:t>
            </w:r>
            <w:r>
              <w:rPr>
                <w:rFonts w:ascii="Verdana" w:hAnsi="Verdana" w:cs="Arial"/>
                <w:lang w:val="es-ES"/>
              </w:rPr>
              <w:t xml:space="preserve"> este fin</w:t>
            </w:r>
            <w:r w:rsidRPr="0040650F">
              <w:rPr>
                <w:rFonts w:ascii="Verdana" w:hAnsi="Verdana" w:cs="Arial"/>
                <w:lang w:val="es-ES"/>
              </w:rPr>
              <w:t xml:space="preserve">, en el entendido en que no tienen ánimo de lucro, y que su objeto está destinado a realizar actividades de interés general sin esperar a cambio un reparto de ganancia en proporción a sus utilidades, lo cierto es que no pueden </w:t>
            </w:r>
            <w:r w:rsidRPr="00967EED">
              <w:rPr>
                <w:rFonts w:ascii="Verdana" w:hAnsi="Verdana" w:cs="Arial"/>
              </w:rPr>
              <w:t>participar en los procesos de contratación limitado</w:t>
            </w:r>
            <w:r>
              <w:rPr>
                <w:rFonts w:ascii="Verdana" w:hAnsi="Verdana" w:cs="Arial"/>
              </w:rPr>
              <w:t>s</w:t>
            </w:r>
            <w:r w:rsidRPr="00967EED">
              <w:rPr>
                <w:rFonts w:ascii="Verdana" w:hAnsi="Verdana" w:cs="Arial"/>
              </w:rPr>
              <w:t xml:space="preserve"> a </w:t>
            </w:r>
            <w:r>
              <w:rPr>
                <w:rFonts w:ascii="Verdana" w:hAnsi="Verdana" w:cs="Arial"/>
              </w:rPr>
              <w:t>M</w:t>
            </w:r>
            <w:r w:rsidRPr="00967EED">
              <w:rPr>
                <w:rFonts w:ascii="Verdana" w:hAnsi="Verdana" w:cs="Arial"/>
              </w:rPr>
              <w:t>iPymes</w:t>
            </w:r>
            <w:r>
              <w:rPr>
                <w:rFonts w:ascii="Verdana" w:hAnsi="Verdana" w:cs="Arial"/>
              </w:rPr>
              <w:t>, de que trata el artículo 34 de la Ley 2069 de 2020</w:t>
            </w:r>
            <w:r>
              <w:rPr>
                <w:rFonts w:ascii="Verdana" w:hAnsi="Verdana" w:cs="Arial"/>
                <w:lang w:val="es-ES"/>
              </w:rPr>
              <w:t>.</w:t>
            </w:r>
            <w:r w:rsidRPr="0097051B">
              <w:rPr>
                <w:rFonts w:ascii="Verdana" w:hAnsi="Verdana" w:cs="Arial"/>
                <w:lang w:val="es-ES"/>
              </w:rPr>
              <w:t xml:space="preserve"> </w:t>
            </w:r>
          </w:p>
          <w:p w14:paraId="0BDBFE4F" w14:textId="77777777" w:rsidR="00867B6A" w:rsidRPr="0026565A" w:rsidRDefault="00867B6A" w:rsidP="003B48A4">
            <w:pPr>
              <w:spacing w:after="120" w:line="276" w:lineRule="auto"/>
              <w:ind w:firstLine="744"/>
              <w:jc w:val="both"/>
              <w:rPr>
                <w:rFonts w:ascii="Verdana" w:hAnsi="Verdana" w:cs="Arial"/>
                <w:lang w:val="es-ES"/>
              </w:rPr>
            </w:pPr>
            <w:r w:rsidRPr="0040650F">
              <w:rPr>
                <w:rFonts w:ascii="Verdana" w:hAnsi="Verdana" w:cs="Arial"/>
                <w:lang w:val="es-ES"/>
              </w:rPr>
              <w:t>Esto no significa que las ESAL no</w:t>
            </w:r>
            <w:r>
              <w:rPr>
                <w:rFonts w:ascii="Verdana" w:hAnsi="Verdana" w:cs="Arial"/>
                <w:lang w:val="es-ES"/>
              </w:rPr>
              <w:t xml:space="preserve"> sean personas jurídicas o no tengan capacidad de contratar con las entidades estatales. Por el contrato, </w:t>
            </w:r>
            <w:r w:rsidRPr="00362CA6">
              <w:rPr>
                <w:rFonts w:ascii="Verdana" w:hAnsi="Verdana" w:cs="Arial"/>
                <w:lang w:val="es-ES"/>
              </w:rPr>
              <w:t xml:space="preserve">el Decreto </w:t>
            </w:r>
            <w:r w:rsidRPr="00362CA6">
              <w:rPr>
                <w:rFonts w:ascii="Verdana" w:hAnsi="Verdana" w:cs="Arial"/>
                <w:lang w:val="es-ES"/>
              </w:rPr>
              <w:lastRenderedPageBreak/>
              <w:t>092 de 2017 reguló su régimen especial de contratación</w:t>
            </w:r>
            <w:r>
              <w:rPr>
                <w:rFonts w:ascii="Verdana" w:hAnsi="Verdana" w:cs="Arial"/>
                <w:lang w:val="es-ES"/>
              </w:rPr>
              <w:t xml:space="preserve"> y nada impide que</w:t>
            </w:r>
            <w:r w:rsidRPr="0040650F">
              <w:rPr>
                <w:rFonts w:ascii="Verdana" w:hAnsi="Verdana" w:cs="Arial"/>
                <w:lang w:val="es-ES"/>
              </w:rPr>
              <w:t xml:space="preserve"> puedan participar en términos de igualdad con los demás oferentes, en los procesos contractuales </w:t>
            </w:r>
            <w:r>
              <w:rPr>
                <w:rFonts w:ascii="Verdana" w:hAnsi="Verdana" w:cs="Arial"/>
                <w:lang w:val="es-ES"/>
              </w:rPr>
              <w:t xml:space="preserve">del </w:t>
            </w:r>
            <w:r w:rsidRPr="0040650F">
              <w:rPr>
                <w:rFonts w:ascii="Verdana" w:hAnsi="Verdana" w:cs="Arial"/>
                <w:lang w:val="es-ES"/>
              </w:rPr>
              <w:t>Estatuto General de Contratación de la Administración Pública</w:t>
            </w:r>
            <w:r>
              <w:rPr>
                <w:rFonts w:ascii="Verdana" w:hAnsi="Verdana" w:cs="Arial"/>
                <w:lang w:val="es-ES"/>
              </w:rPr>
              <w:t>.</w:t>
            </w:r>
          </w:p>
          <w:p w14:paraId="11B7C277" w14:textId="77777777" w:rsidR="00867B6A" w:rsidRDefault="00867B6A" w:rsidP="003B48A4">
            <w:pPr>
              <w:spacing w:after="120" w:line="276" w:lineRule="auto"/>
              <w:ind w:firstLine="708"/>
              <w:jc w:val="both"/>
              <w:rPr>
                <w:rFonts w:ascii="Verdana" w:eastAsia="Calibri" w:hAnsi="Verdana" w:cs="Arial"/>
                <w:color w:val="000000" w:themeColor="text1"/>
              </w:rPr>
            </w:pPr>
            <w:r>
              <w:rPr>
                <w:rFonts w:ascii="Verdana" w:hAnsi="Verdana" w:cs="Arial"/>
                <w:lang w:val="es-ES"/>
              </w:rPr>
              <w:t xml:space="preserve">Aunque, por regla general, no es posible que las ESAL sean equiparadas a las MiPymes en la normativa del sistema de compras públicas, es necesario aclarar que la Ley determinó un matiz para esta regla. </w:t>
            </w:r>
            <w:r>
              <w:rPr>
                <w:rFonts w:ascii="Verdana" w:eastAsia="Calibri" w:hAnsi="Verdana" w:cs="Arial"/>
                <w:color w:val="000000" w:themeColor="text1"/>
                <w:lang w:val="es-ES"/>
              </w:rPr>
              <w:t>E</w:t>
            </w:r>
            <w:r w:rsidRPr="00362CA6">
              <w:rPr>
                <w:rFonts w:ascii="Verdana" w:eastAsia="Calibri" w:hAnsi="Verdana" w:cs="Arial"/>
                <w:color w:val="000000" w:themeColor="text1"/>
                <w:lang w:val="es-ES"/>
              </w:rPr>
              <w:t>l artículo 23 de la Ley 2069 de 2020</w:t>
            </w:r>
            <w:r>
              <w:rPr>
                <w:rFonts w:ascii="Verdana" w:eastAsia="Calibri" w:hAnsi="Verdana" w:cs="Arial"/>
                <w:color w:val="000000" w:themeColor="text1"/>
                <w:lang w:val="es-ES"/>
              </w:rPr>
              <w:t xml:space="preserve"> </w:t>
            </w:r>
            <w:r w:rsidRPr="00362CA6">
              <w:rPr>
                <w:rFonts w:ascii="Verdana" w:eastAsia="Calibri" w:hAnsi="Verdana" w:cs="Arial"/>
                <w:color w:val="000000" w:themeColor="text1"/>
                <w:lang w:val="es-ES"/>
              </w:rPr>
              <w:t xml:space="preserve">asimila las cooperativas y las </w:t>
            </w:r>
            <w:r w:rsidRPr="00756D53">
              <w:rPr>
                <w:rFonts w:ascii="Verdana" w:eastAsia="Calibri" w:hAnsi="Verdana" w:cs="Arial"/>
                <w:color w:val="000000" w:themeColor="text1"/>
                <w:lang w:val="es-ES"/>
              </w:rPr>
              <w:t>demás entidades de economía solidaria -que incluy</w:t>
            </w:r>
            <w:r>
              <w:rPr>
                <w:rFonts w:ascii="Verdana" w:eastAsia="Calibri" w:hAnsi="Verdana" w:cs="Arial"/>
                <w:color w:val="000000" w:themeColor="text1"/>
                <w:lang w:val="es-ES"/>
              </w:rPr>
              <w:t>en</w:t>
            </w:r>
            <w:r w:rsidRPr="00756D53">
              <w:rPr>
                <w:rFonts w:ascii="Verdana" w:eastAsia="Calibri" w:hAnsi="Verdana" w:cs="Arial"/>
                <w:color w:val="000000" w:themeColor="text1"/>
                <w:lang w:val="es-ES"/>
              </w:rPr>
              <w:t xml:space="preserve"> a las asociaciones mutual</w:t>
            </w:r>
            <w:r>
              <w:rPr>
                <w:rFonts w:ascii="Verdana" w:eastAsia="Calibri" w:hAnsi="Verdana" w:cs="Arial"/>
                <w:color w:val="000000" w:themeColor="text1"/>
                <w:lang w:val="es-ES"/>
              </w:rPr>
              <w:t>istas</w:t>
            </w:r>
            <w:r>
              <w:rPr>
                <w:rFonts w:ascii="Verdana" w:eastAsia="Calibri" w:hAnsi="Verdana" w:cs="Arial"/>
                <w:i/>
                <w:iCs/>
                <w:color w:val="000000" w:themeColor="text1"/>
                <w:lang w:val="es-ES"/>
              </w:rPr>
              <w:t>-</w:t>
            </w:r>
            <w:r w:rsidRPr="00362CA6">
              <w:rPr>
                <w:rFonts w:ascii="Verdana" w:eastAsia="Calibri" w:hAnsi="Verdana" w:cs="Arial"/>
                <w:color w:val="000000" w:themeColor="text1"/>
                <w:lang w:val="es-ES"/>
              </w:rPr>
              <w:t xml:space="preserve"> a </w:t>
            </w:r>
            <w:r w:rsidRPr="00B21D8B">
              <w:rPr>
                <w:rFonts w:ascii="Verdana" w:eastAsia="Calibri" w:hAnsi="Verdana" w:cs="Arial"/>
                <w:i/>
                <w:iCs/>
                <w:color w:val="000000" w:themeColor="text1"/>
                <w:lang w:val="es-ES"/>
              </w:rPr>
              <w:t>empresas, específicamente a MiPymes</w:t>
            </w:r>
            <w:r>
              <w:rPr>
                <w:rFonts w:ascii="Verdana" w:eastAsia="Calibri" w:hAnsi="Verdana" w:cs="Arial"/>
                <w:i/>
                <w:iCs/>
                <w:color w:val="000000" w:themeColor="text1"/>
                <w:lang w:val="es-ES"/>
              </w:rPr>
              <w:t xml:space="preserve">. </w:t>
            </w:r>
            <w:r>
              <w:rPr>
                <w:rFonts w:ascii="Verdana" w:eastAsia="Calibri" w:hAnsi="Verdana" w:cs="Arial"/>
                <w:color w:val="000000" w:themeColor="text1"/>
                <w:lang w:val="es-ES"/>
              </w:rPr>
              <w:t xml:space="preserve">De manera concordante, el parágrafo del </w:t>
            </w:r>
            <w:r w:rsidRPr="00F554AA">
              <w:rPr>
                <w:rFonts w:ascii="Verdana" w:eastAsia="Calibri" w:hAnsi="Verdana" w:cs="Arial"/>
                <w:color w:val="000000" w:themeColor="text1"/>
                <w:lang w:val="es-ES"/>
              </w:rPr>
              <w:t>Artículo 2.2.1.2.4.2.2</w:t>
            </w:r>
            <w:r>
              <w:rPr>
                <w:rFonts w:ascii="Verdana" w:eastAsia="Calibri" w:hAnsi="Verdana" w:cs="Arial"/>
                <w:color w:val="000000" w:themeColor="text1"/>
                <w:lang w:val="es-ES"/>
              </w:rPr>
              <w:t xml:space="preserve">, modificado por el artículo 5º del Decreto 1860 de 2021 determina que estas </w:t>
            </w:r>
            <w:r w:rsidRPr="00EC0AE8">
              <w:rPr>
                <w:rFonts w:ascii="Verdana" w:eastAsia="Calibri" w:hAnsi="Verdana" w:cs="Arial"/>
                <w:color w:val="000000" w:themeColor="text1"/>
              </w:rPr>
              <w:t>cooperativas y demás entidades de economía solidaria</w:t>
            </w:r>
            <w:r>
              <w:rPr>
                <w:rFonts w:ascii="Verdana" w:eastAsia="Calibri" w:hAnsi="Verdana" w:cs="Arial"/>
                <w:color w:val="000000" w:themeColor="text1"/>
              </w:rPr>
              <w:t xml:space="preserve"> </w:t>
            </w:r>
            <w:r w:rsidRPr="00EC0AE8">
              <w:rPr>
                <w:rFonts w:ascii="Verdana" w:eastAsia="Calibri" w:hAnsi="Verdana" w:cs="Arial"/>
                <w:color w:val="000000" w:themeColor="text1"/>
              </w:rPr>
              <w:t>podrán solicitar y participar en las convocatorias limitadas en las mismas</w:t>
            </w:r>
            <w:r>
              <w:rPr>
                <w:rFonts w:ascii="Verdana" w:eastAsia="Calibri" w:hAnsi="Verdana" w:cs="Arial"/>
                <w:color w:val="000000" w:themeColor="text1"/>
              </w:rPr>
              <w:t xml:space="preserve">. </w:t>
            </w:r>
          </w:p>
          <w:p w14:paraId="51AC17AF" w14:textId="77777777" w:rsidR="00867B6A" w:rsidRPr="009172F1" w:rsidRDefault="00867B6A" w:rsidP="003B48A4">
            <w:pPr>
              <w:tabs>
                <w:tab w:val="left" w:pos="426"/>
              </w:tabs>
              <w:spacing w:before="120" w:line="276" w:lineRule="auto"/>
              <w:ind w:firstLine="709"/>
              <w:jc w:val="both"/>
              <w:rPr>
                <w:rFonts w:ascii="Verdana" w:hAnsi="Verdana" w:cs="Arial"/>
                <w:color w:val="000000" w:themeColor="text1"/>
                <w:lang w:val="es-ES"/>
              </w:rPr>
            </w:pPr>
            <w:r>
              <w:rPr>
                <w:rFonts w:ascii="Verdana" w:hAnsi="Verdana" w:cs="Arial"/>
                <w:color w:val="000000" w:themeColor="text1"/>
                <w:lang w:val="es-ES"/>
              </w:rPr>
              <w:t xml:space="preserve">De esta manera, los incentivos referidos en la Ley 2069 de 2020 y la posibilidad de solicitar la limitación de las convocatorias a MiPymes no son extensibles a todas las ESAL, sino únicamente a aquellas que corresponden al concepto de </w:t>
            </w:r>
            <w:r w:rsidRPr="00362CA6">
              <w:rPr>
                <w:rFonts w:ascii="Verdana" w:eastAsia="Calibri" w:hAnsi="Verdana" w:cs="Arial"/>
                <w:color w:val="000000" w:themeColor="text1"/>
                <w:lang w:val="es-ES"/>
              </w:rPr>
              <w:t>cooperativas y</w:t>
            </w:r>
            <w:r>
              <w:rPr>
                <w:rFonts w:ascii="Verdana" w:eastAsia="Calibri" w:hAnsi="Verdana" w:cs="Arial"/>
                <w:color w:val="000000" w:themeColor="text1"/>
                <w:lang w:val="es-ES"/>
              </w:rPr>
              <w:t xml:space="preserve"> demás entes considerados de </w:t>
            </w:r>
            <w:r w:rsidRPr="00362CA6">
              <w:rPr>
                <w:rFonts w:ascii="Verdana" w:eastAsia="Calibri" w:hAnsi="Verdana" w:cs="Arial"/>
                <w:color w:val="000000" w:themeColor="text1"/>
                <w:lang w:val="es-ES"/>
              </w:rPr>
              <w:t>economía solidaria</w:t>
            </w:r>
            <w:r>
              <w:rPr>
                <w:rFonts w:ascii="Verdana" w:eastAsia="Calibri" w:hAnsi="Verdana" w:cs="Arial"/>
                <w:color w:val="000000" w:themeColor="text1"/>
                <w:lang w:val="es-ES"/>
              </w:rPr>
              <w:t xml:space="preserve"> </w:t>
            </w:r>
            <w:r>
              <w:rPr>
                <w:rFonts w:ascii="Verdana" w:eastAsia="Geomanist Light" w:hAnsi="Verdana" w:cs="Arial"/>
                <w:lang w:val="es-ES"/>
              </w:rPr>
              <w:t>en los términos del artículo 6 de la Ley 454 de 1998 –norma a la que remite el artículo 23 de la Ley de Emprendimiento–.</w:t>
            </w:r>
            <w:r w:rsidRPr="00D32D23">
              <w:rPr>
                <w:rFonts w:ascii="Verdana" w:eastAsia="Calibri" w:hAnsi="Verdana" w:cs="Arial"/>
                <w:color w:val="000000" w:themeColor="text1"/>
                <w:lang w:val="es-ES"/>
              </w:rPr>
              <w:t xml:space="preserve"> </w:t>
            </w:r>
            <w:r>
              <w:rPr>
                <w:rFonts w:ascii="Verdana" w:eastAsia="Geomanist Light" w:hAnsi="Verdana" w:cs="Arial"/>
                <w:lang w:val="es-ES"/>
              </w:rPr>
              <w:t xml:space="preserve">En tal sentido, debe analizarse si la ESAL cumple con las características establecidas en dicho artículo, para considerarla una organización de economía solidaria. </w:t>
            </w:r>
            <w:r>
              <w:rPr>
                <w:rFonts w:ascii="Verdana" w:eastAsia="Calibri" w:hAnsi="Verdana" w:cs="Arial"/>
                <w:color w:val="000000" w:themeColor="text1"/>
                <w:lang w:val="es-ES"/>
              </w:rPr>
              <w:t xml:space="preserve">Solo las que cumplan estos requisitos podrán ser asimiladas a las MiPymes y acceder a los requisitos diferenciales de la Ley 2069 de 2020, así como </w:t>
            </w:r>
            <w:r w:rsidRPr="00D32D23">
              <w:rPr>
                <w:rFonts w:ascii="Verdana" w:eastAsia="Calibri" w:hAnsi="Verdana" w:cs="Arial"/>
                <w:color w:val="000000" w:themeColor="text1"/>
                <w:lang w:val="es-ES"/>
              </w:rPr>
              <w:t>participar en las convocatorias limitadas a estas, pudiendo incluso manifestar su interés de participar en el proceso de selección de manera previa a la expedición de la resolución de apertura</w:t>
            </w:r>
            <w:r>
              <w:rPr>
                <w:rFonts w:ascii="Verdana" w:eastAsia="Calibri" w:hAnsi="Verdana" w:cs="Arial"/>
                <w:color w:val="000000" w:themeColor="text1"/>
                <w:lang w:val="es-ES"/>
              </w:rPr>
              <w:t xml:space="preserve"> en los términos el artículo </w:t>
            </w:r>
            <w:r w:rsidRPr="00EC0AE8">
              <w:rPr>
                <w:rFonts w:ascii="Verdana" w:eastAsia="Calibri" w:hAnsi="Verdana" w:cs="Arial"/>
                <w:color w:val="000000" w:themeColor="text1"/>
                <w:lang w:val="es-ES"/>
              </w:rPr>
              <w:t>2.2.1.2.4.2.</w:t>
            </w:r>
            <w:r w:rsidRPr="00F554AA">
              <w:rPr>
                <w:rFonts w:ascii="Verdana" w:eastAsia="Calibri" w:hAnsi="Verdana" w:cs="Arial"/>
                <w:color w:val="000000" w:themeColor="text1"/>
                <w:lang w:val="es-ES"/>
              </w:rPr>
              <w:t>2</w:t>
            </w:r>
            <w:r>
              <w:rPr>
                <w:rFonts w:ascii="Verdana" w:eastAsia="Calibri" w:hAnsi="Verdana" w:cs="Arial"/>
                <w:color w:val="000000" w:themeColor="text1"/>
                <w:lang w:val="es-ES"/>
              </w:rPr>
              <w:t xml:space="preserve"> del Decreto 1082 de 2015.</w:t>
            </w:r>
          </w:p>
        </w:tc>
      </w:tr>
    </w:tbl>
    <w:p w14:paraId="1EF11F60" w14:textId="77777777" w:rsidR="00867B6A" w:rsidRDefault="00867B6A" w:rsidP="00867B6A">
      <w:pPr>
        <w:tabs>
          <w:tab w:val="left" w:pos="142"/>
          <w:tab w:val="left" w:pos="284"/>
        </w:tabs>
        <w:spacing w:after="0" w:line="276" w:lineRule="auto"/>
        <w:jc w:val="both"/>
        <w:rPr>
          <w:rFonts w:ascii="Verdana" w:eastAsia="Century Gothic" w:hAnsi="Verdana" w:cs="Century Gothic"/>
          <w:b/>
          <w:bCs/>
        </w:rPr>
      </w:pPr>
    </w:p>
    <w:p w14:paraId="234D69E9" w14:textId="77777777" w:rsidR="00867B6A" w:rsidRPr="008E4F36" w:rsidRDefault="00867B6A" w:rsidP="00867B6A">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6BE4E6C9" w14:textId="77777777" w:rsidR="00867B6A" w:rsidRDefault="00867B6A" w:rsidP="00867B6A">
      <w:pPr>
        <w:pStyle w:val="Prrafodelista"/>
        <w:tabs>
          <w:tab w:val="left" w:pos="142"/>
          <w:tab w:val="left" w:pos="284"/>
        </w:tabs>
        <w:spacing w:after="0" w:line="276" w:lineRule="auto"/>
        <w:ind w:left="0"/>
        <w:contextualSpacing w:val="0"/>
        <w:jc w:val="both"/>
        <w:rPr>
          <w:rFonts w:ascii="Verdana" w:eastAsia="Calibri" w:hAnsi="Verdana" w:cs="Arial"/>
        </w:rPr>
      </w:pPr>
    </w:p>
    <w:p w14:paraId="47769060" w14:textId="77777777" w:rsidR="00867B6A" w:rsidRDefault="00867B6A" w:rsidP="00867B6A">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2A8D8752" w14:textId="77777777" w:rsidR="00867B6A" w:rsidRDefault="00867B6A" w:rsidP="00867B6A">
      <w:pPr>
        <w:spacing w:after="0" w:line="240" w:lineRule="auto"/>
        <w:jc w:val="both"/>
        <w:rPr>
          <w:rFonts w:ascii="Verdana" w:hAnsi="Verdana" w:cs="Arial"/>
          <w:bCs/>
          <w:lang w:val="es-ES_tradnl" w:eastAsia="es-ES" w:bidi="es-ES"/>
        </w:rPr>
      </w:pPr>
    </w:p>
    <w:p w14:paraId="128D2378" w14:textId="77777777" w:rsidR="00867B6A" w:rsidRDefault="00867B6A" w:rsidP="00867B6A">
      <w:pPr>
        <w:spacing w:after="120" w:line="276" w:lineRule="auto"/>
        <w:jc w:val="both"/>
        <w:rPr>
          <w:rFonts w:ascii="Verdana" w:eastAsia="Calibri" w:hAnsi="Verdana" w:cs="Arial"/>
          <w:lang w:val="es-ES_tradnl" w:eastAsia="es-ES_tradnl"/>
        </w:rPr>
      </w:pPr>
      <w:r>
        <w:rPr>
          <w:rFonts w:ascii="Verdana" w:eastAsia="Calibri" w:hAnsi="Verdana" w:cs="Arial"/>
          <w:lang w:val="es-ES_tradnl" w:eastAsia="es-ES_tradnl"/>
        </w:rPr>
        <w:t xml:space="preserve">En aras de responder el problema jurídico planteado, es necesario diferenciar la naturaleza jurídica de las entidades sin ánimo de lucro -en adelante ESAL- de las sociedades comerciales. </w:t>
      </w:r>
      <w:r w:rsidRPr="00E67771">
        <w:rPr>
          <w:rFonts w:ascii="Verdana" w:eastAsia="Calibri" w:hAnsi="Verdana" w:cs="Arial"/>
          <w:lang w:val="es-ES_tradnl" w:eastAsia="es-ES_tradnl"/>
        </w:rPr>
        <w:t xml:space="preserve">En Colombia, la empresa se forma a través de un contrato de sociedad por medio del cual dos o más personas se obligan a hacer un aporte en dinero, en trabajo o en otros bienes apreciables en dinero con el </w:t>
      </w:r>
      <w:r w:rsidRPr="00E67771">
        <w:rPr>
          <w:rFonts w:ascii="Verdana" w:eastAsia="Calibri" w:hAnsi="Verdana" w:cs="Arial"/>
          <w:lang w:val="es-ES_tradnl" w:eastAsia="es-ES_tradnl"/>
        </w:rPr>
        <w:lastRenderedPageBreak/>
        <w:t xml:space="preserve">fin de repartirse entre sí las utilidades obtenidas en la empresa, según el artículo 98 </w:t>
      </w:r>
      <w:r>
        <w:rPr>
          <w:rFonts w:ascii="Verdana" w:eastAsia="Calibri" w:hAnsi="Verdana" w:cs="Arial"/>
          <w:lang w:val="es-ES_tradnl" w:eastAsia="es-ES_tradnl"/>
        </w:rPr>
        <w:t>del Código de Comercio</w:t>
      </w:r>
      <w:r w:rsidRPr="00E67771">
        <w:rPr>
          <w:rFonts w:ascii="Verdana" w:eastAsia="Calibri" w:hAnsi="Verdana" w:cs="Arial"/>
          <w:lang w:val="es-ES_tradnl" w:eastAsia="es-ES_tradnl"/>
        </w:rPr>
        <w:t xml:space="preserve">. En ese sentido, serán sociedades comerciales aquellas que ejecuten actos o empresas mercantiles, en los términos señalados en el artículo 100 </w:t>
      </w:r>
      <w:r w:rsidRPr="00E67771">
        <w:rPr>
          <w:rFonts w:ascii="Verdana" w:eastAsia="Calibri" w:hAnsi="Verdana" w:cs="Arial"/>
          <w:i/>
          <w:iCs/>
          <w:lang w:val="es-ES_tradnl" w:eastAsia="es-ES_tradnl"/>
        </w:rPr>
        <w:t>ibidem</w:t>
      </w:r>
      <w:r w:rsidRPr="00E67771">
        <w:rPr>
          <w:rFonts w:ascii="Verdana" w:hAnsi="Verdana" w:cs="Arial"/>
          <w:vertAlign w:val="superscript"/>
        </w:rPr>
        <w:footnoteReference w:id="1"/>
      </w:r>
      <w:r w:rsidRPr="00E67771">
        <w:rPr>
          <w:rFonts w:ascii="Verdana" w:eastAsia="Calibri" w:hAnsi="Verdana" w:cs="Arial"/>
          <w:lang w:val="es-ES_tradnl" w:eastAsia="es-ES_tradnl"/>
        </w:rPr>
        <w:t>.</w:t>
      </w:r>
    </w:p>
    <w:p w14:paraId="4B965B6E" w14:textId="77777777" w:rsidR="00867B6A" w:rsidRDefault="00867B6A" w:rsidP="00867B6A">
      <w:pPr>
        <w:spacing w:before="120" w:after="0" w:line="276" w:lineRule="auto"/>
        <w:ind w:firstLine="709"/>
        <w:jc w:val="both"/>
        <w:rPr>
          <w:rFonts w:ascii="Verdana" w:eastAsia="Calibri" w:hAnsi="Verdana" w:cs="Arial"/>
          <w:lang w:val="es-ES" w:eastAsia="es-ES"/>
        </w:rPr>
      </w:pPr>
      <w:r w:rsidRPr="6AB4E263">
        <w:rPr>
          <w:rFonts w:ascii="Verdana" w:eastAsia="Calibri" w:hAnsi="Verdana" w:cs="Arial"/>
          <w:lang w:val="es-ES" w:eastAsia="es-ES"/>
        </w:rPr>
        <w:t xml:space="preserve">El Libro Segundo del Código de Comercio no incluye a las ESAL - como las corporaciones, asociaciones o fundaciones – en la enumeración de las sociedades comerciales. A juicio de esta Agencia, la razón de la exclusión radica en que las ESAL no tienen fines comerciales, es decir, carecen de ánimo de lucro, y por eso no forman un tipo o clase de sociedad comercial. </w:t>
      </w:r>
    </w:p>
    <w:p w14:paraId="623E6493" w14:textId="77777777" w:rsidR="00867B6A" w:rsidRPr="00E67771" w:rsidRDefault="00867B6A" w:rsidP="00867B6A">
      <w:pPr>
        <w:spacing w:before="120" w:after="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t>A lo anterior se suma que e</w:t>
      </w:r>
      <w:r w:rsidRPr="00E67771">
        <w:rPr>
          <w:rFonts w:ascii="Verdana" w:eastAsia="Calibri" w:hAnsi="Verdana" w:cs="Arial"/>
          <w:lang w:val="es-ES_tradnl" w:eastAsia="es-ES_tradnl"/>
        </w:rPr>
        <w:t xml:space="preserve">ste tipo de corporaciones o asociaciones </w:t>
      </w:r>
      <w:r>
        <w:rPr>
          <w:rFonts w:ascii="Verdana" w:eastAsia="Calibri" w:hAnsi="Verdana" w:cs="Arial"/>
          <w:lang w:val="es-ES_tradnl" w:eastAsia="es-ES_tradnl"/>
        </w:rPr>
        <w:t>se encuentran reguladas en</w:t>
      </w:r>
      <w:r w:rsidRPr="00E67771">
        <w:rPr>
          <w:rFonts w:ascii="Verdana" w:eastAsia="Calibri" w:hAnsi="Verdana" w:cs="Arial"/>
          <w:lang w:val="es-ES_tradnl" w:eastAsia="es-ES_tradnl"/>
        </w:rPr>
        <w:t xml:space="preserve"> el Código Civil –entre otras normas</w:t>
      </w:r>
      <w:r>
        <w:rPr>
          <w:rFonts w:ascii="Verdana" w:eastAsia="Calibri" w:hAnsi="Verdana" w:cs="Arial"/>
          <w:lang w:val="es-ES_tradnl" w:eastAsia="es-ES_tradnl"/>
        </w:rPr>
        <w:t xml:space="preserve"> concordantes</w:t>
      </w:r>
      <w:r w:rsidRPr="00E67771">
        <w:rPr>
          <w:rFonts w:ascii="Verdana" w:eastAsia="Calibri" w:hAnsi="Verdana" w:cs="Arial"/>
          <w:lang w:val="es-ES_tradnl" w:eastAsia="es-ES_tradnl"/>
        </w:rPr>
        <w:t>–, de lo que se sigue que no constituyen formas de sociedad comercial</w:t>
      </w:r>
      <w:r>
        <w:rPr>
          <w:rFonts w:ascii="Verdana" w:eastAsia="Calibri" w:hAnsi="Verdana" w:cs="Arial"/>
          <w:lang w:val="es-ES_tradnl" w:eastAsia="es-ES_tradnl"/>
        </w:rPr>
        <w:t>,</w:t>
      </w:r>
      <w:r w:rsidRPr="00E67771">
        <w:rPr>
          <w:rFonts w:ascii="Verdana" w:eastAsia="Calibri" w:hAnsi="Verdana" w:cs="Arial"/>
          <w:lang w:val="es-ES_tradnl" w:eastAsia="es-ES_tradnl"/>
        </w:rPr>
        <w:t xml:space="preserve"> sino formas de organización civil con fines esencialmente altruistas o de interés general, que se conforman entre personas que tienen como finalidad contribuir con su esfuerzo, y hasta con sus bienes, </w:t>
      </w:r>
      <w:r>
        <w:rPr>
          <w:rFonts w:ascii="Verdana" w:eastAsia="Calibri" w:hAnsi="Verdana" w:cs="Arial"/>
          <w:lang w:val="es-ES_tradnl" w:eastAsia="es-ES_tradnl"/>
        </w:rPr>
        <w:t>para</w:t>
      </w:r>
      <w:r w:rsidRPr="00E67771">
        <w:rPr>
          <w:rFonts w:ascii="Verdana" w:eastAsia="Calibri" w:hAnsi="Verdana" w:cs="Arial"/>
          <w:lang w:val="es-ES_tradnl" w:eastAsia="es-ES_tradnl"/>
        </w:rPr>
        <w:t xml:space="preserve"> ayudar a la comunidad</w:t>
      </w:r>
      <w:r w:rsidRPr="00E67771">
        <w:rPr>
          <w:rStyle w:val="Refdenotaalpie"/>
          <w:rFonts w:ascii="Verdana" w:eastAsia="Calibri" w:hAnsi="Verdana" w:cs="Arial"/>
          <w:lang w:val="es-ES_tradnl" w:eastAsia="es-ES_tradnl"/>
        </w:rPr>
        <w:footnoteReference w:id="2"/>
      </w:r>
      <w:r w:rsidRPr="00E67771">
        <w:rPr>
          <w:rFonts w:ascii="Verdana" w:eastAsia="Calibri" w:hAnsi="Verdana" w:cs="Arial"/>
          <w:lang w:val="es-ES_tradnl" w:eastAsia="es-ES_tradnl"/>
        </w:rPr>
        <w:t>. La ausencia de ánimo de lucro es, entonces, la característica determinante de estas corporaciones u organizaciones, lo que explica su nombre y la</w:t>
      </w:r>
      <w:r>
        <w:rPr>
          <w:rFonts w:ascii="Verdana" w:eastAsia="Calibri" w:hAnsi="Verdana" w:cs="Arial"/>
          <w:lang w:val="es-ES_tradnl" w:eastAsia="es-ES_tradnl"/>
        </w:rPr>
        <w:t>s</w:t>
      </w:r>
      <w:r w:rsidRPr="00E67771">
        <w:rPr>
          <w:rFonts w:ascii="Verdana" w:eastAsia="Calibri" w:hAnsi="Verdana" w:cs="Arial"/>
          <w:lang w:val="es-ES_tradnl" w:eastAsia="es-ES_tradnl"/>
        </w:rPr>
        <w:t xml:space="preserve"> diferencias </w:t>
      </w:r>
      <w:r>
        <w:rPr>
          <w:rFonts w:ascii="Verdana" w:eastAsia="Calibri" w:hAnsi="Verdana" w:cs="Arial"/>
          <w:lang w:val="es-ES_tradnl" w:eastAsia="es-ES_tradnl"/>
        </w:rPr>
        <w:t xml:space="preserve">de manera </w:t>
      </w:r>
      <w:r w:rsidRPr="00E67771">
        <w:rPr>
          <w:rFonts w:ascii="Verdana" w:eastAsia="Calibri" w:hAnsi="Verdana" w:cs="Arial"/>
          <w:lang w:val="es-ES_tradnl" w:eastAsia="es-ES_tradnl"/>
        </w:rPr>
        <w:t xml:space="preserve">fundamental </w:t>
      </w:r>
      <w:r>
        <w:rPr>
          <w:rFonts w:ascii="Verdana" w:eastAsia="Calibri" w:hAnsi="Verdana" w:cs="Arial"/>
          <w:lang w:val="es-ES_tradnl" w:eastAsia="es-ES_tradnl"/>
        </w:rPr>
        <w:t>de</w:t>
      </w:r>
      <w:r w:rsidRPr="00E67771">
        <w:rPr>
          <w:rFonts w:ascii="Verdana" w:eastAsia="Calibri" w:hAnsi="Verdana" w:cs="Arial"/>
          <w:lang w:val="es-ES_tradnl" w:eastAsia="es-ES_tradnl"/>
        </w:rPr>
        <w:t xml:space="preserve"> las sociedades comerciales.</w:t>
      </w:r>
    </w:p>
    <w:p w14:paraId="0EA53E89" w14:textId="77777777" w:rsidR="00867B6A" w:rsidRDefault="00867B6A" w:rsidP="00867B6A">
      <w:pPr>
        <w:spacing w:before="120" w:after="0" w:line="276" w:lineRule="auto"/>
        <w:ind w:firstLine="709"/>
        <w:jc w:val="both"/>
        <w:rPr>
          <w:rFonts w:ascii="Verdana" w:eastAsia="Calibri" w:hAnsi="Verdana" w:cs="Arial"/>
          <w:lang w:val="es-ES" w:eastAsia="es-ES"/>
        </w:rPr>
      </w:pPr>
      <w:r w:rsidRPr="00E67771">
        <w:rPr>
          <w:rFonts w:ascii="Verdana" w:eastAsia="Calibri" w:hAnsi="Verdana" w:cs="Arial"/>
          <w:lang w:val="es-ES" w:eastAsia="es-ES"/>
        </w:rPr>
        <w:t xml:space="preserve">Que una ESAL no sea una forma de sociedad comercial se infiere </w:t>
      </w:r>
      <w:r>
        <w:rPr>
          <w:rFonts w:ascii="Verdana" w:eastAsia="Calibri" w:hAnsi="Verdana" w:cs="Arial"/>
          <w:lang w:val="es-ES" w:eastAsia="es-ES"/>
        </w:rPr>
        <w:t xml:space="preserve">también </w:t>
      </w:r>
      <w:r w:rsidRPr="00E67771">
        <w:rPr>
          <w:rFonts w:ascii="Verdana" w:eastAsia="Calibri" w:hAnsi="Verdana" w:cs="Arial"/>
          <w:lang w:val="es-ES" w:eastAsia="es-ES"/>
        </w:rPr>
        <w:t xml:space="preserve">de los requisitos </w:t>
      </w:r>
      <w:r>
        <w:rPr>
          <w:rFonts w:ascii="Verdana" w:eastAsia="Calibri" w:hAnsi="Verdana" w:cs="Arial"/>
          <w:lang w:val="es-ES" w:eastAsia="es-ES"/>
        </w:rPr>
        <w:t xml:space="preserve">y finalidad </w:t>
      </w:r>
      <w:r w:rsidRPr="00E67771">
        <w:rPr>
          <w:rFonts w:ascii="Verdana" w:eastAsia="Calibri" w:hAnsi="Verdana" w:cs="Arial"/>
          <w:lang w:val="es-ES" w:eastAsia="es-ES"/>
        </w:rPr>
        <w:t>que exige el artículo 98 del Código de Comercio</w:t>
      </w:r>
      <w:r>
        <w:rPr>
          <w:rFonts w:ascii="Verdana" w:eastAsia="Calibri" w:hAnsi="Verdana" w:cs="Arial"/>
          <w:lang w:val="es-ES" w:eastAsia="es-ES"/>
        </w:rPr>
        <w:t xml:space="preserve"> en relación con el contrato de sociedad.</w:t>
      </w:r>
      <w:r w:rsidRPr="00E67771">
        <w:rPr>
          <w:rFonts w:ascii="Verdana" w:eastAsia="Calibri" w:hAnsi="Verdana" w:cs="Arial"/>
          <w:lang w:val="es-ES" w:eastAsia="es-ES"/>
        </w:rPr>
        <w:t xml:space="preserve"> En efecto, la norma en comento dispone: “[p]</w:t>
      </w:r>
      <w:proofErr w:type="spellStart"/>
      <w:r w:rsidRPr="00E67771">
        <w:rPr>
          <w:rFonts w:ascii="Verdana" w:eastAsia="Calibri" w:hAnsi="Verdana" w:cs="Arial"/>
          <w:lang w:val="es-ES" w:eastAsia="es-ES"/>
        </w:rPr>
        <w:t>or</w:t>
      </w:r>
      <w:proofErr w:type="spellEnd"/>
      <w:r w:rsidRPr="00E67771">
        <w:rPr>
          <w:rFonts w:ascii="Verdana" w:eastAsia="Calibri" w:hAnsi="Verdana" w:cs="Arial"/>
          <w:lang w:val="es-ES" w:eastAsia="es-ES"/>
        </w:rPr>
        <w:t xml:space="preserve"> el contrato de sociedad dos o más personas se obligan a hacer un aporte en dinero, en trabajo o en otros bienes apreciables en dinero, </w:t>
      </w:r>
      <w:r w:rsidRPr="00E67771">
        <w:rPr>
          <w:rFonts w:ascii="Verdana" w:eastAsia="Calibri" w:hAnsi="Verdana" w:cs="Arial"/>
          <w:i/>
          <w:iCs/>
          <w:lang w:val="es-ES" w:eastAsia="es-ES"/>
        </w:rPr>
        <w:t>con el fin de repartirse entre sí las utilidades obtenidas en la empresa o actividad socia</w:t>
      </w:r>
      <w:r w:rsidRPr="00E67771">
        <w:rPr>
          <w:rFonts w:ascii="Verdana" w:eastAsia="Calibri" w:hAnsi="Verdana" w:cs="Arial"/>
          <w:lang w:val="es-ES" w:eastAsia="es-ES"/>
        </w:rPr>
        <w:t xml:space="preserve">l” [Énfasis fuera de texto]. </w:t>
      </w:r>
    </w:p>
    <w:p w14:paraId="745CCD28" w14:textId="77777777" w:rsidR="00867B6A" w:rsidRPr="00E67771" w:rsidRDefault="00867B6A" w:rsidP="00867B6A">
      <w:pPr>
        <w:spacing w:before="120" w:after="0" w:line="276" w:lineRule="auto"/>
        <w:ind w:firstLine="709"/>
        <w:jc w:val="both"/>
        <w:rPr>
          <w:rFonts w:ascii="Verdana" w:eastAsia="Calibri" w:hAnsi="Verdana" w:cs="Arial"/>
          <w:lang w:val="es-ES_tradnl" w:eastAsia="es-ES_tradnl"/>
        </w:rPr>
      </w:pPr>
      <w:r w:rsidRPr="00E67771">
        <w:rPr>
          <w:rFonts w:ascii="Verdana" w:eastAsia="Calibri" w:hAnsi="Verdana" w:cs="Arial"/>
          <w:lang w:val="es-ES_tradnl" w:eastAsia="es-ES_tradnl"/>
        </w:rPr>
        <w:lastRenderedPageBreak/>
        <w:t xml:space="preserve">Así pues, </w:t>
      </w:r>
      <w:r>
        <w:rPr>
          <w:rFonts w:ascii="Verdana" w:eastAsia="Calibri" w:hAnsi="Verdana" w:cs="Arial"/>
          <w:lang w:val="es-ES_tradnl" w:eastAsia="es-ES_tradnl"/>
        </w:rPr>
        <w:t xml:space="preserve">en </w:t>
      </w:r>
      <w:r w:rsidRPr="00E67771">
        <w:rPr>
          <w:rFonts w:ascii="Verdana" w:eastAsia="Calibri" w:hAnsi="Verdana" w:cs="Arial"/>
          <w:lang w:val="es-ES_tradnl" w:eastAsia="es-ES_tradnl"/>
        </w:rPr>
        <w:t xml:space="preserve">las ESAL no </w:t>
      </w:r>
      <w:r>
        <w:rPr>
          <w:rFonts w:ascii="Verdana" w:eastAsia="Calibri" w:hAnsi="Verdana" w:cs="Arial"/>
          <w:lang w:val="es-ES_tradnl" w:eastAsia="es-ES_tradnl"/>
        </w:rPr>
        <w:t xml:space="preserve">es admisible </w:t>
      </w:r>
      <w:r w:rsidRPr="00E67771">
        <w:rPr>
          <w:rFonts w:ascii="Verdana" w:eastAsia="Calibri" w:hAnsi="Verdana" w:cs="Arial"/>
          <w:lang w:val="es-ES_tradnl" w:eastAsia="es-ES_tradnl"/>
        </w:rPr>
        <w:t>el reparto de utilidades, ni durante la existencia de la organización ni cuando se extinga</w:t>
      </w:r>
      <w:r>
        <w:rPr>
          <w:rFonts w:ascii="Verdana" w:eastAsia="Calibri" w:hAnsi="Verdana" w:cs="Arial"/>
          <w:lang w:val="es-ES_tradnl" w:eastAsia="es-ES_tradnl"/>
        </w:rPr>
        <w:t xml:space="preserve">. </w:t>
      </w:r>
      <w:r w:rsidRPr="003505EE">
        <w:rPr>
          <w:rFonts w:ascii="Verdana" w:eastAsia="Calibri" w:hAnsi="Verdana" w:cs="Arial"/>
          <w:lang w:val="es-ES_tradnl" w:eastAsia="es-ES_tradnl"/>
        </w:rPr>
        <w:t>E</w:t>
      </w:r>
      <w:r>
        <w:rPr>
          <w:rFonts w:ascii="Verdana" w:eastAsia="Calibri" w:hAnsi="Verdana" w:cs="Arial"/>
          <w:lang w:val="es-ES_tradnl" w:eastAsia="es-ES_tradnl"/>
        </w:rPr>
        <w:t>n e</w:t>
      </w:r>
      <w:r w:rsidRPr="003505EE">
        <w:rPr>
          <w:rFonts w:ascii="Verdana" w:eastAsia="Calibri" w:hAnsi="Verdana" w:cs="Arial"/>
          <w:lang w:val="es-ES_tradnl" w:eastAsia="es-ES_tradnl"/>
        </w:rPr>
        <w:t xml:space="preserve">ste </w:t>
      </w:r>
      <w:r w:rsidRPr="00E67771">
        <w:rPr>
          <w:rFonts w:ascii="Verdana" w:eastAsia="Calibri" w:hAnsi="Verdana" w:cs="Arial"/>
          <w:lang w:val="es-ES_tradnl" w:eastAsia="es-ES_tradnl"/>
        </w:rPr>
        <w:t>aspecto, se insiste, radica la diferencia más apreciable entre</w:t>
      </w:r>
      <w:r>
        <w:rPr>
          <w:rFonts w:ascii="Verdana" w:eastAsia="Calibri" w:hAnsi="Verdana" w:cs="Arial"/>
          <w:lang w:val="es-ES_tradnl" w:eastAsia="es-ES_tradnl"/>
        </w:rPr>
        <w:t xml:space="preserve"> estas corporaciones y las sociedades comerciales, p</w:t>
      </w:r>
      <w:r w:rsidRPr="00E67771">
        <w:rPr>
          <w:rFonts w:ascii="Verdana" w:eastAsia="Calibri" w:hAnsi="Verdana" w:cs="Arial"/>
          <w:lang w:val="es-ES_tradnl" w:eastAsia="es-ES_tradnl"/>
        </w:rPr>
        <w:t>ese a que ambas se crean con libertad y al amparo del derecho fundamental de asociación previsto en el artículo 38 de la Constitución Política y otras normas contenidas en tratados internacionales suscritos por Colombia.</w:t>
      </w:r>
    </w:p>
    <w:p w14:paraId="27376AFF" w14:textId="77777777" w:rsidR="00867B6A" w:rsidRPr="00A303E8" w:rsidRDefault="00867B6A" w:rsidP="00867B6A">
      <w:pPr>
        <w:spacing w:before="120" w:after="0" w:line="276" w:lineRule="auto"/>
        <w:ind w:firstLine="709"/>
        <w:jc w:val="both"/>
        <w:rPr>
          <w:rFonts w:ascii="Verdana" w:eastAsia="Calibri" w:hAnsi="Verdana" w:cs="Arial"/>
          <w:lang w:val="es-ES" w:eastAsia="es-ES"/>
        </w:rPr>
      </w:pPr>
      <w:r w:rsidRPr="00E67771">
        <w:rPr>
          <w:rFonts w:ascii="Verdana" w:eastAsia="Calibri" w:hAnsi="Verdana" w:cs="Arial"/>
          <w:lang w:val="es-ES" w:eastAsia="es-ES"/>
        </w:rPr>
        <w:t>De conformidad con lo anterior, una “asociación o corporación” constituidas en los términos del Código Civil, no puede asimilarse o identificarse con una “sociedad comercial”, como uniformemente lo considera la doctrina y la jurisprudencia civil y comercial</w:t>
      </w:r>
      <w:r w:rsidRPr="60F29CF2">
        <w:rPr>
          <w:rFonts w:ascii="Verdana" w:eastAsia="Calibri" w:hAnsi="Verdana" w:cs="Arial"/>
          <w:lang w:val="es-ES" w:eastAsia="es-ES"/>
        </w:rPr>
        <w:t xml:space="preserve">. Lo anterior, </w:t>
      </w:r>
      <w:r w:rsidRPr="00A303E8">
        <w:rPr>
          <w:rFonts w:ascii="Verdana" w:eastAsia="Calibri" w:hAnsi="Verdana" w:cs="Arial"/>
          <w:lang w:val="es-ES" w:eastAsia="es-ES"/>
        </w:rPr>
        <w:t xml:space="preserve">en la medida en que </w:t>
      </w:r>
      <w:r>
        <w:rPr>
          <w:rFonts w:ascii="Verdana" w:eastAsia="Calibri" w:hAnsi="Verdana" w:cs="Arial"/>
          <w:lang w:val="es-ES" w:eastAsia="es-ES"/>
        </w:rPr>
        <w:t xml:space="preserve">las sociedades comerciales se </w:t>
      </w:r>
      <w:r w:rsidRPr="00A303E8">
        <w:rPr>
          <w:rFonts w:ascii="Verdana" w:eastAsia="Calibri" w:hAnsi="Verdana" w:cs="Arial"/>
          <w:lang w:val="es-ES" w:eastAsia="es-ES"/>
        </w:rPr>
        <w:t>crea</w:t>
      </w:r>
      <w:r>
        <w:rPr>
          <w:rFonts w:ascii="Verdana" w:eastAsia="Calibri" w:hAnsi="Verdana" w:cs="Arial"/>
          <w:lang w:val="es-ES" w:eastAsia="es-ES"/>
        </w:rPr>
        <w:t>n</w:t>
      </w:r>
      <w:r w:rsidRPr="00A303E8">
        <w:rPr>
          <w:rFonts w:ascii="Verdana" w:eastAsia="Calibri" w:hAnsi="Verdana" w:cs="Arial"/>
          <w:lang w:val="es-ES" w:eastAsia="es-ES"/>
        </w:rPr>
        <w:t xml:space="preserve"> con la finalidad de que sus socios repartan las utilidades obtenidas en desarrollo de la empresa o actividad social. Por el contrario, las </w:t>
      </w:r>
      <w:r>
        <w:rPr>
          <w:rFonts w:ascii="Verdana" w:eastAsia="Calibri" w:hAnsi="Verdana" w:cs="Arial"/>
          <w:lang w:val="es-ES" w:eastAsia="es-ES"/>
        </w:rPr>
        <w:t xml:space="preserve">corporaciones, fundaciones </w:t>
      </w:r>
      <w:r w:rsidRPr="00A303E8">
        <w:rPr>
          <w:rFonts w:ascii="Verdana" w:eastAsia="Calibri" w:hAnsi="Verdana" w:cs="Arial"/>
          <w:lang w:val="es-ES" w:eastAsia="es-ES"/>
        </w:rPr>
        <w:t>o asociaciones destinan su patrimonio a la consecución de un interés genera</w:t>
      </w:r>
      <w:r>
        <w:rPr>
          <w:rFonts w:ascii="Verdana" w:eastAsia="Calibri" w:hAnsi="Verdana" w:cs="Arial"/>
          <w:lang w:val="es-ES" w:eastAsia="es-ES"/>
        </w:rPr>
        <w:t xml:space="preserve">l y no </w:t>
      </w:r>
      <w:r w:rsidRPr="00A303E8">
        <w:rPr>
          <w:rFonts w:ascii="Verdana" w:eastAsia="Calibri" w:hAnsi="Verdana" w:cs="Arial"/>
          <w:lang w:val="es-ES" w:eastAsia="es-ES"/>
        </w:rPr>
        <w:t>percibe</w:t>
      </w:r>
      <w:r>
        <w:rPr>
          <w:rFonts w:ascii="Verdana" w:eastAsia="Calibri" w:hAnsi="Verdana" w:cs="Arial"/>
          <w:lang w:val="es-ES" w:eastAsia="es-ES"/>
        </w:rPr>
        <w:t>n</w:t>
      </w:r>
      <w:r w:rsidRPr="00A303E8">
        <w:rPr>
          <w:rFonts w:ascii="Verdana" w:eastAsia="Calibri" w:hAnsi="Verdana" w:cs="Arial"/>
          <w:lang w:val="es-ES" w:eastAsia="es-ES"/>
        </w:rPr>
        <w:t xml:space="preserve"> lucro</w:t>
      </w:r>
      <w:r>
        <w:rPr>
          <w:rFonts w:ascii="Verdana" w:eastAsia="Calibri" w:hAnsi="Verdana" w:cs="Arial"/>
          <w:lang w:val="es-ES" w:eastAsia="es-ES"/>
        </w:rPr>
        <w:t xml:space="preserve">, pues los </w:t>
      </w:r>
      <w:r w:rsidRPr="00A303E8">
        <w:rPr>
          <w:rFonts w:ascii="Verdana" w:eastAsia="Calibri" w:hAnsi="Verdana" w:cs="Arial"/>
          <w:lang w:val="es-ES" w:eastAsia="es-ES"/>
        </w:rPr>
        <w:t xml:space="preserve">excedentes monetarios que se presenten </w:t>
      </w:r>
      <w:r>
        <w:rPr>
          <w:rFonts w:ascii="Verdana" w:eastAsia="Calibri" w:hAnsi="Verdana" w:cs="Arial"/>
          <w:lang w:val="es-ES" w:eastAsia="es-ES"/>
        </w:rPr>
        <w:t>deben ser reinvertidos en la ESAL y no es viable</w:t>
      </w:r>
      <w:r w:rsidRPr="00A303E8">
        <w:rPr>
          <w:rFonts w:ascii="Verdana" w:eastAsia="Calibri" w:hAnsi="Verdana" w:cs="Arial"/>
          <w:lang w:val="es-ES" w:eastAsia="es-ES"/>
        </w:rPr>
        <w:t xml:space="preserve"> </w:t>
      </w:r>
      <w:r>
        <w:rPr>
          <w:rFonts w:ascii="Verdana" w:eastAsia="Calibri" w:hAnsi="Verdana" w:cs="Arial"/>
          <w:lang w:val="es-ES" w:eastAsia="es-ES"/>
        </w:rPr>
        <w:t xml:space="preserve">repartirlos </w:t>
      </w:r>
      <w:r w:rsidRPr="00A303E8">
        <w:rPr>
          <w:rFonts w:ascii="Verdana" w:eastAsia="Calibri" w:hAnsi="Verdana" w:cs="Arial"/>
          <w:lang w:val="es-ES" w:eastAsia="es-ES"/>
        </w:rPr>
        <w:t>entre los asociados.</w:t>
      </w:r>
    </w:p>
    <w:p w14:paraId="14108F08" w14:textId="77777777" w:rsidR="00867B6A" w:rsidRPr="00A303E8" w:rsidRDefault="00867B6A" w:rsidP="00867B6A">
      <w:pPr>
        <w:spacing w:before="120" w:after="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t>L</w:t>
      </w:r>
      <w:r w:rsidRPr="00A303E8">
        <w:rPr>
          <w:rFonts w:ascii="Verdana" w:eastAsia="Calibri" w:hAnsi="Verdana" w:cs="Arial"/>
          <w:lang w:val="es-ES_tradnl" w:eastAsia="es-ES_tradnl"/>
        </w:rPr>
        <w:t xml:space="preserve">a Corte Constitucional, en la sentencia C-287 de 2012, reiteró que la diferencia existente entre las sociedades comerciales y las </w:t>
      </w:r>
      <w:r>
        <w:rPr>
          <w:rFonts w:ascii="Verdana" w:eastAsia="Calibri" w:hAnsi="Verdana" w:cs="Arial"/>
          <w:lang w:val="es-ES_tradnl" w:eastAsia="es-ES_tradnl"/>
        </w:rPr>
        <w:t xml:space="preserve">ESAL </w:t>
      </w:r>
      <w:r w:rsidRPr="00A303E8">
        <w:rPr>
          <w:rFonts w:ascii="Verdana" w:eastAsia="Calibri" w:hAnsi="Verdana" w:cs="Arial"/>
          <w:lang w:val="es-ES_tradnl" w:eastAsia="es-ES_tradnl"/>
        </w:rPr>
        <w:t>es que estas últimas no reparten sus utilidades entre los socios:</w:t>
      </w:r>
    </w:p>
    <w:p w14:paraId="5A4BE9F1" w14:textId="77777777" w:rsidR="00867B6A" w:rsidRDefault="00867B6A" w:rsidP="00867B6A">
      <w:pPr>
        <w:spacing w:after="0" w:line="276" w:lineRule="auto"/>
        <w:ind w:left="709" w:right="709"/>
        <w:jc w:val="both"/>
        <w:rPr>
          <w:rFonts w:ascii="Verdana" w:eastAsia="Calibri" w:hAnsi="Verdana" w:cs="Arial"/>
          <w:sz w:val="20"/>
          <w:szCs w:val="20"/>
          <w:lang w:val="es-ES" w:eastAsia="es-ES"/>
        </w:rPr>
      </w:pPr>
    </w:p>
    <w:p w14:paraId="2D5A99B2" w14:textId="77777777" w:rsidR="00867B6A" w:rsidRPr="00A303E8" w:rsidRDefault="00867B6A" w:rsidP="00867B6A">
      <w:pPr>
        <w:spacing w:after="0" w:line="240" w:lineRule="auto"/>
        <w:ind w:left="709" w:right="709"/>
        <w:jc w:val="both"/>
        <w:rPr>
          <w:rFonts w:ascii="Verdana" w:eastAsia="Calibri" w:hAnsi="Verdana" w:cs="Arial"/>
          <w:sz w:val="20"/>
          <w:szCs w:val="20"/>
          <w:lang w:val="es-ES" w:eastAsia="es-ES"/>
        </w:rPr>
      </w:pPr>
      <w:r w:rsidRPr="00A303E8">
        <w:rPr>
          <w:rFonts w:ascii="Verdana" w:eastAsia="Calibri" w:hAnsi="Verdana" w:cs="Arial"/>
          <w:sz w:val="20"/>
          <w:szCs w:val="20"/>
          <w:lang w:val="es-ES" w:eastAsia="es-ES"/>
        </w:rPr>
        <w:t xml:space="preserve">“Sin embargo, el hecho que no persigan una finalidad lucrativa no significa que no desarrollen actividades que generen utilidades, lo que pasa es que, a diferencia de las sociedades, el lucro o ganancia obtenida no se reparte entre sus </w:t>
      </w:r>
      <w:proofErr w:type="gramStart"/>
      <w:r w:rsidRPr="00A303E8">
        <w:rPr>
          <w:rFonts w:ascii="Verdana" w:eastAsia="Calibri" w:hAnsi="Verdana" w:cs="Arial"/>
          <w:sz w:val="20"/>
          <w:szCs w:val="20"/>
          <w:lang w:val="es-ES" w:eastAsia="es-ES"/>
        </w:rPr>
        <w:t>miembros</w:t>
      </w:r>
      <w:proofErr w:type="gramEnd"/>
      <w:r w:rsidRPr="00A303E8">
        <w:rPr>
          <w:rFonts w:ascii="Verdana" w:eastAsia="Calibri" w:hAnsi="Verdana" w:cs="Arial"/>
          <w:sz w:val="20"/>
          <w:szCs w:val="20"/>
          <w:lang w:val="es-ES" w:eastAsia="es-ES"/>
        </w:rPr>
        <w:t xml:space="preserve"> sino que se integra al patrimonio de la asociación para la obtención del fin deseado.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w:t>
      </w:r>
      <w:proofErr w:type="gramStart"/>
      <w:r w:rsidRPr="00A303E8">
        <w:rPr>
          <w:rFonts w:ascii="Verdana" w:eastAsia="Calibri" w:hAnsi="Verdana" w:cs="Arial"/>
          <w:sz w:val="20"/>
          <w:szCs w:val="20"/>
          <w:lang w:val="es-ES" w:eastAsia="es-ES"/>
        </w:rPr>
        <w:t>del mismo</w:t>
      </w:r>
      <w:proofErr w:type="gramEnd"/>
      <w:r w:rsidRPr="00A303E8">
        <w:rPr>
          <w:rFonts w:ascii="Verdana" w:eastAsia="Calibri" w:hAnsi="Verdana" w:cs="Arial"/>
          <w:sz w:val="20"/>
          <w:szCs w:val="20"/>
          <w:lang w:val="es-ES" w:eastAsia="es-ES"/>
        </w:rPr>
        <w:t xml:space="preserve"> en el momento de su disolución o liquidación”</w:t>
      </w:r>
      <w:r w:rsidRPr="00997992">
        <w:rPr>
          <w:rStyle w:val="Refdenotaalpie"/>
          <w:rFonts w:ascii="Verdana" w:eastAsia="Calibri" w:hAnsi="Verdana" w:cs="Arial"/>
          <w:lang w:val="es-ES_tradnl" w:eastAsia="es-ES_tradnl"/>
        </w:rPr>
        <w:t xml:space="preserve"> </w:t>
      </w:r>
      <w:r w:rsidRPr="00A303E8">
        <w:rPr>
          <w:rStyle w:val="Refdenotaalpie"/>
          <w:rFonts w:ascii="Verdana" w:eastAsia="Calibri" w:hAnsi="Verdana" w:cs="Arial"/>
          <w:lang w:val="es-ES_tradnl" w:eastAsia="es-ES_tradnl"/>
        </w:rPr>
        <w:footnoteReference w:id="3"/>
      </w:r>
      <w:r w:rsidRPr="00A303E8">
        <w:rPr>
          <w:rFonts w:ascii="Verdana" w:eastAsia="Calibri" w:hAnsi="Verdana" w:cs="Arial"/>
          <w:sz w:val="20"/>
          <w:szCs w:val="20"/>
          <w:lang w:val="es-ES" w:eastAsia="es-ES"/>
        </w:rPr>
        <w:t>.</w:t>
      </w:r>
    </w:p>
    <w:p w14:paraId="07C6FEA9" w14:textId="77777777" w:rsidR="00867B6A" w:rsidRPr="00A303E8" w:rsidRDefault="00867B6A" w:rsidP="00867B6A">
      <w:pPr>
        <w:spacing w:after="0" w:line="276" w:lineRule="auto"/>
        <w:ind w:firstLine="709"/>
        <w:jc w:val="both"/>
        <w:rPr>
          <w:rFonts w:ascii="Verdana" w:eastAsia="Calibri" w:hAnsi="Verdana" w:cs="Arial"/>
          <w:lang w:val="es-ES_tradnl" w:eastAsia="es-ES_tradnl"/>
        </w:rPr>
      </w:pPr>
    </w:p>
    <w:p w14:paraId="78244753" w14:textId="77777777" w:rsidR="00867B6A" w:rsidRDefault="00867B6A" w:rsidP="00867B6A">
      <w:pPr>
        <w:widowControl w:val="0"/>
        <w:autoSpaceDE w:val="0"/>
        <w:autoSpaceDN w:val="0"/>
        <w:spacing w:after="120" w:line="276" w:lineRule="auto"/>
        <w:ind w:firstLine="709"/>
        <w:jc w:val="both"/>
        <w:rPr>
          <w:rFonts w:ascii="Verdana" w:eastAsia="Calibri" w:hAnsi="Verdana" w:cs="Arial"/>
          <w:lang w:val="es-ES_tradnl" w:eastAsia="es-ES_tradnl"/>
        </w:rPr>
      </w:pPr>
      <w:r w:rsidRPr="00A303E8">
        <w:rPr>
          <w:rFonts w:ascii="Verdana" w:eastAsia="Calibri" w:hAnsi="Verdana" w:cs="Arial"/>
          <w:lang w:val="es-ES_tradnl" w:eastAsia="es-ES_tradnl"/>
        </w:rPr>
        <w:t xml:space="preserve">En ese mismo sentido, la Cámara de Comercio de Bogotá, en el “Documento ABC Entidades sin Ánimo de Lucro”, ha definido las ESAL como “las personas jurídicas que se constituyen por la voluntad de asociación o creación de otras personas (naturales o jurídicas) para realizar actividades en beneficio de los asociados o de terceras personas o de la comunidad en general y no </w:t>
      </w:r>
      <w:r w:rsidRPr="00A303E8">
        <w:rPr>
          <w:rFonts w:ascii="Verdana" w:eastAsia="Calibri" w:hAnsi="Verdana" w:cs="Arial"/>
          <w:lang w:val="es-ES_tradnl" w:eastAsia="es-ES_tradnl"/>
        </w:rPr>
        <w:lastRenderedPageBreak/>
        <w:t>persiguen el reparto de utilidades entre sus miembros</w:t>
      </w:r>
      <w:r w:rsidRPr="00A303E8">
        <w:rPr>
          <w:rStyle w:val="Refdenotaalpie"/>
          <w:rFonts w:ascii="Verdana" w:eastAsia="Calibri" w:hAnsi="Verdana" w:cs="Arial"/>
          <w:lang w:val="es-ES_tradnl" w:eastAsia="es-ES_tradnl"/>
        </w:rPr>
        <w:footnoteReference w:id="4"/>
      </w:r>
      <w:r w:rsidRPr="00A303E8">
        <w:rPr>
          <w:rFonts w:ascii="Verdana" w:eastAsia="Calibri" w:hAnsi="Verdana" w:cs="Arial"/>
          <w:lang w:val="es-ES_tradnl" w:eastAsia="es-ES_tradnl"/>
        </w:rPr>
        <w:t>”. Las ESAL, no tienen la naturaleza jurídica de empresa sino, de asociaciones que buscan la realización de un fin común y objetivos carentes de un contenido esencialmente patrimonial –fin de lucro y reparto de las utilidades–.</w:t>
      </w:r>
    </w:p>
    <w:p w14:paraId="22D12241" w14:textId="77777777" w:rsidR="00867B6A" w:rsidRDefault="00867B6A" w:rsidP="00867B6A">
      <w:pPr>
        <w:spacing w:after="120" w:line="276" w:lineRule="auto"/>
        <w:ind w:firstLine="709"/>
        <w:jc w:val="both"/>
        <w:rPr>
          <w:rFonts w:ascii="Verdana" w:eastAsia="Calibri" w:hAnsi="Verdana" w:cs="Arial"/>
          <w:lang w:val="es-ES" w:eastAsia="es-ES"/>
        </w:rPr>
      </w:pPr>
      <w:r>
        <w:rPr>
          <w:rFonts w:ascii="Verdana" w:eastAsia="Calibri" w:hAnsi="Verdana" w:cs="Arial"/>
          <w:lang w:val="es-ES_tradnl" w:eastAsia="es-ES_tradnl"/>
        </w:rPr>
        <w:t>Habiéndose agotado el estudio de la naturaleza jurídica de las ESAL y su principal diferencia con las sociedades comerciales, se procede a establecer si a aquellas les son aplicables los criterios diferenciales establecidos en la Ley 2069 de 2020 en favor de las MiPymes en el Sistema de Compras y Contratación Pública.</w:t>
      </w:r>
    </w:p>
    <w:p w14:paraId="4C1BEF0E" w14:textId="77777777" w:rsidR="00867B6A" w:rsidRDefault="00867B6A" w:rsidP="00867B6A">
      <w:pPr>
        <w:spacing w:after="0" w:line="276" w:lineRule="auto"/>
        <w:ind w:firstLine="708"/>
        <w:jc w:val="both"/>
        <w:rPr>
          <w:rFonts w:ascii="Verdana" w:eastAsia="Times New Roman" w:hAnsi="Verdana" w:cs="Arial"/>
          <w:lang w:eastAsia="es-MX"/>
        </w:rPr>
      </w:pPr>
      <w:r w:rsidRPr="00995CAD">
        <w:rPr>
          <w:rFonts w:ascii="Verdana" w:eastAsia="Calibri" w:hAnsi="Verdana" w:cs="Arial"/>
          <w:lang w:val="es-ES"/>
        </w:rPr>
        <w:t>L</w:t>
      </w:r>
      <w:r w:rsidRPr="00995CAD">
        <w:rPr>
          <w:rFonts w:ascii="Verdana" w:eastAsia="Arial" w:hAnsi="Verdana" w:cs="Arial"/>
          <w:lang w:val="es-ES" w:eastAsia="es-CO"/>
        </w:rPr>
        <w:t>a Ley 2069 d</w:t>
      </w:r>
      <w:r w:rsidRPr="00995CAD">
        <w:rPr>
          <w:rFonts w:ascii="Verdana" w:eastAsia="Arial" w:hAnsi="Verdana" w:cs="Arial"/>
          <w:lang w:eastAsia="es-CO"/>
        </w:rPr>
        <w:t>el 31 de diciembre de 2020,</w:t>
      </w:r>
      <w:r w:rsidRPr="00995CAD">
        <w:rPr>
          <w:rFonts w:ascii="Verdana" w:eastAsia="Arial" w:hAnsi="Verdana" w:cs="Arial"/>
          <w:lang w:val="es-ES" w:eastAsia="es-CO"/>
        </w:rPr>
        <w:t xml:space="preserve"> “Por medio de la cual se impulsa el emprendimiento en Colombia”, establece un marco regulatorio que propicia el emprendimiento, el crecimiento, la consolidación y la sostenibilidad de las empresas, con el fin de aumentar el bienestar social y generar equidad. E</w:t>
      </w:r>
      <w:r w:rsidRPr="00995CAD">
        <w:rPr>
          <w:rFonts w:ascii="Verdana" w:eastAsia="Arial" w:hAnsi="Verdana" w:cs="Arial"/>
          <w:bCs/>
          <w:lang w:val="es-ES" w:eastAsia="es-CO"/>
        </w:rPr>
        <w:t xml:space="preserve">l “Capítulo III – Compras públicas” </w:t>
      </w:r>
      <w:r w:rsidRPr="00995CAD">
        <w:rPr>
          <w:rFonts w:ascii="Verdana" w:eastAsia="Times New Roman" w:hAnsi="Verdana" w:cs="Arial"/>
          <w:lang w:eastAsia="es-MX"/>
        </w:rPr>
        <w:t>contiene normas que modifican</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algunos</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aspectos</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de</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la</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contratación</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estatal</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para</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promover</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el</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 xml:space="preserve">emprendimiento. </w:t>
      </w:r>
      <w:r w:rsidRPr="00A303E8">
        <w:rPr>
          <w:rFonts w:ascii="Verdana" w:eastAsia="Calibri" w:hAnsi="Verdana" w:cs="Arial"/>
          <w:bCs/>
          <w:lang w:eastAsia="es-ES_tradnl"/>
        </w:rPr>
        <w:t xml:space="preserve">Dentro del referido capítulo se encuentran </w:t>
      </w:r>
      <w:r>
        <w:rPr>
          <w:rFonts w:ascii="Verdana" w:eastAsia="Calibri" w:hAnsi="Verdana" w:cs="Arial"/>
          <w:bCs/>
          <w:lang w:eastAsia="es-ES_tradnl"/>
        </w:rPr>
        <w:t>el artículo 34, en el cual se establecen unos</w:t>
      </w:r>
      <w:r>
        <w:rPr>
          <w:rFonts w:ascii="Verdana" w:eastAsia="Times New Roman" w:hAnsi="Verdana" w:cs="Arial"/>
          <w:lang w:eastAsia="es-MX"/>
        </w:rPr>
        <w:t xml:space="preserve"> parámetros para la limitación de convocatorias a </w:t>
      </w:r>
      <w:proofErr w:type="spellStart"/>
      <w:r>
        <w:rPr>
          <w:rFonts w:ascii="Verdana" w:eastAsia="Times New Roman" w:hAnsi="Verdana" w:cs="Arial"/>
          <w:lang w:eastAsia="es-MX"/>
        </w:rPr>
        <w:t>Mipymes</w:t>
      </w:r>
      <w:proofErr w:type="spellEnd"/>
      <w:r>
        <w:rPr>
          <w:rFonts w:ascii="Verdana" w:eastAsia="Times New Roman" w:hAnsi="Verdana" w:cs="Arial"/>
          <w:lang w:eastAsia="es-MX"/>
        </w:rPr>
        <w:t xml:space="preserve">, </w:t>
      </w:r>
      <w:r w:rsidRPr="00362CA6">
        <w:rPr>
          <w:rFonts w:ascii="Verdana" w:eastAsia="Times New Roman" w:hAnsi="Verdana" w:cs="Arial"/>
          <w:lang w:eastAsia="es-MX"/>
        </w:rPr>
        <w:t xml:space="preserve">con el fin de incentivar su participación en el Sistema de Compras y Contratación Pública. </w:t>
      </w:r>
    </w:p>
    <w:p w14:paraId="66AEC4F3" w14:textId="77777777" w:rsidR="00867B6A" w:rsidRPr="004B42D5" w:rsidRDefault="00867B6A" w:rsidP="00867B6A">
      <w:pPr>
        <w:spacing w:after="0" w:line="240" w:lineRule="auto"/>
        <w:ind w:firstLine="709"/>
        <w:jc w:val="both"/>
        <w:rPr>
          <w:rFonts w:ascii="Verdana" w:eastAsia="Calibri" w:hAnsi="Verdana" w:cs="Arial"/>
          <w:lang w:val="es-ES" w:eastAsia="es-ES"/>
        </w:rPr>
      </w:pPr>
    </w:p>
    <w:p w14:paraId="59C68873" w14:textId="77777777" w:rsidR="00867B6A" w:rsidRPr="00DE2C4A" w:rsidRDefault="00867B6A" w:rsidP="00867B6A">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t xml:space="preserve">Así las cosas, para dar respuesta a su consulta es necesario analizar si las ESAL pueden ser beneficiarias de las convocatorias limitadas a favor de </w:t>
      </w:r>
      <w:proofErr w:type="spellStart"/>
      <w:r>
        <w:rPr>
          <w:rFonts w:ascii="Verdana" w:eastAsia="Times New Roman" w:hAnsi="Verdana" w:cs="Arial"/>
          <w:lang w:eastAsia="es-MX"/>
        </w:rPr>
        <w:t>Mipymes</w:t>
      </w:r>
      <w:proofErr w:type="spellEnd"/>
      <w:r>
        <w:rPr>
          <w:rFonts w:ascii="Verdana" w:eastAsia="Times New Roman" w:hAnsi="Verdana" w:cs="Arial"/>
          <w:lang w:eastAsia="es-MX"/>
        </w:rPr>
        <w:t xml:space="preserve">. </w:t>
      </w:r>
      <w:r w:rsidRPr="60F29CF2">
        <w:rPr>
          <w:rFonts w:ascii="Verdana" w:hAnsi="Verdana" w:cs="Arial"/>
          <w:lang w:val="es-ES"/>
        </w:rPr>
        <w:t xml:space="preserve">En primer lugar, respecto a la asimilación de las ESAL con las </w:t>
      </w:r>
      <w:proofErr w:type="spellStart"/>
      <w:r w:rsidRPr="60F29CF2">
        <w:rPr>
          <w:rFonts w:ascii="Verdana" w:hAnsi="Verdana" w:cs="Arial"/>
          <w:lang w:val="es-ES"/>
        </w:rPr>
        <w:t>Mipymes</w:t>
      </w:r>
      <w:proofErr w:type="spellEnd"/>
      <w:r w:rsidRPr="60F29CF2">
        <w:rPr>
          <w:rFonts w:ascii="Verdana" w:hAnsi="Verdana" w:cs="Arial"/>
          <w:lang w:val="es-ES"/>
        </w:rPr>
        <w:t xml:space="preserve">, resulta indispensable señalar que el artículo 2 de la Ley 590 de 2000, modificado por el artículo 43 de la Ley 1450 de 2011, define la </w:t>
      </w:r>
      <w:r w:rsidRPr="60F29CF2">
        <w:rPr>
          <w:rFonts w:ascii="Verdana" w:hAnsi="Verdana" w:cs="Arial"/>
          <w:i/>
          <w:iCs/>
          <w:lang w:val="es-ES"/>
        </w:rPr>
        <w:t>empresa</w:t>
      </w:r>
      <w:r w:rsidRPr="60F29CF2">
        <w:rPr>
          <w:rFonts w:ascii="Verdana" w:hAnsi="Verdana" w:cs="Arial"/>
          <w:lang w:val="es-ES"/>
        </w:rPr>
        <w:t xml:space="preserve"> como toda unidad de explotación económica que realiza una persona natural o jurídica en actividades agropecuarias, industriales, comerciales o de servicios</w:t>
      </w:r>
      <w:r w:rsidRPr="60F29CF2">
        <w:rPr>
          <w:rFonts w:ascii="Verdana" w:hAnsi="Verdana" w:cs="Arial"/>
          <w:vertAlign w:val="superscript"/>
          <w:lang w:val="es-ES"/>
        </w:rPr>
        <w:footnoteReference w:id="5"/>
      </w:r>
      <w:r w:rsidRPr="60F29CF2">
        <w:rPr>
          <w:rFonts w:ascii="Verdana" w:hAnsi="Verdana" w:cs="Arial"/>
          <w:lang w:val="es-ES"/>
        </w:rPr>
        <w:t xml:space="preserve">. Además, </w:t>
      </w:r>
      <w:r w:rsidRPr="60F29CF2">
        <w:rPr>
          <w:rFonts w:ascii="Verdana" w:hAnsi="Verdana" w:cs="Arial"/>
          <w:lang w:val="es-ES"/>
        </w:rPr>
        <w:lastRenderedPageBreak/>
        <w:t>establece que estas se clasifican en micro, pequeña, mediana y gran empresa, de acuerdo con los criterios del número de trabajadores totales, el valor de ventas brutales anuales y el valor de activos totales.</w:t>
      </w:r>
      <w:r w:rsidRPr="60F29CF2">
        <w:rPr>
          <w:rFonts w:ascii="Verdana" w:eastAsia="Arial" w:hAnsi="Verdana" w:cs="Arial"/>
          <w:lang w:val="es-ES"/>
        </w:rPr>
        <w:t xml:space="preserve"> Ahora bien, el artículo 2.2.1.13.2.2. del Decreto 1074 de 2015, adicionado por el Decreto 957 de 2019, establece que: </w:t>
      </w:r>
    </w:p>
    <w:p w14:paraId="306D8C61" w14:textId="77777777" w:rsidR="00867B6A" w:rsidRPr="00362CA6" w:rsidRDefault="00867B6A" w:rsidP="00867B6A">
      <w:pPr>
        <w:spacing w:after="120" w:line="276" w:lineRule="auto"/>
        <w:ind w:firstLine="708"/>
        <w:jc w:val="both"/>
        <w:rPr>
          <w:rFonts w:ascii="Verdana" w:hAnsi="Verdana" w:cs="Arial"/>
          <w:lang w:val="es-ES_tradnl"/>
        </w:rPr>
      </w:pPr>
      <w:r>
        <w:rPr>
          <w:rFonts w:ascii="Verdana" w:hAnsi="Verdana" w:cs="Arial"/>
          <w:lang w:val="es-ES_tradnl"/>
        </w:rPr>
        <w:t xml:space="preserve">1. </w:t>
      </w:r>
      <w:r w:rsidRPr="00362CA6">
        <w:rPr>
          <w:rFonts w:ascii="Verdana" w:hAnsi="Verdana" w:cs="Arial"/>
          <w:lang w:val="es-ES_tradnl"/>
        </w:rPr>
        <w:t xml:space="preserve">La </w:t>
      </w:r>
      <w:r w:rsidRPr="00123A43">
        <w:rPr>
          <w:rFonts w:ascii="Verdana" w:hAnsi="Verdana" w:cs="Arial"/>
          <w:i/>
          <w:iCs/>
          <w:lang w:val="es-ES_tradnl"/>
        </w:rPr>
        <w:t>microempresa</w:t>
      </w:r>
      <w:r w:rsidRPr="00362CA6">
        <w:rPr>
          <w:rFonts w:ascii="Verdana" w:hAnsi="Verdana" w:cs="Arial"/>
          <w:lang w:val="es-ES_tradnl"/>
        </w:rPr>
        <w:t xml:space="preserve"> en el sector manufacturero, es “aquella cuyos ingresos por actividades ordinarias anuales sean inferiores o iguales a veintitrés mil quinientos sesenta y tres Unidades de Valor Tributario (23.563 UVT)”, en el sector servicios, la que sus “ingresos por actividades ordinarias anuales sean inferiores o iguales a treinta y dos mil novecientos ochenta y ocho Unidades de Valor Tributario (32.988 UVT)”, y en el sector comercio, la que sus “ingresos por actividades ordinarias anuales sean inferiores o iguales a cuarenta y cuatro mil setecientos sesenta y nueve Unidades de Valor Tributario (44.769 UVT)</w:t>
      </w:r>
    </w:p>
    <w:p w14:paraId="75AF2E97" w14:textId="77777777" w:rsidR="00867B6A" w:rsidRPr="00362CA6" w:rsidRDefault="00867B6A" w:rsidP="00867B6A">
      <w:pPr>
        <w:spacing w:after="120" w:line="276" w:lineRule="auto"/>
        <w:ind w:firstLine="708"/>
        <w:jc w:val="both"/>
        <w:rPr>
          <w:rFonts w:ascii="Verdana" w:hAnsi="Verdana" w:cs="Arial"/>
          <w:lang w:val="es-ES"/>
        </w:rPr>
      </w:pPr>
      <w:r>
        <w:rPr>
          <w:rFonts w:ascii="Verdana" w:hAnsi="Verdana" w:cs="Arial"/>
          <w:lang w:val="es-ES"/>
        </w:rPr>
        <w:t>2.</w:t>
      </w:r>
      <w:r w:rsidRPr="00362CA6">
        <w:rPr>
          <w:rFonts w:ascii="Verdana" w:hAnsi="Verdana" w:cs="Arial"/>
          <w:lang w:val="es-ES"/>
        </w:rPr>
        <w:t xml:space="preserve"> La </w:t>
      </w:r>
      <w:r w:rsidRPr="00123A43">
        <w:rPr>
          <w:rFonts w:ascii="Verdana" w:hAnsi="Verdana" w:cs="Arial"/>
          <w:i/>
          <w:iCs/>
          <w:lang w:val="es-ES"/>
        </w:rPr>
        <w:t>pequeña empresa</w:t>
      </w:r>
      <w:r w:rsidRPr="00362CA6">
        <w:rPr>
          <w:rFonts w:ascii="Verdana" w:hAnsi="Verdana" w:cs="Arial"/>
          <w:lang w:val="es-ES"/>
        </w:rPr>
        <w:t xml:space="preserve"> en el sector manufacturero, es aquella “cuyos ingresos por actividades ordinarias anuales sean superiores a veintitrés mil quinientos sesenta y tres Unidades de Valor Tributario (23.563 UVT) e inferiores o iguales a doscientos cuatro mil novecientos  noventa y cinco Unidades de Valor Tributario (204.995 UVT)”; en el sector servicios, la que sus “ingresos por actividades ordinarias anuales sean superiores a treinta y dos mil novecientos ochenta y ocho Unidades de Valor Tributario (32.988 UVT) e inferiores o iguales a ciento treinta y un mil novecientos cincuenta y uno Unidades de Valor Tributario (131. 951 UVT)”; y en el sector comercio, la que sus “ingresos por actividades ordinarias anuales sean superiores a cuarenta y cuatro mil setecientos sesenta y nueve Unidades de Valor Tributario (44.769 UVT) e inferiores o iguales a cuatrocientos treinta y un mil ciento noventa y seis Unidades de Valor Tributario (431.196 UVT)”.</w:t>
      </w:r>
    </w:p>
    <w:p w14:paraId="5C9B5063" w14:textId="77777777" w:rsidR="00867B6A" w:rsidRPr="00362CA6" w:rsidRDefault="00867B6A" w:rsidP="00867B6A">
      <w:pPr>
        <w:spacing w:after="120" w:line="276" w:lineRule="auto"/>
        <w:ind w:firstLine="709"/>
        <w:jc w:val="both"/>
        <w:rPr>
          <w:rFonts w:ascii="Verdana" w:eastAsia="Arial" w:hAnsi="Verdana" w:cs="Arial"/>
          <w:lang w:val="es-ES"/>
        </w:rPr>
      </w:pPr>
      <w:r>
        <w:rPr>
          <w:rFonts w:ascii="Verdana" w:eastAsia="Arial" w:hAnsi="Verdana" w:cs="Arial"/>
          <w:lang w:val="es-ES"/>
        </w:rPr>
        <w:t>3.</w:t>
      </w:r>
      <w:r w:rsidRPr="00362CA6">
        <w:rPr>
          <w:rFonts w:ascii="Verdana" w:eastAsia="Arial" w:hAnsi="Verdana" w:cs="Arial"/>
          <w:lang w:val="es-ES"/>
        </w:rPr>
        <w:t xml:space="preserve"> La </w:t>
      </w:r>
      <w:r w:rsidRPr="00362CA6">
        <w:rPr>
          <w:rFonts w:ascii="Verdana" w:eastAsia="Arial" w:hAnsi="Verdana" w:cs="Arial"/>
          <w:i/>
          <w:iCs/>
          <w:lang w:val="es-ES"/>
        </w:rPr>
        <w:t>mediana empresa</w:t>
      </w:r>
      <w:r w:rsidRPr="00362CA6">
        <w:rPr>
          <w:rFonts w:ascii="Verdana" w:eastAsia="Arial" w:hAnsi="Verdana" w:cs="Arial"/>
          <w:lang w:val="es-ES"/>
        </w:rPr>
        <w:t xml:space="preserve">, en el sector manufacturero, es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 en el sector servicios, la que sus “ingresos por actividades ordinarias anuales sean superiores a ciento treinta y un mil novecientos cincuenta y un Unidades de Valor Tributario </w:t>
      </w:r>
      <w:r w:rsidRPr="00362CA6">
        <w:rPr>
          <w:rFonts w:ascii="Verdana" w:eastAsia="Arial" w:hAnsi="Verdana" w:cs="Arial"/>
          <w:lang w:val="es-ES"/>
        </w:rPr>
        <w:lastRenderedPageBreak/>
        <w:t xml:space="preserve">(131.951 UVT) e inferiores o iguales a cuatrocientos ochenta y tres mil treinta y cuatro Unidades de Valor Tributario (483.034 UVT)”, y en el sector comercio, la que sus “ingresos por actividades ordinarias anuales sean superiores a cuatrocientos treinta y un mil ciento noventa y seis Unidades de Valor Tributario (431.196 UVT) e inferiores o iguales a dos millones ciento sesenta mil seiscientos noventa y dos Unidades de Valor Tributario (2'160 .692 UVT)”.  </w:t>
      </w:r>
    </w:p>
    <w:p w14:paraId="4D67D7C8" w14:textId="77777777" w:rsidR="00867B6A" w:rsidRDefault="00867B6A" w:rsidP="00867B6A">
      <w:pPr>
        <w:spacing w:after="0" w:line="276" w:lineRule="auto"/>
        <w:ind w:firstLine="709"/>
        <w:jc w:val="both"/>
        <w:rPr>
          <w:rFonts w:ascii="Verdana" w:hAnsi="Verdana" w:cs="Arial"/>
          <w:lang w:val="es-ES"/>
        </w:rPr>
      </w:pPr>
      <w:r>
        <w:rPr>
          <w:rFonts w:ascii="Verdana" w:hAnsi="Verdana" w:cs="Arial"/>
          <w:lang w:val="es-ES"/>
        </w:rPr>
        <w:t>Con base en lo anterior</w:t>
      </w:r>
      <w:r w:rsidRPr="60F29CF2">
        <w:rPr>
          <w:rFonts w:ascii="Verdana" w:hAnsi="Verdana" w:cs="Arial"/>
          <w:lang w:val="es-ES"/>
        </w:rPr>
        <w:t>, esta Agencia ha sostenido de forma reiterada la tesis consistente en que las ESAL no pueden</w:t>
      </w:r>
      <w:r>
        <w:rPr>
          <w:rFonts w:ascii="Verdana" w:hAnsi="Verdana" w:cs="Arial"/>
          <w:lang w:val="es-ES"/>
        </w:rPr>
        <w:t>, por regla general,</w:t>
      </w:r>
      <w:r w:rsidRPr="60F29CF2">
        <w:rPr>
          <w:rFonts w:ascii="Verdana" w:hAnsi="Verdana" w:cs="Arial"/>
          <w:lang w:val="es-ES"/>
        </w:rPr>
        <w:t xml:space="preserve"> acceder a los beneficios a favor de las </w:t>
      </w:r>
      <w:proofErr w:type="spellStart"/>
      <w:r w:rsidRPr="60F29CF2">
        <w:rPr>
          <w:rFonts w:ascii="Verdana" w:hAnsi="Verdana" w:cs="Arial"/>
          <w:lang w:val="es-ES"/>
        </w:rPr>
        <w:t>Mipymes</w:t>
      </w:r>
      <w:proofErr w:type="spellEnd"/>
      <w:r w:rsidRPr="60F29CF2">
        <w:rPr>
          <w:rFonts w:ascii="Verdana" w:hAnsi="Verdana" w:cs="Arial"/>
          <w:lang w:val="es-ES"/>
        </w:rPr>
        <w:t xml:space="preserve"> ni participar en los procesos contractuales limitados a estas. Este argumento, considerando que: </w:t>
      </w:r>
    </w:p>
    <w:p w14:paraId="23CDEA20" w14:textId="77777777" w:rsidR="00867B6A" w:rsidRPr="000C3249" w:rsidRDefault="00867B6A" w:rsidP="00867B6A">
      <w:pPr>
        <w:spacing w:after="0" w:line="276" w:lineRule="auto"/>
        <w:ind w:left="709" w:right="709"/>
        <w:jc w:val="both"/>
        <w:rPr>
          <w:rFonts w:ascii="Verdana" w:hAnsi="Verdana" w:cs="Arial"/>
          <w:lang w:val="es-ES_tradnl"/>
        </w:rPr>
      </w:pPr>
    </w:p>
    <w:p w14:paraId="2D9B98A1" w14:textId="77777777" w:rsidR="00867B6A" w:rsidRDefault="00867B6A" w:rsidP="00867B6A">
      <w:pPr>
        <w:spacing w:after="0" w:line="240" w:lineRule="auto"/>
        <w:ind w:left="709" w:right="709"/>
        <w:jc w:val="both"/>
        <w:rPr>
          <w:rFonts w:ascii="Verdana" w:hAnsi="Verdana" w:cs="Arial"/>
          <w:sz w:val="20"/>
          <w:szCs w:val="20"/>
        </w:rPr>
      </w:pPr>
      <w:r w:rsidRPr="000C3249">
        <w:rPr>
          <w:rFonts w:ascii="Verdana" w:hAnsi="Verdana" w:cs="Arial"/>
          <w:sz w:val="20"/>
          <w:szCs w:val="20"/>
          <w:lang w:val="es-ES_tradnl"/>
        </w:rPr>
        <w:t>“</w:t>
      </w:r>
      <w:r w:rsidRPr="000C3249">
        <w:rPr>
          <w:rFonts w:ascii="Verdana" w:hAnsi="Verdana" w:cs="Arial"/>
          <w:sz w:val="20"/>
          <w:szCs w:val="20"/>
        </w:rPr>
        <w:t xml:space="preserve">en virtud del artículo 43 de la Ley 1450 de 2011, que modificó el artículo 2 de la Ley 590 de 2000, […] puede decirse que solo podrán ser </w:t>
      </w:r>
      <w:proofErr w:type="spellStart"/>
      <w:r w:rsidRPr="000C3249">
        <w:rPr>
          <w:rFonts w:ascii="Verdana" w:hAnsi="Verdana" w:cs="Arial"/>
          <w:sz w:val="20"/>
          <w:szCs w:val="20"/>
        </w:rPr>
        <w:t>Mipymes</w:t>
      </w:r>
      <w:proofErr w:type="spellEnd"/>
      <w:r w:rsidRPr="000C3249">
        <w:rPr>
          <w:rFonts w:ascii="Verdana" w:hAnsi="Verdana" w:cs="Arial"/>
          <w:sz w:val="20"/>
          <w:szCs w:val="20"/>
        </w:rPr>
        <w:t xml:space="preserve"> las empresas, entendidas estas como las unidades de explotación económica que buscan el reparto de utilidades entre los miembros de la empresa. De esta forma, en razón a que las ESAL no persiguen el reparto de utilidades entre sus miembros, sino que su objeto está destinado a realizar una actividad de interés general sin esperar a cambio un reparto de ganancia en proporción a sus utilidades, lo cierto es que estas no podrán participar en los procesos de contratación limitado a </w:t>
      </w:r>
      <w:proofErr w:type="spellStart"/>
      <w:r w:rsidRPr="000C3249">
        <w:rPr>
          <w:rFonts w:ascii="Verdana" w:hAnsi="Verdana" w:cs="Arial"/>
          <w:sz w:val="20"/>
          <w:szCs w:val="20"/>
        </w:rPr>
        <w:t>mipymes</w:t>
      </w:r>
      <w:proofErr w:type="spellEnd"/>
      <w:r w:rsidRPr="000C3249">
        <w:rPr>
          <w:rFonts w:ascii="Verdana" w:hAnsi="Verdana" w:cs="Arial"/>
          <w:sz w:val="20"/>
          <w:szCs w:val="20"/>
        </w:rPr>
        <w:t xml:space="preserve">. Lo anterior teniendo en cuenta que </w:t>
      </w:r>
      <w:r w:rsidRPr="000C3249">
        <w:rPr>
          <w:rFonts w:ascii="Verdana" w:hAnsi="Verdana" w:cs="Arial"/>
          <w:i/>
          <w:iCs/>
          <w:sz w:val="20"/>
          <w:szCs w:val="20"/>
        </w:rPr>
        <w:t xml:space="preserve">no responden al concepto de empresa que involucra dicha categoría con ánimo de lucro, por lo que no resulta jurídicamente válido aplicar a las ESAL las normas dirigidas a las </w:t>
      </w:r>
      <w:proofErr w:type="spellStart"/>
      <w:r w:rsidRPr="000C3249">
        <w:rPr>
          <w:rFonts w:ascii="Verdana" w:hAnsi="Verdana" w:cs="Arial"/>
          <w:i/>
          <w:iCs/>
          <w:sz w:val="20"/>
          <w:szCs w:val="20"/>
        </w:rPr>
        <w:t>Mipymes</w:t>
      </w:r>
      <w:proofErr w:type="spellEnd"/>
      <w:r w:rsidRPr="000C3249">
        <w:rPr>
          <w:rFonts w:ascii="Verdana" w:hAnsi="Verdana" w:cs="Arial"/>
          <w:sz w:val="20"/>
          <w:szCs w:val="20"/>
        </w:rPr>
        <w:t>”</w:t>
      </w:r>
      <w:r w:rsidRPr="000C3249">
        <w:rPr>
          <w:rFonts w:ascii="Verdana" w:hAnsi="Verdana" w:cs="Arial"/>
          <w:sz w:val="20"/>
          <w:szCs w:val="20"/>
          <w:vertAlign w:val="superscript"/>
        </w:rPr>
        <w:footnoteReference w:id="6"/>
      </w:r>
      <w:r w:rsidRPr="000C3249">
        <w:rPr>
          <w:rFonts w:ascii="Verdana" w:hAnsi="Verdana" w:cs="Arial"/>
          <w:sz w:val="20"/>
          <w:szCs w:val="20"/>
        </w:rPr>
        <w:t xml:space="preserve">. </w:t>
      </w:r>
    </w:p>
    <w:p w14:paraId="453B2B82" w14:textId="77777777" w:rsidR="00867B6A" w:rsidRPr="00357F20" w:rsidRDefault="00867B6A" w:rsidP="00867B6A">
      <w:pPr>
        <w:spacing w:after="0" w:line="276" w:lineRule="auto"/>
        <w:ind w:left="709" w:right="709"/>
        <w:jc w:val="both"/>
        <w:rPr>
          <w:rFonts w:ascii="Verdana" w:hAnsi="Verdana" w:cs="Arial"/>
        </w:rPr>
      </w:pPr>
    </w:p>
    <w:p w14:paraId="0A00FDF6" w14:textId="77777777" w:rsidR="00867B6A" w:rsidRDefault="00867B6A" w:rsidP="00867B6A">
      <w:pPr>
        <w:spacing w:after="120" w:line="276" w:lineRule="auto"/>
        <w:ind w:firstLine="709"/>
        <w:jc w:val="both"/>
        <w:rPr>
          <w:rFonts w:ascii="Verdana" w:hAnsi="Verdana" w:cs="Arial"/>
          <w:lang w:val="es-ES"/>
        </w:rPr>
      </w:pPr>
      <w:r>
        <w:rPr>
          <w:rFonts w:ascii="Verdana" w:hAnsi="Verdana" w:cs="Arial"/>
          <w:lang w:val="es-ES"/>
        </w:rPr>
        <w:t>Según esta</w:t>
      </w:r>
      <w:r w:rsidRPr="00362CA6">
        <w:rPr>
          <w:rFonts w:ascii="Verdana" w:hAnsi="Verdana" w:cs="Arial"/>
          <w:lang w:val="es-ES"/>
        </w:rPr>
        <w:t xml:space="preserve"> postura,</w:t>
      </w:r>
      <w:r>
        <w:rPr>
          <w:rFonts w:ascii="Verdana" w:hAnsi="Verdana" w:cs="Arial"/>
          <w:lang w:val="es-ES"/>
        </w:rPr>
        <w:t xml:space="preserve"> y</w:t>
      </w:r>
      <w:r w:rsidRPr="00362CA6">
        <w:rPr>
          <w:rFonts w:ascii="Verdana" w:hAnsi="Verdana" w:cs="Arial"/>
          <w:lang w:val="es-ES"/>
        </w:rPr>
        <w:t xml:space="preserve"> en virtud de</w:t>
      </w:r>
      <w:r>
        <w:rPr>
          <w:rFonts w:ascii="Verdana" w:hAnsi="Verdana" w:cs="Arial"/>
          <w:lang w:val="es-ES"/>
        </w:rPr>
        <w:t xml:space="preserve"> lo señalado en el</w:t>
      </w:r>
      <w:r w:rsidRPr="00362CA6">
        <w:rPr>
          <w:rFonts w:ascii="Verdana" w:hAnsi="Verdana" w:cs="Arial"/>
          <w:lang w:val="es-ES"/>
        </w:rPr>
        <w:t xml:space="preserve"> artículo 43 de la Ley 1450 de 2011, que modificó el artículo 2 de la Ley 590 de 2000, solo podrán ser </w:t>
      </w:r>
      <w:r>
        <w:rPr>
          <w:rFonts w:ascii="Verdana" w:hAnsi="Verdana" w:cs="Arial"/>
          <w:lang w:val="es-ES"/>
        </w:rPr>
        <w:t xml:space="preserve">consideradas </w:t>
      </w:r>
      <w:proofErr w:type="spellStart"/>
      <w:r w:rsidRPr="00362CA6">
        <w:rPr>
          <w:rFonts w:ascii="Verdana" w:hAnsi="Verdana" w:cs="Arial"/>
          <w:lang w:val="es-ES"/>
        </w:rPr>
        <w:t>Mipymes</w:t>
      </w:r>
      <w:proofErr w:type="spellEnd"/>
      <w:r w:rsidRPr="00362CA6">
        <w:rPr>
          <w:rFonts w:ascii="Verdana" w:hAnsi="Verdana" w:cs="Arial"/>
          <w:lang w:val="es-ES"/>
        </w:rPr>
        <w:t xml:space="preserve"> las empresas, </w:t>
      </w:r>
      <w:r>
        <w:rPr>
          <w:rFonts w:ascii="Verdana" w:hAnsi="Verdana" w:cs="Arial"/>
          <w:lang w:val="es-ES"/>
        </w:rPr>
        <w:t xml:space="preserve">pues son </w:t>
      </w:r>
      <w:r w:rsidRPr="00362CA6">
        <w:rPr>
          <w:rFonts w:ascii="Verdana" w:hAnsi="Verdana" w:cs="Arial"/>
          <w:lang w:val="es-ES"/>
        </w:rPr>
        <w:t xml:space="preserve">unidades de explotación económica que buscan el reparto de utilidades entre los miembros de la empresa, sin perjuicio de las precisiones que se realizarán más adelante en relación con el artículo 23 de la Ley 2069 de 2020. </w:t>
      </w:r>
    </w:p>
    <w:p w14:paraId="631B70C6" w14:textId="3E14407C" w:rsidR="00867B6A" w:rsidRPr="00362CA6" w:rsidRDefault="00867B6A" w:rsidP="00867B6A">
      <w:pPr>
        <w:spacing w:after="120" w:line="276" w:lineRule="auto"/>
        <w:ind w:firstLine="709"/>
        <w:jc w:val="both"/>
        <w:rPr>
          <w:rFonts w:ascii="Verdana" w:hAnsi="Verdana" w:cs="Arial"/>
          <w:lang w:val="es-ES"/>
        </w:rPr>
      </w:pPr>
      <w:r>
        <w:rPr>
          <w:rFonts w:ascii="Verdana" w:hAnsi="Verdana" w:cs="Arial"/>
          <w:lang w:val="es-ES"/>
        </w:rPr>
        <w:t xml:space="preserve">De esta forma, </w:t>
      </w:r>
      <w:r w:rsidRPr="0040650F">
        <w:rPr>
          <w:rFonts w:ascii="Verdana" w:hAnsi="Verdana" w:cs="Arial"/>
          <w:lang w:val="es-ES"/>
        </w:rPr>
        <w:t>es claro que solo pueden ser consideradas MiPymes las empresas, entendidas estas como las unidades de explotación económica</w:t>
      </w:r>
      <w:r>
        <w:rPr>
          <w:rFonts w:ascii="Verdana" w:hAnsi="Verdana" w:cs="Arial"/>
          <w:lang w:val="es-ES"/>
        </w:rPr>
        <w:t>,</w:t>
      </w:r>
      <w:r w:rsidRPr="0040650F">
        <w:rPr>
          <w:rFonts w:ascii="Verdana" w:hAnsi="Verdana" w:cs="Arial"/>
          <w:lang w:val="es-ES"/>
        </w:rPr>
        <w:t xml:space="preserve"> que buscan el reparto de utilidades entre los miembros de la empresa. </w:t>
      </w:r>
      <w:r>
        <w:rPr>
          <w:rFonts w:ascii="Verdana" w:hAnsi="Verdana" w:cs="Arial"/>
          <w:lang w:val="es-ES"/>
        </w:rPr>
        <w:t>E</w:t>
      </w:r>
      <w:r w:rsidRPr="0040650F">
        <w:rPr>
          <w:rFonts w:ascii="Verdana" w:hAnsi="Verdana" w:cs="Arial"/>
          <w:lang w:val="es-ES"/>
        </w:rPr>
        <w:t xml:space="preserve">n razón a que las ESAL no persiguen el reparto de utilidades entre sus miembros, en el entendido en que no tienen ánimo de lucro, y que su objeto está destinado a realizar actividades de interés general sin esperar a cambio un reparto de </w:t>
      </w:r>
      <w:r w:rsidRPr="0040650F">
        <w:rPr>
          <w:rFonts w:ascii="Verdana" w:hAnsi="Verdana" w:cs="Arial"/>
          <w:lang w:val="es-ES"/>
        </w:rPr>
        <w:lastRenderedPageBreak/>
        <w:t xml:space="preserve">ganancia en proporción a sus utilidades, lo cierto es que no pueden acceder a los incentivos </w:t>
      </w:r>
      <w:r w:rsidRPr="00967EED">
        <w:rPr>
          <w:rFonts w:ascii="Verdana" w:hAnsi="Verdana" w:cs="Arial"/>
        </w:rPr>
        <w:t>n</w:t>
      </w:r>
      <w:r>
        <w:rPr>
          <w:rFonts w:ascii="Verdana" w:hAnsi="Verdana" w:cs="Arial"/>
        </w:rPr>
        <w:t>i</w:t>
      </w:r>
      <w:r w:rsidRPr="00967EED">
        <w:rPr>
          <w:rFonts w:ascii="Verdana" w:hAnsi="Verdana" w:cs="Arial"/>
        </w:rPr>
        <w:t xml:space="preserve"> participar en los procesos de contratación limitado</w:t>
      </w:r>
      <w:r>
        <w:rPr>
          <w:rFonts w:ascii="Verdana" w:hAnsi="Verdana" w:cs="Arial"/>
        </w:rPr>
        <w:t>s</w:t>
      </w:r>
      <w:r w:rsidRPr="00967EED">
        <w:rPr>
          <w:rFonts w:ascii="Verdana" w:hAnsi="Verdana" w:cs="Arial"/>
        </w:rPr>
        <w:t xml:space="preserve"> a </w:t>
      </w:r>
      <w:r>
        <w:rPr>
          <w:rFonts w:ascii="Verdana" w:hAnsi="Verdana" w:cs="Arial"/>
        </w:rPr>
        <w:t>M</w:t>
      </w:r>
      <w:r w:rsidRPr="00967EED">
        <w:rPr>
          <w:rFonts w:ascii="Verdana" w:hAnsi="Verdana" w:cs="Arial"/>
        </w:rPr>
        <w:t>iPymes</w:t>
      </w:r>
      <w:r>
        <w:rPr>
          <w:rFonts w:ascii="Verdana" w:hAnsi="Verdana" w:cs="Arial"/>
          <w:lang w:val="es-ES"/>
        </w:rPr>
        <w:t>.</w:t>
      </w:r>
      <w:r w:rsidRPr="0097051B">
        <w:rPr>
          <w:rFonts w:ascii="Verdana" w:hAnsi="Verdana" w:cs="Arial"/>
          <w:lang w:val="es-ES"/>
        </w:rPr>
        <w:t xml:space="preserve"> </w:t>
      </w:r>
      <w:r w:rsidRPr="0040650F">
        <w:rPr>
          <w:rFonts w:ascii="Verdana" w:hAnsi="Verdana" w:cs="Arial"/>
          <w:lang w:val="es-ES"/>
        </w:rPr>
        <w:t>Esto no significa que las ESAL no</w:t>
      </w:r>
      <w:r>
        <w:rPr>
          <w:rFonts w:ascii="Verdana" w:hAnsi="Verdana" w:cs="Arial"/>
          <w:lang w:val="es-ES"/>
        </w:rPr>
        <w:t xml:space="preserve"> sean personas jurídicas o no tengan capacidad de contratar con las entidades estatales. Por el contrario, </w:t>
      </w:r>
      <w:r w:rsidRPr="00362CA6">
        <w:rPr>
          <w:rFonts w:ascii="Verdana" w:hAnsi="Verdana" w:cs="Arial"/>
          <w:lang w:val="es-ES"/>
        </w:rPr>
        <w:t>el Decreto 092 de 2017 reguló su régimen especial de contratación</w:t>
      </w:r>
      <w:r>
        <w:rPr>
          <w:rFonts w:ascii="Verdana" w:hAnsi="Verdana" w:cs="Arial"/>
          <w:lang w:val="es-ES"/>
        </w:rPr>
        <w:t xml:space="preserve"> y nada impide que</w:t>
      </w:r>
      <w:r w:rsidRPr="0040650F">
        <w:rPr>
          <w:rFonts w:ascii="Verdana" w:hAnsi="Verdana" w:cs="Arial"/>
          <w:lang w:val="es-ES"/>
        </w:rPr>
        <w:t xml:space="preserve"> puedan participar en términos de igualdad con los demás oferentes, en los procesos contractuales </w:t>
      </w:r>
      <w:r>
        <w:rPr>
          <w:rFonts w:ascii="Verdana" w:hAnsi="Verdana" w:cs="Arial"/>
          <w:lang w:val="es-ES"/>
        </w:rPr>
        <w:t xml:space="preserve">del </w:t>
      </w:r>
      <w:r w:rsidRPr="0040650F">
        <w:rPr>
          <w:rFonts w:ascii="Verdana" w:hAnsi="Verdana" w:cs="Arial"/>
          <w:lang w:val="es-ES"/>
        </w:rPr>
        <w:t xml:space="preserve">Estatuto General de Contratación de la Administración Pública, salvo aquellos procesos contractuales limitados a </w:t>
      </w:r>
      <w:proofErr w:type="spellStart"/>
      <w:r w:rsidRPr="0040650F">
        <w:rPr>
          <w:rFonts w:ascii="Verdana" w:hAnsi="Verdana" w:cs="Arial"/>
          <w:lang w:val="es-ES"/>
        </w:rPr>
        <w:t>Mipymes</w:t>
      </w:r>
      <w:proofErr w:type="spellEnd"/>
      <w:r w:rsidRPr="0040650F">
        <w:rPr>
          <w:rFonts w:ascii="Verdana" w:hAnsi="Verdana" w:cs="Arial"/>
          <w:lang w:val="es-ES"/>
        </w:rPr>
        <w:t xml:space="preserve"> de conformidad con los artículos 2.2.1.2.4.2.2</w:t>
      </w:r>
      <w:r w:rsidR="00123A43">
        <w:rPr>
          <w:rStyle w:val="Refdenotaalpie"/>
          <w:rFonts w:ascii="Verdana" w:eastAsia="Calibri" w:hAnsi="Verdana" w:cs="Arial"/>
          <w:color w:val="000000" w:themeColor="text1"/>
          <w:lang w:val="es-ES"/>
        </w:rPr>
        <w:footnoteReference w:id="7"/>
      </w:r>
      <w:r w:rsidRPr="0040650F">
        <w:rPr>
          <w:rFonts w:ascii="Verdana" w:hAnsi="Verdana" w:cs="Arial"/>
          <w:lang w:val="es-ES"/>
        </w:rPr>
        <w:t xml:space="preserve"> y 2.2.1.2.4.2.3</w:t>
      </w:r>
      <w:r w:rsidR="00123A43">
        <w:rPr>
          <w:rStyle w:val="Refdenotaalpie"/>
          <w:rFonts w:ascii="Verdana" w:hAnsi="Verdana" w:cs="Arial"/>
          <w:lang w:val="es-ES"/>
        </w:rPr>
        <w:footnoteReference w:id="8"/>
      </w:r>
      <w:r w:rsidRPr="0040650F">
        <w:rPr>
          <w:rFonts w:ascii="Verdana" w:hAnsi="Verdana" w:cs="Arial"/>
          <w:lang w:val="es-ES"/>
        </w:rPr>
        <w:t xml:space="preserve"> del Decreto 1082 de 2015.</w:t>
      </w:r>
    </w:p>
    <w:p w14:paraId="2EC254CA" w14:textId="77777777" w:rsidR="00867B6A" w:rsidRDefault="00867B6A" w:rsidP="00867B6A">
      <w:pPr>
        <w:spacing w:after="120" w:line="276" w:lineRule="auto"/>
        <w:ind w:firstLine="708"/>
        <w:jc w:val="both"/>
        <w:rPr>
          <w:rFonts w:ascii="Verdana" w:eastAsia="Calibri" w:hAnsi="Verdana" w:cs="Arial"/>
          <w:color w:val="000000" w:themeColor="text1"/>
          <w:lang w:val="es-ES"/>
        </w:rPr>
      </w:pPr>
      <w:r>
        <w:rPr>
          <w:rFonts w:ascii="Verdana" w:hAnsi="Verdana" w:cs="Arial"/>
          <w:lang w:val="es-ES"/>
        </w:rPr>
        <w:t xml:space="preserve">Aunque no es posible que las ESAL sean equiparadas a las MiPymes en la normativa del sistema de compras públicas, es necesario aclarar que la Ley determinó un matiz para esta regla. </w:t>
      </w:r>
      <w:r>
        <w:rPr>
          <w:rFonts w:ascii="Verdana" w:eastAsia="Calibri" w:hAnsi="Verdana" w:cs="Arial"/>
          <w:color w:val="000000" w:themeColor="text1"/>
          <w:lang w:val="es-ES"/>
        </w:rPr>
        <w:t>E</w:t>
      </w:r>
      <w:r w:rsidRPr="00362CA6">
        <w:rPr>
          <w:rFonts w:ascii="Verdana" w:eastAsia="Calibri" w:hAnsi="Verdana" w:cs="Arial"/>
          <w:color w:val="000000" w:themeColor="text1"/>
          <w:lang w:val="es-ES"/>
        </w:rPr>
        <w:t>l artículo 23 de la Ley 2069 de 2020</w:t>
      </w:r>
      <w:r>
        <w:rPr>
          <w:rFonts w:ascii="Verdana" w:eastAsia="Calibri" w:hAnsi="Verdana" w:cs="Arial"/>
          <w:color w:val="000000" w:themeColor="text1"/>
          <w:lang w:val="es-ES"/>
        </w:rPr>
        <w:t xml:space="preserve"> </w:t>
      </w:r>
      <w:r w:rsidRPr="00362CA6">
        <w:rPr>
          <w:rFonts w:ascii="Verdana" w:eastAsia="Calibri" w:hAnsi="Verdana" w:cs="Arial"/>
          <w:color w:val="000000" w:themeColor="text1"/>
          <w:lang w:val="es-ES"/>
        </w:rPr>
        <w:t xml:space="preserve">asimila las cooperativas y las </w:t>
      </w:r>
      <w:r w:rsidRPr="00756D53">
        <w:rPr>
          <w:rFonts w:ascii="Verdana" w:eastAsia="Calibri" w:hAnsi="Verdana" w:cs="Arial"/>
          <w:color w:val="000000" w:themeColor="text1"/>
          <w:lang w:val="es-ES"/>
        </w:rPr>
        <w:t>demás entidades de economía solidaria -que incluy</w:t>
      </w:r>
      <w:r>
        <w:rPr>
          <w:rFonts w:ascii="Verdana" w:eastAsia="Calibri" w:hAnsi="Verdana" w:cs="Arial"/>
          <w:color w:val="000000" w:themeColor="text1"/>
          <w:lang w:val="es-ES"/>
        </w:rPr>
        <w:t>e</w:t>
      </w:r>
      <w:r w:rsidRPr="00756D53">
        <w:rPr>
          <w:rFonts w:ascii="Verdana" w:eastAsia="Calibri" w:hAnsi="Verdana" w:cs="Arial"/>
          <w:color w:val="000000" w:themeColor="text1"/>
          <w:lang w:val="es-ES"/>
        </w:rPr>
        <w:t xml:space="preserve"> a las asociaciones mutual</w:t>
      </w:r>
      <w:r>
        <w:rPr>
          <w:rFonts w:ascii="Verdana" w:eastAsia="Calibri" w:hAnsi="Verdana" w:cs="Arial"/>
          <w:color w:val="000000" w:themeColor="text1"/>
          <w:lang w:val="es-ES"/>
        </w:rPr>
        <w:t>istas</w:t>
      </w:r>
      <w:r>
        <w:rPr>
          <w:rFonts w:ascii="Verdana" w:eastAsia="Calibri" w:hAnsi="Verdana" w:cs="Arial"/>
          <w:i/>
          <w:iCs/>
          <w:color w:val="000000" w:themeColor="text1"/>
          <w:lang w:val="es-ES"/>
        </w:rPr>
        <w:t>-</w:t>
      </w:r>
      <w:r w:rsidRPr="00362CA6">
        <w:rPr>
          <w:rFonts w:ascii="Verdana" w:eastAsia="Calibri" w:hAnsi="Verdana" w:cs="Arial"/>
          <w:color w:val="000000" w:themeColor="text1"/>
          <w:lang w:val="es-ES"/>
        </w:rPr>
        <w:t xml:space="preserve"> a </w:t>
      </w:r>
      <w:r w:rsidRPr="00B21D8B">
        <w:rPr>
          <w:rFonts w:ascii="Verdana" w:eastAsia="Calibri" w:hAnsi="Verdana" w:cs="Arial"/>
          <w:i/>
          <w:iCs/>
          <w:color w:val="000000" w:themeColor="text1"/>
          <w:lang w:val="es-ES"/>
        </w:rPr>
        <w:t>empresas, específicamente a MiPymes</w:t>
      </w:r>
      <w:r w:rsidRPr="00362CA6">
        <w:rPr>
          <w:rFonts w:ascii="Verdana" w:eastAsia="Calibri" w:hAnsi="Verdana" w:cs="Arial"/>
          <w:color w:val="000000" w:themeColor="text1"/>
          <w:lang w:val="es-ES"/>
        </w:rPr>
        <w:t xml:space="preserve">, de conformidad con el artículo 2 de la Ley 590 de 2000 y el Decreto 957 de 2019, los cuales desarrollan las categorías </w:t>
      </w:r>
      <w:r>
        <w:rPr>
          <w:rFonts w:ascii="Verdana" w:eastAsia="Calibri" w:hAnsi="Verdana" w:cs="Arial"/>
          <w:color w:val="000000" w:themeColor="text1"/>
          <w:lang w:val="es-ES"/>
        </w:rPr>
        <w:t xml:space="preserve">de </w:t>
      </w:r>
      <w:r w:rsidRPr="00362CA6">
        <w:rPr>
          <w:rFonts w:ascii="Verdana" w:eastAsia="Calibri" w:hAnsi="Verdana" w:cs="Arial"/>
          <w:color w:val="000000" w:themeColor="text1"/>
          <w:lang w:val="es-ES"/>
        </w:rPr>
        <w:t>micro, pequeña y mediana en función del tamaño empresarial</w:t>
      </w:r>
      <w:r w:rsidRPr="00362CA6">
        <w:rPr>
          <w:rFonts w:ascii="Verdana" w:hAnsi="Verdana" w:cs="Arial"/>
          <w:color w:val="000000" w:themeColor="text1"/>
          <w:vertAlign w:val="superscript"/>
          <w:lang w:val="es-ES"/>
        </w:rPr>
        <w:footnoteReference w:id="9"/>
      </w:r>
      <w:r w:rsidRPr="00362CA6">
        <w:rPr>
          <w:rFonts w:ascii="Verdana" w:eastAsia="Calibri" w:hAnsi="Verdana" w:cs="Arial"/>
          <w:color w:val="000000" w:themeColor="text1"/>
          <w:lang w:val="es-ES"/>
        </w:rPr>
        <w:t>. El principal efecto de esta norma es que</w:t>
      </w:r>
      <w:r>
        <w:rPr>
          <w:rFonts w:ascii="Verdana" w:eastAsia="Calibri" w:hAnsi="Verdana" w:cs="Arial"/>
          <w:color w:val="000000" w:themeColor="text1"/>
          <w:lang w:val="es-ES"/>
        </w:rPr>
        <w:t xml:space="preserve"> las medidas contempladas en la Ley 2069 de 2020 para promover la participación de la </w:t>
      </w:r>
      <w:proofErr w:type="spellStart"/>
      <w:r>
        <w:rPr>
          <w:rFonts w:ascii="Verdana" w:eastAsia="Calibri" w:hAnsi="Verdana" w:cs="Arial"/>
          <w:color w:val="000000" w:themeColor="text1"/>
          <w:lang w:val="es-ES"/>
        </w:rPr>
        <w:lastRenderedPageBreak/>
        <w:t>Mipymes</w:t>
      </w:r>
      <w:proofErr w:type="spellEnd"/>
      <w:r>
        <w:rPr>
          <w:rFonts w:ascii="Verdana" w:eastAsia="Calibri" w:hAnsi="Verdana" w:cs="Arial"/>
          <w:color w:val="000000" w:themeColor="text1"/>
          <w:lang w:val="es-ES"/>
        </w:rPr>
        <w:t xml:space="preserve"> sean aplicables a </w:t>
      </w:r>
      <w:r w:rsidRPr="00362CA6">
        <w:rPr>
          <w:rFonts w:ascii="Verdana" w:eastAsia="Calibri" w:hAnsi="Verdana" w:cs="Arial"/>
          <w:color w:val="000000" w:themeColor="text1"/>
          <w:lang w:val="es-ES"/>
        </w:rPr>
        <w:t>las cooperativas, las asociaciones mutualistas y a las demás entidades de economía solidaria.</w:t>
      </w:r>
    </w:p>
    <w:p w14:paraId="703BA2B2" w14:textId="5C226A04" w:rsidR="00867B6A" w:rsidRDefault="00867B6A" w:rsidP="00867B6A">
      <w:pPr>
        <w:spacing w:after="120" w:line="276" w:lineRule="auto"/>
        <w:ind w:firstLine="708"/>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De manera concordante con lo anterior, el parágrafo del </w:t>
      </w:r>
      <w:r w:rsidRPr="00F554AA">
        <w:rPr>
          <w:rFonts w:ascii="Verdana" w:eastAsia="Calibri" w:hAnsi="Verdana" w:cs="Arial"/>
          <w:color w:val="000000" w:themeColor="text1"/>
          <w:lang w:val="es-ES"/>
        </w:rPr>
        <w:t>Artículo 2.2.1.2.4.2.2</w:t>
      </w:r>
      <w:r>
        <w:rPr>
          <w:rFonts w:ascii="Verdana" w:eastAsia="Calibri" w:hAnsi="Verdana" w:cs="Arial"/>
          <w:color w:val="000000" w:themeColor="text1"/>
          <w:lang w:val="es-ES"/>
        </w:rPr>
        <w:t xml:space="preserve">, modificado por el artículo 5º del Decreto 1860 de 2021, se refirió a dicha asimilación en el caso específico de la limitación de convocatorias a </w:t>
      </w:r>
      <w:proofErr w:type="spellStart"/>
      <w:r>
        <w:rPr>
          <w:rFonts w:ascii="Verdana" w:eastAsia="Calibri" w:hAnsi="Verdana" w:cs="Arial"/>
          <w:color w:val="000000" w:themeColor="text1"/>
          <w:lang w:val="es-ES"/>
        </w:rPr>
        <w:t>Mipymes</w:t>
      </w:r>
      <w:proofErr w:type="spellEnd"/>
      <w:r>
        <w:rPr>
          <w:rFonts w:ascii="Verdana" w:eastAsia="Calibri" w:hAnsi="Verdana" w:cs="Arial"/>
          <w:color w:val="000000" w:themeColor="text1"/>
          <w:lang w:val="es-ES"/>
        </w:rPr>
        <w:t>. Esta norma determina que “</w:t>
      </w:r>
      <w:r w:rsidRPr="00EC0AE8">
        <w:rPr>
          <w:rFonts w:ascii="Verdana" w:eastAsia="Calibri" w:hAnsi="Verdana" w:cs="Arial"/>
          <w:color w:val="000000" w:themeColor="text1"/>
        </w:rPr>
        <w:t xml:space="preserve">Las cooperativas y demás entidades de economía solidaria, siempre que tengan la calidad de </w:t>
      </w:r>
      <w:proofErr w:type="spellStart"/>
      <w:r w:rsidRPr="00EC0AE8">
        <w:rPr>
          <w:rFonts w:ascii="Verdana" w:eastAsia="Calibri" w:hAnsi="Verdana" w:cs="Arial"/>
          <w:color w:val="000000" w:themeColor="text1"/>
        </w:rPr>
        <w:t>Mipyme</w:t>
      </w:r>
      <w:proofErr w:type="spellEnd"/>
      <w:r w:rsidRPr="00EC0AE8">
        <w:rPr>
          <w:rFonts w:ascii="Verdana" w:eastAsia="Calibri" w:hAnsi="Verdana" w:cs="Arial"/>
          <w:color w:val="000000" w:themeColor="text1"/>
        </w:rPr>
        <w:t>, podrán solicitar y participar en las convocatorias limitadas en las mismas condiciones dispuestas en el presente artículo”</w:t>
      </w:r>
      <w:r>
        <w:rPr>
          <w:rFonts w:ascii="Verdana" w:eastAsia="Calibri" w:hAnsi="Verdana" w:cs="Arial"/>
          <w:color w:val="000000" w:themeColor="text1"/>
        </w:rPr>
        <w:t xml:space="preserve">. En virtud de lo anterior, las cooperativas y demás entidades de la economía solidaria se encuentran facultadas para presentar solicitudes para la limitación de los procesos, siempre que cumplan con las condiciones de tamaño empresarial dispuestas para la categorización de las </w:t>
      </w:r>
      <w:proofErr w:type="spellStart"/>
      <w:r>
        <w:rPr>
          <w:rFonts w:ascii="Verdana" w:eastAsia="Calibri" w:hAnsi="Verdana" w:cs="Arial"/>
          <w:color w:val="000000" w:themeColor="text1"/>
        </w:rPr>
        <w:t>Mipyme</w:t>
      </w:r>
      <w:proofErr w:type="spellEnd"/>
      <w:r>
        <w:rPr>
          <w:rFonts w:ascii="Verdana" w:eastAsia="Calibri" w:hAnsi="Verdana" w:cs="Arial"/>
          <w:color w:val="000000" w:themeColor="text1"/>
        </w:rPr>
        <w:t>.</w:t>
      </w:r>
    </w:p>
    <w:p w14:paraId="3ADD7449" w14:textId="77777777" w:rsidR="00867B6A" w:rsidRPr="00362CA6" w:rsidRDefault="00867B6A" w:rsidP="00867B6A">
      <w:pPr>
        <w:spacing w:after="120" w:line="276" w:lineRule="auto"/>
        <w:ind w:firstLine="708"/>
        <w:jc w:val="both"/>
        <w:rPr>
          <w:rFonts w:ascii="Verdana" w:eastAsia="Calibri" w:hAnsi="Verdana" w:cs="Arial"/>
          <w:color w:val="000000" w:themeColor="text1"/>
          <w:lang w:val="es-ES"/>
        </w:rPr>
      </w:pPr>
      <w:r w:rsidRPr="00362CA6">
        <w:rPr>
          <w:rFonts w:ascii="Verdana" w:eastAsia="Calibri" w:hAnsi="Verdana" w:cs="Arial"/>
          <w:color w:val="000000" w:themeColor="text1"/>
          <w:lang w:val="es-ES"/>
        </w:rPr>
        <w:t xml:space="preserve">Es necesario mencionar que la asimilación dispuesta por el artículo </w:t>
      </w:r>
      <w:r w:rsidRPr="00EC0AE8">
        <w:rPr>
          <w:rFonts w:ascii="Verdana" w:eastAsia="Calibri" w:hAnsi="Verdana" w:cs="Arial"/>
          <w:color w:val="000000" w:themeColor="text1"/>
          <w:lang w:val="es-ES"/>
        </w:rPr>
        <w:t>23 de la Ley 2069 de 2020 y el artículo 2.2.1.2.4.2.</w:t>
      </w:r>
      <w:r w:rsidRPr="00F554AA">
        <w:rPr>
          <w:rFonts w:ascii="Verdana" w:eastAsia="Calibri" w:hAnsi="Verdana" w:cs="Arial"/>
          <w:color w:val="000000" w:themeColor="text1"/>
          <w:lang w:val="es-ES"/>
        </w:rPr>
        <w:t>2</w:t>
      </w:r>
      <w:r>
        <w:rPr>
          <w:rFonts w:ascii="Verdana" w:eastAsia="Calibri" w:hAnsi="Verdana" w:cs="Arial"/>
          <w:color w:val="000000" w:themeColor="text1"/>
          <w:lang w:val="es-ES"/>
        </w:rPr>
        <w:t xml:space="preserve"> del Decreto 1082 de 2015, </w:t>
      </w:r>
      <w:r w:rsidRPr="00362CA6">
        <w:rPr>
          <w:rFonts w:ascii="Verdana" w:eastAsia="Calibri" w:hAnsi="Verdana" w:cs="Arial"/>
          <w:color w:val="000000" w:themeColor="text1"/>
          <w:lang w:val="es-ES"/>
        </w:rPr>
        <w:t xml:space="preserve">no implica una alteración sustantiva de la naturaleza jurídica de las cooperativas y las empresas de economía solidaria, concebidas por la ley como entidades sin ánimo de lucro, </w:t>
      </w:r>
      <w:r>
        <w:rPr>
          <w:rFonts w:ascii="Verdana" w:eastAsia="Calibri" w:hAnsi="Verdana" w:cs="Arial"/>
          <w:color w:val="000000" w:themeColor="text1"/>
          <w:lang w:val="es-ES"/>
        </w:rPr>
        <w:t xml:space="preserve">pues su equiparación con las MiPymes se limita </w:t>
      </w:r>
      <w:r w:rsidRPr="00362CA6">
        <w:rPr>
          <w:rFonts w:ascii="Verdana" w:eastAsia="Calibri" w:hAnsi="Verdana" w:cs="Arial"/>
          <w:color w:val="000000" w:themeColor="text1"/>
          <w:lang w:val="es-ES"/>
        </w:rPr>
        <w:t>a la aplicación de las materias reguladas por la Ley 2069 de 2020</w:t>
      </w:r>
      <w:r>
        <w:rPr>
          <w:rFonts w:ascii="Verdana" w:eastAsia="Calibri" w:hAnsi="Verdana" w:cs="Arial"/>
          <w:color w:val="000000" w:themeColor="text1"/>
          <w:lang w:val="es-ES"/>
        </w:rPr>
        <w:t xml:space="preserve"> y no se extiende a otros supuestos</w:t>
      </w:r>
      <w:r w:rsidRPr="00362CA6">
        <w:rPr>
          <w:rFonts w:ascii="Verdana" w:eastAsia="Calibri" w:hAnsi="Verdana" w:cs="Arial"/>
          <w:color w:val="000000" w:themeColor="text1"/>
          <w:lang w:val="es-ES"/>
        </w:rPr>
        <w:t xml:space="preserve">. En ese sentido, el mandato de considerar este tipo de entidades como empresas y clasificarlas como MiPymes es una acción </w:t>
      </w:r>
      <w:r>
        <w:rPr>
          <w:rFonts w:ascii="Verdana" w:eastAsia="Calibri" w:hAnsi="Verdana" w:cs="Arial"/>
          <w:color w:val="000000" w:themeColor="text1"/>
          <w:lang w:val="es-ES"/>
        </w:rPr>
        <w:t xml:space="preserve">que busca </w:t>
      </w:r>
      <w:r w:rsidRPr="00362CA6">
        <w:rPr>
          <w:rFonts w:ascii="Verdana" w:eastAsia="Calibri" w:hAnsi="Verdana" w:cs="Arial"/>
          <w:color w:val="000000" w:themeColor="text1"/>
          <w:lang w:val="es-ES"/>
        </w:rPr>
        <w:t xml:space="preserve">vincularlas como proveedoras del mercado de compra pública dentro del ámbito de explotación económica que la ley ha concedido a estas entidades del sector solidario. </w:t>
      </w:r>
    </w:p>
    <w:p w14:paraId="5CC2E477" w14:textId="77777777" w:rsidR="00867B6A" w:rsidRPr="00362CA6" w:rsidRDefault="00867B6A" w:rsidP="00867B6A">
      <w:pPr>
        <w:spacing w:after="120" w:line="276" w:lineRule="auto"/>
        <w:jc w:val="both"/>
        <w:rPr>
          <w:rFonts w:ascii="Verdana" w:hAnsi="Verdana" w:cs="Arial"/>
          <w:color w:val="000000" w:themeColor="text1"/>
          <w:lang w:val="es-ES"/>
        </w:rPr>
      </w:pPr>
      <w:r w:rsidRPr="00362CA6">
        <w:rPr>
          <w:rFonts w:ascii="Verdana" w:eastAsia="Calibri" w:hAnsi="Verdana" w:cs="Arial"/>
          <w:color w:val="000000" w:themeColor="text1"/>
          <w:lang w:val="es-ES_tradnl"/>
        </w:rPr>
        <w:tab/>
      </w:r>
      <w:r w:rsidRPr="00362CA6">
        <w:rPr>
          <w:rFonts w:ascii="Verdana" w:eastAsia="Calibri" w:hAnsi="Verdana" w:cs="Arial"/>
          <w:color w:val="000000" w:themeColor="text1"/>
          <w:lang w:val="es-ES"/>
        </w:rPr>
        <w:t>A pesar de que las cooperativas, las asociaciones mutuales y, en general, las empresas de economía solidaria tienen, por disposición de la ley, la naturaleza de ESAL, se distinguen de la generalidad de las entidades sin ánimo de lucro</w:t>
      </w:r>
      <w:r w:rsidRPr="00362CA6">
        <w:rPr>
          <w:rFonts w:ascii="Verdana" w:hAnsi="Verdana" w:cs="Arial"/>
          <w:color w:val="000000" w:themeColor="text1"/>
          <w:lang w:val="es-ES"/>
        </w:rPr>
        <w:t xml:space="preserve">. Esto en la medida en que, al estar enmarcadas dentro de la economía solidaria, el ordenamiento jurídico les permite cierto margen de explotación económica concebido para la satisfacción de necesidades de sus asociados y el desarrollo de obras de servicio comunitario. </w:t>
      </w:r>
    </w:p>
    <w:p w14:paraId="3BC3A22A" w14:textId="77777777" w:rsidR="00867B6A" w:rsidRDefault="00867B6A" w:rsidP="00867B6A">
      <w:pPr>
        <w:spacing w:after="120" w:line="276" w:lineRule="auto"/>
        <w:ind w:firstLine="708"/>
        <w:jc w:val="both"/>
        <w:rPr>
          <w:rFonts w:ascii="Verdana" w:hAnsi="Verdana" w:cs="Arial"/>
          <w:color w:val="000000" w:themeColor="text1"/>
          <w:lang w:val="es-ES"/>
        </w:rPr>
      </w:pPr>
      <w:r w:rsidRPr="00362CA6">
        <w:rPr>
          <w:rFonts w:ascii="Verdana" w:hAnsi="Verdana" w:cs="Arial"/>
          <w:color w:val="000000" w:themeColor="text1"/>
          <w:lang w:val="es-ES"/>
        </w:rPr>
        <w:t xml:space="preserve">En ese sentido, tal como se deprende del inciso primero y del numeral 1 del artículo 6 de la Ley 454 de 1998, las entidades de economía solidaria se caracterizan porque sus trabajadores y/o usuarios son simultáneamente sus aportantes y gestores, siendo además creadas con el </w:t>
      </w:r>
      <w:r w:rsidRPr="008208AD">
        <w:rPr>
          <w:rFonts w:ascii="Verdana" w:hAnsi="Verdana" w:cs="Arial"/>
          <w:i/>
          <w:iCs/>
          <w:color w:val="000000" w:themeColor="text1"/>
          <w:lang w:val="es-ES"/>
        </w:rPr>
        <w:t>objeto de producir, distribuir y consumir conjuntamente bienes y servicios para satisfacer las necesidades de sus miembros</w:t>
      </w:r>
      <w:r w:rsidRPr="00362CA6">
        <w:rPr>
          <w:rFonts w:ascii="Verdana" w:hAnsi="Verdana" w:cs="Arial"/>
          <w:color w:val="000000" w:themeColor="text1"/>
          <w:lang w:val="es-ES"/>
        </w:rPr>
        <w:t xml:space="preserve"> y desarrollar obras de servicio a la comunidad en </w:t>
      </w:r>
      <w:r w:rsidRPr="00362CA6">
        <w:rPr>
          <w:rFonts w:ascii="Verdana" w:hAnsi="Verdana" w:cs="Arial"/>
          <w:color w:val="000000" w:themeColor="text1"/>
          <w:lang w:val="es-ES"/>
        </w:rPr>
        <w:lastRenderedPageBreak/>
        <w:t xml:space="preserve">general, para lo cual deben estar constituidas como </w:t>
      </w:r>
      <w:r w:rsidRPr="008208AD">
        <w:rPr>
          <w:rFonts w:ascii="Verdana" w:hAnsi="Verdana" w:cs="Arial"/>
          <w:i/>
          <w:iCs/>
          <w:color w:val="000000" w:themeColor="text1"/>
          <w:lang w:val="es-ES"/>
        </w:rPr>
        <w:t>empresas</w:t>
      </w:r>
      <w:r w:rsidRPr="00362CA6">
        <w:rPr>
          <w:rFonts w:ascii="Verdana" w:hAnsi="Verdana" w:cs="Arial"/>
          <w:color w:val="000000" w:themeColor="text1"/>
          <w:lang w:val="es-ES"/>
        </w:rPr>
        <w:t xml:space="preserve">. En el marco de las actividades económicas tendientes a la producción y distribución de bienes o prestación de servicios por parte de entidades de economía solidaria, la ley admite que estas provean esos bienes o presten tales servicios a Entidades Estatales. </w:t>
      </w:r>
    </w:p>
    <w:p w14:paraId="02AE68A3" w14:textId="073414CC" w:rsidR="00867B6A" w:rsidRPr="00C552A6" w:rsidRDefault="00867B6A" w:rsidP="00C552A6">
      <w:pPr>
        <w:spacing w:after="120" w:line="276" w:lineRule="auto"/>
        <w:ind w:firstLine="708"/>
        <w:jc w:val="both"/>
        <w:rPr>
          <w:rFonts w:ascii="Verdana" w:hAnsi="Verdana" w:cs="Arial"/>
          <w:color w:val="000000" w:themeColor="text1"/>
          <w:lang w:val="es-ES"/>
        </w:rPr>
      </w:pPr>
      <w:r>
        <w:rPr>
          <w:rFonts w:ascii="Verdana" w:hAnsi="Verdana" w:cs="Arial"/>
          <w:color w:val="000000" w:themeColor="text1"/>
          <w:lang w:val="es-ES"/>
        </w:rPr>
        <w:t xml:space="preserve">De esta manera, los incentivos referidos en la Ley 2069 de 2020 y la posibilidad de solicitar la limitación de las convocatorias a MiPymes no son extensibles a todas las ESAL, sino únicamente a aquellas que corresponden al concepto de </w:t>
      </w:r>
      <w:r w:rsidRPr="00362CA6">
        <w:rPr>
          <w:rFonts w:ascii="Verdana" w:eastAsia="Calibri" w:hAnsi="Verdana" w:cs="Arial"/>
          <w:color w:val="000000" w:themeColor="text1"/>
          <w:lang w:val="es-ES"/>
        </w:rPr>
        <w:t>cooperativas y</w:t>
      </w:r>
      <w:r>
        <w:rPr>
          <w:rFonts w:ascii="Verdana" w:eastAsia="Calibri" w:hAnsi="Verdana" w:cs="Arial"/>
          <w:color w:val="000000" w:themeColor="text1"/>
          <w:lang w:val="es-ES"/>
        </w:rPr>
        <w:t xml:space="preserve"> demás entes considerados de </w:t>
      </w:r>
      <w:r w:rsidRPr="00362CA6">
        <w:rPr>
          <w:rFonts w:ascii="Verdana" w:eastAsia="Calibri" w:hAnsi="Verdana" w:cs="Arial"/>
          <w:color w:val="000000" w:themeColor="text1"/>
          <w:lang w:val="es-ES"/>
        </w:rPr>
        <w:t>economía solidaria</w:t>
      </w:r>
      <w:r>
        <w:rPr>
          <w:rFonts w:ascii="Verdana" w:eastAsia="Calibri" w:hAnsi="Verdana" w:cs="Arial"/>
          <w:color w:val="000000" w:themeColor="text1"/>
          <w:lang w:val="es-ES"/>
        </w:rPr>
        <w:t xml:space="preserve">, </w:t>
      </w:r>
      <w:r>
        <w:rPr>
          <w:rFonts w:ascii="Verdana" w:eastAsia="Geomanist Light" w:hAnsi="Verdana" w:cs="Arial"/>
          <w:lang w:val="es-ES"/>
        </w:rPr>
        <w:t>en los términos del artículo 6 de la Ley 454 de 1998 –norma a la que remite el artículo 23 de la Ley de Emprendimiento–.</w:t>
      </w:r>
      <w:r w:rsidRPr="00D32D23">
        <w:rPr>
          <w:rFonts w:ascii="Verdana" w:eastAsia="Calibri" w:hAnsi="Verdana" w:cs="Arial"/>
          <w:color w:val="000000" w:themeColor="text1"/>
          <w:lang w:val="es-ES"/>
        </w:rPr>
        <w:t xml:space="preserve"> </w:t>
      </w:r>
      <w:r>
        <w:rPr>
          <w:rFonts w:ascii="Verdana" w:eastAsia="Geomanist Light" w:hAnsi="Verdana" w:cs="Arial"/>
          <w:lang w:val="es-ES"/>
        </w:rPr>
        <w:t xml:space="preserve">En tal sentido, debe analizarse si la ESAL cumple con las características establecidas en dicho artículo, para considerarla una organización de economía solidaria. </w:t>
      </w:r>
      <w:r>
        <w:rPr>
          <w:rFonts w:ascii="Verdana" w:eastAsia="Calibri" w:hAnsi="Verdana" w:cs="Arial"/>
          <w:color w:val="000000" w:themeColor="text1"/>
          <w:lang w:val="es-ES"/>
        </w:rPr>
        <w:t xml:space="preserve">Solo las que cumplan estos requisitos podrán ser asimiladas a las MiPymes y acceder a los requisitos diferenciales de la Ley 2069 de 2020, así como </w:t>
      </w:r>
      <w:r w:rsidRPr="00D32D23">
        <w:rPr>
          <w:rFonts w:ascii="Verdana" w:eastAsia="Calibri" w:hAnsi="Verdana" w:cs="Arial"/>
          <w:color w:val="000000" w:themeColor="text1"/>
          <w:lang w:val="es-ES"/>
        </w:rPr>
        <w:t>participar en las convocatorias limitadas a estas, pudiendo incluso manifestar su interés de participar en el proceso de selección de manera previa a la expedición de la resolución de apertura</w:t>
      </w:r>
      <w:r>
        <w:rPr>
          <w:rFonts w:ascii="Verdana" w:eastAsia="Calibri" w:hAnsi="Verdana" w:cs="Arial"/>
          <w:color w:val="000000" w:themeColor="text1"/>
          <w:lang w:val="es-ES"/>
        </w:rPr>
        <w:t xml:space="preserve"> en los términos el artículo </w:t>
      </w:r>
      <w:r w:rsidRPr="00EC0AE8">
        <w:rPr>
          <w:rFonts w:ascii="Verdana" w:eastAsia="Calibri" w:hAnsi="Verdana" w:cs="Arial"/>
          <w:color w:val="000000" w:themeColor="text1"/>
          <w:lang w:val="es-ES"/>
        </w:rPr>
        <w:t>2.2.1.2.4.2.</w:t>
      </w:r>
      <w:r w:rsidRPr="00F554AA">
        <w:rPr>
          <w:rFonts w:ascii="Verdana" w:eastAsia="Calibri" w:hAnsi="Verdana" w:cs="Arial"/>
          <w:color w:val="000000" w:themeColor="text1"/>
          <w:lang w:val="es-ES"/>
        </w:rPr>
        <w:t>2</w:t>
      </w:r>
      <w:r>
        <w:rPr>
          <w:rFonts w:ascii="Verdana" w:eastAsia="Calibri" w:hAnsi="Verdana" w:cs="Arial"/>
          <w:color w:val="000000" w:themeColor="text1"/>
          <w:lang w:val="es-ES"/>
        </w:rPr>
        <w:t xml:space="preserve"> del Decreto 1082 de 2015.</w:t>
      </w:r>
    </w:p>
    <w:p w14:paraId="77F0DF19" w14:textId="77777777" w:rsidR="00867B6A" w:rsidRPr="001F283D" w:rsidRDefault="00867B6A" w:rsidP="00867B6A">
      <w:pPr>
        <w:tabs>
          <w:tab w:val="left" w:pos="142"/>
          <w:tab w:val="left" w:pos="284"/>
        </w:tabs>
        <w:spacing w:after="0" w:line="276" w:lineRule="auto"/>
        <w:rPr>
          <w:rFonts w:ascii="Verdana" w:eastAsia="Century Gothic" w:hAnsi="Verdana" w:cs="Century Gothic"/>
          <w:b/>
          <w:bCs/>
        </w:rPr>
      </w:pPr>
      <w:bookmarkStart w:id="9" w:name="_Hlk204854194"/>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9"/>
    <w:p w14:paraId="6EABB087" w14:textId="77777777" w:rsidR="00867B6A" w:rsidRPr="00593A5F" w:rsidRDefault="00867B6A" w:rsidP="00867B6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67B6A" w:rsidRPr="002407CE" w14:paraId="195681A7" w14:textId="77777777" w:rsidTr="003B48A4">
        <w:trPr>
          <w:trHeight w:val="870"/>
          <w:jc w:val="center"/>
        </w:trPr>
        <w:tc>
          <w:tcPr>
            <w:tcW w:w="8647" w:type="dxa"/>
          </w:tcPr>
          <w:p w14:paraId="4BA011EB" w14:textId="77777777" w:rsidR="00867B6A" w:rsidRDefault="00867B6A" w:rsidP="003B48A4">
            <w:pPr>
              <w:widowControl w:val="0"/>
              <w:numPr>
                <w:ilvl w:val="0"/>
                <w:numId w:val="17"/>
              </w:numPr>
              <w:autoSpaceDE w:val="0"/>
              <w:autoSpaceDN w:val="0"/>
              <w:jc w:val="both"/>
              <w:rPr>
                <w:rFonts w:ascii="Verdana" w:hAnsi="Verdana" w:cs="Arial"/>
              </w:rPr>
            </w:pPr>
            <w:r>
              <w:rPr>
                <w:rFonts w:ascii="Verdana" w:hAnsi="Verdana" w:cs="Arial"/>
              </w:rPr>
              <w:t>Constitución Política de Colombia. Artículo 38.</w:t>
            </w:r>
          </w:p>
          <w:p w14:paraId="56DC4D58" w14:textId="77777777" w:rsidR="00867B6A" w:rsidRDefault="00867B6A" w:rsidP="003B48A4">
            <w:pPr>
              <w:widowControl w:val="0"/>
              <w:autoSpaceDE w:val="0"/>
              <w:autoSpaceDN w:val="0"/>
              <w:ind w:left="720"/>
              <w:jc w:val="both"/>
              <w:rPr>
                <w:rFonts w:ascii="Verdana" w:hAnsi="Verdana" w:cs="Arial"/>
              </w:rPr>
            </w:pPr>
          </w:p>
          <w:p w14:paraId="5C90152A" w14:textId="77777777" w:rsidR="00867B6A" w:rsidRDefault="00867B6A" w:rsidP="003B48A4">
            <w:pPr>
              <w:widowControl w:val="0"/>
              <w:numPr>
                <w:ilvl w:val="0"/>
                <w:numId w:val="17"/>
              </w:numPr>
              <w:autoSpaceDE w:val="0"/>
              <w:autoSpaceDN w:val="0"/>
              <w:jc w:val="both"/>
              <w:rPr>
                <w:rFonts w:ascii="Verdana" w:hAnsi="Verdana" w:cs="Arial"/>
              </w:rPr>
            </w:pPr>
            <w:r w:rsidRPr="00995CAD">
              <w:rPr>
                <w:rFonts w:ascii="Verdana" w:hAnsi="Verdana" w:cs="Arial"/>
              </w:rPr>
              <w:t>Ley 2069 de 2020</w:t>
            </w:r>
            <w:r>
              <w:rPr>
                <w:rFonts w:ascii="Verdana" w:hAnsi="Verdana" w:cs="Arial"/>
              </w:rPr>
              <w:t>. A</w:t>
            </w:r>
            <w:r w:rsidRPr="00995CAD">
              <w:rPr>
                <w:rFonts w:ascii="Verdana" w:hAnsi="Verdana" w:cs="Arial"/>
              </w:rPr>
              <w:t>rtículo</w:t>
            </w:r>
            <w:r>
              <w:rPr>
                <w:rFonts w:ascii="Verdana" w:hAnsi="Verdana" w:cs="Arial"/>
              </w:rPr>
              <w:t>s:</w:t>
            </w:r>
            <w:r w:rsidRPr="00995CAD">
              <w:rPr>
                <w:rFonts w:ascii="Verdana" w:hAnsi="Verdana" w:cs="Arial"/>
              </w:rPr>
              <w:t xml:space="preserve"> 23, </w:t>
            </w:r>
            <w:r>
              <w:rPr>
                <w:rFonts w:ascii="Verdana" w:hAnsi="Verdana" w:cs="Arial"/>
              </w:rPr>
              <w:t>31 y 32</w:t>
            </w:r>
            <w:r w:rsidRPr="00995CAD">
              <w:rPr>
                <w:rFonts w:ascii="Verdana" w:hAnsi="Verdana" w:cs="Arial"/>
              </w:rPr>
              <w:t>.</w:t>
            </w:r>
          </w:p>
          <w:p w14:paraId="1E88D130" w14:textId="77777777" w:rsidR="00867B6A" w:rsidRDefault="00867B6A" w:rsidP="003B48A4">
            <w:pPr>
              <w:pStyle w:val="Prrafodelista"/>
              <w:rPr>
                <w:rFonts w:ascii="Verdana" w:hAnsi="Verdana" w:cs="Arial"/>
              </w:rPr>
            </w:pPr>
          </w:p>
          <w:p w14:paraId="01CDEB9E" w14:textId="77777777" w:rsidR="00867B6A" w:rsidRDefault="00867B6A" w:rsidP="003B48A4">
            <w:pPr>
              <w:widowControl w:val="0"/>
              <w:numPr>
                <w:ilvl w:val="0"/>
                <w:numId w:val="17"/>
              </w:numPr>
              <w:autoSpaceDE w:val="0"/>
              <w:autoSpaceDN w:val="0"/>
              <w:jc w:val="both"/>
              <w:rPr>
                <w:rFonts w:ascii="Verdana" w:hAnsi="Verdana" w:cs="Arial"/>
              </w:rPr>
            </w:pPr>
            <w:r w:rsidRPr="00995CAD">
              <w:rPr>
                <w:rFonts w:ascii="Verdana" w:hAnsi="Verdana" w:cs="Arial"/>
              </w:rPr>
              <w:t>Ley 590 de 2000</w:t>
            </w:r>
            <w:r>
              <w:rPr>
                <w:rFonts w:ascii="Verdana" w:hAnsi="Verdana" w:cs="Arial"/>
              </w:rPr>
              <w:t>. A</w:t>
            </w:r>
            <w:r w:rsidRPr="00995CAD">
              <w:rPr>
                <w:rFonts w:ascii="Verdana" w:hAnsi="Verdana" w:cs="Arial"/>
              </w:rPr>
              <w:t>rtículo 2.</w:t>
            </w:r>
          </w:p>
          <w:p w14:paraId="53D4C352" w14:textId="77777777" w:rsidR="00867B6A" w:rsidRDefault="00867B6A" w:rsidP="003B48A4">
            <w:pPr>
              <w:pStyle w:val="Prrafodelista"/>
              <w:rPr>
                <w:rFonts w:ascii="Verdana" w:hAnsi="Verdana" w:cs="Arial"/>
              </w:rPr>
            </w:pPr>
          </w:p>
          <w:p w14:paraId="2456001A" w14:textId="77777777" w:rsidR="00867B6A" w:rsidRDefault="00867B6A" w:rsidP="003B48A4">
            <w:pPr>
              <w:widowControl w:val="0"/>
              <w:numPr>
                <w:ilvl w:val="0"/>
                <w:numId w:val="17"/>
              </w:numPr>
              <w:autoSpaceDE w:val="0"/>
              <w:autoSpaceDN w:val="0"/>
              <w:jc w:val="both"/>
              <w:rPr>
                <w:rFonts w:ascii="Verdana" w:hAnsi="Verdana" w:cs="Arial"/>
              </w:rPr>
            </w:pPr>
            <w:r w:rsidRPr="00995CAD">
              <w:rPr>
                <w:rFonts w:ascii="Verdana" w:hAnsi="Verdana" w:cs="Arial"/>
              </w:rPr>
              <w:t>Ley 1450 de 2011</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rtículo 43.</w:t>
            </w:r>
          </w:p>
          <w:p w14:paraId="124EB1BA" w14:textId="77777777" w:rsidR="00867B6A" w:rsidRDefault="00867B6A" w:rsidP="003B48A4">
            <w:pPr>
              <w:pStyle w:val="Prrafodelista"/>
              <w:rPr>
                <w:rFonts w:ascii="Verdana" w:hAnsi="Verdana" w:cs="Arial"/>
              </w:rPr>
            </w:pPr>
          </w:p>
          <w:p w14:paraId="7004DC99" w14:textId="77777777" w:rsidR="00867B6A" w:rsidRDefault="00867B6A" w:rsidP="003B48A4">
            <w:pPr>
              <w:widowControl w:val="0"/>
              <w:numPr>
                <w:ilvl w:val="0"/>
                <w:numId w:val="17"/>
              </w:numPr>
              <w:autoSpaceDE w:val="0"/>
              <w:autoSpaceDN w:val="0"/>
              <w:jc w:val="both"/>
              <w:rPr>
                <w:rFonts w:ascii="Verdana" w:hAnsi="Verdana" w:cs="Arial"/>
              </w:rPr>
            </w:pPr>
            <w:r w:rsidRPr="00995CAD">
              <w:rPr>
                <w:rFonts w:ascii="Verdana" w:hAnsi="Verdana" w:cs="Arial"/>
              </w:rPr>
              <w:t>Decreto 1074 de 2015</w:t>
            </w:r>
            <w:r>
              <w:rPr>
                <w:rFonts w:ascii="Verdana" w:hAnsi="Verdana" w:cs="Arial"/>
              </w:rPr>
              <w:t>. A</w:t>
            </w:r>
            <w:r w:rsidRPr="00995CAD">
              <w:rPr>
                <w:rFonts w:ascii="Verdana" w:hAnsi="Verdana" w:cs="Arial"/>
              </w:rPr>
              <w:t>rtículo 2.2.1.13.2.2.</w:t>
            </w:r>
          </w:p>
          <w:p w14:paraId="058FC3FC" w14:textId="77777777" w:rsidR="00867B6A" w:rsidRDefault="00867B6A" w:rsidP="003B48A4">
            <w:pPr>
              <w:pStyle w:val="Prrafodelista"/>
              <w:rPr>
                <w:rFonts w:ascii="Verdana" w:hAnsi="Verdana" w:cs="Arial"/>
              </w:rPr>
            </w:pPr>
          </w:p>
          <w:p w14:paraId="775E4B52" w14:textId="77777777" w:rsidR="00867B6A" w:rsidRDefault="00867B6A" w:rsidP="003B48A4">
            <w:pPr>
              <w:widowControl w:val="0"/>
              <w:numPr>
                <w:ilvl w:val="0"/>
                <w:numId w:val="17"/>
              </w:numPr>
              <w:autoSpaceDE w:val="0"/>
              <w:autoSpaceDN w:val="0"/>
              <w:jc w:val="both"/>
              <w:rPr>
                <w:rFonts w:ascii="Verdana" w:hAnsi="Verdana" w:cs="Arial"/>
              </w:rPr>
            </w:pPr>
            <w:r w:rsidRPr="00995CAD">
              <w:rPr>
                <w:rFonts w:ascii="Verdana" w:hAnsi="Verdana" w:cs="Arial"/>
              </w:rPr>
              <w:t>Decreto 957 de 2019.</w:t>
            </w:r>
          </w:p>
          <w:p w14:paraId="777C9281" w14:textId="77777777" w:rsidR="00867B6A" w:rsidRDefault="00867B6A" w:rsidP="003B48A4">
            <w:pPr>
              <w:pStyle w:val="Prrafodelista"/>
              <w:rPr>
                <w:rFonts w:ascii="Verdana" w:hAnsi="Verdana" w:cs="Arial"/>
              </w:rPr>
            </w:pPr>
          </w:p>
          <w:p w14:paraId="010D59AD" w14:textId="77777777" w:rsidR="00867B6A" w:rsidRDefault="00867B6A" w:rsidP="003B48A4">
            <w:pPr>
              <w:widowControl w:val="0"/>
              <w:numPr>
                <w:ilvl w:val="0"/>
                <w:numId w:val="17"/>
              </w:numPr>
              <w:autoSpaceDE w:val="0"/>
              <w:autoSpaceDN w:val="0"/>
              <w:jc w:val="both"/>
              <w:rPr>
                <w:rFonts w:ascii="Verdana" w:hAnsi="Verdana" w:cs="Arial"/>
              </w:rPr>
            </w:pPr>
            <w:r w:rsidRPr="00995CAD">
              <w:rPr>
                <w:rFonts w:ascii="Verdana" w:hAnsi="Verdana" w:cs="Arial"/>
              </w:rPr>
              <w:t>Decreto 1082 de 2015</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rtículos 2.2.1.2.4.2.2</w:t>
            </w:r>
            <w:r>
              <w:rPr>
                <w:rFonts w:ascii="Verdana" w:hAnsi="Verdana" w:cs="Arial"/>
              </w:rPr>
              <w:t xml:space="preserve"> y</w:t>
            </w:r>
            <w:r w:rsidRPr="00995CAD">
              <w:rPr>
                <w:rFonts w:ascii="Verdana" w:hAnsi="Verdana" w:cs="Arial"/>
              </w:rPr>
              <w:t xml:space="preserve"> 2.2.1.2.4.2.3</w:t>
            </w:r>
            <w:r>
              <w:rPr>
                <w:rFonts w:ascii="Verdana" w:hAnsi="Verdana" w:cs="Arial"/>
              </w:rPr>
              <w:t>.</w:t>
            </w:r>
          </w:p>
          <w:p w14:paraId="7835EA3B" w14:textId="77777777" w:rsidR="00867B6A" w:rsidRDefault="00867B6A" w:rsidP="003B48A4">
            <w:pPr>
              <w:pStyle w:val="Prrafodelista"/>
              <w:rPr>
                <w:rFonts w:ascii="Verdana" w:hAnsi="Verdana" w:cs="Arial"/>
              </w:rPr>
            </w:pPr>
          </w:p>
          <w:p w14:paraId="4767D5F7" w14:textId="77777777" w:rsidR="00867B6A" w:rsidRDefault="00867B6A" w:rsidP="003B48A4">
            <w:pPr>
              <w:widowControl w:val="0"/>
              <w:numPr>
                <w:ilvl w:val="0"/>
                <w:numId w:val="17"/>
              </w:numPr>
              <w:autoSpaceDE w:val="0"/>
              <w:autoSpaceDN w:val="0"/>
              <w:jc w:val="both"/>
              <w:rPr>
                <w:rFonts w:ascii="Verdana" w:hAnsi="Verdana" w:cs="Arial"/>
              </w:rPr>
            </w:pPr>
            <w:r w:rsidRPr="00995CAD">
              <w:rPr>
                <w:rFonts w:ascii="Verdana" w:hAnsi="Verdana" w:cs="Arial"/>
              </w:rPr>
              <w:t>Decreto 1860 de 2021</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rtículo 3</w:t>
            </w:r>
            <w:r>
              <w:rPr>
                <w:rFonts w:ascii="Verdana" w:hAnsi="Verdana" w:cs="Arial"/>
              </w:rPr>
              <w:t xml:space="preserve"> y 5</w:t>
            </w:r>
            <w:r w:rsidRPr="00995CAD">
              <w:rPr>
                <w:rFonts w:ascii="Verdana" w:hAnsi="Verdana" w:cs="Arial"/>
              </w:rPr>
              <w:t>.</w:t>
            </w:r>
          </w:p>
          <w:p w14:paraId="758845C2" w14:textId="77777777" w:rsidR="00867B6A" w:rsidRDefault="00867B6A" w:rsidP="003B48A4">
            <w:pPr>
              <w:pStyle w:val="Prrafodelista"/>
              <w:rPr>
                <w:rFonts w:ascii="Verdana" w:hAnsi="Verdana" w:cs="Arial"/>
              </w:rPr>
            </w:pPr>
          </w:p>
          <w:p w14:paraId="07E92C4D" w14:textId="77777777" w:rsidR="00867B6A" w:rsidRPr="00600C3F" w:rsidRDefault="00867B6A" w:rsidP="003B48A4">
            <w:pPr>
              <w:widowControl w:val="0"/>
              <w:numPr>
                <w:ilvl w:val="0"/>
                <w:numId w:val="17"/>
              </w:numPr>
              <w:autoSpaceDE w:val="0"/>
              <w:autoSpaceDN w:val="0"/>
              <w:jc w:val="both"/>
              <w:rPr>
                <w:rFonts w:ascii="Verdana" w:hAnsi="Verdana" w:cs="Arial"/>
              </w:rPr>
            </w:pPr>
            <w:r w:rsidRPr="00995CAD">
              <w:rPr>
                <w:rFonts w:ascii="Verdana" w:hAnsi="Verdana" w:cs="Arial"/>
              </w:rPr>
              <w:t>Ley 454 de 1998</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rtículos 2 y 6.</w:t>
            </w:r>
          </w:p>
          <w:p w14:paraId="17552D2A" w14:textId="77777777" w:rsidR="00867B6A" w:rsidRPr="00600C3F" w:rsidRDefault="00867B6A" w:rsidP="003B48A4">
            <w:pPr>
              <w:widowControl w:val="0"/>
              <w:autoSpaceDE w:val="0"/>
              <w:autoSpaceDN w:val="0"/>
              <w:jc w:val="both"/>
              <w:rPr>
                <w:rFonts w:ascii="Verdana" w:hAnsi="Verdana" w:cs="Arial"/>
              </w:rPr>
            </w:pPr>
          </w:p>
          <w:p w14:paraId="09D9B91A" w14:textId="12990EA2" w:rsidR="00867B6A" w:rsidRPr="00FA5394" w:rsidRDefault="00867B6A" w:rsidP="003B48A4">
            <w:pPr>
              <w:widowControl w:val="0"/>
              <w:numPr>
                <w:ilvl w:val="0"/>
                <w:numId w:val="17"/>
              </w:numPr>
              <w:autoSpaceDE w:val="0"/>
              <w:autoSpaceDN w:val="0"/>
              <w:jc w:val="both"/>
              <w:rPr>
                <w:rFonts w:ascii="Verdana" w:hAnsi="Verdana" w:cs="Arial"/>
              </w:rPr>
            </w:pPr>
            <w:r w:rsidRPr="00995CAD">
              <w:rPr>
                <w:rFonts w:ascii="Verdana" w:hAnsi="Verdana" w:cs="Arial"/>
              </w:rPr>
              <w:t>Ley 79 de 1988</w:t>
            </w:r>
            <w:r>
              <w:rPr>
                <w:rFonts w:ascii="Verdana" w:hAnsi="Verdana" w:cs="Arial"/>
              </w:rPr>
              <w:t>. A</w:t>
            </w:r>
            <w:r w:rsidRPr="00995CAD">
              <w:rPr>
                <w:rFonts w:ascii="Verdana" w:hAnsi="Verdana" w:cs="Arial"/>
              </w:rPr>
              <w:t>rtículo 4.</w:t>
            </w:r>
          </w:p>
          <w:p w14:paraId="009ED199" w14:textId="77777777" w:rsidR="00867B6A" w:rsidRPr="00C552A6" w:rsidRDefault="00867B6A" w:rsidP="003B48A4">
            <w:pPr>
              <w:pStyle w:val="NormalWeb"/>
              <w:numPr>
                <w:ilvl w:val="0"/>
                <w:numId w:val="17"/>
              </w:numPr>
              <w:spacing w:before="0" w:beforeAutospacing="0" w:after="0" w:afterAutospacing="0"/>
              <w:jc w:val="both"/>
              <w:rPr>
                <w:rFonts w:ascii="Verdana" w:hAnsi="Verdana" w:cs="Arial"/>
                <w:color w:val="000000" w:themeColor="text1"/>
                <w:sz w:val="22"/>
                <w:szCs w:val="22"/>
              </w:rPr>
            </w:pPr>
            <w:r w:rsidRPr="00C552A6">
              <w:rPr>
                <w:rFonts w:ascii="Verdana" w:eastAsia="Calibri" w:hAnsi="Verdana" w:cs="Arial"/>
                <w:sz w:val="22"/>
                <w:szCs w:val="22"/>
                <w:lang w:val="es-ES_tradnl" w:eastAsia="es-ES_tradnl"/>
              </w:rPr>
              <w:lastRenderedPageBreak/>
              <w:t>Código de Comercio. Artículos: 98 y 100.</w:t>
            </w:r>
          </w:p>
          <w:p w14:paraId="67DB8211" w14:textId="77777777" w:rsidR="00867B6A" w:rsidRPr="00C552A6" w:rsidRDefault="00867B6A" w:rsidP="003B48A4">
            <w:pPr>
              <w:pStyle w:val="Prrafodelista"/>
              <w:rPr>
                <w:rFonts w:ascii="Verdana" w:hAnsi="Verdana" w:cs="Arial"/>
                <w:color w:val="000000" w:themeColor="text1"/>
              </w:rPr>
            </w:pPr>
          </w:p>
          <w:p w14:paraId="6B19BBD0" w14:textId="77777777" w:rsidR="00867B6A" w:rsidRPr="00600C3F" w:rsidRDefault="00867B6A" w:rsidP="003B48A4">
            <w:pPr>
              <w:pStyle w:val="NormalWeb"/>
              <w:numPr>
                <w:ilvl w:val="0"/>
                <w:numId w:val="17"/>
              </w:numPr>
              <w:spacing w:before="0" w:beforeAutospacing="0" w:after="0" w:afterAutospacing="0"/>
              <w:jc w:val="both"/>
              <w:rPr>
                <w:rFonts w:ascii="Verdana" w:hAnsi="Verdana" w:cs="Arial"/>
                <w:color w:val="000000" w:themeColor="text1"/>
                <w:sz w:val="22"/>
                <w:szCs w:val="22"/>
              </w:rPr>
            </w:pPr>
            <w:r w:rsidRPr="00600C3F">
              <w:rPr>
                <w:rFonts w:ascii="Verdana" w:hAnsi="Verdana" w:cs="Arial"/>
                <w:color w:val="000000" w:themeColor="text1"/>
                <w:sz w:val="22"/>
                <w:szCs w:val="22"/>
              </w:rPr>
              <w:t>Corte Constitucional. Sentencia C-287 de 2012. M.P. María Victoria Calle.</w:t>
            </w:r>
          </w:p>
          <w:p w14:paraId="5547069C" w14:textId="77777777" w:rsidR="00867B6A" w:rsidRDefault="00867B6A" w:rsidP="003B48A4">
            <w:pPr>
              <w:pStyle w:val="Prrafodelista"/>
              <w:rPr>
                <w:rFonts w:ascii="Verdana" w:hAnsi="Verdana" w:cs="Arial"/>
                <w:color w:val="000000" w:themeColor="text1"/>
              </w:rPr>
            </w:pPr>
          </w:p>
          <w:p w14:paraId="20D565D1" w14:textId="77777777" w:rsidR="00867B6A" w:rsidRDefault="00867B6A" w:rsidP="003B48A4">
            <w:pPr>
              <w:pStyle w:val="NormalWeb"/>
              <w:numPr>
                <w:ilvl w:val="0"/>
                <w:numId w:val="17"/>
              </w:numPr>
              <w:spacing w:before="0" w:beforeAutospacing="0" w:after="0" w:afterAutospacing="0"/>
              <w:jc w:val="both"/>
              <w:rPr>
                <w:rFonts w:ascii="Verdana" w:hAnsi="Verdana" w:cs="Arial"/>
                <w:color w:val="000000" w:themeColor="text1"/>
                <w:sz w:val="22"/>
                <w:szCs w:val="22"/>
              </w:rPr>
            </w:pPr>
            <w:r w:rsidRPr="00600C3F">
              <w:rPr>
                <w:rFonts w:ascii="Verdana" w:hAnsi="Verdana" w:cs="Arial"/>
                <w:color w:val="000000" w:themeColor="text1"/>
                <w:sz w:val="22"/>
                <w:szCs w:val="22"/>
              </w:rPr>
              <w:t>TORRENTE BAYONA, César y BUSTAMANTE, Luis Eduardo. Las entidades sin ánimo de lucro (3ª Ed.). Editado por la Cámara de Comercio de Bogotá. Bogotá. 2000, p. 33.</w:t>
            </w:r>
          </w:p>
          <w:p w14:paraId="35AFBFEB" w14:textId="77777777" w:rsidR="00867B6A" w:rsidRDefault="00867B6A" w:rsidP="003B48A4">
            <w:pPr>
              <w:pStyle w:val="Prrafodelista"/>
              <w:rPr>
                <w:rFonts w:ascii="Verdana" w:hAnsi="Verdana" w:cs="Arial"/>
                <w:color w:val="000000" w:themeColor="text1"/>
              </w:rPr>
            </w:pPr>
          </w:p>
          <w:p w14:paraId="32626EAB" w14:textId="77777777" w:rsidR="00867B6A" w:rsidRDefault="00867B6A" w:rsidP="003B48A4">
            <w:pPr>
              <w:pStyle w:val="NormalWeb"/>
              <w:numPr>
                <w:ilvl w:val="0"/>
                <w:numId w:val="17"/>
              </w:numPr>
              <w:spacing w:before="0" w:beforeAutospacing="0" w:after="0" w:afterAutospacing="0"/>
              <w:jc w:val="both"/>
              <w:rPr>
                <w:rFonts w:ascii="Verdana" w:hAnsi="Verdana" w:cs="Arial"/>
                <w:color w:val="000000" w:themeColor="text1"/>
                <w:sz w:val="22"/>
                <w:szCs w:val="22"/>
              </w:rPr>
            </w:pPr>
            <w:r w:rsidRPr="00600C3F">
              <w:rPr>
                <w:rFonts w:ascii="Verdana" w:hAnsi="Verdana" w:cs="Arial"/>
                <w:color w:val="000000" w:themeColor="text1"/>
                <w:sz w:val="22"/>
                <w:szCs w:val="22"/>
              </w:rPr>
              <w:t xml:space="preserve">Cámara de Comercio de Bogotá, “ABC DE ESALES”. Bogotá. 2013. Disponible en este </w:t>
            </w:r>
            <w:proofErr w:type="gramStart"/>
            <w:r w:rsidRPr="00600C3F">
              <w:rPr>
                <w:rFonts w:ascii="Verdana" w:hAnsi="Verdana" w:cs="Arial"/>
                <w:color w:val="000000" w:themeColor="text1"/>
                <w:sz w:val="22"/>
                <w:szCs w:val="22"/>
              </w:rPr>
              <w:t>link</w:t>
            </w:r>
            <w:proofErr w:type="gramEnd"/>
            <w:r w:rsidRPr="00600C3F">
              <w:rPr>
                <w:rFonts w:ascii="Verdana" w:hAnsi="Verdana" w:cs="Arial"/>
                <w:color w:val="000000" w:themeColor="text1"/>
                <w:sz w:val="22"/>
                <w:szCs w:val="22"/>
              </w:rPr>
              <w:t xml:space="preserve">: </w:t>
            </w:r>
            <w:hyperlink r:id="rId13" w:history="1">
              <w:r w:rsidRPr="00A7115F">
                <w:rPr>
                  <w:rStyle w:val="Hipervnculo"/>
                  <w:rFonts w:ascii="Verdana" w:hAnsi="Verdana" w:cs="Arial"/>
                  <w:sz w:val="22"/>
                  <w:szCs w:val="22"/>
                </w:rPr>
                <w:t>https://bibliotecadigital.ccb.org.co/bitstream/handle/11520/8346/el%20abc%20de%20esales%202013%20completo.pdf?sequence=1&amp;isAllowed=y</w:t>
              </w:r>
            </w:hyperlink>
            <w:r w:rsidRPr="00600C3F">
              <w:rPr>
                <w:rFonts w:ascii="Verdana" w:hAnsi="Verdana" w:cs="Arial"/>
                <w:color w:val="000000" w:themeColor="text1"/>
                <w:sz w:val="22"/>
                <w:szCs w:val="22"/>
              </w:rPr>
              <w:t>.</w:t>
            </w:r>
            <w:r>
              <w:rPr>
                <w:rFonts w:ascii="Verdana" w:hAnsi="Verdana" w:cs="Arial"/>
                <w:color w:val="000000" w:themeColor="text1"/>
                <w:sz w:val="22"/>
                <w:szCs w:val="22"/>
              </w:rPr>
              <w:t xml:space="preserve"> </w:t>
            </w:r>
          </w:p>
          <w:p w14:paraId="053C56DD" w14:textId="77777777" w:rsidR="00867B6A" w:rsidRDefault="00867B6A" w:rsidP="003B48A4">
            <w:pPr>
              <w:pStyle w:val="Prrafodelista"/>
              <w:rPr>
                <w:rFonts w:ascii="Verdana" w:hAnsi="Verdana" w:cs="Arial"/>
                <w:color w:val="000000" w:themeColor="text1"/>
              </w:rPr>
            </w:pPr>
          </w:p>
          <w:p w14:paraId="76DD0D5C" w14:textId="77777777" w:rsidR="00867B6A" w:rsidRPr="00A57FA0" w:rsidRDefault="00867B6A" w:rsidP="003B48A4">
            <w:pPr>
              <w:pStyle w:val="NormalWeb"/>
              <w:numPr>
                <w:ilvl w:val="0"/>
                <w:numId w:val="17"/>
              </w:numPr>
              <w:spacing w:before="0" w:beforeAutospacing="0" w:after="0" w:afterAutospacing="0"/>
              <w:jc w:val="both"/>
              <w:rPr>
                <w:rFonts w:ascii="Verdana" w:hAnsi="Verdana" w:cs="Arial"/>
                <w:color w:val="000000" w:themeColor="text1"/>
                <w:sz w:val="22"/>
                <w:szCs w:val="22"/>
              </w:rPr>
            </w:pPr>
            <w:r>
              <w:rPr>
                <w:rFonts w:ascii="Verdana" w:hAnsi="Verdana" w:cs="Arial"/>
                <w:color w:val="000000" w:themeColor="text1"/>
                <w:sz w:val="22"/>
                <w:szCs w:val="22"/>
              </w:rPr>
              <w:t xml:space="preserve">Manual básico sobre entidades sin ánimo de lucro – ESAL-. En </w:t>
            </w:r>
            <w:hyperlink r:id="rId14" w:history="1">
              <w:r w:rsidRPr="00600C3F">
                <w:rPr>
                  <w:rStyle w:val="Hipervnculo"/>
                  <w:rFonts w:ascii="Verdana" w:hAnsi="Verdana" w:cs="Arial"/>
                  <w:sz w:val="22"/>
                  <w:szCs w:val="22"/>
                </w:rPr>
                <w:t>Manual básico sobre entidades sin ánimo de lucro - ESAL</w:t>
              </w:r>
            </w:hyperlink>
          </w:p>
        </w:tc>
      </w:tr>
    </w:tbl>
    <w:p w14:paraId="26B8A7A1" w14:textId="77777777" w:rsidR="00867B6A" w:rsidRPr="00277E26" w:rsidRDefault="00867B6A" w:rsidP="00867B6A">
      <w:pPr>
        <w:widowControl w:val="0"/>
        <w:autoSpaceDE w:val="0"/>
        <w:autoSpaceDN w:val="0"/>
        <w:spacing w:after="0" w:line="276" w:lineRule="auto"/>
        <w:jc w:val="both"/>
        <w:rPr>
          <w:rFonts w:ascii="Verdana" w:hAnsi="Verdana" w:cs="Arial"/>
        </w:rPr>
      </w:pPr>
    </w:p>
    <w:p w14:paraId="15039BAA" w14:textId="77777777" w:rsidR="00867B6A" w:rsidRPr="001F283D" w:rsidRDefault="00867B6A" w:rsidP="00867B6A">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467789DF" w14:textId="77777777" w:rsidR="00867B6A" w:rsidRDefault="00867B6A" w:rsidP="00867B6A">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72F103EE" w14:textId="77777777" w:rsidR="00867B6A" w:rsidRPr="0087042A" w:rsidRDefault="00867B6A" w:rsidP="00867B6A">
      <w:pPr>
        <w:widowControl w:val="0"/>
        <w:autoSpaceDE w:val="0"/>
        <w:autoSpaceDN w:val="0"/>
        <w:spacing w:after="120" w:line="276" w:lineRule="auto"/>
        <w:jc w:val="both"/>
        <w:rPr>
          <w:rFonts w:ascii="Verdana" w:hAnsi="Verdana" w:cs="Arial"/>
          <w:shd w:val="clear" w:color="auto" w:fill="FFFFFF"/>
        </w:rPr>
      </w:pPr>
      <w:r w:rsidRPr="000E7148">
        <w:rPr>
          <w:rFonts w:ascii="Verdana" w:eastAsia="Calibri" w:hAnsi="Verdana" w:cs="Arial"/>
          <w:color w:val="000000" w:themeColor="text1"/>
          <w:lang w:eastAsia="es-ES_tradnl"/>
        </w:rPr>
        <w:t xml:space="preserve">La Agencia Nacional de Contratación Pública – Colombia Compra Eficiente </w:t>
      </w:r>
      <w:r>
        <w:rPr>
          <w:rFonts w:ascii="Verdana" w:eastAsia="Arial" w:hAnsi="Verdana" w:cs="Arial"/>
          <w:lang w:val="es-MX" w:eastAsia="es-ES_tradnl"/>
        </w:rPr>
        <w:t xml:space="preserve">se ha referido a </w:t>
      </w:r>
      <w:r w:rsidRPr="002834E3">
        <w:rPr>
          <w:rFonts w:ascii="Verdana" w:eastAsia="Calibri" w:hAnsi="Verdana" w:cs="Arial"/>
          <w:shd w:val="clear" w:color="auto" w:fill="FFFFFF"/>
        </w:rPr>
        <w:t xml:space="preserve">la participación de las ESAL en procesos contractuales limitados a </w:t>
      </w:r>
      <w:proofErr w:type="spellStart"/>
      <w:r w:rsidRPr="002834E3">
        <w:rPr>
          <w:rFonts w:ascii="Verdana" w:eastAsia="Calibri" w:hAnsi="Verdana" w:cs="Arial"/>
          <w:shd w:val="clear" w:color="auto" w:fill="FFFFFF"/>
        </w:rPr>
        <w:t>Mi</w:t>
      </w:r>
      <w:r>
        <w:rPr>
          <w:rFonts w:ascii="Verdana" w:eastAsia="Calibri" w:hAnsi="Verdana" w:cs="Arial"/>
          <w:shd w:val="clear" w:color="auto" w:fill="FFFFFF"/>
        </w:rPr>
        <w:t>p</w:t>
      </w:r>
      <w:r w:rsidRPr="002834E3">
        <w:rPr>
          <w:rFonts w:ascii="Verdana" w:eastAsia="Calibri" w:hAnsi="Verdana" w:cs="Arial"/>
          <w:shd w:val="clear" w:color="auto" w:fill="FFFFFF"/>
        </w:rPr>
        <w:t>ymes</w:t>
      </w:r>
      <w:proofErr w:type="spellEnd"/>
      <w:r>
        <w:rPr>
          <w:rFonts w:ascii="Verdana" w:eastAsia="Calibri" w:hAnsi="Verdana" w:cs="Arial"/>
          <w:shd w:val="clear" w:color="auto" w:fill="FFFFFF"/>
        </w:rPr>
        <w:t xml:space="preserve"> </w:t>
      </w:r>
      <w:r>
        <w:rPr>
          <w:rFonts w:ascii="Verdana" w:eastAsia="Arial" w:hAnsi="Verdana" w:cs="Arial"/>
          <w:lang w:val="es-MX" w:eastAsia="es-ES_tradnl"/>
        </w:rPr>
        <w:t xml:space="preserve">en </w:t>
      </w:r>
      <w:r w:rsidRPr="009643AE">
        <w:rPr>
          <w:rFonts w:ascii="Verdana" w:eastAsia="Arial" w:hAnsi="Verdana" w:cs="Arial"/>
          <w:lang w:val="es-MX" w:eastAsia="es-ES_tradnl"/>
        </w:rPr>
        <w:t xml:space="preserve">los conceptos </w:t>
      </w:r>
      <w:r w:rsidRPr="002834E3">
        <w:rPr>
          <w:rFonts w:ascii="Verdana" w:eastAsia="Calibri" w:hAnsi="Verdana" w:cs="Arial"/>
          <w:shd w:val="clear" w:color="auto" w:fill="FFFFFF"/>
        </w:rPr>
        <w:t>del C-474 del 26 de julio de 2022, C-020 del 14 de febrero de 2023, C-587 del 21 de septiembre de 2022, C-094 del 16 de junio de 2024, C-997 del 30 de diciembre de 2024, C-1017 del 30 de diciembre de 2024</w:t>
      </w:r>
      <w:r w:rsidRPr="002834E3">
        <w:rPr>
          <w:rFonts w:ascii="Verdana" w:eastAsia="Calibri" w:hAnsi="Verdana" w:cs="Arial"/>
          <w:shd w:val="clear" w:color="auto" w:fill="FFFFFF"/>
          <w:lang w:val="es-ES"/>
        </w:rPr>
        <w:t>,</w:t>
      </w:r>
      <w:r>
        <w:rPr>
          <w:rFonts w:ascii="Verdana" w:eastAsia="Calibri" w:hAnsi="Verdana" w:cs="Arial"/>
          <w:shd w:val="clear" w:color="auto" w:fill="FFFFFF"/>
          <w:lang w:val="es-ES"/>
        </w:rPr>
        <w:t xml:space="preserve"> C-081 del 19 de febrero de 2025, C-257 del 1 de abril de 2025, C-236 del 2 de abril de 2025, C-306 del 16 de abril de 2025, C-483 del 20 de mayo de 2025</w:t>
      </w:r>
      <w:r>
        <w:rPr>
          <w:rFonts w:ascii="Verdana" w:hAnsi="Verdana" w:cs="Arial"/>
          <w:shd w:val="clear" w:color="auto" w:fill="FFFFFF"/>
          <w:lang w:val="es-ES"/>
        </w:rPr>
        <w:t xml:space="preserve">, </w:t>
      </w:r>
      <w:r w:rsidRPr="00FB34BB">
        <w:rPr>
          <w:rFonts w:ascii="Verdana" w:hAnsi="Verdana" w:cs="Arial"/>
          <w:shd w:val="clear" w:color="auto" w:fill="FFFFFF"/>
          <w:lang w:val="es-ES"/>
        </w:rPr>
        <w:t>entre otros.</w:t>
      </w:r>
      <w:r>
        <w:rPr>
          <w:rFonts w:ascii="Verdana" w:hAnsi="Verdana" w:cs="Arial"/>
          <w:shd w:val="clear" w:color="auto" w:fill="FFFFFF"/>
          <w:lang w:val="es-ES"/>
        </w:rPr>
        <w:t xml:space="preserve"> </w:t>
      </w:r>
      <w:r>
        <w:rPr>
          <w:rFonts w:ascii="Verdana" w:hAnsi="Verdana" w:cs="Arial"/>
          <w:shd w:val="clear" w:color="auto" w:fill="FFFFFF"/>
        </w:rPr>
        <w:t xml:space="preserve">Estos </w:t>
      </w:r>
      <w:r w:rsidRPr="0087042A">
        <w:rPr>
          <w:rFonts w:ascii="Verdana" w:hAnsi="Verdana" w:cs="Arial"/>
          <w:shd w:val="clear" w:color="auto" w:fill="FFFFFF"/>
          <w:lang w:val="es-ES"/>
        </w:rPr>
        <w:t xml:space="preserve">y otros </w:t>
      </w:r>
      <w:r w:rsidRPr="0087042A">
        <w:rPr>
          <w:rFonts w:ascii="Verdana" w:hAnsi="Verdana"/>
        </w:rPr>
        <w:t>conceptos se encuentran disponibles para consulta en el Sistema de relatoría de la Agencia, al cual se puede acceder a través del siguiente enlace:</w:t>
      </w:r>
      <w:r w:rsidRPr="0087042A">
        <w:rPr>
          <w:rFonts w:ascii="Verdana" w:hAnsi="Verdana" w:cs="Arial"/>
          <w:shd w:val="clear" w:color="auto" w:fill="FFFFFF"/>
        </w:rPr>
        <w:t xml:space="preserve"> </w:t>
      </w:r>
      <w:hyperlink r:id="rId15" w:history="1">
        <w:r w:rsidRPr="00A7115F">
          <w:rPr>
            <w:rStyle w:val="Hipervnculo"/>
            <w:rFonts w:ascii="Verdana" w:hAnsi="Verdana" w:cs="Arial"/>
            <w:shd w:val="clear" w:color="auto" w:fill="FFFFFF"/>
          </w:rPr>
          <w:t>https://relatoria.colombiacompra.gov.co/busqueda/conceptos</w:t>
        </w:r>
      </w:hyperlink>
      <w:r w:rsidRPr="0087042A">
        <w:rPr>
          <w:rFonts w:ascii="Verdana" w:hAnsi="Verdana" w:cs="Arial"/>
          <w:shd w:val="clear" w:color="auto" w:fill="FFFFFF"/>
        </w:rPr>
        <w:t>.</w:t>
      </w:r>
      <w:r w:rsidRPr="00AB70DD">
        <w:rPr>
          <w:rFonts w:ascii="Verdana" w:hAnsi="Verdana" w:cs="Arial"/>
          <w:color w:val="FF0000"/>
          <w:shd w:val="clear" w:color="auto" w:fill="FFFFFF"/>
        </w:rPr>
        <w:t xml:space="preserve"> </w:t>
      </w:r>
      <w:r w:rsidRPr="00AB70DD">
        <w:rPr>
          <w:rFonts w:ascii="Verdana" w:hAnsi="Verdana" w:cs="Arial"/>
          <w:color w:val="000000" w:themeColor="text1"/>
          <w:shd w:val="clear" w:color="auto" w:fill="FFFFFF"/>
        </w:rPr>
        <w:t>  </w:t>
      </w:r>
    </w:p>
    <w:p w14:paraId="2330AC16" w14:textId="77777777" w:rsidR="00867B6A" w:rsidRPr="00237766" w:rsidRDefault="00867B6A" w:rsidP="00867B6A">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D468DC1" w14:textId="77777777" w:rsidR="00867B6A" w:rsidRPr="008E4F36" w:rsidRDefault="00867B6A" w:rsidP="00867B6A">
      <w:pPr>
        <w:pStyle w:val="Prrafodelista"/>
        <w:numPr>
          <w:ilvl w:val="0"/>
          <w:numId w:val="15"/>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36B8DCB6" w14:textId="77777777" w:rsidR="00867B6A" w:rsidRPr="008E4F36" w:rsidRDefault="00867B6A" w:rsidP="00867B6A">
      <w:pPr>
        <w:pStyle w:val="Prrafodelista"/>
        <w:numPr>
          <w:ilvl w:val="0"/>
          <w:numId w:val="15"/>
        </w:numPr>
        <w:spacing w:after="0" w:line="276" w:lineRule="auto"/>
        <w:contextualSpacing w:val="0"/>
        <w:jc w:val="both"/>
        <w:rPr>
          <w:rFonts w:ascii="Verdana" w:hAnsi="Verdana"/>
        </w:rPr>
      </w:pPr>
      <w:r w:rsidRPr="008E4F36">
        <w:rPr>
          <w:rFonts w:ascii="Verdana" w:hAnsi="Verdana"/>
        </w:rPr>
        <w:t>Línea en Bogotá (Mesa de servicio): +57 601 7456788</w:t>
      </w:r>
    </w:p>
    <w:p w14:paraId="6CF80369" w14:textId="77777777" w:rsidR="00867B6A" w:rsidRPr="008E4F36" w:rsidRDefault="00867B6A" w:rsidP="00867B6A">
      <w:pPr>
        <w:pStyle w:val="Prrafodelista"/>
        <w:numPr>
          <w:ilvl w:val="0"/>
          <w:numId w:val="15"/>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01A7D66C" w14:textId="77777777" w:rsidR="00867B6A" w:rsidRPr="008E4F36" w:rsidRDefault="00867B6A" w:rsidP="00867B6A">
      <w:pPr>
        <w:pStyle w:val="Prrafodelista"/>
        <w:numPr>
          <w:ilvl w:val="0"/>
          <w:numId w:val="15"/>
        </w:numPr>
        <w:spacing w:after="0" w:line="276" w:lineRule="auto"/>
        <w:contextualSpacing w:val="0"/>
        <w:jc w:val="both"/>
        <w:rPr>
          <w:rFonts w:ascii="Verdana" w:hAnsi="Verdana"/>
        </w:rPr>
      </w:pPr>
      <w:r w:rsidRPr="008E4F36">
        <w:rPr>
          <w:rFonts w:ascii="Verdana" w:hAnsi="Verdana"/>
        </w:rPr>
        <w:lastRenderedPageBreak/>
        <w:t xml:space="preserve">Página web: </w:t>
      </w:r>
      <w:hyperlink r:id="rId16" w:history="1">
        <w:r w:rsidRPr="008E4F36">
          <w:rPr>
            <w:rStyle w:val="Hipervnculo"/>
            <w:rFonts w:ascii="Verdana" w:hAnsi="Verdana"/>
          </w:rPr>
          <w:t>www.colombiacompra.gov.co</w:t>
        </w:r>
      </w:hyperlink>
    </w:p>
    <w:p w14:paraId="1ED9A9B4" w14:textId="77777777" w:rsidR="00867B6A" w:rsidRPr="008E4F36" w:rsidRDefault="00867B6A" w:rsidP="00867B6A">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1F502846" w14:textId="77777777" w:rsidR="00867B6A" w:rsidRPr="008E4F36" w:rsidRDefault="00867B6A" w:rsidP="00867B6A">
      <w:pPr>
        <w:spacing w:after="0" w:line="276" w:lineRule="auto"/>
        <w:jc w:val="both"/>
        <w:rPr>
          <w:rFonts w:ascii="Verdana" w:hAnsi="Verdana"/>
        </w:rPr>
      </w:pPr>
    </w:p>
    <w:p w14:paraId="6125C827" w14:textId="77777777" w:rsidR="00867B6A" w:rsidRPr="008E4F36" w:rsidRDefault="00867B6A" w:rsidP="00867B6A">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017C63A4" w14:textId="77777777" w:rsidR="00867B6A" w:rsidRPr="008E4F36" w:rsidRDefault="00867B6A" w:rsidP="00867B6A">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1C072FBF" w14:textId="77777777" w:rsidR="00867B6A" w:rsidRPr="008E4F36" w:rsidRDefault="00867B6A" w:rsidP="00867B6A">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5ABF6975" w14:textId="77777777" w:rsidR="00867B6A" w:rsidRDefault="00867B6A" w:rsidP="00867B6A">
      <w:pPr>
        <w:spacing w:before="120" w:after="0" w:line="276" w:lineRule="auto"/>
        <w:jc w:val="both"/>
        <w:rPr>
          <w:rFonts w:ascii="Verdana" w:hAnsi="Verdana"/>
        </w:rPr>
      </w:pPr>
    </w:p>
    <w:p w14:paraId="7C3DA63F" w14:textId="77777777" w:rsidR="00867B6A" w:rsidRPr="00FB6C33" w:rsidRDefault="00867B6A" w:rsidP="00867B6A">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41FC741" w14:textId="77777777" w:rsidR="00867B6A" w:rsidRPr="008E4F36" w:rsidRDefault="00867B6A" w:rsidP="00867B6A">
      <w:pPr>
        <w:spacing w:after="0" w:line="276" w:lineRule="auto"/>
        <w:jc w:val="both"/>
        <w:rPr>
          <w:rFonts w:ascii="Verdana" w:eastAsia="Calibri" w:hAnsi="Verdana" w:cs="Times New Roman"/>
        </w:rPr>
      </w:pPr>
    </w:p>
    <w:p w14:paraId="322BF8EF" w14:textId="77777777" w:rsidR="00867B6A" w:rsidRDefault="00867B6A" w:rsidP="00867B6A">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0CAF9410" w14:textId="48D65DD1" w:rsidR="00867B6A" w:rsidRDefault="005B59DB" w:rsidP="00867B6A">
      <w:pPr>
        <w:spacing w:after="0" w:line="256" w:lineRule="auto"/>
        <w:jc w:val="center"/>
        <w:rPr>
          <w:rFonts w:ascii="Verdana" w:eastAsia="Times New Roman" w:hAnsi="Verdana"/>
          <w:b/>
          <w:bCs/>
          <w:noProof/>
        </w:rPr>
      </w:pPr>
      <w:r w:rsidRPr="005B59DB">
        <w:rPr>
          <w:rFonts w:ascii="Verdana" w:eastAsia="Times New Roman" w:hAnsi="Verdana"/>
          <w:b/>
          <w:bCs/>
          <w:noProof/>
        </w:rPr>
        <w:drawing>
          <wp:inline distT="0" distB="0" distL="0" distR="0" wp14:anchorId="62D9F690" wp14:editId="70A023DE">
            <wp:extent cx="3830468" cy="1519809"/>
            <wp:effectExtent l="0" t="0" r="0" b="4445"/>
            <wp:docPr id="1212799153"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799153" name="Imagen 1" descr="Texto, Carta&#10;&#10;El contenido generado por IA puede ser incorrecto."/>
                    <pic:cNvPicPr/>
                  </pic:nvPicPr>
                  <pic:blipFill>
                    <a:blip r:embed="rId17"/>
                    <a:stretch>
                      <a:fillRect/>
                    </a:stretch>
                  </pic:blipFill>
                  <pic:spPr>
                    <a:xfrm>
                      <a:off x="0" y="0"/>
                      <a:ext cx="3844859" cy="1525519"/>
                    </a:xfrm>
                    <a:prstGeom prst="rect">
                      <a:avLst/>
                    </a:prstGeom>
                  </pic:spPr>
                </pic:pic>
              </a:graphicData>
            </a:graphic>
          </wp:inline>
        </w:drawing>
      </w:r>
      <w:r w:rsidR="00867B6A" w:rsidRPr="6AB4E263">
        <w:rPr>
          <w:rFonts w:ascii="Verdana" w:eastAsia="Times New Roman" w:hAnsi="Verdana"/>
          <w:b/>
          <w:bCs/>
          <w:noProof/>
        </w:rPr>
        <w:t xml:space="preserve"> </w:t>
      </w:r>
    </w:p>
    <w:p w14:paraId="46CFF198" w14:textId="77777777" w:rsidR="00867B6A" w:rsidRDefault="00867B6A" w:rsidP="00867B6A">
      <w:pPr>
        <w:spacing w:after="0" w:line="256" w:lineRule="auto"/>
        <w:jc w:val="center"/>
        <w:rPr>
          <w:rFonts w:ascii="Verdana" w:eastAsia="Times New Roman" w:hAnsi="Verdana"/>
          <w:b/>
          <w:bCs/>
          <w:noProof/>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867B6A" w:rsidRPr="008E4F36" w14:paraId="5494BB1C" w14:textId="77777777" w:rsidTr="003B48A4">
        <w:trPr>
          <w:trHeight w:val="315"/>
        </w:trPr>
        <w:tc>
          <w:tcPr>
            <w:tcW w:w="893" w:type="dxa"/>
            <w:vAlign w:val="center"/>
            <w:hideMark/>
          </w:tcPr>
          <w:p w14:paraId="32742E82" w14:textId="77777777" w:rsidR="00867B6A" w:rsidRPr="008E4F36" w:rsidRDefault="00867B6A" w:rsidP="003B48A4">
            <w:pPr>
              <w:contextualSpacing/>
              <w:rPr>
                <w:rFonts w:ascii="Verdana" w:hAnsi="Verdana" w:cs="Arial"/>
                <w:sz w:val="16"/>
                <w:szCs w:val="16"/>
                <w:lang w:eastAsia="es-ES"/>
              </w:rPr>
            </w:pPr>
            <w:r w:rsidRPr="008E4F36">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2E290659" w14:textId="77777777" w:rsidR="00867B6A" w:rsidRPr="008E4F36" w:rsidRDefault="00867B6A" w:rsidP="003B48A4">
            <w:pPr>
              <w:contextualSpacing/>
              <w:rPr>
                <w:rStyle w:val="normaltextrun"/>
                <w:rFonts w:ascii="Verdana" w:hAnsi="Verdana"/>
                <w:sz w:val="16"/>
                <w:szCs w:val="16"/>
              </w:rPr>
            </w:pPr>
            <w:r w:rsidRPr="008E4F36">
              <w:rPr>
                <w:rStyle w:val="normaltextrun"/>
                <w:rFonts w:ascii="Verdana" w:hAnsi="Verdana"/>
                <w:sz w:val="16"/>
                <w:szCs w:val="16"/>
              </w:rPr>
              <w:t xml:space="preserve">Esperanza Contreras P </w:t>
            </w:r>
          </w:p>
          <w:p w14:paraId="76E544FE" w14:textId="77777777" w:rsidR="00867B6A" w:rsidRPr="008E4F36" w:rsidRDefault="00867B6A" w:rsidP="003B48A4">
            <w:pPr>
              <w:contextualSpacing/>
              <w:rPr>
                <w:rFonts w:ascii="Verdana" w:eastAsia="Arial" w:hAnsi="Verdana" w:cs="Arial"/>
                <w:sz w:val="16"/>
                <w:szCs w:val="16"/>
              </w:rPr>
            </w:pPr>
            <w:r w:rsidRPr="008E4F36">
              <w:rPr>
                <w:rStyle w:val="normaltextrun"/>
                <w:rFonts w:ascii="Verdana" w:hAnsi="Verdana" w:cs="Arial"/>
                <w:sz w:val="16"/>
                <w:szCs w:val="16"/>
              </w:rPr>
              <w:t>Contratista de la Subdirección de Gestión Contractual</w:t>
            </w:r>
            <w:r w:rsidRPr="008E4F36">
              <w:rPr>
                <w:rStyle w:val="eop"/>
                <w:rFonts w:ascii="Verdana" w:hAnsi="Verdana" w:cs="Arial"/>
                <w:sz w:val="16"/>
                <w:szCs w:val="16"/>
              </w:rPr>
              <w:t> </w:t>
            </w:r>
          </w:p>
        </w:tc>
      </w:tr>
      <w:tr w:rsidR="00867B6A" w:rsidRPr="008E4F36" w14:paraId="0F254395" w14:textId="77777777" w:rsidTr="003B48A4">
        <w:trPr>
          <w:trHeight w:val="330"/>
        </w:trPr>
        <w:tc>
          <w:tcPr>
            <w:tcW w:w="893" w:type="dxa"/>
            <w:vAlign w:val="center"/>
            <w:hideMark/>
          </w:tcPr>
          <w:p w14:paraId="68DAFE4E" w14:textId="77777777" w:rsidR="00867B6A" w:rsidRPr="008E4F36" w:rsidRDefault="00867B6A" w:rsidP="003B48A4">
            <w:pPr>
              <w:contextualSpacing/>
              <w:rPr>
                <w:rFonts w:ascii="Verdana" w:hAnsi="Verdana" w:cs="Arial"/>
                <w:sz w:val="16"/>
                <w:szCs w:val="16"/>
                <w:lang w:eastAsia="es-ES"/>
              </w:rPr>
            </w:pPr>
            <w:r w:rsidRPr="008E4F36">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345AEE13" w14:textId="77777777" w:rsidR="00867B6A" w:rsidRPr="00707947" w:rsidRDefault="00867B6A" w:rsidP="003B48A4">
            <w:pPr>
              <w:pStyle w:val="paragraph"/>
              <w:spacing w:before="0" w:beforeAutospacing="0" w:after="0" w:afterAutospacing="0"/>
              <w:contextualSpacing/>
              <w:textAlignment w:val="baseline"/>
              <w:rPr>
                <w:rStyle w:val="normaltextrun"/>
                <w:rFonts w:ascii="Verdana" w:hAnsi="Verdana"/>
                <w:sz w:val="16"/>
                <w:szCs w:val="16"/>
              </w:rPr>
            </w:pPr>
            <w:r w:rsidRPr="00707947">
              <w:rPr>
                <w:rStyle w:val="normaltextrun"/>
                <w:rFonts w:ascii="Verdana" w:hAnsi="Verdana"/>
                <w:sz w:val="16"/>
                <w:szCs w:val="16"/>
              </w:rPr>
              <w:t>Alejandro Sarmiento Cantillo</w:t>
            </w:r>
          </w:p>
          <w:p w14:paraId="1F6C0C6C" w14:textId="77777777" w:rsidR="00867B6A" w:rsidRPr="008E4F36" w:rsidRDefault="00867B6A" w:rsidP="003B48A4">
            <w:pPr>
              <w:pStyle w:val="paragraph"/>
              <w:spacing w:before="0" w:beforeAutospacing="0" w:after="0" w:afterAutospacing="0"/>
              <w:contextualSpacing/>
              <w:textAlignment w:val="baseline"/>
              <w:rPr>
                <w:rFonts w:ascii="Verdana" w:hAnsi="Verdana" w:cs="Segoe UI"/>
                <w:sz w:val="16"/>
                <w:szCs w:val="16"/>
              </w:rPr>
            </w:pPr>
            <w:r w:rsidRPr="00707947">
              <w:rPr>
                <w:rFonts w:ascii="Verdana" w:eastAsia="Calibri" w:hAnsi="Verdana"/>
                <w:sz w:val="16"/>
                <w:szCs w:val="16"/>
              </w:rPr>
              <w:t>Gestor T1-15 de la Subdirección de Gestión Contractual </w:t>
            </w:r>
          </w:p>
        </w:tc>
      </w:tr>
      <w:tr w:rsidR="00867B6A" w:rsidRPr="008E4F36" w14:paraId="6A8E6A44" w14:textId="77777777" w:rsidTr="003B48A4">
        <w:trPr>
          <w:trHeight w:val="300"/>
        </w:trPr>
        <w:tc>
          <w:tcPr>
            <w:tcW w:w="893" w:type="dxa"/>
            <w:vAlign w:val="center"/>
          </w:tcPr>
          <w:p w14:paraId="239E7563" w14:textId="77777777" w:rsidR="00867B6A" w:rsidRPr="008E4F36" w:rsidRDefault="00867B6A" w:rsidP="003B48A4">
            <w:pPr>
              <w:contextualSpacing/>
              <w:rPr>
                <w:rFonts w:ascii="Verdana" w:hAnsi="Verdana" w:cs="Arial"/>
                <w:sz w:val="16"/>
                <w:szCs w:val="16"/>
                <w:lang w:eastAsia="es-ES"/>
              </w:rPr>
            </w:pPr>
            <w:r w:rsidRPr="008E4F36">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110A0AAB" w14:textId="77777777" w:rsidR="00867B6A" w:rsidRPr="008E4F36" w:rsidRDefault="00867B6A" w:rsidP="003B48A4">
            <w:pPr>
              <w:contextualSpacing/>
              <w:rPr>
                <w:rFonts w:ascii="Verdana" w:eastAsia="Calibri" w:hAnsi="Verdana" w:cs="Arial"/>
                <w:sz w:val="16"/>
                <w:szCs w:val="16"/>
                <w:lang w:eastAsia="es-ES"/>
              </w:rPr>
            </w:pPr>
            <w:r>
              <w:rPr>
                <w:rFonts w:ascii="Verdana" w:eastAsia="Calibri" w:hAnsi="Verdana" w:cs="Arial"/>
                <w:sz w:val="16"/>
                <w:szCs w:val="16"/>
                <w:lang w:eastAsia="es-ES"/>
              </w:rPr>
              <w:t xml:space="preserve">Ana María Tolosa Rico </w:t>
            </w:r>
          </w:p>
          <w:p w14:paraId="49480256" w14:textId="77777777" w:rsidR="00867B6A" w:rsidRPr="008E4F36" w:rsidRDefault="00867B6A" w:rsidP="003B48A4">
            <w:pPr>
              <w:contextualSpacing/>
              <w:rPr>
                <w:rFonts w:ascii="Verdana" w:eastAsia="Calibri" w:hAnsi="Verdana" w:cs="Arial"/>
                <w:sz w:val="16"/>
                <w:szCs w:val="16"/>
                <w:lang w:eastAsia="es-ES"/>
              </w:rPr>
            </w:pPr>
            <w:r w:rsidRPr="008E4F36">
              <w:rPr>
                <w:rFonts w:ascii="Verdana" w:eastAsia="Calibri" w:hAnsi="Verdana" w:cs="Arial"/>
                <w:sz w:val="16"/>
                <w:szCs w:val="16"/>
                <w:lang w:eastAsia="es-ES"/>
              </w:rPr>
              <w:t>Subdirectora de Gestión Contractual</w:t>
            </w:r>
            <w:r>
              <w:rPr>
                <w:rFonts w:ascii="Verdana" w:eastAsia="Calibri" w:hAnsi="Verdana" w:cs="Arial"/>
                <w:sz w:val="16"/>
                <w:szCs w:val="16"/>
                <w:lang w:eastAsia="es-ES"/>
              </w:rPr>
              <w:t xml:space="preserve"> (E) </w:t>
            </w:r>
            <w:r w:rsidRPr="008E4F36">
              <w:rPr>
                <w:rFonts w:ascii="Verdana" w:eastAsia="Calibri" w:hAnsi="Verdana" w:cs="Arial"/>
                <w:sz w:val="16"/>
                <w:szCs w:val="16"/>
                <w:lang w:eastAsia="es-ES"/>
              </w:rPr>
              <w:t>ANCP – CCE</w:t>
            </w:r>
          </w:p>
        </w:tc>
      </w:tr>
      <w:bookmarkEnd w:id="4"/>
      <w:bookmarkEnd w:id="5"/>
    </w:tbl>
    <w:p w14:paraId="748FA86A" w14:textId="77777777" w:rsidR="00867B6A" w:rsidRPr="008E4F36" w:rsidRDefault="00867B6A" w:rsidP="00867B6A">
      <w:pPr>
        <w:spacing w:after="0"/>
        <w:rPr>
          <w:rFonts w:ascii="Verdana" w:hAnsi="Verdana"/>
        </w:rPr>
      </w:pPr>
    </w:p>
    <w:p w14:paraId="463CD20F" w14:textId="77777777" w:rsidR="00867B6A" w:rsidRPr="008E4F36" w:rsidRDefault="00867B6A" w:rsidP="00867B6A">
      <w:pPr>
        <w:spacing w:after="0"/>
        <w:jc w:val="both"/>
        <w:rPr>
          <w:rStyle w:val="Hipervnculo"/>
          <w:rFonts w:ascii="Verdana" w:hAnsi="Verdana"/>
        </w:rPr>
      </w:pPr>
    </w:p>
    <w:bookmarkEnd w:id="0"/>
    <w:bookmarkEnd w:id="1"/>
    <w:p w14:paraId="2653647D" w14:textId="77777777" w:rsidR="00867B6A" w:rsidRPr="003F061C" w:rsidRDefault="00867B6A" w:rsidP="00867B6A"/>
    <w:p w14:paraId="6842DD7C" w14:textId="77777777" w:rsidR="00867B6A" w:rsidRPr="008E4F36" w:rsidRDefault="00867B6A" w:rsidP="00867B6A">
      <w:pPr>
        <w:spacing w:after="0"/>
        <w:jc w:val="both"/>
        <w:rPr>
          <w:rStyle w:val="Hipervnculo"/>
          <w:rFonts w:ascii="Verdana" w:hAnsi="Verdana"/>
        </w:rPr>
      </w:pPr>
    </w:p>
    <w:p w14:paraId="6837C239" w14:textId="77777777" w:rsidR="00867B6A" w:rsidRPr="003F061C" w:rsidRDefault="00867B6A" w:rsidP="00867B6A"/>
    <w:bookmarkEnd w:id="2"/>
    <w:p w14:paraId="3E22FF4A" w14:textId="77777777" w:rsidR="00867B6A" w:rsidRPr="00F22B3E" w:rsidRDefault="00867B6A" w:rsidP="00867B6A"/>
    <w:p w14:paraId="5FA89A04" w14:textId="77777777" w:rsidR="00867B6A" w:rsidRPr="00DA731C" w:rsidRDefault="00867B6A" w:rsidP="00867B6A"/>
    <w:p w14:paraId="62296704" w14:textId="77777777" w:rsidR="00867B6A" w:rsidRPr="0044528D" w:rsidRDefault="00867B6A" w:rsidP="00867B6A">
      <w:pPr>
        <w:spacing w:after="0"/>
        <w:rPr>
          <w:rFonts w:ascii="Verdana" w:hAnsi="Verdana"/>
        </w:rPr>
      </w:pPr>
    </w:p>
    <w:p w14:paraId="6961DCF1" w14:textId="77777777" w:rsidR="00867B6A" w:rsidRPr="0044528D" w:rsidRDefault="00867B6A" w:rsidP="00867B6A">
      <w:pPr>
        <w:spacing w:after="0"/>
        <w:rPr>
          <w:rFonts w:ascii="Verdana" w:hAnsi="Verdana"/>
        </w:rPr>
      </w:pPr>
    </w:p>
    <w:bookmarkEnd w:id="3"/>
    <w:p w14:paraId="6A65F73E" w14:textId="77777777" w:rsidR="00867B6A" w:rsidRPr="0044528D" w:rsidRDefault="00867B6A" w:rsidP="00867B6A">
      <w:pPr>
        <w:spacing w:after="0" w:line="240" w:lineRule="auto"/>
        <w:textAlignment w:val="baseline"/>
        <w:rPr>
          <w:rFonts w:ascii="Verdana" w:eastAsia="Times New Roman" w:hAnsi="Verdana" w:cs="Segoe UI"/>
          <w:b/>
          <w:bCs/>
          <w:color w:val="46589C"/>
          <w:lang w:val="es-ES" w:eastAsia="es-CO"/>
        </w:rPr>
      </w:pPr>
    </w:p>
    <w:p w14:paraId="3900974D" w14:textId="77777777" w:rsidR="003D5B0D" w:rsidRPr="00867B6A" w:rsidRDefault="003D5B0D" w:rsidP="0083428F">
      <w:pPr>
        <w:rPr>
          <w:lang w:val="es-ES"/>
        </w:rPr>
      </w:pPr>
    </w:p>
    <w:sectPr w:rsidR="003D5B0D" w:rsidRPr="00867B6A"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3D2373" w14:textId="77777777" w:rsidR="005414F1" w:rsidRDefault="005414F1" w:rsidP="004A1847">
      <w:pPr>
        <w:spacing w:after="0" w:line="240" w:lineRule="auto"/>
      </w:pPr>
      <w:r>
        <w:separator/>
      </w:r>
    </w:p>
  </w:endnote>
  <w:endnote w:type="continuationSeparator" w:id="0">
    <w:p w14:paraId="6681B1B8" w14:textId="77777777" w:rsidR="005414F1" w:rsidRDefault="005414F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ABD458" w14:textId="77777777" w:rsidR="005414F1" w:rsidRDefault="005414F1" w:rsidP="004A1847">
      <w:pPr>
        <w:spacing w:after="0" w:line="240" w:lineRule="auto"/>
      </w:pPr>
      <w:r>
        <w:separator/>
      </w:r>
    </w:p>
  </w:footnote>
  <w:footnote w:type="continuationSeparator" w:id="0">
    <w:p w14:paraId="67E71A9F" w14:textId="77777777" w:rsidR="005414F1" w:rsidRDefault="005414F1" w:rsidP="004A1847">
      <w:pPr>
        <w:spacing w:after="0" w:line="240" w:lineRule="auto"/>
      </w:pPr>
      <w:r>
        <w:continuationSeparator/>
      </w:r>
    </w:p>
  </w:footnote>
  <w:footnote w:id="1">
    <w:p w14:paraId="64CB02BA" w14:textId="77777777" w:rsidR="00867B6A" w:rsidRPr="00997992" w:rsidRDefault="00867B6A" w:rsidP="00867B6A">
      <w:pPr>
        <w:pStyle w:val="Textonotapie"/>
        <w:ind w:firstLine="708"/>
        <w:contextualSpacing/>
        <w:jc w:val="both"/>
        <w:rPr>
          <w:rFonts w:ascii="Verdana" w:hAnsi="Verdana" w:cs="Arial"/>
          <w:sz w:val="14"/>
          <w:szCs w:val="14"/>
        </w:rPr>
      </w:pPr>
      <w:r w:rsidRPr="00997992">
        <w:rPr>
          <w:rStyle w:val="Refdenotaalpie"/>
          <w:rFonts w:ascii="Verdana" w:hAnsi="Verdana" w:cs="Arial"/>
          <w:sz w:val="14"/>
          <w:szCs w:val="14"/>
        </w:rPr>
        <w:footnoteRef/>
      </w:r>
      <w:r w:rsidRPr="00997992">
        <w:rPr>
          <w:rFonts w:ascii="Verdana" w:hAnsi="Verdana" w:cs="Arial"/>
          <w:sz w:val="14"/>
          <w:szCs w:val="14"/>
        </w:rPr>
        <w:t xml:space="preserve"> “Artículo 100: Asimilación a sociedades comerciales - legislación mercantil. Se tendrán como comerciales, para todos los efectos legales las sociedades que se formen para la ejecución de actos o empresas mercantiles. Si la empresa social comprende actos mercantiles y actos que no tengan esa calidad, la sociedad será comercial. Las sociedades que no contemplen en su objeto social actos mercantiles serán civiles. </w:t>
      </w:r>
    </w:p>
    <w:p w14:paraId="5B34876A" w14:textId="77777777" w:rsidR="00867B6A" w:rsidRPr="00997992" w:rsidRDefault="00867B6A" w:rsidP="00867B6A">
      <w:pPr>
        <w:pStyle w:val="Textonotapie"/>
        <w:ind w:firstLine="709"/>
        <w:contextualSpacing/>
        <w:jc w:val="both"/>
        <w:rPr>
          <w:rFonts w:ascii="Verdana" w:hAnsi="Verdana" w:cs="Arial"/>
          <w:sz w:val="14"/>
          <w:szCs w:val="14"/>
        </w:rPr>
      </w:pPr>
      <w:r w:rsidRPr="00997992">
        <w:rPr>
          <w:rFonts w:ascii="Verdana" w:hAnsi="Verdana" w:cs="Arial"/>
          <w:sz w:val="14"/>
          <w:szCs w:val="14"/>
        </w:rPr>
        <w:t>Sin embargo, cualquiera que sea su objeto, las sociedades comerciales y civiles estarán sujetas, para todos los efectos, a la legislación mercantil”.</w:t>
      </w:r>
    </w:p>
    <w:p w14:paraId="093BD24A" w14:textId="77777777" w:rsidR="00867B6A" w:rsidRPr="00997992" w:rsidRDefault="00867B6A" w:rsidP="00867B6A">
      <w:pPr>
        <w:pStyle w:val="Textonotapie"/>
        <w:contextualSpacing/>
        <w:jc w:val="both"/>
        <w:rPr>
          <w:rFonts w:ascii="Verdana" w:hAnsi="Verdana" w:cs="Arial"/>
          <w:sz w:val="14"/>
          <w:szCs w:val="14"/>
          <w:lang w:val="es-CO"/>
        </w:rPr>
      </w:pPr>
    </w:p>
  </w:footnote>
  <w:footnote w:id="2">
    <w:p w14:paraId="56FF201F" w14:textId="77777777" w:rsidR="00867B6A" w:rsidRPr="00997992" w:rsidRDefault="00867B6A" w:rsidP="00867B6A">
      <w:pPr>
        <w:pStyle w:val="Textonotapie"/>
        <w:ind w:firstLine="708"/>
        <w:contextualSpacing/>
        <w:jc w:val="both"/>
        <w:rPr>
          <w:rFonts w:ascii="Verdana" w:hAnsi="Verdana" w:cs="Arial"/>
          <w:sz w:val="14"/>
          <w:szCs w:val="14"/>
        </w:rPr>
      </w:pPr>
      <w:r w:rsidRPr="00997992">
        <w:rPr>
          <w:rStyle w:val="Refdenotaalpie"/>
          <w:rFonts w:ascii="Verdana" w:hAnsi="Verdana" w:cs="Arial"/>
          <w:sz w:val="14"/>
          <w:szCs w:val="14"/>
        </w:rPr>
        <w:footnoteRef/>
      </w:r>
      <w:r w:rsidRPr="00997992">
        <w:rPr>
          <w:rFonts w:ascii="Verdana" w:hAnsi="Verdana" w:cs="Arial"/>
          <w:sz w:val="14"/>
          <w:szCs w:val="14"/>
        </w:rPr>
        <w:t xml:space="preserve"> TORRENTE BAYONA, César y BUSTAMANTE, Luis Eduardo. Las entidades sin ánimo de lucro (3ª Ed.). Editado por la Cámara de Comercio de Bogotá. Bogotá. 2000, p. 33. Allí se lee: “Las entidades sin ánimo de lucro son personas jurídicas, capaces de ejercer derechos y contraer obligaciones y de ser representadas judicial y extrajudicialmente, con sujeción a las disposiciones legales y a sus propios estatutos. Nacen por voluntad de los asociados en virtud del derecho constitucional de asociación, o por la libertad de disposición de los bienes de los particulares, para la realización de fines altruistas o de beneficio comunitario; de lo que se infiere que no contemplan dentro de su objeto principal el desarrollo de actividades mercantiles. </w:t>
      </w:r>
    </w:p>
    <w:p w14:paraId="14802ACB" w14:textId="77777777" w:rsidR="00867B6A" w:rsidRPr="00997992" w:rsidRDefault="00867B6A" w:rsidP="00867B6A">
      <w:pPr>
        <w:pStyle w:val="Textonotapie"/>
        <w:contextualSpacing/>
        <w:jc w:val="both"/>
        <w:rPr>
          <w:rFonts w:ascii="Verdana" w:hAnsi="Verdana" w:cs="Arial"/>
          <w:sz w:val="14"/>
          <w:szCs w:val="14"/>
          <w:lang w:val="es-CO"/>
        </w:rPr>
      </w:pPr>
      <w:r w:rsidRPr="00997992">
        <w:rPr>
          <w:rFonts w:ascii="Verdana" w:hAnsi="Verdana" w:cs="Arial"/>
          <w:sz w:val="14"/>
          <w:szCs w:val="14"/>
        </w:rPr>
        <w:t>La ausencia de lucro es una de sus características fundamentales, lo cual significa que no existe el reparto de utilidades o remanentes generados en el desarrollo de sus objetivos, ni es viable el reembolso de los bienes o dineros aportados a la entidad […]”.</w:t>
      </w:r>
    </w:p>
  </w:footnote>
  <w:footnote w:id="3">
    <w:p w14:paraId="13F665F2" w14:textId="77777777" w:rsidR="00867B6A" w:rsidRDefault="00867B6A" w:rsidP="00867B6A">
      <w:pPr>
        <w:pStyle w:val="Textonotapie"/>
        <w:ind w:firstLine="708"/>
        <w:contextualSpacing/>
        <w:jc w:val="both"/>
        <w:rPr>
          <w:rStyle w:val="eop"/>
          <w:rFonts w:ascii="Verdana" w:hAnsi="Verdana" w:cs="Arial"/>
          <w:color w:val="000000"/>
          <w:sz w:val="14"/>
          <w:szCs w:val="14"/>
          <w:shd w:val="clear" w:color="auto" w:fill="FFFFFF"/>
        </w:rPr>
      </w:pPr>
      <w:r w:rsidRPr="00997992">
        <w:rPr>
          <w:rStyle w:val="Refdenotaalpie"/>
          <w:rFonts w:ascii="Verdana" w:hAnsi="Verdana" w:cs="Arial"/>
          <w:sz w:val="14"/>
          <w:szCs w:val="14"/>
        </w:rPr>
        <w:footnoteRef/>
      </w:r>
      <w:r w:rsidRPr="00997992">
        <w:rPr>
          <w:rFonts w:ascii="Verdana" w:hAnsi="Verdana" w:cs="Arial"/>
          <w:sz w:val="14"/>
          <w:szCs w:val="14"/>
        </w:rPr>
        <w:t xml:space="preserve"> </w:t>
      </w:r>
      <w:r w:rsidRPr="00997992">
        <w:rPr>
          <w:rStyle w:val="normaltextrun"/>
          <w:rFonts w:ascii="Verdana" w:hAnsi="Verdana" w:cs="Arial"/>
          <w:color w:val="000000"/>
          <w:sz w:val="14"/>
          <w:szCs w:val="14"/>
          <w:shd w:val="clear" w:color="auto" w:fill="FFFFFF"/>
          <w:lang w:val="pt-BR"/>
        </w:rPr>
        <w:t xml:space="preserve">Corte Constitucional. Sentencia C-287 de 2012. </w:t>
      </w:r>
      <w:r w:rsidRPr="00997992">
        <w:rPr>
          <w:rStyle w:val="normaltextrun"/>
          <w:rFonts w:ascii="Verdana" w:hAnsi="Verdana" w:cs="Arial"/>
          <w:color w:val="000000"/>
          <w:sz w:val="14"/>
          <w:szCs w:val="14"/>
          <w:shd w:val="clear" w:color="auto" w:fill="FFFFFF"/>
          <w:lang w:val="es-ES"/>
        </w:rPr>
        <w:t>M.P. María Victoria Calle.</w:t>
      </w:r>
      <w:r w:rsidRPr="00997992">
        <w:rPr>
          <w:rStyle w:val="eop"/>
          <w:rFonts w:ascii="Verdana" w:hAnsi="Verdana" w:cs="Arial"/>
          <w:color w:val="000000"/>
          <w:sz w:val="14"/>
          <w:szCs w:val="14"/>
          <w:shd w:val="clear" w:color="auto" w:fill="FFFFFF"/>
        </w:rPr>
        <w:t> </w:t>
      </w:r>
    </w:p>
    <w:p w14:paraId="6EB1B13B" w14:textId="77777777" w:rsidR="00867B6A" w:rsidRPr="00997992" w:rsidRDefault="00867B6A" w:rsidP="00867B6A">
      <w:pPr>
        <w:pStyle w:val="Textonotapie"/>
        <w:ind w:firstLine="708"/>
        <w:contextualSpacing/>
        <w:jc w:val="both"/>
        <w:rPr>
          <w:rFonts w:ascii="Verdana" w:hAnsi="Verdana" w:cs="Arial"/>
          <w:color w:val="000000"/>
          <w:sz w:val="14"/>
          <w:szCs w:val="14"/>
          <w:shd w:val="clear" w:color="auto" w:fill="FFFFFF"/>
        </w:rPr>
      </w:pPr>
    </w:p>
  </w:footnote>
  <w:footnote w:id="4">
    <w:p w14:paraId="31E906BE" w14:textId="77777777" w:rsidR="00867B6A" w:rsidRPr="00997992" w:rsidRDefault="00867B6A" w:rsidP="00867B6A">
      <w:pPr>
        <w:pStyle w:val="Textonotapie"/>
        <w:ind w:firstLine="708"/>
        <w:contextualSpacing/>
        <w:jc w:val="both"/>
        <w:rPr>
          <w:rFonts w:ascii="Verdana" w:hAnsi="Verdana" w:cs="Arial"/>
          <w:sz w:val="14"/>
          <w:szCs w:val="14"/>
        </w:rPr>
      </w:pPr>
      <w:r w:rsidRPr="00997992">
        <w:rPr>
          <w:rStyle w:val="Refdenotaalpie"/>
          <w:rFonts w:ascii="Verdana" w:hAnsi="Verdana" w:cs="Arial"/>
          <w:sz w:val="14"/>
          <w:szCs w:val="14"/>
        </w:rPr>
        <w:footnoteRef/>
      </w:r>
      <w:r w:rsidRPr="00997992">
        <w:rPr>
          <w:rFonts w:ascii="Verdana" w:hAnsi="Verdana" w:cs="Arial"/>
          <w:sz w:val="14"/>
          <w:szCs w:val="14"/>
        </w:rPr>
        <w:t xml:space="preserve"> Cámara de Comercio de Bogotá, “ABC DE ESALES”. Bogotá. 2013. Disponible en este link: </w:t>
      </w:r>
      <w:hyperlink r:id="rId1" w:history="1">
        <w:r w:rsidRPr="00997992">
          <w:rPr>
            <w:rStyle w:val="Hipervnculo"/>
            <w:rFonts w:ascii="Verdana" w:hAnsi="Verdana" w:cs="Arial"/>
            <w:sz w:val="14"/>
            <w:szCs w:val="14"/>
          </w:rPr>
          <w:t>https://bibliotecadigital.ccb.org.co/bitstream/handle/11520/8346/el%20abc%20de%20esales%202013%20completo.pdf?sequence=1&amp;isAllowed=y</w:t>
        </w:r>
      </w:hyperlink>
      <w:r w:rsidRPr="00997992">
        <w:rPr>
          <w:rFonts w:ascii="Verdana" w:hAnsi="Verdana" w:cs="Arial"/>
          <w:sz w:val="14"/>
          <w:szCs w:val="14"/>
        </w:rPr>
        <w:t xml:space="preserve">. </w:t>
      </w:r>
      <w:r>
        <w:rPr>
          <w:rFonts w:ascii="Verdana" w:hAnsi="Verdana" w:cs="Arial"/>
          <w:sz w:val="14"/>
          <w:szCs w:val="14"/>
        </w:rPr>
        <w:t xml:space="preserve">También se puede consultar el Manual básico sobre entidades sin ánimo de lucro – ESAL en </w:t>
      </w:r>
      <w:hyperlink r:id="rId2" w:history="1">
        <w:r w:rsidRPr="004B42D5">
          <w:rPr>
            <w:rStyle w:val="Hipervnculo"/>
            <w:rFonts w:ascii="Verdana" w:hAnsi="Verdana" w:cs="Arial"/>
            <w:sz w:val="14"/>
            <w:szCs w:val="14"/>
            <w:lang w:val="es-CO"/>
          </w:rPr>
          <w:t>Manual básico sobre entidades sin ánimo de lucro - ESAL</w:t>
        </w:r>
      </w:hyperlink>
      <w:r>
        <w:rPr>
          <w:rFonts w:ascii="Verdana" w:hAnsi="Verdana" w:cs="Arial"/>
          <w:sz w:val="14"/>
          <w:szCs w:val="14"/>
        </w:rPr>
        <w:t xml:space="preserve">. </w:t>
      </w:r>
    </w:p>
  </w:footnote>
  <w:footnote w:id="5">
    <w:p w14:paraId="53B4667D" w14:textId="77777777" w:rsidR="00867B6A" w:rsidRPr="00351F46" w:rsidRDefault="00867B6A" w:rsidP="00867B6A">
      <w:pPr>
        <w:pStyle w:val="Textonotapie"/>
        <w:ind w:firstLine="708"/>
        <w:contextualSpacing/>
        <w:jc w:val="both"/>
        <w:rPr>
          <w:rFonts w:ascii="Verdana" w:hAnsi="Verdana" w:cs="Arial"/>
          <w:sz w:val="14"/>
          <w:szCs w:val="14"/>
        </w:rPr>
      </w:pPr>
      <w:r w:rsidRPr="00351F46">
        <w:rPr>
          <w:rStyle w:val="Refdenotaalpie"/>
          <w:rFonts w:ascii="Verdana" w:hAnsi="Verdana" w:cs="Arial"/>
          <w:sz w:val="14"/>
          <w:szCs w:val="14"/>
        </w:rPr>
        <w:footnoteRef/>
      </w:r>
      <w:r w:rsidRPr="00351F46">
        <w:rPr>
          <w:rFonts w:ascii="Verdana" w:hAnsi="Verdana" w:cs="Arial"/>
          <w:sz w:val="14"/>
          <w:szCs w:val="14"/>
        </w:rPr>
        <w:t xml:space="preserve"> Ley 1450 de 2011. “Artículo 43. Definiciones de tamaño empresarial. El artículo 2° de la Ley 590 de 2000, quedará así: </w:t>
      </w:r>
    </w:p>
    <w:p w14:paraId="4ACC9D7B" w14:textId="77777777" w:rsidR="00867B6A" w:rsidRPr="00351F46" w:rsidRDefault="00867B6A" w:rsidP="00867B6A">
      <w:pPr>
        <w:pStyle w:val="Textonotapie"/>
        <w:ind w:firstLine="708"/>
        <w:contextualSpacing/>
        <w:jc w:val="both"/>
        <w:rPr>
          <w:rFonts w:ascii="Verdana" w:hAnsi="Verdana" w:cs="Arial"/>
          <w:sz w:val="14"/>
          <w:szCs w:val="14"/>
        </w:rPr>
      </w:pPr>
      <w:r w:rsidRPr="00351F46">
        <w:rPr>
          <w:rFonts w:ascii="Verdana" w:hAnsi="Verdana" w:cs="Arial"/>
          <w:sz w:val="14"/>
          <w:szCs w:val="14"/>
        </w:rPr>
        <w:t xml:space="preserve">"Artículo 2°. Definiciones de tamaño empresarial. 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 </w:t>
      </w:r>
    </w:p>
    <w:p w14:paraId="26C249E2" w14:textId="77777777" w:rsidR="00867B6A" w:rsidRPr="00351F46" w:rsidRDefault="00867B6A" w:rsidP="00867B6A">
      <w:pPr>
        <w:pStyle w:val="Textonotapie"/>
        <w:ind w:firstLine="708"/>
        <w:contextualSpacing/>
        <w:jc w:val="both"/>
        <w:rPr>
          <w:rFonts w:ascii="Verdana" w:hAnsi="Verdana" w:cs="Arial"/>
          <w:sz w:val="14"/>
          <w:szCs w:val="14"/>
        </w:rPr>
      </w:pPr>
      <w:r w:rsidRPr="00351F46">
        <w:rPr>
          <w:rFonts w:ascii="Verdana" w:hAnsi="Verdana" w:cs="Arial"/>
          <w:sz w:val="14"/>
          <w:szCs w:val="14"/>
        </w:rPr>
        <w:t xml:space="preserve">1. Número de trabajadores totales. </w:t>
      </w:r>
    </w:p>
    <w:p w14:paraId="0699208C" w14:textId="77777777" w:rsidR="00867B6A" w:rsidRPr="00351F46" w:rsidRDefault="00867B6A" w:rsidP="00867B6A">
      <w:pPr>
        <w:pStyle w:val="Textonotapie"/>
        <w:contextualSpacing/>
        <w:jc w:val="both"/>
        <w:rPr>
          <w:rFonts w:ascii="Verdana" w:hAnsi="Verdana" w:cs="Arial"/>
          <w:sz w:val="14"/>
          <w:szCs w:val="14"/>
        </w:rPr>
      </w:pPr>
      <w:r w:rsidRPr="00351F46">
        <w:rPr>
          <w:rFonts w:ascii="Verdana" w:hAnsi="Verdana" w:cs="Arial"/>
          <w:sz w:val="14"/>
          <w:szCs w:val="14"/>
        </w:rPr>
        <w:t xml:space="preserve"> </w:t>
      </w:r>
      <w:r w:rsidRPr="00351F46">
        <w:rPr>
          <w:rFonts w:ascii="Verdana" w:hAnsi="Verdana" w:cs="Arial"/>
          <w:sz w:val="14"/>
          <w:szCs w:val="14"/>
        </w:rPr>
        <w:tab/>
        <w:t xml:space="preserve">2. Valor de ventas brutas anuales. </w:t>
      </w:r>
    </w:p>
    <w:p w14:paraId="3B824C3D" w14:textId="77777777" w:rsidR="00867B6A" w:rsidRPr="00351F46" w:rsidRDefault="00867B6A" w:rsidP="00867B6A">
      <w:pPr>
        <w:pStyle w:val="Textonotapie"/>
        <w:ind w:firstLine="708"/>
        <w:contextualSpacing/>
        <w:jc w:val="both"/>
        <w:rPr>
          <w:rFonts w:ascii="Verdana" w:hAnsi="Verdana" w:cs="Arial"/>
          <w:sz w:val="14"/>
          <w:szCs w:val="14"/>
        </w:rPr>
      </w:pPr>
      <w:r w:rsidRPr="00351F46">
        <w:rPr>
          <w:rFonts w:ascii="Verdana" w:hAnsi="Verdana" w:cs="Arial"/>
          <w:sz w:val="14"/>
          <w:szCs w:val="14"/>
        </w:rPr>
        <w:t xml:space="preserve">3. Valor activos totales. </w:t>
      </w:r>
    </w:p>
    <w:p w14:paraId="10B38E8A" w14:textId="77777777" w:rsidR="00867B6A" w:rsidRPr="00351F46" w:rsidRDefault="00867B6A" w:rsidP="00867B6A">
      <w:pPr>
        <w:pStyle w:val="Textonotapie"/>
        <w:ind w:firstLine="708"/>
        <w:contextualSpacing/>
        <w:jc w:val="both"/>
        <w:rPr>
          <w:rFonts w:ascii="Verdana" w:hAnsi="Verdana" w:cs="Arial"/>
          <w:sz w:val="14"/>
          <w:szCs w:val="14"/>
        </w:rPr>
      </w:pPr>
      <w:r w:rsidRPr="00351F46">
        <w:rPr>
          <w:rFonts w:ascii="Verdana" w:hAnsi="Verdana" w:cs="Arial"/>
          <w:sz w:val="14"/>
          <w:szCs w:val="14"/>
        </w:rPr>
        <w:t xml:space="preserve">Para efectos de los beneficios otorgados por el Gobierno nacional a las micro, pequeñas y medianas empresas el criterio determinante será el valor de ventas brutas anuales. </w:t>
      </w:r>
    </w:p>
    <w:p w14:paraId="536FF775" w14:textId="77777777" w:rsidR="00867B6A" w:rsidRPr="00351F46" w:rsidRDefault="00867B6A" w:rsidP="00867B6A">
      <w:pPr>
        <w:pStyle w:val="Textonotapie"/>
        <w:ind w:firstLine="708"/>
        <w:contextualSpacing/>
        <w:jc w:val="both"/>
        <w:rPr>
          <w:rFonts w:ascii="Verdana" w:hAnsi="Verdana" w:cs="Arial"/>
          <w:sz w:val="14"/>
          <w:szCs w:val="14"/>
        </w:rPr>
      </w:pPr>
      <w:r w:rsidRPr="00351F46">
        <w:rPr>
          <w:rFonts w:ascii="Verdana" w:hAnsi="Verdana" w:cs="Arial"/>
          <w:sz w:val="14"/>
          <w:szCs w:val="14"/>
        </w:rPr>
        <w:t xml:space="preserve">Parágrafo 1°. El Gobierno Nacional reglamentará los rangos que aplicarán para los tres criterios e incluirá especificidades sectoriales en los casos que considere necesario. </w:t>
      </w:r>
    </w:p>
    <w:p w14:paraId="09752D9B" w14:textId="77777777" w:rsidR="00867B6A" w:rsidRPr="00351F46" w:rsidRDefault="00867B6A" w:rsidP="00867B6A">
      <w:pPr>
        <w:pStyle w:val="Textonotapie"/>
        <w:ind w:firstLine="708"/>
        <w:contextualSpacing/>
        <w:jc w:val="both"/>
        <w:rPr>
          <w:rFonts w:ascii="Verdana" w:hAnsi="Verdana" w:cs="Arial"/>
          <w:sz w:val="14"/>
          <w:szCs w:val="14"/>
        </w:rPr>
      </w:pPr>
      <w:r w:rsidRPr="00351F46">
        <w:rPr>
          <w:rFonts w:ascii="Verdana" w:hAnsi="Verdana" w:cs="Arial"/>
          <w:sz w:val="14"/>
          <w:szCs w:val="14"/>
        </w:rPr>
        <w:t>Parágrafo 2°. Las definiciones contenidas en el artículo 2° de la Ley 590 de 2000 continuarán vigentes hasta tanto entren a regir las normas reglamentarias que profiera el Gobierno Nacional en desarrollo de lo previsto en el presente artículo”.</w:t>
      </w:r>
    </w:p>
    <w:p w14:paraId="6F634E93" w14:textId="77777777" w:rsidR="00867B6A" w:rsidRPr="00EE6E04" w:rsidRDefault="00867B6A" w:rsidP="00867B6A">
      <w:pPr>
        <w:pStyle w:val="Textonotapie"/>
        <w:ind w:firstLine="708"/>
        <w:contextualSpacing/>
        <w:jc w:val="both"/>
        <w:rPr>
          <w:rFonts w:ascii="Verdana" w:hAnsi="Verdana" w:cs="Arial"/>
          <w:sz w:val="15"/>
          <w:szCs w:val="15"/>
          <w:lang w:val="es-CO"/>
        </w:rPr>
      </w:pPr>
    </w:p>
  </w:footnote>
  <w:footnote w:id="6">
    <w:p w14:paraId="4FCA513E" w14:textId="77777777" w:rsidR="00867B6A" w:rsidRPr="00351F46" w:rsidRDefault="00867B6A" w:rsidP="00867B6A">
      <w:pPr>
        <w:pStyle w:val="Textonotapie"/>
        <w:ind w:firstLine="708"/>
        <w:contextualSpacing/>
        <w:jc w:val="both"/>
        <w:rPr>
          <w:rFonts w:ascii="Verdana" w:hAnsi="Verdana" w:cs="Arial"/>
          <w:sz w:val="14"/>
          <w:szCs w:val="14"/>
        </w:rPr>
      </w:pPr>
      <w:r w:rsidRPr="00351F46">
        <w:rPr>
          <w:rStyle w:val="Refdenotaalpie"/>
          <w:rFonts w:ascii="Verdana" w:hAnsi="Verdana" w:cs="Arial"/>
          <w:sz w:val="14"/>
          <w:szCs w:val="14"/>
        </w:rPr>
        <w:footnoteRef/>
      </w:r>
      <w:r w:rsidRPr="00351F46">
        <w:rPr>
          <w:rFonts w:ascii="Verdana" w:hAnsi="Verdana" w:cs="Arial"/>
          <w:sz w:val="14"/>
          <w:szCs w:val="14"/>
        </w:rPr>
        <w:t xml:space="preserve"> Agencia Nacional de Contratación – Colombia Compra Eficiente. Concepto 997 del 30 de diciembre de 2024. </w:t>
      </w:r>
    </w:p>
    <w:p w14:paraId="1F9B8A79" w14:textId="77777777" w:rsidR="00867B6A" w:rsidRPr="00351F46" w:rsidRDefault="00867B6A" w:rsidP="00867B6A">
      <w:pPr>
        <w:pStyle w:val="Textonotapie"/>
        <w:ind w:firstLine="708"/>
        <w:contextualSpacing/>
        <w:jc w:val="both"/>
        <w:rPr>
          <w:rFonts w:ascii="Verdana" w:hAnsi="Verdana" w:cs="Arial"/>
          <w:sz w:val="14"/>
          <w:szCs w:val="14"/>
          <w:lang w:val="es-CO"/>
        </w:rPr>
      </w:pPr>
    </w:p>
  </w:footnote>
  <w:footnote w:id="7">
    <w:p w14:paraId="43FDA84A" w14:textId="77777777" w:rsidR="00123A43" w:rsidRDefault="00123A43" w:rsidP="00123A43">
      <w:pPr>
        <w:pStyle w:val="Textonotapie"/>
        <w:jc w:val="both"/>
        <w:rPr>
          <w:rFonts w:ascii="Verdana" w:hAnsi="Verdana"/>
          <w:sz w:val="14"/>
          <w:szCs w:val="14"/>
        </w:rPr>
      </w:pPr>
    </w:p>
    <w:p w14:paraId="752DEB4F" w14:textId="6D35A271" w:rsidR="00123A43" w:rsidRPr="00351F46" w:rsidRDefault="00123A43" w:rsidP="00123A43">
      <w:pPr>
        <w:pStyle w:val="Textonotapie"/>
        <w:ind w:firstLine="709"/>
        <w:jc w:val="both"/>
        <w:rPr>
          <w:rFonts w:ascii="Verdana" w:hAnsi="Verdana"/>
          <w:sz w:val="14"/>
          <w:szCs w:val="14"/>
        </w:rPr>
      </w:pPr>
      <w:r w:rsidRPr="00351F46">
        <w:rPr>
          <w:rStyle w:val="Refdenotaalpie"/>
          <w:rFonts w:ascii="Verdana" w:hAnsi="Verdana"/>
          <w:sz w:val="14"/>
          <w:szCs w:val="14"/>
        </w:rPr>
        <w:footnoteRef/>
      </w:r>
      <w:r w:rsidR="00787201">
        <w:rPr>
          <w:rFonts w:ascii="Verdana" w:hAnsi="Verdana"/>
          <w:sz w:val="14"/>
          <w:szCs w:val="14"/>
        </w:rPr>
        <w:t xml:space="preserve"> </w:t>
      </w:r>
      <w:r w:rsidR="00787201" w:rsidRPr="00787201">
        <w:rPr>
          <w:rFonts w:ascii="Verdana" w:hAnsi="Verdana"/>
          <w:b/>
          <w:bCs/>
          <w:sz w:val="14"/>
          <w:szCs w:val="14"/>
        </w:rPr>
        <w:t xml:space="preserve">ARTÍCULO 2.2.1.2.4.2.2. </w:t>
      </w:r>
      <w:r w:rsidRPr="00787201">
        <w:rPr>
          <w:rFonts w:ascii="Verdana" w:hAnsi="Verdana"/>
          <w:b/>
          <w:bCs/>
          <w:sz w:val="14"/>
          <w:szCs w:val="14"/>
        </w:rPr>
        <w:t>Convocatorias Limitadas a Mipyme</w:t>
      </w:r>
      <w:r w:rsidRPr="00351F46">
        <w:rPr>
          <w:rFonts w:ascii="Verdana" w:hAnsi="Verdana"/>
          <w:sz w:val="14"/>
          <w:szCs w:val="14"/>
        </w:rPr>
        <w:t>.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w:t>
      </w:r>
    </w:p>
    <w:p w14:paraId="7DA91A06" w14:textId="77777777" w:rsidR="00123A43" w:rsidRPr="00351F46" w:rsidRDefault="00123A43" w:rsidP="00123A43">
      <w:pPr>
        <w:pStyle w:val="Textonotapie"/>
        <w:ind w:firstLine="709"/>
        <w:jc w:val="both"/>
        <w:rPr>
          <w:rFonts w:ascii="Verdana" w:hAnsi="Verdana"/>
          <w:sz w:val="14"/>
          <w:szCs w:val="14"/>
        </w:rPr>
      </w:pPr>
      <w:r w:rsidRPr="00351F46">
        <w:rPr>
          <w:rFonts w:ascii="Verdana" w:hAnsi="Verdana"/>
          <w:sz w:val="14"/>
          <w:szCs w:val="14"/>
        </w:rPr>
        <w:t>1. El valor del Proceso de Contratación sea menor a ciento veinticinco mil dólares de los Estados Unidos de América (US$125.000), liquidados con la tasa de cambio que para el efecto determina cada dos años el Ministerio de Comercio, Industria y Turismo.</w:t>
      </w:r>
    </w:p>
    <w:p w14:paraId="5B5860C6" w14:textId="77777777" w:rsidR="00123A43" w:rsidRPr="00351F46" w:rsidRDefault="00123A43" w:rsidP="00123A43">
      <w:pPr>
        <w:pStyle w:val="Textonotapie"/>
        <w:ind w:firstLine="709"/>
        <w:jc w:val="both"/>
        <w:rPr>
          <w:rFonts w:ascii="Verdana" w:hAnsi="Verdana"/>
          <w:sz w:val="14"/>
          <w:szCs w:val="14"/>
        </w:rPr>
      </w:pPr>
      <w:r w:rsidRPr="00351F46">
        <w:rPr>
          <w:rFonts w:ascii="Verdana" w:hAnsi="Verdana"/>
          <w:sz w:val="14"/>
          <w:szCs w:val="14"/>
        </w:rP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68856ADD" w14:textId="77777777" w:rsidR="00123A43" w:rsidRPr="00351F46" w:rsidRDefault="00123A43" w:rsidP="00123A43">
      <w:pPr>
        <w:pStyle w:val="Textonotapie"/>
        <w:ind w:firstLine="709"/>
        <w:jc w:val="both"/>
        <w:rPr>
          <w:rFonts w:ascii="Verdana" w:hAnsi="Verdana"/>
          <w:sz w:val="14"/>
          <w:szCs w:val="14"/>
        </w:rPr>
      </w:pPr>
      <w:r w:rsidRPr="00351F46">
        <w:rPr>
          <w:rFonts w:ascii="Verdana" w:hAnsi="Verdana"/>
          <w:sz w:val="14"/>
          <w:szCs w:val="14"/>
        </w:rPr>
        <w:t>Tratándose de personas jurídicas, las solicitudes solo las podrán realizar Mipyme, cuyo objeto social les permita ejecutar el contrato relacionado con el proceso contractual.</w:t>
      </w:r>
    </w:p>
    <w:p w14:paraId="61617F71" w14:textId="77777777" w:rsidR="00123A43" w:rsidRDefault="00123A43" w:rsidP="00123A43">
      <w:pPr>
        <w:pStyle w:val="Textonotapie"/>
        <w:ind w:firstLine="709"/>
        <w:jc w:val="both"/>
        <w:rPr>
          <w:rFonts w:ascii="Verdana" w:hAnsi="Verdana"/>
          <w:sz w:val="14"/>
          <w:szCs w:val="14"/>
        </w:rPr>
      </w:pPr>
      <w:r w:rsidRPr="00351F46">
        <w:rPr>
          <w:rFonts w:ascii="Verdana" w:hAnsi="Verdana"/>
          <w:sz w:val="14"/>
          <w:szCs w:val="14"/>
        </w:rPr>
        <w:t>Parágrafo. Las cooperativas y demás entidades de economía solidaria, siempre que tengan la calidad de Mipyme, podrán solicitar y participar en las convocatorias limitadas en las mismas condiciones dispuestas en el presente artículo”.</w:t>
      </w:r>
    </w:p>
    <w:p w14:paraId="15EE6E3D" w14:textId="77777777" w:rsidR="00123A43" w:rsidRPr="00351F46" w:rsidRDefault="00123A43" w:rsidP="00123A43">
      <w:pPr>
        <w:pStyle w:val="Textonotapie"/>
        <w:ind w:firstLine="709"/>
        <w:jc w:val="both"/>
        <w:rPr>
          <w:lang w:val="es-CO"/>
        </w:rPr>
      </w:pPr>
    </w:p>
  </w:footnote>
  <w:footnote w:id="8">
    <w:p w14:paraId="29FAB33C" w14:textId="7BBA84D0" w:rsidR="00123A43" w:rsidRDefault="00123A43" w:rsidP="00926B25">
      <w:pPr>
        <w:pStyle w:val="Textonotapie"/>
        <w:ind w:firstLine="709"/>
        <w:jc w:val="both"/>
        <w:rPr>
          <w:rFonts w:ascii="Verdana" w:hAnsi="Verdana"/>
          <w:sz w:val="14"/>
          <w:szCs w:val="14"/>
          <w:lang w:val="es-CO"/>
        </w:rPr>
      </w:pPr>
      <w:r w:rsidRPr="00926B25">
        <w:rPr>
          <w:rStyle w:val="Refdenotaalpie"/>
          <w:rFonts w:ascii="Verdana" w:hAnsi="Verdana"/>
          <w:sz w:val="14"/>
          <w:szCs w:val="14"/>
        </w:rPr>
        <w:footnoteRef/>
      </w:r>
      <w:r w:rsidRPr="00926B25">
        <w:rPr>
          <w:rFonts w:ascii="Verdana" w:hAnsi="Verdana"/>
          <w:sz w:val="14"/>
          <w:szCs w:val="14"/>
        </w:rPr>
        <w:t xml:space="preserve"> </w:t>
      </w:r>
      <w:r w:rsidR="00926B25" w:rsidRPr="00926B25">
        <w:rPr>
          <w:rFonts w:ascii="Verdana" w:hAnsi="Verdana"/>
          <w:b/>
          <w:bCs/>
          <w:sz w:val="14"/>
          <w:szCs w:val="14"/>
          <w:lang w:val="es-CO"/>
        </w:rPr>
        <w:t>ARTÍCULO</w:t>
      </w:r>
      <w:bookmarkStart w:id="8" w:name="2.2.1.2.4.2.3"/>
      <w:bookmarkEnd w:id="8"/>
      <w:r w:rsidR="00926B25" w:rsidRPr="00926B25">
        <w:rPr>
          <w:rFonts w:ascii="Verdana" w:hAnsi="Verdana"/>
          <w:b/>
          <w:bCs/>
          <w:sz w:val="14"/>
          <w:szCs w:val="14"/>
          <w:lang w:val="es-CO"/>
        </w:rPr>
        <w:t> 2.2.1.2.4.2.3. Limitaciones territoriales.</w:t>
      </w:r>
      <w:r w:rsidR="00926B25" w:rsidRPr="00926B25">
        <w:rPr>
          <w:rFonts w:ascii="Verdana" w:hAnsi="Verdana"/>
          <w:sz w:val="14"/>
          <w:szCs w:val="14"/>
          <w:lang w:val="es-CO"/>
        </w:rPr>
        <w:t> De conformidad con el parágrafo </w:t>
      </w:r>
      <w:hyperlink r:id="rId3" w:anchor="12.p1" w:history="1">
        <w:r w:rsidR="00926B25" w:rsidRPr="00926B25">
          <w:rPr>
            <w:rStyle w:val="Hipervnculo"/>
            <w:rFonts w:ascii="Verdana" w:hAnsi="Verdana"/>
            <w:color w:val="auto"/>
            <w:sz w:val="14"/>
            <w:szCs w:val="14"/>
            <w:lang w:val="es-CO"/>
          </w:rPr>
          <w:t>1 </w:t>
        </w:r>
      </w:hyperlink>
      <w:r w:rsidR="00926B25" w:rsidRPr="00926B25">
        <w:rPr>
          <w:rFonts w:ascii="Verdana" w:hAnsi="Verdana"/>
          <w:sz w:val="14"/>
          <w:szCs w:val="14"/>
          <w:lang w:val="es-CO"/>
        </w:rPr>
        <w:t>del artículo </w:t>
      </w:r>
      <w:hyperlink r:id="rId4" w:anchor="12" w:history="1">
        <w:r w:rsidR="00926B25" w:rsidRPr="00926B25">
          <w:rPr>
            <w:rStyle w:val="Hipervnculo"/>
            <w:rFonts w:ascii="Verdana" w:hAnsi="Verdana"/>
            <w:color w:val="auto"/>
            <w:sz w:val="14"/>
            <w:szCs w:val="14"/>
            <w:lang w:val="es-CO"/>
          </w:rPr>
          <w:t>12 </w:t>
        </w:r>
      </w:hyperlink>
      <w:r w:rsidR="00926B25" w:rsidRPr="00926B25">
        <w:rPr>
          <w:rFonts w:ascii="Verdana" w:hAnsi="Verdana"/>
          <w:sz w:val="14"/>
          <w:szCs w:val="14"/>
          <w:lang w:val="es-CO"/>
        </w:rPr>
        <w:t>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en donde se va a ejecutar el contrato. Cada Mipyme deberá acreditar su domicilio con los documentos a los que se refiere el siguiente artículo.</w:t>
      </w:r>
    </w:p>
    <w:p w14:paraId="4B4EB01D" w14:textId="77777777" w:rsidR="00926B25" w:rsidRPr="00926B25" w:rsidRDefault="00926B25" w:rsidP="00926B25">
      <w:pPr>
        <w:pStyle w:val="Textonotapie"/>
        <w:ind w:firstLine="709"/>
        <w:jc w:val="both"/>
        <w:rPr>
          <w:rFonts w:ascii="Verdana" w:hAnsi="Verdana"/>
          <w:sz w:val="14"/>
          <w:szCs w:val="14"/>
          <w:lang w:val="es-ES"/>
        </w:rPr>
      </w:pPr>
    </w:p>
  </w:footnote>
  <w:footnote w:id="9">
    <w:p w14:paraId="2D1BFA5B" w14:textId="77777777" w:rsidR="00867B6A" w:rsidRPr="00351F46" w:rsidRDefault="00867B6A" w:rsidP="00867B6A">
      <w:pPr>
        <w:pStyle w:val="Textonotapie"/>
        <w:ind w:firstLine="708"/>
        <w:contextualSpacing/>
        <w:jc w:val="both"/>
        <w:rPr>
          <w:rFonts w:ascii="Verdana" w:hAnsi="Verdana" w:cs="Arial"/>
          <w:sz w:val="14"/>
          <w:szCs w:val="14"/>
          <w:lang w:val="es-CO"/>
        </w:rPr>
      </w:pPr>
      <w:r w:rsidRPr="00351F46">
        <w:rPr>
          <w:rStyle w:val="Refdenotaalpie"/>
          <w:rFonts w:ascii="Verdana" w:hAnsi="Verdana" w:cs="Arial"/>
          <w:sz w:val="14"/>
          <w:szCs w:val="14"/>
        </w:rPr>
        <w:footnoteRef/>
      </w:r>
      <w:r w:rsidRPr="00351F46">
        <w:rPr>
          <w:rFonts w:ascii="Verdana" w:hAnsi="Verdana" w:cs="Arial"/>
          <w:sz w:val="14"/>
          <w:szCs w:val="14"/>
        </w:rPr>
        <w:t xml:space="preserve"> “Artículo 23. De conformidad con lo establecido por los artículos 4° de la Ley 79 de 1988 y 6° de la Ley 454 de 1988, las cooperativas y demás entidades de la economía solidaria son empresas. En tal virtud, para los efectos de la presente ley, las entidades de economía solidaria serán clasificadas como Mipymes en los términos establecidos por el artículo 2° de la Ley 590 de 2000 y por el Decreto 957 de 2019 o las normas que los modifiquen, deroguen o adicionen, sin perjuicio de la normatividad específica aplicable a sus diferentes figuras jurídicas, ni del marco de competencias institucionales de Gobierno para su fomento, fortalecimiento, inspección, control y vigilancia”.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5"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3A43"/>
    <w:rsid w:val="00125105"/>
    <w:rsid w:val="00127233"/>
    <w:rsid w:val="00150E61"/>
    <w:rsid w:val="001511A0"/>
    <w:rsid w:val="001E4177"/>
    <w:rsid w:val="001F7DC6"/>
    <w:rsid w:val="002421BB"/>
    <w:rsid w:val="0025796E"/>
    <w:rsid w:val="002707A2"/>
    <w:rsid w:val="002951A0"/>
    <w:rsid w:val="002962BC"/>
    <w:rsid w:val="002A093D"/>
    <w:rsid w:val="002A0DD0"/>
    <w:rsid w:val="002A3D5F"/>
    <w:rsid w:val="002A49AC"/>
    <w:rsid w:val="002A64FD"/>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2574"/>
    <w:rsid w:val="0044528D"/>
    <w:rsid w:val="004A1847"/>
    <w:rsid w:val="004A305D"/>
    <w:rsid w:val="004C5C1E"/>
    <w:rsid w:val="004F21C4"/>
    <w:rsid w:val="004F685F"/>
    <w:rsid w:val="005414F1"/>
    <w:rsid w:val="005566E8"/>
    <w:rsid w:val="00574867"/>
    <w:rsid w:val="00591460"/>
    <w:rsid w:val="005B3816"/>
    <w:rsid w:val="005B59DB"/>
    <w:rsid w:val="005C3777"/>
    <w:rsid w:val="005C5CDC"/>
    <w:rsid w:val="005D476C"/>
    <w:rsid w:val="006219F8"/>
    <w:rsid w:val="00642148"/>
    <w:rsid w:val="00665D70"/>
    <w:rsid w:val="006900D9"/>
    <w:rsid w:val="006A44DA"/>
    <w:rsid w:val="00706C16"/>
    <w:rsid w:val="00756841"/>
    <w:rsid w:val="007649AB"/>
    <w:rsid w:val="00771D0C"/>
    <w:rsid w:val="007833AC"/>
    <w:rsid w:val="00787201"/>
    <w:rsid w:val="007B268C"/>
    <w:rsid w:val="007B7171"/>
    <w:rsid w:val="007C0C0F"/>
    <w:rsid w:val="007C3DC2"/>
    <w:rsid w:val="007E5497"/>
    <w:rsid w:val="00806F5F"/>
    <w:rsid w:val="00820278"/>
    <w:rsid w:val="0083428F"/>
    <w:rsid w:val="00867B6A"/>
    <w:rsid w:val="00867F95"/>
    <w:rsid w:val="008843B6"/>
    <w:rsid w:val="008864D1"/>
    <w:rsid w:val="00891928"/>
    <w:rsid w:val="008A446D"/>
    <w:rsid w:val="008B5E08"/>
    <w:rsid w:val="008D180B"/>
    <w:rsid w:val="008F0EA7"/>
    <w:rsid w:val="00923EEF"/>
    <w:rsid w:val="00926B25"/>
    <w:rsid w:val="009419F9"/>
    <w:rsid w:val="0095685E"/>
    <w:rsid w:val="00961B09"/>
    <w:rsid w:val="00965334"/>
    <w:rsid w:val="00965701"/>
    <w:rsid w:val="0097093E"/>
    <w:rsid w:val="00986AC5"/>
    <w:rsid w:val="009A0DFA"/>
    <w:rsid w:val="009B2D26"/>
    <w:rsid w:val="009C71FA"/>
    <w:rsid w:val="009C72E7"/>
    <w:rsid w:val="009D3058"/>
    <w:rsid w:val="009F3A13"/>
    <w:rsid w:val="00A122D3"/>
    <w:rsid w:val="00A17F13"/>
    <w:rsid w:val="00A20739"/>
    <w:rsid w:val="00A33C78"/>
    <w:rsid w:val="00AA3AE7"/>
    <w:rsid w:val="00AB0ADB"/>
    <w:rsid w:val="00B01B1A"/>
    <w:rsid w:val="00B234F7"/>
    <w:rsid w:val="00B66319"/>
    <w:rsid w:val="00B72CD3"/>
    <w:rsid w:val="00B72FFF"/>
    <w:rsid w:val="00BC3D36"/>
    <w:rsid w:val="00BD7F72"/>
    <w:rsid w:val="00C04FB3"/>
    <w:rsid w:val="00C330EB"/>
    <w:rsid w:val="00C41061"/>
    <w:rsid w:val="00C552A6"/>
    <w:rsid w:val="00C754BE"/>
    <w:rsid w:val="00C76B1C"/>
    <w:rsid w:val="00CB6357"/>
    <w:rsid w:val="00CC1B26"/>
    <w:rsid w:val="00D423A2"/>
    <w:rsid w:val="00D520D8"/>
    <w:rsid w:val="00D63AC2"/>
    <w:rsid w:val="00D7383B"/>
    <w:rsid w:val="00DA231B"/>
    <w:rsid w:val="00DA4F5C"/>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7384"/>
    <w:rsid w:val="00EE1AA8"/>
    <w:rsid w:val="00F31EDC"/>
    <w:rsid w:val="00F462B3"/>
    <w:rsid w:val="00F5664F"/>
    <w:rsid w:val="00F666C4"/>
    <w:rsid w:val="00F76AFC"/>
    <w:rsid w:val="00FA47C0"/>
    <w:rsid w:val="00FA5394"/>
    <w:rsid w:val="00FB5DD1"/>
    <w:rsid w:val="00FC2B5D"/>
    <w:rsid w:val="00FF1449"/>
    <w:rsid w:val="165E9519"/>
    <w:rsid w:val="382536D9"/>
    <w:rsid w:val="40D66C34"/>
    <w:rsid w:val="6AB4E263"/>
    <w:rsid w:val="6EFDAB80"/>
    <w:rsid w:val="7B19739A"/>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67B6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67B6A"/>
    <w:rPr>
      <w:rFonts w:ascii="Geomanist Light" w:hAnsi="Geomanist Light"/>
      <w:lang w:val="es-ES"/>
    </w:rPr>
  </w:style>
  <w:style w:type="character" w:customStyle="1" w:styleId="NormalWebCar">
    <w:name w:val="Normal (Web) Car"/>
    <w:link w:val="NormalWeb"/>
    <w:uiPriority w:val="99"/>
    <w:locked/>
    <w:rsid w:val="00867B6A"/>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bibliotecadigital.ccb.org.co/bitstream/handle/11520/8346/el%20abc%20de%20esales%202013%20completo.pdf?sequence=1&amp;isAllowed=y"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gidelman@hotmail.co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www.colombiacompra.gov.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ibliotecadigital.ccb.org.co/server/api/core/bitstreams/56eea614-11b5-49ad-a103-656fabc70bb7/content"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funcionpublica.gov.co/eva/gestornormativo/norma.php?i=25678" TargetMode="External"/><Relationship Id="rId2" Type="http://schemas.openxmlformats.org/officeDocument/2006/relationships/hyperlink" Target="https://bibliotecadigital.ccb.org.co/server/api/core/bitstreams/56eea614-11b5-49ad-a103-656fabc70bb7/content" TargetMode="External"/><Relationship Id="rId1" Type="http://schemas.openxmlformats.org/officeDocument/2006/relationships/hyperlink" Target="https://bibliotecadigital.ccb.org.co/bitstream/handle/11520/8346/el%20abc%20de%20esales%202013%20completo.pdf?sequence=1&amp;isAllowed=y" TargetMode="External"/><Relationship Id="rId4" Type="http://schemas.openxmlformats.org/officeDocument/2006/relationships/hyperlink" Target="https://www.funcionpublica.gov.co/eva/gestornormativo/norma.php?i=2567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2E86BE6-CB7D-42CE-9F4B-4DB17D815478}"/>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80F9164-423B-4B53-8978-C5D594984246}">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d3b1a209-6428-47ff-99e7-c80af9907737"/>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16</Pages>
  <Words>4783</Words>
  <Characters>26309</Characters>
  <Application>Microsoft Office Word</Application>
  <DocSecurity>0</DocSecurity>
  <Lines>219</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6</cp:revision>
  <cp:lastPrinted>2023-01-10T21:18:00Z</cp:lastPrinted>
  <dcterms:created xsi:type="dcterms:W3CDTF">2025-08-01T21:43:00Z</dcterms:created>
  <dcterms:modified xsi:type="dcterms:W3CDTF">2025-08-02T13:18:00Z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