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F02A16" w:rsidR="00F02A16" w:rsidP="00F02A16" w:rsidRDefault="00F02A16" w14:paraId="04AE0137" w14:textId="06DB4C6E">
      <w:pPr>
        <w:spacing w:after="0"/>
        <w:jc w:val="both"/>
        <w:rPr>
          <w:rFonts w:ascii="Verdana" w:hAnsi="Verdana"/>
        </w:rPr>
      </w:pPr>
      <w:bookmarkStart w:name="_Hlk143780582" w:id="0"/>
      <w:r w:rsidRPr="00F02A16">
        <w:rPr>
          <w:rFonts w:ascii="Verdana" w:hAnsi="Verdana" w:eastAsia="Calibri" w:cs="Arial"/>
          <w:b/>
          <w:bCs/>
          <w:lang w:val="es-ES_tradnl" w:eastAsia="es-ES"/>
        </w:rPr>
        <w:t>DOCUMENTOS TIPO – Fundamento normativo</w:t>
      </w:r>
    </w:p>
    <w:p w:rsidRPr="00F02A16" w:rsidR="00F02A16" w:rsidP="00F02A16" w:rsidRDefault="00F02A16" w14:paraId="2271573A" w14:textId="77777777">
      <w:pPr>
        <w:spacing w:after="0" w:line="276" w:lineRule="auto"/>
        <w:jc w:val="both"/>
        <w:rPr>
          <w:rFonts w:ascii="Verdana" w:hAnsi="Verdana" w:eastAsia="Calibri" w:cs="Arial"/>
          <w:b/>
          <w:bCs/>
          <w:lang w:val="es-ES_tradnl" w:eastAsia="es-ES"/>
        </w:rPr>
      </w:pPr>
    </w:p>
    <w:p w:rsidR="00D1470B" w:rsidP="00D1470B" w:rsidRDefault="00D1470B" w14:paraId="5B32B386" w14:textId="7613715E">
      <w:pPr>
        <w:snapToGrid w:val="0"/>
        <w:spacing w:after="0" w:line="240" w:lineRule="auto"/>
        <w:jc w:val="both"/>
        <w:rPr>
          <w:rFonts w:ascii="Verdana" w:hAnsi="Verdana" w:eastAsia="Calibri" w:cs="Arial"/>
          <w:sz w:val="20"/>
          <w:szCs w:val="20"/>
          <w:lang w:val="es-ES"/>
        </w:rPr>
      </w:pPr>
      <w:r w:rsidRPr="00D1470B">
        <w:rPr>
          <w:rFonts w:ascii="Verdana" w:hAnsi="Verdana" w:eastAsia="Calibri" w:cs="Arial"/>
          <w:sz w:val="20"/>
          <w:szCs w:val="20"/>
          <w:lang w:val="es-ES"/>
        </w:rPr>
        <w:t>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Así mismo, los sujetos obligados a su aplicación no podrán variar los requisitos que en ellos sean fijados, ni establecer reglas o requisitos adicionales a los establecidos en estos para la presentación de las ofertas y la acreditación de los requisitos habilitantes.</w:t>
      </w:r>
    </w:p>
    <w:p w:rsidRPr="00D1470B" w:rsidR="00D1470B" w:rsidP="00D1470B" w:rsidRDefault="00D1470B" w14:paraId="2741058D" w14:textId="77777777">
      <w:pPr>
        <w:snapToGrid w:val="0"/>
        <w:spacing w:after="0" w:line="240" w:lineRule="auto"/>
        <w:jc w:val="both"/>
        <w:rPr>
          <w:rFonts w:ascii="Verdana" w:hAnsi="Verdana" w:eastAsia="Calibri" w:cs="Arial"/>
          <w:sz w:val="20"/>
          <w:szCs w:val="20"/>
          <w:lang w:val="es-ES"/>
        </w:rPr>
      </w:pPr>
    </w:p>
    <w:p w:rsidRPr="00F02A16" w:rsidR="00F02A16" w:rsidP="00D1470B" w:rsidRDefault="00D1470B" w14:paraId="2FFED3C3" w14:textId="431DFB23">
      <w:pPr>
        <w:snapToGrid w:val="0"/>
        <w:spacing w:after="0" w:line="240" w:lineRule="auto"/>
        <w:jc w:val="both"/>
        <w:rPr>
          <w:rFonts w:ascii="Verdana" w:hAnsi="Verdana" w:eastAsia="Calibri" w:cs="Arial"/>
          <w:sz w:val="20"/>
          <w:szCs w:val="20"/>
          <w:lang w:val="es-ES"/>
        </w:rPr>
      </w:pPr>
      <w:r w:rsidRPr="00D1470B">
        <w:rPr>
          <w:rFonts w:ascii="Verdana" w:hAnsi="Verdana" w:eastAsia="Calibri" w:cs="Arial"/>
          <w:sz w:val="20"/>
          <w:szCs w:val="20"/>
          <w:lang w:val="es-ES"/>
        </w:rPr>
        <w:t>La Agencia Nacional de Contratación Pública – Colombia Compra Eficiente ha expedido documentos tipo para los sectores de infraestructura de transporte, agua potable y saneamiento básico y social. Asimismo, esta Agencia expidió los documentos tipo de gestión catastral con enfoque multipropósito y para la contratación directa de convenios solidarios para la ejecución de obras hasta la menor cuantía con organismos de acción comunal.</w:t>
      </w:r>
    </w:p>
    <w:p w:rsidRPr="00F02A16" w:rsidR="00F02A16" w:rsidP="00F02A16" w:rsidRDefault="00F02A16" w14:paraId="5E0E9D21" w14:textId="77777777">
      <w:pPr>
        <w:spacing w:after="0" w:line="276" w:lineRule="auto"/>
        <w:rPr>
          <w:rFonts w:ascii="Verdana" w:hAnsi="Verdana" w:eastAsia="Geomanist Light" w:cs="Arial"/>
          <w:lang w:val="es-ES_tradnl"/>
        </w:rPr>
      </w:pPr>
    </w:p>
    <w:p w:rsidRPr="00F02A16" w:rsidR="00F02A16" w:rsidP="00F02A16" w:rsidRDefault="00F02A16" w14:paraId="71AEEB27" w14:textId="77777777">
      <w:pPr>
        <w:spacing w:after="0" w:line="276" w:lineRule="auto"/>
        <w:jc w:val="both"/>
        <w:rPr>
          <w:rFonts w:ascii="Verdana" w:hAnsi="Verdana" w:eastAsia="Geomanist Light" w:cs="Arial"/>
          <w:b/>
          <w:bCs/>
          <w:lang w:val="es-ES_tradnl"/>
        </w:rPr>
      </w:pPr>
      <w:r w:rsidRPr="00F02A16">
        <w:rPr>
          <w:rFonts w:ascii="Verdana" w:hAnsi="Verdana" w:eastAsia="Geomanist Light" w:cs="Arial"/>
          <w:b/>
          <w:bCs/>
          <w:lang w:val="es-ES_tradnl"/>
        </w:rPr>
        <w:t>DOCUMENTOS TIPO DE INFRAESTRUCTURA DE TRANSPORTE – Licitación – Versión 4 – Patrimonio – Indicadores financieros y organizacionales – MiPymes</w:t>
      </w:r>
    </w:p>
    <w:p w:rsidRPr="008B58B8" w:rsidR="00F02A16" w:rsidP="008B58B8" w:rsidRDefault="00F02A16" w14:paraId="5E803426" w14:textId="77777777">
      <w:pPr>
        <w:snapToGrid w:val="0"/>
        <w:spacing w:after="0" w:line="240" w:lineRule="auto"/>
        <w:jc w:val="both"/>
        <w:rPr>
          <w:rFonts w:ascii="Verdana" w:hAnsi="Verdana" w:eastAsia="Calibri" w:cs="Times New Roman"/>
          <w:kern w:val="2"/>
          <w14:ligatures w14:val="standardContextual"/>
        </w:rPr>
      </w:pPr>
    </w:p>
    <w:p w:rsidRPr="008B58B8" w:rsidR="00F02A16" w:rsidP="008B58B8" w:rsidRDefault="008B58B8" w14:paraId="775D6EBE" w14:textId="7B7093B5">
      <w:pPr>
        <w:snapToGrid w:val="0"/>
        <w:spacing w:after="0" w:line="240" w:lineRule="auto"/>
        <w:jc w:val="both"/>
        <w:rPr>
          <w:rFonts w:ascii="Verdana" w:hAnsi="Verdana" w:eastAsia="Calibri" w:cs="Times New Roman"/>
          <w:kern w:val="2"/>
          <w:sz w:val="20"/>
          <w:szCs w:val="20"/>
          <w14:ligatures w14:val="standardContextual"/>
        </w:rPr>
      </w:pPr>
      <w:r w:rsidRPr="008B58B8">
        <w:rPr>
          <w:rFonts w:ascii="Verdana" w:hAnsi="Verdana" w:eastAsia="Calibri" w:cs="Times New Roman"/>
          <w:kern w:val="2"/>
          <w:sz w:val="20"/>
          <w:szCs w:val="20"/>
          <w14:ligatures w14:val="standardContextual"/>
        </w:rPr>
        <w:t xml:space="preserve">En el numeral 3.8 “Patrimonio” del Documento Base de los documentos tipo de licitación de obra pública de infraestructura de transporte –versión 4–, se describen las condiciones mediante las cuales las Entidades Estatales deberán solicitar este indicador y las particularidades que aplican, incluso, en el evento que el proponente se presente bajo una figura plural o acredite su condición de </w:t>
      </w:r>
      <w:proofErr w:type="spellStart"/>
      <w:r w:rsidRPr="008B58B8">
        <w:rPr>
          <w:rFonts w:ascii="Verdana" w:hAnsi="Verdana" w:eastAsia="Calibri" w:cs="Times New Roman"/>
          <w:kern w:val="2"/>
          <w:sz w:val="20"/>
          <w:szCs w:val="20"/>
          <w14:ligatures w14:val="standardContextual"/>
        </w:rPr>
        <w:t>MiPyme</w:t>
      </w:r>
      <w:proofErr w:type="spellEnd"/>
      <w:r w:rsidRPr="008B58B8">
        <w:rPr>
          <w:rFonts w:ascii="Verdana" w:hAnsi="Verdana" w:eastAsia="Calibri" w:cs="Times New Roman"/>
          <w:kern w:val="2"/>
          <w:sz w:val="20"/>
          <w:szCs w:val="20"/>
          <w14:ligatures w14:val="standardContextual"/>
        </w:rPr>
        <w:t>.</w:t>
      </w:r>
    </w:p>
    <w:p w:rsidRPr="008B58B8" w:rsidR="00F02A16" w:rsidP="008B58B8" w:rsidRDefault="008B58B8" w14:paraId="566E602A" w14:textId="52914754">
      <w:pPr>
        <w:snapToGrid w:val="0"/>
        <w:spacing w:after="0" w:line="240" w:lineRule="auto"/>
        <w:jc w:val="both"/>
        <w:rPr>
          <w:rFonts w:ascii="Verdana" w:hAnsi="Verdana" w:eastAsia="Calibri" w:cs="Times New Roman"/>
          <w:kern w:val="2"/>
          <w:sz w:val="20"/>
          <w:szCs w:val="20"/>
          <w14:ligatures w14:val="standardContextual"/>
        </w:rPr>
      </w:pPr>
      <w:r w:rsidRPr="008B58B8">
        <w:rPr>
          <w:rFonts w:ascii="Verdana" w:hAnsi="Verdana" w:eastAsia="Calibri" w:cs="Times New Roman"/>
          <w:kern w:val="2"/>
          <w:sz w:val="20"/>
          <w:szCs w:val="20"/>
          <w14:ligatures w14:val="standardContextual"/>
        </w:rPr>
        <w:t>[…]</w:t>
      </w:r>
    </w:p>
    <w:p w:rsidR="008B58B8" w:rsidP="20D76A9A" w:rsidRDefault="008B58B8" w14:paraId="0357FD4E" w14:textId="77777777">
      <w:pPr>
        <w:snapToGrid w:val="0"/>
        <w:spacing w:after="0" w:line="240" w:lineRule="auto"/>
        <w:jc w:val="both"/>
        <w:rPr>
          <w:rFonts w:ascii="Verdana" w:hAnsi="Verdana" w:eastAsia="Calibri" w:cs="Arial"/>
          <w:kern w:val="2"/>
          <w:sz w:val="20"/>
          <w:szCs w:val="20"/>
          <w:u w:val="single"/>
          <w:lang w:val="es-ES"/>
          <w14:ligatures w14:val="standardContextual"/>
        </w:rPr>
      </w:pPr>
      <w:r w:rsidRPr="20D76A9A" w:rsidR="008B58B8">
        <w:rPr>
          <w:rFonts w:ascii="Verdana" w:hAnsi="Verdana" w:eastAsia="Aptos" w:cs="Arial"/>
          <w:kern w:val="2"/>
          <w:sz w:val="20"/>
          <w:szCs w:val="20"/>
          <w:shd w:val="clear" w:color="auto" w:fill="FFFFFF"/>
          <w:lang w:val="es-ES"/>
          <w14:ligatures w14:val="standardContextual"/>
        </w:rPr>
        <w:t xml:space="preserve">Es importante acotar que, en el marco del nuevo documento tipo, </w:t>
      </w:r>
      <w:r w:rsidRPr="20D76A9A" w:rsidR="008B58B8">
        <w:rPr>
          <w:rFonts w:ascii="Verdana" w:hAnsi="Verdana" w:eastAsia="Aptos" w:cs="Arial"/>
          <w:b w:val="1"/>
          <w:bCs w:val="1"/>
          <w:kern w:val="2"/>
          <w:sz w:val="20"/>
          <w:szCs w:val="20"/>
          <w:shd w:val="clear" w:color="auto" w:fill="FFFFFF"/>
          <w:lang w:val="es-ES"/>
          <w14:ligatures w14:val="standardContextual"/>
        </w:rPr>
        <w:t xml:space="preserve">únicamente </w:t>
      </w:r>
      <w:r w:rsidRPr="20D76A9A" w:rsidR="008B58B8">
        <w:rPr>
          <w:rFonts w:ascii="Verdana" w:hAnsi="Verdana" w:eastAsia="Aptos" w:cs="Arial"/>
          <w:kern w:val="2"/>
          <w:sz w:val="20"/>
          <w:szCs w:val="20"/>
          <w:shd w:val="clear" w:color="auto" w:fill="FFFFFF"/>
          <w:lang w:val="es-ES"/>
          <w14:ligatures w14:val="standardContextual"/>
        </w:rPr>
        <w:t xml:space="preserve">se solicitará el </w:t>
      </w:r>
      <w:r w:rsidRPr="20D76A9A" w:rsidR="008B58B8">
        <w:rPr>
          <w:rFonts w:ascii="Verdana" w:hAnsi="Verdana" w:eastAsia="Aptos" w:cs="Arial"/>
          <w:i w:val="1"/>
          <w:iCs w:val="1"/>
          <w:kern w:val="2"/>
          <w:sz w:val="20"/>
          <w:szCs w:val="20"/>
          <w:shd w:val="clear" w:color="auto" w:fill="FFFFFF"/>
          <w:lang w:val="es-ES"/>
          <w14:ligatures w14:val="standardContextual"/>
        </w:rPr>
        <w:t xml:space="preserve">Patrimonio </w:t>
      </w:r>
      <w:r w:rsidRPr="20D76A9A" w:rsidR="008B58B8">
        <w:rPr>
          <w:rFonts w:ascii="Verdana" w:hAnsi="Verdana" w:eastAsia="Aptos" w:cs="Arial"/>
          <w:kern w:val="2"/>
          <w:sz w:val="20"/>
          <w:szCs w:val="20"/>
          <w:shd w:val="clear" w:color="auto" w:fill="FFFFFF"/>
          <w:lang w:val="es-ES"/>
          <w14:ligatures w14:val="standardContextual"/>
        </w:rPr>
        <w:t xml:space="preserve">como un indicador de capacidad financiera adicional en aquellos </w:t>
      </w:r>
      <w:r w:rsidRPr="20D76A9A" w:rsidR="008B58B8">
        <w:rPr>
          <w:rFonts w:ascii="Verdana" w:hAnsi="Verdana" w:eastAsia="Aptos" w:cs="Arial"/>
          <w:kern w:val="2"/>
          <w:sz w:val="20"/>
          <w:szCs w:val="20"/>
          <w:u w:val="single"/>
          <w:shd w:val="clear" w:color="auto" w:fill="FFFFFF"/>
          <w:lang w:val="es-ES"/>
          <w14:ligatures w14:val="standardContextual"/>
        </w:rPr>
        <w:t xml:space="preserve">proyectos de obra </w:t>
      </w:r>
      <w:r w:rsidRPr="20D76A9A" w:rsidR="008B58B8">
        <w:rPr>
          <w:rFonts w:ascii="Verdana" w:hAnsi="Verdana" w:eastAsia="Calibri" w:cs="Arial"/>
          <w:kern w:val="2"/>
          <w:sz w:val="20"/>
          <w:szCs w:val="20"/>
          <w:u w:val="single"/>
          <w:lang w:val="es-ES"/>
          <w14:ligatures w14:val="standardContextual"/>
        </w:rPr>
        <w:t xml:space="preserve">cuyo presupuesto oficial sea mayor o igual a 40.000 </w:t>
      </w:r>
      <w:r w:rsidRPr="20D76A9A" w:rsidR="008B58B8">
        <w:rPr>
          <w:rFonts w:ascii="Verdana" w:hAnsi="Verdana" w:eastAsia="Calibri" w:cs="Arial"/>
          <w:kern w:val="2"/>
          <w:sz w:val="20"/>
          <w:szCs w:val="20"/>
          <w:u w:val="single"/>
          <w:lang w:val="es-ES"/>
          <w14:ligatures w14:val="standardContextual"/>
        </w:rPr>
        <w:t>smmlv</w:t>
      </w:r>
      <w:r w:rsidRPr="20D76A9A" w:rsidR="008B58B8">
        <w:rPr>
          <w:rFonts w:ascii="Verdana" w:hAnsi="Verdana" w:eastAsia="Calibri" w:cs="Arial"/>
          <w:kern w:val="2"/>
          <w:sz w:val="20"/>
          <w:szCs w:val="20"/>
          <w:u w:val="single"/>
          <w:lang w:val="es-ES"/>
          <w14:ligatures w14:val="standardContextual"/>
        </w:rPr>
        <w:t xml:space="preserve"> y cuenten con un plazo de ejecución igual o superior a 24 meses.</w:t>
      </w:r>
    </w:p>
    <w:p w:rsidRPr="008B58B8" w:rsidR="008B58B8" w:rsidP="008B58B8" w:rsidRDefault="008B58B8" w14:paraId="5AA0D082" w14:textId="77777777">
      <w:pPr>
        <w:snapToGrid w:val="0"/>
        <w:spacing w:after="0" w:line="240" w:lineRule="auto"/>
        <w:jc w:val="both"/>
        <w:rPr>
          <w:rFonts w:ascii="Verdana" w:hAnsi="Verdana" w:eastAsia="Calibri" w:cs="Arial"/>
          <w:kern w:val="2"/>
          <w:sz w:val="20"/>
          <w:szCs w:val="20"/>
          <w:u w:val="single"/>
          <w:lang w:val="es-ES_tradnl"/>
          <w14:ligatures w14:val="standardContextual"/>
        </w:rPr>
      </w:pPr>
    </w:p>
    <w:p w:rsidRPr="008B58B8" w:rsidR="00F02A16" w:rsidP="008B58B8" w:rsidRDefault="008B58B8" w14:paraId="77AA92C1" w14:textId="494A37E5">
      <w:pPr>
        <w:snapToGrid w:val="0"/>
        <w:spacing w:after="0" w:line="240" w:lineRule="auto"/>
        <w:jc w:val="both"/>
        <w:rPr>
          <w:rFonts w:ascii="Aptos" w:hAnsi="Aptos" w:eastAsia="Aptos" w:cs="Times New Roman"/>
          <w:kern w:val="2"/>
          <w:sz w:val="20"/>
          <w:szCs w:val="20"/>
          <w:shd w:val="clear" w:color="auto" w:fill="FFFFFF"/>
          <w:lang w:val="es-ES_tradnl"/>
          <w14:ligatures w14:val="standardContextual"/>
        </w:rPr>
      </w:pPr>
      <w:r w:rsidRPr="008B58B8">
        <w:rPr>
          <w:rFonts w:ascii="Verdana" w:hAnsi="Verdana" w:eastAsia="Aptos" w:cs="Arial"/>
          <w:kern w:val="2"/>
          <w:sz w:val="20"/>
          <w:szCs w:val="20"/>
          <w:shd w:val="clear" w:color="auto" w:fill="FFFFFF"/>
          <w:lang w:val="es-ES_tradnl"/>
          <w14:ligatures w14:val="standardContextual"/>
        </w:rPr>
        <w:t xml:space="preserve">Respecto a la acreditación del requisito solicitado, el documento base establece que, en el caso de las empresas que acrediten su condición de </w:t>
      </w:r>
      <w:proofErr w:type="spellStart"/>
      <w:r w:rsidRPr="008B58B8">
        <w:rPr>
          <w:rFonts w:ascii="Verdana" w:hAnsi="Verdana" w:eastAsia="Aptos" w:cs="Arial"/>
          <w:kern w:val="2"/>
          <w:sz w:val="20"/>
          <w:szCs w:val="20"/>
          <w:shd w:val="clear" w:color="auto" w:fill="FFFFFF"/>
          <w:lang w:val="es-ES_tradnl"/>
          <w14:ligatures w14:val="standardContextual"/>
        </w:rPr>
        <w:t>MiPyme</w:t>
      </w:r>
      <w:proofErr w:type="spellEnd"/>
      <w:r w:rsidRPr="008B58B8">
        <w:rPr>
          <w:rFonts w:ascii="Verdana" w:hAnsi="Verdana" w:eastAsia="Aptos" w:cs="Arial"/>
          <w:kern w:val="2"/>
          <w:sz w:val="20"/>
          <w:szCs w:val="20"/>
          <w:shd w:val="clear" w:color="auto" w:fill="FFFFFF"/>
          <w:lang w:val="es-ES_tradnl"/>
          <w14:ligatures w14:val="standardContextual"/>
        </w:rPr>
        <w:t xml:space="preserve">, el </w:t>
      </w:r>
      <w:r w:rsidRPr="008B58B8">
        <w:rPr>
          <w:rFonts w:ascii="Verdana" w:hAnsi="Verdana" w:eastAsia="Aptos" w:cs="Arial"/>
          <w:i/>
          <w:iCs/>
          <w:kern w:val="2"/>
          <w:sz w:val="20"/>
          <w:szCs w:val="20"/>
          <w:shd w:val="clear" w:color="auto" w:fill="FFFFFF"/>
          <w:lang w:val="es-ES_tradnl"/>
          <w14:ligatures w14:val="standardContextual"/>
        </w:rPr>
        <w:t>patrimonio solicitado (requerido)</w:t>
      </w:r>
      <w:r w:rsidRPr="008B58B8">
        <w:rPr>
          <w:rFonts w:ascii="Verdana" w:hAnsi="Verdana" w:eastAsia="Aptos" w:cs="Arial"/>
          <w:kern w:val="2"/>
          <w:sz w:val="20"/>
          <w:szCs w:val="20"/>
          <w:shd w:val="clear" w:color="auto" w:fill="FFFFFF"/>
          <w:lang w:val="es-ES_tradnl"/>
          <w14:ligatures w14:val="standardContextual"/>
        </w:rPr>
        <w:t xml:space="preserve"> corresponderá al 20% del presupuesto oficial, por lo que su determinación se hará de acuerdo con la siguiente fórmula:</w:t>
      </w:r>
      <w:r>
        <w:rPr>
          <w:rFonts w:ascii="Aptos" w:hAnsi="Aptos" w:eastAsia="Aptos" w:cs="Times New Roman"/>
          <w:kern w:val="2"/>
          <w:sz w:val="20"/>
          <w:szCs w:val="20"/>
          <w:shd w:val="clear" w:color="auto" w:fill="FFFFFF"/>
          <w:lang w:val="es-ES_tradnl"/>
          <w14:ligatures w14:val="standardContextual"/>
        </w:rPr>
        <w:t xml:space="preserve"> </w:t>
      </w:r>
      <w:r w:rsidRPr="008B58B8" w:rsidR="00F02A16">
        <w:rPr>
          <w:rFonts w:ascii="Verdana" w:hAnsi="Verdana" w:eastAsia="Aptos" w:cs="Arial"/>
          <w:kern w:val="2"/>
          <w:sz w:val="20"/>
          <w:szCs w:val="20"/>
          <w:shd w:val="clear" w:color="auto" w:fill="FFFFFF"/>
          <w:lang w:val="es-ES"/>
          <w14:ligatures w14:val="standardContextual"/>
        </w:rPr>
        <w:t>[…]</w:t>
      </w:r>
    </w:p>
    <w:p w:rsidRPr="00F02A16" w:rsidR="00F02A16" w:rsidP="00F02A16" w:rsidRDefault="00F02A16" w14:paraId="65CCFA49" w14:textId="77777777">
      <w:pPr>
        <w:spacing w:after="0" w:line="240" w:lineRule="auto"/>
        <w:jc w:val="both"/>
        <w:rPr>
          <w:rFonts w:ascii="Verdana" w:hAnsi="Verdana" w:eastAsia="Calibri" w:cs="Times New Roman"/>
          <w:kern w:val="2"/>
          <w:sz w:val="20"/>
          <w:szCs w:val="20"/>
          <w14:ligatures w14:val="standardContextual"/>
        </w:rPr>
      </w:pPr>
    </w:p>
    <w:p w:rsidRPr="00F02A16" w:rsidR="00F02A16" w:rsidP="00F02A16" w:rsidRDefault="00F02A16" w14:paraId="03AAAC3F" w14:textId="77777777">
      <w:pPr>
        <w:spacing w:after="0" w:line="240" w:lineRule="auto"/>
        <w:jc w:val="both"/>
        <w:rPr>
          <w:rFonts w:ascii="Verdana" w:hAnsi="Verdana" w:eastAsia="Calibri" w:cs="Times New Roman"/>
          <w:kern w:val="2"/>
          <w:sz w:val="20"/>
          <w:szCs w:val="20"/>
          <w14:ligatures w14:val="standardContextual"/>
        </w:rPr>
      </w:pPr>
    </w:p>
    <w:p w:rsidRPr="00F02A16" w:rsidR="00F02A16" w:rsidP="00F02A16" w:rsidRDefault="00F02A16" w14:paraId="459EABAD" w14:textId="77777777">
      <w:pPr>
        <w:snapToGrid w:val="0"/>
        <w:spacing w:after="0" w:line="240" w:lineRule="auto"/>
        <w:jc w:val="both"/>
        <w:rPr>
          <w:rFonts w:ascii="Verdana" w:hAnsi="Verdana" w:eastAsia="Calibri" w:cs="Arial"/>
          <w:sz w:val="20"/>
          <w:szCs w:val="20"/>
          <w:lang w:val="es-ES"/>
        </w:rPr>
      </w:pPr>
    </w:p>
    <w:p w:rsidRPr="00F02A16" w:rsidR="00F02A16" w:rsidP="00F02A16" w:rsidRDefault="00F02A16" w14:paraId="732CEDED" w14:textId="77777777">
      <w:pPr>
        <w:spacing w:after="0" w:line="240" w:lineRule="auto"/>
        <w:jc w:val="both"/>
        <w:rPr>
          <w:rFonts w:ascii="Verdana" w:hAnsi="Verdana" w:eastAsia="Calibri" w:cs="Times New Roman"/>
        </w:rPr>
      </w:pPr>
    </w:p>
    <w:p w:rsidRPr="00F02A16" w:rsidR="00F02A16" w:rsidP="00F02A16" w:rsidRDefault="00F02A16" w14:paraId="1DB09463" w14:textId="77777777">
      <w:pPr>
        <w:spacing w:after="0" w:line="240" w:lineRule="auto"/>
        <w:jc w:val="both"/>
        <w:rPr>
          <w:rFonts w:ascii="Verdana" w:hAnsi="Verdana" w:eastAsia="Calibri" w:cs="Times New Roman"/>
        </w:rPr>
      </w:pPr>
    </w:p>
    <w:p w:rsidRPr="00F02A16" w:rsidR="00F02A16" w:rsidP="00F02A16" w:rsidRDefault="00F02A16" w14:paraId="1A395409" w14:textId="77777777">
      <w:pPr>
        <w:spacing w:after="0" w:line="240" w:lineRule="auto"/>
        <w:jc w:val="both"/>
        <w:rPr>
          <w:rFonts w:ascii="Verdana" w:hAnsi="Verdana" w:eastAsia="Calibri" w:cs="Times New Roman"/>
        </w:rPr>
      </w:pPr>
    </w:p>
    <w:p w:rsidRPr="00F02A16" w:rsidR="00F02A16" w:rsidP="00F02A16" w:rsidRDefault="00F02A16" w14:paraId="1F822DFA" w14:textId="77777777">
      <w:pPr>
        <w:spacing w:after="0"/>
        <w:rPr>
          <w:rFonts w:ascii="Verdana" w:hAnsi="Verdana" w:eastAsia="Calibri" w:cs="Times New Roman"/>
        </w:rPr>
      </w:pPr>
    </w:p>
    <w:p w:rsidR="00F02A16" w:rsidP="00F02A16" w:rsidRDefault="00F02A16" w14:paraId="5D2F076C" w14:textId="5F911B21">
      <w:pPr>
        <w:spacing w:after="0" w:line="240" w:lineRule="auto"/>
        <w:jc w:val="both"/>
        <w:rPr>
          <w:rFonts w:ascii="Verdana" w:hAnsi="Verdana"/>
        </w:rPr>
      </w:pPr>
      <w:r w:rsidRPr="0044528D">
        <w:rPr>
          <w:rFonts w:ascii="Verdana" w:hAnsi="Verdana"/>
        </w:rPr>
        <w:lastRenderedPageBreak/>
        <w:t>Bogotá D.C.,</w:t>
      </w:r>
      <w:r w:rsidR="00DC54F1">
        <w:rPr>
          <w:rFonts w:ascii="Verdana" w:hAnsi="Verdana"/>
        </w:rPr>
        <w:t xml:space="preserve"> 08 Agosto 2025</w:t>
      </w:r>
    </w:p>
    <w:p w:rsidRPr="00F02A16" w:rsidR="00F02A16" w:rsidP="00F02A16" w:rsidRDefault="00F02A16" w14:paraId="0F76CFBC" w14:textId="77777777">
      <w:pPr>
        <w:spacing w:after="0" w:line="240" w:lineRule="auto"/>
        <w:jc w:val="both"/>
        <w:rPr>
          <w:rFonts w:ascii="Verdana" w:hAnsi="Verdana" w:eastAsia="Calibri" w:cs="Arial"/>
          <w:lang w:val="es-ES_tradnl" w:eastAsia="es-ES"/>
        </w:rPr>
      </w:pPr>
    </w:p>
    <w:p w:rsidRPr="00F02A16" w:rsidR="00F02A16" w:rsidP="00DC54F1" w:rsidRDefault="00DC54F1" w14:paraId="703CA262" w14:textId="2FCCC2D4">
      <w:pPr>
        <w:spacing w:after="0" w:line="240" w:lineRule="auto"/>
        <w:jc w:val="right"/>
        <w:rPr>
          <w:rFonts w:ascii="Verdana" w:hAnsi="Verdana" w:eastAsia="Calibri" w:cs="Arial"/>
          <w:lang w:val="es-ES_tradnl" w:eastAsia="es-ES"/>
        </w:rPr>
      </w:pPr>
      <w:r>
        <w:rPr>
          <w:rFonts w:ascii="Verdana" w:hAnsi="Verdana" w:eastAsia="Calibri" w:cs="Arial"/>
          <w:noProof/>
          <w:lang w:val="es-ES_tradnl" w:eastAsia="es-ES"/>
        </w:rPr>
        <w:drawing>
          <wp:inline distT="0" distB="0" distL="0" distR="0" wp14:anchorId="5D5B14A8" wp14:editId="29E01268">
            <wp:extent cx="3016339" cy="861811"/>
            <wp:effectExtent l="0" t="0" r="0" b="1905"/>
            <wp:docPr id="80857797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8577972" name="Imagen 808577972"/>
                    <pic:cNvPicPr/>
                  </pic:nvPicPr>
                  <pic:blipFill>
                    <a:blip r:embed="rId10">
                      <a:extLst>
                        <a:ext uri="{28A0092B-C50C-407E-A947-70E740481C1C}">
                          <a14:useLocalDpi xmlns:a14="http://schemas.microsoft.com/office/drawing/2010/main" val="0"/>
                        </a:ext>
                      </a:extLst>
                    </a:blip>
                    <a:stretch>
                      <a:fillRect/>
                    </a:stretch>
                  </pic:blipFill>
                  <pic:spPr>
                    <a:xfrm>
                      <a:off x="0" y="0"/>
                      <a:ext cx="3028097" cy="865170"/>
                    </a:xfrm>
                    <a:prstGeom prst="rect">
                      <a:avLst/>
                    </a:prstGeom>
                  </pic:spPr>
                </pic:pic>
              </a:graphicData>
            </a:graphic>
          </wp:inline>
        </w:drawing>
      </w:r>
    </w:p>
    <w:p w:rsidR="00DC54F1" w:rsidP="00F02A16" w:rsidRDefault="00DC54F1" w14:paraId="65F7DF4A" w14:textId="77777777">
      <w:pPr>
        <w:spacing w:after="0" w:line="276" w:lineRule="auto"/>
        <w:jc w:val="both"/>
        <w:rPr>
          <w:rFonts w:ascii="Verdana" w:hAnsi="Verdana" w:eastAsia="Calibri" w:cs="Arial"/>
          <w:lang w:val="es-ES_tradnl" w:eastAsia="es-ES"/>
        </w:rPr>
      </w:pPr>
    </w:p>
    <w:p w:rsidRPr="00F02A16" w:rsidR="00F02A16" w:rsidP="00F02A16" w:rsidRDefault="00F02A16" w14:paraId="612E75DF" w14:textId="142EE445">
      <w:pPr>
        <w:spacing w:after="0" w:line="276" w:lineRule="auto"/>
        <w:jc w:val="both"/>
        <w:rPr>
          <w:rFonts w:ascii="Verdana" w:hAnsi="Verdana" w:eastAsia="Calibri" w:cs="Arial"/>
          <w:lang w:val="es-ES_tradnl" w:eastAsia="es-ES"/>
        </w:rPr>
      </w:pPr>
      <w:r w:rsidRPr="00F02A16">
        <w:rPr>
          <w:rFonts w:ascii="Verdana" w:hAnsi="Verdana" w:eastAsia="Calibri" w:cs="Arial"/>
          <w:lang w:val="es-ES_tradnl" w:eastAsia="es-ES"/>
        </w:rPr>
        <w:t>Señora</w:t>
      </w:r>
    </w:p>
    <w:p w:rsidRPr="00F02A16" w:rsidR="00F02A16" w:rsidP="00F02A16" w:rsidRDefault="00F02A16" w14:paraId="4E6CD7FC" w14:textId="77777777">
      <w:pPr>
        <w:spacing w:after="0" w:line="276" w:lineRule="auto"/>
        <w:rPr>
          <w:rFonts w:ascii="Verdana" w:hAnsi="Verdana" w:eastAsia="Calibri" w:cs="Arial"/>
          <w:b/>
          <w:lang w:val="es-ES_tradnl" w:eastAsia="es-ES_tradnl"/>
        </w:rPr>
      </w:pPr>
      <w:r w:rsidRPr="00F02A16">
        <w:rPr>
          <w:rFonts w:ascii="Verdana" w:hAnsi="Verdana" w:eastAsia="Calibri" w:cs="Arial"/>
          <w:b/>
          <w:lang w:val="es-ES_tradnl" w:eastAsia="es-ES_tradnl"/>
        </w:rPr>
        <w:t>Claudia Milena Arenas Agudelo</w:t>
      </w:r>
    </w:p>
    <w:p w:rsidRPr="00F02A16" w:rsidR="00F02A16" w:rsidP="00F02A16" w:rsidRDefault="00F02A16" w14:paraId="40A6AE92" w14:textId="77777777">
      <w:pPr>
        <w:spacing w:after="0" w:line="276" w:lineRule="auto"/>
        <w:rPr>
          <w:rFonts w:ascii="Verdana" w:hAnsi="Verdana" w:eastAsia="Calibri" w:cs="Arial"/>
          <w:lang w:val="es-ES_tradnl" w:eastAsia="es-ES"/>
        </w:rPr>
      </w:pPr>
      <w:r w:rsidRPr="00F02A16">
        <w:rPr>
          <w:rFonts w:ascii="Verdana" w:hAnsi="Verdana" w:eastAsia="Calibri" w:cs="Arial"/>
          <w:lang w:val="es-ES_tradnl" w:eastAsia="es-ES"/>
        </w:rPr>
        <w:t>Secretaria de Infraestructura - Armenia</w:t>
      </w:r>
    </w:p>
    <w:p w:rsidRPr="00F02A16" w:rsidR="00F02A16" w:rsidP="00F02A16" w:rsidRDefault="00F02A16" w14:paraId="5583F094" w14:textId="77777777">
      <w:pPr>
        <w:spacing w:after="0" w:line="276" w:lineRule="auto"/>
        <w:rPr>
          <w:rFonts w:ascii="Verdana" w:hAnsi="Verdana" w:eastAsia="Calibri" w:cs="Arial"/>
          <w:lang w:val="es-ES_tradnl" w:eastAsia="es-ES"/>
        </w:rPr>
      </w:pPr>
      <w:r w:rsidRPr="00F02A16">
        <w:rPr>
          <w:rFonts w:ascii="Verdana" w:hAnsi="Verdana" w:eastAsia="Calibri" w:cs="Arial"/>
          <w:lang w:val="es-ES_tradnl" w:eastAsia="es-ES"/>
        </w:rPr>
        <w:t>Ciudad</w:t>
      </w:r>
    </w:p>
    <w:p w:rsidRPr="00F02A16" w:rsidR="00F02A16" w:rsidP="00F02A16" w:rsidRDefault="00F02A16" w14:paraId="41B139ED" w14:textId="77777777">
      <w:pPr>
        <w:spacing w:after="0" w:line="240" w:lineRule="auto"/>
        <w:rPr>
          <w:rFonts w:ascii="Verdana" w:hAnsi="Verdana" w:eastAsia="Calibri" w:cs="Arial"/>
          <w:b/>
          <w:bCs/>
          <w:lang w:val="es-ES_tradnl" w:eastAsia="es-ES_tradnl"/>
        </w:rPr>
      </w:pPr>
    </w:p>
    <w:p w:rsidRPr="00F02A16" w:rsidR="00F02A16" w:rsidP="00F02A16" w:rsidRDefault="00F02A16" w14:paraId="470822F9" w14:textId="77777777">
      <w:pPr>
        <w:spacing w:after="0" w:line="240" w:lineRule="auto"/>
        <w:rPr>
          <w:rFonts w:ascii="Verdana" w:hAnsi="Verdana" w:eastAsia="Calibri" w:cs="Arial"/>
          <w:b/>
          <w:bCs/>
          <w:lang w:val="es-ES_tradnl" w:eastAsia="es-ES_tradnl"/>
        </w:rPr>
      </w:pPr>
    </w:p>
    <w:tbl>
      <w:tblPr>
        <w:tblStyle w:val="Tablaconcuadrcula"/>
        <w:tblW w:w="878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
      <w:tblGrid>
        <w:gridCol w:w="2689"/>
        <w:gridCol w:w="6100"/>
      </w:tblGrid>
      <w:tr w:rsidRPr="00F02A16" w:rsidR="00F02A16" w:rsidTr="00B72B72" w14:paraId="25BC25AE" w14:textId="77777777">
        <w:trPr>
          <w:trHeight w:val="884"/>
        </w:trPr>
        <w:tc>
          <w:tcPr>
            <w:tcW w:w="2689" w:type="dxa"/>
          </w:tcPr>
          <w:p w:rsidRPr="00F02A16" w:rsidR="00F02A16" w:rsidP="00F02A16" w:rsidRDefault="00F02A16" w14:paraId="1E327730" w14:textId="77777777">
            <w:pPr>
              <w:jc w:val="both"/>
              <w:rPr>
                <w:rFonts w:ascii="Verdana" w:hAnsi="Verdana" w:eastAsia="Calibri" w:cs="Arial"/>
                <w:b/>
                <w:bCs/>
                <w:lang w:val="es-ES_tradnl" w:eastAsia="es-ES_tradnl"/>
              </w:rPr>
            </w:pPr>
          </w:p>
        </w:tc>
        <w:tc>
          <w:tcPr>
            <w:tcW w:w="6100" w:type="dxa"/>
          </w:tcPr>
          <w:p w:rsidRPr="00F02A16" w:rsidR="00F02A16" w:rsidP="00F02A16" w:rsidRDefault="00F02A16" w14:paraId="11131FEB" w14:textId="77777777">
            <w:pPr>
              <w:jc w:val="both"/>
              <w:rPr>
                <w:rFonts w:ascii="Verdana" w:hAnsi="Verdana" w:eastAsia="Calibri" w:cs="Arial"/>
                <w:b/>
                <w:bCs/>
                <w:lang w:val="es-ES_tradnl" w:eastAsia="es-ES"/>
              </w:rPr>
            </w:pPr>
            <w:r w:rsidRPr="00F02A16">
              <w:rPr>
                <w:rFonts w:ascii="Verdana" w:hAnsi="Verdana" w:eastAsia="Calibri" w:cs="Arial"/>
                <w:b/>
                <w:bCs/>
                <w:lang w:val="es-ES_tradnl" w:eastAsia="es-ES"/>
              </w:rPr>
              <w:t>Concepto C – 865 de 2025</w:t>
            </w:r>
          </w:p>
        </w:tc>
      </w:tr>
      <w:tr w:rsidRPr="00F02A16" w:rsidR="00F02A16" w:rsidTr="00B72B72" w14:paraId="528C58A3" w14:textId="77777777">
        <w:trPr>
          <w:trHeight w:val="884"/>
        </w:trPr>
        <w:tc>
          <w:tcPr>
            <w:tcW w:w="2689" w:type="dxa"/>
          </w:tcPr>
          <w:p w:rsidRPr="00F02A16" w:rsidR="00F02A16" w:rsidP="00F02A16" w:rsidRDefault="00F02A16" w14:paraId="3DFE5D9A" w14:textId="77777777">
            <w:pPr>
              <w:jc w:val="both"/>
              <w:rPr>
                <w:rFonts w:ascii="Verdana" w:hAnsi="Verdana" w:eastAsia="Calibri" w:cs="Arial"/>
                <w:lang w:val="es-ES_tradnl" w:eastAsia="es-ES_tradnl"/>
              </w:rPr>
            </w:pPr>
            <w:r w:rsidRPr="00F02A16">
              <w:rPr>
                <w:rFonts w:ascii="Verdana" w:hAnsi="Verdana" w:eastAsia="Calibri" w:cs="Arial"/>
                <w:b/>
                <w:lang w:val="es-ES_tradnl" w:eastAsia="es-ES_tradnl"/>
              </w:rPr>
              <w:t>Temas:</w:t>
            </w:r>
            <w:r w:rsidRPr="00F02A16">
              <w:rPr>
                <w:rFonts w:ascii="Verdana" w:hAnsi="Verdana" w:eastAsia="Calibri" w:cs="Arial"/>
                <w:lang w:val="es-ES_tradnl" w:eastAsia="es-ES_tradnl"/>
              </w:rPr>
              <w:t xml:space="preserve">                   </w:t>
            </w:r>
          </w:p>
        </w:tc>
        <w:tc>
          <w:tcPr>
            <w:tcW w:w="6100" w:type="dxa"/>
          </w:tcPr>
          <w:p w:rsidRPr="00F02A16" w:rsidR="00F02A16" w:rsidP="00F02A16" w:rsidRDefault="00F02A16" w14:paraId="6259AB2B" w14:textId="77777777">
            <w:pPr>
              <w:spacing w:line="276" w:lineRule="auto"/>
              <w:jc w:val="both"/>
              <w:rPr>
                <w:rFonts w:ascii="Verdana" w:hAnsi="Verdana" w:eastAsia="Geomanist Light" w:cs="Arial"/>
                <w:lang w:val="es-ES_tradnl"/>
              </w:rPr>
            </w:pPr>
            <w:r w:rsidRPr="00F02A16">
              <w:rPr>
                <w:rFonts w:ascii="Verdana" w:hAnsi="Verdana" w:eastAsia="Calibri" w:cs="Arial"/>
                <w:lang w:val="es-ES_tradnl" w:eastAsia="es-ES"/>
              </w:rPr>
              <w:t xml:space="preserve">DOCUMENTOS TIPO – Fundamento normativo / </w:t>
            </w:r>
            <w:r w:rsidRPr="00F02A16">
              <w:rPr>
                <w:rFonts w:ascii="Verdana" w:hAnsi="Verdana" w:eastAsia="Geomanist Light" w:cs="Arial"/>
                <w:lang w:val="es-ES_tradnl"/>
              </w:rPr>
              <w:t>DOCUMENTOS TIPO DE INFRAESTRUCTURA DE TRANSPORTE – Licitación – Versión 4 – Patrimonio – Indicadores financieros y organizacionales – MiPymes</w:t>
            </w:r>
          </w:p>
          <w:p w:rsidRPr="00F02A16" w:rsidR="00F02A16" w:rsidP="00F02A16" w:rsidRDefault="00F02A16" w14:paraId="250882BD" w14:textId="77777777">
            <w:pPr>
              <w:spacing w:line="276" w:lineRule="auto"/>
              <w:jc w:val="both"/>
              <w:rPr>
                <w:rFonts w:ascii="Verdana" w:hAnsi="Verdana" w:eastAsia="Calibri" w:cs="Arial"/>
                <w:highlight w:val="yellow"/>
                <w:lang w:val="es-ES_tradnl" w:eastAsia="es-ES"/>
              </w:rPr>
            </w:pPr>
          </w:p>
        </w:tc>
      </w:tr>
      <w:tr w:rsidRPr="00F02A16" w:rsidR="00F02A16" w:rsidTr="00B72B72" w14:paraId="3C594697" w14:textId="77777777">
        <w:tc>
          <w:tcPr>
            <w:tcW w:w="2689" w:type="dxa"/>
          </w:tcPr>
          <w:p w:rsidRPr="00F02A16" w:rsidR="00F02A16" w:rsidP="00F02A16" w:rsidRDefault="00F02A16" w14:paraId="6D314618" w14:textId="77777777">
            <w:pPr>
              <w:jc w:val="both"/>
              <w:rPr>
                <w:rFonts w:ascii="Verdana" w:hAnsi="Verdana" w:eastAsia="Calibri" w:cs="Arial"/>
                <w:b/>
                <w:lang w:val="es-ES_tradnl" w:eastAsia="es-ES_tradnl"/>
              </w:rPr>
            </w:pPr>
            <w:r w:rsidRPr="00F02A16">
              <w:rPr>
                <w:rFonts w:ascii="Verdana" w:hAnsi="Verdana" w:eastAsia="Calibri" w:cs="Arial"/>
                <w:b/>
                <w:lang w:val="es-ES_tradnl" w:eastAsia="es-ES_tradnl"/>
              </w:rPr>
              <w:t>Radicación:</w:t>
            </w:r>
            <w:r w:rsidRPr="00F02A16">
              <w:rPr>
                <w:rFonts w:ascii="Verdana" w:hAnsi="Verdana" w:eastAsia="Calibri" w:cs="Arial"/>
                <w:lang w:val="es-ES_tradnl" w:eastAsia="es-ES_tradnl"/>
              </w:rPr>
              <w:t xml:space="preserve">               </w:t>
            </w:r>
          </w:p>
        </w:tc>
        <w:tc>
          <w:tcPr>
            <w:tcW w:w="6100" w:type="dxa"/>
          </w:tcPr>
          <w:p w:rsidRPr="00F02A16" w:rsidR="00F02A16" w:rsidP="00F02A16" w:rsidRDefault="00F02A16" w14:paraId="165B019B" w14:textId="77777777">
            <w:pPr>
              <w:spacing w:line="276" w:lineRule="auto"/>
              <w:jc w:val="both"/>
              <w:rPr>
                <w:rFonts w:ascii="Verdana" w:hAnsi="Verdana" w:eastAsia="Calibri" w:cs="Arial"/>
                <w:lang w:val="es-ES_tradnl" w:eastAsia="es-ES_tradnl"/>
              </w:rPr>
            </w:pPr>
            <w:r w:rsidRPr="00F02A16">
              <w:rPr>
                <w:rFonts w:ascii="Verdana" w:hAnsi="Verdana" w:eastAsia="Calibri" w:cs="Arial"/>
                <w:lang w:val="es-ES_tradnl" w:eastAsia="es-ES_tradnl"/>
              </w:rPr>
              <w:t>Respuesta a consulta con radicado No. 1_2025_06_27_006462</w:t>
            </w:r>
          </w:p>
        </w:tc>
      </w:tr>
    </w:tbl>
    <w:p w:rsidRPr="00F02A16" w:rsidR="00F02A16" w:rsidP="00F02A16" w:rsidRDefault="00F02A16" w14:paraId="47F5D9EF" w14:textId="77777777">
      <w:pPr>
        <w:spacing w:after="0" w:line="240" w:lineRule="auto"/>
        <w:jc w:val="both"/>
        <w:rPr>
          <w:rFonts w:ascii="Verdana" w:hAnsi="Verdana" w:eastAsia="Calibri" w:cs="Arial"/>
          <w:lang w:val="es-ES_tradnl" w:eastAsia="es-ES_tradnl"/>
        </w:rPr>
      </w:pPr>
    </w:p>
    <w:p w:rsidRPr="00F02A16" w:rsidR="00F02A16" w:rsidP="00F02A16" w:rsidRDefault="00F02A16" w14:paraId="3DB67FD0" w14:textId="77777777">
      <w:pPr>
        <w:spacing w:after="0" w:line="240" w:lineRule="auto"/>
        <w:jc w:val="both"/>
        <w:rPr>
          <w:rFonts w:ascii="Verdana" w:hAnsi="Verdana" w:eastAsia="Calibri" w:cs="Arial"/>
          <w:lang w:val="es-ES_tradnl" w:eastAsia="es-ES_tradnl"/>
        </w:rPr>
      </w:pPr>
    </w:p>
    <w:p w:rsidRPr="00F02A16" w:rsidR="00F02A16" w:rsidP="00F02A16" w:rsidRDefault="00F02A16" w14:paraId="1D522E2C" w14:textId="77777777">
      <w:pPr>
        <w:spacing w:after="0" w:line="276" w:lineRule="auto"/>
        <w:jc w:val="both"/>
        <w:rPr>
          <w:rFonts w:ascii="Verdana" w:hAnsi="Verdana" w:eastAsia="Calibri" w:cs="Arial"/>
          <w:lang w:val="es-ES_tradnl" w:eastAsia="es-ES"/>
        </w:rPr>
      </w:pPr>
      <w:r w:rsidRPr="00F02A16">
        <w:rPr>
          <w:rFonts w:ascii="Verdana" w:hAnsi="Verdana" w:eastAsia="Calibri" w:cs="Arial"/>
          <w:lang w:val="es-ES_tradnl" w:eastAsia="es-ES"/>
        </w:rPr>
        <w:t xml:space="preserve">Estimada señora Arenas Agudelo: </w:t>
      </w:r>
    </w:p>
    <w:p w:rsidRPr="00F02A16" w:rsidR="00F02A16" w:rsidP="00F02A16" w:rsidRDefault="00F02A16" w14:paraId="74C21F21" w14:textId="77777777">
      <w:pPr>
        <w:tabs>
          <w:tab w:val="left" w:pos="3768"/>
        </w:tabs>
        <w:spacing w:after="0" w:line="276" w:lineRule="auto"/>
        <w:jc w:val="both"/>
        <w:rPr>
          <w:rFonts w:ascii="Verdana" w:hAnsi="Verdana" w:eastAsia="Calibri" w:cs="Arial"/>
          <w:lang w:val="es-ES_tradnl" w:eastAsia="es-ES"/>
        </w:rPr>
      </w:pPr>
      <w:r w:rsidRPr="00F02A16">
        <w:rPr>
          <w:rFonts w:ascii="Verdana" w:hAnsi="Verdana" w:eastAsia="Calibri" w:cs="Arial"/>
          <w:lang w:val="es-ES_tradnl" w:eastAsia="es-ES"/>
        </w:rPr>
        <w:tab/>
      </w:r>
    </w:p>
    <w:p w:rsidRPr="00F02A16" w:rsidR="00F02A16" w:rsidP="00F02A16" w:rsidRDefault="00F02A16" w14:paraId="56312A53" w14:textId="77777777">
      <w:pPr>
        <w:snapToGrid w:val="0"/>
        <w:spacing w:after="0" w:line="276" w:lineRule="auto"/>
        <w:jc w:val="both"/>
        <w:rPr>
          <w:rFonts w:ascii="Verdana" w:hAnsi="Verdana" w:eastAsia="Calibri" w:cs="Arial"/>
          <w:lang w:val="es-ES_tradnl" w:eastAsia="es-ES"/>
        </w:rPr>
      </w:pPr>
      <w:r w:rsidRPr="00F02A16">
        <w:rPr>
          <w:rFonts w:ascii="Verdana" w:hAnsi="Verdana" w:eastAsia="Calibri" w:cs="Arial"/>
          <w:lang w:val="es-ES_tradnl" w:eastAsia="es-ES"/>
        </w:rPr>
        <w:t>En ejercicio de la competencia otorgada por los artículos 3, numeral 5º, y 11, numeral 8º, del Decreto Ley 4170 de 2011,</w:t>
      </w:r>
      <w:r w:rsidRPr="00F02A16">
        <w:rPr>
          <w:rFonts w:ascii="Verdana" w:hAnsi="Verdana" w:eastAsia="Arial MT" w:cs="Arial MT"/>
          <w:lang w:val="es-ES_tradnl" w:eastAsia="es-ES"/>
        </w:rPr>
        <w:t xml:space="preserve"> </w:t>
      </w:r>
      <w:r w:rsidRPr="00F02A16">
        <w:rPr>
          <w:rFonts w:ascii="Verdana" w:hAnsi="Verdana" w:eastAsia="Calibri" w:cs="Arial"/>
          <w:lang w:val="es-ES_tradnl"/>
        </w:rPr>
        <w:t xml:space="preserve">así como lo establecido en el artículo 4 de la Resolución 1707 de 2018 expedida por esta Entidad, </w:t>
      </w:r>
      <w:r w:rsidRPr="00F02A16">
        <w:rPr>
          <w:rFonts w:ascii="Verdana" w:hAnsi="Verdana" w:eastAsia="Calibri" w:cs="Arial"/>
          <w:lang w:val="es-ES_tradnl" w:eastAsia="es-ES"/>
        </w:rPr>
        <w:t>la Agencia Nacional de Contratación Pública – Colombia Compra Eficiente– responde su solicitud de consulta de fecha 27 de junio de 2025. En relación con los documentos tipo de licitación de obra pública de infraestructura de transporte, usted manifiesta lo siguiente:</w:t>
      </w:r>
    </w:p>
    <w:p w:rsidRPr="00F02A16" w:rsidR="00F02A16" w:rsidP="00F02A16" w:rsidRDefault="00F02A16" w14:paraId="37319D60" w14:textId="77777777">
      <w:pPr>
        <w:tabs>
          <w:tab w:val="left" w:pos="142"/>
          <w:tab w:val="left" w:pos="284"/>
        </w:tabs>
        <w:snapToGrid w:val="0"/>
        <w:spacing w:after="0" w:line="240" w:lineRule="auto"/>
        <w:jc w:val="both"/>
        <w:rPr>
          <w:rFonts w:ascii="Verdana" w:hAnsi="Verdana" w:eastAsia="Century Gothic" w:cs="Century Gothic"/>
          <w:b/>
          <w:bCs/>
          <w:lang w:val="es-ES_tradnl"/>
        </w:rPr>
      </w:pPr>
    </w:p>
    <w:p w:rsidRPr="00F02A16" w:rsidR="00F02A16" w:rsidP="00F02A16" w:rsidRDefault="00F02A16" w14:paraId="056F42F2" w14:textId="77777777">
      <w:pPr>
        <w:snapToGrid w:val="0"/>
        <w:spacing w:after="0" w:line="240" w:lineRule="auto"/>
        <w:ind w:left="720" w:right="709"/>
        <w:jc w:val="both"/>
        <w:rPr>
          <w:rFonts w:ascii="Verdana" w:hAnsi="Verdana" w:eastAsia="Century Gothic" w:cs="Century Gothic"/>
          <w:sz w:val="21"/>
          <w:szCs w:val="21"/>
          <w:lang w:val="es-ES"/>
        </w:rPr>
      </w:pPr>
      <w:r w:rsidRPr="00F02A16">
        <w:rPr>
          <w:rFonts w:ascii="Verdana" w:hAnsi="Verdana" w:eastAsia="Century Gothic" w:cs="Century Gothic"/>
          <w:sz w:val="21"/>
          <w:szCs w:val="21"/>
          <w:lang w:val="es-ES"/>
        </w:rPr>
        <w:t xml:space="preserve">“El Documento base Licitación Obra Publica V4 CCE-EICP-GI-01, </w:t>
      </w:r>
      <w:proofErr w:type="spellStart"/>
      <w:r w:rsidRPr="00F02A16">
        <w:rPr>
          <w:rFonts w:ascii="Verdana" w:hAnsi="Verdana" w:eastAsia="Century Gothic" w:cs="Century Gothic"/>
          <w:sz w:val="21"/>
          <w:szCs w:val="21"/>
          <w:lang w:val="es-ES"/>
        </w:rPr>
        <w:t>pagina</w:t>
      </w:r>
      <w:proofErr w:type="spellEnd"/>
      <w:r w:rsidRPr="00F02A16">
        <w:rPr>
          <w:rFonts w:ascii="Verdana" w:hAnsi="Verdana" w:eastAsia="Century Gothic" w:cs="Century Gothic"/>
          <w:sz w:val="21"/>
          <w:szCs w:val="21"/>
          <w:lang w:val="es-ES"/>
        </w:rPr>
        <w:t xml:space="preserve"> 45, numeral 3.8 </w:t>
      </w:r>
      <w:proofErr w:type="gramStart"/>
      <w:r w:rsidRPr="00F02A16">
        <w:rPr>
          <w:rFonts w:ascii="Verdana" w:hAnsi="Verdana" w:eastAsia="Century Gothic" w:cs="Century Gothic"/>
          <w:sz w:val="21"/>
          <w:szCs w:val="21"/>
          <w:lang w:val="es-ES"/>
        </w:rPr>
        <w:t>PATRIMONIO  a</w:t>
      </w:r>
      <w:proofErr w:type="gramEnd"/>
      <w:r w:rsidRPr="00F02A16">
        <w:rPr>
          <w:rFonts w:ascii="Verdana" w:hAnsi="Verdana" w:eastAsia="Century Gothic" w:cs="Century Gothic"/>
          <w:sz w:val="21"/>
          <w:szCs w:val="21"/>
          <w:lang w:val="es-ES"/>
        </w:rPr>
        <w:t xml:space="preserve"> consideración nuestra tiene un vacío.</w:t>
      </w:r>
    </w:p>
    <w:p w:rsidRPr="00F02A16" w:rsidR="00F02A16" w:rsidP="00F02A16" w:rsidRDefault="00F02A16" w14:paraId="1867F3F1" w14:textId="77777777">
      <w:pPr>
        <w:snapToGrid w:val="0"/>
        <w:spacing w:after="0" w:line="240" w:lineRule="auto"/>
        <w:ind w:left="720" w:right="709"/>
        <w:jc w:val="both"/>
        <w:rPr>
          <w:rFonts w:ascii="Verdana" w:hAnsi="Verdana" w:eastAsia="Century Gothic" w:cs="Century Gothic"/>
          <w:sz w:val="21"/>
          <w:szCs w:val="21"/>
          <w:lang w:val="es-ES"/>
        </w:rPr>
      </w:pPr>
    </w:p>
    <w:p w:rsidRPr="00F02A16" w:rsidR="00F02A16" w:rsidP="00F02A16" w:rsidRDefault="00F02A16" w14:paraId="6706169A" w14:textId="77777777">
      <w:pPr>
        <w:snapToGrid w:val="0"/>
        <w:spacing w:after="0" w:line="240" w:lineRule="auto"/>
        <w:ind w:left="720" w:right="709"/>
        <w:jc w:val="both"/>
        <w:rPr>
          <w:rFonts w:ascii="Verdana" w:hAnsi="Verdana" w:eastAsia="Century Gothic" w:cs="Century Gothic"/>
          <w:sz w:val="21"/>
          <w:szCs w:val="21"/>
          <w:lang w:val="es-ES"/>
        </w:rPr>
      </w:pPr>
      <w:r w:rsidRPr="00F02A16">
        <w:rPr>
          <w:rFonts w:ascii="Verdana" w:hAnsi="Verdana" w:eastAsia="Century Gothic" w:cs="Century Gothic"/>
          <w:sz w:val="21"/>
          <w:szCs w:val="21"/>
          <w:lang w:val="es-ES"/>
        </w:rPr>
        <w:t xml:space="preserve">Este, instruye claramente como se deberá calcular el patrimonio demandado para proyectos de obra cuyo presupuesto oficial sea mayor o igual a 40.000 </w:t>
      </w:r>
      <w:proofErr w:type="spellStart"/>
      <w:r w:rsidRPr="00F02A16">
        <w:rPr>
          <w:rFonts w:ascii="Verdana" w:hAnsi="Verdana" w:eastAsia="Century Gothic" w:cs="Century Gothic"/>
          <w:sz w:val="21"/>
          <w:szCs w:val="21"/>
          <w:lang w:val="es-ES"/>
        </w:rPr>
        <w:t>smmlv</w:t>
      </w:r>
      <w:proofErr w:type="spellEnd"/>
      <w:r w:rsidRPr="00F02A16">
        <w:rPr>
          <w:rFonts w:ascii="Verdana" w:hAnsi="Verdana" w:eastAsia="Century Gothic" w:cs="Century Gothic"/>
          <w:sz w:val="21"/>
          <w:szCs w:val="21"/>
          <w:lang w:val="es-ES"/>
        </w:rPr>
        <w:t xml:space="preserve"> y cuente con un plazo de ejecución igual o superior a 24 meses. </w:t>
      </w:r>
    </w:p>
    <w:p w:rsidRPr="00F02A16" w:rsidR="00F02A16" w:rsidP="00F02A16" w:rsidRDefault="00F02A16" w14:paraId="6F9DF8AB" w14:textId="77777777">
      <w:pPr>
        <w:snapToGrid w:val="0"/>
        <w:spacing w:after="0" w:line="240" w:lineRule="auto"/>
        <w:ind w:left="720" w:right="709"/>
        <w:jc w:val="both"/>
        <w:rPr>
          <w:rFonts w:ascii="Verdana" w:hAnsi="Verdana" w:eastAsia="Century Gothic" w:cs="Century Gothic"/>
          <w:sz w:val="21"/>
          <w:szCs w:val="21"/>
          <w:lang w:val="es-ES"/>
        </w:rPr>
      </w:pPr>
    </w:p>
    <w:p w:rsidRPr="00F02A16" w:rsidR="00F02A16" w:rsidP="00F02A16" w:rsidRDefault="00F02A16" w14:paraId="1A59B973" w14:textId="77777777">
      <w:pPr>
        <w:snapToGrid w:val="0"/>
        <w:spacing w:after="0" w:line="240" w:lineRule="auto"/>
        <w:ind w:left="720" w:right="709"/>
        <w:jc w:val="both"/>
        <w:rPr>
          <w:rFonts w:ascii="Verdana" w:hAnsi="Verdana" w:eastAsia="Century Gothic" w:cs="Century Gothic"/>
          <w:sz w:val="21"/>
          <w:szCs w:val="21"/>
          <w:lang w:val="es-ES"/>
        </w:rPr>
      </w:pPr>
      <w:proofErr w:type="gramStart"/>
      <w:r w:rsidRPr="00F02A16">
        <w:rPr>
          <w:rFonts w:ascii="Verdana" w:hAnsi="Verdana" w:eastAsia="Century Gothic" w:cs="Century Gothic"/>
          <w:sz w:val="21"/>
          <w:szCs w:val="21"/>
          <w:lang w:val="es-ES"/>
        </w:rPr>
        <w:t>Pero,</w:t>
      </w:r>
      <w:proofErr w:type="gramEnd"/>
      <w:r w:rsidRPr="00F02A16">
        <w:rPr>
          <w:rFonts w:ascii="Verdana" w:hAnsi="Verdana" w:eastAsia="Century Gothic" w:cs="Century Gothic"/>
          <w:sz w:val="21"/>
          <w:szCs w:val="21"/>
          <w:lang w:val="es-ES"/>
        </w:rPr>
        <w:t xml:space="preserve"> ¿Si es inferior a 24 meses como se aplica? Toda vez que, si el documento establece esa condición (&gt; o =) debe haber una diferencia para los menores y NO ESTÁ DEFINIDA</w:t>
      </w:r>
    </w:p>
    <w:p w:rsidRPr="00F02A16" w:rsidR="00F02A16" w:rsidP="00F02A16" w:rsidRDefault="00F02A16" w14:paraId="7F2C3808" w14:textId="77777777">
      <w:pPr>
        <w:snapToGrid w:val="0"/>
        <w:spacing w:after="0" w:line="240" w:lineRule="auto"/>
        <w:ind w:left="720" w:right="709"/>
        <w:jc w:val="both"/>
        <w:rPr>
          <w:rFonts w:ascii="Verdana" w:hAnsi="Verdana" w:eastAsia="Century Gothic" w:cs="Century Gothic"/>
          <w:sz w:val="21"/>
          <w:szCs w:val="21"/>
          <w:lang w:val="es-ES"/>
        </w:rPr>
      </w:pPr>
    </w:p>
    <w:p w:rsidRPr="00F02A16" w:rsidR="00F02A16" w:rsidP="00F02A16" w:rsidRDefault="00F02A16" w14:paraId="5E6E8124" w14:textId="77777777">
      <w:pPr>
        <w:snapToGrid w:val="0"/>
        <w:spacing w:after="0" w:line="240" w:lineRule="auto"/>
        <w:ind w:left="720" w:right="709"/>
        <w:jc w:val="both"/>
        <w:rPr>
          <w:rFonts w:ascii="Verdana" w:hAnsi="Verdana" w:eastAsia="Century Gothic" w:cs="Century Gothic"/>
          <w:sz w:val="21"/>
          <w:szCs w:val="21"/>
          <w:lang w:val="es-ES"/>
        </w:rPr>
      </w:pPr>
      <w:r w:rsidRPr="00F02A16">
        <w:rPr>
          <w:rFonts w:ascii="Verdana" w:hAnsi="Verdana" w:eastAsia="Century Gothic" w:cs="Century Gothic"/>
          <w:sz w:val="21"/>
          <w:szCs w:val="21"/>
          <w:lang w:val="es-ES"/>
        </w:rPr>
        <w:t xml:space="preserve">Ahora, </w:t>
      </w:r>
      <w:proofErr w:type="gramStart"/>
      <w:r w:rsidRPr="00F02A16">
        <w:rPr>
          <w:rFonts w:ascii="Verdana" w:hAnsi="Verdana" w:eastAsia="Century Gothic" w:cs="Century Gothic"/>
          <w:sz w:val="21"/>
          <w:szCs w:val="21"/>
          <w:lang w:val="es-ES"/>
        </w:rPr>
        <w:t>¿ si</w:t>
      </w:r>
      <w:proofErr w:type="gramEnd"/>
      <w:r w:rsidRPr="00F02A16">
        <w:rPr>
          <w:rFonts w:ascii="Verdana" w:hAnsi="Verdana" w:eastAsia="Century Gothic" w:cs="Century Gothic"/>
          <w:sz w:val="21"/>
          <w:szCs w:val="21"/>
          <w:lang w:val="es-ES"/>
        </w:rPr>
        <w:t xml:space="preserve"> existe un valor diferenciador para MiPymes, como se establece si cumple las dos condiciones, es decir, menor a 24 meses y </w:t>
      </w:r>
      <w:proofErr w:type="spellStart"/>
      <w:r w:rsidRPr="00F02A16">
        <w:rPr>
          <w:rFonts w:ascii="Verdana" w:hAnsi="Verdana" w:eastAsia="Century Gothic" w:cs="Century Gothic"/>
          <w:sz w:val="21"/>
          <w:szCs w:val="21"/>
          <w:lang w:val="es-ES"/>
        </w:rPr>
        <w:t>MiPyme</w:t>
      </w:r>
      <w:proofErr w:type="spellEnd"/>
      <w:r w:rsidRPr="00F02A16">
        <w:rPr>
          <w:rFonts w:ascii="Verdana" w:hAnsi="Verdana" w:eastAsia="Century Gothic" w:cs="Century Gothic"/>
          <w:sz w:val="21"/>
          <w:szCs w:val="21"/>
          <w:lang w:val="es-ES"/>
        </w:rPr>
        <w:t>?”</w:t>
      </w:r>
    </w:p>
    <w:p w:rsidRPr="00F02A16" w:rsidR="00F02A16" w:rsidP="00F02A16" w:rsidRDefault="00F02A16" w14:paraId="505D3431" w14:textId="77777777">
      <w:pPr>
        <w:tabs>
          <w:tab w:val="left" w:pos="142"/>
          <w:tab w:val="left" w:pos="284"/>
        </w:tabs>
        <w:spacing w:line="276" w:lineRule="auto"/>
        <w:contextualSpacing/>
        <w:jc w:val="both"/>
        <w:rPr>
          <w:rFonts w:ascii="Verdana" w:hAnsi="Verdana" w:eastAsia="Century Gothic" w:cs="Century Gothic"/>
          <w:b/>
          <w:bCs/>
          <w:lang w:val="es-ES_tradnl"/>
        </w:rPr>
      </w:pPr>
    </w:p>
    <w:p w:rsidRPr="00F02A16" w:rsidR="00F02A16" w:rsidP="00F02A16" w:rsidRDefault="00F02A16" w14:paraId="22A82E25" w14:textId="77777777">
      <w:pPr>
        <w:spacing w:after="120" w:line="276" w:lineRule="auto"/>
        <w:ind w:firstLine="709"/>
        <w:jc w:val="both"/>
        <w:rPr>
          <w:rFonts w:ascii="Verdana" w:hAnsi="Verdana" w:eastAsia="Calibri" w:cs="Arial"/>
          <w:lang w:val="es-ES" w:eastAsia="es-ES"/>
        </w:rPr>
      </w:pPr>
      <w:r w:rsidRPr="00F02A16">
        <w:rPr>
          <w:rFonts w:ascii="Verdana" w:hAnsi="Verdana" w:eastAsia="Calibri"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02A16">
        <w:rPr>
          <w:rFonts w:ascii="Calibri" w:hAnsi="Calibri" w:eastAsia="Calibri" w:cs="Times New Roman"/>
        </w:rPr>
        <w:tab/>
      </w:r>
    </w:p>
    <w:p w:rsidRPr="00F02A16" w:rsidR="00F02A16" w:rsidP="00F02A16" w:rsidRDefault="00F02A16" w14:paraId="28FEFBF6" w14:textId="77777777">
      <w:pPr>
        <w:snapToGrid w:val="0"/>
        <w:spacing w:after="0" w:line="276" w:lineRule="auto"/>
        <w:ind w:firstLine="709"/>
        <w:jc w:val="both"/>
        <w:rPr>
          <w:rFonts w:ascii="Verdana" w:hAnsi="Verdana" w:eastAsia="Calibri" w:cs="Arial"/>
          <w:lang w:val="es-ES_tradnl" w:eastAsia="es-ES"/>
        </w:rPr>
      </w:pPr>
      <w:r w:rsidRPr="00F02A16">
        <w:rPr>
          <w:rFonts w:ascii="Verdana" w:hAnsi="Verdana" w:eastAsia="Calibri" w:cs="Arial"/>
          <w:lang w:val="es-ES_tradnl" w:eastAsia="es-ES"/>
        </w:rPr>
        <w:t xml:space="preserve">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rsidRPr="00F02A16" w:rsidR="00F02A16" w:rsidP="00F02A16" w:rsidRDefault="00F02A16" w14:paraId="5914E0E3" w14:textId="77777777">
      <w:pPr>
        <w:snapToGrid w:val="0"/>
        <w:spacing w:after="0" w:line="276" w:lineRule="auto"/>
        <w:ind w:firstLine="709"/>
        <w:jc w:val="both"/>
        <w:rPr>
          <w:rFonts w:ascii="Verdana" w:hAnsi="Verdana" w:eastAsia="Calibri" w:cs="Arial"/>
          <w:lang w:val="es-ES_tradnl" w:eastAsia="es-ES"/>
        </w:rPr>
      </w:pPr>
    </w:p>
    <w:p w:rsidRPr="00F02A16" w:rsidR="00F02A16" w:rsidP="00F02A16" w:rsidRDefault="00F02A16" w14:paraId="11043A1C" w14:textId="77777777">
      <w:pPr>
        <w:numPr>
          <w:ilvl w:val="0"/>
          <w:numId w:val="16"/>
        </w:numPr>
        <w:tabs>
          <w:tab w:val="left" w:pos="142"/>
          <w:tab w:val="left" w:pos="284"/>
        </w:tabs>
        <w:snapToGrid w:val="0"/>
        <w:spacing w:after="0" w:line="276" w:lineRule="auto"/>
        <w:ind w:left="357" w:hanging="357"/>
        <w:jc w:val="both"/>
        <w:rPr>
          <w:rFonts w:ascii="Verdana" w:hAnsi="Verdana" w:eastAsia="Century Gothic" w:cs="Century Gothic"/>
          <w:b/>
          <w:bCs/>
          <w:lang w:val="es-ES_tradnl"/>
        </w:rPr>
      </w:pPr>
      <w:r w:rsidRPr="00F02A16">
        <w:rPr>
          <w:rFonts w:ascii="Verdana" w:hAnsi="Verdana" w:eastAsia="Century Gothic" w:cs="Century Gothic"/>
          <w:b/>
          <w:bCs/>
          <w:lang w:val="es-ES_tradnl"/>
        </w:rPr>
        <w:t>Problema planteado:</w:t>
      </w:r>
    </w:p>
    <w:p w:rsidRPr="00F02A16" w:rsidR="00F02A16" w:rsidP="00F02A16" w:rsidRDefault="00F02A16" w14:paraId="6A360F3F" w14:textId="77777777">
      <w:pPr>
        <w:tabs>
          <w:tab w:val="left" w:pos="426"/>
        </w:tabs>
        <w:snapToGrid w:val="0"/>
        <w:spacing w:after="0" w:line="276" w:lineRule="auto"/>
        <w:jc w:val="both"/>
        <w:rPr>
          <w:rFonts w:ascii="Verdana" w:hAnsi="Verdana" w:eastAsia="Century Gothic" w:cs="Century Gothic"/>
          <w:lang w:val="es-ES_tradnl"/>
        </w:rPr>
      </w:pPr>
    </w:p>
    <w:p w:rsidRPr="00F02A16" w:rsidR="00F02A16" w:rsidP="00F02A16" w:rsidRDefault="00F02A16" w14:paraId="36F3E43D" w14:textId="77777777">
      <w:pPr>
        <w:snapToGrid w:val="0"/>
        <w:spacing w:after="0" w:line="276" w:lineRule="auto"/>
        <w:jc w:val="both"/>
        <w:rPr>
          <w:rFonts w:ascii="Verdana" w:hAnsi="Verdana" w:eastAsia="Century Gothic" w:cs="Century Gothic"/>
          <w:lang w:val="es-ES_tradnl"/>
        </w:rPr>
      </w:pPr>
      <w:r w:rsidRPr="00F02A16">
        <w:rPr>
          <w:rFonts w:ascii="Verdana" w:hAnsi="Verdana" w:eastAsia="Century Gothic" w:cs="Century Gothic"/>
          <w:lang w:val="es-ES_tradnl"/>
        </w:rPr>
        <w:t xml:space="preserve">De acuerdo con el contenido de su solicitud, esta Agencia resolverá el siguiente problema jurídico: ¿cómo opera el indicador de </w:t>
      </w:r>
      <w:r w:rsidRPr="00F02A16">
        <w:rPr>
          <w:rFonts w:ascii="Verdana" w:hAnsi="Verdana" w:eastAsia="Century Gothic" w:cs="Century Gothic"/>
          <w:i/>
          <w:iCs/>
          <w:lang w:val="es-ES_tradnl"/>
        </w:rPr>
        <w:t>patrimonio</w:t>
      </w:r>
      <w:r w:rsidRPr="00F02A16">
        <w:rPr>
          <w:rFonts w:ascii="Verdana" w:hAnsi="Verdana" w:eastAsia="Century Gothic" w:cs="Century Gothic"/>
          <w:lang w:val="es-ES_tradnl"/>
        </w:rPr>
        <w:t xml:space="preserve"> en los documentos tipo de licitación de infraestructura de transporte –versión 4–, cuando se trata de MiPymes o de proyectos de obra con un plazo de ejecución inferior a 24 meses? </w:t>
      </w:r>
    </w:p>
    <w:p w:rsidRPr="00F02A16" w:rsidR="00F02A16" w:rsidP="00F02A16" w:rsidRDefault="00F02A16" w14:paraId="4587D7C5" w14:textId="77777777">
      <w:pPr>
        <w:snapToGrid w:val="0"/>
        <w:spacing w:after="0" w:line="276" w:lineRule="auto"/>
        <w:jc w:val="both"/>
        <w:rPr>
          <w:rFonts w:ascii="Verdana" w:hAnsi="Verdana" w:eastAsia="Calibri" w:cs="Arial"/>
          <w:lang w:val="es-ES_tradnl"/>
        </w:rPr>
      </w:pPr>
    </w:p>
    <w:p w:rsidRPr="00F02A16" w:rsidR="00F02A16" w:rsidP="00F02A16" w:rsidRDefault="00F02A16" w14:paraId="076D71B8" w14:textId="77777777">
      <w:pPr>
        <w:numPr>
          <w:ilvl w:val="0"/>
          <w:numId w:val="16"/>
        </w:numPr>
        <w:tabs>
          <w:tab w:val="left" w:pos="142"/>
          <w:tab w:val="left" w:pos="284"/>
        </w:tabs>
        <w:snapToGrid w:val="0"/>
        <w:spacing w:after="0" w:line="276" w:lineRule="auto"/>
        <w:ind w:left="357" w:hanging="357"/>
        <w:jc w:val="both"/>
        <w:rPr>
          <w:rFonts w:ascii="Verdana" w:hAnsi="Verdana" w:eastAsia="Century Gothic" w:cs="Century Gothic"/>
          <w:b/>
          <w:bCs/>
          <w:lang w:val="es-ES_tradnl"/>
        </w:rPr>
      </w:pPr>
      <w:r w:rsidRPr="00F02A16">
        <w:rPr>
          <w:rFonts w:ascii="Verdana" w:hAnsi="Verdana" w:eastAsia="Century Gothic" w:cs="Century Gothic"/>
          <w:b/>
          <w:bCs/>
          <w:lang w:val="es-ES_tradnl"/>
        </w:rPr>
        <w:t>Respuesta:</w:t>
      </w:r>
    </w:p>
    <w:p w:rsidRPr="00F02A16" w:rsidR="00F02A16" w:rsidP="00F02A16" w:rsidRDefault="00F02A16" w14:paraId="0CB04875" w14:textId="77777777">
      <w:pPr>
        <w:tabs>
          <w:tab w:val="left" w:pos="142"/>
          <w:tab w:val="left" w:pos="284"/>
        </w:tabs>
        <w:snapToGrid w:val="0"/>
        <w:spacing w:after="0" w:line="276" w:lineRule="auto"/>
        <w:jc w:val="both"/>
        <w:rPr>
          <w:rFonts w:ascii="Verdana" w:hAnsi="Verdana" w:eastAsia="Century Gothic" w:cs="Century Gothic"/>
          <w:b/>
          <w:bCs/>
          <w:lang w:val="es-ES_tradnl"/>
        </w:rPr>
      </w:pPr>
    </w:p>
    <w:tbl>
      <w:tblPr>
        <w:tblStyle w:val="Tablaconcuadrcula"/>
        <w:tblW w:w="0" w:type="auto"/>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ook w:val="04A0" w:firstRow="1" w:lastRow="0" w:firstColumn="1" w:lastColumn="0" w:noHBand="0" w:noVBand="1"/>
      </w:tblPr>
      <w:tblGrid>
        <w:gridCol w:w="8828"/>
      </w:tblGrid>
      <w:tr w:rsidRPr="00F02A16" w:rsidR="00F02A16" w:rsidTr="00B72B72" w14:paraId="26C4E1CC" w14:textId="77777777">
        <w:tc>
          <w:tcPr>
            <w:tcW w:w="8828" w:type="dxa"/>
          </w:tcPr>
          <w:p w:rsidRPr="00F02A16" w:rsidR="00F02A16" w:rsidP="00F02A16" w:rsidRDefault="00F02A16" w14:paraId="61D87536" w14:textId="77777777">
            <w:pPr>
              <w:snapToGrid w:val="0"/>
              <w:spacing w:after="120" w:line="276" w:lineRule="auto"/>
              <w:jc w:val="both"/>
              <w:rPr>
                <w:rFonts w:ascii="Verdana" w:hAnsi="Verdana" w:eastAsia="Calibri" w:cs="Arial"/>
                <w:u w:val="single"/>
                <w:lang w:val="es-ES_tradnl"/>
              </w:rPr>
            </w:pPr>
            <w:r w:rsidRPr="00F02A16">
              <w:rPr>
                <w:rFonts w:ascii="Verdana" w:hAnsi="Verdana" w:eastAsia="Aptos" w:cs="ArialMT"/>
              </w:rPr>
              <w:t>En los documentos tipo de licitación de obra pública de infraestructura de transporte –versión 4–,</w:t>
            </w:r>
            <w:r w:rsidRPr="00F02A16">
              <w:rPr>
                <w:rFonts w:ascii="Verdana" w:hAnsi="Verdana" w:eastAsia="Aptos" w:cs="Arial"/>
                <w:shd w:val="clear" w:color="auto" w:fill="FFFFFF"/>
                <w:lang w:val="es-ES_tradnl"/>
              </w:rPr>
              <w:t xml:space="preserve"> </w:t>
            </w:r>
            <w:r w:rsidRPr="00F02A16">
              <w:rPr>
                <w:rFonts w:ascii="Verdana" w:hAnsi="Verdana" w:eastAsia="Aptos" w:cs="Arial"/>
                <w:b/>
                <w:bCs/>
                <w:shd w:val="clear" w:color="auto" w:fill="FFFFFF"/>
                <w:lang w:val="es-ES_tradnl"/>
              </w:rPr>
              <w:t xml:space="preserve">únicamente </w:t>
            </w:r>
            <w:r w:rsidRPr="00F02A16">
              <w:rPr>
                <w:rFonts w:ascii="Verdana" w:hAnsi="Verdana" w:eastAsia="Aptos" w:cs="Arial"/>
                <w:shd w:val="clear" w:color="auto" w:fill="FFFFFF"/>
                <w:lang w:val="es-ES_tradnl"/>
              </w:rPr>
              <w:t xml:space="preserve">se solicitará el </w:t>
            </w:r>
            <w:r w:rsidRPr="00F02A16">
              <w:rPr>
                <w:rFonts w:ascii="Verdana" w:hAnsi="Verdana" w:eastAsia="Aptos" w:cs="Arial"/>
                <w:i/>
                <w:iCs/>
                <w:shd w:val="clear" w:color="auto" w:fill="FFFFFF"/>
                <w:lang w:val="es-ES_tradnl"/>
              </w:rPr>
              <w:t xml:space="preserve">Patrimonio </w:t>
            </w:r>
            <w:r w:rsidRPr="00F02A16">
              <w:rPr>
                <w:rFonts w:ascii="Verdana" w:hAnsi="Verdana" w:eastAsia="Aptos" w:cs="Arial"/>
                <w:shd w:val="clear" w:color="auto" w:fill="FFFFFF"/>
                <w:lang w:val="es-ES_tradnl"/>
              </w:rPr>
              <w:t xml:space="preserve">como un indicador de capacidad financiera adicional en aquellos </w:t>
            </w:r>
            <w:r w:rsidRPr="00F02A16">
              <w:rPr>
                <w:rFonts w:ascii="Verdana" w:hAnsi="Verdana" w:eastAsia="Aptos" w:cs="Arial"/>
                <w:u w:val="single"/>
                <w:shd w:val="clear" w:color="auto" w:fill="FFFFFF"/>
                <w:lang w:val="es-ES_tradnl"/>
              </w:rPr>
              <w:t xml:space="preserve">proyectos de obra </w:t>
            </w:r>
            <w:r w:rsidRPr="00F02A16">
              <w:rPr>
                <w:rFonts w:ascii="Verdana" w:hAnsi="Verdana" w:eastAsia="Calibri" w:cs="Arial"/>
                <w:u w:val="single"/>
                <w:lang w:val="es-ES_tradnl"/>
              </w:rPr>
              <w:t xml:space="preserve">cuyo presupuesto oficial sea mayor o igual a 40.000 </w:t>
            </w:r>
            <w:proofErr w:type="spellStart"/>
            <w:r w:rsidRPr="00F02A16">
              <w:rPr>
                <w:rFonts w:ascii="Verdana" w:hAnsi="Verdana" w:eastAsia="Calibri" w:cs="Arial"/>
                <w:u w:val="single"/>
                <w:lang w:val="es-ES_tradnl"/>
              </w:rPr>
              <w:t>smmlv</w:t>
            </w:r>
            <w:proofErr w:type="spellEnd"/>
            <w:r w:rsidRPr="00F02A16">
              <w:rPr>
                <w:rFonts w:ascii="Verdana" w:hAnsi="Verdana" w:eastAsia="Calibri" w:cs="Arial"/>
                <w:u w:val="single"/>
                <w:lang w:val="es-ES_tradnl"/>
              </w:rPr>
              <w:t xml:space="preserve"> y cuenten con un plazo de ejecución igual o superior a 24 meses.</w:t>
            </w:r>
          </w:p>
          <w:p w:rsidRPr="00F02A16" w:rsidR="00F02A16" w:rsidP="00F02A16" w:rsidRDefault="00F02A16" w14:paraId="4815881C" w14:textId="77777777">
            <w:pPr>
              <w:snapToGrid w:val="0"/>
              <w:spacing w:line="276" w:lineRule="auto"/>
              <w:ind w:firstLine="709"/>
              <w:jc w:val="both"/>
              <w:rPr>
                <w:rFonts w:ascii="Aptos" w:hAnsi="Aptos" w:eastAsia="Aptos" w:cs="Times New Roman"/>
                <w:shd w:val="clear" w:color="auto" w:fill="FFFFFF"/>
                <w:lang w:val="es-ES_tradnl"/>
              </w:rPr>
            </w:pPr>
            <w:r w:rsidRPr="00F02A16">
              <w:rPr>
                <w:rFonts w:ascii="Verdana" w:hAnsi="Verdana" w:eastAsia="Aptos" w:cs="Arial"/>
                <w:shd w:val="clear" w:color="auto" w:fill="FFFFFF"/>
                <w:lang w:val="es-ES_tradnl"/>
              </w:rPr>
              <w:t xml:space="preserve">Por su parte, respecto a la acreditación del requisito solicitado, el documento base establece que, en el caso de las empresas que acrediten su condición de </w:t>
            </w:r>
            <w:proofErr w:type="spellStart"/>
            <w:r w:rsidRPr="00F02A16">
              <w:rPr>
                <w:rFonts w:ascii="Verdana" w:hAnsi="Verdana" w:eastAsia="Aptos" w:cs="Arial"/>
                <w:shd w:val="clear" w:color="auto" w:fill="FFFFFF"/>
                <w:lang w:val="es-ES_tradnl"/>
              </w:rPr>
              <w:t>MiPyme</w:t>
            </w:r>
            <w:proofErr w:type="spellEnd"/>
            <w:r w:rsidRPr="00F02A16">
              <w:rPr>
                <w:rFonts w:ascii="Verdana" w:hAnsi="Verdana" w:eastAsia="Aptos" w:cs="Arial"/>
                <w:shd w:val="clear" w:color="auto" w:fill="FFFFFF"/>
                <w:lang w:val="es-ES_tradnl"/>
              </w:rPr>
              <w:t xml:space="preserve">, el </w:t>
            </w:r>
            <w:r w:rsidRPr="00F02A16">
              <w:rPr>
                <w:rFonts w:ascii="Verdana" w:hAnsi="Verdana" w:eastAsia="Aptos" w:cs="Arial"/>
                <w:i/>
                <w:iCs/>
                <w:shd w:val="clear" w:color="auto" w:fill="FFFFFF"/>
                <w:lang w:val="es-ES_tradnl"/>
              </w:rPr>
              <w:t>patrimonio solicitado (requerido)</w:t>
            </w:r>
            <w:r w:rsidRPr="00F02A16">
              <w:rPr>
                <w:rFonts w:ascii="Verdana" w:hAnsi="Verdana" w:eastAsia="Aptos" w:cs="Arial"/>
                <w:shd w:val="clear" w:color="auto" w:fill="FFFFFF"/>
                <w:lang w:val="es-ES_tradnl"/>
              </w:rPr>
              <w:t xml:space="preserve"> corresponderá al 20% del presupuesto oficial, por lo que su determinación se hará de acuerdo con la siguiente fórmula:</w:t>
            </w:r>
          </w:p>
          <w:p w:rsidRPr="00F02A16" w:rsidR="00F02A16" w:rsidP="00F02A16" w:rsidRDefault="00F02A16" w14:paraId="7D137ECC" w14:textId="77777777">
            <w:pPr>
              <w:ind w:left="1134"/>
              <w:rPr>
                <w:rFonts w:ascii="Aptos" w:hAnsi="Aptos" w:eastAsia="Times New Roman" w:cs="Times New Roman"/>
                <w:shd w:val="clear" w:color="auto" w:fill="FFFFFF"/>
                <w:lang w:val="es-ES"/>
              </w:rPr>
            </w:pPr>
          </w:p>
          <w:p w:rsidRPr="00F02A16" w:rsidR="00F02A16" w:rsidP="00F02A16" w:rsidRDefault="00F02A16" w14:paraId="6FF45623" w14:textId="77777777">
            <w:pPr>
              <w:ind w:left="1134"/>
              <w:rPr>
                <w:rFonts w:ascii="Aptos" w:hAnsi="Aptos" w:eastAsia="Aptos" w:cs="Times New Roman"/>
                <w:shd w:val="clear" w:color="auto" w:fill="FFFFFF"/>
                <w:lang w:val="es-ES"/>
              </w:rPr>
            </w:pPr>
            <m:oMathPara>
              <m:oMath>
                <m:r>
                  <m:rPr>
                    <m:sty m:val="p"/>
                  </m:rPr>
                  <w:rPr>
                    <w:rFonts w:ascii="Cambria Math" w:hAnsi="Cambria Math" w:eastAsia="Aptos" w:cs="Times New Roman"/>
                    <w:shd w:val="clear" w:color="auto" w:fill="FFFFFF"/>
                    <w:lang w:val="es-ES"/>
                  </w:rPr>
                  <m:t xml:space="preserve">Pd= </m:t>
                </m:r>
                <m:r>
                  <w:rPr>
                    <w:rFonts w:ascii="Cambria Math" w:hAnsi="Cambria Math" w:eastAsia="Aptos" w:cs="Times New Roman"/>
                    <w:shd w:val="clear" w:color="auto" w:fill="FFFFFF"/>
                    <w:lang w:val="es-ES"/>
                  </w:rPr>
                  <m:t>POE</m:t>
                </m:r>
                <m:r>
                  <m:rPr>
                    <m:sty m:val="p"/>
                  </m:rPr>
                  <w:rPr>
                    <w:rFonts w:ascii="Cambria Math" w:hAnsi="Cambria Math" w:eastAsia="Aptos" w:cs="Times New Roman"/>
                    <w:shd w:val="clear" w:color="auto" w:fill="FFFFFF"/>
                    <w:lang w:val="es-ES"/>
                  </w:rPr>
                  <m:t xml:space="preserve"> </m:t>
                </m:r>
                <m:r>
                  <w:rPr>
                    <w:rFonts w:ascii="Cambria Math" w:hAnsi="Cambria Math" w:eastAsia="Aptos" w:cs="Times New Roman"/>
                    <w:shd w:val="clear" w:color="auto" w:fill="FFFFFF"/>
                    <w:lang w:val="es-ES"/>
                  </w:rPr>
                  <m:t>x</m:t>
                </m:r>
                <m:r>
                  <m:rPr>
                    <m:sty m:val="p"/>
                  </m:rPr>
                  <w:rPr>
                    <w:rFonts w:ascii="Cambria Math" w:hAnsi="Cambria Math" w:eastAsia="Aptos" w:cs="Times New Roman"/>
                    <w:shd w:val="clear" w:color="auto" w:fill="FFFFFF"/>
                    <w:lang w:val="es-ES"/>
                  </w:rPr>
                  <m:t xml:space="preserve"> 20%</m:t>
                </m:r>
              </m:oMath>
            </m:oMathPara>
          </w:p>
          <w:p w:rsidRPr="00F02A16" w:rsidR="00F02A16" w:rsidP="00F02A16" w:rsidRDefault="00F02A16" w14:paraId="0B996AA3" w14:textId="77777777">
            <w:pPr>
              <w:ind w:left="589"/>
              <w:contextualSpacing/>
              <w:jc w:val="both"/>
              <w:rPr>
                <w:rFonts w:ascii="Verdana" w:hAnsi="Verdana" w:eastAsia="Aptos" w:cs="Arial"/>
                <w:shd w:val="clear" w:color="auto" w:fill="FFFFFF"/>
                <w:lang w:val="es-ES_tradnl"/>
              </w:rPr>
            </w:pPr>
          </w:p>
          <w:p w:rsidRPr="00F02A16" w:rsidR="00F02A16" w:rsidP="00F02A16" w:rsidRDefault="00F02A16" w14:paraId="179CB4AD" w14:textId="77777777">
            <w:pPr>
              <w:spacing w:line="276" w:lineRule="auto"/>
              <w:ind w:firstLine="709"/>
              <w:jc w:val="both"/>
              <w:rPr>
                <w:rFonts w:ascii="Aptos" w:hAnsi="Aptos" w:eastAsia="Aptos" w:cs="Times New Roman"/>
                <w:shd w:val="clear" w:color="auto" w:fill="FFFFFF"/>
                <w:lang w:val="es-ES_tradnl"/>
              </w:rPr>
            </w:pPr>
            <w:r w:rsidRPr="00F02A16">
              <w:rPr>
                <w:rFonts w:ascii="Verdana" w:hAnsi="Verdana" w:eastAsia="Aptos" w:cs="Arial"/>
                <w:shd w:val="clear" w:color="auto" w:fill="FFFFFF"/>
                <w:lang w:val="es-ES_tradnl"/>
              </w:rPr>
              <w:t xml:space="preserve">Por el contrario, si el proponente no acredita la condición de </w:t>
            </w:r>
            <w:proofErr w:type="spellStart"/>
            <w:r w:rsidRPr="00F02A16">
              <w:rPr>
                <w:rFonts w:ascii="Verdana" w:hAnsi="Verdana" w:eastAsia="Aptos" w:cs="Arial"/>
                <w:shd w:val="clear" w:color="auto" w:fill="FFFFFF"/>
                <w:lang w:val="es-ES_tradnl"/>
              </w:rPr>
              <w:t>MiPyme</w:t>
            </w:r>
            <w:proofErr w:type="spellEnd"/>
            <w:r w:rsidRPr="00F02A16">
              <w:rPr>
                <w:rFonts w:ascii="Verdana" w:hAnsi="Verdana" w:eastAsia="Aptos" w:cs="Arial"/>
                <w:shd w:val="clear" w:color="auto" w:fill="FFFFFF"/>
                <w:lang w:val="es-ES_tradnl"/>
              </w:rPr>
              <w:t>, el requisito corresponderá al 25% del presupuesto oficial, por lo que su determinación se hará de acuerdo con la siguiente fórmula:</w:t>
            </w:r>
          </w:p>
          <w:p w:rsidRPr="00F02A16" w:rsidR="00F02A16" w:rsidP="00F02A16" w:rsidRDefault="00F02A16" w14:paraId="71CC12EF" w14:textId="77777777">
            <w:pPr>
              <w:ind w:left="1134"/>
              <w:rPr>
                <w:rFonts w:ascii="Geomanist Light" w:hAnsi="Geomanist Light" w:eastAsia="Times New Roman" w:cs="Times New Roman"/>
                <w:shd w:val="clear" w:color="auto" w:fill="FFFFFF"/>
                <w:lang w:val="es-ES"/>
              </w:rPr>
            </w:pPr>
          </w:p>
          <w:p w:rsidRPr="00F02A16" w:rsidR="00F02A16" w:rsidP="00F02A16" w:rsidRDefault="00F02A16" w14:paraId="3CFF3C9B" w14:textId="77777777">
            <w:pPr>
              <w:ind w:left="1134"/>
              <w:rPr>
                <w:rFonts w:ascii="Aptos" w:hAnsi="Aptos" w:eastAsia="Times New Roman" w:cs="Times New Roman"/>
                <w:shd w:val="clear" w:color="auto" w:fill="FFFFFF"/>
                <w:lang w:val="es-ES"/>
              </w:rPr>
            </w:pPr>
            <m:oMathPara>
              <m:oMath>
                <m:r>
                  <m:rPr>
                    <m:sty m:val="p"/>
                  </m:rPr>
                  <w:rPr>
                    <w:rFonts w:ascii="Cambria Math" w:hAnsi="Cambria Math" w:eastAsia="Aptos" w:cs="Times New Roman"/>
                    <w:shd w:val="clear" w:color="auto" w:fill="FFFFFF"/>
                    <w:lang w:val="es-ES"/>
                  </w:rPr>
                  <m:t xml:space="preserve">Pd= </m:t>
                </m:r>
                <m:r>
                  <w:rPr>
                    <w:rFonts w:ascii="Cambria Math" w:hAnsi="Cambria Math" w:eastAsia="Aptos" w:cs="Times New Roman"/>
                    <w:shd w:val="clear" w:color="auto" w:fill="FFFFFF"/>
                    <w:lang w:val="es-ES"/>
                  </w:rPr>
                  <m:t>POE</m:t>
                </m:r>
                <m:r>
                  <m:rPr>
                    <m:sty m:val="p"/>
                  </m:rPr>
                  <w:rPr>
                    <w:rFonts w:ascii="Cambria Math" w:hAnsi="Cambria Math" w:eastAsia="Aptos" w:cs="Times New Roman"/>
                    <w:shd w:val="clear" w:color="auto" w:fill="FFFFFF"/>
                    <w:lang w:val="es-ES"/>
                  </w:rPr>
                  <m:t xml:space="preserve"> </m:t>
                </m:r>
                <m:r>
                  <w:rPr>
                    <w:rFonts w:ascii="Cambria Math" w:hAnsi="Cambria Math" w:eastAsia="Aptos" w:cs="Times New Roman"/>
                    <w:shd w:val="clear" w:color="auto" w:fill="FFFFFF"/>
                    <w:lang w:val="es-ES"/>
                  </w:rPr>
                  <m:t>x</m:t>
                </m:r>
                <m:r>
                  <m:rPr>
                    <m:sty m:val="p"/>
                  </m:rPr>
                  <w:rPr>
                    <w:rFonts w:ascii="Cambria Math" w:hAnsi="Cambria Math" w:eastAsia="Aptos" w:cs="Times New Roman"/>
                    <w:shd w:val="clear" w:color="auto" w:fill="FFFFFF"/>
                    <w:lang w:val="es-ES"/>
                  </w:rPr>
                  <m:t xml:space="preserve"> 25%</m:t>
                </m:r>
              </m:oMath>
            </m:oMathPara>
          </w:p>
        </w:tc>
      </w:tr>
    </w:tbl>
    <w:p w:rsidRPr="00F02A16" w:rsidR="00F02A16" w:rsidP="00F02A16" w:rsidRDefault="00F02A16" w14:paraId="6A1720A1" w14:textId="77777777">
      <w:pPr>
        <w:tabs>
          <w:tab w:val="left" w:pos="142"/>
          <w:tab w:val="left" w:pos="284"/>
        </w:tabs>
        <w:snapToGrid w:val="0"/>
        <w:spacing w:after="0" w:line="276" w:lineRule="auto"/>
        <w:jc w:val="both"/>
        <w:rPr>
          <w:rFonts w:ascii="Verdana" w:hAnsi="Verdana" w:eastAsia="Century Gothic" w:cs="Century Gothic"/>
          <w:b/>
          <w:bCs/>
          <w:lang w:val="es-ES_tradnl"/>
        </w:rPr>
      </w:pPr>
    </w:p>
    <w:p w:rsidRPr="00F02A16" w:rsidR="00F02A16" w:rsidP="00F02A16" w:rsidRDefault="00F02A16" w14:paraId="144BB24F" w14:textId="77777777">
      <w:pPr>
        <w:numPr>
          <w:ilvl w:val="0"/>
          <w:numId w:val="16"/>
        </w:numPr>
        <w:tabs>
          <w:tab w:val="left" w:pos="142"/>
          <w:tab w:val="left" w:pos="284"/>
        </w:tabs>
        <w:snapToGrid w:val="0"/>
        <w:spacing w:after="0" w:line="276" w:lineRule="auto"/>
        <w:ind w:left="357" w:hanging="357"/>
        <w:jc w:val="both"/>
        <w:rPr>
          <w:rFonts w:ascii="Verdana" w:hAnsi="Verdana" w:eastAsia="Century Gothic" w:cs="Century Gothic"/>
          <w:b/>
          <w:bCs/>
          <w:lang w:val="es-ES_tradnl"/>
        </w:rPr>
      </w:pPr>
      <w:r w:rsidRPr="00F02A16">
        <w:rPr>
          <w:rFonts w:ascii="Verdana" w:hAnsi="Verdana" w:eastAsia="Century Gothic" w:cs="Century Gothic"/>
          <w:b/>
          <w:bCs/>
          <w:lang w:val="es-ES_tradnl"/>
        </w:rPr>
        <w:t>Razones de la respuesta:</w:t>
      </w:r>
    </w:p>
    <w:p w:rsidRPr="00F02A16" w:rsidR="00F02A16" w:rsidP="00F02A16" w:rsidRDefault="00F02A16" w14:paraId="370430CE" w14:textId="77777777">
      <w:pPr>
        <w:tabs>
          <w:tab w:val="left" w:pos="142"/>
          <w:tab w:val="left" w:pos="284"/>
        </w:tabs>
        <w:snapToGrid w:val="0"/>
        <w:spacing w:after="0" w:line="276" w:lineRule="auto"/>
        <w:ind w:left="357"/>
        <w:jc w:val="both"/>
        <w:rPr>
          <w:rFonts w:ascii="Verdana" w:hAnsi="Verdana" w:eastAsia="Century Gothic" w:cs="Century Gothic"/>
          <w:b/>
          <w:bCs/>
          <w:lang w:val="es-ES_tradnl"/>
        </w:rPr>
      </w:pPr>
    </w:p>
    <w:p w:rsidRPr="00F02A16" w:rsidR="00F02A16" w:rsidP="00F02A16" w:rsidRDefault="00F02A16" w14:paraId="36D119D7" w14:textId="77777777">
      <w:pPr>
        <w:snapToGrid w:val="0"/>
        <w:spacing w:after="0" w:line="276" w:lineRule="auto"/>
        <w:jc w:val="both"/>
        <w:rPr>
          <w:rFonts w:ascii="Verdana" w:hAnsi="Verdana" w:eastAsia="Calibri" w:cs="Arial"/>
          <w:lang w:val="es-ES_tradnl"/>
        </w:rPr>
      </w:pPr>
      <w:r w:rsidRPr="00F02A16">
        <w:rPr>
          <w:rFonts w:ascii="Verdana" w:hAnsi="Verdana" w:eastAsia="Calibri" w:cs="Arial"/>
          <w:lang w:val="es-ES_tradnl"/>
        </w:rPr>
        <w:t xml:space="preserve">Lo anterior se sustenta en las siguientes consideraciones: </w:t>
      </w:r>
    </w:p>
    <w:p w:rsidRPr="00F02A16" w:rsidR="00F02A16" w:rsidP="00F02A16" w:rsidRDefault="00F02A16" w14:paraId="0ED92021" w14:textId="77777777">
      <w:pPr>
        <w:snapToGrid w:val="0"/>
        <w:spacing w:after="0" w:line="276" w:lineRule="auto"/>
        <w:jc w:val="both"/>
        <w:rPr>
          <w:rFonts w:ascii="Verdana" w:hAnsi="Verdana" w:eastAsia="Calibri" w:cs="Arial"/>
          <w:lang w:val="es-ES_tradnl"/>
        </w:rPr>
      </w:pPr>
    </w:p>
    <w:p w:rsidRPr="00F02A16" w:rsidR="00F02A16" w:rsidP="00F02A16" w:rsidRDefault="00F02A16" w14:paraId="3AB24F5B" w14:textId="77777777">
      <w:pPr>
        <w:snapToGrid w:val="0"/>
        <w:spacing w:after="120" w:line="276" w:lineRule="auto"/>
        <w:jc w:val="both"/>
        <w:rPr>
          <w:rFonts w:ascii="Verdana" w:hAnsi="Verdana" w:eastAsia="Calibri" w:cs="Arial"/>
          <w:lang w:val="es-ES"/>
        </w:rPr>
      </w:pPr>
      <w:r w:rsidRPr="00F02A16">
        <w:rPr>
          <w:rFonts w:ascii="Verdana" w:hAnsi="Verdana" w:eastAsia="Calibri" w:cs="Arial"/>
          <w:lang w:val="es-ES"/>
        </w:rPr>
        <w:t>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Así mismo, los sujetos obligados a su aplicación no podrán variar los requisitos que en ellos sean fijados, ni establecer reglas o requisitos adicionales a los establecidos en estos para la presentación de las ofertas y la acreditación de los requisitos habilitantes.</w:t>
      </w:r>
    </w:p>
    <w:p w:rsidRPr="00F02A16" w:rsidR="00F02A16" w:rsidP="00F02A16" w:rsidRDefault="00F02A16" w14:paraId="659B26D4" w14:textId="77777777">
      <w:pPr>
        <w:snapToGrid w:val="0"/>
        <w:spacing w:after="120" w:line="276" w:lineRule="auto"/>
        <w:ind w:firstLine="709"/>
        <w:jc w:val="both"/>
        <w:rPr>
          <w:rFonts w:ascii="Verdana" w:hAnsi="Verdana" w:eastAsia="Calibri" w:cs="Arial"/>
          <w:bCs/>
          <w:kern w:val="2"/>
          <w14:ligatures w14:val="standardContextual"/>
        </w:rPr>
      </w:pPr>
      <w:r w:rsidRPr="00F02A16">
        <w:rPr>
          <w:rFonts w:ascii="Verdana" w:hAnsi="Verdana" w:eastAsia="Calibri" w:cs="Times New Roman"/>
          <w:kern w:val="2"/>
          <w:lang w:val="es-ES_tradnl"/>
          <w14:ligatures w14:val="standardContextual"/>
        </w:rPr>
        <w:lastRenderedPageBreak/>
        <w:t>La Agencia Nacional de Contratación Pública – Colombia Compra Eficiente ha expedido documentos tipo para los sectores de infraestructura de transporte, agua potable y saneamiento básico y social. Asimismo, esta Agencia expidió los documentos tipo de gestión catastral con enfoque multipropósito y para la contratación directa de convenios solidarios para la ejecución de obras hasta la menor cuantía con organismos de acción comunal.</w:t>
      </w:r>
      <w:r w:rsidRPr="00F02A16">
        <w:rPr>
          <w:rFonts w:ascii="Verdana" w:hAnsi="Verdana" w:eastAsia="Calibri" w:cs="Times New Roman"/>
          <w:kern w:val="2"/>
          <w:vertAlign w:val="superscript"/>
          <w:lang w:val="es-ES_tradnl"/>
          <w14:ligatures w14:val="standardContextual"/>
        </w:rPr>
        <w:footnoteReference w:id="1"/>
      </w:r>
    </w:p>
    <w:p w:rsidRPr="00F02A16" w:rsidR="00F02A16" w:rsidP="00F02A16" w:rsidRDefault="00F02A16" w14:paraId="0C2D8BE1" w14:textId="77777777">
      <w:pPr>
        <w:snapToGrid w:val="0"/>
        <w:spacing w:after="120" w:line="276" w:lineRule="auto"/>
        <w:ind w:firstLine="709"/>
        <w:jc w:val="both"/>
        <w:rPr>
          <w:rFonts w:ascii="Verdana" w:hAnsi="Verdana" w:eastAsia="Calibri" w:cs="Arial"/>
          <w:bCs/>
          <w:kern w:val="2"/>
          <w:lang w:val="es-ES_tradnl"/>
          <w14:ligatures w14:val="standardContextual"/>
        </w:rPr>
      </w:pPr>
      <w:r w:rsidRPr="00F02A16">
        <w:rPr>
          <w:rFonts w:ascii="Verdana" w:hAnsi="Verdana" w:eastAsia="Calibri" w:cs="Arial"/>
          <w:bCs/>
          <w:kern w:val="2"/>
          <w:lang w:val="es-ES_tradnl"/>
          <w14:ligatures w14:val="standardContextual"/>
        </w:rPr>
        <w:t>En el sector de infraestructura de transporte, la Agencia Nacional de Contratación Pública – Colombia Compra Eficiente ha expedido Documentos Tipo</w:t>
      </w:r>
      <w:r w:rsidRPr="00F02A16">
        <w:rPr>
          <w:rFonts w:ascii="Verdana" w:hAnsi="Verdana" w:eastAsia="Calibri" w:cs="Arial"/>
          <w:bCs/>
          <w:kern w:val="2"/>
          <w:vertAlign w:val="superscript"/>
          <w:lang w:val="es-ES_tradnl"/>
          <w14:ligatures w14:val="standardContextual"/>
        </w:rPr>
        <w:t xml:space="preserve"> </w:t>
      </w:r>
      <w:r w:rsidRPr="00F02A16">
        <w:rPr>
          <w:rFonts w:ascii="Verdana" w:hAnsi="Verdana" w:eastAsia="Calibri" w:cs="Arial"/>
          <w:bCs/>
          <w:kern w:val="2"/>
          <w:lang w:val="es-ES_tradnl"/>
          <w14:ligatures w14:val="standardContextual"/>
        </w:rPr>
        <w:t xml:space="preserve">para contratar obras públicas de infraestructura de transporte bajo las modalidades de selección de licitación pública, selección abreviada de menor cuantía y mínima cuantía. También, esta Agencia expidió los documentos tipo de concurso de méritos para contratar la interventoría y la consultoría de estudios de ingeniería de infraestructura de transporte. </w:t>
      </w:r>
    </w:p>
    <w:p w:rsidRPr="00F02A16" w:rsidR="00F02A16" w:rsidP="00F02A16" w:rsidRDefault="00F02A16" w14:paraId="4A5BE9B0" w14:textId="77777777">
      <w:pPr>
        <w:snapToGrid w:val="0"/>
        <w:spacing w:after="120" w:line="276" w:lineRule="auto"/>
        <w:ind w:firstLine="709"/>
        <w:jc w:val="both"/>
        <w:rPr>
          <w:rFonts w:ascii="Verdana" w:hAnsi="Verdana" w:eastAsia="Calibri" w:cs="Arial"/>
          <w:bCs/>
          <w:kern w:val="2"/>
          <w:lang w:val="es-ES_tradnl"/>
          <w14:ligatures w14:val="standardContextual"/>
        </w:rPr>
      </w:pPr>
      <w:r w:rsidRPr="00F02A16">
        <w:rPr>
          <w:rFonts w:ascii="Verdana" w:hAnsi="Verdana" w:eastAsia="Calibri" w:cs="Arial"/>
          <w:bCs/>
          <w:kern w:val="2"/>
          <w:lang w:val="es-ES_tradnl"/>
          <w14:ligatures w14:val="standardContextual"/>
        </w:rPr>
        <w:t xml:space="preserve">Recientemente, esta Agencia expidió la Resolución 465 e 2024 </w:t>
      </w:r>
      <w:r w:rsidRPr="00F02A16">
        <w:rPr>
          <w:rFonts w:ascii="Verdana" w:hAnsi="Verdana" w:eastAsia="Calibri" w:cs="Arial"/>
          <w:bCs/>
          <w:i/>
          <w:iCs/>
          <w:kern w:val="2"/>
          <w:lang w:val="es-ES_tradnl"/>
          <w14:ligatures w14:val="standardContextual"/>
        </w:rPr>
        <w:t>“Por la cual se adopta la versión -4- de los Documentos Tipo para los procesos de selección de licitación de obra pública de infraestructura de transporte y se deroga la Resolución 240 de 2020”.</w:t>
      </w:r>
    </w:p>
    <w:p w:rsidRPr="00F02A16" w:rsidR="00F02A16" w:rsidP="00F02A16" w:rsidRDefault="00F02A16" w14:paraId="4320F28F" w14:textId="77777777">
      <w:pPr>
        <w:snapToGrid w:val="0"/>
        <w:spacing w:after="120" w:line="276" w:lineRule="auto"/>
        <w:ind w:firstLine="709"/>
        <w:jc w:val="both"/>
        <w:rPr>
          <w:rFonts w:ascii="Verdana" w:hAnsi="Verdana" w:eastAsia="Calibri" w:cs="Arial"/>
          <w:bCs/>
          <w:kern w:val="2"/>
          <w:lang w:val="es-ES_tradnl"/>
          <w14:ligatures w14:val="standardContextual"/>
        </w:rPr>
      </w:pPr>
      <w:r w:rsidRPr="00F02A16">
        <w:rPr>
          <w:rFonts w:ascii="Verdana" w:hAnsi="Verdana" w:eastAsia="Calibri" w:cs="Arial"/>
          <w:kern w:val="2"/>
          <w:lang w:val="es-ES"/>
          <w14:ligatures w14:val="standardContextual"/>
        </w:rPr>
        <w:t xml:space="preserve">Dentro del alcance de los documentos tipo como instrumento de contratación pública, se encuentra la definición de los requisitos de capacidad financiera y organizacional de los procesos de selección. </w:t>
      </w:r>
    </w:p>
    <w:p w:rsidRPr="00F02A16" w:rsidR="00F02A16" w:rsidP="00F02A16" w:rsidRDefault="00F02A16" w14:paraId="620627D2" w14:textId="77777777">
      <w:pPr>
        <w:snapToGrid w:val="0"/>
        <w:spacing w:after="120" w:line="276" w:lineRule="auto"/>
        <w:ind w:firstLine="709"/>
        <w:jc w:val="both"/>
        <w:rPr>
          <w:rFonts w:ascii="Verdana" w:hAnsi="Verdana" w:eastAsia="Calibri" w:cs="Arial"/>
          <w:kern w:val="2"/>
          <w:lang w:val="es-ES"/>
          <w14:ligatures w14:val="standardContextual"/>
        </w:rPr>
      </w:pPr>
      <w:r w:rsidRPr="00F02A16">
        <w:rPr>
          <w:rFonts w:ascii="Verdana" w:hAnsi="Verdana" w:eastAsia="Calibri" w:cs="Arial"/>
          <w:kern w:val="2"/>
          <w:lang w:val="es-ES"/>
          <w14:ligatures w14:val="standardContextual"/>
        </w:rPr>
        <w:t xml:space="preserve">En el numeral 3.8 “Patrimonio” del Documento Base de los documentos tipo de licitación de obra pública de infraestructura de transporte –versión 4–, se describen las condiciones mediante las cuales las Entidades Estatales deberán solicitar este indicador y las particularidades que aplican, incluso, en el evento que el proponente se presente bajo una figura plural o acredite su condición de </w:t>
      </w:r>
      <w:proofErr w:type="spellStart"/>
      <w:r w:rsidRPr="00F02A16">
        <w:rPr>
          <w:rFonts w:ascii="Verdana" w:hAnsi="Verdana" w:eastAsia="Calibri" w:cs="Arial"/>
          <w:kern w:val="2"/>
          <w:lang w:val="es-ES"/>
          <w14:ligatures w14:val="standardContextual"/>
        </w:rPr>
        <w:t>MiPyme</w:t>
      </w:r>
      <w:proofErr w:type="spellEnd"/>
      <w:r w:rsidRPr="00F02A16">
        <w:rPr>
          <w:rFonts w:ascii="Verdana" w:hAnsi="Verdana" w:eastAsia="Calibri" w:cs="Arial"/>
          <w:kern w:val="2"/>
          <w:lang w:val="es-ES"/>
          <w14:ligatures w14:val="standardContextual"/>
        </w:rPr>
        <w:t>.</w:t>
      </w:r>
    </w:p>
    <w:p w:rsidRPr="00F02A16" w:rsidR="00F02A16" w:rsidP="00F02A16" w:rsidRDefault="00F02A16" w14:paraId="21329542" w14:textId="77777777">
      <w:pPr>
        <w:snapToGrid w:val="0"/>
        <w:spacing w:after="0" w:line="276" w:lineRule="auto"/>
        <w:ind w:firstLine="709"/>
        <w:jc w:val="both"/>
        <w:rPr>
          <w:rFonts w:ascii="Verdana" w:hAnsi="Verdana" w:eastAsia="Calibri" w:cs="Arial"/>
          <w:kern w:val="2"/>
          <w:lang w:val="es-ES"/>
          <w14:ligatures w14:val="standardContextual"/>
        </w:rPr>
      </w:pPr>
      <w:r w:rsidRPr="00F02A16">
        <w:rPr>
          <w:rFonts w:ascii="Verdana" w:hAnsi="Verdana" w:eastAsia="Calibri" w:cs="Arial"/>
          <w:kern w:val="2"/>
          <w:lang w:val="es-ES"/>
          <w14:ligatures w14:val="standardContextual"/>
        </w:rPr>
        <w:t>A continuación, se realiza una desagregación de los componentes del citado numeral, con el ánimo de precisar su contenido:</w:t>
      </w:r>
    </w:p>
    <w:p w:rsidRPr="00F02A16" w:rsidR="00F02A16" w:rsidP="00F02A16" w:rsidRDefault="00F02A16" w14:paraId="2C94C305" w14:textId="77777777">
      <w:pPr>
        <w:snapToGrid w:val="0"/>
        <w:spacing w:after="0" w:line="276" w:lineRule="auto"/>
        <w:ind w:firstLine="709"/>
        <w:jc w:val="both"/>
        <w:rPr>
          <w:rFonts w:ascii="Verdana" w:hAnsi="Verdana" w:eastAsia="Calibri" w:cs="Arial"/>
          <w:kern w:val="2"/>
          <w:lang w:val="es-ES"/>
          <w14:ligatures w14:val="standardContextual"/>
        </w:rPr>
      </w:pPr>
    </w:p>
    <w:p w:rsidRPr="00F02A16" w:rsidR="00F02A16" w:rsidP="00F02A16" w:rsidRDefault="00F02A16" w14:paraId="620A5993" w14:textId="77777777">
      <w:pPr>
        <w:numPr>
          <w:ilvl w:val="0"/>
          <w:numId w:val="18"/>
        </w:numPr>
        <w:snapToGrid w:val="0"/>
        <w:spacing w:after="0" w:line="276" w:lineRule="auto"/>
        <w:ind w:left="0" w:firstLine="357"/>
        <w:contextualSpacing/>
        <w:jc w:val="both"/>
        <w:rPr>
          <w:rFonts w:ascii="Verdana" w:hAnsi="Verdana" w:eastAsia="Calibri" w:cs="Arial"/>
          <w:kern w:val="2"/>
          <w:lang w:val="es-ES"/>
          <w14:ligatures w14:val="standardContextual"/>
        </w:rPr>
      </w:pPr>
      <w:r w:rsidRPr="00F02A16">
        <w:rPr>
          <w:rFonts w:ascii="Verdana" w:hAnsi="Verdana" w:eastAsia="Calibri" w:cs="Arial"/>
          <w:kern w:val="2"/>
          <w:lang w:val="es-ES"/>
          <w14:ligatures w14:val="standardContextual"/>
        </w:rPr>
        <w:t>En primer lugar, se describe el indicador y las cuentas a utilizar para su cálculo:</w:t>
      </w:r>
    </w:p>
    <w:p w:rsidRPr="00F02A16" w:rsidR="00F02A16" w:rsidP="00F02A16" w:rsidRDefault="00F02A16" w14:paraId="421B5689" w14:textId="77777777">
      <w:pPr>
        <w:snapToGrid w:val="0"/>
        <w:spacing w:after="0" w:line="276" w:lineRule="auto"/>
        <w:ind w:left="1080"/>
        <w:contextualSpacing/>
        <w:jc w:val="both"/>
        <w:rPr>
          <w:rFonts w:ascii="Verdana" w:hAnsi="Verdana" w:eastAsia="Calibri" w:cs="Arial"/>
          <w:kern w:val="2"/>
          <w:lang w:val="es-ES"/>
          <w14:ligatures w14:val="standardContextual"/>
        </w:rPr>
      </w:pPr>
    </w:p>
    <w:p w:rsidRPr="00F02A16" w:rsidR="00F02A16" w:rsidP="00F02A16" w:rsidRDefault="00F02A16" w14:paraId="2DD3A275" w14:textId="77777777">
      <w:pPr>
        <w:adjustRightInd w:val="0"/>
        <w:spacing w:line="240" w:lineRule="auto"/>
        <w:ind w:left="1134" w:right="709"/>
        <w:rPr>
          <w:rFonts w:ascii="Verdana" w:hAnsi="Verdana" w:eastAsia="Calibri" w:cs="Arial"/>
          <w:sz w:val="21"/>
          <w:szCs w:val="21"/>
        </w:rPr>
      </w:pPr>
      <w:r w:rsidRPr="00F02A16">
        <w:rPr>
          <w:rFonts w:ascii="Verdana" w:hAnsi="Verdana" w:eastAsia="Calibri" w:cs="Arial"/>
          <w:sz w:val="21"/>
          <w:szCs w:val="21"/>
        </w:rPr>
        <w:lastRenderedPageBreak/>
        <w:t>Para el Proceso de Contratación los Proponentes deberán acreditar</w:t>
      </w:r>
    </w:p>
    <w:p w:rsidRPr="00F02A16" w:rsidR="00F02A16" w:rsidP="00F02A16" w:rsidRDefault="00F02A16" w14:paraId="2B0C306E" w14:textId="77777777">
      <w:pPr>
        <w:autoSpaceDE w:val="0"/>
        <w:autoSpaceDN w:val="0"/>
        <w:adjustRightInd w:val="0"/>
        <w:spacing w:before="120" w:after="240" w:line="240" w:lineRule="auto"/>
        <w:ind w:left="360" w:right="709" w:firstLine="1134"/>
        <w:contextualSpacing/>
        <w:jc w:val="center"/>
        <w:rPr>
          <w:rFonts w:ascii="Verdana" w:hAnsi="Verdana" w:eastAsia="Calibri" w:cs="Arial"/>
          <w:sz w:val="21"/>
          <w:szCs w:val="21"/>
          <w:lang w:val="en-US"/>
        </w:rPr>
      </w:pPr>
      <w:r w:rsidRPr="00F02A16">
        <w:rPr>
          <w:rFonts w:ascii="Verdana" w:hAnsi="Verdana" w:eastAsia="Calibri" w:cs="Arial"/>
          <w:sz w:val="21"/>
          <w:szCs w:val="21"/>
          <w:lang w:val="en-US"/>
        </w:rPr>
        <w:t>P = AT - PT ≥ Pd</w:t>
      </w:r>
    </w:p>
    <w:p w:rsidRPr="00F02A16" w:rsidR="00F02A16" w:rsidP="00F02A16" w:rsidRDefault="00F02A16" w14:paraId="0DAAC235" w14:textId="77777777">
      <w:pPr>
        <w:autoSpaceDE w:val="0"/>
        <w:autoSpaceDN w:val="0"/>
        <w:adjustRightInd w:val="0"/>
        <w:spacing w:before="120" w:after="240" w:line="240" w:lineRule="auto"/>
        <w:ind w:right="709" w:firstLine="1134"/>
        <w:rPr>
          <w:rFonts w:ascii="Verdana" w:hAnsi="Verdana" w:eastAsia="Calibri" w:cs="Arial"/>
          <w:sz w:val="21"/>
          <w:szCs w:val="21"/>
          <w:lang w:val="en-US"/>
        </w:rPr>
      </w:pPr>
      <w:r w:rsidRPr="00F02A16">
        <w:rPr>
          <w:rFonts w:ascii="Verdana" w:hAnsi="Verdana" w:eastAsia="Calibri" w:cs="Arial"/>
          <w:sz w:val="21"/>
          <w:szCs w:val="21"/>
          <w:lang w:val="en-US"/>
        </w:rPr>
        <w:t>Donde,</w:t>
      </w:r>
    </w:p>
    <w:p w:rsidRPr="00F02A16" w:rsidR="00F02A16" w:rsidP="00F02A16" w:rsidRDefault="00F02A16" w14:paraId="6AE9215A" w14:textId="77777777">
      <w:pPr>
        <w:autoSpaceDE w:val="0"/>
        <w:autoSpaceDN w:val="0"/>
        <w:adjustRightInd w:val="0"/>
        <w:spacing w:before="120" w:after="240" w:line="240" w:lineRule="auto"/>
        <w:ind w:left="708" w:right="709" w:firstLine="1134"/>
        <w:rPr>
          <w:rFonts w:ascii="Verdana" w:hAnsi="Verdana" w:eastAsia="Calibri" w:cs="Arial"/>
          <w:sz w:val="21"/>
          <w:szCs w:val="21"/>
        </w:rPr>
      </w:pPr>
      <w:r w:rsidRPr="00F02A16">
        <w:rPr>
          <w:rFonts w:ascii="Verdana" w:hAnsi="Verdana" w:eastAsia="Calibri" w:cs="Arial"/>
          <w:sz w:val="21"/>
          <w:szCs w:val="21"/>
        </w:rPr>
        <w:t>P = Patrimonio</w:t>
      </w:r>
    </w:p>
    <w:p w:rsidRPr="00F02A16" w:rsidR="00F02A16" w:rsidP="00F02A16" w:rsidRDefault="00F02A16" w14:paraId="0CB15915" w14:textId="77777777">
      <w:pPr>
        <w:autoSpaceDE w:val="0"/>
        <w:autoSpaceDN w:val="0"/>
        <w:adjustRightInd w:val="0"/>
        <w:spacing w:before="120" w:after="240" w:line="240" w:lineRule="auto"/>
        <w:ind w:left="708" w:right="709" w:firstLine="1134"/>
        <w:rPr>
          <w:rFonts w:ascii="Verdana" w:hAnsi="Verdana" w:eastAsia="Calibri" w:cs="Arial"/>
          <w:sz w:val="21"/>
          <w:szCs w:val="21"/>
        </w:rPr>
      </w:pPr>
      <w:r w:rsidRPr="00F02A16">
        <w:rPr>
          <w:rFonts w:ascii="Verdana" w:hAnsi="Verdana" w:eastAsia="Calibri" w:cs="Arial"/>
          <w:sz w:val="21"/>
          <w:szCs w:val="21"/>
        </w:rPr>
        <w:t>AT = Activo Total</w:t>
      </w:r>
    </w:p>
    <w:p w:rsidRPr="00F02A16" w:rsidR="00F02A16" w:rsidP="00F02A16" w:rsidRDefault="00F02A16" w14:paraId="0AB336F3" w14:textId="77777777">
      <w:pPr>
        <w:autoSpaceDE w:val="0"/>
        <w:autoSpaceDN w:val="0"/>
        <w:adjustRightInd w:val="0"/>
        <w:spacing w:before="120" w:after="240" w:line="240" w:lineRule="auto"/>
        <w:ind w:left="708" w:right="709" w:firstLine="1134"/>
        <w:rPr>
          <w:rFonts w:ascii="Verdana" w:hAnsi="Verdana" w:eastAsia="Calibri" w:cs="Arial"/>
          <w:sz w:val="21"/>
          <w:szCs w:val="21"/>
        </w:rPr>
      </w:pPr>
      <w:r w:rsidRPr="00F02A16">
        <w:rPr>
          <w:rFonts w:ascii="Verdana" w:hAnsi="Verdana" w:eastAsia="Calibri" w:cs="Arial"/>
          <w:sz w:val="21"/>
          <w:szCs w:val="21"/>
        </w:rPr>
        <w:t>PT = Pasivo Total</w:t>
      </w:r>
    </w:p>
    <w:p w:rsidRPr="00F02A16" w:rsidR="00F02A16" w:rsidP="00F02A16" w:rsidRDefault="00F02A16" w14:paraId="184FC439" w14:textId="77777777">
      <w:pPr>
        <w:autoSpaceDE w:val="0"/>
        <w:autoSpaceDN w:val="0"/>
        <w:adjustRightInd w:val="0"/>
        <w:spacing w:before="120" w:after="240" w:line="240" w:lineRule="auto"/>
        <w:ind w:left="1843" w:right="709" w:hanging="1"/>
        <w:jc w:val="both"/>
        <w:rPr>
          <w:rFonts w:ascii="Verdana" w:hAnsi="Verdana" w:eastAsia="Calibri" w:cs="Arial"/>
          <w:sz w:val="21"/>
          <w:szCs w:val="21"/>
        </w:rPr>
      </w:pPr>
      <w:r w:rsidRPr="00F02A16">
        <w:rPr>
          <w:rFonts w:ascii="Verdana" w:hAnsi="Verdana" w:eastAsia="Calibri" w:cs="Arial"/>
          <w:sz w:val="21"/>
          <w:szCs w:val="21"/>
        </w:rPr>
        <w:t>Pd = Patrimonio demandado (requerido) para el proceso que presenta la propuesta</w:t>
      </w:r>
    </w:p>
    <w:p w:rsidRPr="00F02A16" w:rsidR="00F02A16" w:rsidP="00F02A16" w:rsidRDefault="00F02A16" w14:paraId="47277E2C" w14:textId="77777777">
      <w:pPr>
        <w:autoSpaceDE w:val="0"/>
        <w:autoSpaceDN w:val="0"/>
        <w:adjustRightInd w:val="0"/>
        <w:spacing w:before="120" w:after="240" w:line="240" w:lineRule="auto"/>
        <w:ind w:left="1134" w:right="709"/>
        <w:jc w:val="both"/>
        <w:rPr>
          <w:rFonts w:ascii="Verdana" w:hAnsi="Verdana" w:eastAsia="Calibri" w:cs="Arial"/>
          <w:sz w:val="21"/>
          <w:szCs w:val="21"/>
        </w:rPr>
      </w:pPr>
      <w:r w:rsidRPr="00F02A16">
        <w:rPr>
          <w:rFonts w:ascii="Verdana" w:hAnsi="Verdana" w:eastAsia="Calibri" w:cs="Arial"/>
          <w:sz w:val="21"/>
          <w:szCs w:val="21"/>
        </w:rPr>
        <w:t xml:space="preserve">El Patrimonio (P) del oferente deberá ser mayor o igual al Patrimonio demandado (requerido) (Pd): </w:t>
      </w:r>
    </w:p>
    <w:p w:rsidRPr="00F02A16" w:rsidR="00F02A16" w:rsidP="00F02A16" w:rsidRDefault="00F02A16" w14:paraId="5120320E" w14:textId="77777777">
      <w:pPr>
        <w:autoSpaceDE w:val="0"/>
        <w:autoSpaceDN w:val="0"/>
        <w:adjustRightInd w:val="0"/>
        <w:spacing w:before="120" w:after="240" w:line="240" w:lineRule="auto"/>
        <w:ind w:right="709" w:firstLine="1134"/>
        <w:jc w:val="center"/>
        <w:rPr>
          <w:rFonts w:ascii="Verdana" w:hAnsi="Verdana" w:eastAsia="Calibri" w:cs="Arial"/>
          <w:sz w:val="21"/>
          <w:szCs w:val="21"/>
        </w:rPr>
      </w:pPr>
      <w:r w:rsidRPr="00F02A16">
        <w:rPr>
          <w:rFonts w:ascii="Verdana" w:hAnsi="Verdana" w:eastAsia="Calibri" w:cs="Arial"/>
          <w:sz w:val="21"/>
          <w:szCs w:val="21"/>
        </w:rPr>
        <w:t>P ≥ Pd</w:t>
      </w:r>
    </w:p>
    <w:p w:rsidRPr="00F02A16" w:rsidR="00F02A16" w:rsidP="00F02A16" w:rsidRDefault="00F02A16" w14:paraId="5B2D1548" w14:textId="77777777">
      <w:pPr>
        <w:numPr>
          <w:ilvl w:val="0"/>
          <w:numId w:val="18"/>
        </w:numPr>
        <w:snapToGrid w:val="0"/>
        <w:spacing w:after="0" w:line="276" w:lineRule="auto"/>
        <w:ind w:left="0" w:firstLine="357"/>
        <w:contextualSpacing/>
        <w:jc w:val="both"/>
        <w:rPr>
          <w:rFonts w:ascii="Verdana" w:hAnsi="Verdana" w:eastAsia="Calibri" w:cs="Arial"/>
          <w:kern w:val="2"/>
          <w:lang w:val="es-ES"/>
          <w14:ligatures w14:val="standardContextual"/>
        </w:rPr>
      </w:pPr>
      <w:r w:rsidRPr="00F02A16">
        <w:rPr>
          <w:rFonts w:ascii="Verdana" w:hAnsi="Verdana" w:eastAsia="Calibri" w:cs="Arial"/>
          <w:kern w:val="2"/>
          <w:lang w:val="es-ES"/>
          <w14:ligatures w14:val="standardContextual"/>
        </w:rPr>
        <w:t>Posteriormente, se indican las condiciones que deberá cumplir el proceso para solicitarlo y el requisito a solicitar:</w:t>
      </w:r>
    </w:p>
    <w:p w:rsidRPr="00F02A16" w:rsidR="00F02A16" w:rsidP="00F02A16" w:rsidRDefault="00F02A16" w14:paraId="6B964EF5" w14:textId="77777777">
      <w:pPr>
        <w:snapToGrid w:val="0"/>
        <w:spacing w:after="0" w:line="276" w:lineRule="auto"/>
        <w:ind w:left="1080"/>
        <w:contextualSpacing/>
        <w:jc w:val="both"/>
        <w:rPr>
          <w:rFonts w:ascii="Verdana" w:hAnsi="Verdana" w:eastAsia="Calibri" w:cs="Arial"/>
          <w:kern w:val="2"/>
          <w:lang w:val="es-ES"/>
          <w14:ligatures w14:val="standardContextual"/>
        </w:rPr>
      </w:pPr>
    </w:p>
    <w:p w:rsidRPr="00F02A16" w:rsidR="00F02A16" w:rsidP="00F02A16" w:rsidRDefault="00F02A16" w14:paraId="00600B1D" w14:textId="77777777">
      <w:pPr>
        <w:shd w:val="clear" w:color="auto" w:fill="FFFFFF"/>
        <w:spacing w:after="0" w:line="240" w:lineRule="auto"/>
        <w:ind w:left="1134" w:right="709"/>
        <w:jc w:val="both"/>
        <w:rPr>
          <w:rFonts w:ascii="Verdana" w:hAnsi="Verdana" w:eastAsia="Times New Roman" w:cs="Arial"/>
          <w:sz w:val="21"/>
          <w:szCs w:val="21"/>
          <w:lang w:eastAsia="es-CO"/>
        </w:rPr>
      </w:pPr>
      <w:r w:rsidRPr="00F02A16">
        <w:rPr>
          <w:rFonts w:ascii="Verdana" w:hAnsi="Verdana" w:eastAsia="Times New Roman" w:cs="Times New Roman"/>
          <w:b/>
          <w:i/>
          <w:sz w:val="21"/>
          <w:szCs w:val="21"/>
          <w:u w:val="single"/>
          <w:lang w:eastAsia="es-CO"/>
        </w:rPr>
        <w:t>Patrimonio demandado (requerido):</w:t>
      </w:r>
    </w:p>
    <w:p w:rsidRPr="00F02A16" w:rsidR="00F02A16" w:rsidP="00F02A16" w:rsidRDefault="00F02A16" w14:paraId="7F96FF9E" w14:textId="77777777">
      <w:pPr>
        <w:shd w:val="clear" w:color="auto" w:fill="FFFFFF"/>
        <w:spacing w:after="0" w:line="240" w:lineRule="auto"/>
        <w:ind w:left="1134" w:right="709"/>
        <w:jc w:val="both"/>
        <w:rPr>
          <w:rFonts w:ascii="Verdana" w:hAnsi="Verdana" w:eastAsia="Times New Roman" w:cs="Arial"/>
          <w:sz w:val="21"/>
          <w:szCs w:val="21"/>
          <w:lang w:eastAsia="es-CO"/>
        </w:rPr>
      </w:pPr>
    </w:p>
    <w:p w:rsidRPr="00F02A16" w:rsidR="00F02A16" w:rsidP="00F02A16" w:rsidRDefault="00F02A16" w14:paraId="5ED9576B" w14:textId="77777777">
      <w:pPr>
        <w:spacing w:line="240" w:lineRule="auto"/>
        <w:ind w:left="1134" w:right="709"/>
        <w:jc w:val="both"/>
        <w:rPr>
          <w:rFonts w:ascii="Verdana" w:hAnsi="Verdana" w:eastAsia="Calibri" w:cs="Arial"/>
          <w:sz w:val="21"/>
          <w:szCs w:val="21"/>
        </w:rPr>
      </w:pPr>
      <w:r w:rsidRPr="00F02A16">
        <w:rPr>
          <w:rFonts w:ascii="Verdana" w:hAnsi="Verdana" w:eastAsia="Calibri" w:cs="Arial"/>
          <w:sz w:val="21"/>
          <w:szCs w:val="21"/>
          <w:highlight w:val="lightGray"/>
        </w:rPr>
        <w:t xml:space="preserve">[Para proyectos de obra cuyo </w:t>
      </w:r>
      <w:r w:rsidRPr="00F02A16">
        <w:rPr>
          <w:rFonts w:ascii="Verdana" w:hAnsi="Verdana" w:eastAsia="Calibri" w:cs="Arial"/>
          <w:sz w:val="21"/>
          <w:szCs w:val="21"/>
        </w:rPr>
        <w:t xml:space="preserve">presupuesto oficial sea mayor o igual a 40.000 </w:t>
      </w:r>
      <w:proofErr w:type="spellStart"/>
      <w:r w:rsidRPr="00F02A16">
        <w:rPr>
          <w:rFonts w:ascii="Verdana" w:hAnsi="Verdana" w:eastAsia="Calibri" w:cs="Arial"/>
          <w:sz w:val="21"/>
          <w:szCs w:val="21"/>
        </w:rPr>
        <w:t>smmlv</w:t>
      </w:r>
      <w:proofErr w:type="spellEnd"/>
      <w:r w:rsidRPr="00F02A16">
        <w:rPr>
          <w:rFonts w:ascii="Verdana" w:hAnsi="Verdana" w:eastAsia="Calibri" w:cs="Arial"/>
          <w:sz w:val="21"/>
          <w:szCs w:val="21"/>
        </w:rPr>
        <w:t xml:space="preserve"> y cuente con un </w:t>
      </w:r>
      <w:r w:rsidRPr="00F02A16">
        <w:rPr>
          <w:rFonts w:ascii="Verdana" w:hAnsi="Verdana" w:eastAsia="Calibri" w:cs="Arial"/>
          <w:sz w:val="21"/>
          <w:szCs w:val="21"/>
          <w:highlight w:val="lightGray"/>
        </w:rPr>
        <w:t xml:space="preserve">plazo de ejecución </w:t>
      </w:r>
      <w:r w:rsidRPr="00F02A16">
        <w:rPr>
          <w:rFonts w:ascii="Verdana" w:hAnsi="Verdana" w:eastAsia="Calibri" w:cs="Arial"/>
          <w:sz w:val="21"/>
          <w:szCs w:val="21"/>
          <w:highlight w:val="lightGray"/>
          <w:u w:val="single"/>
        </w:rPr>
        <w:t>igual o superior a 24 meses</w:t>
      </w:r>
      <w:r w:rsidRPr="00F02A16">
        <w:rPr>
          <w:rFonts w:ascii="Verdana" w:hAnsi="Verdana" w:eastAsia="Calibri" w:cs="Arial"/>
          <w:sz w:val="21"/>
          <w:szCs w:val="21"/>
          <w:highlight w:val="lightGray"/>
        </w:rPr>
        <w:t xml:space="preserve"> aplicará la siguiente redacción:]</w:t>
      </w:r>
    </w:p>
    <w:p w:rsidRPr="00F02A16" w:rsidR="00F02A16" w:rsidP="00F02A16" w:rsidRDefault="00F02A16" w14:paraId="52FB983C" w14:textId="77777777">
      <w:pPr>
        <w:spacing w:line="240" w:lineRule="auto"/>
        <w:ind w:left="1134" w:right="709"/>
        <w:jc w:val="both"/>
        <w:rPr>
          <w:rFonts w:ascii="Verdana" w:hAnsi="Verdana" w:eastAsia="Calibri" w:cs="Arial"/>
          <w:sz w:val="21"/>
          <w:szCs w:val="21"/>
        </w:rPr>
      </w:pPr>
      <w:r w:rsidRPr="00F02A16">
        <w:rPr>
          <w:rFonts w:ascii="Verdana" w:hAnsi="Verdana" w:eastAsia="Calibri" w:cs="Arial"/>
          <w:sz w:val="21"/>
          <w:szCs w:val="21"/>
        </w:rPr>
        <w:t>La determinación del Patrimonio demandado (requerido), se hará de acuerdo con la siguiente fórmula:</w:t>
      </w:r>
    </w:p>
    <w:p w:rsidRPr="00F02A16" w:rsidR="00F02A16" w:rsidP="00F02A16" w:rsidRDefault="00F02A16" w14:paraId="190C1303" w14:textId="77777777">
      <w:pPr>
        <w:spacing w:line="240" w:lineRule="auto"/>
        <w:ind w:left="1134" w:right="709"/>
        <w:rPr>
          <w:rFonts w:ascii="Verdana" w:hAnsi="Verdana" w:eastAsia="Calibri" w:cs="Arial"/>
          <w:sz w:val="21"/>
          <w:szCs w:val="21"/>
        </w:rPr>
      </w:pPr>
      <m:oMathPara>
        <m:oMath>
          <m:r>
            <m:rPr>
              <m:sty m:val="p"/>
            </m:rPr>
            <w:rPr>
              <w:rFonts w:ascii="Cambria Math" w:hAnsi="Cambria Math" w:eastAsia="Calibri" w:cs="Arial"/>
              <w:sz w:val="21"/>
              <w:szCs w:val="21"/>
            </w:rPr>
            <m:t>Pd</m:t>
          </m:r>
          <m:r>
            <w:rPr>
              <w:rFonts w:ascii="Cambria Math" w:hAnsi="Cambria Math" w:eastAsia="Calibri" w:cs="Arial"/>
              <w:sz w:val="21"/>
              <w:szCs w:val="21"/>
            </w:rPr>
            <m:t>= POE x 25%</m:t>
          </m:r>
        </m:oMath>
      </m:oMathPara>
    </w:p>
    <w:p w:rsidRPr="00F02A16" w:rsidR="00F02A16" w:rsidP="00F02A16" w:rsidRDefault="00F02A16" w14:paraId="7F420C10" w14:textId="77777777">
      <w:pPr>
        <w:spacing w:line="240" w:lineRule="auto"/>
        <w:ind w:left="1134" w:right="709"/>
        <w:rPr>
          <w:rFonts w:ascii="Verdana" w:hAnsi="Verdana" w:eastAsia="Calibri" w:cs="Arial"/>
          <w:sz w:val="21"/>
          <w:szCs w:val="21"/>
        </w:rPr>
      </w:pPr>
      <w:r w:rsidRPr="00F02A16">
        <w:rPr>
          <w:rFonts w:ascii="Verdana" w:hAnsi="Verdana" w:eastAsia="Calibri" w:cs="Arial"/>
          <w:sz w:val="21"/>
          <w:szCs w:val="21"/>
        </w:rPr>
        <w:t>Donde,</w:t>
      </w:r>
    </w:p>
    <w:p w:rsidRPr="00F02A16" w:rsidR="00F02A16" w:rsidP="00F02A16" w:rsidRDefault="00F02A16" w14:paraId="23D5C7F0" w14:textId="77777777">
      <w:pPr>
        <w:autoSpaceDE w:val="0"/>
        <w:autoSpaceDN w:val="0"/>
        <w:adjustRightInd w:val="0"/>
        <w:spacing w:before="120" w:after="240" w:line="240" w:lineRule="auto"/>
        <w:ind w:left="1134" w:right="709"/>
        <w:rPr>
          <w:rFonts w:ascii="Verdana" w:hAnsi="Verdana" w:eastAsia="Calibri" w:cs="Arial"/>
          <w:sz w:val="21"/>
          <w:szCs w:val="21"/>
        </w:rPr>
      </w:pPr>
      <w:r w:rsidRPr="00F02A16">
        <w:rPr>
          <w:rFonts w:ascii="Verdana" w:hAnsi="Verdana" w:eastAsia="Calibri" w:cs="Arial"/>
          <w:sz w:val="21"/>
          <w:szCs w:val="21"/>
        </w:rPr>
        <w:t>Pd = Patrimonio demandado (requerido) para el proceso que presenta la propuesta</w:t>
      </w:r>
    </w:p>
    <w:p w:rsidRPr="00F02A16" w:rsidR="00F02A16" w:rsidP="00F02A16" w:rsidRDefault="00F02A16" w14:paraId="5B63FB0F" w14:textId="77777777">
      <w:pPr>
        <w:spacing w:line="240" w:lineRule="auto"/>
        <w:ind w:left="1134" w:right="709"/>
        <w:rPr>
          <w:rFonts w:ascii="Verdana" w:hAnsi="Verdana" w:eastAsia="Calibri" w:cs="Arial"/>
          <w:sz w:val="21"/>
          <w:szCs w:val="21"/>
        </w:rPr>
      </w:pPr>
      <w:r w:rsidRPr="00F02A16">
        <w:rPr>
          <w:rFonts w:ascii="Verdana" w:hAnsi="Verdana" w:eastAsia="Calibri" w:cs="Arial"/>
          <w:sz w:val="21"/>
          <w:szCs w:val="21"/>
        </w:rPr>
        <w:t>POE = Presupuesto oficial estimado</w:t>
      </w:r>
    </w:p>
    <w:p w:rsidRPr="00F02A16" w:rsidR="00F02A16" w:rsidP="00F02A16" w:rsidRDefault="00F02A16" w14:paraId="25A3431F" w14:textId="77777777">
      <w:pPr>
        <w:shd w:val="clear" w:color="auto" w:fill="FFFFFF"/>
        <w:spacing w:after="0" w:line="240" w:lineRule="auto"/>
        <w:ind w:left="1134" w:right="709"/>
        <w:jc w:val="both"/>
        <w:rPr>
          <w:rFonts w:ascii="Verdana" w:hAnsi="Verdana" w:eastAsia="Times New Roman" w:cs="Times New Roman"/>
          <w:sz w:val="21"/>
          <w:szCs w:val="21"/>
          <w:lang w:eastAsia="es-CO"/>
        </w:rPr>
      </w:pPr>
      <w:r w:rsidRPr="00F02A16">
        <w:rPr>
          <w:rFonts w:ascii="Verdana" w:hAnsi="Verdana" w:eastAsia="Times New Roman" w:cs="Times New Roman"/>
          <w:sz w:val="21"/>
          <w:szCs w:val="21"/>
          <w:lang w:eastAsia="es-CO"/>
        </w:rPr>
        <w:t xml:space="preserve">En ningún caso el Patrimonio requerido excederá el valor del Presupuesto Oficial. </w:t>
      </w:r>
    </w:p>
    <w:p w:rsidRPr="00F02A16" w:rsidR="00F02A16" w:rsidP="00F02A16" w:rsidRDefault="00F02A16" w14:paraId="0352B97B" w14:textId="77777777">
      <w:pPr>
        <w:snapToGrid w:val="0"/>
        <w:spacing w:after="0" w:line="276" w:lineRule="auto"/>
        <w:ind w:left="1080"/>
        <w:contextualSpacing/>
        <w:jc w:val="both"/>
        <w:rPr>
          <w:rFonts w:ascii="Verdana" w:hAnsi="Verdana" w:eastAsia="Calibri" w:cs="Arial"/>
          <w:kern w:val="2"/>
          <w14:ligatures w14:val="standardContextual"/>
        </w:rPr>
      </w:pPr>
    </w:p>
    <w:p w:rsidRPr="00F02A16" w:rsidR="00F02A16" w:rsidP="00F02A16" w:rsidRDefault="00F02A16" w14:paraId="17A26686" w14:textId="77777777">
      <w:pPr>
        <w:numPr>
          <w:ilvl w:val="0"/>
          <w:numId w:val="18"/>
        </w:numPr>
        <w:snapToGrid w:val="0"/>
        <w:spacing w:after="0" w:line="276" w:lineRule="auto"/>
        <w:ind w:left="0" w:firstLine="357"/>
        <w:contextualSpacing/>
        <w:jc w:val="both"/>
        <w:rPr>
          <w:rFonts w:ascii="Verdana" w:hAnsi="Verdana" w:eastAsia="Calibri" w:cs="Arial"/>
          <w:kern w:val="2"/>
          <w:lang w:val="es-ES"/>
          <w14:ligatures w14:val="standardContextual"/>
        </w:rPr>
      </w:pPr>
      <w:r w:rsidRPr="00F02A16">
        <w:rPr>
          <w:rFonts w:ascii="Verdana" w:hAnsi="Verdana" w:eastAsia="Calibri" w:cs="Arial"/>
          <w:kern w:val="2"/>
          <w:lang w:val="es-ES"/>
          <w14:ligatures w14:val="standardContextual"/>
        </w:rPr>
        <w:t>A continuación, se describe la metodología para calcular el indicador cuando el proponente que se presenta corresponde a una figura plural:</w:t>
      </w:r>
    </w:p>
    <w:p w:rsidRPr="00F02A16" w:rsidR="00F02A16" w:rsidP="00F02A16" w:rsidRDefault="00F02A16" w14:paraId="4C43D70E" w14:textId="77777777">
      <w:pPr>
        <w:ind w:left="1134"/>
        <w:contextualSpacing/>
        <w:rPr>
          <w:rFonts w:ascii="Verdana" w:hAnsi="Verdana" w:eastAsia="Calibri" w:cs="Arial"/>
          <w:kern w:val="2"/>
          <w:lang w:val="es-ES"/>
          <w14:ligatures w14:val="standardContextual"/>
        </w:rPr>
      </w:pPr>
    </w:p>
    <w:p w:rsidRPr="00F02A16" w:rsidR="00F02A16" w:rsidP="00F02A16" w:rsidRDefault="00F02A16" w14:paraId="619E23A7" w14:textId="77777777">
      <w:pPr>
        <w:spacing w:line="240" w:lineRule="auto"/>
        <w:ind w:left="1134" w:right="709"/>
        <w:rPr>
          <w:rFonts w:ascii="Verdana" w:hAnsi="Verdana" w:eastAsia="Calibri" w:cs="Times New Roman"/>
          <w:sz w:val="21"/>
          <w:szCs w:val="21"/>
          <w:lang w:val="es-MX"/>
        </w:rPr>
      </w:pPr>
      <w:r w:rsidRPr="00F02A16">
        <w:rPr>
          <w:rFonts w:ascii="Verdana" w:hAnsi="Verdana" w:eastAsia="Calibri" w:cs="Times New Roman"/>
          <w:sz w:val="21"/>
          <w:szCs w:val="21"/>
          <w:lang w:val="es-MX"/>
        </w:rPr>
        <w:t>Si el Proponente es plural el indicador debe calcularse así:</w:t>
      </w:r>
    </w:p>
    <w:p w:rsidRPr="00F02A16" w:rsidR="00F02A16" w:rsidP="00F02A16" w:rsidRDefault="00F02A16" w14:paraId="0ACAA945" w14:textId="77777777">
      <w:pPr>
        <w:spacing w:line="240" w:lineRule="auto"/>
        <w:ind w:left="1134" w:right="709"/>
        <w:rPr>
          <w:rFonts w:ascii="Verdana" w:hAnsi="Verdana" w:eastAsia="Calibri" w:cs="Arial"/>
          <w:sz w:val="21"/>
          <w:szCs w:val="21"/>
        </w:rPr>
      </w:pPr>
      <m:oMathPara>
        <m:oMath>
          <m:r>
            <m:rPr>
              <m:sty m:val="p"/>
            </m:rPr>
            <w:rPr>
              <w:rFonts w:ascii="Cambria Math" w:hAnsi="Cambria Math" w:eastAsia="Calibri" w:cs="Arial"/>
              <w:sz w:val="21"/>
              <w:szCs w:val="21"/>
            </w:rPr>
            <m:t>proponente plural=</m:t>
          </m:r>
          <m:nary>
            <m:naryPr>
              <m:chr m:val="∑"/>
              <m:limLoc m:val="undOvr"/>
              <m:ctrlPr>
                <w:rPr>
                  <w:rFonts w:ascii="Cambria Math" w:hAnsi="Cambria Math" w:eastAsia="Calibri" w:cs="Arial"/>
                  <w:sz w:val="21"/>
                  <w:szCs w:val="21"/>
                </w:rPr>
              </m:ctrlPr>
            </m:naryPr>
            <m:sub>
              <m:r>
                <m:rPr>
                  <m:sty m:val="p"/>
                </m:rPr>
                <w:rPr>
                  <w:rFonts w:ascii="Cambria Math" w:hAnsi="Cambria Math" w:eastAsia="Calibri" w:cs="Arial"/>
                  <w:sz w:val="21"/>
                  <w:szCs w:val="21"/>
                </w:rPr>
                <m:t>i=1</m:t>
              </m:r>
            </m:sub>
            <m:sup>
              <m:r>
                <m:rPr>
                  <m:sty m:val="p"/>
                </m:rPr>
                <w:rPr>
                  <w:rFonts w:ascii="Cambria Math" w:hAnsi="Cambria Math" w:eastAsia="Calibri" w:cs="Arial"/>
                  <w:sz w:val="21"/>
                  <w:szCs w:val="21"/>
                </w:rPr>
                <m:t>n</m:t>
              </m:r>
            </m:sup>
            <m:e>
              <m:sSub>
                <m:sSubPr>
                  <m:ctrlPr>
                    <w:rPr>
                      <w:rFonts w:ascii="Cambria Math" w:hAnsi="Cambria Math" w:eastAsia="Calibri" w:cs="Arial"/>
                      <w:sz w:val="21"/>
                      <w:szCs w:val="21"/>
                    </w:rPr>
                  </m:ctrlPr>
                </m:sSubPr>
                <m:e>
                  <m:r>
                    <m:rPr>
                      <m:sty m:val="p"/>
                    </m:rPr>
                    <w:rPr>
                      <w:rFonts w:ascii="Cambria Math" w:hAnsi="Cambria Math" w:eastAsia="Calibri" w:cs="Arial"/>
                      <w:sz w:val="21"/>
                      <w:szCs w:val="21"/>
                    </w:rPr>
                    <m:t>CT</m:t>
                  </m:r>
                </m:e>
                <m:sub>
                  <m:r>
                    <m:rPr>
                      <m:sty m:val="p"/>
                    </m:rPr>
                    <w:rPr>
                      <w:rFonts w:ascii="Cambria Math" w:hAnsi="Cambria Math" w:eastAsia="Calibri" w:cs="Arial"/>
                      <w:sz w:val="21"/>
                      <w:szCs w:val="21"/>
                    </w:rPr>
                    <m:t>i</m:t>
                  </m:r>
                </m:sub>
              </m:sSub>
            </m:e>
          </m:nary>
        </m:oMath>
      </m:oMathPara>
    </w:p>
    <w:p w:rsidRPr="00F02A16" w:rsidR="00F02A16" w:rsidP="00F02A16" w:rsidRDefault="00F02A16" w14:paraId="1BCC6940" w14:textId="77777777">
      <w:pPr>
        <w:spacing w:after="0" w:line="240" w:lineRule="auto"/>
        <w:ind w:left="1134" w:right="709"/>
        <w:rPr>
          <w:rFonts w:ascii="Verdana" w:hAnsi="Verdana" w:eastAsia="Calibri" w:cs="Times New Roman"/>
          <w:sz w:val="21"/>
          <w:szCs w:val="21"/>
          <w:lang w:val="es-MX"/>
        </w:rPr>
      </w:pPr>
      <w:r w:rsidRPr="00F02A16">
        <w:rPr>
          <w:rFonts w:ascii="Verdana" w:hAnsi="Verdana" w:eastAsia="Calibri" w:cs="Times New Roman"/>
          <w:sz w:val="21"/>
          <w:szCs w:val="21"/>
          <w:lang w:val="es-MX"/>
        </w:rPr>
        <w:t xml:space="preserve">Donde </w:t>
      </w:r>
      <w:r w:rsidRPr="00F02A16">
        <w:rPr>
          <w:rFonts w:ascii="Verdana" w:hAnsi="Verdana" w:eastAsia="Calibri" w:cs="Times New Roman"/>
          <w:i/>
          <w:iCs/>
          <w:sz w:val="21"/>
          <w:szCs w:val="21"/>
          <w:lang w:val="es-MX"/>
        </w:rPr>
        <w:t>n</w:t>
      </w:r>
      <w:r w:rsidRPr="00F02A16">
        <w:rPr>
          <w:rFonts w:ascii="Verdana" w:hAnsi="Verdana" w:eastAsia="Calibri" w:cs="Times New Roman"/>
          <w:sz w:val="21"/>
          <w:szCs w:val="21"/>
          <w:lang w:val="es-MX"/>
        </w:rPr>
        <w:t xml:space="preserve"> es el número de integrantes del proponente plural (unión temporal o consorcio).</w:t>
      </w:r>
    </w:p>
    <w:p w:rsidRPr="00F02A16" w:rsidR="00F02A16" w:rsidP="00F02A16" w:rsidRDefault="00F02A16" w14:paraId="0BEE8409" w14:textId="77777777">
      <w:pPr>
        <w:spacing w:after="0" w:line="276" w:lineRule="auto"/>
        <w:ind w:left="1134" w:right="709"/>
        <w:rPr>
          <w:rFonts w:ascii="Verdana" w:hAnsi="Verdana" w:eastAsia="Calibri" w:cs="Times New Roman"/>
          <w:lang w:val="es-MX"/>
        </w:rPr>
      </w:pPr>
    </w:p>
    <w:p w:rsidRPr="00F02A16" w:rsidR="00F02A16" w:rsidP="00F02A16" w:rsidRDefault="00F02A16" w14:paraId="584C0132" w14:textId="77777777">
      <w:pPr>
        <w:numPr>
          <w:ilvl w:val="0"/>
          <w:numId w:val="18"/>
        </w:numPr>
        <w:snapToGrid w:val="0"/>
        <w:spacing w:after="0" w:line="276" w:lineRule="auto"/>
        <w:ind w:left="0" w:firstLine="357"/>
        <w:contextualSpacing/>
        <w:jc w:val="both"/>
        <w:rPr>
          <w:rFonts w:ascii="Verdana" w:hAnsi="Verdana" w:eastAsia="Calibri" w:cs="Arial"/>
          <w:kern w:val="2"/>
          <w:lang w:val="es-ES"/>
          <w14:ligatures w14:val="standardContextual"/>
        </w:rPr>
      </w:pPr>
      <w:r w:rsidRPr="00F02A16">
        <w:rPr>
          <w:rFonts w:ascii="Verdana" w:hAnsi="Verdana" w:eastAsia="Calibri" w:cs="Arial"/>
          <w:kern w:val="2"/>
          <w:lang w:val="es-ES"/>
          <w14:ligatures w14:val="standardContextual"/>
        </w:rPr>
        <w:t xml:space="preserve">Finalmente, se realiza la descripción del requisito a solicitar cuando la empresa que se presente acredite su condición de </w:t>
      </w:r>
      <w:proofErr w:type="spellStart"/>
      <w:r w:rsidRPr="00F02A16">
        <w:rPr>
          <w:rFonts w:ascii="Verdana" w:hAnsi="Verdana" w:eastAsia="Calibri" w:cs="Arial"/>
          <w:kern w:val="2"/>
          <w:lang w:val="es-ES"/>
          <w14:ligatures w14:val="standardContextual"/>
        </w:rPr>
        <w:t>MiPyme</w:t>
      </w:r>
      <w:proofErr w:type="spellEnd"/>
      <w:r w:rsidRPr="00F02A16">
        <w:rPr>
          <w:rFonts w:ascii="Verdana" w:hAnsi="Verdana" w:eastAsia="Calibri" w:cs="Arial"/>
          <w:kern w:val="2"/>
          <w:lang w:val="es-ES"/>
          <w14:ligatures w14:val="standardContextual"/>
        </w:rPr>
        <w:t>:</w:t>
      </w:r>
    </w:p>
    <w:p w:rsidRPr="00F02A16" w:rsidR="00F02A16" w:rsidP="00F02A16" w:rsidRDefault="00F02A16" w14:paraId="76D6B048" w14:textId="77777777">
      <w:pPr>
        <w:snapToGrid w:val="0"/>
        <w:spacing w:after="0" w:line="276" w:lineRule="auto"/>
        <w:ind w:left="1080"/>
        <w:contextualSpacing/>
        <w:jc w:val="both"/>
        <w:rPr>
          <w:rFonts w:ascii="Verdana" w:hAnsi="Verdana" w:eastAsia="Calibri" w:cs="Arial"/>
          <w:kern w:val="2"/>
          <w:lang w:val="es-ES"/>
          <w14:ligatures w14:val="standardContextual"/>
        </w:rPr>
      </w:pPr>
    </w:p>
    <w:p w:rsidRPr="00F02A16" w:rsidR="00F02A16" w:rsidP="00F02A16" w:rsidRDefault="00F02A16" w14:paraId="2535A12F" w14:textId="77777777">
      <w:pPr>
        <w:spacing w:line="240" w:lineRule="auto"/>
        <w:ind w:left="1134" w:right="709"/>
        <w:jc w:val="both"/>
        <w:rPr>
          <w:rFonts w:ascii="Verdana" w:hAnsi="Verdana" w:eastAsia="Calibri" w:cs="Arial"/>
          <w:sz w:val="21"/>
          <w:szCs w:val="21"/>
        </w:rPr>
      </w:pPr>
      <w:r w:rsidRPr="00F02A16">
        <w:rPr>
          <w:rFonts w:ascii="Verdana" w:hAnsi="Verdana" w:eastAsia="Calibri" w:cs="Arial"/>
          <w:color w:val="000000"/>
          <w:sz w:val="21"/>
          <w:szCs w:val="21"/>
          <w:shd w:val="clear" w:color="auto" w:fill="FFFFFF"/>
          <w:lang w:val="es-419"/>
        </w:rPr>
        <w:t>Con relación a las empresas que acrediten su condición de Mipyme,</w:t>
      </w:r>
      <w:r w:rsidRPr="00F02A16">
        <w:rPr>
          <w:rFonts w:ascii="Verdana" w:hAnsi="Verdana" w:eastAsia="Calibri" w:cs="Times New Roman"/>
          <w:sz w:val="21"/>
          <w:szCs w:val="21"/>
          <w:lang w:val="es-MX"/>
        </w:rPr>
        <w:t xml:space="preserve"> el Patrimonio </w:t>
      </w:r>
      <w:r w:rsidRPr="00F02A16">
        <w:rPr>
          <w:rFonts w:ascii="Verdana" w:hAnsi="Verdana" w:eastAsia="Calibri" w:cs="Arial"/>
          <w:sz w:val="21"/>
          <w:szCs w:val="21"/>
        </w:rPr>
        <w:t>solicitado (requerido) se hará de acuerdo con la siguiente fórmula:</w:t>
      </w:r>
    </w:p>
    <w:p w:rsidRPr="00F02A16" w:rsidR="00F02A16" w:rsidP="00F02A16" w:rsidRDefault="00F02A16" w14:paraId="157558A0" w14:textId="77777777">
      <w:pPr>
        <w:spacing w:after="0" w:line="240" w:lineRule="auto"/>
        <w:ind w:left="1134" w:right="709"/>
        <w:rPr>
          <w:rFonts w:ascii="Verdana" w:hAnsi="Verdana" w:eastAsia="Calibri" w:cs="Arial"/>
          <w:sz w:val="21"/>
          <w:szCs w:val="21"/>
        </w:rPr>
      </w:pPr>
      <m:oMathPara>
        <m:oMath>
          <m:r>
            <m:rPr>
              <m:sty m:val="p"/>
            </m:rPr>
            <w:rPr>
              <w:rFonts w:ascii="Cambria Math" w:hAnsi="Cambria Math" w:eastAsia="Calibri" w:cs="Arial"/>
              <w:sz w:val="21"/>
              <w:szCs w:val="21"/>
            </w:rPr>
            <m:t>Pd</m:t>
          </m:r>
          <m:r>
            <w:rPr>
              <w:rFonts w:ascii="Cambria Math" w:hAnsi="Cambria Math" w:eastAsia="Calibri" w:cs="Arial"/>
              <w:sz w:val="21"/>
              <w:szCs w:val="21"/>
            </w:rPr>
            <m:t>= POE x 20%</m:t>
          </m:r>
        </m:oMath>
      </m:oMathPara>
    </w:p>
    <w:p w:rsidRPr="00F02A16" w:rsidR="00F02A16" w:rsidP="00F02A16" w:rsidRDefault="00F02A16" w14:paraId="51D5AFB7" w14:textId="77777777">
      <w:pPr>
        <w:snapToGrid w:val="0"/>
        <w:spacing w:after="0" w:line="276" w:lineRule="auto"/>
        <w:ind w:right="709" w:firstLine="709"/>
        <w:jc w:val="both"/>
        <w:rPr>
          <w:rFonts w:ascii="Verdana" w:hAnsi="Verdana" w:eastAsia="Aptos" w:cs="Arial"/>
          <w:kern w:val="2"/>
          <w:shd w:val="clear" w:color="auto" w:fill="FFFFFF"/>
          <w:lang w:val="es-ES_tradnl"/>
          <w14:ligatures w14:val="standardContextual"/>
        </w:rPr>
      </w:pPr>
    </w:p>
    <w:p w:rsidRPr="00F02A16" w:rsidR="00F02A16" w:rsidP="00F02A16" w:rsidRDefault="00F02A16" w14:paraId="0DC2E529" w14:textId="77777777">
      <w:pPr>
        <w:snapToGrid w:val="0"/>
        <w:spacing w:after="120" w:line="276" w:lineRule="auto"/>
        <w:ind w:firstLine="709"/>
        <w:jc w:val="both"/>
        <w:rPr>
          <w:rFonts w:ascii="Verdana" w:hAnsi="Verdana" w:eastAsia="Calibri" w:cs="Arial"/>
          <w:kern w:val="2"/>
          <w:u w:val="single"/>
          <w:lang w:val="es-ES_tradnl"/>
          <w14:ligatures w14:val="standardContextual"/>
        </w:rPr>
      </w:pPr>
      <w:r w:rsidRPr="00F02A16">
        <w:rPr>
          <w:rFonts w:ascii="Verdana" w:hAnsi="Verdana" w:eastAsia="Aptos" w:cs="Arial"/>
          <w:kern w:val="2"/>
          <w:shd w:val="clear" w:color="auto" w:fill="FFFFFF"/>
          <w:lang w:val="es-ES_tradnl"/>
          <w14:ligatures w14:val="standardContextual"/>
        </w:rPr>
        <w:t xml:space="preserve">Es importante acotar que, en el marco del nuevo documento tipo, </w:t>
      </w:r>
      <w:r w:rsidRPr="00F02A16">
        <w:rPr>
          <w:rFonts w:ascii="Verdana" w:hAnsi="Verdana" w:eastAsia="Aptos" w:cs="Arial"/>
          <w:b/>
          <w:bCs/>
          <w:kern w:val="2"/>
          <w:shd w:val="clear" w:color="auto" w:fill="FFFFFF"/>
          <w:lang w:val="es-ES_tradnl"/>
          <w14:ligatures w14:val="standardContextual"/>
        </w:rPr>
        <w:t xml:space="preserve">únicamente </w:t>
      </w:r>
      <w:r w:rsidRPr="00F02A16">
        <w:rPr>
          <w:rFonts w:ascii="Verdana" w:hAnsi="Verdana" w:eastAsia="Aptos" w:cs="Arial"/>
          <w:kern w:val="2"/>
          <w:shd w:val="clear" w:color="auto" w:fill="FFFFFF"/>
          <w:lang w:val="es-ES_tradnl"/>
          <w14:ligatures w14:val="standardContextual"/>
        </w:rPr>
        <w:t xml:space="preserve">se solicitará el </w:t>
      </w:r>
      <w:r w:rsidRPr="00F02A16">
        <w:rPr>
          <w:rFonts w:ascii="Verdana" w:hAnsi="Verdana" w:eastAsia="Aptos" w:cs="Arial"/>
          <w:i/>
          <w:iCs/>
          <w:kern w:val="2"/>
          <w:shd w:val="clear" w:color="auto" w:fill="FFFFFF"/>
          <w:lang w:val="es-ES_tradnl"/>
          <w14:ligatures w14:val="standardContextual"/>
        </w:rPr>
        <w:t xml:space="preserve">Patrimonio </w:t>
      </w:r>
      <w:r w:rsidRPr="00F02A16">
        <w:rPr>
          <w:rFonts w:ascii="Verdana" w:hAnsi="Verdana" w:eastAsia="Aptos" w:cs="Arial"/>
          <w:kern w:val="2"/>
          <w:shd w:val="clear" w:color="auto" w:fill="FFFFFF"/>
          <w:lang w:val="es-ES_tradnl"/>
          <w14:ligatures w14:val="standardContextual"/>
        </w:rPr>
        <w:t xml:space="preserve">como un indicador de capacidad financiera adicional en aquellos </w:t>
      </w:r>
      <w:r w:rsidRPr="00F02A16">
        <w:rPr>
          <w:rFonts w:ascii="Verdana" w:hAnsi="Verdana" w:eastAsia="Aptos" w:cs="Arial"/>
          <w:kern w:val="2"/>
          <w:u w:val="single"/>
          <w:shd w:val="clear" w:color="auto" w:fill="FFFFFF"/>
          <w:lang w:val="es-ES_tradnl"/>
          <w14:ligatures w14:val="standardContextual"/>
        </w:rPr>
        <w:t xml:space="preserve">proyectos de obra </w:t>
      </w:r>
      <w:r w:rsidRPr="00F02A16">
        <w:rPr>
          <w:rFonts w:ascii="Verdana" w:hAnsi="Verdana" w:eastAsia="Calibri" w:cs="Arial"/>
          <w:kern w:val="2"/>
          <w:u w:val="single"/>
          <w:lang w:val="es-ES_tradnl"/>
          <w14:ligatures w14:val="standardContextual"/>
        </w:rPr>
        <w:t xml:space="preserve">cuyo presupuesto oficial sea mayor o igual a 40.000 </w:t>
      </w:r>
      <w:proofErr w:type="spellStart"/>
      <w:r w:rsidRPr="00F02A16">
        <w:rPr>
          <w:rFonts w:ascii="Verdana" w:hAnsi="Verdana" w:eastAsia="Calibri" w:cs="Arial"/>
          <w:kern w:val="2"/>
          <w:u w:val="single"/>
          <w:lang w:val="es-ES_tradnl"/>
          <w14:ligatures w14:val="standardContextual"/>
        </w:rPr>
        <w:t>smmlv</w:t>
      </w:r>
      <w:proofErr w:type="spellEnd"/>
      <w:r w:rsidRPr="00F02A16">
        <w:rPr>
          <w:rFonts w:ascii="Verdana" w:hAnsi="Verdana" w:eastAsia="Calibri" w:cs="Arial"/>
          <w:kern w:val="2"/>
          <w:u w:val="single"/>
          <w:lang w:val="es-ES_tradnl"/>
          <w14:ligatures w14:val="standardContextual"/>
        </w:rPr>
        <w:t xml:space="preserve"> y cuenten con un plazo de ejecución igual o superior a 24 meses.</w:t>
      </w:r>
    </w:p>
    <w:p w:rsidRPr="00F02A16" w:rsidR="00F02A16" w:rsidP="00F02A16" w:rsidRDefault="00F02A16" w14:paraId="08DE1C08" w14:textId="77777777">
      <w:pPr>
        <w:snapToGrid w:val="0"/>
        <w:spacing w:after="0" w:line="276" w:lineRule="auto"/>
        <w:ind w:firstLine="709"/>
        <w:jc w:val="both"/>
        <w:rPr>
          <w:rFonts w:ascii="Aptos" w:hAnsi="Aptos" w:eastAsia="Aptos" w:cs="Times New Roman"/>
          <w:kern w:val="2"/>
          <w:shd w:val="clear" w:color="auto" w:fill="FFFFFF"/>
          <w:lang w:val="es-ES_tradnl"/>
          <w14:ligatures w14:val="standardContextual"/>
        </w:rPr>
      </w:pPr>
      <w:r w:rsidRPr="00F02A16">
        <w:rPr>
          <w:rFonts w:ascii="Verdana" w:hAnsi="Verdana" w:eastAsia="Aptos" w:cs="Arial"/>
          <w:kern w:val="2"/>
          <w:shd w:val="clear" w:color="auto" w:fill="FFFFFF"/>
          <w:lang w:val="es-ES_tradnl"/>
          <w14:ligatures w14:val="standardContextual"/>
        </w:rPr>
        <w:t xml:space="preserve">Respecto a la acreditación del requisito solicitado, el documento base establece que, en el caso de las empresas que acrediten su condición de </w:t>
      </w:r>
      <w:proofErr w:type="spellStart"/>
      <w:r w:rsidRPr="00F02A16">
        <w:rPr>
          <w:rFonts w:ascii="Verdana" w:hAnsi="Verdana" w:eastAsia="Aptos" w:cs="Arial"/>
          <w:kern w:val="2"/>
          <w:shd w:val="clear" w:color="auto" w:fill="FFFFFF"/>
          <w:lang w:val="es-ES_tradnl"/>
          <w14:ligatures w14:val="standardContextual"/>
        </w:rPr>
        <w:t>MiPyme</w:t>
      </w:r>
      <w:proofErr w:type="spellEnd"/>
      <w:r w:rsidRPr="00F02A16">
        <w:rPr>
          <w:rFonts w:ascii="Verdana" w:hAnsi="Verdana" w:eastAsia="Aptos" w:cs="Arial"/>
          <w:kern w:val="2"/>
          <w:shd w:val="clear" w:color="auto" w:fill="FFFFFF"/>
          <w:lang w:val="es-ES_tradnl"/>
          <w14:ligatures w14:val="standardContextual"/>
        </w:rPr>
        <w:t xml:space="preserve">, el </w:t>
      </w:r>
      <w:r w:rsidRPr="00F02A16">
        <w:rPr>
          <w:rFonts w:ascii="Verdana" w:hAnsi="Verdana" w:eastAsia="Aptos" w:cs="Arial"/>
          <w:i/>
          <w:iCs/>
          <w:kern w:val="2"/>
          <w:shd w:val="clear" w:color="auto" w:fill="FFFFFF"/>
          <w:lang w:val="es-ES_tradnl"/>
          <w14:ligatures w14:val="standardContextual"/>
        </w:rPr>
        <w:t>patrimonio solicitado (requerido)</w:t>
      </w:r>
      <w:r w:rsidRPr="00F02A16">
        <w:rPr>
          <w:rFonts w:ascii="Verdana" w:hAnsi="Verdana" w:eastAsia="Aptos" w:cs="Arial"/>
          <w:kern w:val="2"/>
          <w:shd w:val="clear" w:color="auto" w:fill="FFFFFF"/>
          <w:lang w:val="es-ES_tradnl"/>
          <w14:ligatures w14:val="standardContextual"/>
        </w:rPr>
        <w:t xml:space="preserve"> corresponderá al 20% del presupuesto oficial, por lo que su determinación se hará de acuerdo con la siguiente fórmula:</w:t>
      </w:r>
    </w:p>
    <w:p w:rsidRPr="00F02A16" w:rsidR="00F02A16" w:rsidP="00F02A16" w:rsidRDefault="00F02A16" w14:paraId="4BE612FB" w14:textId="77777777">
      <w:pPr>
        <w:spacing w:after="0" w:line="240" w:lineRule="auto"/>
        <w:ind w:left="1134"/>
        <w:rPr>
          <w:rFonts w:ascii="Aptos" w:hAnsi="Aptos" w:eastAsia="Times New Roman" w:cs="Times New Roman"/>
          <w:kern w:val="2"/>
          <w:sz w:val="24"/>
          <w:szCs w:val="24"/>
          <w:shd w:val="clear" w:color="auto" w:fill="FFFFFF"/>
          <w:lang w:val="es-ES"/>
          <w14:ligatures w14:val="standardContextual"/>
        </w:rPr>
      </w:pPr>
    </w:p>
    <w:p w:rsidRPr="00F02A16" w:rsidR="00F02A16" w:rsidP="00F02A16" w:rsidRDefault="00F02A16" w14:paraId="54730A3D" w14:textId="77777777">
      <w:pPr>
        <w:spacing w:after="0" w:line="240" w:lineRule="auto"/>
        <w:ind w:left="1134"/>
        <w:rPr>
          <w:rFonts w:ascii="Aptos" w:hAnsi="Aptos" w:eastAsia="Aptos" w:cs="Times New Roman"/>
          <w:kern w:val="2"/>
          <w:sz w:val="24"/>
          <w:szCs w:val="24"/>
          <w:shd w:val="clear" w:color="auto" w:fill="FFFFFF"/>
          <w:lang w:val="es-ES"/>
          <w14:ligatures w14:val="standardContextual"/>
        </w:rPr>
      </w:pPr>
      <m:oMathPara>
        <m:oMath>
          <m:r>
            <m:rPr>
              <m:sty m:val="p"/>
            </m:rPr>
            <w:rPr>
              <w:rFonts w:ascii="Cambria Math" w:hAnsi="Cambria Math" w:eastAsia="Aptos" w:cs="Times New Roman"/>
              <w:kern w:val="2"/>
              <w:sz w:val="24"/>
              <w:szCs w:val="24"/>
              <w:shd w:val="clear" w:color="auto" w:fill="FFFFFF"/>
              <w:lang w:val="es-ES"/>
              <w14:ligatures w14:val="standardContextual"/>
            </w:rPr>
            <m:t xml:space="preserve">Pd= </m:t>
          </m:r>
          <m:r>
            <w:rPr>
              <w:rFonts w:ascii="Cambria Math" w:hAnsi="Cambria Math" w:eastAsia="Aptos" w:cs="Times New Roman"/>
              <w:kern w:val="2"/>
              <w:sz w:val="24"/>
              <w:szCs w:val="24"/>
              <w:shd w:val="clear" w:color="auto" w:fill="FFFFFF"/>
              <w:lang w:val="es-ES"/>
              <w14:ligatures w14:val="standardContextual"/>
            </w:rPr>
            <m:t>POE</m:t>
          </m:r>
          <m:r>
            <m:rPr>
              <m:sty m:val="p"/>
            </m:rPr>
            <w:rPr>
              <w:rFonts w:ascii="Cambria Math" w:hAnsi="Cambria Math" w:eastAsia="Aptos" w:cs="Times New Roman"/>
              <w:kern w:val="2"/>
              <w:sz w:val="24"/>
              <w:szCs w:val="24"/>
              <w:shd w:val="clear" w:color="auto" w:fill="FFFFFF"/>
              <w:lang w:val="es-ES"/>
              <w14:ligatures w14:val="standardContextual"/>
            </w:rPr>
            <m:t xml:space="preserve"> </m:t>
          </m:r>
          <m:r>
            <w:rPr>
              <w:rFonts w:ascii="Cambria Math" w:hAnsi="Cambria Math" w:eastAsia="Aptos" w:cs="Times New Roman"/>
              <w:kern w:val="2"/>
              <w:sz w:val="24"/>
              <w:szCs w:val="24"/>
              <w:shd w:val="clear" w:color="auto" w:fill="FFFFFF"/>
              <w:lang w:val="es-ES"/>
              <w14:ligatures w14:val="standardContextual"/>
            </w:rPr>
            <m:t>x</m:t>
          </m:r>
          <m:r>
            <m:rPr>
              <m:sty m:val="p"/>
            </m:rPr>
            <w:rPr>
              <w:rFonts w:ascii="Cambria Math" w:hAnsi="Cambria Math" w:eastAsia="Aptos" w:cs="Times New Roman"/>
              <w:kern w:val="2"/>
              <w:sz w:val="24"/>
              <w:szCs w:val="24"/>
              <w:shd w:val="clear" w:color="auto" w:fill="FFFFFF"/>
              <w:lang w:val="es-ES"/>
              <w14:ligatures w14:val="standardContextual"/>
            </w:rPr>
            <m:t xml:space="preserve"> 20%</m:t>
          </m:r>
        </m:oMath>
      </m:oMathPara>
    </w:p>
    <w:p w:rsidRPr="00F02A16" w:rsidR="00F02A16" w:rsidP="00F02A16" w:rsidRDefault="00F02A16" w14:paraId="5C5CA4F1" w14:textId="77777777">
      <w:pPr>
        <w:spacing w:after="0" w:line="240" w:lineRule="auto"/>
        <w:ind w:left="589"/>
        <w:contextualSpacing/>
        <w:jc w:val="both"/>
        <w:rPr>
          <w:rFonts w:ascii="Verdana" w:hAnsi="Verdana" w:eastAsia="Aptos" w:cs="Arial"/>
          <w:kern w:val="2"/>
          <w:sz w:val="24"/>
          <w:szCs w:val="24"/>
          <w:shd w:val="clear" w:color="auto" w:fill="FFFFFF"/>
          <w:lang w:val="es-ES_tradnl"/>
          <w14:ligatures w14:val="standardContextual"/>
        </w:rPr>
      </w:pPr>
    </w:p>
    <w:p w:rsidRPr="00F02A16" w:rsidR="00F02A16" w:rsidP="00F02A16" w:rsidRDefault="00F02A16" w14:paraId="6930A922" w14:textId="77777777">
      <w:pPr>
        <w:spacing w:after="0" w:line="276" w:lineRule="auto"/>
        <w:ind w:firstLine="709"/>
        <w:jc w:val="both"/>
        <w:rPr>
          <w:rFonts w:ascii="Aptos" w:hAnsi="Aptos" w:eastAsia="Aptos" w:cs="Times New Roman"/>
          <w:kern w:val="2"/>
          <w:shd w:val="clear" w:color="auto" w:fill="FFFFFF"/>
          <w:lang w:val="es-ES_tradnl"/>
          <w14:ligatures w14:val="standardContextual"/>
        </w:rPr>
      </w:pPr>
      <w:r w:rsidRPr="00F02A16">
        <w:rPr>
          <w:rFonts w:ascii="Verdana" w:hAnsi="Verdana" w:eastAsia="Aptos" w:cs="Arial"/>
          <w:kern w:val="2"/>
          <w:shd w:val="clear" w:color="auto" w:fill="FFFFFF"/>
          <w:lang w:val="es-ES_tradnl"/>
          <w14:ligatures w14:val="standardContextual"/>
        </w:rPr>
        <w:t xml:space="preserve">Por el contrario, si el proponente no acredita la condición de </w:t>
      </w:r>
      <w:proofErr w:type="spellStart"/>
      <w:r w:rsidRPr="00F02A16">
        <w:rPr>
          <w:rFonts w:ascii="Verdana" w:hAnsi="Verdana" w:eastAsia="Aptos" w:cs="Arial"/>
          <w:kern w:val="2"/>
          <w:shd w:val="clear" w:color="auto" w:fill="FFFFFF"/>
          <w:lang w:val="es-ES_tradnl"/>
          <w14:ligatures w14:val="standardContextual"/>
        </w:rPr>
        <w:t>MiPyme</w:t>
      </w:r>
      <w:proofErr w:type="spellEnd"/>
      <w:r w:rsidRPr="00F02A16">
        <w:rPr>
          <w:rFonts w:ascii="Verdana" w:hAnsi="Verdana" w:eastAsia="Aptos" w:cs="Arial"/>
          <w:kern w:val="2"/>
          <w:shd w:val="clear" w:color="auto" w:fill="FFFFFF"/>
          <w:lang w:val="es-ES_tradnl"/>
          <w14:ligatures w14:val="standardContextual"/>
        </w:rPr>
        <w:t>, el requisito corresponderá al 25% del presupuesto oficial, por lo que su determinación se hará de acuerdo con la siguiente fórmula:</w:t>
      </w:r>
    </w:p>
    <w:p w:rsidRPr="00F02A16" w:rsidR="00F02A16" w:rsidP="00F02A16" w:rsidRDefault="00F02A16" w14:paraId="0AD579A9" w14:textId="77777777">
      <w:pPr>
        <w:spacing w:after="0" w:line="240" w:lineRule="auto"/>
        <w:ind w:left="1134"/>
        <w:rPr>
          <w:rFonts w:ascii="Geomanist Light" w:hAnsi="Geomanist Light" w:eastAsia="Times New Roman" w:cs="Times New Roman"/>
          <w:kern w:val="2"/>
          <w:sz w:val="24"/>
          <w:szCs w:val="24"/>
          <w:shd w:val="clear" w:color="auto" w:fill="FFFFFF"/>
          <w:lang w:val="es-ES"/>
          <w14:ligatures w14:val="standardContextual"/>
        </w:rPr>
      </w:pPr>
    </w:p>
    <w:p w:rsidRPr="00F02A16" w:rsidR="00F02A16" w:rsidP="00F02A16" w:rsidRDefault="00F02A16" w14:paraId="3AA908FC" w14:textId="77777777">
      <w:pPr>
        <w:spacing w:after="0" w:line="240" w:lineRule="auto"/>
        <w:ind w:left="1134"/>
        <w:rPr>
          <w:rFonts w:ascii="Aptos" w:hAnsi="Aptos" w:eastAsia="Times New Roman" w:cs="Times New Roman"/>
          <w:kern w:val="2"/>
          <w:sz w:val="24"/>
          <w:szCs w:val="24"/>
          <w:shd w:val="clear" w:color="auto" w:fill="FFFFFF"/>
          <w:lang w:val="es-ES"/>
          <w14:ligatures w14:val="standardContextual"/>
        </w:rPr>
      </w:pPr>
      <m:oMathPara>
        <m:oMath>
          <m:r>
            <m:rPr>
              <m:sty m:val="p"/>
            </m:rPr>
            <w:rPr>
              <w:rFonts w:ascii="Cambria Math" w:hAnsi="Cambria Math" w:eastAsia="Aptos" w:cs="Times New Roman"/>
              <w:kern w:val="2"/>
              <w:sz w:val="24"/>
              <w:szCs w:val="24"/>
              <w:shd w:val="clear" w:color="auto" w:fill="FFFFFF"/>
              <w:lang w:val="es-ES"/>
              <w14:ligatures w14:val="standardContextual"/>
            </w:rPr>
            <m:t xml:space="preserve">Pd= </m:t>
          </m:r>
          <m:r>
            <w:rPr>
              <w:rFonts w:ascii="Cambria Math" w:hAnsi="Cambria Math" w:eastAsia="Aptos" w:cs="Times New Roman"/>
              <w:kern w:val="2"/>
              <w:sz w:val="24"/>
              <w:szCs w:val="24"/>
              <w:shd w:val="clear" w:color="auto" w:fill="FFFFFF"/>
              <w:lang w:val="es-ES"/>
              <w14:ligatures w14:val="standardContextual"/>
            </w:rPr>
            <m:t>POE</m:t>
          </m:r>
          <m:r>
            <m:rPr>
              <m:sty m:val="p"/>
            </m:rPr>
            <w:rPr>
              <w:rFonts w:ascii="Cambria Math" w:hAnsi="Cambria Math" w:eastAsia="Aptos" w:cs="Times New Roman"/>
              <w:kern w:val="2"/>
              <w:sz w:val="24"/>
              <w:szCs w:val="24"/>
              <w:shd w:val="clear" w:color="auto" w:fill="FFFFFF"/>
              <w:lang w:val="es-ES"/>
              <w14:ligatures w14:val="standardContextual"/>
            </w:rPr>
            <m:t xml:space="preserve"> </m:t>
          </m:r>
          <m:r>
            <w:rPr>
              <w:rFonts w:ascii="Cambria Math" w:hAnsi="Cambria Math" w:eastAsia="Aptos" w:cs="Times New Roman"/>
              <w:kern w:val="2"/>
              <w:sz w:val="24"/>
              <w:szCs w:val="24"/>
              <w:shd w:val="clear" w:color="auto" w:fill="FFFFFF"/>
              <w:lang w:val="es-ES"/>
              <w14:ligatures w14:val="standardContextual"/>
            </w:rPr>
            <m:t>x</m:t>
          </m:r>
          <m:r>
            <m:rPr>
              <m:sty m:val="p"/>
            </m:rPr>
            <w:rPr>
              <w:rFonts w:ascii="Cambria Math" w:hAnsi="Cambria Math" w:eastAsia="Aptos" w:cs="Times New Roman"/>
              <w:kern w:val="2"/>
              <w:sz w:val="24"/>
              <w:szCs w:val="24"/>
              <w:shd w:val="clear" w:color="auto" w:fill="FFFFFF"/>
              <w:lang w:val="es-ES"/>
              <w14:ligatures w14:val="standardContextual"/>
            </w:rPr>
            <m:t xml:space="preserve"> 25%</m:t>
          </m:r>
        </m:oMath>
      </m:oMathPara>
    </w:p>
    <w:p w:rsidRPr="00F02A16" w:rsidR="00F02A16" w:rsidP="00F02A16" w:rsidRDefault="00F02A16" w14:paraId="01CA750E" w14:textId="77777777">
      <w:pPr>
        <w:spacing w:after="0" w:line="240" w:lineRule="auto"/>
        <w:ind w:left="1134"/>
        <w:rPr>
          <w:rFonts w:ascii="Aptos" w:hAnsi="Aptos" w:eastAsia="Times New Roman" w:cs="Times New Roman"/>
          <w:kern w:val="2"/>
          <w:sz w:val="24"/>
          <w:szCs w:val="24"/>
          <w:shd w:val="clear" w:color="auto" w:fill="FFFFFF"/>
          <w:lang w:val="es-ES"/>
          <w14:ligatures w14:val="standardContextual"/>
        </w:rPr>
      </w:pPr>
    </w:p>
    <w:p w:rsidRPr="00F02A16" w:rsidR="00F02A16" w:rsidP="00F02A16" w:rsidRDefault="00F02A16" w14:paraId="4EF954D4" w14:textId="77777777">
      <w:pPr>
        <w:numPr>
          <w:ilvl w:val="0"/>
          <w:numId w:val="16"/>
        </w:numPr>
        <w:tabs>
          <w:tab w:val="left" w:pos="142"/>
          <w:tab w:val="left" w:pos="284"/>
        </w:tabs>
        <w:snapToGrid w:val="0"/>
        <w:spacing w:after="0" w:line="276" w:lineRule="auto"/>
        <w:ind w:left="357" w:hanging="357"/>
        <w:contextualSpacing/>
        <w:jc w:val="both"/>
        <w:rPr>
          <w:rFonts w:ascii="Verdana" w:hAnsi="Verdana" w:eastAsia="Century Gothic" w:cs="Century Gothic"/>
          <w:b/>
          <w:bCs/>
          <w:lang w:val="es-ES_tradnl"/>
        </w:rPr>
      </w:pPr>
      <w:r w:rsidRPr="00F02A16">
        <w:rPr>
          <w:rFonts w:ascii="Verdana" w:hAnsi="Verdana" w:eastAsia="Century Gothic" w:cs="Century Gothic"/>
          <w:b/>
          <w:bCs/>
          <w:lang w:val="es-ES_tradnl"/>
        </w:rPr>
        <w:t>Referencias normativas, jurisprudenciales y otras fuentes:</w:t>
      </w:r>
    </w:p>
    <w:p w:rsidRPr="00F02A16" w:rsidR="00F02A16" w:rsidP="00F02A16" w:rsidRDefault="00F02A16" w14:paraId="4E383271" w14:textId="77777777">
      <w:pPr>
        <w:widowControl w:val="0"/>
        <w:autoSpaceDE w:val="0"/>
        <w:autoSpaceDN w:val="0"/>
        <w:snapToGrid w:val="0"/>
        <w:spacing w:after="0" w:line="276" w:lineRule="auto"/>
        <w:jc w:val="both"/>
        <w:rPr>
          <w:rFonts w:ascii="Verdana" w:hAnsi="Verdana" w:eastAsia="Calibri" w:cs="Arial"/>
          <w:lang w:val="es-ES_tradnl"/>
        </w:rPr>
      </w:pPr>
    </w:p>
    <w:tbl>
      <w:tblPr>
        <w:tblStyle w:val="Tablaconcuadrcula"/>
        <w:tblW w:w="8647" w:type="dxa"/>
        <w:tblInd w:w="137" w:type="dxa"/>
        <w:tblBorders>
          <w:top w:val="dotted" w:color="auto" w:sz="4" w:space="0"/>
          <w:left w:val="dotted" w:color="auto" w:sz="4" w:space="0"/>
          <w:bottom w:val="dotted" w:color="auto" w:sz="4" w:space="0"/>
          <w:right w:val="dotted" w:color="auto" w:sz="4" w:space="0"/>
          <w:insideH w:val="none" w:color="auto" w:sz="0" w:space="0"/>
          <w:insideV w:val="none" w:color="auto" w:sz="0" w:space="0"/>
        </w:tblBorders>
        <w:tblLayout w:type="fixed"/>
        <w:tblLook w:val="04A0" w:firstRow="1" w:lastRow="0" w:firstColumn="1" w:lastColumn="0" w:noHBand="0" w:noVBand="1"/>
      </w:tblPr>
      <w:tblGrid>
        <w:gridCol w:w="8647"/>
      </w:tblGrid>
      <w:tr w:rsidRPr="00F02A16" w:rsidR="00F02A16" w:rsidTr="00B72B72" w14:paraId="2374287D" w14:textId="77777777">
        <w:trPr>
          <w:trHeight w:val="870"/>
        </w:trPr>
        <w:tc>
          <w:tcPr>
            <w:tcW w:w="8647" w:type="dxa"/>
          </w:tcPr>
          <w:p w:rsidRPr="00F02A16" w:rsidR="00F02A16" w:rsidP="00F02A16" w:rsidRDefault="00F02A16" w14:paraId="5CF3F955" w14:textId="77777777">
            <w:pPr>
              <w:widowControl w:val="0"/>
              <w:numPr>
                <w:ilvl w:val="0"/>
                <w:numId w:val="17"/>
              </w:numPr>
              <w:autoSpaceDE w:val="0"/>
              <w:autoSpaceDN w:val="0"/>
              <w:snapToGrid w:val="0"/>
              <w:spacing w:after="120" w:line="276" w:lineRule="auto"/>
              <w:ind w:left="714" w:hanging="357"/>
              <w:jc w:val="both"/>
              <w:rPr>
                <w:rFonts w:ascii="Verdana" w:hAnsi="Verdana" w:eastAsia="Calibri" w:cs="Arial"/>
                <w:lang w:val="es-ES_tradnl"/>
              </w:rPr>
            </w:pPr>
            <w:r w:rsidRPr="00F02A16">
              <w:rPr>
                <w:rFonts w:ascii="Verdana" w:hAnsi="Verdana" w:eastAsia="Calibri" w:cs="Arial"/>
                <w:lang w:val="es-ES_tradnl"/>
              </w:rPr>
              <w:lastRenderedPageBreak/>
              <w:t xml:space="preserve">Ley 2022 de 2020, artículo 1. </w:t>
            </w:r>
          </w:p>
          <w:p w:rsidRPr="00F02A16" w:rsidR="00F02A16" w:rsidP="00F02A16" w:rsidRDefault="00F02A16" w14:paraId="16B11B61" w14:textId="77777777">
            <w:pPr>
              <w:widowControl w:val="0"/>
              <w:numPr>
                <w:ilvl w:val="0"/>
                <w:numId w:val="17"/>
              </w:numPr>
              <w:autoSpaceDE w:val="0"/>
              <w:autoSpaceDN w:val="0"/>
              <w:snapToGrid w:val="0"/>
              <w:spacing w:after="120" w:line="276" w:lineRule="auto"/>
              <w:ind w:left="714" w:hanging="357"/>
              <w:jc w:val="both"/>
              <w:rPr>
                <w:rFonts w:ascii="Verdana" w:hAnsi="Verdana" w:eastAsia="Calibri" w:cs="Arial"/>
                <w:lang w:val="es-ES_tradnl"/>
              </w:rPr>
            </w:pPr>
            <w:r w:rsidRPr="00F02A16">
              <w:rPr>
                <w:rFonts w:ascii="Verdana" w:hAnsi="Verdana" w:eastAsia="Calibri" w:cs="Arial"/>
                <w:lang w:val="es-ES_tradnl"/>
              </w:rPr>
              <w:t xml:space="preserve">Documentos Tipo de infraestructura de transporte. Disponibles en: </w:t>
            </w:r>
            <w:hyperlink w:history="1" r:id="rId11">
              <w:r w:rsidRPr="00F02A16">
                <w:rPr>
                  <w:rFonts w:ascii="Verdana" w:hAnsi="Verdana" w:eastAsia="Calibri" w:cs="Arial"/>
                  <w:color w:val="467886"/>
                  <w:u w:val="single"/>
                  <w:lang w:val="es-ES_tradnl"/>
                </w:rPr>
                <w:t>https://www.colombiacompra.gov.co/normativa-y-relatoria/documentos-tipo</w:t>
              </w:r>
            </w:hyperlink>
            <w:r w:rsidRPr="00F02A16">
              <w:rPr>
                <w:rFonts w:ascii="Verdana" w:hAnsi="Verdana" w:eastAsia="Calibri" w:cs="Arial"/>
                <w:lang w:val="es-ES_tradnl"/>
              </w:rPr>
              <w:t xml:space="preserve">. </w:t>
            </w:r>
          </w:p>
        </w:tc>
      </w:tr>
    </w:tbl>
    <w:p w:rsidRPr="00F02A16" w:rsidR="00F02A16" w:rsidP="00F02A16" w:rsidRDefault="00F02A16" w14:paraId="3A420B7E" w14:textId="77777777">
      <w:pPr>
        <w:widowControl w:val="0"/>
        <w:autoSpaceDE w:val="0"/>
        <w:autoSpaceDN w:val="0"/>
        <w:snapToGrid w:val="0"/>
        <w:spacing w:after="0" w:line="276" w:lineRule="auto"/>
        <w:jc w:val="both"/>
        <w:rPr>
          <w:rFonts w:ascii="Verdana" w:hAnsi="Verdana" w:eastAsia="Calibri" w:cs="Arial"/>
          <w:lang w:val="es-ES_tradnl"/>
        </w:rPr>
      </w:pPr>
    </w:p>
    <w:p w:rsidRPr="00F02A16" w:rsidR="00F02A16" w:rsidP="00F02A16" w:rsidRDefault="00F02A16" w14:paraId="12BFB093" w14:textId="77777777">
      <w:pPr>
        <w:numPr>
          <w:ilvl w:val="0"/>
          <w:numId w:val="16"/>
        </w:numPr>
        <w:tabs>
          <w:tab w:val="left" w:pos="142"/>
          <w:tab w:val="left" w:pos="284"/>
        </w:tabs>
        <w:snapToGrid w:val="0"/>
        <w:spacing w:after="0" w:line="276" w:lineRule="auto"/>
        <w:ind w:left="357" w:hanging="357"/>
        <w:contextualSpacing/>
        <w:jc w:val="both"/>
        <w:rPr>
          <w:rFonts w:ascii="Verdana" w:hAnsi="Verdana" w:eastAsia="Century Gothic" w:cs="Century Gothic"/>
          <w:b/>
          <w:bCs/>
          <w:lang w:val="es-ES_tradnl"/>
        </w:rPr>
      </w:pPr>
      <w:r w:rsidRPr="00F02A16">
        <w:rPr>
          <w:rFonts w:ascii="Verdana" w:hAnsi="Verdana" w:eastAsia="Century Gothic" w:cs="Century Gothic"/>
          <w:b/>
          <w:bCs/>
          <w:lang w:val="es-ES_tradnl"/>
        </w:rPr>
        <w:t>Doctrina de la Agencia Nacional de Contratación Pública:</w:t>
      </w:r>
    </w:p>
    <w:p w:rsidRPr="00F02A16" w:rsidR="00F02A16" w:rsidP="00F02A16" w:rsidRDefault="00F02A16" w14:paraId="5EE5BC09" w14:textId="77777777">
      <w:pPr>
        <w:widowControl w:val="0"/>
        <w:autoSpaceDE w:val="0"/>
        <w:autoSpaceDN w:val="0"/>
        <w:snapToGrid w:val="0"/>
        <w:spacing w:after="0" w:line="276" w:lineRule="auto"/>
        <w:jc w:val="both"/>
        <w:rPr>
          <w:rFonts w:ascii="Verdana" w:hAnsi="Verdana" w:eastAsia="Calibri" w:cs="Arial"/>
          <w:lang w:val="es-ES_tradnl"/>
        </w:rPr>
      </w:pPr>
    </w:p>
    <w:p w:rsidRPr="00F02A16" w:rsidR="00F02A16" w:rsidP="00F02A16" w:rsidRDefault="00F02A16" w14:paraId="2E6B8DCC" w14:textId="77777777">
      <w:pPr>
        <w:widowControl w:val="0"/>
        <w:autoSpaceDE w:val="0"/>
        <w:autoSpaceDN w:val="0"/>
        <w:spacing w:after="0" w:line="276" w:lineRule="auto"/>
        <w:jc w:val="both"/>
        <w:rPr>
          <w:rFonts w:ascii="Verdana" w:hAnsi="Verdana" w:eastAsia="Calibri" w:cs="Arial"/>
          <w:color w:val="000000"/>
          <w:kern w:val="2"/>
          <w:shd w:val="clear" w:color="auto" w:fill="FFFFFF"/>
          <w:lang w:val="es-ES"/>
          <w14:ligatures w14:val="standardContextual"/>
        </w:rPr>
      </w:pPr>
      <w:r w:rsidRPr="00F02A16">
        <w:rPr>
          <w:rFonts w:ascii="Verdana" w:hAnsi="Verdana" w:eastAsia="Calibri" w:cs="Arial"/>
          <w:color w:val="000000"/>
          <w:kern w:val="2"/>
          <w:shd w:val="clear" w:color="auto" w:fill="FFFFFF"/>
          <w:lang w:val="es-ES"/>
          <w14:ligatures w14:val="standardContextual"/>
        </w:rPr>
        <w:t>La Agencia Nacional de Contratación Pública – Colombia Compra Eficiente se</w:t>
      </w:r>
      <w:r w:rsidRPr="00F02A16">
        <w:rPr>
          <w:rFonts w:ascii="Verdana" w:hAnsi="Verdana" w:eastAsia="Aptos" w:cs="Times New Roman"/>
          <w:color w:val="000000"/>
          <w:kern w:val="2"/>
          <w:lang w:val="es-ES_tradnl"/>
          <w14:ligatures w14:val="standardContextual"/>
        </w:rPr>
        <w:t xml:space="preserve"> </w:t>
      </w:r>
      <w:r w:rsidRPr="00F02A16">
        <w:rPr>
          <w:rFonts w:ascii="Verdana" w:hAnsi="Verdana" w:eastAsia="Calibri" w:cs="Arial"/>
          <w:color w:val="000000"/>
          <w:kern w:val="2"/>
          <w:shd w:val="clear" w:color="auto" w:fill="FFFFFF"/>
          <w:lang w:val="es-ES"/>
          <w14:ligatures w14:val="standardContextual"/>
        </w:rPr>
        <w:t xml:space="preserve">pronunció sobre el ámbito de aplicación de los documentos tipo en los conceptos C-448 del 11 de julio de 2022, C-672 del 27 de diciembre de 2021, C-018 del 22 de febrero de 2022, C-130 del 22 de marzo de 2022, C- 006 del 07 de marzo de 2022, C-159 del 5 de abril de 2022, C-200 del 18 de abril de 2022, C-417 del 30 de junio de 2022, C-430 del 30 de junio de 2022, C-678 del 18 de octubre de 2022, C-765 del 11 de noviembre de 2022, C-809 del 12 de diciembre de 2022, C-848 del 09 de diciembre de 2022, C-053 del 28 de marzo  de 2023, C-161 del 16 de julio de 2024, C-654 del 07 de noviembre de 2024, entre otros. Por otra parte, sobre el alcance del numeral 3.8 del documento base de los documentos tipo de licitación de obra pública de infraestructura de transporte, esta Agencia se pronunció en los conceptos C-174 del 20 de febrero de 2025, C-267 del 11 de marzo de 2025 y C-684 del 7 de julio de 2025. </w:t>
      </w:r>
      <w:r w:rsidRPr="00F02A16">
        <w:rPr>
          <w:rFonts w:ascii="Verdana" w:hAnsi="Verdana" w:eastAsia="Times New Roman" w:cs="Arial"/>
          <w:color w:val="000000"/>
          <w:kern w:val="2"/>
          <w:shd w:val="clear" w:color="auto" w:fill="FFFFFF"/>
          <w:lang w:val="es-ES"/>
          <w14:ligatures w14:val="standardContextual"/>
        </w:rPr>
        <w:t>Estos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w:tgtFrame="_blank" w:tooltip="Dirección URL original: https://relatoria.colombiacompra.gov.co/. Haga clic o pulse si confía en este vínculo." w:history="1" r:id="rId12">
        <w:r w:rsidRPr="00F02A16">
          <w:rPr>
            <w:rFonts w:ascii="Verdana" w:hAnsi="Verdana" w:eastAsia="Times New Roman" w:cs="Arial"/>
            <w:color w:val="000000"/>
            <w:kern w:val="2"/>
            <w:shd w:val="clear" w:color="auto" w:fill="FFFFFF"/>
            <w:lang w:val="es-ES"/>
            <w14:ligatures w14:val="standardContextual"/>
          </w:rPr>
          <w:t>https://relatoria.colombiacompra.gov.co/</w:t>
        </w:r>
      </w:hyperlink>
      <w:r w:rsidRPr="00F02A16">
        <w:rPr>
          <w:rFonts w:ascii="Verdana" w:hAnsi="Verdana" w:eastAsia="Times New Roman" w:cs="Arial"/>
          <w:color w:val="000000"/>
          <w:kern w:val="2"/>
          <w:shd w:val="clear" w:color="auto" w:fill="FFFFFF"/>
          <w:lang w:val="es-ES"/>
          <w14:ligatures w14:val="standardContextual"/>
        </w:rPr>
        <w:t>.</w:t>
      </w:r>
    </w:p>
    <w:p w:rsidRPr="00F02A16" w:rsidR="00F02A16" w:rsidP="00F02A16" w:rsidRDefault="00F02A16" w14:paraId="6F2B8D7E" w14:textId="77777777">
      <w:pPr>
        <w:spacing w:after="0" w:line="240" w:lineRule="auto"/>
        <w:jc w:val="both"/>
        <w:rPr>
          <w:rFonts w:ascii="Verdana" w:hAnsi="Verdana" w:eastAsia="Calibri" w:cs="Arial"/>
          <w:color w:val="000000"/>
          <w:kern w:val="2"/>
          <w:shd w:val="clear" w:color="auto" w:fill="FFFFFF"/>
          <w:lang w:val="es-ES_tradnl"/>
          <w14:ligatures w14:val="standardContextual"/>
        </w:rPr>
      </w:pPr>
    </w:p>
    <w:p w:rsidRPr="00F02A16" w:rsidR="00F02A16" w:rsidP="00F02A16" w:rsidRDefault="00F02A16" w14:paraId="74E0186D" w14:textId="77777777">
      <w:pPr>
        <w:widowControl w:val="0"/>
        <w:autoSpaceDE w:val="0"/>
        <w:autoSpaceDN w:val="0"/>
        <w:spacing w:after="0" w:line="276" w:lineRule="auto"/>
        <w:jc w:val="both"/>
        <w:rPr>
          <w:rFonts w:ascii="Verdana" w:hAnsi="Verdana" w:eastAsia="Calibri" w:cs="Arial"/>
          <w:color w:val="000000"/>
          <w:kern w:val="2"/>
          <w:shd w:val="clear" w:color="auto" w:fill="FFFFFF"/>
          <w:lang w:val="es-ES_tradnl"/>
          <w14:ligatures w14:val="standardContextual"/>
        </w:rPr>
      </w:pPr>
      <w:r w:rsidRPr="00F02A16">
        <w:rPr>
          <w:rFonts w:ascii="Verdana" w:hAnsi="Verdana" w:eastAsia="Calibri" w:cs="Arial"/>
          <w:color w:val="000000"/>
          <w:kern w:val="2"/>
          <w:shd w:val="clear" w:color="auto" w:fill="FFFFFF"/>
          <w:lang w:val="es-ES_tradnl"/>
          <w14:ligatures w14:val="standardContextual"/>
        </w:rPr>
        <w:t>La</w:t>
      </w:r>
      <w:r w:rsidRPr="00F02A16">
        <w:rPr>
          <w:rFonts w:ascii="Verdana" w:hAnsi="Verdana" w:eastAsia="Calibri" w:cs="Arial"/>
          <w:b/>
          <w:bCs/>
          <w:color w:val="000000"/>
          <w:kern w:val="2"/>
          <w:shd w:val="clear" w:color="auto" w:fill="FFFFFF"/>
          <w:lang w:val="es-ES_tradnl"/>
          <w14:ligatures w14:val="standardContextual"/>
        </w:rPr>
        <w:t xml:space="preserve"> Agencia Nacional de Contratación Pública - Colombia Compra Eficiente</w:t>
      </w:r>
      <w:r w:rsidRPr="00F02A16">
        <w:rPr>
          <w:rFonts w:ascii="Verdana" w:hAnsi="Verdana" w:eastAsia="Calibri" w:cs="Arial"/>
          <w:color w:val="000000"/>
          <w:kern w:val="2"/>
          <w:shd w:val="clear" w:color="auto" w:fill="FFFFFF"/>
          <w:lang w:val="es-ES_tradnl"/>
          <w14:ligatures w14:val="standardContextual"/>
        </w:rPr>
        <w:t> recomienda a todas las entidades públicas, independientemente de su naturaleza, que gestionan recursos públicos, la aplicación de los </w:t>
      </w:r>
      <w:r w:rsidRPr="00F02A16">
        <w:rPr>
          <w:rFonts w:ascii="Verdana" w:hAnsi="Verdana" w:eastAsia="Calibri" w:cs="Arial"/>
          <w:b/>
          <w:bCs/>
          <w:color w:val="000000"/>
          <w:kern w:val="2"/>
          <w:shd w:val="clear" w:color="auto" w:fill="FFFFFF"/>
          <w:lang w:val="es-ES_tradnl"/>
          <w14:ligatures w14:val="standardContextual"/>
        </w:rPr>
        <w:t>Documentos Tipo</w:t>
      </w:r>
      <w:r w:rsidRPr="00F02A16">
        <w:rPr>
          <w:rFonts w:ascii="Verdana" w:hAnsi="Verdana" w:eastAsia="Calibri" w:cs="Arial"/>
          <w:color w:val="000000"/>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F02A16">
        <w:rPr>
          <w:rFonts w:ascii="Verdana" w:hAnsi="Verdana" w:eastAsia="Calibri" w:cs="Arial"/>
          <w:b/>
          <w:bCs/>
          <w:color w:val="000000"/>
          <w:kern w:val="2"/>
          <w:shd w:val="clear" w:color="auto" w:fill="FFFFFF"/>
          <w:lang w:val="es-ES_tradnl"/>
          <w14:ligatures w14:val="standardContextual"/>
        </w:rPr>
        <w:t>transparencia</w:t>
      </w:r>
      <w:r w:rsidRPr="00F02A16">
        <w:rPr>
          <w:rFonts w:ascii="Verdana" w:hAnsi="Verdana" w:eastAsia="Calibri" w:cs="Arial"/>
          <w:color w:val="000000"/>
          <w:kern w:val="2"/>
          <w:shd w:val="clear" w:color="auto" w:fill="FFFFFF"/>
          <w:lang w:val="es-ES_tradnl"/>
          <w14:ligatures w14:val="standardContextual"/>
        </w:rPr>
        <w:t> y promover un proceso de </w:t>
      </w:r>
      <w:r w:rsidRPr="00F02A16">
        <w:rPr>
          <w:rFonts w:ascii="Verdana" w:hAnsi="Verdana" w:eastAsia="Calibri" w:cs="Arial"/>
          <w:b/>
          <w:bCs/>
          <w:color w:val="000000"/>
          <w:kern w:val="2"/>
          <w:shd w:val="clear" w:color="auto" w:fill="FFFFFF"/>
          <w:lang w:val="es-ES_tradnl"/>
          <w14:ligatures w14:val="standardContextual"/>
        </w:rPr>
        <w:t>selección objetiva</w:t>
      </w:r>
      <w:r w:rsidRPr="00F02A16">
        <w:rPr>
          <w:rFonts w:ascii="Verdana" w:hAnsi="Verdana" w:eastAsia="Calibri" w:cs="Arial"/>
          <w:color w:val="000000"/>
          <w:kern w:val="2"/>
          <w:shd w:val="clear" w:color="auto" w:fill="FFFFFF"/>
          <w:lang w:val="es-ES_tradnl"/>
          <w14:ligatures w14:val="standardContextual"/>
        </w:rPr>
        <w:t> en la contratación pública, contribuyendo así a mejorar la eficiencia, la competencia y la confianza en el manejo de los recursos del Estado.</w:t>
      </w:r>
    </w:p>
    <w:p w:rsidRPr="00F02A16" w:rsidR="00F02A16" w:rsidP="00F02A16" w:rsidRDefault="00F02A16" w14:paraId="5415FEF7" w14:textId="77777777">
      <w:pPr>
        <w:widowControl w:val="0"/>
        <w:autoSpaceDE w:val="0"/>
        <w:autoSpaceDN w:val="0"/>
        <w:spacing w:after="0" w:line="276" w:lineRule="auto"/>
        <w:jc w:val="both"/>
        <w:rPr>
          <w:rFonts w:ascii="Verdana" w:hAnsi="Verdana" w:eastAsia="Calibri" w:cs="Arial"/>
          <w:color w:val="000000"/>
          <w:kern w:val="2"/>
          <w:shd w:val="clear" w:color="auto" w:fill="FFFFFF"/>
          <w:lang w:val="es-ES_tradnl"/>
          <w14:ligatures w14:val="standardContextual"/>
        </w:rPr>
      </w:pPr>
    </w:p>
    <w:p w:rsidRPr="00F02A16" w:rsidR="00F02A16" w:rsidP="00F02A16" w:rsidRDefault="00F02A16" w14:paraId="6AE31CD3" w14:textId="77777777">
      <w:pPr>
        <w:widowControl w:val="0"/>
        <w:autoSpaceDE w:val="0"/>
        <w:autoSpaceDN w:val="0"/>
        <w:spacing w:after="0" w:line="276" w:lineRule="auto"/>
        <w:jc w:val="both"/>
        <w:rPr>
          <w:rFonts w:ascii="Verdana" w:hAnsi="Verdana" w:eastAsia="Calibri" w:cs="Arial"/>
          <w:color w:val="000000"/>
          <w:kern w:val="2"/>
          <w:shd w:val="clear" w:color="auto" w:fill="FFFFFF"/>
          <w:lang w:val="es-ES"/>
          <w14:ligatures w14:val="standardContextual"/>
        </w:rPr>
      </w:pPr>
      <w:r w:rsidRPr="00F02A16">
        <w:rPr>
          <w:rFonts w:ascii="Verdana" w:hAnsi="Verdana" w:eastAsia="Calibri" w:cs="Arial"/>
          <w:color w:val="000000"/>
          <w:kern w:val="2"/>
          <w:shd w:val="clear" w:color="auto" w:fill="FFFFFF"/>
          <w:lang w:val="es-ES"/>
          <w14:ligatures w14:val="standardContextual"/>
        </w:rPr>
        <w:lastRenderedPageBreak/>
        <w:t>También, le contamos que ya se encuentra disponible la </w:t>
      </w:r>
      <w:r w:rsidRPr="00F02A16">
        <w:rPr>
          <w:rFonts w:ascii="Verdana" w:hAnsi="Verdana" w:eastAsia="Calibri" w:cs="Arial"/>
          <w:b/>
          <w:bCs/>
          <w:color w:val="000000"/>
          <w:kern w:val="2"/>
          <w:shd w:val="clear" w:color="auto" w:fill="FFFFFF"/>
          <w:lang w:val="es-ES"/>
          <w14:ligatures w14:val="standardContextual"/>
        </w:rPr>
        <w:t>Guía de lineamientos de transparencia y selección objetiva para el departamento de La Guajira – Objetivo sexto constitucional de la Sentencia T-302 del 2017. </w:t>
      </w:r>
      <w:r w:rsidRPr="00F02A16">
        <w:rPr>
          <w:rFonts w:ascii="Verdana" w:hAnsi="Verdana" w:eastAsia="Calibri" w:cs="Arial"/>
          <w:color w:val="000000"/>
          <w:kern w:val="2"/>
          <w:shd w:val="clear" w:color="auto" w:fill="FFFFFF"/>
          <w:lang w:val="es-ES"/>
          <w14:ligatures w14:val="standardContextual"/>
        </w:rPr>
        <w:t xml:space="preserve">Esta Guía se expide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F02A16">
        <w:rPr>
          <w:rFonts w:ascii="Verdana" w:hAnsi="Verdana" w:eastAsia="Calibri" w:cs="Arial"/>
          <w:color w:val="000000"/>
          <w:kern w:val="2"/>
          <w:shd w:val="clear" w:color="auto" w:fill="FFFFFF"/>
          <w:lang w:val="es-ES"/>
          <w14:ligatures w14:val="standardContextual"/>
        </w:rPr>
        <w:t>Wayúu</w:t>
      </w:r>
      <w:proofErr w:type="spellEnd"/>
      <w:r w:rsidRPr="00F02A16">
        <w:rPr>
          <w:rFonts w:ascii="Verdana" w:hAnsi="Verdana" w:eastAsia="Calibri" w:cs="Arial"/>
          <w:color w:val="000000"/>
          <w:kern w:val="2"/>
          <w:shd w:val="clear" w:color="auto" w:fill="FFFFFF"/>
          <w:lang w:val="es-ES"/>
          <w14:ligatures w14:val="standardContextual"/>
        </w:rPr>
        <w:t>. Puede consultar la guía en el siguiente enlace: </w:t>
      </w:r>
      <w:hyperlink w:tgtFrame="_blank" w:tooltip="Original URL: https://www.colombiacompra.gov.co/wp-content/uploads/2025/05/GUIA-DE-LINEAMIENTOS-DE-TRANSPARENCIA-Y-SELECCION-OBJETIVA-1.0.pdf. Click or tap if you trust this link." w:history="1" r:id="rId13">
        <w:r w:rsidRPr="00F02A16">
          <w:rPr>
            <w:rFonts w:ascii="Verdana" w:hAnsi="Verdana" w:eastAsia="Calibri" w:cs="Arial"/>
            <w:color w:val="000000"/>
            <w:kern w:val="2"/>
            <w:u w:val="single"/>
            <w:shd w:val="clear" w:color="auto" w:fill="FFFFFF"/>
            <w:lang w:val="es-ES"/>
            <w14:ligatures w14:val="standardContextual"/>
          </w:rPr>
          <w:t>Guía de lineamientos de transparencia y selección objetiva para el departamento de La Guajira – Objetivo sexto constitucional de la Sentencia T-302 del 2017</w:t>
        </w:r>
      </w:hyperlink>
      <w:r w:rsidRPr="00F02A16">
        <w:rPr>
          <w:rFonts w:ascii="Verdana" w:hAnsi="Verdana" w:eastAsia="Calibri" w:cs="Arial"/>
          <w:color w:val="000000"/>
          <w:kern w:val="2"/>
          <w:u w:val="single"/>
          <w:shd w:val="clear" w:color="auto" w:fill="FFFFFF"/>
          <w:lang w:val="es-ES"/>
          <w14:ligatures w14:val="standardContextual"/>
        </w:rPr>
        <w:t>.</w:t>
      </w:r>
    </w:p>
    <w:p w:rsidRPr="00F02A16" w:rsidR="00F02A16" w:rsidP="00F02A16" w:rsidRDefault="00F02A16" w14:paraId="25D5B55A" w14:textId="77777777">
      <w:pPr>
        <w:widowControl w:val="0"/>
        <w:autoSpaceDE w:val="0"/>
        <w:autoSpaceDN w:val="0"/>
        <w:spacing w:after="0" w:line="276" w:lineRule="auto"/>
        <w:jc w:val="both"/>
        <w:rPr>
          <w:rFonts w:ascii="Verdana" w:hAnsi="Verdana" w:eastAsia="Calibri" w:cs="Arial"/>
          <w:color w:val="000000"/>
          <w:kern w:val="2"/>
          <w:shd w:val="clear" w:color="auto" w:fill="FFFFFF"/>
          <w:lang w:val="es-ES_tradnl"/>
          <w14:ligatures w14:val="standardContextual"/>
        </w:rPr>
      </w:pPr>
    </w:p>
    <w:p w:rsidRPr="00F02A16" w:rsidR="00F02A16" w:rsidP="00F02A16" w:rsidRDefault="00F02A16" w14:paraId="129B0A5A" w14:textId="77777777">
      <w:pPr>
        <w:spacing w:after="0" w:line="276" w:lineRule="auto"/>
        <w:jc w:val="both"/>
        <w:rPr>
          <w:rFonts w:ascii="Verdana" w:hAnsi="Verdana" w:eastAsia="Calibri" w:cs="Times New Roman"/>
          <w:color w:val="000000"/>
          <w:kern w:val="2"/>
          <w:lang w:val="es-ES_tradnl"/>
          <w14:ligatures w14:val="standardContextual"/>
        </w:rPr>
      </w:pPr>
      <w:r w:rsidRPr="00F02A16">
        <w:rPr>
          <w:rFonts w:ascii="Verdana" w:hAnsi="Verdana" w:eastAsia="Calibri" w:cs="Times New Roman"/>
          <w:color w:val="000000"/>
          <w:kern w:val="2"/>
          <w:lang w:val="es-ES_tradnl"/>
          <w14:ligatures w14:val="standardContextual"/>
        </w:rPr>
        <w:t xml:space="preserve">Por último, los invitamos a seguirnos en las redes sociales, en las cuales se difunde información institucional: </w:t>
      </w:r>
    </w:p>
    <w:p w:rsidRPr="00F02A16" w:rsidR="00F02A16" w:rsidP="00F02A16" w:rsidRDefault="00F02A16" w14:paraId="60E8CB33" w14:textId="77777777">
      <w:pPr>
        <w:spacing w:after="0" w:line="240" w:lineRule="auto"/>
        <w:jc w:val="both"/>
        <w:rPr>
          <w:rFonts w:ascii="Verdana" w:hAnsi="Verdana" w:eastAsia="Calibri" w:cs="Times New Roman"/>
          <w:color w:val="000000"/>
          <w:kern w:val="2"/>
          <w:lang w:val="es-ES_tradnl"/>
          <w14:ligatures w14:val="standardContextual"/>
        </w:rPr>
      </w:pPr>
    </w:p>
    <w:p w:rsidRPr="00F02A16" w:rsidR="00F02A16" w:rsidP="00F02A16" w:rsidRDefault="00F02A16" w14:paraId="5DC85FAF" w14:textId="77777777">
      <w:pPr>
        <w:spacing w:after="0" w:line="240" w:lineRule="auto"/>
        <w:jc w:val="both"/>
        <w:rPr>
          <w:rFonts w:ascii="Verdana" w:hAnsi="Verdana" w:eastAsia="Calibri" w:cs="Times New Roman"/>
          <w:color w:val="000000"/>
          <w:kern w:val="2"/>
          <w:lang w:val="es-ES_tradnl"/>
          <w14:ligatures w14:val="standardContextual"/>
        </w:rPr>
      </w:pPr>
      <w:r w:rsidRPr="00F02A16">
        <w:rPr>
          <w:rFonts w:ascii="Verdana" w:hAnsi="Verdana" w:eastAsia="Calibri" w:cs="Times New Roman"/>
          <w:color w:val="000000"/>
          <w:kern w:val="2"/>
          <w:lang w:val="es-ES_tradnl"/>
          <w14:ligatures w14:val="standardContextual"/>
        </w:rPr>
        <w:t xml:space="preserve">Twitter: </w:t>
      </w:r>
      <w:r w:rsidRPr="00F02A16">
        <w:rPr>
          <w:rFonts w:ascii="Verdana" w:hAnsi="Verdana" w:eastAsia="Calibri" w:cs="Times New Roman"/>
          <w:color w:val="000000"/>
          <w:kern w:val="2"/>
          <w:u w:val="single"/>
          <w:lang w:val="es-ES_tradnl"/>
          <w14:ligatures w14:val="standardContextual"/>
        </w:rPr>
        <w:t>@colombiacompra</w:t>
      </w:r>
      <w:r w:rsidRPr="00F02A16">
        <w:rPr>
          <w:rFonts w:ascii="Verdana" w:hAnsi="Verdana" w:eastAsia="Calibri" w:cs="Times New Roman"/>
          <w:color w:val="000000"/>
          <w:kern w:val="2"/>
          <w:lang w:val="es-ES_tradnl"/>
          <w14:ligatures w14:val="standardContextual"/>
        </w:rPr>
        <w:t xml:space="preserve"> </w:t>
      </w:r>
    </w:p>
    <w:p w:rsidRPr="00F02A16" w:rsidR="00F02A16" w:rsidP="00F02A16" w:rsidRDefault="00F02A16" w14:paraId="6B0B9596" w14:textId="77777777">
      <w:pPr>
        <w:spacing w:after="0" w:line="240" w:lineRule="auto"/>
        <w:jc w:val="both"/>
        <w:rPr>
          <w:rFonts w:ascii="Verdana" w:hAnsi="Verdana" w:eastAsia="Calibri" w:cs="Times New Roman"/>
          <w:color w:val="000000"/>
          <w:kern w:val="2"/>
          <w:lang w:val="es-ES"/>
          <w14:ligatures w14:val="standardContextual"/>
        </w:rPr>
      </w:pPr>
      <w:r w:rsidRPr="00F02A16">
        <w:rPr>
          <w:rFonts w:ascii="Verdana" w:hAnsi="Verdana" w:eastAsia="Calibri" w:cs="Times New Roman"/>
          <w:color w:val="000000"/>
          <w:kern w:val="2"/>
          <w:lang w:val="es-ES"/>
          <w14:ligatures w14:val="standardContextual"/>
        </w:rPr>
        <w:t xml:space="preserve">Facebook: </w:t>
      </w:r>
      <w:proofErr w:type="spellStart"/>
      <w:r w:rsidRPr="00F02A16">
        <w:rPr>
          <w:rFonts w:ascii="Verdana" w:hAnsi="Verdana" w:eastAsia="Calibri" w:cs="Times New Roman"/>
          <w:color w:val="000000"/>
          <w:kern w:val="2"/>
          <w:u w:val="single"/>
          <w:lang w:val="es-ES"/>
          <w14:ligatures w14:val="standardContextual"/>
        </w:rPr>
        <w:t>ColombiaCompraEficiente</w:t>
      </w:r>
      <w:proofErr w:type="spellEnd"/>
    </w:p>
    <w:p w:rsidRPr="00F02A16" w:rsidR="00F02A16" w:rsidP="00F02A16" w:rsidRDefault="00F02A16" w14:paraId="3676939A" w14:textId="77777777">
      <w:pPr>
        <w:spacing w:after="0" w:line="240" w:lineRule="auto"/>
        <w:jc w:val="both"/>
        <w:rPr>
          <w:rFonts w:ascii="Verdana" w:hAnsi="Verdana" w:eastAsia="Calibri" w:cs="Times New Roman"/>
          <w:color w:val="000000"/>
          <w:kern w:val="2"/>
          <w:lang w:val="es-ES_tradnl"/>
          <w14:ligatures w14:val="standardContextual"/>
        </w:rPr>
      </w:pPr>
      <w:r w:rsidRPr="00F02A16">
        <w:rPr>
          <w:rFonts w:ascii="Verdana" w:hAnsi="Verdana" w:eastAsia="Calibri" w:cs="Times New Roman"/>
          <w:color w:val="000000"/>
          <w:kern w:val="2"/>
          <w:lang w:val="es-ES_tradnl"/>
          <w14:ligatures w14:val="standardContextual"/>
        </w:rPr>
        <w:t xml:space="preserve">LinkedIn: </w:t>
      </w:r>
      <w:r w:rsidRPr="00F02A16">
        <w:rPr>
          <w:rFonts w:ascii="Verdana" w:hAnsi="Verdana" w:eastAsia="Calibri" w:cs="Times New Roman"/>
          <w:color w:val="000000"/>
          <w:kern w:val="2"/>
          <w:u w:val="single"/>
          <w:lang w:val="es-ES_tradnl"/>
          <w14:ligatures w14:val="standardContextual"/>
        </w:rPr>
        <w:t>Agencia Nacional de Contratación Pública - Colombia Compra Eficiente</w:t>
      </w:r>
      <w:r w:rsidRPr="00F02A16">
        <w:rPr>
          <w:rFonts w:ascii="Verdana" w:hAnsi="Verdana" w:eastAsia="Calibri" w:cs="Times New Roman"/>
          <w:color w:val="000000"/>
          <w:kern w:val="2"/>
          <w:lang w:val="es-ES_tradnl"/>
          <w14:ligatures w14:val="standardContextual"/>
        </w:rPr>
        <w:t xml:space="preserve"> Instagram: </w:t>
      </w:r>
      <w:r w:rsidRPr="00F02A16">
        <w:rPr>
          <w:rFonts w:ascii="Verdana" w:hAnsi="Verdana" w:eastAsia="Calibri" w:cs="Times New Roman"/>
          <w:color w:val="000000"/>
          <w:kern w:val="2"/>
          <w:u w:val="single"/>
          <w:lang w:val="es-ES_tradnl"/>
          <w14:ligatures w14:val="standardContextual"/>
        </w:rPr>
        <w:t>@colombiacompraeficiente_cce</w:t>
      </w:r>
    </w:p>
    <w:p w:rsidRPr="00F02A16" w:rsidR="00F02A16" w:rsidP="00F02A16" w:rsidRDefault="00F02A16" w14:paraId="7E095B60" w14:textId="77777777">
      <w:pPr>
        <w:widowControl w:val="0"/>
        <w:autoSpaceDE w:val="0"/>
        <w:autoSpaceDN w:val="0"/>
        <w:spacing w:after="0" w:line="276" w:lineRule="auto"/>
        <w:jc w:val="both"/>
        <w:rPr>
          <w:rFonts w:ascii="Verdana" w:hAnsi="Verdana" w:eastAsia="Calibri" w:cs="Arial"/>
          <w:color w:val="000000"/>
          <w:kern w:val="2"/>
          <w:lang w:val="es-ES_tradnl"/>
          <w14:ligatures w14:val="standardContextual"/>
        </w:rPr>
      </w:pPr>
    </w:p>
    <w:p w:rsidRPr="00F02A16" w:rsidR="00F02A16" w:rsidP="00F02A16" w:rsidRDefault="00F02A16" w14:paraId="4803694F" w14:textId="77777777">
      <w:pPr>
        <w:widowControl w:val="0"/>
        <w:autoSpaceDE w:val="0"/>
        <w:autoSpaceDN w:val="0"/>
        <w:spacing w:after="0" w:line="276" w:lineRule="auto"/>
        <w:jc w:val="both"/>
        <w:rPr>
          <w:rFonts w:ascii="Verdana" w:hAnsi="Verdana" w:eastAsia="Calibri" w:cs="Arial"/>
          <w:color w:val="000000"/>
          <w:kern w:val="2"/>
          <w:lang w:val="es-ES_tradnl"/>
          <w14:ligatures w14:val="standardContextual"/>
        </w:rPr>
      </w:pPr>
      <w:r w:rsidRPr="00F02A16">
        <w:rPr>
          <w:rFonts w:ascii="Verdana" w:hAnsi="Verdana" w:eastAsia="Calibri" w:cs="Arial"/>
          <w:color w:val="000000"/>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rsidRPr="00F02A16" w:rsidR="00F02A16" w:rsidP="00F02A16" w:rsidRDefault="00F02A16" w14:paraId="45EBEA38" w14:textId="77777777">
      <w:pPr>
        <w:widowControl w:val="0"/>
        <w:autoSpaceDE w:val="0"/>
        <w:autoSpaceDN w:val="0"/>
        <w:spacing w:after="0" w:line="276" w:lineRule="auto"/>
        <w:jc w:val="both"/>
        <w:rPr>
          <w:rFonts w:ascii="Verdana" w:hAnsi="Verdana" w:eastAsia="Calibri" w:cs="Arial"/>
          <w:lang w:val="es-ES_tradnl"/>
        </w:rPr>
      </w:pPr>
    </w:p>
    <w:p w:rsidRPr="00F02A16" w:rsidR="00F02A16" w:rsidP="00F02A16" w:rsidRDefault="00F02A16" w14:paraId="06853D1D" w14:textId="77777777">
      <w:pPr>
        <w:spacing w:after="0" w:line="240" w:lineRule="auto"/>
        <w:rPr>
          <w:rFonts w:ascii="Verdana" w:hAnsi="Verdana" w:eastAsia="Calibri" w:cs="Arial"/>
          <w:lang w:val="es-ES_tradnl" w:eastAsia="es-CO"/>
        </w:rPr>
      </w:pPr>
      <w:r w:rsidRPr="00F02A16">
        <w:rPr>
          <w:rFonts w:ascii="Verdana" w:hAnsi="Verdana" w:eastAsia="Times New Roman" w:cs="Arial"/>
          <w:lang w:val="es-ES_tradnl" w:eastAsia="es-CO"/>
        </w:rPr>
        <w:t>Atentamente,</w:t>
      </w:r>
      <w:r w:rsidRPr="00F02A16">
        <w:rPr>
          <w:rFonts w:ascii="Verdana" w:hAnsi="Verdana" w:eastAsia="Calibri" w:cs="Arial"/>
          <w:lang w:val="es-ES_tradnl" w:eastAsia="es-CO"/>
        </w:rPr>
        <w:t xml:space="preserve"> </w:t>
      </w:r>
    </w:p>
    <w:p w:rsidRPr="00F02A16" w:rsidR="00F02A16" w:rsidP="00F02A16" w:rsidRDefault="00A04E36" w14:paraId="4086420C" w14:textId="69D6E125">
      <w:pPr>
        <w:spacing w:line="276" w:lineRule="auto"/>
        <w:jc w:val="center"/>
        <w:rPr>
          <w:rFonts w:ascii="Verdana" w:hAnsi="Verdana" w:eastAsia="Calibri" w:cs="Arial"/>
          <w:lang w:val="es-ES_tradnl" w:eastAsia="es-CO"/>
        </w:rPr>
      </w:pPr>
      <w:r w:rsidRPr="002C3AD6">
        <w:rPr>
          <w:rFonts w:ascii="Century Gothic" w:hAnsi="Century Gothic"/>
          <w:noProof/>
        </w:rPr>
        <w:drawing>
          <wp:inline distT="0" distB="0" distL="0" distR="0" wp14:anchorId="73882B6B" wp14:editId="49F6A60D">
            <wp:extent cx="3486150" cy="1294101"/>
            <wp:effectExtent l="0" t="0" r="0" b="190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496489" cy="1297939"/>
                    </a:xfrm>
                    <a:prstGeom prst="rect">
                      <a:avLst/>
                    </a:prstGeom>
                  </pic:spPr>
                </pic:pic>
              </a:graphicData>
            </a:graphic>
          </wp:inline>
        </w:drawing>
      </w:r>
    </w:p>
    <w:tbl>
      <w:tblPr>
        <w:tblStyle w:val="Tablaconcuadrcula"/>
        <w:tblW w:w="652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893"/>
        <w:gridCol w:w="5628"/>
      </w:tblGrid>
      <w:tr w:rsidRPr="00F02A16" w:rsidR="00F02A16" w:rsidTr="00B72B72" w14:paraId="1DF6909F" w14:textId="77777777">
        <w:trPr>
          <w:trHeight w:val="315"/>
        </w:trPr>
        <w:tc>
          <w:tcPr>
            <w:tcW w:w="893" w:type="dxa"/>
            <w:vAlign w:val="center"/>
            <w:hideMark/>
          </w:tcPr>
          <w:p w:rsidRPr="00F02A16" w:rsidR="00F02A16" w:rsidP="00F02A16" w:rsidRDefault="00F02A16" w14:paraId="79A0AF41" w14:textId="77777777">
            <w:pPr>
              <w:rPr>
                <w:rFonts w:ascii="Verdana" w:hAnsi="Verdana" w:eastAsia="Calibri" w:cs="Arial"/>
                <w:sz w:val="16"/>
                <w:szCs w:val="16"/>
                <w:lang w:val="es-ES_tradnl" w:eastAsia="es-ES"/>
              </w:rPr>
            </w:pPr>
            <w:r w:rsidRPr="00F02A16">
              <w:rPr>
                <w:rFonts w:ascii="Verdana" w:hAnsi="Verdana" w:eastAsia="Calibri" w:cs="Arial"/>
                <w:sz w:val="16"/>
                <w:szCs w:val="16"/>
                <w:lang w:val="es-ES_tradnl" w:eastAsia="es-ES"/>
              </w:rPr>
              <w:t>Elaboró:</w:t>
            </w:r>
          </w:p>
        </w:tc>
        <w:tc>
          <w:tcPr>
            <w:tcW w:w="5628" w:type="dxa"/>
            <w:tcBorders>
              <w:top w:val="nil"/>
              <w:left w:val="nil"/>
              <w:bottom w:val="dotted" w:color="7F7F7F" w:sz="4" w:space="0"/>
              <w:right w:val="nil"/>
            </w:tcBorders>
            <w:vAlign w:val="center"/>
            <w:hideMark/>
          </w:tcPr>
          <w:p w:rsidRPr="00F02A16" w:rsidR="00F02A16" w:rsidP="00F02A16" w:rsidRDefault="00F02A16" w14:paraId="24705C35" w14:textId="77777777">
            <w:pPr>
              <w:rPr>
                <w:rFonts w:ascii="Verdana" w:hAnsi="Verdana" w:eastAsia="Arial" w:cs="Arial"/>
                <w:sz w:val="16"/>
                <w:szCs w:val="16"/>
                <w:lang w:val="es-ES"/>
              </w:rPr>
            </w:pPr>
            <w:r w:rsidRPr="00F02A16">
              <w:rPr>
                <w:rFonts w:ascii="Verdana" w:hAnsi="Verdana" w:eastAsia="Arial" w:cs="Arial"/>
                <w:sz w:val="16"/>
                <w:szCs w:val="16"/>
                <w:lang w:val="es-ES"/>
              </w:rPr>
              <w:t>Kevin Arlid Herrera Santa</w:t>
            </w:r>
          </w:p>
          <w:p w:rsidRPr="00F02A16" w:rsidR="00F02A16" w:rsidP="00F02A16" w:rsidRDefault="00F02A16" w14:paraId="058E2005" w14:textId="77777777">
            <w:pPr>
              <w:rPr>
                <w:rFonts w:ascii="Verdana" w:hAnsi="Verdana" w:eastAsia="Arial" w:cs="Arial"/>
                <w:sz w:val="16"/>
                <w:szCs w:val="16"/>
                <w:lang w:val="es-ES_tradnl"/>
              </w:rPr>
            </w:pPr>
            <w:r w:rsidRPr="00F02A16">
              <w:rPr>
                <w:rFonts w:ascii="Verdana" w:hAnsi="Verdana" w:eastAsia="Arial" w:cs="Arial"/>
                <w:sz w:val="16"/>
                <w:szCs w:val="16"/>
                <w:lang w:val="es-ES_tradnl"/>
              </w:rPr>
              <w:t xml:space="preserve">Contratista de la Subdirección de Gestión Contractual </w:t>
            </w:r>
          </w:p>
          <w:p w:rsidRPr="00F02A16" w:rsidR="00F02A16" w:rsidP="00F02A16" w:rsidRDefault="00F02A16" w14:paraId="386F0D39" w14:textId="77777777">
            <w:pPr>
              <w:rPr>
                <w:rFonts w:ascii="Verdana" w:hAnsi="Verdana" w:eastAsia="Arial" w:cs="Arial"/>
                <w:sz w:val="16"/>
                <w:szCs w:val="16"/>
                <w:lang w:val="es-ES"/>
              </w:rPr>
            </w:pPr>
            <w:r w:rsidRPr="00F02A16">
              <w:rPr>
                <w:rFonts w:ascii="Verdana" w:hAnsi="Verdana" w:eastAsia="Arial" w:cs="Arial"/>
                <w:sz w:val="16"/>
                <w:szCs w:val="16"/>
                <w:lang w:val="es-ES"/>
              </w:rPr>
              <w:t>Alejandro Gamboa Cárdenas</w:t>
            </w:r>
          </w:p>
          <w:p w:rsidRPr="00F02A16" w:rsidR="00F02A16" w:rsidP="00F02A16" w:rsidRDefault="00F02A16" w14:paraId="175B2065" w14:textId="77777777">
            <w:pPr>
              <w:rPr>
                <w:rFonts w:ascii="Verdana" w:hAnsi="Verdana" w:eastAsia="Arial" w:cs="Arial"/>
                <w:sz w:val="16"/>
                <w:szCs w:val="16"/>
                <w:lang w:val="es-ES_tradnl"/>
              </w:rPr>
            </w:pPr>
            <w:r w:rsidRPr="00F02A16">
              <w:rPr>
                <w:rFonts w:ascii="Verdana" w:hAnsi="Verdana" w:eastAsia="Arial" w:cs="Arial"/>
                <w:sz w:val="16"/>
                <w:szCs w:val="16"/>
                <w:lang w:val="es-ES_tradnl"/>
              </w:rPr>
              <w:t>Contratista de la Subdirección de Gestión Contractual</w:t>
            </w:r>
          </w:p>
        </w:tc>
      </w:tr>
      <w:tr w:rsidRPr="00F02A16" w:rsidR="00F02A16" w:rsidTr="00B72B72" w14:paraId="46BF0E0F" w14:textId="77777777">
        <w:trPr>
          <w:trHeight w:val="330"/>
        </w:trPr>
        <w:tc>
          <w:tcPr>
            <w:tcW w:w="893" w:type="dxa"/>
            <w:vAlign w:val="center"/>
            <w:hideMark/>
          </w:tcPr>
          <w:p w:rsidRPr="00F02A16" w:rsidR="00F02A16" w:rsidP="00F02A16" w:rsidRDefault="00F02A16" w14:paraId="1716D3A5" w14:textId="77777777">
            <w:pPr>
              <w:rPr>
                <w:rFonts w:ascii="Verdana" w:hAnsi="Verdana" w:eastAsia="Calibri" w:cs="Arial"/>
                <w:sz w:val="16"/>
                <w:szCs w:val="16"/>
                <w:lang w:val="es-ES_tradnl" w:eastAsia="es-ES"/>
              </w:rPr>
            </w:pPr>
            <w:r w:rsidRPr="00F02A16">
              <w:rPr>
                <w:rFonts w:ascii="Verdana" w:hAnsi="Verdana" w:eastAsia="Calibri" w:cs="Arial"/>
                <w:sz w:val="16"/>
                <w:szCs w:val="16"/>
                <w:lang w:val="es-ES_tradnl" w:eastAsia="es-ES"/>
              </w:rPr>
              <w:t>Revisó:</w:t>
            </w:r>
          </w:p>
        </w:tc>
        <w:tc>
          <w:tcPr>
            <w:tcW w:w="5628" w:type="dxa"/>
            <w:tcBorders>
              <w:top w:val="dotted" w:color="7F7F7F" w:sz="4" w:space="0"/>
              <w:left w:val="nil"/>
              <w:bottom w:val="dotted" w:color="7F7F7F" w:sz="4" w:space="0"/>
              <w:right w:val="nil"/>
            </w:tcBorders>
            <w:vAlign w:val="center"/>
            <w:hideMark/>
          </w:tcPr>
          <w:p w:rsidRPr="00F02A16" w:rsidR="00F02A16" w:rsidP="00F02A16" w:rsidRDefault="00F02A16" w14:paraId="61C2170A" w14:textId="77777777">
            <w:pPr>
              <w:textAlignment w:val="baseline"/>
              <w:rPr>
                <w:rFonts w:ascii="Verdana" w:hAnsi="Verdana" w:eastAsia="Times New Roman" w:cs="Segoe UI"/>
                <w:sz w:val="16"/>
                <w:szCs w:val="16"/>
                <w:lang w:val="es-ES" w:eastAsia="es-ES"/>
              </w:rPr>
            </w:pPr>
            <w:r w:rsidRPr="00F02A16">
              <w:rPr>
                <w:rFonts w:ascii="Verdana" w:hAnsi="Verdana" w:eastAsia="Times New Roman" w:cs="Segoe UI"/>
                <w:sz w:val="16"/>
                <w:szCs w:val="16"/>
                <w:lang w:val="es-ES" w:eastAsia="es-ES"/>
              </w:rPr>
              <w:t xml:space="preserve">Adriana </w:t>
            </w:r>
            <w:proofErr w:type="spellStart"/>
            <w:r w:rsidRPr="00F02A16">
              <w:rPr>
                <w:rFonts w:ascii="Verdana" w:hAnsi="Verdana" w:eastAsia="Times New Roman" w:cs="Segoe UI"/>
                <w:sz w:val="16"/>
                <w:szCs w:val="16"/>
                <w:lang w:val="es-ES" w:eastAsia="es-ES"/>
              </w:rPr>
              <w:t>Katerine</w:t>
            </w:r>
            <w:proofErr w:type="spellEnd"/>
            <w:r w:rsidRPr="00F02A16">
              <w:rPr>
                <w:rFonts w:ascii="Verdana" w:hAnsi="Verdana" w:eastAsia="Times New Roman" w:cs="Segoe UI"/>
                <w:sz w:val="16"/>
                <w:szCs w:val="16"/>
                <w:lang w:val="es-ES" w:eastAsia="es-ES"/>
              </w:rPr>
              <w:t xml:space="preserve"> López Rodríguez</w:t>
            </w:r>
          </w:p>
          <w:p w:rsidRPr="00F02A16" w:rsidR="00F02A16" w:rsidP="00F02A16" w:rsidRDefault="00F02A16" w14:paraId="6DFABA04" w14:textId="77777777">
            <w:pPr>
              <w:textAlignment w:val="baseline"/>
              <w:rPr>
                <w:rFonts w:ascii="Verdana" w:hAnsi="Verdana" w:eastAsia="Times New Roman" w:cs="Segoe UI"/>
                <w:sz w:val="16"/>
                <w:szCs w:val="16"/>
                <w:lang w:val="es-ES_tradnl" w:eastAsia="es-ES_tradnl"/>
              </w:rPr>
            </w:pPr>
            <w:r w:rsidRPr="00F02A16">
              <w:rPr>
                <w:rFonts w:ascii="Verdana" w:hAnsi="Verdana" w:eastAsia="Times New Roman" w:cs="Arial"/>
                <w:sz w:val="16"/>
                <w:szCs w:val="16"/>
                <w:lang w:val="es-ES_tradnl" w:eastAsia="es-ES_tradnl"/>
              </w:rPr>
              <w:t>Contratista de la Subdirección de Gestión Contractual </w:t>
            </w:r>
          </w:p>
        </w:tc>
      </w:tr>
      <w:tr w:rsidRPr="00F02A16" w:rsidR="00F02A16" w:rsidTr="00B72B72" w14:paraId="1BCB3C1A" w14:textId="77777777">
        <w:trPr>
          <w:trHeight w:val="300"/>
        </w:trPr>
        <w:tc>
          <w:tcPr>
            <w:tcW w:w="893" w:type="dxa"/>
            <w:vAlign w:val="center"/>
          </w:tcPr>
          <w:p w:rsidRPr="00F02A16" w:rsidR="00F02A16" w:rsidP="00F02A16" w:rsidRDefault="00F02A16" w14:paraId="2A8B30CA" w14:textId="77777777">
            <w:pPr>
              <w:rPr>
                <w:rFonts w:ascii="Verdana" w:hAnsi="Verdana" w:eastAsia="Calibri" w:cs="Arial"/>
                <w:sz w:val="16"/>
                <w:szCs w:val="16"/>
                <w:lang w:val="es-ES_tradnl" w:eastAsia="es-ES"/>
              </w:rPr>
            </w:pPr>
            <w:r w:rsidRPr="00F02A16">
              <w:rPr>
                <w:rFonts w:ascii="Verdana" w:hAnsi="Verdana" w:eastAsia="Calibri" w:cs="Arial"/>
                <w:sz w:val="16"/>
                <w:szCs w:val="16"/>
                <w:lang w:val="es-ES_tradnl" w:eastAsia="es-ES"/>
              </w:rPr>
              <w:t>Aprobó:</w:t>
            </w:r>
          </w:p>
        </w:tc>
        <w:tc>
          <w:tcPr>
            <w:tcW w:w="5628" w:type="dxa"/>
            <w:tcBorders>
              <w:top w:val="dotted" w:color="7F7F7F" w:sz="4" w:space="0"/>
              <w:left w:val="nil"/>
              <w:bottom w:val="dotted" w:color="7F7F7F" w:sz="4" w:space="0"/>
              <w:right w:val="nil"/>
            </w:tcBorders>
            <w:vAlign w:val="center"/>
          </w:tcPr>
          <w:p w:rsidRPr="00F02A16" w:rsidR="00F02A16" w:rsidP="00F02A16" w:rsidRDefault="00F02A16" w14:paraId="38DB78F8" w14:textId="77777777">
            <w:pPr>
              <w:rPr>
                <w:rFonts w:ascii="Verdana" w:hAnsi="Verdana" w:eastAsia="Calibri" w:cs="Arial"/>
                <w:sz w:val="16"/>
                <w:szCs w:val="16"/>
                <w:lang w:val="es-ES" w:eastAsia="es-ES"/>
              </w:rPr>
            </w:pPr>
            <w:r w:rsidRPr="00F02A16">
              <w:rPr>
                <w:rFonts w:ascii="Verdana" w:hAnsi="Verdana" w:eastAsia="Calibri" w:cs="Arial"/>
                <w:sz w:val="16"/>
                <w:szCs w:val="16"/>
                <w:lang w:val="es-ES" w:eastAsia="es-ES"/>
              </w:rPr>
              <w:t xml:space="preserve">Carolina Quintero </w:t>
            </w:r>
            <w:proofErr w:type="spellStart"/>
            <w:r w:rsidRPr="00F02A16">
              <w:rPr>
                <w:rFonts w:ascii="Verdana" w:hAnsi="Verdana" w:eastAsia="Calibri" w:cs="Arial"/>
                <w:sz w:val="16"/>
                <w:szCs w:val="16"/>
                <w:lang w:val="es-ES" w:eastAsia="es-ES"/>
              </w:rPr>
              <w:t>Gacharná</w:t>
            </w:r>
            <w:proofErr w:type="spellEnd"/>
          </w:p>
          <w:p w:rsidRPr="00F02A16" w:rsidR="00F02A16" w:rsidP="00F02A16" w:rsidRDefault="00F02A16" w14:paraId="56BC95CA" w14:textId="77777777">
            <w:pPr>
              <w:rPr>
                <w:rFonts w:ascii="Verdana" w:hAnsi="Verdana" w:eastAsia="Calibri" w:cs="Arial"/>
                <w:sz w:val="16"/>
                <w:szCs w:val="16"/>
                <w:lang w:val="es-ES_tradnl" w:eastAsia="es-ES"/>
              </w:rPr>
            </w:pPr>
            <w:r w:rsidRPr="00F02A16">
              <w:rPr>
                <w:rFonts w:ascii="Verdana" w:hAnsi="Verdana" w:eastAsia="Calibri" w:cs="Arial"/>
                <w:sz w:val="16"/>
                <w:szCs w:val="16"/>
                <w:lang w:val="es-ES_tradnl" w:eastAsia="es-ES"/>
              </w:rPr>
              <w:lastRenderedPageBreak/>
              <w:t>Subdirectora de Gestión Contractual ANCP – CCE</w:t>
            </w:r>
          </w:p>
        </w:tc>
      </w:tr>
      <w:bookmarkEnd w:id="0"/>
    </w:tbl>
    <w:p w:rsidRPr="0044528D" w:rsidR="00E245AB" w:rsidP="00E245AB" w:rsidRDefault="00E245AB" w14:paraId="0465BA6D" w14:textId="77777777">
      <w:pPr>
        <w:spacing w:after="0"/>
        <w:rPr>
          <w:rFonts w:ascii="Verdana" w:hAnsi="Verdana"/>
        </w:rPr>
      </w:pPr>
    </w:p>
    <w:sectPr w:rsidRPr="0044528D" w:rsidR="00E245AB" w:rsidSect="007C0C0F">
      <w:headerReference w:type="default" r:id="rId15"/>
      <w:footerReference w:type="default" r:id="rId16"/>
      <w:pgSz w:w="12240" w:h="15840" w:orient="portrait"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B61DE9" w:rsidP="004A1847" w:rsidRDefault="00B61DE9" w14:paraId="3AA21B3A" w14:textId="77777777">
      <w:pPr>
        <w:spacing w:after="0" w:line="240" w:lineRule="auto"/>
      </w:pPr>
      <w:r>
        <w:separator/>
      </w:r>
    </w:p>
  </w:endnote>
  <w:endnote w:type="continuationSeparator" w:id="0">
    <w:p w:rsidR="00B61DE9" w:rsidP="004A1847" w:rsidRDefault="00B61DE9" w14:paraId="011F6C89"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rialMT">
    <w:altName w:val="Arial"/>
    <w:panose1 w:val="020B0604020202020204"/>
    <w:charset w:val="00"/>
    <w:family w:val="roman"/>
    <w:notTrueType/>
    <w:pitch w:val="default"/>
  </w:font>
  <w:font w:name="Cambria Math">
    <w:panose1 w:val="02040503050406030204"/>
    <w:charset w:val="00"/>
    <w:family w:val="roman"/>
    <w:pitch w:val="variable"/>
    <w:sig w:usb0="E00002FF" w:usb1="420024FF" w:usb2="00000000" w:usb3="00000000" w:csb0="0000019F" w:csb1="00000000"/>
  </w:font>
  <w:font w:name="Segoe UI">
    <w:panose1 w:val="020B0604020202020204"/>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4A1847" w:rsidRDefault="004A1847" w14:paraId="18911A32" w14:textId="6CE791A4">
    <w:pPr>
      <w:pStyle w:val="Piedepgina"/>
    </w:pPr>
  </w:p>
  <w:p w:rsidRPr="00174B77" w:rsidR="00D520D8" w:rsidP="00D520D8" w:rsidRDefault="00D520D8" w14:paraId="594D6D9F" w14:textId="77777777">
    <w:pPr>
      <w:pBdr>
        <w:top w:val="single" w:color="auto" w:sz="4" w:space="1"/>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hAnsi="Verdana" w:eastAsiaTheme="majorEastAsia" w:cstheme="majorBidi"/>
        <w:b/>
        <w:bCs/>
        <w:sz w:val="16"/>
        <w:szCs w:val="16"/>
        <w:lang w:val="es-ES"/>
      </w:rPr>
      <w:t xml:space="preserve">pág. </w:t>
    </w:r>
    <w:r w:rsidRPr="002E1330">
      <w:rPr>
        <w:rFonts w:ascii="Verdana" w:hAnsi="Verdana" w:eastAsiaTheme="minorEastAsia"/>
        <w:b/>
        <w:bCs/>
        <w:sz w:val="16"/>
        <w:szCs w:val="16"/>
      </w:rPr>
      <w:fldChar w:fldCharType="begin"/>
    </w:r>
    <w:r w:rsidRPr="002E1330">
      <w:rPr>
        <w:rFonts w:ascii="Verdana" w:hAnsi="Verdana"/>
        <w:b/>
        <w:bCs/>
        <w:sz w:val="16"/>
        <w:szCs w:val="16"/>
      </w:rPr>
      <w:instrText>PAGE    \* MERGEFORMAT</w:instrText>
    </w:r>
    <w:r w:rsidRPr="002E1330">
      <w:rPr>
        <w:rFonts w:ascii="Verdana" w:hAnsi="Verdana" w:eastAsiaTheme="minorEastAsia"/>
        <w:b/>
        <w:bCs/>
        <w:sz w:val="16"/>
        <w:szCs w:val="16"/>
      </w:rPr>
      <w:fldChar w:fldCharType="separate"/>
    </w:r>
    <w:r>
      <w:rPr>
        <w:rFonts w:ascii="Verdana" w:hAnsi="Verdana" w:eastAsiaTheme="minorEastAsia"/>
        <w:b/>
        <w:bCs/>
        <w:sz w:val="16"/>
        <w:szCs w:val="16"/>
      </w:rPr>
      <w:t>1</w:t>
    </w:r>
    <w:r w:rsidRPr="002E1330">
      <w:rPr>
        <w:rFonts w:ascii="Verdana" w:hAnsi="Verdana" w:eastAsiaTheme="majorEastAsi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rsidR="00D520D8" w:rsidP="00D520D8" w:rsidRDefault="00D520D8" w14:paraId="0A735DD5" w14:textId="77777777">
    <w:pPr>
      <w:spacing w:after="0"/>
      <w:jc w:val="both"/>
      <w:rPr>
        <w:rFonts w:ascii="Verdana" w:hAnsi="Verdana"/>
        <w:sz w:val="18"/>
        <w:szCs w:val="18"/>
      </w:rPr>
    </w:pPr>
    <w:r w:rsidRPr="00E41027">
      <w:rPr>
        <w:rFonts w:ascii="Verdana" w:hAnsi="Verdana"/>
        <w:sz w:val="18"/>
        <w:szCs w:val="18"/>
      </w:rPr>
      <w:t>Dirección: Carrera 7 # 26 – 20 - Bogotá, Colombia</w:t>
    </w:r>
  </w:p>
  <w:p w:rsidRPr="00E41027" w:rsidR="00D520D8" w:rsidP="00D520D8" w:rsidRDefault="00D520D8" w14:paraId="06E36B88" w14:textId="77777777">
    <w:pPr>
      <w:spacing w:after="0"/>
      <w:jc w:val="both"/>
      <w:rPr>
        <w:rFonts w:ascii="Verdana" w:hAnsi="Verdana"/>
        <w:sz w:val="18"/>
        <w:szCs w:val="18"/>
      </w:rPr>
    </w:pPr>
    <w:r w:rsidRPr="00E41027">
      <w:rPr>
        <w:rFonts w:ascii="Verdana" w:hAnsi="Verdana"/>
        <w:sz w:val="18"/>
        <w:szCs w:val="18"/>
      </w:rPr>
      <w:t>Mesa de servicio: (+57) 601 7456788</w:t>
    </w:r>
  </w:p>
  <w:p w:rsidR="006219F8" w:rsidP="0025796E" w:rsidRDefault="00D520D8" w14:paraId="744661F5" w14:textId="593AA28F">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sidR="00FA47C0">
      <w:rPr>
        <w:rFonts w:ascii="Century Gothic" w:hAnsi="Century Gothic" w:eastAsia="Geo" w:cs="Geo"/>
        <w:b/>
        <w:color w:val="000000"/>
        <w:sz w:val="16"/>
        <w:szCs w:val="16"/>
        <w:lang w:eastAsia="es-CO"/>
      </w:rPr>
      <w:t xml:space="preserve">Código: </w:t>
    </w:r>
    <w:r w:rsidRPr="004A305D" w:rsidR="00FA47C0">
      <w:rPr>
        <w:rFonts w:ascii="Century Gothic" w:hAnsi="Century Gothic" w:eastAsia="Geo" w:cs="Geo"/>
        <w:bCs/>
        <w:color w:val="000000"/>
        <w:sz w:val="16"/>
        <w:szCs w:val="16"/>
        <w:lang w:eastAsia="es-CO"/>
      </w:rPr>
      <w:t>CCE-</w:t>
    </w:r>
    <w:r w:rsidR="00FA47C0">
      <w:rPr>
        <w:rFonts w:ascii="Century Gothic" w:hAnsi="Century Gothic" w:eastAsia="Geo" w:cs="Geo"/>
        <w:bCs/>
        <w:color w:val="000000"/>
        <w:sz w:val="16"/>
        <w:szCs w:val="16"/>
        <w:lang w:eastAsia="es-CO"/>
      </w:rPr>
      <w:t>REC</w:t>
    </w:r>
    <w:r w:rsidRPr="004A305D" w:rsidR="00FA47C0">
      <w:rPr>
        <w:rFonts w:ascii="Century Gothic" w:hAnsi="Century Gothic" w:eastAsia="Geo" w:cs="Geo"/>
        <w:bCs/>
        <w:color w:val="000000"/>
        <w:sz w:val="16"/>
        <w:szCs w:val="16"/>
        <w:lang w:eastAsia="es-CO"/>
      </w:rPr>
      <w:t>-FM-</w:t>
    </w:r>
    <w:r w:rsidR="00FA47C0">
      <w:rPr>
        <w:rFonts w:ascii="Century Gothic" w:hAnsi="Century Gothic" w:eastAsia="Geo" w:cs="Geo"/>
        <w:bCs/>
        <w:color w:val="000000"/>
        <w:sz w:val="16"/>
        <w:szCs w:val="16"/>
        <w:lang w:eastAsia="es-CO"/>
      </w:rPr>
      <w:t>17</w:t>
    </w:r>
    <w:r w:rsidR="0025796E">
      <w:rPr>
        <w:rFonts w:ascii="Century Gothic" w:hAnsi="Century Gothic" w:eastAsia="Geo" w:cs="Geo"/>
        <w:bCs/>
        <w:color w:val="000000"/>
        <w:sz w:val="16"/>
        <w:szCs w:val="16"/>
        <w:lang w:eastAsia="es-CO"/>
      </w:rPr>
      <w:t xml:space="preserve"> </w:t>
    </w:r>
    <w:r w:rsidRPr="004A305D" w:rsidR="00FA47C0">
      <w:rPr>
        <w:rFonts w:ascii="Century Gothic" w:hAnsi="Century Gothic" w:eastAsia="Geo" w:cs="Geo"/>
        <w:b/>
        <w:color w:val="000000"/>
        <w:sz w:val="16"/>
        <w:szCs w:val="16"/>
        <w:lang w:eastAsia="es-CO"/>
      </w:rPr>
      <w:t>Versión</w:t>
    </w:r>
    <w:r w:rsidRPr="004A305D" w:rsidR="00FA47C0">
      <w:rPr>
        <w:rFonts w:ascii="Century Gothic" w:hAnsi="Century Gothic" w:eastAsia="Arial Nova" w:cs="Arial Nova"/>
        <w:b/>
        <w:color w:val="000000"/>
        <w:sz w:val="16"/>
        <w:szCs w:val="16"/>
        <w:lang w:eastAsia="es-CO"/>
      </w:rPr>
      <w:t xml:space="preserve">: </w:t>
    </w:r>
    <w:r w:rsidRPr="004A305D" w:rsidR="00FA47C0">
      <w:rPr>
        <w:rFonts w:ascii="Century Gothic" w:hAnsi="Century Gothic" w:eastAsia="Geo" w:cs="Geo"/>
        <w:sz w:val="16"/>
        <w:szCs w:val="16"/>
        <w:lang w:eastAsia="es-CO"/>
      </w:rPr>
      <w:t>0</w:t>
    </w:r>
    <w:r w:rsidR="00FA47C0">
      <w:rPr>
        <w:rFonts w:ascii="Century Gothic" w:hAnsi="Century Gothic" w:eastAsia="Geo" w:cs="Geo"/>
        <w:sz w:val="16"/>
        <w:szCs w:val="16"/>
        <w:lang w:eastAsia="es-CO"/>
      </w:rPr>
      <w:t>2</w:t>
    </w:r>
    <w:r w:rsidRPr="004A305D" w:rsidR="00FA47C0">
      <w:rPr>
        <w:rFonts w:ascii="Century Gothic" w:hAnsi="Century Gothic" w:eastAsia="Geo" w:cs="Geo"/>
        <w:sz w:val="16"/>
        <w:szCs w:val="16"/>
        <w:lang w:eastAsia="es-CO"/>
      </w:rPr>
      <w:t xml:space="preserve"> </w:t>
    </w:r>
    <w:r w:rsidR="0025796E">
      <w:rPr>
        <w:rFonts w:ascii="Century Gothic" w:hAnsi="Century Gothic" w:eastAsia="Geo"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B61DE9" w:rsidP="004A1847" w:rsidRDefault="00B61DE9" w14:paraId="2AA04D0B" w14:textId="77777777">
      <w:pPr>
        <w:spacing w:after="0" w:line="240" w:lineRule="auto"/>
      </w:pPr>
      <w:r>
        <w:separator/>
      </w:r>
    </w:p>
  </w:footnote>
  <w:footnote w:type="continuationSeparator" w:id="0">
    <w:p w:rsidR="00B61DE9" w:rsidP="004A1847" w:rsidRDefault="00B61DE9" w14:paraId="5A315937" w14:textId="77777777">
      <w:pPr>
        <w:spacing w:after="0" w:line="240" w:lineRule="auto"/>
      </w:pPr>
      <w:r>
        <w:continuationSeparator/>
      </w:r>
    </w:p>
  </w:footnote>
  <w:footnote w:id="1">
    <w:p w:rsidRPr="00E01EF9" w:rsidR="00F02A16" w:rsidP="00F02A16" w:rsidRDefault="00F02A16" w14:paraId="272C66F1" w14:textId="77777777">
      <w:pPr>
        <w:pStyle w:val="Textonotapie"/>
        <w:ind w:firstLine="709"/>
        <w:jc w:val="both"/>
        <w:rPr>
          <w:rFonts w:ascii="Verdana" w:hAnsi="Verdana"/>
          <w:sz w:val="18"/>
          <w:szCs w:val="18"/>
        </w:rPr>
      </w:pPr>
      <w:r w:rsidRPr="00E01EF9">
        <w:rPr>
          <w:rStyle w:val="Refdenotaalpie"/>
          <w:rFonts w:ascii="Verdana" w:hAnsi="Verdana"/>
          <w:sz w:val="18"/>
          <w:szCs w:val="18"/>
        </w:rPr>
        <w:footnoteRef/>
      </w:r>
      <w:r w:rsidRPr="00E01EF9">
        <w:rPr>
          <w:rFonts w:ascii="Verdana" w:hAnsi="Verdana"/>
          <w:sz w:val="18"/>
          <w:szCs w:val="18"/>
        </w:rPr>
        <w:t xml:space="preserve"> Estos Documentos Tipo pueden ser consultados en la página web de Colombia Compra Eficiente, a través del siguiente enlace: </w:t>
      </w:r>
      <w:hyperlink w:history="1" r:id="rId1">
        <w:r w:rsidRPr="00E01EF9">
          <w:rPr>
            <w:rStyle w:val="Hipervnculo"/>
            <w:rFonts w:ascii="Verdana" w:hAnsi="Verdana"/>
            <w:sz w:val="18"/>
            <w:szCs w:val="18"/>
          </w:rPr>
          <w:t>https://www.colombiacompra.gov.co/documentos-tipo/documentos-tipo</w:t>
        </w:r>
      </w:hyperlink>
      <w:r w:rsidRPr="00E01EF9">
        <w:rPr>
          <w:rFonts w:ascii="Verdana" w:hAnsi="Verdana"/>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756841" w:rsidRDefault="009D3058" w14:paraId="435F4D03" w14:textId="0903BF04">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rsidR="00756841" w:rsidRDefault="00756841" w14:paraId="1BE2B9AE" w14:textId="4B94DB3B">
    <w:pPr>
      <w:pStyle w:val="Encabezado"/>
    </w:pPr>
  </w:p>
  <w:p w:rsidR="00DC39FC" w:rsidP="004A305D" w:rsidRDefault="00DC39FC" w14:paraId="3079FC11" w14:textId="77777777">
    <w:pPr>
      <w:spacing w:after="0"/>
      <w:rPr>
        <w:rFonts w:ascii="Verdana" w:hAnsi="Verdana"/>
        <w:b/>
        <w:bCs/>
      </w:rPr>
    </w:pPr>
  </w:p>
  <w:p w:rsidRPr="00DC39FC" w:rsidR="004A305D" w:rsidP="004A305D" w:rsidRDefault="004A305D" w14:paraId="7FE1230C" w14:textId="77E53D9F">
    <w:pPr>
      <w:spacing w:after="0"/>
      <w:rPr>
        <w:rFonts w:ascii="Verdana" w:hAnsi="Verdana"/>
        <w:b/>
        <w:bCs/>
      </w:rPr>
    </w:pPr>
    <w:r w:rsidRPr="00DC39FC">
      <w:rPr>
        <w:rFonts w:ascii="Verdana" w:hAnsi="Verdana"/>
        <w:b/>
        <w:bCs/>
      </w:rPr>
      <w:t>FORMATO PQRSD</w:t>
    </w:r>
  </w:p>
  <w:p w:rsidRPr="004A305D" w:rsidR="004A305D" w:rsidP="00B01B1A" w:rsidRDefault="004A305D" w14:paraId="5E18350A" w14:textId="705F7B76">
    <w:pPr>
      <w:spacing w:after="0" w:line="120" w:lineRule="auto"/>
      <w:rPr>
        <w:rFonts w:ascii="Century Gothic" w:hAnsi="Century Gothic" w:eastAsia="Geo" w:cs="Geo"/>
        <w:sz w:val="16"/>
        <w:szCs w:val="16"/>
        <w:lang w:eastAsia="es-CO"/>
      </w:rPr>
    </w:pPr>
  </w:p>
  <w:p w:rsidR="008A446D" w:rsidP="00061B2A" w:rsidRDefault="008A446D" w14:paraId="1FD1C243" w14:textId="6D74A3CF">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083" style="width:11.15pt;height:11.15pt" o:bullet="t" type="#_x0000_t75">
        <v:imagedata o:title="mso1B13" r:id="rId1"/>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hint="default" w:ascii="Arial" w:hAnsi="Arial" w:eastAsia="Times New Roman" w:cs="Arial"/>
        <w:b/>
      </w:rPr>
    </w:lvl>
    <w:lvl w:ilvl="1" w:tplc="0C0A0003" w:tentative="1">
      <w:start w:val="1"/>
      <w:numFmt w:val="bullet"/>
      <w:lvlText w:val="o"/>
      <w:lvlJc w:val="left"/>
      <w:pPr>
        <w:ind w:left="1800" w:hanging="360"/>
      </w:pPr>
      <w:rPr>
        <w:rFonts w:hint="default" w:ascii="Courier New" w:hAnsi="Courier New" w:cs="Courier New"/>
      </w:rPr>
    </w:lvl>
    <w:lvl w:ilvl="2" w:tplc="0C0A0005" w:tentative="1">
      <w:start w:val="1"/>
      <w:numFmt w:val="bullet"/>
      <w:lvlText w:val=""/>
      <w:lvlJc w:val="left"/>
      <w:pPr>
        <w:ind w:left="2520" w:hanging="360"/>
      </w:pPr>
      <w:rPr>
        <w:rFonts w:hint="default" w:ascii="Wingdings" w:hAnsi="Wingdings"/>
      </w:rPr>
    </w:lvl>
    <w:lvl w:ilvl="3" w:tplc="0C0A0001" w:tentative="1">
      <w:start w:val="1"/>
      <w:numFmt w:val="bullet"/>
      <w:lvlText w:val=""/>
      <w:lvlJc w:val="left"/>
      <w:pPr>
        <w:ind w:left="3240" w:hanging="360"/>
      </w:pPr>
      <w:rPr>
        <w:rFonts w:hint="default" w:ascii="Symbol" w:hAnsi="Symbol"/>
      </w:rPr>
    </w:lvl>
    <w:lvl w:ilvl="4" w:tplc="0C0A0003" w:tentative="1">
      <w:start w:val="1"/>
      <w:numFmt w:val="bullet"/>
      <w:lvlText w:val="o"/>
      <w:lvlJc w:val="left"/>
      <w:pPr>
        <w:ind w:left="3960" w:hanging="360"/>
      </w:pPr>
      <w:rPr>
        <w:rFonts w:hint="default" w:ascii="Courier New" w:hAnsi="Courier New" w:cs="Courier New"/>
      </w:rPr>
    </w:lvl>
    <w:lvl w:ilvl="5" w:tplc="0C0A0005" w:tentative="1">
      <w:start w:val="1"/>
      <w:numFmt w:val="bullet"/>
      <w:lvlText w:val=""/>
      <w:lvlJc w:val="left"/>
      <w:pPr>
        <w:ind w:left="4680" w:hanging="360"/>
      </w:pPr>
      <w:rPr>
        <w:rFonts w:hint="default" w:ascii="Wingdings" w:hAnsi="Wingdings"/>
      </w:rPr>
    </w:lvl>
    <w:lvl w:ilvl="6" w:tplc="0C0A0001" w:tentative="1">
      <w:start w:val="1"/>
      <w:numFmt w:val="bullet"/>
      <w:lvlText w:val=""/>
      <w:lvlJc w:val="left"/>
      <w:pPr>
        <w:ind w:left="5400" w:hanging="360"/>
      </w:pPr>
      <w:rPr>
        <w:rFonts w:hint="default" w:ascii="Symbol" w:hAnsi="Symbol"/>
      </w:rPr>
    </w:lvl>
    <w:lvl w:ilvl="7" w:tplc="0C0A0003" w:tentative="1">
      <w:start w:val="1"/>
      <w:numFmt w:val="bullet"/>
      <w:lvlText w:val="o"/>
      <w:lvlJc w:val="left"/>
      <w:pPr>
        <w:ind w:left="6120" w:hanging="360"/>
      </w:pPr>
      <w:rPr>
        <w:rFonts w:hint="default" w:ascii="Courier New" w:hAnsi="Courier New" w:cs="Courier New"/>
      </w:rPr>
    </w:lvl>
    <w:lvl w:ilvl="8" w:tplc="0C0A0005" w:tentative="1">
      <w:start w:val="1"/>
      <w:numFmt w:val="bullet"/>
      <w:lvlText w:val=""/>
      <w:lvlJc w:val="left"/>
      <w:pPr>
        <w:ind w:left="6840" w:hanging="360"/>
      </w:pPr>
      <w:rPr>
        <w:rFonts w:hint="default" w:ascii="Wingdings" w:hAnsi="Wingdings"/>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E9E16FB"/>
    <w:multiLevelType w:val="hybridMultilevel"/>
    <w:tmpl w:val="77FA1F98"/>
    <w:lvl w:ilvl="0" w:tplc="240A000D">
      <w:start w:val="1"/>
      <w:numFmt w:val="bullet"/>
      <w:lvlText w:val=""/>
      <w:lvlJc w:val="left"/>
      <w:pPr>
        <w:ind w:left="404" w:hanging="360"/>
      </w:pPr>
      <w:rPr>
        <w:rFonts w:hint="default" w:ascii="Wingdings" w:hAnsi="Wingdings"/>
      </w:rPr>
    </w:lvl>
    <w:lvl w:ilvl="1" w:tplc="240A0003" w:tentative="1">
      <w:start w:val="1"/>
      <w:numFmt w:val="bullet"/>
      <w:lvlText w:val="o"/>
      <w:lvlJc w:val="left"/>
      <w:pPr>
        <w:ind w:left="1124" w:hanging="360"/>
      </w:pPr>
      <w:rPr>
        <w:rFonts w:hint="default" w:ascii="Courier New" w:hAnsi="Courier New" w:cs="Courier New"/>
      </w:rPr>
    </w:lvl>
    <w:lvl w:ilvl="2" w:tplc="240A0005" w:tentative="1">
      <w:start w:val="1"/>
      <w:numFmt w:val="bullet"/>
      <w:lvlText w:val=""/>
      <w:lvlJc w:val="left"/>
      <w:pPr>
        <w:ind w:left="1844" w:hanging="360"/>
      </w:pPr>
      <w:rPr>
        <w:rFonts w:hint="default" w:ascii="Wingdings" w:hAnsi="Wingdings"/>
      </w:rPr>
    </w:lvl>
    <w:lvl w:ilvl="3" w:tplc="240A0001" w:tentative="1">
      <w:start w:val="1"/>
      <w:numFmt w:val="bullet"/>
      <w:lvlText w:val=""/>
      <w:lvlJc w:val="left"/>
      <w:pPr>
        <w:ind w:left="2564" w:hanging="360"/>
      </w:pPr>
      <w:rPr>
        <w:rFonts w:hint="default" w:ascii="Symbol" w:hAnsi="Symbol"/>
      </w:rPr>
    </w:lvl>
    <w:lvl w:ilvl="4" w:tplc="240A0003" w:tentative="1">
      <w:start w:val="1"/>
      <w:numFmt w:val="bullet"/>
      <w:lvlText w:val="o"/>
      <w:lvlJc w:val="left"/>
      <w:pPr>
        <w:ind w:left="3284" w:hanging="360"/>
      </w:pPr>
      <w:rPr>
        <w:rFonts w:hint="default" w:ascii="Courier New" w:hAnsi="Courier New" w:cs="Courier New"/>
      </w:rPr>
    </w:lvl>
    <w:lvl w:ilvl="5" w:tplc="240A0005" w:tentative="1">
      <w:start w:val="1"/>
      <w:numFmt w:val="bullet"/>
      <w:lvlText w:val=""/>
      <w:lvlJc w:val="left"/>
      <w:pPr>
        <w:ind w:left="4004" w:hanging="360"/>
      </w:pPr>
      <w:rPr>
        <w:rFonts w:hint="default" w:ascii="Wingdings" w:hAnsi="Wingdings"/>
      </w:rPr>
    </w:lvl>
    <w:lvl w:ilvl="6" w:tplc="240A0001" w:tentative="1">
      <w:start w:val="1"/>
      <w:numFmt w:val="bullet"/>
      <w:lvlText w:val=""/>
      <w:lvlJc w:val="left"/>
      <w:pPr>
        <w:ind w:left="4724" w:hanging="360"/>
      </w:pPr>
      <w:rPr>
        <w:rFonts w:hint="default" w:ascii="Symbol" w:hAnsi="Symbol"/>
      </w:rPr>
    </w:lvl>
    <w:lvl w:ilvl="7" w:tplc="240A0003" w:tentative="1">
      <w:start w:val="1"/>
      <w:numFmt w:val="bullet"/>
      <w:lvlText w:val="o"/>
      <w:lvlJc w:val="left"/>
      <w:pPr>
        <w:ind w:left="5444" w:hanging="360"/>
      </w:pPr>
      <w:rPr>
        <w:rFonts w:hint="default" w:ascii="Courier New" w:hAnsi="Courier New" w:cs="Courier New"/>
      </w:rPr>
    </w:lvl>
    <w:lvl w:ilvl="8" w:tplc="240A0005" w:tentative="1">
      <w:start w:val="1"/>
      <w:numFmt w:val="bullet"/>
      <w:lvlText w:val=""/>
      <w:lvlJc w:val="left"/>
      <w:pPr>
        <w:ind w:left="6164" w:hanging="360"/>
      </w:pPr>
      <w:rPr>
        <w:rFonts w:hint="default" w:ascii="Wingdings" w:hAnsi="Wingdings"/>
      </w:r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hint="default" w:ascii="Symbol" w:hAnsi="Symbol"/>
      </w:rPr>
    </w:lvl>
    <w:lvl w:ilvl="1" w:tplc="040A0003" w:tentative="1">
      <w:start w:val="1"/>
      <w:numFmt w:val="bullet"/>
      <w:lvlText w:val="o"/>
      <w:lvlJc w:val="left"/>
      <w:pPr>
        <w:ind w:left="1440" w:hanging="360"/>
      </w:pPr>
      <w:rPr>
        <w:rFonts w:hint="default" w:ascii="Courier New" w:hAnsi="Courier New" w:cs="Courier New"/>
      </w:rPr>
    </w:lvl>
    <w:lvl w:ilvl="2" w:tplc="040A0005" w:tentative="1">
      <w:start w:val="1"/>
      <w:numFmt w:val="bullet"/>
      <w:lvlText w:val=""/>
      <w:lvlJc w:val="left"/>
      <w:pPr>
        <w:ind w:left="2160" w:hanging="360"/>
      </w:pPr>
      <w:rPr>
        <w:rFonts w:hint="default" w:ascii="Wingdings" w:hAnsi="Wingdings"/>
      </w:rPr>
    </w:lvl>
    <w:lvl w:ilvl="3" w:tplc="040A0001" w:tentative="1">
      <w:start w:val="1"/>
      <w:numFmt w:val="bullet"/>
      <w:lvlText w:val=""/>
      <w:lvlJc w:val="left"/>
      <w:pPr>
        <w:ind w:left="2880" w:hanging="360"/>
      </w:pPr>
      <w:rPr>
        <w:rFonts w:hint="default" w:ascii="Symbol" w:hAnsi="Symbol"/>
      </w:rPr>
    </w:lvl>
    <w:lvl w:ilvl="4" w:tplc="040A0003" w:tentative="1">
      <w:start w:val="1"/>
      <w:numFmt w:val="bullet"/>
      <w:lvlText w:val="o"/>
      <w:lvlJc w:val="left"/>
      <w:pPr>
        <w:ind w:left="3600" w:hanging="360"/>
      </w:pPr>
      <w:rPr>
        <w:rFonts w:hint="default" w:ascii="Courier New" w:hAnsi="Courier New" w:cs="Courier New"/>
      </w:rPr>
    </w:lvl>
    <w:lvl w:ilvl="5" w:tplc="040A0005" w:tentative="1">
      <w:start w:val="1"/>
      <w:numFmt w:val="bullet"/>
      <w:lvlText w:val=""/>
      <w:lvlJc w:val="left"/>
      <w:pPr>
        <w:ind w:left="4320" w:hanging="360"/>
      </w:pPr>
      <w:rPr>
        <w:rFonts w:hint="default" w:ascii="Wingdings" w:hAnsi="Wingdings"/>
      </w:rPr>
    </w:lvl>
    <w:lvl w:ilvl="6" w:tplc="040A0001" w:tentative="1">
      <w:start w:val="1"/>
      <w:numFmt w:val="bullet"/>
      <w:lvlText w:val=""/>
      <w:lvlJc w:val="left"/>
      <w:pPr>
        <w:ind w:left="5040" w:hanging="360"/>
      </w:pPr>
      <w:rPr>
        <w:rFonts w:hint="default" w:ascii="Symbol" w:hAnsi="Symbol"/>
      </w:rPr>
    </w:lvl>
    <w:lvl w:ilvl="7" w:tplc="040A0003" w:tentative="1">
      <w:start w:val="1"/>
      <w:numFmt w:val="bullet"/>
      <w:lvlText w:val="o"/>
      <w:lvlJc w:val="left"/>
      <w:pPr>
        <w:ind w:left="5760" w:hanging="360"/>
      </w:pPr>
      <w:rPr>
        <w:rFonts w:hint="default" w:ascii="Courier New" w:hAnsi="Courier New" w:cs="Courier New"/>
      </w:rPr>
    </w:lvl>
    <w:lvl w:ilvl="8" w:tplc="040A0005" w:tentative="1">
      <w:start w:val="1"/>
      <w:numFmt w:val="bullet"/>
      <w:lvlText w:val=""/>
      <w:lvlJc w:val="left"/>
      <w:pPr>
        <w:ind w:left="6480" w:hanging="360"/>
      </w:pPr>
      <w:rPr>
        <w:rFonts w:hint="default" w:ascii="Wingdings" w:hAnsi="Wingdings"/>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hint="default" w:ascii="Symbol" w:hAnsi="Symbol"/>
      </w:rPr>
    </w:lvl>
    <w:lvl w:ilvl="1" w:tplc="240A0003" w:tentative="1">
      <w:start w:val="1"/>
      <w:numFmt w:val="bullet"/>
      <w:lvlText w:val="o"/>
      <w:lvlJc w:val="left"/>
      <w:pPr>
        <w:ind w:left="1505" w:hanging="360"/>
      </w:pPr>
      <w:rPr>
        <w:rFonts w:hint="default" w:ascii="Courier New" w:hAnsi="Courier New" w:cs="Courier New"/>
      </w:rPr>
    </w:lvl>
    <w:lvl w:ilvl="2" w:tplc="240A0005" w:tentative="1">
      <w:start w:val="1"/>
      <w:numFmt w:val="bullet"/>
      <w:lvlText w:val=""/>
      <w:lvlJc w:val="left"/>
      <w:pPr>
        <w:ind w:left="2225" w:hanging="360"/>
      </w:pPr>
      <w:rPr>
        <w:rFonts w:hint="default" w:ascii="Wingdings" w:hAnsi="Wingdings"/>
      </w:rPr>
    </w:lvl>
    <w:lvl w:ilvl="3" w:tplc="240A0001" w:tentative="1">
      <w:start w:val="1"/>
      <w:numFmt w:val="bullet"/>
      <w:lvlText w:val=""/>
      <w:lvlJc w:val="left"/>
      <w:pPr>
        <w:ind w:left="2945" w:hanging="360"/>
      </w:pPr>
      <w:rPr>
        <w:rFonts w:hint="default" w:ascii="Symbol" w:hAnsi="Symbol"/>
      </w:rPr>
    </w:lvl>
    <w:lvl w:ilvl="4" w:tplc="240A0003" w:tentative="1">
      <w:start w:val="1"/>
      <w:numFmt w:val="bullet"/>
      <w:lvlText w:val="o"/>
      <w:lvlJc w:val="left"/>
      <w:pPr>
        <w:ind w:left="3665" w:hanging="360"/>
      </w:pPr>
      <w:rPr>
        <w:rFonts w:hint="default" w:ascii="Courier New" w:hAnsi="Courier New" w:cs="Courier New"/>
      </w:rPr>
    </w:lvl>
    <w:lvl w:ilvl="5" w:tplc="240A0005" w:tentative="1">
      <w:start w:val="1"/>
      <w:numFmt w:val="bullet"/>
      <w:lvlText w:val=""/>
      <w:lvlJc w:val="left"/>
      <w:pPr>
        <w:ind w:left="4385" w:hanging="360"/>
      </w:pPr>
      <w:rPr>
        <w:rFonts w:hint="default" w:ascii="Wingdings" w:hAnsi="Wingdings"/>
      </w:rPr>
    </w:lvl>
    <w:lvl w:ilvl="6" w:tplc="240A0001" w:tentative="1">
      <w:start w:val="1"/>
      <w:numFmt w:val="bullet"/>
      <w:lvlText w:val=""/>
      <w:lvlJc w:val="left"/>
      <w:pPr>
        <w:ind w:left="5105" w:hanging="360"/>
      </w:pPr>
      <w:rPr>
        <w:rFonts w:hint="default" w:ascii="Symbol" w:hAnsi="Symbol"/>
      </w:rPr>
    </w:lvl>
    <w:lvl w:ilvl="7" w:tplc="240A0003" w:tentative="1">
      <w:start w:val="1"/>
      <w:numFmt w:val="bullet"/>
      <w:lvlText w:val="o"/>
      <w:lvlJc w:val="left"/>
      <w:pPr>
        <w:ind w:left="5825" w:hanging="360"/>
      </w:pPr>
      <w:rPr>
        <w:rFonts w:hint="default" w:ascii="Courier New" w:hAnsi="Courier New" w:cs="Courier New"/>
      </w:rPr>
    </w:lvl>
    <w:lvl w:ilvl="8" w:tplc="240A0005" w:tentative="1">
      <w:start w:val="1"/>
      <w:numFmt w:val="bullet"/>
      <w:lvlText w:val=""/>
      <w:lvlJc w:val="left"/>
      <w:pPr>
        <w:ind w:left="6545" w:hanging="360"/>
      </w:pPr>
      <w:rPr>
        <w:rFonts w:hint="default" w:ascii="Wingdings" w:hAnsi="Wingdings"/>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679089576">
    <w:abstractNumId w:val="10"/>
  </w:num>
  <w:num w:numId="18" w16cid:durableId="145817918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9"/>
  <w:trackRevisions w:val="false"/>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63F91"/>
    <w:rsid w:val="00082362"/>
    <w:rsid w:val="000A683E"/>
    <w:rsid w:val="000B19B9"/>
    <w:rsid w:val="000D0334"/>
    <w:rsid w:val="000F6486"/>
    <w:rsid w:val="00125105"/>
    <w:rsid w:val="00127233"/>
    <w:rsid w:val="001511A0"/>
    <w:rsid w:val="001D2C25"/>
    <w:rsid w:val="001E4177"/>
    <w:rsid w:val="001F7DC6"/>
    <w:rsid w:val="002421BB"/>
    <w:rsid w:val="0025796E"/>
    <w:rsid w:val="002707A2"/>
    <w:rsid w:val="002951A0"/>
    <w:rsid w:val="002962BC"/>
    <w:rsid w:val="002A093D"/>
    <w:rsid w:val="002A0DD0"/>
    <w:rsid w:val="002A49AC"/>
    <w:rsid w:val="002A64FD"/>
    <w:rsid w:val="002C7A84"/>
    <w:rsid w:val="002E4FD9"/>
    <w:rsid w:val="00322A85"/>
    <w:rsid w:val="00324168"/>
    <w:rsid w:val="003448F4"/>
    <w:rsid w:val="00374F5E"/>
    <w:rsid w:val="00377E3E"/>
    <w:rsid w:val="00380D71"/>
    <w:rsid w:val="003A779E"/>
    <w:rsid w:val="003D0F4D"/>
    <w:rsid w:val="003D5B0D"/>
    <w:rsid w:val="003E0499"/>
    <w:rsid w:val="003F3941"/>
    <w:rsid w:val="00406575"/>
    <w:rsid w:val="00414C74"/>
    <w:rsid w:val="0042722E"/>
    <w:rsid w:val="0044528D"/>
    <w:rsid w:val="004A1847"/>
    <w:rsid w:val="004A305D"/>
    <w:rsid w:val="004F21C4"/>
    <w:rsid w:val="004F685F"/>
    <w:rsid w:val="005566E8"/>
    <w:rsid w:val="00566726"/>
    <w:rsid w:val="00574867"/>
    <w:rsid w:val="00591460"/>
    <w:rsid w:val="005B3816"/>
    <w:rsid w:val="005C3777"/>
    <w:rsid w:val="005C5CDC"/>
    <w:rsid w:val="005D476C"/>
    <w:rsid w:val="006219F8"/>
    <w:rsid w:val="00626D50"/>
    <w:rsid w:val="00665D70"/>
    <w:rsid w:val="006900D9"/>
    <w:rsid w:val="00706C16"/>
    <w:rsid w:val="00756841"/>
    <w:rsid w:val="007649AB"/>
    <w:rsid w:val="00771D0C"/>
    <w:rsid w:val="007833AC"/>
    <w:rsid w:val="007B268C"/>
    <w:rsid w:val="007B7171"/>
    <w:rsid w:val="007C0C0F"/>
    <w:rsid w:val="007C3DC2"/>
    <w:rsid w:val="007E5497"/>
    <w:rsid w:val="00806F5F"/>
    <w:rsid w:val="00820278"/>
    <w:rsid w:val="00867F95"/>
    <w:rsid w:val="008843B6"/>
    <w:rsid w:val="00891928"/>
    <w:rsid w:val="008A446D"/>
    <w:rsid w:val="008B58B8"/>
    <w:rsid w:val="008D180B"/>
    <w:rsid w:val="008F0EA7"/>
    <w:rsid w:val="00923EEF"/>
    <w:rsid w:val="009419F9"/>
    <w:rsid w:val="0095685E"/>
    <w:rsid w:val="00961B09"/>
    <w:rsid w:val="00965334"/>
    <w:rsid w:val="0097093E"/>
    <w:rsid w:val="00986AC5"/>
    <w:rsid w:val="009A0DFA"/>
    <w:rsid w:val="009B2D26"/>
    <w:rsid w:val="009C68A1"/>
    <w:rsid w:val="009C71FA"/>
    <w:rsid w:val="009C72E7"/>
    <w:rsid w:val="009D3058"/>
    <w:rsid w:val="009F3A13"/>
    <w:rsid w:val="00A04E36"/>
    <w:rsid w:val="00A122D3"/>
    <w:rsid w:val="00A17F13"/>
    <w:rsid w:val="00A20739"/>
    <w:rsid w:val="00A33C78"/>
    <w:rsid w:val="00AB0ADB"/>
    <w:rsid w:val="00B01B1A"/>
    <w:rsid w:val="00B61DE9"/>
    <w:rsid w:val="00B66319"/>
    <w:rsid w:val="00B72CD3"/>
    <w:rsid w:val="00B72FFF"/>
    <w:rsid w:val="00BC3D36"/>
    <w:rsid w:val="00BD7F72"/>
    <w:rsid w:val="00C04FB3"/>
    <w:rsid w:val="00C330EB"/>
    <w:rsid w:val="00C41061"/>
    <w:rsid w:val="00C754BE"/>
    <w:rsid w:val="00C76B1C"/>
    <w:rsid w:val="00CB6357"/>
    <w:rsid w:val="00CC1B26"/>
    <w:rsid w:val="00D1470B"/>
    <w:rsid w:val="00D423A2"/>
    <w:rsid w:val="00D520D8"/>
    <w:rsid w:val="00D6350A"/>
    <w:rsid w:val="00D63AC2"/>
    <w:rsid w:val="00D7383B"/>
    <w:rsid w:val="00DA231B"/>
    <w:rsid w:val="00DC39FC"/>
    <w:rsid w:val="00DC54F1"/>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D7384"/>
    <w:rsid w:val="00EE1AA8"/>
    <w:rsid w:val="00F02A16"/>
    <w:rsid w:val="00F31EDC"/>
    <w:rsid w:val="00F462B3"/>
    <w:rsid w:val="00F5664F"/>
    <w:rsid w:val="00F666C4"/>
    <w:rsid w:val="00F76AFC"/>
    <w:rsid w:val="00FA47C0"/>
    <w:rsid w:val="00FB5DD1"/>
    <w:rsid w:val="00FC2B5D"/>
    <w:rsid w:val="00FF1449"/>
    <w:rsid w:val="165E9519"/>
    <w:rsid w:val="1CCDBB87"/>
    <w:rsid w:val="20D76A9A"/>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245AB"/>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styleId="EncabezadoCar" w:customStyle="1">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styleId="PiedepginaCar" w:customStyle="1">
    <w:name w:val="Pie de página Car"/>
    <w:basedOn w:val="Fuentedeprrafopredeter"/>
    <w:link w:val="Piedepgina"/>
    <w:uiPriority w:val="99"/>
    <w:rsid w:val="004A1847"/>
  </w:style>
  <w:style w:type="paragraph" w:styleId="Default" w:customStyle="1">
    <w:name w:val="Default"/>
    <w:rsid w:val="006219F8"/>
    <w:pPr>
      <w:autoSpaceDE w:val="0"/>
      <w:autoSpaceDN w:val="0"/>
      <w:adjustRightInd w:val="0"/>
      <w:spacing w:after="0" w:line="240" w:lineRule="auto"/>
    </w:pPr>
    <w:rPr>
      <w:rFonts w:ascii="Arial" w:hAnsi="Arial" w:cs="Arial"/>
      <w:color w:val="000000"/>
      <w:sz w:val="24"/>
      <w:szCs w:val="24"/>
    </w:rPr>
  </w:style>
  <w:style w:type="character" w:styleId="TextonotapieCar" w:customStyle="1">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styleId="TextonotapieCar1" w:customStyle="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styleId="normaltextrun" w:customStyle="1">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hAnsi="Geomanist" w:eastAsiaTheme="majorEastAsia" w:cstheme="majorBidi"/>
      <w:spacing w:val="-10"/>
      <w:kern w:val="28"/>
      <w:szCs w:val="56"/>
      <w:lang w:val="es-ES"/>
    </w:rPr>
  </w:style>
  <w:style w:type="character" w:styleId="TtuloCar" w:customStyle="1">
    <w:name w:val="Título Car"/>
    <w:basedOn w:val="Fuentedeprrafopredeter"/>
    <w:link w:val="Ttulo"/>
    <w:uiPriority w:val="10"/>
    <w:rsid w:val="005566E8"/>
    <w:rPr>
      <w:rFonts w:ascii="Geomanist" w:hAnsi="Geomanist" w:eastAsiaTheme="majorEastAsia" w:cstheme="majorBidi"/>
      <w:spacing w:val="-10"/>
      <w:kern w:val="28"/>
      <w:szCs w:val="56"/>
      <w:lang w:val="es-ES"/>
    </w:rPr>
  </w:style>
  <w:style w:type="character" w:styleId="ui-provider" w:customStyle="1">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styleId="paragraph" w:customStyle="1">
    <w:name w:val="paragraph"/>
    <w:basedOn w:val="Normal"/>
    <w:rsid w:val="00322A85"/>
    <w:pPr>
      <w:spacing w:before="100" w:beforeAutospacing="1" w:after="100" w:afterAutospacing="1" w:line="240" w:lineRule="auto"/>
    </w:pPr>
    <w:rPr>
      <w:rFonts w:ascii="Times New Roman" w:hAnsi="Times New Roman" w:eastAsia="Times New Roman" w:cs="Times New Roman"/>
      <w:sz w:val="24"/>
      <w:szCs w:val="24"/>
      <w:lang w:eastAsia="es-CO"/>
    </w:rPr>
  </w:style>
  <w:style w:type="character" w:styleId="tabchar" w:customStyle="1">
    <w:name w:val="tabchar"/>
    <w:basedOn w:val="Fuentedeprrafopredeter"/>
    <w:rsid w:val="00322A85"/>
  </w:style>
  <w:style w:type="character" w:styleId="eop" w:customStyle="1">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blanco" w:customStyle="1">
    <w:name w:val="blanco"/>
    <w:basedOn w:val="Normal"/>
    <w:rsid w:val="00C76B1C"/>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styleId="Appelnotedebasde" w:customStyle="1">
    <w:name w:val="Appel note de bas de..."/>
    <w:basedOn w:val="Normal"/>
    <w:link w:val="Refdenotaalpie"/>
    <w:uiPriority w:val="99"/>
    <w:rsid w:val="00F02A16"/>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yperlink" Target="https://nam02.safelinks.protection.outlook.com/?url=https%3A%2F%2Fwww.colombiacompra.gov.co%2Fwp-content%2Fuploads%2F2025%2F05%2FGUIA-DE-LINEAMIENTOS-DE-TRANSPARENCIA-Y-SELECCION-OBJETIVA-1.0.pdf&amp;data=05%7C02%7Ckevin.herrera%40colombiacompra.gov.co%7C7cfff6dece924643582c08dd97bfed90%7C7b09041e245149d08cb179d5e3d8c1be%7C0%7C0%7C638833572792593175%7CUnknown%7CTWFpbGZsb3d8eyJFbXB0eU1hcGkiOnRydWUsIlYiOiIwLjAuMDAwMCIsIlAiOiJXaW4zMiIsIkFOIjoiTWFpbCIsIldUIjoyfQ%3D%3D%7C0%7C%7C%7C&amp;sdata=FIIjS2kKZlQ08v4XgTQUjZlWVw3z44%2FtOaHriVSZTqg%3D&amp;reserved=0" TargetMode="External" Id="rId13" /><Relationship Type="http://schemas.openxmlformats.org/officeDocument/2006/relationships/theme" Target="theme/theme1.xml" Id="rId1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 Id="rId12" /><Relationship Type="http://schemas.openxmlformats.org/officeDocument/2006/relationships/fontTable" Target="fontTable.xml" Id="rId17" /><Relationship Type="http://schemas.openxmlformats.org/officeDocument/2006/relationships/customXml" Target="../customXml/item2.xml" Id="rId2" /><Relationship Type="http://schemas.openxmlformats.org/officeDocument/2006/relationships/footer" Target="footer1.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https://www.colombiacompra.gov.co/normativa-y-relatoria/documentos-tipo" TargetMode="External" Id="rId11" /><Relationship Type="http://schemas.openxmlformats.org/officeDocument/2006/relationships/styles" Target="styles.xml" Id="rId5" /><Relationship Type="http://schemas.openxmlformats.org/officeDocument/2006/relationships/header" Target="header1.xml" Id="rId15" /><Relationship Type="http://schemas.openxmlformats.org/officeDocument/2006/relationships/image" Target="media/image2.png"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image" Target="media/image3.png" Id="rId14" /></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xmlns:thm15="http://schemas.microsoft.com/office/thememl/2012/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d3b1a209-6428-47ff-99e7-c80af9907737"/>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24D8D314-3B47-4A3C-B692-AFFFDCC9C3C1}"/>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Andrés Felipe Ospina Acosta</dc:creator>
  <keywords/>
  <dc:description/>
  <lastModifiedBy>Keila Margarita Reyes Cassiani</lastModifiedBy>
  <revision>5</revision>
  <lastPrinted>2023-01-10T21:18:00.0000000Z</lastPrinted>
  <dcterms:created xsi:type="dcterms:W3CDTF">2025-08-08T22:25:00.0000000Z</dcterms:created>
  <dcterms:modified xsi:type="dcterms:W3CDTF">2025-08-11T13:30:20.9999383Z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