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10F997" w14:textId="77777777" w:rsidR="00741021" w:rsidRPr="005C16B7" w:rsidRDefault="00741021" w:rsidP="00741021">
      <w:pPr>
        <w:spacing w:after="0" w:line="240" w:lineRule="auto"/>
        <w:jc w:val="both"/>
        <w:rPr>
          <w:rFonts w:ascii="Verdana" w:eastAsia="Calibri" w:hAnsi="Verdana" w:cs="Arial"/>
          <w:b/>
          <w:bCs/>
          <w:lang w:val="es-ES_tradnl"/>
        </w:rPr>
      </w:pPr>
      <w:bookmarkStart w:id="0" w:name="_Hlk143780582"/>
      <w:r w:rsidRPr="005C16B7">
        <w:rPr>
          <w:rFonts w:ascii="Verdana" w:eastAsia="Calibri" w:hAnsi="Verdana" w:cs="Arial"/>
          <w:b/>
          <w:bCs/>
          <w:lang w:val="es-ES_tradnl"/>
        </w:rPr>
        <w:t>BOLSA DE PRODUCTOS – Noción – Procedencia</w:t>
      </w:r>
    </w:p>
    <w:p w14:paraId="0343D45A" w14:textId="77777777" w:rsidR="00741021" w:rsidRPr="005C16B7" w:rsidRDefault="00741021" w:rsidP="00741021">
      <w:pPr>
        <w:spacing w:after="0" w:line="240" w:lineRule="auto"/>
        <w:jc w:val="both"/>
        <w:rPr>
          <w:rFonts w:ascii="Verdana" w:eastAsia="Calibri" w:hAnsi="Verdana" w:cs="Arial"/>
          <w:b/>
          <w:bCs/>
          <w:lang w:val="es-ES_tradnl"/>
        </w:rPr>
      </w:pPr>
    </w:p>
    <w:p w14:paraId="5C36208A" w14:textId="77777777" w:rsidR="00741021" w:rsidRPr="005C16B7" w:rsidRDefault="00741021" w:rsidP="00741021">
      <w:pPr>
        <w:jc w:val="both"/>
        <w:rPr>
          <w:rFonts w:ascii="Verdana" w:eastAsia="Geomanist Light" w:hAnsi="Verdana" w:cs="Arial"/>
          <w:color w:val="000000" w:themeColor="text1"/>
          <w:sz w:val="20"/>
          <w:szCs w:val="20"/>
          <w:lang w:val="es-MX"/>
        </w:rPr>
      </w:pPr>
      <w:r w:rsidRPr="005C16B7">
        <w:rPr>
          <w:rFonts w:ascii="Verdana" w:eastAsia="Geomanist Light" w:hAnsi="Verdana" w:cs="Arial"/>
          <w:color w:val="000000" w:themeColor="text1"/>
          <w:sz w:val="20"/>
          <w:szCs w:val="20"/>
          <w:lang w:val="es-MX"/>
        </w:rPr>
        <w:t>La adquisición de bienes mediante el mecanismo de bolsa de productos se encuentra regulada por el Decreto 2555 de 2010 y los artículos 2.2.1.2.1.2.11 a 2.2.1.2.1.2.19 del Decreto 1082 de 2015. Esta hace posible que vendedores y compradores concurran en un mercado organizado donde se negocian de forma dinámica bienes y servicios, a través de procesos de subasta pública, a viva voz o en línea, en un ambiente transparente y altamente competitivo11. Los productos se negocian con base en una descripción detallada de los mismos, de acuerdo con una reglamentación que permite que los participantes estén en igualdad de oportunidades y que el precio de los productos sea resultado de la competencia entre los ofrecimientos.</w:t>
      </w:r>
    </w:p>
    <w:p w14:paraId="238B3B0A" w14:textId="77777777" w:rsidR="00741021" w:rsidRPr="005C16B7" w:rsidRDefault="00741021" w:rsidP="00741021">
      <w:pPr>
        <w:jc w:val="both"/>
        <w:rPr>
          <w:rFonts w:ascii="Verdana" w:eastAsia="Geomanist Light" w:hAnsi="Verdana" w:cs="Arial"/>
          <w:color w:val="000000" w:themeColor="text1"/>
          <w:sz w:val="20"/>
          <w:szCs w:val="20"/>
          <w:lang w:val="es-MX"/>
        </w:rPr>
      </w:pPr>
      <w:r w:rsidRPr="005C16B7">
        <w:rPr>
          <w:rFonts w:ascii="Verdana" w:eastAsia="Geomanist Light" w:hAnsi="Verdana" w:cs="Arial"/>
          <w:color w:val="000000" w:themeColor="text1"/>
          <w:sz w:val="20"/>
          <w:szCs w:val="20"/>
          <w:lang w:val="es-MX"/>
        </w:rPr>
        <w:t xml:space="preserve">La negociación por parte de la entidad se da a través de un comisionista, el cual debe ser contratado por la entidad de conformidad con el procedimiento y reglas de la respectiva bolsa de productos. A su vez, la calidad de los productos negociados y la liquidación de las operaciones celebradas debe estar respaldada por garantía. </w:t>
      </w:r>
    </w:p>
    <w:p w14:paraId="2F64C540" w14:textId="77777777" w:rsidR="00741021" w:rsidRPr="005C16B7" w:rsidRDefault="00741021" w:rsidP="00741021">
      <w:pPr>
        <w:jc w:val="both"/>
        <w:rPr>
          <w:rFonts w:ascii="Verdana" w:eastAsia="Geomanist Light" w:hAnsi="Verdana" w:cs="Arial"/>
          <w:color w:val="000000" w:themeColor="text1"/>
          <w:sz w:val="20"/>
          <w:szCs w:val="20"/>
          <w:lang w:val="es-MX"/>
        </w:rPr>
      </w:pPr>
      <w:r w:rsidRPr="005C16B7">
        <w:rPr>
          <w:rFonts w:ascii="Verdana" w:eastAsia="Geomanist Light" w:hAnsi="Verdana" w:cs="Arial"/>
          <w:color w:val="000000" w:themeColor="text1"/>
          <w:sz w:val="20"/>
          <w:szCs w:val="20"/>
          <w:lang w:val="es-MX"/>
        </w:rPr>
        <w:t>De conformidad con el artículo 2.2.1.2.1.2.12 del Decreto 1082 de 2015, modificado por el artículo 2 del Decreto 310 del 25 de marzo de 2021, cuando no exista un acuerdo marco de precios el adelantamiento de una compra mediante el mecanismo de bolsa de productos, requiere que las entidades realicen un estudio comparativo en el que determinen las ventajas de utilizar el mecanismo, frente a la posibilidad de acudir a la subasta inversa o a la posibilidad de promover un nuevo acuerdo marco de precios, análisis en que se deberá considerar el proceso de selección del comisionista, los costos asociados a la selección, el valor de la comisión y de las garantía (…).</w:t>
      </w:r>
    </w:p>
    <w:p w14:paraId="47F00131" w14:textId="77777777" w:rsidR="00741021" w:rsidRPr="005C16B7" w:rsidRDefault="00741021" w:rsidP="00741021">
      <w:pPr>
        <w:spacing w:after="0" w:line="240" w:lineRule="auto"/>
        <w:jc w:val="both"/>
        <w:rPr>
          <w:rFonts w:ascii="Verdana" w:eastAsia="Calibri" w:hAnsi="Verdana" w:cs="Arial"/>
          <w:b/>
          <w:bCs/>
          <w:lang w:val="es-ES_tradnl"/>
        </w:rPr>
      </w:pPr>
    </w:p>
    <w:p w14:paraId="5D6A7F94" w14:textId="77777777" w:rsidR="00741021" w:rsidRPr="005C16B7" w:rsidRDefault="00741021" w:rsidP="00741021">
      <w:pPr>
        <w:spacing w:after="0" w:line="240" w:lineRule="auto"/>
        <w:jc w:val="both"/>
        <w:rPr>
          <w:rFonts w:ascii="Verdana" w:eastAsia="Calibri" w:hAnsi="Verdana" w:cs="Arial"/>
          <w:b/>
          <w:bCs/>
        </w:rPr>
      </w:pPr>
      <w:r w:rsidRPr="005C16B7">
        <w:rPr>
          <w:rFonts w:ascii="Verdana" w:eastAsia="Calibri" w:hAnsi="Verdana" w:cs="Arial"/>
          <w:b/>
          <w:bCs/>
        </w:rPr>
        <w:t>BOLSA DE PRODUCTOS – Publicidad – SECOP</w:t>
      </w:r>
    </w:p>
    <w:p w14:paraId="59AD353E" w14:textId="77777777" w:rsidR="00741021" w:rsidRPr="005C16B7" w:rsidRDefault="00741021" w:rsidP="00741021">
      <w:pPr>
        <w:spacing w:after="0" w:line="240" w:lineRule="auto"/>
        <w:jc w:val="both"/>
        <w:rPr>
          <w:rFonts w:ascii="Verdana" w:eastAsia="Calibri" w:hAnsi="Verdana" w:cs="Arial"/>
          <w:b/>
          <w:bCs/>
        </w:rPr>
      </w:pPr>
    </w:p>
    <w:p w14:paraId="64E07B9D" w14:textId="77777777" w:rsidR="00741021" w:rsidRPr="005C16B7" w:rsidRDefault="00741021" w:rsidP="00741021">
      <w:pPr>
        <w:jc w:val="both"/>
        <w:rPr>
          <w:rFonts w:ascii="Verdana" w:eastAsia="Geomanist Light" w:hAnsi="Verdana" w:cs="Arial"/>
          <w:color w:val="000000" w:themeColor="text1"/>
          <w:sz w:val="20"/>
          <w:szCs w:val="20"/>
          <w:lang w:val="es-MX"/>
        </w:rPr>
      </w:pPr>
      <w:r w:rsidRPr="005C16B7">
        <w:rPr>
          <w:rFonts w:ascii="Verdana" w:eastAsia="Geomanist Light" w:hAnsi="Verdana" w:cs="Arial"/>
          <w:color w:val="000000" w:themeColor="text1"/>
          <w:sz w:val="20"/>
          <w:szCs w:val="20"/>
          <w:lang w:val="es-MX"/>
        </w:rPr>
        <w:t>(…) inciso primero del artículo 2.2.1.1.1.7.1, así como según lo dispuesto en los artículos</w:t>
      </w:r>
    </w:p>
    <w:p w14:paraId="12F32C0D" w14:textId="77777777" w:rsidR="00741021" w:rsidRPr="005C16B7" w:rsidRDefault="00741021" w:rsidP="00741021">
      <w:pPr>
        <w:jc w:val="both"/>
        <w:rPr>
          <w:rFonts w:ascii="Verdana" w:eastAsia="Geomanist Light" w:hAnsi="Verdana" w:cs="Arial"/>
          <w:color w:val="000000" w:themeColor="text1"/>
          <w:sz w:val="20"/>
          <w:szCs w:val="20"/>
          <w:lang w:val="es-MX"/>
        </w:rPr>
      </w:pPr>
      <w:r w:rsidRPr="005C16B7">
        <w:rPr>
          <w:rFonts w:ascii="Verdana" w:eastAsia="Geomanist Light" w:hAnsi="Verdana" w:cs="Arial"/>
          <w:color w:val="000000" w:themeColor="text1"/>
          <w:sz w:val="20"/>
          <w:szCs w:val="20"/>
          <w:lang w:val="es-MX"/>
        </w:rPr>
        <w:t>2.2.1.2.1.2.14 y 2.2.1.2.1.2.12. ‒inciso segundo‒ del Decreto 1082 de 2015, en relación con las adquisiciones de bienes y servicios de características técnicas uniformes y de común utilización a través del mecanismo de bolsa de productos, solo están obligadas a publicar en SECOP el contrato suscrito con el comisionista y sus modificaciones, además del estudio de que trata el artículo 2.2.1.2.1.2.12. del Decreto 1082 de 2015, pero no están obligados a publicar los documentos de las operaciones que se realicen en bolsa de productos.</w:t>
      </w:r>
    </w:p>
    <w:p w14:paraId="15EDA56C" w14:textId="77777777" w:rsidR="00741021" w:rsidRPr="005C16B7" w:rsidRDefault="00741021" w:rsidP="00741021">
      <w:pPr>
        <w:jc w:val="both"/>
        <w:rPr>
          <w:rFonts w:ascii="Verdana" w:eastAsia="Geomanist Light" w:hAnsi="Verdana" w:cs="Arial"/>
          <w:color w:val="000000" w:themeColor="text1"/>
          <w:sz w:val="20"/>
          <w:szCs w:val="20"/>
          <w:lang w:val="es-MX"/>
        </w:rPr>
      </w:pPr>
      <w:r w:rsidRPr="005C16B7">
        <w:rPr>
          <w:rFonts w:ascii="Verdana" w:eastAsia="Geomanist Light" w:hAnsi="Verdana" w:cs="Arial"/>
          <w:color w:val="000000" w:themeColor="text1"/>
          <w:sz w:val="20"/>
          <w:szCs w:val="20"/>
          <w:lang w:val="es-MX"/>
        </w:rPr>
        <w:t xml:space="preserve">La justificación jurídica y fáctica obedece a que las actuaciones efectuadas en la Bolsa Mercantil se encuentran sometidas en todo momento al contenido del reglamento, circulares e instructivos operativos expedidos por la respectiva Bolsa, quién diariamente publica un boletín en el cual figuran las operaciones celebradas y los precios de las ofertas de compra y de venta, el cual contiene la información relevante como los activos negociados: precios o tasas de apertura, promedio, mínimo, máximo y cierre de las </w:t>
      </w:r>
      <w:r w:rsidRPr="005C16B7">
        <w:rPr>
          <w:rFonts w:ascii="Verdana" w:eastAsia="Geomanist Light" w:hAnsi="Verdana" w:cs="Arial"/>
          <w:color w:val="000000" w:themeColor="text1"/>
          <w:sz w:val="20"/>
          <w:szCs w:val="20"/>
          <w:lang w:val="es-MX"/>
        </w:rPr>
        <w:lastRenderedPageBreak/>
        <w:t xml:space="preserve">operaciones realizadas, volúmenes totales, y número de operaciones que la componen, además de la información correspondiente a los resultados que se obtuvieron en las subastas, entre otras, datos, incluyendo las demás disposiciones que en materia de publicidad y ventas haya establecido el Gobierno Nacional, por lo cual no se consideró pertinente su publicación en SECOP, lo cual se encuentra autorizado legalmente por el parágrafo 6 del artículo 2 de la Ley 1150 de 2007 que dispuso: “El Gobierno Nacional podrá establecer procedimientos diferentes al interior de las diversas causales de selección abreviada, de manera que los mismos se acomoden a las particularidades de los objetos a contratar, sin perjuicio de la posibilidad de establecer procedimientos comunes.” </w:t>
      </w:r>
    </w:p>
    <w:p w14:paraId="58EFEAA3" w14:textId="77777777" w:rsidR="00741021" w:rsidRPr="005C16B7" w:rsidRDefault="00741021" w:rsidP="00741021">
      <w:pPr>
        <w:jc w:val="both"/>
        <w:rPr>
          <w:rFonts w:ascii="Verdana" w:eastAsia="Calibri" w:hAnsi="Verdana" w:cs="Arial"/>
          <w:b/>
          <w:szCs w:val="20"/>
        </w:rPr>
      </w:pPr>
      <w:r w:rsidRPr="005C16B7">
        <w:rPr>
          <w:rFonts w:ascii="Verdana" w:eastAsia="Calibri" w:hAnsi="Verdana" w:cs="Arial"/>
          <w:b/>
          <w:szCs w:val="20"/>
        </w:rPr>
        <w:t>ACUERDOS MARCO DE PRECIOS – Procedencia – Noción</w:t>
      </w:r>
    </w:p>
    <w:p w14:paraId="07095738" w14:textId="77777777" w:rsidR="00741021" w:rsidRPr="005C16B7" w:rsidRDefault="00741021" w:rsidP="00741021">
      <w:pPr>
        <w:spacing w:after="120"/>
        <w:jc w:val="both"/>
        <w:rPr>
          <w:rFonts w:ascii="Verdana" w:eastAsia="Calibri" w:hAnsi="Verdana" w:cs="Arial"/>
          <w:bCs/>
          <w:sz w:val="20"/>
          <w:szCs w:val="18"/>
        </w:rPr>
      </w:pPr>
      <w:r w:rsidRPr="005C16B7">
        <w:rPr>
          <w:rFonts w:ascii="Verdana" w:eastAsia="Calibri" w:hAnsi="Verdana" w:cs="Arial"/>
          <w:bCs/>
          <w:sz w:val="20"/>
          <w:szCs w:val="18"/>
        </w:rPr>
        <w:t>Los Acuerdos Marcos de Precios son definidos por el artículo 2.2.1.1.1.3.1 del Decreto 1082 de 2015 como un «contrato celebrado entre uno o más proveedores y Colombia Compra Eficiente, o quien haga sus veces, para la provisión a las Entidades Estatales de Bienes y Servicios de Características Técnicas Uniformes, en la forma, plazo y condiciones establecidas en este».</w:t>
      </w:r>
      <w:r w:rsidRPr="005C16B7">
        <w:rPr>
          <w:rFonts w:ascii="Verdana" w:eastAsia="Calibri" w:hAnsi="Verdana" w:cs="Arial"/>
          <w:bCs/>
          <w:sz w:val="20"/>
          <w:szCs w:val="18"/>
        </w:rPr>
        <w:tab/>
        <w:t xml:space="preserve">De conformidad con el parágrafo 5 del artículo 2 de la Ley 1150 de 2007, los acuerdos marcos de precios que permiten a las entidades fijar las condiciones de oferta para la adquisición o suministro de bienes y servicios de características técnicas uniformes y de común utilización, durante un periodo de tiempo determinado, al igual que prestablecer unas condiciones de entrega, calidad y garantía, evitando con ello la necesidad de celebrar nuevos contratos para legalizar adquisiciones frecuentes. La definición de estas condiciones posibilita que la selección de proveedores a través de este mecanismo sea ágil y eficiente, en la medida en que permite que las entidades cobijadas por el acuerdo adquieran los bienes y servicios ofrecidos a través de órdenes de compra directa, las cuales complementan las condiciones establecidas en el acuerdo dando lugar a un contrato entre el proveedor y la entidad que realiza la compra. </w:t>
      </w:r>
    </w:p>
    <w:p w14:paraId="0C63B752" w14:textId="77777777" w:rsidR="00741021" w:rsidRPr="005C16B7" w:rsidRDefault="00741021" w:rsidP="00741021">
      <w:pPr>
        <w:jc w:val="both"/>
        <w:rPr>
          <w:rFonts w:ascii="Verdana" w:eastAsia="Calibri" w:hAnsi="Verdana" w:cs="Arial"/>
          <w:bCs/>
          <w:sz w:val="20"/>
          <w:szCs w:val="18"/>
        </w:rPr>
      </w:pPr>
      <w:r w:rsidRPr="005C16B7">
        <w:rPr>
          <w:rFonts w:ascii="Verdana" w:eastAsia="Calibri" w:hAnsi="Verdana" w:cs="Arial"/>
          <w:bCs/>
          <w:sz w:val="20"/>
          <w:szCs w:val="18"/>
        </w:rPr>
        <w:t>De conformidad con el numeral 7 del artículo 3 del Decreto 4170 de 2011, la función de diseñar, organizar y celebrar los acuerdos marco de precios y demás mecanismos de agregación de demanda a los que se refiere el artículo 2° de la Ley 1150 de 2007, se encuentra a cargo de la Agencia Nacional de Contratación Pública – Colombia Compra Eficiente.  En ejercicio de tal competencia, esta Agencia se encarga de gestionar los acuerdos marcos de precio con diferentes proveedores de bienes y servicios de características técnicas uniformes y de común utilización, los cuales son puestos a disposición de las entidades estatales cobijadas por estos acuerdos a través de la Tienda Virtual del Estado Colombiano, plataforma transaccional que junto con las plataformas SECOP I y SECOP II integran el Sistema Electrónico de Contratación.</w:t>
      </w:r>
    </w:p>
    <w:p w14:paraId="687C6C33" w14:textId="77777777" w:rsidR="00741021" w:rsidRPr="005C16B7" w:rsidRDefault="00741021" w:rsidP="00741021">
      <w:pPr>
        <w:spacing w:after="0" w:line="240" w:lineRule="auto"/>
        <w:jc w:val="both"/>
        <w:rPr>
          <w:rFonts w:ascii="Verdana" w:eastAsia="Calibri" w:hAnsi="Verdana" w:cs="Arial"/>
          <w:b/>
          <w:bCs/>
        </w:rPr>
      </w:pPr>
    </w:p>
    <w:p w14:paraId="4D6D1B10" w14:textId="77777777" w:rsidR="00741021" w:rsidRDefault="00741021" w:rsidP="00E245AB">
      <w:pPr>
        <w:spacing w:after="0"/>
        <w:rPr>
          <w:rFonts w:ascii="Verdana" w:hAnsi="Verdana"/>
        </w:rPr>
      </w:pPr>
    </w:p>
    <w:p w14:paraId="52CEF7A6" w14:textId="77777777" w:rsidR="00741021" w:rsidRDefault="00741021" w:rsidP="00E245AB">
      <w:pPr>
        <w:spacing w:after="0"/>
        <w:rPr>
          <w:rFonts w:ascii="Verdana" w:hAnsi="Verdana"/>
        </w:rPr>
      </w:pPr>
    </w:p>
    <w:p w14:paraId="2CED0AB7" w14:textId="77777777" w:rsidR="00741021" w:rsidRDefault="00741021" w:rsidP="00E245AB">
      <w:pPr>
        <w:spacing w:after="0"/>
        <w:rPr>
          <w:rFonts w:ascii="Verdana" w:hAnsi="Verdana"/>
        </w:rPr>
      </w:pPr>
    </w:p>
    <w:p w14:paraId="2EE56BBD" w14:textId="77777777" w:rsidR="00741021" w:rsidRDefault="00741021" w:rsidP="00E245AB">
      <w:pPr>
        <w:spacing w:after="0"/>
        <w:rPr>
          <w:rFonts w:ascii="Verdana" w:hAnsi="Verdana"/>
        </w:rPr>
      </w:pPr>
    </w:p>
    <w:p w14:paraId="2F2A33C6" w14:textId="77777777" w:rsidR="00741021" w:rsidRDefault="00741021" w:rsidP="00E245AB">
      <w:pPr>
        <w:spacing w:after="0"/>
        <w:rPr>
          <w:rFonts w:ascii="Verdana" w:hAnsi="Verdana"/>
        </w:rPr>
      </w:pPr>
    </w:p>
    <w:p w14:paraId="5FCADBF9" w14:textId="5803D53C" w:rsidR="00E245AB" w:rsidRDefault="00E245AB" w:rsidP="00E245AB">
      <w:pPr>
        <w:spacing w:after="0"/>
        <w:rPr>
          <w:rFonts w:ascii="Verdana" w:hAnsi="Verdana"/>
        </w:rPr>
      </w:pPr>
      <w:r w:rsidRPr="0044528D">
        <w:rPr>
          <w:rFonts w:ascii="Verdana" w:hAnsi="Verdana"/>
        </w:rPr>
        <w:t xml:space="preserve">Bogotá D.C., </w:t>
      </w:r>
      <w:r w:rsidR="00747056">
        <w:rPr>
          <w:rFonts w:ascii="Verdana" w:hAnsi="Verdana"/>
        </w:rPr>
        <w:t>28 de agosto de 2025</w:t>
      </w:r>
    </w:p>
    <w:p w14:paraId="0E1B8A88" w14:textId="77777777" w:rsidR="00747056" w:rsidRPr="0044528D" w:rsidRDefault="00747056" w:rsidP="00E245AB">
      <w:pPr>
        <w:spacing w:after="0"/>
        <w:rPr>
          <w:rFonts w:ascii="Verdana" w:hAnsi="Verdana"/>
        </w:rPr>
      </w:pPr>
    </w:p>
    <w:p w14:paraId="20A73593" w14:textId="77777777" w:rsidR="0019788B" w:rsidRPr="00077781" w:rsidRDefault="0019788B" w:rsidP="0019788B">
      <w:pPr>
        <w:spacing w:after="0" w:line="240" w:lineRule="auto"/>
        <w:jc w:val="both"/>
        <w:rPr>
          <w:rFonts w:ascii="Verdana" w:eastAsia="Calibri" w:hAnsi="Verdana" w:cs="Arial"/>
          <w:lang w:val="es-ES" w:eastAsia="es-ES"/>
        </w:rPr>
      </w:pPr>
      <w:r>
        <w:rPr>
          <w:rFonts w:ascii="Verdana" w:eastAsia="Calibri" w:hAnsi="Verdana" w:cs="Arial"/>
          <w:lang w:val="es-ES" w:eastAsia="es-ES"/>
        </w:rPr>
        <w:t>Suboficial</w:t>
      </w:r>
    </w:p>
    <w:p w14:paraId="49BF1A60" w14:textId="77777777" w:rsidR="0019788B" w:rsidRPr="00077781" w:rsidRDefault="0019788B" w:rsidP="0019788B">
      <w:pPr>
        <w:spacing w:after="0" w:line="240" w:lineRule="auto"/>
        <w:rPr>
          <w:rFonts w:ascii="Verdana" w:hAnsi="Verdana"/>
          <w:b/>
          <w:bCs/>
        </w:rPr>
      </w:pPr>
      <w:r>
        <w:rPr>
          <w:rFonts w:ascii="Verdana" w:hAnsi="Verdana"/>
          <w:b/>
          <w:bCs/>
        </w:rPr>
        <w:t xml:space="preserve">Eduard Ortiz Manrique </w:t>
      </w:r>
    </w:p>
    <w:p w14:paraId="4363A3C6" w14:textId="77777777" w:rsidR="0019788B" w:rsidRPr="00253FD9" w:rsidRDefault="0019788B" w:rsidP="0019788B">
      <w:pPr>
        <w:spacing w:after="0" w:line="240" w:lineRule="auto"/>
        <w:jc w:val="both"/>
        <w:rPr>
          <w:rFonts w:ascii="Verdana" w:eastAsia="Calibri" w:hAnsi="Verdana" w:cs="Arial"/>
          <w:u w:val="single"/>
          <w:lang w:val="es-ES" w:eastAsia="es-ES"/>
        </w:rPr>
      </w:pPr>
      <w:r>
        <w:rPr>
          <w:rFonts w:ascii="Verdana" w:eastAsia="Calibri" w:hAnsi="Verdana" w:cs="Arial"/>
          <w:u w:val="single"/>
          <w:lang w:val="es-ES" w:eastAsia="es-ES"/>
        </w:rPr>
        <w:t>eduard.ortiz</w:t>
      </w:r>
      <w:r w:rsidRPr="00253FD9">
        <w:rPr>
          <w:rFonts w:ascii="Verdana" w:eastAsia="Calibri" w:hAnsi="Verdana" w:cs="Arial"/>
          <w:u w:val="single"/>
          <w:lang w:val="es-ES" w:eastAsia="es-ES"/>
        </w:rPr>
        <w:t>@ejercito.mil.co</w:t>
      </w:r>
    </w:p>
    <w:p w14:paraId="608EC708" w14:textId="77777777" w:rsidR="0019788B" w:rsidRPr="00253FD9" w:rsidRDefault="0019788B" w:rsidP="0019788B">
      <w:pPr>
        <w:spacing w:after="0" w:line="240" w:lineRule="auto"/>
        <w:jc w:val="both"/>
        <w:rPr>
          <w:rFonts w:ascii="Verdana" w:eastAsia="Calibri" w:hAnsi="Verdana" w:cs="Arial"/>
          <w:lang w:val="es-ES" w:eastAsia="es-ES"/>
        </w:rPr>
      </w:pPr>
      <w:r>
        <w:rPr>
          <w:rFonts w:ascii="Verdana" w:eastAsia="Calibri" w:hAnsi="Verdana" w:cs="Arial"/>
          <w:lang w:val="es-ES" w:eastAsia="es-ES"/>
        </w:rPr>
        <w:t>Florencia- Caquetá</w:t>
      </w:r>
    </w:p>
    <w:p w14:paraId="60767185" w14:textId="77777777" w:rsidR="0019788B" w:rsidRDefault="0019788B" w:rsidP="0019788B">
      <w:pPr>
        <w:spacing w:after="0" w:line="240" w:lineRule="auto"/>
        <w:rPr>
          <w:rFonts w:ascii="Verdana" w:eastAsia="Calibri" w:hAnsi="Verdana" w:cs="Arial"/>
          <w:bCs/>
          <w:lang w:val="es-ES_tradnl" w:eastAsia="es-ES_tradnl"/>
        </w:rPr>
      </w:pPr>
    </w:p>
    <w:p w14:paraId="3AEDDF92" w14:textId="258CB77D" w:rsidR="0019788B" w:rsidRPr="00593A5F" w:rsidRDefault="00C56229" w:rsidP="00C56229">
      <w:pPr>
        <w:spacing w:after="0" w:line="240" w:lineRule="auto"/>
        <w:jc w:val="right"/>
        <w:rPr>
          <w:rFonts w:ascii="Verdana" w:eastAsia="Calibri" w:hAnsi="Verdana" w:cs="Arial"/>
          <w:b/>
          <w:bCs/>
          <w:color w:val="000000"/>
          <w:lang w:val="es-ES_tradnl" w:eastAsia="es-ES_tradnl"/>
        </w:rPr>
      </w:pPr>
      <w:r w:rsidRPr="00C56229">
        <w:rPr>
          <w:rFonts w:ascii="Verdana" w:eastAsia="Calibri" w:hAnsi="Verdana" w:cs="Arial"/>
          <w:b/>
          <w:bCs/>
          <w:color w:val="000000"/>
          <w:lang w:val="es-ES_tradnl" w:eastAsia="es-ES_tradnl"/>
        </w:rPr>
        <w:drawing>
          <wp:inline distT="0" distB="0" distL="0" distR="0" wp14:anchorId="2267F786" wp14:editId="098FA39A">
            <wp:extent cx="2644369" cy="807790"/>
            <wp:effectExtent l="0" t="0" r="3810" b="0"/>
            <wp:docPr id="9703116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311643" name=""/>
                    <pic:cNvPicPr/>
                  </pic:nvPicPr>
                  <pic:blipFill>
                    <a:blip r:embed="rId10"/>
                    <a:stretch>
                      <a:fillRect/>
                    </a:stretch>
                  </pic:blipFill>
                  <pic:spPr>
                    <a:xfrm>
                      <a:off x="0" y="0"/>
                      <a:ext cx="2644369" cy="807790"/>
                    </a:xfrm>
                    <a:prstGeom prst="rect">
                      <a:avLst/>
                    </a:prstGeom>
                  </pic:spPr>
                </pic:pic>
              </a:graphicData>
            </a:graphic>
          </wp:inline>
        </w:drawing>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9788B" w:rsidRPr="00593A5F" w14:paraId="25C13191" w14:textId="77777777" w:rsidTr="00A14F66">
        <w:trPr>
          <w:trHeight w:val="884"/>
        </w:trPr>
        <w:tc>
          <w:tcPr>
            <w:tcW w:w="2689" w:type="dxa"/>
          </w:tcPr>
          <w:p w14:paraId="52A6BF3A" w14:textId="77777777" w:rsidR="0019788B" w:rsidRPr="00C00976" w:rsidRDefault="0019788B" w:rsidP="00A14F66">
            <w:pPr>
              <w:jc w:val="both"/>
              <w:rPr>
                <w:rFonts w:ascii="Verdana" w:eastAsia="Calibri" w:hAnsi="Verdana" w:cs="Arial"/>
                <w:b/>
                <w:bCs/>
                <w:color w:val="7030A0"/>
                <w:lang w:val="es-ES_tradnl" w:eastAsia="es-ES_tradnl"/>
              </w:rPr>
            </w:pPr>
          </w:p>
        </w:tc>
        <w:tc>
          <w:tcPr>
            <w:tcW w:w="6100" w:type="dxa"/>
          </w:tcPr>
          <w:p w14:paraId="6202F015" w14:textId="77777777" w:rsidR="0019788B" w:rsidRPr="007B60E9" w:rsidRDefault="0019788B" w:rsidP="00A14F66">
            <w:pPr>
              <w:jc w:val="both"/>
              <w:rPr>
                <w:rFonts w:ascii="Verdana" w:eastAsia="Calibri" w:hAnsi="Verdana" w:cs="Arial"/>
                <w:b/>
                <w:bCs/>
                <w:color w:val="7030A0"/>
                <w:lang w:val="es-ES" w:eastAsia="es-ES"/>
              </w:rPr>
            </w:pPr>
            <w:r w:rsidRPr="00423EEA">
              <w:rPr>
                <w:rFonts w:ascii="Verdana" w:eastAsia="Calibri" w:hAnsi="Verdana" w:cs="Arial"/>
                <w:b/>
                <w:bCs/>
                <w:lang w:val="es-ES" w:eastAsia="es-ES"/>
              </w:rPr>
              <w:t>Concepto C-</w:t>
            </w:r>
            <w:r>
              <w:rPr>
                <w:rFonts w:ascii="Verdana" w:eastAsia="Calibri" w:hAnsi="Verdana" w:cs="Arial"/>
                <w:b/>
                <w:bCs/>
                <w:lang w:val="es-ES" w:eastAsia="es-ES"/>
              </w:rPr>
              <w:t>976</w:t>
            </w:r>
            <w:r w:rsidRPr="00423EEA">
              <w:rPr>
                <w:rFonts w:ascii="Verdana" w:eastAsia="Calibri" w:hAnsi="Verdana" w:cs="Arial"/>
                <w:b/>
                <w:bCs/>
                <w:lang w:val="es-ES" w:eastAsia="es-ES"/>
              </w:rPr>
              <w:t xml:space="preserve"> de 202</w:t>
            </w:r>
            <w:r>
              <w:rPr>
                <w:rFonts w:ascii="Verdana" w:eastAsia="Calibri" w:hAnsi="Verdana" w:cs="Arial"/>
                <w:b/>
                <w:bCs/>
                <w:lang w:val="es-ES" w:eastAsia="es-ES"/>
              </w:rPr>
              <w:t>5</w:t>
            </w:r>
          </w:p>
        </w:tc>
      </w:tr>
      <w:tr w:rsidR="0019788B" w:rsidRPr="00593A5F" w14:paraId="1C49AEB3" w14:textId="77777777" w:rsidTr="00A14F66">
        <w:trPr>
          <w:trHeight w:val="884"/>
        </w:trPr>
        <w:tc>
          <w:tcPr>
            <w:tcW w:w="2689" w:type="dxa"/>
          </w:tcPr>
          <w:p w14:paraId="7F975CA4" w14:textId="77777777" w:rsidR="0019788B" w:rsidRPr="004B40A6" w:rsidRDefault="0019788B" w:rsidP="00A14F66">
            <w:pPr>
              <w:jc w:val="both"/>
              <w:rPr>
                <w:rFonts w:ascii="Verdana" w:eastAsia="Calibri" w:hAnsi="Verdana" w:cs="Arial"/>
                <w:lang w:val="es-ES_tradnl" w:eastAsia="es-ES_tradnl"/>
              </w:rPr>
            </w:pPr>
            <w:r w:rsidRPr="004B40A6">
              <w:rPr>
                <w:rFonts w:ascii="Verdana" w:eastAsia="Calibri" w:hAnsi="Verdana" w:cs="Arial"/>
                <w:b/>
                <w:lang w:val="es-ES_tradnl" w:eastAsia="es-ES_tradnl"/>
              </w:rPr>
              <w:t>Temas:</w:t>
            </w:r>
            <w:r w:rsidRPr="004B40A6">
              <w:rPr>
                <w:rFonts w:ascii="Verdana" w:eastAsia="Calibri" w:hAnsi="Verdana" w:cs="Arial"/>
                <w:lang w:val="es-ES_tradnl" w:eastAsia="es-ES_tradnl"/>
              </w:rPr>
              <w:t xml:space="preserve">                   </w:t>
            </w:r>
          </w:p>
        </w:tc>
        <w:tc>
          <w:tcPr>
            <w:tcW w:w="6100" w:type="dxa"/>
          </w:tcPr>
          <w:p w14:paraId="6CC9FF07" w14:textId="77777777" w:rsidR="0019788B" w:rsidRPr="00E34739" w:rsidRDefault="0019788B" w:rsidP="00A14F66">
            <w:pPr>
              <w:spacing w:line="276" w:lineRule="auto"/>
              <w:jc w:val="both"/>
              <w:rPr>
                <w:rFonts w:ascii="Verdana" w:eastAsia="Calibri" w:hAnsi="Verdana" w:cs="Arial"/>
                <w:lang w:val="es-ES_tradnl"/>
              </w:rPr>
            </w:pPr>
            <w:r w:rsidRPr="00E34739">
              <w:rPr>
                <w:rFonts w:ascii="Verdana" w:eastAsia="Calibri" w:hAnsi="Verdana" w:cs="Arial"/>
                <w:lang w:val="es-ES_tradnl"/>
              </w:rPr>
              <w:t xml:space="preserve">BOLSA DE PRODUCTOS – Noción – Procedencia / </w:t>
            </w:r>
            <w:r w:rsidRPr="00E34739">
              <w:rPr>
                <w:rFonts w:ascii="Verdana" w:eastAsia="Calibri" w:hAnsi="Verdana" w:cs="Arial"/>
              </w:rPr>
              <w:t xml:space="preserve">BOLSA DE PRODUCTOS – Publicidad – SECOP / </w:t>
            </w:r>
            <w:r w:rsidRPr="00E34739">
              <w:rPr>
                <w:rFonts w:ascii="Verdana" w:eastAsia="Calibri" w:hAnsi="Verdana" w:cs="Arial"/>
                <w:szCs w:val="20"/>
              </w:rPr>
              <w:t>ACUERDOS MARCO DE PRECIOS – Procedencia – Noción</w:t>
            </w:r>
          </w:p>
        </w:tc>
      </w:tr>
      <w:tr w:rsidR="0019788B" w:rsidRPr="00593A5F" w14:paraId="0371E963" w14:textId="77777777" w:rsidTr="00A14F66">
        <w:trPr>
          <w:trHeight w:val="89"/>
        </w:trPr>
        <w:tc>
          <w:tcPr>
            <w:tcW w:w="2689" w:type="dxa"/>
          </w:tcPr>
          <w:p w14:paraId="51BFC5F1" w14:textId="77777777" w:rsidR="0019788B" w:rsidRPr="004B40A6" w:rsidRDefault="0019788B" w:rsidP="00A14F66">
            <w:pPr>
              <w:jc w:val="both"/>
              <w:rPr>
                <w:rFonts w:ascii="Verdana" w:eastAsia="Calibri" w:hAnsi="Verdana" w:cs="Arial"/>
                <w:b/>
                <w:lang w:val="es-ES_tradnl" w:eastAsia="es-ES_tradnl"/>
              </w:rPr>
            </w:pPr>
            <w:r w:rsidRPr="004B40A6">
              <w:rPr>
                <w:rFonts w:ascii="Verdana" w:eastAsia="Calibri" w:hAnsi="Verdana" w:cs="Arial"/>
                <w:b/>
                <w:lang w:val="es-ES_tradnl" w:eastAsia="es-ES_tradnl"/>
              </w:rPr>
              <w:t>Radicación:</w:t>
            </w:r>
            <w:r w:rsidRPr="004B40A6">
              <w:rPr>
                <w:rFonts w:ascii="Verdana" w:eastAsia="Calibri" w:hAnsi="Verdana" w:cs="Arial"/>
                <w:lang w:val="es-ES_tradnl" w:eastAsia="es-ES_tradnl"/>
              </w:rPr>
              <w:t xml:space="preserve">               </w:t>
            </w:r>
          </w:p>
        </w:tc>
        <w:tc>
          <w:tcPr>
            <w:tcW w:w="6100" w:type="dxa"/>
          </w:tcPr>
          <w:p w14:paraId="4519A23D" w14:textId="77777777" w:rsidR="0019788B" w:rsidRPr="00E56225" w:rsidRDefault="0019788B" w:rsidP="00A14F66">
            <w:pPr>
              <w:spacing w:line="276" w:lineRule="auto"/>
              <w:jc w:val="both"/>
              <w:rPr>
                <w:rFonts w:ascii="Verdana" w:hAnsi="Verdana" w:cs="Calibri"/>
              </w:rPr>
            </w:pPr>
            <w:r w:rsidRPr="004B40A6">
              <w:rPr>
                <w:rFonts w:ascii="Verdana" w:eastAsia="Calibri" w:hAnsi="Verdana" w:cs="Arial"/>
                <w:lang w:val="es-ES_tradnl" w:eastAsia="es-ES_tradnl"/>
              </w:rPr>
              <w:t xml:space="preserve">Respuesta a consulta con radicado No. </w:t>
            </w:r>
            <w:r w:rsidRPr="00253FD9">
              <w:rPr>
                <w:rFonts w:ascii="Verdana" w:hAnsi="Verdana" w:cs="Calibri"/>
              </w:rPr>
              <w:t>1_2025_07_18_007340</w:t>
            </w:r>
          </w:p>
        </w:tc>
      </w:tr>
    </w:tbl>
    <w:p w14:paraId="44132BAB" w14:textId="77777777" w:rsidR="0019788B" w:rsidRPr="00593A5F" w:rsidRDefault="0019788B" w:rsidP="0019788B">
      <w:pPr>
        <w:spacing w:after="0" w:line="240" w:lineRule="auto"/>
        <w:jc w:val="both"/>
        <w:rPr>
          <w:rFonts w:ascii="Verdana" w:eastAsia="Calibri" w:hAnsi="Verdana" w:cs="Arial"/>
          <w:color w:val="000000"/>
          <w:lang w:val="es-ES_tradnl" w:eastAsia="es-ES_tradnl"/>
        </w:rPr>
      </w:pPr>
    </w:p>
    <w:p w14:paraId="2E7F1B82" w14:textId="77777777" w:rsidR="0019788B" w:rsidRPr="00593A5F" w:rsidRDefault="0019788B" w:rsidP="0019788B">
      <w:pPr>
        <w:spacing w:after="0" w:line="240" w:lineRule="auto"/>
        <w:jc w:val="both"/>
        <w:rPr>
          <w:rFonts w:ascii="Verdana" w:eastAsia="Calibri" w:hAnsi="Verdana" w:cs="Arial"/>
          <w:color w:val="000000"/>
          <w:lang w:val="es-ES_tradnl" w:eastAsia="es-ES_tradnl"/>
        </w:rPr>
      </w:pPr>
    </w:p>
    <w:p w14:paraId="5D4F22A4" w14:textId="77777777" w:rsidR="0019788B" w:rsidRPr="004B40A6" w:rsidRDefault="0019788B" w:rsidP="0019788B">
      <w:pPr>
        <w:spacing w:after="0" w:line="276" w:lineRule="auto"/>
        <w:jc w:val="both"/>
        <w:rPr>
          <w:rFonts w:ascii="Verdana" w:eastAsia="Calibri" w:hAnsi="Verdana" w:cs="Arial"/>
          <w:lang w:val="es-ES" w:eastAsia="es-ES"/>
        </w:rPr>
      </w:pPr>
      <w:r w:rsidRPr="004B40A6">
        <w:rPr>
          <w:rFonts w:ascii="Verdana" w:eastAsia="Calibri" w:hAnsi="Verdana" w:cs="Arial"/>
          <w:lang w:val="es-ES" w:eastAsia="es-ES"/>
        </w:rPr>
        <w:t>Estimad</w:t>
      </w:r>
      <w:r>
        <w:rPr>
          <w:rFonts w:ascii="Verdana" w:eastAsia="Calibri" w:hAnsi="Verdana" w:cs="Arial"/>
          <w:lang w:val="es-ES" w:eastAsia="es-ES"/>
        </w:rPr>
        <w:t>o señor Ortiz</w:t>
      </w:r>
      <w:r w:rsidRPr="004B40A6">
        <w:rPr>
          <w:rFonts w:ascii="Verdana" w:eastAsia="Calibri" w:hAnsi="Verdana" w:cs="Arial"/>
          <w:lang w:val="es-ES" w:eastAsia="es-ES"/>
        </w:rPr>
        <w:t xml:space="preserve">: </w:t>
      </w:r>
    </w:p>
    <w:p w14:paraId="3FF0D44E" w14:textId="77777777" w:rsidR="0019788B" w:rsidRPr="004B40A6" w:rsidRDefault="0019788B" w:rsidP="0019788B">
      <w:pPr>
        <w:tabs>
          <w:tab w:val="left" w:pos="3768"/>
        </w:tabs>
        <w:spacing w:after="0" w:line="276" w:lineRule="auto"/>
        <w:jc w:val="both"/>
        <w:rPr>
          <w:rFonts w:ascii="Verdana" w:eastAsia="Calibri" w:hAnsi="Verdana" w:cs="Arial"/>
          <w:lang w:val="es-ES" w:eastAsia="es-ES"/>
        </w:rPr>
      </w:pPr>
      <w:r w:rsidRPr="004B40A6">
        <w:rPr>
          <w:rFonts w:ascii="Verdana" w:eastAsia="Calibri" w:hAnsi="Verdana" w:cs="Arial"/>
          <w:lang w:val="es-ES" w:eastAsia="es-ES"/>
        </w:rPr>
        <w:tab/>
      </w:r>
    </w:p>
    <w:p w14:paraId="150D8F4D" w14:textId="77777777" w:rsidR="0019788B" w:rsidRDefault="0019788B" w:rsidP="0019788B">
      <w:pPr>
        <w:spacing w:after="0" w:line="276" w:lineRule="auto"/>
        <w:jc w:val="both"/>
        <w:rPr>
          <w:rFonts w:ascii="Verdana" w:eastAsia="Calibri" w:hAnsi="Verdana" w:cs="Arial"/>
          <w:lang w:val="es-ES" w:eastAsia="es-ES"/>
        </w:rPr>
      </w:pPr>
      <w:r w:rsidRPr="00F7454D">
        <w:rPr>
          <w:rFonts w:ascii="Verdana" w:eastAsia="Calibri" w:hAnsi="Verdana" w:cs="Arial"/>
          <w:lang w:val="es-ES" w:eastAsia="es-ES"/>
        </w:rPr>
        <w:t>En ejercicio de la competencia otorgada por los artículos 3, numeral 5º, y 11, numeral 8º, del Decreto Ley 4170 de 2011,</w:t>
      </w:r>
      <w:r w:rsidRPr="00F7454D">
        <w:rPr>
          <w:rFonts w:ascii="Verdana" w:eastAsia="Arial MT" w:hAnsi="Verdana" w:cs="Arial MT"/>
          <w:lang w:val="es-ES" w:eastAsia="es-ES"/>
        </w:rPr>
        <w:t xml:space="preserve"> </w:t>
      </w:r>
      <w:r w:rsidRPr="00F7454D">
        <w:rPr>
          <w:rFonts w:ascii="Verdana" w:hAnsi="Verdana" w:cs="Arial"/>
        </w:rPr>
        <w:t xml:space="preserve">así como lo establecido en el artículo 4 de la Resolución 1707 de 2018 expedida por esta Entidad, </w:t>
      </w:r>
      <w:r w:rsidRPr="00F7454D">
        <w:rPr>
          <w:rFonts w:ascii="Verdana" w:eastAsia="Calibri" w:hAnsi="Verdana" w:cs="Arial"/>
          <w:lang w:val="es-ES" w:eastAsia="es-ES"/>
        </w:rPr>
        <w:t xml:space="preserve">la Agencia Nacional de Contratación Pública –Colombia Compra Eficiente– responde su solicitud de consulta de fecha </w:t>
      </w:r>
      <w:r>
        <w:rPr>
          <w:rFonts w:ascii="Verdana" w:eastAsia="Calibri" w:hAnsi="Verdana" w:cs="Arial"/>
          <w:lang w:val="es-ES" w:eastAsia="es-ES"/>
        </w:rPr>
        <w:t>18</w:t>
      </w:r>
      <w:r w:rsidRPr="00F7454D">
        <w:rPr>
          <w:rFonts w:ascii="Verdana" w:eastAsia="Calibri" w:hAnsi="Verdana" w:cs="Arial"/>
          <w:lang w:val="es-ES" w:eastAsia="es-ES"/>
        </w:rPr>
        <w:t xml:space="preserve"> de </w:t>
      </w:r>
      <w:r>
        <w:rPr>
          <w:rFonts w:ascii="Verdana" w:eastAsia="Calibri" w:hAnsi="Verdana" w:cs="Arial"/>
          <w:lang w:val="es-ES" w:eastAsia="es-ES"/>
        </w:rPr>
        <w:t>julio de 2025</w:t>
      </w:r>
      <w:r w:rsidRPr="00F7454D">
        <w:rPr>
          <w:rFonts w:ascii="Verdana" w:eastAsia="Calibri" w:hAnsi="Verdana" w:cs="Arial"/>
          <w:lang w:val="es-ES" w:eastAsia="es-ES"/>
        </w:rPr>
        <w:t xml:space="preserve">, en la cual manifiesta lo siguiente: </w:t>
      </w:r>
    </w:p>
    <w:p w14:paraId="443F4414" w14:textId="77777777" w:rsidR="0019788B" w:rsidRPr="00076878" w:rsidRDefault="0019788B" w:rsidP="0019788B">
      <w:pPr>
        <w:spacing w:after="0" w:line="276" w:lineRule="auto"/>
        <w:jc w:val="both"/>
        <w:rPr>
          <w:rFonts w:ascii="Verdana" w:eastAsia="Calibri" w:hAnsi="Verdana" w:cs="Arial"/>
          <w:lang w:val="es-ES" w:eastAsia="es-ES"/>
        </w:rPr>
      </w:pPr>
    </w:p>
    <w:p w14:paraId="4A239B91" w14:textId="77777777" w:rsidR="0019788B" w:rsidRPr="00077781" w:rsidRDefault="0019788B" w:rsidP="0019788B">
      <w:pPr>
        <w:spacing w:after="0" w:line="276" w:lineRule="auto"/>
        <w:ind w:left="709" w:right="616"/>
        <w:jc w:val="both"/>
        <w:rPr>
          <w:rFonts w:ascii="Verdana" w:hAnsi="Verdana"/>
          <w:i/>
          <w:iCs/>
          <w:sz w:val="20"/>
          <w:szCs w:val="20"/>
        </w:rPr>
      </w:pPr>
      <w:bookmarkStart w:id="1" w:name="_Hlk95313578"/>
      <w:r w:rsidRPr="00077781">
        <w:rPr>
          <w:rFonts w:ascii="Verdana" w:eastAsia="Century Gothic" w:hAnsi="Verdana" w:cs="Century Gothic"/>
          <w:i/>
          <w:iCs/>
          <w:sz w:val="20"/>
          <w:szCs w:val="20"/>
          <w:lang w:val="es-ES"/>
        </w:rPr>
        <w:t>“</w:t>
      </w:r>
      <w:bookmarkEnd w:id="1"/>
      <w:r w:rsidRPr="00253FD9">
        <w:rPr>
          <w:rFonts w:ascii="Verdana" w:hAnsi="Verdana"/>
          <w:i/>
          <w:iCs/>
          <w:sz w:val="20"/>
          <w:szCs w:val="20"/>
        </w:rPr>
        <w:t xml:space="preserve">Respetados señores, me dirijo a Ustedes, con el fin de solicitar de la manera más respetuosa, se emita concepto respecto de cuando se debe acudir a la modalidad la adquisición de bienes y servicios de condiciones técnicas uniformes en la modalidad de bolsa de productos por medio de la bolsa mercantil de Colombia. Lo anterior gira, teniendo en cuenta que en la actualidad se pretende adquirir unos bienes por la modalidad de bolsa de productos por medio de la bolsa mercantil de Colombia, cuando en las vigencias anteriores 2020 a 2024, se han adquirido bajo la modalidad de </w:t>
      </w:r>
      <w:r w:rsidRPr="00253FD9">
        <w:rPr>
          <w:rFonts w:ascii="Verdana" w:hAnsi="Verdana"/>
          <w:i/>
          <w:iCs/>
          <w:sz w:val="20"/>
          <w:szCs w:val="20"/>
        </w:rPr>
        <w:lastRenderedPageBreak/>
        <w:t>Selección Abreviada por Subasta Inversa, garantizando la optimización de los recursos. En este estado, existe incertidumbre si se debe seguir llevando los procesos por la modalidad de Selección Abreviada por Subasta Inversa existiendo un análisis económico en el que se evidencia un porcentaje de ahorro superior al 40% o por el contrario, como se procedería por la modalidad de la bolsa de productos por medio de la bolsa mercantil de Colombia.</w:t>
      </w:r>
      <w:r w:rsidRPr="00077781">
        <w:rPr>
          <w:rFonts w:ascii="Verdana" w:hAnsi="Verdana"/>
          <w:i/>
          <w:iCs/>
          <w:sz w:val="20"/>
          <w:szCs w:val="20"/>
        </w:rPr>
        <w:t>”</w:t>
      </w:r>
      <w:r w:rsidRPr="00077781">
        <w:rPr>
          <w:rFonts w:ascii="Verdana" w:eastAsia="Century Gothic" w:hAnsi="Verdana" w:cs="Century Gothic"/>
          <w:i/>
          <w:iCs/>
          <w:sz w:val="20"/>
          <w:szCs w:val="20"/>
          <w:lang w:val="es-ES"/>
        </w:rPr>
        <w:t>.</w:t>
      </w:r>
    </w:p>
    <w:p w14:paraId="5313DD85" w14:textId="77777777" w:rsidR="0019788B" w:rsidRDefault="0019788B" w:rsidP="0019788B">
      <w:pPr>
        <w:spacing w:after="0" w:line="240" w:lineRule="auto"/>
        <w:ind w:right="709"/>
        <w:jc w:val="both"/>
        <w:rPr>
          <w:rFonts w:ascii="Verdana" w:eastAsia="Century Gothic" w:hAnsi="Verdana" w:cs="Century Gothic"/>
          <w:i/>
          <w:iCs/>
          <w:sz w:val="20"/>
          <w:szCs w:val="20"/>
          <w:lang w:val="es-ES"/>
        </w:rPr>
      </w:pPr>
    </w:p>
    <w:p w14:paraId="3C261AF9" w14:textId="77777777" w:rsidR="0019788B" w:rsidRDefault="0019788B" w:rsidP="0019788B">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w:t>
      </w:r>
      <w:r>
        <w:rPr>
          <w:rFonts w:ascii="Verdana" w:eastAsia="Calibri" w:hAnsi="Verdana" w:cs="Arial"/>
          <w:color w:val="000000"/>
          <w:lang w:val="es-ES" w:eastAsia="es-ES"/>
        </w:rPr>
        <w:t>precisar</w:t>
      </w:r>
      <w:r w:rsidRPr="00593A5F">
        <w:rPr>
          <w:rFonts w:ascii="Verdana" w:eastAsia="Calibri" w:hAnsi="Verdana" w:cs="Arial"/>
          <w:color w:val="000000"/>
          <w:lang w:val="es-ES" w:eastAsia="es-ES"/>
        </w:rPr>
        <w:t xml:space="preserve">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1CE58C44" w14:textId="77777777" w:rsidR="0019788B" w:rsidRDefault="0019788B" w:rsidP="0019788B">
      <w:pPr>
        <w:spacing w:after="0" w:line="276" w:lineRule="auto"/>
        <w:ind w:firstLine="709"/>
        <w:jc w:val="both"/>
        <w:rPr>
          <w:rFonts w:ascii="Verdana" w:eastAsia="Calibri" w:hAnsi="Verdana" w:cs="Arial"/>
          <w:lang w:val="es-ES" w:eastAsia="es-ES"/>
        </w:rPr>
      </w:pPr>
      <w:r w:rsidRPr="004B40A6">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w:t>
      </w:r>
      <w:r>
        <w:rPr>
          <w:rFonts w:ascii="Verdana" w:eastAsia="Calibri" w:hAnsi="Verdana" w:cs="Arial"/>
          <w:lang w:val="es-ES" w:eastAsia="es-ES"/>
        </w:rPr>
        <w:t xml:space="preserve"> </w:t>
      </w:r>
      <w:r w:rsidRPr="004B40A6">
        <w:rPr>
          <w:rFonts w:ascii="Verdana" w:eastAsia="Calibri" w:hAnsi="Verdana" w:cs="Arial"/>
          <w:lang w:val="es-ES" w:eastAsia="es-ES"/>
        </w:rPr>
        <w:t xml:space="preserve">de su consulta. </w:t>
      </w:r>
    </w:p>
    <w:p w14:paraId="7DFC7380" w14:textId="77777777" w:rsidR="004044F1" w:rsidRPr="00593A5F" w:rsidRDefault="004044F1" w:rsidP="004044F1">
      <w:pPr>
        <w:spacing w:after="0" w:line="276" w:lineRule="auto"/>
        <w:jc w:val="both"/>
        <w:rPr>
          <w:rFonts w:ascii="Verdana" w:eastAsia="Calibri" w:hAnsi="Verdana" w:cs="Arial"/>
          <w:color w:val="000000"/>
          <w:lang w:val="es-ES" w:eastAsia="es-ES"/>
        </w:rPr>
      </w:pPr>
    </w:p>
    <w:p w14:paraId="58E7EAC3" w14:textId="77777777" w:rsidR="004044F1" w:rsidRPr="00593A5F" w:rsidRDefault="004044F1" w:rsidP="004044F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54261F05" w14:textId="77777777" w:rsidR="004044F1" w:rsidRDefault="004044F1" w:rsidP="004044F1">
      <w:pPr>
        <w:spacing w:after="0" w:line="240" w:lineRule="auto"/>
        <w:ind w:right="709"/>
        <w:jc w:val="both"/>
        <w:rPr>
          <w:rFonts w:ascii="Verdana" w:eastAsia="Century Gothic" w:hAnsi="Verdana" w:cs="Century Gothic"/>
          <w:lang w:val="es-ES"/>
        </w:rPr>
      </w:pPr>
    </w:p>
    <w:p w14:paraId="5580D709" w14:textId="77777777" w:rsidR="004044F1" w:rsidRPr="00926248" w:rsidRDefault="004044F1" w:rsidP="004044F1">
      <w:pPr>
        <w:jc w:val="both"/>
        <w:rPr>
          <w:rFonts w:ascii="Verdana" w:eastAsia="Times New Roman" w:hAnsi="Verdana" w:cs="Calibri"/>
          <w:color w:val="000000"/>
          <w:shd w:val="clear" w:color="auto" w:fill="FFFFFF"/>
          <w:lang w:eastAsia="es-CO"/>
        </w:rPr>
      </w:pPr>
      <w:r w:rsidRPr="00E03E8C">
        <w:rPr>
          <w:rFonts w:ascii="Verdana" w:hAnsi="Verdana"/>
        </w:rPr>
        <w:t xml:space="preserve">De acuerdo con el contenido de su solicitud, esta Agencia resolverá </w:t>
      </w:r>
      <w:r>
        <w:rPr>
          <w:rFonts w:ascii="Verdana" w:hAnsi="Verdana"/>
        </w:rPr>
        <w:t>el</w:t>
      </w:r>
      <w:r w:rsidRPr="00E03E8C">
        <w:rPr>
          <w:rFonts w:ascii="Verdana" w:hAnsi="Verdana"/>
        </w:rPr>
        <w:t xml:space="preserve"> siguiente problema jurídico: </w:t>
      </w:r>
      <w:r>
        <w:rPr>
          <w:rFonts w:ascii="Verdana" w:hAnsi="Verdana"/>
        </w:rPr>
        <w:t>¿</w:t>
      </w:r>
      <w:r w:rsidRPr="00BD3050">
        <w:rPr>
          <w:rFonts w:ascii="Verdana" w:eastAsia="Times New Roman" w:hAnsi="Verdana" w:cs="Calibri"/>
          <w:color w:val="000000"/>
          <w:shd w:val="clear" w:color="auto" w:fill="FFFFFF"/>
          <w:lang w:eastAsia="es-CO"/>
        </w:rPr>
        <w:t>Cuándo</w:t>
      </w:r>
      <w:r>
        <w:rPr>
          <w:rFonts w:ascii="Verdana" w:eastAsia="Times New Roman" w:hAnsi="Verdana" w:cs="Calibri"/>
          <w:color w:val="000000"/>
          <w:shd w:val="clear" w:color="auto" w:fill="FFFFFF"/>
          <w:lang w:eastAsia="es-CO"/>
        </w:rPr>
        <w:t xml:space="preserve"> una entidad estatal debe acudir a la modalidad de </w:t>
      </w:r>
      <w:r w:rsidRPr="00BD3050">
        <w:rPr>
          <w:rFonts w:ascii="Verdana" w:eastAsia="Times New Roman" w:hAnsi="Verdana" w:cs="Calibri"/>
          <w:color w:val="000000"/>
          <w:shd w:val="clear" w:color="auto" w:fill="FFFFFF"/>
          <w:lang w:eastAsia="es-CO"/>
        </w:rPr>
        <w:t>Selección abreviada para la adquisición de Bienes y Servicios de Características Técnicas Uniformes en bolsas de producto</w:t>
      </w:r>
      <w:r w:rsidRPr="007D5B64">
        <w:rPr>
          <w:rFonts w:ascii="Verdana" w:eastAsia="Times New Roman" w:hAnsi="Verdana" w:cs="Calibri"/>
          <w:color w:val="000000"/>
          <w:shd w:val="clear" w:color="auto" w:fill="FFFFFF"/>
          <w:lang w:eastAsia="es-CO"/>
        </w:rPr>
        <w:t>?</w:t>
      </w:r>
    </w:p>
    <w:p w14:paraId="4AC65467" w14:textId="77777777" w:rsidR="004044F1" w:rsidRPr="00593A5F" w:rsidRDefault="004044F1" w:rsidP="004044F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35A0CEFB" w14:textId="77777777" w:rsidR="004044F1" w:rsidRPr="00593A5F" w:rsidRDefault="004044F1" w:rsidP="004044F1">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044F1" w:rsidRPr="00593A5F" w14:paraId="27BC4FB1" w14:textId="77777777" w:rsidTr="00C4340F">
        <w:tc>
          <w:tcPr>
            <w:tcW w:w="8828" w:type="dxa"/>
          </w:tcPr>
          <w:p w14:paraId="75314BAC" w14:textId="77777777" w:rsidR="004044F1" w:rsidRDefault="004044F1" w:rsidP="00C4340F">
            <w:pPr>
              <w:spacing w:after="120" w:line="276" w:lineRule="auto"/>
              <w:jc w:val="both"/>
              <w:rPr>
                <w:rFonts w:ascii="Verdana" w:eastAsia="Times New Roman" w:hAnsi="Verdana" w:cs="Calibri"/>
                <w:color w:val="000000"/>
                <w:shd w:val="clear" w:color="auto" w:fill="FFFFFF"/>
                <w:lang w:eastAsia="es-CO"/>
              </w:rPr>
            </w:pPr>
            <w:r w:rsidRPr="00D3636C">
              <w:rPr>
                <w:rFonts w:ascii="Verdana" w:hAnsi="Verdana" w:cs="Arial"/>
                <w:color w:val="000000"/>
              </w:rPr>
              <w:t xml:space="preserve">Atendiendo el interrogante objeto de consulta, es imperioso precisar que </w:t>
            </w:r>
            <w:r w:rsidRPr="00D3636C">
              <w:rPr>
                <w:rFonts w:ascii="Verdana" w:eastAsia="Times New Roman" w:hAnsi="Verdana" w:cs="Calibri"/>
                <w:color w:val="000000"/>
                <w:shd w:val="clear" w:color="auto" w:fill="FFFFFF"/>
                <w:lang w:eastAsia="es-CO"/>
              </w:rPr>
              <w:t xml:space="preserve">las Entidades Estatales son autónomas y responsables de la estructuración de sus Procesos de Contratación, así como de la determinación </w:t>
            </w:r>
            <w:r>
              <w:rPr>
                <w:rFonts w:ascii="Verdana" w:eastAsia="Times New Roman" w:hAnsi="Verdana" w:cs="Calibri"/>
                <w:color w:val="000000"/>
                <w:shd w:val="clear" w:color="auto" w:fill="FFFFFF"/>
                <w:lang w:eastAsia="es-CO"/>
              </w:rPr>
              <w:t xml:space="preserve">de la modalidad de </w:t>
            </w:r>
            <w:r>
              <w:rPr>
                <w:rFonts w:ascii="Verdana" w:eastAsia="Times New Roman" w:hAnsi="Verdana" w:cs="Calibri"/>
                <w:color w:val="000000"/>
                <w:shd w:val="clear" w:color="auto" w:fill="FFFFFF"/>
                <w:lang w:eastAsia="es-CO"/>
              </w:rPr>
              <w:lastRenderedPageBreak/>
              <w:t>contratación</w:t>
            </w:r>
            <w:r w:rsidRPr="00D3636C">
              <w:rPr>
                <w:rFonts w:ascii="Verdana" w:eastAsia="Times New Roman" w:hAnsi="Verdana" w:cs="Calibri"/>
                <w:color w:val="000000"/>
                <w:shd w:val="clear" w:color="auto" w:fill="FFFFFF"/>
                <w:lang w:eastAsia="es-CO"/>
              </w:rPr>
              <w:t xml:space="preserve">. No obstante, </w:t>
            </w:r>
            <w:r>
              <w:rPr>
                <w:rFonts w:ascii="Verdana" w:eastAsia="Times New Roman" w:hAnsi="Verdana" w:cs="Calibri"/>
                <w:color w:val="000000"/>
                <w:shd w:val="clear" w:color="auto" w:fill="FFFFFF"/>
                <w:lang w:eastAsia="es-CO"/>
              </w:rPr>
              <w:t xml:space="preserve">para determinar la modalidad </w:t>
            </w:r>
            <w:r w:rsidRPr="00D3636C">
              <w:rPr>
                <w:rFonts w:ascii="Verdana" w:eastAsia="Times New Roman" w:hAnsi="Verdana" w:cs="Calibri"/>
                <w:color w:val="000000"/>
                <w:shd w:val="clear" w:color="auto" w:fill="FFFFFF"/>
                <w:lang w:eastAsia="es-CO"/>
              </w:rPr>
              <w:t xml:space="preserve">las Entidades Estatales están obligadas a analizar el sector relativo al objeto del Proceso de Contratación y para ello, deberán identificar: i) cuál es su necesidad y cómo puede satisfacerla; </w:t>
            </w:r>
            <w:proofErr w:type="spellStart"/>
            <w:r w:rsidRPr="00D3636C">
              <w:rPr>
                <w:rFonts w:ascii="Verdana" w:eastAsia="Times New Roman" w:hAnsi="Verdana" w:cs="Calibri"/>
                <w:color w:val="000000"/>
                <w:shd w:val="clear" w:color="auto" w:fill="FFFFFF"/>
                <w:lang w:eastAsia="es-CO"/>
              </w:rPr>
              <w:t>ii</w:t>
            </w:r>
            <w:proofErr w:type="spellEnd"/>
            <w:r w:rsidRPr="00D3636C">
              <w:rPr>
                <w:rFonts w:ascii="Verdana" w:eastAsia="Times New Roman" w:hAnsi="Verdana" w:cs="Calibri"/>
                <w:color w:val="000000"/>
                <w:shd w:val="clear" w:color="auto" w:fill="FFFFFF"/>
                <w:lang w:eastAsia="es-CO"/>
              </w:rPr>
              <w:t xml:space="preserve">) cómo y quiénes pueden proveer los bienes, obras y servicios que necesita; y </w:t>
            </w:r>
            <w:proofErr w:type="spellStart"/>
            <w:r w:rsidRPr="00D3636C">
              <w:rPr>
                <w:rFonts w:ascii="Verdana" w:eastAsia="Times New Roman" w:hAnsi="Verdana" w:cs="Calibri"/>
                <w:color w:val="000000"/>
                <w:shd w:val="clear" w:color="auto" w:fill="FFFFFF"/>
                <w:lang w:eastAsia="es-CO"/>
              </w:rPr>
              <w:t>iii</w:t>
            </w:r>
            <w:proofErr w:type="spellEnd"/>
            <w:r w:rsidRPr="00D3636C">
              <w:rPr>
                <w:rFonts w:ascii="Verdana" w:eastAsia="Times New Roman" w:hAnsi="Verdana" w:cs="Calibri"/>
                <w:color w:val="000000"/>
                <w:shd w:val="clear" w:color="auto" w:fill="FFFFFF"/>
                <w:lang w:eastAsia="es-CO"/>
              </w:rPr>
              <w:t>) el contexto en el cual los posibles proveedores desarrollan su actividad.</w:t>
            </w:r>
          </w:p>
          <w:p w14:paraId="7F30F32D" w14:textId="77777777" w:rsidR="004044F1" w:rsidRDefault="004044F1" w:rsidP="00C4340F">
            <w:pPr>
              <w:spacing w:after="120" w:line="276" w:lineRule="auto"/>
              <w:jc w:val="both"/>
              <w:rPr>
                <w:rFonts w:ascii="Verdana" w:eastAsia="Calibri" w:hAnsi="Verdana" w:cs="Arial"/>
                <w:lang w:val="es-MX"/>
              </w:rPr>
            </w:pPr>
            <w:r>
              <w:rPr>
                <w:rFonts w:ascii="Verdana" w:eastAsia="Calibri" w:hAnsi="Verdana" w:cs="Arial"/>
                <w:lang w:val="es-MX"/>
              </w:rPr>
              <w:t>Ahora, l</w:t>
            </w:r>
            <w:r w:rsidRPr="00844B92">
              <w:rPr>
                <w:rFonts w:ascii="Verdana" w:eastAsia="Calibri" w:hAnsi="Verdana" w:cs="Arial"/>
                <w:lang w:val="es-MX"/>
              </w:rPr>
              <w:t>as compras en bolsa de productos son un mecanismo contemplado en el numeral 2 del artículo 2 de la Ley 1150 de 2007, en el marco de la modalidad de selección abreviada, para la adquisición o suministro de bienes y servicios de características técnicas uniformes y de común utilización por parte de las entidades estatales</w:t>
            </w:r>
            <w:r w:rsidRPr="00844B92">
              <w:rPr>
                <w:rStyle w:val="Refdenotaalpie"/>
                <w:rFonts w:ascii="Verdana" w:eastAsia="Calibri" w:hAnsi="Verdana" w:cs="Arial"/>
                <w:lang w:val="es-MX"/>
              </w:rPr>
              <w:footnoteReference w:id="1"/>
            </w:r>
            <w:r w:rsidRPr="00844B92">
              <w:rPr>
                <w:rFonts w:ascii="Verdana" w:eastAsia="Calibri" w:hAnsi="Verdana" w:cs="Arial"/>
                <w:lang w:val="es-MX"/>
              </w:rPr>
              <w:t>.</w:t>
            </w:r>
          </w:p>
          <w:p w14:paraId="13EE028E" w14:textId="77777777" w:rsidR="004044F1" w:rsidRDefault="004044F1" w:rsidP="00C4340F">
            <w:pPr>
              <w:spacing w:after="120" w:line="276" w:lineRule="auto"/>
              <w:jc w:val="both"/>
              <w:rPr>
                <w:rFonts w:ascii="Verdana" w:eastAsia="Times New Roman" w:hAnsi="Verdana" w:cs="Calibri"/>
                <w:color w:val="000000"/>
                <w:shd w:val="clear" w:color="auto" w:fill="FFFFFF"/>
                <w:lang w:eastAsia="es-CO"/>
              </w:rPr>
            </w:pPr>
            <w:r>
              <w:rPr>
                <w:rFonts w:ascii="Verdana" w:hAnsi="Verdana" w:cs="Arial"/>
                <w:lang w:val="es-MX"/>
              </w:rPr>
              <w:t>E</w:t>
            </w:r>
            <w:r w:rsidRPr="00F751A8">
              <w:rPr>
                <w:rFonts w:ascii="Verdana" w:hAnsi="Verdana" w:cs="Arial"/>
                <w:lang w:val="es-MX"/>
              </w:rPr>
              <w:t>l parágrafo 1 de artículo 2.2.1.2.1.2.12</w:t>
            </w:r>
            <w:r>
              <w:rPr>
                <w:rFonts w:ascii="Verdana" w:hAnsi="Verdana" w:cs="Arial"/>
                <w:lang w:val="es-MX"/>
              </w:rPr>
              <w:t xml:space="preserve"> del Decreto 10182 de 2015</w:t>
            </w:r>
            <w:r w:rsidRPr="00F751A8">
              <w:rPr>
                <w:rFonts w:ascii="Verdana" w:hAnsi="Verdana" w:cs="Arial"/>
                <w:lang w:val="es-MX"/>
              </w:rPr>
              <w:t xml:space="preserve"> faculta a </w:t>
            </w:r>
            <w:r w:rsidRPr="00F751A8">
              <w:rPr>
                <w:rFonts w:ascii="Verdana" w:hAnsi="Verdana" w:cs="Arial"/>
              </w:rPr>
              <w:t>la Agencia Nacional de contratación Pública - Colombia Compra Eficiente para definir los lineamientos generales, así como los criterios objetivos y medibles con arreglo a los cuales, las entidades estatales deben realizar sus adquisiciones de bienes o servicios de características técnicas uniformes a través de bolsas de productos, independientemente de que exista o no un acuerdo marco de precios vigente.</w:t>
            </w:r>
          </w:p>
          <w:p w14:paraId="2CE4C925" w14:textId="77777777" w:rsidR="004044F1" w:rsidRDefault="004044F1" w:rsidP="00C4340F">
            <w:pPr>
              <w:spacing w:after="120" w:line="276" w:lineRule="auto"/>
              <w:ind w:firstLine="709"/>
              <w:jc w:val="both"/>
              <w:rPr>
                <w:rFonts w:ascii="Verdana" w:hAnsi="Verdana" w:cs="Arial"/>
              </w:rPr>
            </w:pPr>
            <w:r>
              <w:rPr>
                <w:rFonts w:ascii="Verdana" w:hAnsi="Verdana" w:cs="Arial"/>
              </w:rPr>
              <w:t>En ese orden de ideas, d</w:t>
            </w:r>
            <w:r w:rsidRPr="00F751A8">
              <w:rPr>
                <w:rFonts w:ascii="Verdana" w:hAnsi="Verdana" w:cs="Arial"/>
              </w:rPr>
              <w:t>icha facultad fue ejercida a través de la Circular CCE-004 del 21 de septiembre de 2021</w:t>
            </w:r>
            <w:r>
              <w:rPr>
                <w:rStyle w:val="Refdenotaalpie"/>
                <w:rFonts w:ascii="Verdana" w:hAnsi="Verdana" w:cs="Arial"/>
              </w:rPr>
              <w:footnoteReference w:id="2"/>
            </w:r>
            <w:r>
              <w:rPr>
                <w:rFonts w:ascii="Verdana" w:hAnsi="Verdana" w:cs="Arial"/>
              </w:rPr>
              <w:t xml:space="preserve">, </w:t>
            </w:r>
            <w:r w:rsidRPr="00F751A8">
              <w:rPr>
                <w:rFonts w:ascii="Verdana" w:hAnsi="Verdana" w:cs="Arial"/>
              </w:rPr>
              <w:t xml:space="preserve">en la que además del Plan Operativo de Despliegue para materializar el régimen de obligatoriedad de la utilización </w:t>
            </w:r>
            <w:r w:rsidRPr="00F751A8">
              <w:rPr>
                <w:rFonts w:ascii="Verdana" w:hAnsi="Verdana" w:cs="Arial"/>
              </w:rPr>
              <w:lastRenderedPageBreak/>
              <w:t xml:space="preserve">de los acuerdos marco de precios, se establecieron unos criterios con base en los cuales las entidades estatales deben sustentar la escogencia del respectivo mecanismo para adquirir los bienes y/o servicios de características técnicas uniformes que requieran. Dentro de estos encontramos: </w:t>
            </w:r>
          </w:p>
          <w:p w14:paraId="600555D3" w14:textId="77777777" w:rsidR="004044F1" w:rsidRPr="00841950" w:rsidRDefault="004044F1" w:rsidP="00C4340F">
            <w:pPr>
              <w:pStyle w:val="Prrafodelista"/>
              <w:numPr>
                <w:ilvl w:val="0"/>
                <w:numId w:val="18"/>
              </w:numPr>
              <w:spacing w:after="120" w:line="276" w:lineRule="auto"/>
              <w:jc w:val="both"/>
              <w:rPr>
                <w:rFonts w:ascii="Verdana" w:hAnsi="Verdana" w:cs="Arial"/>
              </w:rPr>
            </w:pPr>
            <w:r w:rsidRPr="00841950">
              <w:rPr>
                <w:rFonts w:ascii="Verdana" w:hAnsi="Verdana" w:cs="Arial"/>
              </w:rPr>
              <w:t>validación de la disponibilidad del Bien o Servicio requerido por la entidad estatal en los catálogos de bienes y servicios ofrecidos en los acuerdos marco vigentes en la Tienda Virtual del Estado Colombiano;</w:t>
            </w:r>
          </w:p>
          <w:p w14:paraId="47BA6122" w14:textId="77777777" w:rsidR="004044F1" w:rsidRDefault="004044F1" w:rsidP="00C4340F">
            <w:pPr>
              <w:pStyle w:val="Prrafodelista"/>
              <w:numPr>
                <w:ilvl w:val="0"/>
                <w:numId w:val="18"/>
              </w:numPr>
              <w:spacing w:after="120" w:line="276" w:lineRule="auto"/>
              <w:jc w:val="both"/>
              <w:rPr>
                <w:rFonts w:ascii="Verdana" w:hAnsi="Verdana" w:cs="Arial"/>
              </w:rPr>
            </w:pPr>
            <w:r w:rsidRPr="00841950">
              <w:rPr>
                <w:rFonts w:ascii="Verdana" w:hAnsi="Verdana" w:cs="Arial"/>
              </w:rPr>
              <w:t>existencia de un Acuerdo Marco de precios y disponibilidad de los mismos bienes y/o servicios a través de la Bolsa de Productos; y</w:t>
            </w:r>
          </w:p>
          <w:p w14:paraId="542D3B41" w14:textId="77777777" w:rsidR="004044F1" w:rsidRPr="00316834" w:rsidRDefault="004044F1" w:rsidP="00C4340F">
            <w:pPr>
              <w:pStyle w:val="Prrafodelista"/>
              <w:numPr>
                <w:ilvl w:val="0"/>
                <w:numId w:val="18"/>
              </w:numPr>
              <w:spacing w:after="120" w:line="276" w:lineRule="auto"/>
              <w:jc w:val="both"/>
              <w:rPr>
                <w:rFonts w:ascii="Verdana" w:hAnsi="Verdana" w:cs="Arial"/>
              </w:rPr>
            </w:pPr>
            <w:r w:rsidRPr="00316834">
              <w:rPr>
                <w:rFonts w:ascii="Verdana" w:hAnsi="Verdana" w:cs="Arial"/>
              </w:rPr>
              <w:t>no existencia de un Acuerdo Marco de precios.</w:t>
            </w:r>
          </w:p>
          <w:p w14:paraId="664707A6" w14:textId="77777777" w:rsidR="004044F1" w:rsidRPr="00D7221B" w:rsidRDefault="004044F1" w:rsidP="00C4340F">
            <w:pPr>
              <w:spacing w:after="120" w:line="276" w:lineRule="auto"/>
              <w:jc w:val="both"/>
              <w:rPr>
                <w:rFonts w:ascii="Verdana" w:eastAsia="Times New Roman" w:hAnsi="Verdana" w:cs="Calibri"/>
                <w:color w:val="000000"/>
                <w:shd w:val="clear" w:color="auto" w:fill="FFFFFF"/>
                <w:lang w:val="es-ES" w:eastAsia="es-CO"/>
              </w:rPr>
            </w:pPr>
          </w:p>
          <w:p w14:paraId="4DFD5FBE" w14:textId="77777777" w:rsidR="004044F1" w:rsidRPr="00D3636C" w:rsidRDefault="004044F1" w:rsidP="00C4340F">
            <w:pPr>
              <w:spacing w:after="120" w:line="276" w:lineRule="auto"/>
              <w:ind w:firstLine="709"/>
              <w:jc w:val="both"/>
              <w:rPr>
                <w:rFonts w:ascii="Verdana" w:eastAsia="Times New Roman" w:hAnsi="Verdana" w:cs="Calibri"/>
                <w:color w:val="000000"/>
                <w:shd w:val="clear" w:color="auto" w:fill="FFFFFF"/>
                <w:lang w:eastAsia="es-CO"/>
              </w:rPr>
            </w:pPr>
            <w:r w:rsidRPr="0029501D">
              <w:rPr>
                <w:rFonts w:ascii="Verdana" w:eastAsia="Times New Roman" w:hAnsi="Verdana" w:cs="Calibri"/>
                <w:color w:val="000000"/>
                <w:shd w:val="clear" w:color="auto" w:fill="FFFFFF"/>
                <w:lang w:eastAsia="es-CO"/>
              </w:rPr>
              <w:t>Así mismo, las Entidades Estatales pueden utilizar todas las fuentes y referencias que resulten útiles y pertinentes, siempre que provengan de una fuente confiable y que permitan obtener el mayor valor por dinero. La profundidad del estudio del sector depende de la complejidad del Proceso de Contratación, y se recomienda que se utilicen varias fuentes de información.</w:t>
            </w:r>
          </w:p>
          <w:p w14:paraId="0C4EE035" w14:textId="77777777" w:rsidR="004044F1" w:rsidRPr="00334C61" w:rsidRDefault="004044F1" w:rsidP="00C4340F">
            <w:pPr>
              <w:spacing w:after="120" w:line="276" w:lineRule="auto"/>
              <w:ind w:firstLine="709"/>
              <w:jc w:val="both"/>
              <w:rPr>
                <w:rFonts w:ascii="Verdana" w:hAnsi="Verdana"/>
              </w:rPr>
            </w:pPr>
            <w:r w:rsidRPr="00334C61">
              <w:rPr>
                <w:rFonts w:ascii="Verdana" w:hAnsi="Verdana"/>
              </w:rPr>
              <w:t xml:space="preserve">Ahora bien, cuando la entidad pretenda realizar la adquisición de bienes mediante el mecanismo de bolsa de productos, </w:t>
            </w:r>
            <w:r>
              <w:rPr>
                <w:rFonts w:ascii="Verdana" w:hAnsi="Verdana"/>
              </w:rPr>
              <w:t xml:space="preserve">esta </w:t>
            </w:r>
            <w:r w:rsidRPr="00334C61">
              <w:rPr>
                <w:rFonts w:ascii="Verdana" w:hAnsi="Verdana"/>
              </w:rPr>
              <w:t>se encuentra regulada por el Decreto 2555 de 2010 y los artículos 2.2.1.2.1.2.11 a 2.2.1.2.1.2.19 del Decreto 1082 de 2015. Esta hace posible que vendedores y compradores concurran en un mercado organizado donde se negocian de forma dinámica bienes y servicios, a través de procesos de subasta pública, a viva voz o en línea, en un ambiente transparente y altamente competitivo. Los productos se negocian con base en una descripción detallada de los mismos, de acuerdo con una reglamentación que permite que los participantes estén en igualdad de oportunidades y que el precio de los productos sea resultado de la competencia entre los ofrecimientos.</w:t>
            </w:r>
          </w:p>
          <w:p w14:paraId="48FBFF1C" w14:textId="77777777" w:rsidR="004044F1" w:rsidRDefault="004044F1" w:rsidP="00C4340F">
            <w:pPr>
              <w:spacing w:after="120" w:line="276" w:lineRule="auto"/>
              <w:ind w:firstLine="709"/>
              <w:jc w:val="both"/>
              <w:rPr>
                <w:rFonts w:ascii="Verdana" w:hAnsi="Verdana" w:cs="Calibri"/>
                <w:color w:val="000000"/>
                <w:shd w:val="clear" w:color="auto" w:fill="FFFFFF"/>
              </w:rPr>
            </w:pPr>
            <w:r>
              <w:rPr>
                <w:rFonts w:ascii="Verdana" w:hAnsi="Verdana" w:cs="Calibri"/>
                <w:color w:val="000000"/>
                <w:shd w:val="clear" w:color="auto" w:fill="FFFFFF"/>
              </w:rPr>
              <w:t>De</w:t>
            </w:r>
            <w:r w:rsidRPr="00D3636C">
              <w:rPr>
                <w:rFonts w:ascii="Verdana" w:hAnsi="Verdana" w:cs="Calibri"/>
                <w:color w:val="000000"/>
                <w:shd w:val="clear" w:color="auto" w:fill="FFFFFF"/>
              </w:rPr>
              <w:t xml:space="preserve"> conformidad a lo prescrito en el artículo 2.2.1.2.1.2.12 del Decreto 1082 de 2015, modificado por el artículo 2 del Decreto 310 del 25 de marzo de 2021, cuando </w:t>
            </w:r>
            <w:r w:rsidRPr="00CC640A">
              <w:rPr>
                <w:rFonts w:ascii="Verdana" w:hAnsi="Verdana" w:cs="Calibri"/>
                <w:color w:val="000000"/>
              </w:rPr>
              <w:t>no</w:t>
            </w:r>
            <w:r w:rsidRPr="00D3636C">
              <w:rPr>
                <w:rFonts w:ascii="Verdana" w:hAnsi="Verdana" w:cs="Calibri"/>
                <w:i/>
                <w:iCs/>
                <w:color w:val="000000"/>
              </w:rPr>
              <w:t> </w:t>
            </w:r>
            <w:r w:rsidRPr="00D3636C">
              <w:rPr>
                <w:rFonts w:ascii="Verdana" w:hAnsi="Verdana" w:cs="Calibri"/>
                <w:color w:val="000000"/>
                <w:shd w:val="clear" w:color="auto" w:fill="FFFFFF"/>
              </w:rPr>
              <w:t xml:space="preserve">exista un acuerdo marco de precios el adelantamiento de una compra mediante el mecanismo de bolsa de productos, requiere que las entidades realicen un estudio comparativo en el que determinen las ventajas de utilizar el mecanismo, frente a la posibilidad de acudir a la subasta inversa o a la posibilidad de promover un nuevo acuerdo marco de precios, análisis en </w:t>
            </w:r>
            <w:r w:rsidRPr="00D3636C">
              <w:rPr>
                <w:rFonts w:ascii="Verdana" w:hAnsi="Verdana" w:cs="Calibri"/>
                <w:color w:val="000000"/>
                <w:shd w:val="clear" w:color="auto" w:fill="FFFFFF"/>
              </w:rPr>
              <w:lastRenderedPageBreak/>
              <w:t xml:space="preserve">que se deberá considerar el proceso de selección del comisionista, los costos asociados a la selección, el valor de la comisión y de las garantías. </w:t>
            </w:r>
          </w:p>
          <w:p w14:paraId="0676B54F" w14:textId="77777777" w:rsidR="004044F1" w:rsidRDefault="004044F1" w:rsidP="00C4340F">
            <w:pPr>
              <w:spacing w:after="120" w:line="276" w:lineRule="auto"/>
              <w:ind w:firstLine="709"/>
              <w:jc w:val="both"/>
              <w:rPr>
                <w:rFonts w:ascii="Verdana" w:hAnsi="Verdana" w:cs="Calibri"/>
                <w:color w:val="000000"/>
                <w:shd w:val="clear" w:color="auto" w:fill="FFFFFF"/>
              </w:rPr>
            </w:pPr>
            <w:r w:rsidRPr="00D3636C">
              <w:rPr>
                <w:rFonts w:ascii="Verdana" w:hAnsi="Verdana" w:cs="Calibri"/>
                <w:color w:val="000000"/>
                <w:shd w:val="clear" w:color="auto" w:fill="FFFFFF"/>
              </w:rPr>
              <w:t>La disposición indicada además expresa que este estudio debe señalar la forma en que la entidad estatal garantiza los principios y objetivos del sistema de compras, contratación pública, los postulados de la función administrativa y de la gestión fiscal. De otro lado, expresamente se establece en el inciso segundo de la norma analizada que: “(...) este estudio deberá consignarse expresamente en los documentos del Proceso de Selección y se deberá garantizar su oportuna publicidad a través del SECOP”.</w:t>
            </w:r>
          </w:p>
          <w:p w14:paraId="13164CE7" w14:textId="2C9B443E" w:rsidR="004044F1" w:rsidRDefault="004044F1" w:rsidP="00C4340F">
            <w:pPr>
              <w:spacing w:after="120" w:line="276" w:lineRule="auto"/>
              <w:ind w:firstLine="709"/>
              <w:jc w:val="both"/>
              <w:rPr>
                <w:rFonts w:ascii="Verdana" w:hAnsi="Verdana" w:cs="Calibri"/>
                <w:color w:val="000000"/>
                <w:shd w:val="clear" w:color="auto" w:fill="FFFFFF"/>
              </w:rPr>
            </w:pPr>
            <w:r>
              <w:rPr>
                <w:rFonts w:ascii="Verdana" w:hAnsi="Verdana" w:cs="Calibri"/>
                <w:color w:val="000000"/>
                <w:shd w:val="clear" w:color="auto" w:fill="FFFFFF"/>
              </w:rPr>
              <w:t xml:space="preserve">En conclusión, si bien el artículo </w:t>
            </w:r>
            <w:r w:rsidRPr="00D3636C">
              <w:rPr>
                <w:rFonts w:ascii="Verdana" w:hAnsi="Verdana" w:cs="Calibri"/>
                <w:color w:val="000000"/>
                <w:shd w:val="clear" w:color="auto" w:fill="FFFFFF"/>
              </w:rPr>
              <w:t>2.2.1.2.1.2.12 del Decreto 1082 de 2015</w:t>
            </w:r>
            <w:r>
              <w:rPr>
                <w:rFonts w:ascii="Verdana" w:hAnsi="Verdana" w:cs="Calibri"/>
                <w:color w:val="000000"/>
                <w:shd w:val="clear" w:color="auto" w:fill="FFFFFF"/>
              </w:rPr>
              <w:t xml:space="preserve"> señala la necesidad de la elaboración del análisis del sector, se encuentra </w:t>
            </w:r>
            <w:r w:rsidR="09C614E2">
              <w:rPr>
                <w:rFonts w:ascii="Verdana" w:hAnsi="Verdana" w:cs="Calibri"/>
                <w:color w:val="000000"/>
                <w:shd w:val="clear" w:color="auto" w:fill="FFFFFF"/>
              </w:rPr>
              <w:t>que entre otros estudios que deben</w:t>
            </w:r>
            <w:r w:rsidR="2A27515C">
              <w:rPr>
                <w:rFonts w:ascii="Verdana" w:hAnsi="Verdana" w:cs="Calibri"/>
                <w:color w:val="000000"/>
                <w:shd w:val="clear" w:color="auto" w:fill="FFFFFF"/>
              </w:rPr>
              <w:t xml:space="preserve"> realizar</w:t>
            </w:r>
            <w:r w:rsidR="09C614E2">
              <w:rPr>
                <w:rFonts w:ascii="Verdana" w:hAnsi="Verdana" w:cs="Calibri"/>
                <w:color w:val="000000"/>
                <w:shd w:val="clear" w:color="auto" w:fill="FFFFFF"/>
              </w:rPr>
              <w:t xml:space="preserve"> las entidades para justificar la modalidad de selección a</w:t>
            </w:r>
            <w:r w:rsidR="3C9E92B2">
              <w:rPr>
                <w:rFonts w:ascii="Verdana" w:hAnsi="Verdana" w:cs="Calibri"/>
                <w:color w:val="000000"/>
                <w:shd w:val="clear" w:color="auto" w:fill="FFFFFF"/>
              </w:rPr>
              <w:t xml:space="preserve"> emplear</w:t>
            </w:r>
            <w:r w:rsidR="09C614E2">
              <w:rPr>
                <w:rFonts w:ascii="Verdana" w:hAnsi="Verdana" w:cs="Calibri"/>
                <w:color w:val="000000"/>
                <w:shd w:val="clear" w:color="auto" w:fill="FFFFFF"/>
              </w:rPr>
              <w:t xml:space="preserve">, </w:t>
            </w:r>
            <w:r w:rsidR="1E172626">
              <w:rPr>
                <w:rFonts w:ascii="Verdana" w:hAnsi="Verdana" w:cs="Calibri"/>
                <w:color w:val="000000"/>
                <w:shd w:val="clear" w:color="auto" w:fill="FFFFFF"/>
              </w:rPr>
              <w:t xml:space="preserve">deben realizar </w:t>
            </w:r>
            <w:r>
              <w:rPr>
                <w:rFonts w:ascii="Verdana" w:hAnsi="Verdana" w:cs="Calibri"/>
                <w:color w:val="000000"/>
                <w:shd w:val="clear" w:color="auto" w:fill="FFFFFF"/>
              </w:rPr>
              <w:t xml:space="preserve">el estudio de mercado que es aquel que permite comprender la dinámica de los precios y el establecer el presupuesto oficial de la contratación y la modalidad de contratación. </w:t>
            </w:r>
          </w:p>
          <w:p w14:paraId="5990EC0B" w14:textId="77777777" w:rsidR="004044F1" w:rsidRPr="0015597A" w:rsidRDefault="004044F1" w:rsidP="00C4340F">
            <w:pPr>
              <w:spacing w:after="120" w:line="276" w:lineRule="auto"/>
              <w:jc w:val="both"/>
              <w:rPr>
                <w:rFonts w:ascii="Verdana" w:hAnsi="Verdana" w:cs="Calibri"/>
                <w:color w:val="000000"/>
                <w:shd w:val="clear" w:color="auto" w:fill="FFFFFF"/>
              </w:rPr>
            </w:pPr>
          </w:p>
        </w:tc>
      </w:tr>
    </w:tbl>
    <w:p w14:paraId="7E4A1024" w14:textId="77777777" w:rsidR="004044F1" w:rsidRPr="00593A5F" w:rsidRDefault="004044F1" w:rsidP="004044F1">
      <w:pPr>
        <w:tabs>
          <w:tab w:val="left" w:pos="142"/>
          <w:tab w:val="left" w:pos="284"/>
        </w:tabs>
        <w:spacing w:after="0" w:line="276" w:lineRule="auto"/>
        <w:jc w:val="both"/>
        <w:rPr>
          <w:rFonts w:ascii="Verdana" w:eastAsia="Century Gothic" w:hAnsi="Verdana" w:cs="Century Gothic"/>
          <w:b/>
          <w:bCs/>
          <w:lang w:val="es-ES"/>
        </w:rPr>
      </w:pPr>
    </w:p>
    <w:p w14:paraId="7A5A22EB" w14:textId="77777777" w:rsidR="004044F1" w:rsidRPr="00593A5F" w:rsidRDefault="004044F1" w:rsidP="004044F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6EFA9CA9" w14:textId="77777777" w:rsidR="004044F1" w:rsidRPr="00593A5F" w:rsidRDefault="004044F1" w:rsidP="004044F1">
      <w:pPr>
        <w:spacing w:after="0" w:line="276" w:lineRule="auto"/>
        <w:jc w:val="both"/>
        <w:rPr>
          <w:rFonts w:ascii="Verdana" w:eastAsia="Calibri" w:hAnsi="Verdana" w:cs="Arial"/>
          <w:color w:val="7030A0"/>
          <w:lang w:val="es-ES"/>
        </w:rPr>
      </w:pPr>
    </w:p>
    <w:p w14:paraId="1F58F303" w14:textId="77777777" w:rsidR="004044F1" w:rsidRDefault="004044F1" w:rsidP="004044F1">
      <w:pPr>
        <w:spacing w:after="0" w:line="276" w:lineRule="auto"/>
        <w:jc w:val="both"/>
        <w:rPr>
          <w:rFonts w:ascii="Verdana" w:eastAsia="Calibri" w:hAnsi="Verdana" w:cs="Arial"/>
          <w:lang w:val="es-ES"/>
        </w:rPr>
      </w:pPr>
      <w:r w:rsidRPr="00FB372A">
        <w:rPr>
          <w:rFonts w:ascii="Verdana" w:eastAsia="Calibri" w:hAnsi="Verdana" w:cs="Arial"/>
          <w:lang w:val="es-ES"/>
        </w:rPr>
        <w:t>Lo anterior se sustenta en las siguientes consideraciones:</w:t>
      </w:r>
    </w:p>
    <w:p w14:paraId="326F780F" w14:textId="77777777" w:rsidR="004044F1" w:rsidRDefault="004044F1" w:rsidP="004044F1">
      <w:pPr>
        <w:spacing w:after="0" w:line="276" w:lineRule="auto"/>
        <w:jc w:val="both"/>
        <w:rPr>
          <w:rFonts w:ascii="Verdana" w:eastAsia="Calibri" w:hAnsi="Verdana" w:cs="Arial"/>
          <w:lang w:val="es-ES"/>
        </w:rPr>
      </w:pPr>
    </w:p>
    <w:p w14:paraId="795D933D" w14:textId="77777777" w:rsidR="004044F1" w:rsidRDefault="004044F1" w:rsidP="004044F1">
      <w:pPr>
        <w:spacing w:after="120" w:line="276" w:lineRule="auto"/>
        <w:jc w:val="both"/>
        <w:rPr>
          <w:rFonts w:ascii="Verdana" w:eastAsia="Calibri" w:hAnsi="Verdana" w:cs="Arial"/>
          <w:lang w:val="es-MX"/>
        </w:rPr>
      </w:pPr>
      <w:r w:rsidRPr="00844B92">
        <w:rPr>
          <w:rFonts w:ascii="Verdana" w:eastAsia="Calibri" w:hAnsi="Verdana" w:cs="Arial"/>
          <w:lang w:val="es-MX"/>
        </w:rPr>
        <w:t>Las compras en bolsa de productos son un mecanismo contemplado en el numeral 2 del artículo 2 de la Ley 1150 de 2007, en el marco de la modalidad de selección abreviada, para la adquisición o suministro de bienes y servicios de características técnicas uniformes y de común utilización por parte de las entidades estatales</w:t>
      </w:r>
      <w:r w:rsidRPr="00844B92">
        <w:rPr>
          <w:rStyle w:val="Refdenotaalpie"/>
          <w:rFonts w:ascii="Verdana" w:eastAsia="Calibri" w:hAnsi="Verdana" w:cs="Arial"/>
          <w:lang w:val="es-MX"/>
        </w:rPr>
        <w:footnoteReference w:id="3"/>
      </w:r>
      <w:r w:rsidRPr="00844B92">
        <w:rPr>
          <w:rFonts w:ascii="Verdana" w:eastAsia="Calibri" w:hAnsi="Verdana" w:cs="Arial"/>
          <w:lang w:val="es-MX"/>
        </w:rPr>
        <w:t>.</w:t>
      </w:r>
    </w:p>
    <w:p w14:paraId="15E6896B" w14:textId="77777777" w:rsidR="004044F1" w:rsidRPr="00B523E8" w:rsidRDefault="004044F1" w:rsidP="004044F1">
      <w:pPr>
        <w:spacing w:after="120" w:line="276" w:lineRule="auto"/>
        <w:ind w:firstLine="709"/>
        <w:jc w:val="both"/>
        <w:rPr>
          <w:rFonts w:ascii="Verdana" w:eastAsia="Calibri" w:hAnsi="Verdana" w:cs="Arial"/>
          <w:lang w:val="es-MX"/>
        </w:rPr>
      </w:pPr>
      <w:r>
        <w:rPr>
          <w:rFonts w:ascii="Verdana" w:eastAsia="Calibri" w:hAnsi="Verdana" w:cs="Arial"/>
        </w:rPr>
        <w:lastRenderedPageBreak/>
        <w:t>Sin embargo, c</w:t>
      </w:r>
      <w:r w:rsidRPr="00B523E8">
        <w:rPr>
          <w:rFonts w:ascii="Verdana" w:eastAsia="Calibri" w:hAnsi="Verdana" w:cs="Arial"/>
        </w:rPr>
        <w:t>uando no exista un Acuerdo Marco de Precios para el bien o servicio requerido, las entidades estatales deben estudiar, comparar e identificar las ventajas de utilizar la bolsa de productos para la adquisición respectiva frente a la subasta inversa o a la promoción de un nuevo Acuerdo Marco de Precios con la Agencia Nacional de Contratación Pública -Colombia Compra Eficiente- para tales bienes o servicios, incluyendo el análisis del Proceso de Selección del comisionista, los costos asociados a la selección, el valor de la comisión y de las garantías.</w:t>
      </w:r>
    </w:p>
    <w:p w14:paraId="483283E5" w14:textId="77777777" w:rsidR="004044F1" w:rsidRPr="00844B92" w:rsidRDefault="004044F1" w:rsidP="004044F1">
      <w:pPr>
        <w:spacing w:after="120" w:line="276" w:lineRule="auto"/>
        <w:ind w:firstLine="709"/>
        <w:jc w:val="both"/>
        <w:rPr>
          <w:rFonts w:ascii="Verdana" w:eastAsia="Calibri" w:hAnsi="Verdana" w:cs="Arial"/>
          <w:lang w:val="es-MX"/>
        </w:rPr>
      </w:pPr>
      <w:r>
        <w:rPr>
          <w:rFonts w:ascii="Verdana" w:eastAsia="Calibri" w:hAnsi="Verdana" w:cs="Arial"/>
          <w:lang w:val="es-MX"/>
        </w:rPr>
        <w:t>Así las cosas, l</w:t>
      </w:r>
      <w:r w:rsidRPr="00844B92">
        <w:rPr>
          <w:rFonts w:ascii="Verdana" w:eastAsia="Calibri" w:hAnsi="Verdana" w:cs="Arial"/>
          <w:lang w:val="es-MX"/>
        </w:rPr>
        <w:t>a adquisición de bienes mediante el mecanismo de bolsa de productos se encuentra regulada por el Decreto 2555 de 2010 y los artículos 2.2.1.2.1.2.11 a 2.2.1.2.1.2.19 del Decreto 1082 de 2015. Esta hace posible que vendedores y compradores concurran en un mercado organizado donde se negocian de forma dinámica bienes y servicios, a través de procesos de subasta pública, a viva voz o en línea, en un ambiente transparente y altamente competitivo</w:t>
      </w:r>
      <w:r w:rsidRPr="00844B92">
        <w:rPr>
          <w:rFonts w:ascii="Verdana" w:eastAsia="Calibri" w:hAnsi="Verdana" w:cs="Arial"/>
          <w:vertAlign w:val="superscript"/>
          <w:lang w:val="es-MX"/>
        </w:rPr>
        <w:footnoteReference w:id="4"/>
      </w:r>
      <w:r w:rsidRPr="00844B92">
        <w:rPr>
          <w:rFonts w:ascii="Verdana" w:eastAsia="Calibri" w:hAnsi="Verdana" w:cs="Arial"/>
          <w:lang w:val="es-MX"/>
        </w:rPr>
        <w:t>. Los productos se negocian con base en una descripción detallada de los mismos, de acuerdo con una reglamentación que permite que los participantes estén en igualdad de oportunidades y que el precio de los productos sea resultado de la competencia entre los ofrecimientos</w:t>
      </w:r>
      <w:r w:rsidRPr="00844B92">
        <w:rPr>
          <w:rStyle w:val="Refdenotaalpie"/>
          <w:rFonts w:ascii="Verdana" w:eastAsia="Calibri" w:hAnsi="Verdana" w:cs="Arial"/>
          <w:lang w:val="es-MX"/>
        </w:rPr>
        <w:footnoteReference w:id="5"/>
      </w:r>
      <w:r w:rsidRPr="00844B92">
        <w:rPr>
          <w:rFonts w:ascii="Verdana" w:eastAsia="Calibri" w:hAnsi="Verdana" w:cs="Arial"/>
          <w:lang w:val="es-MX"/>
        </w:rPr>
        <w:t>.</w:t>
      </w:r>
    </w:p>
    <w:p w14:paraId="54FAC09B" w14:textId="77777777" w:rsidR="004044F1" w:rsidRPr="00844B92" w:rsidRDefault="004044F1" w:rsidP="004044F1">
      <w:pPr>
        <w:spacing w:after="120" w:line="276" w:lineRule="auto"/>
        <w:jc w:val="both"/>
        <w:rPr>
          <w:rFonts w:ascii="Verdana" w:eastAsia="Calibri" w:hAnsi="Verdana" w:cs="Arial"/>
          <w:lang w:val="es-MX"/>
        </w:rPr>
      </w:pPr>
      <w:r w:rsidRPr="00844B92">
        <w:rPr>
          <w:rFonts w:ascii="Verdana" w:eastAsia="Calibri" w:hAnsi="Verdana" w:cs="Arial"/>
          <w:lang w:val="es-MX"/>
        </w:rPr>
        <w:tab/>
      </w:r>
      <w:r>
        <w:rPr>
          <w:rFonts w:ascii="Verdana" w:eastAsia="Calibri" w:hAnsi="Verdana" w:cs="Arial"/>
          <w:color w:val="000000" w:themeColor="text1"/>
        </w:rPr>
        <w:t xml:space="preserve">De acuerdo con lo anterior, </w:t>
      </w:r>
      <w:r>
        <w:rPr>
          <w:rFonts w:ascii="Verdana" w:eastAsia="Calibri" w:hAnsi="Verdana" w:cs="Arial"/>
          <w:lang w:val="es-MX"/>
        </w:rPr>
        <w:t>l</w:t>
      </w:r>
      <w:r w:rsidRPr="00844B92">
        <w:rPr>
          <w:rFonts w:ascii="Verdana" w:eastAsia="Calibri" w:hAnsi="Verdana" w:cs="Arial"/>
          <w:lang w:val="es-MX"/>
        </w:rPr>
        <w:t>a negociación por parte de la entidad se da a través de un comisionista, el cual debe ser contratado por la entidad de conformidad con el procedimiento y reglas de la respectiva bolsa de productos</w:t>
      </w:r>
      <w:r w:rsidRPr="00844B92">
        <w:rPr>
          <w:rStyle w:val="Refdenotaalpie"/>
          <w:rFonts w:ascii="Verdana" w:eastAsia="Calibri" w:hAnsi="Verdana" w:cs="Arial"/>
          <w:lang w:val="es-MX"/>
        </w:rPr>
        <w:footnoteReference w:id="6"/>
      </w:r>
      <w:r w:rsidRPr="00844B92">
        <w:rPr>
          <w:rFonts w:ascii="Verdana" w:eastAsia="Calibri" w:hAnsi="Verdana" w:cs="Arial"/>
          <w:lang w:val="es-MX"/>
        </w:rPr>
        <w:t>. A su vez, la calidad de los productos negociados y la liquidación de las operaciones celebradas debe estar respaldada por garantías</w:t>
      </w:r>
      <w:r w:rsidRPr="00844B92">
        <w:rPr>
          <w:rStyle w:val="Refdenotaalpie"/>
          <w:rFonts w:ascii="Verdana" w:eastAsia="Calibri" w:hAnsi="Verdana" w:cs="Arial"/>
          <w:lang w:val="es-MX"/>
        </w:rPr>
        <w:footnoteReference w:id="7"/>
      </w:r>
      <w:r w:rsidRPr="00844B92">
        <w:rPr>
          <w:rFonts w:ascii="Verdana" w:eastAsia="Calibri" w:hAnsi="Verdana" w:cs="Arial"/>
          <w:lang w:val="es-MX"/>
        </w:rPr>
        <w:t>.</w:t>
      </w:r>
      <w:r>
        <w:rPr>
          <w:rFonts w:ascii="Verdana" w:eastAsia="Calibri" w:hAnsi="Verdana" w:cs="Arial"/>
          <w:lang w:val="es-MX"/>
        </w:rPr>
        <w:t xml:space="preserve"> </w:t>
      </w:r>
      <w:r>
        <w:rPr>
          <w:rFonts w:ascii="Verdana" w:eastAsia="Calibri" w:hAnsi="Verdana" w:cs="Arial"/>
          <w:color w:val="000000" w:themeColor="text1"/>
        </w:rPr>
        <w:t xml:space="preserve">Igualmente, este </w:t>
      </w:r>
      <w:r>
        <w:rPr>
          <w:rFonts w:ascii="Verdana" w:eastAsia="Calibri" w:hAnsi="Verdana" w:cs="Arial"/>
          <w:color w:val="000000" w:themeColor="text1"/>
        </w:rPr>
        <w:lastRenderedPageBreak/>
        <w:t xml:space="preserve">proceso se </w:t>
      </w:r>
      <w:r>
        <w:rPr>
          <w:rFonts w:ascii="Verdana" w:eastAsia="Calibri" w:hAnsi="Verdana" w:cs="Arial"/>
          <w:color w:val="000000" w:themeColor="text1"/>
          <w:lang w:val="es-ES"/>
        </w:rPr>
        <w:t>encuentra respaldado por el</w:t>
      </w:r>
      <w:r w:rsidRPr="00F10CF5">
        <w:rPr>
          <w:rFonts w:ascii="Verdana" w:eastAsia="Calibri" w:hAnsi="Verdana" w:cs="Arial"/>
          <w:color w:val="000000" w:themeColor="text1"/>
        </w:rPr>
        <w:t xml:space="preserve"> marco regulatorio en la optimización de los procedimientos de compra en el ámbito público, asegurando eficiencia y equidad en las transacciones.</w:t>
      </w:r>
    </w:p>
    <w:p w14:paraId="32BBE109" w14:textId="77777777" w:rsidR="004044F1" w:rsidRDefault="004044F1" w:rsidP="004044F1">
      <w:pPr>
        <w:spacing w:after="120" w:line="276" w:lineRule="auto"/>
        <w:jc w:val="both"/>
        <w:rPr>
          <w:rFonts w:ascii="Verdana" w:eastAsia="Calibri" w:hAnsi="Verdana" w:cs="Arial"/>
          <w:lang w:val="es-MX"/>
        </w:rPr>
      </w:pPr>
      <w:r w:rsidRPr="00844B92">
        <w:rPr>
          <w:rFonts w:ascii="Verdana" w:eastAsia="Calibri" w:hAnsi="Verdana" w:cs="Arial"/>
          <w:lang w:val="es-MX"/>
        </w:rPr>
        <w:tab/>
        <w:t>De conformidad con el artículo 2.2.1.2.1.2.12 del Decreto 1082 de 2015, modificado por el artículo 2 del Decreto 310 del 25 de marzo de 2021, las entidades reali</w:t>
      </w:r>
      <w:r>
        <w:rPr>
          <w:rFonts w:ascii="Verdana" w:eastAsia="Calibri" w:hAnsi="Verdana" w:cs="Arial"/>
          <w:lang w:val="es-MX"/>
        </w:rPr>
        <w:t>zan</w:t>
      </w:r>
      <w:r w:rsidRPr="00844B92">
        <w:rPr>
          <w:rFonts w:ascii="Verdana" w:eastAsia="Calibri" w:hAnsi="Verdana" w:cs="Arial"/>
          <w:lang w:val="es-MX"/>
        </w:rPr>
        <w:t xml:space="preserve"> un estudio comparativo en el que determinen las ventajas de utilizar el mecanismo. La disposición indicada además expresa que este estudio debe señalar la forma en que la entidad estatal garantiza los principios y objetivos del sistema de compras, contratación pública, los postulados de la función administrativa y de la gestión fiscal. De otro lado, expresamente se establece en el inciso segundo de la norma analizada que: “(…) este estudio deberá consignarse expresamente en los documentos del Proceso de Selección y se deberá garantizar su oportuna publicidad a través del SECOP”.</w:t>
      </w:r>
    </w:p>
    <w:p w14:paraId="6CB4F13B" w14:textId="77777777" w:rsidR="004044F1" w:rsidRDefault="004044F1" w:rsidP="004044F1">
      <w:pPr>
        <w:spacing w:after="120" w:line="276" w:lineRule="auto"/>
        <w:ind w:firstLine="709"/>
        <w:jc w:val="both"/>
        <w:rPr>
          <w:rFonts w:ascii="Verdana" w:eastAsia="Calibri" w:hAnsi="Verdana" w:cs="Arial"/>
          <w:color w:val="000000" w:themeColor="text1"/>
          <w:lang w:val="es-MX"/>
        </w:rPr>
      </w:pPr>
      <w:r w:rsidRPr="004157FA">
        <w:rPr>
          <w:rFonts w:ascii="Verdana" w:hAnsi="Verdana" w:cs="Arial"/>
          <w:lang w:val="es-MX"/>
        </w:rPr>
        <w:t>No obstante</w:t>
      </w:r>
      <w:r w:rsidRPr="004157FA">
        <w:rPr>
          <w:rFonts w:ascii="Verdana" w:eastAsia="Calibri" w:hAnsi="Verdana" w:cs="Arial"/>
          <w:color w:val="000000" w:themeColor="text1"/>
          <w:lang w:val="es-MX"/>
        </w:rPr>
        <w:t>, los incisos tercero y cuarto de la disposición analizada también permiten a las entidades estatales acudir a las bolsas de productos cuando a pesar de la existencia de un acuerdo marco de precios, mediante aquel mecanismo se obtengan precios inferiores, incluyendo los costos generados por concepto de comisionistas de bolsa y los gastos de operación indicados en el artículo 2.2.1.2.1.2.15. del Decreto 1082 de 2015 y no se desmejoren las condiciones técnicas y de calidad. Este análisis comparativo se debe realizar con el “promedio de los valores finales de las operaciones secundarias materializadas con ocasión de las órdenes de compra colocadas por las Entidades compradoras a través de la Tienda Virtual del Estado, administrada por la Agencia Nacional de Contratación Pública -Colombia Compra Eficiente- durante los últimos seis (6) meses</w:t>
      </w:r>
      <w:r>
        <w:rPr>
          <w:rStyle w:val="Refdenotaalpie"/>
          <w:rFonts w:ascii="Verdana" w:eastAsia="Calibri" w:hAnsi="Verdana" w:cs="Arial"/>
          <w:color w:val="000000" w:themeColor="text1"/>
          <w:lang w:val="es-MX"/>
        </w:rPr>
        <w:footnoteReference w:id="8"/>
      </w:r>
      <w:r>
        <w:rPr>
          <w:rFonts w:ascii="Verdana" w:eastAsia="Calibri" w:hAnsi="Verdana" w:cs="Arial"/>
          <w:color w:val="000000" w:themeColor="text1"/>
          <w:lang w:val="es-MX"/>
        </w:rPr>
        <w:t>.</w:t>
      </w:r>
    </w:p>
    <w:p w14:paraId="749751E7" w14:textId="77777777" w:rsidR="004044F1" w:rsidRPr="004157FA" w:rsidRDefault="004044F1" w:rsidP="004044F1">
      <w:pPr>
        <w:spacing w:after="120" w:line="276" w:lineRule="auto"/>
        <w:ind w:firstLine="708"/>
        <w:jc w:val="both"/>
        <w:rPr>
          <w:rFonts w:ascii="Verdana" w:hAnsi="Verdana" w:cs="Arial"/>
          <w:lang w:val="es-MX"/>
        </w:rPr>
      </w:pPr>
      <w:r w:rsidRPr="004157FA">
        <w:rPr>
          <w:rFonts w:ascii="Verdana" w:eastAsia="Calibri" w:hAnsi="Verdana" w:cs="Arial"/>
          <w:color w:val="000000" w:themeColor="text1"/>
          <w:lang w:val="es-MX"/>
        </w:rPr>
        <w:lastRenderedPageBreak/>
        <w:t xml:space="preserve">De otro lado, desde una perspectiva general, en principio la adquisición de bienes y servicios de características técnicas uniformes a través del mecanismo de bolsa de productos, se encuentra sometido al deber de publicidad de las actuaciones contractuales de las entidades públicas establecido en el artículo 3 de la Ley 1150 de 2007 y regulado por el artículo 2.2.1.1.1.7.1 del Decreto 1082 de 2015, que obliga a publicar en SECOP la documentación que </w:t>
      </w:r>
      <w:r w:rsidRPr="004157FA">
        <w:rPr>
          <w:rFonts w:ascii="Verdana" w:hAnsi="Verdana" w:cs="Arial"/>
          <w:lang w:val="es-MX"/>
        </w:rPr>
        <w:t xml:space="preserve">conforma el expediente del proceso de contratación.  </w:t>
      </w:r>
    </w:p>
    <w:p w14:paraId="6C2DF34A" w14:textId="77777777" w:rsidR="004044F1" w:rsidRPr="004157FA" w:rsidRDefault="004044F1" w:rsidP="004044F1">
      <w:pPr>
        <w:spacing w:after="120" w:line="276" w:lineRule="auto"/>
        <w:ind w:firstLine="708"/>
        <w:jc w:val="both"/>
        <w:rPr>
          <w:rFonts w:ascii="Verdana" w:eastAsia="Calibri" w:hAnsi="Verdana" w:cs="Arial"/>
          <w:color w:val="000000" w:themeColor="text1"/>
          <w:lang w:val="es-MX"/>
        </w:rPr>
      </w:pPr>
      <w:r w:rsidRPr="004157FA">
        <w:rPr>
          <w:rFonts w:ascii="Verdana" w:hAnsi="Verdana" w:cs="Arial"/>
          <w:lang w:val="es-MX"/>
        </w:rPr>
        <w:t>Sin embargo, en</w:t>
      </w:r>
      <w:r w:rsidRPr="004157FA">
        <w:rPr>
          <w:rFonts w:ascii="Verdana" w:eastAsia="Calibri" w:hAnsi="Verdana" w:cs="Arial"/>
          <w:color w:val="000000" w:themeColor="text1"/>
          <w:lang w:val="es-MX"/>
        </w:rPr>
        <w:t xml:space="preserve"> lo relativo a la publicación de las compras realizadas a través del mecanismo de bolsa de productos, el artículo 2.2.1.1.1.7.1 del Decreto 1082 de 2015 exceptúa el cumplimiento de esta obligación al disponer que “[…] Los documentos de las operaciones que se realicen en bolsa de productos no tienen que ser publicados en el S</w:t>
      </w:r>
      <w:r>
        <w:rPr>
          <w:rFonts w:ascii="Verdana" w:eastAsia="Calibri" w:hAnsi="Verdana" w:cs="Arial"/>
          <w:color w:val="000000" w:themeColor="text1"/>
          <w:lang w:val="es-MX"/>
        </w:rPr>
        <w:t>ECOP</w:t>
      </w:r>
      <w:r w:rsidRPr="004157FA">
        <w:rPr>
          <w:rFonts w:ascii="Verdana" w:eastAsia="Calibri" w:hAnsi="Verdana" w:cs="Arial"/>
          <w:color w:val="000000" w:themeColor="text1"/>
          <w:lang w:val="es-MX"/>
        </w:rPr>
        <w:t xml:space="preserve">”. Conforme a dicha disposición, los documentos en donde consten las operaciones realizadas en la bolsa de productos a órdenes de una entidad estatal no deben publicarse en el SECOP. </w:t>
      </w:r>
    </w:p>
    <w:p w14:paraId="39DB5F23" w14:textId="77777777" w:rsidR="004044F1" w:rsidRDefault="004044F1" w:rsidP="004044F1">
      <w:pPr>
        <w:spacing w:after="120" w:line="276" w:lineRule="auto"/>
        <w:ind w:firstLine="709"/>
        <w:jc w:val="both"/>
        <w:rPr>
          <w:rFonts w:ascii="Verdana" w:hAnsi="Verdana" w:cs="Arial"/>
          <w:lang w:val="es-MX"/>
        </w:rPr>
      </w:pPr>
      <w:r w:rsidRPr="004157FA">
        <w:rPr>
          <w:rFonts w:ascii="Verdana" w:eastAsia="Calibri" w:hAnsi="Verdana" w:cs="Arial"/>
          <w:color w:val="000000" w:themeColor="text1"/>
          <w:lang w:val="es-MX"/>
        </w:rPr>
        <w:t xml:space="preserve">Ahora bien, para determinar el alcance de tal excepción al deber de publicidad de la actividad contractual, es necesario precisar a qué se refiere el artículo 2.2.1.1.1.7.1 del Decreto 1082 de 2015 al mencionar las “los </w:t>
      </w:r>
      <w:r w:rsidRPr="004157FA">
        <w:rPr>
          <w:rFonts w:ascii="Verdana" w:eastAsia="Calibri" w:hAnsi="Verdana" w:cs="Arial"/>
          <w:color w:val="000000" w:themeColor="text1"/>
          <w:lang w:val="es-MX"/>
        </w:rPr>
        <w:lastRenderedPageBreak/>
        <w:t xml:space="preserve">documentos de las operaciones que se realicen en bolsa de productos”. En primera medida, el término </w:t>
      </w:r>
      <w:r w:rsidRPr="004157FA">
        <w:rPr>
          <w:rFonts w:ascii="Verdana" w:eastAsia="Calibri" w:hAnsi="Verdana" w:cs="Arial"/>
          <w:i/>
          <w:iCs/>
          <w:color w:val="000000" w:themeColor="text1"/>
          <w:lang w:val="es-MX"/>
        </w:rPr>
        <w:t>operación</w:t>
      </w:r>
      <w:r w:rsidRPr="004157FA">
        <w:rPr>
          <w:rFonts w:ascii="Verdana" w:eastAsia="Calibri" w:hAnsi="Verdana" w:cs="Arial"/>
          <w:color w:val="000000" w:themeColor="text1"/>
          <w:lang w:val="es-MX"/>
        </w:rPr>
        <w:t xml:space="preserve"> alude a interacciones entre los inversores, emisores de títulos y vendedores de bienes que tienen lugar dentro de una bolsa de productos. En esa línea encontramos que, en el concepto de operaciones de bolsa “</w:t>
      </w:r>
      <w:r w:rsidRPr="004157FA">
        <w:rPr>
          <w:rFonts w:ascii="Verdana" w:eastAsia="Calibri" w:hAnsi="Verdana" w:cs="Arial"/>
          <w:color w:val="000000" w:themeColor="text1"/>
        </w:rPr>
        <w:t xml:space="preserve">pueden incluirse una larga serie de actos económicos, que tengan por lo menos para uno de los contratantes, el fin directo o indirecto de obtener ventajas de las variaciones del curso de los valores o de los precios de las mercaderías </w:t>
      </w:r>
      <w:r w:rsidRPr="004157FA">
        <w:rPr>
          <w:rFonts w:ascii="Verdana" w:hAnsi="Verdana" w:cs="Arial"/>
          <w:lang w:val="es-MX"/>
        </w:rPr>
        <w:t>en relación al tiempo”</w:t>
      </w:r>
      <w:r>
        <w:rPr>
          <w:rStyle w:val="Refdenotaalpie"/>
          <w:rFonts w:ascii="Verdana" w:hAnsi="Verdana" w:cs="Arial"/>
          <w:lang w:val="es-MX"/>
        </w:rPr>
        <w:footnoteReference w:id="9"/>
      </w:r>
      <w:r>
        <w:rPr>
          <w:rFonts w:ascii="Verdana" w:hAnsi="Verdana" w:cs="Arial"/>
          <w:lang w:val="es-MX"/>
        </w:rPr>
        <w:t>.</w:t>
      </w:r>
    </w:p>
    <w:p w14:paraId="2FDD81EE" w14:textId="77777777" w:rsidR="004044F1" w:rsidRDefault="004044F1" w:rsidP="004044F1">
      <w:pPr>
        <w:spacing w:after="120" w:line="276" w:lineRule="auto"/>
        <w:ind w:firstLine="709"/>
        <w:jc w:val="both"/>
        <w:rPr>
          <w:rFonts w:ascii="Verdana" w:eastAsia="Calibri" w:hAnsi="Verdana" w:cs="Arial"/>
          <w:color w:val="000000" w:themeColor="text1"/>
        </w:rPr>
      </w:pPr>
      <w:r w:rsidRPr="004157FA">
        <w:rPr>
          <w:rFonts w:ascii="Verdana" w:hAnsi="Verdana" w:cs="Arial"/>
          <w:lang w:val="es-MX"/>
        </w:rPr>
        <w:t>Las operaciones</w:t>
      </w:r>
      <w:r w:rsidRPr="004157FA">
        <w:rPr>
          <w:rFonts w:ascii="Verdana" w:eastAsia="Calibri" w:hAnsi="Verdana" w:cs="Arial"/>
          <w:color w:val="000000" w:themeColor="text1"/>
        </w:rPr>
        <w:t xml:space="preserve"> a la vez pueden ser de distinto carácter dependiendo del objeto de la misma, así pues, respecto de los valores públicos y privados pueden hacerse emisiones públicas y privadas, operaciones de conversión y de amortización, operaciones de compraventa, operaciones de prenda entre otras; mientras que respecto de los productos pueden hacerse operaciones de compraventa, prenda y anticipación</w:t>
      </w:r>
      <w:r>
        <w:rPr>
          <w:rStyle w:val="Refdenotaalpie"/>
          <w:rFonts w:ascii="Verdana" w:eastAsia="Calibri" w:hAnsi="Verdana" w:cs="Arial"/>
          <w:color w:val="000000" w:themeColor="text1"/>
        </w:rPr>
        <w:footnoteReference w:id="10"/>
      </w:r>
      <w:r>
        <w:rPr>
          <w:rFonts w:ascii="Verdana" w:eastAsia="Calibri" w:hAnsi="Verdana" w:cs="Arial"/>
          <w:color w:val="000000" w:themeColor="text1"/>
        </w:rPr>
        <w:t>.</w:t>
      </w:r>
    </w:p>
    <w:p w14:paraId="5FCE547C" w14:textId="77777777" w:rsidR="004044F1" w:rsidRDefault="004044F1" w:rsidP="004044F1">
      <w:pPr>
        <w:spacing w:after="120" w:line="276" w:lineRule="auto"/>
        <w:ind w:firstLine="709"/>
        <w:jc w:val="both"/>
        <w:rPr>
          <w:rFonts w:ascii="Verdana" w:eastAsia="Calibri" w:hAnsi="Verdana" w:cs="Arial"/>
          <w:color w:val="000000" w:themeColor="text1"/>
        </w:rPr>
      </w:pPr>
      <w:r w:rsidRPr="004157FA">
        <w:rPr>
          <w:rFonts w:ascii="Verdana" w:eastAsia="Calibri" w:hAnsi="Verdana" w:cs="Arial"/>
          <w:color w:val="000000" w:themeColor="text1"/>
        </w:rPr>
        <w:t xml:space="preserve">En ese orden, el contexto y normativa en el que se ubica el </w:t>
      </w:r>
      <w:r w:rsidRPr="004157FA">
        <w:rPr>
          <w:rFonts w:ascii="Verdana" w:eastAsia="Calibri" w:hAnsi="Verdana" w:cs="Arial"/>
          <w:color w:val="000000" w:themeColor="text1"/>
          <w:lang w:val="es-MX"/>
        </w:rPr>
        <w:t xml:space="preserve">artículo 2.2.1.1.1.7.1 del Decreto 1082 de 2015, conduce a interpretar que las operaciones a las que se refiere la norma son operaciones de compraventa de productos, específicamente para la compra de bienes y servicios de características técnicas uniformes y de común utilización, única finalidad para la que se contempla el mecanismo de bolsa de productos en el EGCAP, a las que </w:t>
      </w:r>
      <w:r w:rsidRPr="004157FA">
        <w:rPr>
          <w:rFonts w:ascii="Verdana" w:eastAsia="Calibri" w:hAnsi="Verdana" w:cs="Arial"/>
          <w:color w:val="000000" w:themeColor="text1"/>
        </w:rPr>
        <w:t>pueden acceder las entidades estatales en los términos analizados previamente.</w:t>
      </w:r>
    </w:p>
    <w:p w14:paraId="098C0EC3" w14:textId="77777777" w:rsidR="004044F1" w:rsidRDefault="004044F1" w:rsidP="004044F1">
      <w:pPr>
        <w:spacing w:after="120" w:line="276" w:lineRule="auto"/>
        <w:ind w:firstLine="709"/>
        <w:jc w:val="both"/>
        <w:rPr>
          <w:rFonts w:ascii="Verdana" w:hAnsi="Verdana" w:cs="Arial"/>
          <w:lang w:val="es-MX"/>
        </w:rPr>
      </w:pPr>
      <w:r w:rsidRPr="004157FA">
        <w:rPr>
          <w:rFonts w:ascii="Verdana" w:eastAsia="Calibri" w:hAnsi="Verdana" w:cs="Arial"/>
          <w:color w:val="000000" w:themeColor="text1"/>
        </w:rPr>
        <w:t>La adquisición</w:t>
      </w:r>
      <w:r w:rsidRPr="004157FA">
        <w:rPr>
          <w:rFonts w:ascii="Verdana" w:eastAsia="Calibri" w:hAnsi="Verdana" w:cs="Arial"/>
          <w:color w:val="000000" w:themeColor="text1"/>
          <w:lang w:val="es-MX"/>
        </w:rPr>
        <w:t xml:space="preserve"> de estos bienes, sin perjuicio de la aplicación de los artículos 2.2.1.2.1.2.11</w:t>
      </w:r>
      <w:r>
        <w:rPr>
          <w:rFonts w:ascii="Verdana" w:eastAsia="Calibri" w:hAnsi="Verdana" w:cs="Arial"/>
          <w:color w:val="000000" w:themeColor="text1"/>
          <w:lang w:val="es-MX"/>
        </w:rPr>
        <w:t xml:space="preserve"> </w:t>
      </w:r>
      <w:r w:rsidRPr="004157FA">
        <w:rPr>
          <w:rFonts w:ascii="Verdana" w:eastAsia="Calibri" w:hAnsi="Verdana" w:cs="Arial"/>
          <w:color w:val="000000" w:themeColor="text1"/>
          <w:lang w:val="es-MX"/>
        </w:rPr>
        <w:t>a</w:t>
      </w:r>
      <w:r>
        <w:rPr>
          <w:rFonts w:ascii="Verdana" w:eastAsia="Calibri" w:hAnsi="Verdana" w:cs="Arial"/>
          <w:color w:val="000000" w:themeColor="text1"/>
          <w:lang w:val="es-MX"/>
        </w:rPr>
        <w:t xml:space="preserve"> </w:t>
      </w:r>
      <w:r w:rsidRPr="004157FA">
        <w:rPr>
          <w:rFonts w:ascii="Verdana" w:eastAsia="Calibri" w:hAnsi="Verdana" w:cs="Arial"/>
          <w:color w:val="000000" w:themeColor="text1"/>
          <w:lang w:val="es-MX"/>
        </w:rPr>
        <w:t xml:space="preserve">2.1.2.1.2.19 del Decreto 1082 de 2015 en lo pertinente, se rigen principalmente por el Decreto 2555 de 2010 y los reglamentos internos de las bolsas de productos en las que se lleven a cabo las operaciones. El Decreto 2555 de 2010, mediante el artículo 2.11.1.1.5, habilita a las bolsas de productos para expedir sus reglamentos, estableciendo que estos deberán regular la organización, administración, funcionamiento, así como las operaciones y actividades que se realicen por conducto de los mercados que </w:t>
      </w:r>
      <w:r w:rsidRPr="004157FA">
        <w:rPr>
          <w:rFonts w:ascii="Verdana" w:hAnsi="Verdana" w:cs="Arial"/>
          <w:lang w:val="es-MX"/>
        </w:rPr>
        <w:t>administre la correspondiente bolsa</w:t>
      </w:r>
      <w:r>
        <w:rPr>
          <w:rStyle w:val="Refdenotaalpie"/>
          <w:rFonts w:ascii="Verdana" w:hAnsi="Verdana" w:cs="Arial"/>
          <w:lang w:val="es-MX"/>
        </w:rPr>
        <w:footnoteReference w:id="11"/>
      </w:r>
      <w:r>
        <w:rPr>
          <w:rFonts w:ascii="Verdana" w:hAnsi="Verdana" w:cs="Arial"/>
          <w:lang w:val="es-MX"/>
        </w:rPr>
        <w:t>.</w:t>
      </w:r>
    </w:p>
    <w:p w14:paraId="5D1F1007" w14:textId="77777777" w:rsidR="004044F1" w:rsidRDefault="004044F1" w:rsidP="004044F1">
      <w:pPr>
        <w:spacing w:after="120" w:line="276" w:lineRule="auto"/>
        <w:ind w:firstLine="709"/>
        <w:jc w:val="both"/>
        <w:rPr>
          <w:rFonts w:ascii="Verdana" w:eastAsia="Calibri" w:hAnsi="Verdana" w:cs="Arial"/>
          <w:color w:val="000000" w:themeColor="text1"/>
          <w:lang w:val="es-MX"/>
        </w:rPr>
      </w:pPr>
      <w:r w:rsidRPr="004157FA">
        <w:rPr>
          <w:rFonts w:ascii="Verdana" w:hAnsi="Verdana" w:cs="Arial"/>
          <w:lang w:val="es-MX"/>
        </w:rPr>
        <w:lastRenderedPageBreak/>
        <w:t>En el marco de</w:t>
      </w:r>
      <w:r w:rsidRPr="004157FA">
        <w:rPr>
          <w:rFonts w:ascii="Verdana" w:eastAsia="Calibri" w:hAnsi="Verdana" w:cs="Arial"/>
          <w:color w:val="000000" w:themeColor="text1"/>
          <w:lang w:val="es-MX"/>
        </w:rPr>
        <w:t xml:space="preserve"> tal ejercicio de autorregulación que implica la expedición de sus propios reglamentos, las bolsas de productos tienen la posibilidad de definir distintas modalidades para llevar a cabo las negociaciones de los productos, establecer sus requisitos, procedimientos e incluso determinar documentación que deberá ser producida en el marco de las operaciones que se lleven a cabo. Tal documentación relativa a la ocurrencia de las operaciones bursátiles, regulada por los reglamentos de las respectivas bolsas, es a la que se refiere el artículo 2.2.1.1.1.7.1 del Decreto 1082 de 2015.</w:t>
      </w:r>
    </w:p>
    <w:p w14:paraId="0BB6B76F" w14:textId="77777777" w:rsidR="004044F1" w:rsidRPr="0051718B" w:rsidRDefault="004044F1" w:rsidP="004044F1">
      <w:pPr>
        <w:spacing w:after="120" w:line="276" w:lineRule="auto"/>
        <w:ind w:firstLine="709"/>
        <w:jc w:val="both"/>
        <w:rPr>
          <w:rFonts w:ascii="Verdana" w:eastAsia="Calibri" w:hAnsi="Verdana" w:cs="Arial"/>
          <w:color w:val="000000" w:themeColor="text1"/>
          <w:lang w:val="es-MX"/>
        </w:rPr>
      </w:pPr>
      <w:r w:rsidRPr="004157FA">
        <w:rPr>
          <w:rFonts w:ascii="Verdana" w:eastAsia="Calibri" w:hAnsi="Verdana" w:cs="Arial"/>
          <w:color w:val="000000" w:themeColor="text1"/>
          <w:lang w:val="es-MX"/>
        </w:rPr>
        <w:t>Un ejemplo de estos documentos lo encontramos en el Reglamento de la Bolsa Mercantil de Colombia</w:t>
      </w:r>
      <w:r>
        <w:rPr>
          <w:rStyle w:val="Refdenotaalpie"/>
          <w:rFonts w:ascii="Verdana" w:eastAsia="Calibri" w:hAnsi="Verdana" w:cs="Arial"/>
          <w:color w:val="000000" w:themeColor="text1"/>
          <w:lang w:val="es-MX"/>
        </w:rPr>
        <w:footnoteReference w:id="12"/>
      </w:r>
      <w:r w:rsidRPr="004157FA">
        <w:rPr>
          <w:rFonts w:ascii="Verdana" w:eastAsia="Calibri" w:hAnsi="Verdana" w:cs="Arial"/>
          <w:color w:val="000000" w:themeColor="text1"/>
          <w:lang w:val="es-MX"/>
        </w:rPr>
        <w:t>, que en el marco de la regulación de las generalidades de los escenarios de negociación en rueda de viva voz, en el artículo 3.2.2.1.8, alude la necesidad de dejar constancia de las operaciones realizadas a través de la bolsa en “un documento idóneo, suscrito por las sociedades comisionistas miembros de la Bolsa que lo celebren y por un representante de la Bolsa debidamente facultado para tal efecto”, documento que titula comprobante de transacción</w:t>
      </w:r>
      <w:r>
        <w:rPr>
          <w:rStyle w:val="Refdenotaalpie"/>
          <w:rFonts w:ascii="Verdana" w:eastAsia="Calibri" w:hAnsi="Verdana" w:cs="Arial"/>
          <w:color w:val="000000" w:themeColor="text1"/>
          <w:lang w:val="es-MX"/>
        </w:rPr>
        <w:footnoteReference w:id="13"/>
      </w:r>
      <w:r>
        <w:rPr>
          <w:rFonts w:ascii="Verdana" w:eastAsia="Calibri" w:hAnsi="Verdana" w:cs="Arial"/>
          <w:color w:val="000000" w:themeColor="text1"/>
          <w:lang w:val="es-MX"/>
        </w:rPr>
        <w:t xml:space="preserve">. </w:t>
      </w:r>
      <w:r w:rsidRPr="004157FA">
        <w:rPr>
          <w:rFonts w:ascii="Verdana" w:eastAsia="Calibri" w:hAnsi="Verdana" w:cs="Arial"/>
          <w:color w:val="000000" w:themeColor="text1"/>
          <w:lang w:val="es-MX"/>
        </w:rPr>
        <w:t xml:space="preserve">Otro ejemplo se encuentra en el artículo 3.2.2.4.4. del referido reglamento, que en dentro de la regulación de la metodología de subasta como mecanismo de negociación, establece la obligación de la Bolsa de elaborar “un Instructivo Operativo que recoja las condiciones, aspectos operativos y criterios de adjudicación, en forma clara y completa, así como las demás que correspondan según el tipo de subasta que se </w:t>
      </w:r>
      <w:r w:rsidRPr="004157FA">
        <w:rPr>
          <w:rFonts w:ascii="Verdana" w:hAnsi="Verdana" w:cs="Arial"/>
          <w:lang w:val="es-MX"/>
        </w:rPr>
        <w:t>requiera adelantar (…).”</w:t>
      </w:r>
    </w:p>
    <w:p w14:paraId="7BA7DD76" w14:textId="77777777" w:rsidR="004044F1" w:rsidRDefault="004044F1" w:rsidP="004044F1">
      <w:pPr>
        <w:spacing w:after="120" w:line="276" w:lineRule="auto"/>
        <w:ind w:firstLine="709"/>
        <w:jc w:val="both"/>
        <w:rPr>
          <w:rFonts w:ascii="Verdana" w:eastAsia="Calibri" w:hAnsi="Verdana" w:cs="Arial"/>
          <w:color w:val="000000" w:themeColor="text1"/>
          <w:lang w:val="es-MX"/>
        </w:rPr>
      </w:pPr>
      <w:r w:rsidRPr="004157FA">
        <w:rPr>
          <w:rFonts w:ascii="Verdana" w:hAnsi="Verdana" w:cs="Arial"/>
          <w:lang w:val="es-MX"/>
        </w:rPr>
        <w:lastRenderedPageBreak/>
        <w:t>Conforme a</w:t>
      </w:r>
      <w:r w:rsidRPr="004157FA">
        <w:rPr>
          <w:rFonts w:ascii="Verdana" w:eastAsia="Calibri" w:hAnsi="Verdana" w:cs="Arial"/>
          <w:color w:val="000000" w:themeColor="text1"/>
          <w:lang w:val="es-MX"/>
        </w:rPr>
        <w:t xml:space="preserve"> lo anterior, la excepción que hace el artículo 2.2.1.1.1.7.1 del Decreto 1082 de 2015 al deber de publicar en el SECOP los documentos en los que se refleja la actividad contractual de las entidades estatales,  se refiere a este tipo de documentos, que se relacionan directamente con las operaciones bursátiles que celebra el comisionista para la adquisición, dentro de la respectiva bolsa, de los bienes y servicios de características técnicas uniformes y de común utilización que le han sido encargados por la entidad estatal. Estos documentos, al ser expedidos en el marco del funcionamiento de la bolsa, y de acuerdo con la reglamentación expedida por esta, están exceptuados de la publicación en el SECOP por el reglamento especial y particular.</w:t>
      </w:r>
    </w:p>
    <w:p w14:paraId="71E7E449" w14:textId="77777777" w:rsidR="004044F1" w:rsidRDefault="004044F1" w:rsidP="004044F1">
      <w:pPr>
        <w:spacing w:after="120" w:line="276" w:lineRule="auto"/>
        <w:ind w:firstLine="709"/>
        <w:jc w:val="both"/>
        <w:rPr>
          <w:rFonts w:ascii="Verdana" w:hAnsi="Verdana" w:cs="Arial"/>
        </w:rPr>
      </w:pPr>
      <w:r w:rsidRPr="00F751A8">
        <w:rPr>
          <w:rFonts w:ascii="Verdana" w:hAnsi="Verdana" w:cs="Arial"/>
          <w:lang w:val="es-MX"/>
        </w:rPr>
        <w:t xml:space="preserve">Finalmente, el parágrafo 1 de artículo 2.2.1.2.1.2.12, faculta a </w:t>
      </w:r>
      <w:r w:rsidRPr="00F751A8">
        <w:rPr>
          <w:rFonts w:ascii="Verdana" w:hAnsi="Verdana" w:cs="Arial"/>
        </w:rPr>
        <w:t>la Agencia Nacional de contratación Pública - Colombia Compra Eficiente para definir los lineamientos generales, así como los criterios objetivos y medibles con arreglo a los cuales, las entidades estatales deben realizar sus adquisiciones de bienes o servicios de características técnicas uniformes a través de bolsas de productos, independientemente de que exista o no un acuerdo marco de precios vigente.</w:t>
      </w:r>
    </w:p>
    <w:p w14:paraId="682DBE6D" w14:textId="77777777" w:rsidR="004044F1" w:rsidRDefault="004044F1" w:rsidP="004044F1">
      <w:pPr>
        <w:spacing w:after="120" w:line="276" w:lineRule="auto"/>
        <w:ind w:firstLine="709"/>
        <w:jc w:val="both"/>
        <w:rPr>
          <w:rFonts w:ascii="Verdana" w:hAnsi="Verdana" w:cs="Arial"/>
        </w:rPr>
      </w:pPr>
      <w:r>
        <w:rPr>
          <w:rFonts w:ascii="Verdana" w:hAnsi="Verdana" w:cs="Arial"/>
        </w:rPr>
        <w:t>En ese orden de ideas, d</w:t>
      </w:r>
      <w:r w:rsidRPr="00F751A8">
        <w:rPr>
          <w:rFonts w:ascii="Verdana" w:hAnsi="Verdana" w:cs="Arial"/>
        </w:rPr>
        <w:t>icha facultad fue ejercida a través de la Circular CCE-004 del 21 de septiembre de 2021</w:t>
      </w:r>
      <w:r>
        <w:rPr>
          <w:rStyle w:val="Refdenotaalpie"/>
          <w:rFonts w:ascii="Verdana" w:hAnsi="Verdana" w:cs="Arial"/>
        </w:rPr>
        <w:footnoteReference w:id="14"/>
      </w:r>
      <w:r>
        <w:rPr>
          <w:rFonts w:ascii="Verdana" w:hAnsi="Verdana" w:cs="Arial"/>
        </w:rPr>
        <w:t xml:space="preserve">, </w:t>
      </w:r>
      <w:r w:rsidRPr="00F751A8">
        <w:rPr>
          <w:rFonts w:ascii="Verdana" w:hAnsi="Verdana" w:cs="Arial"/>
        </w:rPr>
        <w:t xml:space="preserve">en la que además del Plan Operativo de Despliegue para materializar el régimen de obligatoriedad de la utilización de los acuerdos marco de precios, se establecieron unos criterios con base en los cuales las entidades estatales deben sustentar la escogencia del respectivo mecanismo para adquirir los bienes y/o servicios de características técnicas uniformes que requieran. Dentro de estos encontramos: </w:t>
      </w:r>
    </w:p>
    <w:p w14:paraId="3DEF49D1" w14:textId="77777777" w:rsidR="004044F1" w:rsidRPr="00841950" w:rsidRDefault="004044F1" w:rsidP="004044F1">
      <w:pPr>
        <w:pStyle w:val="Prrafodelista"/>
        <w:numPr>
          <w:ilvl w:val="0"/>
          <w:numId w:val="18"/>
        </w:numPr>
        <w:spacing w:after="120" w:line="276" w:lineRule="auto"/>
        <w:jc w:val="both"/>
        <w:rPr>
          <w:rFonts w:ascii="Verdana" w:hAnsi="Verdana" w:cs="Arial"/>
        </w:rPr>
      </w:pPr>
      <w:r w:rsidRPr="00841950">
        <w:rPr>
          <w:rFonts w:ascii="Verdana" w:hAnsi="Verdana" w:cs="Arial"/>
        </w:rPr>
        <w:t>validación de la disponibilidad del Bien o Servicio requerido por la entidad estatal en los catálogos de bienes y servicios ofrecidos en los acuerdos marco vigentes en la Tienda Virtual del Estado Colombiano;</w:t>
      </w:r>
    </w:p>
    <w:p w14:paraId="1FEFB82F" w14:textId="77777777" w:rsidR="004044F1" w:rsidRDefault="004044F1" w:rsidP="004044F1">
      <w:pPr>
        <w:pStyle w:val="Prrafodelista"/>
        <w:numPr>
          <w:ilvl w:val="0"/>
          <w:numId w:val="18"/>
        </w:numPr>
        <w:spacing w:after="120" w:line="276" w:lineRule="auto"/>
        <w:jc w:val="both"/>
        <w:rPr>
          <w:rFonts w:ascii="Verdana" w:hAnsi="Verdana" w:cs="Arial"/>
        </w:rPr>
      </w:pPr>
      <w:r w:rsidRPr="00841950">
        <w:rPr>
          <w:rFonts w:ascii="Verdana" w:hAnsi="Verdana" w:cs="Arial"/>
        </w:rPr>
        <w:t>existencia de un Acuerdo Marco de precios y disponibilidad de los mismos bienes y/o servicios a través de la Bolsa de Productos; y</w:t>
      </w:r>
    </w:p>
    <w:p w14:paraId="4A79B412" w14:textId="77777777" w:rsidR="004044F1" w:rsidRPr="00316834" w:rsidRDefault="004044F1" w:rsidP="004044F1">
      <w:pPr>
        <w:pStyle w:val="Prrafodelista"/>
        <w:numPr>
          <w:ilvl w:val="0"/>
          <w:numId w:val="18"/>
        </w:numPr>
        <w:spacing w:after="120" w:line="276" w:lineRule="auto"/>
        <w:jc w:val="both"/>
        <w:rPr>
          <w:rFonts w:ascii="Verdana" w:hAnsi="Verdana" w:cs="Arial"/>
        </w:rPr>
      </w:pPr>
      <w:r w:rsidRPr="00316834">
        <w:rPr>
          <w:rFonts w:ascii="Verdana" w:hAnsi="Verdana" w:cs="Arial"/>
        </w:rPr>
        <w:t>no existencia de un Acuerdo Marco de precios.</w:t>
      </w:r>
    </w:p>
    <w:p w14:paraId="39FDFDF1" w14:textId="77777777" w:rsidR="004044F1" w:rsidRPr="00304485" w:rsidRDefault="004044F1" w:rsidP="004044F1">
      <w:pPr>
        <w:tabs>
          <w:tab w:val="left" w:pos="0"/>
        </w:tabs>
        <w:spacing w:before="120" w:after="0" w:line="276" w:lineRule="auto"/>
        <w:jc w:val="both"/>
        <w:rPr>
          <w:rFonts w:ascii="Verdana" w:hAnsi="Verdana" w:cs="Arial"/>
          <w:color w:val="000000" w:themeColor="text1"/>
        </w:rPr>
      </w:pPr>
    </w:p>
    <w:p w14:paraId="6003D380" w14:textId="77777777" w:rsidR="004044F1" w:rsidRPr="00593A5F" w:rsidRDefault="004044F1" w:rsidP="004044F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0DD5C43F" w14:textId="77777777" w:rsidR="004044F1" w:rsidRPr="00593A5F" w:rsidRDefault="004044F1" w:rsidP="004044F1">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044F1" w:rsidRPr="00593A5F" w14:paraId="33F842D6" w14:textId="77777777" w:rsidTr="00C4340F">
        <w:trPr>
          <w:trHeight w:val="870"/>
        </w:trPr>
        <w:tc>
          <w:tcPr>
            <w:tcW w:w="8647" w:type="dxa"/>
          </w:tcPr>
          <w:p w14:paraId="5CD66A32" w14:textId="77777777" w:rsidR="004044F1" w:rsidRPr="00C75FC4" w:rsidRDefault="004044F1" w:rsidP="00C4340F">
            <w:pPr>
              <w:pStyle w:val="Prrafodelista"/>
              <w:widowControl w:val="0"/>
              <w:numPr>
                <w:ilvl w:val="0"/>
                <w:numId w:val="17"/>
              </w:numPr>
              <w:autoSpaceDE w:val="0"/>
              <w:autoSpaceDN w:val="0"/>
              <w:spacing w:line="276" w:lineRule="auto"/>
              <w:ind w:left="714" w:hanging="357"/>
              <w:jc w:val="both"/>
              <w:rPr>
                <w:rFonts w:ascii="Verdana" w:hAnsi="Verdana" w:cs="Arial"/>
                <w:color w:val="000000" w:themeColor="text1"/>
              </w:rPr>
            </w:pPr>
            <w:r w:rsidRPr="00C75FC4">
              <w:rPr>
                <w:rFonts w:ascii="Verdana" w:eastAsia="Calibri" w:hAnsi="Verdana" w:cs="Arial"/>
                <w:color w:val="000000" w:themeColor="text1"/>
                <w:lang w:val="es-MX"/>
              </w:rPr>
              <w:lastRenderedPageBreak/>
              <w:t>Ley 1150 de 2007</w:t>
            </w:r>
            <w:r w:rsidRPr="00C75FC4">
              <w:rPr>
                <w:rFonts w:ascii="Verdana" w:hAnsi="Verdana" w:cs="Arial"/>
                <w:color w:val="000000" w:themeColor="text1"/>
              </w:rPr>
              <w:t xml:space="preserve"> </w:t>
            </w:r>
            <w:r w:rsidRPr="00C75FC4">
              <w:rPr>
                <w:rFonts w:ascii="Verdana" w:eastAsia="Calibri" w:hAnsi="Verdana" w:cs="Arial"/>
                <w:color w:val="000000" w:themeColor="text1"/>
                <w:lang w:val="es-MX"/>
              </w:rPr>
              <w:t>–</w:t>
            </w:r>
            <w:r w:rsidRPr="00C75FC4">
              <w:rPr>
                <w:rFonts w:ascii="Verdana" w:hAnsi="Verdana" w:cs="Arial"/>
                <w:color w:val="000000" w:themeColor="text1"/>
              </w:rPr>
              <w:t xml:space="preserve"> A</w:t>
            </w:r>
            <w:proofErr w:type="spellStart"/>
            <w:r w:rsidRPr="00C75FC4">
              <w:rPr>
                <w:rFonts w:ascii="Verdana" w:eastAsia="Calibri" w:hAnsi="Verdana" w:cs="Arial"/>
                <w:color w:val="000000" w:themeColor="text1"/>
                <w:lang w:val="es-MX"/>
              </w:rPr>
              <w:t>rtículo</w:t>
            </w:r>
            <w:proofErr w:type="spellEnd"/>
            <w:r w:rsidRPr="00C75FC4">
              <w:rPr>
                <w:rFonts w:ascii="Verdana" w:eastAsia="Calibri" w:hAnsi="Verdana" w:cs="Arial"/>
                <w:color w:val="000000" w:themeColor="text1"/>
                <w:lang w:val="es-MX"/>
              </w:rPr>
              <w:t xml:space="preserve"> 2 numeral 2.</w:t>
            </w:r>
          </w:p>
          <w:p w14:paraId="28B4DAAE" w14:textId="77777777" w:rsidR="004044F1" w:rsidRPr="00C75FC4" w:rsidRDefault="004044F1" w:rsidP="00C4340F">
            <w:pPr>
              <w:pStyle w:val="Prrafodelista"/>
              <w:widowControl w:val="0"/>
              <w:numPr>
                <w:ilvl w:val="0"/>
                <w:numId w:val="17"/>
              </w:numPr>
              <w:autoSpaceDE w:val="0"/>
              <w:autoSpaceDN w:val="0"/>
              <w:spacing w:line="276" w:lineRule="auto"/>
              <w:ind w:left="714" w:hanging="357"/>
              <w:jc w:val="both"/>
              <w:rPr>
                <w:rFonts w:ascii="Verdana" w:hAnsi="Verdana" w:cs="Arial"/>
                <w:color w:val="000000" w:themeColor="text1"/>
              </w:rPr>
            </w:pPr>
            <w:r w:rsidRPr="00C75FC4">
              <w:rPr>
                <w:rFonts w:ascii="Verdana" w:eastAsia="Calibri" w:hAnsi="Verdana" w:cs="Arial"/>
                <w:color w:val="000000" w:themeColor="text1"/>
                <w:lang w:val="es-MX"/>
              </w:rPr>
              <w:t xml:space="preserve">Decreto 1082 de 2017 – Artículos </w:t>
            </w:r>
            <w:r w:rsidRPr="00C75FC4">
              <w:rPr>
                <w:rFonts w:ascii="Verdana" w:eastAsia="Times New Roman" w:hAnsi="Verdana" w:cs="Calibri"/>
                <w:color w:val="000000"/>
                <w:shd w:val="clear" w:color="auto" w:fill="FFFFFF"/>
                <w:lang w:eastAsia="es-CO"/>
              </w:rPr>
              <w:t>2.2.1.2.1.2.11 a 2.2.1.2.1.2.19</w:t>
            </w:r>
          </w:p>
          <w:p w14:paraId="3D3608DF" w14:textId="77777777" w:rsidR="004044F1" w:rsidRPr="00C75FC4" w:rsidRDefault="004044F1" w:rsidP="00C4340F">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rPr>
            </w:pPr>
            <w:r w:rsidRPr="00C75FC4">
              <w:rPr>
                <w:rFonts w:ascii="Verdana" w:eastAsia="Calibri" w:hAnsi="Verdana" w:cs="Arial"/>
                <w:color w:val="000000" w:themeColor="text1"/>
              </w:rPr>
              <w:t xml:space="preserve">Decreto 2555 de 2010 </w:t>
            </w:r>
          </w:p>
          <w:p w14:paraId="5CFF2DAC" w14:textId="77777777" w:rsidR="004044F1" w:rsidRPr="00C75FC4" w:rsidRDefault="004044F1" w:rsidP="00C4340F">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rPr>
            </w:pPr>
            <w:r w:rsidRPr="00C75FC4">
              <w:rPr>
                <w:rFonts w:ascii="Verdana" w:eastAsia="Calibri" w:hAnsi="Verdana" w:cs="Arial"/>
                <w:color w:val="000000" w:themeColor="text1"/>
              </w:rPr>
              <w:t>Decreto 310 de 2021, articulo 2.</w:t>
            </w:r>
          </w:p>
          <w:p w14:paraId="44881772" w14:textId="77777777" w:rsidR="004044F1" w:rsidRPr="00C75FC4" w:rsidRDefault="004044F1" w:rsidP="00C4340F">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rPr>
            </w:pPr>
            <w:r w:rsidRPr="00C75FC4">
              <w:rPr>
                <w:rFonts w:ascii="Verdana" w:hAnsi="Verdana" w:cs="Arial"/>
              </w:rPr>
              <w:t xml:space="preserve">Circular CCE-004 del 21 de septiembre de 2021. Disponible: </w:t>
            </w:r>
            <w:hyperlink r:id="rId11" w:history="1">
              <w:r w:rsidRPr="00C75FC4">
                <w:rPr>
                  <w:rStyle w:val="Hipervnculo"/>
                  <w:rFonts w:ascii="Verdana" w:hAnsi="Verdana" w:cs="Arial"/>
                </w:rPr>
                <w:t>vf_circular_externa_004_de_2021_002_2.pdf (colombiacompra.gov.co)</w:t>
              </w:r>
            </w:hyperlink>
            <w:r>
              <w:rPr>
                <w:rFonts w:ascii="Verdana" w:hAnsi="Verdana" w:cs="Arial"/>
              </w:rPr>
              <w:t xml:space="preserve"> </w:t>
            </w:r>
          </w:p>
        </w:tc>
      </w:tr>
    </w:tbl>
    <w:p w14:paraId="5628DE16" w14:textId="77777777" w:rsidR="004044F1" w:rsidRPr="00593A5F" w:rsidRDefault="004044F1" w:rsidP="004044F1">
      <w:pPr>
        <w:widowControl w:val="0"/>
        <w:autoSpaceDE w:val="0"/>
        <w:autoSpaceDN w:val="0"/>
        <w:spacing w:after="0" w:line="276" w:lineRule="auto"/>
        <w:jc w:val="both"/>
        <w:rPr>
          <w:rFonts w:ascii="Verdana" w:hAnsi="Verdana" w:cs="Arial"/>
        </w:rPr>
      </w:pPr>
    </w:p>
    <w:p w14:paraId="78DCE3BB" w14:textId="77777777" w:rsidR="004044F1" w:rsidRPr="00593A5F" w:rsidRDefault="004044F1" w:rsidP="004044F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4D1972CC" w14:textId="77777777" w:rsidR="004044F1" w:rsidRPr="00593A5F" w:rsidRDefault="004044F1" w:rsidP="004044F1">
      <w:pPr>
        <w:widowControl w:val="0"/>
        <w:autoSpaceDE w:val="0"/>
        <w:autoSpaceDN w:val="0"/>
        <w:spacing w:after="0" w:line="276" w:lineRule="auto"/>
        <w:jc w:val="both"/>
        <w:rPr>
          <w:rFonts w:ascii="Verdana" w:hAnsi="Verdana" w:cs="Arial"/>
        </w:rPr>
      </w:pPr>
    </w:p>
    <w:p w14:paraId="6455CB4F" w14:textId="77777777" w:rsidR="004044F1" w:rsidRDefault="004044F1" w:rsidP="004044F1">
      <w:pPr>
        <w:jc w:val="both"/>
        <w:rPr>
          <w:rFonts w:ascii="Verdana" w:hAnsi="Verdana" w:cs="Arial"/>
          <w:shd w:val="clear" w:color="auto" w:fill="FFFFFF"/>
        </w:rPr>
      </w:pPr>
      <w:r w:rsidRPr="00774100">
        <w:rPr>
          <w:rFonts w:ascii="Verdana" w:eastAsia="Calibri" w:hAnsi="Verdana" w:cs="Arial"/>
          <w:shd w:val="clear" w:color="auto" w:fill="FFFFFF"/>
          <w:lang w:val="es-ES"/>
        </w:rPr>
        <w:t xml:space="preserve">La Agencia Nacional de Contratación Pública − Colombia Compra Eficiente se pronunció </w:t>
      </w:r>
      <w:r>
        <w:rPr>
          <w:rFonts w:ascii="Verdana" w:eastAsia="Calibri" w:hAnsi="Verdana" w:cs="Arial"/>
          <w:shd w:val="clear" w:color="auto" w:fill="FFFFFF"/>
          <w:lang w:val="es-ES"/>
        </w:rPr>
        <w:t>frente a las</w:t>
      </w:r>
      <w:r w:rsidRPr="00C83B6B">
        <w:rPr>
          <w:rFonts w:ascii="Verdana" w:hAnsi="Verdana" w:cs="Arial"/>
        </w:rPr>
        <w:t xml:space="preserve"> características de los procedimientos contractuales en el marco de operaciones en la bolsa de productos en el concepto con radicado No. 4201912000007253 del 4 de diciembre de 2019, reiterado en el concepto con radicado No. 4201912000007289 de la misma fecha, así como en el C-336 del 2 de junio de 2020, estudió la publicidad de los procedimientos contractuales en el SECOP I y SECOP II, posiciones que fueron unificadas en el concepto de unificación CU–367 del 23 de julio de 2020; además, en el concepto C–455 del 31 de julio de 2020, C-068 del 22 de abril de 2021, C-211 del 23 de junio de 2023 y C-561 del 8 de octubre de 2024</w:t>
      </w:r>
      <w:r w:rsidRPr="0038350D">
        <w:rPr>
          <w:rFonts w:ascii="Verdana" w:eastAsia="Calibri" w:hAnsi="Verdana" w:cs="Arial"/>
          <w:shd w:val="clear" w:color="auto" w:fill="FFFFFF"/>
          <w:lang w:val="es-ES"/>
        </w:rPr>
        <w:t>, entre otros</w:t>
      </w:r>
      <w:r>
        <w:rPr>
          <w:rFonts w:ascii="Verdana" w:eastAsia="Calibri" w:hAnsi="Verdana" w:cs="Arial"/>
          <w:shd w:val="clear" w:color="auto" w:fill="FFFFFF"/>
          <w:lang w:val="es-ES"/>
        </w:rPr>
        <w:t>.</w:t>
      </w:r>
      <w:r>
        <w:rPr>
          <w:rFonts w:ascii="Verdana" w:hAnsi="Verdana"/>
        </w:rPr>
        <w:t xml:space="preserve"> </w:t>
      </w:r>
      <w:r w:rsidRPr="005A267A">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w:t>
      </w:r>
      <w:r w:rsidRPr="005D1F62">
        <w:rPr>
          <w:rFonts w:ascii="Verdana" w:hAnsi="Verdana" w:cs="Arial"/>
          <w:shd w:val="clear" w:color="auto" w:fill="FFFFFF"/>
        </w:rPr>
        <w:t xml:space="preserve"> contratación concordada con la doctrina de la Subdirección de Gestión Contractual.</w:t>
      </w:r>
      <w:r>
        <w:rPr>
          <w:rFonts w:ascii="Verdana" w:hAnsi="Verdana" w:cs="Arial"/>
          <w:shd w:val="clear" w:color="auto" w:fill="FFFFFF"/>
        </w:rPr>
        <w:t xml:space="preserve"> </w:t>
      </w:r>
      <w:r w:rsidRPr="005D1F62">
        <w:rPr>
          <w:rFonts w:ascii="Verdana" w:hAnsi="Verdana" w:cs="Arial"/>
          <w:shd w:val="clear" w:color="auto" w:fill="FFFFFF"/>
        </w:rPr>
        <w:t>Accede a través del siguiente enlace: </w:t>
      </w:r>
      <w:hyperlink r:id="rId12" w:tgtFrame="_blank" w:tooltip="Dirección URL original: https://relatoria.colombiacompra.gov.co/. Haga clic o pulse si confía en este vínculo." w:history="1">
        <w:r w:rsidRPr="005D1F62">
          <w:rPr>
            <w:rStyle w:val="Hipervnculo"/>
            <w:rFonts w:ascii="Verdana" w:hAnsi="Verdana" w:cs="Arial"/>
            <w:shd w:val="clear" w:color="auto" w:fill="FFFFFF"/>
          </w:rPr>
          <w:t>https://relatoria.colombiacompra.gov.co/</w:t>
        </w:r>
      </w:hyperlink>
      <w:r w:rsidRPr="005D1F62">
        <w:rPr>
          <w:rFonts w:ascii="Verdana" w:hAnsi="Verdana" w:cs="Arial"/>
          <w:shd w:val="clear" w:color="auto" w:fill="FFFFFF"/>
        </w:rPr>
        <w:t>.</w:t>
      </w:r>
    </w:p>
    <w:p w14:paraId="4A656F50" w14:textId="77777777" w:rsidR="004044F1" w:rsidRDefault="004044F1" w:rsidP="004044F1">
      <w:pPr>
        <w:spacing w:after="0" w:line="240" w:lineRule="auto"/>
        <w:jc w:val="both"/>
        <w:rPr>
          <w:rFonts w:ascii="Verdana" w:hAnsi="Verdana"/>
        </w:rPr>
      </w:pPr>
      <w:r w:rsidRPr="003E2460">
        <w:rPr>
          <w:rFonts w:ascii="Verdana" w:hAnsi="Verdana"/>
        </w:rPr>
        <w:t>Por último, lo invitamos a seguirnos en las redes sociales en las cuales se difunde información institucional:</w:t>
      </w:r>
    </w:p>
    <w:p w14:paraId="306C3332" w14:textId="77777777" w:rsidR="004044F1" w:rsidRPr="003E2460" w:rsidRDefault="004044F1" w:rsidP="004044F1">
      <w:pPr>
        <w:spacing w:after="0" w:line="240" w:lineRule="auto"/>
        <w:jc w:val="both"/>
        <w:rPr>
          <w:rFonts w:ascii="Verdana" w:hAnsi="Verdana"/>
        </w:rPr>
      </w:pPr>
    </w:p>
    <w:p w14:paraId="41F4C48E" w14:textId="77777777" w:rsidR="004044F1" w:rsidRPr="003E2460" w:rsidRDefault="004044F1" w:rsidP="004044F1">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662548AF" w14:textId="77777777" w:rsidR="004044F1" w:rsidRPr="003E2460" w:rsidRDefault="004044F1" w:rsidP="004044F1">
      <w:pPr>
        <w:spacing w:after="0" w:line="240" w:lineRule="auto"/>
        <w:jc w:val="both"/>
        <w:rPr>
          <w:rFonts w:ascii="Verdana" w:hAnsi="Verdana"/>
        </w:rPr>
      </w:pPr>
      <w:r w:rsidRPr="003E2460">
        <w:rPr>
          <w:rFonts w:ascii="Verdana" w:hAnsi="Verdana"/>
        </w:rPr>
        <w:t xml:space="preserve">Facebook: </w:t>
      </w:r>
      <w:proofErr w:type="spellStart"/>
      <w:r w:rsidRPr="003E2460">
        <w:rPr>
          <w:rStyle w:val="Hipervnculo"/>
          <w:rFonts w:ascii="Verdana" w:hAnsi="Verdana"/>
          <w:color w:val="4472C4" w:themeColor="accent1"/>
        </w:rPr>
        <w:t>ColombiaCompraEficiente</w:t>
      </w:r>
      <w:proofErr w:type="spellEnd"/>
    </w:p>
    <w:p w14:paraId="3F625E41" w14:textId="77777777" w:rsidR="004044F1" w:rsidRPr="003E2460" w:rsidRDefault="004044F1" w:rsidP="004044F1">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3BC6C70B" w14:textId="77777777" w:rsidR="004044F1" w:rsidRPr="00593A5F" w:rsidRDefault="004044F1" w:rsidP="004044F1">
      <w:pPr>
        <w:widowControl w:val="0"/>
        <w:autoSpaceDE w:val="0"/>
        <w:autoSpaceDN w:val="0"/>
        <w:spacing w:after="0" w:line="276" w:lineRule="auto"/>
        <w:jc w:val="both"/>
        <w:rPr>
          <w:rFonts w:ascii="Verdana" w:hAnsi="Verdana" w:cs="Arial"/>
        </w:rPr>
      </w:pPr>
    </w:p>
    <w:p w14:paraId="53CECC42" w14:textId="77777777" w:rsidR="004044F1" w:rsidRPr="00593A5F" w:rsidRDefault="004044F1" w:rsidP="004044F1">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F7EE2F5" w14:textId="77777777" w:rsidR="004044F1" w:rsidRPr="00593A5F" w:rsidRDefault="004044F1" w:rsidP="004044F1">
      <w:pPr>
        <w:widowControl w:val="0"/>
        <w:autoSpaceDE w:val="0"/>
        <w:autoSpaceDN w:val="0"/>
        <w:spacing w:after="0" w:line="276" w:lineRule="auto"/>
        <w:jc w:val="both"/>
        <w:rPr>
          <w:rFonts w:ascii="Verdana" w:hAnsi="Verdana" w:cs="Arial"/>
        </w:rPr>
      </w:pPr>
    </w:p>
    <w:p w14:paraId="01D5A8D3" w14:textId="77777777" w:rsidR="004044F1" w:rsidRPr="00593A5F" w:rsidRDefault="004044F1" w:rsidP="004044F1">
      <w:pPr>
        <w:spacing w:after="0" w:line="240" w:lineRule="auto"/>
        <w:rPr>
          <w:rFonts w:ascii="Verdana" w:hAnsi="Verdana" w:cs="Arial"/>
          <w:lang w:eastAsia="es-CO"/>
        </w:rPr>
      </w:pPr>
      <w:r w:rsidRPr="00593A5F">
        <w:rPr>
          <w:rFonts w:ascii="Verdana" w:eastAsia="Times New Roman" w:hAnsi="Verdana" w:cs="Arial"/>
          <w:lang w:eastAsia="es-CO"/>
        </w:rPr>
        <w:lastRenderedPageBreak/>
        <w:t>Atentamente,</w:t>
      </w:r>
      <w:r w:rsidRPr="00593A5F">
        <w:rPr>
          <w:rFonts w:ascii="Verdana" w:hAnsi="Verdana" w:cs="Arial"/>
          <w:lang w:eastAsia="es-CO"/>
        </w:rPr>
        <w:t xml:space="preserve"> </w:t>
      </w:r>
    </w:p>
    <w:p w14:paraId="7CBA55A1" w14:textId="008EC09B" w:rsidR="004044F1" w:rsidRPr="00EE0EBA" w:rsidRDefault="008F5F13" w:rsidP="004044F1">
      <w:pPr>
        <w:spacing w:line="276" w:lineRule="auto"/>
        <w:jc w:val="center"/>
        <w:rPr>
          <w:rFonts w:eastAsia="Calibri" w:cs="Arial"/>
          <w:lang w:val="es-ES_tradnl" w:eastAsia="es-CO"/>
        </w:rPr>
      </w:pPr>
      <w:r w:rsidRPr="002C3AD6">
        <w:rPr>
          <w:rFonts w:ascii="Century Gothic" w:hAnsi="Century Gothic"/>
          <w:noProof/>
        </w:rPr>
        <w:drawing>
          <wp:inline distT="0" distB="0" distL="0" distR="0" wp14:anchorId="7F7FAB4F" wp14:editId="5FDBEDF5">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044F1" w:rsidRPr="00EE0EBA" w14:paraId="7A6016D2" w14:textId="77777777" w:rsidTr="00C4340F">
        <w:trPr>
          <w:trHeight w:val="315"/>
        </w:trPr>
        <w:tc>
          <w:tcPr>
            <w:tcW w:w="893" w:type="dxa"/>
            <w:vAlign w:val="center"/>
            <w:hideMark/>
          </w:tcPr>
          <w:p w14:paraId="1373FD6D" w14:textId="77777777" w:rsidR="004044F1" w:rsidRPr="00EE0EBA" w:rsidRDefault="004044F1" w:rsidP="00C4340F">
            <w:pPr>
              <w:rPr>
                <w:rFonts w:eastAsia="Calibri" w:cs="Arial"/>
                <w:sz w:val="16"/>
                <w:szCs w:val="16"/>
                <w:lang w:eastAsia="es-ES"/>
              </w:rPr>
            </w:pPr>
            <w:r w:rsidRPr="00EE0EBA">
              <w:rPr>
                <w:rFonts w:eastAsia="Calibri" w:cs="Arial"/>
                <w:sz w:val="16"/>
                <w:szCs w:val="16"/>
                <w:lang w:eastAsia="es-ES"/>
              </w:rPr>
              <w:t>Elaboró:</w:t>
            </w:r>
          </w:p>
        </w:tc>
        <w:tc>
          <w:tcPr>
            <w:tcW w:w="5628" w:type="dxa"/>
            <w:tcBorders>
              <w:top w:val="nil"/>
              <w:left w:val="nil"/>
              <w:bottom w:val="dotted" w:sz="4" w:space="0" w:color="7F7F7F"/>
              <w:right w:val="nil"/>
            </w:tcBorders>
            <w:vAlign w:val="center"/>
            <w:hideMark/>
          </w:tcPr>
          <w:p w14:paraId="63CDF36C" w14:textId="1684A380" w:rsidR="004044F1" w:rsidRPr="00EE0EBA" w:rsidRDefault="004044F1" w:rsidP="00C4340F">
            <w:pPr>
              <w:rPr>
                <w:rFonts w:eastAsia="Arial" w:cs="Arial"/>
                <w:sz w:val="16"/>
                <w:szCs w:val="16"/>
              </w:rPr>
            </w:pPr>
            <w:r>
              <w:rPr>
                <w:rFonts w:eastAsia="Arial" w:cs="Arial"/>
                <w:sz w:val="16"/>
                <w:szCs w:val="16"/>
              </w:rPr>
              <w:t xml:space="preserve">Diana </w:t>
            </w:r>
            <w:r w:rsidRPr="00EE0EBA">
              <w:rPr>
                <w:rFonts w:eastAsia="Arial" w:cs="Arial"/>
                <w:sz w:val="16"/>
                <w:szCs w:val="16"/>
              </w:rPr>
              <w:t xml:space="preserve">Carolina Blanco Rodriguez </w:t>
            </w:r>
          </w:p>
          <w:p w14:paraId="6F00523E" w14:textId="77777777" w:rsidR="004044F1" w:rsidRPr="00EE0EBA" w:rsidRDefault="004044F1" w:rsidP="00C4340F">
            <w:pPr>
              <w:rPr>
                <w:rFonts w:eastAsia="Arial" w:cs="Arial"/>
                <w:sz w:val="16"/>
                <w:szCs w:val="16"/>
              </w:rPr>
            </w:pPr>
            <w:r w:rsidRPr="00EE0EBA">
              <w:rPr>
                <w:rFonts w:eastAsia="Arial" w:cs="Arial"/>
                <w:sz w:val="16"/>
                <w:szCs w:val="16"/>
              </w:rPr>
              <w:t>Contratista de la Subdirección de Gestión Contractual</w:t>
            </w:r>
          </w:p>
        </w:tc>
      </w:tr>
      <w:tr w:rsidR="004044F1" w:rsidRPr="00EE0EBA" w14:paraId="408658FA" w14:textId="77777777" w:rsidTr="00C4340F">
        <w:trPr>
          <w:trHeight w:val="330"/>
        </w:trPr>
        <w:tc>
          <w:tcPr>
            <w:tcW w:w="893" w:type="dxa"/>
            <w:vAlign w:val="center"/>
            <w:hideMark/>
          </w:tcPr>
          <w:p w14:paraId="535871B2" w14:textId="77777777" w:rsidR="004044F1" w:rsidRPr="00EE0EBA" w:rsidRDefault="004044F1" w:rsidP="00C4340F">
            <w:pPr>
              <w:rPr>
                <w:rFonts w:eastAsia="Calibri" w:cs="Arial"/>
                <w:sz w:val="16"/>
                <w:szCs w:val="16"/>
                <w:lang w:eastAsia="es-ES"/>
              </w:rPr>
            </w:pPr>
            <w:r w:rsidRPr="00EE0EBA">
              <w:rPr>
                <w:rFonts w:eastAsia="Calibri"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030E99CD" w14:textId="50341350" w:rsidR="004044F1" w:rsidRPr="00EE0EBA" w:rsidRDefault="004044F1" w:rsidP="00C4340F">
            <w:pPr>
              <w:textAlignment w:val="baseline"/>
              <w:rPr>
                <w:rFonts w:eastAsia="Times New Roman" w:cs="Segoe UI"/>
                <w:sz w:val="16"/>
                <w:szCs w:val="16"/>
                <w:lang w:eastAsia="es-ES_tradnl"/>
              </w:rPr>
            </w:pPr>
            <w:r w:rsidRPr="00EE0EBA">
              <w:rPr>
                <w:rFonts w:eastAsia="Times New Roman" w:cs="Segoe UI"/>
                <w:sz w:val="16"/>
                <w:szCs w:val="16"/>
                <w:lang w:eastAsia="es-ES_tradnl"/>
              </w:rPr>
              <w:t xml:space="preserve">Juan </w:t>
            </w:r>
            <w:r>
              <w:rPr>
                <w:rFonts w:eastAsia="Times New Roman" w:cs="Segoe UI"/>
                <w:sz w:val="16"/>
                <w:szCs w:val="16"/>
                <w:lang w:eastAsia="es-ES_tradnl"/>
              </w:rPr>
              <w:t>Carlos González Vásquez</w:t>
            </w:r>
          </w:p>
          <w:p w14:paraId="622F02AC" w14:textId="77777777" w:rsidR="004044F1" w:rsidRPr="00EE0EBA" w:rsidRDefault="004044F1" w:rsidP="00C4340F">
            <w:pPr>
              <w:textAlignment w:val="baseline"/>
              <w:rPr>
                <w:rFonts w:eastAsia="Times New Roman" w:cs="Segoe UI"/>
                <w:sz w:val="16"/>
                <w:szCs w:val="16"/>
                <w:lang w:eastAsia="es-ES_tradnl"/>
              </w:rPr>
            </w:pPr>
            <w:r w:rsidRPr="00EE0EBA">
              <w:rPr>
                <w:rFonts w:eastAsia="Times New Roman" w:cs="Arial"/>
                <w:sz w:val="16"/>
                <w:szCs w:val="16"/>
                <w:lang w:eastAsia="es-ES_tradnl"/>
              </w:rPr>
              <w:t>Contratista de la Subdirección de Gestión Contractual </w:t>
            </w:r>
          </w:p>
        </w:tc>
      </w:tr>
      <w:tr w:rsidR="004044F1" w:rsidRPr="00EE0EBA" w14:paraId="15763AE3" w14:textId="77777777" w:rsidTr="00C4340F">
        <w:trPr>
          <w:trHeight w:val="300"/>
        </w:trPr>
        <w:tc>
          <w:tcPr>
            <w:tcW w:w="893" w:type="dxa"/>
            <w:vAlign w:val="center"/>
          </w:tcPr>
          <w:p w14:paraId="7D104D27" w14:textId="77777777" w:rsidR="004044F1" w:rsidRPr="00EE0EBA" w:rsidRDefault="004044F1" w:rsidP="00C4340F">
            <w:pPr>
              <w:rPr>
                <w:rFonts w:eastAsia="Calibri" w:cs="Arial"/>
                <w:sz w:val="16"/>
                <w:szCs w:val="16"/>
                <w:lang w:eastAsia="es-ES"/>
              </w:rPr>
            </w:pPr>
            <w:r w:rsidRPr="00EE0EBA">
              <w:rPr>
                <w:rFonts w:eastAsia="Calibri"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756CC54E" w14:textId="77777777" w:rsidR="004044F1" w:rsidRPr="00EE0EBA" w:rsidRDefault="004044F1" w:rsidP="00C4340F">
            <w:pPr>
              <w:rPr>
                <w:rFonts w:eastAsia="Calibri" w:cs="Arial"/>
                <w:sz w:val="16"/>
                <w:szCs w:val="16"/>
                <w:lang w:val="pt-BR" w:eastAsia="es-ES"/>
              </w:rPr>
            </w:pPr>
            <w:r w:rsidRPr="00EE0EBA">
              <w:rPr>
                <w:rFonts w:eastAsia="Calibri" w:cs="Arial"/>
                <w:sz w:val="16"/>
                <w:szCs w:val="16"/>
                <w:lang w:val="pt-BR" w:eastAsia="es-ES"/>
              </w:rPr>
              <w:t xml:space="preserve">Carolina Quintero </w:t>
            </w:r>
            <w:proofErr w:type="spellStart"/>
            <w:r w:rsidRPr="00EE0EBA">
              <w:rPr>
                <w:rFonts w:eastAsia="Calibri" w:cs="Arial"/>
                <w:sz w:val="16"/>
                <w:szCs w:val="16"/>
                <w:lang w:val="pt-BR" w:eastAsia="es-ES"/>
              </w:rPr>
              <w:t>Gacharná</w:t>
            </w:r>
            <w:proofErr w:type="spellEnd"/>
          </w:p>
          <w:p w14:paraId="68DA3027" w14:textId="77777777" w:rsidR="004044F1" w:rsidRPr="00EE0EBA" w:rsidRDefault="004044F1" w:rsidP="00C4340F">
            <w:pPr>
              <w:rPr>
                <w:rFonts w:eastAsia="Calibri" w:cs="Arial"/>
                <w:sz w:val="16"/>
                <w:szCs w:val="16"/>
                <w:lang w:val="pt-BR" w:eastAsia="es-ES"/>
              </w:rPr>
            </w:pPr>
            <w:r w:rsidRPr="00EE0EBA">
              <w:rPr>
                <w:rFonts w:eastAsia="Calibri" w:cs="Arial"/>
                <w:sz w:val="16"/>
                <w:szCs w:val="16"/>
                <w:lang w:eastAsia="es-ES"/>
              </w:rPr>
              <w:t>Subdirectora</w:t>
            </w:r>
            <w:r w:rsidRPr="00EE0EBA">
              <w:rPr>
                <w:rFonts w:eastAsia="Calibri" w:cs="Arial"/>
                <w:sz w:val="16"/>
                <w:szCs w:val="16"/>
                <w:lang w:val="pt-BR" w:eastAsia="es-ES"/>
              </w:rPr>
              <w:t xml:space="preserve"> de Gestión Contratual ANCP – CCE</w:t>
            </w:r>
          </w:p>
        </w:tc>
      </w:tr>
    </w:tbl>
    <w:p w14:paraId="73BDCD76" w14:textId="77777777" w:rsidR="004044F1" w:rsidRPr="00253FD9" w:rsidRDefault="004044F1" w:rsidP="004044F1">
      <w:pPr>
        <w:spacing w:line="276" w:lineRule="auto"/>
        <w:jc w:val="center"/>
        <w:rPr>
          <w:rFonts w:ascii="Verdana" w:hAnsi="Verdana" w:cs="Arial"/>
          <w:color w:val="000000"/>
          <w:lang w:eastAsia="es-CO"/>
        </w:rPr>
      </w:pPr>
    </w:p>
    <w:p w14:paraId="53800E25" w14:textId="77777777" w:rsidR="004044F1" w:rsidRDefault="004044F1" w:rsidP="004044F1">
      <w:pPr>
        <w:spacing w:line="276" w:lineRule="auto"/>
        <w:jc w:val="center"/>
        <w:rPr>
          <w:rFonts w:ascii="Verdana" w:hAnsi="Verdana" w:cs="Arial"/>
          <w:color w:val="000000"/>
          <w:lang w:val="es-ES_tradnl" w:eastAsia="es-CO"/>
        </w:rPr>
      </w:pPr>
    </w:p>
    <w:p w14:paraId="72AB7908" w14:textId="77777777" w:rsidR="004044F1" w:rsidRPr="00910315" w:rsidRDefault="004044F1" w:rsidP="004044F1"/>
    <w:bookmarkEnd w:id="0"/>
    <w:p w14:paraId="2D42BCF5" w14:textId="77777777" w:rsidR="0019788B" w:rsidRPr="00593A5F" w:rsidRDefault="0019788B" w:rsidP="0019788B">
      <w:pPr>
        <w:spacing w:after="0" w:line="276" w:lineRule="auto"/>
        <w:jc w:val="both"/>
        <w:rPr>
          <w:rFonts w:ascii="Verdana" w:eastAsia="Calibri" w:hAnsi="Verdana" w:cs="Arial"/>
          <w:color w:val="000000"/>
          <w:lang w:val="es-ES" w:eastAsia="es-ES"/>
        </w:rPr>
      </w:pPr>
    </w:p>
    <w:sectPr w:rsidR="0019788B" w:rsidRPr="00593A5F"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BC9DAD" w14:textId="77777777" w:rsidR="00FF6D18" w:rsidRDefault="00FF6D18" w:rsidP="004A1847">
      <w:pPr>
        <w:spacing w:after="0" w:line="240" w:lineRule="auto"/>
      </w:pPr>
      <w:r>
        <w:separator/>
      </w:r>
    </w:p>
  </w:endnote>
  <w:endnote w:type="continuationSeparator" w:id="0">
    <w:p w14:paraId="6D4B7F82" w14:textId="77777777" w:rsidR="00FF6D18" w:rsidRDefault="00FF6D1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C9134E" w14:textId="77777777" w:rsidR="00FF6D18" w:rsidRDefault="00FF6D18" w:rsidP="004A1847">
      <w:pPr>
        <w:spacing w:after="0" w:line="240" w:lineRule="auto"/>
      </w:pPr>
      <w:r>
        <w:separator/>
      </w:r>
    </w:p>
  </w:footnote>
  <w:footnote w:type="continuationSeparator" w:id="0">
    <w:p w14:paraId="4962A36A" w14:textId="77777777" w:rsidR="00FF6D18" w:rsidRDefault="00FF6D18" w:rsidP="004A1847">
      <w:pPr>
        <w:spacing w:after="0" w:line="240" w:lineRule="auto"/>
      </w:pPr>
      <w:r>
        <w:continuationSeparator/>
      </w:r>
    </w:p>
  </w:footnote>
  <w:footnote w:id="1">
    <w:p w14:paraId="253D7DED" w14:textId="77777777" w:rsidR="004044F1" w:rsidRPr="00A565FD" w:rsidRDefault="004044F1" w:rsidP="004044F1">
      <w:pPr>
        <w:pStyle w:val="Textonotapie"/>
        <w:spacing w:line="276" w:lineRule="auto"/>
        <w:ind w:firstLine="709"/>
        <w:jc w:val="both"/>
        <w:rPr>
          <w:rFonts w:ascii="Verdana" w:hAnsi="Verdana" w:cs="Arial"/>
          <w:color w:val="000000"/>
          <w:sz w:val="16"/>
          <w:szCs w:val="16"/>
        </w:rPr>
      </w:pPr>
      <w:r w:rsidRPr="00A565FD">
        <w:rPr>
          <w:rStyle w:val="Refdenotaalpie"/>
          <w:rFonts w:ascii="Verdana" w:hAnsi="Verdana"/>
          <w:sz w:val="16"/>
          <w:szCs w:val="16"/>
        </w:rPr>
        <w:footnoteRef/>
      </w:r>
      <w:r w:rsidRPr="00A565FD">
        <w:rPr>
          <w:rFonts w:ascii="Verdana" w:hAnsi="Verdana"/>
          <w:sz w:val="16"/>
          <w:szCs w:val="16"/>
        </w:rPr>
        <w:t xml:space="preserve"> </w:t>
      </w:r>
      <w:r w:rsidRPr="00A565FD">
        <w:rPr>
          <w:rFonts w:ascii="Verdana" w:hAnsi="Verdana" w:cs="Arial"/>
          <w:sz w:val="16"/>
          <w:szCs w:val="16"/>
        </w:rPr>
        <w:t>Ley 1150 de 2007 “</w:t>
      </w:r>
      <w:r w:rsidRPr="00A565FD">
        <w:rPr>
          <w:rStyle w:val="Textoennegrita"/>
          <w:rFonts w:ascii="Verdana" w:hAnsi="Verdana" w:cs="Arial"/>
          <w:b w:val="0"/>
          <w:bCs w:val="0"/>
          <w:color w:val="000000"/>
          <w:sz w:val="16"/>
          <w:szCs w:val="16"/>
        </w:rPr>
        <w:t>Artículo 2.</w:t>
      </w:r>
      <w:r w:rsidRPr="00A565FD">
        <w:rPr>
          <w:rStyle w:val="nfasis"/>
          <w:rFonts w:ascii="Verdana" w:hAnsi="Verdana" w:cs="Arial"/>
          <w:color w:val="000000"/>
          <w:sz w:val="16"/>
          <w:szCs w:val="16"/>
        </w:rPr>
        <w:t xml:space="preserve"> </w:t>
      </w:r>
      <w:r w:rsidRPr="00A565FD">
        <w:rPr>
          <w:rStyle w:val="nfasis"/>
          <w:rFonts w:ascii="Verdana" w:hAnsi="Verdana" w:cs="Arial"/>
          <w:i w:val="0"/>
          <w:iCs w:val="0"/>
          <w:color w:val="000000"/>
          <w:sz w:val="16"/>
          <w:szCs w:val="16"/>
        </w:rPr>
        <w:t>De las modalidades de selección.</w:t>
      </w:r>
      <w:r w:rsidRPr="00A565FD">
        <w:rPr>
          <w:rStyle w:val="nfasis"/>
          <w:rFonts w:ascii="Verdana" w:hAnsi="Verdana" w:cs="Arial"/>
          <w:color w:val="000000"/>
          <w:sz w:val="16"/>
          <w:szCs w:val="16"/>
        </w:rPr>
        <w:t> </w:t>
      </w:r>
      <w:r w:rsidRPr="00A565FD">
        <w:rPr>
          <w:rFonts w:ascii="Verdana" w:hAnsi="Verdana" w:cs="Arial"/>
          <w:color w:val="000000"/>
          <w:sz w:val="16"/>
          <w:szCs w:val="16"/>
        </w:rPr>
        <w:t>La escogencia del contratista se efectuará con arreglo a las modalidades de selección de licitación pública, selección abreviada, concurso de méritos y contratación directa, con base en las siguientes reglas:</w:t>
      </w:r>
    </w:p>
    <w:p w14:paraId="4314AF8F" w14:textId="77777777" w:rsidR="004044F1" w:rsidRPr="00A565FD" w:rsidRDefault="004044F1" w:rsidP="004044F1">
      <w:pPr>
        <w:pStyle w:val="Textonotapie"/>
        <w:spacing w:line="276" w:lineRule="auto"/>
        <w:ind w:firstLine="709"/>
        <w:jc w:val="both"/>
        <w:rPr>
          <w:rFonts w:ascii="Verdana" w:hAnsi="Verdana" w:cs="Arial"/>
          <w:color w:val="000000"/>
          <w:sz w:val="16"/>
          <w:szCs w:val="16"/>
        </w:rPr>
      </w:pPr>
      <w:r w:rsidRPr="00A565FD">
        <w:rPr>
          <w:rFonts w:ascii="Verdana" w:hAnsi="Verdana" w:cs="Arial"/>
          <w:color w:val="000000"/>
          <w:sz w:val="16"/>
          <w:szCs w:val="16"/>
        </w:rPr>
        <w:t>(…)</w:t>
      </w:r>
    </w:p>
    <w:p w14:paraId="0B9FDF36" w14:textId="77777777" w:rsidR="004044F1" w:rsidRPr="00A565FD" w:rsidRDefault="004044F1" w:rsidP="004044F1">
      <w:pPr>
        <w:pStyle w:val="Textonotapie"/>
        <w:spacing w:line="276" w:lineRule="auto"/>
        <w:ind w:firstLine="709"/>
        <w:jc w:val="both"/>
        <w:rPr>
          <w:rFonts w:ascii="Verdana" w:hAnsi="Verdana" w:cs="Arial"/>
          <w:sz w:val="16"/>
          <w:szCs w:val="16"/>
        </w:rPr>
      </w:pPr>
      <w:r w:rsidRPr="00A565FD">
        <w:rPr>
          <w:rFonts w:ascii="Verdana" w:hAnsi="Verdana" w:cs="Arial"/>
          <w:sz w:val="16"/>
          <w:szCs w:val="16"/>
        </w:rPr>
        <w:t xml:space="preserve">2. Selección abreviada. La Selección abreviada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  El Gobierno Nacional reglamentará la materia. </w:t>
      </w:r>
    </w:p>
    <w:p w14:paraId="0F42E16D" w14:textId="77777777" w:rsidR="004044F1" w:rsidRPr="00A565FD" w:rsidRDefault="004044F1" w:rsidP="004044F1">
      <w:pPr>
        <w:pStyle w:val="Textonotapie"/>
        <w:spacing w:line="276" w:lineRule="auto"/>
        <w:ind w:firstLine="709"/>
        <w:jc w:val="both"/>
        <w:rPr>
          <w:rFonts w:ascii="Verdana" w:hAnsi="Verdana" w:cs="Arial"/>
          <w:sz w:val="16"/>
          <w:szCs w:val="16"/>
        </w:rPr>
      </w:pPr>
      <w:r w:rsidRPr="00A565FD">
        <w:rPr>
          <w:rFonts w:ascii="Verdana" w:hAnsi="Verdana" w:cs="Arial"/>
          <w:sz w:val="16"/>
          <w:szCs w:val="16"/>
        </w:rPr>
        <w:t xml:space="preserve">Serán causales de selección abreviada las siguientes: </w:t>
      </w:r>
    </w:p>
    <w:p w14:paraId="13CEDF07" w14:textId="77777777" w:rsidR="004044F1" w:rsidRPr="00A565FD" w:rsidRDefault="004044F1" w:rsidP="004044F1">
      <w:pPr>
        <w:pStyle w:val="Textonotapie"/>
        <w:spacing w:line="276" w:lineRule="auto"/>
        <w:ind w:firstLine="709"/>
        <w:jc w:val="both"/>
        <w:rPr>
          <w:rFonts w:ascii="Verdana" w:hAnsi="Verdana" w:cs="Arial"/>
          <w:sz w:val="16"/>
          <w:szCs w:val="16"/>
        </w:rPr>
      </w:pPr>
      <w:r w:rsidRPr="00A565FD">
        <w:rPr>
          <w:rFonts w:ascii="Verdana" w:hAnsi="Verdana" w:cs="Arial"/>
          <w:sz w:val="16"/>
          <w:szCs w:val="16"/>
        </w:rPr>
        <w:t xml:space="preserve">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 </w:t>
      </w:r>
    </w:p>
    <w:p w14:paraId="024ECD83" w14:textId="77777777" w:rsidR="004044F1" w:rsidRPr="00A565FD" w:rsidRDefault="004044F1" w:rsidP="004044F1">
      <w:pPr>
        <w:pStyle w:val="Textonotapie"/>
        <w:spacing w:line="276" w:lineRule="auto"/>
        <w:ind w:firstLine="709"/>
        <w:jc w:val="both"/>
        <w:rPr>
          <w:rFonts w:ascii="Arial" w:hAnsi="Arial" w:cs="Arial"/>
          <w:sz w:val="19"/>
          <w:szCs w:val="19"/>
        </w:rPr>
      </w:pPr>
      <w:r w:rsidRPr="00A565FD">
        <w:rPr>
          <w:rFonts w:ascii="Verdana" w:hAnsi="Verdana" w:cs="Arial"/>
          <w:sz w:val="16"/>
          <w:szCs w:val="16"/>
        </w:rPr>
        <w:t>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r w:rsidRPr="00FC1901">
        <w:rPr>
          <w:rFonts w:ascii="Arial" w:hAnsi="Arial" w:cs="Arial"/>
          <w:color w:val="000000"/>
          <w:sz w:val="19"/>
          <w:szCs w:val="19"/>
        </w:rPr>
        <w:t> </w:t>
      </w:r>
    </w:p>
  </w:footnote>
  <w:footnote w:id="2">
    <w:p w14:paraId="242ED662" w14:textId="77777777" w:rsidR="004044F1" w:rsidRPr="00152814" w:rsidRDefault="004044F1" w:rsidP="004044F1">
      <w:pPr>
        <w:pStyle w:val="Textonotapie"/>
        <w:ind w:firstLine="709"/>
        <w:jc w:val="both"/>
        <w:rPr>
          <w:lang w:val="en-US"/>
        </w:rPr>
      </w:pPr>
      <w:r>
        <w:rPr>
          <w:rStyle w:val="Refdenotaalpie"/>
        </w:rPr>
        <w:footnoteRef/>
      </w:r>
      <w:hyperlink r:id="rId1" w:history="1">
        <w:r w:rsidRPr="00457C91">
          <w:rPr>
            <w:rStyle w:val="Hipervnculo"/>
            <w:rFonts w:ascii="Verdana" w:hAnsi="Verdana" w:cs="Arial"/>
            <w:sz w:val="16"/>
            <w:szCs w:val="16"/>
            <w:lang w:val="en-US"/>
          </w:rPr>
          <w:t>https://www.colombiacompra.gov.co/sites/cce_public/files/cce_circulares/vf_circular_externa_004_de_2021_ 002_2.pdf</w:t>
        </w:r>
      </w:hyperlink>
    </w:p>
  </w:footnote>
  <w:footnote w:id="3">
    <w:p w14:paraId="33E3457F" w14:textId="77777777" w:rsidR="004044F1" w:rsidRPr="00A565FD" w:rsidRDefault="004044F1" w:rsidP="004044F1">
      <w:pPr>
        <w:pStyle w:val="Textonotapie"/>
        <w:spacing w:line="276" w:lineRule="auto"/>
        <w:ind w:firstLine="709"/>
        <w:jc w:val="both"/>
        <w:rPr>
          <w:rFonts w:ascii="Verdana" w:hAnsi="Verdana" w:cs="Arial"/>
          <w:color w:val="000000"/>
          <w:sz w:val="16"/>
          <w:szCs w:val="16"/>
        </w:rPr>
      </w:pPr>
      <w:r w:rsidRPr="00A565FD">
        <w:rPr>
          <w:rStyle w:val="Refdenotaalpie"/>
          <w:rFonts w:ascii="Verdana" w:hAnsi="Verdana"/>
          <w:sz w:val="16"/>
          <w:szCs w:val="16"/>
        </w:rPr>
        <w:footnoteRef/>
      </w:r>
      <w:r w:rsidRPr="00A565FD">
        <w:rPr>
          <w:rFonts w:ascii="Verdana" w:hAnsi="Verdana"/>
          <w:sz w:val="16"/>
          <w:szCs w:val="16"/>
        </w:rPr>
        <w:t xml:space="preserve"> </w:t>
      </w:r>
      <w:r w:rsidRPr="00A565FD">
        <w:rPr>
          <w:rFonts w:ascii="Verdana" w:hAnsi="Verdana" w:cs="Arial"/>
          <w:sz w:val="16"/>
          <w:szCs w:val="16"/>
        </w:rPr>
        <w:t>Ley 1150 de 2007 “</w:t>
      </w:r>
      <w:r w:rsidRPr="00A565FD">
        <w:rPr>
          <w:rStyle w:val="Textoennegrita"/>
          <w:rFonts w:ascii="Verdana" w:hAnsi="Verdana" w:cs="Arial"/>
          <w:b w:val="0"/>
          <w:bCs w:val="0"/>
          <w:color w:val="000000"/>
          <w:sz w:val="16"/>
          <w:szCs w:val="16"/>
        </w:rPr>
        <w:t>Artículo 2.</w:t>
      </w:r>
      <w:r w:rsidRPr="00A565FD">
        <w:rPr>
          <w:rStyle w:val="nfasis"/>
          <w:rFonts w:ascii="Verdana" w:hAnsi="Verdana" w:cs="Arial"/>
          <w:color w:val="000000"/>
          <w:sz w:val="16"/>
          <w:szCs w:val="16"/>
        </w:rPr>
        <w:t xml:space="preserve"> </w:t>
      </w:r>
      <w:r w:rsidRPr="00A565FD">
        <w:rPr>
          <w:rStyle w:val="nfasis"/>
          <w:rFonts w:ascii="Verdana" w:hAnsi="Verdana" w:cs="Arial"/>
          <w:i w:val="0"/>
          <w:iCs w:val="0"/>
          <w:color w:val="000000"/>
          <w:sz w:val="16"/>
          <w:szCs w:val="16"/>
        </w:rPr>
        <w:t>De las modalidades de selección.</w:t>
      </w:r>
      <w:r w:rsidRPr="00A565FD">
        <w:rPr>
          <w:rStyle w:val="nfasis"/>
          <w:rFonts w:ascii="Verdana" w:hAnsi="Verdana" w:cs="Arial"/>
          <w:color w:val="000000"/>
          <w:sz w:val="16"/>
          <w:szCs w:val="16"/>
        </w:rPr>
        <w:t> </w:t>
      </w:r>
      <w:r w:rsidRPr="00A565FD">
        <w:rPr>
          <w:rFonts w:ascii="Verdana" w:hAnsi="Verdana" w:cs="Arial"/>
          <w:color w:val="000000"/>
          <w:sz w:val="16"/>
          <w:szCs w:val="16"/>
        </w:rPr>
        <w:t>La escogencia del contratista se efectuará con arreglo a las modalidades de selección de licitación pública, selección abreviada, concurso de méritos y contratación directa, con base en las siguientes reglas:</w:t>
      </w:r>
    </w:p>
    <w:p w14:paraId="30EDE617" w14:textId="77777777" w:rsidR="004044F1" w:rsidRPr="00A565FD" w:rsidRDefault="004044F1" w:rsidP="004044F1">
      <w:pPr>
        <w:pStyle w:val="Textonotapie"/>
        <w:spacing w:line="276" w:lineRule="auto"/>
        <w:ind w:firstLine="709"/>
        <w:jc w:val="both"/>
        <w:rPr>
          <w:rFonts w:ascii="Verdana" w:hAnsi="Verdana" w:cs="Arial"/>
          <w:color w:val="000000"/>
          <w:sz w:val="16"/>
          <w:szCs w:val="16"/>
        </w:rPr>
      </w:pPr>
      <w:r w:rsidRPr="00A565FD">
        <w:rPr>
          <w:rFonts w:ascii="Verdana" w:hAnsi="Verdana" w:cs="Arial"/>
          <w:color w:val="000000"/>
          <w:sz w:val="16"/>
          <w:szCs w:val="16"/>
        </w:rPr>
        <w:t>(…)</w:t>
      </w:r>
    </w:p>
    <w:p w14:paraId="31A0C8BD" w14:textId="77777777" w:rsidR="004044F1" w:rsidRPr="00A565FD" w:rsidRDefault="004044F1" w:rsidP="004044F1">
      <w:pPr>
        <w:pStyle w:val="Textonotapie"/>
        <w:spacing w:line="276" w:lineRule="auto"/>
        <w:ind w:firstLine="709"/>
        <w:jc w:val="both"/>
        <w:rPr>
          <w:rFonts w:ascii="Verdana" w:hAnsi="Verdana" w:cs="Arial"/>
          <w:sz w:val="16"/>
          <w:szCs w:val="16"/>
        </w:rPr>
      </w:pPr>
      <w:r w:rsidRPr="00A565FD">
        <w:rPr>
          <w:rFonts w:ascii="Verdana" w:hAnsi="Verdana" w:cs="Arial"/>
          <w:sz w:val="16"/>
          <w:szCs w:val="16"/>
        </w:rPr>
        <w:t xml:space="preserve">2. Selección abreviada. La Selección abreviada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  El Gobierno Nacional reglamentará la materia. </w:t>
      </w:r>
    </w:p>
    <w:p w14:paraId="0041BFF9" w14:textId="77777777" w:rsidR="004044F1" w:rsidRPr="00A565FD" w:rsidRDefault="004044F1" w:rsidP="004044F1">
      <w:pPr>
        <w:pStyle w:val="Textonotapie"/>
        <w:spacing w:line="276" w:lineRule="auto"/>
        <w:ind w:firstLine="709"/>
        <w:jc w:val="both"/>
        <w:rPr>
          <w:rFonts w:ascii="Verdana" w:hAnsi="Verdana" w:cs="Arial"/>
          <w:sz w:val="16"/>
          <w:szCs w:val="16"/>
        </w:rPr>
      </w:pPr>
      <w:r w:rsidRPr="00A565FD">
        <w:rPr>
          <w:rFonts w:ascii="Verdana" w:hAnsi="Verdana" w:cs="Arial"/>
          <w:sz w:val="16"/>
          <w:szCs w:val="16"/>
        </w:rPr>
        <w:t xml:space="preserve">Serán causales de selección abreviada las siguientes: </w:t>
      </w:r>
    </w:p>
    <w:p w14:paraId="756E679B" w14:textId="77777777" w:rsidR="004044F1" w:rsidRPr="00A565FD" w:rsidRDefault="004044F1" w:rsidP="004044F1">
      <w:pPr>
        <w:pStyle w:val="Textonotapie"/>
        <w:spacing w:line="276" w:lineRule="auto"/>
        <w:ind w:firstLine="709"/>
        <w:jc w:val="both"/>
        <w:rPr>
          <w:rFonts w:ascii="Verdana" w:hAnsi="Verdana" w:cs="Arial"/>
          <w:sz w:val="16"/>
          <w:szCs w:val="16"/>
        </w:rPr>
      </w:pPr>
      <w:r w:rsidRPr="00A565FD">
        <w:rPr>
          <w:rFonts w:ascii="Verdana" w:hAnsi="Verdana" w:cs="Arial"/>
          <w:sz w:val="16"/>
          <w:szCs w:val="16"/>
        </w:rPr>
        <w:t xml:space="preserve">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 </w:t>
      </w:r>
    </w:p>
    <w:p w14:paraId="27898F56" w14:textId="77777777" w:rsidR="004044F1" w:rsidRPr="00A565FD" w:rsidRDefault="004044F1" w:rsidP="004044F1">
      <w:pPr>
        <w:pStyle w:val="Textonotapie"/>
        <w:spacing w:line="276" w:lineRule="auto"/>
        <w:ind w:firstLine="709"/>
        <w:jc w:val="both"/>
        <w:rPr>
          <w:rFonts w:ascii="Arial" w:hAnsi="Arial" w:cs="Arial"/>
          <w:sz w:val="19"/>
          <w:szCs w:val="19"/>
        </w:rPr>
      </w:pPr>
      <w:r w:rsidRPr="00A565FD">
        <w:rPr>
          <w:rFonts w:ascii="Verdana" w:hAnsi="Verdana" w:cs="Arial"/>
          <w:sz w:val="16"/>
          <w:szCs w:val="16"/>
        </w:rPr>
        <w:t>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r w:rsidRPr="00FC1901">
        <w:rPr>
          <w:rFonts w:ascii="Arial" w:hAnsi="Arial" w:cs="Arial"/>
          <w:color w:val="000000"/>
          <w:sz w:val="19"/>
          <w:szCs w:val="19"/>
        </w:rPr>
        <w:t> </w:t>
      </w:r>
    </w:p>
  </w:footnote>
  <w:footnote w:id="4">
    <w:p w14:paraId="634C9900" w14:textId="77777777" w:rsidR="004044F1" w:rsidRPr="00A565FD" w:rsidRDefault="004044F1" w:rsidP="004044F1">
      <w:pPr>
        <w:pStyle w:val="Textonotapie"/>
        <w:ind w:firstLine="708"/>
        <w:jc w:val="both"/>
        <w:rPr>
          <w:rFonts w:ascii="Verdana" w:hAnsi="Verdana" w:cs="Arial"/>
          <w:color w:val="000000" w:themeColor="text1"/>
          <w:sz w:val="16"/>
          <w:szCs w:val="16"/>
          <w:lang w:val="es-CO"/>
        </w:rPr>
      </w:pPr>
      <w:r w:rsidRPr="00A565FD">
        <w:rPr>
          <w:rStyle w:val="Refdenotaalpie"/>
          <w:rFonts w:ascii="Verdana" w:hAnsi="Verdana" w:cs="Arial"/>
          <w:color w:val="000000" w:themeColor="text1"/>
          <w:sz w:val="16"/>
          <w:szCs w:val="16"/>
        </w:rPr>
        <w:footnoteRef/>
      </w:r>
      <w:r w:rsidRPr="00A565FD">
        <w:rPr>
          <w:rFonts w:ascii="Verdana" w:hAnsi="Verdana" w:cs="Arial"/>
          <w:color w:val="000000" w:themeColor="text1"/>
          <w:sz w:val="16"/>
          <w:szCs w:val="16"/>
        </w:rPr>
        <w:t xml:space="preserve"> DÁVILA VINUEZA, Luis Guillermo. Régimen jurídico de la contratación estatal. Tercera edición. Bogotá: Legis, 2016. p. 469. </w:t>
      </w:r>
    </w:p>
  </w:footnote>
  <w:footnote w:id="5">
    <w:p w14:paraId="0C968F23" w14:textId="77777777" w:rsidR="004044F1" w:rsidRPr="009B41DD" w:rsidRDefault="004044F1" w:rsidP="004044F1">
      <w:pPr>
        <w:pStyle w:val="Textonotapie"/>
        <w:ind w:firstLine="709"/>
        <w:rPr>
          <w:rFonts w:ascii="Verdana" w:hAnsi="Verdana"/>
          <w:sz w:val="16"/>
          <w:szCs w:val="16"/>
          <w:lang w:val="es-ES"/>
        </w:rPr>
      </w:pPr>
      <w:r w:rsidRPr="009B41DD">
        <w:rPr>
          <w:rStyle w:val="Refdenotaalpie"/>
          <w:rFonts w:ascii="Verdana" w:hAnsi="Verdana"/>
          <w:sz w:val="16"/>
          <w:szCs w:val="16"/>
        </w:rPr>
        <w:footnoteRef/>
      </w:r>
      <w:r w:rsidRPr="009B41DD">
        <w:rPr>
          <w:rFonts w:ascii="Verdana" w:hAnsi="Verdana"/>
          <w:sz w:val="16"/>
          <w:szCs w:val="16"/>
        </w:rPr>
        <w:t xml:space="preserve"> </w:t>
      </w:r>
      <w:r w:rsidRPr="009B41DD">
        <w:rPr>
          <w:rFonts w:ascii="Verdana" w:hAnsi="Verdana" w:cs="Arial"/>
          <w:i/>
          <w:iCs/>
          <w:sz w:val="16"/>
          <w:szCs w:val="16"/>
        </w:rPr>
        <w:t>Ibídem.</w:t>
      </w:r>
    </w:p>
  </w:footnote>
  <w:footnote w:id="6">
    <w:p w14:paraId="06FDE80B" w14:textId="77777777" w:rsidR="004044F1" w:rsidRPr="009B41DD" w:rsidRDefault="004044F1" w:rsidP="004044F1">
      <w:pPr>
        <w:pStyle w:val="Textonotapie"/>
        <w:ind w:firstLine="708"/>
        <w:jc w:val="both"/>
        <w:rPr>
          <w:rFonts w:ascii="Verdana" w:hAnsi="Verdana" w:cs="Arial"/>
          <w:sz w:val="16"/>
          <w:szCs w:val="16"/>
        </w:rPr>
      </w:pPr>
      <w:r w:rsidRPr="009B41DD">
        <w:rPr>
          <w:rStyle w:val="Refdenotaalpie"/>
          <w:rFonts w:ascii="Verdana" w:hAnsi="Verdana"/>
          <w:sz w:val="16"/>
          <w:szCs w:val="16"/>
        </w:rPr>
        <w:footnoteRef/>
      </w:r>
      <w:r w:rsidRPr="009B41DD">
        <w:rPr>
          <w:rFonts w:ascii="Verdana" w:hAnsi="Verdana"/>
          <w:sz w:val="16"/>
          <w:szCs w:val="16"/>
        </w:rPr>
        <w:t xml:space="preserve"> </w:t>
      </w:r>
      <w:r w:rsidRPr="009B41DD">
        <w:rPr>
          <w:rFonts w:ascii="Verdana" w:hAnsi="Verdana" w:cs="Arial"/>
          <w:sz w:val="16"/>
          <w:szCs w:val="16"/>
        </w:rPr>
        <w:t>Decreto 1082 de 2015 “Artículo 2.2.1.2.1.2.14. Selección del comisionista. La Entidad Estatal debe seleccionar al comisionista de acuerdo con el procedimiento interno aplicable en la bolsa de productos, el cual debe ser competitivo.</w:t>
      </w:r>
    </w:p>
    <w:p w14:paraId="55BB958F" w14:textId="77777777" w:rsidR="004044F1" w:rsidRPr="009B41DD" w:rsidRDefault="004044F1" w:rsidP="004044F1">
      <w:pPr>
        <w:pStyle w:val="Textonotapie"/>
        <w:ind w:firstLine="708"/>
        <w:jc w:val="both"/>
        <w:rPr>
          <w:rFonts w:ascii="Verdana" w:hAnsi="Verdana" w:cs="Arial"/>
          <w:sz w:val="16"/>
          <w:szCs w:val="16"/>
        </w:rPr>
      </w:pPr>
      <w:r w:rsidRPr="009B41DD">
        <w:rPr>
          <w:rFonts w:ascii="Verdana" w:hAnsi="Verdana" w:cs="Arial"/>
          <w:sz w:val="16"/>
          <w:szCs w:val="16"/>
        </w:rPr>
        <w:t>“Entidad Estatal debe publicar el contrato suscrito con el comisionista seleccionado y sus modificaciones en el Secop”.</w:t>
      </w:r>
    </w:p>
  </w:footnote>
  <w:footnote w:id="7">
    <w:p w14:paraId="18656532" w14:textId="77777777" w:rsidR="004044F1" w:rsidRPr="009B41DD" w:rsidRDefault="004044F1" w:rsidP="004044F1">
      <w:pPr>
        <w:pStyle w:val="NormalWeb"/>
        <w:spacing w:before="0" w:beforeAutospacing="0" w:after="0" w:afterAutospacing="0"/>
        <w:ind w:firstLine="708"/>
        <w:jc w:val="both"/>
        <w:rPr>
          <w:rFonts w:ascii="Verdana" w:hAnsi="Verdana" w:cs="Arial"/>
          <w:color w:val="000000"/>
          <w:sz w:val="16"/>
          <w:szCs w:val="16"/>
        </w:rPr>
      </w:pPr>
      <w:r w:rsidRPr="009B41DD">
        <w:rPr>
          <w:rStyle w:val="Refdenotaalpie"/>
          <w:rFonts w:ascii="Verdana" w:hAnsi="Verdana"/>
          <w:sz w:val="16"/>
          <w:szCs w:val="16"/>
        </w:rPr>
        <w:footnoteRef/>
      </w:r>
      <w:r>
        <w:rPr>
          <w:rFonts w:ascii="Verdana" w:hAnsi="Verdana" w:cs="Arial"/>
          <w:sz w:val="16"/>
          <w:szCs w:val="16"/>
        </w:rPr>
        <w:t xml:space="preserve"> </w:t>
      </w:r>
      <w:r w:rsidRPr="009B41DD">
        <w:rPr>
          <w:rFonts w:ascii="Verdana" w:hAnsi="Verdana" w:cs="Arial"/>
          <w:sz w:val="16"/>
          <w:szCs w:val="16"/>
        </w:rPr>
        <w:t>Decreto 1082 de 2015 “</w:t>
      </w:r>
      <w:r w:rsidRPr="009B41DD">
        <w:rPr>
          <w:rFonts w:ascii="Verdana" w:hAnsi="Verdana" w:cs="Arial"/>
          <w:color w:val="000000"/>
          <w:sz w:val="16"/>
          <w:szCs w:val="16"/>
        </w:rPr>
        <w:t>Artículo 2.2.1.2.1.2.17. Garantía única a favor de la Entidad Estatal. Como requisito para la ejecución del contrato de comisión, el comisionista seleccionado debe constituir a favor de la entidad estatal comitente la garantía única de cumplimiento, en relación con el valor de la comisión que la Entidad Estatal pagará al comisionista por sus servicios. </w:t>
      </w:r>
    </w:p>
    <w:p w14:paraId="04E7E544" w14:textId="77777777" w:rsidR="004044F1" w:rsidRPr="009B41DD" w:rsidRDefault="004044F1" w:rsidP="004044F1">
      <w:pPr>
        <w:spacing w:after="0"/>
        <w:ind w:firstLine="709"/>
        <w:jc w:val="both"/>
        <w:rPr>
          <w:rFonts w:ascii="Verdana" w:eastAsia="Times New Roman" w:hAnsi="Verdana" w:cs="Arial"/>
          <w:color w:val="000000"/>
          <w:sz w:val="16"/>
          <w:szCs w:val="16"/>
          <w:lang w:eastAsia="es-CO"/>
        </w:rPr>
      </w:pPr>
      <w:bookmarkStart w:id="2" w:name="ver_30051355"/>
      <w:bookmarkEnd w:id="2"/>
      <w:r w:rsidRPr="009B41DD">
        <w:rPr>
          <w:rFonts w:ascii="Verdana" w:eastAsia="Times New Roman" w:hAnsi="Verdana" w:cs="Arial"/>
          <w:color w:val="000000"/>
          <w:sz w:val="16"/>
          <w:szCs w:val="16"/>
          <w:lang w:eastAsia="es-CO"/>
        </w:rPr>
        <w:t>“Artículo 2.2.1.2.1.2.18. Garantías de cumplimiento a favor del organismo de compensación de la bolsa de productos. La Entidad Estatal y el comitente vendedor deben constituir a favor del organismo de compensación de la bolsa de productos las garantías establecidas en su reglamento, para garantizar el cumplimiento de las negociaciones mediante las cuales la Entidad Estatal adquiere Bienes y Servicios de Características Técnicas Uniformes.</w:t>
      </w:r>
    </w:p>
    <w:p w14:paraId="4F531AB9" w14:textId="77777777" w:rsidR="004044F1" w:rsidRPr="009B41DD" w:rsidRDefault="004044F1" w:rsidP="004044F1">
      <w:pPr>
        <w:spacing w:after="0"/>
        <w:ind w:firstLine="709"/>
        <w:jc w:val="both"/>
        <w:rPr>
          <w:rFonts w:ascii="Arial" w:eastAsia="Times New Roman" w:hAnsi="Arial" w:cs="Arial"/>
          <w:color w:val="000000"/>
          <w:sz w:val="19"/>
          <w:szCs w:val="19"/>
          <w:lang w:eastAsia="es-CO"/>
        </w:rPr>
      </w:pPr>
      <w:r w:rsidRPr="009B41DD">
        <w:rPr>
          <w:rFonts w:ascii="Verdana" w:eastAsia="Times New Roman" w:hAnsi="Verdana" w:cs="Arial"/>
          <w:color w:val="000000"/>
          <w:sz w:val="16"/>
          <w:szCs w:val="16"/>
          <w:lang w:eastAsia="es-CO"/>
        </w:rPr>
        <w:t>Las Entidades Estatales pueden exigir al comitente vendedor garantías adicionales a las señaladas en el presente artículo, siempre y cuando resulten adecuadas y proporcionales al objeto a contratar y a su valor”.</w:t>
      </w:r>
    </w:p>
  </w:footnote>
  <w:footnote w:id="8">
    <w:p w14:paraId="42350DD0" w14:textId="77777777" w:rsidR="004044F1" w:rsidRPr="00D7529D" w:rsidRDefault="004044F1" w:rsidP="004044F1">
      <w:pPr>
        <w:pStyle w:val="Textonotapie"/>
        <w:ind w:firstLine="708"/>
        <w:jc w:val="both"/>
        <w:rPr>
          <w:rFonts w:ascii="Verdana" w:hAnsi="Verdana" w:cs="Arial"/>
          <w:sz w:val="16"/>
          <w:szCs w:val="16"/>
        </w:rPr>
      </w:pPr>
      <w:r w:rsidRPr="00D7529D">
        <w:rPr>
          <w:rStyle w:val="Refdenotaalpie"/>
          <w:rFonts w:ascii="Verdana" w:hAnsi="Verdana"/>
          <w:sz w:val="16"/>
          <w:szCs w:val="16"/>
        </w:rPr>
        <w:footnoteRef/>
      </w:r>
      <w:r w:rsidRPr="00D7529D">
        <w:rPr>
          <w:rFonts w:ascii="Verdana" w:hAnsi="Verdana"/>
          <w:sz w:val="16"/>
          <w:szCs w:val="16"/>
        </w:rPr>
        <w:t xml:space="preserve"> </w:t>
      </w:r>
      <w:r w:rsidRPr="00D7529D">
        <w:rPr>
          <w:rFonts w:ascii="Verdana" w:hAnsi="Verdana" w:cs="Arial"/>
          <w:sz w:val="16"/>
          <w:szCs w:val="16"/>
        </w:rPr>
        <w:t>El artículo 2.2.1.2.1.2.12. del Decreto 1082 de 2015, modificado por el artículo 2 del Decreto 310 del 25 de marzo de 2021 establece: “Planeación de una adquisición en la bolsa de productos.</w:t>
      </w:r>
      <w:r w:rsidRPr="00D7529D">
        <w:rPr>
          <w:rFonts w:ascii="Arial" w:hAnsi="Arial" w:cs="Arial"/>
          <w:sz w:val="16"/>
          <w:szCs w:val="16"/>
        </w:rPr>
        <w:t>​</w:t>
      </w:r>
      <w:r w:rsidRPr="00D7529D">
        <w:rPr>
          <w:rFonts w:ascii="Verdana" w:hAnsi="Verdana" w:cs="Arial"/>
          <w:sz w:val="16"/>
          <w:szCs w:val="16"/>
        </w:rPr>
        <w:t xml:space="preserve"> Cuando no exista un Acuerdo Marco de Precios para el bien o servicio requerido, las entidades estatales deben estudiar, comparar e identificar las ventajas de utilizar la bolsa de productos para la adquisición respectiva frente a la subasta inversa o a la promoción de un nuevo Acuerdo Marco de Precios con la Agencia Nacional de Contratación Pública -Colombia Compra Eficiente- para tales bienes o servicios, incluyendo el análisis del Proceso de Selección del comisionista, los costos asociados a la selección, el valor de la comisión y de las garantías. </w:t>
      </w:r>
    </w:p>
    <w:p w14:paraId="085FBFE7" w14:textId="77777777" w:rsidR="004044F1" w:rsidRPr="00D7529D" w:rsidRDefault="004044F1" w:rsidP="004044F1">
      <w:pPr>
        <w:pStyle w:val="Textonotapie"/>
        <w:ind w:firstLine="708"/>
        <w:jc w:val="both"/>
        <w:rPr>
          <w:rFonts w:ascii="Verdana" w:hAnsi="Verdana" w:cs="Arial"/>
          <w:sz w:val="16"/>
          <w:szCs w:val="16"/>
        </w:rPr>
      </w:pPr>
      <w:r w:rsidRPr="00D7529D">
        <w:rPr>
          <w:rFonts w:ascii="Verdana" w:hAnsi="Verdana" w:cs="Arial"/>
          <w:sz w:val="16"/>
          <w:szCs w:val="16"/>
        </w:rPr>
        <w:t xml:space="preserve">“El estudio mencionado deberá dar cuenta de la forma en que la Entidad Estatal garantiza los principios y objetivos del sistema de compras, contratación pública, los postulados de la función administrativa y de la gestión fiscal. Este estudio deberá consignarse expresamente en los documentos del Proceso de Selección y se deberá garantizar su oportuna publicidad a través del SECOP. </w:t>
      </w:r>
    </w:p>
    <w:p w14:paraId="5C51C480" w14:textId="77777777" w:rsidR="004044F1" w:rsidRPr="00D7529D" w:rsidRDefault="004044F1" w:rsidP="004044F1">
      <w:pPr>
        <w:pStyle w:val="Textonotapie"/>
        <w:ind w:firstLine="708"/>
        <w:jc w:val="both"/>
        <w:rPr>
          <w:rFonts w:ascii="Verdana" w:hAnsi="Verdana" w:cs="Arial"/>
          <w:sz w:val="16"/>
          <w:szCs w:val="16"/>
        </w:rPr>
      </w:pPr>
      <w:r w:rsidRPr="00D7529D">
        <w:rPr>
          <w:rFonts w:ascii="Verdana" w:hAnsi="Verdana" w:cs="Arial"/>
          <w:sz w:val="16"/>
          <w:szCs w:val="16"/>
        </w:rPr>
        <w:t xml:space="preserve">“Aun existiendo un Acuerdo Marco de Precios, las entidades estatales podrán acudir a las bolsas de productos, siempre que a través de este mecanismo se obtengan precios inferiores al promedio de los valores finales de las operaciones secundarias materializadas con ocasión de las órdenes de compra colocadas por las Entidades compradoras a través de la Tienda Virtual del Estado, administrada por la Agencia Nacional de Contratación Pública -Colombia Compra Eficiente- durante los últimos seis (6) meses, incluyendo los costos generados por concepto de comisionistas de bolsa y gastos de operación de qué trata el artículo 2.2.1.2.1.2.1.5 del presente Decreto, valores que deberán ser verificados por el respectivo ordenador del gasto en el último boletín de precios que, para el efecto, expida el órgano rector de la contratación estatal. </w:t>
      </w:r>
    </w:p>
    <w:p w14:paraId="47EC5C8F" w14:textId="77777777" w:rsidR="004044F1" w:rsidRPr="00D7529D" w:rsidRDefault="004044F1" w:rsidP="004044F1">
      <w:pPr>
        <w:pStyle w:val="Textonotapie"/>
        <w:ind w:firstLine="708"/>
        <w:jc w:val="both"/>
        <w:rPr>
          <w:rFonts w:ascii="Verdana" w:hAnsi="Verdana" w:cs="Arial"/>
          <w:sz w:val="16"/>
          <w:szCs w:val="16"/>
        </w:rPr>
      </w:pPr>
      <w:r w:rsidRPr="00D7529D">
        <w:rPr>
          <w:rFonts w:ascii="Verdana" w:hAnsi="Verdana" w:cs="Arial"/>
          <w:sz w:val="16"/>
          <w:szCs w:val="16"/>
        </w:rPr>
        <w:t xml:space="preserve">“Estas adquisiciones, no podrán desmejorar las condiciones técnicas y de calidad definidas para los bienes y servicios que conforman los catálogos de los acuerdos marco de precios de la Agencia Nacional de Contratación Pública como ente rector en la materia o quien haga sus veces. </w:t>
      </w:r>
    </w:p>
    <w:p w14:paraId="51A7AFAB" w14:textId="77777777" w:rsidR="004044F1" w:rsidRPr="00D7529D" w:rsidRDefault="004044F1" w:rsidP="004044F1">
      <w:pPr>
        <w:pStyle w:val="Textonotapie"/>
        <w:ind w:firstLine="708"/>
        <w:jc w:val="both"/>
        <w:rPr>
          <w:rFonts w:ascii="Verdana" w:hAnsi="Verdana" w:cs="Arial"/>
          <w:sz w:val="16"/>
          <w:szCs w:val="16"/>
        </w:rPr>
      </w:pPr>
      <w:r w:rsidRPr="00D7529D">
        <w:rPr>
          <w:rFonts w:ascii="Verdana" w:hAnsi="Verdana" w:cs="Arial"/>
          <w:sz w:val="16"/>
          <w:szCs w:val="16"/>
        </w:rPr>
        <w:t xml:space="preserve">“Parágrafo 1. La Agencia Nacional de contratación Pública - Colombia Compra Eficiente, a través de la circular de que trata el numeral 2 del parágrafo 1 del artículo 2.2.1.2.1.2.7. del presente Decreto definirá los lineamientos generales, así como los criterios objetivos y medibles a los cuales deberán sujetarse las entidades estatales para la adquisición de bienes o servicios de características técnicas uniformes a través de Bolsas de Productos, independientemente de que exista o no un Acuerdo Marco de Precios vigente. </w:t>
      </w:r>
    </w:p>
    <w:p w14:paraId="290B052B" w14:textId="77777777" w:rsidR="004044F1" w:rsidRDefault="004044F1" w:rsidP="004044F1">
      <w:pPr>
        <w:pStyle w:val="Textonotapie"/>
        <w:ind w:firstLine="708"/>
        <w:jc w:val="both"/>
        <w:rPr>
          <w:rFonts w:ascii="Verdana" w:hAnsi="Verdana" w:cs="Arial"/>
          <w:sz w:val="16"/>
          <w:szCs w:val="16"/>
        </w:rPr>
      </w:pPr>
      <w:r w:rsidRPr="00D7529D">
        <w:rPr>
          <w:rFonts w:ascii="Verdana" w:hAnsi="Verdana" w:cs="Arial"/>
          <w:sz w:val="16"/>
          <w:szCs w:val="16"/>
        </w:rPr>
        <w:t>“Parágrafo 2. Para los efectos de este Decreto, entiéndase por Bolsa de Productos, las sociedades vigiladas por la Superintendencia Financiera de Colombia y definidas en el artículo 2.11.1.1.1 del Decreto 2555 de 2010 o la norma que la modifique, adicione o sustituya.</w:t>
      </w:r>
    </w:p>
    <w:p w14:paraId="26D2187E" w14:textId="77777777" w:rsidR="004044F1" w:rsidRPr="00D7529D" w:rsidRDefault="004044F1" w:rsidP="004044F1">
      <w:pPr>
        <w:pStyle w:val="Textonotapie"/>
        <w:ind w:firstLine="708"/>
        <w:jc w:val="both"/>
        <w:rPr>
          <w:rFonts w:ascii="Verdana" w:hAnsi="Verdana" w:cs="Arial"/>
          <w:sz w:val="16"/>
          <w:szCs w:val="16"/>
        </w:rPr>
      </w:pPr>
      <w:r w:rsidRPr="00D7529D">
        <w:rPr>
          <w:rFonts w:ascii="Verdana" w:hAnsi="Verdana" w:cs="Arial"/>
          <w:sz w:val="16"/>
          <w:szCs w:val="16"/>
        </w:rPr>
        <w:t>“Parágrafo 3. Lo previsto en el parágrafo 1 de este artículo no será aplicable a las Entidades Estatales de la Rama Ejecutiva del Poder Público del orden nacional, obligadas a aplicar la Ley 80 de 1993 y la Ley 1150 de 2007, o las normas que las modifiquen, aclaren, adicionen o sustituyan, las cuales en todo caso están obligadas a adquirir Bienes y Servicios de Características Técnicas Uniformes a través de los Acuerdos Marco de Precios vigentes estructurados por la Agencia Nacional de Contratación Pública -Colombia Compra Eficiente”.</w:t>
      </w:r>
    </w:p>
  </w:footnote>
  <w:footnote w:id="9">
    <w:p w14:paraId="65025364" w14:textId="77777777" w:rsidR="004044F1" w:rsidRPr="00F026FD" w:rsidRDefault="004044F1" w:rsidP="004044F1">
      <w:pPr>
        <w:pStyle w:val="Textonotapie"/>
        <w:ind w:firstLine="709"/>
        <w:jc w:val="both"/>
        <w:rPr>
          <w:rFonts w:ascii="Verdana" w:hAnsi="Verdana"/>
          <w:sz w:val="16"/>
          <w:szCs w:val="16"/>
          <w:lang w:val="es-ES"/>
        </w:rPr>
      </w:pPr>
      <w:r w:rsidRPr="00F026FD">
        <w:rPr>
          <w:rStyle w:val="Refdenotaalpie"/>
          <w:rFonts w:ascii="Verdana" w:hAnsi="Verdana"/>
          <w:sz w:val="16"/>
          <w:szCs w:val="16"/>
        </w:rPr>
        <w:footnoteRef/>
      </w:r>
      <w:r w:rsidRPr="00F026FD">
        <w:rPr>
          <w:rFonts w:ascii="Verdana" w:hAnsi="Verdana"/>
          <w:sz w:val="16"/>
          <w:szCs w:val="16"/>
        </w:rPr>
        <w:t xml:space="preserve"> </w:t>
      </w:r>
      <w:r w:rsidRPr="00F026FD">
        <w:rPr>
          <w:rFonts w:ascii="Verdana" w:hAnsi="Verdana" w:cs="Arial"/>
          <w:color w:val="000000" w:themeColor="text1"/>
          <w:sz w:val="16"/>
          <w:szCs w:val="16"/>
        </w:rPr>
        <w:t xml:space="preserve">PIAGGIO, H. Las operaciones de Bolsa. Revista de la Facultad de Derecho. Pontificia Universidad Católica del Perú, No. 2, 1945, pp. 37-43. Recuperado en: </w:t>
      </w:r>
      <w:hyperlink r:id="rId2" w:history="1">
        <w:r w:rsidRPr="00F026FD">
          <w:rPr>
            <w:rFonts w:ascii="Verdana" w:hAnsi="Verdana" w:cs="Arial"/>
            <w:color w:val="000000" w:themeColor="text1"/>
            <w:sz w:val="16"/>
            <w:szCs w:val="16"/>
          </w:rPr>
          <w:t>http://revistas.pucp.edu.pe/index.php/derechopucp/article/view/6348/6396</w:t>
        </w:r>
      </w:hyperlink>
    </w:p>
  </w:footnote>
  <w:footnote w:id="10">
    <w:p w14:paraId="25461752" w14:textId="77777777" w:rsidR="004044F1" w:rsidRPr="00F026FD" w:rsidRDefault="004044F1" w:rsidP="004044F1">
      <w:pPr>
        <w:pStyle w:val="Textonotapie"/>
        <w:rPr>
          <w:rFonts w:ascii="Verdana" w:hAnsi="Verdana"/>
          <w:sz w:val="16"/>
          <w:szCs w:val="16"/>
          <w:lang w:val="es-ES"/>
        </w:rPr>
      </w:pPr>
      <w:r w:rsidRPr="00F026FD">
        <w:rPr>
          <w:rStyle w:val="Refdenotaalpie"/>
          <w:rFonts w:ascii="Verdana" w:hAnsi="Verdana"/>
          <w:sz w:val="16"/>
          <w:szCs w:val="16"/>
        </w:rPr>
        <w:footnoteRef/>
      </w:r>
      <w:r w:rsidRPr="00F026FD">
        <w:rPr>
          <w:rFonts w:ascii="Verdana" w:hAnsi="Verdana"/>
          <w:sz w:val="16"/>
          <w:szCs w:val="16"/>
        </w:rPr>
        <w:t xml:space="preserve"> </w:t>
      </w:r>
      <w:r w:rsidRPr="00F026FD">
        <w:rPr>
          <w:rFonts w:ascii="Verdana" w:hAnsi="Verdana" w:cs="Arial"/>
          <w:color w:val="000000" w:themeColor="text1"/>
          <w:sz w:val="16"/>
          <w:szCs w:val="16"/>
        </w:rPr>
        <w:t>Ibídem</w:t>
      </w:r>
      <w:r>
        <w:rPr>
          <w:rFonts w:ascii="Verdana" w:hAnsi="Verdana" w:cs="Arial"/>
          <w:color w:val="000000" w:themeColor="text1"/>
          <w:sz w:val="16"/>
          <w:szCs w:val="16"/>
        </w:rPr>
        <w:t>.</w:t>
      </w:r>
    </w:p>
  </w:footnote>
  <w:footnote w:id="11">
    <w:p w14:paraId="0CF95F29" w14:textId="77777777" w:rsidR="004044F1" w:rsidRDefault="004044F1" w:rsidP="004044F1">
      <w:pPr>
        <w:spacing w:after="0" w:line="240" w:lineRule="auto"/>
        <w:ind w:firstLine="709"/>
        <w:jc w:val="both"/>
        <w:rPr>
          <w:rFonts w:ascii="Verdana" w:hAnsi="Verdana"/>
          <w:sz w:val="16"/>
          <w:szCs w:val="16"/>
        </w:rPr>
      </w:pPr>
      <w:r>
        <w:rPr>
          <w:rStyle w:val="Refdenotaalpie"/>
        </w:rPr>
        <w:footnoteRef/>
      </w:r>
      <w:r>
        <w:t xml:space="preserve"> </w:t>
      </w:r>
      <w:r w:rsidRPr="00446113">
        <w:rPr>
          <w:rFonts w:ascii="Verdana" w:hAnsi="Verdana"/>
          <w:sz w:val="16"/>
          <w:szCs w:val="16"/>
        </w:rPr>
        <w:t>Decreto 2555 de 2010 “Artículo 2.11.1.1.5. Reglamentos generales de las bolsas.   </w:t>
      </w:r>
      <w:r w:rsidRPr="00446113">
        <w:rPr>
          <w:rFonts w:ascii="Verdana" w:hAnsi="Verdana"/>
          <w:sz w:val="16"/>
          <w:szCs w:val="16"/>
        </w:rPr>
        <w:tab/>
        <w:t>“Las bolsas de bienes y productos agropecuarios, agroindustriales o de otros commodities deberán contar con reglamentos que rijan su organización, administración, funcionamiento, así como las operaciones y actividades que se realicen por conducto de los mercados que administren. </w:t>
      </w:r>
    </w:p>
    <w:p w14:paraId="55C46E7A" w14:textId="77777777" w:rsidR="004044F1" w:rsidRPr="00446113" w:rsidRDefault="004044F1" w:rsidP="004044F1">
      <w:pPr>
        <w:spacing w:after="0" w:line="240" w:lineRule="auto"/>
        <w:ind w:firstLine="709"/>
        <w:jc w:val="both"/>
        <w:rPr>
          <w:rFonts w:ascii="Verdana" w:hAnsi="Verdana"/>
          <w:sz w:val="16"/>
          <w:szCs w:val="16"/>
        </w:rPr>
      </w:pPr>
      <w:r w:rsidRPr="00446113">
        <w:rPr>
          <w:rFonts w:ascii="Verdana" w:hAnsi="Verdana"/>
          <w:sz w:val="16"/>
          <w:szCs w:val="16"/>
        </w:rPr>
        <w:t>“Las bolsas de bienes y productos agropecuarios, agroindustriales o de otros commodities que administren sistemas de registro de operaciones, deberán establecer las normas que regulen la organización, administración y funcionamiento de dichos sistemas. </w:t>
      </w:r>
    </w:p>
    <w:p w14:paraId="6BCF1C34" w14:textId="77777777" w:rsidR="004044F1" w:rsidRDefault="004044F1" w:rsidP="004044F1">
      <w:pPr>
        <w:spacing w:after="0" w:line="240" w:lineRule="auto"/>
        <w:ind w:firstLine="709"/>
        <w:jc w:val="both"/>
        <w:rPr>
          <w:rFonts w:ascii="Verdana" w:hAnsi="Verdana"/>
          <w:sz w:val="16"/>
          <w:szCs w:val="16"/>
        </w:rPr>
      </w:pPr>
      <w:r w:rsidRPr="00446113">
        <w:rPr>
          <w:rFonts w:ascii="Verdana" w:hAnsi="Verdana"/>
          <w:sz w:val="16"/>
          <w:szCs w:val="16"/>
        </w:rPr>
        <w:t> “Estos reglamentos y sus modificaciones deberán ser aprobados por la junta directiva y autorizados por la Superintendencia Financiera de Colombia.</w:t>
      </w:r>
    </w:p>
    <w:p w14:paraId="0379E796" w14:textId="77777777" w:rsidR="004044F1" w:rsidRPr="00F33A6C" w:rsidRDefault="004044F1" w:rsidP="004044F1">
      <w:pPr>
        <w:spacing w:after="0" w:line="240" w:lineRule="auto"/>
        <w:ind w:firstLine="709"/>
        <w:jc w:val="both"/>
        <w:rPr>
          <w:rFonts w:ascii="Verdana" w:hAnsi="Verdana"/>
          <w:sz w:val="16"/>
          <w:szCs w:val="16"/>
        </w:rPr>
      </w:pPr>
      <w:r w:rsidRPr="00446113">
        <w:rPr>
          <w:rFonts w:ascii="Verdana" w:hAnsi="Verdana"/>
          <w:sz w:val="16"/>
          <w:szCs w:val="16"/>
        </w:rPr>
        <w:t>“Parágrafo 1°. Cuando se trate de las subastas y los servicios a cargo del gestor del mercado de gas natural realizados en desarrollo de la regulación establecida por la Comisión de Regulación de Energía y Gas Combustible (CREG) respecto del funcionamiento del mercado mayorista de gas combustible, no será necesario que las bolsas de bienes y productos agropecuarios, agroindustriales o de otros commodities tengan reglamentos autorizados por la Superintendencia Financiera de Colombia”.</w:t>
      </w:r>
    </w:p>
  </w:footnote>
  <w:footnote w:id="12">
    <w:p w14:paraId="76B62028" w14:textId="77777777" w:rsidR="004044F1" w:rsidRPr="00F33A6C" w:rsidRDefault="004044F1" w:rsidP="004044F1">
      <w:pPr>
        <w:pStyle w:val="Textonotapie"/>
        <w:ind w:firstLine="709"/>
        <w:rPr>
          <w:lang w:val="es-ES"/>
        </w:rPr>
      </w:pPr>
      <w:r>
        <w:rPr>
          <w:rStyle w:val="Refdenotaalpie"/>
        </w:rPr>
        <w:footnoteRef/>
      </w:r>
      <w:r>
        <w:t xml:space="preserve"> </w:t>
      </w:r>
      <w:r w:rsidRPr="00F751A8">
        <w:rPr>
          <w:rFonts w:ascii="Verdana" w:hAnsi="Verdana"/>
          <w:sz w:val="12"/>
          <w:szCs w:val="12"/>
        </w:rPr>
        <w:t xml:space="preserve">Ver en línea: </w:t>
      </w:r>
      <w:hyperlink r:id="rId3" w:history="1">
        <w:r w:rsidRPr="00F751A8">
          <w:rPr>
            <w:rStyle w:val="Hipervnculo"/>
            <w:rFonts w:ascii="Verdana" w:hAnsi="Verdana"/>
            <w:sz w:val="12"/>
            <w:szCs w:val="12"/>
          </w:rPr>
          <w:t>https://bolsamercantil.com.co/sites/default/files/2022-07/Reglamento%20BMC%20-%20v20220525.pdf</w:t>
        </w:r>
      </w:hyperlink>
    </w:p>
  </w:footnote>
  <w:footnote w:id="13">
    <w:p w14:paraId="43FCA75A" w14:textId="77777777" w:rsidR="004044F1" w:rsidRPr="00F33A6C" w:rsidRDefault="004044F1" w:rsidP="004044F1">
      <w:pPr>
        <w:pStyle w:val="Textonotapie"/>
        <w:ind w:firstLine="708"/>
        <w:jc w:val="both"/>
        <w:rPr>
          <w:rFonts w:ascii="Verdana" w:hAnsi="Verdana" w:cs="Arial"/>
          <w:color w:val="000000" w:themeColor="text1"/>
          <w:sz w:val="16"/>
          <w:szCs w:val="16"/>
        </w:rPr>
      </w:pPr>
      <w:r>
        <w:rPr>
          <w:rStyle w:val="Refdenotaalpie"/>
        </w:rPr>
        <w:footnoteRef/>
      </w:r>
      <w:r>
        <w:t xml:space="preserve"> </w:t>
      </w:r>
      <w:r w:rsidRPr="00F33A6C">
        <w:rPr>
          <w:rFonts w:ascii="Verdana" w:hAnsi="Verdana" w:cs="Arial"/>
          <w:color w:val="000000" w:themeColor="text1"/>
          <w:sz w:val="16"/>
          <w:szCs w:val="16"/>
        </w:rPr>
        <w:t xml:space="preserve">Reglamento Bolsa Mercantil de Colombia, aprobado por la Resolución No. 2023 de 2008 de la Superintendencia Financiera de Colombia. “Artículo 3.2.2.1.8.- Comprobantes de transacción. Aprobado por Resolución No. 2023 de 2008 de la Superintendencia Financiera de Colombia. De las operaciones realizadas a través de la Bolsa se dejará constancia en un documento idóneo, suscrito por las sociedades comisionistas miembros de la Bolsa que lo celebren y por un representante de la Bolsa debidamente facultado para tal efecto. </w:t>
      </w:r>
    </w:p>
    <w:p w14:paraId="4EACF53F" w14:textId="77777777" w:rsidR="004044F1" w:rsidRPr="00F33A6C" w:rsidRDefault="004044F1" w:rsidP="004044F1">
      <w:pPr>
        <w:pStyle w:val="Textonotapie"/>
        <w:jc w:val="both"/>
        <w:rPr>
          <w:lang w:val="es-ES"/>
        </w:rPr>
      </w:pPr>
      <w:r w:rsidRPr="00F33A6C">
        <w:rPr>
          <w:rFonts w:ascii="Verdana" w:hAnsi="Verdana" w:cs="Arial"/>
          <w:color w:val="000000" w:themeColor="text1"/>
          <w:sz w:val="16"/>
          <w:szCs w:val="16"/>
        </w:rPr>
        <w:t>“Los comprobantes deberán expresar al menos el activo, la calidad y cantidad del objeto de la operación, su precio, lugar y plazo de entrega, y la comisión cobrada. El documento original se les entregará a las sociedades comisionistas miembros de la Bolsa la copia del original será conservada por la Bolsa”.</w:t>
      </w:r>
    </w:p>
  </w:footnote>
  <w:footnote w:id="14">
    <w:p w14:paraId="5C494BA6" w14:textId="77777777" w:rsidR="004044F1" w:rsidRPr="00152814" w:rsidRDefault="004044F1" w:rsidP="004044F1">
      <w:pPr>
        <w:pStyle w:val="Textonotapie"/>
        <w:ind w:firstLine="709"/>
        <w:jc w:val="both"/>
        <w:rPr>
          <w:lang w:val="en-US"/>
        </w:rPr>
      </w:pPr>
      <w:r>
        <w:rPr>
          <w:rStyle w:val="Refdenotaalpie"/>
        </w:rPr>
        <w:footnoteRef/>
      </w:r>
      <w:hyperlink r:id="rId4" w:history="1">
        <w:r w:rsidRPr="00457C91">
          <w:rPr>
            <w:rStyle w:val="Hipervnculo"/>
            <w:rFonts w:ascii="Verdana" w:hAnsi="Verdana" w:cs="Arial"/>
            <w:sz w:val="16"/>
            <w:szCs w:val="16"/>
            <w:lang w:val="en-US"/>
          </w:rPr>
          <w:t>https://www.colombiacompra.gov.co/sites/cce_public/files/cce_circulares/vf_circular_externa_004_de_2021_ 002_2.pdf</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4pt;height:11.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6F022D9"/>
    <w:multiLevelType w:val="hybridMultilevel"/>
    <w:tmpl w:val="EDA4693E"/>
    <w:lvl w:ilvl="0" w:tplc="405EC3D8">
      <w:start w:val="1"/>
      <w:numFmt w:val="low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30839725">
    <w:abstractNumId w:val="0"/>
  </w:num>
  <w:num w:numId="17" w16cid:durableId="1590115527">
    <w:abstractNumId w:val="10"/>
  </w:num>
  <w:num w:numId="18" w16cid:durableId="4119016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511A0"/>
    <w:rsid w:val="0019788B"/>
    <w:rsid w:val="001E4177"/>
    <w:rsid w:val="001F7DC6"/>
    <w:rsid w:val="002259EC"/>
    <w:rsid w:val="002421BB"/>
    <w:rsid w:val="0025796E"/>
    <w:rsid w:val="002662A3"/>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A779E"/>
    <w:rsid w:val="003D0F4D"/>
    <w:rsid w:val="003D5B0D"/>
    <w:rsid w:val="003E0499"/>
    <w:rsid w:val="003F3941"/>
    <w:rsid w:val="004044F1"/>
    <w:rsid w:val="00406575"/>
    <w:rsid w:val="00414C74"/>
    <w:rsid w:val="0042722E"/>
    <w:rsid w:val="00431F07"/>
    <w:rsid w:val="00441467"/>
    <w:rsid w:val="0044528D"/>
    <w:rsid w:val="004A1847"/>
    <w:rsid w:val="004A2565"/>
    <w:rsid w:val="004A305D"/>
    <w:rsid w:val="004F21C4"/>
    <w:rsid w:val="004F685F"/>
    <w:rsid w:val="005566E8"/>
    <w:rsid w:val="00574867"/>
    <w:rsid w:val="00591460"/>
    <w:rsid w:val="005B3816"/>
    <w:rsid w:val="005C3777"/>
    <w:rsid w:val="005C5CDC"/>
    <w:rsid w:val="005D476C"/>
    <w:rsid w:val="006219F8"/>
    <w:rsid w:val="00665D70"/>
    <w:rsid w:val="006900D9"/>
    <w:rsid w:val="006A4B7E"/>
    <w:rsid w:val="00706C16"/>
    <w:rsid w:val="00741021"/>
    <w:rsid w:val="00747056"/>
    <w:rsid w:val="00756841"/>
    <w:rsid w:val="007649AB"/>
    <w:rsid w:val="00771D0C"/>
    <w:rsid w:val="007833AC"/>
    <w:rsid w:val="007B268C"/>
    <w:rsid w:val="007B7171"/>
    <w:rsid w:val="007C0C0F"/>
    <w:rsid w:val="007C3DC2"/>
    <w:rsid w:val="007E5497"/>
    <w:rsid w:val="00803F11"/>
    <w:rsid w:val="00806F5F"/>
    <w:rsid w:val="00820278"/>
    <w:rsid w:val="00867F95"/>
    <w:rsid w:val="008843B6"/>
    <w:rsid w:val="00891928"/>
    <w:rsid w:val="008A446D"/>
    <w:rsid w:val="008D180B"/>
    <w:rsid w:val="008F0EA7"/>
    <w:rsid w:val="008F5BB3"/>
    <w:rsid w:val="008F5F13"/>
    <w:rsid w:val="00923EEF"/>
    <w:rsid w:val="009419F9"/>
    <w:rsid w:val="0095685E"/>
    <w:rsid w:val="00961B09"/>
    <w:rsid w:val="00965334"/>
    <w:rsid w:val="0097093E"/>
    <w:rsid w:val="00986AC5"/>
    <w:rsid w:val="009A0DFA"/>
    <w:rsid w:val="009A5030"/>
    <w:rsid w:val="009B2D26"/>
    <w:rsid w:val="009C71FA"/>
    <w:rsid w:val="009C72E7"/>
    <w:rsid w:val="009D3058"/>
    <w:rsid w:val="009F3A13"/>
    <w:rsid w:val="00A122D3"/>
    <w:rsid w:val="00A17F13"/>
    <w:rsid w:val="00A20739"/>
    <w:rsid w:val="00A33C78"/>
    <w:rsid w:val="00A90AFB"/>
    <w:rsid w:val="00AB0ADB"/>
    <w:rsid w:val="00B01B1A"/>
    <w:rsid w:val="00B57D45"/>
    <w:rsid w:val="00B66319"/>
    <w:rsid w:val="00B72CD3"/>
    <w:rsid w:val="00B72FFF"/>
    <w:rsid w:val="00BC3D36"/>
    <w:rsid w:val="00BD7F72"/>
    <w:rsid w:val="00C04FB3"/>
    <w:rsid w:val="00C330EB"/>
    <w:rsid w:val="00C41061"/>
    <w:rsid w:val="00C56229"/>
    <w:rsid w:val="00C754BE"/>
    <w:rsid w:val="00C76B1C"/>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D7384"/>
    <w:rsid w:val="00EE1AA8"/>
    <w:rsid w:val="00F31EDC"/>
    <w:rsid w:val="00F462B3"/>
    <w:rsid w:val="00F5664F"/>
    <w:rsid w:val="00F666C4"/>
    <w:rsid w:val="00F76AFC"/>
    <w:rsid w:val="00FA47C0"/>
    <w:rsid w:val="00FB5DD1"/>
    <w:rsid w:val="00FC2B5D"/>
    <w:rsid w:val="00FD5BA8"/>
    <w:rsid w:val="00FF1449"/>
    <w:rsid w:val="00FF6D18"/>
    <w:rsid w:val="09C614E2"/>
    <w:rsid w:val="165E9519"/>
    <w:rsid w:val="1E172626"/>
    <w:rsid w:val="2A27515C"/>
    <w:rsid w:val="2C5E48B4"/>
    <w:rsid w:val="382536D9"/>
    <w:rsid w:val="3C9E92B2"/>
    <w:rsid w:val="44A53711"/>
    <w:rsid w:val="62A522FB"/>
    <w:rsid w:val="6829554A"/>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9788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9788B"/>
    <w:rPr>
      <w:rFonts w:ascii="Geomanist Light" w:hAnsi="Geomanist Light"/>
      <w:lang w:val="es-ES"/>
    </w:rPr>
  </w:style>
  <w:style w:type="character" w:styleId="Textoennegrita">
    <w:name w:val="Strong"/>
    <w:basedOn w:val="Fuentedeprrafopredeter"/>
    <w:uiPriority w:val="22"/>
    <w:qFormat/>
    <w:rsid w:val="0019788B"/>
    <w:rPr>
      <w:b/>
      <w:bCs/>
    </w:rPr>
  </w:style>
  <w:style w:type="character" w:styleId="nfasis">
    <w:name w:val="Emphasis"/>
    <w:basedOn w:val="Fuentedeprrafopredeter"/>
    <w:uiPriority w:val="20"/>
    <w:qFormat/>
    <w:rsid w:val="0019788B"/>
    <w:rPr>
      <w:i/>
      <w:iCs/>
    </w:rPr>
  </w:style>
  <w:style w:type="character" w:customStyle="1" w:styleId="NormalWebCar">
    <w:name w:val="Normal (Web) Car"/>
    <w:link w:val="NormalWeb"/>
    <w:uiPriority w:val="99"/>
    <w:rsid w:val="0019788B"/>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sites/cce_public/files/cce_circulares/vf_circular_externa_004_de_2021_002_2.pdf"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bolsamercantil.com.co/sites/default/files/2022-07/Reglamento%20BMC%20-%20v20220525.pdf" TargetMode="External"/><Relationship Id="rId2" Type="http://schemas.openxmlformats.org/officeDocument/2006/relationships/hyperlink" Target="http://revistas.pucp.edu.pe/index.php/derechopucp/article/view/6348/6396" TargetMode="External"/><Relationship Id="rId1" Type="http://schemas.openxmlformats.org/officeDocument/2006/relationships/hyperlink" Target="https://www.colombiacompra.gov.co/sites/cce_public/files/cce_circulares/vf_circular_externa_004_de_2021_%20002_2.pdf" TargetMode="External"/><Relationship Id="rId4" Type="http://schemas.openxmlformats.org/officeDocument/2006/relationships/hyperlink" Target="https://www.colombiacompra.gov.co/sites/cce_public/files/cce_circulares/vf_circular_externa_004_de_2021_%20002_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ebbc79d-423d-4cb2-b33e-d3110c1c174b"/>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0FFECBEF-60F9-4A40-A3BE-9FB3391E09D7}"/>
</file>

<file path=docProps/app.xml><?xml version="1.0" encoding="utf-8"?>
<Properties xmlns="http://schemas.openxmlformats.org/officeDocument/2006/extended-properties" xmlns:vt="http://schemas.openxmlformats.org/officeDocument/2006/docPropsVTypes">
  <Template>Normal.dotm</Template>
  <TotalTime>5</TotalTime>
  <Pages>15</Pages>
  <Words>4407</Words>
  <Characters>24241</Characters>
  <Application>Microsoft Office Word</Application>
  <DocSecurity>0</DocSecurity>
  <Lines>202</Lines>
  <Paragraphs>57</Paragraphs>
  <ScaleCrop>false</ScaleCrop>
  <Company/>
  <LinksUpToDate>false</LinksUpToDate>
  <CharactersWithSpaces>28591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Carolina Blanco Rodriguez</cp:lastModifiedBy>
  <cp:revision>6</cp:revision>
  <cp:lastPrinted>2023-01-10T21:18:00Z</cp:lastPrinted>
  <dcterms:created xsi:type="dcterms:W3CDTF">2025-08-28T11:37:00Z</dcterms:created>
  <dcterms:modified xsi:type="dcterms:W3CDTF">2025-08-29T02:46:00Z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