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5A2DE2" w14:textId="77777777" w:rsidR="00BC131A" w:rsidRDefault="00BC131A" w:rsidP="00BC131A">
      <w:pPr>
        <w:tabs>
          <w:tab w:val="left" w:pos="426"/>
        </w:tabs>
        <w:spacing w:line="240" w:lineRule="auto"/>
        <w:contextualSpacing/>
        <w:jc w:val="both"/>
        <w:rPr>
          <w:rFonts w:ascii="Verdana" w:eastAsia="Calibri" w:hAnsi="Verdana" w:cs="Arial"/>
          <w:b/>
          <w:bCs/>
          <w:lang w:val="es-MX"/>
        </w:rPr>
      </w:pPr>
      <w:r w:rsidRPr="00F02C5A">
        <w:rPr>
          <w:rFonts w:ascii="Verdana" w:eastAsia="Calibri" w:hAnsi="Verdana" w:cs="Arial"/>
          <w:b/>
          <w:bCs/>
          <w:lang w:val="es-MX"/>
        </w:rPr>
        <w:t xml:space="preserve">LEY DE GARANTÍAS ELECTORALES </w:t>
      </w:r>
      <w:r w:rsidRPr="005D0E91">
        <w:rPr>
          <w:rFonts w:ascii="Verdana" w:eastAsia="Calibri" w:hAnsi="Verdana" w:cs="Arial"/>
          <w:b/>
          <w:bCs/>
          <w:lang w:val="es-ES"/>
        </w:rPr>
        <w:t>–</w:t>
      </w:r>
      <w:r w:rsidRPr="00F02C5A">
        <w:rPr>
          <w:rFonts w:ascii="Verdana" w:eastAsia="Calibri" w:hAnsi="Verdana" w:cs="Arial"/>
          <w:b/>
          <w:bCs/>
          <w:lang w:val="es-MX"/>
        </w:rPr>
        <w:t xml:space="preserve"> Prohibición ‒ </w:t>
      </w:r>
      <w:r>
        <w:rPr>
          <w:rFonts w:ascii="Verdana" w:eastAsia="Calibri" w:hAnsi="Verdana" w:cs="Arial"/>
          <w:b/>
          <w:bCs/>
          <w:lang w:val="es-MX"/>
        </w:rPr>
        <w:t>Artículo 33</w:t>
      </w:r>
      <w:r w:rsidRPr="00F02C5A">
        <w:rPr>
          <w:rFonts w:ascii="Verdana" w:eastAsia="Calibri" w:hAnsi="Verdana" w:cs="Arial"/>
          <w:b/>
          <w:bCs/>
          <w:lang w:val="es-MX"/>
        </w:rPr>
        <w:t xml:space="preserve"> ‒ </w:t>
      </w:r>
      <w:r>
        <w:rPr>
          <w:rFonts w:ascii="Verdana" w:eastAsia="Calibri" w:hAnsi="Verdana" w:cs="Arial"/>
          <w:b/>
          <w:bCs/>
          <w:lang w:val="es-MX"/>
        </w:rPr>
        <w:t xml:space="preserve">Artículo 38 </w:t>
      </w:r>
      <w:r w:rsidRPr="00F02C5A">
        <w:rPr>
          <w:rFonts w:ascii="Verdana" w:eastAsia="Calibri" w:hAnsi="Verdana" w:cs="Arial"/>
          <w:b/>
          <w:bCs/>
          <w:lang w:val="es-MX"/>
        </w:rPr>
        <w:t>‒</w:t>
      </w:r>
      <w:r>
        <w:rPr>
          <w:rFonts w:ascii="Verdana" w:eastAsia="Calibri" w:hAnsi="Verdana" w:cs="Arial"/>
          <w:b/>
          <w:bCs/>
          <w:lang w:val="es-MX"/>
        </w:rPr>
        <w:t xml:space="preserve"> Ámbito de aplicación</w:t>
      </w:r>
    </w:p>
    <w:p w14:paraId="629EF990" w14:textId="77777777" w:rsidR="00BC131A" w:rsidRPr="005C6E83" w:rsidRDefault="00BC131A" w:rsidP="00BC131A">
      <w:pPr>
        <w:tabs>
          <w:tab w:val="left" w:pos="426"/>
        </w:tabs>
        <w:spacing w:line="240" w:lineRule="auto"/>
        <w:contextualSpacing/>
        <w:jc w:val="both"/>
        <w:rPr>
          <w:rFonts w:ascii="Verdana" w:eastAsia="Calibri" w:hAnsi="Verdana" w:cs="Arial"/>
          <w:b/>
          <w:bCs/>
          <w:lang w:val="es-MX"/>
        </w:rPr>
      </w:pPr>
    </w:p>
    <w:p w14:paraId="07D8E793" w14:textId="77777777" w:rsidR="00BC131A" w:rsidRDefault="00BC131A" w:rsidP="00BC131A">
      <w:pPr>
        <w:spacing w:after="0" w:line="240" w:lineRule="auto"/>
        <w:jc w:val="both"/>
        <w:rPr>
          <w:rFonts w:ascii="Verdana" w:eastAsia="Times New Roman" w:hAnsi="Verdana" w:cs="Arial"/>
          <w:sz w:val="20"/>
          <w:lang w:eastAsia="es-CO"/>
        </w:rPr>
      </w:pPr>
      <w:r w:rsidRPr="000F5FD9">
        <w:rPr>
          <w:rFonts w:ascii="Verdana" w:eastAsia="Times New Roman" w:hAnsi="Verdana" w:cs="Arial"/>
          <w:sz w:val="20"/>
          <w:lang w:eastAsia="es-CO"/>
        </w:rPr>
        <w:t>El artículo 33 de la Ley 996 de 2005 señala expresamente a los destinatarios de la prohibición que, como se señaló,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2738B936" w14:textId="77777777" w:rsidR="00BC131A" w:rsidRPr="000F5FD9" w:rsidRDefault="00BC131A" w:rsidP="00BC131A">
      <w:pPr>
        <w:spacing w:after="0" w:line="240" w:lineRule="auto"/>
        <w:jc w:val="both"/>
        <w:rPr>
          <w:rFonts w:ascii="Verdana" w:eastAsia="Times New Roman" w:hAnsi="Verdana" w:cs="Arial"/>
          <w:sz w:val="20"/>
          <w:lang w:eastAsia="es-CO"/>
        </w:rPr>
      </w:pPr>
      <w:r w:rsidRPr="000F5FD9">
        <w:rPr>
          <w:rFonts w:ascii="Verdana" w:eastAsia="Times New Roman" w:hAnsi="Verdana" w:cs="Arial"/>
          <w:sz w:val="20"/>
          <w:lang w:eastAsia="es-CO"/>
        </w:rPr>
        <w:t xml:space="preserve"> </w:t>
      </w:r>
    </w:p>
    <w:p w14:paraId="4626190B" w14:textId="77777777" w:rsidR="00BC131A" w:rsidRDefault="00BC131A" w:rsidP="00BC131A">
      <w:pPr>
        <w:spacing w:after="0" w:line="240" w:lineRule="auto"/>
        <w:jc w:val="both"/>
        <w:rPr>
          <w:rFonts w:ascii="Verdana" w:eastAsia="Times New Roman" w:hAnsi="Verdana" w:cs="Arial"/>
          <w:sz w:val="20"/>
          <w:lang w:eastAsia="es-CO"/>
        </w:rPr>
      </w:pPr>
      <w:r w:rsidRPr="000F5FD9">
        <w:rPr>
          <w:rFonts w:ascii="Verdana" w:eastAsia="Times New Roman" w:hAnsi="Verdana" w:cs="Arial"/>
          <w:sz w:val="20"/>
          <w:lang w:eastAsia="es-CO"/>
        </w:rPr>
        <w:t>Por otro lado, frente a los convenios administrativos sobre los que también se consulta, resulta necesario precisar el alcance de la prohibición establecida en el parágrafo del artículo 38 de la Ley 996 de 2005. Sobre este aspecto, es importante señalar que esta Subdirección, en los conceptos emitidos sobre la aplicación de la Ley de Garantías Electorales, ha defendido y mantenido la postura acerca de que la prohibición señalada en el parágrafo del artículo 38 cobija tanto a los convenios como a los contratos interadministrativos. Esta tesis se fundamenta en que si bien actualmente el Estatuto General de Contratación de la Administración Pública —en adelante EGCAP— se refiere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w:t>
      </w:r>
    </w:p>
    <w:p w14:paraId="3E9B9F53" w14:textId="77777777" w:rsidR="00BC131A" w:rsidRDefault="00BC131A" w:rsidP="00BC131A">
      <w:pPr>
        <w:spacing w:after="0" w:line="240" w:lineRule="auto"/>
        <w:jc w:val="both"/>
        <w:rPr>
          <w:rFonts w:ascii="Verdana" w:eastAsia="Times New Roman" w:hAnsi="Verdana" w:cs="Arial"/>
          <w:sz w:val="20"/>
          <w:lang w:eastAsia="es-CO"/>
        </w:rPr>
      </w:pPr>
    </w:p>
    <w:p w14:paraId="733C154E" w14:textId="77777777" w:rsidR="00BC131A" w:rsidRPr="00F02C5A" w:rsidRDefault="00BC131A" w:rsidP="00BC131A">
      <w:pPr>
        <w:tabs>
          <w:tab w:val="left" w:pos="426"/>
        </w:tabs>
        <w:spacing w:line="240" w:lineRule="auto"/>
        <w:contextualSpacing/>
        <w:jc w:val="both"/>
        <w:rPr>
          <w:rFonts w:ascii="Verdana" w:eastAsia="Calibri" w:hAnsi="Verdana" w:cs="Arial"/>
          <w:b/>
          <w:bCs/>
          <w:lang w:val="es-MX"/>
        </w:rPr>
      </w:pPr>
      <w:r w:rsidRPr="00F02C5A">
        <w:rPr>
          <w:rFonts w:ascii="Verdana" w:eastAsia="Calibri" w:hAnsi="Verdana" w:cs="Arial"/>
          <w:b/>
          <w:bCs/>
          <w:lang w:val="es-MX"/>
        </w:rPr>
        <w:t xml:space="preserve">LEY DE GARANTÍAS ELECTORALES </w:t>
      </w:r>
      <w:r w:rsidRPr="005D0E91">
        <w:rPr>
          <w:rFonts w:ascii="Verdana" w:eastAsia="Calibri" w:hAnsi="Verdana" w:cs="Arial"/>
          <w:b/>
          <w:bCs/>
          <w:lang w:val="es-ES"/>
        </w:rPr>
        <w:t>–</w:t>
      </w:r>
      <w:r w:rsidRPr="00F02C5A">
        <w:rPr>
          <w:rFonts w:ascii="Verdana" w:eastAsia="Calibri" w:hAnsi="Verdana" w:cs="Arial"/>
          <w:b/>
          <w:bCs/>
          <w:lang w:val="es-MX"/>
        </w:rPr>
        <w:t xml:space="preserve"> </w:t>
      </w:r>
      <w:r>
        <w:rPr>
          <w:rFonts w:ascii="Verdana" w:eastAsia="Calibri" w:hAnsi="Verdana" w:cs="Arial"/>
          <w:b/>
          <w:bCs/>
          <w:lang w:val="es-MX"/>
        </w:rPr>
        <w:t xml:space="preserve">Contratos de prestación de servicios </w:t>
      </w:r>
      <w:r w:rsidRPr="005D0E91">
        <w:rPr>
          <w:rFonts w:ascii="Verdana" w:eastAsia="Calibri" w:hAnsi="Verdana" w:cs="Arial"/>
          <w:b/>
          <w:bCs/>
          <w:lang w:val="es-ES"/>
        </w:rPr>
        <w:t>–</w:t>
      </w:r>
      <w:r w:rsidRPr="00F02C5A">
        <w:rPr>
          <w:rFonts w:ascii="Verdana" w:eastAsia="Calibri" w:hAnsi="Verdana" w:cs="Arial"/>
          <w:b/>
          <w:bCs/>
          <w:lang w:val="es-MX"/>
        </w:rPr>
        <w:t xml:space="preserve"> </w:t>
      </w:r>
      <w:r>
        <w:rPr>
          <w:rFonts w:ascii="Verdana" w:eastAsia="Calibri" w:hAnsi="Verdana" w:cs="Arial"/>
          <w:b/>
          <w:bCs/>
          <w:lang w:val="es-MX"/>
        </w:rPr>
        <w:t xml:space="preserve">Contratos y/o convenios interadministrativos </w:t>
      </w:r>
      <w:r w:rsidRPr="005D0E91">
        <w:rPr>
          <w:rFonts w:ascii="Verdana" w:eastAsia="Calibri" w:hAnsi="Verdana" w:cs="Arial"/>
          <w:b/>
          <w:bCs/>
          <w:lang w:val="es-ES"/>
        </w:rPr>
        <w:t>–</w:t>
      </w:r>
      <w:r w:rsidRPr="00F02C5A">
        <w:rPr>
          <w:rFonts w:ascii="Verdana" w:eastAsia="Calibri" w:hAnsi="Verdana" w:cs="Arial"/>
          <w:b/>
          <w:bCs/>
          <w:lang w:val="es-MX"/>
        </w:rPr>
        <w:t xml:space="preserve"> </w:t>
      </w:r>
      <w:r>
        <w:rPr>
          <w:rFonts w:ascii="Verdana" w:eastAsia="Calibri" w:hAnsi="Verdana" w:cs="Arial"/>
          <w:b/>
          <w:bCs/>
          <w:lang w:val="es-MX"/>
        </w:rPr>
        <w:t xml:space="preserve">Contratos de obra </w:t>
      </w:r>
      <w:r w:rsidRPr="005D0E91">
        <w:rPr>
          <w:rFonts w:ascii="Verdana" w:eastAsia="Calibri" w:hAnsi="Verdana" w:cs="Arial"/>
          <w:b/>
          <w:bCs/>
          <w:lang w:val="es-ES"/>
        </w:rPr>
        <w:t>–</w:t>
      </w:r>
      <w:r w:rsidRPr="00F02C5A">
        <w:rPr>
          <w:rFonts w:ascii="Verdana" w:eastAsia="Calibri" w:hAnsi="Verdana" w:cs="Arial"/>
          <w:b/>
          <w:bCs/>
          <w:lang w:val="es-MX"/>
        </w:rPr>
        <w:t xml:space="preserve"> </w:t>
      </w:r>
      <w:r>
        <w:rPr>
          <w:rFonts w:ascii="Verdana" w:eastAsia="Calibri" w:hAnsi="Verdana" w:cs="Arial"/>
          <w:b/>
          <w:bCs/>
          <w:lang w:val="es-MX"/>
        </w:rPr>
        <w:t xml:space="preserve">Aplicación de restricciones </w:t>
      </w:r>
      <w:r w:rsidRPr="00F02C5A">
        <w:rPr>
          <w:rFonts w:ascii="Verdana" w:eastAsia="Calibri" w:hAnsi="Verdana" w:cs="Arial"/>
          <w:b/>
          <w:bCs/>
          <w:lang w:val="es-MX"/>
        </w:rPr>
        <w:t xml:space="preserve"> </w:t>
      </w:r>
    </w:p>
    <w:p w14:paraId="630A4F97" w14:textId="77777777" w:rsidR="00BC131A" w:rsidRDefault="00BC131A" w:rsidP="00BC131A">
      <w:pPr>
        <w:spacing w:after="0" w:line="240" w:lineRule="auto"/>
        <w:jc w:val="both"/>
        <w:rPr>
          <w:rFonts w:ascii="Verdana" w:eastAsia="Times New Roman" w:hAnsi="Verdana" w:cs="Arial"/>
          <w:sz w:val="20"/>
          <w:lang w:val="es-MX" w:eastAsia="es-CO"/>
        </w:rPr>
      </w:pPr>
    </w:p>
    <w:p w14:paraId="1D9C303F" w14:textId="77777777" w:rsidR="00BC131A" w:rsidRPr="000F5FD9" w:rsidRDefault="00BC131A" w:rsidP="00BC131A">
      <w:pPr>
        <w:spacing w:after="0" w:line="240" w:lineRule="auto"/>
        <w:jc w:val="both"/>
        <w:rPr>
          <w:rFonts w:ascii="Verdana" w:eastAsia="Times New Roman" w:hAnsi="Verdana" w:cs="Arial"/>
          <w:sz w:val="20"/>
          <w:lang w:val="es-MX" w:eastAsia="es-CO"/>
        </w:rPr>
      </w:pPr>
      <w:r>
        <w:rPr>
          <w:rFonts w:ascii="Verdana" w:eastAsia="Times New Roman" w:hAnsi="Verdana" w:cs="Arial"/>
          <w:sz w:val="20"/>
          <w:lang w:val="es-MX" w:eastAsia="es-CO"/>
        </w:rPr>
        <w:t xml:space="preserve">[…] </w:t>
      </w:r>
      <w:r w:rsidRPr="0078399D">
        <w:rPr>
          <w:rFonts w:ascii="Verdana" w:eastAsia="Times New Roman" w:hAnsi="Verdana" w:cs="Arial"/>
          <w:sz w:val="20"/>
          <w:lang w:val="es-MX" w:eastAsia="es-CO"/>
        </w:rPr>
        <w:t>la celebración del contrato de prestación de servicios se debe efectuar a través de la modalidad de la contratación directa , independientemente de la cuantía y del tipo de servicio profesional, siempre que este no ingrese dentro del objeto del contrato de consultoría, pues, como lo indicó el Consejo de Estado en la sentencia de unificación jurisprudencial del 2 de diciembre de 2013 , si bien en ambos existe un componente intelectual, profesional e intangible, el objeto del contrato de consultoría es especial y debe celebrarse, por regla general, precedido de un concurso de méritos . En tal sentido, al establecer el artículo 2, numeral 4, literal h) de la Ley 1150 de 2007, que para la prestación de servicios profesionales y de apoyo a la gestión –o para la ejecución de trabajos artísticos que sólo puedan encomendarse a determinadas personas naturales–, aplica la contratación directa, no es posible hacer uso de esta causal de contratación directa durante el tiempo que rige la prohibición establecida en el artículo 33 de la Ley 996 de 2005.</w:t>
      </w:r>
    </w:p>
    <w:p w14:paraId="0BF392F1" w14:textId="77777777" w:rsidR="00BC131A" w:rsidRDefault="00BC131A" w:rsidP="00BC131A">
      <w:pPr>
        <w:spacing w:after="0" w:line="240" w:lineRule="auto"/>
        <w:jc w:val="both"/>
        <w:rPr>
          <w:rFonts w:ascii="Verdana" w:eastAsia="Times New Roman" w:hAnsi="Verdana" w:cs="Arial"/>
          <w:sz w:val="20"/>
          <w:lang w:eastAsia="es-CO"/>
        </w:rPr>
      </w:pPr>
    </w:p>
    <w:p w14:paraId="1A58E7EB" w14:textId="77777777" w:rsidR="00BC131A" w:rsidRDefault="00BC131A" w:rsidP="00BC131A">
      <w:pPr>
        <w:spacing w:after="0" w:line="240" w:lineRule="auto"/>
        <w:jc w:val="both"/>
        <w:rPr>
          <w:rFonts w:ascii="Verdana" w:eastAsia="Times New Roman" w:hAnsi="Verdana" w:cs="Arial"/>
          <w:sz w:val="20"/>
          <w:lang w:eastAsia="es-CO"/>
        </w:rPr>
      </w:pPr>
      <w:r>
        <w:rPr>
          <w:rFonts w:ascii="Verdana" w:eastAsia="Times New Roman" w:hAnsi="Verdana" w:cs="Arial"/>
          <w:sz w:val="20"/>
          <w:lang w:eastAsia="es-CO"/>
        </w:rPr>
        <w:lastRenderedPageBreak/>
        <w:t xml:space="preserve">[…] </w:t>
      </w:r>
      <w:r w:rsidRPr="00037611">
        <w:rPr>
          <w:rFonts w:ascii="Verdana" w:eastAsia="Times New Roman" w:hAnsi="Verdana" w:cs="Arial"/>
          <w:sz w:val="20"/>
          <w:lang w:eastAsia="es-CO"/>
        </w:rPr>
        <w:t xml:space="preserve">el parágrafo del artículo 38 de la Ley 996 de 2005 prohíbe a los </w:t>
      </w:r>
      <w:proofErr w:type="gramStart"/>
      <w:r w:rsidRPr="00037611">
        <w:rPr>
          <w:rFonts w:ascii="Verdana" w:eastAsia="Times New Roman" w:hAnsi="Verdana" w:cs="Arial"/>
          <w:sz w:val="20"/>
          <w:lang w:eastAsia="es-CO"/>
        </w:rPr>
        <w:t>Alcaldes</w:t>
      </w:r>
      <w:proofErr w:type="gramEnd"/>
      <w:r w:rsidRPr="00037611">
        <w:rPr>
          <w:rFonts w:ascii="Verdana" w:eastAsia="Times New Roman" w:hAnsi="Verdana" w:cs="Arial"/>
          <w:sz w:val="20"/>
          <w:lang w:eastAsia="es-CO"/>
        </w:rPr>
        <w:t xml:space="preserve">, Gobernadores, </w:t>
      </w:r>
      <w:proofErr w:type="gramStart"/>
      <w:r w:rsidRPr="00037611">
        <w:rPr>
          <w:rFonts w:ascii="Verdana" w:eastAsia="Times New Roman" w:hAnsi="Verdana" w:cs="Arial"/>
          <w:sz w:val="20"/>
          <w:lang w:eastAsia="es-CO"/>
        </w:rPr>
        <w:t>Secretarios</w:t>
      </w:r>
      <w:proofErr w:type="gramEnd"/>
      <w:r w:rsidRPr="00037611">
        <w:rPr>
          <w:rFonts w:ascii="Verdana" w:eastAsia="Times New Roman" w:hAnsi="Verdana" w:cs="Arial"/>
          <w:sz w:val="20"/>
          <w:lang w:eastAsia="es-CO"/>
        </w:rPr>
        <w:t xml:space="preserve">, Gerentes y </w:t>
      </w:r>
      <w:proofErr w:type="gramStart"/>
      <w:r w:rsidRPr="00037611">
        <w:rPr>
          <w:rFonts w:ascii="Verdana" w:eastAsia="Times New Roman" w:hAnsi="Verdana" w:cs="Arial"/>
          <w:sz w:val="20"/>
          <w:lang w:eastAsia="es-CO"/>
        </w:rPr>
        <w:t>Directores</w:t>
      </w:r>
      <w:proofErr w:type="gramEnd"/>
      <w:r w:rsidRPr="00037611">
        <w:rPr>
          <w:rFonts w:ascii="Verdana" w:eastAsia="Times New Roman" w:hAnsi="Verdana" w:cs="Arial"/>
          <w:sz w:val="20"/>
          <w:lang w:eastAsia="es-CO"/>
        </w:rPr>
        <w:t xml:space="preserve"> de las entidades del orden municipal, departamental o distrital celebrar </w:t>
      </w:r>
      <w:r w:rsidRPr="00C92A2A">
        <w:rPr>
          <w:rFonts w:ascii="Verdana" w:eastAsia="Times New Roman" w:hAnsi="Verdana" w:cs="Arial"/>
          <w:i/>
          <w:iCs/>
          <w:sz w:val="20"/>
          <w:lang w:eastAsia="es-CO"/>
        </w:rPr>
        <w:t>convenios interadministrativos</w:t>
      </w:r>
      <w:r w:rsidRPr="00037611">
        <w:rPr>
          <w:rFonts w:ascii="Verdana" w:eastAsia="Times New Roman" w:hAnsi="Verdana" w:cs="Arial"/>
          <w:sz w:val="20"/>
          <w:lang w:eastAsia="es-CO"/>
        </w:rPr>
        <w:t xml:space="preserve"> para la ejecución de recursos públicos. En este sentido, si una o ambas partes de la relación contractual es una entidad de aquellas descritas en el parágrafo ibidem, no podrá celebrar tales convenios durante la aplicación de la Ley de Garantías Electorales, toda vez que la citada disposición hace referencia a dicha tipología contractual sin que el legislador hubiere contemplado un efecto extensivo a otra tipología. Ahora bien, como se expuso anteriormente, para esta Agencia tal restricción también cobijaría a los contratos interadministrativos.  </w:t>
      </w:r>
    </w:p>
    <w:p w14:paraId="5FC5D6F8" w14:textId="77777777" w:rsidR="00BC131A" w:rsidRDefault="00BC131A" w:rsidP="00BC131A">
      <w:pPr>
        <w:spacing w:after="0" w:line="240" w:lineRule="auto"/>
        <w:jc w:val="both"/>
        <w:rPr>
          <w:rFonts w:ascii="Verdana" w:eastAsia="Times New Roman" w:hAnsi="Verdana" w:cs="Arial"/>
          <w:sz w:val="20"/>
          <w:lang w:eastAsia="es-CO"/>
        </w:rPr>
      </w:pPr>
    </w:p>
    <w:p w14:paraId="43D4D590" w14:textId="77777777" w:rsidR="00BC131A" w:rsidRDefault="00BC131A" w:rsidP="00BC131A">
      <w:pPr>
        <w:spacing w:after="0" w:line="240" w:lineRule="auto"/>
        <w:jc w:val="both"/>
        <w:rPr>
          <w:rFonts w:ascii="Verdana" w:eastAsia="Times New Roman" w:hAnsi="Verdana" w:cs="Arial"/>
          <w:sz w:val="20"/>
          <w:lang w:val="es-MX" w:eastAsia="es-CO"/>
        </w:rPr>
      </w:pPr>
      <w:r>
        <w:rPr>
          <w:rFonts w:ascii="Verdana" w:eastAsia="Times New Roman" w:hAnsi="Verdana" w:cs="Arial"/>
          <w:sz w:val="20"/>
          <w:lang w:val="es-MX" w:eastAsia="es-CO"/>
        </w:rPr>
        <w:t>[…]</w:t>
      </w:r>
    </w:p>
    <w:p w14:paraId="5711DD9D" w14:textId="77777777" w:rsidR="00BC131A" w:rsidRDefault="00BC131A" w:rsidP="00BC131A">
      <w:pPr>
        <w:spacing w:after="0" w:line="240" w:lineRule="auto"/>
        <w:jc w:val="both"/>
        <w:rPr>
          <w:rFonts w:ascii="Verdana" w:eastAsia="Times New Roman" w:hAnsi="Verdana" w:cs="Arial"/>
          <w:sz w:val="20"/>
          <w:lang w:val="es-MX" w:eastAsia="es-CO"/>
        </w:rPr>
      </w:pPr>
    </w:p>
    <w:p w14:paraId="636FA3E1" w14:textId="77777777" w:rsidR="00BC131A" w:rsidRDefault="00BC131A" w:rsidP="00BC131A">
      <w:pPr>
        <w:spacing w:after="0" w:line="240" w:lineRule="auto"/>
        <w:jc w:val="both"/>
        <w:rPr>
          <w:rFonts w:ascii="Verdana" w:eastAsia="Times New Roman" w:hAnsi="Verdana" w:cs="Arial"/>
          <w:sz w:val="20"/>
          <w:lang w:eastAsia="es-CO"/>
        </w:rPr>
      </w:pPr>
      <w:r w:rsidRPr="007561BA">
        <w:rPr>
          <w:rFonts w:ascii="Verdana" w:eastAsia="Times New Roman" w:hAnsi="Verdana" w:cs="Arial"/>
          <w:sz w:val="20"/>
          <w:lang w:eastAsia="es-CO"/>
        </w:rPr>
        <w:t>De la misma manera, si el objeto de la obra pretendida se enmarca dentro de las excepciones taxativas consagradas en el segundo inciso de dicha norma, es decir, a la atención de necesidades en materia de defensa y seguridad del Estado, o se requiera para cubrir las emergencias educativas, sanitarias y desastres, así como también las utilizadas para la reconstrucción de vías, puentes, carreteras, infraestructura energética y de comunicaciones, en caso de que hayan sido objeto de atentados, acciones terroristas, desastres naturales o casos de fuerza mayor, dichas contrataciones quedan por fuera del ámbito material de la restricción del artículo 33.</w:t>
      </w:r>
    </w:p>
    <w:p w14:paraId="4CEED264" w14:textId="77777777" w:rsidR="00BC131A" w:rsidRPr="007561BA" w:rsidRDefault="00BC131A" w:rsidP="00BC131A">
      <w:pPr>
        <w:spacing w:after="0" w:line="240" w:lineRule="auto"/>
        <w:jc w:val="both"/>
        <w:rPr>
          <w:rFonts w:ascii="Verdana" w:eastAsia="Times New Roman" w:hAnsi="Verdana" w:cs="Arial"/>
          <w:sz w:val="20"/>
          <w:lang w:eastAsia="es-CO"/>
        </w:rPr>
      </w:pPr>
    </w:p>
    <w:p w14:paraId="010A3680" w14:textId="77777777" w:rsidR="00BC131A" w:rsidRDefault="00BC131A" w:rsidP="00BC131A">
      <w:pPr>
        <w:spacing w:after="0" w:line="240" w:lineRule="auto"/>
        <w:jc w:val="both"/>
        <w:rPr>
          <w:rFonts w:ascii="Verdana" w:eastAsia="Times New Roman" w:hAnsi="Verdana" w:cs="Arial"/>
          <w:sz w:val="20"/>
          <w:lang w:eastAsia="es-CO"/>
        </w:rPr>
      </w:pPr>
      <w:r w:rsidRPr="007561BA">
        <w:rPr>
          <w:rFonts w:ascii="Verdana" w:eastAsia="Times New Roman" w:hAnsi="Verdana" w:cs="Arial"/>
          <w:sz w:val="20"/>
          <w:lang w:eastAsia="es-CO"/>
        </w:rPr>
        <w:t xml:space="preserve">En consecuencia, corresponde a la entidad estatal analizar si el objeto del contrato que se pretende celebrar directamente se adecua a las excepciones indicadas. En caso contrario, debe respetar el contenido de la prohibición. Adicionalmente, la restricción para contratar directamente contenida en el artículo 33 de la Ley 996 de 2005, se aplica independientemente de que la entidad estatal esté sometida al Estatuto General de Contratación de la Administración Pública o tenga un régimen especial, pues las normas sobre garantías electorales son transversales a los órganos del Estado. </w:t>
      </w:r>
    </w:p>
    <w:p w14:paraId="7FD97CC0" w14:textId="77777777" w:rsidR="00BC131A" w:rsidRPr="00B31F3F" w:rsidRDefault="00BC131A" w:rsidP="00BC131A">
      <w:pPr>
        <w:spacing w:after="0" w:line="240" w:lineRule="auto"/>
        <w:jc w:val="both"/>
        <w:rPr>
          <w:rFonts w:ascii="Verdana" w:eastAsia="Times New Roman" w:hAnsi="Verdana" w:cs="Arial"/>
          <w:sz w:val="20"/>
          <w:lang w:eastAsia="es-CO"/>
        </w:rPr>
      </w:pPr>
    </w:p>
    <w:p w14:paraId="5593D10E" w14:textId="77777777" w:rsidR="00BC131A" w:rsidRDefault="00BC131A" w:rsidP="00BC131A">
      <w:pPr>
        <w:tabs>
          <w:tab w:val="left" w:pos="426"/>
        </w:tabs>
        <w:spacing w:line="240" w:lineRule="auto"/>
        <w:contextualSpacing/>
        <w:jc w:val="both"/>
        <w:rPr>
          <w:rFonts w:ascii="Verdana" w:eastAsia="Calibri" w:hAnsi="Verdana" w:cs="Arial"/>
          <w:b/>
          <w:bCs/>
          <w:lang w:val="es-MX"/>
        </w:rPr>
      </w:pPr>
      <w:r>
        <w:rPr>
          <w:rFonts w:ascii="Verdana" w:eastAsia="Calibri" w:hAnsi="Verdana" w:cs="Arial"/>
          <w:b/>
          <w:bCs/>
          <w:lang w:val="es-MX"/>
        </w:rPr>
        <w:t>EJECUCIÓN DE ACCIONES PRECONTRACTUALES EN SECOP</w:t>
      </w:r>
      <w:r w:rsidRPr="00F02C5A">
        <w:rPr>
          <w:rFonts w:ascii="Verdana" w:eastAsia="Calibri" w:hAnsi="Verdana" w:cs="Arial"/>
          <w:b/>
          <w:bCs/>
          <w:lang w:val="es-MX"/>
        </w:rPr>
        <w:t xml:space="preserve"> </w:t>
      </w:r>
      <w:r w:rsidRPr="005D0E91">
        <w:rPr>
          <w:rFonts w:ascii="Verdana" w:eastAsia="Calibri" w:hAnsi="Verdana" w:cs="Arial"/>
          <w:b/>
          <w:bCs/>
          <w:lang w:val="es-ES"/>
        </w:rPr>
        <w:t>–</w:t>
      </w:r>
      <w:r w:rsidRPr="00F02C5A">
        <w:rPr>
          <w:rFonts w:ascii="Verdana" w:eastAsia="Calibri" w:hAnsi="Verdana" w:cs="Arial"/>
          <w:b/>
          <w:bCs/>
          <w:lang w:val="es-MX"/>
        </w:rPr>
        <w:t xml:space="preserve"> </w:t>
      </w:r>
      <w:r>
        <w:rPr>
          <w:rFonts w:ascii="Verdana" w:eastAsia="Calibri" w:hAnsi="Verdana" w:cs="Arial"/>
          <w:b/>
          <w:bCs/>
          <w:lang w:val="es-MX"/>
        </w:rPr>
        <w:t xml:space="preserve">No aplica restricción de Ley de Garantías Electorales </w:t>
      </w:r>
      <w:r w:rsidRPr="00F02C5A">
        <w:rPr>
          <w:rFonts w:ascii="Verdana" w:eastAsia="Calibri" w:hAnsi="Verdana" w:cs="Arial"/>
          <w:b/>
          <w:bCs/>
          <w:lang w:val="es-MX"/>
        </w:rPr>
        <w:t xml:space="preserve"> </w:t>
      </w:r>
    </w:p>
    <w:p w14:paraId="22C7DC7B" w14:textId="77777777" w:rsidR="00BC131A" w:rsidRDefault="00BC131A" w:rsidP="00BC131A">
      <w:pPr>
        <w:tabs>
          <w:tab w:val="left" w:pos="426"/>
        </w:tabs>
        <w:spacing w:line="240" w:lineRule="auto"/>
        <w:contextualSpacing/>
        <w:jc w:val="both"/>
        <w:rPr>
          <w:rFonts w:ascii="Verdana" w:eastAsia="Calibri" w:hAnsi="Verdana" w:cs="Arial"/>
          <w:b/>
          <w:bCs/>
          <w:lang w:val="es-MX"/>
        </w:rPr>
      </w:pPr>
    </w:p>
    <w:p w14:paraId="68621EB7" w14:textId="77777777" w:rsidR="00BC131A" w:rsidRDefault="00BC131A" w:rsidP="00BC131A">
      <w:pPr>
        <w:spacing w:after="0" w:line="240" w:lineRule="auto"/>
        <w:jc w:val="both"/>
        <w:rPr>
          <w:rFonts w:ascii="Verdana" w:eastAsia="Times New Roman" w:hAnsi="Verdana" w:cs="Arial"/>
          <w:sz w:val="20"/>
          <w:lang w:eastAsia="es-CO"/>
        </w:rPr>
      </w:pPr>
      <w:r>
        <w:rPr>
          <w:rFonts w:ascii="Verdana" w:eastAsia="Times New Roman" w:hAnsi="Verdana" w:cs="Arial"/>
          <w:sz w:val="20"/>
          <w:lang w:eastAsia="es-CO"/>
        </w:rPr>
        <w:t xml:space="preserve">[…] </w:t>
      </w:r>
      <w:r w:rsidRPr="00C92A2A">
        <w:rPr>
          <w:rFonts w:ascii="Verdana" w:eastAsia="Times New Roman" w:hAnsi="Verdana" w:cs="Arial"/>
          <w:sz w:val="20"/>
          <w:lang w:eastAsia="es-CO"/>
        </w:rPr>
        <w:t>Las restricciones previstas en el artículo 33 y en el parágrafo del artículo 38 de la Ley 996 de 2005 no impiden el inicio ni el desarrollo de trámites propios de la etapa precontractual en selecciones directas, como la publicación de estudios previos o cualquier otro documento de la etapa precontractual que quisieran adelantarse mediante las plataformas del SECOP. Ello obedece a que el ámbito de aplicación de la Ley de Garantías se dirige específicamente a la celebración del contrato, entendida como su perfeccionamiento en los términos de los artículos 39 y 41 de la Ley 80 de 1993, esto es, el acuerdo de voluntades sobre el objeto y la contraprestación formalizado por escrito. En ese sentido, las actuaciones preparatorias no configuran la perfección del contrato y, por tanto, no se encuentran restringidas por la Ley de Garantías.</w:t>
      </w:r>
    </w:p>
    <w:p w14:paraId="17414FFD" w14:textId="77777777" w:rsidR="00BC131A" w:rsidRPr="00C92A2A" w:rsidRDefault="00BC131A" w:rsidP="00BC131A">
      <w:pPr>
        <w:spacing w:after="0" w:line="240" w:lineRule="auto"/>
        <w:jc w:val="both"/>
        <w:rPr>
          <w:rFonts w:ascii="Verdana" w:eastAsia="Times New Roman" w:hAnsi="Verdana" w:cs="Arial"/>
          <w:sz w:val="20"/>
          <w:lang w:eastAsia="es-CO"/>
        </w:rPr>
      </w:pPr>
      <w:r w:rsidRPr="00C92A2A">
        <w:rPr>
          <w:rFonts w:ascii="Verdana" w:eastAsia="Times New Roman" w:hAnsi="Verdana" w:cs="Arial"/>
          <w:sz w:val="20"/>
          <w:lang w:eastAsia="es-CO"/>
        </w:rPr>
        <w:t xml:space="preserve"> </w:t>
      </w:r>
    </w:p>
    <w:p w14:paraId="3FA659E7" w14:textId="77777777" w:rsidR="00BC131A" w:rsidRPr="00F71181" w:rsidRDefault="00BC131A" w:rsidP="00BC131A">
      <w:pPr>
        <w:spacing w:after="0" w:line="240" w:lineRule="auto"/>
        <w:jc w:val="both"/>
        <w:rPr>
          <w:rFonts w:ascii="Verdana" w:eastAsia="Times New Roman" w:hAnsi="Verdana" w:cs="Arial"/>
          <w:sz w:val="20"/>
          <w:lang w:eastAsia="es-CO"/>
        </w:rPr>
      </w:pPr>
      <w:r w:rsidRPr="00C92A2A">
        <w:rPr>
          <w:rFonts w:ascii="Verdana" w:eastAsia="Times New Roman" w:hAnsi="Verdana" w:cs="Arial"/>
          <w:sz w:val="20"/>
          <w:lang w:eastAsia="es-CO"/>
        </w:rPr>
        <w:t xml:space="preserve">Adicionalmente, cuando en el texto de la petición se utiliza la acepción convocatoria pública, bajo el entendido de que la contratación directa no incluye publicación de aviso de convocatoria, y que la publicación de dicho acto administrativo procede en las </w:t>
      </w:r>
      <w:r w:rsidRPr="00C92A2A">
        <w:rPr>
          <w:rFonts w:ascii="Verdana" w:eastAsia="Times New Roman" w:hAnsi="Verdana" w:cs="Arial"/>
          <w:sz w:val="20"/>
          <w:lang w:eastAsia="es-CO"/>
        </w:rPr>
        <w:lastRenderedPageBreak/>
        <w:t>modalidades de selección donde se permite la participación de una pluralidad de oferentes, se advierte que no solo resulta procedente la publicación de los documentos precontractuales, sino también la ejecución de las demás etapas del proceso e, incluso, la suscripción del contrato, en tanto las modalidades de licitación pública, selección abreviada, concurso de méritos y mínima cuantía, u otras previstas en normas especiales, que contemplen en alguna de sus etapas la posible participación de pluralidad de oferentes, no están comprendidas dentro de las contrataciones restricciones por la Ley de Garantías.</w:t>
      </w:r>
    </w:p>
    <w:p w14:paraId="6BD3C736" w14:textId="77777777" w:rsidR="00BC131A" w:rsidRDefault="00BC131A" w:rsidP="00BC131A">
      <w:pPr>
        <w:tabs>
          <w:tab w:val="left" w:pos="426"/>
        </w:tabs>
        <w:spacing w:line="240" w:lineRule="auto"/>
        <w:contextualSpacing/>
        <w:jc w:val="both"/>
        <w:rPr>
          <w:rFonts w:ascii="Verdana" w:eastAsia="Calibri" w:hAnsi="Verdana" w:cs="Arial"/>
          <w:b/>
          <w:bCs/>
        </w:rPr>
      </w:pPr>
    </w:p>
    <w:p w14:paraId="368E49B8" w14:textId="77777777" w:rsidR="00BC131A" w:rsidRDefault="00BC131A" w:rsidP="00BC131A">
      <w:pPr>
        <w:tabs>
          <w:tab w:val="left" w:pos="426"/>
        </w:tabs>
        <w:spacing w:line="240" w:lineRule="auto"/>
        <w:contextualSpacing/>
        <w:jc w:val="both"/>
        <w:rPr>
          <w:rFonts w:ascii="Verdana" w:eastAsia="Calibri" w:hAnsi="Verdana" w:cs="Arial"/>
          <w:b/>
          <w:bCs/>
          <w:lang w:val="es-MX"/>
        </w:rPr>
      </w:pPr>
      <w:r w:rsidRPr="00F02C5A">
        <w:rPr>
          <w:rFonts w:ascii="Verdana" w:eastAsia="Calibri" w:hAnsi="Verdana" w:cs="Arial"/>
          <w:b/>
          <w:bCs/>
          <w:lang w:val="es-MX"/>
        </w:rPr>
        <w:t xml:space="preserve">LEY DE GARANTÍAS ELECTORALES </w:t>
      </w:r>
      <w:r w:rsidRPr="005D0E91">
        <w:rPr>
          <w:rFonts w:ascii="Verdana" w:eastAsia="Calibri" w:hAnsi="Verdana" w:cs="Arial"/>
          <w:b/>
          <w:bCs/>
          <w:lang w:val="es-ES"/>
        </w:rPr>
        <w:t>–</w:t>
      </w:r>
      <w:r>
        <w:rPr>
          <w:rFonts w:ascii="Verdana" w:eastAsia="Calibri" w:hAnsi="Verdana" w:cs="Arial"/>
          <w:b/>
          <w:bCs/>
          <w:lang w:val="es-ES"/>
        </w:rPr>
        <w:t xml:space="preserve"> Convenios con organismos internacionales </w:t>
      </w:r>
    </w:p>
    <w:p w14:paraId="0BAEEF4A" w14:textId="77777777" w:rsidR="00BC131A" w:rsidRPr="00F71181" w:rsidRDefault="00BC131A" w:rsidP="00BC131A">
      <w:pPr>
        <w:tabs>
          <w:tab w:val="left" w:pos="426"/>
        </w:tabs>
        <w:spacing w:line="240" w:lineRule="auto"/>
        <w:contextualSpacing/>
        <w:jc w:val="both"/>
        <w:rPr>
          <w:rFonts w:ascii="Verdana" w:eastAsia="Calibri" w:hAnsi="Verdana" w:cs="Arial"/>
          <w:b/>
          <w:bCs/>
          <w:lang w:val="es-MX"/>
        </w:rPr>
      </w:pPr>
    </w:p>
    <w:p w14:paraId="511E9C62" w14:textId="77777777" w:rsidR="00BC131A" w:rsidRPr="002C49D3" w:rsidRDefault="00BC131A" w:rsidP="00BC131A">
      <w:pPr>
        <w:spacing w:after="0" w:line="240" w:lineRule="auto"/>
        <w:jc w:val="both"/>
        <w:rPr>
          <w:rFonts w:ascii="Verdana" w:eastAsia="Times New Roman" w:hAnsi="Verdana" w:cs="Arial"/>
          <w:sz w:val="20"/>
          <w:lang w:eastAsia="es-CO"/>
        </w:rPr>
      </w:pPr>
      <w:r w:rsidRPr="002C49D3">
        <w:rPr>
          <w:rFonts w:ascii="Verdana" w:eastAsia="Times New Roman" w:hAnsi="Verdana" w:cs="Arial"/>
          <w:sz w:val="20"/>
          <w:lang w:eastAsia="es-CO"/>
        </w:rPr>
        <w:t>i) Frente al origen de los recursos […] se concluye que los contratos o convenios que son financiados en su totalidad o en sumas iguales o superiores al cincuenta por ciento con fondos de los organismos de cooperación, asistencia o ayudas internacionales, pueden someterse a los reglamentos de tales entidades y en consecuencia sustraerse de la aplicación de las normas nacionales. Sin embargo, es importante destacar que dicha posibilidad es de naturaleza excepcional y, por tanto, de aplicación restrictiva.</w:t>
      </w:r>
    </w:p>
    <w:p w14:paraId="1E6245C7" w14:textId="77777777" w:rsidR="00BC131A" w:rsidRPr="002C49D3" w:rsidRDefault="00BC131A" w:rsidP="00BC131A">
      <w:pPr>
        <w:spacing w:after="0" w:line="240" w:lineRule="auto"/>
        <w:jc w:val="both"/>
        <w:rPr>
          <w:rFonts w:ascii="Verdana" w:eastAsia="Times New Roman" w:hAnsi="Verdana" w:cs="Arial"/>
          <w:sz w:val="20"/>
          <w:lang w:eastAsia="es-CO"/>
        </w:rPr>
      </w:pPr>
    </w:p>
    <w:p w14:paraId="3B1BA588" w14:textId="77777777" w:rsidR="00BC131A" w:rsidRPr="002C49D3" w:rsidRDefault="00BC131A" w:rsidP="00BC131A">
      <w:pPr>
        <w:spacing w:after="0" w:line="240" w:lineRule="auto"/>
        <w:jc w:val="both"/>
        <w:rPr>
          <w:rFonts w:ascii="Verdana" w:eastAsia="Times New Roman" w:hAnsi="Verdana" w:cs="Arial"/>
          <w:sz w:val="20"/>
          <w:lang w:eastAsia="es-CO"/>
        </w:rPr>
      </w:pPr>
      <w:r w:rsidRPr="002C49D3">
        <w:rPr>
          <w:rFonts w:ascii="Verdana" w:eastAsia="Times New Roman" w:hAnsi="Verdana" w:cs="Arial"/>
          <w:sz w:val="20"/>
          <w:lang w:eastAsia="es-CO"/>
        </w:rPr>
        <w:t>[…]</w:t>
      </w:r>
    </w:p>
    <w:p w14:paraId="2EAA1BC3" w14:textId="77777777" w:rsidR="00BC131A" w:rsidRPr="002C49D3" w:rsidRDefault="00BC131A" w:rsidP="00BC131A">
      <w:pPr>
        <w:spacing w:after="0" w:line="240" w:lineRule="auto"/>
        <w:jc w:val="both"/>
        <w:rPr>
          <w:rFonts w:ascii="Verdana" w:eastAsia="Times New Roman" w:hAnsi="Verdana" w:cs="Arial"/>
          <w:sz w:val="20"/>
          <w:lang w:eastAsia="es-CO"/>
        </w:rPr>
      </w:pPr>
    </w:p>
    <w:p w14:paraId="4EF7DB02" w14:textId="77777777" w:rsidR="00BC131A" w:rsidRPr="002C49D3" w:rsidRDefault="00BC131A" w:rsidP="00BC131A">
      <w:pPr>
        <w:spacing w:after="0" w:line="240" w:lineRule="auto"/>
        <w:jc w:val="both"/>
        <w:rPr>
          <w:rFonts w:ascii="Verdana" w:eastAsia="Times New Roman" w:hAnsi="Verdana" w:cs="Arial"/>
          <w:sz w:val="20"/>
          <w:lang w:eastAsia="es-CO"/>
        </w:rPr>
      </w:pPr>
      <w:proofErr w:type="spellStart"/>
      <w:r w:rsidRPr="002C49D3">
        <w:rPr>
          <w:rFonts w:ascii="Verdana" w:eastAsia="Times New Roman" w:hAnsi="Verdana" w:cs="Arial"/>
          <w:sz w:val="20"/>
          <w:lang w:eastAsia="es-CO"/>
        </w:rPr>
        <w:t>ii</w:t>
      </w:r>
      <w:proofErr w:type="spellEnd"/>
      <w:r w:rsidRPr="002C49D3">
        <w:rPr>
          <w:rFonts w:ascii="Verdana" w:eastAsia="Times New Roman" w:hAnsi="Verdana" w:cs="Arial"/>
          <w:sz w:val="20"/>
          <w:lang w:eastAsia="es-CO"/>
        </w:rPr>
        <w:t>) Frente al objeto del contrato […] se concluye que los contratos que suscriban las entidades estatales con personas extranjeras de derecho público u organismos de derecho internacional, cuyo objeto se encuentre enmarcado en cualquiera de las hipótesis descritas, podrán someterse a los reglamentos de dichos órganos internacionales. Igualmente, bajo ningún escenario, las entidades públicas podrán celebrar contratos o convenios para la administración o gerencia de sus recursos propios o de aquellos que les asignen los presupuestos públicos, con organismos de cooperación, asistencia o ayuda internacional.</w:t>
      </w:r>
    </w:p>
    <w:p w14:paraId="1599CD65" w14:textId="77777777" w:rsidR="00BC131A" w:rsidRPr="002C49D3" w:rsidRDefault="00BC131A" w:rsidP="00BC131A">
      <w:pPr>
        <w:spacing w:after="0" w:line="240" w:lineRule="auto"/>
        <w:jc w:val="both"/>
        <w:rPr>
          <w:rFonts w:ascii="Verdana" w:eastAsia="Times New Roman" w:hAnsi="Verdana" w:cs="Arial"/>
          <w:sz w:val="20"/>
          <w:lang w:eastAsia="es-CO"/>
        </w:rPr>
      </w:pPr>
    </w:p>
    <w:p w14:paraId="48696439" w14:textId="77777777" w:rsidR="00BC131A" w:rsidRPr="002C49D3" w:rsidRDefault="00BC131A" w:rsidP="00BC131A">
      <w:pPr>
        <w:spacing w:after="0" w:line="240" w:lineRule="auto"/>
        <w:jc w:val="both"/>
        <w:rPr>
          <w:rFonts w:ascii="Verdana" w:eastAsia="Times New Roman" w:hAnsi="Verdana" w:cs="Arial"/>
          <w:sz w:val="20"/>
          <w:lang w:eastAsia="es-CO"/>
        </w:rPr>
      </w:pPr>
      <w:r w:rsidRPr="002C49D3">
        <w:rPr>
          <w:rFonts w:ascii="Verdana" w:eastAsia="Times New Roman" w:hAnsi="Verdana" w:cs="Arial"/>
          <w:sz w:val="20"/>
          <w:lang w:eastAsia="es-CO"/>
        </w:rPr>
        <w:t>[…]</w:t>
      </w:r>
    </w:p>
    <w:p w14:paraId="0E36B1F5" w14:textId="77777777" w:rsidR="00BC131A" w:rsidRPr="002C49D3" w:rsidRDefault="00BC131A" w:rsidP="00BC131A">
      <w:pPr>
        <w:spacing w:after="0" w:line="240" w:lineRule="auto"/>
        <w:jc w:val="both"/>
        <w:rPr>
          <w:rFonts w:ascii="Verdana" w:eastAsia="Times New Roman" w:hAnsi="Verdana" w:cs="Arial"/>
          <w:sz w:val="20"/>
          <w:lang w:eastAsia="es-CO"/>
        </w:rPr>
      </w:pPr>
    </w:p>
    <w:p w14:paraId="6355AFE9" w14:textId="77777777" w:rsidR="00BC131A" w:rsidRPr="002C49D3" w:rsidRDefault="00BC131A" w:rsidP="00BC131A">
      <w:pPr>
        <w:spacing w:after="0" w:line="240" w:lineRule="auto"/>
        <w:jc w:val="both"/>
        <w:rPr>
          <w:rFonts w:ascii="Verdana" w:eastAsia="Times New Roman" w:hAnsi="Verdana" w:cs="Arial"/>
          <w:sz w:val="20"/>
          <w:lang w:eastAsia="es-CO"/>
        </w:rPr>
      </w:pPr>
      <w:proofErr w:type="spellStart"/>
      <w:r w:rsidRPr="002C49D3">
        <w:rPr>
          <w:rFonts w:ascii="Verdana" w:eastAsia="Times New Roman" w:hAnsi="Verdana" w:cs="Arial"/>
          <w:sz w:val="20"/>
          <w:lang w:eastAsia="es-CO"/>
        </w:rPr>
        <w:t>iii</w:t>
      </w:r>
      <w:proofErr w:type="spellEnd"/>
      <w:r w:rsidRPr="002C49D3">
        <w:rPr>
          <w:rFonts w:ascii="Verdana" w:eastAsia="Times New Roman" w:hAnsi="Verdana" w:cs="Arial"/>
          <w:sz w:val="20"/>
          <w:lang w:eastAsia="es-CO"/>
        </w:rPr>
        <w:t xml:space="preserve">) En se concluye que la restricción contemplada en el primer inciso del artículo 33 de la Ley 996 de 2005 no resulta extensiva a los contratos que son financiados en su totalidad o en sumas iguales o superiores al cincuenta por ciento con fondos de los organismos de cooperación, asistencia o ayudas internacionales, y cuyo régimen es el dispuesto en los reglamentos de tales entidades. Lo anterior, por cuanto en estos casos el artículo 20 de la Ley 1150 de 2007 autoriza para aplicar “integralmente” el reglamento de dichos organismos, tal y como se puso de presente en el numeral 2.2.3.1. del concepto. de la entidad extranjera […] </w:t>
      </w:r>
    </w:p>
    <w:p w14:paraId="694A686A" w14:textId="77777777" w:rsidR="00BC131A" w:rsidRPr="00DC212C" w:rsidRDefault="00BC131A" w:rsidP="00BC131A">
      <w:pPr>
        <w:spacing w:after="0"/>
        <w:rPr>
          <w:rFonts w:ascii="Verdana" w:hAnsi="Verdana"/>
        </w:rPr>
      </w:pPr>
    </w:p>
    <w:p w14:paraId="6694A47D" w14:textId="77777777" w:rsidR="00BC131A" w:rsidRPr="00DC212C" w:rsidRDefault="00BC131A" w:rsidP="00BC131A">
      <w:pPr>
        <w:spacing w:after="0"/>
        <w:rPr>
          <w:rFonts w:ascii="Verdana" w:hAnsi="Verdana"/>
        </w:rPr>
      </w:pPr>
    </w:p>
    <w:p w14:paraId="6F774485" w14:textId="77777777" w:rsidR="00BC131A" w:rsidRDefault="00BC131A" w:rsidP="00BC131A">
      <w:pPr>
        <w:spacing w:after="0"/>
        <w:rPr>
          <w:rFonts w:ascii="Verdana" w:hAnsi="Verdana"/>
        </w:rPr>
      </w:pPr>
    </w:p>
    <w:p w14:paraId="4D8C9ED9" w14:textId="77777777" w:rsidR="00BC131A" w:rsidRDefault="00BC131A" w:rsidP="00BC131A">
      <w:pPr>
        <w:spacing w:after="0"/>
        <w:rPr>
          <w:rFonts w:ascii="Verdana" w:hAnsi="Verdana"/>
        </w:rPr>
      </w:pPr>
    </w:p>
    <w:p w14:paraId="26B6C07A" w14:textId="77777777" w:rsidR="00BC131A" w:rsidRDefault="00BC131A" w:rsidP="00BC131A">
      <w:pPr>
        <w:spacing w:after="0"/>
        <w:rPr>
          <w:rFonts w:ascii="Verdana" w:hAnsi="Verdana"/>
        </w:rPr>
      </w:pPr>
    </w:p>
    <w:p w14:paraId="4C02D366" w14:textId="77777777" w:rsidR="00BC131A" w:rsidRDefault="00BC131A" w:rsidP="00BC131A">
      <w:pPr>
        <w:spacing w:after="0"/>
        <w:rPr>
          <w:rFonts w:ascii="Verdana" w:hAnsi="Verdana"/>
        </w:rPr>
      </w:pPr>
    </w:p>
    <w:p w14:paraId="3FA8AB39" w14:textId="6BFB78A7" w:rsidR="00A54A43" w:rsidRDefault="00BC131A" w:rsidP="00BC131A">
      <w:pPr>
        <w:spacing w:after="0"/>
        <w:rPr>
          <w:rFonts w:ascii="Verdana" w:hAnsi="Verdana"/>
        </w:rPr>
      </w:pPr>
      <w:r w:rsidRPr="00DC212C">
        <w:rPr>
          <w:rFonts w:ascii="Verdana" w:hAnsi="Verdana"/>
        </w:rPr>
        <w:lastRenderedPageBreak/>
        <w:t xml:space="preserve">Bogotá D.C., </w:t>
      </w:r>
      <w:r w:rsidR="00A54A43">
        <w:rPr>
          <w:rFonts w:ascii="Verdana" w:hAnsi="Verdana"/>
        </w:rPr>
        <w:t>11 de septiembre de 2025</w:t>
      </w:r>
    </w:p>
    <w:p w14:paraId="2374CA0C" w14:textId="460818B5" w:rsidR="00BC131A" w:rsidRPr="00DC212C" w:rsidRDefault="00BC131A" w:rsidP="00BC131A">
      <w:pPr>
        <w:spacing w:after="0"/>
        <w:rPr>
          <w:rFonts w:ascii="Verdana" w:hAnsi="Verdana"/>
        </w:rPr>
      </w:pPr>
      <w:r w:rsidRPr="00DC212C">
        <w:rPr>
          <w:rFonts w:ascii="Verdana" w:hAnsi="Verdana"/>
        </w:rPr>
        <w:tab/>
      </w:r>
    </w:p>
    <w:p w14:paraId="5277E79B" w14:textId="2FC852FD" w:rsidR="00BC131A" w:rsidRPr="00DC212C" w:rsidRDefault="00A54A43" w:rsidP="00A54A43">
      <w:pPr>
        <w:spacing w:after="0"/>
        <w:jc w:val="right"/>
        <w:rPr>
          <w:rFonts w:ascii="Verdana" w:hAnsi="Verdana"/>
        </w:rPr>
      </w:pPr>
      <w:r w:rsidRPr="00A54A43">
        <w:rPr>
          <w:rFonts w:ascii="Verdana" w:hAnsi="Verdana"/>
          <w:noProof/>
        </w:rPr>
        <w:drawing>
          <wp:inline distT="0" distB="0" distL="0" distR="0" wp14:anchorId="33249013" wp14:editId="0EC566DE">
            <wp:extent cx="3488055" cy="904574"/>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491843" cy="905556"/>
                    </a:xfrm>
                    <a:prstGeom prst="rect">
                      <a:avLst/>
                    </a:prstGeom>
                  </pic:spPr>
                </pic:pic>
              </a:graphicData>
            </a:graphic>
          </wp:inline>
        </w:drawing>
      </w:r>
    </w:p>
    <w:p w14:paraId="5CFCF674" w14:textId="77777777" w:rsidR="00BC131A" w:rsidRPr="00DC212C" w:rsidRDefault="00BC131A" w:rsidP="00BC131A">
      <w:pPr>
        <w:spacing w:after="0"/>
        <w:rPr>
          <w:rFonts w:ascii="Verdana" w:hAnsi="Verdana"/>
        </w:rPr>
      </w:pPr>
    </w:p>
    <w:p w14:paraId="4449F465" w14:textId="75C6DCE8" w:rsidR="00BC131A" w:rsidRPr="00DC212C" w:rsidRDefault="00BC131A" w:rsidP="00BC131A">
      <w:pPr>
        <w:spacing w:after="0" w:line="240" w:lineRule="auto"/>
        <w:rPr>
          <w:rFonts w:ascii="Verdana" w:eastAsia="Calibri" w:hAnsi="Verdana" w:cs="Times New Roman"/>
        </w:rPr>
      </w:pPr>
      <w:r w:rsidRPr="00DC212C">
        <w:rPr>
          <w:rFonts w:ascii="Verdana" w:eastAsia="Calibri" w:hAnsi="Verdana" w:cs="Times New Roman"/>
        </w:rPr>
        <w:t>Señor concejal</w:t>
      </w:r>
      <w:r w:rsidR="00EB6DB7">
        <w:rPr>
          <w:rFonts w:ascii="Verdana" w:eastAsia="Calibri" w:hAnsi="Verdana" w:cs="Times New Roman"/>
        </w:rPr>
        <w:t xml:space="preserve"> </w:t>
      </w:r>
    </w:p>
    <w:p w14:paraId="64318FE5" w14:textId="77777777" w:rsidR="00BC131A" w:rsidRDefault="00BC131A" w:rsidP="00BC131A">
      <w:pPr>
        <w:spacing w:after="0" w:line="240" w:lineRule="auto"/>
        <w:rPr>
          <w:rFonts w:ascii="Verdana" w:eastAsia="Calibri" w:hAnsi="Verdana" w:cs="Times New Roman"/>
          <w:b/>
        </w:rPr>
      </w:pPr>
      <w:r w:rsidRPr="00DC212C">
        <w:rPr>
          <w:rFonts w:ascii="Verdana" w:eastAsia="Calibri" w:hAnsi="Verdana" w:cs="Times New Roman"/>
          <w:b/>
        </w:rPr>
        <w:t>WILLIAM ANDRÉS VELA LOZANO</w:t>
      </w:r>
    </w:p>
    <w:p w14:paraId="5C6A2FC9" w14:textId="77777777" w:rsidR="00BC131A" w:rsidRPr="00C21488" w:rsidRDefault="00BC131A" w:rsidP="00BC131A">
      <w:pPr>
        <w:spacing w:after="0" w:line="240" w:lineRule="auto"/>
        <w:rPr>
          <w:rFonts w:ascii="Verdana" w:eastAsia="Calibri" w:hAnsi="Verdana" w:cs="Times New Roman"/>
          <w:bCs/>
        </w:rPr>
      </w:pPr>
      <w:r w:rsidRPr="00C21488">
        <w:rPr>
          <w:rFonts w:ascii="Verdana" w:eastAsia="Calibri" w:hAnsi="Verdana" w:cs="Times New Roman"/>
          <w:bCs/>
        </w:rPr>
        <w:t xml:space="preserve">Concejal del Municipio de Chía </w:t>
      </w:r>
    </w:p>
    <w:p w14:paraId="70B82BED" w14:textId="77777777" w:rsidR="00BC131A" w:rsidRPr="00C21488" w:rsidRDefault="00BC131A" w:rsidP="00BC131A">
      <w:pPr>
        <w:spacing w:after="0" w:line="240" w:lineRule="auto"/>
        <w:rPr>
          <w:rFonts w:ascii="Verdana" w:eastAsia="Calibri" w:hAnsi="Verdana" w:cs="Times New Roman"/>
          <w:bCs/>
        </w:rPr>
      </w:pPr>
      <w:r w:rsidRPr="00C21488">
        <w:rPr>
          <w:rFonts w:ascii="Verdana" w:eastAsia="Calibri" w:hAnsi="Verdana" w:cs="Times New Roman"/>
          <w:bCs/>
        </w:rPr>
        <w:t>Partido Centro Democrático</w:t>
      </w:r>
    </w:p>
    <w:p w14:paraId="647A113E" w14:textId="77777777" w:rsidR="00BC131A" w:rsidRPr="00E07ECC" w:rsidRDefault="00BC131A" w:rsidP="00BC131A">
      <w:pPr>
        <w:spacing w:after="0" w:line="240" w:lineRule="auto"/>
        <w:rPr>
          <w:rFonts w:ascii="Verdana" w:hAnsi="Verdana"/>
        </w:rPr>
      </w:pPr>
      <w:hyperlink r:id="rId11" w:history="1">
        <w:r w:rsidRPr="00E07ECC">
          <w:rPr>
            <w:rStyle w:val="Hipervnculo"/>
            <w:rFonts w:ascii="Verdana" w:hAnsi="Verdana"/>
          </w:rPr>
          <w:t>andresvelaa@gmail.com</w:t>
        </w:r>
      </w:hyperlink>
    </w:p>
    <w:p w14:paraId="39F451F6" w14:textId="77777777" w:rsidR="00BC131A" w:rsidRPr="00DC212C" w:rsidRDefault="00BC131A" w:rsidP="00BC131A">
      <w:pPr>
        <w:spacing w:after="0" w:line="240" w:lineRule="auto"/>
        <w:rPr>
          <w:rFonts w:ascii="Verdana" w:eastAsia="Calibri" w:hAnsi="Verdana" w:cs="Times New Roman"/>
        </w:rPr>
      </w:pPr>
      <w:r>
        <w:rPr>
          <w:rFonts w:ascii="Verdana" w:eastAsia="Calibri" w:hAnsi="Verdana" w:cs="Times New Roman"/>
        </w:rPr>
        <w:t>Chía, Cundinamarca</w:t>
      </w:r>
    </w:p>
    <w:p w14:paraId="6CF92D6C" w14:textId="77777777" w:rsidR="00BC131A" w:rsidRPr="00DC212C" w:rsidRDefault="00BC131A" w:rsidP="00BC131A">
      <w:pPr>
        <w:spacing w:after="0" w:line="256" w:lineRule="auto"/>
        <w:rPr>
          <w:rFonts w:ascii="Verdana" w:eastAsia="Calibri" w:hAnsi="Verdana" w:cs="Times New Roman"/>
        </w:rPr>
      </w:pPr>
    </w:p>
    <w:p w14:paraId="2E506705" w14:textId="77777777" w:rsidR="00BC131A" w:rsidRPr="00DC212C" w:rsidRDefault="00BC131A" w:rsidP="00BC131A">
      <w:pPr>
        <w:spacing w:after="0" w:line="256" w:lineRule="auto"/>
        <w:rPr>
          <w:rFonts w:ascii="Verdana" w:eastAsia="Calibri" w:hAnsi="Verdana" w:cs="Times New Roman"/>
        </w:rPr>
      </w:pPr>
    </w:p>
    <w:p w14:paraId="5D8CFC1D" w14:textId="77777777" w:rsidR="00BC131A" w:rsidRPr="00DC212C" w:rsidRDefault="00BC131A" w:rsidP="00BC131A">
      <w:pPr>
        <w:spacing w:after="0" w:line="256" w:lineRule="auto"/>
        <w:rPr>
          <w:rFonts w:ascii="Verdana" w:eastAsia="Calibri" w:hAnsi="Verdana" w:cs="Times New Roman"/>
          <w:b/>
          <w:bCs/>
        </w:rPr>
      </w:pPr>
      <w:r w:rsidRPr="00DC212C">
        <w:rPr>
          <w:rFonts w:ascii="Verdana" w:eastAsia="Calibri" w:hAnsi="Verdana" w:cs="Times New Roman"/>
          <w:b/>
          <w:bCs/>
        </w:rPr>
        <w:t xml:space="preserve">                                    Concepto C–</w:t>
      </w:r>
      <w:r>
        <w:rPr>
          <w:rFonts w:ascii="Verdana" w:eastAsia="Calibri" w:hAnsi="Verdana" w:cs="Times New Roman"/>
          <w:b/>
          <w:bCs/>
        </w:rPr>
        <w:t>1063</w:t>
      </w:r>
      <w:r w:rsidRPr="00DC212C">
        <w:rPr>
          <w:rFonts w:ascii="Verdana" w:eastAsia="Calibri" w:hAnsi="Verdana" w:cs="Times New Roman"/>
          <w:b/>
          <w:bCs/>
        </w:rPr>
        <w:t xml:space="preserve"> de 2025</w:t>
      </w:r>
    </w:p>
    <w:p w14:paraId="04B0C173" w14:textId="77777777" w:rsidR="00BC131A" w:rsidRPr="00DC212C" w:rsidRDefault="00BC131A" w:rsidP="00BC131A">
      <w:pPr>
        <w:spacing w:after="0" w:line="256" w:lineRule="auto"/>
        <w:rPr>
          <w:rFonts w:ascii="Verdana" w:eastAsia="Calibri" w:hAnsi="Verdana" w:cs="Times New Roman"/>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BC131A" w:rsidRPr="00DC212C" w14:paraId="1CFAD934" w14:textId="77777777" w:rsidTr="00A937DF">
        <w:trPr>
          <w:trHeight w:val="645"/>
        </w:trPr>
        <w:tc>
          <w:tcPr>
            <w:tcW w:w="2685" w:type="dxa"/>
            <w:hideMark/>
          </w:tcPr>
          <w:p w14:paraId="0BFA153F" w14:textId="77777777" w:rsidR="00BC131A" w:rsidRPr="00DC212C" w:rsidRDefault="00BC131A" w:rsidP="00A937DF">
            <w:pPr>
              <w:spacing w:line="256" w:lineRule="auto"/>
              <w:rPr>
                <w:rFonts w:ascii="Verdana" w:hAnsi="Verdana"/>
                <w:b/>
                <w:bCs/>
              </w:rPr>
            </w:pPr>
            <w:r w:rsidRPr="00DC212C">
              <w:rPr>
                <w:rFonts w:ascii="Verdana" w:hAnsi="Verdana"/>
                <w:b/>
                <w:bCs/>
              </w:rPr>
              <w:t xml:space="preserve">Temas:                   </w:t>
            </w:r>
          </w:p>
        </w:tc>
        <w:tc>
          <w:tcPr>
            <w:tcW w:w="6241" w:type="dxa"/>
            <w:hideMark/>
          </w:tcPr>
          <w:p w14:paraId="140DDBC5" w14:textId="77777777" w:rsidR="00BC131A" w:rsidRPr="002C49D3" w:rsidRDefault="00BC131A" w:rsidP="00A937DF">
            <w:pPr>
              <w:spacing w:line="276" w:lineRule="auto"/>
              <w:jc w:val="both"/>
              <w:rPr>
                <w:rFonts w:ascii="Verdana" w:hAnsi="Verdana" w:cs="Arial"/>
                <w:lang w:val="es-MX" w:eastAsia="es-ES"/>
              </w:rPr>
            </w:pPr>
            <w:r w:rsidRPr="002C49D3">
              <w:rPr>
                <w:rFonts w:ascii="Verdana" w:hAnsi="Verdana" w:cs="Arial"/>
                <w:lang w:eastAsia="es-ES_tradnl"/>
              </w:rPr>
              <w:t>LEY DE GARANTÍAS ELECTORALES – Prohibición ‒ Artículo 33 ‒ Artículo 38 ‒ Ámbito de aplicación</w:t>
            </w:r>
            <w:r>
              <w:rPr>
                <w:rFonts w:ascii="Verdana" w:hAnsi="Verdana" w:cs="Arial"/>
                <w:lang w:eastAsia="es-ES_tradnl"/>
              </w:rPr>
              <w:t xml:space="preserve"> /</w:t>
            </w:r>
            <w:r w:rsidRPr="00DC212C">
              <w:rPr>
                <w:rFonts w:ascii="Verdana" w:hAnsi="Verdana" w:cs="Arial"/>
                <w:lang w:eastAsia="es-ES_tradnl"/>
              </w:rPr>
              <w:t xml:space="preserve"> </w:t>
            </w:r>
            <w:r w:rsidRPr="002C49D3">
              <w:rPr>
                <w:rFonts w:ascii="Verdana" w:hAnsi="Verdana" w:cs="Arial"/>
                <w:lang w:eastAsia="es-ES_tradnl"/>
              </w:rPr>
              <w:t xml:space="preserve">LEY DE GARANTÍAS ELECTORALES – Contratos de prestación de servicios – Contratos y/o convenios interadministrativos – Contratos de obra – Aplicación de restricciones </w:t>
            </w:r>
            <w:r>
              <w:rPr>
                <w:rFonts w:ascii="Verdana" w:hAnsi="Verdana" w:cs="Arial"/>
                <w:lang w:eastAsia="es-ES_tradnl"/>
              </w:rPr>
              <w:t xml:space="preserve">/ </w:t>
            </w:r>
            <w:r w:rsidRPr="002C49D3">
              <w:rPr>
                <w:rFonts w:ascii="Verdana" w:hAnsi="Verdana" w:cs="Arial"/>
                <w:lang w:eastAsia="es-ES_tradnl"/>
              </w:rPr>
              <w:t xml:space="preserve">EJECUCIÓN DE ACCIONES PRECONTRACTUALES EN SECOP – No aplica restricción de Ley de Garantías Electorales </w:t>
            </w:r>
            <w:r>
              <w:rPr>
                <w:rFonts w:ascii="Verdana" w:hAnsi="Verdana" w:cs="Arial"/>
                <w:lang w:eastAsia="es-ES_tradnl"/>
              </w:rPr>
              <w:t xml:space="preserve">/ </w:t>
            </w:r>
            <w:r w:rsidRPr="00982EFE">
              <w:rPr>
                <w:rFonts w:ascii="Verdana" w:hAnsi="Verdana" w:cs="Arial"/>
                <w:lang w:eastAsia="es-ES_tradnl"/>
              </w:rPr>
              <w:t>LEY DE GARANTÍAS ELECTORALES – Convenios con organismos internacionales</w:t>
            </w:r>
          </w:p>
        </w:tc>
        <w:tc>
          <w:tcPr>
            <w:tcW w:w="6237" w:type="dxa"/>
          </w:tcPr>
          <w:p w14:paraId="72B4CBC9" w14:textId="77777777" w:rsidR="00BC131A" w:rsidRPr="00DC212C" w:rsidRDefault="00BC131A" w:rsidP="00A937DF">
            <w:pPr>
              <w:spacing w:line="256" w:lineRule="auto"/>
              <w:rPr>
                <w:rFonts w:ascii="Verdana" w:hAnsi="Verdana"/>
              </w:rPr>
            </w:pPr>
          </w:p>
        </w:tc>
      </w:tr>
      <w:tr w:rsidR="00BC131A" w:rsidRPr="00DC212C" w14:paraId="2ACADE4F" w14:textId="77777777" w:rsidTr="00A937DF">
        <w:tc>
          <w:tcPr>
            <w:tcW w:w="2685" w:type="dxa"/>
          </w:tcPr>
          <w:p w14:paraId="5E6B6B0B" w14:textId="77777777" w:rsidR="00BC131A" w:rsidRPr="00DC212C" w:rsidRDefault="00BC131A" w:rsidP="00A937DF">
            <w:pPr>
              <w:spacing w:line="256" w:lineRule="auto"/>
              <w:rPr>
                <w:rFonts w:ascii="Verdana" w:hAnsi="Verdana"/>
                <w:b/>
                <w:bCs/>
              </w:rPr>
            </w:pPr>
          </w:p>
          <w:p w14:paraId="59F665F4" w14:textId="77777777" w:rsidR="00BC131A" w:rsidRPr="00DC212C" w:rsidRDefault="00BC131A" w:rsidP="00A937DF">
            <w:pPr>
              <w:spacing w:line="256" w:lineRule="auto"/>
              <w:rPr>
                <w:rFonts w:ascii="Verdana" w:hAnsi="Verdana"/>
                <w:b/>
                <w:bCs/>
              </w:rPr>
            </w:pPr>
          </w:p>
          <w:p w14:paraId="5CB21D20" w14:textId="77777777" w:rsidR="00BC131A" w:rsidRPr="00DC212C" w:rsidRDefault="00BC131A" w:rsidP="00A937DF">
            <w:pPr>
              <w:spacing w:line="256" w:lineRule="auto"/>
              <w:rPr>
                <w:rFonts w:ascii="Verdana" w:hAnsi="Verdana"/>
                <w:b/>
                <w:bCs/>
              </w:rPr>
            </w:pPr>
            <w:r w:rsidRPr="00DC212C">
              <w:rPr>
                <w:rFonts w:ascii="Verdana" w:hAnsi="Verdana"/>
                <w:b/>
                <w:bCs/>
              </w:rPr>
              <w:t xml:space="preserve">Radicación:               </w:t>
            </w:r>
          </w:p>
        </w:tc>
        <w:tc>
          <w:tcPr>
            <w:tcW w:w="6241" w:type="dxa"/>
          </w:tcPr>
          <w:p w14:paraId="38144C83" w14:textId="77777777" w:rsidR="00BC131A" w:rsidRPr="00DC212C" w:rsidRDefault="00BC131A" w:rsidP="00A937DF">
            <w:pPr>
              <w:spacing w:line="257" w:lineRule="auto"/>
              <w:jc w:val="both"/>
              <w:rPr>
                <w:rFonts w:ascii="Verdana" w:hAnsi="Verdana"/>
              </w:rPr>
            </w:pPr>
          </w:p>
          <w:p w14:paraId="7DC8090A" w14:textId="77777777" w:rsidR="00BC131A" w:rsidRPr="00DC212C" w:rsidRDefault="00BC131A" w:rsidP="00A937DF">
            <w:pPr>
              <w:spacing w:line="257" w:lineRule="auto"/>
              <w:jc w:val="both"/>
              <w:rPr>
                <w:rFonts w:ascii="Verdana" w:hAnsi="Verdana"/>
              </w:rPr>
            </w:pPr>
          </w:p>
          <w:p w14:paraId="7E0FC176" w14:textId="77777777" w:rsidR="00BC131A" w:rsidRPr="00DC212C" w:rsidRDefault="00BC131A" w:rsidP="00A937DF">
            <w:pPr>
              <w:spacing w:line="257" w:lineRule="auto"/>
              <w:jc w:val="both"/>
              <w:rPr>
                <w:rFonts w:ascii="Verdana" w:hAnsi="Verdana"/>
              </w:rPr>
            </w:pPr>
            <w:r w:rsidRPr="00DC212C">
              <w:rPr>
                <w:rFonts w:ascii="Verdana" w:hAnsi="Verdana"/>
              </w:rPr>
              <w:t xml:space="preserve">Respuesta a consulta con radicado No. </w:t>
            </w:r>
            <w:r w:rsidRPr="00C06359">
              <w:rPr>
                <w:rFonts w:ascii="Verdana" w:hAnsi="Verdana"/>
              </w:rPr>
              <w:t>1_2025_07_31_007972</w:t>
            </w:r>
          </w:p>
          <w:p w14:paraId="3D7DBD62" w14:textId="77777777" w:rsidR="00BC131A" w:rsidRPr="00DC212C" w:rsidRDefault="00BC131A" w:rsidP="00A937DF">
            <w:pPr>
              <w:spacing w:line="257" w:lineRule="auto"/>
              <w:jc w:val="both"/>
              <w:rPr>
                <w:rFonts w:ascii="Verdana" w:hAnsi="Verdana"/>
              </w:rPr>
            </w:pPr>
          </w:p>
        </w:tc>
        <w:tc>
          <w:tcPr>
            <w:tcW w:w="6237" w:type="dxa"/>
          </w:tcPr>
          <w:p w14:paraId="1BD739A3" w14:textId="77777777" w:rsidR="00BC131A" w:rsidRPr="00DC212C" w:rsidRDefault="00BC131A" w:rsidP="00A937DF">
            <w:pPr>
              <w:spacing w:line="256" w:lineRule="auto"/>
              <w:rPr>
                <w:rFonts w:ascii="Verdana" w:hAnsi="Verdana"/>
              </w:rPr>
            </w:pPr>
          </w:p>
        </w:tc>
      </w:tr>
    </w:tbl>
    <w:p w14:paraId="43BF4A1A" w14:textId="77777777" w:rsidR="00BC131A" w:rsidRDefault="00BC131A" w:rsidP="00BC131A">
      <w:pPr>
        <w:spacing w:after="0" w:line="256" w:lineRule="auto"/>
        <w:rPr>
          <w:rFonts w:ascii="Verdana" w:eastAsia="Calibri" w:hAnsi="Verdana" w:cs="Times New Roman"/>
        </w:rPr>
      </w:pPr>
    </w:p>
    <w:p w14:paraId="1C8A9346" w14:textId="77777777" w:rsidR="00BC131A" w:rsidRPr="00DC212C" w:rsidRDefault="00BC131A" w:rsidP="00BC131A">
      <w:pPr>
        <w:spacing w:after="0" w:line="256" w:lineRule="auto"/>
        <w:rPr>
          <w:rFonts w:ascii="Verdana" w:eastAsia="Calibri" w:hAnsi="Verdana" w:cs="Times New Roman"/>
        </w:rPr>
      </w:pPr>
      <w:r>
        <w:rPr>
          <w:rFonts w:ascii="Verdana" w:eastAsia="Calibri" w:hAnsi="Verdana" w:cs="Times New Roman"/>
        </w:rPr>
        <w:t>Respetado</w:t>
      </w:r>
      <w:r w:rsidRPr="00DC212C">
        <w:rPr>
          <w:rFonts w:ascii="Verdana" w:eastAsia="Calibri" w:hAnsi="Verdana" w:cs="Times New Roman"/>
        </w:rPr>
        <w:t xml:space="preserve"> </w:t>
      </w:r>
      <w:r>
        <w:rPr>
          <w:rFonts w:ascii="Verdana" w:eastAsia="Calibri" w:hAnsi="Verdana" w:cs="Times New Roman"/>
        </w:rPr>
        <w:t xml:space="preserve">concejal </w:t>
      </w:r>
      <w:r w:rsidRPr="00C06359">
        <w:rPr>
          <w:rFonts w:ascii="Verdana" w:eastAsia="Calibri" w:hAnsi="Verdana" w:cs="Times New Roman"/>
          <w:bCs/>
        </w:rPr>
        <w:t>Vela Lozano</w:t>
      </w:r>
      <w:r w:rsidRPr="00DC212C">
        <w:rPr>
          <w:rFonts w:ascii="Verdana" w:eastAsia="Calibri" w:hAnsi="Verdana" w:cs="Times New Roman"/>
        </w:rPr>
        <w:t xml:space="preserve">: </w:t>
      </w:r>
    </w:p>
    <w:p w14:paraId="0B40B761" w14:textId="77777777" w:rsidR="00BC131A" w:rsidRPr="00DC212C" w:rsidRDefault="00BC131A" w:rsidP="00BC131A">
      <w:pPr>
        <w:spacing w:after="0" w:line="256" w:lineRule="auto"/>
        <w:rPr>
          <w:rFonts w:ascii="Verdana" w:eastAsia="Calibri" w:hAnsi="Verdana" w:cs="Times New Roman"/>
        </w:rPr>
      </w:pPr>
    </w:p>
    <w:p w14:paraId="4CC7BAA3" w14:textId="77777777" w:rsidR="00BC131A" w:rsidRPr="00DC212C" w:rsidRDefault="00BC131A" w:rsidP="00BC131A">
      <w:pPr>
        <w:spacing w:after="0" w:line="276" w:lineRule="auto"/>
        <w:jc w:val="both"/>
        <w:rPr>
          <w:rFonts w:ascii="Verdana" w:eastAsia="Calibri" w:hAnsi="Verdana" w:cs="Times New Roman"/>
        </w:rPr>
      </w:pPr>
      <w:r w:rsidRPr="00DC212C">
        <w:rPr>
          <w:rFonts w:ascii="Verdana" w:eastAsia="Calibri" w:hAnsi="Verdana" w:cs="Times New Roman"/>
        </w:rPr>
        <w:t xml:space="preserve">En ejercicio de la competencia otorgada por los artículos 3, numeral 5º, y 11, numeral 8º, del Decreto Ley 4170 de 2011, la Agencia Nacional de Contratación Pública – Colombia Compra Eficiente– </w:t>
      </w:r>
      <w:r w:rsidRPr="00584D6C">
        <w:rPr>
          <w:rFonts w:ascii="Verdana" w:eastAsia="Calibri" w:hAnsi="Verdana" w:cs="Times New Roman"/>
        </w:rPr>
        <w:t xml:space="preserve">da respuesta a la solicitud remitida por el Departamento Administrativo de la Función Pública –DAFP– el 28 de julio de </w:t>
      </w:r>
      <w:r w:rsidRPr="00584D6C">
        <w:rPr>
          <w:rFonts w:ascii="Verdana" w:eastAsia="Calibri" w:hAnsi="Verdana" w:cs="Times New Roman"/>
        </w:rPr>
        <w:lastRenderedPageBreak/>
        <w:t xml:space="preserve">2025 y radicada en nuestro sistema de ventanilla única el 31 de julio de 2025, mediante la cual trasladó para nuestro pronunciamiento tres de las diez inquietudes formuladas por </w:t>
      </w:r>
      <w:r>
        <w:rPr>
          <w:rFonts w:ascii="Verdana" w:eastAsia="Calibri" w:hAnsi="Verdana" w:cs="Times New Roman"/>
        </w:rPr>
        <w:t>usted</w:t>
      </w:r>
      <w:r w:rsidRPr="00584D6C">
        <w:rPr>
          <w:rFonts w:ascii="Verdana" w:eastAsia="Calibri" w:hAnsi="Verdana" w:cs="Times New Roman"/>
        </w:rPr>
        <w:t>. Dichas preguntas fueron planteadas en los siguientes términos</w:t>
      </w:r>
      <w:r>
        <w:rPr>
          <w:rFonts w:ascii="Verdana" w:eastAsia="Calibri" w:hAnsi="Verdana" w:cs="Times New Roman"/>
        </w:rPr>
        <w:t>:</w:t>
      </w:r>
    </w:p>
    <w:p w14:paraId="254FD41C" w14:textId="77777777" w:rsidR="00BC131A" w:rsidRPr="00DC212C" w:rsidRDefault="00BC131A" w:rsidP="00BC131A">
      <w:pPr>
        <w:spacing w:after="0" w:line="240" w:lineRule="auto"/>
        <w:ind w:right="709"/>
        <w:jc w:val="both"/>
        <w:rPr>
          <w:rFonts w:ascii="Verdana" w:eastAsia="Calibri" w:hAnsi="Verdana" w:cs="Times New Roman"/>
          <w:iCs/>
          <w:sz w:val="20"/>
        </w:rPr>
      </w:pPr>
    </w:p>
    <w:p w14:paraId="0289084C" w14:textId="77777777" w:rsidR="00BC131A" w:rsidRDefault="00BC131A" w:rsidP="00BC131A">
      <w:pPr>
        <w:pStyle w:val="Prrafodelista"/>
        <w:spacing w:after="0" w:line="240" w:lineRule="auto"/>
        <w:ind w:right="709"/>
        <w:jc w:val="both"/>
        <w:rPr>
          <w:rFonts w:ascii="Verdana" w:eastAsia="Calibri" w:hAnsi="Verdana" w:cs="Times New Roman"/>
          <w:iCs/>
          <w:sz w:val="20"/>
          <w:szCs w:val="20"/>
        </w:rPr>
      </w:pPr>
      <w:r w:rsidRPr="00DC212C">
        <w:rPr>
          <w:rFonts w:ascii="Verdana" w:eastAsia="Calibri" w:hAnsi="Verdana" w:cs="Times New Roman"/>
          <w:iCs/>
          <w:sz w:val="20"/>
          <w:szCs w:val="20"/>
        </w:rPr>
        <w:t>“</w:t>
      </w:r>
      <w:r w:rsidRPr="00CB4A97">
        <w:rPr>
          <w:rFonts w:ascii="Verdana" w:eastAsia="Calibri" w:hAnsi="Verdana" w:cs="Times New Roman"/>
          <w:iCs/>
          <w:sz w:val="20"/>
          <w:szCs w:val="20"/>
        </w:rPr>
        <w:t>4. ¿Las alcaldías y gobernaciones pueden celebrar contratos de prestación de servicios profesionales, convenios interadministrativos o contratos de obra pública durante la vigencia de la Ley de Garantías? En caso afirmativo, ¿qué requisitos formales y sustanciales deben cumplirse para evitar responsabilidad disciplinaria o fiscal?</w:t>
      </w:r>
    </w:p>
    <w:p w14:paraId="5E100215" w14:textId="77777777" w:rsidR="00BC131A" w:rsidRDefault="00BC131A" w:rsidP="00BC131A">
      <w:pPr>
        <w:pStyle w:val="Prrafodelista"/>
        <w:spacing w:after="0" w:line="240" w:lineRule="auto"/>
        <w:ind w:right="709"/>
        <w:jc w:val="both"/>
        <w:rPr>
          <w:rFonts w:ascii="Verdana" w:eastAsia="Calibri" w:hAnsi="Verdana" w:cs="Times New Roman"/>
          <w:iCs/>
          <w:sz w:val="20"/>
          <w:szCs w:val="20"/>
        </w:rPr>
      </w:pPr>
    </w:p>
    <w:p w14:paraId="272CBB7F" w14:textId="77777777" w:rsidR="00BC131A" w:rsidRDefault="00BC131A" w:rsidP="00BC131A">
      <w:pPr>
        <w:pStyle w:val="Prrafodelista"/>
        <w:spacing w:after="0" w:line="240" w:lineRule="auto"/>
        <w:ind w:right="709"/>
        <w:jc w:val="both"/>
        <w:rPr>
          <w:rFonts w:ascii="Verdana" w:eastAsia="Calibri" w:hAnsi="Verdana" w:cs="Times New Roman"/>
          <w:iCs/>
          <w:sz w:val="20"/>
          <w:szCs w:val="20"/>
        </w:rPr>
      </w:pPr>
      <w:r>
        <w:rPr>
          <w:rFonts w:ascii="Verdana" w:eastAsia="Calibri" w:hAnsi="Verdana" w:cs="Times New Roman"/>
          <w:iCs/>
          <w:sz w:val="20"/>
          <w:szCs w:val="20"/>
        </w:rPr>
        <w:t>[…]</w:t>
      </w:r>
    </w:p>
    <w:p w14:paraId="7A21B5C6" w14:textId="77777777" w:rsidR="00BC131A" w:rsidRDefault="00BC131A" w:rsidP="00BC131A">
      <w:pPr>
        <w:pStyle w:val="Prrafodelista"/>
        <w:spacing w:after="0" w:line="240" w:lineRule="auto"/>
        <w:ind w:right="709"/>
        <w:jc w:val="both"/>
        <w:rPr>
          <w:rFonts w:ascii="Verdana" w:eastAsia="Calibri" w:hAnsi="Verdana" w:cs="Times New Roman"/>
          <w:iCs/>
          <w:sz w:val="20"/>
          <w:szCs w:val="20"/>
        </w:rPr>
      </w:pPr>
    </w:p>
    <w:p w14:paraId="7A47676F" w14:textId="77777777" w:rsidR="00BC131A" w:rsidRDefault="00BC131A" w:rsidP="00BC131A">
      <w:pPr>
        <w:pStyle w:val="Prrafodelista"/>
        <w:spacing w:after="0" w:line="240" w:lineRule="auto"/>
        <w:ind w:right="709"/>
        <w:jc w:val="both"/>
        <w:rPr>
          <w:rFonts w:ascii="Verdana" w:eastAsia="Calibri" w:hAnsi="Verdana" w:cs="Times New Roman"/>
          <w:iCs/>
          <w:sz w:val="20"/>
          <w:szCs w:val="20"/>
        </w:rPr>
      </w:pPr>
      <w:r w:rsidRPr="00CB4A97">
        <w:rPr>
          <w:rFonts w:ascii="Verdana" w:eastAsia="Calibri" w:hAnsi="Verdana" w:cs="Times New Roman"/>
          <w:iCs/>
          <w:sz w:val="20"/>
          <w:szCs w:val="20"/>
        </w:rPr>
        <w:t xml:space="preserve">8. ¿El inicio de procesos contractuales mediante SECOP, estudios previos o </w:t>
      </w:r>
      <w:r w:rsidRPr="231A89F4">
        <w:rPr>
          <w:rFonts w:ascii="Verdana" w:eastAsia="Calibri" w:hAnsi="Verdana" w:cs="Times New Roman"/>
          <w:sz w:val="20"/>
          <w:szCs w:val="20"/>
        </w:rPr>
        <w:t>convocatorias públicas</w:t>
      </w:r>
      <w:r w:rsidRPr="00CB4A97">
        <w:rPr>
          <w:rFonts w:ascii="Verdana" w:eastAsia="Calibri" w:hAnsi="Verdana" w:cs="Times New Roman"/>
          <w:iCs/>
          <w:sz w:val="20"/>
          <w:szCs w:val="20"/>
        </w:rPr>
        <w:t xml:space="preserve"> también se encuentra limitado durante el período de restricciones de la Ley de Garantías, aun cuando el contrato se firme con posterioridad al levantamiento de dichas restricciones? </w:t>
      </w:r>
    </w:p>
    <w:p w14:paraId="20580CEE" w14:textId="77777777" w:rsidR="00BC131A" w:rsidRDefault="00BC131A" w:rsidP="00BC131A">
      <w:pPr>
        <w:pStyle w:val="Prrafodelista"/>
        <w:spacing w:after="0" w:line="240" w:lineRule="auto"/>
        <w:ind w:right="709"/>
        <w:jc w:val="both"/>
        <w:rPr>
          <w:rFonts w:ascii="Verdana" w:eastAsia="Calibri" w:hAnsi="Verdana" w:cs="Times New Roman"/>
          <w:iCs/>
          <w:sz w:val="20"/>
          <w:szCs w:val="20"/>
        </w:rPr>
      </w:pPr>
    </w:p>
    <w:p w14:paraId="6CF4C6D2" w14:textId="77777777" w:rsidR="00BC131A" w:rsidRPr="00DC212C" w:rsidRDefault="00BC131A" w:rsidP="00BC131A">
      <w:pPr>
        <w:pStyle w:val="Prrafodelista"/>
        <w:spacing w:after="0" w:line="240" w:lineRule="auto"/>
        <w:ind w:right="709"/>
        <w:jc w:val="both"/>
        <w:rPr>
          <w:rFonts w:ascii="Verdana" w:eastAsia="Calibri" w:hAnsi="Verdana" w:cs="Times New Roman"/>
          <w:bCs/>
          <w:iCs/>
          <w:sz w:val="20"/>
          <w:szCs w:val="20"/>
        </w:rPr>
      </w:pPr>
      <w:r w:rsidRPr="00CB4A97">
        <w:rPr>
          <w:rFonts w:ascii="Verdana" w:eastAsia="Calibri" w:hAnsi="Verdana" w:cs="Times New Roman"/>
          <w:iCs/>
          <w:sz w:val="20"/>
          <w:szCs w:val="20"/>
        </w:rPr>
        <w:t>9. ¿Los convenios celebrados entre el municipio y entidades del orden nacional o internacional durante la vigencia de la Ley de Garantías requieren autorización especial o visto bueno del Gobierno Nacional?</w:t>
      </w:r>
      <w:r w:rsidRPr="00DC212C">
        <w:rPr>
          <w:rFonts w:ascii="Verdana" w:eastAsia="Calibri" w:hAnsi="Verdana" w:cs="Times New Roman"/>
          <w:iCs/>
          <w:sz w:val="20"/>
          <w:szCs w:val="20"/>
        </w:rPr>
        <w:t>”</w:t>
      </w:r>
    </w:p>
    <w:p w14:paraId="057C679F" w14:textId="77777777" w:rsidR="00BC131A" w:rsidRPr="00DC212C" w:rsidRDefault="00BC131A" w:rsidP="00BC131A">
      <w:pPr>
        <w:spacing w:after="0" w:line="240" w:lineRule="auto"/>
        <w:ind w:right="709"/>
        <w:jc w:val="both"/>
        <w:rPr>
          <w:rFonts w:ascii="Verdana" w:eastAsia="Calibri" w:hAnsi="Verdana" w:cs="Times New Roman"/>
          <w:i/>
          <w:iCs/>
          <w:sz w:val="20"/>
        </w:rPr>
      </w:pPr>
    </w:p>
    <w:p w14:paraId="109FDFA9" w14:textId="77777777" w:rsidR="00BC131A" w:rsidRPr="00DC212C" w:rsidRDefault="00BC131A" w:rsidP="00BC131A">
      <w:pPr>
        <w:spacing w:after="120" w:line="276" w:lineRule="auto"/>
        <w:ind w:firstLine="709"/>
        <w:jc w:val="both"/>
        <w:rPr>
          <w:rFonts w:ascii="Verdana" w:eastAsia="Calibri" w:hAnsi="Verdana" w:cs="Times New Roman"/>
        </w:rPr>
      </w:pPr>
      <w:r w:rsidRPr="00DC212C">
        <w:rPr>
          <w:rFonts w:ascii="Verdana" w:eastAsia="Calibri" w:hAnsi="Verdana" w:cs="Times New Roman"/>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6053FFE7" w14:textId="77777777" w:rsidR="00BC131A" w:rsidRPr="00DC212C" w:rsidRDefault="00BC131A" w:rsidP="00BC131A">
      <w:pPr>
        <w:spacing w:after="0" w:line="276" w:lineRule="auto"/>
        <w:ind w:firstLine="708"/>
        <w:jc w:val="both"/>
        <w:rPr>
          <w:rFonts w:ascii="Verdana" w:eastAsia="Calibri" w:hAnsi="Verdana" w:cs="Times New Roman"/>
        </w:rPr>
      </w:pPr>
      <w:r w:rsidRPr="00DC212C">
        <w:rPr>
          <w:rFonts w:ascii="Verdana" w:eastAsia="Calibri" w:hAnsi="Verdana" w:cs="Times New Roman"/>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118D32E3" w14:textId="77777777" w:rsidR="00BC131A" w:rsidRPr="00DC212C" w:rsidRDefault="00BC131A" w:rsidP="00BC131A">
      <w:pPr>
        <w:spacing w:after="0" w:line="256" w:lineRule="auto"/>
        <w:rPr>
          <w:rFonts w:ascii="Verdana" w:eastAsia="Calibri" w:hAnsi="Verdana" w:cs="Times New Roman"/>
        </w:rPr>
      </w:pPr>
    </w:p>
    <w:p w14:paraId="70E5EC81" w14:textId="77777777" w:rsidR="00BC131A" w:rsidRPr="00DC212C" w:rsidRDefault="00BC131A" w:rsidP="00BC131A">
      <w:pPr>
        <w:numPr>
          <w:ilvl w:val="0"/>
          <w:numId w:val="2"/>
        </w:numPr>
        <w:spacing w:after="0" w:line="256" w:lineRule="auto"/>
        <w:contextualSpacing/>
        <w:rPr>
          <w:rFonts w:ascii="Verdana" w:eastAsia="Calibri" w:hAnsi="Verdana" w:cs="Times New Roman"/>
          <w:b/>
          <w:bCs/>
        </w:rPr>
      </w:pPr>
      <w:r w:rsidRPr="00DC212C">
        <w:rPr>
          <w:rFonts w:ascii="Verdana" w:eastAsia="Calibri" w:hAnsi="Verdana" w:cs="Times New Roman"/>
          <w:b/>
          <w:bCs/>
        </w:rPr>
        <w:t>Problema planteado:</w:t>
      </w:r>
    </w:p>
    <w:p w14:paraId="3FAEF9FD" w14:textId="77777777" w:rsidR="00BC131A" w:rsidRPr="00DC212C" w:rsidRDefault="00BC131A" w:rsidP="00BC131A">
      <w:pPr>
        <w:spacing w:after="0" w:line="256" w:lineRule="auto"/>
        <w:rPr>
          <w:rFonts w:ascii="Verdana" w:eastAsia="Calibri" w:hAnsi="Verdana" w:cs="Times New Roman"/>
        </w:rPr>
      </w:pPr>
    </w:p>
    <w:p w14:paraId="36B932C1" w14:textId="77777777" w:rsidR="00BC131A" w:rsidRDefault="00BC131A" w:rsidP="00BC131A">
      <w:pPr>
        <w:spacing w:after="0" w:line="276" w:lineRule="auto"/>
        <w:jc w:val="both"/>
        <w:rPr>
          <w:rFonts w:ascii="Verdana" w:eastAsia="Calibri" w:hAnsi="Verdana" w:cs="Times New Roman"/>
        </w:rPr>
      </w:pPr>
      <w:r w:rsidRPr="00DC212C">
        <w:rPr>
          <w:rFonts w:ascii="Verdana" w:eastAsia="Calibri" w:hAnsi="Verdana" w:cs="Times New Roman"/>
        </w:rPr>
        <w:t>De acuerdo con el contenido de sus solicitudes</w:t>
      </w:r>
      <w:r>
        <w:rPr>
          <w:rFonts w:ascii="Verdana" w:eastAsia="Calibri" w:hAnsi="Verdana" w:cs="Times New Roman"/>
        </w:rPr>
        <w:t xml:space="preserve"> y c</w:t>
      </w:r>
      <w:r w:rsidRPr="00386FA7">
        <w:rPr>
          <w:rFonts w:ascii="Verdana" w:eastAsia="Calibri" w:hAnsi="Verdana" w:cs="Times New Roman"/>
        </w:rPr>
        <w:t>on base en el marco jurídico aplicable, en particular las disposiciones contenidas en los artículos 33 y 38 de la Ley 996 de 2005</w:t>
      </w:r>
      <w:r>
        <w:rPr>
          <w:rFonts w:ascii="Verdana" w:eastAsia="Calibri" w:hAnsi="Verdana" w:cs="Times New Roman"/>
        </w:rPr>
        <w:t xml:space="preserve">, </w:t>
      </w:r>
      <w:r w:rsidRPr="00DC212C">
        <w:rPr>
          <w:rFonts w:ascii="Verdana" w:eastAsia="Calibri" w:hAnsi="Verdana" w:cs="Times New Roman"/>
        </w:rPr>
        <w:t xml:space="preserve">esta Agencia procede a resolver </w:t>
      </w:r>
      <w:r>
        <w:rPr>
          <w:rFonts w:ascii="Verdana" w:eastAsia="Calibri" w:hAnsi="Verdana" w:cs="Times New Roman"/>
        </w:rPr>
        <w:t>los</w:t>
      </w:r>
      <w:r w:rsidRPr="00DC212C">
        <w:rPr>
          <w:rFonts w:ascii="Verdana" w:eastAsia="Calibri" w:hAnsi="Verdana" w:cs="Times New Roman"/>
        </w:rPr>
        <w:t xml:space="preserve"> siguiente</w:t>
      </w:r>
      <w:r>
        <w:rPr>
          <w:rFonts w:ascii="Verdana" w:eastAsia="Calibri" w:hAnsi="Verdana" w:cs="Times New Roman"/>
        </w:rPr>
        <w:t>s</w:t>
      </w:r>
      <w:r w:rsidRPr="00DC212C">
        <w:rPr>
          <w:rFonts w:ascii="Verdana" w:eastAsia="Calibri" w:hAnsi="Verdana" w:cs="Times New Roman"/>
        </w:rPr>
        <w:t xml:space="preserve"> problema</w:t>
      </w:r>
      <w:r>
        <w:rPr>
          <w:rFonts w:ascii="Verdana" w:eastAsia="Calibri" w:hAnsi="Verdana" w:cs="Times New Roman"/>
        </w:rPr>
        <w:t xml:space="preserve">s </w:t>
      </w:r>
      <w:r w:rsidRPr="00DC212C">
        <w:rPr>
          <w:rFonts w:ascii="Verdana" w:eastAsia="Calibri" w:hAnsi="Verdana" w:cs="Times New Roman"/>
        </w:rPr>
        <w:t>jurídico</w:t>
      </w:r>
      <w:r>
        <w:rPr>
          <w:rFonts w:ascii="Verdana" w:eastAsia="Calibri" w:hAnsi="Verdana" w:cs="Times New Roman"/>
        </w:rPr>
        <w:t>s:</w:t>
      </w:r>
    </w:p>
    <w:p w14:paraId="79DCF9C4" w14:textId="77777777" w:rsidR="00BC131A" w:rsidRDefault="00BC131A" w:rsidP="00BC131A">
      <w:pPr>
        <w:spacing w:after="0" w:line="276" w:lineRule="auto"/>
        <w:jc w:val="both"/>
        <w:rPr>
          <w:rFonts w:ascii="Verdana" w:eastAsia="Calibri" w:hAnsi="Verdana" w:cs="Times New Roman"/>
        </w:rPr>
      </w:pPr>
    </w:p>
    <w:p w14:paraId="2D66C45F" w14:textId="77777777" w:rsidR="00BC131A" w:rsidRDefault="00BC131A" w:rsidP="00BC131A">
      <w:pPr>
        <w:spacing w:after="0" w:line="276" w:lineRule="auto"/>
        <w:jc w:val="both"/>
        <w:rPr>
          <w:rFonts w:ascii="Verdana" w:eastAsia="Calibri" w:hAnsi="Verdana" w:cs="Times New Roman"/>
          <w:iCs/>
        </w:rPr>
      </w:pPr>
      <w:r>
        <w:rPr>
          <w:rFonts w:ascii="Verdana" w:eastAsia="Calibri" w:hAnsi="Verdana" w:cs="Times New Roman"/>
        </w:rPr>
        <w:t>i</w:t>
      </w:r>
      <w:r w:rsidRPr="00C80C1B">
        <w:rPr>
          <w:rFonts w:ascii="Verdana" w:eastAsia="Calibri" w:hAnsi="Verdana" w:cs="Times New Roman"/>
        </w:rPr>
        <w:t xml:space="preserve">.  </w:t>
      </w:r>
      <w:r w:rsidRPr="00B64E23">
        <w:rPr>
          <w:rFonts w:ascii="Verdana" w:eastAsia="Calibri" w:hAnsi="Verdana" w:cs="Times New Roman"/>
          <w:iCs/>
        </w:rPr>
        <w:t xml:space="preserve">¿De qué manera resultan aplicables las </w:t>
      </w:r>
      <w:r>
        <w:rPr>
          <w:rFonts w:ascii="Verdana" w:eastAsia="Calibri" w:hAnsi="Verdana" w:cs="Times New Roman"/>
          <w:iCs/>
        </w:rPr>
        <w:t>restricciones</w:t>
      </w:r>
      <w:r w:rsidRPr="00B64E23">
        <w:rPr>
          <w:rFonts w:ascii="Verdana" w:eastAsia="Calibri" w:hAnsi="Verdana" w:cs="Times New Roman"/>
          <w:iCs/>
        </w:rPr>
        <w:t xml:space="preserve"> contenidas en el artículo 33 y en el parágrafo del artículo 38 de la Ley 996 de 2005 —</w:t>
      </w:r>
      <w:proofErr w:type="gramStart"/>
      <w:r w:rsidRPr="00B64E23">
        <w:rPr>
          <w:rFonts w:ascii="Verdana" w:eastAsia="Calibri" w:hAnsi="Verdana" w:cs="Times New Roman"/>
          <w:iCs/>
        </w:rPr>
        <w:t xml:space="preserve">Ley de Garantías Electorales— frente a la celebración de contratos de prestación de servicios, convenios interadministrativos y </w:t>
      </w:r>
      <w:r w:rsidRPr="008A122C">
        <w:rPr>
          <w:rFonts w:ascii="Verdana" w:eastAsia="Calibri" w:hAnsi="Verdana" w:cs="Times New Roman"/>
        </w:rPr>
        <w:t>contratos de obra pública</w:t>
      </w:r>
      <w:r w:rsidRPr="00B64E23">
        <w:rPr>
          <w:rFonts w:ascii="Verdana" w:eastAsia="Calibri" w:hAnsi="Verdana" w:cs="Times New Roman"/>
          <w:iCs/>
        </w:rPr>
        <w:t xml:space="preserve"> por parte de las entidades territoriales, en particular alcaldías y gobernaciones?</w:t>
      </w:r>
      <w:proofErr w:type="gramEnd"/>
    </w:p>
    <w:p w14:paraId="5A884734" w14:textId="77777777" w:rsidR="00BC131A" w:rsidRDefault="00BC131A" w:rsidP="00BC131A">
      <w:pPr>
        <w:spacing w:after="0" w:line="276" w:lineRule="auto"/>
        <w:jc w:val="both"/>
        <w:rPr>
          <w:rFonts w:ascii="Verdana" w:eastAsia="Calibri" w:hAnsi="Verdana" w:cs="Times New Roman"/>
          <w:iCs/>
        </w:rPr>
      </w:pPr>
    </w:p>
    <w:p w14:paraId="392075CD" w14:textId="77777777" w:rsidR="00BC131A" w:rsidRDefault="00BC131A" w:rsidP="00BC131A">
      <w:pPr>
        <w:spacing w:after="0" w:line="276" w:lineRule="auto"/>
        <w:jc w:val="both"/>
        <w:rPr>
          <w:rFonts w:ascii="Verdana" w:eastAsia="Calibri" w:hAnsi="Verdana" w:cs="Times New Roman"/>
        </w:rPr>
      </w:pPr>
      <w:proofErr w:type="spellStart"/>
      <w:r>
        <w:rPr>
          <w:rFonts w:ascii="Verdana" w:eastAsia="Calibri" w:hAnsi="Verdana" w:cs="Times New Roman"/>
        </w:rPr>
        <w:t>ii</w:t>
      </w:r>
      <w:proofErr w:type="spellEnd"/>
      <w:r>
        <w:rPr>
          <w:rFonts w:ascii="Verdana" w:eastAsia="Calibri" w:hAnsi="Verdana" w:cs="Times New Roman"/>
        </w:rPr>
        <w:t xml:space="preserve">. </w:t>
      </w:r>
      <w:r w:rsidRPr="00587DDB">
        <w:rPr>
          <w:rFonts w:ascii="Verdana" w:eastAsia="Calibri" w:hAnsi="Verdana" w:cs="Times New Roman"/>
        </w:rPr>
        <w:t>¿</w:t>
      </w:r>
      <w:r>
        <w:rPr>
          <w:rFonts w:ascii="Verdana" w:eastAsia="Calibri" w:hAnsi="Verdana" w:cs="Times New Roman"/>
        </w:rPr>
        <w:t xml:space="preserve">Es posible </w:t>
      </w:r>
      <w:proofErr w:type="gramStart"/>
      <w:r>
        <w:rPr>
          <w:rFonts w:ascii="Verdana" w:eastAsia="Calibri" w:hAnsi="Verdana" w:cs="Times New Roman"/>
        </w:rPr>
        <w:t>dar inicio a</w:t>
      </w:r>
      <w:proofErr w:type="gramEnd"/>
      <w:r>
        <w:rPr>
          <w:rFonts w:ascii="Verdana" w:eastAsia="Calibri" w:hAnsi="Verdana" w:cs="Times New Roman"/>
        </w:rPr>
        <w:t xml:space="preserve"> los trámites precontractuales de procesos de contratación directa y/o de convocatoria pública en vigencia de las restricciones de Ley de Garantías</w:t>
      </w:r>
      <w:r w:rsidRPr="00587DDB">
        <w:rPr>
          <w:rFonts w:ascii="Verdana" w:eastAsia="Calibri" w:hAnsi="Verdana" w:cs="Times New Roman"/>
        </w:rPr>
        <w:t>?</w:t>
      </w:r>
    </w:p>
    <w:p w14:paraId="2D540022" w14:textId="77777777" w:rsidR="00BC131A" w:rsidRDefault="00BC131A" w:rsidP="00BC131A">
      <w:pPr>
        <w:spacing w:after="0" w:line="276" w:lineRule="auto"/>
        <w:jc w:val="both"/>
        <w:rPr>
          <w:rFonts w:ascii="Verdana" w:eastAsia="Calibri" w:hAnsi="Verdana" w:cs="Times New Roman"/>
        </w:rPr>
      </w:pPr>
    </w:p>
    <w:p w14:paraId="0A95D6D8" w14:textId="77777777" w:rsidR="00BC131A" w:rsidRDefault="00BC131A" w:rsidP="00BC131A">
      <w:pPr>
        <w:spacing w:after="0" w:line="276" w:lineRule="auto"/>
        <w:jc w:val="both"/>
        <w:rPr>
          <w:rFonts w:ascii="Verdana" w:eastAsia="Calibri" w:hAnsi="Verdana" w:cs="Times New Roman"/>
        </w:rPr>
      </w:pPr>
      <w:proofErr w:type="spellStart"/>
      <w:r>
        <w:rPr>
          <w:rFonts w:ascii="Verdana" w:eastAsia="Calibri" w:hAnsi="Verdana" w:cs="Times New Roman"/>
        </w:rPr>
        <w:t>iii</w:t>
      </w:r>
      <w:proofErr w:type="spellEnd"/>
      <w:r>
        <w:rPr>
          <w:rFonts w:ascii="Verdana" w:eastAsia="Calibri" w:hAnsi="Verdana" w:cs="Times New Roman"/>
        </w:rPr>
        <w:t xml:space="preserve">. ¿Cómo opera la </w:t>
      </w:r>
      <w:r w:rsidRPr="009A7BDE">
        <w:rPr>
          <w:rFonts w:ascii="Verdana" w:eastAsia="Calibri" w:hAnsi="Verdana" w:cs="Times New Roman"/>
        </w:rPr>
        <w:t xml:space="preserve">aplicación de la Ley de Garantías Electorales a la contratación directa </w:t>
      </w:r>
      <w:r>
        <w:rPr>
          <w:rFonts w:ascii="Verdana" w:eastAsia="Calibri" w:hAnsi="Verdana" w:cs="Times New Roman"/>
        </w:rPr>
        <w:t xml:space="preserve">con </w:t>
      </w:r>
      <w:r w:rsidRPr="009A7BDE">
        <w:rPr>
          <w:rFonts w:ascii="Verdana" w:eastAsia="Calibri" w:hAnsi="Verdana" w:cs="Times New Roman"/>
        </w:rPr>
        <w:t xml:space="preserve">organismos </w:t>
      </w:r>
      <w:r>
        <w:rPr>
          <w:rFonts w:ascii="Verdana" w:eastAsia="Calibri" w:hAnsi="Verdana" w:cs="Times New Roman"/>
        </w:rPr>
        <w:t>internacionales?</w:t>
      </w:r>
    </w:p>
    <w:p w14:paraId="315FE2AE" w14:textId="77777777" w:rsidR="00BC131A" w:rsidRPr="00DC212C" w:rsidRDefault="00BC131A" w:rsidP="00BC131A">
      <w:pPr>
        <w:spacing w:after="0" w:line="276" w:lineRule="auto"/>
        <w:jc w:val="both"/>
        <w:rPr>
          <w:rFonts w:ascii="Verdana" w:eastAsia="Calibri" w:hAnsi="Verdana" w:cs="Times New Roman"/>
          <w:i/>
          <w:iCs/>
        </w:rPr>
      </w:pPr>
    </w:p>
    <w:p w14:paraId="4687E841" w14:textId="77777777" w:rsidR="00BC131A" w:rsidRPr="00DC212C" w:rsidRDefault="00BC131A" w:rsidP="00BC131A">
      <w:pPr>
        <w:numPr>
          <w:ilvl w:val="0"/>
          <w:numId w:val="2"/>
        </w:numPr>
        <w:spacing w:after="0" w:line="256" w:lineRule="auto"/>
        <w:contextualSpacing/>
        <w:rPr>
          <w:rFonts w:ascii="Verdana" w:eastAsia="Calibri" w:hAnsi="Verdana" w:cs="Times New Roman"/>
          <w:b/>
          <w:bCs/>
        </w:rPr>
      </w:pPr>
      <w:r w:rsidRPr="00DC212C">
        <w:rPr>
          <w:rFonts w:ascii="Verdana" w:eastAsia="Calibri" w:hAnsi="Verdana" w:cs="Times New Roman"/>
          <w:b/>
          <w:bCs/>
        </w:rPr>
        <w:t>Respuesta:</w:t>
      </w:r>
    </w:p>
    <w:p w14:paraId="66E5E48C" w14:textId="77777777" w:rsidR="00BC131A" w:rsidRPr="00DC212C" w:rsidRDefault="00BC131A" w:rsidP="00BC131A">
      <w:pPr>
        <w:spacing w:after="0" w:line="276" w:lineRule="auto"/>
        <w:rPr>
          <w:rFonts w:ascii="Verdana" w:eastAsia="Calibri" w:hAnsi="Verdana" w:cs="Times New Roman"/>
          <w:b/>
          <w:bC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BC131A" w:rsidRPr="00DC212C" w14:paraId="3B940326" w14:textId="77777777" w:rsidTr="00A937DF">
        <w:trPr>
          <w:trHeight w:val="345"/>
          <w:jc w:val="center"/>
        </w:trPr>
        <w:tc>
          <w:tcPr>
            <w:tcW w:w="8784" w:type="dxa"/>
            <w:tcBorders>
              <w:bottom w:val="single" w:sz="4" w:space="0" w:color="auto"/>
            </w:tcBorders>
          </w:tcPr>
          <w:p w14:paraId="1C7DAE05" w14:textId="77777777" w:rsidR="00BC131A" w:rsidRDefault="00BC131A" w:rsidP="00A937DF">
            <w:pPr>
              <w:spacing w:after="120" w:line="276" w:lineRule="auto"/>
              <w:jc w:val="both"/>
              <w:rPr>
                <w:rFonts w:ascii="Verdana" w:eastAsia="Calibri" w:hAnsi="Verdana"/>
              </w:rPr>
            </w:pPr>
            <w:r>
              <w:rPr>
                <w:rFonts w:ascii="Verdana" w:eastAsia="Calibri" w:hAnsi="Verdana" w:cs="Times New Roman"/>
              </w:rPr>
              <w:t xml:space="preserve">i). </w:t>
            </w:r>
            <w:r>
              <w:rPr>
                <w:rFonts w:ascii="Verdana" w:eastAsia="Calibri" w:hAnsi="Verdana"/>
              </w:rPr>
              <w:t>De la</w:t>
            </w:r>
            <w:r w:rsidRPr="005B1384">
              <w:rPr>
                <w:rFonts w:ascii="Verdana" w:eastAsia="Calibri" w:hAnsi="Verdana"/>
              </w:rPr>
              <w:t xml:space="preserve"> Ley 996 de 2005 se derivan dos prohibiciones diferentes aplicables a periodos preelectorales distintos. De esta manera, una es la prohibición que se deriva de lo establecido en el artículo 33, respecto a las elecciones presidenciales y otra la originada en el parágrafo del artículo 38 que aplica frente elecciones para cualquier cargo de elección popular, lo que también incluye las presidenciales.</w:t>
            </w:r>
          </w:p>
          <w:p w14:paraId="1C89C385" w14:textId="77777777" w:rsidR="00BC131A" w:rsidRDefault="00BC131A" w:rsidP="00A937DF">
            <w:pPr>
              <w:spacing w:after="120" w:line="276" w:lineRule="auto"/>
              <w:ind w:firstLine="709"/>
              <w:jc w:val="both"/>
              <w:rPr>
                <w:rFonts w:ascii="Verdana" w:eastAsia="Calibri" w:hAnsi="Verdana"/>
              </w:rPr>
            </w:pPr>
            <w:r>
              <w:rPr>
                <w:rFonts w:ascii="Verdana" w:eastAsia="Calibri" w:hAnsi="Verdana"/>
              </w:rPr>
              <w:t>E</w:t>
            </w:r>
            <w:r w:rsidRPr="00C62E22">
              <w:rPr>
                <w:rFonts w:ascii="Verdana" w:eastAsia="Calibri" w:hAnsi="Verdana"/>
              </w:rPr>
              <w:t xml:space="preserve">l artículo 33 de la Ley 996 de 2005 establece una prohibición de alcance general que recae sobre todos los entes del Estado, sin importar su régimen jurídico, forma de organización, naturaleza, pertenencia a una u otra rama del poder público o su autonomía. En virtud de esta disposición, queda vedada cualquier forma de contratación directa durante los cuatro (4) meses anteriores a la elección presidencial y hasta la segunda vuelta, si llegare a celebrarse. </w:t>
            </w:r>
          </w:p>
          <w:p w14:paraId="6C1E86A7" w14:textId="77777777" w:rsidR="00BC131A" w:rsidRDefault="00BC131A" w:rsidP="00A937DF">
            <w:pPr>
              <w:spacing w:after="120" w:line="276" w:lineRule="auto"/>
              <w:ind w:firstLine="709"/>
              <w:jc w:val="both"/>
              <w:rPr>
                <w:rFonts w:ascii="Verdana" w:eastAsia="Calibri" w:hAnsi="Verdana"/>
              </w:rPr>
            </w:pPr>
            <w:r w:rsidRPr="00C62E22">
              <w:rPr>
                <w:rFonts w:ascii="Verdana" w:eastAsia="Calibri" w:hAnsi="Verdana"/>
              </w:rPr>
              <w:lastRenderedPageBreak/>
              <w:t xml:space="preserve">Esta restricción comprende, entre otras, la causal prevista en el artículo 2, numeral 4, literal h) de la Ley 1150 de 2007, relativa a la </w:t>
            </w:r>
            <w:r w:rsidRPr="00C92A2A">
              <w:rPr>
                <w:rFonts w:ascii="Verdana" w:eastAsia="Calibri" w:hAnsi="Verdana"/>
                <w:i/>
                <w:iCs/>
              </w:rPr>
              <w:t>contratación directa para servicios profesionales y de apoyo a la gestión</w:t>
            </w:r>
            <w:r w:rsidRPr="00C62E22">
              <w:rPr>
                <w:rFonts w:ascii="Verdana" w:eastAsia="Calibri" w:hAnsi="Verdana"/>
              </w:rPr>
              <w:t>. Ahora bien, conforme al calendario electoral fijado por el Consejo Nacional Electoral mediante Resolución No. 2580 del 5 de marzo de 2025, las elecciones presidenciales en primera vuelta tendrán lugar el 31 de mayo de 2026; en consecuencia, la prohibición de contratar directamente regirá a partir del 31 de enero de 2026 y se extenderá hasta la celebración de la segunda vuelta, si fuere necesaria</w:t>
            </w:r>
            <w:r>
              <w:rPr>
                <w:rFonts w:ascii="Verdana" w:eastAsia="Calibri" w:hAnsi="Verdana"/>
              </w:rPr>
              <w:t>.</w:t>
            </w:r>
          </w:p>
          <w:p w14:paraId="6A209D7E" w14:textId="77777777" w:rsidR="00BC131A" w:rsidRDefault="00BC131A" w:rsidP="00A937DF">
            <w:pPr>
              <w:spacing w:after="120" w:line="276" w:lineRule="auto"/>
              <w:ind w:firstLine="709"/>
              <w:jc w:val="both"/>
              <w:rPr>
                <w:rFonts w:ascii="Verdana" w:eastAsia="Calibri" w:hAnsi="Verdana"/>
              </w:rPr>
            </w:pPr>
            <w:r>
              <w:rPr>
                <w:rFonts w:ascii="Verdana" w:eastAsia="Calibri" w:hAnsi="Verdana"/>
              </w:rPr>
              <w:t>De otro lado, el</w:t>
            </w:r>
            <w:r w:rsidRPr="00265007">
              <w:rPr>
                <w:rFonts w:ascii="Verdana" w:eastAsia="Calibri" w:hAnsi="Verdana"/>
              </w:rPr>
              <w:t xml:space="preserve"> parágrafo del artículo 38 de la Ley 996 de 2005 prohíbe a los gobernadores, alcaldes, secretarios, gerentes y directores de entidades del orden municipal, departamental o distrital </w:t>
            </w:r>
            <w:r w:rsidRPr="00C92A2A">
              <w:rPr>
                <w:rFonts w:ascii="Verdana" w:eastAsia="Calibri" w:hAnsi="Verdana"/>
                <w:i/>
                <w:iCs/>
              </w:rPr>
              <w:t>celebrar convenios interadministrativos</w:t>
            </w:r>
            <w:r w:rsidRPr="00265007">
              <w:rPr>
                <w:rFonts w:ascii="Verdana" w:eastAsia="Calibri" w:hAnsi="Verdana"/>
              </w:rPr>
              <w:t xml:space="preserve"> para la ejecución de recursos públicos dentro de los cuatro (4) meses anteriores a los comicios a cargos de elección popular, incluidas las elecciones al Congreso de la República y las presidenciales. En ese sentido, conforme al calendario electoral fijado por el Consejo Nacional Electoral mediante Resolución No. 2581 del 5 de marzo de 2025, las elecciones al Congreso se llevarán a cabo el 8 de marzo de 2026, por lo que la restricción empezará a regir desde el 8 de noviembre de 2025. </w:t>
            </w:r>
          </w:p>
          <w:p w14:paraId="0046C91D" w14:textId="77777777" w:rsidR="00BC131A" w:rsidRPr="00E30CEB" w:rsidRDefault="00BC131A" w:rsidP="00A937DF">
            <w:pPr>
              <w:spacing w:after="120" w:line="276" w:lineRule="auto"/>
              <w:ind w:firstLine="709"/>
              <w:jc w:val="both"/>
              <w:rPr>
                <w:rFonts w:ascii="Verdana" w:eastAsia="Calibri" w:hAnsi="Verdana"/>
              </w:rPr>
            </w:pPr>
            <w:r w:rsidRPr="00265007">
              <w:rPr>
                <w:rFonts w:ascii="Verdana" w:eastAsia="Calibri" w:hAnsi="Verdana"/>
              </w:rPr>
              <w:t>Durante dicho periodo, además de la prohibición de celebrar convenios</w:t>
            </w:r>
            <w:r>
              <w:rPr>
                <w:rFonts w:ascii="Verdana" w:eastAsia="Calibri" w:hAnsi="Verdana"/>
              </w:rPr>
              <w:t xml:space="preserve"> y/o contratos</w:t>
            </w:r>
            <w:r w:rsidRPr="00265007">
              <w:rPr>
                <w:rFonts w:ascii="Verdana" w:eastAsia="Calibri" w:hAnsi="Verdana"/>
              </w:rPr>
              <w:t xml:space="preserve"> interadministrativos, las autoridades territoriales y los directivos de entidades descentralizadas no podrán participar, promover ni destinar recursos públicos a reuniones de carácter proselitista, ni hacerlo a través de las entidades en cuyas juntas directivas tengan asiento.</w:t>
            </w:r>
          </w:p>
          <w:p w14:paraId="369E04F3" w14:textId="77777777" w:rsidR="00BC131A" w:rsidRDefault="00BC131A" w:rsidP="00A937DF">
            <w:pPr>
              <w:spacing w:after="120" w:line="276" w:lineRule="auto"/>
              <w:ind w:firstLine="709"/>
              <w:jc w:val="both"/>
              <w:rPr>
                <w:rFonts w:ascii="Verdana" w:eastAsia="Calibri" w:hAnsi="Verdana" w:cs="Times New Roman"/>
              </w:rPr>
            </w:pPr>
            <w:r w:rsidRPr="00E30CEB">
              <w:rPr>
                <w:rFonts w:ascii="Verdana" w:eastAsia="Calibri" w:hAnsi="Verdana" w:cs="Times New Roman"/>
              </w:rPr>
              <w:t xml:space="preserve">En cuanto a los </w:t>
            </w:r>
            <w:r w:rsidRPr="00C92A2A">
              <w:rPr>
                <w:rFonts w:ascii="Verdana" w:eastAsia="Calibri" w:hAnsi="Verdana" w:cs="Times New Roman"/>
                <w:i/>
                <w:iCs/>
              </w:rPr>
              <w:t>contratos de obra pública</w:t>
            </w:r>
            <w:r w:rsidRPr="00E30CEB">
              <w:rPr>
                <w:rFonts w:ascii="Verdana" w:eastAsia="Calibri" w:hAnsi="Verdana" w:cs="Times New Roman"/>
              </w:rPr>
              <w:t xml:space="preserve">, </w:t>
            </w:r>
            <w:r>
              <w:rPr>
                <w:rFonts w:ascii="Verdana" w:eastAsia="Calibri" w:hAnsi="Verdana" w:cs="Times New Roman"/>
              </w:rPr>
              <w:t xml:space="preserve">en virtud de que, por regla general, este tipo de contratos deben adelantarse </w:t>
            </w:r>
            <w:r w:rsidRPr="00E30CEB">
              <w:rPr>
                <w:rFonts w:ascii="Verdana" w:eastAsia="Calibri" w:hAnsi="Verdana" w:cs="Times New Roman"/>
              </w:rPr>
              <w:t xml:space="preserve">mediante procesos de selección competitivos que </w:t>
            </w:r>
            <w:r w:rsidRPr="0B274A7C">
              <w:rPr>
                <w:rFonts w:ascii="Verdana" w:eastAsia="Calibri" w:hAnsi="Verdana" w:cs="Times New Roman"/>
              </w:rPr>
              <w:t>permit</w:t>
            </w:r>
            <w:r>
              <w:rPr>
                <w:rFonts w:ascii="Verdana" w:eastAsia="Calibri" w:hAnsi="Verdana" w:cs="Times New Roman"/>
              </w:rPr>
              <w:t>e</w:t>
            </w:r>
            <w:r w:rsidRPr="0B274A7C">
              <w:rPr>
                <w:rFonts w:ascii="Verdana" w:eastAsia="Calibri" w:hAnsi="Verdana" w:cs="Times New Roman"/>
              </w:rPr>
              <w:t>n</w:t>
            </w:r>
            <w:r w:rsidRPr="00E30CEB">
              <w:rPr>
                <w:rFonts w:ascii="Verdana" w:eastAsia="Calibri" w:hAnsi="Verdana" w:cs="Times New Roman"/>
              </w:rPr>
              <w:t xml:space="preserve"> la pluralidad de oferentes, </w:t>
            </w:r>
            <w:r>
              <w:rPr>
                <w:rFonts w:ascii="Verdana" w:eastAsia="Calibri" w:hAnsi="Verdana" w:cs="Times New Roman"/>
              </w:rPr>
              <w:t xml:space="preserve">tales </w:t>
            </w:r>
            <w:r w:rsidRPr="00E30CEB">
              <w:rPr>
                <w:rFonts w:ascii="Verdana" w:eastAsia="Calibri" w:hAnsi="Verdana" w:cs="Times New Roman"/>
              </w:rPr>
              <w:t>como la licitación pública, la selección abreviada, o la mínima cuantía, la restricción del artículo 33 no resulta aplicable</w:t>
            </w:r>
            <w:r>
              <w:rPr>
                <w:rFonts w:ascii="Verdana" w:eastAsia="Calibri" w:hAnsi="Verdana" w:cs="Times New Roman"/>
              </w:rPr>
              <w:t>.</w:t>
            </w:r>
          </w:p>
          <w:p w14:paraId="6730A695" w14:textId="77777777" w:rsidR="00BC131A" w:rsidRDefault="00BC131A" w:rsidP="00A937DF">
            <w:pPr>
              <w:spacing w:after="120" w:line="276" w:lineRule="auto"/>
              <w:ind w:firstLine="709"/>
              <w:jc w:val="both"/>
              <w:rPr>
                <w:rFonts w:ascii="Verdana" w:eastAsia="Calibri" w:hAnsi="Verdana" w:cs="Arial"/>
                <w:lang w:val="es-ES"/>
              </w:rPr>
            </w:pPr>
            <w:r>
              <w:rPr>
                <w:rFonts w:ascii="Verdana" w:eastAsia="Calibri" w:hAnsi="Verdana" w:cs="Times New Roman"/>
              </w:rPr>
              <w:t>Así mismo, en los casos en los que l</w:t>
            </w:r>
            <w:r w:rsidRPr="00C2327B">
              <w:rPr>
                <w:rFonts w:ascii="Verdana" w:eastAsia="Calibri" w:hAnsi="Verdana" w:cs="Times New Roman"/>
              </w:rPr>
              <w:t>a escogencia del contratista de obra pública</w:t>
            </w:r>
            <w:r>
              <w:rPr>
                <w:rFonts w:ascii="Verdana" w:eastAsia="Calibri" w:hAnsi="Verdana" w:cs="Times New Roman"/>
              </w:rPr>
              <w:t xml:space="preserve"> se desarrolle mediante la modalidad de contratación directa, la cual aplica de manera restrictiva en circunstancias o hechos que </w:t>
            </w:r>
            <w:r>
              <w:rPr>
                <w:rFonts w:ascii="Verdana" w:eastAsia="Calibri" w:hAnsi="Verdana" w:cs="Arial"/>
                <w:lang w:val="es-ES"/>
              </w:rPr>
              <w:t xml:space="preserve">configuran la urgencia manifiesta, si así lo declara la entidad pública contratante, esto es: i) cuando la continuidad del servicio exige el suministro de bienes, o la prestación de servicios, o la </w:t>
            </w:r>
            <w:r w:rsidRPr="00C92A2A">
              <w:rPr>
                <w:rFonts w:ascii="Verdana" w:eastAsia="Calibri" w:hAnsi="Verdana" w:cs="Arial"/>
                <w:i/>
                <w:iCs/>
                <w:lang w:val="es-ES"/>
              </w:rPr>
              <w:t>ejecución de obras en el inmediato futuro</w:t>
            </w:r>
            <w:r>
              <w:rPr>
                <w:rFonts w:ascii="Verdana" w:eastAsia="Calibri" w:hAnsi="Verdana" w:cs="Arial"/>
                <w:lang w:val="es-ES"/>
              </w:rPr>
              <w:t xml:space="preserve">; </w:t>
            </w:r>
            <w:proofErr w:type="spellStart"/>
            <w:r>
              <w:rPr>
                <w:rFonts w:ascii="Verdana" w:eastAsia="Calibri" w:hAnsi="Verdana" w:cs="Arial"/>
                <w:lang w:val="es-ES"/>
              </w:rPr>
              <w:t>ii</w:t>
            </w:r>
            <w:proofErr w:type="spellEnd"/>
            <w:r>
              <w:rPr>
                <w:rFonts w:ascii="Verdana" w:eastAsia="Calibri" w:hAnsi="Verdana" w:cs="Arial"/>
                <w:lang w:val="es-ES"/>
              </w:rPr>
              <w:t xml:space="preserve">) </w:t>
            </w:r>
            <w:r>
              <w:rPr>
                <w:rFonts w:ascii="Verdana" w:eastAsia="Calibri" w:hAnsi="Verdana" w:cs="Arial"/>
                <w:lang w:val="es-ES"/>
              </w:rPr>
              <w:lastRenderedPageBreak/>
              <w:t xml:space="preserve">cuando se presenten situaciones relacionadas con los estados de excepción; </w:t>
            </w:r>
            <w:proofErr w:type="spellStart"/>
            <w:r>
              <w:rPr>
                <w:rFonts w:ascii="Verdana" w:eastAsia="Calibri" w:hAnsi="Verdana" w:cs="Arial"/>
                <w:lang w:val="es-ES"/>
              </w:rPr>
              <w:t>iii</w:t>
            </w:r>
            <w:proofErr w:type="spellEnd"/>
            <w:r>
              <w:rPr>
                <w:rFonts w:ascii="Verdana" w:eastAsia="Calibri" w:hAnsi="Verdana" w:cs="Arial"/>
                <w:lang w:val="es-ES"/>
              </w:rPr>
              <w:t xml:space="preserve">) cuando se trate de conjurar situaciones excepcionales relacionadas con hechos de calamidad o constitutivos de fuerza mayor o desastre que demanden actuaciones inmediatas y; </w:t>
            </w:r>
            <w:proofErr w:type="spellStart"/>
            <w:r>
              <w:rPr>
                <w:rFonts w:ascii="Verdana" w:eastAsia="Calibri" w:hAnsi="Verdana" w:cs="Arial"/>
                <w:lang w:val="es-ES"/>
              </w:rPr>
              <w:t>iv</w:t>
            </w:r>
            <w:proofErr w:type="spellEnd"/>
            <w:r>
              <w:rPr>
                <w:rFonts w:ascii="Verdana" w:eastAsia="Calibri" w:hAnsi="Verdana" w:cs="Arial"/>
                <w:lang w:val="es-ES"/>
              </w:rPr>
              <w:t xml:space="preserve">) cuando se trate de situaciones similares que imposibiliten acudir a los procedimientos de selección públicos, en estos escenarios esta Agencia ha sostenido que </w:t>
            </w:r>
            <w:r w:rsidRPr="00B527A1">
              <w:rPr>
                <w:rFonts w:ascii="Verdana" w:eastAsia="Calibri" w:hAnsi="Verdana" w:cs="Arial"/>
                <w:lang w:val="es-ES"/>
              </w:rPr>
              <w:t>no sería aplicable la restricción del artículo 33 de la Ley de Garantía</w:t>
            </w:r>
            <w:r>
              <w:rPr>
                <w:rFonts w:ascii="Verdana" w:eastAsia="Calibri" w:hAnsi="Verdana" w:cs="Arial"/>
                <w:lang w:val="es-ES"/>
              </w:rPr>
              <w:t>, como se expresó en el Concepto C-259 del 2 de junio de 2021 ante la pregunta sobre si aplicaba dicha restricción en la época de crisis sanitaria desatada por el COVID-19.</w:t>
            </w:r>
          </w:p>
          <w:p w14:paraId="50739538" w14:textId="77777777" w:rsidR="00BC131A" w:rsidRPr="00A937DF" w:rsidRDefault="00BC131A" w:rsidP="00A937DF">
            <w:pPr>
              <w:spacing w:after="120" w:line="276" w:lineRule="auto"/>
              <w:ind w:firstLine="709"/>
              <w:jc w:val="both"/>
              <w:rPr>
                <w:rFonts w:ascii="Verdana" w:eastAsia="Calibri" w:hAnsi="Verdana" w:cs="Times New Roman"/>
                <w:lang w:val="es-ES_tradnl"/>
              </w:rPr>
            </w:pPr>
            <w:r>
              <w:rPr>
                <w:rFonts w:ascii="Verdana" w:eastAsia="Calibri" w:hAnsi="Verdana" w:cs="Arial"/>
                <w:lang w:val="es-ES"/>
              </w:rPr>
              <w:t xml:space="preserve">De la misma manera, si el objeto de la obra pretendida se enmarca dentro de las excepciones </w:t>
            </w:r>
            <w:r w:rsidRPr="005E75C8">
              <w:rPr>
                <w:rFonts w:ascii="Verdana" w:eastAsia="Calibri" w:hAnsi="Verdana" w:cs="Arial"/>
                <w:lang w:val="es-ES"/>
              </w:rPr>
              <w:t xml:space="preserve">taxativas consagradas en el segundo inciso de dicha norma, es decir, </w:t>
            </w:r>
            <w:r>
              <w:rPr>
                <w:rFonts w:ascii="Verdana" w:eastAsia="Calibri" w:hAnsi="Verdana" w:cs="Arial"/>
                <w:lang w:val="es-ES"/>
              </w:rPr>
              <w:t>a la atención de necesidades en materia de</w:t>
            </w:r>
            <w:r w:rsidRPr="005E75C8">
              <w:rPr>
                <w:rFonts w:ascii="Verdana" w:eastAsia="Calibri" w:hAnsi="Verdana" w:cs="Arial"/>
                <w:lang w:val="es-ES"/>
              </w:rPr>
              <w:t xml:space="preserve"> </w:t>
            </w:r>
            <w:r w:rsidRPr="00A937DF">
              <w:rPr>
                <w:rFonts w:ascii="Verdana" w:eastAsia="Calibri" w:hAnsi="Verdana" w:cs="Arial"/>
                <w:i/>
                <w:iCs/>
                <w:lang w:val="es-ES"/>
              </w:rPr>
              <w:t>defensa y seguridad del Estado</w:t>
            </w:r>
            <w:r w:rsidRPr="005E75C8">
              <w:rPr>
                <w:rFonts w:ascii="Verdana" w:eastAsia="Calibri" w:hAnsi="Verdana" w:cs="Arial"/>
                <w:lang w:val="es-ES"/>
              </w:rPr>
              <w:t xml:space="preserve">, </w:t>
            </w:r>
            <w:r>
              <w:rPr>
                <w:rFonts w:ascii="Verdana" w:eastAsia="Calibri" w:hAnsi="Verdana" w:cs="Arial"/>
                <w:lang w:val="es-ES"/>
              </w:rPr>
              <w:t>o se requiera para</w:t>
            </w:r>
            <w:r w:rsidRPr="005E75C8">
              <w:rPr>
                <w:rFonts w:ascii="Verdana" w:eastAsia="Calibri" w:hAnsi="Verdana" w:cs="Arial"/>
                <w:lang w:val="es-ES"/>
              </w:rPr>
              <w:t xml:space="preserve"> </w:t>
            </w:r>
            <w:r w:rsidRPr="00A937DF">
              <w:rPr>
                <w:rFonts w:ascii="Verdana" w:eastAsia="Calibri" w:hAnsi="Verdana" w:cs="Arial"/>
                <w:i/>
                <w:iCs/>
                <w:lang w:val="es-ES"/>
              </w:rPr>
              <w:t>cubrir las emergencias educativas, sanitarias y desastres</w:t>
            </w:r>
            <w:r w:rsidRPr="005E75C8">
              <w:rPr>
                <w:rFonts w:ascii="Verdana" w:eastAsia="Calibri" w:hAnsi="Verdana" w:cs="Arial"/>
                <w:lang w:val="es-ES"/>
              </w:rPr>
              <w:t>, así como también l</w:t>
            </w:r>
            <w:r>
              <w:rPr>
                <w:rFonts w:ascii="Verdana" w:eastAsia="Calibri" w:hAnsi="Verdana" w:cs="Arial"/>
                <w:lang w:val="es-ES"/>
              </w:rPr>
              <w:t>a</w:t>
            </w:r>
            <w:r w:rsidRPr="005E75C8">
              <w:rPr>
                <w:rFonts w:ascii="Verdana" w:eastAsia="Calibri" w:hAnsi="Verdana" w:cs="Arial"/>
                <w:lang w:val="es-ES"/>
              </w:rPr>
              <w:t>s utilizad</w:t>
            </w:r>
            <w:r>
              <w:rPr>
                <w:rFonts w:ascii="Verdana" w:eastAsia="Calibri" w:hAnsi="Verdana" w:cs="Arial"/>
                <w:lang w:val="es-ES"/>
              </w:rPr>
              <w:t>a</w:t>
            </w:r>
            <w:r w:rsidRPr="005E75C8">
              <w:rPr>
                <w:rFonts w:ascii="Verdana" w:eastAsia="Calibri" w:hAnsi="Verdana" w:cs="Arial"/>
                <w:lang w:val="es-ES"/>
              </w:rPr>
              <w:t xml:space="preserve">s para la </w:t>
            </w:r>
            <w:r w:rsidRPr="00A937DF">
              <w:rPr>
                <w:rFonts w:ascii="Verdana" w:eastAsia="Calibri" w:hAnsi="Verdana" w:cs="Arial"/>
                <w:i/>
                <w:iCs/>
                <w:lang w:val="es-ES"/>
              </w:rPr>
              <w:t>reconstrucción de vías, puentes, carreteras, infraestructura energética y de comunicaciones, en caso de que hayan sido objeto de atentados, acciones terroristas, desastres naturales o casos de fuerza mayor</w:t>
            </w:r>
            <w:r>
              <w:rPr>
                <w:rFonts w:ascii="Verdana" w:eastAsia="Calibri" w:hAnsi="Verdana" w:cs="Arial"/>
                <w:lang w:val="es-ES"/>
              </w:rPr>
              <w:t>, dichas contrataciones quedan por fuera del ámbito material de la restricción del artículo 33.</w:t>
            </w:r>
          </w:p>
          <w:p w14:paraId="7D305F2E" w14:textId="77777777" w:rsidR="00BC131A" w:rsidRDefault="00BC131A" w:rsidP="00A937DF">
            <w:pPr>
              <w:spacing w:after="120" w:line="276" w:lineRule="auto"/>
              <w:ind w:firstLine="709"/>
              <w:jc w:val="both"/>
              <w:rPr>
                <w:rFonts w:ascii="Verdana" w:eastAsia="Arial" w:hAnsi="Verdana" w:cs="Arial"/>
                <w:lang w:val="es-ES" w:eastAsia="es-ES" w:bidi="es-ES"/>
              </w:rPr>
            </w:pPr>
            <w:r w:rsidRPr="00B576BF">
              <w:rPr>
                <w:rFonts w:ascii="Verdana" w:eastAsia="Calibri" w:hAnsi="Verdana" w:cs="Times New Roman"/>
              </w:rPr>
              <w:t xml:space="preserve">En consecuencia, corresponde a la entidad estatal analizar si el objeto del contrato que se pretende celebrar directamente se adecua a las excepciones indicadas. En caso contrario, debe respetar el contenido de la prohibición. Adicionalmente, la restricción para contratar directamente contenida en el artículo 33 de la Ley 996 de 2005, se aplica independientemente de que la entidad estatal esté sometida al Estatuto General de Contratación de la Administración Pública o tenga un régimen especial, pues las normas sobre garantías electorales son transversales a los órganos del Estado. </w:t>
            </w:r>
          </w:p>
          <w:p w14:paraId="43C05FBF" w14:textId="77777777" w:rsidR="00BC131A" w:rsidRPr="008B0006" w:rsidRDefault="00BC131A" w:rsidP="00A937DF">
            <w:pPr>
              <w:spacing w:after="120" w:line="276" w:lineRule="auto"/>
              <w:ind w:firstLine="709"/>
              <w:jc w:val="both"/>
              <w:rPr>
                <w:rFonts w:ascii="Verdana" w:eastAsia="Arial" w:hAnsi="Verdana" w:cs="Arial"/>
                <w:lang w:eastAsia="es-ES" w:bidi="es-ES"/>
              </w:rPr>
            </w:pPr>
            <w:proofErr w:type="spellStart"/>
            <w:r w:rsidRPr="0B274A7C">
              <w:rPr>
                <w:rFonts w:ascii="Verdana" w:eastAsia="Arial" w:hAnsi="Verdana" w:cs="Arial"/>
                <w:lang w:val="es-ES" w:eastAsia="es-ES" w:bidi="es-ES"/>
              </w:rPr>
              <w:t>ii</w:t>
            </w:r>
            <w:proofErr w:type="spellEnd"/>
            <w:r w:rsidRPr="0B274A7C">
              <w:rPr>
                <w:rFonts w:ascii="Verdana" w:eastAsia="Arial" w:hAnsi="Verdana" w:cs="Arial"/>
                <w:lang w:val="es-ES" w:eastAsia="es-ES" w:bidi="es-ES"/>
              </w:rPr>
              <w:t>).</w:t>
            </w:r>
            <w:r w:rsidRPr="00CD53E6">
              <w:rPr>
                <w:rFonts w:ascii="Times New Roman" w:eastAsia="Times New Roman" w:hAnsi="Times New Roman" w:cs="Times New Roman"/>
                <w:sz w:val="24"/>
                <w:szCs w:val="24"/>
                <w:lang w:eastAsia="es-CO"/>
              </w:rPr>
              <w:t xml:space="preserve"> </w:t>
            </w:r>
            <w:r w:rsidRPr="008B0006">
              <w:rPr>
                <w:rFonts w:ascii="Verdana" w:eastAsia="Arial" w:hAnsi="Verdana" w:cs="Arial"/>
                <w:lang w:eastAsia="es-ES" w:bidi="es-ES"/>
              </w:rPr>
              <w:t>Las restricciones previstas en el artículo 33 y en el parágrafo del artículo 38 de la Ley 996 de 2005 no impiden el inicio</w:t>
            </w:r>
            <w:r>
              <w:rPr>
                <w:rFonts w:ascii="Verdana" w:eastAsia="Arial" w:hAnsi="Verdana" w:cs="Arial"/>
                <w:lang w:eastAsia="es-ES" w:bidi="es-ES"/>
              </w:rPr>
              <w:t xml:space="preserve"> ni el desarrollo de trámites propios de la etapa precontractual en selecciones directas, como la publicación de</w:t>
            </w:r>
            <w:r w:rsidRPr="008B0006">
              <w:rPr>
                <w:rFonts w:ascii="Verdana" w:eastAsia="Arial" w:hAnsi="Verdana" w:cs="Arial"/>
                <w:lang w:eastAsia="es-ES" w:bidi="es-ES"/>
              </w:rPr>
              <w:t xml:space="preserve"> estudios previos</w:t>
            </w:r>
            <w:r>
              <w:rPr>
                <w:rFonts w:ascii="Verdana" w:eastAsia="Arial" w:hAnsi="Verdana" w:cs="Arial"/>
                <w:lang w:eastAsia="es-ES" w:bidi="es-ES"/>
              </w:rPr>
              <w:t xml:space="preserve"> o cualquier otro documento de la etapa precontractual que quisieran adelantarse mediante las plataformas del SECOP. </w:t>
            </w:r>
            <w:r w:rsidRPr="00883339">
              <w:rPr>
                <w:rFonts w:ascii="Verdana" w:eastAsia="Arial" w:hAnsi="Verdana" w:cs="Arial"/>
                <w:lang w:eastAsia="es-ES" w:bidi="es-ES"/>
              </w:rPr>
              <w:t xml:space="preserve">Ello obedece a que el ámbito de aplicación de la Ley de Garantías se dirige específicamente a la celebración del contrato, entendida como su perfeccionamiento en los términos de los artículos 39 y 41 de la Ley 80 de 1993, esto es, el acuerdo de voluntades sobre el objeto y la contraprestación </w:t>
            </w:r>
            <w:r w:rsidRPr="00883339">
              <w:rPr>
                <w:rFonts w:ascii="Verdana" w:eastAsia="Arial" w:hAnsi="Verdana" w:cs="Arial"/>
                <w:lang w:eastAsia="es-ES" w:bidi="es-ES"/>
              </w:rPr>
              <w:lastRenderedPageBreak/>
              <w:t>formalizado por escrito. En ese sentido, las actuaciones preparatorias no configuran la perfección del contrato y, por tanto, no se encuentran restringidas por la Ley de Garantías.</w:t>
            </w:r>
            <w:r>
              <w:rPr>
                <w:rFonts w:ascii="Verdana" w:eastAsia="Arial" w:hAnsi="Verdana" w:cs="Arial"/>
                <w:lang w:eastAsia="es-ES" w:bidi="es-ES"/>
              </w:rPr>
              <w:t xml:space="preserve"> </w:t>
            </w:r>
          </w:p>
          <w:p w14:paraId="4625FBED" w14:textId="77777777" w:rsidR="00BC131A" w:rsidRPr="008B0006" w:rsidRDefault="00BC131A" w:rsidP="00A937DF">
            <w:pPr>
              <w:spacing w:after="120" w:line="276" w:lineRule="auto"/>
              <w:ind w:firstLine="709"/>
              <w:jc w:val="both"/>
              <w:rPr>
                <w:rFonts w:ascii="Verdana" w:eastAsia="Arial" w:hAnsi="Verdana" w:cs="Arial"/>
                <w:lang w:eastAsia="es-ES" w:bidi="es-ES"/>
              </w:rPr>
            </w:pPr>
            <w:r w:rsidRPr="008B0006">
              <w:rPr>
                <w:rFonts w:ascii="Verdana" w:eastAsia="Arial" w:hAnsi="Verdana" w:cs="Arial"/>
                <w:lang w:eastAsia="es-ES" w:bidi="es-ES"/>
              </w:rPr>
              <w:t xml:space="preserve">Adicionalmente, </w:t>
            </w:r>
            <w:r>
              <w:rPr>
                <w:rFonts w:ascii="Verdana" w:eastAsia="Arial" w:hAnsi="Verdana" w:cs="Arial"/>
                <w:lang w:eastAsia="es-ES" w:bidi="es-ES"/>
              </w:rPr>
              <w:t xml:space="preserve">cuando en el texto de la petición se utiliza la acepción </w:t>
            </w:r>
            <w:r w:rsidRPr="00C92A2A">
              <w:rPr>
                <w:rFonts w:ascii="Verdana" w:eastAsia="Arial" w:hAnsi="Verdana" w:cs="Arial"/>
                <w:i/>
                <w:iCs/>
                <w:lang w:eastAsia="es-ES" w:bidi="es-ES"/>
              </w:rPr>
              <w:t>convocatoria pública</w:t>
            </w:r>
            <w:r>
              <w:rPr>
                <w:rFonts w:ascii="Verdana" w:eastAsia="Arial" w:hAnsi="Verdana" w:cs="Arial"/>
                <w:lang w:eastAsia="es-ES" w:bidi="es-ES"/>
              </w:rPr>
              <w:t xml:space="preserve">, bajo el entendido de que la contratación directa no incluye publicación de aviso de convocatoria, y que la publicación de dicho acto administrativo procede en las modalidades de selección donde se permite la participación de una pluralidad de oferentes, se advierte que </w:t>
            </w:r>
            <w:r w:rsidRPr="008B0006">
              <w:rPr>
                <w:rFonts w:ascii="Verdana" w:eastAsia="Arial" w:hAnsi="Verdana" w:cs="Arial"/>
                <w:lang w:eastAsia="es-ES" w:bidi="es-ES"/>
              </w:rPr>
              <w:t xml:space="preserve">no solo resulta procedente la publicación de los documentos precontractuales, sino también la ejecución de las demás etapas del proceso e, incluso, la suscripción del contrato, en tanto </w:t>
            </w:r>
            <w:r>
              <w:rPr>
                <w:rFonts w:ascii="Verdana" w:eastAsia="Arial" w:hAnsi="Verdana" w:cs="Arial"/>
                <w:lang w:eastAsia="es-ES" w:bidi="es-ES"/>
              </w:rPr>
              <w:t>las</w:t>
            </w:r>
            <w:r w:rsidRPr="008B0006">
              <w:rPr>
                <w:rFonts w:ascii="Verdana" w:eastAsia="Arial" w:hAnsi="Verdana" w:cs="Arial"/>
                <w:lang w:eastAsia="es-ES" w:bidi="es-ES"/>
              </w:rPr>
              <w:t xml:space="preserve"> modalidades</w:t>
            </w:r>
            <w:r>
              <w:rPr>
                <w:rFonts w:ascii="Verdana" w:eastAsia="Arial" w:hAnsi="Verdana" w:cs="Arial"/>
                <w:lang w:eastAsia="es-ES" w:bidi="es-ES"/>
              </w:rPr>
              <w:t xml:space="preserve"> de licitación pública, selección abreviada, concurso de méritos y mínima cuantía,</w:t>
            </w:r>
            <w:r w:rsidRPr="008B0006">
              <w:rPr>
                <w:rFonts w:ascii="Verdana" w:eastAsia="Arial" w:hAnsi="Verdana" w:cs="Arial"/>
                <w:lang w:eastAsia="es-ES" w:bidi="es-ES"/>
              </w:rPr>
              <w:t xml:space="preserve"> </w:t>
            </w:r>
            <w:r w:rsidRPr="231A89F4">
              <w:rPr>
                <w:rFonts w:ascii="Verdana" w:hAnsi="Verdana" w:cs="Arial"/>
                <w:lang w:val="es-ES"/>
              </w:rPr>
              <w:t xml:space="preserve">u otras previstas en normas especiales, que contemplen en alguna de sus etapas la posible participación de pluralidad de oferentes, </w:t>
            </w:r>
            <w:r w:rsidRPr="008B0006">
              <w:rPr>
                <w:rFonts w:ascii="Verdana" w:eastAsia="Arial" w:hAnsi="Verdana" w:cs="Arial"/>
                <w:lang w:eastAsia="es-ES" w:bidi="es-ES"/>
              </w:rPr>
              <w:t xml:space="preserve">no están comprendidas dentro de las contrataciones </w:t>
            </w:r>
            <w:r w:rsidRPr="231A89F4">
              <w:rPr>
                <w:rFonts w:ascii="Verdana" w:eastAsia="Arial" w:hAnsi="Verdana" w:cs="Arial"/>
                <w:lang w:eastAsia="es-ES" w:bidi="es-ES"/>
              </w:rPr>
              <w:t>restringidas</w:t>
            </w:r>
            <w:r w:rsidRPr="0B274A7C">
              <w:rPr>
                <w:rFonts w:ascii="Verdana" w:eastAsia="Arial" w:hAnsi="Verdana" w:cs="Arial"/>
                <w:lang w:eastAsia="es-ES" w:bidi="es-ES"/>
              </w:rPr>
              <w:t xml:space="preserve"> </w:t>
            </w:r>
            <w:r w:rsidRPr="008B0006">
              <w:rPr>
                <w:rFonts w:ascii="Verdana" w:eastAsia="Arial" w:hAnsi="Verdana" w:cs="Arial"/>
                <w:lang w:eastAsia="es-ES" w:bidi="es-ES"/>
              </w:rPr>
              <w:t>por la Ley de Garantías</w:t>
            </w:r>
            <w:r w:rsidRPr="231A89F4">
              <w:rPr>
                <w:rFonts w:ascii="Verdana" w:eastAsia="Arial" w:hAnsi="Verdana" w:cs="Arial"/>
                <w:lang w:eastAsia="es-ES" w:bidi="es-ES"/>
              </w:rPr>
              <w:t>.</w:t>
            </w:r>
            <w:r>
              <w:rPr>
                <w:rFonts w:ascii="Verdana" w:eastAsia="Arial" w:hAnsi="Verdana" w:cs="Arial"/>
                <w:lang w:eastAsia="es-ES" w:bidi="es-ES"/>
              </w:rPr>
              <w:t>.</w:t>
            </w:r>
          </w:p>
          <w:p w14:paraId="3A3E8F43" w14:textId="77777777" w:rsidR="00BC131A" w:rsidRPr="008B0006" w:rsidRDefault="00BC131A" w:rsidP="00A937DF">
            <w:pPr>
              <w:spacing w:after="120" w:line="276" w:lineRule="auto"/>
              <w:ind w:firstLine="709"/>
              <w:jc w:val="both"/>
              <w:rPr>
                <w:rFonts w:ascii="Verdana" w:eastAsia="Arial" w:hAnsi="Verdana" w:cs="Arial"/>
                <w:lang w:eastAsia="es-ES" w:bidi="es-ES"/>
              </w:rPr>
            </w:pPr>
            <w:r w:rsidRPr="008B0006">
              <w:rPr>
                <w:rFonts w:ascii="Verdana" w:eastAsia="Arial" w:hAnsi="Verdana" w:cs="Arial"/>
                <w:lang w:eastAsia="es-ES" w:bidi="es-ES"/>
              </w:rPr>
              <w:t>De igual forma, debe precisarse que durante la vigencia de las restricciones legales tampoco se encuentran prohibidas actuaciones contractuales como prórrogas, modificaciones, adiciones o cesiones de contratos suscritos con anterioridad, siempre que dichas decisiones se adopten en observancia de los principios de planeación, transparencia y responsabilidad que orientan la contratación estatal.</w:t>
            </w:r>
          </w:p>
          <w:p w14:paraId="0D0AC0DB" w14:textId="77777777" w:rsidR="00BC131A" w:rsidRPr="00CC21F2" w:rsidRDefault="00BC131A" w:rsidP="00A937DF">
            <w:pPr>
              <w:spacing w:after="120" w:line="276" w:lineRule="auto"/>
              <w:ind w:firstLine="709"/>
              <w:jc w:val="both"/>
              <w:rPr>
                <w:rFonts w:ascii="Verdana" w:eastAsia="Arial" w:hAnsi="Verdana" w:cs="Arial"/>
                <w:lang w:eastAsia="es-ES" w:bidi="es-ES"/>
              </w:rPr>
            </w:pPr>
            <w:proofErr w:type="spellStart"/>
            <w:r>
              <w:rPr>
                <w:rFonts w:ascii="Verdana" w:eastAsia="Arial" w:hAnsi="Verdana" w:cs="Arial"/>
                <w:lang w:eastAsia="es-ES" w:bidi="es-ES"/>
              </w:rPr>
              <w:t>iii</w:t>
            </w:r>
            <w:proofErr w:type="spellEnd"/>
            <w:r>
              <w:rPr>
                <w:rFonts w:ascii="Verdana" w:eastAsia="Arial" w:hAnsi="Verdana" w:cs="Arial"/>
                <w:lang w:eastAsia="es-ES" w:bidi="es-ES"/>
              </w:rPr>
              <w:t xml:space="preserve">). </w:t>
            </w:r>
            <w:r w:rsidRPr="00CC21F2">
              <w:rPr>
                <w:rFonts w:ascii="Verdana" w:eastAsia="Arial" w:hAnsi="Verdana" w:cs="Arial"/>
                <w:lang w:eastAsia="es-ES" w:bidi="es-ES"/>
              </w:rPr>
              <w:t>La aplicación de la Ley de Garantías Electorales a la contratación directa con organismos internacionales debe analizarse conforme al artículo 20 de la Ley 1150 de 2007, que de manera excepcional permite someter ciertos contratos a los reglamentos de dichos organismos, en lugar del Estatuto General de Contratación Pública. Ello ocurre cuando la financiación proviene total o mayoritariamente de cooperación, asistencia o ayudas internacionales, o cuando el objeto contractual corresponde a las hipótesis previstas en la norma, sin perjuicio de la observancia del régimen presupuestal nacional.</w:t>
            </w:r>
          </w:p>
          <w:p w14:paraId="709537EB" w14:textId="77777777" w:rsidR="00BC131A" w:rsidRPr="00CC21F2" w:rsidRDefault="00BC131A" w:rsidP="00A937DF">
            <w:pPr>
              <w:spacing w:after="120" w:line="276" w:lineRule="auto"/>
              <w:ind w:firstLine="709"/>
              <w:jc w:val="both"/>
              <w:rPr>
                <w:rFonts w:ascii="Verdana" w:eastAsia="Arial" w:hAnsi="Verdana" w:cs="Arial"/>
                <w:lang w:eastAsia="es-ES" w:bidi="es-ES"/>
              </w:rPr>
            </w:pPr>
            <w:r w:rsidRPr="00CC21F2">
              <w:rPr>
                <w:rFonts w:ascii="Verdana" w:eastAsia="Arial" w:hAnsi="Verdana" w:cs="Arial"/>
                <w:lang w:eastAsia="es-ES" w:bidi="es-ES"/>
              </w:rPr>
              <w:t xml:space="preserve">La Corte Constitucional y la Sala de Consulta del Consejo de Estado han señalado que esta facultad es restrictiva y no procede cuando los recursos son exclusivamente nacionales. En consecuencia, los contratos celebrados bajo reglamentos internacionales </w:t>
            </w:r>
            <w:r w:rsidRPr="0B274A7C">
              <w:rPr>
                <w:rFonts w:ascii="Verdana" w:eastAsia="Arial" w:hAnsi="Verdana" w:cs="Arial"/>
                <w:lang w:eastAsia="es-ES" w:bidi="es-ES"/>
              </w:rPr>
              <w:t xml:space="preserve">en las condiciones que se encuentran previstas en el artículo 20 de la ley 1150 de 2007 para aplicar la norma del cooperante, </w:t>
            </w:r>
            <w:r w:rsidRPr="00CC21F2">
              <w:rPr>
                <w:rFonts w:ascii="Verdana" w:eastAsia="Arial" w:hAnsi="Verdana" w:cs="Arial"/>
                <w:lang w:eastAsia="es-ES" w:bidi="es-ES"/>
              </w:rPr>
              <w:lastRenderedPageBreak/>
              <w:t>no se encuentran sujetos a las restricciones del artículo 33 de la Ley 996 de 2005, pues estas fueron diseñadas para la contratación regida por el derecho interno. Por el contrario, cuando la financiación es nacional o el contrato no encaja en los supuestos del artículo 20, será aplicable el Estatuto General de Contratación y, por ende, las prohibiciones de la Ley de Garantías</w:t>
            </w:r>
            <w:r w:rsidRPr="0B274A7C">
              <w:rPr>
                <w:rFonts w:ascii="Verdana" w:eastAsia="Arial" w:hAnsi="Verdana" w:cs="Arial"/>
                <w:lang w:eastAsia="es-ES" w:bidi="es-ES"/>
              </w:rPr>
              <w:t xml:space="preserve"> para el caso de la restricción de contratación directa</w:t>
            </w:r>
            <w:r w:rsidRPr="00CC21F2">
              <w:rPr>
                <w:rFonts w:ascii="Verdana" w:eastAsia="Arial" w:hAnsi="Verdana" w:cs="Arial"/>
                <w:lang w:eastAsia="es-ES" w:bidi="es-ES"/>
              </w:rPr>
              <w:t>.</w:t>
            </w:r>
          </w:p>
          <w:p w14:paraId="278F3293" w14:textId="77777777" w:rsidR="00BC131A" w:rsidRPr="00DC212C" w:rsidRDefault="00BC131A" w:rsidP="00A937DF">
            <w:pPr>
              <w:spacing w:after="120" w:line="276" w:lineRule="auto"/>
              <w:ind w:firstLine="709"/>
              <w:jc w:val="both"/>
              <w:rPr>
                <w:rFonts w:ascii="Verdana" w:eastAsia="Times New Roman" w:hAnsi="Verdana" w:cs="Arial"/>
                <w:lang w:eastAsia="es-CO"/>
              </w:rPr>
            </w:pPr>
            <w:r>
              <w:rPr>
                <w:rFonts w:ascii="Verdana" w:eastAsia="Arial" w:hAnsi="Verdana" w:cs="Arial"/>
                <w:lang w:eastAsia="es-ES" w:bidi="es-ES"/>
              </w:rPr>
              <w:t xml:space="preserve">Finalmente, </w:t>
            </w:r>
            <w:r w:rsidRPr="00CC21F2">
              <w:rPr>
                <w:rFonts w:ascii="Verdana" w:eastAsia="Arial" w:hAnsi="Verdana" w:cs="Arial"/>
                <w:lang w:eastAsia="es-ES" w:bidi="es-ES"/>
              </w:rPr>
              <w:t>no es jurídicamente posible habilitar, mediante autorizaciones especiales o avales del Gobierno Nacional, la celebración de contratos directos o convenios interadministrativos durante la vigencia de la restricción electoral, salvo en las excepciones expresamente previstas por la ley, en cuyo caso se exige únicamente la justificación objetiva y clara de la necesidad del contrato</w:t>
            </w:r>
            <w:r w:rsidRPr="0B274A7C">
              <w:rPr>
                <w:rFonts w:ascii="Verdana" w:eastAsia="Arial" w:hAnsi="Verdana" w:cs="Arial"/>
                <w:lang w:eastAsia="es-ES" w:bidi="es-ES"/>
              </w:rPr>
              <w:t xml:space="preserve"> conforme lo previsto en la Ley 996 de 2005</w:t>
            </w:r>
            <w:r w:rsidRPr="00CC21F2">
              <w:rPr>
                <w:rFonts w:ascii="Verdana" w:eastAsia="Arial" w:hAnsi="Verdana" w:cs="Arial"/>
                <w:lang w:eastAsia="es-ES" w:bidi="es-ES"/>
              </w:rPr>
              <w:t>.</w:t>
            </w:r>
          </w:p>
        </w:tc>
      </w:tr>
    </w:tbl>
    <w:p w14:paraId="3849A92A" w14:textId="77777777" w:rsidR="00BC131A" w:rsidRPr="00DC212C" w:rsidRDefault="00BC131A" w:rsidP="00BC131A">
      <w:pPr>
        <w:spacing w:after="0" w:line="276" w:lineRule="auto"/>
        <w:jc w:val="both"/>
        <w:rPr>
          <w:rFonts w:ascii="Verdana" w:eastAsia="Calibri" w:hAnsi="Verdana" w:cs="Arial"/>
          <w:bCs/>
          <w:color w:val="000000" w:themeColor="text1"/>
        </w:rPr>
      </w:pPr>
    </w:p>
    <w:p w14:paraId="7CEB7A5C" w14:textId="77777777" w:rsidR="00BC131A" w:rsidRPr="00DC212C" w:rsidRDefault="00BC131A" w:rsidP="00BC131A">
      <w:pPr>
        <w:numPr>
          <w:ilvl w:val="0"/>
          <w:numId w:val="2"/>
        </w:numPr>
        <w:tabs>
          <w:tab w:val="left" w:pos="2268"/>
        </w:tabs>
        <w:spacing w:after="0" w:line="256" w:lineRule="auto"/>
        <w:rPr>
          <w:rFonts w:ascii="Verdana" w:eastAsia="Calibri" w:hAnsi="Verdana" w:cs="Times New Roman"/>
          <w:b/>
          <w:bCs/>
        </w:rPr>
      </w:pPr>
      <w:r w:rsidRPr="00DC212C">
        <w:rPr>
          <w:rFonts w:ascii="Verdana" w:eastAsia="Calibri" w:hAnsi="Verdana" w:cs="Times New Roman"/>
          <w:b/>
          <w:bCs/>
        </w:rPr>
        <w:t>Razones de la respuesta:</w:t>
      </w:r>
    </w:p>
    <w:p w14:paraId="70C20DE9" w14:textId="77777777" w:rsidR="00BC131A" w:rsidRPr="00DC212C" w:rsidRDefault="00BC131A" w:rsidP="00BC131A">
      <w:pPr>
        <w:spacing w:after="0" w:line="256" w:lineRule="auto"/>
        <w:rPr>
          <w:rFonts w:ascii="Verdana" w:eastAsia="Calibri" w:hAnsi="Verdana" w:cs="Times New Roman"/>
          <w:b/>
          <w:bCs/>
        </w:rPr>
      </w:pPr>
    </w:p>
    <w:p w14:paraId="5F9C9276" w14:textId="77777777" w:rsidR="00BC131A" w:rsidRPr="00DC212C" w:rsidRDefault="00BC131A" w:rsidP="00BC131A">
      <w:pPr>
        <w:spacing w:after="0" w:line="276" w:lineRule="auto"/>
        <w:jc w:val="both"/>
        <w:rPr>
          <w:rFonts w:ascii="Verdana" w:eastAsia="Calibri" w:hAnsi="Verdana" w:cs="Arial"/>
        </w:rPr>
      </w:pPr>
      <w:r w:rsidRPr="00DC212C">
        <w:rPr>
          <w:rFonts w:ascii="Verdana" w:eastAsia="Calibri" w:hAnsi="Verdana" w:cs="Arial"/>
        </w:rPr>
        <w:t xml:space="preserve">Lo anterior se sustenta en las siguientes consideraciones: </w:t>
      </w:r>
    </w:p>
    <w:p w14:paraId="14ABAB96" w14:textId="77777777" w:rsidR="00BC131A" w:rsidRPr="00DC212C" w:rsidRDefault="00BC131A" w:rsidP="00BC131A">
      <w:pPr>
        <w:spacing w:after="0" w:line="276" w:lineRule="auto"/>
        <w:jc w:val="both"/>
        <w:rPr>
          <w:rFonts w:ascii="Verdana" w:eastAsia="Calibri" w:hAnsi="Verdana" w:cs="Arial"/>
          <w:color w:val="000000" w:themeColor="text1"/>
        </w:rPr>
      </w:pPr>
    </w:p>
    <w:p w14:paraId="18E2507E" w14:textId="77777777" w:rsidR="00BC131A" w:rsidRPr="002D6B43" w:rsidRDefault="00BC131A" w:rsidP="00BC131A">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i. 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1"/>
      </w:r>
      <w:r w:rsidRPr="002D6B43">
        <w:rPr>
          <w:rFonts w:ascii="Verdana" w:eastAsia="Calibri" w:hAnsi="Verdana" w:cs="Arial"/>
        </w:rPr>
        <w:t xml:space="preserve">. </w:t>
      </w:r>
    </w:p>
    <w:p w14:paraId="3D36B1B0" w14:textId="77777777" w:rsidR="00BC131A" w:rsidRPr="006B14B5" w:rsidRDefault="00BC131A" w:rsidP="00BC131A">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0"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2"/>
      </w:r>
      <w:r w:rsidRPr="00E2397D">
        <w:rPr>
          <w:rFonts w:ascii="Verdana" w:eastAsia="Times New Roman" w:hAnsi="Verdana" w:cs="Arial"/>
          <w:lang w:val="es-MX" w:eastAsia="es-CO"/>
        </w:rPr>
        <w:t xml:space="preserve">. En esta medida, introduce limitaciones para realizar nombramientos, postulaciones, </w:t>
      </w:r>
      <w:r w:rsidRPr="00E2397D">
        <w:rPr>
          <w:rFonts w:ascii="Verdana" w:eastAsia="Times New Roman" w:hAnsi="Verdana" w:cs="Arial"/>
          <w:lang w:val="es-MX" w:eastAsia="es-CO"/>
        </w:rPr>
        <w:lastRenderedPageBreak/>
        <w:t>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0"/>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764B8473" w14:textId="77777777" w:rsidR="00BC131A" w:rsidRPr="00E2397D" w:rsidRDefault="00BC131A" w:rsidP="00BC131A">
      <w:pPr>
        <w:spacing w:after="0" w:line="276" w:lineRule="auto"/>
        <w:ind w:right="709"/>
        <w:contextualSpacing/>
        <w:jc w:val="both"/>
        <w:rPr>
          <w:rFonts w:ascii="Verdana" w:eastAsia="Times New Roman" w:hAnsi="Verdana" w:cs="Arial"/>
          <w:lang w:val="es-ES" w:eastAsia="es-CO"/>
        </w:rPr>
      </w:pPr>
    </w:p>
    <w:p w14:paraId="4A2535F9" w14:textId="77777777" w:rsidR="00BC131A" w:rsidRPr="00E2397D" w:rsidRDefault="00BC131A" w:rsidP="00BC131A">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10947796" w14:textId="77777777" w:rsidR="00BC131A" w:rsidRPr="00E2397D" w:rsidRDefault="00BC131A" w:rsidP="00BC131A">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2ABC7F13" w14:textId="77777777" w:rsidR="00BC131A" w:rsidRPr="00E2397D" w:rsidRDefault="00BC131A" w:rsidP="00BC131A">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3"/>
      </w:r>
    </w:p>
    <w:p w14:paraId="1C63BD9E" w14:textId="77777777" w:rsidR="00BC131A" w:rsidRPr="00E2397D" w:rsidRDefault="00BC131A" w:rsidP="00BC131A">
      <w:pPr>
        <w:spacing w:after="0" w:line="276" w:lineRule="auto"/>
        <w:ind w:firstLine="709"/>
        <w:jc w:val="both"/>
        <w:rPr>
          <w:rFonts w:ascii="Verdana" w:eastAsia="Times New Roman" w:hAnsi="Verdana" w:cs="Arial"/>
          <w:lang w:val="es-MX" w:eastAsia="es-CO"/>
        </w:rPr>
      </w:pPr>
      <w:bookmarkStart w:id="1" w:name="_Hlk78818186"/>
    </w:p>
    <w:p w14:paraId="396E1557" w14:textId="77777777" w:rsidR="00BC131A" w:rsidRPr="00E2397D" w:rsidRDefault="00BC131A" w:rsidP="00BC131A">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1"/>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4F357442" w14:textId="77777777" w:rsidR="00BC131A" w:rsidRPr="00886C02" w:rsidRDefault="00BC131A" w:rsidP="00BC131A">
      <w:pPr>
        <w:spacing w:after="0" w:line="276" w:lineRule="auto"/>
        <w:ind w:firstLine="709"/>
        <w:jc w:val="both"/>
        <w:rPr>
          <w:rFonts w:ascii="Verdana" w:eastAsia="Times New Roman" w:hAnsi="Verdana" w:cs="Arial"/>
          <w:lang w:val="es-MX" w:eastAsia="es-CO"/>
        </w:rPr>
      </w:pPr>
    </w:p>
    <w:p w14:paraId="50B9F705" w14:textId="77777777" w:rsidR="00BC131A" w:rsidRPr="00E2397D" w:rsidRDefault="00BC131A" w:rsidP="00BC131A">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9465C01" w14:textId="77777777" w:rsidR="00BC131A" w:rsidRPr="00E2397D" w:rsidRDefault="00BC131A" w:rsidP="00BC131A">
      <w:pPr>
        <w:spacing w:after="0" w:line="240" w:lineRule="auto"/>
        <w:ind w:right="709"/>
        <w:contextualSpacing/>
        <w:jc w:val="both"/>
        <w:rPr>
          <w:rFonts w:ascii="Verdana" w:eastAsia="Times New Roman" w:hAnsi="Verdana" w:cs="Arial"/>
          <w:lang w:val="es-MX" w:eastAsia="es-CO"/>
        </w:rPr>
      </w:pPr>
    </w:p>
    <w:p w14:paraId="6B443607" w14:textId="77777777" w:rsidR="00BC131A" w:rsidRPr="00E2397D" w:rsidRDefault="00BC131A" w:rsidP="00BC131A">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lastRenderedPageBreak/>
        <w:t>La jurisprudencia de la Corte Constitucional</w:t>
      </w:r>
      <w:r w:rsidRPr="00E2397D">
        <w:rPr>
          <w:rFonts w:ascii="Verdana" w:eastAsia="Times New Roman" w:hAnsi="Verdana" w:cs="Arial"/>
          <w:sz w:val="20"/>
          <w:szCs w:val="20"/>
          <w:vertAlign w:val="superscript"/>
          <w:lang w:val="es-MX" w:eastAsia="es-CO"/>
        </w:rPr>
        <w:footnoteReference w:id="4"/>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w:t>
      </w:r>
    </w:p>
    <w:p w14:paraId="32D99611" w14:textId="77777777" w:rsidR="00BC131A" w:rsidRPr="00E2397D" w:rsidRDefault="00BC131A" w:rsidP="00BC131A">
      <w:pPr>
        <w:spacing w:after="0" w:line="276" w:lineRule="auto"/>
        <w:jc w:val="both"/>
        <w:rPr>
          <w:rFonts w:ascii="Verdana" w:eastAsia="Calibri" w:hAnsi="Verdana" w:cs="Arial"/>
          <w:bCs/>
          <w:lang w:val="es-ES_tradnl"/>
        </w:rPr>
      </w:pPr>
    </w:p>
    <w:p w14:paraId="605ED6D3" w14:textId="77777777" w:rsidR="00BC131A" w:rsidRDefault="00BC131A" w:rsidP="00BC131A">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2" w:name="_Hlk77236098"/>
      <w:bookmarkStart w:id="3"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16455E3" w14:textId="77777777" w:rsidR="00BC131A" w:rsidRPr="00E2397D" w:rsidRDefault="00BC131A" w:rsidP="00BC131A">
      <w:pPr>
        <w:spacing w:after="0" w:line="276" w:lineRule="auto"/>
        <w:ind w:firstLine="709"/>
        <w:jc w:val="both"/>
        <w:rPr>
          <w:rFonts w:ascii="Verdana" w:eastAsia="Arial" w:hAnsi="Verdana" w:cs="Arial"/>
          <w:lang w:val="es-ES" w:eastAsia="es-ES" w:bidi="es-ES"/>
        </w:rPr>
      </w:pPr>
    </w:p>
    <w:p w14:paraId="713FBB41" w14:textId="77777777" w:rsidR="00BC131A" w:rsidRPr="00E2397D" w:rsidRDefault="00BC131A" w:rsidP="00BC131A">
      <w:pPr>
        <w:spacing w:after="120" w:line="276" w:lineRule="auto"/>
        <w:jc w:val="both"/>
        <w:rPr>
          <w:rFonts w:ascii="Verdana" w:eastAsia="Arial" w:hAnsi="Verdana" w:cs="Arial"/>
          <w:lang w:val="es-ES" w:eastAsia="es-ES" w:bidi="es-ES"/>
        </w:rPr>
      </w:pPr>
      <w:proofErr w:type="spellStart"/>
      <w:r w:rsidRPr="00E2397D">
        <w:rPr>
          <w:rFonts w:ascii="Verdana" w:eastAsia="Arial" w:hAnsi="Verdana" w:cs="Arial"/>
          <w:lang w:val="es-ES" w:eastAsia="es-ES" w:bidi="es-ES"/>
        </w:rPr>
        <w:t>ii</w:t>
      </w:r>
      <w:proofErr w:type="spellEnd"/>
      <w:r w:rsidRPr="00E2397D">
        <w:rPr>
          <w:rFonts w:ascii="Verdana" w:eastAsia="Arial" w:hAnsi="Verdana" w:cs="Arial"/>
          <w:lang w:val="es-ES" w:eastAsia="es-ES" w:bidi="es-ES"/>
        </w:rPr>
        <w:t>.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2"/>
    </w:p>
    <w:p w14:paraId="34FFABFE" w14:textId="77777777" w:rsidR="00BC131A" w:rsidRPr="00E2397D" w:rsidRDefault="00BC131A" w:rsidP="00BC131A">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7"/>
      </w:r>
      <w:r w:rsidRPr="00E2397D">
        <w:rPr>
          <w:rFonts w:ascii="Verdana" w:eastAsia="Calibri" w:hAnsi="Verdana" w:cs="Arial"/>
        </w:rPr>
        <w:t>.</w:t>
      </w:r>
      <w:r>
        <w:rPr>
          <w:rFonts w:ascii="Verdana" w:eastAsia="Calibri" w:hAnsi="Verdana" w:cs="Arial"/>
        </w:rPr>
        <w:t xml:space="preserve"> </w:t>
      </w:r>
      <w:r w:rsidRPr="003133E5">
        <w:rPr>
          <w:rFonts w:ascii="Verdana" w:hAnsi="Verdana" w:cs="Arial"/>
          <w:lang w:val="es-ES" w:eastAsia="es-CO"/>
        </w:rPr>
        <w:t xml:space="preserve">Es responsabilidad del </w:t>
      </w:r>
      <w:r w:rsidRPr="003133E5">
        <w:rPr>
          <w:rFonts w:ascii="Verdana" w:hAnsi="Verdana" w:cs="Arial"/>
          <w:lang w:val="es-ES" w:eastAsia="es-CO"/>
        </w:rPr>
        <w:lastRenderedPageBreak/>
        <w:t>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F760105" w14:textId="77777777" w:rsidR="00BC131A" w:rsidRDefault="00BC131A" w:rsidP="00BC131A">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3"/>
      <w:r w:rsidRPr="00E2397D">
        <w:rPr>
          <w:rFonts w:ascii="Verdana" w:eastAsia="Calibri" w:hAnsi="Verdana" w:cs="Arial"/>
          <w:vertAlign w:val="superscript"/>
        </w:rPr>
        <w:footnoteReference w:id="8"/>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7D11FD2C" w14:textId="77777777" w:rsidR="00BC131A" w:rsidRDefault="00BC131A" w:rsidP="00BC131A">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362A7174" w14:textId="77777777" w:rsidR="00BC131A" w:rsidRDefault="00BC131A" w:rsidP="00BC131A">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proofErr w:type="spellStart"/>
      <w:r w:rsidRPr="00447D82">
        <w:rPr>
          <w:rFonts w:ascii="Verdana" w:eastAsia="Times New Roman" w:hAnsi="Verdana" w:cs="Arial"/>
          <w:bCs/>
          <w:i/>
          <w:lang w:val="es-ES" w:eastAsia="es-CO"/>
        </w:rPr>
        <w:t>ibídem</w:t>
      </w:r>
      <w:proofErr w:type="spellEnd"/>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xml:space="preserve">.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w:t>
      </w:r>
      <w:r w:rsidRPr="00447D82">
        <w:rPr>
          <w:rFonts w:ascii="Verdana" w:eastAsia="Times New Roman" w:hAnsi="Verdana" w:cs="Arial"/>
          <w:bCs/>
          <w:lang w:val="es-ES" w:eastAsia="es-CO"/>
        </w:rPr>
        <w:lastRenderedPageBreak/>
        <w:t>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154F3B58" w14:textId="77777777" w:rsidR="00BC131A" w:rsidRDefault="00BC131A" w:rsidP="00BC131A">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1BA46E65" w14:textId="77777777" w:rsidR="00BC131A" w:rsidRPr="00894384" w:rsidRDefault="00BC131A" w:rsidP="00BC131A">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Así 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w:t>
      </w:r>
      <w:proofErr w:type="gramStart"/>
      <w:r w:rsidRPr="00894384">
        <w:rPr>
          <w:rFonts w:ascii="Verdana" w:eastAsia="Times New Roman" w:hAnsi="Verdana" w:cs="Arial"/>
          <w:bCs/>
          <w:lang w:val="es-MX" w:eastAsia="es-CO"/>
        </w:rPr>
        <w:t>entrada en vigencia</w:t>
      </w:r>
      <w:proofErr w:type="gramEnd"/>
      <w:r w:rsidRPr="00894384">
        <w:rPr>
          <w:rFonts w:ascii="Verdana" w:eastAsia="Times New Roman" w:hAnsi="Verdana" w:cs="Arial"/>
          <w:bCs/>
          <w:lang w:val="es-MX" w:eastAsia="es-CO"/>
        </w:rPr>
        <w:t xml:space="preserve"> de las prohibiciones anotadas, así como la cesión de </w:t>
      </w:r>
      <w:proofErr w:type="gramStart"/>
      <w:r w:rsidRPr="00894384">
        <w:rPr>
          <w:rFonts w:ascii="Verdana" w:eastAsia="Times New Roman" w:hAnsi="Verdana" w:cs="Arial"/>
          <w:bCs/>
          <w:lang w:val="es-MX" w:eastAsia="es-CO"/>
        </w:rPr>
        <w:t>los mismos</w:t>
      </w:r>
      <w:proofErr w:type="gramEnd"/>
      <w:r w:rsidRPr="00894384">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9"/>
      </w:r>
      <w:r w:rsidRPr="00894384">
        <w:rPr>
          <w:rFonts w:ascii="Verdana" w:eastAsia="Times New Roman" w:hAnsi="Verdana" w:cs="Arial"/>
          <w:bCs/>
          <w:lang w:val="es-MX" w:eastAsia="es-CO"/>
        </w:rPr>
        <w:t xml:space="preserve">. </w:t>
      </w:r>
    </w:p>
    <w:p w14:paraId="0E2BE0DA" w14:textId="77777777" w:rsidR="00BC131A" w:rsidRPr="00E2397D" w:rsidRDefault="00BC131A" w:rsidP="00BC131A">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445DBB99" w14:textId="77777777" w:rsidR="00BC131A" w:rsidRPr="00E2397D" w:rsidRDefault="00BC131A" w:rsidP="00BC131A">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5AF2C375" w14:textId="77777777" w:rsidR="00BC131A" w:rsidRPr="00E2397D" w:rsidRDefault="00BC131A" w:rsidP="00BC131A">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00E2397D">
        <w:rPr>
          <w:rFonts w:ascii="Verdana" w:eastAsia="Arial" w:hAnsi="Verdana" w:cs="Arial"/>
          <w:sz w:val="20"/>
          <w:szCs w:val="20"/>
          <w:lang w:eastAsia="es-ES" w:bidi="es-ES"/>
        </w:rPr>
        <w:t>se integran parcialmente</w:t>
      </w:r>
      <w:bookmarkEnd w:id="6"/>
      <w:r w:rsidRPr="00E2397D">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E2397D">
        <w:rPr>
          <w:rFonts w:ascii="Verdana" w:eastAsia="Arial" w:hAnsi="Verdana" w:cs="Arial"/>
          <w:sz w:val="20"/>
          <w:szCs w:val="20"/>
          <w:lang w:eastAsia="es-ES" w:bidi="es-ES"/>
        </w:rPr>
        <w:t>Presidente</w:t>
      </w:r>
      <w:proofErr w:type="gramEnd"/>
      <w:r w:rsidRPr="00E2397D">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0"/>
      </w:r>
    </w:p>
    <w:p w14:paraId="2E414868" w14:textId="77777777" w:rsidR="00BC131A" w:rsidRPr="00E2397D" w:rsidRDefault="00BC131A" w:rsidP="00BC131A">
      <w:pPr>
        <w:widowControl w:val="0"/>
        <w:autoSpaceDE w:val="0"/>
        <w:autoSpaceDN w:val="0"/>
        <w:spacing w:after="0" w:line="276" w:lineRule="auto"/>
        <w:contextualSpacing/>
        <w:rPr>
          <w:rFonts w:ascii="Verdana" w:eastAsia="Arial" w:hAnsi="Verdana" w:cs="Arial"/>
          <w:lang w:val="es-ES" w:eastAsia="es-ES" w:bidi="es-ES"/>
        </w:rPr>
      </w:pPr>
    </w:p>
    <w:p w14:paraId="19837CA6" w14:textId="77777777" w:rsidR="00BC131A" w:rsidRPr="00E2397D" w:rsidRDefault="00BC131A" w:rsidP="00BC131A">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lastRenderedPageBreak/>
        <w:t xml:space="preserve">De conformidad con lo anterior, </w:t>
      </w:r>
      <w:bookmarkStart w:id="7" w:name="_Hlk77236420"/>
      <w:bookmarkStart w:id="8" w:name="_Hlk78818435"/>
      <w:bookmarkStart w:id="9"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7"/>
    </w:p>
    <w:bookmarkEnd w:id="8"/>
    <w:p w14:paraId="6451AEFD" w14:textId="77777777" w:rsidR="00BC131A" w:rsidRPr="00E2397D" w:rsidRDefault="00BC131A" w:rsidP="00BC131A">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9"/>
    <w:p w14:paraId="2CB31314" w14:textId="77777777" w:rsidR="00BC131A" w:rsidRDefault="00BC131A" w:rsidP="00BC131A">
      <w:pPr>
        <w:spacing w:after="0" w:line="276" w:lineRule="auto"/>
        <w:jc w:val="both"/>
        <w:rPr>
          <w:rFonts w:ascii="Verdana" w:hAnsi="Verdana" w:cs="Arial"/>
          <w:color w:val="000000" w:themeColor="text1"/>
          <w:lang w:val="es-ES_tradnl"/>
        </w:rPr>
      </w:pPr>
      <w:r>
        <w:rPr>
          <w:rFonts w:ascii="Verdana" w:eastAsia="Calibri" w:hAnsi="Verdana" w:cs="Arial"/>
        </w:rPr>
        <w:tab/>
      </w:r>
      <w:r w:rsidRPr="132E1F54">
        <w:rPr>
          <w:rFonts w:ascii="Verdana" w:eastAsia="Times New Roman" w:hAnsi="Verdana" w:cs="Arial"/>
          <w:lang w:val="es-ES" w:eastAsia="es-CO"/>
        </w:rPr>
        <w:t xml:space="preserve">Habiendo expuesto el contexto general de la Ley de Garantías, </w:t>
      </w:r>
      <w:r w:rsidRPr="003A096E">
        <w:rPr>
          <w:rFonts w:ascii="Verdana" w:eastAsia="Times New Roman" w:hAnsi="Verdana" w:cs="Arial"/>
          <w:lang w:val="es-ES" w:eastAsia="es-CO"/>
        </w:rPr>
        <w:t xml:space="preserve">resulta posible señalar que </w:t>
      </w:r>
      <w:r>
        <w:rPr>
          <w:rFonts w:ascii="Verdana" w:hAnsi="Verdana" w:cs="Arial"/>
          <w:color w:val="000000" w:themeColor="text1"/>
          <w:lang w:val="es-ES"/>
        </w:rPr>
        <w:t>el</w:t>
      </w:r>
      <w:r w:rsidRPr="00C92A2A">
        <w:rPr>
          <w:rFonts w:ascii="Verdana" w:hAnsi="Verdana" w:cs="Arial"/>
          <w:color w:val="000000" w:themeColor="text1"/>
          <w:lang w:val="es-ES_tradnl"/>
        </w:rPr>
        <w:t xml:space="preserve"> </w:t>
      </w:r>
      <w:r w:rsidRPr="00C92A2A">
        <w:rPr>
          <w:rFonts w:ascii="Verdana" w:hAnsi="Verdana" w:cs="Arial"/>
          <w:i/>
          <w:iCs/>
          <w:color w:val="000000" w:themeColor="text1"/>
          <w:lang w:val="es-ES_tradnl"/>
        </w:rPr>
        <w:t>contrato de prestación de servicios profesionales</w:t>
      </w:r>
      <w:r>
        <w:rPr>
          <w:rFonts w:ascii="Verdana" w:hAnsi="Verdana" w:cs="Arial"/>
          <w:color w:val="000000" w:themeColor="text1"/>
          <w:lang w:val="es-ES_tradnl"/>
        </w:rPr>
        <w:t>, sobre el que se alude en el texto de la consulta,</w:t>
      </w:r>
      <w:r w:rsidRPr="00C92A2A">
        <w:rPr>
          <w:rFonts w:ascii="Verdana" w:hAnsi="Verdana" w:cs="Arial"/>
          <w:color w:val="000000" w:themeColor="text1"/>
          <w:lang w:val="es-ES_tradnl"/>
        </w:rPr>
        <w:t xml:space="preserve"> es uno de los tipos contractuales consagrados en el Estatuto General de Contratación de la Administración Pública, que pueden celebrar las entidades estatales. Se trata de un contrato típico, ya que se encuentra definido en el artículo 32, numeral 3º, de la Ley 80 de 1993, que establece:</w:t>
      </w:r>
    </w:p>
    <w:p w14:paraId="6CEFA0B5" w14:textId="77777777" w:rsidR="00BC131A" w:rsidRPr="00C92A2A" w:rsidRDefault="00BC131A" w:rsidP="00BC131A">
      <w:pPr>
        <w:spacing w:after="0" w:line="276" w:lineRule="auto"/>
        <w:jc w:val="both"/>
        <w:rPr>
          <w:rFonts w:ascii="Verdana" w:hAnsi="Verdana" w:cs="Arial"/>
          <w:color w:val="000000" w:themeColor="text1"/>
          <w:lang w:val="es-ES_tradnl"/>
        </w:rPr>
      </w:pPr>
    </w:p>
    <w:p w14:paraId="3FF533AB" w14:textId="77777777" w:rsidR="00BC131A" w:rsidRPr="00C92A2A" w:rsidRDefault="00BC131A" w:rsidP="00BC131A">
      <w:pPr>
        <w:ind w:left="709" w:right="709"/>
        <w:jc w:val="both"/>
        <w:rPr>
          <w:rFonts w:ascii="Verdana" w:eastAsia="Calibri" w:hAnsi="Verdana" w:cs="Arial"/>
          <w:color w:val="000000" w:themeColor="text1"/>
          <w:sz w:val="21"/>
          <w:szCs w:val="21"/>
          <w:lang w:val="es-ES_tradnl"/>
        </w:rPr>
      </w:pPr>
      <w:r w:rsidRPr="00C92A2A">
        <w:rPr>
          <w:rFonts w:ascii="Verdana" w:eastAsia="Calibri" w:hAnsi="Verdana" w:cs="Arial"/>
          <w:color w:val="000000" w:themeColor="text1"/>
          <w:sz w:val="21"/>
          <w:szCs w:val="21"/>
          <w:lang w:val="es-ES_tradnl"/>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3CCC00F6" w14:textId="77777777" w:rsidR="00BC131A" w:rsidRDefault="00BC131A" w:rsidP="00BC131A">
      <w:pPr>
        <w:spacing w:after="0"/>
        <w:ind w:left="709" w:right="709"/>
        <w:jc w:val="both"/>
        <w:rPr>
          <w:rFonts w:ascii="Verdana" w:eastAsia="Calibri" w:hAnsi="Verdana" w:cs="Arial"/>
          <w:color w:val="000000" w:themeColor="text1"/>
          <w:sz w:val="21"/>
          <w:szCs w:val="21"/>
          <w:lang w:val="es-ES_tradnl"/>
        </w:rPr>
      </w:pPr>
      <w:r w:rsidRPr="00C92A2A">
        <w:rPr>
          <w:rFonts w:ascii="Verdana" w:eastAsia="Calibri" w:hAnsi="Verdana" w:cs="Arial"/>
          <w:color w:val="000000" w:themeColor="text1"/>
          <w:sz w:val="21"/>
          <w:szCs w:val="21"/>
          <w:lang w:val="es-ES_tradnl"/>
        </w:rPr>
        <w:lastRenderedPageBreak/>
        <w:t>En ningún caso estos contratos generan relación laboral ni prestaciones sociales y se celebrarán por el término estrictamente indispensable.</w:t>
      </w:r>
    </w:p>
    <w:p w14:paraId="794DAF09" w14:textId="77777777" w:rsidR="00BC131A" w:rsidRPr="00C92A2A" w:rsidRDefault="00BC131A" w:rsidP="00BC131A">
      <w:pPr>
        <w:spacing w:after="0"/>
        <w:ind w:left="709" w:right="709"/>
        <w:jc w:val="both"/>
        <w:rPr>
          <w:rFonts w:ascii="Verdana" w:eastAsia="Calibri" w:hAnsi="Verdana" w:cs="Arial"/>
          <w:b/>
          <w:color w:val="000000" w:themeColor="text1"/>
          <w:lang w:val="es-ES_tradnl"/>
        </w:rPr>
      </w:pPr>
    </w:p>
    <w:p w14:paraId="3440EC06" w14:textId="77777777" w:rsidR="00BC131A" w:rsidRPr="00C92A2A" w:rsidRDefault="00BC131A" w:rsidP="00BC131A">
      <w:pPr>
        <w:spacing w:line="276" w:lineRule="auto"/>
        <w:ind w:firstLine="709"/>
        <w:jc w:val="both"/>
        <w:rPr>
          <w:rFonts w:ascii="Verdana" w:hAnsi="Verdana" w:cs="Arial"/>
          <w:color w:val="000000" w:themeColor="text1"/>
          <w:lang w:val="es-ES_tradnl"/>
        </w:rPr>
      </w:pPr>
      <w:r w:rsidRPr="00C92A2A">
        <w:rPr>
          <w:rFonts w:ascii="Verdana" w:hAnsi="Verdana" w:cs="Arial"/>
          <w:color w:val="000000" w:themeColor="text1"/>
          <w:lang w:val="es-ES_tradnl"/>
        </w:rPr>
        <w:t xml:space="preserve">De otro lado, </w:t>
      </w:r>
      <w:bookmarkStart w:id="10" w:name="_Hlk208480990"/>
      <w:r w:rsidRPr="00C92A2A">
        <w:rPr>
          <w:rFonts w:ascii="Verdana" w:hAnsi="Verdana" w:cs="Arial"/>
          <w:color w:val="000000" w:themeColor="text1"/>
          <w:lang w:val="es-ES_tradnl"/>
        </w:rPr>
        <w:t>la celebración de</w:t>
      </w:r>
      <w:r>
        <w:rPr>
          <w:rFonts w:ascii="Verdana" w:hAnsi="Verdana" w:cs="Arial"/>
          <w:color w:val="000000" w:themeColor="text1"/>
          <w:lang w:val="es-ES_tradnl"/>
        </w:rPr>
        <w:t xml:space="preserve">l contrato de prestación de servicios </w:t>
      </w:r>
      <w:r w:rsidRPr="00C92A2A">
        <w:rPr>
          <w:rFonts w:ascii="Verdana" w:hAnsi="Verdana" w:cs="Arial"/>
          <w:color w:val="000000" w:themeColor="text1"/>
          <w:lang w:val="es-ES_tradnl"/>
        </w:rPr>
        <w:t>se debe efectuar a través de la modalidad de la contratación directa</w:t>
      </w:r>
      <w:r w:rsidRPr="00C92A2A">
        <w:rPr>
          <w:rStyle w:val="Refdenotaalpie"/>
          <w:rFonts w:ascii="Verdana" w:hAnsi="Verdana" w:cs="Arial"/>
          <w:color w:val="000000" w:themeColor="text1"/>
          <w:lang w:val="es-ES_tradnl"/>
        </w:rPr>
        <w:footnoteReference w:id="11"/>
      </w:r>
      <w:r w:rsidRPr="00C92A2A">
        <w:rPr>
          <w:rFonts w:ascii="Verdana" w:hAnsi="Verdana" w:cs="Arial"/>
          <w:color w:val="000000" w:themeColor="text1"/>
          <w:lang w:val="es-ES_tradnl"/>
        </w:rPr>
        <w:t>, independientemente de la cuantía y del tipo de servicio profesional, siempre que este no ingrese dentro del objeto del contrato de consultoría, pues, como lo indicó el Consejo de Estado en la sentencia de unificación jurisprudencial del 2 de diciembre de 2013</w:t>
      </w:r>
      <w:r w:rsidRPr="00C92A2A">
        <w:rPr>
          <w:rStyle w:val="Refdenotaalpie"/>
          <w:rFonts w:ascii="Verdana" w:hAnsi="Verdana" w:cs="Arial"/>
          <w:color w:val="000000" w:themeColor="text1"/>
          <w:lang w:val="es-ES_tradnl"/>
        </w:rPr>
        <w:footnoteReference w:id="12"/>
      </w:r>
      <w:r w:rsidRPr="00C92A2A">
        <w:rPr>
          <w:rFonts w:ascii="Verdana" w:hAnsi="Verdana" w:cs="Arial"/>
          <w:color w:val="000000" w:themeColor="text1"/>
          <w:lang w:val="es-ES_tradnl"/>
        </w:rPr>
        <w:t>, si bien en ambos existe un componente intelectual, profesional e intangible, el objeto del contrato de consultoría es especial y debe celebrarse, por regla general, precedido de un concurso de méritos</w:t>
      </w:r>
      <w:r w:rsidRPr="00C92A2A">
        <w:rPr>
          <w:rStyle w:val="Refdenotaalpie"/>
          <w:rFonts w:ascii="Verdana" w:hAnsi="Verdana" w:cs="Arial"/>
          <w:color w:val="000000" w:themeColor="text1"/>
          <w:lang w:val="es-ES_tradnl"/>
        </w:rPr>
        <w:footnoteReference w:id="13"/>
      </w:r>
      <w:r w:rsidRPr="00C92A2A">
        <w:rPr>
          <w:rFonts w:ascii="Verdana" w:hAnsi="Verdana" w:cs="Arial"/>
          <w:color w:val="000000" w:themeColor="text1"/>
          <w:lang w:val="es-ES_tradnl"/>
        </w:rPr>
        <w:t>. En tal sentido, al establecer el artículo 2, numeral 4, literal h) de la Ley 1150 de 2007, que para la prestación de servicios profesionales y de apoyo a la gestión –o para la ejecución de trabajos artísticos que sólo puedan encomendarse a determinadas personas naturales–, aplica la contratación directa, no es posible hacer uso de esta causal de contratación directa durante el tiempo que rige la prohibición establecida en el artículo 33 de la Ley 996 de 2005</w:t>
      </w:r>
      <w:r>
        <w:rPr>
          <w:rFonts w:ascii="Verdana" w:hAnsi="Verdana" w:cs="Arial"/>
          <w:color w:val="000000" w:themeColor="text1"/>
          <w:lang w:val="es-ES_tradnl"/>
        </w:rPr>
        <w:t>.</w:t>
      </w:r>
      <w:bookmarkEnd w:id="10"/>
    </w:p>
    <w:p w14:paraId="39AB707B" w14:textId="77777777" w:rsidR="00BC131A" w:rsidRPr="00E2397D" w:rsidRDefault="00BC131A" w:rsidP="00BC131A">
      <w:pPr>
        <w:spacing w:after="120" w:line="276" w:lineRule="auto"/>
        <w:ind w:firstLine="709"/>
        <w:jc w:val="both"/>
        <w:rPr>
          <w:rFonts w:ascii="Verdana" w:eastAsia="Calibri" w:hAnsi="Verdana" w:cs="Arial"/>
          <w:lang w:bidi="es-ES"/>
        </w:rPr>
      </w:pPr>
      <w:r>
        <w:rPr>
          <w:rFonts w:ascii="Verdana" w:hAnsi="Verdana" w:cs="Arial"/>
          <w:bCs/>
          <w:lang w:val="es-ES_tradnl" w:eastAsia="x-none"/>
        </w:rPr>
        <w:t xml:space="preserve">Por otro lado, frente a los </w:t>
      </w:r>
      <w:r w:rsidRPr="00C92A2A">
        <w:rPr>
          <w:rFonts w:ascii="Verdana" w:hAnsi="Verdana" w:cs="Arial"/>
          <w:bCs/>
          <w:i/>
          <w:iCs/>
          <w:lang w:val="es-ES_tradnl" w:eastAsia="x-none"/>
        </w:rPr>
        <w:t>convenios administrativos</w:t>
      </w:r>
      <w:r>
        <w:rPr>
          <w:rFonts w:ascii="Verdana" w:hAnsi="Verdana" w:cs="Arial"/>
          <w:bCs/>
          <w:lang w:val="es-ES_tradnl" w:eastAsia="x-none"/>
        </w:rPr>
        <w:t xml:space="preserve"> sobre los que también se consulta, </w:t>
      </w:r>
      <w:r w:rsidRPr="00E2397D">
        <w:rPr>
          <w:rFonts w:ascii="Verdana" w:eastAsia="Calibri" w:hAnsi="Verdana" w:cs="Arial"/>
          <w:lang w:eastAsia="es-ES" w:bidi="es-ES"/>
        </w:rPr>
        <w:t xml:space="preserve">resulta necesario precisar el alcance de la prohibición </w:t>
      </w:r>
      <w:r w:rsidRPr="00E2397D">
        <w:rPr>
          <w:rFonts w:ascii="Verdana" w:eastAsia="Arial" w:hAnsi="Verdana" w:cs="Arial"/>
          <w:lang w:val="es-ES" w:eastAsia="es-ES" w:bidi="es-ES"/>
        </w:rPr>
        <w:t>establecida en e</w:t>
      </w:r>
      <w:r w:rsidRPr="00E2397D">
        <w:rPr>
          <w:rFonts w:ascii="Verdana" w:eastAsia="Calibri" w:hAnsi="Verdana" w:cs="Arial"/>
        </w:rPr>
        <w:t>l parágrafo del artículo 38 de la Ley 996 de 2005.</w:t>
      </w:r>
      <w:r>
        <w:rPr>
          <w:rFonts w:ascii="Verdana" w:eastAsia="Calibri" w:hAnsi="Verdana" w:cs="Arial"/>
        </w:rPr>
        <w:t xml:space="preserve"> </w:t>
      </w:r>
      <w:r w:rsidRPr="00E2397D">
        <w:rPr>
          <w:rFonts w:ascii="Verdana" w:eastAsia="Times New Roman" w:hAnsi="Verdana" w:cs="Arial"/>
          <w:lang w:val="es-MX" w:eastAsia="x-none"/>
        </w:rPr>
        <w:t xml:space="preserve">Sobre este aspecto, es importante señalar que esta Subdirección, en los conceptos emitidos sobre la aplicación de la Ley de Garantías Electorales, ha defendido y mantenido la postura acerca de que la prohibición señalada en </w:t>
      </w:r>
      <w:r w:rsidRPr="00E2397D">
        <w:rPr>
          <w:rFonts w:ascii="Verdana" w:eastAsia="Arial" w:hAnsi="Verdana" w:cs="Arial"/>
          <w:lang w:val="es-ES" w:eastAsia="es-ES" w:bidi="es-ES"/>
        </w:rPr>
        <w:t>e</w:t>
      </w:r>
      <w:r w:rsidRPr="00E2397D">
        <w:rPr>
          <w:rFonts w:ascii="Verdana" w:eastAsia="Calibri" w:hAnsi="Verdana" w:cs="Arial"/>
        </w:rPr>
        <w:t xml:space="preserve">l parágrafo del artículo 38 cobija tanto a los convenios como a los contratos interadministrativos. Esta tesis se fundamenta en que </w:t>
      </w:r>
      <w:r w:rsidRPr="00E2397D">
        <w:rPr>
          <w:rFonts w:ascii="Verdana" w:eastAsia="Calibri" w:hAnsi="Verdana" w:cs="Arial"/>
          <w:lang w:bidi="es-ES"/>
        </w:rPr>
        <w:t>si bien actualmente el Estatuto General de Contratación de la Administración Públ</w:t>
      </w:r>
      <w:r>
        <w:rPr>
          <w:rFonts w:ascii="Verdana" w:eastAsia="Calibri" w:hAnsi="Verdana" w:cs="Arial"/>
          <w:lang w:bidi="es-ES"/>
        </w:rPr>
        <w:t xml:space="preserve">ica </w:t>
      </w:r>
      <w:r w:rsidRPr="00587DDB">
        <w:rPr>
          <w:rFonts w:ascii="Verdana" w:eastAsia="Calibri" w:hAnsi="Verdana" w:cs="Times New Roman"/>
        </w:rPr>
        <w:t>—</w:t>
      </w:r>
      <w:r>
        <w:rPr>
          <w:rFonts w:ascii="Verdana" w:eastAsia="Calibri" w:hAnsi="Verdana" w:cs="Arial"/>
          <w:lang w:bidi="es-ES"/>
        </w:rPr>
        <w:t>en adelante EGCAP</w:t>
      </w:r>
      <w:r w:rsidRPr="00587DDB">
        <w:rPr>
          <w:rFonts w:ascii="Verdana" w:eastAsia="Calibri" w:hAnsi="Verdana" w:cs="Times New Roman"/>
        </w:rPr>
        <w:t>—</w:t>
      </w:r>
      <w:r>
        <w:rPr>
          <w:rFonts w:ascii="Verdana" w:eastAsia="Calibri" w:hAnsi="Verdana" w:cs="Arial"/>
          <w:lang w:bidi="es-ES"/>
        </w:rPr>
        <w:t xml:space="preserve"> se refiere</w:t>
      </w:r>
      <w:r w:rsidRPr="00E2397D">
        <w:rPr>
          <w:rFonts w:ascii="Verdana" w:eastAsia="Calibri" w:hAnsi="Verdana" w:cs="Arial"/>
          <w:lang w:bidi="es-ES"/>
        </w:rPr>
        <w:t xml:space="preserve"> de manera expresa al contrato interadministrativo o en términos generales a los </w:t>
      </w:r>
      <w:r w:rsidRPr="00E2397D">
        <w:rPr>
          <w:rFonts w:ascii="Verdana" w:eastAsia="Calibri" w:hAnsi="Verdana" w:cs="Arial"/>
          <w:lang w:bidi="es-ES"/>
        </w:rPr>
        <w:lastRenderedPageBreak/>
        <w:t xml:space="preserve">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0106F169" w14:textId="77777777" w:rsidR="00BC131A" w:rsidRPr="00E2397D" w:rsidRDefault="00BC131A" w:rsidP="00BC131A">
      <w:pPr>
        <w:spacing w:after="120" w:line="276" w:lineRule="auto"/>
        <w:ind w:firstLine="709"/>
        <w:jc w:val="both"/>
        <w:rPr>
          <w:rFonts w:ascii="Verdana" w:eastAsia="Calibri" w:hAnsi="Verdana" w:cs="Arial"/>
          <w:lang w:bidi="es-ES"/>
        </w:rPr>
      </w:pPr>
      <w:r w:rsidRPr="00E2397D">
        <w:rPr>
          <w:rFonts w:ascii="Verdana" w:eastAsia="Calibri" w:hAnsi="Verdana" w:cs="Arial"/>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E2397D">
        <w:rPr>
          <w:rFonts w:ascii="Verdana" w:eastAsia="Arial" w:hAnsi="Verdana" w:cs="Arial"/>
          <w:lang w:val="es-ES" w:eastAsia="es-ES" w:bidi="es-ES"/>
        </w:rPr>
        <w:t>el legislador y el ordenamiento jurídico, en general, en distintas ocasiones utiliza de forma indistinta los conceptos de contrato o convenio para referirse a la misma institución jurídica</w:t>
      </w:r>
      <w:r w:rsidRPr="00E2397D">
        <w:rPr>
          <w:rFonts w:ascii="Verdana" w:eastAsia="Arial" w:hAnsi="Verdana" w:cs="Arial"/>
          <w:vertAlign w:val="superscript"/>
          <w:lang w:val="es-ES" w:eastAsia="es-ES" w:bidi="es-ES"/>
        </w:rPr>
        <w:footnoteReference w:id="14"/>
      </w:r>
      <w:r w:rsidRPr="00E2397D">
        <w:rPr>
          <w:rFonts w:ascii="Verdana" w:eastAsia="Arial" w:hAnsi="Verdana" w:cs="Arial"/>
          <w:lang w:val="es-ES" w:eastAsia="es-ES" w:bidi="es-ES"/>
        </w:rPr>
        <w:t>. Incluso, la Corte Constitucional fundamenta la posibilidad de celebrar convenios interadministrativos de forma directa, con fundamento en la causal establecida en la Ley 1150 de 2007 respecto a los contratos interadministrativos</w:t>
      </w:r>
      <w:r w:rsidRPr="00E2397D">
        <w:rPr>
          <w:rFonts w:ascii="Verdana" w:eastAsia="Arial" w:hAnsi="Verdana" w:cs="Arial"/>
          <w:vertAlign w:val="superscript"/>
          <w:lang w:val="es-ES" w:eastAsia="es-ES" w:bidi="es-ES"/>
        </w:rPr>
        <w:footnoteReference w:id="15"/>
      </w:r>
      <w:r w:rsidRPr="00E2397D">
        <w:rPr>
          <w:rFonts w:ascii="Verdana" w:eastAsia="Arial" w:hAnsi="Verdana" w:cs="Arial"/>
          <w:lang w:val="es-ES" w:eastAsia="es-ES" w:bidi="es-ES"/>
        </w:rPr>
        <w:t>.</w:t>
      </w:r>
    </w:p>
    <w:p w14:paraId="0267EAA4" w14:textId="77777777" w:rsidR="00BC131A" w:rsidRPr="00E2397D" w:rsidRDefault="00BC131A" w:rsidP="00BC131A">
      <w:pPr>
        <w:widowControl w:val="0"/>
        <w:autoSpaceDE w:val="0"/>
        <w:autoSpaceDN w:val="0"/>
        <w:spacing w:after="0" w:line="276" w:lineRule="auto"/>
        <w:ind w:firstLine="709"/>
        <w:contextualSpacing/>
        <w:jc w:val="both"/>
        <w:rPr>
          <w:rFonts w:ascii="Verdana" w:eastAsia="Arial" w:hAnsi="Verdana" w:cs="Arial"/>
          <w:lang w:val="es-ES" w:eastAsia="es-ES" w:bidi="es-ES"/>
        </w:rPr>
      </w:pPr>
      <w:r w:rsidRPr="00E2397D">
        <w:rPr>
          <w:rFonts w:ascii="Verdana" w:eastAsia="Calibri" w:hAnsi="Verdana" w:cs="Arial"/>
          <w:lang w:val="es-ES" w:bidi="es-ES"/>
        </w:rPr>
        <w:t>De este modo, en la Circular Externa</w:t>
      </w:r>
      <w:r w:rsidRPr="00E2397D">
        <w:rPr>
          <w:rFonts w:ascii="Verdana" w:eastAsia="Arial" w:hAnsi="Verdana" w:cs="Arial"/>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 En este sentido, la Circular, refiriéndose al parágrafo del artículo 38 de la Ley 996 de 2005, expresa lo siguiente en el numeral 16.2:</w:t>
      </w:r>
    </w:p>
    <w:p w14:paraId="67A15079" w14:textId="77777777" w:rsidR="00BC131A" w:rsidRPr="00E2397D" w:rsidRDefault="00BC131A" w:rsidP="00BC131A">
      <w:pPr>
        <w:widowControl w:val="0"/>
        <w:autoSpaceDE w:val="0"/>
        <w:autoSpaceDN w:val="0"/>
        <w:spacing w:after="0" w:line="276" w:lineRule="auto"/>
        <w:contextualSpacing/>
        <w:jc w:val="both"/>
        <w:rPr>
          <w:rFonts w:ascii="Verdana" w:eastAsia="Arial" w:hAnsi="Verdana" w:cs="Arial"/>
          <w:lang w:val="es-ES" w:eastAsia="es-ES" w:bidi="es-ES"/>
        </w:rPr>
      </w:pPr>
    </w:p>
    <w:p w14:paraId="32990E74" w14:textId="77777777" w:rsidR="00BC131A" w:rsidRPr="00E2397D" w:rsidRDefault="00BC131A" w:rsidP="00BC131A">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ES_tradnl"/>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w:t>
      </w:r>
      <w:r w:rsidRPr="00E2397D">
        <w:rPr>
          <w:rFonts w:ascii="Verdana" w:eastAsia="Calibri" w:hAnsi="Verdana" w:cs="Arial"/>
          <w:sz w:val="20"/>
          <w:szCs w:val="20"/>
          <w:lang w:val="es-MX"/>
        </w:rPr>
        <w:t>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p>
    <w:p w14:paraId="34CC573A" w14:textId="77777777" w:rsidR="00BC131A" w:rsidRPr="00E2397D" w:rsidRDefault="00BC131A" w:rsidP="00BC131A">
      <w:pPr>
        <w:spacing w:after="0" w:line="240" w:lineRule="auto"/>
        <w:ind w:left="709" w:right="709"/>
        <w:jc w:val="both"/>
        <w:rPr>
          <w:rFonts w:ascii="Verdana" w:eastAsia="Calibri" w:hAnsi="Verdana" w:cs="Arial"/>
          <w:sz w:val="20"/>
          <w:szCs w:val="20"/>
          <w:lang w:val="es-MX"/>
        </w:rPr>
      </w:pPr>
    </w:p>
    <w:p w14:paraId="1E3B12CE" w14:textId="77777777" w:rsidR="00BC131A" w:rsidRPr="00E2397D" w:rsidRDefault="00BC131A" w:rsidP="00BC131A">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MX"/>
        </w:rPr>
        <w:lastRenderedPageBreak/>
        <w:t>No obstante, por vía jurisprudencial se ha establecido que en los contratos interadministrativos existe una contraprestación directa a favor de la entidad que ha entregado el bien o prestado el servicio a la Entidad contratante, habilitado para ello por su objeto legal como entidad ejecutora, como quiera que las obligaciones asignadas legalmente a aquella entidad pública están directamente relacionadas con el objeto contractual. Por su parte, en los convenios interadministrativos las entidades se asocian con el fin de cooperar en el cumplimiento de funciones administrativas o de prestar conjuntamente servicios que se hallen a su cargo, sin que exista una contraprestación para ninguna de las entidades ni la prestación de un servicio a cargo de alguna de ellas y en favor de la otra parte del convenio.</w:t>
      </w:r>
    </w:p>
    <w:p w14:paraId="5B4D2E4B" w14:textId="77777777" w:rsidR="00BC131A" w:rsidRPr="00E2397D" w:rsidRDefault="00BC131A" w:rsidP="00BC131A">
      <w:pPr>
        <w:spacing w:after="0" w:line="240" w:lineRule="auto"/>
        <w:ind w:left="709" w:right="709"/>
        <w:jc w:val="both"/>
        <w:rPr>
          <w:rFonts w:ascii="Verdana" w:eastAsia="Calibri" w:hAnsi="Verdana" w:cs="Arial"/>
          <w:sz w:val="20"/>
          <w:szCs w:val="20"/>
          <w:lang w:val="es-MX"/>
        </w:rPr>
      </w:pPr>
    </w:p>
    <w:p w14:paraId="3AF5DBB2" w14:textId="77777777" w:rsidR="00BC131A" w:rsidRPr="00E2397D" w:rsidRDefault="00BC131A" w:rsidP="00BC131A">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MX"/>
        </w:rPr>
        <w:t>En el contexto de la Ley de Garantías, las restricciones además de propender por la igualdad de los candidatos están encaminadas a evitar que por medio de la contratación se altere la voluntad popular, lo cual se puede lograr a través de contratos o convenios.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04FA1D73" w14:textId="77777777" w:rsidR="00BC131A" w:rsidRPr="00E2397D" w:rsidRDefault="00BC131A" w:rsidP="00BC131A">
      <w:pPr>
        <w:widowControl w:val="0"/>
        <w:autoSpaceDE w:val="0"/>
        <w:autoSpaceDN w:val="0"/>
        <w:spacing w:after="0" w:line="276" w:lineRule="auto"/>
        <w:contextualSpacing/>
        <w:jc w:val="both"/>
        <w:rPr>
          <w:rFonts w:ascii="Verdana" w:eastAsia="Arial" w:hAnsi="Verdana" w:cs="Arial"/>
          <w:lang w:val="es-ES" w:eastAsia="es-ES" w:bidi="es-ES"/>
        </w:rPr>
      </w:pPr>
    </w:p>
    <w:p w14:paraId="0A4879D5" w14:textId="77777777" w:rsidR="00BC131A" w:rsidRPr="00E2397D" w:rsidRDefault="00BC131A" w:rsidP="00BC131A">
      <w:pPr>
        <w:spacing w:after="120" w:line="276" w:lineRule="auto"/>
        <w:ind w:firstLine="709"/>
        <w:jc w:val="both"/>
        <w:rPr>
          <w:rFonts w:ascii="Verdana" w:eastAsia="Arial" w:hAnsi="Verdana" w:cs="Arial"/>
          <w:lang w:val="es-MX" w:eastAsia="es-ES" w:bidi="es-ES"/>
        </w:rPr>
      </w:pPr>
      <w:r w:rsidRPr="00E2397D">
        <w:rPr>
          <w:rFonts w:ascii="Verdana" w:eastAsia="Arial" w:hAnsi="Verdana" w:cs="Arial"/>
          <w:lang w:val="es-ES" w:eastAsia="es-ES" w:bidi="es-ES"/>
        </w:rPr>
        <w:t>Con base en lo expuesto, debido a que no existe una definición legal que diferencie los conceptos de contrato y convenio</w:t>
      </w:r>
      <w:r w:rsidRPr="231A89F4">
        <w:rPr>
          <w:rFonts w:ascii="Verdana" w:eastAsia="Arial" w:hAnsi="Verdana" w:cs="Arial"/>
          <w:lang w:val="es-ES" w:eastAsia="es-ES" w:bidi="es-ES"/>
        </w:rPr>
        <w:t xml:space="preserve"> interadministrativos</w:t>
      </w:r>
      <w:r w:rsidRPr="00E2397D">
        <w:rPr>
          <w:rFonts w:ascii="Verdana" w:eastAsia="Arial" w:hAnsi="Verdana" w:cs="Arial"/>
          <w:lang w:val="es-ES" w:eastAsia="es-ES" w:bidi="es-ES"/>
        </w:rPr>
        <w:t>, esta Agencia ha partido de su asimilación para la aplicación de la Ley de Garantías Electorales, por lo que la interpretación que se ha efectuado d</w:t>
      </w:r>
      <w:r w:rsidRPr="00E2397D">
        <w:rPr>
          <w:rFonts w:ascii="Verdana" w:eastAsia="Arial" w:hAnsi="Verdana" w:cs="Arial"/>
          <w:lang w:val="es-MX" w:eastAsia="es-ES" w:bidi="es-ES"/>
        </w:rPr>
        <w:t>el parágrafo del artículo 38 de la Ley 996 de 2005 es que prohíbe a los alcaldes, gobernadores, secretarios, gerentes y directores de las entidades del orden municipal, departamental o distrital celebrar convenios y contratos interadministrativos para la ejecución de recursos públicos.</w:t>
      </w:r>
    </w:p>
    <w:p w14:paraId="19768492" w14:textId="77777777" w:rsidR="00BC131A" w:rsidRPr="00E2397D" w:rsidRDefault="00BC131A" w:rsidP="00BC131A">
      <w:pPr>
        <w:spacing w:after="0" w:line="276" w:lineRule="auto"/>
        <w:ind w:firstLine="709"/>
        <w:jc w:val="both"/>
      </w:pPr>
      <w:r w:rsidRPr="00E2397D">
        <w:rPr>
          <w:rFonts w:ascii="Verdana" w:eastAsia="Arial" w:hAnsi="Verdana" w:cs="Arial"/>
          <w:lang w:val="es-MX" w:eastAsia="es-ES" w:bidi="es-ES"/>
        </w:rPr>
        <w:t xml:space="preserve">No obstante, conviene señalar que, mediante auto de 4 de octubre del 2024, el Consejo de Estado, Sección Tercera, decretó medida de suspensión provisional parcial del </w:t>
      </w:r>
      <w:r w:rsidRPr="00E2397D">
        <w:rPr>
          <w:rFonts w:ascii="Verdana" w:hAnsi="Verdana"/>
        </w:rPr>
        <w:t xml:space="preserve">numeral 16.2 de la Circular Externa Única de 2022 expedida por la Agencia Nacional de Contratación Pública </w:t>
      </w:r>
      <w:r w:rsidRPr="00587DDB">
        <w:rPr>
          <w:rFonts w:ascii="Verdana" w:eastAsia="Calibri" w:hAnsi="Verdana" w:cs="Times New Roman"/>
        </w:rPr>
        <w:t>—</w:t>
      </w:r>
      <w:r w:rsidRPr="00E2397D">
        <w:rPr>
          <w:rFonts w:ascii="Verdana" w:hAnsi="Verdana"/>
        </w:rPr>
        <w:t>Colombia Compra Eficiente</w:t>
      </w:r>
      <w:r w:rsidRPr="00587DDB">
        <w:rPr>
          <w:rFonts w:ascii="Verdana" w:eastAsia="Calibri" w:hAnsi="Verdana" w:cs="Times New Roman"/>
        </w:rPr>
        <w:t>—</w:t>
      </w:r>
      <w:r>
        <w:rPr>
          <w:rFonts w:ascii="Verdana" w:eastAsia="Calibri" w:hAnsi="Verdana" w:cs="Times New Roman"/>
        </w:rPr>
        <w:t xml:space="preserve">, </w:t>
      </w:r>
      <w:r w:rsidRPr="00E2397D">
        <w:rPr>
          <w:rFonts w:ascii="Verdana" w:hAnsi="Verdana"/>
        </w:rPr>
        <w:t>concretamente, respecto de los siguientes apartes normativos</w:t>
      </w:r>
      <w:r w:rsidRPr="00E2397D">
        <w:rPr>
          <w:rFonts w:ascii="Verdana" w:hAnsi="Verdana"/>
          <w:vertAlign w:val="superscript"/>
        </w:rPr>
        <w:footnoteReference w:id="16"/>
      </w:r>
      <w:r w:rsidRPr="00E2397D">
        <w:rPr>
          <w:rFonts w:ascii="Verdana" w:hAnsi="Verdana"/>
        </w:rPr>
        <w:t>:</w:t>
      </w:r>
      <w:r w:rsidRPr="00E2397D">
        <w:t xml:space="preserve"> </w:t>
      </w:r>
    </w:p>
    <w:p w14:paraId="72C8A49C" w14:textId="77777777" w:rsidR="00BC131A" w:rsidRPr="00E2397D" w:rsidRDefault="00BC131A" w:rsidP="00BC131A">
      <w:pPr>
        <w:spacing w:after="0" w:line="276" w:lineRule="auto"/>
        <w:ind w:firstLine="709"/>
        <w:jc w:val="both"/>
      </w:pPr>
    </w:p>
    <w:p w14:paraId="165FF121" w14:textId="77777777" w:rsidR="00BC131A" w:rsidRPr="00E2397D" w:rsidRDefault="00BC131A" w:rsidP="00BC131A">
      <w:pPr>
        <w:spacing w:after="0" w:line="240" w:lineRule="auto"/>
        <w:ind w:left="709" w:right="709"/>
        <w:jc w:val="both"/>
        <w:rPr>
          <w:rFonts w:ascii="Verdana" w:eastAsia="Calibri" w:hAnsi="Verdana" w:cs="Arial"/>
          <w:sz w:val="20"/>
          <w:szCs w:val="20"/>
        </w:rPr>
      </w:pPr>
      <w:r w:rsidRPr="00E2397D">
        <w:rPr>
          <w:rFonts w:ascii="Verdana" w:eastAsia="Calibri" w:hAnsi="Verdana" w:cs="Arial"/>
          <w:sz w:val="20"/>
          <w:szCs w:val="20"/>
          <w:lang w:val="es-MX"/>
        </w:rPr>
        <w:t>i)</w:t>
      </w:r>
      <w:r w:rsidRPr="00E2397D">
        <w:rPr>
          <w:rFonts w:ascii="Verdana" w:eastAsia="Calibri"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w:t>
      </w:r>
      <w:r w:rsidRPr="00E2397D">
        <w:rPr>
          <w:rFonts w:ascii="Verdana" w:eastAsia="Calibri" w:hAnsi="Verdana" w:cs="Arial"/>
          <w:sz w:val="20"/>
          <w:szCs w:val="20"/>
        </w:rPr>
        <w:lastRenderedPageBreak/>
        <w:t xml:space="preserve">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79B24D96" w14:textId="77777777" w:rsidR="00BC131A" w:rsidRPr="00E2397D" w:rsidRDefault="00BC131A" w:rsidP="00BC131A">
      <w:pPr>
        <w:spacing w:after="0" w:line="240" w:lineRule="auto"/>
        <w:ind w:left="709" w:right="709"/>
        <w:jc w:val="both"/>
        <w:rPr>
          <w:rFonts w:ascii="Verdana" w:eastAsia="Calibri" w:hAnsi="Verdana" w:cs="Arial"/>
          <w:sz w:val="20"/>
          <w:szCs w:val="20"/>
        </w:rPr>
      </w:pPr>
    </w:p>
    <w:p w14:paraId="48576216" w14:textId="77777777" w:rsidR="00BC131A" w:rsidRPr="00E2397D" w:rsidRDefault="00BC131A" w:rsidP="00BC131A">
      <w:pPr>
        <w:spacing w:after="0" w:line="240" w:lineRule="auto"/>
        <w:ind w:left="709" w:right="709"/>
        <w:jc w:val="both"/>
        <w:rPr>
          <w:rFonts w:ascii="Verdana" w:hAnsi="Verdana"/>
          <w:sz w:val="20"/>
          <w:szCs w:val="20"/>
        </w:rPr>
      </w:pPr>
      <w:proofErr w:type="spellStart"/>
      <w:r w:rsidRPr="00E2397D">
        <w:rPr>
          <w:rFonts w:ascii="Verdana" w:hAnsi="Verdana"/>
          <w:sz w:val="20"/>
          <w:szCs w:val="20"/>
        </w:rPr>
        <w:t>ii</w:t>
      </w:r>
      <w:proofErr w:type="spellEnd"/>
      <w:r w:rsidRPr="00E2397D">
        <w:rPr>
          <w:rFonts w:ascii="Verdana" w:hAnsi="Verdana"/>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5B5AC3BA" w14:textId="77777777" w:rsidR="00BC131A" w:rsidRPr="00E2397D" w:rsidRDefault="00BC131A" w:rsidP="00BC131A">
      <w:pPr>
        <w:spacing w:after="0" w:line="276" w:lineRule="auto"/>
        <w:ind w:left="709" w:right="709"/>
        <w:jc w:val="both"/>
        <w:rPr>
          <w:rFonts w:ascii="Verdana" w:hAnsi="Verdana"/>
        </w:rPr>
      </w:pPr>
    </w:p>
    <w:p w14:paraId="44139953" w14:textId="77777777" w:rsidR="00BC131A" w:rsidRPr="00E2397D" w:rsidRDefault="00BC131A" w:rsidP="00BC131A">
      <w:pPr>
        <w:spacing w:after="120" w:line="276" w:lineRule="auto"/>
        <w:ind w:firstLine="709"/>
        <w:jc w:val="both"/>
        <w:rPr>
          <w:rFonts w:ascii="Verdana" w:eastAsia="Arial" w:hAnsi="Verdana" w:cs="Arial"/>
          <w:i/>
          <w:iCs/>
          <w:lang w:val="es-MX" w:eastAsia="es-ES" w:bidi="es-ES"/>
        </w:rPr>
      </w:pPr>
      <w:r w:rsidRPr="00E2397D">
        <w:rPr>
          <w:rFonts w:ascii="Verdana" w:eastAsia="Arial" w:hAnsi="Verdana" w:cs="Arial"/>
          <w:lang w:val="es-MX" w:eastAsia="es-ES" w:bidi="es-ES"/>
        </w:rPr>
        <w:t xml:space="preserve">De conformidad con los argumentos de dicha providencia, se parte de la distinción entre los conceptos </w:t>
      </w:r>
      <w:r w:rsidRPr="00E2397D">
        <w:rPr>
          <w:rFonts w:ascii="Verdana" w:eastAsia="Arial" w:hAnsi="Verdana" w:cs="Arial"/>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E2397D">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E2397D">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E2397D">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3EEDEE6D" w14:textId="77777777" w:rsidR="00BC131A" w:rsidRPr="00E2397D" w:rsidRDefault="00BC131A" w:rsidP="00BC131A">
      <w:pPr>
        <w:spacing w:after="120" w:line="276" w:lineRule="auto"/>
        <w:ind w:firstLine="709"/>
        <w:jc w:val="both"/>
        <w:rPr>
          <w:rFonts w:ascii="Verdana" w:eastAsia="Calibri" w:hAnsi="Verdana" w:cs="Arial"/>
          <w:lang w:val="es-MX"/>
        </w:rPr>
      </w:pPr>
      <w:r w:rsidRPr="00E2397D">
        <w:rPr>
          <w:rFonts w:ascii="Verdana" w:eastAsia="Arial" w:hAnsi="Verdana" w:cs="Arial"/>
          <w:lang w:val="es-MX" w:eastAsia="es-ES" w:bidi="es-ES"/>
        </w:rPr>
        <w:t xml:space="preserve">Bajo este contexto, esta Agencia debe manifestar que, si bien respeta y acata las decisiones proferidas por el Consejo de Estado, como es el caso del auto de suspensión provisional parcial del numeral </w:t>
      </w:r>
      <w:r w:rsidRPr="00E2397D">
        <w:rPr>
          <w:rFonts w:ascii="Verdana" w:eastAsia="Arial" w:hAnsi="Verdana" w:cs="Arial"/>
          <w:lang w:eastAsia="es-ES" w:bidi="es-ES"/>
        </w:rPr>
        <w:t>16.2 de la Circular Externa Única</w:t>
      </w:r>
      <w:r w:rsidRPr="00E2397D">
        <w:rPr>
          <w:rFonts w:ascii="Verdana" w:eastAsia="Arial" w:hAnsi="Verdana" w:cs="Arial"/>
          <w:lang w:val="es-MX" w:eastAsia="es-ES" w:bidi="es-ES"/>
        </w:rPr>
        <w:t xml:space="preserve">, no comparte los argumentos expuestos por dicha Corporación. Esto, en la medida que, a juicio de esta Entidad, señalar que la Ley de Garantías Electorales no aplica para el caso de los contratos interadministrativos deja sin efecto el propósito buscado por la norma, que no es otro que </w:t>
      </w:r>
      <w:r w:rsidRPr="00E2397D">
        <w:rPr>
          <w:rFonts w:ascii="Verdana" w:eastAsia="Times New Roman" w:hAnsi="Verdana" w:cs="Arial"/>
          <w:lang w:val="es-MX" w:eastAsia="es-CO"/>
        </w:rPr>
        <w:t xml:space="preserve">evitar cualquier tipo de arbitrariedad, de ventaja injustificada, de uso irregular de los recursos del Estado en las campañas políticas, o que </w:t>
      </w:r>
      <w:r w:rsidRPr="00E2397D">
        <w:rPr>
          <w:rFonts w:ascii="Verdana" w:eastAsia="Calibri" w:hAnsi="Verdana" w:cs="Arial"/>
          <w:lang w:val="es-MX"/>
        </w:rPr>
        <w:t xml:space="preserve">los recursos del Estado se ejecuten para lograr apoyos indebidos mediante la suscripción de contratos y/o </w:t>
      </w:r>
      <w:r w:rsidRPr="00E2397D">
        <w:rPr>
          <w:rFonts w:ascii="Verdana" w:eastAsia="Calibri" w:hAnsi="Verdana" w:cs="Arial"/>
          <w:lang w:val="es-MX"/>
        </w:rPr>
        <w:lastRenderedPageBreak/>
        <w:t xml:space="preserve">convenios, que para efectos de la Ley de Garantías tienen la misma connotación y propósitos. </w:t>
      </w:r>
    </w:p>
    <w:p w14:paraId="48E0AD4E" w14:textId="77777777" w:rsidR="00BC131A" w:rsidRPr="00E2397D" w:rsidRDefault="00BC131A" w:rsidP="00BC131A">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que </w:t>
      </w:r>
      <w:r w:rsidRPr="00E2397D">
        <w:rPr>
          <w:rFonts w:ascii="Verdana" w:eastAsia="Times New Roman" w:hAnsi="Verdana" w:cs="Arial"/>
          <w:lang w:val="es-MX" w:eastAsia="es-CO"/>
        </w:rPr>
        <w:t xml:space="preserve">el parágrafo del artículo 38 de la Ley 996 de 2005 prohíbe a los </w:t>
      </w:r>
      <w:proofErr w:type="gramStart"/>
      <w:r w:rsidRPr="00E2397D">
        <w:rPr>
          <w:rFonts w:ascii="Verdana" w:eastAsia="Times New Roman" w:hAnsi="Verdana" w:cs="Arial"/>
          <w:lang w:val="es-MX" w:eastAsia="es-CO"/>
        </w:rPr>
        <w:t>Alcaldes</w:t>
      </w:r>
      <w:proofErr w:type="gramEnd"/>
      <w:r w:rsidRPr="00E2397D">
        <w:rPr>
          <w:rFonts w:ascii="Verdana" w:eastAsia="Times New Roman" w:hAnsi="Verdana" w:cs="Arial"/>
          <w:lang w:val="es-MX" w:eastAsia="es-CO"/>
        </w:rPr>
        <w:t xml:space="preserve">, Gobernadores, </w:t>
      </w:r>
      <w:proofErr w:type="gramStart"/>
      <w:r w:rsidRPr="00E2397D">
        <w:rPr>
          <w:rFonts w:ascii="Verdana" w:eastAsia="Times New Roman" w:hAnsi="Verdana" w:cs="Arial"/>
          <w:lang w:val="es-MX" w:eastAsia="es-CO"/>
        </w:rPr>
        <w:t>Secretarios</w:t>
      </w:r>
      <w:proofErr w:type="gramEnd"/>
      <w:r w:rsidRPr="00E2397D">
        <w:rPr>
          <w:rFonts w:ascii="Verdana" w:eastAsia="Times New Roman" w:hAnsi="Verdana" w:cs="Arial"/>
          <w:lang w:val="es-MX" w:eastAsia="es-CO"/>
        </w:rPr>
        <w:t xml:space="preserve">, Gerentes y </w:t>
      </w:r>
      <w:proofErr w:type="gramStart"/>
      <w:r w:rsidRPr="00E2397D">
        <w:rPr>
          <w:rFonts w:ascii="Verdana" w:eastAsia="Times New Roman" w:hAnsi="Verdana" w:cs="Arial"/>
          <w:lang w:val="es-MX" w:eastAsia="es-CO"/>
        </w:rPr>
        <w:t>Directores</w:t>
      </w:r>
      <w:proofErr w:type="gramEnd"/>
      <w:r w:rsidRPr="00E2397D">
        <w:rPr>
          <w:rFonts w:ascii="Verdana" w:eastAsia="Times New Roman" w:hAnsi="Verdana" w:cs="Arial"/>
          <w:lang w:val="es-MX" w:eastAsia="es-CO"/>
        </w:rPr>
        <w:t xml:space="preserve"> de las entidades 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 xml:space="preserve">, 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Ahora bien, como se expuso anteriormente, para esta Agencia tal restricción también cobijaría a los contratos interadministrativos.  </w:t>
      </w:r>
    </w:p>
    <w:p w14:paraId="6E655DC7" w14:textId="77777777" w:rsidR="00BC131A" w:rsidRDefault="00BC131A" w:rsidP="00BC131A">
      <w:pPr>
        <w:spacing w:after="120" w:line="276" w:lineRule="auto"/>
        <w:ind w:firstLine="709"/>
        <w:jc w:val="both"/>
        <w:rPr>
          <w:rFonts w:ascii="Verdana" w:eastAsia="Arial" w:hAnsi="Verdana" w:cs="Arial"/>
          <w:lang w:val="es-ES" w:eastAsia="es-ES" w:bidi="es-ES"/>
        </w:rPr>
      </w:pPr>
      <w:r w:rsidRPr="00E2397D">
        <w:rPr>
          <w:rFonts w:ascii="Verdana" w:eastAsia="Times New Roman" w:hAnsi="Verdana" w:cs="Arial"/>
          <w:lang w:val="es-ES" w:eastAsia="es-CO" w:bidi="es-ES"/>
        </w:rPr>
        <w:t>En todo caso</w:t>
      </w:r>
      <w:r w:rsidRPr="00E2397D">
        <w:rPr>
          <w:rFonts w:ascii="Verdana" w:eastAsia="Arial" w:hAnsi="Verdana" w:cs="Arial"/>
          <w:lang w:val="es-ES" w:eastAsia="es-ES" w:bidi="es-ES"/>
        </w:rPr>
        <w:t>, es importante resaltar que la Sala de Consulta y Servicio Civil del Consejo de Estado se ha pronunciado en el sentido de que 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r w:rsidRPr="00E2397D">
        <w:rPr>
          <w:rFonts w:ascii="Verdana" w:eastAsia="Arial" w:hAnsi="Verdana" w:cs="Arial"/>
          <w:vertAlign w:val="superscript"/>
          <w:lang w:val="es-ES" w:eastAsia="es-ES" w:bidi="es-ES"/>
        </w:rPr>
        <w:footnoteReference w:id="17"/>
      </w:r>
      <w:r w:rsidRPr="00E2397D">
        <w:rPr>
          <w:rFonts w:ascii="Verdana" w:eastAsia="Arial" w:hAnsi="Verdana" w:cs="Arial"/>
          <w:lang w:val="es-ES" w:eastAsia="es-ES" w:bidi="es-ES"/>
        </w:rPr>
        <w:t>.</w:t>
      </w:r>
    </w:p>
    <w:p w14:paraId="41CB9055" w14:textId="77777777" w:rsidR="00BC131A" w:rsidRDefault="00BC131A" w:rsidP="00BC131A">
      <w:pPr>
        <w:spacing w:after="120" w:line="276" w:lineRule="auto"/>
        <w:ind w:firstLine="709"/>
        <w:jc w:val="both"/>
        <w:rPr>
          <w:rFonts w:ascii="Verdana" w:eastAsia="Calibri" w:hAnsi="Verdana" w:cs="Times New Roman"/>
        </w:rPr>
      </w:pPr>
      <w:r>
        <w:rPr>
          <w:rFonts w:ascii="Verdana" w:eastAsia="Arial" w:hAnsi="Verdana" w:cs="Arial"/>
          <w:lang w:val="es-ES" w:eastAsia="es-ES" w:bidi="es-ES"/>
        </w:rPr>
        <w:t xml:space="preserve">En relación con los </w:t>
      </w:r>
      <w:r w:rsidRPr="00C92A2A">
        <w:rPr>
          <w:rFonts w:ascii="Verdana" w:eastAsia="Arial" w:hAnsi="Verdana" w:cs="Arial"/>
          <w:i/>
          <w:iCs/>
          <w:lang w:val="es-ES" w:eastAsia="es-ES" w:bidi="es-ES"/>
        </w:rPr>
        <w:t>contratos de obra pública</w:t>
      </w:r>
      <w:r>
        <w:rPr>
          <w:rFonts w:ascii="Verdana" w:eastAsia="Arial" w:hAnsi="Verdana" w:cs="Arial"/>
          <w:lang w:val="es-ES" w:eastAsia="es-ES" w:bidi="es-ES"/>
        </w:rPr>
        <w:t xml:space="preserve">, </w:t>
      </w:r>
      <w:r>
        <w:rPr>
          <w:rFonts w:ascii="Verdana" w:eastAsia="Calibri" w:hAnsi="Verdana" w:cs="Times New Roman"/>
        </w:rPr>
        <w:t xml:space="preserve">en virtud de que, por regla general, este tipo de contratos deben adelantarse </w:t>
      </w:r>
      <w:r w:rsidRPr="00E30CEB">
        <w:rPr>
          <w:rFonts w:ascii="Verdana" w:eastAsia="Calibri" w:hAnsi="Verdana" w:cs="Times New Roman"/>
        </w:rPr>
        <w:t xml:space="preserve">mediante procesos de selección competitivos que </w:t>
      </w:r>
      <w:r w:rsidRPr="0B274A7C">
        <w:rPr>
          <w:rFonts w:ascii="Verdana" w:eastAsia="Calibri" w:hAnsi="Verdana" w:cs="Times New Roman"/>
        </w:rPr>
        <w:t>permit</w:t>
      </w:r>
      <w:r>
        <w:rPr>
          <w:rFonts w:ascii="Verdana" w:eastAsia="Calibri" w:hAnsi="Verdana" w:cs="Times New Roman"/>
        </w:rPr>
        <w:t>e</w:t>
      </w:r>
      <w:r w:rsidRPr="0B274A7C">
        <w:rPr>
          <w:rFonts w:ascii="Verdana" w:eastAsia="Calibri" w:hAnsi="Verdana" w:cs="Times New Roman"/>
        </w:rPr>
        <w:t>n</w:t>
      </w:r>
      <w:r w:rsidRPr="00E30CEB">
        <w:rPr>
          <w:rFonts w:ascii="Verdana" w:eastAsia="Calibri" w:hAnsi="Verdana" w:cs="Times New Roman"/>
        </w:rPr>
        <w:t xml:space="preserve"> la pluralidad de oferentes, </w:t>
      </w:r>
      <w:r>
        <w:rPr>
          <w:rFonts w:ascii="Verdana" w:eastAsia="Calibri" w:hAnsi="Verdana" w:cs="Times New Roman"/>
        </w:rPr>
        <w:t xml:space="preserve">tales </w:t>
      </w:r>
      <w:r w:rsidRPr="00E30CEB">
        <w:rPr>
          <w:rFonts w:ascii="Verdana" w:eastAsia="Calibri" w:hAnsi="Verdana" w:cs="Times New Roman"/>
        </w:rPr>
        <w:t>como la licitación pública, la selección abreviada, o la mínima cuantía, la restricción del artículo 33 no resulta aplicable</w:t>
      </w:r>
      <w:r>
        <w:rPr>
          <w:rFonts w:ascii="Verdana" w:eastAsia="Calibri" w:hAnsi="Verdana" w:cs="Times New Roman"/>
        </w:rPr>
        <w:t>.</w:t>
      </w:r>
    </w:p>
    <w:p w14:paraId="396CDC3B" w14:textId="77777777" w:rsidR="00BC131A" w:rsidRDefault="00BC131A" w:rsidP="00BC131A">
      <w:pPr>
        <w:spacing w:after="120" w:line="276" w:lineRule="auto"/>
        <w:ind w:firstLine="709"/>
        <w:jc w:val="both"/>
        <w:rPr>
          <w:rFonts w:ascii="Verdana" w:eastAsia="Calibri" w:hAnsi="Verdana" w:cs="Arial"/>
          <w:lang w:val="es-ES"/>
        </w:rPr>
      </w:pPr>
      <w:r>
        <w:rPr>
          <w:rFonts w:ascii="Verdana" w:eastAsia="Calibri" w:hAnsi="Verdana" w:cs="Times New Roman"/>
        </w:rPr>
        <w:t>Así mismo, en los casos en los que l</w:t>
      </w:r>
      <w:r w:rsidRPr="00C2327B">
        <w:rPr>
          <w:rFonts w:ascii="Verdana" w:eastAsia="Calibri" w:hAnsi="Verdana" w:cs="Times New Roman"/>
        </w:rPr>
        <w:t>a escogencia del contratista de obra pública</w:t>
      </w:r>
      <w:r>
        <w:rPr>
          <w:rFonts w:ascii="Verdana" w:eastAsia="Calibri" w:hAnsi="Verdana" w:cs="Times New Roman"/>
        </w:rPr>
        <w:t xml:space="preserve"> se desarrolle mediante la modalidad de contratación directa, la cual aplica de manera restrictiva en circunstancias o hechos que </w:t>
      </w:r>
      <w:r>
        <w:rPr>
          <w:rFonts w:ascii="Verdana" w:eastAsia="Calibri" w:hAnsi="Verdana" w:cs="Arial"/>
          <w:lang w:val="es-ES"/>
        </w:rPr>
        <w:t xml:space="preserve">configuran la urgencia manifiesta, si así lo declara la entidad pública contratante, esto es: i) cuando la continuidad del servicio exige el suministro de bienes, o la prestación de servicios, o la </w:t>
      </w:r>
      <w:r w:rsidRPr="00A937DF">
        <w:rPr>
          <w:rFonts w:ascii="Verdana" w:eastAsia="Calibri" w:hAnsi="Verdana" w:cs="Arial"/>
          <w:i/>
          <w:iCs/>
          <w:lang w:val="es-ES"/>
        </w:rPr>
        <w:t>ejecución de obras en el inmediato futuro</w:t>
      </w:r>
      <w:r>
        <w:rPr>
          <w:rFonts w:ascii="Verdana" w:eastAsia="Calibri" w:hAnsi="Verdana" w:cs="Arial"/>
          <w:lang w:val="es-ES"/>
        </w:rPr>
        <w:t xml:space="preserve">; </w:t>
      </w:r>
      <w:proofErr w:type="spellStart"/>
      <w:r>
        <w:rPr>
          <w:rFonts w:ascii="Verdana" w:eastAsia="Calibri" w:hAnsi="Verdana" w:cs="Arial"/>
          <w:lang w:val="es-ES"/>
        </w:rPr>
        <w:t>ii</w:t>
      </w:r>
      <w:proofErr w:type="spellEnd"/>
      <w:r>
        <w:rPr>
          <w:rFonts w:ascii="Verdana" w:eastAsia="Calibri" w:hAnsi="Verdana" w:cs="Arial"/>
          <w:lang w:val="es-ES"/>
        </w:rPr>
        <w:t xml:space="preserve">) cuando se presenten situaciones relacionadas con los estados de excepción; </w:t>
      </w:r>
      <w:proofErr w:type="spellStart"/>
      <w:r>
        <w:rPr>
          <w:rFonts w:ascii="Verdana" w:eastAsia="Calibri" w:hAnsi="Verdana" w:cs="Arial"/>
          <w:lang w:val="es-ES"/>
        </w:rPr>
        <w:t>iii</w:t>
      </w:r>
      <w:proofErr w:type="spellEnd"/>
      <w:r>
        <w:rPr>
          <w:rFonts w:ascii="Verdana" w:eastAsia="Calibri" w:hAnsi="Verdana" w:cs="Arial"/>
          <w:lang w:val="es-ES"/>
        </w:rPr>
        <w:t xml:space="preserve">) cuando se </w:t>
      </w:r>
      <w:r>
        <w:rPr>
          <w:rFonts w:ascii="Verdana" w:eastAsia="Calibri" w:hAnsi="Verdana" w:cs="Arial"/>
          <w:lang w:val="es-ES"/>
        </w:rPr>
        <w:lastRenderedPageBreak/>
        <w:t xml:space="preserve">trate de conjurar situaciones excepcionales relacionadas con hechos de calamidad o constitutivos de fuerza mayor o desastre que demanden actuaciones inmediatas y; </w:t>
      </w:r>
      <w:proofErr w:type="spellStart"/>
      <w:r>
        <w:rPr>
          <w:rFonts w:ascii="Verdana" w:eastAsia="Calibri" w:hAnsi="Verdana" w:cs="Arial"/>
          <w:lang w:val="es-ES"/>
        </w:rPr>
        <w:t>iv</w:t>
      </w:r>
      <w:proofErr w:type="spellEnd"/>
      <w:r>
        <w:rPr>
          <w:rFonts w:ascii="Verdana" w:eastAsia="Calibri" w:hAnsi="Verdana" w:cs="Arial"/>
          <w:lang w:val="es-ES"/>
        </w:rPr>
        <w:t xml:space="preserve">) cuando se trate de situaciones similares que imposibiliten acudir a los procedimientos de selección públicos, en estos escenarios esta Agencia ha sostenido que </w:t>
      </w:r>
      <w:r w:rsidRPr="00B527A1">
        <w:rPr>
          <w:rFonts w:ascii="Verdana" w:eastAsia="Calibri" w:hAnsi="Verdana" w:cs="Arial"/>
          <w:lang w:val="es-ES"/>
        </w:rPr>
        <w:t>no sería aplicable la restricción del artículo 33 de la Ley de Garantía</w:t>
      </w:r>
      <w:r>
        <w:rPr>
          <w:rFonts w:ascii="Verdana" w:eastAsia="Calibri" w:hAnsi="Verdana" w:cs="Arial"/>
          <w:lang w:val="es-ES"/>
        </w:rPr>
        <w:t>, como se expresó en el Concepto C-259 del 2 de junio de 2021 ante la pregunta sobre si aplicaba dicha restricción en la época de crisis sanitaria desatada por el COVID-19.</w:t>
      </w:r>
    </w:p>
    <w:p w14:paraId="204984A0" w14:textId="77777777" w:rsidR="00BC131A" w:rsidRPr="00A937DF" w:rsidRDefault="00BC131A" w:rsidP="00BC131A">
      <w:pPr>
        <w:spacing w:after="120" w:line="276" w:lineRule="auto"/>
        <w:ind w:firstLine="709"/>
        <w:jc w:val="both"/>
        <w:rPr>
          <w:rFonts w:ascii="Verdana" w:eastAsia="Calibri" w:hAnsi="Verdana" w:cs="Times New Roman"/>
          <w:lang w:val="es-ES_tradnl"/>
        </w:rPr>
      </w:pPr>
      <w:r>
        <w:rPr>
          <w:rFonts w:ascii="Verdana" w:eastAsia="Calibri" w:hAnsi="Verdana" w:cs="Arial"/>
          <w:lang w:val="es-ES"/>
        </w:rPr>
        <w:t xml:space="preserve">De la misma manera, si el objeto de la obra pretendida se enmarca dentro de las excepciones </w:t>
      </w:r>
      <w:r w:rsidRPr="005E75C8">
        <w:rPr>
          <w:rFonts w:ascii="Verdana" w:eastAsia="Calibri" w:hAnsi="Verdana" w:cs="Arial"/>
          <w:lang w:val="es-ES"/>
        </w:rPr>
        <w:t xml:space="preserve">taxativas consagradas en el segundo inciso de dicha norma, es decir, </w:t>
      </w:r>
      <w:r>
        <w:rPr>
          <w:rFonts w:ascii="Verdana" w:eastAsia="Calibri" w:hAnsi="Verdana" w:cs="Arial"/>
          <w:lang w:val="es-ES"/>
        </w:rPr>
        <w:t>a la atención de necesidades en materia de</w:t>
      </w:r>
      <w:r w:rsidRPr="005E75C8">
        <w:rPr>
          <w:rFonts w:ascii="Verdana" w:eastAsia="Calibri" w:hAnsi="Verdana" w:cs="Arial"/>
          <w:lang w:val="es-ES"/>
        </w:rPr>
        <w:t xml:space="preserve"> </w:t>
      </w:r>
      <w:r w:rsidRPr="00C92A2A">
        <w:rPr>
          <w:rFonts w:ascii="Verdana" w:eastAsia="Calibri" w:hAnsi="Verdana" w:cs="Arial"/>
          <w:i/>
          <w:iCs/>
          <w:lang w:val="es-ES"/>
        </w:rPr>
        <w:t>defensa y seguridad del Estado</w:t>
      </w:r>
      <w:r w:rsidRPr="005E75C8">
        <w:rPr>
          <w:rFonts w:ascii="Verdana" w:eastAsia="Calibri" w:hAnsi="Verdana" w:cs="Arial"/>
          <w:lang w:val="es-ES"/>
        </w:rPr>
        <w:t xml:space="preserve">, </w:t>
      </w:r>
      <w:r>
        <w:rPr>
          <w:rFonts w:ascii="Verdana" w:eastAsia="Calibri" w:hAnsi="Verdana" w:cs="Arial"/>
          <w:lang w:val="es-ES"/>
        </w:rPr>
        <w:t>o se requiera para</w:t>
      </w:r>
      <w:r w:rsidRPr="005E75C8">
        <w:rPr>
          <w:rFonts w:ascii="Verdana" w:eastAsia="Calibri" w:hAnsi="Verdana" w:cs="Arial"/>
          <w:lang w:val="es-ES"/>
        </w:rPr>
        <w:t xml:space="preserve"> </w:t>
      </w:r>
      <w:r w:rsidRPr="00C92A2A">
        <w:rPr>
          <w:rFonts w:ascii="Verdana" w:eastAsia="Calibri" w:hAnsi="Verdana" w:cs="Arial"/>
          <w:i/>
          <w:iCs/>
          <w:lang w:val="es-ES"/>
        </w:rPr>
        <w:t>cubrir las emergencias educativas, sanitarias y desastres</w:t>
      </w:r>
      <w:r w:rsidRPr="005E75C8">
        <w:rPr>
          <w:rFonts w:ascii="Verdana" w:eastAsia="Calibri" w:hAnsi="Verdana" w:cs="Arial"/>
          <w:lang w:val="es-ES"/>
        </w:rPr>
        <w:t>, así como también l</w:t>
      </w:r>
      <w:r>
        <w:rPr>
          <w:rFonts w:ascii="Verdana" w:eastAsia="Calibri" w:hAnsi="Verdana" w:cs="Arial"/>
          <w:lang w:val="es-ES"/>
        </w:rPr>
        <w:t>a</w:t>
      </w:r>
      <w:r w:rsidRPr="005E75C8">
        <w:rPr>
          <w:rFonts w:ascii="Verdana" w:eastAsia="Calibri" w:hAnsi="Verdana" w:cs="Arial"/>
          <w:lang w:val="es-ES"/>
        </w:rPr>
        <w:t>s utilizad</w:t>
      </w:r>
      <w:r>
        <w:rPr>
          <w:rFonts w:ascii="Verdana" w:eastAsia="Calibri" w:hAnsi="Verdana" w:cs="Arial"/>
          <w:lang w:val="es-ES"/>
        </w:rPr>
        <w:t>a</w:t>
      </w:r>
      <w:r w:rsidRPr="005E75C8">
        <w:rPr>
          <w:rFonts w:ascii="Verdana" w:eastAsia="Calibri" w:hAnsi="Verdana" w:cs="Arial"/>
          <w:lang w:val="es-ES"/>
        </w:rPr>
        <w:t xml:space="preserve">s para la </w:t>
      </w:r>
      <w:r w:rsidRPr="00C92A2A">
        <w:rPr>
          <w:rFonts w:ascii="Verdana" w:eastAsia="Calibri" w:hAnsi="Verdana" w:cs="Arial"/>
          <w:i/>
          <w:iCs/>
          <w:lang w:val="es-ES"/>
        </w:rPr>
        <w:t>reconstrucción de vías, puentes, carreteras, infraestructura energética y de comunicaciones, en caso de que hayan sido objeto de atentados, acciones terroristas, desastres naturales o casos de fuerza mayor</w:t>
      </w:r>
      <w:r>
        <w:rPr>
          <w:rFonts w:ascii="Verdana" w:eastAsia="Calibri" w:hAnsi="Verdana" w:cs="Arial"/>
          <w:lang w:val="es-ES"/>
        </w:rPr>
        <w:t>, dichas contrataciones quedan por fuera del ámbito material de la restricción del artículo 33.</w:t>
      </w:r>
    </w:p>
    <w:p w14:paraId="3F71A2A6" w14:textId="77777777" w:rsidR="00BC131A" w:rsidRDefault="00BC131A" w:rsidP="00BC131A">
      <w:pPr>
        <w:spacing w:after="120" w:line="276" w:lineRule="auto"/>
        <w:ind w:firstLine="709"/>
        <w:jc w:val="both"/>
        <w:rPr>
          <w:rFonts w:ascii="Verdana" w:eastAsia="Arial" w:hAnsi="Verdana" w:cs="Arial"/>
          <w:lang w:val="es-ES" w:eastAsia="es-ES" w:bidi="es-ES"/>
        </w:rPr>
      </w:pPr>
      <w:r w:rsidRPr="00B576BF">
        <w:rPr>
          <w:rFonts w:ascii="Verdana" w:eastAsia="Calibri" w:hAnsi="Verdana" w:cs="Times New Roman"/>
        </w:rPr>
        <w:t xml:space="preserve">En consecuencia, corresponde a la entidad estatal analizar si el objeto del contrato que se pretende celebrar directamente se adecua a las excepciones indicadas. En caso contrario, debe respetar el contenido de la prohibición. Adicionalmente, la restricción para contratar directamente contenida en el artículo 33 de la Ley 996 de 2005, se aplica independientemente de que la entidad estatal esté sometida al Estatuto General de Contratación de la Administración Pública o tenga un régimen especial, pues las normas sobre garantías electorales son transversales a los órganos del Estado. </w:t>
      </w:r>
    </w:p>
    <w:p w14:paraId="0579A0CF" w14:textId="77777777" w:rsidR="00BC131A" w:rsidRPr="008B0006" w:rsidRDefault="00BC131A" w:rsidP="00BC131A">
      <w:pPr>
        <w:spacing w:after="120" w:line="276" w:lineRule="auto"/>
        <w:ind w:firstLine="709"/>
        <w:jc w:val="both"/>
        <w:rPr>
          <w:rFonts w:ascii="Verdana" w:eastAsia="Arial" w:hAnsi="Verdana" w:cs="Arial"/>
          <w:lang w:eastAsia="es-ES" w:bidi="es-ES"/>
        </w:rPr>
      </w:pPr>
      <w:r>
        <w:rPr>
          <w:rFonts w:ascii="Verdana" w:eastAsia="Arial" w:hAnsi="Verdana" w:cs="Arial"/>
          <w:lang w:val="es-ES_tradnl" w:eastAsia="es-ES" w:bidi="es-ES"/>
        </w:rPr>
        <w:t xml:space="preserve">De otro lado, </w:t>
      </w:r>
      <w:r>
        <w:rPr>
          <w:rFonts w:ascii="Verdana" w:eastAsia="Arial" w:hAnsi="Verdana" w:cs="Arial"/>
          <w:lang w:eastAsia="es-ES" w:bidi="es-ES"/>
        </w:rPr>
        <w:t xml:space="preserve">se concluye las restricciones de Ley de Garantías </w:t>
      </w:r>
      <w:r w:rsidRPr="008B0006">
        <w:rPr>
          <w:rFonts w:ascii="Verdana" w:eastAsia="Arial" w:hAnsi="Verdana" w:cs="Arial"/>
          <w:lang w:eastAsia="es-ES" w:bidi="es-ES"/>
        </w:rPr>
        <w:t>no impiden el inicio</w:t>
      </w:r>
      <w:r>
        <w:rPr>
          <w:rFonts w:ascii="Verdana" w:eastAsia="Arial" w:hAnsi="Verdana" w:cs="Arial"/>
          <w:lang w:eastAsia="es-ES" w:bidi="es-ES"/>
        </w:rPr>
        <w:t xml:space="preserve"> ni el desarrollo de trámites propios de la etapa precontractual en selecciones directas, como la publicación de</w:t>
      </w:r>
      <w:r w:rsidRPr="008B0006">
        <w:rPr>
          <w:rFonts w:ascii="Verdana" w:eastAsia="Arial" w:hAnsi="Verdana" w:cs="Arial"/>
          <w:lang w:eastAsia="es-ES" w:bidi="es-ES"/>
        </w:rPr>
        <w:t xml:space="preserve"> estudios previos</w:t>
      </w:r>
      <w:r>
        <w:rPr>
          <w:rFonts w:ascii="Verdana" w:eastAsia="Arial" w:hAnsi="Verdana" w:cs="Arial"/>
          <w:lang w:eastAsia="es-ES" w:bidi="es-ES"/>
        </w:rPr>
        <w:t xml:space="preserve"> o cualquier otro documento de la etapa precontractual que quisieran adelantarse mediante las plataformas del SECOP. </w:t>
      </w:r>
      <w:r w:rsidRPr="00883339">
        <w:rPr>
          <w:rFonts w:ascii="Verdana" w:eastAsia="Arial" w:hAnsi="Verdana" w:cs="Arial"/>
          <w:lang w:eastAsia="es-ES" w:bidi="es-ES"/>
        </w:rPr>
        <w:t>Ello obedece a que el ámbito de aplicación de la Ley de Garantías se dirige específicamente a la celebración del contrato, entendida como su perfeccionamiento en los términos de los artículos 39 y 41 de la Ley 80 de 1993, esto es, el acuerdo de voluntades sobre el objeto y la contraprestación formalizado por escrito. En ese sentido, las actuaciones preparatorias no configuran la perfección del contrato y, por tanto, no se encuentran restringidas por la Ley de Garantías.</w:t>
      </w:r>
      <w:r>
        <w:rPr>
          <w:rFonts w:ascii="Verdana" w:eastAsia="Arial" w:hAnsi="Verdana" w:cs="Arial"/>
          <w:lang w:eastAsia="es-ES" w:bidi="es-ES"/>
        </w:rPr>
        <w:t xml:space="preserve"> </w:t>
      </w:r>
    </w:p>
    <w:p w14:paraId="261AEB42" w14:textId="77777777" w:rsidR="00BC131A" w:rsidRPr="008B0006" w:rsidRDefault="00BC131A" w:rsidP="00BC131A">
      <w:pPr>
        <w:spacing w:after="120" w:line="276" w:lineRule="auto"/>
        <w:ind w:firstLine="709"/>
        <w:jc w:val="both"/>
        <w:rPr>
          <w:rFonts w:ascii="Verdana" w:eastAsia="Arial" w:hAnsi="Verdana" w:cs="Arial"/>
          <w:lang w:eastAsia="es-ES" w:bidi="es-ES"/>
        </w:rPr>
      </w:pPr>
      <w:r w:rsidRPr="008B0006">
        <w:rPr>
          <w:rFonts w:ascii="Verdana" w:eastAsia="Arial" w:hAnsi="Verdana" w:cs="Arial"/>
          <w:lang w:eastAsia="es-ES" w:bidi="es-ES"/>
        </w:rPr>
        <w:lastRenderedPageBreak/>
        <w:t xml:space="preserve">Adicionalmente, </w:t>
      </w:r>
      <w:r>
        <w:rPr>
          <w:rFonts w:ascii="Verdana" w:eastAsia="Arial" w:hAnsi="Verdana" w:cs="Arial"/>
          <w:lang w:eastAsia="es-ES" w:bidi="es-ES"/>
        </w:rPr>
        <w:t xml:space="preserve">cuando en el texto de la petición se utiliza la acepción </w:t>
      </w:r>
      <w:r w:rsidRPr="00A937DF">
        <w:rPr>
          <w:rFonts w:ascii="Verdana" w:eastAsia="Arial" w:hAnsi="Verdana" w:cs="Arial"/>
          <w:i/>
          <w:iCs/>
          <w:lang w:eastAsia="es-ES" w:bidi="es-ES"/>
        </w:rPr>
        <w:t>convocatoria pública</w:t>
      </w:r>
      <w:r>
        <w:rPr>
          <w:rFonts w:ascii="Verdana" w:eastAsia="Arial" w:hAnsi="Verdana" w:cs="Arial"/>
          <w:lang w:eastAsia="es-ES" w:bidi="es-ES"/>
        </w:rPr>
        <w:t xml:space="preserve">, bajo el entendido de que la contratación directa no incluye publicación de aviso de convocatoria, y que la publicación de dicho acto administrativo procede en las modalidades de selección donde se permite la participación de una pluralidad de oferentes, se advierte que </w:t>
      </w:r>
      <w:r w:rsidRPr="008B0006">
        <w:rPr>
          <w:rFonts w:ascii="Verdana" w:eastAsia="Arial" w:hAnsi="Verdana" w:cs="Arial"/>
          <w:lang w:eastAsia="es-ES" w:bidi="es-ES"/>
        </w:rPr>
        <w:t xml:space="preserve">no solo resulta procedente la publicación de los documentos precontractuales, sino también la ejecución de las demás etapas del proceso e, incluso, la suscripción del contrato, en tanto </w:t>
      </w:r>
      <w:r>
        <w:rPr>
          <w:rFonts w:ascii="Verdana" w:eastAsia="Arial" w:hAnsi="Verdana" w:cs="Arial"/>
          <w:lang w:eastAsia="es-ES" w:bidi="es-ES"/>
        </w:rPr>
        <w:t>las</w:t>
      </w:r>
      <w:r w:rsidRPr="008B0006">
        <w:rPr>
          <w:rFonts w:ascii="Verdana" w:eastAsia="Arial" w:hAnsi="Verdana" w:cs="Arial"/>
          <w:lang w:eastAsia="es-ES" w:bidi="es-ES"/>
        </w:rPr>
        <w:t xml:space="preserve"> modalidades</w:t>
      </w:r>
      <w:r>
        <w:rPr>
          <w:rFonts w:ascii="Verdana" w:eastAsia="Arial" w:hAnsi="Verdana" w:cs="Arial"/>
          <w:lang w:eastAsia="es-ES" w:bidi="es-ES"/>
        </w:rPr>
        <w:t xml:space="preserve"> de licitación pública, selección abreviada, concurso de méritos y mínima cuantía,</w:t>
      </w:r>
      <w:r w:rsidRPr="008B0006">
        <w:rPr>
          <w:rFonts w:ascii="Verdana" w:eastAsia="Arial" w:hAnsi="Verdana" w:cs="Arial"/>
          <w:lang w:eastAsia="es-ES" w:bidi="es-ES"/>
        </w:rPr>
        <w:t xml:space="preserve"> </w:t>
      </w:r>
      <w:r w:rsidRPr="003133E5">
        <w:rPr>
          <w:rFonts w:ascii="Verdana" w:hAnsi="Verdana" w:cs="Arial"/>
          <w:lang w:val="es-ES_tradnl" w:eastAsia="x-none"/>
        </w:rPr>
        <w:t>u otr</w:t>
      </w:r>
      <w:r>
        <w:rPr>
          <w:rFonts w:ascii="Verdana" w:hAnsi="Verdana" w:cs="Arial"/>
          <w:lang w:val="es-ES_tradnl" w:eastAsia="x-none"/>
        </w:rPr>
        <w:t>a</w:t>
      </w:r>
      <w:r w:rsidRPr="003133E5">
        <w:rPr>
          <w:rFonts w:ascii="Verdana" w:hAnsi="Verdana" w:cs="Arial"/>
          <w:lang w:val="es-ES_tradnl" w:eastAsia="x-none"/>
        </w:rPr>
        <w:t>s previst</w:t>
      </w:r>
      <w:r>
        <w:rPr>
          <w:rFonts w:ascii="Verdana" w:hAnsi="Verdana" w:cs="Arial"/>
          <w:lang w:val="es-ES_tradnl" w:eastAsia="x-none"/>
        </w:rPr>
        <w:t>a</w:t>
      </w:r>
      <w:r w:rsidRPr="003133E5">
        <w:rPr>
          <w:rFonts w:ascii="Verdana" w:hAnsi="Verdana" w:cs="Arial"/>
          <w:lang w:val="es-ES_tradnl" w:eastAsia="x-none"/>
        </w:rPr>
        <w:t>s en normas especiales, que contemplen en alguna de sus etapas la posible participación de pluralidad de oferente</w:t>
      </w:r>
      <w:r>
        <w:rPr>
          <w:rFonts w:ascii="Verdana" w:hAnsi="Verdana" w:cs="Arial"/>
          <w:lang w:val="es-ES_tradnl" w:eastAsia="x-none"/>
        </w:rPr>
        <w:t xml:space="preserve">s, </w:t>
      </w:r>
      <w:r w:rsidRPr="008B0006">
        <w:rPr>
          <w:rFonts w:ascii="Verdana" w:eastAsia="Arial" w:hAnsi="Verdana" w:cs="Arial"/>
          <w:lang w:eastAsia="es-ES" w:bidi="es-ES"/>
        </w:rPr>
        <w:t xml:space="preserve">no están comprendidas dentro de las contrataciones </w:t>
      </w:r>
      <w:r>
        <w:rPr>
          <w:rFonts w:ascii="Verdana" w:eastAsia="Arial" w:hAnsi="Verdana" w:cs="Arial"/>
          <w:lang w:eastAsia="es-ES" w:bidi="es-ES"/>
        </w:rPr>
        <w:t>restricciones</w:t>
      </w:r>
      <w:r w:rsidRPr="0B274A7C">
        <w:rPr>
          <w:rFonts w:ascii="Verdana" w:eastAsia="Arial" w:hAnsi="Verdana" w:cs="Arial"/>
          <w:lang w:eastAsia="es-ES" w:bidi="es-ES"/>
        </w:rPr>
        <w:t xml:space="preserve"> </w:t>
      </w:r>
      <w:r w:rsidRPr="008B0006">
        <w:rPr>
          <w:rFonts w:ascii="Verdana" w:eastAsia="Arial" w:hAnsi="Verdana" w:cs="Arial"/>
          <w:lang w:eastAsia="es-ES" w:bidi="es-ES"/>
        </w:rPr>
        <w:t>por la Ley de Garantías</w:t>
      </w:r>
      <w:r>
        <w:rPr>
          <w:rFonts w:ascii="Verdana" w:eastAsia="Arial" w:hAnsi="Verdana" w:cs="Arial"/>
          <w:lang w:eastAsia="es-ES" w:bidi="es-ES"/>
        </w:rPr>
        <w:t>.</w:t>
      </w:r>
    </w:p>
    <w:p w14:paraId="71C01672" w14:textId="77777777" w:rsidR="00BC131A" w:rsidRPr="008B0006" w:rsidRDefault="00BC131A" w:rsidP="00BC131A">
      <w:pPr>
        <w:spacing w:after="120" w:line="276" w:lineRule="auto"/>
        <w:ind w:firstLine="709"/>
        <w:jc w:val="both"/>
        <w:rPr>
          <w:rFonts w:ascii="Verdana" w:eastAsia="Arial" w:hAnsi="Verdana" w:cs="Arial"/>
          <w:lang w:eastAsia="es-ES" w:bidi="es-ES"/>
        </w:rPr>
      </w:pPr>
      <w:r w:rsidRPr="008B0006">
        <w:rPr>
          <w:rFonts w:ascii="Verdana" w:eastAsia="Arial" w:hAnsi="Verdana" w:cs="Arial"/>
          <w:lang w:eastAsia="es-ES" w:bidi="es-ES"/>
        </w:rPr>
        <w:t>De igual forma, debe precisarse que durante la vigencia de las restricciones legales tampoco se encuentran prohibidas actuaciones contractuales como prórrogas, modificaciones, adiciones o cesiones de contratos suscritos con anterioridad, siempre que dichas decisiones se adopten en observancia de los principios de planeación, transparencia y responsabilidad que orientan la contratación estatal.</w:t>
      </w:r>
    </w:p>
    <w:p w14:paraId="7129FA96" w14:textId="77777777" w:rsidR="00BC131A" w:rsidRPr="00875FE5" w:rsidRDefault="00BC131A" w:rsidP="00BC131A">
      <w:pPr>
        <w:spacing w:after="120" w:line="276" w:lineRule="auto"/>
        <w:ind w:firstLine="709"/>
        <w:jc w:val="both"/>
        <w:rPr>
          <w:rFonts w:ascii="Verdana" w:hAnsi="Verdana" w:cs="Arial"/>
          <w:bCs/>
          <w:lang w:val="es-ES" w:eastAsia="x-none"/>
        </w:rPr>
      </w:pPr>
      <w:r>
        <w:rPr>
          <w:rFonts w:ascii="Verdana" w:eastAsia="Arial" w:hAnsi="Verdana" w:cs="Arial"/>
          <w:lang w:eastAsia="es-ES" w:bidi="es-ES"/>
        </w:rPr>
        <w:t xml:space="preserve">Por su parte, </w:t>
      </w:r>
      <w:r>
        <w:rPr>
          <w:rFonts w:ascii="Verdana" w:hAnsi="Verdana" w:cs="Arial"/>
        </w:rPr>
        <w:t>en el texto de la consulta, en la pregunta del numeral 9 se alude a la expresión “</w:t>
      </w:r>
      <w:r w:rsidRPr="00374194">
        <w:rPr>
          <w:rFonts w:ascii="Verdana" w:hAnsi="Verdana" w:cs="Arial"/>
          <w:b/>
          <w:bCs/>
        </w:rPr>
        <w:t>entidades</w:t>
      </w:r>
      <w:r w:rsidRPr="005638DC">
        <w:rPr>
          <w:rFonts w:ascii="Verdana" w:hAnsi="Verdana" w:cs="Arial"/>
        </w:rPr>
        <w:t xml:space="preserve"> del orden nacional o </w:t>
      </w:r>
      <w:r w:rsidRPr="005638DC">
        <w:rPr>
          <w:rFonts w:ascii="Verdana" w:hAnsi="Verdana" w:cs="Arial"/>
          <w:b/>
          <w:bCs/>
        </w:rPr>
        <w:t>internacional</w:t>
      </w:r>
      <w:r>
        <w:rPr>
          <w:rFonts w:ascii="Verdana" w:hAnsi="Verdana" w:cs="Arial"/>
        </w:rPr>
        <w:t>” énfasis fuera del texto. De manera que aquí resulta necesario hacer algunas claridades:</w:t>
      </w:r>
    </w:p>
    <w:p w14:paraId="727F5156" w14:textId="77777777" w:rsidR="00BC131A" w:rsidRPr="00025092" w:rsidRDefault="00BC131A" w:rsidP="00BC131A">
      <w:pPr>
        <w:ind w:firstLine="708"/>
        <w:jc w:val="both"/>
        <w:rPr>
          <w:rFonts w:ascii="Verdana" w:hAnsi="Verdana" w:cs="Arial"/>
          <w:color w:val="000000" w:themeColor="text1"/>
          <w:lang w:val="es-ES_tradnl"/>
        </w:rPr>
      </w:pPr>
      <w:r w:rsidRPr="00B50AFE">
        <w:rPr>
          <w:rFonts w:ascii="Verdana" w:hAnsi="Verdana" w:cs="Arial"/>
          <w:color w:val="000000" w:themeColor="text1"/>
          <w:lang w:val="es-ES_tradnl"/>
        </w:rPr>
        <w:t xml:space="preserve">El artículo 20 de la Ley 1150 de 2007 estableció la posibilidad de que la contratación que lleven a cabo las entidades públicas con los organismos internacionales </w:t>
      </w:r>
      <w:r w:rsidRPr="00025092">
        <w:rPr>
          <w:rFonts w:ascii="Verdana" w:hAnsi="Verdana" w:cs="Arial"/>
          <w:color w:val="000000" w:themeColor="text1"/>
          <w:lang w:val="es-ES_tradnl"/>
        </w:rPr>
        <w:t>pueda someterse a los reglamentos de estos últimos organismos. Sobre este punto cabe destacar que si bien el concepto de organismos internacionales hace referencia a las organizaciones de carácter intergubernamental</w:t>
      </w:r>
      <w:r w:rsidRPr="00B50AFE">
        <w:rPr>
          <w:rFonts w:ascii="Verdana" w:hAnsi="Verdana"/>
          <w:vertAlign w:val="superscript"/>
        </w:rPr>
        <w:footnoteReference w:id="18"/>
      </w:r>
      <w:r w:rsidRPr="00025092">
        <w:rPr>
          <w:rFonts w:ascii="Verdana" w:hAnsi="Verdana" w:cs="Arial"/>
          <w:color w:val="000000" w:themeColor="text1"/>
          <w:lang w:val="es-ES_tradnl"/>
        </w:rPr>
        <w:t>, dentro del ámbito de aplicación de la norma también se incluyó la contratación con los Estados extranjeros y sus correspondientes entidades públicas.</w:t>
      </w:r>
    </w:p>
    <w:p w14:paraId="19605265" w14:textId="77777777" w:rsidR="00BC131A" w:rsidRPr="00025092" w:rsidRDefault="00BC131A" w:rsidP="00BC131A">
      <w:pPr>
        <w:ind w:firstLine="708"/>
        <w:jc w:val="both"/>
        <w:rPr>
          <w:rFonts w:ascii="Verdana" w:hAnsi="Verdana" w:cs="Arial"/>
          <w:color w:val="000000" w:themeColor="text1"/>
          <w:lang w:val="es-ES_tradnl"/>
        </w:rPr>
      </w:pPr>
      <w:r w:rsidRPr="00025092">
        <w:rPr>
          <w:rFonts w:ascii="Verdana" w:hAnsi="Verdana" w:cs="Arial"/>
          <w:color w:val="000000" w:themeColor="text1"/>
          <w:lang w:val="es-ES_tradnl"/>
        </w:rPr>
        <w:t xml:space="preserve">Esta facultad especial encuentra su fundamento en la necesidad y el deber que tiene el Estado Colombiano </w:t>
      </w:r>
      <w:r>
        <w:rPr>
          <w:rFonts w:ascii="Verdana" w:hAnsi="Verdana" w:cs="Arial"/>
          <w:color w:val="000000" w:themeColor="text1"/>
          <w:lang w:val="es-ES_tradnl"/>
        </w:rPr>
        <w:t>[</w:t>
      </w:r>
      <w:r w:rsidRPr="00025092">
        <w:rPr>
          <w:rFonts w:ascii="Verdana" w:hAnsi="Verdana" w:cs="Arial"/>
          <w:color w:val="000000" w:themeColor="text1"/>
          <w:lang w:val="es-ES_tradnl"/>
        </w:rPr>
        <w:t>art. 9º de la C. P.</w:t>
      </w:r>
      <w:r>
        <w:rPr>
          <w:rFonts w:ascii="Verdana" w:hAnsi="Verdana" w:cs="Arial"/>
          <w:color w:val="000000" w:themeColor="text1"/>
          <w:lang w:val="es-ES_tradnl"/>
        </w:rPr>
        <w:t>]</w:t>
      </w:r>
      <w:r w:rsidRPr="00025092">
        <w:rPr>
          <w:rFonts w:ascii="Verdana" w:hAnsi="Verdana" w:cs="Arial"/>
          <w:color w:val="000000" w:themeColor="text1"/>
          <w:lang w:val="es-ES_tradnl"/>
        </w:rPr>
        <w:t xml:space="preserve"> de incorporarse al ámbito de la contratación internacional para aprovechar todos sus recursos y disponibilidades financieras y tecnológicas, pero dentro de la regulación general prevista para todos los Estados usuarios.</w:t>
      </w:r>
    </w:p>
    <w:p w14:paraId="1F45B3CD" w14:textId="77777777" w:rsidR="00BC131A" w:rsidRPr="00025092" w:rsidRDefault="00BC131A" w:rsidP="00BC131A">
      <w:pPr>
        <w:ind w:firstLine="708"/>
        <w:jc w:val="both"/>
        <w:rPr>
          <w:rFonts w:ascii="Verdana" w:hAnsi="Verdana" w:cs="Arial"/>
          <w:color w:val="000000" w:themeColor="text1"/>
          <w:lang w:val="es-ES_tradnl"/>
        </w:rPr>
      </w:pPr>
      <w:r w:rsidRPr="00025092">
        <w:rPr>
          <w:rFonts w:ascii="Verdana" w:hAnsi="Verdana" w:cs="Arial"/>
          <w:color w:val="000000" w:themeColor="text1"/>
          <w:lang w:val="es-ES"/>
        </w:rPr>
        <w:lastRenderedPageBreak/>
        <w:t xml:space="preserve">Sin embargo, la regla prescrita en el artículo 20 de la Ley 1150 de 2007, contempla tres categorías distintas, las cuales tienen su génesis en i) el origen de los recursos, </w:t>
      </w:r>
      <w:proofErr w:type="spellStart"/>
      <w:r w:rsidRPr="00025092">
        <w:rPr>
          <w:rFonts w:ascii="Verdana" w:hAnsi="Verdana" w:cs="Arial"/>
          <w:color w:val="000000" w:themeColor="text1"/>
          <w:lang w:val="es-ES"/>
        </w:rPr>
        <w:t>ii</w:t>
      </w:r>
      <w:proofErr w:type="spellEnd"/>
      <w:r w:rsidRPr="00025092">
        <w:rPr>
          <w:rFonts w:ascii="Verdana" w:hAnsi="Verdana" w:cs="Arial"/>
          <w:color w:val="000000" w:themeColor="text1"/>
          <w:lang w:val="es-ES"/>
        </w:rPr>
        <w:t xml:space="preserve">) el objeto del contrato o </w:t>
      </w:r>
      <w:proofErr w:type="spellStart"/>
      <w:r w:rsidRPr="00025092">
        <w:rPr>
          <w:rFonts w:ascii="Verdana" w:hAnsi="Verdana" w:cs="Arial"/>
          <w:color w:val="000000" w:themeColor="text1"/>
          <w:lang w:val="es-ES"/>
        </w:rPr>
        <w:t>iii</w:t>
      </w:r>
      <w:proofErr w:type="spellEnd"/>
      <w:r w:rsidRPr="00025092">
        <w:rPr>
          <w:rFonts w:ascii="Verdana" w:hAnsi="Verdana" w:cs="Arial"/>
          <w:color w:val="000000" w:themeColor="text1"/>
          <w:lang w:val="es-ES"/>
        </w:rPr>
        <w:t xml:space="preserve">) que se trate de contratos con personas de derecho público extranjero. </w:t>
      </w:r>
    </w:p>
    <w:p w14:paraId="500F8169" w14:textId="77777777" w:rsidR="00BC131A" w:rsidRPr="00025092" w:rsidRDefault="00BC131A" w:rsidP="00BC131A">
      <w:pPr>
        <w:ind w:firstLine="708"/>
        <w:jc w:val="both"/>
        <w:rPr>
          <w:rFonts w:ascii="Verdana" w:hAnsi="Verdana"/>
          <w:color w:val="000000" w:themeColor="text1"/>
        </w:rPr>
      </w:pPr>
      <w:r w:rsidRPr="00025092">
        <w:rPr>
          <w:rFonts w:ascii="Verdana" w:hAnsi="Verdana" w:cs="Arial"/>
          <w:color w:val="000000" w:themeColor="text1"/>
          <w:lang w:val="es-ES_tradnl"/>
        </w:rPr>
        <w:t>El anterior condicionamiento, se debe a la mala práctica en que incurrieron algunas entidades del Estado, que celebraron convenios con organismos de derecho internacional sin que en su objeto hubiera ánimo de colaboración, ayuda o financiación en favor de las entidades públicas colombianas. Bajo el ropaje de esta tipología contractual, las entidades públicas entregaban su presupuesto anual a los organismos internacionales para que lo administraran aplicando las normas de contratación extranjeras, en muchos casos bastante flexibles y de esta forma eludir el régimen de contratación pública.</w:t>
      </w:r>
    </w:p>
    <w:p w14:paraId="7DE46CFC" w14:textId="77777777" w:rsidR="00BC131A" w:rsidRPr="00025092" w:rsidRDefault="00BC131A" w:rsidP="00BC131A">
      <w:pPr>
        <w:ind w:firstLine="708"/>
        <w:jc w:val="both"/>
        <w:rPr>
          <w:rFonts w:ascii="Verdana" w:hAnsi="Verdana" w:cs="Arial"/>
          <w:color w:val="000000" w:themeColor="text1"/>
          <w:lang w:val="es-ES_tradnl"/>
        </w:rPr>
      </w:pPr>
      <w:r w:rsidRPr="00025092">
        <w:rPr>
          <w:rFonts w:ascii="Verdana" w:hAnsi="Verdana"/>
        </w:rPr>
        <w:t xml:space="preserve">Realizadas las anteriores precisiones, esta subdirección procederá </w:t>
      </w:r>
      <w:r w:rsidRPr="00025092">
        <w:rPr>
          <w:rFonts w:ascii="Verdana" w:hAnsi="Verdana" w:cs="Arial"/>
          <w:lang w:val="es-ES_tradnl"/>
        </w:rPr>
        <w:t>a analizar las tres hipótesis de contratación contempladas en el artículo 20 de la Ley 1150 de 2007.</w:t>
      </w:r>
    </w:p>
    <w:p w14:paraId="3F360991" w14:textId="77777777" w:rsidR="00BC131A" w:rsidRDefault="00BC131A" w:rsidP="00BC131A">
      <w:pPr>
        <w:widowControl w:val="0"/>
        <w:spacing w:after="0"/>
        <w:ind w:firstLine="567"/>
        <w:jc w:val="both"/>
        <w:rPr>
          <w:rFonts w:ascii="Verdana" w:hAnsi="Verdana" w:cs="Arial"/>
          <w:color w:val="000000" w:themeColor="text1"/>
          <w:lang w:val="es-ES_tradnl"/>
        </w:rPr>
      </w:pPr>
      <w:r>
        <w:rPr>
          <w:rFonts w:ascii="Verdana" w:hAnsi="Verdana" w:cs="Arial"/>
          <w:color w:val="000000" w:themeColor="text1"/>
          <w:lang w:val="es-ES_tradnl"/>
        </w:rPr>
        <w:t>i) Frente al origen de los recursos, e</w:t>
      </w:r>
      <w:r w:rsidRPr="00025092">
        <w:rPr>
          <w:rFonts w:ascii="Verdana" w:hAnsi="Verdana" w:cs="Arial"/>
          <w:color w:val="000000" w:themeColor="text1"/>
          <w:lang w:val="es-ES_tradnl"/>
        </w:rPr>
        <w:t xml:space="preserve">l inciso primero del artículo 20 de la Ley 1150 de 2007, establece que los contratos o convenios financiados en su totalidad o en sumas iguales o superiores al cincuenta por ciento </w:t>
      </w:r>
      <w:r>
        <w:rPr>
          <w:rFonts w:ascii="Verdana" w:hAnsi="Verdana" w:cs="Arial"/>
          <w:color w:val="000000" w:themeColor="text1"/>
          <w:lang w:val="es-ES_tradnl"/>
        </w:rPr>
        <w:t>[</w:t>
      </w:r>
      <w:r w:rsidRPr="00025092">
        <w:rPr>
          <w:rFonts w:ascii="Verdana" w:hAnsi="Verdana" w:cs="Arial"/>
          <w:color w:val="000000" w:themeColor="text1"/>
          <w:lang w:val="es-ES_tradnl"/>
        </w:rPr>
        <w:t>50%</w:t>
      </w:r>
      <w:r>
        <w:rPr>
          <w:rFonts w:ascii="Verdana" w:hAnsi="Verdana" w:cs="Arial"/>
          <w:color w:val="000000" w:themeColor="text1"/>
          <w:lang w:val="es-ES_tradnl"/>
        </w:rPr>
        <w:t>]</w:t>
      </w:r>
      <w:r w:rsidRPr="00025092">
        <w:rPr>
          <w:rFonts w:ascii="Verdana" w:hAnsi="Verdana" w:cs="Arial"/>
          <w:color w:val="000000" w:themeColor="text1"/>
          <w:lang w:val="es-ES_tradnl"/>
        </w:rPr>
        <w:t xml:space="preserve"> con fondos de los organismos de cooperación, asistencia o ayudas internacionales, podrán someterse a los reglamentos de tales entidades. Respecto al alcance de esta tipología de contratos, la Sala de Consulta y Servicio Civil en concepto No </w:t>
      </w:r>
      <w:r w:rsidRPr="00025092">
        <w:rPr>
          <w:rFonts w:ascii="Verdana" w:hAnsi="Verdana" w:cs="Arial"/>
          <w:color w:val="000000"/>
          <w:lang w:val="es-ES_tradnl"/>
        </w:rPr>
        <w:t>11001-03-06-000-2018-00129-00</w:t>
      </w:r>
      <w:r>
        <w:rPr>
          <w:rFonts w:ascii="Verdana" w:hAnsi="Verdana" w:cs="Arial"/>
          <w:color w:val="000000"/>
          <w:lang w:val="es-ES_tradnl"/>
        </w:rPr>
        <w:t xml:space="preserve"> [</w:t>
      </w:r>
      <w:r w:rsidRPr="00025092">
        <w:rPr>
          <w:rFonts w:ascii="Verdana" w:hAnsi="Verdana" w:cs="Arial"/>
          <w:color w:val="000000"/>
          <w:lang w:val="es-ES_tradnl"/>
        </w:rPr>
        <w:t>2389</w:t>
      </w:r>
      <w:r>
        <w:rPr>
          <w:rFonts w:ascii="Verdana" w:hAnsi="Verdana" w:cs="Arial"/>
          <w:color w:val="000000"/>
          <w:lang w:val="es-ES_tradnl"/>
        </w:rPr>
        <w:t>]</w:t>
      </w:r>
      <w:r w:rsidRPr="00025092">
        <w:rPr>
          <w:rFonts w:ascii="Verdana" w:hAnsi="Verdana" w:cs="Arial"/>
          <w:color w:val="000000"/>
          <w:lang w:val="es-ES_tradnl"/>
        </w:rPr>
        <w:t xml:space="preserve"> del 25 de septiembre de 2018, resaltó las principales características en el siguiente sentido:</w:t>
      </w:r>
      <w:r w:rsidRPr="00025092">
        <w:rPr>
          <w:rFonts w:ascii="Verdana" w:hAnsi="Verdana" w:cs="Arial"/>
          <w:color w:val="000000" w:themeColor="text1"/>
          <w:lang w:val="es-ES_tradnl"/>
        </w:rPr>
        <w:t xml:space="preserve"> </w:t>
      </w:r>
    </w:p>
    <w:p w14:paraId="1719C9A2" w14:textId="77777777" w:rsidR="00BC131A" w:rsidRPr="00025092" w:rsidRDefault="00BC131A" w:rsidP="00BC131A">
      <w:pPr>
        <w:widowControl w:val="0"/>
        <w:spacing w:after="0"/>
        <w:ind w:firstLine="567"/>
        <w:jc w:val="both"/>
        <w:rPr>
          <w:rFonts w:ascii="Verdana" w:hAnsi="Verdana" w:cs="Arial"/>
          <w:color w:val="000000" w:themeColor="text1"/>
          <w:lang w:val="es-ES_tradnl"/>
        </w:rPr>
      </w:pPr>
    </w:p>
    <w:p w14:paraId="53590A0B" w14:textId="77777777" w:rsidR="00BC131A" w:rsidRPr="00020CE5" w:rsidRDefault="00BC131A" w:rsidP="00BC131A">
      <w:pPr>
        <w:spacing w:after="0"/>
        <w:ind w:left="708" w:right="709"/>
        <w:jc w:val="both"/>
        <w:rPr>
          <w:rFonts w:ascii="Verdana" w:hAnsi="Verdana" w:cs="Arial"/>
          <w:bCs/>
          <w:sz w:val="21"/>
          <w:szCs w:val="21"/>
          <w:lang w:val="es-ES_tradnl" w:eastAsia="x-none"/>
        </w:rPr>
      </w:pPr>
      <w:r w:rsidRPr="00020CE5">
        <w:rPr>
          <w:rFonts w:ascii="Verdana" w:hAnsi="Verdana" w:cs="Arial"/>
          <w:bCs/>
          <w:sz w:val="21"/>
          <w:szCs w:val="21"/>
          <w:lang w:val="es-ES_tradnl" w:eastAsia="x-none"/>
        </w:rPr>
        <w:t xml:space="preserve">“i) De acuerdo con lo previsto en el art. 20 de la Ley 1150 de 2007, los contratos financiados con recursos provenientes de organismos multilaterales de crédito pueden someterse a los reglamentos de tales organismos. </w:t>
      </w:r>
    </w:p>
    <w:p w14:paraId="19E318B2" w14:textId="77777777" w:rsidR="00BC131A" w:rsidRPr="00020CE5" w:rsidRDefault="00BC131A" w:rsidP="00BC131A">
      <w:pPr>
        <w:spacing w:after="0"/>
        <w:ind w:left="708" w:right="709"/>
        <w:jc w:val="both"/>
        <w:rPr>
          <w:rFonts w:ascii="Verdana" w:hAnsi="Verdana" w:cs="Arial"/>
          <w:bCs/>
          <w:sz w:val="21"/>
          <w:szCs w:val="21"/>
          <w:lang w:val="es-ES_tradnl" w:eastAsia="x-none"/>
        </w:rPr>
      </w:pPr>
    </w:p>
    <w:p w14:paraId="38373031" w14:textId="77777777" w:rsidR="00BC131A" w:rsidRPr="00020CE5" w:rsidRDefault="00BC131A" w:rsidP="00BC131A">
      <w:pPr>
        <w:spacing w:after="0"/>
        <w:ind w:left="708" w:right="709"/>
        <w:jc w:val="both"/>
        <w:rPr>
          <w:rFonts w:ascii="Verdana" w:hAnsi="Verdana" w:cs="Arial"/>
          <w:bCs/>
          <w:sz w:val="21"/>
          <w:szCs w:val="21"/>
          <w:lang w:val="es-ES_tradnl" w:eastAsia="x-none"/>
        </w:rPr>
      </w:pPr>
      <w:r w:rsidRPr="00020CE5">
        <w:rPr>
          <w:rFonts w:ascii="Verdana" w:hAnsi="Verdana" w:cs="Arial"/>
          <w:bCs/>
          <w:sz w:val="21"/>
          <w:szCs w:val="21"/>
          <w:lang w:val="es-ES_tradnl" w:eastAsia="x-none"/>
        </w:rPr>
        <w:t xml:space="preserve">De ser así, el Estatuto de Contratación Pública no será aplicable a los procesos de selección, a la celebración y a la ejecución de estos contratos, a menos que los reglamentos de tales organismos se remitan a las normas de contratación pública nacional, o guarden silencio respecto a determinados aspectos del proceso contractual o de su ejecución. En este último caso, el Estatuto General de Contratación Pública será aplicable de manera supletiva.    </w:t>
      </w:r>
    </w:p>
    <w:p w14:paraId="3840A53D" w14:textId="77777777" w:rsidR="00BC131A" w:rsidRPr="00020CE5" w:rsidRDefault="00BC131A" w:rsidP="00BC131A">
      <w:pPr>
        <w:spacing w:after="0"/>
        <w:ind w:left="708" w:right="709"/>
        <w:jc w:val="both"/>
        <w:rPr>
          <w:rFonts w:ascii="Verdana" w:hAnsi="Verdana" w:cs="Arial"/>
          <w:bCs/>
          <w:sz w:val="21"/>
          <w:szCs w:val="21"/>
          <w:lang w:val="es-ES_tradnl" w:eastAsia="x-none"/>
        </w:rPr>
      </w:pPr>
    </w:p>
    <w:p w14:paraId="230FDC0B" w14:textId="77777777" w:rsidR="00BC131A" w:rsidRPr="00020CE5" w:rsidRDefault="00BC131A" w:rsidP="00BC131A">
      <w:pPr>
        <w:spacing w:after="0"/>
        <w:ind w:left="708" w:right="709"/>
        <w:jc w:val="both"/>
        <w:rPr>
          <w:rFonts w:ascii="Verdana" w:hAnsi="Verdana" w:cs="Arial"/>
          <w:sz w:val="21"/>
          <w:szCs w:val="21"/>
          <w:lang w:val="es-ES"/>
        </w:rPr>
      </w:pPr>
      <w:proofErr w:type="spellStart"/>
      <w:r w:rsidRPr="132E1F54">
        <w:rPr>
          <w:rFonts w:ascii="Verdana" w:hAnsi="Verdana" w:cs="Arial"/>
          <w:sz w:val="21"/>
          <w:szCs w:val="21"/>
          <w:lang w:val="es-ES"/>
        </w:rPr>
        <w:t>ii</w:t>
      </w:r>
      <w:proofErr w:type="spellEnd"/>
      <w:r w:rsidRPr="132E1F54">
        <w:rPr>
          <w:rFonts w:ascii="Verdana" w:hAnsi="Verdana" w:cs="Arial"/>
          <w:sz w:val="21"/>
          <w:szCs w:val="21"/>
          <w:lang w:val="es-ES"/>
        </w:rPr>
        <w:t xml:space="preserve">) Es importante destacar que la posibilidad de inaplicar las normas nacionales de contratación pública a los contratos financiados con </w:t>
      </w:r>
      <w:r w:rsidRPr="132E1F54">
        <w:rPr>
          <w:rFonts w:ascii="Verdana" w:hAnsi="Verdana" w:cs="Arial"/>
          <w:sz w:val="21"/>
          <w:szCs w:val="21"/>
          <w:lang w:val="es-ES"/>
        </w:rPr>
        <w:lastRenderedPageBreak/>
        <w:t>recursos provenientes de organismos multilaterales de crédito es de naturaleza excepcional y, por lo tanto, de aplicación restrictiva.</w:t>
      </w:r>
    </w:p>
    <w:p w14:paraId="32796564" w14:textId="77777777" w:rsidR="00BC131A" w:rsidRPr="00020CE5" w:rsidRDefault="00BC131A" w:rsidP="00BC131A">
      <w:pPr>
        <w:spacing w:after="0"/>
        <w:ind w:left="708" w:right="709"/>
        <w:jc w:val="both"/>
        <w:rPr>
          <w:rFonts w:ascii="Verdana" w:hAnsi="Verdana" w:cs="Arial"/>
          <w:bCs/>
          <w:sz w:val="21"/>
          <w:szCs w:val="21"/>
          <w:lang w:val="es-ES_tradnl" w:eastAsia="x-none"/>
        </w:rPr>
      </w:pPr>
    </w:p>
    <w:p w14:paraId="76338D88" w14:textId="77777777" w:rsidR="00BC131A" w:rsidRPr="00020CE5" w:rsidRDefault="00BC131A" w:rsidP="00BC131A">
      <w:pPr>
        <w:spacing w:after="0"/>
        <w:ind w:left="708" w:right="709"/>
        <w:jc w:val="both"/>
        <w:rPr>
          <w:rFonts w:ascii="Verdana" w:hAnsi="Verdana" w:cs="Arial"/>
          <w:bCs/>
          <w:sz w:val="21"/>
          <w:szCs w:val="21"/>
          <w:lang w:val="es-ES_tradnl" w:eastAsia="x-none"/>
        </w:rPr>
      </w:pPr>
      <w:r w:rsidRPr="00020CE5">
        <w:rPr>
          <w:rFonts w:ascii="Verdana" w:hAnsi="Verdana" w:cs="Arial"/>
          <w:bCs/>
          <w:sz w:val="21"/>
          <w:szCs w:val="21"/>
          <w:lang w:val="es-ES_tradnl" w:eastAsia="x-none"/>
        </w:rPr>
        <w:t>Además, dicha posibilidad no se extiende a las normas del régimen presupuestal contenido en la Constitución Política, en el Estatuto Orgánico del Presupuesto y en sus demás normas reglamentarias. Este régimen es diferente del consagrado para los contratos estatales regulados por la Ley 80 de 1993 o por los reglamentos de los organismos multilaterales de crédito, aunque se encuentren relacionados e incluso en condición de complementariedad.</w:t>
      </w:r>
    </w:p>
    <w:p w14:paraId="32C9A34D" w14:textId="77777777" w:rsidR="00BC131A" w:rsidRPr="00020CE5" w:rsidRDefault="00BC131A" w:rsidP="00BC131A">
      <w:pPr>
        <w:spacing w:after="0"/>
        <w:ind w:left="708" w:right="709"/>
        <w:jc w:val="both"/>
        <w:rPr>
          <w:rFonts w:ascii="Verdana" w:hAnsi="Verdana" w:cs="Arial"/>
          <w:bCs/>
          <w:sz w:val="21"/>
          <w:szCs w:val="21"/>
          <w:lang w:val="es-ES_tradnl" w:eastAsia="x-none"/>
        </w:rPr>
      </w:pPr>
    </w:p>
    <w:p w14:paraId="7C8A956A" w14:textId="77777777" w:rsidR="00BC131A" w:rsidRPr="00020CE5" w:rsidRDefault="00BC131A" w:rsidP="00BC131A">
      <w:pPr>
        <w:spacing w:after="0"/>
        <w:ind w:left="708" w:right="709"/>
        <w:jc w:val="both"/>
        <w:rPr>
          <w:rFonts w:ascii="Verdana" w:hAnsi="Verdana" w:cs="Arial"/>
          <w:bCs/>
          <w:sz w:val="21"/>
          <w:szCs w:val="21"/>
          <w:lang w:val="es-ES_tradnl" w:eastAsia="x-none"/>
        </w:rPr>
      </w:pPr>
      <w:r w:rsidRPr="00020CE5">
        <w:rPr>
          <w:rFonts w:ascii="Verdana" w:hAnsi="Verdana" w:cs="Arial"/>
          <w:bCs/>
          <w:sz w:val="21"/>
          <w:szCs w:val="21"/>
          <w:lang w:val="es-ES_tradnl" w:eastAsia="x-none"/>
        </w:rPr>
        <w:t xml:space="preserve">Por lo tanto, si bien los contratos financiados con recursos provenientes de organismos multilaterales de crédito pueden someterse a los reglamentos de tales entidades, permanecen sujetos a los principios y reglas del régimen presupuestal colombiano.  </w:t>
      </w:r>
    </w:p>
    <w:p w14:paraId="6B92F88B" w14:textId="77777777" w:rsidR="00BC131A" w:rsidRPr="00020CE5" w:rsidRDefault="00BC131A" w:rsidP="00BC131A">
      <w:pPr>
        <w:spacing w:after="0"/>
        <w:ind w:left="708" w:right="709"/>
        <w:jc w:val="both"/>
        <w:rPr>
          <w:rFonts w:ascii="Verdana" w:hAnsi="Verdana" w:cs="Arial"/>
          <w:bCs/>
          <w:sz w:val="21"/>
          <w:szCs w:val="21"/>
          <w:lang w:val="es-ES_tradnl" w:eastAsia="x-none"/>
        </w:rPr>
      </w:pPr>
    </w:p>
    <w:p w14:paraId="0055E236" w14:textId="77777777" w:rsidR="00BC131A" w:rsidRPr="00020CE5" w:rsidRDefault="00BC131A" w:rsidP="00BC131A">
      <w:pPr>
        <w:spacing w:after="0"/>
        <w:ind w:left="708" w:right="709"/>
        <w:jc w:val="both"/>
        <w:rPr>
          <w:rFonts w:ascii="Verdana" w:hAnsi="Verdana" w:cs="Arial"/>
          <w:sz w:val="21"/>
          <w:szCs w:val="21"/>
          <w:lang w:val="es-ES"/>
        </w:rPr>
      </w:pPr>
      <w:proofErr w:type="spellStart"/>
      <w:r w:rsidRPr="132E1F54">
        <w:rPr>
          <w:rFonts w:ascii="Verdana" w:hAnsi="Verdana" w:cs="Arial"/>
          <w:sz w:val="21"/>
          <w:szCs w:val="21"/>
          <w:lang w:val="es-ES"/>
        </w:rPr>
        <w:t>iii</w:t>
      </w:r>
      <w:proofErr w:type="spellEnd"/>
      <w:r w:rsidRPr="132E1F54">
        <w:rPr>
          <w:rFonts w:ascii="Verdana" w:hAnsi="Verdana" w:cs="Arial"/>
          <w:sz w:val="21"/>
          <w:szCs w:val="21"/>
          <w:lang w:val="es-ES"/>
        </w:rPr>
        <w:t xml:space="preserve">) De conformidad con lo expuesto, al procedimiento administrativo contractual y al respectivo contrato financiado con recursos provenientes de organismos multilaterales de crédito, y sometidos a los reglamentos de tales organismos, les resulta inaplicable por regla general el Estatuto General de la Contratación Pública. Sin embargo, estarán sometidos al Estatuto Orgánico del presupuesto y, entre otras obligaciones, a la obtener el certificado de disponibilidad presupuestal, en cumplimiento del régimen presupuestal analizado en este concepto. </w:t>
      </w:r>
    </w:p>
    <w:p w14:paraId="79D3F2E0" w14:textId="77777777" w:rsidR="00BC131A" w:rsidRPr="00020CE5" w:rsidRDefault="00BC131A" w:rsidP="00BC131A">
      <w:pPr>
        <w:spacing w:after="0"/>
        <w:ind w:left="708" w:right="709"/>
        <w:jc w:val="both"/>
        <w:rPr>
          <w:rFonts w:ascii="Verdana" w:hAnsi="Verdana" w:cs="Arial"/>
          <w:bCs/>
          <w:sz w:val="21"/>
          <w:szCs w:val="21"/>
          <w:lang w:val="es-ES_tradnl" w:eastAsia="x-none"/>
        </w:rPr>
      </w:pPr>
    </w:p>
    <w:p w14:paraId="53198398" w14:textId="77777777" w:rsidR="00BC131A" w:rsidRDefault="00BC131A" w:rsidP="00BC131A">
      <w:pPr>
        <w:spacing w:after="0"/>
        <w:ind w:left="708" w:right="709"/>
        <w:jc w:val="both"/>
        <w:rPr>
          <w:rFonts w:ascii="Verdana" w:hAnsi="Verdana" w:cs="Arial"/>
          <w:bCs/>
          <w:sz w:val="21"/>
          <w:szCs w:val="21"/>
          <w:lang w:val="es-ES_tradnl" w:eastAsia="x-none"/>
        </w:rPr>
      </w:pPr>
      <w:r w:rsidRPr="00020CE5">
        <w:rPr>
          <w:rFonts w:ascii="Verdana" w:hAnsi="Verdana" w:cs="Arial"/>
          <w:bCs/>
          <w:sz w:val="21"/>
          <w:szCs w:val="21"/>
          <w:lang w:val="es-ES_tradnl" w:eastAsia="x-none"/>
        </w:rPr>
        <w:t>Ahora bien, en cuanto a la oportunidad para expedir el certificado de disponibilidad, tanto el EOP, en su art. 71, como el art. 25 de la Ley 80 de 1993, consagran que este certificado debe expedirse en forma previa a la expedición del acto administrativo que afecte la apropiación presupuestal, como pueden ser los actos expedidos al inicio del proceso de contratación”.</w:t>
      </w:r>
    </w:p>
    <w:p w14:paraId="14DA4EFD" w14:textId="77777777" w:rsidR="00BC131A" w:rsidRPr="00025092" w:rsidRDefault="00BC131A" w:rsidP="00BC131A">
      <w:pPr>
        <w:spacing w:after="0"/>
        <w:ind w:left="708" w:right="709"/>
        <w:jc w:val="both"/>
        <w:rPr>
          <w:rFonts w:ascii="Verdana" w:hAnsi="Verdana" w:cs="Arial"/>
          <w:color w:val="000000" w:themeColor="text1"/>
          <w:lang w:val="es-ES_tradnl"/>
        </w:rPr>
      </w:pPr>
    </w:p>
    <w:p w14:paraId="1615018D" w14:textId="77777777" w:rsidR="00BC131A" w:rsidRPr="00025092" w:rsidRDefault="00BC131A" w:rsidP="00BC131A">
      <w:pPr>
        <w:ind w:firstLine="708"/>
        <w:jc w:val="both"/>
        <w:rPr>
          <w:rFonts w:ascii="Verdana" w:eastAsia="Times New Roman" w:hAnsi="Verdana" w:cs="Arial"/>
          <w:color w:val="000000" w:themeColor="text1"/>
          <w:lang w:val="es-ES_tradnl" w:eastAsia="es-ES"/>
        </w:rPr>
      </w:pPr>
      <w:r w:rsidRPr="00025092">
        <w:rPr>
          <w:rFonts w:ascii="Verdana" w:hAnsi="Verdana" w:cs="Arial"/>
          <w:color w:val="000000" w:themeColor="text1"/>
          <w:lang w:val="es-ES_tradnl" w:eastAsia="es-ES"/>
        </w:rPr>
        <w:t>Es importante recordar que la regla transcrita fue originalmente contemplada por el derogado art. 13, numeral 4 de la Ley 80 de 1993</w:t>
      </w:r>
      <w:r w:rsidRPr="00025092">
        <w:rPr>
          <w:rStyle w:val="Refdenotaalpie"/>
          <w:rFonts w:ascii="Verdana" w:hAnsi="Verdana" w:cs="Arial"/>
          <w:color w:val="000000" w:themeColor="text1"/>
          <w:lang w:val="es-ES_tradnl" w:eastAsia="es-ES"/>
        </w:rPr>
        <w:footnoteReference w:id="19"/>
      </w:r>
      <w:r w:rsidRPr="00025092">
        <w:rPr>
          <w:rFonts w:ascii="Verdana" w:hAnsi="Verdana" w:cs="Arial"/>
          <w:color w:val="000000" w:themeColor="text1"/>
          <w:lang w:val="es-ES_tradnl" w:eastAsia="es-ES"/>
        </w:rPr>
        <w:t xml:space="preserve">, el cual fue objeto de análisis por parte de la Corte Constitucional en la sentencia C-249 de 2004 y en la que </w:t>
      </w:r>
      <w:r w:rsidRPr="00025092">
        <w:rPr>
          <w:rFonts w:ascii="Verdana" w:eastAsia="MS Mincho" w:hAnsi="Verdana" w:cs="Arial"/>
          <w:color w:val="000000" w:themeColor="text1"/>
          <w:lang w:val="es-ES_tradnl" w:eastAsia="es-ES"/>
        </w:rPr>
        <w:t xml:space="preserve">enfatizó que este precepto sólo podía ser aplicado por la Administración Pública cuando los ingresos o fondos provengan de empréstitos o donaciones de organismos internacionales, lo que lo hace enteramente </w:t>
      </w:r>
      <w:r w:rsidRPr="00025092">
        <w:rPr>
          <w:rFonts w:ascii="Verdana" w:eastAsia="MS Mincho" w:hAnsi="Verdana" w:cs="Arial"/>
          <w:color w:val="000000" w:themeColor="text1"/>
          <w:lang w:val="es-ES_tradnl" w:eastAsia="es-ES"/>
        </w:rPr>
        <w:lastRenderedPageBreak/>
        <w:t xml:space="preserve">improcedente cuando se trata de recursos que se encuentran en el presupuesto general de la Nación o de los entes territoriales. </w:t>
      </w:r>
    </w:p>
    <w:p w14:paraId="3EE93632" w14:textId="77777777" w:rsidR="00BC131A" w:rsidRPr="00025092" w:rsidRDefault="00BC131A" w:rsidP="00BC131A">
      <w:pPr>
        <w:autoSpaceDE w:val="0"/>
        <w:autoSpaceDN w:val="0"/>
        <w:adjustRightInd w:val="0"/>
        <w:ind w:firstLine="567"/>
        <w:jc w:val="both"/>
        <w:rPr>
          <w:rFonts w:ascii="Verdana" w:hAnsi="Verdana" w:cs="Arial"/>
          <w:color w:val="000000" w:themeColor="text1"/>
          <w:lang w:val="es-ES_tradnl"/>
        </w:rPr>
      </w:pPr>
      <w:r w:rsidRPr="00025092">
        <w:rPr>
          <w:rFonts w:ascii="Verdana" w:hAnsi="Verdana" w:cs="Arial"/>
          <w:color w:val="000000" w:themeColor="text1"/>
          <w:lang w:val="es-ES"/>
        </w:rPr>
        <w:t xml:space="preserve">En estos términos la regla de interpretación que fijó la Corte Constitucional en la Sentencia en comento es clara, al señalar que siempre que se esté en presencia de contratos que se financian con recursos que provengan del organismo internacional, es viable optar por la aplicación de los reglamentos de tales entidades internacionales. </w:t>
      </w:r>
      <w:r w:rsidRPr="00025092">
        <w:rPr>
          <w:rFonts w:ascii="Verdana" w:hAnsi="Verdana" w:cs="Arial"/>
          <w:i/>
          <w:iCs/>
          <w:color w:val="000000" w:themeColor="text1"/>
          <w:lang w:val="es-ES"/>
        </w:rPr>
        <w:t>Contrario sensu</w:t>
      </w:r>
      <w:r w:rsidRPr="00025092">
        <w:rPr>
          <w:rFonts w:ascii="Verdana" w:hAnsi="Verdana" w:cs="Arial"/>
          <w:color w:val="000000" w:themeColor="text1"/>
          <w:lang w:val="es-ES"/>
        </w:rPr>
        <w:t>, cuando se trate de contratos que se financian con recursos del presupuesto general de la nación, se deberá aplicar el Estatuto General de Contratación Pública.</w:t>
      </w:r>
    </w:p>
    <w:p w14:paraId="13D0E9F1" w14:textId="77777777" w:rsidR="00BC131A" w:rsidRDefault="00BC131A" w:rsidP="00BC131A">
      <w:pPr>
        <w:autoSpaceDE w:val="0"/>
        <w:autoSpaceDN w:val="0"/>
        <w:adjustRightInd w:val="0"/>
        <w:spacing w:after="0"/>
        <w:ind w:firstLine="567"/>
        <w:jc w:val="both"/>
        <w:rPr>
          <w:rFonts w:ascii="Verdana" w:hAnsi="Verdana" w:cs="Arial"/>
          <w:color w:val="000000" w:themeColor="text1"/>
          <w:lang w:val="es-ES_tradnl"/>
        </w:rPr>
      </w:pPr>
      <w:r w:rsidRPr="00025092">
        <w:rPr>
          <w:rFonts w:ascii="Verdana" w:hAnsi="Verdana" w:cs="Arial"/>
          <w:color w:val="000000" w:themeColor="text1"/>
          <w:lang w:val="es-ES_tradnl"/>
        </w:rPr>
        <w:t>Aunado a lo anterior, cabe destacar que el inciso segundo del citado artículo 20 de la Ley 1150 fue reglamentado por el Decreto 1082 de 2015, el cual dispone:</w:t>
      </w:r>
    </w:p>
    <w:p w14:paraId="50AB8ADB" w14:textId="77777777" w:rsidR="00BC131A" w:rsidRPr="00025092" w:rsidRDefault="00BC131A" w:rsidP="00BC131A">
      <w:pPr>
        <w:autoSpaceDE w:val="0"/>
        <w:autoSpaceDN w:val="0"/>
        <w:adjustRightInd w:val="0"/>
        <w:spacing w:after="0"/>
        <w:ind w:firstLine="567"/>
        <w:jc w:val="both"/>
        <w:rPr>
          <w:rFonts w:ascii="Verdana" w:eastAsia="MS Mincho" w:hAnsi="Verdana" w:cs="Arial"/>
          <w:color w:val="000000" w:themeColor="text1"/>
          <w:lang w:val="es-ES_tradnl" w:eastAsia="es-ES"/>
        </w:rPr>
      </w:pPr>
    </w:p>
    <w:p w14:paraId="5FFAD843" w14:textId="77777777" w:rsidR="00BC131A" w:rsidRPr="008944B8" w:rsidRDefault="00BC131A" w:rsidP="00BC131A">
      <w:pPr>
        <w:spacing w:after="0"/>
        <w:ind w:left="708" w:right="709"/>
        <w:jc w:val="both"/>
        <w:rPr>
          <w:rFonts w:ascii="Verdana" w:hAnsi="Verdana" w:cs="Arial"/>
          <w:sz w:val="21"/>
          <w:szCs w:val="21"/>
          <w:lang w:val="es-ES"/>
        </w:rPr>
      </w:pPr>
      <w:r w:rsidRPr="132E1F54">
        <w:rPr>
          <w:rFonts w:ascii="Verdana" w:hAnsi="Verdana" w:cs="Arial"/>
          <w:sz w:val="21"/>
          <w:szCs w:val="21"/>
          <w:lang w:val="es-ES"/>
        </w:rPr>
        <w:t>“Artículo 2.2.1.2.4.4.1. Régimen aplicable a los contratos o convenios de cooperación Internacional. Los contratos o convenios financiados en su totalidad o en sumas iguales o superiores al cincuenta por ciento (50%) con fondos de los organismos de cooperación, asistencia o ayudas internacionales, pueden someterse a los reglamentos de tales entidades incluidos los recursos de aporte de fuente nacional o sus equivalentes vinculados a estas operaciones en los acuerdos celebrados, o sus reglamentos, según el caso. En caso contrario, los contratos o convenios que se celebren en su totalidad o en sumas iguales o superiores al cincuenta por ciento (50%) con recursos de origen nacional se someterán al presente título.</w:t>
      </w:r>
    </w:p>
    <w:p w14:paraId="354760FA" w14:textId="77777777" w:rsidR="00BC131A" w:rsidRPr="008944B8" w:rsidRDefault="00BC131A" w:rsidP="00BC131A">
      <w:pPr>
        <w:spacing w:after="0"/>
        <w:ind w:left="708" w:right="709"/>
        <w:jc w:val="both"/>
        <w:rPr>
          <w:rFonts w:ascii="Verdana" w:hAnsi="Verdana" w:cs="Arial"/>
          <w:bCs/>
          <w:sz w:val="21"/>
          <w:szCs w:val="21"/>
          <w:lang w:val="es-ES_tradnl" w:eastAsia="x-none"/>
        </w:rPr>
      </w:pPr>
      <w:r w:rsidRPr="008944B8">
        <w:rPr>
          <w:rFonts w:ascii="Verdana" w:hAnsi="Verdana" w:cs="Arial"/>
          <w:bCs/>
          <w:sz w:val="21"/>
          <w:szCs w:val="21"/>
          <w:lang w:val="es-ES_tradnl" w:eastAsia="x-none"/>
        </w:rPr>
        <w:t xml:space="preserve"> </w:t>
      </w:r>
    </w:p>
    <w:p w14:paraId="0E601A1C" w14:textId="77777777" w:rsidR="00BC131A" w:rsidRPr="008944B8" w:rsidRDefault="00BC131A" w:rsidP="00BC131A">
      <w:pPr>
        <w:spacing w:after="0"/>
        <w:ind w:left="708" w:right="709"/>
        <w:jc w:val="both"/>
        <w:rPr>
          <w:rFonts w:ascii="Verdana" w:hAnsi="Verdana" w:cs="Arial"/>
          <w:bCs/>
          <w:sz w:val="21"/>
          <w:szCs w:val="21"/>
          <w:lang w:val="es-ES_tradnl" w:eastAsia="x-none"/>
        </w:rPr>
      </w:pPr>
      <w:r w:rsidRPr="008944B8">
        <w:rPr>
          <w:rFonts w:ascii="Verdana" w:hAnsi="Verdana" w:cs="Arial"/>
          <w:bCs/>
          <w:sz w:val="21"/>
          <w:szCs w:val="21"/>
          <w:lang w:val="es-ES_tradnl" w:eastAsia="x-none"/>
        </w:rPr>
        <w:t>Si el aporte de fuente nacional o internacional de un contrato o convenio de cooperación internacional es modificado o los aportes no se ejecutan en los términos pactados, las Entidades Estatales deben modificar los contratos o convenios para efectos de que estos estén sujetos a las normas del sistema de compras y contratación pública, si el aporte de recursos públicos es superior al cincuenta por ciento (50%) del total o de las normas internas de la entidad de cooperación si el aporte es inferior.</w:t>
      </w:r>
    </w:p>
    <w:p w14:paraId="17D65BFF" w14:textId="77777777" w:rsidR="00BC131A" w:rsidRPr="008944B8" w:rsidRDefault="00BC131A" w:rsidP="00BC131A">
      <w:pPr>
        <w:spacing w:after="0"/>
        <w:ind w:left="708" w:right="709"/>
        <w:jc w:val="both"/>
        <w:rPr>
          <w:rFonts w:ascii="Verdana" w:hAnsi="Verdana" w:cs="Arial"/>
          <w:bCs/>
          <w:sz w:val="21"/>
          <w:szCs w:val="21"/>
          <w:lang w:val="es-ES_tradnl" w:eastAsia="x-none"/>
        </w:rPr>
      </w:pPr>
    </w:p>
    <w:p w14:paraId="1594057B" w14:textId="77777777" w:rsidR="00BC131A" w:rsidRPr="008944B8" w:rsidRDefault="00BC131A" w:rsidP="00BC131A">
      <w:pPr>
        <w:spacing w:after="0"/>
        <w:ind w:left="708" w:right="709"/>
        <w:jc w:val="both"/>
        <w:rPr>
          <w:rFonts w:ascii="Verdana" w:hAnsi="Verdana" w:cs="Arial"/>
          <w:sz w:val="21"/>
          <w:szCs w:val="21"/>
          <w:lang w:val="es-ES"/>
        </w:rPr>
      </w:pPr>
      <w:r w:rsidRPr="132E1F54">
        <w:rPr>
          <w:rFonts w:ascii="Verdana" w:hAnsi="Verdana" w:cs="Arial"/>
          <w:sz w:val="21"/>
          <w:szCs w:val="21"/>
          <w:lang w:val="es-ES"/>
        </w:rPr>
        <w:t>Cuando la variación de la participación de los aportes de las partes es consecuencia de las fluctuaciones de la tasa de cambio de la moneda pactada en el convenio o contrato de cooperación internacional, este seguirá sometido a las reglas establecidas en el momento de su suscripción.</w:t>
      </w:r>
    </w:p>
    <w:p w14:paraId="6AA2E9DE" w14:textId="77777777" w:rsidR="00BC131A" w:rsidRPr="008944B8" w:rsidRDefault="00BC131A" w:rsidP="00BC131A">
      <w:pPr>
        <w:spacing w:after="0"/>
        <w:ind w:left="708" w:right="709"/>
        <w:jc w:val="both"/>
        <w:rPr>
          <w:rFonts w:ascii="Verdana" w:hAnsi="Verdana" w:cs="Arial"/>
          <w:bCs/>
          <w:sz w:val="21"/>
          <w:szCs w:val="21"/>
          <w:lang w:val="es-ES_tradnl" w:eastAsia="x-none"/>
        </w:rPr>
      </w:pPr>
    </w:p>
    <w:p w14:paraId="06F2CD9B" w14:textId="77777777" w:rsidR="00BC131A" w:rsidRPr="008944B8" w:rsidRDefault="00BC131A" w:rsidP="00BC131A">
      <w:pPr>
        <w:spacing w:after="0"/>
        <w:ind w:left="708" w:right="709"/>
        <w:jc w:val="both"/>
        <w:rPr>
          <w:rFonts w:ascii="Verdana" w:hAnsi="Verdana" w:cs="Arial"/>
          <w:sz w:val="21"/>
          <w:szCs w:val="21"/>
          <w:lang w:val="es-ES"/>
        </w:rPr>
      </w:pPr>
      <w:r w:rsidRPr="132E1F54">
        <w:rPr>
          <w:rFonts w:ascii="Verdana" w:hAnsi="Verdana" w:cs="Arial"/>
          <w:sz w:val="21"/>
          <w:szCs w:val="21"/>
          <w:lang w:val="es-ES"/>
        </w:rPr>
        <w:lastRenderedPageBreak/>
        <w:t>Los recursos generados en desarrollo de los contratos o convenios financiados con fondos de los organismos de cooperación, asistencia o ayudas internacionales no deben ser tenidos en cuenta para determinar los porcentajes de los aportes de las partes.</w:t>
      </w:r>
    </w:p>
    <w:p w14:paraId="2BC672A0" w14:textId="77777777" w:rsidR="00BC131A" w:rsidRPr="008944B8" w:rsidRDefault="00BC131A" w:rsidP="00BC131A">
      <w:pPr>
        <w:spacing w:after="0"/>
        <w:ind w:left="708" w:right="709"/>
        <w:jc w:val="both"/>
        <w:rPr>
          <w:rFonts w:ascii="Verdana" w:hAnsi="Verdana" w:cs="Arial"/>
          <w:bCs/>
          <w:sz w:val="21"/>
          <w:szCs w:val="21"/>
          <w:lang w:val="es-ES_tradnl" w:eastAsia="x-none"/>
        </w:rPr>
      </w:pPr>
    </w:p>
    <w:p w14:paraId="77282A41" w14:textId="77777777" w:rsidR="00BC131A" w:rsidRPr="008944B8" w:rsidRDefault="00BC131A" w:rsidP="00BC131A">
      <w:pPr>
        <w:spacing w:after="0"/>
        <w:ind w:left="708" w:right="709"/>
        <w:jc w:val="both"/>
        <w:rPr>
          <w:rFonts w:ascii="Verdana" w:hAnsi="Verdana" w:cs="Arial"/>
          <w:sz w:val="21"/>
          <w:szCs w:val="21"/>
          <w:lang w:val="es-ES"/>
        </w:rPr>
      </w:pPr>
      <w:r w:rsidRPr="132E1F54">
        <w:rPr>
          <w:rFonts w:ascii="Verdana" w:hAnsi="Verdana" w:cs="Arial"/>
          <w:sz w:val="21"/>
          <w:szCs w:val="21"/>
          <w:lang w:val="es-ES"/>
        </w:rPr>
        <w:t xml:space="preserve">Los contratos o convenios financiados con fondos de los organismos multilaterales de crédito, entes gubernamentales extranjeros o personas extranjeras de derecho público, así como aquellos a los que se refiere el inciso 2 del artículo 20 de la Ley 1150 de 2007, se ejecutarán de conformidad con lo establecido en los tratados internacionales marco y complementarios, y en los convenios celebrados, o sus reglamentos, según sea el caso, incluidos los recursos de aporte de fuente nacional o sus equivalentes vinculados a tales operaciones en dichos documentos, sin que a ellos le sea aplicable el porcentaje señalado en el inciso primero del artículo 20 de la Ley 1150 de 2007. </w:t>
      </w:r>
    </w:p>
    <w:p w14:paraId="5AEA006A" w14:textId="77777777" w:rsidR="00BC131A" w:rsidRPr="008944B8" w:rsidRDefault="00BC131A" w:rsidP="00BC131A">
      <w:pPr>
        <w:spacing w:after="0"/>
        <w:ind w:left="708" w:right="709"/>
        <w:jc w:val="both"/>
        <w:rPr>
          <w:rFonts w:ascii="Verdana" w:hAnsi="Verdana" w:cs="Arial"/>
          <w:bCs/>
          <w:sz w:val="21"/>
          <w:szCs w:val="21"/>
          <w:lang w:val="es-ES_tradnl" w:eastAsia="x-none"/>
        </w:rPr>
      </w:pPr>
    </w:p>
    <w:p w14:paraId="5E1EC5A3" w14:textId="77777777" w:rsidR="00BC131A" w:rsidRDefault="00BC131A" w:rsidP="00BC131A">
      <w:pPr>
        <w:spacing w:after="0"/>
        <w:ind w:left="708" w:right="709"/>
        <w:jc w:val="both"/>
        <w:rPr>
          <w:rFonts w:ascii="Verdana" w:hAnsi="Verdana" w:cs="Arial"/>
          <w:bCs/>
          <w:sz w:val="21"/>
          <w:szCs w:val="21"/>
          <w:lang w:val="es-ES_tradnl" w:eastAsia="x-none"/>
        </w:rPr>
      </w:pPr>
      <w:r w:rsidRPr="008944B8">
        <w:rPr>
          <w:rFonts w:ascii="Verdana" w:hAnsi="Verdana" w:cs="Arial"/>
          <w:bCs/>
          <w:sz w:val="21"/>
          <w:szCs w:val="21"/>
          <w:lang w:val="es-ES_tradnl" w:eastAsia="x-none"/>
        </w:rPr>
        <w:t>Los contratos con personas extranjeras de derecho público se deben celebrar y ejecutar según se acuerde entre las partes”.</w:t>
      </w:r>
    </w:p>
    <w:p w14:paraId="5D90E3F7" w14:textId="77777777" w:rsidR="00BC131A" w:rsidRPr="00025092" w:rsidRDefault="00BC131A" w:rsidP="00BC131A">
      <w:pPr>
        <w:spacing w:after="0"/>
        <w:ind w:left="708" w:right="709"/>
        <w:jc w:val="both"/>
        <w:rPr>
          <w:rFonts w:ascii="Verdana" w:eastAsia="MS Mincho" w:hAnsi="Verdana" w:cs="Arial"/>
          <w:color w:val="000000" w:themeColor="text1"/>
          <w:lang w:val="es-ES_tradnl" w:eastAsia="es-ES"/>
        </w:rPr>
      </w:pPr>
    </w:p>
    <w:p w14:paraId="1A866E33" w14:textId="77777777" w:rsidR="00BC131A" w:rsidRPr="00025092" w:rsidRDefault="00BC131A" w:rsidP="00BC131A">
      <w:pPr>
        <w:autoSpaceDE w:val="0"/>
        <w:autoSpaceDN w:val="0"/>
        <w:adjustRightInd w:val="0"/>
        <w:ind w:firstLine="708"/>
        <w:jc w:val="both"/>
        <w:rPr>
          <w:rFonts w:ascii="Verdana" w:hAnsi="Verdana" w:cs="Arial"/>
          <w:color w:val="000000" w:themeColor="text1"/>
          <w:lang w:val="es-ES_tradnl"/>
        </w:rPr>
      </w:pPr>
      <w:r w:rsidRPr="00025092">
        <w:rPr>
          <w:rFonts w:ascii="Verdana" w:eastAsia="MS Mincho" w:hAnsi="Verdana" w:cs="Arial"/>
          <w:color w:val="000000" w:themeColor="text1"/>
          <w:lang w:val="es-ES_tradnl" w:eastAsia="es-ES"/>
        </w:rPr>
        <w:t xml:space="preserve">De conformidad con lo expuesto, se concluye que </w:t>
      </w:r>
      <w:r w:rsidRPr="00025092">
        <w:rPr>
          <w:rFonts w:ascii="Verdana" w:hAnsi="Verdana" w:cs="Arial"/>
          <w:color w:val="000000" w:themeColor="text1"/>
          <w:lang w:val="es-ES_tradnl"/>
        </w:rPr>
        <w:t>los contratos o convenios que son financiados en su totalidad o en sumas iguales o superiores al cincuenta por ciento con fondos de los organismos de cooperación, asistencia o ayudas internacionales, pueden someterse a los reglamentos de tales entidades y en consecuencia sustraerse de la aplicación de las normas nacionales. Sin embargo, es importante destacar que dicha posibilidad es de naturaleza excepcional y, por tanto, de aplicación restrictiva.</w:t>
      </w:r>
    </w:p>
    <w:p w14:paraId="323E4A7C" w14:textId="77777777" w:rsidR="00BC131A" w:rsidRPr="00025092" w:rsidRDefault="00BC131A" w:rsidP="00BC131A">
      <w:pPr>
        <w:autoSpaceDE w:val="0"/>
        <w:autoSpaceDN w:val="0"/>
        <w:adjustRightInd w:val="0"/>
        <w:ind w:firstLine="708"/>
        <w:jc w:val="both"/>
        <w:rPr>
          <w:rFonts w:ascii="Verdana" w:hAnsi="Verdana" w:cs="Arial"/>
          <w:color w:val="000000" w:themeColor="text1"/>
          <w:lang w:val="es-ES"/>
        </w:rPr>
      </w:pPr>
      <w:proofErr w:type="spellStart"/>
      <w:r w:rsidRPr="132E1F54">
        <w:rPr>
          <w:rFonts w:ascii="Verdana" w:hAnsi="Verdana" w:cs="Arial"/>
          <w:lang w:val="es-ES"/>
        </w:rPr>
        <w:t>ii</w:t>
      </w:r>
      <w:proofErr w:type="spellEnd"/>
      <w:r w:rsidRPr="132E1F54">
        <w:rPr>
          <w:rFonts w:ascii="Verdana" w:hAnsi="Verdana" w:cs="Arial"/>
          <w:lang w:val="es-ES"/>
        </w:rPr>
        <w:t>) Frente al objeto del contrato, en el inciso segundo del artículo 20 de la Ley 1150 de 2007, se</w:t>
      </w:r>
      <w:r w:rsidRPr="132E1F54">
        <w:rPr>
          <w:rFonts w:ascii="Verdana" w:hAnsi="Verdana" w:cs="Arial"/>
          <w:b/>
          <w:lang w:val="es-ES"/>
        </w:rPr>
        <w:t xml:space="preserve"> </w:t>
      </w:r>
      <w:r w:rsidRPr="132E1F54">
        <w:rPr>
          <w:rFonts w:ascii="Verdana" w:hAnsi="Verdana" w:cs="Arial"/>
          <w:lang w:val="es-ES"/>
        </w:rPr>
        <w:t xml:space="preserve">contempla una segunda hipótesis de remisión a los </w:t>
      </w:r>
      <w:r w:rsidRPr="132E1F54">
        <w:rPr>
          <w:rFonts w:ascii="Verdana" w:hAnsi="Verdana" w:cs="Arial"/>
          <w:color w:val="000000" w:themeColor="text1"/>
          <w:lang w:val="es-ES"/>
        </w:rPr>
        <w:t>reglamentos de los órganos internacionales, pero condicionado a que el objeto del contrato se encuentre enmarcado en alguno de los siguientes supuestos:</w:t>
      </w:r>
    </w:p>
    <w:p w14:paraId="1ABC341E" w14:textId="77777777" w:rsidR="00BC131A" w:rsidRPr="004F106E" w:rsidRDefault="00BC131A" w:rsidP="00BC131A">
      <w:pPr>
        <w:pStyle w:val="Prrafodelista"/>
        <w:numPr>
          <w:ilvl w:val="0"/>
          <w:numId w:val="4"/>
        </w:numPr>
        <w:spacing w:after="0"/>
        <w:ind w:left="708" w:right="709"/>
        <w:jc w:val="both"/>
        <w:rPr>
          <w:rFonts w:ascii="Verdana" w:hAnsi="Verdana" w:cs="Arial"/>
          <w:bCs/>
          <w:lang w:val="es-ES_tradnl" w:eastAsia="x-none"/>
        </w:rPr>
      </w:pPr>
      <w:r w:rsidRPr="004F106E">
        <w:rPr>
          <w:rFonts w:ascii="Verdana" w:hAnsi="Verdana" w:cs="Arial"/>
          <w:bCs/>
          <w:lang w:val="es-ES_tradnl" w:eastAsia="x-none"/>
        </w:rPr>
        <w:t xml:space="preserve">Contratos o convenios celebrados con personas extranjeras de derecho público u organismos de derecho internacional cuyo objeto sea el desarrollo de programas de promoción, prevención y atención en salud. </w:t>
      </w:r>
    </w:p>
    <w:p w14:paraId="412817CC" w14:textId="77777777" w:rsidR="00BC131A" w:rsidRPr="004F106E" w:rsidRDefault="00BC131A" w:rsidP="00BC131A">
      <w:pPr>
        <w:pStyle w:val="Prrafodelista"/>
        <w:numPr>
          <w:ilvl w:val="0"/>
          <w:numId w:val="4"/>
        </w:numPr>
        <w:spacing w:after="0"/>
        <w:ind w:left="708" w:right="709"/>
        <w:jc w:val="both"/>
        <w:rPr>
          <w:rFonts w:ascii="Verdana" w:hAnsi="Verdana" w:cs="Arial"/>
          <w:bCs/>
          <w:lang w:val="es-ES_tradnl" w:eastAsia="x-none"/>
        </w:rPr>
      </w:pPr>
      <w:r w:rsidRPr="004F106E">
        <w:rPr>
          <w:rFonts w:ascii="Verdana" w:hAnsi="Verdana" w:cs="Arial"/>
          <w:bCs/>
          <w:lang w:val="es-ES_tradnl" w:eastAsia="x-none"/>
        </w:rPr>
        <w:t xml:space="preserve">Contratos y convenios necesarios para la operación de la OIT. </w:t>
      </w:r>
    </w:p>
    <w:p w14:paraId="3A25D017" w14:textId="77777777" w:rsidR="00BC131A" w:rsidRPr="004F106E" w:rsidRDefault="00BC131A" w:rsidP="00BC131A">
      <w:pPr>
        <w:pStyle w:val="Prrafodelista"/>
        <w:numPr>
          <w:ilvl w:val="0"/>
          <w:numId w:val="4"/>
        </w:numPr>
        <w:spacing w:after="0"/>
        <w:ind w:left="708" w:right="709"/>
        <w:jc w:val="both"/>
        <w:rPr>
          <w:rFonts w:ascii="Verdana" w:hAnsi="Verdana" w:cs="Arial"/>
          <w:bCs/>
          <w:lang w:val="es-ES_tradnl" w:eastAsia="x-none"/>
        </w:rPr>
      </w:pPr>
      <w:r w:rsidRPr="004F106E">
        <w:rPr>
          <w:rFonts w:ascii="Verdana" w:hAnsi="Verdana" w:cs="Arial"/>
          <w:bCs/>
          <w:lang w:val="es-ES_tradnl" w:eastAsia="x-none"/>
        </w:rPr>
        <w:t xml:space="preserve">Contratos y convenios que se ejecuten en desarrollo del sistema integrado de monitoreo de cultivos ilícitos. </w:t>
      </w:r>
    </w:p>
    <w:p w14:paraId="57ACDA2C" w14:textId="77777777" w:rsidR="00BC131A" w:rsidRPr="004F106E" w:rsidRDefault="00BC131A" w:rsidP="00BC131A">
      <w:pPr>
        <w:pStyle w:val="Prrafodelista"/>
        <w:numPr>
          <w:ilvl w:val="0"/>
          <w:numId w:val="4"/>
        </w:numPr>
        <w:spacing w:after="0"/>
        <w:ind w:left="708" w:right="709"/>
        <w:jc w:val="both"/>
        <w:rPr>
          <w:rFonts w:ascii="Verdana" w:hAnsi="Verdana" w:cs="Arial"/>
          <w:bCs/>
          <w:lang w:val="es-ES_tradnl" w:eastAsia="x-none"/>
        </w:rPr>
      </w:pPr>
      <w:r w:rsidRPr="004F106E">
        <w:rPr>
          <w:rFonts w:ascii="Verdana" w:hAnsi="Verdana" w:cs="Arial"/>
          <w:bCs/>
          <w:lang w:val="es-ES_tradnl" w:eastAsia="x-none"/>
        </w:rPr>
        <w:lastRenderedPageBreak/>
        <w:t>Contratos y convenios para la operación del programa mundial de alimentos.</w:t>
      </w:r>
    </w:p>
    <w:p w14:paraId="1D3A9F55" w14:textId="77777777" w:rsidR="00BC131A" w:rsidRPr="00ED6C76" w:rsidRDefault="00BC131A" w:rsidP="00BC131A">
      <w:pPr>
        <w:pStyle w:val="Prrafodelista"/>
        <w:numPr>
          <w:ilvl w:val="0"/>
          <w:numId w:val="4"/>
        </w:numPr>
        <w:ind w:left="708" w:right="709"/>
        <w:jc w:val="both"/>
        <w:rPr>
          <w:rFonts w:ascii="Verdana" w:hAnsi="Verdana" w:cs="Arial"/>
          <w:color w:val="000000" w:themeColor="text1"/>
          <w:lang w:val="es-ES_tradnl"/>
        </w:rPr>
      </w:pPr>
      <w:r w:rsidRPr="004F106E">
        <w:rPr>
          <w:rFonts w:ascii="Verdana" w:hAnsi="Verdana" w:cs="Arial"/>
          <w:bCs/>
          <w:lang w:val="es-ES_tradnl" w:eastAsia="x-none"/>
        </w:rPr>
        <w:t>Contratos y convenios para el desarrollo de programas de apoyo educativo a población desplazada y vulnerable adelantados por la Unesco y la OIM.</w:t>
      </w:r>
    </w:p>
    <w:p w14:paraId="6CFF2F15" w14:textId="77777777" w:rsidR="00BC131A" w:rsidRPr="004F106E" w:rsidRDefault="00BC131A" w:rsidP="00BC131A">
      <w:pPr>
        <w:pStyle w:val="Prrafodelista"/>
        <w:spacing w:after="0"/>
        <w:ind w:left="708" w:right="709"/>
        <w:jc w:val="both"/>
        <w:rPr>
          <w:rFonts w:ascii="Verdana" w:hAnsi="Verdana" w:cs="Arial"/>
          <w:color w:val="000000" w:themeColor="text1"/>
          <w:lang w:val="es-ES_tradnl"/>
        </w:rPr>
      </w:pPr>
    </w:p>
    <w:p w14:paraId="14BE231B" w14:textId="77777777" w:rsidR="00BC131A" w:rsidRDefault="00BC131A" w:rsidP="00BC131A">
      <w:pPr>
        <w:autoSpaceDE w:val="0"/>
        <w:autoSpaceDN w:val="0"/>
        <w:adjustRightInd w:val="0"/>
        <w:spacing w:after="0"/>
        <w:ind w:firstLine="708"/>
        <w:jc w:val="both"/>
        <w:rPr>
          <w:rFonts w:ascii="Verdana" w:hAnsi="Verdana" w:cs="Arial"/>
          <w:lang w:val="es-ES_tradnl"/>
        </w:rPr>
      </w:pPr>
      <w:r w:rsidRPr="00025092">
        <w:rPr>
          <w:rFonts w:ascii="Verdana" w:hAnsi="Verdana" w:cs="Arial"/>
          <w:color w:val="000000" w:themeColor="text1"/>
          <w:lang w:val="es-ES_tradnl"/>
        </w:rPr>
        <w:t xml:space="preserve">Respecto a esta hipótesis, la Subsección C de la Sección Tercera del Consejo de Estado, mediante sentencia de 12 de junio de 2014, radicación </w:t>
      </w:r>
      <w:r w:rsidRPr="00025092">
        <w:rPr>
          <w:rFonts w:ascii="Verdana" w:hAnsi="Verdana" w:cs="Arial"/>
          <w:lang w:val="es-ES_tradnl"/>
        </w:rPr>
        <w:t>13001-23-31-000-1999-00275-01(28279), aclaró:</w:t>
      </w:r>
    </w:p>
    <w:p w14:paraId="5D557AA1" w14:textId="77777777" w:rsidR="00BC131A" w:rsidRPr="00025092" w:rsidRDefault="00BC131A" w:rsidP="00BC131A">
      <w:pPr>
        <w:autoSpaceDE w:val="0"/>
        <w:autoSpaceDN w:val="0"/>
        <w:adjustRightInd w:val="0"/>
        <w:spacing w:after="0"/>
        <w:ind w:firstLine="708"/>
        <w:jc w:val="both"/>
        <w:rPr>
          <w:rFonts w:ascii="Verdana" w:hAnsi="Verdana" w:cs="Arial"/>
          <w:i/>
          <w:iCs/>
          <w:color w:val="000000" w:themeColor="text1"/>
          <w:sz w:val="20"/>
          <w:szCs w:val="20"/>
          <w:lang w:val="es-ES_tradnl"/>
        </w:rPr>
      </w:pPr>
    </w:p>
    <w:p w14:paraId="334E58B1" w14:textId="77777777" w:rsidR="00BC131A" w:rsidRPr="004F106E" w:rsidRDefault="00BC131A" w:rsidP="00BC131A">
      <w:pPr>
        <w:spacing w:after="0"/>
        <w:ind w:left="708" w:right="709"/>
        <w:jc w:val="both"/>
        <w:rPr>
          <w:rFonts w:ascii="Verdana" w:hAnsi="Verdana" w:cs="Arial"/>
          <w:bCs/>
          <w:sz w:val="21"/>
          <w:szCs w:val="21"/>
          <w:lang w:val="es-ES_tradnl" w:eastAsia="x-none"/>
        </w:rPr>
      </w:pPr>
      <w:r w:rsidRPr="004F106E">
        <w:rPr>
          <w:rFonts w:ascii="Verdana" w:hAnsi="Verdana" w:cs="Arial"/>
          <w:bCs/>
          <w:sz w:val="21"/>
          <w:szCs w:val="21"/>
          <w:lang w:val="es-ES_tradnl" w:eastAsia="x-none"/>
        </w:rPr>
        <w:t>“El artículo 20 también distinguió los sujetos y los negocios jurídicos a que se refirió el inciso derogado del artículo 13 de la Ley 80. En ese orden, en el inciso segundo señaló que los convenios o contratos celebrados por personas extranjeras de derecho público o por organismos de derecho internacional, “cuyo objeto sea el desarrollo de programas de promoción, prevención y atención en salud; contratos y convenios necesarios para la operación de la OIT; contratos y convenios que se ejecuten en desarrollo del sistema integrado de monitoreo de cultivos ilícitos; contratos y convenios para la operación del programa mundial de alimentos; contratos y convenios para el desarrollo de programas de apoyo educativo a población desplazada y vulnerable adelantados por la Unesco y la OIM; los contratos o convenios financiados con fondos de los organismos multilaterales de crédito y entes gubernamentales extranjeros” pueden acogerse a los regímenes de dichos entes, no obstante, en este inciso no se impuso el límite de financiación, establecido para la contratación de organismos de cooperación, asistencia o ayudas internacionales:</w:t>
      </w:r>
    </w:p>
    <w:p w14:paraId="5FAD4ED9" w14:textId="77777777" w:rsidR="00BC131A" w:rsidRPr="004F106E" w:rsidRDefault="00BC131A" w:rsidP="00BC131A">
      <w:pPr>
        <w:spacing w:after="0"/>
        <w:ind w:left="708" w:right="709"/>
        <w:jc w:val="both"/>
        <w:rPr>
          <w:rFonts w:ascii="Verdana" w:hAnsi="Verdana" w:cs="Arial"/>
          <w:bCs/>
          <w:sz w:val="21"/>
          <w:szCs w:val="21"/>
          <w:lang w:val="es-ES_tradnl" w:eastAsia="x-none"/>
        </w:rPr>
      </w:pPr>
    </w:p>
    <w:p w14:paraId="16B6BECA" w14:textId="77777777" w:rsidR="00BC131A" w:rsidRPr="004F106E" w:rsidRDefault="00BC131A" w:rsidP="00BC131A">
      <w:pPr>
        <w:spacing w:after="0"/>
        <w:ind w:left="708" w:right="709"/>
        <w:jc w:val="both"/>
        <w:rPr>
          <w:rFonts w:ascii="Verdana" w:hAnsi="Verdana" w:cs="Arial"/>
          <w:bCs/>
          <w:sz w:val="21"/>
          <w:szCs w:val="21"/>
          <w:lang w:val="es-ES_tradnl" w:eastAsia="x-none"/>
        </w:rPr>
      </w:pPr>
      <w:r>
        <w:rPr>
          <w:rFonts w:ascii="Verdana" w:hAnsi="Verdana" w:cs="Arial"/>
          <w:bCs/>
          <w:sz w:val="21"/>
          <w:szCs w:val="21"/>
          <w:lang w:val="es-ES_tradnl" w:eastAsia="x-none"/>
        </w:rPr>
        <w:t>[</w:t>
      </w:r>
      <w:r w:rsidRPr="004F106E">
        <w:rPr>
          <w:rFonts w:ascii="Verdana" w:hAnsi="Verdana" w:cs="Arial"/>
          <w:bCs/>
          <w:sz w:val="21"/>
          <w:szCs w:val="21"/>
          <w:lang w:val="es-ES_tradnl" w:eastAsia="x-none"/>
        </w:rPr>
        <w:t>…</w:t>
      </w:r>
      <w:r>
        <w:rPr>
          <w:rFonts w:ascii="Verdana" w:hAnsi="Verdana" w:cs="Arial"/>
          <w:bCs/>
          <w:sz w:val="21"/>
          <w:szCs w:val="21"/>
          <w:lang w:val="es-ES_tradnl" w:eastAsia="x-none"/>
        </w:rPr>
        <w:t>]</w:t>
      </w:r>
    </w:p>
    <w:p w14:paraId="7BC20AB2" w14:textId="77777777" w:rsidR="00BC131A" w:rsidRPr="004F106E" w:rsidRDefault="00BC131A" w:rsidP="00BC131A">
      <w:pPr>
        <w:spacing w:after="0"/>
        <w:ind w:left="708" w:right="709"/>
        <w:jc w:val="both"/>
        <w:rPr>
          <w:rFonts w:ascii="Verdana" w:hAnsi="Verdana" w:cs="Arial"/>
          <w:bCs/>
          <w:sz w:val="21"/>
          <w:szCs w:val="21"/>
          <w:lang w:val="es-ES_tradnl" w:eastAsia="x-none"/>
        </w:rPr>
      </w:pPr>
    </w:p>
    <w:p w14:paraId="5E213B29" w14:textId="77777777" w:rsidR="00BC131A" w:rsidRPr="004F106E" w:rsidRDefault="00BC131A" w:rsidP="00BC131A">
      <w:pPr>
        <w:spacing w:after="0"/>
        <w:ind w:left="708" w:right="709"/>
        <w:jc w:val="both"/>
        <w:rPr>
          <w:rFonts w:ascii="Verdana" w:hAnsi="Verdana" w:cs="Arial"/>
          <w:bCs/>
          <w:sz w:val="21"/>
          <w:szCs w:val="21"/>
          <w:lang w:val="es-ES_tradnl" w:eastAsia="x-none"/>
        </w:rPr>
      </w:pPr>
      <w:r w:rsidRPr="004F106E">
        <w:rPr>
          <w:rFonts w:ascii="Verdana" w:hAnsi="Verdana" w:cs="Arial"/>
          <w:bCs/>
          <w:sz w:val="21"/>
          <w:szCs w:val="21"/>
          <w:lang w:val="es-ES_tradnl" w:eastAsia="x-none"/>
        </w:rPr>
        <w:t>Esta norma, recogiendo la historia, la filosofía del Decreto 2170 de 2002 y la sentencia C-249 de 2003, señaló que las entidades no podían celebrar “contratos de administración de recursos” con organismos de cooperación, asistencia o ayuda internacional, sin embargo, en esta oportunidad también distinguió los sujetos a los que no dio un trato diferenciado el inciso 4 del artículo 13 de la Ley 80:</w:t>
      </w:r>
    </w:p>
    <w:p w14:paraId="3BE76E55" w14:textId="77777777" w:rsidR="00BC131A" w:rsidRPr="004F106E" w:rsidRDefault="00BC131A" w:rsidP="00BC131A">
      <w:pPr>
        <w:spacing w:after="0"/>
        <w:ind w:left="708" w:right="709"/>
        <w:jc w:val="both"/>
        <w:rPr>
          <w:rFonts w:ascii="Verdana" w:hAnsi="Verdana" w:cs="Arial"/>
          <w:bCs/>
          <w:sz w:val="21"/>
          <w:szCs w:val="21"/>
          <w:lang w:val="es-ES_tradnl" w:eastAsia="x-none"/>
        </w:rPr>
      </w:pPr>
    </w:p>
    <w:p w14:paraId="388095EF" w14:textId="77777777" w:rsidR="00BC131A" w:rsidRPr="004F106E" w:rsidRDefault="00BC131A" w:rsidP="00BC131A">
      <w:pPr>
        <w:spacing w:after="0"/>
        <w:ind w:left="708" w:right="709"/>
        <w:jc w:val="both"/>
        <w:rPr>
          <w:rFonts w:ascii="Verdana" w:hAnsi="Verdana" w:cs="Arial"/>
          <w:bCs/>
          <w:sz w:val="21"/>
          <w:szCs w:val="21"/>
          <w:lang w:val="es-ES_tradnl" w:eastAsia="x-none"/>
        </w:rPr>
      </w:pPr>
      <w:r>
        <w:rPr>
          <w:rFonts w:ascii="Verdana" w:hAnsi="Verdana" w:cs="Arial"/>
          <w:bCs/>
          <w:sz w:val="21"/>
          <w:szCs w:val="21"/>
          <w:lang w:val="es-ES_tradnl" w:eastAsia="x-none"/>
        </w:rPr>
        <w:t>[</w:t>
      </w:r>
      <w:r w:rsidRPr="004F106E">
        <w:rPr>
          <w:rFonts w:ascii="Verdana" w:hAnsi="Verdana" w:cs="Arial"/>
          <w:bCs/>
          <w:sz w:val="21"/>
          <w:szCs w:val="21"/>
          <w:lang w:val="es-ES_tradnl" w:eastAsia="x-none"/>
        </w:rPr>
        <w:t>…</w:t>
      </w:r>
      <w:r>
        <w:rPr>
          <w:rFonts w:ascii="Verdana" w:hAnsi="Verdana" w:cs="Arial"/>
          <w:bCs/>
          <w:sz w:val="21"/>
          <w:szCs w:val="21"/>
          <w:lang w:val="es-ES_tradnl" w:eastAsia="x-none"/>
        </w:rPr>
        <w:t>]</w:t>
      </w:r>
    </w:p>
    <w:p w14:paraId="3804D09C" w14:textId="77777777" w:rsidR="00BC131A" w:rsidRPr="004F106E" w:rsidRDefault="00BC131A" w:rsidP="00BC131A">
      <w:pPr>
        <w:spacing w:after="0"/>
        <w:ind w:left="708" w:right="709"/>
        <w:jc w:val="both"/>
        <w:rPr>
          <w:rFonts w:ascii="Verdana" w:hAnsi="Verdana" w:cs="Arial"/>
          <w:bCs/>
          <w:sz w:val="21"/>
          <w:szCs w:val="21"/>
          <w:lang w:val="es-ES_tradnl" w:eastAsia="x-none"/>
        </w:rPr>
      </w:pPr>
    </w:p>
    <w:p w14:paraId="2BC3C1E5" w14:textId="77777777" w:rsidR="00BC131A" w:rsidRDefault="00BC131A" w:rsidP="00BC131A">
      <w:pPr>
        <w:spacing w:after="0"/>
        <w:ind w:left="708" w:right="709"/>
        <w:jc w:val="both"/>
        <w:rPr>
          <w:rFonts w:ascii="Verdana" w:hAnsi="Verdana" w:cs="Arial"/>
          <w:sz w:val="21"/>
          <w:szCs w:val="21"/>
          <w:lang w:val="es-ES"/>
        </w:rPr>
      </w:pPr>
      <w:r w:rsidRPr="132E1F54">
        <w:rPr>
          <w:rFonts w:ascii="Verdana" w:hAnsi="Verdana" w:cs="Arial"/>
          <w:sz w:val="21"/>
          <w:szCs w:val="21"/>
          <w:lang w:val="es-ES"/>
        </w:rPr>
        <w:t xml:space="preserve">En este contexto normativo y jurisprudencial, se concluye que los contratos celebrados por las entidades estatales con organismos de </w:t>
      </w:r>
      <w:r w:rsidRPr="132E1F54">
        <w:rPr>
          <w:rFonts w:ascii="Verdana" w:hAnsi="Verdana" w:cs="Arial"/>
          <w:sz w:val="21"/>
          <w:szCs w:val="21"/>
          <w:lang w:val="es-ES"/>
        </w:rPr>
        <w:lastRenderedPageBreak/>
        <w:t xml:space="preserve">cooperación, ayuda o asistencia, incluso con organismos de derecho público internacional, son </w:t>
      </w:r>
      <w:proofErr w:type="gramStart"/>
      <w:r w:rsidRPr="132E1F54">
        <w:rPr>
          <w:rFonts w:ascii="Verdana" w:hAnsi="Verdana" w:cs="Arial"/>
          <w:sz w:val="21"/>
          <w:szCs w:val="21"/>
          <w:lang w:val="es-ES"/>
        </w:rPr>
        <w:t>válidos</w:t>
      </w:r>
      <w:proofErr w:type="gramEnd"/>
      <w:r w:rsidRPr="132E1F54">
        <w:rPr>
          <w:rFonts w:ascii="Verdana" w:hAnsi="Verdana" w:cs="Arial"/>
          <w:sz w:val="21"/>
          <w:szCs w:val="21"/>
          <w:lang w:val="es-ES"/>
        </w:rPr>
        <w:t xml:space="preserve"> pero tiene limitaciones cuando se aprovecha la posibilidad de someter los contratos que desarrollen esos convenios a las normas contractuales de esos organismos”.</w:t>
      </w:r>
    </w:p>
    <w:p w14:paraId="0FF24423" w14:textId="77777777" w:rsidR="00BC131A" w:rsidRPr="00025092" w:rsidRDefault="00BC131A" w:rsidP="00BC131A">
      <w:pPr>
        <w:spacing w:after="0"/>
        <w:ind w:left="708" w:right="709"/>
        <w:jc w:val="both"/>
        <w:rPr>
          <w:rFonts w:ascii="Verdana" w:hAnsi="Verdana" w:cs="Arial"/>
          <w:lang w:val="es-ES_tradnl"/>
        </w:rPr>
      </w:pPr>
    </w:p>
    <w:p w14:paraId="5C2CB34D" w14:textId="77777777" w:rsidR="00BC131A" w:rsidRPr="00025092" w:rsidRDefault="00BC131A" w:rsidP="00BC131A">
      <w:pPr>
        <w:autoSpaceDE w:val="0"/>
        <w:autoSpaceDN w:val="0"/>
        <w:adjustRightInd w:val="0"/>
        <w:ind w:firstLine="708"/>
        <w:jc w:val="both"/>
        <w:rPr>
          <w:rFonts w:ascii="Verdana" w:eastAsia="Calibri" w:hAnsi="Verdana" w:cs="Arial"/>
          <w:b/>
          <w:bCs/>
          <w:color w:val="000000" w:themeColor="text1"/>
          <w:lang w:val="es-ES_tradnl"/>
        </w:rPr>
      </w:pPr>
      <w:r w:rsidRPr="00025092">
        <w:rPr>
          <w:rFonts w:ascii="Verdana" w:hAnsi="Verdana" w:cs="Arial"/>
          <w:color w:val="000000" w:themeColor="text1"/>
          <w:lang w:val="es-ES_tradnl"/>
        </w:rPr>
        <w:t>Por tanto, se concluye que los contratos que suscriban las entidades estatales con personas extranjeras de derecho público u organismos de derecho internacional, cuyo objeto se encuentre enmarcado en cualquiera de las hipótesis descritas, podrán someterse a los reglamentos de dichos órganos internacionales. Igualmente, bajo ningún escenario, las entidades públicas podrán celebrar contratos o convenios para la administración o gerencia de sus recursos propios o de aquellos que les asignen los presupuestos públicos, con organismos de cooperación, asistencia o ayuda internacional.</w:t>
      </w:r>
    </w:p>
    <w:p w14:paraId="39E780D7" w14:textId="77777777" w:rsidR="00BC131A" w:rsidRDefault="00BC131A" w:rsidP="00BC131A">
      <w:pPr>
        <w:ind w:firstLine="708"/>
        <w:jc w:val="both"/>
        <w:rPr>
          <w:rFonts w:ascii="Verdana" w:eastAsia="Calibri" w:hAnsi="Verdana" w:cs="Arial"/>
          <w:color w:val="000000" w:themeColor="text1"/>
        </w:rPr>
      </w:pPr>
      <w:proofErr w:type="spellStart"/>
      <w:r>
        <w:rPr>
          <w:rFonts w:ascii="Verdana" w:eastAsia="Calibri" w:hAnsi="Verdana" w:cs="Arial"/>
          <w:color w:val="000000" w:themeColor="text1"/>
          <w:lang w:val="es-ES_tradnl"/>
        </w:rPr>
        <w:t>iii</w:t>
      </w:r>
      <w:proofErr w:type="spellEnd"/>
      <w:r>
        <w:rPr>
          <w:rFonts w:ascii="Verdana" w:eastAsia="Calibri" w:hAnsi="Verdana" w:cs="Arial"/>
          <w:color w:val="000000" w:themeColor="text1"/>
          <w:lang w:val="es-ES_tradnl"/>
        </w:rPr>
        <w:t xml:space="preserve">). </w:t>
      </w:r>
      <w:r w:rsidRPr="00560AE3">
        <w:rPr>
          <w:rFonts w:ascii="Verdana" w:eastAsia="Calibri" w:hAnsi="Verdana" w:cs="Arial"/>
          <w:color w:val="000000" w:themeColor="text1"/>
        </w:rPr>
        <w:t>En relación con la naturaleza pública de la entidad extranjera, el parágrafo 1° del artículo 20 de la Ley 1150 de 2007 prevé la posibilidad de que los contratos celebrados por las entidades públicas nacionales con dichas entidades puedan someterse a los reglamentos de estas, entendiéndose por personas extranjeras de derecho público a los Estados y a sus respectivas entidades públicas.</w:t>
      </w:r>
    </w:p>
    <w:p w14:paraId="01469937" w14:textId="77777777" w:rsidR="00BC131A" w:rsidRPr="00025092" w:rsidRDefault="00BC131A" w:rsidP="00BC131A">
      <w:pPr>
        <w:ind w:firstLine="708"/>
        <w:jc w:val="both"/>
        <w:rPr>
          <w:rFonts w:ascii="Verdana" w:eastAsia="Arial" w:hAnsi="Verdana" w:cs="Arial"/>
          <w:lang w:val="es-ES" w:eastAsia="es-ES" w:bidi="es-ES"/>
        </w:rPr>
      </w:pPr>
      <w:r w:rsidRPr="00025092">
        <w:rPr>
          <w:rFonts w:ascii="Verdana" w:eastAsia="Arial" w:hAnsi="Verdana" w:cs="Arial"/>
          <w:lang w:val="es-ES" w:eastAsia="es-ES" w:bidi="es-ES"/>
        </w:rPr>
        <w:t>De lo expuesto en los numerales precedentes de este concepto, resulta claro que el legislador prohibió a las Entidades Públicas contratar de manera directa dentro de cuatro (4) meses anteriores a la celebración de las elecciones presidenciales, salvo en los supuestos</w:t>
      </w:r>
      <w:r>
        <w:rPr>
          <w:rFonts w:ascii="Verdana" w:eastAsia="Arial" w:hAnsi="Verdana" w:cs="Arial"/>
          <w:lang w:val="es-ES" w:eastAsia="es-ES" w:bidi="es-ES"/>
        </w:rPr>
        <w:t xml:space="preserve"> del inciso segundo del artículo 33.</w:t>
      </w:r>
    </w:p>
    <w:p w14:paraId="0C70960B" w14:textId="77777777" w:rsidR="00BC131A" w:rsidRPr="00025092" w:rsidRDefault="00BC131A" w:rsidP="00BC131A">
      <w:pPr>
        <w:ind w:firstLine="708"/>
        <w:jc w:val="both"/>
        <w:rPr>
          <w:rFonts w:ascii="Verdana" w:hAnsi="Verdana" w:cs="Arial"/>
          <w:bCs/>
          <w:iCs/>
        </w:rPr>
      </w:pPr>
      <w:r w:rsidRPr="00025092">
        <w:rPr>
          <w:rFonts w:ascii="Verdana" w:eastAsia="Arial" w:hAnsi="Verdana" w:cs="Arial"/>
          <w:lang w:val="es-ES" w:eastAsia="es-ES" w:bidi="es-ES"/>
        </w:rPr>
        <w:t xml:space="preserve">Respecto al alcance de esta </w:t>
      </w:r>
      <w:r w:rsidRPr="231A89F4">
        <w:rPr>
          <w:rFonts w:ascii="Verdana" w:eastAsia="Arial" w:hAnsi="Verdana" w:cs="Arial"/>
          <w:lang w:val="es-ES" w:eastAsia="es-ES" w:bidi="es-ES"/>
        </w:rPr>
        <w:t>restricción</w:t>
      </w:r>
      <w:r w:rsidRPr="00025092">
        <w:rPr>
          <w:rFonts w:ascii="Verdana" w:eastAsia="Arial" w:hAnsi="Verdana" w:cs="Arial"/>
          <w:lang w:val="es-ES" w:eastAsia="es-ES" w:bidi="es-ES"/>
        </w:rPr>
        <w:t xml:space="preserve"> contenida en el artículo 33 de la Ley 996 de 2005, la Sala de Consulta y Servicio Civil del Consejo de Estado en concepto del 2 de febrero de 2006, expediente 11001-0306-000-2006-00011-00 (1712), aclaró que comprende a la totalidad de los entes del Estado</w:t>
      </w:r>
      <w:r w:rsidRPr="00025092">
        <w:rPr>
          <w:rFonts w:ascii="Verdana" w:hAnsi="Verdana" w:cs="Arial"/>
          <w:bCs/>
          <w:iCs/>
        </w:rPr>
        <w:t xml:space="preserve">, sin que resulten relevantes su régimen jurídico, forma de organización o naturaleza, su pertenencia a una u otra rama del poder público o su autonomía. </w:t>
      </w:r>
    </w:p>
    <w:p w14:paraId="5638ED47" w14:textId="77777777" w:rsidR="00BC131A" w:rsidRPr="00025092" w:rsidRDefault="00BC131A" w:rsidP="00BC131A">
      <w:pPr>
        <w:ind w:firstLine="708"/>
        <w:jc w:val="both"/>
        <w:rPr>
          <w:rFonts w:ascii="Verdana" w:hAnsi="Verdana" w:cs="Arial"/>
          <w:bCs/>
          <w:iCs/>
        </w:rPr>
      </w:pPr>
      <w:r w:rsidRPr="00025092">
        <w:rPr>
          <w:rFonts w:ascii="Verdana" w:hAnsi="Verdana" w:cs="Arial"/>
          <w:bCs/>
          <w:iCs/>
        </w:rPr>
        <w:t>Sin embargo</w:t>
      </w:r>
      <w:r>
        <w:rPr>
          <w:rFonts w:ascii="Verdana" w:hAnsi="Verdana" w:cs="Arial"/>
          <w:bCs/>
          <w:iCs/>
        </w:rPr>
        <w:t>,</w:t>
      </w:r>
      <w:r w:rsidRPr="00025092">
        <w:rPr>
          <w:rFonts w:ascii="Verdana" w:hAnsi="Verdana" w:cs="Arial"/>
          <w:bCs/>
          <w:iCs/>
        </w:rPr>
        <w:t xml:space="preserve"> esta interpretación parte de un supuesto de hecho, y es que el contrato se encuentra sometido a las normas nacionales, dado que como se puso de presente en los considerandos de este concepto, existen algunos casos en los cuales el legislador habilitó a las entidades públicas para que suscribieran contratos cuyo régimen es distinto al derecho nacional, por lo que en estos eventos dicha restricción no sería aplicable.</w:t>
      </w:r>
    </w:p>
    <w:p w14:paraId="60F3947F" w14:textId="77777777" w:rsidR="00BC131A" w:rsidRPr="00025092" w:rsidRDefault="00BC131A" w:rsidP="00BC131A">
      <w:pPr>
        <w:ind w:firstLine="708"/>
        <w:jc w:val="both"/>
        <w:rPr>
          <w:rFonts w:ascii="Verdana" w:hAnsi="Verdana" w:cs="Arial"/>
          <w:lang w:eastAsia="es-MX"/>
        </w:rPr>
      </w:pPr>
      <w:r w:rsidRPr="00025092">
        <w:rPr>
          <w:rFonts w:ascii="Verdana" w:hAnsi="Verdana" w:cs="Arial"/>
          <w:bCs/>
          <w:iCs/>
        </w:rPr>
        <w:t xml:space="preserve">En ese sentido, se concluye que la restricción contemplada en el primer inciso del artículo 33 de la Ley 996 de 2005 no resulta extensiva a </w:t>
      </w:r>
      <w:r w:rsidRPr="00025092">
        <w:rPr>
          <w:rFonts w:ascii="Verdana" w:eastAsia="Calibri" w:hAnsi="Verdana" w:cs="Arial"/>
        </w:rPr>
        <w:t xml:space="preserve">los contratos </w:t>
      </w:r>
      <w:r w:rsidRPr="00025092">
        <w:rPr>
          <w:rFonts w:ascii="Verdana" w:hAnsi="Verdana" w:cs="Arial"/>
          <w:color w:val="000000" w:themeColor="text1"/>
          <w:lang w:val="es-ES_tradnl"/>
        </w:rPr>
        <w:lastRenderedPageBreak/>
        <w:t xml:space="preserve">que son financiados en su totalidad o en sumas iguales o superiores al cincuenta por ciento con fondos de los organismos de cooperación, asistencia o ayudas internacionales, y cuyo régimen es el dispuesto en los reglamentos de tales entidades. Lo anterior, por cuanto en estos casos el artículo 20 de la Ley 1150 de 2007 </w:t>
      </w:r>
      <w:r w:rsidRPr="00025092">
        <w:rPr>
          <w:rFonts w:ascii="Verdana" w:hAnsi="Verdana" w:cs="Arial"/>
          <w:lang w:eastAsia="es-MX"/>
        </w:rPr>
        <w:t xml:space="preserve">autoriza para aplicar “integralmente” el reglamento de dichos organismos, tal y como se puso de presente en el numeral 2.2.3.1. del concepto. </w:t>
      </w:r>
    </w:p>
    <w:p w14:paraId="7B94AA3E" w14:textId="77777777" w:rsidR="00BC131A" w:rsidRPr="00025092" w:rsidRDefault="00BC131A" w:rsidP="00BC131A">
      <w:pPr>
        <w:ind w:firstLine="708"/>
        <w:jc w:val="both"/>
        <w:rPr>
          <w:rFonts w:ascii="Verdana" w:hAnsi="Verdana" w:cs="Arial"/>
          <w:color w:val="000000" w:themeColor="text1"/>
          <w:lang w:val="es-ES_tradnl"/>
        </w:rPr>
      </w:pPr>
      <w:r w:rsidRPr="00025092">
        <w:rPr>
          <w:rFonts w:ascii="Verdana" w:hAnsi="Verdana" w:cs="Arial"/>
          <w:lang w:eastAsia="es-MX"/>
        </w:rPr>
        <w:t xml:space="preserve">Sobre este punto, cabe destacar que el supuesto contemplado en el artículo 20 de la Ley 1150 de 2007 resulta diferente a los demás regímenes exceptivos del Estatuto General de Contratación Pública, dado que el derecho aplicable a estos contratos no es el derecho nacional, sino normas de carácter internacional, que se materializan en los reglamentos expedidos por los </w:t>
      </w:r>
      <w:r w:rsidRPr="00025092">
        <w:rPr>
          <w:rFonts w:ascii="Verdana" w:hAnsi="Verdana" w:cs="Arial"/>
          <w:color w:val="000000" w:themeColor="text1"/>
          <w:lang w:val="es-ES_tradnl"/>
        </w:rPr>
        <w:t>organismos de cooperación, asistencia o ayudas internacionales</w:t>
      </w:r>
      <w:r>
        <w:rPr>
          <w:rFonts w:ascii="Verdana" w:hAnsi="Verdana" w:cs="Arial"/>
          <w:color w:val="000000" w:themeColor="text1"/>
          <w:lang w:val="es-ES_tradnl"/>
        </w:rPr>
        <w:t>. Dicha postura es la sostenida por el Concepto de unificación CU-180 del 8 de abril de 2022.</w:t>
      </w:r>
      <w:r w:rsidRPr="00025092">
        <w:rPr>
          <w:rFonts w:ascii="Verdana" w:hAnsi="Verdana" w:cs="Arial"/>
          <w:color w:val="000000" w:themeColor="text1"/>
          <w:lang w:val="es-ES_tradnl"/>
        </w:rPr>
        <w:t xml:space="preserve"> </w:t>
      </w:r>
    </w:p>
    <w:p w14:paraId="11541220" w14:textId="77777777" w:rsidR="00BC131A" w:rsidRPr="00025092" w:rsidRDefault="00BC131A" w:rsidP="00BC131A">
      <w:pPr>
        <w:ind w:firstLine="708"/>
        <w:jc w:val="both"/>
        <w:rPr>
          <w:rFonts w:ascii="Verdana" w:hAnsi="Verdana" w:cs="Arial"/>
          <w:color w:val="000000" w:themeColor="text1"/>
          <w:lang w:val="es-ES_tradnl"/>
        </w:rPr>
      </w:pPr>
      <w:r w:rsidRPr="00025092">
        <w:rPr>
          <w:rFonts w:ascii="Verdana" w:hAnsi="Verdana" w:cs="Arial"/>
          <w:color w:val="000000" w:themeColor="text1"/>
          <w:lang w:val="es-ES_tradnl"/>
        </w:rPr>
        <w:t>Lo anterior, obedece a que e</w:t>
      </w:r>
      <w:r w:rsidRPr="00025092">
        <w:rPr>
          <w:rFonts w:ascii="Verdana" w:hAnsi="Verdana" w:cs="Arial"/>
          <w:lang w:eastAsia="es-MX"/>
        </w:rPr>
        <w:t xml:space="preserve">l Estado colombiano, para obtener la colaboración efectiva de los organismos internacionales, flexibilizó su legislación y los mecanismos jurídicos de relacionamiento con ellos, mediante casos excepcionales en los que la normativa aplicable a los contratos que celebren las entidades públicas sometidas al estatuto general de contratación es otra distinta a la prevista en el derecho nacional. </w:t>
      </w:r>
    </w:p>
    <w:p w14:paraId="61480401" w14:textId="77777777" w:rsidR="00BC131A" w:rsidRDefault="00BC131A" w:rsidP="00BC131A">
      <w:pPr>
        <w:ind w:firstLine="708"/>
        <w:jc w:val="both"/>
        <w:rPr>
          <w:rFonts w:ascii="Verdana" w:hAnsi="Verdana" w:cs="Arial"/>
          <w:lang w:eastAsia="es-MX"/>
        </w:rPr>
      </w:pPr>
      <w:r w:rsidRPr="00025092">
        <w:rPr>
          <w:rFonts w:ascii="Verdana" w:hAnsi="Verdana" w:cs="Arial"/>
          <w:lang w:eastAsia="es-MX"/>
        </w:rPr>
        <w:t>Por tanto, la Agencia Nacional de Contratación Pública considera</w:t>
      </w:r>
      <w:r>
        <w:rPr>
          <w:rFonts w:ascii="Verdana" w:hAnsi="Verdana" w:cs="Arial"/>
          <w:lang w:eastAsia="es-MX"/>
        </w:rPr>
        <w:t xml:space="preserve"> que,</w:t>
      </w:r>
      <w:r w:rsidRPr="00025092">
        <w:rPr>
          <w:rFonts w:ascii="Verdana" w:hAnsi="Verdana" w:cs="Arial"/>
          <w:lang w:eastAsia="es-MX"/>
        </w:rPr>
        <w:t xml:space="preserve"> una vez pactado el sometimiento integral de la actividad contractual al derecho del organismo internacional, no se pueden aplicar normas cuyo ámbito de aplicación es el régimen de contratación nacional, como lo serían las contenidas en la Ley de Garantías. Sin duda, una interpretación distinta podría suponer un desconocimiento a lo pactado por las partes en el negocio jurídico celebrado.</w:t>
      </w:r>
    </w:p>
    <w:p w14:paraId="22CE84EA" w14:textId="77777777" w:rsidR="00BC131A" w:rsidRDefault="00BC131A" w:rsidP="00BC131A">
      <w:pPr>
        <w:spacing w:line="276" w:lineRule="auto"/>
        <w:ind w:firstLine="708"/>
        <w:jc w:val="both"/>
        <w:rPr>
          <w:rFonts w:ascii="Verdana" w:hAnsi="Verdana" w:cs="Arial"/>
        </w:rPr>
      </w:pPr>
      <w:r>
        <w:rPr>
          <w:rFonts w:ascii="Verdana" w:hAnsi="Verdana" w:cs="Arial"/>
          <w:lang w:eastAsia="es-MX"/>
        </w:rPr>
        <w:t xml:space="preserve">Por último, </w:t>
      </w:r>
      <w:r>
        <w:rPr>
          <w:rFonts w:ascii="Verdana" w:hAnsi="Verdana" w:cs="Arial"/>
        </w:rPr>
        <w:t>no sobra advertir que</w:t>
      </w:r>
      <w:r w:rsidRPr="001B3D25">
        <w:rPr>
          <w:rFonts w:ascii="Verdana" w:hAnsi="Verdana" w:cs="Arial"/>
        </w:rPr>
        <w:t xml:space="preserve"> no es jurídicamente viable interpretar que, mediante autorizaciones especiales o avales del Gobierno Nacional, puedan celebrar contratos directos</w:t>
      </w:r>
      <w:r>
        <w:rPr>
          <w:rFonts w:ascii="Verdana" w:hAnsi="Verdana" w:cs="Arial"/>
        </w:rPr>
        <w:t xml:space="preserve"> o convenios interadministrativos</w:t>
      </w:r>
      <w:r w:rsidRPr="001B3D25">
        <w:rPr>
          <w:rFonts w:ascii="Verdana" w:hAnsi="Verdana" w:cs="Arial"/>
        </w:rPr>
        <w:t xml:space="preserve"> durante la vigencia de la restricción prevista,</w:t>
      </w:r>
      <w:r>
        <w:rPr>
          <w:rFonts w:ascii="Verdana" w:hAnsi="Verdana" w:cs="Arial"/>
        </w:rPr>
        <w:t xml:space="preserve"> por parte de los entes del Estado para los primeros, y por parte de los entes territoriales para los segundos,</w:t>
      </w:r>
      <w:r w:rsidRPr="001B3D25">
        <w:rPr>
          <w:rFonts w:ascii="Verdana" w:hAnsi="Verdana" w:cs="Arial"/>
        </w:rPr>
        <w:t xml:space="preserve"> salvo en los eventos expresamente exceptuados en el inciso segundo del artículo 33 de la Ley 996 de 2005. En dichos casos, cuando la contratación se refiera a objetos y actividades exceptuadas </w:t>
      </w:r>
      <w:r>
        <w:rPr>
          <w:rFonts w:ascii="Verdana" w:hAnsi="Verdana" w:cs="Arial"/>
        </w:rPr>
        <w:t xml:space="preserve">a las que hace referencia el inciso segundo de dicha disposición. </w:t>
      </w:r>
    </w:p>
    <w:p w14:paraId="67CDC3B8" w14:textId="77777777" w:rsidR="00BC131A" w:rsidRPr="00C92A2A" w:rsidRDefault="00BC131A" w:rsidP="00BC131A">
      <w:pPr>
        <w:spacing w:line="276" w:lineRule="auto"/>
        <w:ind w:firstLine="709"/>
        <w:jc w:val="both"/>
        <w:rPr>
          <w:rFonts w:ascii="Verdana" w:eastAsia="Calibri" w:hAnsi="Verdana" w:cs="Arial"/>
          <w:lang w:val="es-ES_tradnl" w:eastAsia="es-MX"/>
        </w:rPr>
      </w:pPr>
      <w:r>
        <w:rPr>
          <w:rFonts w:ascii="Verdana" w:hAnsi="Verdana" w:cs="Arial"/>
          <w:bCs/>
          <w:lang w:val="es-ES_tradnl" w:eastAsia="es-CO"/>
        </w:rPr>
        <w:t xml:space="preserve">No obstante, como </w:t>
      </w:r>
      <w:r w:rsidRPr="003133E5">
        <w:rPr>
          <w:rFonts w:ascii="Verdana" w:hAnsi="Verdana" w:cs="Arial"/>
          <w:bCs/>
          <w:lang w:val="es-ES_tradnl" w:eastAsia="es-CO"/>
        </w:rPr>
        <w:t>lo ha manifestado esta Agencia</w:t>
      </w:r>
      <w:r>
        <w:rPr>
          <w:rFonts w:ascii="Verdana" w:hAnsi="Verdana" w:cs="Arial"/>
          <w:bCs/>
          <w:lang w:val="es-ES_tradnl" w:eastAsia="es-CO"/>
        </w:rPr>
        <w:t>, en anteriores pronunciamientos</w:t>
      </w:r>
      <w:r w:rsidRPr="003133E5">
        <w:rPr>
          <w:rFonts w:ascii="Verdana" w:hAnsi="Verdana" w:cs="Arial"/>
          <w:bCs/>
          <w:lang w:val="es-ES_tradnl" w:eastAsia="es-CO"/>
        </w:rPr>
        <w:t xml:space="preserve">, las prórrogas, modificaciones o adiciones de los contratos suscritos antes de la </w:t>
      </w:r>
      <w:proofErr w:type="gramStart"/>
      <w:r w:rsidRPr="003133E5">
        <w:rPr>
          <w:rFonts w:ascii="Verdana" w:hAnsi="Verdana" w:cs="Arial"/>
          <w:bCs/>
          <w:lang w:val="es-ES_tradnl" w:eastAsia="es-CO"/>
        </w:rPr>
        <w:t>entrada en vigencia</w:t>
      </w:r>
      <w:proofErr w:type="gramEnd"/>
      <w:r w:rsidRPr="003133E5">
        <w:rPr>
          <w:rFonts w:ascii="Verdana" w:hAnsi="Verdana" w:cs="Arial"/>
          <w:bCs/>
          <w:lang w:val="es-ES_tradnl" w:eastAsia="es-CO"/>
        </w:rPr>
        <w:t xml:space="preserve"> de las prohibiciones anotadas, así como </w:t>
      </w:r>
      <w:r w:rsidRPr="003133E5">
        <w:rPr>
          <w:rFonts w:ascii="Verdana" w:hAnsi="Verdana" w:cs="Arial"/>
          <w:bCs/>
          <w:lang w:val="es-ES_tradnl" w:eastAsia="es-CO"/>
        </w:rPr>
        <w:lastRenderedPageBreak/>
        <w:t xml:space="preserve">la cesión de </w:t>
      </w:r>
      <w:proofErr w:type="gramStart"/>
      <w:r w:rsidRPr="003133E5">
        <w:rPr>
          <w:rFonts w:ascii="Verdana" w:hAnsi="Verdana" w:cs="Arial"/>
          <w:bCs/>
          <w:lang w:val="es-ES_tradnl" w:eastAsia="es-CO"/>
        </w:rPr>
        <w:t>los mismos</w:t>
      </w:r>
      <w:proofErr w:type="gramEnd"/>
      <w:r w:rsidRPr="003133E5">
        <w:rPr>
          <w:rFonts w:ascii="Verdana" w:hAnsi="Verdana" w:cs="Arial"/>
          <w:bCs/>
          <w:lang w:val="es-ES_tradnl" w:eastAsia="es-CO"/>
        </w:rPr>
        <w:t>, pueden tener lugar en el período de aplicación de la Ley de Garantías</w:t>
      </w:r>
      <w:r w:rsidRPr="003133E5">
        <w:rPr>
          <w:rStyle w:val="Refdenotaalpie"/>
          <w:rFonts w:ascii="Verdana" w:hAnsi="Verdana" w:cs="Arial"/>
        </w:rPr>
        <w:footnoteReference w:id="20"/>
      </w:r>
      <w:r w:rsidRPr="003133E5">
        <w:rPr>
          <w:rFonts w:ascii="Verdana" w:hAnsi="Verdana" w:cs="Arial"/>
          <w:bCs/>
          <w:lang w:val="es-ES_tradnl" w:eastAsia="es-CO"/>
        </w:rPr>
        <w:t>. Esto sin que ello haga nugatoria la restricción de la contratación directa y siempre que cumplan los principios de planeación, transparencia y responsabilidad.</w:t>
      </w:r>
    </w:p>
    <w:p w14:paraId="5BDA6B52" w14:textId="77777777" w:rsidR="00BC131A" w:rsidRPr="00DC212C" w:rsidRDefault="00BC131A" w:rsidP="00BC131A">
      <w:pPr>
        <w:pStyle w:val="Prrafodelista"/>
        <w:numPr>
          <w:ilvl w:val="0"/>
          <w:numId w:val="2"/>
        </w:numPr>
        <w:tabs>
          <w:tab w:val="left" w:pos="142"/>
          <w:tab w:val="left" w:pos="284"/>
        </w:tabs>
        <w:spacing w:after="0" w:line="276" w:lineRule="auto"/>
        <w:jc w:val="both"/>
        <w:rPr>
          <w:rFonts w:ascii="Verdana" w:eastAsia="Century Gothic" w:hAnsi="Verdana" w:cs="Century Gothic"/>
          <w:b/>
          <w:bCs/>
        </w:rPr>
      </w:pPr>
      <w:r w:rsidRPr="00DC212C">
        <w:rPr>
          <w:rFonts w:ascii="Verdana" w:eastAsia="Century Gothic" w:hAnsi="Verdana" w:cs="Century Gothic"/>
          <w:b/>
          <w:bCs/>
        </w:rPr>
        <w:t xml:space="preserve">Referencias normativas, jurisprudenciales y doctrinales </w:t>
      </w:r>
    </w:p>
    <w:p w14:paraId="6553FDD5" w14:textId="77777777" w:rsidR="00BC131A" w:rsidRPr="00DC212C" w:rsidRDefault="00BC131A" w:rsidP="00BC131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C131A" w:rsidRPr="0095695D" w14:paraId="782DC654" w14:textId="77777777" w:rsidTr="00A937DF">
        <w:trPr>
          <w:trHeight w:val="856"/>
          <w:jc w:val="center"/>
        </w:trPr>
        <w:tc>
          <w:tcPr>
            <w:tcW w:w="8647" w:type="dxa"/>
          </w:tcPr>
          <w:p w14:paraId="623DB46F" w14:textId="77777777" w:rsidR="00BC131A" w:rsidRPr="006D2287" w:rsidRDefault="00BC131A" w:rsidP="00BC131A">
            <w:pPr>
              <w:widowControl w:val="0"/>
              <w:numPr>
                <w:ilvl w:val="0"/>
                <w:numId w:val="3"/>
              </w:numPr>
              <w:autoSpaceDE w:val="0"/>
              <w:autoSpaceDN w:val="0"/>
              <w:spacing w:line="276" w:lineRule="auto"/>
              <w:ind w:left="714" w:hanging="357"/>
              <w:jc w:val="both"/>
              <w:rPr>
                <w:rFonts w:ascii="Verdana" w:eastAsia="Arial MT" w:hAnsi="Verdana" w:cs="Arial"/>
                <w:sz w:val="20"/>
                <w:szCs w:val="20"/>
                <w:lang w:eastAsia="es-ES" w:bidi="es-ES"/>
              </w:rPr>
            </w:pPr>
            <w:r w:rsidRPr="006D2287">
              <w:rPr>
                <w:rFonts w:ascii="Verdana" w:eastAsia="Arial MT" w:hAnsi="Verdana" w:cs="Arial"/>
                <w:sz w:val="20"/>
                <w:szCs w:val="20"/>
                <w:lang w:eastAsia="es-ES" w:bidi="es-ES"/>
              </w:rPr>
              <w:t>Constitución Política: Artículo 127.</w:t>
            </w:r>
          </w:p>
          <w:p w14:paraId="74400147" w14:textId="77777777" w:rsidR="00BC131A" w:rsidRPr="006D2287" w:rsidRDefault="00BC131A" w:rsidP="00BC131A">
            <w:pPr>
              <w:widowControl w:val="0"/>
              <w:numPr>
                <w:ilvl w:val="0"/>
                <w:numId w:val="3"/>
              </w:numPr>
              <w:autoSpaceDE w:val="0"/>
              <w:autoSpaceDN w:val="0"/>
              <w:spacing w:line="276" w:lineRule="auto"/>
              <w:ind w:left="714" w:hanging="357"/>
              <w:jc w:val="both"/>
              <w:rPr>
                <w:rFonts w:ascii="Verdana" w:eastAsia="Arial MT" w:hAnsi="Verdana" w:cs="Arial"/>
                <w:sz w:val="20"/>
                <w:szCs w:val="20"/>
                <w:lang w:eastAsia="es-ES" w:bidi="es-ES"/>
              </w:rPr>
            </w:pPr>
            <w:r w:rsidRPr="006D2287">
              <w:rPr>
                <w:rFonts w:ascii="Verdana" w:eastAsia="Arial MT" w:hAnsi="Verdana" w:cs="Arial"/>
                <w:sz w:val="20"/>
                <w:szCs w:val="20"/>
                <w:lang w:eastAsia="es-ES" w:bidi="es-ES"/>
              </w:rPr>
              <w:t xml:space="preserve">Ley 80 de 1993, artículos 13, 32, 39, 41. </w:t>
            </w:r>
          </w:p>
          <w:p w14:paraId="567E03C4" w14:textId="77777777" w:rsidR="00BC131A" w:rsidRPr="006D2287" w:rsidRDefault="00BC131A" w:rsidP="00BC131A">
            <w:pPr>
              <w:widowControl w:val="0"/>
              <w:numPr>
                <w:ilvl w:val="0"/>
                <w:numId w:val="3"/>
              </w:numPr>
              <w:autoSpaceDE w:val="0"/>
              <w:autoSpaceDN w:val="0"/>
              <w:spacing w:line="276" w:lineRule="auto"/>
              <w:ind w:left="714" w:hanging="357"/>
              <w:jc w:val="both"/>
              <w:rPr>
                <w:rFonts w:ascii="Verdana" w:eastAsia="Arial MT" w:hAnsi="Verdana" w:cs="Arial"/>
                <w:sz w:val="20"/>
                <w:szCs w:val="20"/>
                <w:lang w:eastAsia="es-ES" w:bidi="es-ES"/>
              </w:rPr>
            </w:pPr>
            <w:r w:rsidRPr="006D2287">
              <w:rPr>
                <w:rFonts w:ascii="Verdana" w:eastAsia="Arial MT" w:hAnsi="Verdana" w:cs="Arial"/>
                <w:bCs/>
                <w:sz w:val="20"/>
                <w:szCs w:val="20"/>
                <w:lang w:eastAsia="es-ES" w:bidi="es-ES"/>
              </w:rPr>
              <w:t>Ley 996 de 2005: artículos 33 y 38 parágrafo.</w:t>
            </w:r>
          </w:p>
          <w:p w14:paraId="3B636386" w14:textId="77777777" w:rsidR="00BC131A" w:rsidRPr="006D2287" w:rsidRDefault="00BC131A" w:rsidP="00BC131A">
            <w:pPr>
              <w:widowControl w:val="0"/>
              <w:numPr>
                <w:ilvl w:val="0"/>
                <w:numId w:val="3"/>
              </w:numPr>
              <w:autoSpaceDE w:val="0"/>
              <w:autoSpaceDN w:val="0"/>
              <w:spacing w:line="276" w:lineRule="auto"/>
              <w:ind w:left="714" w:hanging="357"/>
              <w:jc w:val="both"/>
              <w:rPr>
                <w:rFonts w:ascii="Verdana" w:eastAsia="Arial MT" w:hAnsi="Verdana" w:cs="Arial"/>
                <w:sz w:val="20"/>
                <w:szCs w:val="20"/>
                <w:lang w:eastAsia="es-ES" w:bidi="es-ES"/>
              </w:rPr>
            </w:pPr>
            <w:r w:rsidRPr="006D2287">
              <w:rPr>
                <w:rFonts w:ascii="Verdana" w:hAnsi="Verdana" w:cs="Arial"/>
                <w:color w:val="000000" w:themeColor="text1"/>
                <w:sz w:val="20"/>
                <w:szCs w:val="20"/>
                <w:lang w:eastAsia="x-none"/>
              </w:rPr>
              <w:t>Ley 1150 de 2007, numeral 5 del artículo 2, 20.</w:t>
            </w:r>
          </w:p>
          <w:p w14:paraId="6EEDE60A" w14:textId="77777777" w:rsidR="00BC131A" w:rsidRPr="006D2287" w:rsidRDefault="00BC131A" w:rsidP="00BC131A">
            <w:pPr>
              <w:widowControl w:val="0"/>
              <w:numPr>
                <w:ilvl w:val="0"/>
                <w:numId w:val="3"/>
              </w:numPr>
              <w:autoSpaceDE w:val="0"/>
              <w:autoSpaceDN w:val="0"/>
              <w:spacing w:line="276" w:lineRule="auto"/>
              <w:ind w:left="714" w:hanging="357"/>
              <w:jc w:val="both"/>
              <w:rPr>
                <w:rFonts w:ascii="Verdana" w:eastAsia="Arial MT" w:hAnsi="Verdana" w:cs="Arial"/>
                <w:sz w:val="20"/>
                <w:szCs w:val="20"/>
                <w:lang w:eastAsia="es-ES" w:bidi="es-ES"/>
              </w:rPr>
            </w:pPr>
            <w:r w:rsidRPr="006D2287">
              <w:rPr>
                <w:rFonts w:ascii="Verdana" w:eastAsia="Arial MT" w:hAnsi="Verdana" w:cs="Arial"/>
                <w:sz w:val="20"/>
                <w:szCs w:val="20"/>
                <w:lang w:eastAsia="es-ES" w:bidi="es-ES"/>
              </w:rPr>
              <w:t>Decreto 1082 de 2015 Artículo 2.2.1.2.4.4.1.</w:t>
            </w:r>
          </w:p>
          <w:p w14:paraId="379F1015" w14:textId="77777777" w:rsidR="00BC131A" w:rsidRPr="006D2287" w:rsidRDefault="00BC131A" w:rsidP="00BC131A">
            <w:pPr>
              <w:widowControl w:val="0"/>
              <w:numPr>
                <w:ilvl w:val="0"/>
                <w:numId w:val="3"/>
              </w:numPr>
              <w:autoSpaceDE w:val="0"/>
              <w:autoSpaceDN w:val="0"/>
              <w:spacing w:line="276" w:lineRule="auto"/>
              <w:ind w:left="714" w:hanging="357"/>
              <w:jc w:val="both"/>
              <w:rPr>
                <w:rFonts w:ascii="Verdana" w:eastAsia="Arial MT" w:hAnsi="Verdana" w:cs="Arial"/>
                <w:sz w:val="20"/>
                <w:szCs w:val="20"/>
                <w:lang w:eastAsia="es-ES" w:bidi="es-ES"/>
              </w:rPr>
            </w:pPr>
            <w:r w:rsidRPr="006D2287">
              <w:rPr>
                <w:rFonts w:ascii="Verdana" w:eastAsia="Arial MT" w:hAnsi="Verdana" w:cs="Arial"/>
                <w:sz w:val="20"/>
                <w:szCs w:val="20"/>
                <w:lang w:eastAsia="es-ES" w:bidi="es-ES"/>
              </w:rPr>
              <w:t>Gaceta del Congreso de la República No. 71 del 2005.</w:t>
            </w:r>
          </w:p>
          <w:p w14:paraId="6C38D89B" w14:textId="77777777" w:rsidR="00BC131A" w:rsidRPr="006D2287" w:rsidRDefault="00BC131A" w:rsidP="00BC131A">
            <w:pPr>
              <w:widowControl w:val="0"/>
              <w:numPr>
                <w:ilvl w:val="0"/>
                <w:numId w:val="3"/>
              </w:numPr>
              <w:autoSpaceDE w:val="0"/>
              <w:autoSpaceDN w:val="0"/>
              <w:spacing w:line="276" w:lineRule="auto"/>
              <w:jc w:val="both"/>
              <w:rPr>
                <w:rFonts w:ascii="Verdana" w:eastAsia="Calibri" w:hAnsi="Verdana" w:cs="Arial"/>
                <w:sz w:val="20"/>
                <w:szCs w:val="20"/>
              </w:rPr>
            </w:pPr>
            <w:r w:rsidRPr="006D2287">
              <w:rPr>
                <w:rFonts w:ascii="Verdana" w:eastAsia="Calibri" w:hAnsi="Verdana" w:cs="Arial"/>
                <w:sz w:val="20"/>
                <w:szCs w:val="20"/>
              </w:rPr>
              <w:t xml:space="preserve">Colombia Compra Eficiente. Circular Externa Única. Numerales 16.2 y 16.5. </w:t>
            </w:r>
          </w:p>
          <w:p w14:paraId="5BDAB07D" w14:textId="77777777" w:rsidR="00BC131A" w:rsidRPr="006D2287" w:rsidRDefault="00BC131A" w:rsidP="00BC131A">
            <w:pPr>
              <w:widowControl w:val="0"/>
              <w:numPr>
                <w:ilvl w:val="0"/>
                <w:numId w:val="3"/>
              </w:numPr>
              <w:autoSpaceDE w:val="0"/>
              <w:autoSpaceDN w:val="0"/>
              <w:spacing w:line="276" w:lineRule="auto"/>
              <w:jc w:val="both"/>
              <w:rPr>
                <w:rFonts w:ascii="Verdana" w:eastAsia="Calibri" w:hAnsi="Verdana" w:cs="Arial"/>
                <w:sz w:val="20"/>
                <w:szCs w:val="20"/>
              </w:rPr>
            </w:pPr>
            <w:r w:rsidRPr="006D2287">
              <w:rPr>
                <w:rFonts w:ascii="Verdana" w:eastAsia="Calibri" w:hAnsi="Verdana" w:cs="Arial"/>
                <w:sz w:val="20"/>
                <w:szCs w:val="20"/>
              </w:rPr>
              <w:t xml:space="preserve">Consejo de Estado, Sección Primera. Sentencia de 3 de marzo de 2005, </w:t>
            </w:r>
            <w:proofErr w:type="spellStart"/>
            <w:r w:rsidRPr="006D2287">
              <w:rPr>
                <w:rFonts w:ascii="Verdana" w:eastAsia="Calibri" w:hAnsi="Verdana" w:cs="Arial"/>
                <w:sz w:val="20"/>
                <w:szCs w:val="20"/>
              </w:rPr>
              <w:t>Exp</w:t>
            </w:r>
            <w:proofErr w:type="spellEnd"/>
            <w:r w:rsidRPr="006D2287">
              <w:rPr>
                <w:rFonts w:ascii="Verdana" w:eastAsia="Calibri" w:hAnsi="Verdana" w:cs="Arial"/>
                <w:sz w:val="20"/>
                <w:szCs w:val="20"/>
              </w:rPr>
              <w:t xml:space="preserve">. 2004-00823-01(PI). </w:t>
            </w:r>
          </w:p>
          <w:p w14:paraId="6FB180C0" w14:textId="77777777" w:rsidR="00BC131A" w:rsidRPr="006D2287" w:rsidRDefault="00BC131A" w:rsidP="00BC131A">
            <w:pPr>
              <w:widowControl w:val="0"/>
              <w:numPr>
                <w:ilvl w:val="0"/>
                <w:numId w:val="3"/>
              </w:numPr>
              <w:autoSpaceDE w:val="0"/>
              <w:autoSpaceDN w:val="0"/>
              <w:spacing w:line="276" w:lineRule="auto"/>
              <w:jc w:val="both"/>
              <w:rPr>
                <w:rFonts w:ascii="Verdana" w:eastAsia="Calibri" w:hAnsi="Verdana" w:cs="Arial"/>
                <w:sz w:val="20"/>
                <w:szCs w:val="20"/>
              </w:rPr>
            </w:pPr>
            <w:r w:rsidRPr="006D2287">
              <w:rPr>
                <w:rFonts w:ascii="Verdana" w:eastAsia="Calibri" w:hAnsi="Verdana" w:cs="Arial"/>
                <w:sz w:val="20"/>
                <w:szCs w:val="20"/>
              </w:rPr>
              <w:t xml:space="preserve">Consejo de Estado, Sala de Consulta y Servicio Civil de fecha 24 de julio de 2013, Rad. 2166, C. P. Álvaro </w:t>
            </w:r>
            <w:proofErr w:type="spellStart"/>
            <w:r w:rsidRPr="006D2287">
              <w:rPr>
                <w:rFonts w:ascii="Verdana" w:eastAsia="Calibri" w:hAnsi="Verdana" w:cs="Arial"/>
                <w:sz w:val="20"/>
                <w:szCs w:val="20"/>
              </w:rPr>
              <w:t>Namén</w:t>
            </w:r>
            <w:proofErr w:type="spellEnd"/>
            <w:r w:rsidRPr="006D2287">
              <w:rPr>
                <w:rFonts w:ascii="Verdana" w:eastAsia="Calibri" w:hAnsi="Verdana" w:cs="Arial"/>
                <w:sz w:val="20"/>
                <w:szCs w:val="20"/>
              </w:rPr>
              <w:t xml:space="preserve"> Vargas. </w:t>
            </w:r>
          </w:p>
          <w:p w14:paraId="07A541AF" w14:textId="77777777" w:rsidR="00BC131A" w:rsidRPr="006D2287" w:rsidRDefault="00BC131A" w:rsidP="00BC131A">
            <w:pPr>
              <w:widowControl w:val="0"/>
              <w:numPr>
                <w:ilvl w:val="0"/>
                <w:numId w:val="3"/>
              </w:numPr>
              <w:autoSpaceDE w:val="0"/>
              <w:autoSpaceDN w:val="0"/>
              <w:spacing w:line="276" w:lineRule="auto"/>
              <w:jc w:val="both"/>
              <w:rPr>
                <w:rFonts w:ascii="Verdana" w:eastAsia="Calibri" w:hAnsi="Verdana" w:cs="Arial"/>
                <w:sz w:val="20"/>
                <w:szCs w:val="20"/>
              </w:rPr>
            </w:pPr>
            <w:r w:rsidRPr="006D2287">
              <w:rPr>
                <w:rFonts w:ascii="Verdana" w:eastAsia="Calibri" w:hAnsi="Verdana" w:cs="Arial"/>
                <w:sz w:val="20"/>
                <w:szCs w:val="20"/>
              </w:rPr>
              <w:t xml:space="preserve"> Consejo de Estado. Sala de Consulta y Servicio Civil. Concepto del 17 de febrero de 2015. C.P. William Zambrano Cetina. Radicación No. 11001-03-06-000-2015-00164-00(2269).</w:t>
            </w:r>
          </w:p>
          <w:p w14:paraId="69D59AD5" w14:textId="77777777" w:rsidR="00BC131A" w:rsidRPr="006D2287" w:rsidRDefault="00BC131A" w:rsidP="00BC131A">
            <w:pPr>
              <w:widowControl w:val="0"/>
              <w:numPr>
                <w:ilvl w:val="0"/>
                <w:numId w:val="3"/>
              </w:numPr>
              <w:autoSpaceDE w:val="0"/>
              <w:autoSpaceDN w:val="0"/>
              <w:spacing w:line="276" w:lineRule="auto"/>
              <w:jc w:val="both"/>
              <w:rPr>
                <w:rFonts w:ascii="Verdana" w:eastAsia="Calibri" w:hAnsi="Verdana" w:cs="Arial"/>
                <w:sz w:val="20"/>
                <w:szCs w:val="20"/>
              </w:rPr>
            </w:pPr>
            <w:r w:rsidRPr="006D2287">
              <w:rPr>
                <w:rFonts w:ascii="Verdana" w:eastAsia="Calibri" w:hAnsi="Verdana" w:cs="Arial"/>
                <w:sz w:val="20"/>
                <w:szCs w:val="20"/>
              </w:rPr>
              <w:t xml:space="preserve">Consejo de Estado, Sección Tercera. Auto del 4 de octubre de 2024. </w:t>
            </w:r>
            <w:proofErr w:type="spellStart"/>
            <w:r w:rsidRPr="006D2287">
              <w:rPr>
                <w:rFonts w:ascii="Verdana" w:eastAsia="Calibri" w:hAnsi="Verdana" w:cs="Arial"/>
                <w:sz w:val="20"/>
                <w:szCs w:val="20"/>
              </w:rPr>
              <w:t>Exp</w:t>
            </w:r>
            <w:proofErr w:type="spellEnd"/>
            <w:r w:rsidRPr="006D2287">
              <w:rPr>
                <w:rFonts w:ascii="Verdana" w:eastAsia="Calibri" w:hAnsi="Verdana" w:cs="Arial"/>
                <w:sz w:val="20"/>
                <w:szCs w:val="20"/>
              </w:rPr>
              <w:t>. 70.313. C.P: Fredy Ibarra Martínez.</w:t>
            </w:r>
          </w:p>
          <w:p w14:paraId="42A1C96D" w14:textId="77777777" w:rsidR="00BC131A" w:rsidRPr="006D2287" w:rsidRDefault="00BC131A" w:rsidP="00BC131A">
            <w:pPr>
              <w:widowControl w:val="0"/>
              <w:numPr>
                <w:ilvl w:val="0"/>
                <w:numId w:val="3"/>
              </w:numPr>
              <w:autoSpaceDE w:val="0"/>
              <w:autoSpaceDN w:val="0"/>
              <w:spacing w:line="276" w:lineRule="auto"/>
              <w:jc w:val="both"/>
              <w:rPr>
                <w:rFonts w:ascii="Verdana" w:eastAsia="Calibri" w:hAnsi="Verdana" w:cs="Arial"/>
                <w:sz w:val="20"/>
                <w:szCs w:val="20"/>
              </w:rPr>
            </w:pPr>
            <w:r w:rsidRPr="006D2287">
              <w:rPr>
                <w:rFonts w:ascii="Verdana" w:eastAsia="Calibri" w:hAnsi="Verdana" w:cs="Arial"/>
                <w:sz w:val="20"/>
                <w:szCs w:val="20"/>
                <w:lang w:val="pt-BR"/>
              </w:rPr>
              <w:t xml:space="preserve">Corte Constitucional. Sentencia C -1153 de 2005. </w:t>
            </w:r>
            <w:r w:rsidRPr="006D2287">
              <w:rPr>
                <w:rFonts w:ascii="Verdana" w:eastAsia="Calibri" w:hAnsi="Verdana" w:cs="Arial"/>
                <w:sz w:val="20"/>
                <w:szCs w:val="20"/>
              </w:rPr>
              <w:t xml:space="preserve">M.P. Marco Gerardo Monroy Cabra. </w:t>
            </w:r>
          </w:p>
          <w:p w14:paraId="53B93197" w14:textId="77777777" w:rsidR="00BC131A" w:rsidRPr="006D2287" w:rsidRDefault="00BC131A" w:rsidP="00BC131A">
            <w:pPr>
              <w:widowControl w:val="0"/>
              <w:numPr>
                <w:ilvl w:val="0"/>
                <w:numId w:val="3"/>
              </w:numPr>
              <w:autoSpaceDE w:val="0"/>
              <w:autoSpaceDN w:val="0"/>
              <w:spacing w:line="276" w:lineRule="auto"/>
              <w:jc w:val="both"/>
              <w:rPr>
                <w:rFonts w:ascii="Verdana" w:eastAsia="Calibri" w:hAnsi="Verdana" w:cs="Arial"/>
                <w:sz w:val="20"/>
                <w:szCs w:val="20"/>
                <w:lang w:val="pt-BR"/>
              </w:rPr>
            </w:pPr>
            <w:r w:rsidRPr="006D2287">
              <w:rPr>
                <w:rFonts w:ascii="Verdana" w:eastAsia="Calibri" w:hAnsi="Verdana" w:cs="Arial"/>
                <w:sz w:val="20"/>
                <w:szCs w:val="20"/>
                <w:lang w:val="pt-BR"/>
              </w:rPr>
              <w:t>Corte Constitucional. Sentencia C-671 de 2015. M.P. Alberto Rojas Ríos</w:t>
            </w:r>
          </w:p>
          <w:p w14:paraId="02B04347" w14:textId="77777777" w:rsidR="00BC131A" w:rsidRPr="006D2287" w:rsidRDefault="00BC131A" w:rsidP="00BC131A">
            <w:pPr>
              <w:widowControl w:val="0"/>
              <w:numPr>
                <w:ilvl w:val="0"/>
                <w:numId w:val="3"/>
              </w:numPr>
              <w:autoSpaceDE w:val="0"/>
              <w:autoSpaceDN w:val="0"/>
              <w:spacing w:line="276" w:lineRule="auto"/>
              <w:jc w:val="both"/>
              <w:rPr>
                <w:rFonts w:ascii="Verdana" w:eastAsia="Calibri" w:hAnsi="Verdana" w:cs="Arial"/>
                <w:sz w:val="20"/>
                <w:szCs w:val="20"/>
                <w:lang w:val="pt-BR"/>
              </w:rPr>
            </w:pPr>
            <w:r w:rsidRPr="006D2287">
              <w:rPr>
                <w:rFonts w:ascii="Verdana" w:eastAsia="Calibri" w:hAnsi="Verdana" w:cs="Arial"/>
                <w:sz w:val="20"/>
                <w:szCs w:val="20"/>
                <w:lang w:val="pt-BR"/>
              </w:rPr>
              <w:t xml:space="preserve">Corte Constitucional. Sentencias: C-233 de 4 de abril de 2002, expediente: D-3704; C-551 de 9 de </w:t>
            </w:r>
            <w:proofErr w:type="spellStart"/>
            <w:r w:rsidRPr="006D2287">
              <w:rPr>
                <w:rFonts w:ascii="Verdana" w:eastAsia="Calibri" w:hAnsi="Verdana" w:cs="Arial"/>
                <w:sz w:val="20"/>
                <w:szCs w:val="20"/>
                <w:lang w:val="pt-BR"/>
              </w:rPr>
              <w:t>julio</w:t>
            </w:r>
            <w:proofErr w:type="spellEnd"/>
            <w:r w:rsidRPr="006D2287">
              <w:rPr>
                <w:rFonts w:ascii="Verdana" w:eastAsia="Calibri" w:hAnsi="Verdana" w:cs="Arial"/>
                <w:sz w:val="20"/>
                <w:szCs w:val="20"/>
                <w:lang w:val="pt-BR"/>
              </w:rPr>
              <w:t xml:space="preserve"> de 2003, expediente: CRF-001 de 9 de </w:t>
            </w:r>
            <w:proofErr w:type="spellStart"/>
            <w:r w:rsidRPr="006D2287">
              <w:rPr>
                <w:rFonts w:ascii="Verdana" w:eastAsia="Calibri" w:hAnsi="Verdana" w:cs="Arial"/>
                <w:sz w:val="20"/>
                <w:szCs w:val="20"/>
                <w:lang w:val="pt-BR"/>
              </w:rPr>
              <w:t>julio</w:t>
            </w:r>
            <w:proofErr w:type="spellEnd"/>
            <w:r w:rsidRPr="006D2287">
              <w:rPr>
                <w:rFonts w:ascii="Verdana" w:eastAsia="Calibri" w:hAnsi="Verdana" w:cs="Arial"/>
                <w:sz w:val="20"/>
                <w:szCs w:val="20"/>
                <w:lang w:val="pt-BR"/>
              </w:rPr>
              <w:t xml:space="preserve"> de 2003; C-652 de 5 de agosto de 2003, expediente: D-4330; C-353 de 20 de </w:t>
            </w:r>
            <w:proofErr w:type="spellStart"/>
            <w:r w:rsidRPr="006D2287">
              <w:rPr>
                <w:rFonts w:ascii="Verdana" w:eastAsia="Calibri" w:hAnsi="Verdana" w:cs="Arial"/>
                <w:sz w:val="20"/>
                <w:szCs w:val="20"/>
                <w:lang w:val="pt-BR"/>
              </w:rPr>
              <w:t>mayo</w:t>
            </w:r>
            <w:proofErr w:type="spellEnd"/>
            <w:r w:rsidRPr="006D2287">
              <w:rPr>
                <w:rFonts w:ascii="Verdana" w:eastAsia="Calibri" w:hAnsi="Verdana" w:cs="Arial"/>
                <w:sz w:val="20"/>
                <w:szCs w:val="20"/>
                <w:lang w:val="pt-BR"/>
              </w:rPr>
              <w:t xml:space="preserve"> de 2009, expediente: D-7518, C-541 de 30 de </w:t>
            </w:r>
            <w:proofErr w:type="spellStart"/>
            <w:r w:rsidRPr="006D2287">
              <w:rPr>
                <w:rFonts w:ascii="Verdana" w:eastAsia="Calibri" w:hAnsi="Verdana" w:cs="Arial"/>
                <w:sz w:val="20"/>
                <w:szCs w:val="20"/>
                <w:lang w:val="pt-BR"/>
              </w:rPr>
              <w:t>junio</w:t>
            </w:r>
            <w:proofErr w:type="spellEnd"/>
            <w:r w:rsidRPr="006D2287">
              <w:rPr>
                <w:rFonts w:ascii="Verdana" w:eastAsia="Calibri" w:hAnsi="Verdana" w:cs="Arial"/>
                <w:sz w:val="20"/>
                <w:szCs w:val="20"/>
                <w:lang w:val="pt-BR"/>
              </w:rPr>
              <w:t xml:space="preserve"> de 2010, expediente: DD7966; entre </w:t>
            </w:r>
            <w:proofErr w:type="spellStart"/>
            <w:r w:rsidRPr="006D2287">
              <w:rPr>
                <w:rFonts w:ascii="Verdana" w:eastAsia="Calibri" w:hAnsi="Verdana" w:cs="Arial"/>
                <w:sz w:val="20"/>
                <w:szCs w:val="20"/>
                <w:lang w:val="pt-BR"/>
              </w:rPr>
              <w:t>otras</w:t>
            </w:r>
            <w:proofErr w:type="spellEnd"/>
            <w:r w:rsidRPr="006D2287">
              <w:rPr>
                <w:rFonts w:ascii="Verdana" w:eastAsia="Calibri" w:hAnsi="Verdana" w:cs="Arial"/>
                <w:sz w:val="20"/>
                <w:szCs w:val="20"/>
                <w:lang w:val="pt-BR"/>
              </w:rPr>
              <w:t>.</w:t>
            </w:r>
          </w:p>
          <w:p w14:paraId="3F11B0F7" w14:textId="77777777" w:rsidR="00BC131A" w:rsidRPr="006D2287" w:rsidRDefault="00BC131A" w:rsidP="00BC131A">
            <w:pPr>
              <w:widowControl w:val="0"/>
              <w:numPr>
                <w:ilvl w:val="0"/>
                <w:numId w:val="3"/>
              </w:numPr>
              <w:autoSpaceDE w:val="0"/>
              <w:autoSpaceDN w:val="0"/>
              <w:spacing w:line="276" w:lineRule="auto"/>
              <w:jc w:val="both"/>
              <w:rPr>
                <w:rFonts w:ascii="Verdana" w:eastAsia="Calibri" w:hAnsi="Verdana" w:cs="Arial"/>
                <w:sz w:val="20"/>
                <w:szCs w:val="20"/>
                <w:lang w:val="pt-BR"/>
              </w:rPr>
            </w:pPr>
            <w:r w:rsidRPr="006D2287">
              <w:rPr>
                <w:rFonts w:ascii="Verdana" w:eastAsia="Calibri" w:hAnsi="Verdana" w:cs="Arial"/>
                <w:sz w:val="20"/>
                <w:szCs w:val="20"/>
              </w:rPr>
              <w:t xml:space="preserve">Consejo de Estado. Sección Tercera. Sentencia de 3 de diciembre de 2007. </w:t>
            </w:r>
            <w:r w:rsidRPr="006D2287">
              <w:rPr>
                <w:rFonts w:ascii="Verdana" w:eastAsia="Calibri" w:hAnsi="Verdana" w:cs="Arial"/>
                <w:sz w:val="20"/>
                <w:szCs w:val="20"/>
                <w:lang w:val="pt-BR"/>
              </w:rPr>
              <w:t>Radicados: 24.715, 25.206, 25.409, 24.524, 27.834, 25.410, 26.105, 28.244, 31.447 -acumulados-</w:t>
            </w:r>
          </w:p>
          <w:p w14:paraId="24BEDA16" w14:textId="77777777" w:rsidR="00BC131A" w:rsidRPr="006D2287" w:rsidRDefault="00BC131A" w:rsidP="00BC131A">
            <w:pPr>
              <w:widowControl w:val="0"/>
              <w:numPr>
                <w:ilvl w:val="0"/>
                <w:numId w:val="3"/>
              </w:numPr>
              <w:autoSpaceDE w:val="0"/>
              <w:autoSpaceDN w:val="0"/>
              <w:spacing w:line="276" w:lineRule="auto"/>
              <w:jc w:val="both"/>
              <w:rPr>
                <w:rFonts w:ascii="Verdana" w:eastAsia="Calibri" w:hAnsi="Verdana" w:cs="Arial"/>
                <w:sz w:val="20"/>
                <w:szCs w:val="20"/>
                <w:lang w:val="pt-BR"/>
              </w:rPr>
            </w:pPr>
            <w:r w:rsidRPr="006D2287">
              <w:rPr>
                <w:rFonts w:ascii="Verdana" w:eastAsia="Calibri" w:hAnsi="Verdana" w:cs="Arial"/>
                <w:sz w:val="20"/>
                <w:szCs w:val="20"/>
              </w:rPr>
              <w:t xml:space="preserve">Consejo de Estado. Sala de Consulta y Servicio Civil. Concepto del 2 de septiembre de 2013. </w:t>
            </w:r>
            <w:proofErr w:type="spellStart"/>
            <w:r w:rsidRPr="006D2287">
              <w:rPr>
                <w:rFonts w:ascii="Verdana" w:eastAsia="Calibri" w:hAnsi="Verdana" w:cs="Arial"/>
                <w:sz w:val="20"/>
                <w:szCs w:val="20"/>
                <w:lang w:val="pt-BR"/>
              </w:rPr>
              <w:t>Radicación</w:t>
            </w:r>
            <w:proofErr w:type="spellEnd"/>
            <w:r w:rsidRPr="006D2287">
              <w:rPr>
                <w:rFonts w:ascii="Verdana" w:eastAsia="Calibri" w:hAnsi="Verdana" w:cs="Arial"/>
                <w:sz w:val="20"/>
                <w:szCs w:val="20"/>
                <w:lang w:val="pt-BR"/>
              </w:rPr>
              <w:t xml:space="preserve"> número: 11001-03-06-000-2013-00412-00 (2168). </w:t>
            </w:r>
            <w:proofErr w:type="spellStart"/>
            <w:r w:rsidRPr="006D2287">
              <w:rPr>
                <w:rFonts w:ascii="Verdana" w:eastAsia="Calibri" w:hAnsi="Verdana" w:cs="Arial"/>
                <w:sz w:val="20"/>
                <w:szCs w:val="20"/>
                <w:lang w:val="pt-BR"/>
              </w:rPr>
              <w:t>Consejero</w:t>
            </w:r>
            <w:proofErr w:type="spellEnd"/>
            <w:r w:rsidRPr="006D2287">
              <w:rPr>
                <w:rFonts w:ascii="Verdana" w:eastAsia="Calibri" w:hAnsi="Verdana" w:cs="Arial"/>
                <w:sz w:val="20"/>
                <w:szCs w:val="20"/>
                <w:lang w:val="pt-BR"/>
              </w:rPr>
              <w:t xml:space="preserve"> </w:t>
            </w:r>
            <w:proofErr w:type="spellStart"/>
            <w:r w:rsidRPr="006D2287">
              <w:rPr>
                <w:rFonts w:ascii="Verdana" w:eastAsia="Calibri" w:hAnsi="Verdana" w:cs="Arial"/>
                <w:sz w:val="20"/>
                <w:szCs w:val="20"/>
                <w:lang w:val="pt-BR"/>
              </w:rPr>
              <w:t>Ponente</w:t>
            </w:r>
            <w:proofErr w:type="spellEnd"/>
            <w:r w:rsidRPr="006D2287">
              <w:rPr>
                <w:rFonts w:ascii="Verdana" w:eastAsia="Calibri" w:hAnsi="Verdana" w:cs="Arial"/>
                <w:sz w:val="20"/>
                <w:szCs w:val="20"/>
                <w:lang w:val="pt-BR"/>
              </w:rPr>
              <w:t xml:space="preserve">: Álvaro </w:t>
            </w:r>
            <w:proofErr w:type="spellStart"/>
            <w:r w:rsidRPr="006D2287">
              <w:rPr>
                <w:rFonts w:ascii="Verdana" w:eastAsia="Calibri" w:hAnsi="Verdana" w:cs="Arial"/>
                <w:sz w:val="20"/>
                <w:szCs w:val="20"/>
                <w:lang w:val="pt-BR"/>
              </w:rPr>
              <w:t>Namén</w:t>
            </w:r>
            <w:proofErr w:type="spellEnd"/>
            <w:r w:rsidRPr="006D2287">
              <w:rPr>
                <w:rFonts w:ascii="Verdana" w:eastAsia="Calibri" w:hAnsi="Verdana" w:cs="Arial"/>
                <w:sz w:val="20"/>
                <w:szCs w:val="20"/>
                <w:lang w:val="pt-BR"/>
              </w:rPr>
              <w:t xml:space="preserve"> Vargas.</w:t>
            </w:r>
          </w:p>
          <w:p w14:paraId="48C14D1E" w14:textId="77777777" w:rsidR="00BC131A" w:rsidRPr="006D2287" w:rsidRDefault="00BC131A" w:rsidP="00BC131A">
            <w:pPr>
              <w:widowControl w:val="0"/>
              <w:numPr>
                <w:ilvl w:val="0"/>
                <w:numId w:val="3"/>
              </w:numPr>
              <w:autoSpaceDE w:val="0"/>
              <w:autoSpaceDN w:val="0"/>
              <w:spacing w:line="276" w:lineRule="auto"/>
              <w:jc w:val="both"/>
              <w:rPr>
                <w:rFonts w:ascii="Verdana" w:eastAsia="Calibri" w:hAnsi="Verdana" w:cs="Arial"/>
                <w:sz w:val="20"/>
                <w:szCs w:val="20"/>
                <w:lang w:val="pt-BR"/>
              </w:rPr>
            </w:pPr>
            <w:r w:rsidRPr="006D2287">
              <w:rPr>
                <w:rFonts w:ascii="Verdana" w:eastAsia="Calibri" w:hAnsi="Verdana" w:cs="Arial"/>
                <w:sz w:val="20"/>
                <w:szCs w:val="20"/>
              </w:rPr>
              <w:t xml:space="preserve">Consejo de Estado. Sala de Consulta y Servicio Civil. Concepto del 08 de mayo de 2018. </w:t>
            </w:r>
            <w:r w:rsidRPr="006D2287">
              <w:rPr>
                <w:rFonts w:ascii="Verdana" w:eastAsia="Calibri" w:hAnsi="Verdana" w:cs="Arial"/>
                <w:sz w:val="20"/>
                <w:szCs w:val="20"/>
                <w:lang w:val="pt-BR"/>
              </w:rPr>
              <w:t xml:space="preserve">Exp. 2.382. C.P. Álvaro </w:t>
            </w:r>
            <w:proofErr w:type="spellStart"/>
            <w:r w:rsidRPr="006D2287">
              <w:rPr>
                <w:rFonts w:ascii="Verdana" w:eastAsia="Calibri" w:hAnsi="Verdana" w:cs="Arial"/>
                <w:sz w:val="20"/>
                <w:szCs w:val="20"/>
                <w:lang w:val="pt-BR"/>
              </w:rPr>
              <w:t>Namén</w:t>
            </w:r>
            <w:proofErr w:type="spellEnd"/>
            <w:r w:rsidRPr="006D2287">
              <w:rPr>
                <w:rFonts w:ascii="Verdana" w:eastAsia="Calibri" w:hAnsi="Verdana" w:cs="Arial"/>
                <w:sz w:val="20"/>
                <w:szCs w:val="20"/>
                <w:lang w:val="pt-BR"/>
              </w:rPr>
              <w:t xml:space="preserve"> Vargas.</w:t>
            </w:r>
          </w:p>
          <w:p w14:paraId="3AB84A8C" w14:textId="77777777" w:rsidR="00BC131A" w:rsidRPr="006D2287" w:rsidRDefault="00BC131A" w:rsidP="00BC131A">
            <w:pPr>
              <w:widowControl w:val="0"/>
              <w:numPr>
                <w:ilvl w:val="0"/>
                <w:numId w:val="3"/>
              </w:numPr>
              <w:autoSpaceDE w:val="0"/>
              <w:autoSpaceDN w:val="0"/>
              <w:spacing w:line="276" w:lineRule="auto"/>
              <w:jc w:val="both"/>
              <w:rPr>
                <w:rFonts w:ascii="Verdana" w:eastAsia="Calibri" w:hAnsi="Verdana" w:cs="Arial"/>
                <w:sz w:val="20"/>
                <w:szCs w:val="20"/>
              </w:rPr>
            </w:pPr>
            <w:r w:rsidRPr="006D2287">
              <w:rPr>
                <w:rFonts w:ascii="Verdana" w:eastAsia="Calibri" w:hAnsi="Verdana" w:cs="Arial"/>
                <w:sz w:val="20"/>
                <w:szCs w:val="20"/>
              </w:rPr>
              <w:lastRenderedPageBreak/>
              <w:t>Concepto C-757 del 30 de diciembre de 2021.</w:t>
            </w:r>
          </w:p>
          <w:p w14:paraId="4B109DBF" w14:textId="77777777" w:rsidR="00BC131A" w:rsidRPr="006D2287" w:rsidRDefault="00BC131A" w:rsidP="00BC131A">
            <w:pPr>
              <w:widowControl w:val="0"/>
              <w:numPr>
                <w:ilvl w:val="0"/>
                <w:numId w:val="3"/>
              </w:numPr>
              <w:autoSpaceDE w:val="0"/>
              <w:autoSpaceDN w:val="0"/>
              <w:spacing w:line="276" w:lineRule="auto"/>
              <w:jc w:val="both"/>
              <w:rPr>
                <w:rFonts w:ascii="Verdana" w:eastAsia="Calibri" w:hAnsi="Verdana" w:cs="Arial"/>
                <w:sz w:val="20"/>
                <w:szCs w:val="20"/>
                <w:lang w:val="pt-BR"/>
              </w:rPr>
            </w:pPr>
            <w:r w:rsidRPr="006D2287">
              <w:rPr>
                <w:rFonts w:ascii="Verdana" w:eastAsia="Calibri" w:hAnsi="Verdana" w:cs="Arial"/>
                <w:sz w:val="20"/>
                <w:szCs w:val="20"/>
                <w:lang w:val="pt-BR"/>
              </w:rPr>
              <w:t>Corte Constitucional. Sentencia C-671 de 2015. M.P. Alberto Rojas Ríos</w:t>
            </w:r>
          </w:p>
          <w:p w14:paraId="57808DC3" w14:textId="77777777" w:rsidR="00BC131A" w:rsidRPr="006D2287" w:rsidRDefault="00BC131A" w:rsidP="00BC131A">
            <w:pPr>
              <w:widowControl w:val="0"/>
              <w:numPr>
                <w:ilvl w:val="0"/>
                <w:numId w:val="3"/>
              </w:numPr>
              <w:autoSpaceDE w:val="0"/>
              <w:autoSpaceDN w:val="0"/>
              <w:spacing w:line="276" w:lineRule="auto"/>
              <w:jc w:val="both"/>
              <w:rPr>
                <w:rFonts w:ascii="Verdana" w:eastAsia="Calibri" w:hAnsi="Verdana" w:cs="Arial"/>
                <w:sz w:val="20"/>
                <w:szCs w:val="20"/>
                <w:lang w:val="pt-BR"/>
              </w:rPr>
            </w:pPr>
            <w:r w:rsidRPr="006D2287">
              <w:rPr>
                <w:rFonts w:ascii="Verdana" w:eastAsia="Calibri" w:hAnsi="Verdana" w:cs="Arial"/>
                <w:sz w:val="20"/>
                <w:szCs w:val="20"/>
                <w:lang w:val="pt-BR"/>
              </w:rPr>
              <w:t>Circular Externa Única de Colombia Compra Eficiente</w:t>
            </w:r>
          </w:p>
          <w:p w14:paraId="79CB68D3" w14:textId="77777777" w:rsidR="00BC131A" w:rsidRPr="006D2287" w:rsidRDefault="00BC131A" w:rsidP="00BC131A">
            <w:pPr>
              <w:widowControl w:val="0"/>
              <w:numPr>
                <w:ilvl w:val="0"/>
                <w:numId w:val="3"/>
              </w:numPr>
              <w:autoSpaceDE w:val="0"/>
              <w:autoSpaceDN w:val="0"/>
              <w:spacing w:line="276" w:lineRule="auto"/>
              <w:jc w:val="both"/>
              <w:rPr>
                <w:rFonts w:ascii="Verdana" w:eastAsia="Calibri" w:hAnsi="Verdana" w:cs="Arial"/>
                <w:sz w:val="20"/>
                <w:szCs w:val="20"/>
                <w:lang w:val="pt-BR"/>
              </w:rPr>
            </w:pPr>
            <w:r w:rsidRPr="006D2287">
              <w:rPr>
                <w:rFonts w:ascii="Verdana" w:eastAsia="Calibri" w:hAnsi="Verdana" w:cs="Arial"/>
                <w:sz w:val="20"/>
                <w:szCs w:val="20"/>
              </w:rPr>
              <w:t xml:space="preserve">Consejo de Estado, Sección Tercera. Auto del 4 de octubre de 2024. </w:t>
            </w:r>
            <w:r w:rsidRPr="006D2287">
              <w:rPr>
                <w:rFonts w:ascii="Verdana" w:eastAsia="Calibri" w:hAnsi="Verdana" w:cs="Arial"/>
                <w:sz w:val="20"/>
                <w:szCs w:val="20"/>
                <w:lang w:val="pt-BR"/>
              </w:rPr>
              <w:t>Exp. 70.313. C.P: Fredy Ibarra Martínez</w:t>
            </w:r>
          </w:p>
          <w:p w14:paraId="0B815194" w14:textId="77777777" w:rsidR="00BC131A" w:rsidRPr="006D2287" w:rsidRDefault="00BC131A" w:rsidP="00BC131A">
            <w:pPr>
              <w:widowControl w:val="0"/>
              <w:numPr>
                <w:ilvl w:val="0"/>
                <w:numId w:val="3"/>
              </w:numPr>
              <w:autoSpaceDE w:val="0"/>
              <w:autoSpaceDN w:val="0"/>
              <w:spacing w:line="276" w:lineRule="auto"/>
              <w:jc w:val="both"/>
              <w:rPr>
                <w:rFonts w:ascii="Verdana" w:eastAsia="Calibri" w:hAnsi="Verdana" w:cs="Arial"/>
                <w:sz w:val="20"/>
                <w:szCs w:val="20"/>
                <w:lang w:val="pt-BR"/>
              </w:rPr>
            </w:pPr>
            <w:r w:rsidRPr="006D2287">
              <w:rPr>
                <w:rFonts w:ascii="Verdana" w:eastAsia="Calibri" w:hAnsi="Verdana" w:cs="Arial"/>
                <w:sz w:val="20"/>
                <w:szCs w:val="20"/>
              </w:rPr>
              <w:t xml:space="preserve">Consejo de Estado. Sala de Consulta y Servicio Civil. Concepto del 15 de noviembre de 2007. </w:t>
            </w:r>
            <w:r w:rsidRPr="006D2287">
              <w:rPr>
                <w:rFonts w:ascii="Verdana" w:eastAsia="Calibri" w:hAnsi="Verdana" w:cs="Arial"/>
                <w:sz w:val="20"/>
                <w:szCs w:val="20"/>
                <w:lang w:val="pt-BR"/>
              </w:rPr>
              <w:t xml:space="preserve">Expediente número 1863. </w:t>
            </w:r>
            <w:proofErr w:type="spellStart"/>
            <w:r w:rsidRPr="006D2287">
              <w:rPr>
                <w:rFonts w:ascii="Verdana" w:eastAsia="Calibri" w:hAnsi="Verdana" w:cs="Arial"/>
                <w:sz w:val="20"/>
                <w:szCs w:val="20"/>
                <w:lang w:val="pt-BR"/>
              </w:rPr>
              <w:t>Consejero</w:t>
            </w:r>
            <w:proofErr w:type="spellEnd"/>
            <w:r w:rsidRPr="006D2287">
              <w:rPr>
                <w:rFonts w:ascii="Verdana" w:eastAsia="Calibri" w:hAnsi="Verdana" w:cs="Arial"/>
                <w:sz w:val="20"/>
                <w:szCs w:val="20"/>
                <w:lang w:val="pt-BR"/>
              </w:rPr>
              <w:t xml:space="preserve"> </w:t>
            </w:r>
            <w:proofErr w:type="spellStart"/>
            <w:r w:rsidRPr="006D2287">
              <w:rPr>
                <w:rFonts w:ascii="Verdana" w:eastAsia="Calibri" w:hAnsi="Verdana" w:cs="Arial"/>
                <w:sz w:val="20"/>
                <w:szCs w:val="20"/>
                <w:lang w:val="pt-BR"/>
              </w:rPr>
              <w:t>Ponente</w:t>
            </w:r>
            <w:proofErr w:type="spellEnd"/>
            <w:r w:rsidRPr="006D2287">
              <w:rPr>
                <w:rFonts w:ascii="Verdana" w:eastAsia="Calibri" w:hAnsi="Verdana" w:cs="Arial"/>
                <w:sz w:val="20"/>
                <w:szCs w:val="20"/>
                <w:lang w:val="pt-BR"/>
              </w:rPr>
              <w:t xml:space="preserve">: </w:t>
            </w:r>
            <w:proofErr w:type="spellStart"/>
            <w:r w:rsidRPr="006D2287">
              <w:rPr>
                <w:rFonts w:ascii="Verdana" w:eastAsia="Calibri" w:hAnsi="Verdana" w:cs="Arial"/>
                <w:sz w:val="20"/>
                <w:szCs w:val="20"/>
                <w:lang w:val="pt-BR"/>
              </w:rPr>
              <w:t>Luis</w:t>
            </w:r>
            <w:proofErr w:type="spellEnd"/>
            <w:r w:rsidRPr="006D2287">
              <w:rPr>
                <w:rFonts w:ascii="Verdana" w:eastAsia="Calibri" w:hAnsi="Verdana" w:cs="Arial"/>
                <w:sz w:val="20"/>
                <w:szCs w:val="20"/>
                <w:lang w:val="pt-BR"/>
              </w:rPr>
              <w:t xml:space="preserve"> Fernando Álvarez Jaramillo.</w:t>
            </w:r>
          </w:p>
          <w:p w14:paraId="7B235608" w14:textId="77777777" w:rsidR="00BC131A" w:rsidRPr="006D2287" w:rsidRDefault="00BC131A" w:rsidP="00BC131A">
            <w:pPr>
              <w:widowControl w:val="0"/>
              <w:numPr>
                <w:ilvl w:val="0"/>
                <w:numId w:val="3"/>
              </w:numPr>
              <w:autoSpaceDE w:val="0"/>
              <w:autoSpaceDN w:val="0"/>
              <w:spacing w:line="276" w:lineRule="auto"/>
              <w:jc w:val="both"/>
              <w:rPr>
                <w:rFonts w:ascii="Verdana" w:eastAsia="Calibri" w:hAnsi="Verdana" w:cs="Arial"/>
                <w:sz w:val="20"/>
                <w:szCs w:val="20"/>
              </w:rPr>
            </w:pPr>
            <w:r w:rsidRPr="006D2287">
              <w:rPr>
                <w:rFonts w:ascii="Verdana" w:eastAsia="Calibri" w:hAnsi="Verdana" w:cs="Arial"/>
                <w:sz w:val="20"/>
                <w:szCs w:val="20"/>
              </w:rPr>
              <w:t>Subsección C de la Sección Tercera del Consejo de Estado, mediante sentencia de 12 de junio de 2014, radicación 13001-23-31-000-1999-00275-01(28279).</w:t>
            </w:r>
          </w:p>
          <w:p w14:paraId="15A864C0" w14:textId="77777777" w:rsidR="00BC131A" w:rsidRPr="0095695D" w:rsidRDefault="00BC131A" w:rsidP="00BC131A">
            <w:pPr>
              <w:widowControl w:val="0"/>
              <w:numPr>
                <w:ilvl w:val="0"/>
                <w:numId w:val="3"/>
              </w:numPr>
              <w:autoSpaceDE w:val="0"/>
              <w:autoSpaceDN w:val="0"/>
              <w:spacing w:line="276" w:lineRule="auto"/>
              <w:jc w:val="both"/>
              <w:rPr>
                <w:rFonts w:ascii="Verdana" w:eastAsia="Calibri" w:hAnsi="Verdana" w:cs="Arial"/>
              </w:rPr>
            </w:pPr>
            <w:r w:rsidRPr="006D2287">
              <w:rPr>
                <w:rFonts w:ascii="Verdana" w:eastAsia="Calibri" w:hAnsi="Verdana" w:cs="Arial"/>
                <w:sz w:val="20"/>
                <w:szCs w:val="20"/>
              </w:rPr>
              <w:t>Sala de Consulta y Servicio Civil del Consejo de Estado en concepto del 2 de febrero de 2006, expediente 11001-0306-000-2006-00011-00 (1712).</w:t>
            </w:r>
          </w:p>
        </w:tc>
      </w:tr>
    </w:tbl>
    <w:p w14:paraId="0F1E87A5" w14:textId="77777777" w:rsidR="00BC131A" w:rsidRPr="0095695D" w:rsidRDefault="00BC131A" w:rsidP="00BC131A">
      <w:pPr>
        <w:widowControl w:val="0"/>
        <w:autoSpaceDE w:val="0"/>
        <w:autoSpaceDN w:val="0"/>
        <w:spacing w:after="0" w:line="276" w:lineRule="auto"/>
        <w:jc w:val="both"/>
        <w:rPr>
          <w:rFonts w:ascii="Verdana" w:hAnsi="Verdana" w:cs="Arial"/>
        </w:rPr>
      </w:pPr>
    </w:p>
    <w:p w14:paraId="214673A0" w14:textId="77777777" w:rsidR="00BC131A" w:rsidRPr="00DC212C" w:rsidRDefault="00BC131A" w:rsidP="00BC131A">
      <w:pPr>
        <w:pStyle w:val="Prrafodelista"/>
        <w:numPr>
          <w:ilvl w:val="0"/>
          <w:numId w:val="2"/>
        </w:numPr>
        <w:tabs>
          <w:tab w:val="left" w:pos="142"/>
          <w:tab w:val="left" w:pos="284"/>
        </w:tabs>
        <w:spacing w:after="0" w:line="276" w:lineRule="auto"/>
        <w:jc w:val="both"/>
        <w:rPr>
          <w:rFonts w:ascii="Verdana" w:eastAsia="Century Gothic" w:hAnsi="Verdana" w:cs="Century Gothic"/>
          <w:b/>
          <w:bCs/>
        </w:rPr>
      </w:pPr>
      <w:r w:rsidRPr="00DC212C">
        <w:rPr>
          <w:rFonts w:ascii="Verdana" w:eastAsia="Century Gothic" w:hAnsi="Verdana" w:cs="Century Gothic"/>
          <w:b/>
          <w:bCs/>
        </w:rPr>
        <w:t>Doctrina de la Agencia Nacional de Contratación Pública:</w:t>
      </w:r>
    </w:p>
    <w:p w14:paraId="26CE7AD2" w14:textId="77777777" w:rsidR="00BC131A" w:rsidRPr="00DC212C" w:rsidRDefault="00BC131A" w:rsidP="00BC131A">
      <w:pPr>
        <w:widowControl w:val="0"/>
        <w:autoSpaceDE w:val="0"/>
        <w:autoSpaceDN w:val="0"/>
        <w:spacing w:after="0" w:line="276" w:lineRule="auto"/>
        <w:jc w:val="both"/>
        <w:rPr>
          <w:rFonts w:ascii="Verdana" w:hAnsi="Verdana" w:cs="Arial"/>
        </w:rPr>
      </w:pPr>
    </w:p>
    <w:p w14:paraId="5A4A9EE2" w14:textId="77777777" w:rsidR="00BC131A" w:rsidRDefault="00BC131A" w:rsidP="00BC131A">
      <w:pPr>
        <w:widowControl w:val="0"/>
        <w:autoSpaceDE w:val="0"/>
        <w:autoSpaceDN w:val="0"/>
        <w:spacing w:after="0" w:line="276" w:lineRule="auto"/>
        <w:jc w:val="both"/>
        <w:rPr>
          <w:rFonts w:ascii="Verdana" w:hAnsi="Verdana"/>
        </w:rPr>
      </w:pPr>
      <w:r w:rsidRPr="00DC212C">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entre otros. Estos y otros </w:t>
      </w:r>
      <w:r w:rsidRPr="00DC212C">
        <w:rPr>
          <w:rFonts w:ascii="Verdana" w:hAnsi="Verdana"/>
        </w:rPr>
        <w:t>conceptos se encuentran disponibles para consulta en el Sistema de relatoría de la Agencia, al cual se puede acceder a través del siguiente enlace:</w:t>
      </w:r>
    </w:p>
    <w:p w14:paraId="7BBE20B6" w14:textId="77777777" w:rsidR="00BC131A" w:rsidRDefault="00BC131A" w:rsidP="00BC131A">
      <w:pPr>
        <w:widowControl w:val="0"/>
        <w:autoSpaceDE w:val="0"/>
        <w:autoSpaceDN w:val="0"/>
        <w:spacing w:after="0" w:line="276" w:lineRule="auto"/>
        <w:jc w:val="both"/>
        <w:rPr>
          <w:rFonts w:ascii="Verdana" w:hAnsi="Verdana"/>
        </w:rPr>
      </w:pPr>
    </w:p>
    <w:p w14:paraId="47F9D370" w14:textId="77777777" w:rsidR="00BC131A" w:rsidRPr="00DC212C" w:rsidRDefault="00BC131A" w:rsidP="00BC131A">
      <w:pPr>
        <w:widowControl w:val="0"/>
        <w:autoSpaceDE w:val="0"/>
        <w:autoSpaceDN w:val="0"/>
        <w:spacing w:after="0" w:line="276" w:lineRule="auto"/>
        <w:jc w:val="both"/>
        <w:rPr>
          <w:rFonts w:ascii="Verdana" w:hAnsi="Verdana" w:cs="Arial"/>
          <w:shd w:val="clear" w:color="auto" w:fill="FFFFFF"/>
        </w:rPr>
      </w:pPr>
      <w:hyperlink r:id="rId12" w:history="1">
        <w:r w:rsidRPr="00DC212C">
          <w:rPr>
            <w:rFonts w:ascii="Verdana" w:hAnsi="Verdana" w:cs="Arial"/>
            <w:color w:val="0563C1" w:themeColor="hyperlink"/>
            <w:u w:val="single"/>
            <w:shd w:val="clear" w:color="auto" w:fill="FFFFFF"/>
          </w:rPr>
          <w:t>https://relatoria.colombiacompra.gov.co/busqueda/conceptos</w:t>
        </w:r>
      </w:hyperlink>
      <w:r w:rsidRPr="00DC212C">
        <w:rPr>
          <w:rFonts w:ascii="Verdana" w:hAnsi="Verdana" w:cs="Arial"/>
          <w:shd w:val="clear" w:color="auto" w:fill="FFFFFF"/>
        </w:rPr>
        <w:t>.</w:t>
      </w:r>
      <w:r w:rsidRPr="00DC212C">
        <w:rPr>
          <w:rFonts w:ascii="Verdana" w:hAnsi="Verdana" w:cs="Arial"/>
          <w:color w:val="FF0000"/>
          <w:shd w:val="clear" w:color="auto" w:fill="FFFFFF"/>
        </w:rPr>
        <w:t xml:space="preserve"> </w:t>
      </w:r>
      <w:r w:rsidRPr="00DC212C">
        <w:rPr>
          <w:rFonts w:ascii="Verdana" w:hAnsi="Verdana" w:cs="Arial"/>
          <w:color w:val="000000" w:themeColor="text1"/>
          <w:shd w:val="clear" w:color="auto" w:fill="FFFFFF"/>
        </w:rPr>
        <w:t>  </w:t>
      </w:r>
    </w:p>
    <w:p w14:paraId="56314A20" w14:textId="77777777" w:rsidR="00BC131A" w:rsidRPr="00DC212C" w:rsidRDefault="00BC131A" w:rsidP="00BC131A">
      <w:pPr>
        <w:spacing w:after="0"/>
        <w:jc w:val="both"/>
        <w:rPr>
          <w:rFonts w:ascii="Verdana" w:hAnsi="Verdana"/>
        </w:rPr>
      </w:pPr>
    </w:p>
    <w:p w14:paraId="3BF590AE" w14:textId="77777777" w:rsidR="00BC131A" w:rsidRPr="00067BB4" w:rsidRDefault="00BC131A" w:rsidP="00BC131A">
      <w:pPr>
        <w:spacing w:after="0" w:line="276" w:lineRule="auto"/>
        <w:jc w:val="both"/>
        <w:rPr>
          <w:rFonts w:ascii="Verdana" w:hAnsi="Verdana"/>
        </w:rPr>
      </w:pPr>
      <w:r w:rsidRPr="00067BB4">
        <w:rPr>
          <w:rFonts w:ascii="Verdana" w:hAnsi="Verdana"/>
        </w:rPr>
        <w:t>También le contamos que ya se encuentra disponible la </w:t>
      </w:r>
      <w:r w:rsidRPr="00067BB4">
        <w:rPr>
          <w:rFonts w:ascii="Verdana" w:hAnsi="Verdana"/>
          <w:b/>
          <w:bCs/>
        </w:rPr>
        <w:t xml:space="preserve">Guía de lineamientos de transparencia y selección objetiva para el departamento de La </w:t>
      </w:r>
      <w:r w:rsidRPr="00067BB4">
        <w:rPr>
          <w:rFonts w:ascii="Verdana" w:hAnsi="Verdana"/>
          <w:b/>
          <w:bCs/>
        </w:rPr>
        <w:lastRenderedPageBreak/>
        <w:t>Guajira – Objetivo sexto constitucional de la Sentencia T-302 del 2017. </w:t>
      </w:r>
      <w:r w:rsidRPr="00067BB4">
        <w:rPr>
          <w:rFonts w:ascii="Verdana" w:hAnsi="Verdana"/>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67BB4">
        <w:rPr>
          <w:rFonts w:ascii="Verdana" w:hAnsi="Verdana"/>
        </w:rPr>
        <w:t>Wayúu</w:t>
      </w:r>
      <w:proofErr w:type="spellEnd"/>
      <w:r w:rsidRPr="00067BB4">
        <w:rPr>
          <w:rFonts w:ascii="Verdana" w:hAnsi="Verdana"/>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67BB4">
          <w:rPr>
            <w:rStyle w:val="Hipervnculo"/>
            <w:rFonts w:ascii="Verdana" w:hAnsi="Verdana"/>
          </w:rPr>
          <w:t>Guía de lineamientos de transparencia y selección objetiva para el departamento de La Guajira – Objetivo sexto constitucional de la Sentencia T-302 del 2017</w:t>
        </w:r>
      </w:hyperlink>
    </w:p>
    <w:p w14:paraId="56BC41FF" w14:textId="77777777" w:rsidR="00BC131A" w:rsidRPr="00DC212C" w:rsidRDefault="00BC131A" w:rsidP="00BC131A">
      <w:pPr>
        <w:spacing w:after="0" w:line="276" w:lineRule="auto"/>
        <w:jc w:val="both"/>
        <w:rPr>
          <w:rFonts w:ascii="Verdana" w:eastAsia="Calibri" w:hAnsi="Verdana" w:cs="Arial"/>
          <w:color w:val="000000"/>
          <w:shd w:val="clear" w:color="auto" w:fill="FFFFFF"/>
        </w:rPr>
      </w:pPr>
    </w:p>
    <w:p w14:paraId="0F3CA4DD" w14:textId="77777777" w:rsidR="00BC131A" w:rsidRPr="00DC212C" w:rsidRDefault="00BC131A" w:rsidP="00BC131A">
      <w:pPr>
        <w:spacing w:after="0"/>
        <w:jc w:val="both"/>
        <w:rPr>
          <w:rFonts w:ascii="Verdana" w:hAnsi="Verdana"/>
        </w:rPr>
      </w:pPr>
      <w:r w:rsidRPr="00DC212C">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48D61DE" w14:textId="77777777" w:rsidR="00BC131A" w:rsidRPr="00DC212C" w:rsidRDefault="00BC131A" w:rsidP="00BC131A">
      <w:pPr>
        <w:spacing w:after="0" w:line="240" w:lineRule="auto"/>
        <w:jc w:val="both"/>
        <w:rPr>
          <w:rFonts w:ascii="Verdana" w:hAnsi="Verdana"/>
        </w:rPr>
      </w:pPr>
    </w:p>
    <w:p w14:paraId="5EF0423C" w14:textId="77777777" w:rsidR="00BC131A" w:rsidRPr="00DC212C" w:rsidRDefault="00BC131A" w:rsidP="00BC131A">
      <w:pPr>
        <w:pStyle w:val="Prrafodelista"/>
        <w:numPr>
          <w:ilvl w:val="0"/>
          <w:numId w:val="1"/>
        </w:numPr>
        <w:spacing w:after="0" w:line="240" w:lineRule="auto"/>
        <w:jc w:val="both"/>
        <w:rPr>
          <w:rFonts w:ascii="Verdana" w:hAnsi="Verdana"/>
        </w:rPr>
      </w:pPr>
      <w:r w:rsidRPr="00DC212C">
        <w:rPr>
          <w:rFonts w:ascii="Verdana" w:hAnsi="Verdana"/>
        </w:rPr>
        <w:t>Línea nacional gratuita o servicio a la ciudadanía: 01800 0520808</w:t>
      </w:r>
    </w:p>
    <w:p w14:paraId="4229E7AA" w14:textId="77777777" w:rsidR="00BC131A" w:rsidRPr="00DC212C" w:rsidRDefault="00BC131A" w:rsidP="00BC131A">
      <w:pPr>
        <w:pStyle w:val="Prrafodelista"/>
        <w:numPr>
          <w:ilvl w:val="0"/>
          <w:numId w:val="1"/>
        </w:numPr>
        <w:spacing w:after="0" w:line="240" w:lineRule="auto"/>
        <w:jc w:val="both"/>
        <w:rPr>
          <w:rFonts w:ascii="Verdana" w:hAnsi="Verdana"/>
        </w:rPr>
      </w:pPr>
      <w:r w:rsidRPr="00DC212C">
        <w:rPr>
          <w:rFonts w:ascii="Verdana" w:hAnsi="Verdana"/>
        </w:rPr>
        <w:t>Línea en Bogotá (Mesa de servicio): +57 601 7456788</w:t>
      </w:r>
    </w:p>
    <w:p w14:paraId="5CA945DD" w14:textId="77777777" w:rsidR="00BC131A" w:rsidRPr="00DC212C" w:rsidRDefault="00BC131A" w:rsidP="00BC131A">
      <w:pPr>
        <w:pStyle w:val="Prrafodelista"/>
        <w:numPr>
          <w:ilvl w:val="0"/>
          <w:numId w:val="1"/>
        </w:numPr>
        <w:spacing w:after="0" w:line="240" w:lineRule="auto"/>
        <w:jc w:val="both"/>
        <w:rPr>
          <w:rFonts w:ascii="Verdana" w:hAnsi="Verdana"/>
        </w:rPr>
      </w:pPr>
      <w:r w:rsidRPr="00DC212C">
        <w:rPr>
          <w:rFonts w:ascii="Verdana" w:hAnsi="Verdana"/>
        </w:rPr>
        <w:t>Línea de servicio y atención al ciudadano: +57 601 7956600</w:t>
      </w:r>
    </w:p>
    <w:p w14:paraId="64EA18B5" w14:textId="77777777" w:rsidR="00BC131A" w:rsidRPr="00DC212C" w:rsidRDefault="00BC131A" w:rsidP="00BC131A">
      <w:pPr>
        <w:pStyle w:val="Prrafodelista"/>
        <w:numPr>
          <w:ilvl w:val="0"/>
          <w:numId w:val="1"/>
        </w:numPr>
        <w:spacing w:after="0" w:line="240" w:lineRule="auto"/>
        <w:jc w:val="both"/>
        <w:rPr>
          <w:rFonts w:ascii="Verdana" w:hAnsi="Verdana"/>
        </w:rPr>
      </w:pPr>
      <w:r w:rsidRPr="00DC212C">
        <w:rPr>
          <w:rFonts w:ascii="Verdana" w:hAnsi="Verdana"/>
        </w:rPr>
        <w:t xml:space="preserve">Página web: </w:t>
      </w:r>
      <w:hyperlink r:id="rId14" w:history="1">
        <w:r w:rsidRPr="00DC212C">
          <w:rPr>
            <w:rStyle w:val="Hipervnculo"/>
            <w:rFonts w:ascii="Verdana" w:hAnsi="Verdana"/>
          </w:rPr>
          <w:t>www.colombiacompra.gov.co</w:t>
        </w:r>
      </w:hyperlink>
    </w:p>
    <w:p w14:paraId="03C2C767" w14:textId="77777777" w:rsidR="00BC131A" w:rsidRPr="00DC212C" w:rsidRDefault="00BC131A" w:rsidP="00BC131A">
      <w:pPr>
        <w:pStyle w:val="Prrafodelista"/>
        <w:spacing w:after="0" w:line="240" w:lineRule="auto"/>
        <w:ind w:left="785"/>
        <w:jc w:val="both"/>
        <w:rPr>
          <w:rFonts w:ascii="Verdana" w:hAnsi="Verdana"/>
        </w:rPr>
      </w:pPr>
    </w:p>
    <w:p w14:paraId="62686041" w14:textId="77777777" w:rsidR="00BC131A" w:rsidRPr="00DC212C" w:rsidRDefault="00BC131A" w:rsidP="00BC131A">
      <w:pPr>
        <w:spacing w:after="0" w:line="240" w:lineRule="auto"/>
        <w:jc w:val="both"/>
        <w:rPr>
          <w:rFonts w:ascii="Verdana" w:hAnsi="Verdana"/>
        </w:rPr>
      </w:pPr>
      <w:r w:rsidRPr="00DC212C">
        <w:rPr>
          <w:rFonts w:ascii="Verdana" w:hAnsi="Verdana"/>
        </w:rPr>
        <w:t xml:space="preserve">Por último, lo invitamos a seguirnos en las redes sociales en las cuales se difunde información institucional: </w:t>
      </w:r>
    </w:p>
    <w:p w14:paraId="59419366" w14:textId="77777777" w:rsidR="00BC131A" w:rsidRPr="00DC212C" w:rsidRDefault="00BC131A" w:rsidP="00BC131A">
      <w:pPr>
        <w:spacing w:after="0" w:line="240" w:lineRule="auto"/>
        <w:jc w:val="both"/>
        <w:rPr>
          <w:rFonts w:ascii="Verdana" w:hAnsi="Verdana"/>
        </w:rPr>
      </w:pPr>
    </w:p>
    <w:p w14:paraId="43C09E93" w14:textId="77777777" w:rsidR="00BC131A" w:rsidRPr="00DC212C" w:rsidRDefault="00BC131A" w:rsidP="00BC131A">
      <w:pPr>
        <w:spacing w:after="0" w:line="240" w:lineRule="auto"/>
        <w:jc w:val="both"/>
        <w:rPr>
          <w:rFonts w:ascii="Verdana" w:hAnsi="Verdana"/>
        </w:rPr>
      </w:pPr>
      <w:r w:rsidRPr="00DC212C">
        <w:rPr>
          <w:rFonts w:ascii="Verdana" w:hAnsi="Verdana"/>
        </w:rPr>
        <w:t xml:space="preserve">Twitter: </w:t>
      </w:r>
      <w:r w:rsidRPr="00DC212C">
        <w:rPr>
          <w:rStyle w:val="Hipervnculo"/>
          <w:rFonts w:ascii="Verdana" w:hAnsi="Verdana"/>
        </w:rPr>
        <w:t>@colombiacompra</w:t>
      </w:r>
      <w:r w:rsidRPr="00DC212C">
        <w:rPr>
          <w:rFonts w:ascii="Verdana" w:hAnsi="Verdana"/>
        </w:rPr>
        <w:t xml:space="preserve"> </w:t>
      </w:r>
    </w:p>
    <w:p w14:paraId="4F90442B" w14:textId="77777777" w:rsidR="00BC131A" w:rsidRPr="00DC212C" w:rsidRDefault="00BC131A" w:rsidP="00BC131A">
      <w:pPr>
        <w:spacing w:after="0" w:line="240" w:lineRule="auto"/>
        <w:jc w:val="both"/>
        <w:rPr>
          <w:rFonts w:ascii="Verdana" w:hAnsi="Verdana"/>
        </w:rPr>
      </w:pPr>
      <w:r w:rsidRPr="00DC212C">
        <w:rPr>
          <w:rFonts w:ascii="Verdana" w:hAnsi="Verdana"/>
        </w:rPr>
        <w:t xml:space="preserve">Facebook: </w:t>
      </w:r>
      <w:proofErr w:type="spellStart"/>
      <w:r w:rsidRPr="00DC212C">
        <w:rPr>
          <w:rStyle w:val="Hipervnculo"/>
          <w:rFonts w:ascii="Verdana" w:hAnsi="Verdana"/>
        </w:rPr>
        <w:t>ColombiaCompraEficiente</w:t>
      </w:r>
      <w:proofErr w:type="spellEnd"/>
    </w:p>
    <w:p w14:paraId="6C940C7F" w14:textId="77777777" w:rsidR="00BC131A" w:rsidRPr="00DC212C" w:rsidRDefault="00BC131A" w:rsidP="00BC131A">
      <w:pPr>
        <w:spacing w:after="0" w:line="240" w:lineRule="auto"/>
        <w:jc w:val="both"/>
        <w:rPr>
          <w:rFonts w:ascii="Verdana" w:hAnsi="Verdana"/>
        </w:rPr>
      </w:pPr>
      <w:r w:rsidRPr="00DC212C">
        <w:rPr>
          <w:rFonts w:ascii="Verdana" w:hAnsi="Verdana"/>
        </w:rPr>
        <w:t xml:space="preserve">LinkedIn: </w:t>
      </w:r>
      <w:r w:rsidRPr="00DC212C">
        <w:rPr>
          <w:rStyle w:val="Hipervnculo"/>
          <w:rFonts w:ascii="Verdana" w:hAnsi="Verdana"/>
        </w:rPr>
        <w:t>Agencia Nacional de Contratación Pública - Colombia Compra Eficiente</w:t>
      </w:r>
      <w:r w:rsidRPr="00DC212C">
        <w:rPr>
          <w:rFonts w:ascii="Verdana" w:hAnsi="Verdana"/>
        </w:rPr>
        <w:t xml:space="preserve"> Instagram: </w:t>
      </w:r>
      <w:r w:rsidRPr="00DC212C">
        <w:rPr>
          <w:rStyle w:val="Hipervnculo"/>
          <w:rFonts w:ascii="Verdana" w:hAnsi="Verdana"/>
        </w:rPr>
        <w:t>@colombiacompraeficiente_cce</w:t>
      </w:r>
    </w:p>
    <w:p w14:paraId="06B04D0A" w14:textId="77777777" w:rsidR="00BC131A" w:rsidRPr="00DC212C" w:rsidRDefault="00BC131A" w:rsidP="00BC131A">
      <w:pPr>
        <w:spacing w:after="0" w:line="240" w:lineRule="auto"/>
        <w:jc w:val="both"/>
        <w:rPr>
          <w:rFonts w:ascii="Verdana" w:hAnsi="Verdana"/>
        </w:rPr>
      </w:pPr>
    </w:p>
    <w:p w14:paraId="34883780" w14:textId="77777777" w:rsidR="00BC131A" w:rsidRPr="00DC212C" w:rsidRDefault="00BC131A" w:rsidP="00BC131A">
      <w:pPr>
        <w:spacing w:after="0" w:line="256" w:lineRule="auto"/>
        <w:jc w:val="both"/>
        <w:rPr>
          <w:rFonts w:ascii="Verdana" w:eastAsia="Calibri" w:hAnsi="Verdana" w:cs="Times New Roman"/>
          <w:bCs/>
        </w:rPr>
      </w:pPr>
      <w:r w:rsidRPr="00DC212C">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8C5EC2F" w14:textId="77777777" w:rsidR="00BC131A" w:rsidRPr="00DC212C" w:rsidRDefault="00BC131A" w:rsidP="00BC131A">
      <w:pPr>
        <w:spacing w:after="0" w:line="256" w:lineRule="auto"/>
        <w:jc w:val="both"/>
        <w:rPr>
          <w:rFonts w:ascii="Verdana" w:eastAsia="Calibri" w:hAnsi="Verdana" w:cs="Times New Roman"/>
        </w:rPr>
      </w:pPr>
    </w:p>
    <w:p w14:paraId="0C02BA3E" w14:textId="77777777" w:rsidR="00BC131A" w:rsidRPr="00DC212C" w:rsidRDefault="00BC131A" w:rsidP="00BC131A">
      <w:pPr>
        <w:spacing w:after="0" w:line="256" w:lineRule="auto"/>
        <w:jc w:val="both"/>
        <w:rPr>
          <w:rFonts w:ascii="Verdana" w:eastAsia="Calibri" w:hAnsi="Verdana" w:cs="Times New Roman"/>
        </w:rPr>
      </w:pPr>
      <w:r w:rsidRPr="00DC212C">
        <w:rPr>
          <w:rFonts w:ascii="Verdana" w:eastAsia="Calibri" w:hAnsi="Verdana" w:cs="Times New Roman"/>
        </w:rPr>
        <w:t>Atentamente,</w:t>
      </w:r>
    </w:p>
    <w:p w14:paraId="5FAF96F7" w14:textId="77777777" w:rsidR="00BC131A" w:rsidRPr="00DC212C" w:rsidRDefault="00BC131A" w:rsidP="00BC131A">
      <w:pPr>
        <w:spacing w:after="0" w:line="256" w:lineRule="auto"/>
        <w:rPr>
          <w:rFonts w:ascii="Verdana" w:eastAsia="Times New Roman" w:hAnsi="Verdana" w:cs="Arial"/>
          <w:noProof/>
          <w:sz w:val="24"/>
          <w:szCs w:val="24"/>
        </w:rPr>
      </w:pPr>
    </w:p>
    <w:p w14:paraId="6E3F75A4" w14:textId="60328656" w:rsidR="00BC131A" w:rsidRPr="00DC212C" w:rsidRDefault="00FA0F05" w:rsidP="00BC131A">
      <w:pPr>
        <w:spacing w:after="0" w:line="256" w:lineRule="auto"/>
        <w:jc w:val="center"/>
        <w:rPr>
          <w:rFonts w:ascii="Century Gothic" w:hAnsi="Century Gothic"/>
          <w:noProof/>
        </w:rPr>
      </w:pPr>
      <w:r w:rsidRPr="004D5C25">
        <w:rPr>
          <w:rFonts w:ascii="Century Gothic" w:hAnsi="Century Gothic"/>
          <w:noProof/>
        </w:rPr>
        <w:lastRenderedPageBreak/>
        <w:drawing>
          <wp:inline distT="0" distB="0" distL="0" distR="0" wp14:anchorId="0D587653" wp14:editId="15C002E8">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5"/>
                    <a:stretch>
                      <a:fillRect/>
                    </a:stretch>
                  </pic:blipFill>
                  <pic:spPr>
                    <a:xfrm>
                      <a:off x="0" y="0"/>
                      <a:ext cx="3705742" cy="1590897"/>
                    </a:xfrm>
                    <a:prstGeom prst="rect">
                      <a:avLst/>
                    </a:prstGeom>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BC131A" w:rsidRPr="00DC212C" w14:paraId="361A8704" w14:textId="77777777" w:rsidTr="00A937DF">
        <w:trPr>
          <w:trHeight w:val="409"/>
        </w:trPr>
        <w:tc>
          <w:tcPr>
            <w:tcW w:w="817" w:type="dxa"/>
            <w:tcBorders>
              <w:top w:val="nil"/>
              <w:left w:val="nil"/>
              <w:bottom w:val="nil"/>
              <w:right w:val="nil"/>
            </w:tcBorders>
            <w:vAlign w:val="center"/>
            <w:hideMark/>
          </w:tcPr>
          <w:p w14:paraId="3FD42E9C" w14:textId="77777777" w:rsidR="00BC131A" w:rsidRPr="00DC212C" w:rsidRDefault="00BC131A" w:rsidP="00A937DF">
            <w:pPr>
              <w:spacing w:after="0" w:line="256" w:lineRule="auto"/>
              <w:rPr>
                <w:rFonts w:ascii="Verdana" w:eastAsia="Calibri" w:hAnsi="Verdana" w:cs="Times New Roman"/>
                <w:sz w:val="16"/>
                <w:szCs w:val="16"/>
              </w:rPr>
            </w:pPr>
            <w:r w:rsidRPr="00DC212C">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4A0CDBC1" w14:textId="77777777" w:rsidR="00BC131A" w:rsidRPr="00DC212C" w:rsidRDefault="00BC131A" w:rsidP="00A937DF">
            <w:pPr>
              <w:spacing w:after="0" w:line="256" w:lineRule="auto"/>
              <w:rPr>
                <w:rFonts w:ascii="Verdana" w:eastAsia="Calibri" w:hAnsi="Verdana" w:cs="Times New Roman"/>
                <w:sz w:val="16"/>
                <w:szCs w:val="16"/>
              </w:rPr>
            </w:pPr>
            <w:r>
              <w:rPr>
                <w:rFonts w:ascii="Verdana" w:eastAsia="Calibri" w:hAnsi="Verdana" w:cs="Times New Roman"/>
                <w:sz w:val="16"/>
                <w:szCs w:val="16"/>
              </w:rPr>
              <w:t>Sergio Enrique Caballero Lesmes</w:t>
            </w:r>
          </w:p>
          <w:p w14:paraId="6A576715" w14:textId="77777777" w:rsidR="00BC131A" w:rsidRPr="00DC212C" w:rsidRDefault="00BC131A" w:rsidP="00A937DF">
            <w:pPr>
              <w:spacing w:after="0" w:line="256" w:lineRule="auto"/>
              <w:rPr>
                <w:rFonts w:ascii="Verdana" w:eastAsia="Calibri" w:hAnsi="Verdana" w:cs="Times New Roman"/>
                <w:sz w:val="16"/>
                <w:szCs w:val="16"/>
              </w:rPr>
            </w:pPr>
            <w:r>
              <w:rPr>
                <w:rFonts w:ascii="Verdana" w:eastAsia="Calibri" w:hAnsi="Verdana" w:cs="Times New Roman"/>
                <w:sz w:val="16"/>
                <w:szCs w:val="16"/>
              </w:rPr>
              <w:t>Analista T1 -02</w:t>
            </w:r>
            <w:r w:rsidRPr="00DC212C">
              <w:rPr>
                <w:rFonts w:ascii="Verdana" w:eastAsia="Calibri" w:hAnsi="Verdana" w:cs="Times New Roman"/>
                <w:sz w:val="16"/>
                <w:szCs w:val="16"/>
              </w:rPr>
              <w:t xml:space="preserve"> de la Subdirección de Gestión Contractual</w:t>
            </w:r>
          </w:p>
        </w:tc>
      </w:tr>
      <w:tr w:rsidR="00BC131A" w:rsidRPr="00DC212C" w14:paraId="151C0A42" w14:textId="77777777" w:rsidTr="00A937DF">
        <w:trPr>
          <w:trHeight w:val="409"/>
        </w:trPr>
        <w:tc>
          <w:tcPr>
            <w:tcW w:w="817" w:type="dxa"/>
            <w:tcBorders>
              <w:top w:val="nil"/>
              <w:left w:val="nil"/>
              <w:bottom w:val="nil"/>
              <w:right w:val="nil"/>
            </w:tcBorders>
            <w:vAlign w:val="center"/>
            <w:hideMark/>
          </w:tcPr>
          <w:p w14:paraId="32BA7DFE" w14:textId="77777777" w:rsidR="00BC131A" w:rsidRPr="00DC212C" w:rsidRDefault="00BC131A" w:rsidP="00A937DF">
            <w:pPr>
              <w:spacing w:after="0" w:line="256" w:lineRule="auto"/>
              <w:rPr>
                <w:rFonts w:ascii="Verdana" w:eastAsia="Calibri" w:hAnsi="Verdana" w:cs="Times New Roman"/>
                <w:sz w:val="16"/>
                <w:szCs w:val="16"/>
              </w:rPr>
            </w:pPr>
            <w:r w:rsidRPr="00DC212C">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7805570" w14:textId="77777777" w:rsidR="00BC131A" w:rsidRPr="00DC212C" w:rsidRDefault="00BC131A" w:rsidP="00A937DF">
            <w:pPr>
              <w:spacing w:after="0" w:line="256" w:lineRule="auto"/>
              <w:rPr>
                <w:rFonts w:ascii="Verdana" w:eastAsia="Calibri" w:hAnsi="Verdana" w:cs="Times New Roman"/>
                <w:sz w:val="16"/>
                <w:szCs w:val="16"/>
              </w:rPr>
            </w:pPr>
            <w:r>
              <w:rPr>
                <w:rFonts w:ascii="Verdana" w:eastAsia="Calibri" w:hAnsi="Verdana" w:cs="Times New Roman"/>
                <w:sz w:val="16"/>
                <w:szCs w:val="16"/>
              </w:rPr>
              <w:t xml:space="preserve">Juan Carlos González Vásquez </w:t>
            </w:r>
          </w:p>
          <w:p w14:paraId="515A6D32" w14:textId="77777777" w:rsidR="00BC131A" w:rsidRPr="00DC212C" w:rsidRDefault="00BC131A" w:rsidP="00A937DF">
            <w:pPr>
              <w:spacing w:after="0" w:line="256" w:lineRule="auto"/>
              <w:rPr>
                <w:rFonts w:ascii="Verdana" w:eastAsia="Calibri" w:hAnsi="Verdana" w:cs="Times New Roman"/>
                <w:sz w:val="16"/>
                <w:szCs w:val="16"/>
              </w:rPr>
            </w:pPr>
            <w:r>
              <w:rPr>
                <w:rFonts w:ascii="Verdana" w:eastAsia="Calibri" w:hAnsi="Verdana" w:cs="Times New Roman"/>
                <w:sz w:val="16"/>
                <w:szCs w:val="16"/>
              </w:rPr>
              <w:t>Contratista</w:t>
            </w:r>
            <w:r w:rsidRPr="00DC212C">
              <w:rPr>
                <w:rFonts w:ascii="Verdana" w:eastAsia="Calibri" w:hAnsi="Verdana" w:cs="Times New Roman"/>
                <w:sz w:val="16"/>
                <w:szCs w:val="16"/>
              </w:rPr>
              <w:t xml:space="preserve"> de la Subdirección de Gestión Contractual </w:t>
            </w:r>
          </w:p>
        </w:tc>
      </w:tr>
      <w:tr w:rsidR="00BC131A" w:rsidRPr="00DC212C" w14:paraId="0C7CBA9C" w14:textId="77777777" w:rsidTr="00A937DF">
        <w:trPr>
          <w:trHeight w:val="389"/>
        </w:trPr>
        <w:tc>
          <w:tcPr>
            <w:tcW w:w="817" w:type="dxa"/>
            <w:tcBorders>
              <w:top w:val="nil"/>
              <w:left w:val="nil"/>
              <w:bottom w:val="nil"/>
              <w:right w:val="nil"/>
            </w:tcBorders>
            <w:vAlign w:val="center"/>
            <w:hideMark/>
          </w:tcPr>
          <w:p w14:paraId="6FC23973" w14:textId="77777777" w:rsidR="00BC131A" w:rsidRPr="00DC212C" w:rsidRDefault="00BC131A" w:rsidP="00A937DF">
            <w:pPr>
              <w:spacing w:after="0" w:line="256" w:lineRule="auto"/>
              <w:rPr>
                <w:rFonts w:ascii="Verdana" w:eastAsia="Calibri" w:hAnsi="Verdana" w:cs="Times New Roman"/>
                <w:sz w:val="16"/>
                <w:szCs w:val="16"/>
              </w:rPr>
            </w:pPr>
            <w:r w:rsidRPr="00DC212C">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922E8D1" w14:textId="77777777" w:rsidR="00BC131A" w:rsidRPr="00DC212C" w:rsidRDefault="00BC131A" w:rsidP="00A937DF">
            <w:pPr>
              <w:spacing w:after="0" w:line="256" w:lineRule="auto"/>
              <w:rPr>
                <w:rFonts w:ascii="Verdana" w:eastAsia="Calibri" w:hAnsi="Verdana" w:cs="Times New Roman"/>
                <w:sz w:val="16"/>
                <w:szCs w:val="16"/>
              </w:rPr>
            </w:pPr>
            <w:r w:rsidRPr="00DC212C">
              <w:rPr>
                <w:rFonts w:ascii="Verdana" w:eastAsia="Calibri" w:hAnsi="Verdana" w:cs="Times New Roman"/>
                <w:sz w:val="16"/>
                <w:szCs w:val="16"/>
              </w:rPr>
              <w:t xml:space="preserve">Carolina Quintero </w:t>
            </w:r>
            <w:proofErr w:type="spellStart"/>
            <w:r w:rsidRPr="00DC212C">
              <w:rPr>
                <w:rFonts w:ascii="Verdana" w:eastAsia="Calibri" w:hAnsi="Verdana" w:cs="Times New Roman"/>
                <w:sz w:val="16"/>
                <w:szCs w:val="16"/>
              </w:rPr>
              <w:t>Gacharná</w:t>
            </w:r>
            <w:proofErr w:type="spellEnd"/>
          </w:p>
          <w:p w14:paraId="1B4A4D1B" w14:textId="77777777" w:rsidR="00BC131A" w:rsidRPr="00DC212C" w:rsidRDefault="00BC131A" w:rsidP="00A937DF">
            <w:pPr>
              <w:spacing w:after="0" w:line="256" w:lineRule="auto"/>
              <w:rPr>
                <w:rFonts w:ascii="Verdana" w:eastAsia="Calibri" w:hAnsi="Verdana" w:cs="Times New Roman"/>
                <w:sz w:val="16"/>
                <w:szCs w:val="16"/>
              </w:rPr>
            </w:pPr>
            <w:r w:rsidRPr="00DC212C">
              <w:rPr>
                <w:rFonts w:ascii="Verdana" w:eastAsia="Calibri" w:hAnsi="Verdana" w:cs="Times New Roman"/>
                <w:sz w:val="16"/>
                <w:szCs w:val="16"/>
              </w:rPr>
              <w:t>Subdirectora de Gestión Contractual ANCP – CCE</w:t>
            </w:r>
          </w:p>
        </w:tc>
      </w:tr>
    </w:tbl>
    <w:p w14:paraId="280FB62F" w14:textId="77777777" w:rsidR="00BC131A" w:rsidRPr="00DC212C" w:rsidRDefault="00BC131A" w:rsidP="00BC131A">
      <w:pPr>
        <w:spacing w:after="0" w:line="256" w:lineRule="auto"/>
        <w:jc w:val="both"/>
        <w:rPr>
          <w:rFonts w:ascii="Verdana" w:hAnsi="Verdana"/>
        </w:rPr>
      </w:pPr>
    </w:p>
    <w:p w14:paraId="7DCCF5CC" w14:textId="77777777" w:rsidR="00BC131A" w:rsidRPr="00DC212C" w:rsidRDefault="00BC131A" w:rsidP="00BC131A">
      <w:pPr>
        <w:spacing w:after="0"/>
        <w:rPr>
          <w:rFonts w:ascii="Verdana" w:eastAsia="Times New Roman" w:hAnsi="Verdana" w:cs="Segoe UI"/>
          <w:sz w:val="18"/>
          <w:szCs w:val="18"/>
          <w:lang w:eastAsia="es-CO"/>
        </w:rPr>
      </w:pPr>
    </w:p>
    <w:p w14:paraId="66FB792D" w14:textId="77777777" w:rsidR="00C24FFE" w:rsidRDefault="00C24FFE"/>
    <w:sectPr w:rsidR="00C24FFE" w:rsidSect="00BC131A">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6A8787" w14:textId="77777777" w:rsidR="0064345D" w:rsidRDefault="0064345D" w:rsidP="00BC131A">
      <w:pPr>
        <w:spacing w:after="0" w:line="240" w:lineRule="auto"/>
      </w:pPr>
      <w:r>
        <w:separator/>
      </w:r>
    </w:p>
  </w:endnote>
  <w:endnote w:type="continuationSeparator" w:id="0">
    <w:p w14:paraId="50993A55" w14:textId="77777777" w:rsidR="0064345D" w:rsidRDefault="0064345D" w:rsidP="00BC13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1FBC2" w14:textId="77777777" w:rsidR="00BC131A" w:rsidRDefault="00BC131A">
    <w:pPr>
      <w:pStyle w:val="Piedepgina"/>
    </w:pPr>
  </w:p>
  <w:p w14:paraId="2703E3CC" w14:textId="77777777" w:rsidR="00BC131A" w:rsidRPr="00174B77" w:rsidRDefault="00BC131A"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5B46C3EE" w14:textId="77777777" w:rsidR="00BC131A" w:rsidRDefault="00BC131A"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44D756FE" w14:textId="77777777" w:rsidR="00BC131A" w:rsidRPr="00E41027" w:rsidRDefault="00BC131A" w:rsidP="00D520D8">
    <w:pPr>
      <w:spacing w:after="0"/>
      <w:jc w:val="both"/>
      <w:rPr>
        <w:rFonts w:ascii="Verdana" w:hAnsi="Verdana"/>
        <w:sz w:val="18"/>
        <w:szCs w:val="18"/>
      </w:rPr>
    </w:pPr>
    <w:r w:rsidRPr="00E41027">
      <w:rPr>
        <w:rFonts w:ascii="Verdana" w:hAnsi="Verdana"/>
        <w:sz w:val="18"/>
        <w:szCs w:val="18"/>
      </w:rPr>
      <w:t>Mesa de servicio: (+57) 601 7456788</w:t>
    </w:r>
  </w:p>
  <w:p w14:paraId="1431220C" w14:textId="77777777" w:rsidR="00BC131A" w:rsidRDefault="00BC131A"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23B28B" w14:textId="77777777" w:rsidR="0064345D" w:rsidRDefault="0064345D" w:rsidP="00BC131A">
      <w:pPr>
        <w:spacing w:after="0" w:line="240" w:lineRule="auto"/>
      </w:pPr>
      <w:r>
        <w:separator/>
      </w:r>
    </w:p>
  </w:footnote>
  <w:footnote w:type="continuationSeparator" w:id="0">
    <w:p w14:paraId="798792E0" w14:textId="77777777" w:rsidR="0064345D" w:rsidRDefault="0064345D" w:rsidP="00BC131A">
      <w:pPr>
        <w:spacing w:after="0" w:line="240" w:lineRule="auto"/>
      </w:pPr>
      <w:r>
        <w:continuationSeparator/>
      </w:r>
    </w:p>
  </w:footnote>
  <w:footnote w:id="1">
    <w:p w14:paraId="132B268F" w14:textId="77777777" w:rsidR="00BC131A" w:rsidRPr="00C92A2A" w:rsidRDefault="00BC131A" w:rsidP="00BC131A">
      <w:pPr>
        <w:pStyle w:val="Textonotapie"/>
        <w:ind w:firstLine="709"/>
        <w:jc w:val="both"/>
        <w:rPr>
          <w:rFonts w:ascii="Verdana" w:hAnsi="Verdana" w:cs="Arial"/>
          <w:sz w:val="12"/>
          <w:szCs w:val="12"/>
        </w:rPr>
      </w:pPr>
      <w:r w:rsidRPr="00C92A2A">
        <w:rPr>
          <w:rStyle w:val="Refdenotaalpie"/>
          <w:rFonts w:ascii="Verdana" w:hAnsi="Verdana" w:cs="Arial"/>
          <w:sz w:val="12"/>
          <w:szCs w:val="12"/>
        </w:rPr>
        <w:footnoteRef/>
      </w:r>
      <w:r w:rsidRPr="00C92A2A">
        <w:rPr>
          <w:rFonts w:ascii="Verdana" w:hAnsi="Verdana" w:cs="Arial"/>
          <w:sz w:val="12"/>
          <w:szCs w:val="12"/>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973060D" w14:textId="77777777" w:rsidR="00BC131A" w:rsidRPr="00C92A2A" w:rsidRDefault="00BC131A" w:rsidP="00BC131A">
      <w:pPr>
        <w:pStyle w:val="Textonotapie"/>
        <w:ind w:firstLine="709"/>
        <w:jc w:val="both"/>
        <w:rPr>
          <w:rFonts w:ascii="Verdana" w:hAnsi="Verdana" w:cs="Arial"/>
          <w:sz w:val="12"/>
          <w:szCs w:val="12"/>
        </w:rPr>
      </w:pPr>
      <w:r w:rsidRPr="00C92A2A">
        <w:rPr>
          <w:rFonts w:ascii="Verdana" w:hAnsi="Verdana" w:cs="Arial"/>
          <w:sz w:val="12"/>
          <w:szCs w:val="12"/>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4CBC1336" w14:textId="77777777" w:rsidR="00BC131A" w:rsidRPr="00C92A2A" w:rsidRDefault="00BC131A" w:rsidP="00BC131A">
      <w:pPr>
        <w:pStyle w:val="Textonotapie"/>
        <w:ind w:firstLine="709"/>
        <w:jc w:val="both"/>
        <w:rPr>
          <w:rFonts w:ascii="Verdana" w:hAnsi="Verdana" w:cs="Arial"/>
          <w:sz w:val="12"/>
          <w:szCs w:val="12"/>
        </w:rPr>
      </w:pPr>
    </w:p>
  </w:footnote>
  <w:footnote w:id="2">
    <w:p w14:paraId="6639ED6F" w14:textId="77777777" w:rsidR="00BC131A" w:rsidRPr="00C92A2A" w:rsidRDefault="00BC131A" w:rsidP="00BC131A">
      <w:pPr>
        <w:pStyle w:val="Textonotapie"/>
        <w:ind w:firstLine="709"/>
        <w:jc w:val="both"/>
        <w:rPr>
          <w:rFonts w:ascii="Verdana" w:hAnsi="Verdana" w:cs="Arial"/>
          <w:sz w:val="12"/>
          <w:szCs w:val="12"/>
        </w:rPr>
      </w:pPr>
      <w:r w:rsidRPr="00C92A2A">
        <w:rPr>
          <w:rStyle w:val="Refdenotaalpie"/>
          <w:rFonts w:ascii="Verdana" w:hAnsi="Verdana" w:cs="Arial"/>
          <w:sz w:val="12"/>
          <w:szCs w:val="12"/>
        </w:rPr>
        <w:footnoteRef/>
      </w:r>
      <w:r w:rsidRPr="00C92A2A">
        <w:rPr>
          <w:rFonts w:ascii="Verdana" w:hAnsi="Verdana" w:cs="Arial"/>
          <w:sz w:val="12"/>
          <w:szCs w:val="12"/>
        </w:rPr>
        <w:t xml:space="preserve"> Gaceta del Congreso de la República No. 71 del 2005.</w:t>
      </w:r>
    </w:p>
    <w:p w14:paraId="5756ADF7" w14:textId="77777777" w:rsidR="00BC131A" w:rsidRPr="00C92A2A" w:rsidRDefault="00BC131A" w:rsidP="00BC131A">
      <w:pPr>
        <w:pStyle w:val="Textonotapie"/>
        <w:ind w:firstLine="709"/>
        <w:jc w:val="both"/>
        <w:rPr>
          <w:rFonts w:ascii="Verdana" w:hAnsi="Verdana" w:cs="Arial"/>
          <w:sz w:val="12"/>
          <w:szCs w:val="12"/>
        </w:rPr>
      </w:pPr>
    </w:p>
  </w:footnote>
  <w:footnote w:id="3">
    <w:p w14:paraId="335CB320" w14:textId="77777777" w:rsidR="00BC131A" w:rsidRPr="00C92A2A" w:rsidRDefault="00BC131A" w:rsidP="00BC131A">
      <w:pPr>
        <w:pStyle w:val="Textonotapie"/>
        <w:ind w:firstLine="709"/>
        <w:jc w:val="both"/>
        <w:rPr>
          <w:rFonts w:ascii="Verdana" w:hAnsi="Verdana" w:cs="Arial"/>
          <w:sz w:val="12"/>
          <w:szCs w:val="12"/>
          <w:lang w:val="pt-BR"/>
        </w:rPr>
      </w:pPr>
      <w:r w:rsidRPr="00C92A2A">
        <w:rPr>
          <w:rStyle w:val="Refdenotaalpie"/>
          <w:rFonts w:ascii="Verdana" w:hAnsi="Verdana" w:cs="Arial"/>
          <w:sz w:val="12"/>
          <w:szCs w:val="12"/>
        </w:rPr>
        <w:footnoteRef/>
      </w:r>
      <w:r w:rsidRPr="00C92A2A">
        <w:rPr>
          <w:rFonts w:ascii="Verdana" w:hAnsi="Verdana" w:cs="Arial"/>
          <w:sz w:val="12"/>
          <w:szCs w:val="12"/>
          <w:lang w:val="pt-BR"/>
        </w:rPr>
        <w:t xml:space="preserve"> Corte Constitucional, Sentencia C- 1153 de 2005, M.P. Marco Gerardo Monroy Cabra.</w:t>
      </w:r>
    </w:p>
  </w:footnote>
  <w:footnote w:id="4">
    <w:p w14:paraId="065096AA" w14:textId="77777777" w:rsidR="00BC131A" w:rsidRPr="00C92A2A" w:rsidRDefault="00BC131A" w:rsidP="00BC131A">
      <w:pPr>
        <w:pStyle w:val="Textonotapie"/>
        <w:ind w:firstLine="709"/>
        <w:jc w:val="both"/>
        <w:rPr>
          <w:rFonts w:ascii="Verdana" w:hAnsi="Verdana" w:cs="Arial"/>
          <w:sz w:val="12"/>
          <w:szCs w:val="12"/>
          <w:lang w:val="pt-BR"/>
        </w:rPr>
      </w:pPr>
      <w:r w:rsidRPr="00C92A2A">
        <w:rPr>
          <w:rStyle w:val="Refdenotaalpie"/>
          <w:rFonts w:ascii="Verdana" w:hAnsi="Verdana" w:cs="Arial"/>
          <w:sz w:val="12"/>
          <w:szCs w:val="12"/>
        </w:rPr>
        <w:footnoteRef/>
      </w:r>
      <w:r w:rsidRPr="00C92A2A">
        <w:rPr>
          <w:rFonts w:ascii="Verdana" w:hAnsi="Verdana" w:cs="Arial"/>
          <w:sz w:val="12"/>
          <w:szCs w:val="12"/>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5CB0A889" w14:textId="77777777" w:rsidR="00BC131A" w:rsidRPr="00C92A2A" w:rsidRDefault="00BC131A" w:rsidP="00BC131A">
      <w:pPr>
        <w:pStyle w:val="Textonotapie"/>
        <w:ind w:firstLine="709"/>
        <w:jc w:val="both"/>
        <w:rPr>
          <w:rFonts w:ascii="Verdana" w:hAnsi="Verdana" w:cs="Arial"/>
          <w:sz w:val="12"/>
          <w:szCs w:val="12"/>
          <w:lang w:val="pt-BR"/>
        </w:rPr>
      </w:pPr>
    </w:p>
  </w:footnote>
  <w:footnote w:id="5">
    <w:p w14:paraId="003E7321" w14:textId="77777777" w:rsidR="00BC131A" w:rsidRPr="00C92A2A" w:rsidRDefault="00BC131A" w:rsidP="00BC131A">
      <w:pPr>
        <w:pStyle w:val="Textonotapie"/>
        <w:ind w:firstLine="709"/>
        <w:jc w:val="both"/>
        <w:rPr>
          <w:rFonts w:ascii="Verdana" w:hAnsi="Verdana" w:cs="Arial"/>
          <w:sz w:val="12"/>
          <w:szCs w:val="12"/>
          <w:lang w:val="es-CO"/>
        </w:rPr>
      </w:pPr>
      <w:r w:rsidRPr="00C92A2A">
        <w:rPr>
          <w:rStyle w:val="Refdenotaalpie"/>
          <w:rFonts w:ascii="Verdana" w:hAnsi="Verdana" w:cs="Arial"/>
          <w:sz w:val="12"/>
          <w:szCs w:val="12"/>
        </w:rPr>
        <w:footnoteRef/>
      </w:r>
      <w:r w:rsidRPr="00C92A2A">
        <w:rPr>
          <w:rFonts w:ascii="Verdana" w:hAnsi="Verdana" w:cs="Arial"/>
          <w:sz w:val="12"/>
          <w:szCs w:val="12"/>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76D366EB" w14:textId="77777777" w:rsidR="00BC131A" w:rsidRPr="00C92A2A" w:rsidRDefault="00BC131A" w:rsidP="00BC131A">
      <w:pPr>
        <w:pStyle w:val="Textonotapie"/>
        <w:ind w:firstLine="709"/>
        <w:jc w:val="both"/>
        <w:rPr>
          <w:rFonts w:ascii="Verdana" w:hAnsi="Verdana" w:cs="Arial"/>
          <w:sz w:val="12"/>
          <w:szCs w:val="12"/>
          <w:lang w:val="es-CO"/>
        </w:rPr>
      </w:pPr>
    </w:p>
  </w:footnote>
  <w:footnote w:id="6">
    <w:p w14:paraId="27202C7A" w14:textId="77777777" w:rsidR="00BC131A" w:rsidRPr="00C92A2A" w:rsidRDefault="00BC131A" w:rsidP="00BC131A">
      <w:pPr>
        <w:pStyle w:val="Textonotapie"/>
        <w:ind w:firstLine="709"/>
        <w:jc w:val="both"/>
        <w:rPr>
          <w:rFonts w:ascii="Verdana" w:hAnsi="Verdana" w:cs="Arial"/>
          <w:sz w:val="12"/>
          <w:szCs w:val="12"/>
        </w:rPr>
      </w:pPr>
      <w:r w:rsidRPr="00C92A2A">
        <w:rPr>
          <w:rStyle w:val="Refdenotaalpie"/>
          <w:rFonts w:ascii="Verdana" w:hAnsi="Verdana" w:cs="Arial"/>
          <w:sz w:val="12"/>
          <w:szCs w:val="12"/>
        </w:rPr>
        <w:footnoteRef/>
      </w:r>
      <w:r w:rsidRPr="00C92A2A">
        <w:rPr>
          <w:rFonts w:ascii="Verdana" w:hAnsi="Verdana" w:cs="Arial"/>
          <w:sz w:val="12"/>
          <w:szCs w:val="12"/>
        </w:rPr>
        <w:t xml:space="preserve"> Consejo de Estado, Sala de Consulta y Servicio Civil de fecha 24 de julio de 2013, radicado 2166, C. P. Álvaro Namén Vargas.  </w:t>
      </w:r>
    </w:p>
  </w:footnote>
  <w:footnote w:id="7">
    <w:p w14:paraId="185703CA" w14:textId="77777777" w:rsidR="00BC131A" w:rsidRPr="00C92A2A" w:rsidRDefault="00BC131A" w:rsidP="00BC131A">
      <w:pPr>
        <w:spacing w:after="0" w:line="240" w:lineRule="auto"/>
        <w:ind w:firstLine="709"/>
        <w:jc w:val="both"/>
        <w:rPr>
          <w:rFonts w:ascii="Verdana" w:eastAsia="Times New Roman" w:hAnsi="Verdana" w:cs="Arial"/>
          <w:sz w:val="12"/>
          <w:szCs w:val="12"/>
        </w:rPr>
      </w:pPr>
      <w:r w:rsidRPr="00C92A2A">
        <w:rPr>
          <w:rStyle w:val="Refdenotaalpie"/>
          <w:rFonts w:ascii="Verdana" w:hAnsi="Verdana" w:cs="Arial"/>
          <w:sz w:val="12"/>
          <w:szCs w:val="12"/>
        </w:rPr>
        <w:footnoteRef/>
      </w:r>
      <w:r w:rsidRPr="00C92A2A">
        <w:rPr>
          <w:rFonts w:ascii="Verdana" w:hAnsi="Verdana" w:cs="Arial"/>
          <w:sz w:val="12"/>
          <w:szCs w:val="12"/>
        </w:rPr>
        <w:t xml:space="preserve"> </w:t>
      </w:r>
      <w:bookmarkStart w:id="4" w:name="33"/>
      <w:r w:rsidRPr="00C92A2A">
        <w:rPr>
          <w:rFonts w:ascii="Verdana" w:eastAsia="Calibri" w:hAnsi="Verdana" w:cs="Arial"/>
          <w:color w:val="000000"/>
          <w:sz w:val="12"/>
          <w:szCs w:val="12"/>
        </w:rPr>
        <w:t>“</w:t>
      </w:r>
      <w:r w:rsidRPr="00C92A2A">
        <w:rPr>
          <w:rFonts w:ascii="Verdana" w:eastAsia="Times New Roman" w:hAnsi="Verdana" w:cs="Arial"/>
          <w:sz w:val="12"/>
          <w:szCs w:val="12"/>
        </w:rPr>
        <w:t>Artículo 33. Restricciones a la contratación pública.</w:t>
      </w:r>
      <w:bookmarkEnd w:id="4"/>
      <w:r w:rsidRPr="00C92A2A">
        <w:rPr>
          <w:rFonts w:ascii="Verdana" w:eastAsia="Times New Roman" w:hAnsi="Verdana" w:cs="Arial"/>
          <w:sz w:val="12"/>
          <w:szCs w:val="12"/>
        </w:rPr>
        <w:t> Durante los cuatro (4) meses anteriores a la elección presidencial y hasta la realización de la elección en la segunda vuelta, si fuere el caso, queda prohibida la contratación directa por parte de todos los entes del Estado.</w:t>
      </w:r>
    </w:p>
    <w:p w14:paraId="5D390A16" w14:textId="77777777" w:rsidR="00BC131A" w:rsidRPr="00C92A2A" w:rsidRDefault="00BC131A" w:rsidP="00BC131A">
      <w:pPr>
        <w:spacing w:after="0" w:line="240" w:lineRule="auto"/>
        <w:ind w:firstLine="709"/>
        <w:jc w:val="both"/>
        <w:rPr>
          <w:rFonts w:ascii="Verdana" w:eastAsia="Times New Roman" w:hAnsi="Verdana" w:cs="Arial"/>
          <w:sz w:val="12"/>
          <w:szCs w:val="12"/>
        </w:rPr>
      </w:pPr>
      <w:r w:rsidRPr="00C92A2A">
        <w:rPr>
          <w:rFonts w:ascii="Verdana" w:eastAsia="Times New Roman" w:hAnsi="Verdana" w:cs="Arial"/>
          <w:sz w:val="12"/>
          <w:szCs w:val="12"/>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92A2A">
        <w:rPr>
          <w:rFonts w:ascii="Verdana" w:eastAsia="Calibri" w:hAnsi="Verdana" w:cs="Arial"/>
          <w:color w:val="000000"/>
          <w:sz w:val="12"/>
          <w:szCs w:val="12"/>
        </w:rPr>
        <w:t>”</w:t>
      </w:r>
      <w:r w:rsidRPr="00C92A2A">
        <w:rPr>
          <w:rFonts w:ascii="Verdana" w:eastAsia="Times New Roman" w:hAnsi="Verdana" w:cs="Arial"/>
          <w:sz w:val="12"/>
          <w:szCs w:val="12"/>
        </w:rPr>
        <w:t>.</w:t>
      </w:r>
    </w:p>
    <w:p w14:paraId="7044E68D" w14:textId="77777777" w:rsidR="00BC131A" w:rsidRPr="00C92A2A" w:rsidRDefault="00BC131A" w:rsidP="00BC131A">
      <w:pPr>
        <w:spacing w:after="0" w:line="240" w:lineRule="auto"/>
        <w:ind w:firstLine="709"/>
        <w:jc w:val="both"/>
        <w:rPr>
          <w:rFonts w:ascii="Verdana" w:eastAsia="Times New Roman" w:hAnsi="Verdana" w:cs="Arial"/>
          <w:sz w:val="12"/>
          <w:szCs w:val="12"/>
        </w:rPr>
      </w:pPr>
    </w:p>
  </w:footnote>
  <w:footnote w:id="8">
    <w:p w14:paraId="1E4D9308" w14:textId="77777777" w:rsidR="00BC131A" w:rsidRPr="00C92A2A" w:rsidRDefault="00BC131A" w:rsidP="00BC131A">
      <w:pPr>
        <w:pStyle w:val="NormalWeb"/>
        <w:spacing w:before="0" w:beforeAutospacing="0" w:after="0" w:afterAutospacing="0"/>
        <w:ind w:firstLine="709"/>
        <w:jc w:val="both"/>
        <w:rPr>
          <w:rFonts w:ascii="Verdana" w:hAnsi="Verdana" w:cs="Arial"/>
          <w:sz w:val="12"/>
          <w:szCs w:val="12"/>
          <w:lang w:val="es-MX"/>
        </w:rPr>
      </w:pPr>
      <w:r w:rsidRPr="00C92A2A">
        <w:rPr>
          <w:rStyle w:val="Refdenotaalpie"/>
          <w:rFonts w:ascii="Verdana" w:eastAsiaTheme="majorEastAsia" w:hAnsi="Verdana" w:cs="Arial"/>
          <w:sz w:val="12"/>
          <w:szCs w:val="12"/>
        </w:rPr>
        <w:footnoteRef/>
      </w:r>
      <w:r w:rsidRPr="00C92A2A">
        <w:rPr>
          <w:rFonts w:ascii="Verdana" w:hAnsi="Verdana" w:cs="Arial"/>
          <w:sz w:val="12"/>
          <w:szCs w:val="12"/>
        </w:rPr>
        <w:t xml:space="preserve"> </w:t>
      </w:r>
      <w:bookmarkStart w:id="5" w:name="38"/>
      <w:r w:rsidRPr="00C92A2A">
        <w:rPr>
          <w:rFonts w:ascii="Verdana" w:eastAsia="Calibri" w:hAnsi="Verdana" w:cs="Arial"/>
          <w:color w:val="000000"/>
          <w:sz w:val="12"/>
          <w:szCs w:val="12"/>
        </w:rPr>
        <w:t>“</w:t>
      </w:r>
      <w:r w:rsidRPr="00C92A2A">
        <w:rPr>
          <w:rFonts w:ascii="Verdana" w:hAnsi="Verdana" w:cs="Arial"/>
          <w:sz w:val="12"/>
          <w:szCs w:val="12"/>
          <w:lang w:val="es-MX"/>
        </w:rPr>
        <w:t>Artículo 38. Prohibiciones para los servidores públicos. A los empleados del Estado les está prohibido:</w:t>
      </w:r>
      <w:bookmarkEnd w:id="5"/>
      <w:r w:rsidRPr="00C92A2A">
        <w:rPr>
          <w:rFonts w:ascii="Verdana" w:hAnsi="Verdana" w:cs="Arial"/>
          <w:sz w:val="12"/>
          <w:szCs w:val="12"/>
          <w:lang w:val="es-MX"/>
        </w:rPr>
        <w:t xml:space="preserve"> […]</w:t>
      </w:r>
    </w:p>
    <w:p w14:paraId="210E4B49" w14:textId="77777777" w:rsidR="00BC131A" w:rsidRPr="00C92A2A" w:rsidRDefault="00BC131A" w:rsidP="00BC131A">
      <w:pPr>
        <w:pStyle w:val="NormalWeb"/>
        <w:spacing w:before="0" w:beforeAutospacing="0" w:after="0" w:afterAutospacing="0"/>
        <w:ind w:firstLine="709"/>
        <w:jc w:val="both"/>
        <w:rPr>
          <w:rFonts w:ascii="Verdana" w:hAnsi="Verdana" w:cs="Arial"/>
          <w:sz w:val="12"/>
          <w:szCs w:val="12"/>
          <w:lang w:val="es-MX"/>
        </w:rPr>
      </w:pPr>
      <w:r w:rsidRPr="00C92A2A">
        <w:rPr>
          <w:rStyle w:val="baj"/>
          <w:rFonts w:ascii="Verdana" w:hAnsi="Verdana" w:cs="Arial"/>
          <w:sz w:val="12"/>
          <w:szCs w:val="12"/>
          <w:lang w:val="es-MX"/>
        </w:rPr>
        <w:t>Parágrafo.</w:t>
      </w:r>
      <w:r w:rsidRPr="00C92A2A">
        <w:rPr>
          <w:rFonts w:ascii="Verdana" w:hAnsi="Verdana" w:cs="Arial"/>
          <w:sz w:val="12"/>
          <w:szCs w:val="12"/>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92A2A">
        <w:rPr>
          <w:rFonts w:ascii="Verdana" w:eastAsia="Calibri" w:hAnsi="Verdana" w:cs="Arial"/>
          <w:color w:val="000000"/>
          <w:sz w:val="12"/>
          <w:szCs w:val="12"/>
        </w:rPr>
        <w:t>”</w:t>
      </w:r>
      <w:r w:rsidRPr="00C92A2A">
        <w:rPr>
          <w:rFonts w:ascii="Verdana" w:hAnsi="Verdana" w:cs="Arial"/>
          <w:sz w:val="12"/>
          <w:szCs w:val="12"/>
          <w:lang w:val="es-MX"/>
        </w:rPr>
        <w:t>.</w:t>
      </w:r>
    </w:p>
  </w:footnote>
  <w:footnote w:id="9">
    <w:p w14:paraId="3C6AFDE5" w14:textId="77777777" w:rsidR="00BC131A" w:rsidRPr="00C92A2A" w:rsidRDefault="00BC131A" w:rsidP="00BC131A">
      <w:pPr>
        <w:pStyle w:val="Textonotapie"/>
        <w:ind w:firstLine="708"/>
        <w:jc w:val="both"/>
        <w:rPr>
          <w:rFonts w:ascii="Verdana" w:hAnsi="Verdana" w:cs="Arial"/>
          <w:sz w:val="12"/>
          <w:szCs w:val="12"/>
        </w:rPr>
      </w:pPr>
      <w:r w:rsidRPr="00C92A2A">
        <w:rPr>
          <w:rStyle w:val="Refdenotaalpie"/>
          <w:rFonts w:ascii="Verdana" w:hAnsi="Verdana" w:cs="Arial"/>
          <w:sz w:val="12"/>
          <w:szCs w:val="12"/>
        </w:rPr>
        <w:footnoteRef/>
      </w:r>
      <w:r w:rsidRPr="00C92A2A">
        <w:rPr>
          <w:rFonts w:ascii="Verdana" w:hAnsi="Verdana" w:cs="Arial"/>
          <w:sz w:val="12"/>
          <w:szCs w:val="12"/>
        </w:rPr>
        <w:t xml:space="preserve"> Colombia Compra Eficiente. Circular Externa Única. Numeral 16.5. </w:t>
      </w:r>
    </w:p>
  </w:footnote>
  <w:footnote w:id="10">
    <w:p w14:paraId="6F9B13E1" w14:textId="77777777" w:rsidR="00BC131A" w:rsidRPr="00C92A2A" w:rsidRDefault="00BC131A" w:rsidP="00BC131A">
      <w:pPr>
        <w:spacing w:after="0" w:line="240" w:lineRule="auto"/>
        <w:ind w:left="100" w:right="244" w:firstLine="709"/>
        <w:jc w:val="both"/>
        <w:rPr>
          <w:rFonts w:ascii="Verdana" w:hAnsi="Verdana" w:cs="Arial"/>
          <w:sz w:val="12"/>
          <w:szCs w:val="12"/>
          <w:lang w:val="es-ES"/>
        </w:rPr>
      </w:pPr>
      <w:r w:rsidRPr="00C92A2A">
        <w:rPr>
          <w:rStyle w:val="Refdenotaalpie"/>
          <w:rFonts w:ascii="Verdana" w:hAnsi="Verdana" w:cs="Arial"/>
          <w:sz w:val="12"/>
          <w:szCs w:val="12"/>
        </w:rPr>
        <w:footnoteRef/>
      </w:r>
      <w:r w:rsidRPr="00C92A2A">
        <w:rPr>
          <w:rFonts w:ascii="Verdana" w:hAnsi="Verdana" w:cs="Arial"/>
          <w:sz w:val="12"/>
          <w:szCs w:val="12"/>
        </w:rPr>
        <w:t xml:space="preserve"> Consejo de Estado. Sala de Consulta y Servicio Civil. Concepto del 17 de febrero de 2015. C.P. William Zambrano Cetina. Radicación No. 11001-03-06-000-2015-00164-00(2269).</w:t>
      </w:r>
    </w:p>
  </w:footnote>
  <w:footnote w:id="11">
    <w:p w14:paraId="2B5688D7" w14:textId="77777777" w:rsidR="00BC131A" w:rsidRPr="00C92A2A" w:rsidRDefault="00BC131A" w:rsidP="00BC131A">
      <w:pPr>
        <w:spacing w:after="0" w:line="276" w:lineRule="auto"/>
        <w:ind w:firstLine="708"/>
        <w:jc w:val="both"/>
        <w:rPr>
          <w:rFonts w:ascii="Verdana" w:hAnsi="Verdana" w:cs="Arial"/>
          <w:color w:val="000000" w:themeColor="text1"/>
          <w:sz w:val="12"/>
          <w:szCs w:val="12"/>
          <w:lang w:val="es-ES_tradnl"/>
        </w:rPr>
      </w:pPr>
      <w:r w:rsidRPr="00C92A2A">
        <w:rPr>
          <w:rStyle w:val="Refdenotaalpie"/>
          <w:rFonts w:ascii="Verdana" w:hAnsi="Verdana" w:cs="Arial"/>
          <w:sz w:val="12"/>
          <w:szCs w:val="12"/>
        </w:rPr>
        <w:footnoteRef/>
      </w:r>
      <w:r w:rsidRPr="00C92A2A">
        <w:rPr>
          <w:rFonts w:ascii="Verdana" w:hAnsi="Verdana" w:cs="Arial"/>
          <w:sz w:val="12"/>
          <w:szCs w:val="12"/>
        </w:rPr>
        <w:t xml:space="preserve"> </w:t>
      </w:r>
      <w:r w:rsidRPr="00C92A2A">
        <w:rPr>
          <w:rFonts w:ascii="Verdana" w:hAnsi="Verdana" w:cs="Arial"/>
          <w:color w:val="000000" w:themeColor="text1"/>
          <w:sz w:val="12"/>
          <w:szCs w:val="12"/>
          <w:lang w:val="es-ES_tradnl"/>
        </w:rPr>
        <w:t>Así lo prevé el artículo 2, numeral 4º, literal h) de la Ley 1150 de 2007, que dispone:</w:t>
      </w:r>
    </w:p>
    <w:p w14:paraId="31CC5B60" w14:textId="77777777" w:rsidR="00BC131A" w:rsidRPr="00C92A2A" w:rsidRDefault="00BC131A" w:rsidP="00BC131A">
      <w:pPr>
        <w:spacing w:after="0"/>
        <w:jc w:val="both"/>
        <w:rPr>
          <w:rFonts w:ascii="Verdana" w:eastAsia="Calibri" w:hAnsi="Verdana" w:cs="Arial"/>
          <w:color w:val="000000" w:themeColor="text1"/>
          <w:sz w:val="12"/>
          <w:szCs w:val="12"/>
          <w:lang w:val="es-ES_tradnl"/>
        </w:rPr>
      </w:pPr>
      <w:r w:rsidRPr="00C92A2A">
        <w:rPr>
          <w:rFonts w:ascii="Verdana" w:hAnsi="Verdana" w:cs="Arial"/>
          <w:color w:val="000000" w:themeColor="text1"/>
          <w:sz w:val="12"/>
          <w:szCs w:val="12"/>
          <w:lang w:val="es-ES_tradnl"/>
        </w:rPr>
        <w:tab/>
        <w:t>“</w:t>
      </w:r>
      <w:r w:rsidRPr="00C92A2A">
        <w:rPr>
          <w:rFonts w:ascii="Verdana" w:eastAsia="Calibri" w:hAnsi="Verdana" w:cs="Arial"/>
          <w:color w:val="000000" w:themeColor="text1"/>
          <w:sz w:val="12"/>
          <w:szCs w:val="12"/>
          <w:lang w:val="es-ES_tradnl"/>
        </w:rPr>
        <w:t>[…]</w:t>
      </w:r>
    </w:p>
    <w:p w14:paraId="07DA3F5B" w14:textId="77777777" w:rsidR="00BC131A" w:rsidRPr="00C92A2A" w:rsidRDefault="00BC131A" w:rsidP="00BC131A">
      <w:pPr>
        <w:spacing w:after="0"/>
        <w:ind w:firstLine="708"/>
        <w:jc w:val="both"/>
        <w:rPr>
          <w:rFonts w:ascii="Verdana" w:eastAsia="Calibri" w:hAnsi="Verdana" w:cs="Arial"/>
          <w:color w:val="000000" w:themeColor="text1"/>
          <w:sz w:val="12"/>
          <w:szCs w:val="12"/>
          <w:lang w:val="es-ES_tradnl"/>
        </w:rPr>
      </w:pPr>
      <w:r w:rsidRPr="00C92A2A">
        <w:rPr>
          <w:rFonts w:ascii="Verdana" w:eastAsia="Calibri" w:hAnsi="Verdana" w:cs="Arial"/>
          <w:color w:val="000000" w:themeColor="text1"/>
          <w:sz w:val="12"/>
          <w:szCs w:val="12"/>
          <w:lang w:val="es-ES_tradnl"/>
        </w:rPr>
        <w:t>Contratación directa. La modalidad de selección de contratación directa, solamente procederá en los siguientes casos:</w:t>
      </w:r>
    </w:p>
    <w:p w14:paraId="5ABD327D" w14:textId="77777777" w:rsidR="00BC131A" w:rsidRPr="00C92A2A" w:rsidRDefault="00BC131A" w:rsidP="00BC131A">
      <w:pPr>
        <w:spacing w:after="0"/>
        <w:jc w:val="both"/>
        <w:rPr>
          <w:rFonts w:ascii="Verdana" w:eastAsia="Calibri" w:hAnsi="Verdana" w:cs="Arial"/>
          <w:color w:val="000000" w:themeColor="text1"/>
          <w:sz w:val="12"/>
          <w:szCs w:val="12"/>
          <w:lang w:val="es-ES_tradnl"/>
        </w:rPr>
      </w:pPr>
      <w:r w:rsidRPr="00C92A2A">
        <w:rPr>
          <w:rFonts w:ascii="Verdana" w:eastAsia="Calibri" w:hAnsi="Verdana" w:cs="Arial"/>
          <w:color w:val="000000" w:themeColor="text1"/>
          <w:sz w:val="12"/>
          <w:szCs w:val="12"/>
          <w:lang w:val="es-ES_tradnl"/>
        </w:rPr>
        <w:tab/>
        <w:t>[…]</w:t>
      </w:r>
    </w:p>
    <w:p w14:paraId="2746DA9A" w14:textId="77777777" w:rsidR="00BC131A" w:rsidRPr="00C92A2A" w:rsidRDefault="00BC131A" w:rsidP="00BC131A">
      <w:pPr>
        <w:spacing w:after="0"/>
        <w:ind w:firstLine="708"/>
        <w:jc w:val="both"/>
        <w:rPr>
          <w:rFonts w:ascii="Verdana" w:eastAsia="Calibri" w:hAnsi="Verdana" w:cs="Arial"/>
          <w:color w:val="000000" w:themeColor="text1"/>
          <w:sz w:val="12"/>
          <w:szCs w:val="12"/>
          <w:lang w:val="es-ES_tradnl"/>
        </w:rPr>
      </w:pPr>
      <w:r w:rsidRPr="00C92A2A">
        <w:rPr>
          <w:rFonts w:ascii="Verdana" w:eastAsia="Calibri" w:hAnsi="Verdana" w:cs="Arial"/>
          <w:color w:val="000000" w:themeColor="text1"/>
          <w:sz w:val="12"/>
          <w:szCs w:val="12"/>
          <w:lang w:val="es-ES_tradnl"/>
        </w:rPr>
        <w:t>h) Para la prestación de servicios profesionales y de apoyo a la gestión, o para la ejecución de trabajos artísticos que sólo puedan encomendarse a determinadas personas naturales;”</w:t>
      </w:r>
    </w:p>
    <w:p w14:paraId="643CFCB7" w14:textId="77777777" w:rsidR="00BC131A" w:rsidRPr="00C92A2A" w:rsidRDefault="00BC131A" w:rsidP="00BC131A">
      <w:pPr>
        <w:pStyle w:val="Textonotapie"/>
        <w:jc w:val="both"/>
        <w:rPr>
          <w:rFonts w:ascii="Verdana" w:hAnsi="Verdana" w:cs="Arial"/>
          <w:sz w:val="12"/>
          <w:szCs w:val="12"/>
          <w:lang w:val="es-ES_tradnl"/>
        </w:rPr>
      </w:pPr>
    </w:p>
  </w:footnote>
  <w:footnote w:id="12">
    <w:p w14:paraId="12B7F038" w14:textId="77777777" w:rsidR="00BC131A" w:rsidRPr="00C92A2A" w:rsidRDefault="00BC131A" w:rsidP="00BC131A">
      <w:pPr>
        <w:pStyle w:val="Textonotapie"/>
        <w:ind w:firstLine="708"/>
        <w:jc w:val="both"/>
        <w:rPr>
          <w:rFonts w:ascii="Verdana" w:hAnsi="Verdana" w:cs="Arial"/>
          <w:color w:val="000000" w:themeColor="text1"/>
          <w:sz w:val="12"/>
          <w:szCs w:val="12"/>
          <w:lang w:val="es-ES"/>
        </w:rPr>
      </w:pPr>
      <w:r w:rsidRPr="00C92A2A">
        <w:rPr>
          <w:rStyle w:val="Refdenotaalpie"/>
          <w:rFonts w:ascii="Verdana" w:hAnsi="Verdana" w:cs="Arial"/>
          <w:sz w:val="12"/>
          <w:szCs w:val="12"/>
        </w:rPr>
        <w:footnoteRef/>
      </w:r>
      <w:r w:rsidRPr="00C92A2A">
        <w:rPr>
          <w:rFonts w:ascii="Verdana" w:hAnsi="Verdana" w:cs="Arial"/>
          <w:sz w:val="12"/>
          <w:szCs w:val="12"/>
        </w:rPr>
        <w:t xml:space="preserve"> </w:t>
      </w:r>
      <w:r w:rsidRPr="00C92A2A">
        <w:rPr>
          <w:rFonts w:ascii="Verdana" w:hAnsi="Verdana" w:cs="Arial"/>
          <w:color w:val="000000" w:themeColor="text1"/>
          <w:sz w:val="12"/>
          <w:szCs w:val="12"/>
          <w:lang w:val="es-ES"/>
        </w:rPr>
        <w:t>Consejo de Estado. Sección Tercera. Subsección C. Sentencia del 2 de diciembre de 2013. Exp. 41719. Consejero Ponente: Jaime Orlando Santofimio Gamboa.</w:t>
      </w:r>
    </w:p>
    <w:p w14:paraId="358751DC" w14:textId="77777777" w:rsidR="00BC131A" w:rsidRPr="00C92A2A" w:rsidRDefault="00BC131A" w:rsidP="00BC131A">
      <w:pPr>
        <w:pStyle w:val="Textonotapie"/>
        <w:jc w:val="both"/>
        <w:rPr>
          <w:rFonts w:ascii="Verdana" w:hAnsi="Verdana" w:cs="Arial"/>
          <w:sz w:val="12"/>
          <w:szCs w:val="12"/>
          <w:lang w:val="es-ES"/>
        </w:rPr>
      </w:pPr>
    </w:p>
  </w:footnote>
  <w:footnote w:id="13">
    <w:p w14:paraId="235C43A2" w14:textId="77777777" w:rsidR="00BC131A" w:rsidRPr="00C92A2A" w:rsidRDefault="00BC131A" w:rsidP="00BC131A">
      <w:pPr>
        <w:pStyle w:val="Textonotapie"/>
        <w:ind w:firstLine="709"/>
        <w:jc w:val="both"/>
        <w:rPr>
          <w:rFonts w:ascii="Verdana" w:hAnsi="Verdana" w:cs="Arial"/>
          <w:color w:val="000000" w:themeColor="text1"/>
          <w:sz w:val="12"/>
          <w:szCs w:val="12"/>
          <w:lang w:val="es-ES"/>
        </w:rPr>
      </w:pPr>
      <w:r w:rsidRPr="00C92A2A">
        <w:rPr>
          <w:rStyle w:val="Refdenotaalpie"/>
          <w:rFonts w:ascii="Verdana" w:hAnsi="Verdana" w:cs="Arial"/>
          <w:color w:val="000000" w:themeColor="text1"/>
          <w:sz w:val="12"/>
          <w:szCs w:val="12"/>
        </w:rPr>
        <w:footnoteRef/>
      </w:r>
      <w:r w:rsidRPr="00C92A2A">
        <w:rPr>
          <w:rFonts w:ascii="Verdana" w:hAnsi="Verdana" w:cs="Arial"/>
          <w:color w:val="000000" w:themeColor="text1"/>
          <w:sz w:val="12"/>
          <w:szCs w:val="12"/>
        </w:rPr>
        <w:t xml:space="preserve"> </w:t>
      </w:r>
      <w:r w:rsidRPr="00C92A2A">
        <w:rPr>
          <w:rFonts w:ascii="Verdana" w:hAnsi="Verdana" w:cs="Arial"/>
          <w:color w:val="000000" w:themeColor="text1"/>
          <w:sz w:val="12"/>
          <w:szCs w:val="12"/>
          <w:lang w:val="es-ES"/>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259B681C" w14:textId="77777777" w:rsidR="00BC131A" w:rsidRPr="00C92A2A" w:rsidRDefault="00BC131A" w:rsidP="00BC131A">
      <w:pPr>
        <w:pStyle w:val="Textonotapie"/>
        <w:ind w:firstLine="709"/>
        <w:jc w:val="both"/>
        <w:rPr>
          <w:rFonts w:ascii="Verdana" w:hAnsi="Verdana" w:cs="Arial"/>
          <w:color w:val="000000" w:themeColor="text1"/>
          <w:sz w:val="12"/>
          <w:szCs w:val="12"/>
          <w:lang w:val="es-ES"/>
        </w:rPr>
      </w:pPr>
      <w:r w:rsidRPr="00C92A2A">
        <w:rPr>
          <w:rFonts w:ascii="Verdana" w:hAnsi="Verdana" w:cs="Arial"/>
          <w:color w:val="000000" w:themeColor="text1"/>
          <w:sz w:val="12"/>
          <w:szCs w:val="12"/>
          <w:lang w:val="es-ES"/>
        </w:rPr>
        <w:t>»Son también contratos de consultoría los que tienen por objeto la interventoría, asesoría, gerencia de obra o de proyectos, dirección, programación y la ejecución de diseños, planos, anteproyectos y proyectos.</w:t>
      </w:r>
    </w:p>
    <w:p w14:paraId="55F5ADDF" w14:textId="77777777" w:rsidR="00BC131A" w:rsidRPr="00C92A2A" w:rsidRDefault="00BC131A" w:rsidP="00BC131A">
      <w:pPr>
        <w:pStyle w:val="Textonotapie"/>
        <w:ind w:firstLine="709"/>
        <w:jc w:val="both"/>
        <w:rPr>
          <w:rFonts w:ascii="Verdana" w:hAnsi="Verdana" w:cs="Arial"/>
          <w:color w:val="000000" w:themeColor="text1"/>
          <w:sz w:val="12"/>
          <w:szCs w:val="12"/>
          <w:lang w:val="es-ES"/>
        </w:rPr>
      </w:pPr>
      <w:r w:rsidRPr="00C92A2A">
        <w:rPr>
          <w:rFonts w:ascii="Verdana" w:hAnsi="Verdana" w:cs="Arial"/>
          <w:color w:val="000000" w:themeColor="text1"/>
          <w:sz w:val="12"/>
          <w:szCs w:val="12"/>
          <w:lang w:val="es-ES"/>
        </w:rPr>
        <w:t xml:space="preserve">»Ninguna orden del interventor de una obra podrá darse verbalmente. Es obligatorio para el interventor entregar por escrito sus órdenes o sugerencias y ellas deben enmarcarse dentro de los términos del respectivo contrato». </w:t>
      </w:r>
    </w:p>
    <w:p w14:paraId="4D1C2A97" w14:textId="77777777" w:rsidR="00BC131A" w:rsidRPr="00C92A2A" w:rsidRDefault="00BC131A" w:rsidP="00BC131A">
      <w:pPr>
        <w:pStyle w:val="Textonotapie"/>
        <w:ind w:firstLine="709"/>
        <w:jc w:val="both"/>
        <w:rPr>
          <w:rFonts w:ascii="Verdana" w:hAnsi="Verdana" w:cs="Arial"/>
          <w:color w:val="000000" w:themeColor="text1"/>
          <w:sz w:val="12"/>
          <w:szCs w:val="12"/>
          <w:lang w:val="es-ES"/>
        </w:rPr>
      </w:pPr>
    </w:p>
  </w:footnote>
  <w:footnote w:id="14">
    <w:p w14:paraId="4C9AAFE2" w14:textId="77777777" w:rsidR="00BC131A" w:rsidRPr="00C92A2A" w:rsidRDefault="00BC131A" w:rsidP="00BC131A">
      <w:pPr>
        <w:pStyle w:val="Textonotapie"/>
        <w:ind w:firstLine="708"/>
        <w:jc w:val="both"/>
        <w:rPr>
          <w:rFonts w:ascii="Verdana" w:hAnsi="Verdana" w:cs="Arial"/>
          <w:sz w:val="12"/>
          <w:szCs w:val="12"/>
        </w:rPr>
      </w:pPr>
      <w:r w:rsidRPr="00C92A2A">
        <w:rPr>
          <w:rStyle w:val="Refdenotaalpie"/>
          <w:rFonts w:ascii="Verdana" w:hAnsi="Verdana" w:cs="Arial"/>
          <w:sz w:val="12"/>
          <w:szCs w:val="12"/>
        </w:rPr>
        <w:footnoteRef/>
      </w:r>
      <w:r w:rsidRPr="00C92A2A">
        <w:rPr>
          <w:rFonts w:ascii="Verdana" w:hAnsi="Verdana" w:cs="Arial"/>
          <w:sz w:val="12"/>
          <w:szCs w:val="12"/>
        </w:rPr>
        <w:t xml:space="preserve"> Es lo que sucede, por ejemplo, con el Decreto 092 de 2017, que en su desarrollo hace referencia tanto a los “contratos” como a los “convenios”. </w:t>
      </w:r>
    </w:p>
    <w:p w14:paraId="655A4073" w14:textId="77777777" w:rsidR="00BC131A" w:rsidRPr="00C92A2A" w:rsidRDefault="00BC131A" w:rsidP="00BC131A">
      <w:pPr>
        <w:pStyle w:val="Textonotapie"/>
        <w:ind w:firstLine="708"/>
        <w:jc w:val="both"/>
        <w:rPr>
          <w:rFonts w:ascii="Verdana" w:hAnsi="Verdana" w:cs="Arial"/>
          <w:sz w:val="12"/>
          <w:szCs w:val="12"/>
        </w:rPr>
      </w:pPr>
    </w:p>
  </w:footnote>
  <w:footnote w:id="15">
    <w:p w14:paraId="52676354" w14:textId="77777777" w:rsidR="00BC131A" w:rsidRPr="00C92A2A" w:rsidRDefault="00BC131A" w:rsidP="00BC131A">
      <w:pPr>
        <w:pStyle w:val="Textonotapie"/>
        <w:ind w:firstLine="708"/>
        <w:jc w:val="both"/>
        <w:rPr>
          <w:rFonts w:ascii="Verdana" w:hAnsi="Verdana" w:cs="Arial"/>
          <w:sz w:val="12"/>
          <w:szCs w:val="12"/>
          <w:lang w:val="pt-BR"/>
        </w:rPr>
      </w:pPr>
      <w:r w:rsidRPr="00C92A2A">
        <w:rPr>
          <w:rStyle w:val="Refdenotaalpie"/>
          <w:rFonts w:ascii="Verdana" w:hAnsi="Verdana" w:cs="Arial"/>
          <w:sz w:val="12"/>
          <w:szCs w:val="12"/>
        </w:rPr>
        <w:footnoteRef/>
      </w:r>
      <w:r w:rsidRPr="00C92A2A">
        <w:rPr>
          <w:rFonts w:ascii="Verdana" w:hAnsi="Verdana" w:cs="Arial"/>
          <w:sz w:val="12"/>
          <w:szCs w:val="12"/>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w:t>
      </w:r>
      <w:r w:rsidRPr="00C92A2A">
        <w:rPr>
          <w:rFonts w:ascii="Verdana" w:hAnsi="Verdana" w:cs="Arial"/>
          <w:sz w:val="12"/>
          <w:szCs w:val="12"/>
          <w:lang w:val="pt-BR"/>
        </w:rPr>
        <w:t>(Corte Constitucional. Sentencia C-671 de 2015. M.P. Alberto Rojas Ríos).</w:t>
      </w:r>
    </w:p>
  </w:footnote>
  <w:footnote w:id="16">
    <w:p w14:paraId="635A6867" w14:textId="77777777" w:rsidR="00BC131A" w:rsidRPr="00C92A2A" w:rsidRDefault="00BC131A" w:rsidP="00BC131A">
      <w:pPr>
        <w:pStyle w:val="Textonotapie"/>
        <w:ind w:firstLine="709"/>
        <w:jc w:val="both"/>
        <w:rPr>
          <w:rFonts w:ascii="Verdana" w:hAnsi="Verdana"/>
          <w:sz w:val="12"/>
          <w:szCs w:val="12"/>
          <w:lang w:val="es-CO"/>
        </w:rPr>
      </w:pPr>
      <w:r w:rsidRPr="00C92A2A">
        <w:rPr>
          <w:rStyle w:val="Refdenotaalpie"/>
          <w:rFonts w:ascii="Verdana" w:hAnsi="Verdana"/>
          <w:sz w:val="12"/>
          <w:szCs w:val="12"/>
        </w:rPr>
        <w:footnoteRef/>
      </w:r>
      <w:r w:rsidRPr="00C92A2A">
        <w:rPr>
          <w:rFonts w:ascii="Verdana" w:hAnsi="Verdana"/>
          <w:sz w:val="12"/>
          <w:szCs w:val="12"/>
          <w:lang w:val="es-CO"/>
        </w:rPr>
        <w:t xml:space="preserve"> </w:t>
      </w:r>
      <w:r w:rsidRPr="00C92A2A">
        <w:rPr>
          <w:rFonts w:ascii="Verdana" w:hAnsi="Verdana" w:cs="Arial"/>
          <w:sz w:val="12"/>
          <w:szCs w:val="12"/>
          <w:lang w:val="es-CO"/>
        </w:rPr>
        <w:t>Consejo de Estado, Sección Tercera. Auto del 4 de octubre de 2024. Exp. 70.313. C.P: Fredy Ibarra Martínez</w:t>
      </w:r>
    </w:p>
  </w:footnote>
  <w:footnote w:id="17">
    <w:p w14:paraId="1E641DEC" w14:textId="77777777" w:rsidR="00BC131A" w:rsidRPr="00C92A2A" w:rsidRDefault="00BC131A" w:rsidP="00BC131A">
      <w:pPr>
        <w:pStyle w:val="Textonotapie"/>
        <w:ind w:firstLine="709"/>
        <w:jc w:val="both"/>
        <w:rPr>
          <w:rFonts w:ascii="Verdana" w:hAnsi="Verdana" w:cs="Arial"/>
          <w:sz w:val="12"/>
          <w:szCs w:val="12"/>
        </w:rPr>
      </w:pPr>
      <w:r w:rsidRPr="00C92A2A">
        <w:rPr>
          <w:rStyle w:val="Refdenotaalpie"/>
          <w:rFonts w:ascii="Verdana" w:hAnsi="Verdana" w:cs="Arial"/>
          <w:sz w:val="12"/>
          <w:szCs w:val="12"/>
        </w:rPr>
        <w:footnoteRef/>
      </w:r>
      <w:r w:rsidRPr="00C92A2A">
        <w:rPr>
          <w:rFonts w:ascii="Verdana" w:hAnsi="Verdana" w:cs="Arial"/>
          <w:sz w:val="12"/>
          <w:szCs w:val="12"/>
        </w:rPr>
        <w:t xml:space="preserve"> Consejo de Estado. Sala de Consulta y Servicio Civil. Concepto del 15 de noviembre de 2007. Expediente número 1863. Consejero Ponente: Luis Fernando Álvarez Jaramillo.</w:t>
      </w:r>
    </w:p>
  </w:footnote>
  <w:footnote w:id="18">
    <w:p w14:paraId="01DCACCC" w14:textId="77777777" w:rsidR="00BC131A" w:rsidRPr="00C92A2A" w:rsidRDefault="00BC131A" w:rsidP="00BC131A">
      <w:pPr>
        <w:pStyle w:val="Textonotapie"/>
        <w:ind w:firstLine="708"/>
        <w:jc w:val="both"/>
        <w:rPr>
          <w:rFonts w:ascii="Verdana" w:hAnsi="Verdana"/>
          <w:sz w:val="12"/>
          <w:szCs w:val="12"/>
        </w:rPr>
      </w:pPr>
      <w:r w:rsidRPr="00C92A2A">
        <w:rPr>
          <w:rStyle w:val="Refdenotaalpie"/>
          <w:rFonts w:ascii="Verdana" w:hAnsi="Verdana" w:cs="Arial"/>
          <w:sz w:val="12"/>
          <w:szCs w:val="12"/>
        </w:rPr>
        <w:footnoteRef/>
      </w:r>
      <w:r w:rsidRPr="00C92A2A">
        <w:rPr>
          <w:rFonts w:ascii="Verdana" w:hAnsi="Verdana" w:cs="Arial"/>
          <w:sz w:val="12"/>
          <w:szCs w:val="12"/>
        </w:rPr>
        <w:t xml:space="preserve"> Al respecto, el </w:t>
      </w:r>
      <w:r w:rsidRPr="00C92A2A">
        <w:rPr>
          <w:rFonts w:ascii="Verdana" w:hAnsi="Verdana" w:cs="Arial"/>
          <w:color w:val="000000" w:themeColor="text1"/>
          <w:sz w:val="12"/>
          <w:szCs w:val="12"/>
          <w:bdr w:val="none" w:sz="0" w:space="0" w:color="auto" w:frame="1"/>
          <w:lang w:val="es-ES_tradnl"/>
        </w:rPr>
        <w:t>el literal i) del numeral 1 del artículo 1 de la Ley 32 de 1985, “</w:t>
      </w:r>
      <w:r w:rsidRPr="00C92A2A">
        <w:rPr>
          <w:rFonts w:ascii="Verdana" w:hAnsi="Verdana" w:cs="Arial"/>
          <w:sz w:val="12"/>
          <w:szCs w:val="12"/>
          <w:lang w:val="es-ES_tradnl"/>
        </w:rPr>
        <w:t xml:space="preserve">Por medio de la cual se aprueba la “Convención de Viena sobre el derecho de los tratados”, establece: </w:t>
      </w:r>
      <w:r w:rsidRPr="00C92A2A">
        <w:rPr>
          <w:rFonts w:ascii="Verdana" w:hAnsi="Verdana" w:cs="Arial"/>
          <w:color w:val="000000" w:themeColor="text1"/>
          <w:sz w:val="12"/>
          <w:szCs w:val="12"/>
          <w:bdr w:val="none" w:sz="0" w:space="0" w:color="auto" w:frame="1"/>
          <w:lang w:val="es-ES_tradnl"/>
        </w:rPr>
        <w:t>“se entiende por organización internacional una organización intergubernamental”</w:t>
      </w:r>
      <w:r w:rsidRPr="00C92A2A">
        <w:rPr>
          <w:rFonts w:ascii="Verdana" w:hAnsi="Verdana"/>
          <w:sz w:val="12"/>
          <w:szCs w:val="12"/>
          <w:lang w:val="es-ES_tradnl"/>
        </w:rPr>
        <w:t xml:space="preserve"> </w:t>
      </w:r>
      <w:r w:rsidRPr="00C92A2A">
        <w:rPr>
          <w:rFonts w:ascii="Verdana" w:hAnsi="Verdana" w:cs="Arial"/>
          <w:color w:val="000000" w:themeColor="text1"/>
          <w:sz w:val="12"/>
          <w:szCs w:val="12"/>
          <w:bdr w:val="none" w:sz="0" w:space="0" w:color="auto" w:frame="1"/>
          <w:lang w:val="es-ES_tradnl"/>
        </w:rPr>
        <w:t xml:space="preserve"> </w:t>
      </w:r>
    </w:p>
  </w:footnote>
  <w:footnote w:id="19">
    <w:p w14:paraId="09DDBB38" w14:textId="77777777" w:rsidR="00BC131A" w:rsidRPr="00C92A2A" w:rsidRDefault="00BC131A" w:rsidP="00BC131A">
      <w:pPr>
        <w:pStyle w:val="bodytext21"/>
        <w:spacing w:before="0" w:beforeAutospacing="0" w:after="0" w:afterAutospacing="0"/>
        <w:ind w:firstLine="708"/>
        <w:jc w:val="both"/>
        <w:rPr>
          <w:rFonts w:ascii="Verdana" w:hAnsi="Verdana" w:cs="Arial"/>
          <w:sz w:val="12"/>
          <w:szCs w:val="12"/>
          <w:lang w:val="es-ES"/>
        </w:rPr>
      </w:pPr>
      <w:r w:rsidRPr="00C92A2A">
        <w:rPr>
          <w:rFonts w:ascii="Verdana" w:hAnsi="Verdana" w:cs="Arial"/>
          <w:sz w:val="12"/>
          <w:szCs w:val="12"/>
          <w:vertAlign w:val="superscript"/>
        </w:rPr>
        <w:footnoteRef/>
      </w:r>
      <w:r w:rsidRPr="00C92A2A">
        <w:rPr>
          <w:rFonts w:ascii="Verdana" w:hAnsi="Verdana" w:cs="Arial"/>
          <w:sz w:val="12"/>
          <w:szCs w:val="12"/>
          <w:vertAlign w:val="superscript"/>
        </w:rPr>
        <w:t xml:space="preserve"> </w:t>
      </w:r>
      <w:r w:rsidRPr="00C92A2A">
        <w:rPr>
          <w:rFonts w:ascii="Verdana" w:hAnsi="Verdana" w:cs="Arial"/>
          <w:sz w:val="12"/>
          <w:szCs w:val="12"/>
          <w:lang w:val="es-ES"/>
        </w:rPr>
        <w:t>Esta norma fue expresamente derogada por el art. 32 de la Ley 1150 de 2007.</w:t>
      </w:r>
    </w:p>
  </w:footnote>
  <w:footnote w:id="20">
    <w:p w14:paraId="1A641429" w14:textId="77777777" w:rsidR="00BC131A" w:rsidRPr="00C92A2A" w:rsidRDefault="00BC131A" w:rsidP="00BC131A">
      <w:pPr>
        <w:pStyle w:val="Textonotapie"/>
        <w:ind w:firstLine="709"/>
        <w:jc w:val="both"/>
        <w:rPr>
          <w:rFonts w:ascii="Verdana" w:hAnsi="Verdana" w:cs="Arial"/>
          <w:color w:val="000000" w:themeColor="text1"/>
          <w:sz w:val="12"/>
          <w:szCs w:val="12"/>
        </w:rPr>
      </w:pPr>
      <w:r w:rsidRPr="00C92A2A">
        <w:rPr>
          <w:rStyle w:val="Refdenotaalpie"/>
          <w:rFonts w:ascii="Verdana" w:hAnsi="Verdana"/>
          <w:sz w:val="12"/>
          <w:szCs w:val="12"/>
        </w:rPr>
        <w:footnoteRef/>
      </w:r>
      <w:r w:rsidRPr="00C92A2A">
        <w:rPr>
          <w:rFonts w:ascii="Verdana" w:hAnsi="Verdana" w:cs="Arial"/>
          <w:color w:val="000000" w:themeColor="text1"/>
          <w:sz w:val="12"/>
          <w:szCs w:val="12"/>
        </w:rPr>
        <w:t xml:space="preserve"> Cfr. Concepto C-757 del 30 de diciembre de 2021.</w:t>
      </w:r>
    </w:p>
    <w:p w14:paraId="0C6637F0" w14:textId="77777777" w:rsidR="00BC131A" w:rsidRPr="00C92A2A" w:rsidRDefault="00BC131A" w:rsidP="00BC131A">
      <w:pPr>
        <w:pStyle w:val="Textonotapie"/>
        <w:ind w:firstLine="709"/>
        <w:jc w:val="both"/>
        <w:rPr>
          <w:rFonts w:ascii="Verdana" w:hAnsi="Verdana" w:cs="Arial"/>
          <w:color w:val="000000" w:themeColor="text1"/>
          <w:sz w:val="12"/>
          <w:szCs w:val="12"/>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7CAE9E" w14:textId="77777777" w:rsidR="00BC131A" w:rsidRDefault="00BC131A">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547424FD" wp14:editId="06BBE983">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71F9FF3C" wp14:editId="1EC186ED">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7243BCF9" w14:textId="77777777" w:rsidR="00BC131A" w:rsidRDefault="00BC131A">
    <w:pPr>
      <w:pStyle w:val="Encabezado"/>
    </w:pPr>
  </w:p>
  <w:p w14:paraId="2BB58F40" w14:textId="77777777" w:rsidR="00BC131A" w:rsidRDefault="00BC131A" w:rsidP="004A305D">
    <w:pPr>
      <w:spacing w:after="0"/>
      <w:rPr>
        <w:rFonts w:ascii="Verdana" w:hAnsi="Verdana"/>
        <w:b/>
        <w:bCs/>
      </w:rPr>
    </w:pPr>
  </w:p>
  <w:p w14:paraId="6F454837" w14:textId="77777777" w:rsidR="00BC131A" w:rsidRPr="00DC39FC" w:rsidRDefault="00BC131A" w:rsidP="004A305D">
    <w:pPr>
      <w:spacing w:after="0"/>
      <w:rPr>
        <w:rFonts w:ascii="Verdana" w:hAnsi="Verdana"/>
        <w:b/>
        <w:bCs/>
      </w:rPr>
    </w:pPr>
    <w:r w:rsidRPr="00DC39FC">
      <w:rPr>
        <w:rFonts w:ascii="Verdana" w:hAnsi="Verdana"/>
        <w:b/>
        <w:bCs/>
      </w:rPr>
      <w:t>FORMATO PQRSD</w:t>
    </w:r>
  </w:p>
  <w:p w14:paraId="4FF04823" w14:textId="77777777" w:rsidR="00BC131A" w:rsidRPr="004A305D" w:rsidRDefault="00BC131A" w:rsidP="00B01B1A">
    <w:pPr>
      <w:spacing w:after="0" w:line="120" w:lineRule="auto"/>
      <w:rPr>
        <w:rFonts w:ascii="Century Gothic" w:eastAsia="Geo" w:hAnsi="Century Gothic" w:cs="Geo"/>
        <w:sz w:val="16"/>
        <w:szCs w:val="16"/>
        <w:lang w:eastAsia="es-CO"/>
      </w:rPr>
    </w:pPr>
  </w:p>
  <w:p w14:paraId="500C3EC1" w14:textId="77777777" w:rsidR="00BC131A" w:rsidRDefault="00BC131A"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6pt;height:11.6pt" o:bullet="t">
        <v:imagedata r:id="rId1" o:title="mso1B13"/>
      </v:shape>
    </w:pict>
  </w:numPicBullet>
  <w:abstractNum w:abstractNumId="0"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1106BC4"/>
    <w:multiLevelType w:val="hybridMultilevel"/>
    <w:tmpl w:val="F7E47996"/>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3"/>
  </w:num>
  <w:num w:numId="2" w16cid:durableId="1232623433">
    <w:abstractNumId w:val="0"/>
  </w:num>
  <w:num w:numId="3" w16cid:durableId="1934389934">
    <w:abstractNumId w:val="1"/>
  </w:num>
  <w:num w:numId="4" w16cid:durableId="3823377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31A"/>
    <w:rsid w:val="004108E2"/>
    <w:rsid w:val="00474DF4"/>
    <w:rsid w:val="00485D25"/>
    <w:rsid w:val="004F471F"/>
    <w:rsid w:val="0064345D"/>
    <w:rsid w:val="00760C76"/>
    <w:rsid w:val="00A54A43"/>
    <w:rsid w:val="00BC131A"/>
    <w:rsid w:val="00C24FFE"/>
    <w:rsid w:val="00C81CDD"/>
    <w:rsid w:val="00D41FFF"/>
    <w:rsid w:val="00EB6DB7"/>
    <w:rsid w:val="00FA0F0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AEC001"/>
  <w15:chartTrackingRefBased/>
  <w15:docId w15:val="{5B077294-51D1-47F1-912D-B6124CCDA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131A"/>
    <w:rPr>
      <w:kern w:val="0"/>
      <w14:ligatures w14:val="none"/>
    </w:rPr>
  </w:style>
  <w:style w:type="paragraph" w:styleId="Ttulo1">
    <w:name w:val="heading 1"/>
    <w:basedOn w:val="Normal"/>
    <w:next w:val="Normal"/>
    <w:link w:val="Ttulo1Car"/>
    <w:uiPriority w:val="9"/>
    <w:qFormat/>
    <w:rsid w:val="00BC131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BC131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BC131A"/>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BC131A"/>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BC131A"/>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BC131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C131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C131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C131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C131A"/>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BC131A"/>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BC131A"/>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BC131A"/>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BC131A"/>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BC131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C131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C131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C131A"/>
    <w:rPr>
      <w:rFonts w:eastAsiaTheme="majorEastAsia" w:cstheme="majorBidi"/>
      <w:color w:val="272727" w:themeColor="text1" w:themeTint="D8"/>
    </w:rPr>
  </w:style>
  <w:style w:type="paragraph" w:styleId="Ttulo">
    <w:name w:val="Title"/>
    <w:basedOn w:val="Normal"/>
    <w:next w:val="Normal"/>
    <w:link w:val="TtuloCar"/>
    <w:uiPriority w:val="10"/>
    <w:qFormat/>
    <w:rsid w:val="00BC13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C131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C131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C131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C131A"/>
    <w:pPr>
      <w:spacing w:before="160"/>
      <w:jc w:val="center"/>
    </w:pPr>
    <w:rPr>
      <w:i/>
      <w:iCs/>
      <w:color w:val="404040" w:themeColor="text1" w:themeTint="BF"/>
    </w:rPr>
  </w:style>
  <w:style w:type="character" w:customStyle="1" w:styleId="CitaCar">
    <w:name w:val="Cita Car"/>
    <w:basedOn w:val="Fuentedeprrafopredeter"/>
    <w:link w:val="Cita"/>
    <w:uiPriority w:val="29"/>
    <w:rsid w:val="00BC131A"/>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BC131A"/>
    <w:pPr>
      <w:ind w:left="720"/>
      <w:contextualSpacing/>
    </w:pPr>
  </w:style>
  <w:style w:type="character" w:styleId="nfasisintenso">
    <w:name w:val="Intense Emphasis"/>
    <w:basedOn w:val="Fuentedeprrafopredeter"/>
    <w:uiPriority w:val="21"/>
    <w:qFormat/>
    <w:rsid w:val="00BC131A"/>
    <w:rPr>
      <w:i/>
      <w:iCs/>
      <w:color w:val="2F5496" w:themeColor="accent1" w:themeShade="BF"/>
    </w:rPr>
  </w:style>
  <w:style w:type="paragraph" w:styleId="Citadestacada">
    <w:name w:val="Intense Quote"/>
    <w:basedOn w:val="Normal"/>
    <w:next w:val="Normal"/>
    <w:link w:val="CitadestacadaCar"/>
    <w:uiPriority w:val="30"/>
    <w:qFormat/>
    <w:rsid w:val="00BC131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BC131A"/>
    <w:rPr>
      <w:i/>
      <w:iCs/>
      <w:color w:val="2F5496" w:themeColor="accent1" w:themeShade="BF"/>
    </w:rPr>
  </w:style>
  <w:style w:type="character" w:styleId="Referenciaintensa">
    <w:name w:val="Intense Reference"/>
    <w:basedOn w:val="Fuentedeprrafopredeter"/>
    <w:uiPriority w:val="32"/>
    <w:qFormat/>
    <w:rsid w:val="00BC131A"/>
    <w:rPr>
      <w:b/>
      <w:bCs/>
      <w:smallCaps/>
      <w:color w:val="2F5496" w:themeColor="accent1" w:themeShade="BF"/>
      <w:spacing w:val="5"/>
    </w:rPr>
  </w:style>
  <w:style w:type="paragraph" w:styleId="Encabezado">
    <w:name w:val="header"/>
    <w:basedOn w:val="Normal"/>
    <w:link w:val="EncabezadoCar"/>
    <w:uiPriority w:val="99"/>
    <w:unhideWhenUsed/>
    <w:rsid w:val="00BC131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C131A"/>
    <w:rPr>
      <w:kern w:val="0"/>
      <w14:ligatures w14:val="none"/>
    </w:rPr>
  </w:style>
  <w:style w:type="paragraph" w:styleId="Piedepgina">
    <w:name w:val="footer"/>
    <w:basedOn w:val="Normal"/>
    <w:link w:val="PiedepginaCar"/>
    <w:uiPriority w:val="99"/>
    <w:unhideWhenUsed/>
    <w:rsid w:val="00BC131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C131A"/>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C131A"/>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C131A"/>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BC131A"/>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C131A"/>
    <w:rPr>
      <w:vertAlign w:val="superscript"/>
    </w:rPr>
  </w:style>
  <w:style w:type="table" w:styleId="Tablaconcuadrcula">
    <w:name w:val="Table Grid"/>
    <w:basedOn w:val="Tablanormal"/>
    <w:uiPriority w:val="39"/>
    <w:qFormat/>
    <w:rsid w:val="00BC131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BC131A"/>
    <w:rPr>
      <w:color w:val="0000FF"/>
      <w:u w:val="single"/>
    </w:rPr>
  </w:style>
  <w:style w:type="paragraph" w:styleId="NormalWeb">
    <w:name w:val="Normal (Web)"/>
    <w:basedOn w:val="Normal"/>
    <w:link w:val="NormalWebCar"/>
    <w:uiPriority w:val="99"/>
    <w:unhideWhenUsed/>
    <w:rsid w:val="00BC131A"/>
    <w:pPr>
      <w:spacing w:before="100" w:beforeAutospacing="1" w:after="100" w:afterAutospacing="1" w:line="240" w:lineRule="auto"/>
    </w:pPr>
    <w:rPr>
      <w:rFonts w:ascii="Times New Roman" w:eastAsia="Times New Roman" w:hAnsi="Times New Roman" w:cs="Times New Roman"/>
      <w:sz w:val="24"/>
      <w:szCs w:val="24"/>
      <w:lang w:eastAsia="es-CO"/>
    </w:rPr>
  </w:style>
  <w:style w:type="table" w:customStyle="1" w:styleId="Tablaconcuadrcula1">
    <w:name w:val="Tabla con cuadrícula1"/>
    <w:basedOn w:val="Tablanormal"/>
    <w:next w:val="Tablaconcuadrcula"/>
    <w:uiPriority w:val="39"/>
    <w:qFormat/>
    <w:rsid w:val="00BC131A"/>
    <w:pPr>
      <w:spacing w:after="0" w:line="240" w:lineRule="auto"/>
    </w:pPr>
    <w:rPr>
      <w:rFonts w:ascii="Calibri" w:eastAsia="Calibri" w:hAnsi="Calibri" w:cs="Times New Roman"/>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BC131A"/>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C131A"/>
  </w:style>
  <w:style w:type="character" w:customStyle="1" w:styleId="NormalWebCar">
    <w:name w:val="Normal (Web) Car"/>
    <w:link w:val="NormalWeb"/>
    <w:uiPriority w:val="99"/>
    <w:locked/>
    <w:rsid w:val="00BC131A"/>
    <w:rPr>
      <w:rFonts w:ascii="Times New Roman" w:eastAsia="Times New Roman" w:hAnsi="Times New Roman" w:cs="Times New Roman"/>
      <w:kern w:val="0"/>
      <w:sz w:val="24"/>
      <w:szCs w:val="24"/>
      <w:lang w:eastAsia="es-CO"/>
      <w14:ligatures w14:val="none"/>
    </w:rPr>
  </w:style>
  <w:style w:type="character" w:customStyle="1" w:styleId="baj">
    <w:name w:val="b_aj"/>
    <w:basedOn w:val="Fuentedeprrafopredeter"/>
    <w:rsid w:val="00BC131A"/>
  </w:style>
  <w:style w:type="paragraph" w:customStyle="1" w:styleId="bodytext21">
    <w:name w:val="bodytext21"/>
    <w:basedOn w:val="Normal"/>
    <w:rsid w:val="00BC131A"/>
    <w:pPr>
      <w:spacing w:before="100" w:beforeAutospacing="1" w:after="100" w:afterAutospacing="1" w:line="240" w:lineRule="auto"/>
    </w:pPr>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dresvelaa@gmail.com"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A852C24-DC06-414E-B979-A0CAB23F81C4}">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4C624742-071D-4DB2-9F6C-C0745834D6F1}">
  <ds:schemaRefs>
    <ds:schemaRef ds:uri="http://schemas.microsoft.com/sharepoint/v3/contenttype/forms"/>
  </ds:schemaRefs>
</ds:datastoreItem>
</file>

<file path=customXml/itemProps3.xml><?xml version="1.0" encoding="utf-8"?>
<ds:datastoreItem xmlns:ds="http://schemas.openxmlformats.org/officeDocument/2006/customXml" ds:itemID="{5AA61BED-FC35-4EF0-86FB-059A81A8F5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33</Pages>
  <Words>11834</Words>
  <Characters>65087</Characters>
  <Application>Microsoft Office Word</Application>
  <DocSecurity>0</DocSecurity>
  <Lines>542</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Keila Margarita Reyes Cassiani</cp:lastModifiedBy>
  <cp:revision>5</cp:revision>
  <dcterms:created xsi:type="dcterms:W3CDTF">2025-09-11T18:40:00Z</dcterms:created>
  <dcterms:modified xsi:type="dcterms:W3CDTF">2025-09-17T14:43:00Z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