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10945" w14:textId="77777777" w:rsidR="00C56DA9" w:rsidRPr="00E3533A" w:rsidRDefault="00C56DA9" w:rsidP="009B1E97">
      <w:pPr>
        <w:spacing w:after="0"/>
        <w:jc w:val="both"/>
        <w:rPr>
          <w:rFonts w:ascii="Verdana" w:hAnsi="Verdana" w:cs="Arial"/>
          <w:b/>
          <w:bCs/>
          <w:lang w:eastAsia="es-ES"/>
        </w:rPr>
      </w:pPr>
      <w:bookmarkStart w:id="0" w:name="_Hlk143780582"/>
      <w:r>
        <w:rPr>
          <w:rFonts w:ascii="Verdana" w:hAnsi="Verdana" w:cs="Arial"/>
          <w:b/>
          <w:bCs/>
          <w:lang w:eastAsia="es-ES"/>
        </w:rPr>
        <w:t>PRINCIPIO DE PUBLICIDAD</w:t>
      </w:r>
      <w:r w:rsidRPr="00E3533A">
        <w:rPr>
          <w:rFonts w:ascii="Verdana" w:hAnsi="Verdana" w:cs="Arial"/>
          <w:b/>
          <w:bCs/>
          <w:lang w:eastAsia="es-ES"/>
        </w:rPr>
        <w:t xml:space="preserve"> – </w:t>
      </w:r>
      <w:r>
        <w:rPr>
          <w:rFonts w:ascii="Verdana" w:hAnsi="Verdana" w:cs="Arial"/>
          <w:b/>
          <w:bCs/>
          <w:lang w:eastAsia="es-ES"/>
        </w:rPr>
        <w:t xml:space="preserve">SECOP </w:t>
      </w:r>
      <w:r w:rsidRPr="00E3533A">
        <w:rPr>
          <w:rFonts w:ascii="Verdana" w:hAnsi="Verdana" w:cs="Arial"/>
          <w:b/>
          <w:bCs/>
          <w:lang w:eastAsia="es-ES"/>
        </w:rPr>
        <w:t xml:space="preserve"> </w:t>
      </w:r>
    </w:p>
    <w:p w14:paraId="557D8437" w14:textId="77777777" w:rsidR="00C56DA9" w:rsidRPr="00E3533A" w:rsidRDefault="00C56DA9" w:rsidP="00C56DA9">
      <w:pPr>
        <w:spacing w:after="0"/>
        <w:jc w:val="both"/>
        <w:rPr>
          <w:rFonts w:ascii="Verdana" w:hAnsi="Verdana" w:cs="Arial"/>
          <w:bCs/>
          <w:lang w:eastAsia="es-ES"/>
        </w:rPr>
      </w:pPr>
    </w:p>
    <w:p w14:paraId="4B461E40" w14:textId="77777777" w:rsidR="00C56DA9" w:rsidRDefault="00C56DA9" w:rsidP="00C56DA9">
      <w:pPr>
        <w:spacing w:after="0" w:line="240" w:lineRule="auto"/>
        <w:jc w:val="both"/>
        <w:rPr>
          <w:rFonts w:ascii="Verdana" w:eastAsia="Calibri" w:hAnsi="Verdana" w:cs="Arial"/>
          <w:color w:val="000000" w:themeColor="text1"/>
          <w:sz w:val="20"/>
        </w:rPr>
      </w:pPr>
      <w:r w:rsidRPr="00317641">
        <w:rPr>
          <w:rFonts w:ascii="Verdana" w:eastAsia="Calibri" w:hAnsi="Verdana" w:cs="Arial"/>
          <w:color w:val="000000" w:themeColor="text1"/>
          <w:sz w:val="20"/>
        </w:rPr>
        <w:t>Uno de los postulados más importantes de un Estado social y democrático de derecho es el principio de publicidad,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pregonan la publicidad de las actuaciones de los poderes públicos.</w:t>
      </w:r>
    </w:p>
    <w:p w14:paraId="5C036925" w14:textId="77777777" w:rsidR="00C56DA9" w:rsidRDefault="00C56DA9" w:rsidP="00C56DA9">
      <w:pPr>
        <w:spacing w:after="0" w:line="240" w:lineRule="auto"/>
        <w:jc w:val="both"/>
        <w:rPr>
          <w:rFonts w:ascii="Verdana" w:eastAsia="Calibri" w:hAnsi="Verdana" w:cs="Arial"/>
          <w:color w:val="000000" w:themeColor="text1"/>
          <w:sz w:val="20"/>
        </w:rPr>
      </w:pPr>
    </w:p>
    <w:p w14:paraId="09E59FDD" w14:textId="77777777" w:rsidR="00C56DA9" w:rsidRDefault="00C56DA9" w:rsidP="00C56DA9">
      <w:pPr>
        <w:spacing w:after="0" w:line="240" w:lineRule="auto"/>
        <w:jc w:val="both"/>
        <w:rPr>
          <w:rFonts w:ascii="Verdana" w:eastAsia="Calibri" w:hAnsi="Verdana" w:cs="Arial"/>
          <w:color w:val="000000" w:themeColor="text1"/>
          <w:sz w:val="20"/>
        </w:rPr>
      </w:pPr>
      <w:r>
        <w:rPr>
          <w:rFonts w:ascii="Verdana" w:eastAsia="Calibri" w:hAnsi="Verdana" w:cs="Arial"/>
          <w:color w:val="000000" w:themeColor="text1"/>
          <w:sz w:val="20"/>
        </w:rPr>
        <w:t>[…]</w:t>
      </w:r>
    </w:p>
    <w:p w14:paraId="49329895" w14:textId="77777777" w:rsidR="00C56DA9" w:rsidRDefault="00C56DA9" w:rsidP="00C56DA9">
      <w:pPr>
        <w:spacing w:after="0" w:line="240" w:lineRule="auto"/>
        <w:jc w:val="both"/>
        <w:rPr>
          <w:rFonts w:ascii="Verdana" w:eastAsia="Calibri" w:hAnsi="Verdana" w:cs="Arial"/>
          <w:color w:val="000000" w:themeColor="text1"/>
          <w:sz w:val="20"/>
        </w:rPr>
      </w:pPr>
    </w:p>
    <w:p w14:paraId="351467EB" w14:textId="77777777" w:rsidR="00C56DA9" w:rsidRDefault="00C56DA9" w:rsidP="00C56DA9">
      <w:pPr>
        <w:spacing w:after="0" w:line="240" w:lineRule="auto"/>
        <w:jc w:val="both"/>
        <w:rPr>
          <w:rFonts w:ascii="Verdana" w:eastAsia="Calibri" w:hAnsi="Verdana" w:cs="Arial"/>
          <w:color w:val="000000" w:themeColor="text1"/>
          <w:sz w:val="20"/>
        </w:rPr>
      </w:pPr>
      <w:r w:rsidRPr="00317641">
        <w:rPr>
          <w:rFonts w:ascii="Verdana" w:eastAsia="Calibri" w:hAnsi="Verdana" w:cs="Arial"/>
          <w:color w:val="000000" w:themeColor="text1"/>
          <w:sz w:val="20"/>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6AE36967" w14:textId="77777777" w:rsidR="00C56DA9" w:rsidRPr="00E3533A" w:rsidRDefault="00C56DA9" w:rsidP="00C56DA9">
      <w:pPr>
        <w:spacing w:after="0" w:line="240" w:lineRule="auto"/>
        <w:jc w:val="both"/>
        <w:rPr>
          <w:rFonts w:ascii="Verdana" w:eastAsia="Calibri" w:hAnsi="Verdana" w:cs="Arial"/>
          <w:b/>
          <w:sz w:val="20"/>
        </w:rPr>
      </w:pPr>
    </w:p>
    <w:p w14:paraId="314F75C0" w14:textId="77777777" w:rsidR="00C56DA9" w:rsidRPr="007F69B2" w:rsidRDefault="00C56DA9" w:rsidP="00C56DA9">
      <w:pPr>
        <w:spacing w:after="0"/>
        <w:jc w:val="both"/>
        <w:rPr>
          <w:rFonts w:ascii="Verdana" w:hAnsi="Verdana" w:cs="Arial"/>
          <w:b/>
          <w:bCs/>
          <w:lang w:eastAsia="es-ES"/>
        </w:rPr>
      </w:pPr>
      <w:r w:rsidRPr="007F69B2">
        <w:rPr>
          <w:rFonts w:ascii="Verdana" w:hAnsi="Verdana" w:cs="Arial"/>
          <w:b/>
          <w:bCs/>
          <w:lang w:eastAsia="es-ES"/>
        </w:rPr>
        <w:t>SECOP I – Plataforma publicitaria – Actuaciones em la Gestión con</w:t>
      </w:r>
      <w:r>
        <w:rPr>
          <w:rFonts w:ascii="Verdana" w:hAnsi="Verdana" w:cs="Arial"/>
          <w:b/>
          <w:bCs/>
          <w:lang w:eastAsia="es-ES"/>
        </w:rPr>
        <w:t>tractual</w:t>
      </w:r>
    </w:p>
    <w:p w14:paraId="50651ECA" w14:textId="77777777" w:rsidR="00C56DA9" w:rsidRPr="007F69B2" w:rsidRDefault="00C56DA9" w:rsidP="00C56DA9">
      <w:pPr>
        <w:spacing w:after="0"/>
        <w:jc w:val="both"/>
        <w:rPr>
          <w:rFonts w:ascii="Verdana" w:hAnsi="Verdana" w:cs="Arial"/>
          <w:bCs/>
          <w:lang w:eastAsia="es-ES"/>
        </w:rPr>
      </w:pPr>
    </w:p>
    <w:p w14:paraId="525B15A1" w14:textId="77777777" w:rsidR="00C56DA9" w:rsidRDefault="00C56DA9" w:rsidP="00C56DA9">
      <w:pPr>
        <w:spacing w:after="0" w:line="240" w:lineRule="auto"/>
        <w:jc w:val="both"/>
        <w:rPr>
          <w:rFonts w:ascii="Verdana" w:hAnsi="Verdana" w:cs="Arial"/>
          <w:bCs/>
          <w:sz w:val="20"/>
          <w:lang w:eastAsia="es-ES"/>
        </w:rPr>
      </w:pPr>
      <w:r w:rsidRPr="00317641">
        <w:rPr>
          <w:rFonts w:ascii="Verdana" w:hAnsi="Verdana" w:cs="Arial"/>
          <w:bCs/>
          <w:sz w:val="20"/>
          <w:lang w:eastAsia="es-ES"/>
        </w:rPr>
        <w:t>Ahora bien, es importante advertir que, como se indicó, dada la naturaleza publicitaria del SECOP I, las actuaciones contractuales se elaboran y gestionan por fuera de la plataforma, mediante documentos físicos o digitales que posteriormente se publican en el sistema con el fin de dar cumplimiento a las obligaciones de transparencia y publicidad que recaen sobre las entidades estatales y resulta ser el instrumento a partir del cual se aplican las formalidades que se presentan en el marco de las etapas del proceso de contratación.</w:t>
      </w:r>
    </w:p>
    <w:p w14:paraId="0B59B10F" w14:textId="77777777" w:rsidR="00C56DA9" w:rsidRPr="00317641" w:rsidRDefault="00C56DA9" w:rsidP="00C56DA9">
      <w:pPr>
        <w:spacing w:after="0" w:line="240" w:lineRule="auto"/>
        <w:jc w:val="both"/>
        <w:rPr>
          <w:rFonts w:ascii="Verdana" w:hAnsi="Verdana" w:cs="Arial"/>
          <w:bCs/>
          <w:sz w:val="20"/>
          <w:lang w:eastAsia="es-ES"/>
        </w:rPr>
      </w:pPr>
    </w:p>
    <w:p w14:paraId="0AEA51B0" w14:textId="77777777" w:rsidR="00C56DA9" w:rsidRDefault="00C56DA9" w:rsidP="00C56DA9">
      <w:pPr>
        <w:spacing w:after="0" w:line="240" w:lineRule="auto"/>
        <w:jc w:val="both"/>
        <w:rPr>
          <w:rFonts w:ascii="Verdana" w:hAnsi="Verdana" w:cs="Arial"/>
          <w:bCs/>
          <w:sz w:val="20"/>
          <w:lang w:eastAsia="es-ES"/>
        </w:rPr>
      </w:pPr>
      <w:r w:rsidRPr="00317641">
        <w:rPr>
          <w:rFonts w:ascii="Verdana" w:hAnsi="Verdana" w:cs="Arial"/>
          <w:bCs/>
          <w:sz w:val="20"/>
          <w:lang w:eastAsia="es-ES"/>
        </w:rPr>
        <w:t xml:space="preserve">En esta línea, la implementación del SECOP I como plataforma publicitaria para la actividad contractual del Estado, exige el cargue de los diferentes documentos que contienen las modificaciones del contrato y su consecuente aprobación o rechazo, así como las demás actuaciones, como la aprobación de garantías, puesta en ejecución del contrato, terminación, liquidación y cierre del expediente. Es decir, mediante el SECOP I resulta posible evidenciar en qué estado se encuentra el contrato: convocado, celebrado, en ejecución y terminado/cerrado, entre otros. </w:t>
      </w:r>
    </w:p>
    <w:p w14:paraId="5A4C7A1E" w14:textId="77777777" w:rsidR="00C56DA9" w:rsidRPr="00317641" w:rsidRDefault="00C56DA9" w:rsidP="00C56DA9">
      <w:pPr>
        <w:spacing w:after="0" w:line="240" w:lineRule="auto"/>
        <w:jc w:val="both"/>
        <w:rPr>
          <w:rFonts w:ascii="Verdana" w:hAnsi="Verdana" w:cs="Arial"/>
          <w:bCs/>
          <w:sz w:val="20"/>
          <w:lang w:eastAsia="es-ES"/>
        </w:rPr>
      </w:pPr>
    </w:p>
    <w:p w14:paraId="42F5BF0B" w14:textId="77777777" w:rsidR="00C56DA9" w:rsidRPr="00E3533A" w:rsidRDefault="00C56DA9" w:rsidP="00C56DA9">
      <w:pPr>
        <w:spacing w:after="0" w:line="240" w:lineRule="auto"/>
        <w:jc w:val="both"/>
        <w:rPr>
          <w:rFonts w:ascii="Verdana" w:hAnsi="Verdana" w:cs="Arial"/>
          <w:bCs/>
          <w:sz w:val="20"/>
          <w:lang w:eastAsia="es-ES"/>
        </w:rPr>
      </w:pPr>
      <w:r w:rsidRPr="00317641">
        <w:rPr>
          <w:rFonts w:ascii="Verdana" w:hAnsi="Verdana" w:cs="Arial"/>
          <w:bCs/>
          <w:sz w:val="20"/>
          <w:lang w:eastAsia="es-ES"/>
        </w:rPr>
        <w:t xml:space="preserve">En ese contexto, y en atención al objeto de la presente consulta, se señala que después de la terminación del contrato estatal se presentan ciertas actuaciones que la entidad debe realizar por mandato legal, o que deben realizar las partes en virtud del acuerdo de voluntades. Por regla general, estas actuaciones están contenidas en documentos, </w:t>
      </w:r>
      <w:r w:rsidRPr="00317641">
        <w:rPr>
          <w:rFonts w:ascii="Verdana" w:hAnsi="Verdana" w:cs="Arial"/>
          <w:bCs/>
          <w:sz w:val="20"/>
          <w:lang w:eastAsia="es-ES"/>
        </w:rPr>
        <w:lastRenderedPageBreak/>
        <w:t>como, por ejemplo: i) el acta de recibo final o de satisfacción del contrato, ii) la liquidación, y iii) la constancia de cierre del expediente.</w:t>
      </w:r>
      <w:r w:rsidRPr="00E3533A">
        <w:rPr>
          <w:rFonts w:ascii="Verdana" w:hAnsi="Verdana" w:cs="Arial"/>
          <w:bCs/>
          <w:sz w:val="20"/>
          <w:lang w:eastAsia="es-ES"/>
        </w:rPr>
        <w:t xml:space="preserve"> </w:t>
      </w:r>
    </w:p>
    <w:p w14:paraId="68AEE348" w14:textId="77777777" w:rsidR="00C56DA9" w:rsidRPr="00E3533A" w:rsidRDefault="00C56DA9" w:rsidP="00C56DA9">
      <w:pPr>
        <w:spacing w:after="0"/>
        <w:jc w:val="both"/>
        <w:rPr>
          <w:rFonts w:ascii="Verdana" w:hAnsi="Verdana" w:cs="Arial"/>
          <w:bCs/>
          <w:lang w:eastAsia="es-ES"/>
        </w:rPr>
      </w:pPr>
    </w:p>
    <w:p w14:paraId="18523CA4" w14:textId="77777777" w:rsidR="00C56DA9" w:rsidRPr="00E3533A" w:rsidRDefault="00C56DA9" w:rsidP="00C56DA9">
      <w:pPr>
        <w:spacing w:after="0"/>
        <w:jc w:val="both"/>
        <w:rPr>
          <w:rFonts w:ascii="Verdana" w:hAnsi="Verdana" w:cs="Arial"/>
          <w:b/>
          <w:bCs/>
          <w:lang w:eastAsia="es-ES"/>
        </w:rPr>
      </w:pPr>
      <w:r>
        <w:rPr>
          <w:rFonts w:ascii="Verdana" w:hAnsi="Verdana" w:cs="Arial"/>
          <w:b/>
          <w:bCs/>
          <w:lang w:eastAsia="es-ES"/>
        </w:rPr>
        <w:t>CIERRE DEL EXPEDIENTE</w:t>
      </w:r>
      <w:r w:rsidRPr="00E3533A">
        <w:rPr>
          <w:rFonts w:ascii="Verdana" w:hAnsi="Verdana" w:cs="Arial"/>
          <w:b/>
          <w:bCs/>
          <w:lang w:eastAsia="es-ES"/>
        </w:rPr>
        <w:t xml:space="preserve"> – </w:t>
      </w:r>
      <w:r>
        <w:rPr>
          <w:rFonts w:ascii="Verdana" w:hAnsi="Verdana" w:cs="Arial"/>
          <w:b/>
          <w:bCs/>
          <w:lang w:eastAsia="es-ES"/>
        </w:rPr>
        <w:t xml:space="preserve">Actuación administrativa </w:t>
      </w:r>
      <w:r w:rsidRPr="00E3533A">
        <w:rPr>
          <w:rFonts w:ascii="Verdana" w:hAnsi="Verdana" w:cs="Arial"/>
          <w:b/>
          <w:bCs/>
          <w:lang w:eastAsia="es-ES"/>
        </w:rPr>
        <w:t xml:space="preserve">– </w:t>
      </w:r>
      <w:r>
        <w:rPr>
          <w:rFonts w:ascii="Verdana" w:hAnsi="Verdana" w:cs="Arial"/>
          <w:b/>
          <w:bCs/>
          <w:lang w:eastAsia="es-ES"/>
        </w:rPr>
        <w:t>Cumplimiento de obligaciones post-contractuales</w:t>
      </w:r>
      <w:r w:rsidRPr="00E3533A">
        <w:rPr>
          <w:rFonts w:ascii="Verdana" w:hAnsi="Verdana" w:cs="Arial"/>
          <w:b/>
          <w:bCs/>
          <w:lang w:eastAsia="es-ES"/>
        </w:rPr>
        <w:t xml:space="preserve"> </w:t>
      </w:r>
    </w:p>
    <w:p w14:paraId="25ED203E" w14:textId="77777777" w:rsidR="00C56DA9" w:rsidRPr="00E3533A" w:rsidRDefault="00C56DA9" w:rsidP="00C56DA9">
      <w:pPr>
        <w:spacing w:after="0"/>
        <w:jc w:val="both"/>
        <w:rPr>
          <w:rFonts w:ascii="Verdana" w:hAnsi="Verdana" w:cs="Arial"/>
          <w:bCs/>
          <w:lang w:eastAsia="es-ES"/>
        </w:rPr>
      </w:pPr>
    </w:p>
    <w:p w14:paraId="14FABB00" w14:textId="77777777" w:rsidR="00C56DA9" w:rsidRDefault="00C56DA9" w:rsidP="00C56DA9">
      <w:pPr>
        <w:spacing w:after="0" w:line="240" w:lineRule="auto"/>
        <w:jc w:val="both"/>
        <w:rPr>
          <w:rFonts w:ascii="Verdana" w:hAnsi="Verdana" w:cs="Arial"/>
          <w:bCs/>
          <w:sz w:val="20"/>
          <w:lang w:eastAsia="es-ES"/>
        </w:rPr>
      </w:pPr>
      <w:r w:rsidRPr="007F69B2">
        <w:rPr>
          <w:rFonts w:ascii="Verdana" w:hAnsi="Verdana" w:cs="Arial"/>
          <w:bCs/>
          <w:sz w:val="20"/>
          <w:lang w:eastAsia="es-ES"/>
        </w:rPr>
        <w:t xml:space="preserve">Teniendo en cuenta lo que implica la liquidación dentro de la etapa de la contratación estatal la Agencia reitera que corresponde a la Entidad Estatal realizar estas modificaciones en SECOP I, que implica cambiar el estado del contrato a “Cerrado” y si tiene disponibles los documentos relacionados con la terminación o con la liquidación, si aplica. Por su parte, el artículo 2.2.1.1.2.4.3 del Decreto 1082 de 2015 señala que el cierre del expediente es un acto de trámite que realiza la entidad estatal cuando han vencido, por un lado, las garantías de calidad, estabilidad y mantenimiento, o por el otro, cuando se establecieron condiciones de disposición final o recuperación ambiental de las obras o bienes. Se trata de una constancia administrativa que culmina las actuaciones contractuales. en el caso del cierre del expediente contractual, es importante tener presente que es un documento administrativo que busca cerrar el expediente contractual electrónico de un proceso de contratación. </w:t>
      </w:r>
    </w:p>
    <w:p w14:paraId="71E4A59F" w14:textId="77777777" w:rsidR="00C56DA9" w:rsidRPr="007F69B2" w:rsidRDefault="00C56DA9" w:rsidP="00C56DA9">
      <w:pPr>
        <w:spacing w:after="0" w:line="240" w:lineRule="auto"/>
        <w:jc w:val="both"/>
        <w:rPr>
          <w:rFonts w:ascii="Verdana" w:hAnsi="Verdana" w:cs="Arial"/>
          <w:bCs/>
          <w:sz w:val="20"/>
          <w:lang w:eastAsia="es-ES"/>
        </w:rPr>
      </w:pPr>
    </w:p>
    <w:p w14:paraId="6BB2AE8F" w14:textId="77777777" w:rsidR="00C56DA9" w:rsidRDefault="00C56DA9" w:rsidP="00C56DA9">
      <w:pPr>
        <w:spacing w:after="0" w:line="240" w:lineRule="auto"/>
        <w:jc w:val="both"/>
        <w:rPr>
          <w:rFonts w:ascii="Verdana" w:hAnsi="Verdana" w:cs="Arial"/>
          <w:bCs/>
          <w:sz w:val="20"/>
          <w:lang w:eastAsia="es-ES"/>
        </w:rPr>
      </w:pPr>
      <w:r w:rsidRPr="007F69B2">
        <w:rPr>
          <w:rFonts w:ascii="Verdana" w:hAnsi="Verdana" w:cs="Arial"/>
          <w:bCs/>
          <w:sz w:val="20"/>
          <w:lang w:eastAsia="es-ES"/>
        </w:rPr>
        <w:t xml:space="preserve">Para que proceda el cierre del expediente contractual en la plataforma SECOP I de los procesos es necesario que se hayan cumplido con las obligaciones post-contractuales y de los contratos cuyo plazo de ejecución haya finalizado y no requiera de liquidación o no se encuentren obligaciones post-contractuales pendientes, por lo que el cierre del proceso dependerá de la causal de terminación y de las disposiciones específicas del contrato. En esta línea, aun cuando la Circular Externa 05 del 1 de noviembre de 2024 hace expresa referencia al trámite de cierre del expediente en el SECOP II, lo expresado allí también aplicaría para los contratos surtidos en SECOP I, en la medida en que el cierre del contrato puede aplicar en los siguientes supuestos: a) Cerrar los expedientes electrónicos de los contratos que hayan cumplido con las obligaciones post-contractuales, a las que prescribe el artículo 2.2.1.1.2.4.3 del Decreto 1082 de 2015; b) Cerrar los expedientes electrónicos de los contratos cuyo plazo de ejecución y término para liquidar hayan finalizado, que no se hayan incluido garantías de calidad, estabilidad y mantenimiento, ni obligaciones post-contractuales; c) Cerrar el expediente electrónico de los contratos cuyo plazo de ejecución haya finalizado, que no requieran de liquidación o no se encuentren pendientes obligaciones post-contractuales pendientes por cumplir . Esto, sin perjuicio de otros supuestos que impliquen el cierre del contrato. </w:t>
      </w:r>
    </w:p>
    <w:p w14:paraId="40DF9012" w14:textId="77777777" w:rsidR="00C56DA9" w:rsidRPr="007F69B2" w:rsidRDefault="00C56DA9" w:rsidP="00C56DA9">
      <w:pPr>
        <w:spacing w:after="0" w:line="240" w:lineRule="auto"/>
        <w:jc w:val="both"/>
        <w:rPr>
          <w:rFonts w:ascii="Verdana" w:hAnsi="Verdana" w:cs="Arial"/>
          <w:bCs/>
          <w:sz w:val="20"/>
          <w:lang w:eastAsia="es-ES"/>
        </w:rPr>
      </w:pPr>
    </w:p>
    <w:p w14:paraId="5BA6E093" w14:textId="77777777" w:rsidR="00C56DA9" w:rsidRDefault="00C56DA9" w:rsidP="00C56DA9">
      <w:pPr>
        <w:spacing w:after="0" w:line="240" w:lineRule="auto"/>
        <w:jc w:val="both"/>
        <w:rPr>
          <w:rFonts w:ascii="Verdana" w:hAnsi="Verdana" w:cs="Arial"/>
          <w:bCs/>
          <w:sz w:val="20"/>
          <w:lang w:eastAsia="es-ES"/>
        </w:rPr>
      </w:pPr>
      <w:r w:rsidRPr="007F69B2">
        <w:rPr>
          <w:rFonts w:ascii="Verdana" w:hAnsi="Verdana" w:cs="Arial"/>
          <w:bCs/>
          <w:sz w:val="20"/>
          <w:lang w:eastAsia="es-ES"/>
        </w:rPr>
        <w:t xml:space="preserve">Una vez se cumplan todas las obligaciones post-contractuales, independientemente del tipo de contrato celebrado por las Entidades Estatales, las mismas proceden con el cierre del contrato en la plataforma. En el caso de que no se hayan cumplido todas las fechas asociadas al contrato, las Entidades como responsables de su actividad contractual y conforme al régimen jurídico de contratación que les resulta aplicable, les corresponde adoptar las decisiones y adelantar las actuaciones que estimen pertinentes para desarrollar y materializar dicha actividad. En ese sentido, si como resultado del análisis requieren aplicar el cierre del contrato, las Entidades deben efectuar una modificación </w:t>
      </w:r>
      <w:r w:rsidRPr="007F69B2">
        <w:rPr>
          <w:rFonts w:ascii="Verdana" w:hAnsi="Verdana" w:cs="Arial"/>
          <w:bCs/>
          <w:sz w:val="20"/>
          <w:lang w:eastAsia="es-ES"/>
        </w:rPr>
        <w:lastRenderedPageBreak/>
        <w:t xml:space="preserve">ajustando las fechas, y posteriormente, proceder con el cierre del expediente del contrato. </w:t>
      </w:r>
    </w:p>
    <w:p w14:paraId="2C023FAB" w14:textId="77777777" w:rsidR="00C56DA9" w:rsidRPr="007F69B2" w:rsidRDefault="00C56DA9" w:rsidP="00C56DA9">
      <w:pPr>
        <w:spacing w:after="0" w:line="240" w:lineRule="auto"/>
        <w:jc w:val="both"/>
        <w:rPr>
          <w:rFonts w:ascii="Verdana" w:hAnsi="Verdana" w:cs="Arial"/>
          <w:bCs/>
          <w:sz w:val="20"/>
          <w:lang w:eastAsia="es-ES"/>
        </w:rPr>
      </w:pPr>
    </w:p>
    <w:p w14:paraId="6D515BE9" w14:textId="77777777" w:rsidR="00C56DA9" w:rsidRPr="00E3533A" w:rsidRDefault="00C56DA9" w:rsidP="00C56DA9">
      <w:pPr>
        <w:spacing w:after="0" w:line="240" w:lineRule="auto"/>
        <w:jc w:val="both"/>
        <w:rPr>
          <w:rFonts w:ascii="Verdana" w:hAnsi="Verdana" w:cs="Arial"/>
          <w:bCs/>
          <w:sz w:val="20"/>
          <w:lang w:eastAsia="es-ES"/>
        </w:rPr>
      </w:pPr>
      <w:r w:rsidRPr="007F69B2">
        <w:rPr>
          <w:rFonts w:ascii="Verdana" w:hAnsi="Verdana" w:cs="Arial"/>
          <w:bCs/>
          <w:sz w:val="20"/>
          <w:lang w:eastAsia="es-ES"/>
        </w:rPr>
        <w:t>En conclusión, se puede afirmar que el cierre del expediente contractual constituye una actuación administrativa que se adelanta una vez finaliza la ejecución del contrato y se verifica el cumplimiento de las obligaciones y el vencimiento de las garantías. Dicho cierre implica, por parte de la entidad, dejar constancia expresa en el expediente físico o electrónico, y posteriormente registrar el cierre en el SECOP I, mediante la carga del documento correspondiente y la ejecución de las tareas necesarias para que el sistema refleje el estado del contrato como “cerrado”.</w:t>
      </w:r>
      <w:r w:rsidRPr="00E3533A">
        <w:rPr>
          <w:rFonts w:ascii="Verdana" w:hAnsi="Verdana" w:cs="Arial"/>
          <w:bCs/>
          <w:sz w:val="20"/>
          <w:lang w:eastAsia="es-ES"/>
        </w:rPr>
        <w:t xml:space="preserve"> </w:t>
      </w:r>
    </w:p>
    <w:p w14:paraId="653FDCD9" w14:textId="77777777" w:rsidR="00C56DA9" w:rsidRPr="00E3533A" w:rsidRDefault="00C56DA9" w:rsidP="00C56DA9">
      <w:pPr>
        <w:spacing w:after="0"/>
        <w:jc w:val="both"/>
        <w:rPr>
          <w:rFonts w:ascii="Verdana" w:hAnsi="Verdana" w:cs="Arial"/>
          <w:b/>
          <w:bCs/>
          <w:lang w:eastAsia="es-ES"/>
        </w:rPr>
      </w:pPr>
    </w:p>
    <w:p w14:paraId="5E085D8D" w14:textId="77777777" w:rsidR="00C56DA9" w:rsidRPr="00E3533A" w:rsidRDefault="00C56DA9" w:rsidP="00C56DA9">
      <w:pPr>
        <w:spacing w:after="0"/>
        <w:jc w:val="both"/>
        <w:rPr>
          <w:rFonts w:ascii="Verdana" w:hAnsi="Verdana" w:cs="Arial"/>
          <w:b/>
          <w:bCs/>
          <w:lang w:eastAsia="es-ES"/>
        </w:rPr>
      </w:pPr>
      <w:r>
        <w:rPr>
          <w:rFonts w:ascii="Verdana" w:hAnsi="Verdana" w:cs="Arial"/>
          <w:b/>
          <w:bCs/>
          <w:lang w:eastAsia="es-ES"/>
        </w:rPr>
        <w:t xml:space="preserve">COMPENTENCIA PARA CIERRE DE EXPEDIENTE </w:t>
      </w:r>
      <w:r w:rsidRPr="00E3533A">
        <w:rPr>
          <w:rFonts w:ascii="Verdana" w:hAnsi="Verdana" w:cs="Arial"/>
          <w:b/>
          <w:bCs/>
          <w:lang w:eastAsia="es-ES"/>
        </w:rPr>
        <w:t xml:space="preserve">– </w:t>
      </w:r>
      <w:r>
        <w:rPr>
          <w:rFonts w:ascii="Verdana" w:hAnsi="Verdana" w:cs="Arial"/>
          <w:b/>
          <w:bCs/>
          <w:lang w:eastAsia="es-ES"/>
        </w:rPr>
        <w:t>Manual de funciones de la entidad estatal</w:t>
      </w:r>
      <w:r w:rsidRPr="00E3533A">
        <w:rPr>
          <w:rFonts w:ascii="Verdana" w:hAnsi="Verdana" w:cs="Arial"/>
          <w:b/>
          <w:bCs/>
          <w:lang w:eastAsia="es-ES"/>
        </w:rPr>
        <w:t xml:space="preserve"> –</w:t>
      </w:r>
      <w:r>
        <w:rPr>
          <w:rFonts w:ascii="Verdana" w:hAnsi="Verdana" w:cs="Arial"/>
          <w:b/>
          <w:bCs/>
          <w:lang w:eastAsia="es-ES"/>
        </w:rPr>
        <w:t xml:space="preserve"> Manual de Contratación</w:t>
      </w:r>
    </w:p>
    <w:p w14:paraId="01F9D992" w14:textId="77777777" w:rsidR="00C56DA9" w:rsidRPr="00E3533A" w:rsidRDefault="00C56DA9" w:rsidP="00C56DA9">
      <w:pPr>
        <w:spacing w:after="0"/>
        <w:jc w:val="both"/>
        <w:rPr>
          <w:rFonts w:ascii="Verdana" w:hAnsi="Verdana" w:cs="Arial"/>
          <w:bCs/>
          <w:lang w:eastAsia="es-ES"/>
        </w:rPr>
      </w:pPr>
    </w:p>
    <w:p w14:paraId="691C665E" w14:textId="77777777" w:rsidR="00C56DA9" w:rsidRDefault="00C56DA9" w:rsidP="00C56DA9">
      <w:pPr>
        <w:spacing w:after="0" w:line="240" w:lineRule="auto"/>
        <w:jc w:val="both"/>
        <w:rPr>
          <w:rFonts w:ascii="Verdana" w:hAnsi="Verdana" w:cs="Arial"/>
          <w:bCs/>
          <w:sz w:val="20"/>
          <w:lang w:eastAsia="es-ES"/>
        </w:rPr>
      </w:pPr>
      <w:r w:rsidRPr="0005141A">
        <w:rPr>
          <w:rFonts w:ascii="Verdana" w:hAnsi="Verdana" w:cs="Arial"/>
          <w:bCs/>
          <w:sz w:val="20"/>
          <w:lang w:eastAsia="es-ES"/>
        </w:rPr>
        <w:t>Ahora bien, respecto de la competencia para adelantar el cierre del expediente contractual, esta se determina conforme a la distribución de funciones establecida en el manual de contratación y en los actos administrativos de delegación o asignación de funciones de la entidad. En principio, la responsabilidad recae en el representante legal de la entidad o en quien haya sido delegado o encargado de la gestión contractual, como el coordinador de contratación, el supervisor del contrato o el funcionario que ejerza esas funciones dentro de la estructura organizacional vigente.</w:t>
      </w:r>
    </w:p>
    <w:p w14:paraId="01900410" w14:textId="77777777" w:rsidR="00C56DA9" w:rsidRPr="0005141A" w:rsidRDefault="00C56DA9" w:rsidP="00C56DA9">
      <w:pPr>
        <w:spacing w:after="0" w:line="240" w:lineRule="auto"/>
        <w:jc w:val="both"/>
        <w:rPr>
          <w:rFonts w:ascii="Verdana" w:hAnsi="Verdana" w:cs="Arial"/>
          <w:bCs/>
          <w:sz w:val="20"/>
          <w:lang w:eastAsia="es-ES"/>
        </w:rPr>
      </w:pPr>
    </w:p>
    <w:p w14:paraId="0CF8911D" w14:textId="77777777" w:rsidR="00C56DA9" w:rsidRPr="00E3533A" w:rsidRDefault="00C56DA9" w:rsidP="00C56DA9">
      <w:pPr>
        <w:spacing w:after="0" w:line="240" w:lineRule="auto"/>
        <w:jc w:val="both"/>
        <w:rPr>
          <w:rFonts w:ascii="Verdana" w:hAnsi="Verdana" w:cs="Arial"/>
          <w:bCs/>
          <w:sz w:val="20"/>
          <w:lang w:eastAsia="es-ES"/>
        </w:rPr>
      </w:pPr>
      <w:r w:rsidRPr="0005141A">
        <w:rPr>
          <w:rFonts w:ascii="Verdana" w:hAnsi="Verdana" w:cs="Arial"/>
          <w:bCs/>
          <w:sz w:val="20"/>
          <w:lang w:eastAsia="es-ES"/>
        </w:rPr>
        <w:t>En consecuencia, el hecho de que los contratos correspondan a vigencias anteriores o a una administración distinta no impide su cierre, en tanto dicha actuación no depende de la persona que ejercía la representación legal en el momento de su celebración, sino de quien actualmente tenga la competencia funcional para adelantar la gestión contractual. Así, la ordenadora del gasto y/o representante legal de la entidad estatal podrá efectuar el cierre de los contratos en SECOP I, siempre que dicha función se encuentre dentro de sus atribuciones o haya sido delegada expresamente, en atención a que el cierre del expediente es una obligación institucional y necesaria para garantizar la correcta finalización y archivo de los contratos estatales.</w:t>
      </w:r>
    </w:p>
    <w:p w14:paraId="36E3BAF6" w14:textId="77777777" w:rsidR="00C56DA9" w:rsidRPr="00E3533A" w:rsidRDefault="00C56DA9" w:rsidP="00C56DA9">
      <w:pPr>
        <w:spacing w:after="0"/>
        <w:jc w:val="both"/>
        <w:rPr>
          <w:rFonts w:ascii="Verdana" w:hAnsi="Verdana" w:cs="Arial"/>
          <w:bCs/>
          <w:lang w:eastAsia="es-ES"/>
        </w:rPr>
      </w:pPr>
    </w:p>
    <w:p w14:paraId="598841E6" w14:textId="77777777" w:rsidR="00C56DA9" w:rsidRPr="00E3533A" w:rsidRDefault="00C56DA9" w:rsidP="00C56DA9">
      <w:pPr>
        <w:spacing w:after="0"/>
        <w:rPr>
          <w:rFonts w:ascii="Verdana" w:hAnsi="Verdana"/>
        </w:rPr>
      </w:pPr>
    </w:p>
    <w:p w14:paraId="5B55047F" w14:textId="77777777" w:rsidR="00C56DA9" w:rsidRPr="00E3533A" w:rsidRDefault="00C56DA9" w:rsidP="00C56DA9">
      <w:pPr>
        <w:spacing w:after="0"/>
        <w:rPr>
          <w:rFonts w:ascii="Verdana" w:hAnsi="Verdana"/>
        </w:rPr>
      </w:pPr>
    </w:p>
    <w:p w14:paraId="679A6436" w14:textId="77777777" w:rsidR="00C56DA9" w:rsidRPr="00E3533A" w:rsidRDefault="00C56DA9" w:rsidP="00C56DA9">
      <w:pPr>
        <w:spacing w:after="0"/>
        <w:rPr>
          <w:rFonts w:ascii="Verdana" w:hAnsi="Verdana"/>
        </w:rPr>
      </w:pPr>
    </w:p>
    <w:p w14:paraId="290350EC" w14:textId="77777777" w:rsidR="00C56DA9" w:rsidRPr="00E3533A" w:rsidRDefault="00C56DA9" w:rsidP="00C56DA9">
      <w:pPr>
        <w:spacing w:after="0"/>
        <w:rPr>
          <w:rFonts w:ascii="Verdana" w:hAnsi="Verdana"/>
        </w:rPr>
      </w:pPr>
    </w:p>
    <w:p w14:paraId="7F443763" w14:textId="77777777" w:rsidR="00C56DA9" w:rsidRPr="00E3533A" w:rsidRDefault="00C56DA9" w:rsidP="00C56DA9">
      <w:pPr>
        <w:spacing w:after="0"/>
        <w:rPr>
          <w:rFonts w:ascii="Verdana" w:hAnsi="Verdana"/>
        </w:rPr>
      </w:pPr>
    </w:p>
    <w:p w14:paraId="770DC001" w14:textId="77777777" w:rsidR="00C56DA9" w:rsidRPr="00E3533A" w:rsidRDefault="00C56DA9" w:rsidP="00C56DA9">
      <w:pPr>
        <w:spacing w:after="0"/>
        <w:rPr>
          <w:rFonts w:ascii="Verdana" w:hAnsi="Verdana"/>
        </w:rPr>
      </w:pPr>
    </w:p>
    <w:p w14:paraId="658BEE0E" w14:textId="77777777" w:rsidR="00C56DA9" w:rsidRPr="00E3533A" w:rsidRDefault="00C56DA9" w:rsidP="00C56DA9">
      <w:pPr>
        <w:spacing w:after="0"/>
        <w:rPr>
          <w:rFonts w:ascii="Verdana" w:hAnsi="Verdana"/>
        </w:rPr>
      </w:pPr>
    </w:p>
    <w:p w14:paraId="44388D7D" w14:textId="77777777" w:rsidR="00C56DA9" w:rsidRPr="00E3533A" w:rsidRDefault="00C56DA9" w:rsidP="00C56DA9">
      <w:pPr>
        <w:spacing w:after="0"/>
        <w:rPr>
          <w:rFonts w:ascii="Verdana" w:hAnsi="Verdana"/>
        </w:rPr>
      </w:pPr>
    </w:p>
    <w:p w14:paraId="4898DEA9" w14:textId="77777777" w:rsidR="00C56DA9" w:rsidRPr="00E3533A" w:rsidRDefault="00C56DA9" w:rsidP="00C56DA9">
      <w:pPr>
        <w:spacing w:after="0"/>
        <w:rPr>
          <w:rFonts w:ascii="Verdana" w:hAnsi="Verdana"/>
        </w:rPr>
      </w:pPr>
    </w:p>
    <w:p w14:paraId="2BA2C29A" w14:textId="77777777" w:rsidR="00C56DA9" w:rsidRPr="00E3533A" w:rsidRDefault="00C56DA9" w:rsidP="00C56DA9">
      <w:pPr>
        <w:spacing w:after="0"/>
        <w:rPr>
          <w:rFonts w:ascii="Verdana" w:hAnsi="Verdana"/>
        </w:rPr>
      </w:pPr>
    </w:p>
    <w:p w14:paraId="1E10532E" w14:textId="77777777" w:rsidR="00C56DA9" w:rsidRPr="00E3533A" w:rsidRDefault="00C56DA9" w:rsidP="00C56DA9">
      <w:pPr>
        <w:spacing w:after="0"/>
        <w:rPr>
          <w:rFonts w:ascii="Verdana" w:hAnsi="Verdana"/>
        </w:rPr>
      </w:pPr>
    </w:p>
    <w:p w14:paraId="7353DF41" w14:textId="77777777" w:rsidR="00C56DA9" w:rsidRPr="00E3533A" w:rsidRDefault="00C56DA9" w:rsidP="00C56DA9">
      <w:pPr>
        <w:spacing w:after="0"/>
        <w:rPr>
          <w:rFonts w:ascii="Verdana" w:hAnsi="Verdana"/>
        </w:rPr>
      </w:pPr>
    </w:p>
    <w:p w14:paraId="73A8AEC1" w14:textId="3AF60EF5" w:rsidR="00C56DA9" w:rsidRPr="00D419FF" w:rsidRDefault="00C56DA9" w:rsidP="00C56DA9">
      <w:pPr>
        <w:spacing w:after="0"/>
        <w:rPr>
          <w:rFonts w:ascii="Verdana" w:hAnsi="Verdana"/>
        </w:rPr>
      </w:pPr>
      <w:r w:rsidRPr="00D419FF">
        <w:rPr>
          <w:rFonts w:ascii="Verdana" w:hAnsi="Verdana"/>
        </w:rPr>
        <w:lastRenderedPageBreak/>
        <w:t xml:space="preserve">Bogotá D.C., </w:t>
      </w:r>
      <w:r w:rsidR="00D419FF" w:rsidRPr="00D419FF">
        <w:rPr>
          <w:rFonts w:ascii="Verdana" w:hAnsi="Verdana"/>
        </w:rPr>
        <w:t>16 de oct</w:t>
      </w:r>
      <w:r w:rsidR="00D419FF">
        <w:rPr>
          <w:rFonts w:ascii="Verdana" w:hAnsi="Verdana"/>
        </w:rPr>
        <w:t>ubre de 2025</w:t>
      </w:r>
      <w:r w:rsidRPr="00D419FF">
        <w:rPr>
          <w:rFonts w:ascii="Verdana" w:hAnsi="Verdana"/>
        </w:rPr>
        <w:tab/>
      </w:r>
    </w:p>
    <w:p w14:paraId="335E10D4" w14:textId="77777777" w:rsidR="00D419FF" w:rsidRPr="00D419FF" w:rsidRDefault="00D419FF" w:rsidP="00C56DA9">
      <w:pPr>
        <w:spacing w:after="0"/>
        <w:rPr>
          <w:rFonts w:ascii="Verdana" w:hAnsi="Verdana"/>
        </w:rPr>
      </w:pPr>
    </w:p>
    <w:p w14:paraId="294522EB" w14:textId="0F34F6C6" w:rsidR="00C56DA9" w:rsidRPr="00E3533A" w:rsidRDefault="00D419FF" w:rsidP="00D419FF">
      <w:pPr>
        <w:spacing w:after="0"/>
        <w:jc w:val="right"/>
        <w:rPr>
          <w:rFonts w:ascii="Verdana" w:hAnsi="Verdana"/>
        </w:rPr>
      </w:pPr>
      <w:r w:rsidRPr="00D419FF">
        <w:rPr>
          <w:rFonts w:ascii="Verdana" w:hAnsi="Verdana"/>
          <w:noProof/>
        </w:rPr>
        <w:drawing>
          <wp:inline distT="0" distB="0" distL="0" distR="0" wp14:anchorId="7DEBB011" wp14:editId="31ECB4FA">
            <wp:extent cx="3495947" cy="910576"/>
            <wp:effectExtent l="0" t="0" r="0" b="4445"/>
            <wp:docPr id="685847173"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847173" name="Imagen 1" descr="Interfaz de usuario gráfica, Texto, Aplicación&#10;&#10;El contenido generado por IA puede ser incorrecto."/>
                    <pic:cNvPicPr/>
                  </pic:nvPicPr>
                  <pic:blipFill>
                    <a:blip r:embed="rId10"/>
                    <a:stretch>
                      <a:fillRect/>
                    </a:stretch>
                  </pic:blipFill>
                  <pic:spPr>
                    <a:xfrm>
                      <a:off x="0" y="0"/>
                      <a:ext cx="3512513" cy="914891"/>
                    </a:xfrm>
                    <a:prstGeom prst="rect">
                      <a:avLst/>
                    </a:prstGeom>
                  </pic:spPr>
                </pic:pic>
              </a:graphicData>
            </a:graphic>
          </wp:inline>
        </w:drawing>
      </w:r>
    </w:p>
    <w:p w14:paraId="5C594E23" w14:textId="77777777" w:rsidR="00C56DA9" w:rsidRPr="00E3533A" w:rsidRDefault="00C56DA9" w:rsidP="00C56DA9">
      <w:pPr>
        <w:spacing w:after="0"/>
        <w:rPr>
          <w:rFonts w:ascii="Verdana" w:hAnsi="Verdana"/>
        </w:rPr>
      </w:pPr>
    </w:p>
    <w:p w14:paraId="69177A77" w14:textId="328EA78B" w:rsidR="00C56DA9" w:rsidRPr="00E3533A" w:rsidRDefault="00C56DA9" w:rsidP="00C56DA9">
      <w:pPr>
        <w:spacing w:after="0" w:line="240" w:lineRule="auto"/>
        <w:rPr>
          <w:rFonts w:ascii="Verdana" w:eastAsia="Calibri" w:hAnsi="Verdana" w:cs="Times New Roman"/>
        </w:rPr>
      </w:pPr>
      <w:r w:rsidRPr="00E3533A">
        <w:rPr>
          <w:rFonts w:ascii="Verdana" w:eastAsia="Calibri" w:hAnsi="Verdana" w:cs="Times New Roman"/>
        </w:rPr>
        <w:t>Señora</w:t>
      </w:r>
      <w:r w:rsidR="009B1E97">
        <w:rPr>
          <w:rFonts w:ascii="Verdana" w:eastAsia="Calibri" w:hAnsi="Verdana" w:cs="Times New Roman"/>
        </w:rPr>
        <w:t xml:space="preserve"> </w:t>
      </w:r>
    </w:p>
    <w:p w14:paraId="44C21AB2" w14:textId="77777777" w:rsidR="00C56DA9" w:rsidRPr="00E3533A" w:rsidRDefault="00C56DA9" w:rsidP="00C56DA9">
      <w:pPr>
        <w:spacing w:after="0" w:line="240" w:lineRule="auto"/>
        <w:rPr>
          <w:rFonts w:ascii="Verdana" w:eastAsia="Calibri" w:hAnsi="Verdana" w:cs="Times New Roman"/>
          <w:b/>
        </w:rPr>
      </w:pPr>
      <w:r w:rsidRPr="00E3533A">
        <w:rPr>
          <w:rFonts w:ascii="Verdana" w:eastAsia="Calibri" w:hAnsi="Verdana" w:cs="Times New Roman"/>
          <w:b/>
        </w:rPr>
        <w:t>Sandra María Quiñónez Cabezas</w:t>
      </w:r>
    </w:p>
    <w:p w14:paraId="6586F4FB" w14:textId="77777777" w:rsidR="00C56DA9" w:rsidRDefault="00C56DA9" w:rsidP="00C56DA9">
      <w:pPr>
        <w:spacing w:after="0" w:line="240" w:lineRule="auto"/>
        <w:rPr>
          <w:rFonts w:ascii="Verdana" w:eastAsia="Calibri" w:hAnsi="Verdana" w:cs="Times New Roman"/>
        </w:rPr>
      </w:pPr>
      <w:hyperlink r:id="rId11" w:history="1">
        <w:r w:rsidRPr="003642CB">
          <w:rPr>
            <w:rStyle w:val="Hipervnculo"/>
            <w:rFonts w:ascii="Verdana" w:eastAsia="Calibri" w:hAnsi="Verdana" w:cs="Times New Roman"/>
          </w:rPr>
          <w:t>contadora_smqc@outlook.com</w:t>
        </w:r>
      </w:hyperlink>
    </w:p>
    <w:p w14:paraId="0571249E" w14:textId="77777777" w:rsidR="00C56DA9" w:rsidRPr="00E3533A" w:rsidRDefault="00C56DA9" w:rsidP="00C56DA9">
      <w:pPr>
        <w:spacing w:after="0" w:line="240" w:lineRule="auto"/>
        <w:rPr>
          <w:rFonts w:ascii="Verdana" w:eastAsia="Calibri" w:hAnsi="Verdana" w:cs="Times New Roman"/>
        </w:rPr>
      </w:pPr>
      <w:r>
        <w:rPr>
          <w:rFonts w:ascii="Verdana" w:eastAsia="Calibri" w:hAnsi="Verdana" w:cs="Times New Roman"/>
        </w:rPr>
        <w:t xml:space="preserve">Valle del Cauca, Tuluá </w:t>
      </w:r>
    </w:p>
    <w:p w14:paraId="6096764C" w14:textId="77777777" w:rsidR="00C56DA9" w:rsidRPr="00E3533A" w:rsidRDefault="00C56DA9" w:rsidP="00C56DA9">
      <w:pPr>
        <w:spacing w:after="0" w:line="256" w:lineRule="auto"/>
        <w:rPr>
          <w:rFonts w:ascii="Verdana" w:eastAsia="Calibri" w:hAnsi="Verdana" w:cs="Times New Roman"/>
        </w:rPr>
      </w:pPr>
    </w:p>
    <w:p w14:paraId="07452498" w14:textId="77777777" w:rsidR="00C56DA9" w:rsidRPr="00E3533A" w:rsidRDefault="00C56DA9" w:rsidP="00C56DA9">
      <w:pPr>
        <w:spacing w:after="0" w:line="256" w:lineRule="auto"/>
        <w:rPr>
          <w:rFonts w:ascii="Verdana" w:eastAsia="Calibri" w:hAnsi="Verdana" w:cs="Times New Roman"/>
        </w:rPr>
      </w:pPr>
    </w:p>
    <w:p w14:paraId="02998CAD" w14:textId="77777777" w:rsidR="00C56DA9" w:rsidRPr="00E3533A" w:rsidRDefault="00C56DA9" w:rsidP="00C56DA9">
      <w:pPr>
        <w:spacing w:after="0" w:line="256" w:lineRule="auto"/>
        <w:rPr>
          <w:rFonts w:ascii="Verdana" w:eastAsia="Calibri" w:hAnsi="Verdana" w:cs="Times New Roman"/>
          <w:b/>
          <w:bCs/>
        </w:rPr>
      </w:pPr>
      <w:r w:rsidRPr="00E3533A">
        <w:rPr>
          <w:rFonts w:ascii="Verdana" w:eastAsia="Calibri" w:hAnsi="Verdana" w:cs="Times New Roman"/>
          <w:b/>
          <w:bCs/>
        </w:rPr>
        <w:t xml:space="preserve">                                    Concepto C–</w:t>
      </w:r>
      <w:r>
        <w:rPr>
          <w:rFonts w:ascii="Verdana" w:eastAsia="Calibri" w:hAnsi="Verdana" w:cs="Times New Roman"/>
          <w:b/>
          <w:bCs/>
        </w:rPr>
        <w:t>1276</w:t>
      </w:r>
      <w:r w:rsidRPr="00E3533A">
        <w:rPr>
          <w:rFonts w:ascii="Verdana" w:eastAsia="Calibri" w:hAnsi="Verdana" w:cs="Times New Roman"/>
          <w:b/>
          <w:bCs/>
        </w:rPr>
        <w:t xml:space="preserve"> de 2025</w:t>
      </w:r>
    </w:p>
    <w:p w14:paraId="57B677D4" w14:textId="77777777" w:rsidR="00C56DA9" w:rsidRPr="00E3533A" w:rsidRDefault="00C56DA9" w:rsidP="00C56DA9">
      <w:pPr>
        <w:spacing w:after="0" w:line="256" w:lineRule="auto"/>
        <w:rPr>
          <w:rFonts w:ascii="Verdana" w:eastAsia="Calibri" w:hAnsi="Verdana" w:cs="Times New Roman"/>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C56DA9" w:rsidRPr="00E3533A" w14:paraId="54F3B5D4" w14:textId="77777777" w:rsidTr="009E10DA">
        <w:trPr>
          <w:trHeight w:val="645"/>
        </w:trPr>
        <w:tc>
          <w:tcPr>
            <w:tcW w:w="2685" w:type="dxa"/>
            <w:hideMark/>
          </w:tcPr>
          <w:p w14:paraId="0E1FD597" w14:textId="77777777" w:rsidR="00C56DA9" w:rsidRPr="00E3533A" w:rsidRDefault="00C56DA9" w:rsidP="009E10DA">
            <w:pPr>
              <w:spacing w:line="256" w:lineRule="auto"/>
              <w:rPr>
                <w:rFonts w:ascii="Verdana" w:hAnsi="Verdana"/>
                <w:b/>
                <w:bCs/>
              </w:rPr>
            </w:pPr>
            <w:r w:rsidRPr="00E3533A">
              <w:rPr>
                <w:rFonts w:ascii="Verdana" w:hAnsi="Verdana"/>
                <w:b/>
                <w:bCs/>
              </w:rPr>
              <w:t xml:space="preserve">Temas:                   </w:t>
            </w:r>
          </w:p>
        </w:tc>
        <w:tc>
          <w:tcPr>
            <w:tcW w:w="6241" w:type="dxa"/>
            <w:hideMark/>
          </w:tcPr>
          <w:p w14:paraId="7651B69A" w14:textId="60E1AF01" w:rsidR="00C56DA9" w:rsidRPr="00E3533A" w:rsidRDefault="00C56DA9" w:rsidP="009E10DA">
            <w:pPr>
              <w:spacing w:line="276" w:lineRule="auto"/>
              <w:jc w:val="both"/>
              <w:rPr>
                <w:rFonts w:ascii="Verdana" w:hAnsi="Verdana" w:cs="Arial"/>
                <w:lang w:eastAsia="es-ES"/>
              </w:rPr>
            </w:pPr>
            <w:r w:rsidRPr="0029477E">
              <w:rPr>
                <w:rFonts w:ascii="Verdana" w:hAnsi="Verdana" w:cs="Arial"/>
                <w:bCs/>
                <w:lang w:eastAsia="es-ES"/>
              </w:rPr>
              <w:t xml:space="preserve">PRINCIPIO DE PUBLICIDAD – SECOP </w:t>
            </w:r>
            <w:r>
              <w:rPr>
                <w:rFonts w:ascii="Verdana" w:hAnsi="Verdana" w:cs="Arial"/>
                <w:bCs/>
                <w:lang w:eastAsia="es-ES"/>
              </w:rPr>
              <w:t xml:space="preserve">/ </w:t>
            </w:r>
            <w:r w:rsidRPr="0029477E">
              <w:rPr>
                <w:rFonts w:ascii="Verdana" w:hAnsi="Verdana" w:cs="Arial"/>
                <w:bCs/>
                <w:lang w:eastAsia="es-ES"/>
              </w:rPr>
              <w:t>SECOP I – Plataforma publicitaria – Actuaciones e</w:t>
            </w:r>
            <w:r w:rsidR="009B1E97">
              <w:rPr>
                <w:rFonts w:ascii="Verdana" w:hAnsi="Verdana" w:cs="Arial"/>
                <w:bCs/>
                <w:lang w:eastAsia="es-ES"/>
              </w:rPr>
              <w:t>n</w:t>
            </w:r>
            <w:r w:rsidRPr="0029477E">
              <w:rPr>
                <w:rFonts w:ascii="Verdana" w:hAnsi="Verdana" w:cs="Arial"/>
                <w:bCs/>
                <w:lang w:eastAsia="es-ES"/>
              </w:rPr>
              <w:t xml:space="preserve"> la Gestión contractual</w:t>
            </w:r>
            <w:r>
              <w:rPr>
                <w:rFonts w:ascii="Verdana" w:hAnsi="Verdana" w:cs="Arial"/>
                <w:bCs/>
                <w:lang w:eastAsia="es-ES"/>
              </w:rPr>
              <w:t xml:space="preserve"> / </w:t>
            </w:r>
            <w:r w:rsidRPr="0029477E">
              <w:rPr>
                <w:rFonts w:ascii="Verdana" w:hAnsi="Verdana" w:cs="Arial"/>
                <w:bCs/>
                <w:lang w:eastAsia="es-ES"/>
              </w:rPr>
              <w:t>CIERRE DEL EXPEDIENTE – Actuación administrativa – Cumplimiento de obligaciones post-contractuales</w:t>
            </w:r>
            <w:r>
              <w:rPr>
                <w:rFonts w:ascii="Verdana" w:hAnsi="Verdana" w:cs="Arial"/>
                <w:bCs/>
                <w:lang w:eastAsia="es-ES"/>
              </w:rPr>
              <w:t xml:space="preserve"> / </w:t>
            </w:r>
            <w:r w:rsidRPr="0029477E">
              <w:rPr>
                <w:rFonts w:ascii="Verdana" w:hAnsi="Verdana" w:cs="Arial"/>
                <w:bCs/>
                <w:lang w:eastAsia="es-ES"/>
              </w:rPr>
              <w:t>COMPENTENCIA PARA CIERRE DE EXPEDIENTE – Manual de funciones de la entidad estatal – Manual de Contratación</w:t>
            </w:r>
          </w:p>
        </w:tc>
        <w:tc>
          <w:tcPr>
            <w:tcW w:w="6237" w:type="dxa"/>
          </w:tcPr>
          <w:p w14:paraId="37D72D5A" w14:textId="77777777" w:rsidR="00C56DA9" w:rsidRPr="00E3533A" w:rsidRDefault="00C56DA9" w:rsidP="009E10DA">
            <w:pPr>
              <w:spacing w:line="256" w:lineRule="auto"/>
              <w:rPr>
                <w:rFonts w:ascii="Verdana" w:hAnsi="Verdana"/>
              </w:rPr>
            </w:pPr>
          </w:p>
        </w:tc>
      </w:tr>
      <w:tr w:rsidR="00C56DA9" w:rsidRPr="00E3533A" w14:paraId="1384289B" w14:textId="77777777" w:rsidTr="009E10DA">
        <w:tc>
          <w:tcPr>
            <w:tcW w:w="2685" w:type="dxa"/>
          </w:tcPr>
          <w:p w14:paraId="24936194" w14:textId="77777777" w:rsidR="00C56DA9" w:rsidRPr="00E3533A" w:rsidRDefault="00C56DA9" w:rsidP="009E10DA">
            <w:pPr>
              <w:spacing w:line="256" w:lineRule="auto"/>
              <w:rPr>
                <w:rFonts w:ascii="Verdana" w:hAnsi="Verdana"/>
              </w:rPr>
            </w:pPr>
          </w:p>
          <w:p w14:paraId="45134342" w14:textId="77777777" w:rsidR="00C56DA9" w:rsidRPr="00E3533A" w:rsidRDefault="00C56DA9" w:rsidP="009E10DA">
            <w:pPr>
              <w:spacing w:line="256" w:lineRule="auto"/>
              <w:rPr>
                <w:rFonts w:ascii="Verdana" w:hAnsi="Verdana"/>
                <w:b/>
                <w:bCs/>
              </w:rPr>
            </w:pPr>
            <w:r w:rsidRPr="00E3533A">
              <w:rPr>
                <w:rFonts w:ascii="Verdana" w:hAnsi="Verdana"/>
                <w:b/>
                <w:bCs/>
              </w:rPr>
              <w:t xml:space="preserve">Radicación:               </w:t>
            </w:r>
          </w:p>
        </w:tc>
        <w:tc>
          <w:tcPr>
            <w:tcW w:w="6241" w:type="dxa"/>
          </w:tcPr>
          <w:p w14:paraId="0F080250" w14:textId="77777777" w:rsidR="00C56DA9" w:rsidRPr="00E3533A" w:rsidRDefault="00C56DA9" w:rsidP="009E10DA">
            <w:pPr>
              <w:spacing w:line="257" w:lineRule="auto"/>
              <w:rPr>
                <w:rFonts w:ascii="Verdana" w:hAnsi="Verdana"/>
              </w:rPr>
            </w:pPr>
          </w:p>
          <w:p w14:paraId="414D678B" w14:textId="77777777" w:rsidR="00C56DA9" w:rsidRPr="00E3533A" w:rsidRDefault="00C56DA9" w:rsidP="009E10DA">
            <w:pPr>
              <w:spacing w:line="257" w:lineRule="auto"/>
              <w:jc w:val="both"/>
              <w:rPr>
                <w:rFonts w:ascii="Verdana" w:hAnsi="Verdana"/>
              </w:rPr>
            </w:pPr>
            <w:r w:rsidRPr="00E3533A">
              <w:rPr>
                <w:rFonts w:ascii="Verdana" w:hAnsi="Verdana"/>
              </w:rPr>
              <w:t xml:space="preserve">Respuesta a consulta con radicado No. </w:t>
            </w:r>
            <w:r w:rsidRPr="00CC7148">
              <w:rPr>
                <w:rFonts w:ascii="Verdana" w:hAnsi="Verdana"/>
              </w:rPr>
              <w:t>1_2025_09_05_009655</w:t>
            </w:r>
          </w:p>
          <w:p w14:paraId="518A06FA" w14:textId="77777777" w:rsidR="00C56DA9" w:rsidRPr="00E3533A" w:rsidRDefault="00C56DA9" w:rsidP="009E10DA">
            <w:pPr>
              <w:spacing w:line="257" w:lineRule="auto"/>
              <w:jc w:val="both"/>
              <w:rPr>
                <w:rFonts w:ascii="Verdana" w:hAnsi="Verdana"/>
              </w:rPr>
            </w:pPr>
          </w:p>
          <w:p w14:paraId="373A899A" w14:textId="77777777" w:rsidR="00C56DA9" w:rsidRPr="00E3533A" w:rsidRDefault="00C56DA9" w:rsidP="009E10DA">
            <w:pPr>
              <w:spacing w:line="257" w:lineRule="auto"/>
              <w:jc w:val="both"/>
              <w:rPr>
                <w:rFonts w:ascii="Verdana" w:hAnsi="Verdana"/>
              </w:rPr>
            </w:pPr>
          </w:p>
        </w:tc>
        <w:tc>
          <w:tcPr>
            <w:tcW w:w="6237" w:type="dxa"/>
          </w:tcPr>
          <w:p w14:paraId="5BBD982F" w14:textId="77777777" w:rsidR="00C56DA9" w:rsidRPr="00E3533A" w:rsidRDefault="00C56DA9" w:rsidP="009E10DA">
            <w:pPr>
              <w:spacing w:line="256" w:lineRule="auto"/>
              <w:rPr>
                <w:rFonts w:ascii="Verdana" w:hAnsi="Verdana"/>
              </w:rPr>
            </w:pPr>
          </w:p>
        </w:tc>
      </w:tr>
    </w:tbl>
    <w:p w14:paraId="50167A81" w14:textId="77777777" w:rsidR="00C56DA9" w:rsidRPr="00E3533A" w:rsidRDefault="00C56DA9" w:rsidP="00C56DA9">
      <w:pPr>
        <w:spacing w:after="0" w:line="256" w:lineRule="auto"/>
        <w:rPr>
          <w:rFonts w:ascii="Verdana" w:eastAsia="Calibri" w:hAnsi="Verdana" w:cs="Times New Roman"/>
        </w:rPr>
      </w:pPr>
      <w:r w:rsidRPr="00E3533A">
        <w:rPr>
          <w:rFonts w:ascii="Verdana" w:eastAsia="Calibri" w:hAnsi="Verdana" w:cs="Times New Roman"/>
        </w:rPr>
        <w:t xml:space="preserve">Respetada Sra. </w:t>
      </w:r>
      <w:r w:rsidRPr="00B44EAF">
        <w:rPr>
          <w:rFonts w:ascii="Verdana" w:eastAsia="Calibri" w:hAnsi="Verdana" w:cs="Times New Roman"/>
        </w:rPr>
        <w:t>Quiñónez Cabezas</w:t>
      </w:r>
      <w:r w:rsidRPr="00E3533A">
        <w:rPr>
          <w:rFonts w:ascii="Verdana" w:eastAsia="Calibri" w:hAnsi="Verdana" w:cs="Times New Roman"/>
        </w:rPr>
        <w:t xml:space="preserve">: </w:t>
      </w:r>
    </w:p>
    <w:p w14:paraId="0966898C" w14:textId="77777777" w:rsidR="00C56DA9" w:rsidRPr="00E3533A" w:rsidRDefault="00C56DA9" w:rsidP="00C56DA9">
      <w:pPr>
        <w:spacing w:after="0" w:line="256" w:lineRule="auto"/>
        <w:rPr>
          <w:rFonts w:ascii="Verdana" w:eastAsia="Calibri" w:hAnsi="Verdana" w:cs="Times New Roman"/>
        </w:rPr>
      </w:pPr>
    </w:p>
    <w:p w14:paraId="3DB77BCD" w14:textId="77777777" w:rsidR="00C56DA9" w:rsidRPr="00E3533A" w:rsidRDefault="00C56DA9" w:rsidP="00C56DA9">
      <w:pPr>
        <w:spacing w:after="0" w:line="276" w:lineRule="auto"/>
        <w:jc w:val="both"/>
        <w:rPr>
          <w:rFonts w:ascii="Verdana" w:eastAsia="Calibri" w:hAnsi="Verdana" w:cs="Times New Roman"/>
          <w:iCs/>
        </w:rPr>
      </w:pPr>
      <w:r w:rsidRPr="00E3533A">
        <w:rPr>
          <w:rFonts w:ascii="Verdana" w:eastAsia="Calibri" w:hAnsi="Verdana" w:cs="Times New Roman"/>
        </w:rPr>
        <w:t xml:space="preserve">En ejercicio de la competencia otorgada por los artículos 3, numeral 5º, y 11, numeral 8º, del Decreto Ley 4170 de 2011, la Agencia Nacional de Contratación Pública – Colombia Compra Eficiente– responde la solicitud de consulta presentada el </w:t>
      </w:r>
      <w:r>
        <w:rPr>
          <w:rFonts w:ascii="Verdana" w:eastAsia="Calibri" w:hAnsi="Verdana" w:cs="Times New Roman"/>
        </w:rPr>
        <w:t>5</w:t>
      </w:r>
      <w:r w:rsidRPr="00E3533A">
        <w:rPr>
          <w:rFonts w:ascii="Verdana" w:eastAsia="Calibri" w:hAnsi="Verdana" w:cs="Times New Roman"/>
        </w:rPr>
        <w:t xml:space="preserve"> de </w:t>
      </w:r>
      <w:r>
        <w:rPr>
          <w:rFonts w:ascii="Verdana" w:eastAsia="Calibri" w:hAnsi="Verdana" w:cs="Times New Roman"/>
        </w:rPr>
        <w:t>septiembre</w:t>
      </w:r>
      <w:r w:rsidRPr="00E3533A">
        <w:rPr>
          <w:rFonts w:ascii="Verdana" w:eastAsia="Calibri" w:hAnsi="Verdana" w:cs="Times New Roman"/>
        </w:rPr>
        <w:t xml:space="preserve"> de 2025, en la cual manifiesta: </w:t>
      </w:r>
    </w:p>
    <w:p w14:paraId="43154D4D" w14:textId="77777777" w:rsidR="00C56DA9" w:rsidRPr="00E3533A" w:rsidRDefault="00C56DA9" w:rsidP="00C56DA9">
      <w:pPr>
        <w:spacing w:after="0" w:line="276" w:lineRule="auto"/>
        <w:jc w:val="both"/>
        <w:rPr>
          <w:rFonts w:ascii="Verdana" w:eastAsia="Calibri" w:hAnsi="Verdana" w:cs="Times New Roman"/>
          <w:sz w:val="20"/>
          <w:szCs w:val="20"/>
        </w:rPr>
      </w:pPr>
    </w:p>
    <w:p w14:paraId="2343570B" w14:textId="77777777" w:rsidR="00C56DA9" w:rsidRDefault="00C56DA9" w:rsidP="00C56DA9">
      <w:pPr>
        <w:spacing w:after="0" w:line="240" w:lineRule="auto"/>
        <w:ind w:left="709" w:right="709"/>
        <w:jc w:val="both"/>
        <w:rPr>
          <w:rFonts w:ascii="Verdana" w:eastAsia="Calibri" w:hAnsi="Verdana" w:cs="Times New Roman"/>
          <w:bCs/>
          <w:sz w:val="20"/>
          <w:szCs w:val="20"/>
        </w:rPr>
      </w:pPr>
      <w:r>
        <w:rPr>
          <w:rFonts w:ascii="Verdana" w:eastAsia="Calibri" w:hAnsi="Verdana" w:cs="Times New Roman"/>
          <w:bCs/>
          <w:sz w:val="20"/>
          <w:szCs w:val="20"/>
        </w:rPr>
        <w:t>“</w:t>
      </w:r>
      <w:r w:rsidRPr="00933D58">
        <w:rPr>
          <w:rFonts w:ascii="Verdana" w:eastAsia="Calibri" w:hAnsi="Verdana" w:cs="Times New Roman"/>
          <w:bCs/>
          <w:sz w:val="20"/>
          <w:szCs w:val="20"/>
        </w:rPr>
        <w:t xml:space="preserve">soy contratista del IMDER Tuluá en liquidación donde ya estamos terminando los procesos y vemos el día de hoy que hay contratos de SECOP 1 sin cerrar quiero solicitar que me informen en la ley si la directora de la liquidación hoy puede cerrarlos sabiendo que son contratos de los años 2000 y 2001 donde ella no era directora y no tenemos información </w:t>
      </w:r>
      <w:r w:rsidRPr="00933D58">
        <w:rPr>
          <w:rFonts w:ascii="Verdana" w:eastAsia="Calibri" w:hAnsi="Verdana" w:cs="Times New Roman"/>
          <w:bCs/>
          <w:sz w:val="20"/>
          <w:szCs w:val="20"/>
        </w:rPr>
        <w:lastRenderedPageBreak/>
        <w:t>para cerrarlos. también confirmar que implica no cerrarlos y que implicaciones tendrían hacerlo o no si es posible la normativa</w:t>
      </w:r>
      <w:r>
        <w:rPr>
          <w:rFonts w:ascii="Verdana" w:eastAsia="Calibri" w:hAnsi="Verdana" w:cs="Times New Roman"/>
          <w:bCs/>
          <w:sz w:val="20"/>
          <w:szCs w:val="20"/>
        </w:rPr>
        <w:t>”</w:t>
      </w:r>
    </w:p>
    <w:p w14:paraId="696F1331" w14:textId="77777777" w:rsidR="00C56DA9" w:rsidRPr="00933D58" w:rsidRDefault="00C56DA9" w:rsidP="00C56DA9">
      <w:pPr>
        <w:spacing w:after="0" w:line="240" w:lineRule="auto"/>
        <w:ind w:left="709" w:right="709"/>
        <w:jc w:val="both"/>
        <w:rPr>
          <w:rFonts w:ascii="Verdana" w:eastAsia="Calibri" w:hAnsi="Verdana" w:cs="Times New Roman"/>
          <w:bCs/>
          <w:sz w:val="20"/>
          <w:szCs w:val="20"/>
        </w:rPr>
      </w:pPr>
    </w:p>
    <w:p w14:paraId="6540229A" w14:textId="77777777" w:rsidR="00C56DA9" w:rsidRPr="00E3533A" w:rsidRDefault="00C56DA9" w:rsidP="00C56DA9">
      <w:pPr>
        <w:spacing w:after="120" w:line="276" w:lineRule="auto"/>
        <w:ind w:firstLine="709"/>
        <w:jc w:val="both"/>
        <w:rPr>
          <w:rFonts w:ascii="Verdana" w:eastAsia="Calibri" w:hAnsi="Verdana" w:cs="Times New Roman"/>
        </w:rPr>
      </w:pPr>
      <w:r w:rsidRPr="00E3533A">
        <w:rPr>
          <w:rFonts w:ascii="Verdana" w:eastAsia="Calibri" w:hAnsi="Verdana" w:cs="Times New Roman"/>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87C6C0C" w14:textId="77777777" w:rsidR="00C56DA9" w:rsidRPr="00E3533A" w:rsidRDefault="00C56DA9" w:rsidP="00C56DA9">
      <w:pPr>
        <w:spacing w:after="0" w:line="276" w:lineRule="auto"/>
        <w:ind w:firstLine="708"/>
        <w:jc w:val="both"/>
        <w:rPr>
          <w:rFonts w:ascii="Verdana" w:eastAsia="Calibri" w:hAnsi="Verdana" w:cs="Times New Roman"/>
        </w:rPr>
      </w:pPr>
      <w:r w:rsidRPr="00E3533A">
        <w:rPr>
          <w:rFonts w:ascii="Verdana" w:eastAsia="Calibri" w:hAnsi="Verdana" w:cs="Times New Roman"/>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849FD1A" w14:textId="77777777" w:rsidR="00C56DA9" w:rsidRPr="00E3533A" w:rsidRDefault="00C56DA9" w:rsidP="00C56DA9">
      <w:pPr>
        <w:spacing w:after="0" w:line="256" w:lineRule="auto"/>
        <w:rPr>
          <w:rFonts w:ascii="Verdana" w:eastAsia="Calibri" w:hAnsi="Verdana" w:cs="Times New Roman"/>
        </w:rPr>
      </w:pPr>
    </w:p>
    <w:p w14:paraId="197F81C6" w14:textId="77777777" w:rsidR="00C56DA9" w:rsidRPr="00E3533A" w:rsidRDefault="00C56DA9" w:rsidP="00C56DA9">
      <w:pPr>
        <w:numPr>
          <w:ilvl w:val="0"/>
          <w:numId w:val="2"/>
        </w:numPr>
        <w:spacing w:after="0" w:line="256" w:lineRule="auto"/>
        <w:contextualSpacing/>
        <w:rPr>
          <w:rFonts w:ascii="Verdana" w:eastAsia="Calibri" w:hAnsi="Verdana" w:cs="Times New Roman"/>
          <w:b/>
          <w:bCs/>
        </w:rPr>
      </w:pPr>
      <w:r w:rsidRPr="00E3533A">
        <w:rPr>
          <w:rFonts w:ascii="Verdana" w:eastAsia="Calibri" w:hAnsi="Verdana" w:cs="Times New Roman"/>
          <w:b/>
          <w:bCs/>
        </w:rPr>
        <w:t>Problema planteado:</w:t>
      </w:r>
    </w:p>
    <w:p w14:paraId="4BA24CAA" w14:textId="77777777" w:rsidR="00C56DA9" w:rsidRPr="00E3533A" w:rsidRDefault="00C56DA9" w:rsidP="00C56DA9">
      <w:pPr>
        <w:spacing w:after="0" w:line="256" w:lineRule="auto"/>
        <w:rPr>
          <w:rFonts w:ascii="Verdana" w:eastAsia="Calibri" w:hAnsi="Verdana" w:cs="Times New Roman"/>
        </w:rPr>
      </w:pPr>
    </w:p>
    <w:p w14:paraId="2C63F764" w14:textId="77777777" w:rsidR="00C56DA9" w:rsidRDefault="00C56DA9" w:rsidP="00C56DA9">
      <w:pPr>
        <w:spacing w:after="0" w:line="276" w:lineRule="auto"/>
        <w:jc w:val="both"/>
        <w:rPr>
          <w:rFonts w:ascii="Verdana" w:eastAsia="Calibri" w:hAnsi="Verdana" w:cs="Times New Roman"/>
        </w:rPr>
      </w:pPr>
      <w:r w:rsidRPr="00E3533A">
        <w:rPr>
          <w:rFonts w:ascii="Verdana" w:eastAsia="Calibri" w:hAnsi="Verdana" w:cs="Times New Roman"/>
        </w:rPr>
        <w:t xml:space="preserve">De acuerdo con el contenido de sus solicitudes, esta Agencia procede a resolver </w:t>
      </w:r>
      <w:r>
        <w:rPr>
          <w:rFonts w:ascii="Verdana" w:eastAsia="Calibri" w:hAnsi="Verdana" w:cs="Times New Roman"/>
        </w:rPr>
        <w:t>el</w:t>
      </w:r>
      <w:r w:rsidRPr="00E3533A">
        <w:rPr>
          <w:rFonts w:ascii="Verdana" w:eastAsia="Calibri" w:hAnsi="Verdana" w:cs="Times New Roman"/>
        </w:rPr>
        <w:t xml:space="preserve"> siguiente problema jurídico:</w:t>
      </w:r>
      <w:r w:rsidRPr="00E3533A">
        <w:rPr>
          <w:rFonts w:ascii="Verdana" w:eastAsia="Calibri" w:hAnsi="Verdana" w:cs="Times New Roman"/>
          <w:sz w:val="20"/>
          <w:szCs w:val="20"/>
        </w:rPr>
        <w:t xml:space="preserve"> </w:t>
      </w:r>
      <w:r w:rsidRPr="00492AF1">
        <w:rPr>
          <w:rFonts w:ascii="Verdana" w:eastAsia="Calibri" w:hAnsi="Verdana" w:cs="Times New Roman"/>
        </w:rPr>
        <w:t>¿Cómo opera el cierre del expediente contractual, cuál es el procedimiento que debe adelantar una entidad estatal para efectuarlo en el SECOP I y quién ostenta la competencia para realizar dicha actuación dentro de la entidad?</w:t>
      </w:r>
    </w:p>
    <w:p w14:paraId="121684CF" w14:textId="77777777" w:rsidR="00C56DA9" w:rsidRPr="00E3533A" w:rsidRDefault="00C56DA9" w:rsidP="00C56DA9">
      <w:pPr>
        <w:spacing w:after="0" w:line="276" w:lineRule="auto"/>
        <w:jc w:val="both"/>
        <w:rPr>
          <w:rFonts w:ascii="Verdana" w:eastAsia="Calibri" w:hAnsi="Verdana" w:cs="Times New Roman"/>
          <w:i/>
          <w:iCs/>
        </w:rPr>
      </w:pPr>
    </w:p>
    <w:p w14:paraId="04F1A5A3" w14:textId="77777777" w:rsidR="00C56DA9" w:rsidRPr="00E3533A" w:rsidRDefault="00C56DA9" w:rsidP="00C56DA9">
      <w:pPr>
        <w:numPr>
          <w:ilvl w:val="0"/>
          <w:numId w:val="2"/>
        </w:numPr>
        <w:spacing w:after="0" w:line="256" w:lineRule="auto"/>
        <w:contextualSpacing/>
        <w:rPr>
          <w:rFonts w:ascii="Verdana" w:eastAsia="Calibri" w:hAnsi="Verdana" w:cs="Times New Roman"/>
          <w:b/>
          <w:bCs/>
        </w:rPr>
      </w:pPr>
      <w:r w:rsidRPr="00E3533A">
        <w:rPr>
          <w:rFonts w:ascii="Verdana" w:eastAsia="Calibri" w:hAnsi="Verdana" w:cs="Times New Roman"/>
          <w:b/>
          <w:bCs/>
        </w:rPr>
        <w:t>Respuesta:</w:t>
      </w:r>
    </w:p>
    <w:p w14:paraId="456C06AD" w14:textId="77777777" w:rsidR="00C56DA9" w:rsidRPr="00E3533A" w:rsidRDefault="00C56DA9" w:rsidP="00C56DA9">
      <w:pPr>
        <w:spacing w:after="0" w:line="276" w:lineRule="auto"/>
        <w:rPr>
          <w:rFonts w:ascii="Verdana" w:eastAsia="Calibri" w:hAnsi="Verdana" w:cs="Times New Roman"/>
          <w:b/>
          <w:bC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C56DA9" w:rsidRPr="00E3533A" w14:paraId="1940D8AF" w14:textId="77777777" w:rsidTr="009E10DA">
        <w:trPr>
          <w:trHeight w:val="345"/>
          <w:jc w:val="center"/>
        </w:trPr>
        <w:tc>
          <w:tcPr>
            <w:tcW w:w="8784" w:type="dxa"/>
            <w:tcBorders>
              <w:bottom w:val="single" w:sz="4" w:space="0" w:color="auto"/>
            </w:tcBorders>
          </w:tcPr>
          <w:p w14:paraId="5C48F7FB" w14:textId="77777777" w:rsidR="00C56DA9" w:rsidRPr="00E97A91" w:rsidRDefault="00C56DA9" w:rsidP="009E10DA">
            <w:pPr>
              <w:spacing w:after="120" w:line="276" w:lineRule="auto"/>
              <w:jc w:val="both"/>
              <w:rPr>
                <w:rFonts w:ascii="Verdana" w:eastAsia="Times New Roman" w:hAnsi="Verdana" w:cs="Arial"/>
                <w:color w:val="000000"/>
                <w:lang w:eastAsia="es-ES"/>
              </w:rPr>
            </w:pPr>
            <w:r w:rsidRPr="00E97A91">
              <w:rPr>
                <w:rFonts w:ascii="Verdana" w:eastAsia="Times New Roman" w:hAnsi="Verdana" w:cs="Arial"/>
                <w:color w:val="000000"/>
                <w:lang w:eastAsia="es-ES"/>
              </w:rPr>
              <w:t xml:space="preserve">El principio de publicidad constituye uno de los pilares del Estado Social y Democrático de Derecho, en tanto garantiza la visibilidad, control y participación ciudadana frente a las actuaciones de las autoridades públicas. En desarrollo de este postulado, la Constitución Política y la Ley 1150 de 2007 </w:t>
            </w:r>
            <w:r w:rsidRPr="00E97A91">
              <w:rPr>
                <w:rFonts w:ascii="Verdana" w:eastAsia="Times New Roman" w:hAnsi="Verdana" w:cs="Arial"/>
                <w:color w:val="000000"/>
                <w:lang w:eastAsia="es-ES"/>
              </w:rPr>
              <w:lastRenderedPageBreak/>
              <w:t>establecen que la actividad contractual del Estado debe hacerse pública a través del Sistema Electrónico para la Contratación Pública –SECOP–, el cual contiene la información oficial sobre la contratación celebrada con recursos públicos.</w:t>
            </w:r>
          </w:p>
          <w:p w14:paraId="765E4FEA" w14:textId="77777777" w:rsidR="00C56DA9" w:rsidRPr="00E97A91" w:rsidRDefault="00C56DA9" w:rsidP="009E10DA">
            <w:pPr>
              <w:spacing w:after="120" w:line="276" w:lineRule="auto"/>
              <w:ind w:firstLine="708"/>
              <w:jc w:val="both"/>
              <w:rPr>
                <w:rFonts w:ascii="Verdana" w:eastAsia="Times New Roman" w:hAnsi="Verdana" w:cs="Arial"/>
                <w:color w:val="000000"/>
                <w:lang w:eastAsia="es-ES"/>
              </w:rPr>
            </w:pPr>
            <w:r w:rsidRPr="00E97A91">
              <w:rPr>
                <w:rFonts w:ascii="Verdana" w:eastAsia="Times New Roman" w:hAnsi="Verdana" w:cs="Arial"/>
                <w:color w:val="000000"/>
                <w:lang w:eastAsia="es-ES"/>
              </w:rPr>
              <w:t>De igual manera, la Ley 1712 de 2014 (Ley de Transparencia y del Derecho de Acceso a la Información Pública) dispone que toda entidad pública está obligada a publicar la información contractual en el SECOP, garantizando la máxima publicidad de los documentos y actuaciones que se desarrollen dentro del proceso de contratación.</w:t>
            </w:r>
          </w:p>
          <w:p w14:paraId="1B2CCE41" w14:textId="77777777" w:rsidR="00C56DA9" w:rsidRPr="00E97A91" w:rsidRDefault="00C56DA9" w:rsidP="009E10DA">
            <w:pPr>
              <w:spacing w:after="120" w:line="276" w:lineRule="auto"/>
              <w:ind w:firstLine="708"/>
              <w:jc w:val="both"/>
              <w:rPr>
                <w:rFonts w:ascii="Verdana" w:eastAsia="Times New Roman" w:hAnsi="Verdana" w:cs="Arial"/>
                <w:color w:val="000000"/>
                <w:lang w:eastAsia="es-ES"/>
              </w:rPr>
            </w:pPr>
            <w:r w:rsidRPr="00E97A91">
              <w:rPr>
                <w:rFonts w:ascii="Verdana" w:eastAsia="Times New Roman" w:hAnsi="Verdana" w:cs="Arial"/>
                <w:color w:val="000000"/>
                <w:lang w:eastAsia="es-ES"/>
              </w:rPr>
              <w:t>Con el fin de dar cumplimiento a este deber de publicidad, la Agencia Nacional de Contratación Pública –Colombia Compra Eficiente– administra las dos versiones de la plataforma: SECOP I y SECOP II.</w:t>
            </w:r>
          </w:p>
          <w:p w14:paraId="20F14C09" w14:textId="77777777" w:rsidR="00C56DA9" w:rsidRPr="00E97A91" w:rsidRDefault="00C56DA9" w:rsidP="009E10DA">
            <w:pPr>
              <w:spacing w:after="120" w:line="276" w:lineRule="auto"/>
              <w:ind w:firstLine="708"/>
              <w:jc w:val="both"/>
              <w:rPr>
                <w:rFonts w:ascii="Verdana" w:eastAsia="Times New Roman" w:hAnsi="Verdana" w:cs="Arial"/>
                <w:color w:val="000000"/>
                <w:lang w:eastAsia="es-ES"/>
              </w:rPr>
            </w:pPr>
            <w:r w:rsidRPr="00E97A91">
              <w:rPr>
                <w:rFonts w:ascii="Verdana" w:eastAsia="Times New Roman" w:hAnsi="Verdana" w:cs="Arial"/>
                <w:color w:val="000000"/>
                <w:lang w:eastAsia="es-ES"/>
              </w:rPr>
              <w:t>A diferencia del SECOP II, que es una plataforma transaccional donde la gestión contractual se realiza completamente en línea, el SECOP I tiene naturaleza exclusivamente publicitaria, es decir, no transaccional. En este sistema, el procedimiento contractual se ejecuta fuera de la plataforma —mediante documentos físicos o digitales elaborados por la entidad—, los cuales se cargan posteriormente al SECOP I para efectos de publicidad y transparencia. En consecuencia, el SECOP I funciona como un medio para publicar la información relevante de los procesos contractuales y de sus etapas: convocatoria, adjudicación, celebración, ejecución, terminación y cierre del expediente.</w:t>
            </w:r>
          </w:p>
          <w:p w14:paraId="63FEC67D" w14:textId="77777777" w:rsidR="00C56DA9" w:rsidRPr="00E97A91" w:rsidRDefault="00C56DA9" w:rsidP="009E10DA">
            <w:pPr>
              <w:spacing w:after="120" w:line="276" w:lineRule="auto"/>
              <w:ind w:firstLine="708"/>
              <w:jc w:val="both"/>
              <w:rPr>
                <w:rFonts w:ascii="Verdana" w:eastAsia="Times New Roman" w:hAnsi="Verdana" w:cs="Arial"/>
                <w:color w:val="000000"/>
                <w:lang w:eastAsia="es-ES"/>
              </w:rPr>
            </w:pPr>
            <w:r w:rsidRPr="00E97A91">
              <w:rPr>
                <w:rFonts w:ascii="Verdana" w:eastAsia="Times New Roman" w:hAnsi="Verdana" w:cs="Arial"/>
                <w:color w:val="000000"/>
                <w:lang w:eastAsia="es-ES"/>
              </w:rPr>
              <w:t xml:space="preserve">En este contexto, las entidades estatales deben publicar en el SECOP I todos los documentos que expidan con ocasión del proceso de contratación, dentro de los tres (3) días siguientes a su expedición, conforme al artículo 2.2.1.1.1.7.1 del Decreto 1082 de 2015. Estos documentos incluyen los denominados </w:t>
            </w:r>
            <w:r w:rsidRPr="00E97A91">
              <w:rPr>
                <w:rFonts w:ascii="Verdana" w:eastAsia="Times New Roman" w:hAnsi="Verdana" w:cs="Arial"/>
                <w:i/>
                <w:iCs/>
                <w:color w:val="000000"/>
                <w:lang w:eastAsia="es-ES"/>
              </w:rPr>
              <w:t>Documentos del Proceso</w:t>
            </w:r>
            <w:r w:rsidRPr="00E97A91">
              <w:rPr>
                <w:rFonts w:ascii="Verdana" w:eastAsia="Times New Roman" w:hAnsi="Verdana" w:cs="Arial"/>
                <w:color w:val="000000"/>
                <w:lang w:eastAsia="es-ES"/>
              </w:rPr>
              <w:t>, definidos en el artículo 2.2.1.1.1.3 del mismo decreto, así como cualquier otro que se genere durante las fases precontractual, contractual y post-contractuales.</w:t>
            </w:r>
          </w:p>
          <w:p w14:paraId="4011A5B7" w14:textId="77777777" w:rsidR="00C56DA9" w:rsidRPr="00E97A91" w:rsidRDefault="00C56DA9" w:rsidP="009E10DA">
            <w:pPr>
              <w:spacing w:after="120" w:line="276" w:lineRule="auto"/>
              <w:ind w:firstLine="708"/>
              <w:jc w:val="both"/>
              <w:rPr>
                <w:rFonts w:ascii="Verdana" w:eastAsia="Times New Roman" w:hAnsi="Verdana" w:cs="Arial"/>
                <w:color w:val="000000"/>
                <w:lang w:eastAsia="es-ES"/>
              </w:rPr>
            </w:pPr>
            <w:r w:rsidRPr="00E97A91">
              <w:rPr>
                <w:rFonts w:ascii="Verdana" w:eastAsia="Times New Roman" w:hAnsi="Verdana" w:cs="Arial"/>
                <w:color w:val="000000"/>
                <w:lang w:eastAsia="es-ES"/>
              </w:rPr>
              <w:t xml:space="preserve">Ahora bien, una vez finalizada la ejecución contractual, la entidad estatal debe adelantar las actuaciones necesarias para cerrar el expediente contractual, lo cual implica dejar constancia expresa de que se cumplieron todas las obligaciones derivadas del contrato, incluyendo el vencimiento de las garantías de calidad, estabilidad y mantenimiento o de las condiciones de </w:t>
            </w:r>
            <w:r w:rsidRPr="00E97A91">
              <w:rPr>
                <w:rFonts w:ascii="Verdana" w:eastAsia="Times New Roman" w:hAnsi="Verdana" w:cs="Arial"/>
                <w:color w:val="000000"/>
                <w:lang w:eastAsia="es-ES"/>
              </w:rPr>
              <w:lastRenderedPageBreak/>
              <w:t>disposición final o recuperación ambiental, según lo previsto en el artículo 2.2.1.1.2.4.3 del Decreto 1082 de 2015.</w:t>
            </w:r>
          </w:p>
          <w:p w14:paraId="000F4470" w14:textId="77777777" w:rsidR="00C56DA9" w:rsidRPr="00E97A91" w:rsidRDefault="00C56DA9" w:rsidP="009E10DA">
            <w:pPr>
              <w:spacing w:after="120" w:line="276" w:lineRule="auto"/>
              <w:ind w:firstLine="708"/>
              <w:jc w:val="both"/>
              <w:rPr>
                <w:rFonts w:ascii="Verdana" w:eastAsia="Times New Roman" w:hAnsi="Verdana" w:cs="Arial"/>
                <w:color w:val="000000"/>
                <w:lang w:eastAsia="es-ES"/>
              </w:rPr>
            </w:pPr>
            <w:r w:rsidRPr="00E97A91">
              <w:rPr>
                <w:rFonts w:ascii="Verdana" w:eastAsia="Times New Roman" w:hAnsi="Verdana" w:cs="Arial"/>
                <w:color w:val="000000"/>
                <w:lang w:eastAsia="es-ES"/>
              </w:rPr>
              <w:t>El cierre del expediente constituye una actuación administrativa de carácter formal, mediante la cual la entidad pone fin a la gestión contractual. En el caso del SECOP I, el procedimiento consiste en elaborar el documento o constancia de cierre dentro del expediente físico o digital y, posteriormente, cargarlo en la plataforma, asegurando que el estado del contrato cambie a “cerrado”. Esta actuación es obligatoria para garantizar la integridad del expediente contractual y la trazabilidad de la gestión pública.</w:t>
            </w:r>
          </w:p>
          <w:p w14:paraId="64C11FD4" w14:textId="77777777" w:rsidR="00C56DA9" w:rsidRPr="00E97A91" w:rsidRDefault="00C56DA9" w:rsidP="009E10DA">
            <w:pPr>
              <w:spacing w:after="120" w:line="276" w:lineRule="auto"/>
              <w:ind w:firstLine="708"/>
              <w:jc w:val="both"/>
              <w:rPr>
                <w:rFonts w:ascii="Verdana" w:eastAsia="Times New Roman" w:hAnsi="Verdana" w:cs="Arial"/>
                <w:color w:val="000000"/>
                <w:lang w:eastAsia="es-ES"/>
              </w:rPr>
            </w:pPr>
            <w:r w:rsidRPr="00E97A91">
              <w:rPr>
                <w:rFonts w:ascii="Verdana" w:eastAsia="Times New Roman" w:hAnsi="Verdana" w:cs="Arial"/>
                <w:color w:val="000000"/>
                <w:lang w:eastAsia="es-ES"/>
              </w:rPr>
              <w:t>En cuanto a la competencia para realizar el cierre, esta debe determinarse con base en la distribución interna de funciones de cada entidad, el manual de contratación y los actos de delegación vigentes. En principio, la responsabilidad recae en el representante legal de la entidad o en el funcionario a quien se haya delegado la gestión contractual, como el coordinador de contratación, supervisor del contrato o servidor público que tenga asignadas dichas funciones.</w:t>
            </w:r>
          </w:p>
          <w:p w14:paraId="5FEEE91F" w14:textId="77777777" w:rsidR="00C56DA9" w:rsidRPr="00E97A91" w:rsidRDefault="00C56DA9" w:rsidP="009E10DA">
            <w:pPr>
              <w:spacing w:after="120" w:line="276" w:lineRule="auto"/>
              <w:ind w:firstLine="708"/>
              <w:jc w:val="both"/>
              <w:rPr>
                <w:rFonts w:ascii="Verdana" w:eastAsia="Times New Roman" w:hAnsi="Verdana" w:cs="Arial"/>
                <w:color w:val="000000"/>
                <w:lang w:eastAsia="es-ES"/>
              </w:rPr>
            </w:pPr>
            <w:r w:rsidRPr="00E97A91">
              <w:rPr>
                <w:rFonts w:ascii="Verdana" w:eastAsia="Times New Roman" w:hAnsi="Verdana" w:cs="Arial"/>
                <w:color w:val="000000"/>
                <w:lang w:eastAsia="es-ES"/>
              </w:rPr>
              <w:t>Por lo tanto, el hecho de que los contratos correspondan a vigencias anteriores o a una administración distinta no impide su cierre, dado que esta actuación no depende de la persona que representaba a la entidad al momento de la celebración del contrato, sino de quien actualmente ostente la competencia funcional para adelantar la gestión contractual. Así, en el marco del proceso de liquidación del IMDER Tuluá, la directora o quien tenga asignada la función contractual puede efectuar el cierre de los contratos en SECOP I, siempre que cuente con la competencia atribuida o delegada para tal fin.</w:t>
            </w:r>
          </w:p>
          <w:p w14:paraId="6B724152" w14:textId="77777777" w:rsidR="00C56DA9" w:rsidRPr="00E3533A" w:rsidRDefault="00C56DA9" w:rsidP="009E10DA">
            <w:pPr>
              <w:spacing w:after="120" w:line="276" w:lineRule="auto"/>
              <w:ind w:firstLine="708"/>
              <w:jc w:val="both"/>
              <w:rPr>
                <w:rFonts w:ascii="Verdana" w:eastAsia="Times New Roman" w:hAnsi="Verdana" w:cs="Arial"/>
                <w:color w:val="000000"/>
              </w:rPr>
            </w:pPr>
            <w:r w:rsidRPr="00E97A91">
              <w:rPr>
                <w:rFonts w:ascii="Verdana" w:eastAsia="Times New Roman" w:hAnsi="Verdana" w:cs="Arial"/>
                <w:color w:val="000000"/>
                <w:lang w:eastAsia="es-ES"/>
              </w:rPr>
              <w:t>En suma, el cierre del expediente contractual en el SECOP I es una obligación administrativa y de transparencia que debe cumplirse una vez verificados los requisitos de finalización del contrato. Su ejecución corresponde al funcionario competente dentro de la entidad, quien deberá dejar la constancia de cierre en el expediente y registrarla en la plataforma hasta que el sistema refleje el estado del contrato como “cerrado”.</w:t>
            </w:r>
          </w:p>
        </w:tc>
      </w:tr>
    </w:tbl>
    <w:p w14:paraId="67C568A5" w14:textId="77777777" w:rsidR="00C56DA9" w:rsidRPr="00E3533A" w:rsidRDefault="00C56DA9" w:rsidP="00C56DA9">
      <w:pPr>
        <w:spacing w:after="0" w:line="276" w:lineRule="auto"/>
        <w:jc w:val="both"/>
        <w:rPr>
          <w:rFonts w:ascii="Verdana" w:eastAsia="Calibri" w:hAnsi="Verdana" w:cs="Arial"/>
          <w:bCs/>
          <w:color w:val="000000" w:themeColor="text1"/>
        </w:rPr>
      </w:pPr>
    </w:p>
    <w:p w14:paraId="1B4C6F30" w14:textId="77777777" w:rsidR="00C56DA9" w:rsidRPr="00E3533A" w:rsidRDefault="00C56DA9" w:rsidP="00C56DA9">
      <w:pPr>
        <w:numPr>
          <w:ilvl w:val="0"/>
          <w:numId w:val="2"/>
        </w:numPr>
        <w:tabs>
          <w:tab w:val="left" w:pos="2268"/>
        </w:tabs>
        <w:spacing w:after="0" w:line="256" w:lineRule="auto"/>
        <w:rPr>
          <w:rFonts w:ascii="Verdana" w:eastAsia="Calibri" w:hAnsi="Verdana" w:cs="Times New Roman"/>
          <w:b/>
          <w:bCs/>
        </w:rPr>
      </w:pPr>
      <w:r w:rsidRPr="00E3533A">
        <w:rPr>
          <w:rFonts w:ascii="Verdana" w:eastAsia="Calibri" w:hAnsi="Verdana" w:cs="Times New Roman"/>
          <w:b/>
          <w:bCs/>
        </w:rPr>
        <w:t>Razones de la respuesta:</w:t>
      </w:r>
    </w:p>
    <w:p w14:paraId="5E5257D5" w14:textId="77777777" w:rsidR="00C56DA9" w:rsidRPr="00E3533A" w:rsidRDefault="00C56DA9" w:rsidP="00C56DA9">
      <w:pPr>
        <w:spacing w:after="0" w:line="256" w:lineRule="auto"/>
        <w:rPr>
          <w:rFonts w:ascii="Verdana" w:eastAsia="Calibri" w:hAnsi="Verdana" w:cs="Times New Roman"/>
          <w:b/>
          <w:bCs/>
        </w:rPr>
      </w:pPr>
    </w:p>
    <w:p w14:paraId="18006697" w14:textId="77777777" w:rsidR="00C56DA9" w:rsidRPr="00E3533A" w:rsidRDefault="00C56DA9" w:rsidP="00C56DA9">
      <w:pPr>
        <w:spacing w:after="0" w:line="276" w:lineRule="auto"/>
        <w:jc w:val="both"/>
        <w:rPr>
          <w:rFonts w:ascii="Verdana" w:eastAsia="Calibri" w:hAnsi="Verdana" w:cs="Arial"/>
        </w:rPr>
      </w:pPr>
      <w:r w:rsidRPr="00E3533A">
        <w:rPr>
          <w:rFonts w:ascii="Verdana" w:eastAsia="Calibri" w:hAnsi="Verdana" w:cs="Arial"/>
        </w:rPr>
        <w:t xml:space="preserve">Lo anterior se sustenta en las siguientes consideraciones: </w:t>
      </w:r>
    </w:p>
    <w:p w14:paraId="626C6B05" w14:textId="77777777" w:rsidR="00C56DA9" w:rsidRPr="00E3533A" w:rsidRDefault="00C56DA9" w:rsidP="00C56DA9">
      <w:pPr>
        <w:spacing w:after="0" w:line="276" w:lineRule="auto"/>
        <w:jc w:val="both"/>
        <w:rPr>
          <w:rFonts w:ascii="Verdana" w:eastAsia="Calibri" w:hAnsi="Verdana" w:cs="Arial"/>
          <w:color w:val="000000" w:themeColor="text1"/>
        </w:rPr>
      </w:pPr>
      <w:bookmarkStart w:id="1" w:name="_Hlk78820161"/>
    </w:p>
    <w:p w14:paraId="7452998C" w14:textId="77777777" w:rsidR="00C56DA9" w:rsidRDefault="00C56DA9" w:rsidP="00C56DA9">
      <w:pPr>
        <w:spacing w:before="120" w:after="120" w:line="276" w:lineRule="auto"/>
        <w:jc w:val="both"/>
        <w:rPr>
          <w:rFonts w:ascii="Verdana" w:eastAsia="Times New Roman" w:hAnsi="Verdana" w:cs="Arial"/>
          <w:lang w:val="es-ES" w:eastAsia="es-ES"/>
          <w14:ligatures w14:val="standardContextual"/>
        </w:rPr>
      </w:pPr>
      <w:r w:rsidRPr="00E3533A">
        <w:rPr>
          <w:rFonts w:ascii="Verdana" w:eastAsia="Calibri" w:hAnsi="Verdana" w:cs="Arial"/>
          <w:color w:val="000000" w:themeColor="text1"/>
        </w:rPr>
        <w:t xml:space="preserve">i. </w:t>
      </w:r>
      <w:r w:rsidRPr="1BEC6B70">
        <w:rPr>
          <w:rFonts w:ascii="Verdana" w:eastAsia="Times New Roman" w:hAnsi="Verdana" w:cs="Arial"/>
          <w:lang w:val="es-ES" w:eastAsia="es-ES"/>
          <w14:ligatures w14:val="standardContextual"/>
        </w:rPr>
        <w:t xml:space="preserve">Uno de los postulados más importantes de un Estado social y democrático de derecho es el principio de </w:t>
      </w:r>
      <w:r w:rsidRPr="1BEC6B70">
        <w:rPr>
          <w:rFonts w:ascii="Verdana" w:eastAsia="Times New Roman" w:hAnsi="Verdana" w:cs="Arial"/>
          <w:i/>
          <w:iCs/>
          <w:lang w:val="es-ES" w:eastAsia="es-ES"/>
          <w14:ligatures w14:val="standardContextual"/>
        </w:rPr>
        <w:t>publicidad</w:t>
      </w:r>
      <w:r w:rsidRPr="1BEC6B70">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Pr="1BEC6B70">
        <w:rPr>
          <w:rFonts w:ascii="Verdana" w:eastAsia="Times New Roman" w:hAnsi="Verdana" w:cs="Arial"/>
          <w:vertAlign w:val="superscript"/>
          <w:lang w:val="es-ES" w:eastAsia="es-ES"/>
          <w14:ligatures w14:val="standardContextual"/>
        </w:rPr>
        <w:footnoteReference w:id="1"/>
      </w:r>
      <w:r w:rsidRPr="1BEC6B70">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pregonan la publicidad de las actuaciones de los poderes públicos. </w:t>
      </w:r>
    </w:p>
    <w:p w14:paraId="1FD97DEE" w14:textId="77777777" w:rsidR="00C56DA9" w:rsidRPr="002A3450" w:rsidRDefault="00C56DA9" w:rsidP="00C56DA9">
      <w:pPr>
        <w:spacing w:before="120" w:after="120" w:line="276" w:lineRule="auto"/>
        <w:ind w:firstLine="708"/>
        <w:jc w:val="both"/>
        <w:rPr>
          <w:rFonts w:ascii="Verdana" w:eastAsia="Times New Roman" w:hAnsi="Verdana" w:cs="Arial"/>
          <w:lang w:val="es-ES" w:eastAsia="es-ES"/>
          <w14:ligatures w14:val="standardContextual"/>
        </w:rPr>
      </w:pPr>
      <w:r w:rsidRPr="1BEC6B70">
        <w:rPr>
          <w:rFonts w:ascii="Verdana" w:eastAsia="Times New Roman" w:hAnsi="Verdana" w:cs="Arial"/>
          <w:lang w:val="es-ES" w:eastAsia="es-ES"/>
          <w14:ligatures w14:val="standardContextual"/>
        </w:rPr>
        <w:t>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w:t>
      </w:r>
      <w:r>
        <w:rPr>
          <w:rFonts w:ascii="Verdana" w:eastAsia="Times New Roman" w:hAnsi="Verdana" w:cs="Arial"/>
          <w:lang w:val="es-ES" w:eastAsia="es-ES"/>
          <w14:ligatures w14:val="standardContextual"/>
        </w:rPr>
        <w:t>,</w:t>
      </w:r>
      <w:r w:rsidRPr="1BEC6B70">
        <w:rPr>
          <w:rFonts w:ascii="Verdana" w:eastAsia="Times New Roman" w:hAnsi="Verdana" w:cs="Arial"/>
          <w:lang w:val="es-ES" w:eastAsia="es-ES"/>
          <w14:ligatures w14:val="standardContextual"/>
        </w:rPr>
        <w:t xml:space="preserve"> y el 74, que consagra la garantía de acceso a los documentos públicos que no gocen de reserva –y esta, además, es excepcional, pues solo procede si existe causal constitucional o legal expresa–. </w:t>
      </w:r>
    </w:p>
    <w:p w14:paraId="75C0E6DA" w14:textId="77777777" w:rsidR="00C56DA9" w:rsidRDefault="00C56DA9" w:rsidP="00C56DA9">
      <w:pPr>
        <w:spacing w:before="120" w:after="120" w:line="276" w:lineRule="auto"/>
        <w:ind w:firstLine="709"/>
        <w:jc w:val="both"/>
        <w:rPr>
          <w:rFonts w:ascii="Verdana" w:eastAsia="Times New Roman" w:hAnsi="Verdana" w:cs="Arial"/>
          <w:lang w:val="es-ES_tradnl" w:eastAsia="es-ES_tradnl"/>
          <w14:ligatures w14:val="standardContextual"/>
        </w:rPr>
      </w:pPr>
      <w:r w:rsidRPr="005817C0">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Pr>
          <w:rFonts w:ascii="Verdana" w:eastAsia="Times New Roman" w:hAnsi="Verdana" w:cs="Arial"/>
          <w:lang w:val="es-ES_tradnl" w:eastAsia="es-ES_tradnl"/>
          <w14:ligatures w14:val="standardContextual"/>
        </w:rPr>
        <w:t>”</w:t>
      </w:r>
      <w:r w:rsidRPr="005817C0">
        <w:rPr>
          <w:rFonts w:ascii="Verdana" w:eastAsia="Times New Roman" w:hAnsi="Verdana" w:cs="Arial"/>
          <w:vertAlign w:val="superscript"/>
          <w:lang w:val="es-ES_tradnl" w:eastAsia="es-ES_tradnl"/>
          <w14:ligatures w14:val="standardContextual"/>
        </w:rPr>
        <w:footnoteReference w:id="2"/>
      </w:r>
      <w:r w:rsidRPr="005817C0">
        <w:rPr>
          <w:rFonts w:ascii="Verdana" w:eastAsia="Times New Roman" w:hAnsi="Verdana" w:cs="Arial"/>
          <w:lang w:val="es-ES_tradnl" w:eastAsia="es-ES_tradnl"/>
          <w14:ligatures w14:val="standardContextual"/>
        </w:rPr>
        <w:t>.</w:t>
      </w:r>
    </w:p>
    <w:p w14:paraId="04653FC5" w14:textId="77777777" w:rsidR="00C56DA9" w:rsidRDefault="00C56DA9" w:rsidP="00C56DA9">
      <w:pPr>
        <w:spacing w:before="120" w:after="120" w:line="276" w:lineRule="auto"/>
        <w:ind w:firstLine="709"/>
        <w:jc w:val="both"/>
        <w:rPr>
          <w:rFonts w:ascii="Verdana" w:eastAsia="Times New Roman" w:hAnsi="Verdana" w:cs="Arial"/>
          <w:lang w:val="es-ES" w:eastAsia="es-ES"/>
          <w14:ligatures w14:val="standardContextual"/>
        </w:rPr>
      </w:pPr>
      <w:r w:rsidRPr="08599089">
        <w:rPr>
          <w:rFonts w:ascii="Verdana" w:eastAsia="Times New Roman" w:hAnsi="Verdana" w:cs="Arial"/>
          <w:lang w:val="es-ES" w:eastAsia="es-ES"/>
          <w14:ligatures w14:val="standardContextual"/>
        </w:rPr>
        <w:lastRenderedPageBreak/>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8599089">
        <w:rPr>
          <w:rFonts w:ascii="Verdana" w:eastAsia="Times New Roman" w:hAnsi="Verdana" w:cs="Arial"/>
          <w:vertAlign w:val="superscript"/>
          <w:lang w:val="es-ES" w:eastAsia="es-ES"/>
          <w14:ligatures w14:val="standardContextual"/>
        </w:rPr>
        <w:footnoteReference w:id="3"/>
      </w:r>
      <w:r w:rsidRPr="08599089">
        <w:rPr>
          <w:rFonts w:ascii="Verdana" w:eastAsia="Times New Roman" w:hAnsi="Verdana" w:cs="Arial"/>
          <w:lang w:val="es-ES" w:eastAsia="es-ES"/>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3B4C24BC" w14:textId="77777777" w:rsidR="00C56DA9" w:rsidRPr="002A3450" w:rsidRDefault="00C56DA9" w:rsidP="00C56DA9">
      <w:pPr>
        <w:spacing w:before="120" w:after="120" w:line="276" w:lineRule="auto"/>
        <w:ind w:firstLine="709"/>
        <w:jc w:val="both"/>
        <w:rPr>
          <w:rFonts w:ascii="Verdana" w:eastAsia="Times New Roman" w:hAnsi="Verdana" w:cs="Arial"/>
          <w:lang w:val="es-ES_tradnl" w:eastAsia="es-ES_tradnl"/>
          <w14:ligatures w14:val="standardContextual"/>
        </w:rPr>
      </w:pPr>
      <w:r w:rsidRPr="002A3450">
        <w:rPr>
          <w:rFonts w:ascii="Verdana" w:eastAsia="Times New Roman" w:hAnsi="Verdana" w:cs="Arial"/>
          <w:lang w:val="es-ES_tradnl" w:eastAsia="es-ES_tradnl"/>
          <w14:ligatures w14:val="standardContextual"/>
        </w:rPr>
        <w:t xml:space="preserve"> La Ley Estatutaria citada establece, en el literal e) del artículo 9, que los sujetos obligados, que son todas las entidades públicas</w:t>
      </w:r>
      <w:r w:rsidRPr="002A3450">
        <w:rPr>
          <w:rFonts w:ascii="Verdana" w:eastAsia="Times New Roman" w:hAnsi="Verdana" w:cs="Arial"/>
          <w:vertAlign w:val="superscript"/>
          <w:lang w:val="es-ES_tradnl" w:eastAsia="es-ES_tradnl"/>
          <w14:ligatures w14:val="standardContextual"/>
        </w:rPr>
        <w:footnoteReference w:id="4"/>
      </w:r>
      <w:r w:rsidRPr="002A3450">
        <w:rPr>
          <w:rFonts w:ascii="Verdana" w:eastAsia="Times New Roman" w:hAnsi="Verdana" w:cs="Arial"/>
          <w:lang w:val="es-ES_tradnl" w:eastAsia="es-ES_tradnl"/>
          <w14:ligatures w14:val="standardContextual"/>
        </w:rPr>
        <w:t>, deben publicar la información relativa a su contratación. Esta obligación fue desarrollada por el Decreto Único Reglamentario 1081 de 2015</w:t>
      </w:r>
      <w:r w:rsidRPr="002A3450">
        <w:rPr>
          <w:rFonts w:ascii="Verdana" w:eastAsia="Times New Roman" w:hAnsi="Verdana" w:cs="Arial"/>
          <w:vertAlign w:val="superscript"/>
          <w:lang w:val="es-ES_tradnl" w:eastAsia="es-ES_tradnl"/>
          <w14:ligatures w14:val="standardContextual"/>
        </w:rPr>
        <w:footnoteReference w:id="5"/>
      </w:r>
      <w:r w:rsidRPr="002A3450">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p>
    <w:p w14:paraId="732A14AA" w14:textId="77777777" w:rsidR="00C56DA9" w:rsidRDefault="00C56DA9" w:rsidP="00C56DA9">
      <w:pPr>
        <w:spacing w:before="120"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 xml:space="preserve">Asimismo, de acuerdo con el literal g) del artículo 11 de </w:t>
      </w:r>
      <w:r>
        <w:rPr>
          <w:rFonts w:ascii="Verdana" w:eastAsia="Times New Roman" w:hAnsi="Verdana" w:cs="Arial"/>
          <w:lang w:val="es-ES_tradnl" w:eastAsia="es-ES_tradnl"/>
          <w14:ligatures w14:val="standardContextual"/>
        </w:rPr>
        <w:t>la L</w:t>
      </w:r>
      <w:r w:rsidRPr="00E806EA">
        <w:rPr>
          <w:rFonts w:ascii="Verdana" w:eastAsia="Times New Roman" w:hAnsi="Verdana" w:cs="Arial"/>
          <w:lang w:val="es-ES_tradnl" w:eastAsia="es-ES_tradnl"/>
          <w14:ligatures w14:val="standardContextual"/>
        </w:rPr>
        <w:t>ey</w:t>
      </w:r>
      <w:r>
        <w:rPr>
          <w:rFonts w:ascii="Verdana" w:eastAsia="Times New Roman" w:hAnsi="Verdana" w:cs="Arial"/>
          <w:lang w:val="es-ES_tradnl" w:eastAsia="es-ES_tradnl"/>
          <w14:ligatures w14:val="standardContextual"/>
        </w:rPr>
        <w:t xml:space="preserve"> 1712 de 2014</w:t>
      </w:r>
      <w:r w:rsidRPr="00E806EA">
        <w:rPr>
          <w:rFonts w:ascii="Verdana" w:eastAsia="Times New Roman" w:hAnsi="Verdana" w:cs="Arial"/>
          <w:lang w:val="es-ES_tradnl" w:eastAsia="es-ES_tradnl"/>
          <w14:ligatures w14:val="standardContextual"/>
        </w:rPr>
        <w:t xml:space="preserve">, todos los destinatarios de la </w:t>
      </w:r>
      <w:r>
        <w:rPr>
          <w:rFonts w:ascii="Verdana" w:eastAsia="Times New Roman" w:hAnsi="Verdana" w:cs="Arial"/>
          <w:lang w:val="es-ES_tradnl" w:eastAsia="es-ES_tradnl"/>
          <w14:ligatures w14:val="standardContextual"/>
        </w:rPr>
        <w:t xml:space="preserve">Ley Estatutaria de Transparencia y Acceso a la Información Pública </w:t>
      </w:r>
      <w:r w:rsidRPr="00E806EA">
        <w:rPr>
          <w:rFonts w:ascii="Verdana" w:eastAsia="Times New Roman" w:hAnsi="Verdana" w:cs="Arial"/>
          <w:lang w:val="es-ES_tradnl" w:eastAsia="es-ES_tradnl"/>
          <w14:ligatures w14:val="standardContextual"/>
        </w:rPr>
        <w:t xml:space="preserve">deben garantizar la publicidad de “sus procedimientos, lineamientos, políticas en materia de adquisiciones y compras, así como todos </w:t>
      </w:r>
      <w:r w:rsidRPr="00E806EA">
        <w:rPr>
          <w:rFonts w:ascii="Verdana" w:eastAsia="Times New Roman" w:hAnsi="Verdana" w:cs="Arial"/>
          <w:lang w:val="es-ES_tradnl" w:eastAsia="es-ES_tradnl"/>
          <w14:ligatures w14:val="standardContextual"/>
        </w:rPr>
        <w:lastRenderedPageBreak/>
        <w:t xml:space="preserve">los datos de adjudicación y ejecución de contratos, incluidos concursos y licitaciones”, y esta información también debe estar en el SECOP. </w:t>
      </w:r>
    </w:p>
    <w:p w14:paraId="3067ABD4" w14:textId="77777777" w:rsidR="00C56DA9" w:rsidRDefault="00C56DA9" w:rsidP="00C56DA9">
      <w:pPr>
        <w:spacing w:before="120"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B300BE">
        <w:rPr>
          <w:rFonts w:ascii="Verdana" w:eastAsia="Times New Roman" w:hAnsi="Verdana" w:cs="Arial"/>
          <w:vertAlign w:val="superscript"/>
          <w:lang w:val="es-ES_tradnl" w:eastAsia="es-ES_tradnl"/>
          <w14:ligatures w14:val="standardContextual"/>
        </w:rPr>
        <w:footnoteReference w:id="6"/>
      </w:r>
      <w:r w:rsidRPr="00E806EA">
        <w:rPr>
          <w:rFonts w:ascii="Verdana" w:eastAsia="Times New Roman" w:hAnsi="Verdana" w:cs="Arial"/>
          <w:lang w:val="es-ES_tradnl" w:eastAsia="es-ES_tradnl"/>
          <w14:ligatures w14:val="standardContextual"/>
        </w:rPr>
        <w:t>.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1437B76A" w14:textId="77777777" w:rsidR="00C56DA9" w:rsidRDefault="00C56DA9" w:rsidP="00C56DA9">
      <w:pPr>
        <w:tabs>
          <w:tab w:val="left" w:pos="709"/>
        </w:tabs>
        <w:spacing w:before="120" w:after="0" w:line="276" w:lineRule="auto"/>
        <w:ind w:firstLine="709"/>
        <w:jc w:val="both"/>
        <w:rPr>
          <w:rFonts w:ascii="Verdana" w:hAnsi="Verdana" w:cs="Arial"/>
          <w:shd w:val="clear" w:color="auto" w:fill="FFFFFF"/>
        </w:rPr>
      </w:pPr>
      <w:r w:rsidRPr="00052904">
        <w:rPr>
          <w:rFonts w:ascii="Verdana" w:hAnsi="Verdana" w:cs="Arial"/>
          <w:shd w:val="clear" w:color="auto" w:fill="FFFFFF"/>
        </w:rPr>
        <w:t xml:space="preserve">La expresión </w:t>
      </w:r>
      <w:r w:rsidRPr="00052904">
        <w:rPr>
          <w:rFonts w:ascii="Verdana" w:hAnsi="Verdana" w:cs="Arial"/>
          <w:i/>
          <w:iCs/>
          <w:shd w:val="clear" w:color="auto" w:fill="FFFFFF"/>
        </w:rPr>
        <w:t xml:space="preserve">Documentos del Proceso </w:t>
      </w:r>
      <w:r w:rsidRPr="00052904">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052904">
        <w:rPr>
          <w:rFonts w:ascii="Verdana" w:hAnsi="Verdana" w:cs="Arial"/>
          <w:i/>
          <w:iCs/>
          <w:shd w:val="clear" w:color="auto" w:fill="FFFFFF"/>
        </w:rPr>
        <w:t>y cualquier otro documento expedido por la Entidad Estatal durante el Proceso de Contratación</w:t>
      </w:r>
      <w:r w:rsidRPr="00052904">
        <w:rPr>
          <w:rFonts w:ascii="Verdana" w:hAnsi="Verdana" w:cs="Arial"/>
          <w:shd w:val="clear" w:color="auto" w:fill="FFFFFF"/>
        </w:rPr>
        <w:t>”. [Énfasis fuera de texto]</w:t>
      </w:r>
    </w:p>
    <w:p w14:paraId="3884175A" w14:textId="77777777" w:rsidR="00C56DA9" w:rsidRDefault="00C56DA9" w:rsidP="00C56DA9">
      <w:pPr>
        <w:tabs>
          <w:tab w:val="left" w:pos="709"/>
        </w:tabs>
        <w:spacing w:before="120" w:after="0" w:line="276" w:lineRule="auto"/>
        <w:ind w:firstLine="709"/>
        <w:jc w:val="both"/>
        <w:rPr>
          <w:rFonts w:ascii="Verdana" w:hAnsi="Verdana" w:cs="Arial"/>
          <w:shd w:val="clear" w:color="auto" w:fill="FFFFFF"/>
        </w:rPr>
      </w:pPr>
      <w:r w:rsidRPr="00EF0BDA">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EF0BDA">
        <w:rPr>
          <w:rFonts w:ascii="Verdana" w:hAnsi="Verdana" w:cs="Arial"/>
          <w:i/>
          <w:iCs/>
          <w:shd w:val="clear" w:color="auto" w:fill="FFFFFF"/>
        </w:rPr>
        <w:t>Ibidem</w:t>
      </w:r>
      <w:r w:rsidRPr="00EF0BDA">
        <w:rPr>
          <w:rFonts w:ascii="Verdana" w:hAnsi="Verdana" w:cs="Arial"/>
          <w:shd w:val="clear" w:color="auto" w:fill="FFFFFF"/>
        </w:rPr>
        <w:t xml:space="preserve"> recoge en la noción de Documentos del Proceso “cualquier otro documento expedido por la Entidad Estatal durante el Proceso de Contratación”. </w:t>
      </w:r>
    </w:p>
    <w:p w14:paraId="3E80BA3A" w14:textId="77777777" w:rsidR="00C56DA9" w:rsidRDefault="00C56DA9" w:rsidP="00C56DA9">
      <w:pPr>
        <w:tabs>
          <w:tab w:val="left" w:pos="709"/>
        </w:tabs>
        <w:spacing w:before="120" w:after="0" w:line="276" w:lineRule="auto"/>
        <w:ind w:firstLine="709"/>
        <w:jc w:val="both"/>
        <w:rPr>
          <w:rFonts w:ascii="Verdana" w:hAnsi="Verdana" w:cs="Arial"/>
          <w:shd w:val="clear" w:color="auto" w:fill="FFFFFF"/>
        </w:rPr>
      </w:pPr>
      <w:r w:rsidRPr="00EF0BDA">
        <w:rPr>
          <w:rFonts w:ascii="Verdana" w:hAnsi="Verdana" w:cs="Arial"/>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w:t>
      </w:r>
      <w:r>
        <w:rPr>
          <w:rFonts w:ascii="Verdana" w:hAnsi="Verdana" w:cs="Arial"/>
          <w:shd w:val="clear" w:color="auto" w:fill="FFFFFF"/>
        </w:rPr>
        <w:t xml:space="preserve">se refiere </w:t>
      </w:r>
      <w:r w:rsidRPr="00EF0BDA">
        <w:rPr>
          <w:rFonts w:ascii="Verdana" w:hAnsi="Verdana" w:cs="Arial"/>
          <w:shd w:val="clear" w:color="auto" w:fill="FFFFFF"/>
        </w:rPr>
        <w:t>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6B751770" w14:textId="77777777" w:rsidR="00C56DA9" w:rsidRDefault="00C56DA9" w:rsidP="00C56DA9">
      <w:pPr>
        <w:tabs>
          <w:tab w:val="left" w:pos="709"/>
        </w:tabs>
        <w:spacing w:before="120" w:after="120" w:line="276" w:lineRule="auto"/>
        <w:ind w:firstLine="709"/>
        <w:jc w:val="both"/>
        <w:rPr>
          <w:rFonts w:ascii="Verdana" w:hAnsi="Verdana" w:cs="Arial"/>
          <w:shd w:val="clear" w:color="auto" w:fill="FFFFFF"/>
        </w:rPr>
      </w:pPr>
      <w:r w:rsidRPr="00F14C13">
        <w:rPr>
          <w:rFonts w:ascii="Verdana" w:hAnsi="Verdana" w:cs="Arial"/>
          <w:shd w:val="clear" w:color="auto" w:fill="FFFFFF"/>
        </w:rPr>
        <w:lastRenderedPageBreak/>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w:t>
      </w:r>
      <w:r>
        <w:rPr>
          <w:rFonts w:ascii="Verdana" w:hAnsi="Verdana" w:cs="Arial"/>
          <w:shd w:val="clear" w:color="auto" w:fill="FFFFFF"/>
        </w:rPr>
        <w:t xml:space="preserve"> </w:t>
      </w:r>
      <w:r w:rsidRPr="00F14C13">
        <w:rPr>
          <w:rFonts w:ascii="Verdana" w:hAnsi="Verdana" w:cs="Arial"/>
          <w:shd w:val="clear" w:color="auto" w:fill="FFFFFF"/>
        </w:rPr>
        <w:t>de ejecu</w:t>
      </w:r>
      <w:r>
        <w:rPr>
          <w:rFonts w:ascii="Verdana" w:hAnsi="Verdana" w:cs="Arial"/>
          <w:shd w:val="clear" w:color="auto" w:fill="FFFFFF"/>
        </w:rPr>
        <w:t>ción y post-contractuales deberán publicarse</w:t>
      </w:r>
      <w:r w:rsidRPr="00F14C13">
        <w:rPr>
          <w:rFonts w:ascii="Verdana" w:hAnsi="Verdana" w:cs="Arial"/>
          <w:shd w:val="clear" w:color="auto" w:fill="FFFFFF"/>
        </w:rPr>
        <w:t xml:space="preserve"> en SECOP dentro de los tres (3) días siguientes a su expedición, para cumplir el deber de publicidad regulado por el artículo 2.2.1.1.1.7.1. del Decreto 1082 de 2015.</w:t>
      </w:r>
    </w:p>
    <w:p w14:paraId="061111C3" w14:textId="77777777" w:rsidR="00C56DA9" w:rsidRPr="007D65AA" w:rsidRDefault="00C56DA9" w:rsidP="00C56DA9">
      <w:pPr>
        <w:tabs>
          <w:tab w:val="left" w:pos="709"/>
        </w:tabs>
        <w:spacing w:before="120" w:after="120" w:line="276" w:lineRule="auto"/>
        <w:ind w:firstLine="709"/>
        <w:jc w:val="both"/>
        <w:rPr>
          <w:rFonts w:ascii="Verdana" w:hAnsi="Verdana" w:cs="Arial"/>
          <w:shd w:val="clear" w:color="auto" w:fill="FFFFFF"/>
        </w:rPr>
      </w:pPr>
      <w:r w:rsidRPr="007D65AA">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7D65AA">
        <w:rPr>
          <w:rFonts w:ascii="Verdana" w:hAnsi="Verdana" w:cs="Arial"/>
          <w:shd w:val="clear" w:color="auto" w:fill="FFFFFF"/>
          <w:vertAlign w:val="superscript"/>
        </w:rPr>
        <w:footnoteReference w:id="7"/>
      </w:r>
      <w:r w:rsidRPr="007D65AA">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57E312DF" w14:textId="77777777" w:rsidR="00C56DA9" w:rsidRDefault="00C56DA9" w:rsidP="00C56DA9">
      <w:pPr>
        <w:tabs>
          <w:tab w:val="left" w:pos="709"/>
        </w:tabs>
        <w:spacing w:before="120" w:after="120" w:line="276" w:lineRule="auto"/>
        <w:ind w:firstLine="709"/>
        <w:jc w:val="both"/>
        <w:rPr>
          <w:rFonts w:ascii="Verdana" w:hAnsi="Verdana" w:cs="Arial"/>
          <w:shd w:val="clear" w:color="auto" w:fill="FFFFFF"/>
        </w:rPr>
      </w:pPr>
      <w:r w:rsidRPr="007D65AA">
        <w:rPr>
          <w:rFonts w:ascii="Verdana" w:hAnsi="Verdana" w:cs="Arial"/>
          <w:shd w:val="clear" w:color="auto" w:fill="FFFFFF"/>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3D57D538" w14:textId="77777777" w:rsidR="00C56DA9" w:rsidRDefault="00C56DA9" w:rsidP="00C56DA9">
      <w:pPr>
        <w:spacing w:line="276" w:lineRule="auto"/>
        <w:ind w:firstLine="567"/>
        <w:jc w:val="both"/>
        <w:rPr>
          <w:rFonts w:ascii="Verdana" w:hAnsi="Verdana" w:cs="Arial"/>
          <w:color w:val="000000"/>
        </w:rPr>
      </w:pPr>
      <w:r>
        <w:rPr>
          <w:rFonts w:ascii="Verdana" w:eastAsia="Calibri" w:hAnsi="Verdana" w:cs="Arial"/>
          <w:color w:val="000000" w:themeColor="text1"/>
        </w:rPr>
        <w:t>Ahora bien</w:t>
      </w:r>
      <w:r w:rsidRPr="0070566A">
        <w:rPr>
          <w:rFonts w:ascii="Verdana" w:eastAsia="Calibri" w:hAnsi="Verdana" w:cs="Arial"/>
          <w:color w:val="000000" w:themeColor="text1"/>
        </w:rPr>
        <w:t xml:space="preserve">, es importante advertir que, </w:t>
      </w:r>
      <w:r>
        <w:rPr>
          <w:rFonts w:ascii="Verdana" w:eastAsia="Calibri" w:hAnsi="Verdana" w:cs="Arial"/>
          <w:color w:val="000000" w:themeColor="text1"/>
        </w:rPr>
        <w:t xml:space="preserve">como se indicó, </w:t>
      </w:r>
      <w:r w:rsidRPr="0070566A">
        <w:rPr>
          <w:rFonts w:ascii="Verdana" w:eastAsia="Calibri" w:hAnsi="Verdana" w:cs="Arial"/>
          <w:color w:val="000000" w:themeColor="text1"/>
        </w:rPr>
        <w:t xml:space="preserve">dada la naturaleza publicitaria del SECOP I, las actuaciones contractuales se elaboran y gestionan por fuera de la plataforma, mediante documentos físicos o digitales que posteriormente se publican en el sistema con el fin de dar cumplimiento a las obligaciones de transparencia y publicidad que recaen sobre las entidades </w:t>
      </w:r>
      <w:r w:rsidRPr="0070566A">
        <w:rPr>
          <w:rFonts w:ascii="Verdana" w:eastAsia="Calibri" w:hAnsi="Verdana" w:cs="Arial"/>
          <w:color w:val="000000" w:themeColor="text1"/>
        </w:rPr>
        <w:lastRenderedPageBreak/>
        <w:t>estatales</w:t>
      </w:r>
      <w:r>
        <w:rPr>
          <w:rFonts w:ascii="Verdana" w:eastAsia="Calibri" w:hAnsi="Verdana" w:cs="Arial"/>
          <w:color w:val="000000" w:themeColor="text1"/>
        </w:rPr>
        <w:t xml:space="preserve"> y resulta ser el instrumento a partir del cual se </w:t>
      </w:r>
      <w:r w:rsidRPr="00C472F8">
        <w:rPr>
          <w:rFonts w:ascii="Verdana" w:hAnsi="Verdana" w:cs="Arial"/>
          <w:color w:val="000000"/>
        </w:rPr>
        <w:t>aplica</w:t>
      </w:r>
      <w:r>
        <w:rPr>
          <w:rFonts w:ascii="Verdana" w:hAnsi="Verdana" w:cs="Arial"/>
          <w:color w:val="000000"/>
        </w:rPr>
        <w:t>n</w:t>
      </w:r>
      <w:r w:rsidRPr="00C472F8">
        <w:rPr>
          <w:rFonts w:ascii="Verdana" w:hAnsi="Verdana" w:cs="Arial"/>
          <w:color w:val="000000"/>
        </w:rPr>
        <w:t xml:space="preserve"> las formalidades que se presentan en el marco de las etapas del proceso de contratación.</w:t>
      </w:r>
    </w:p>
    <w:p w14:paraId="6D9BA7DF" w14:textId="77777777" w:rsidR="00C56DA9" w:rsidRDefault="00C56DA9" w:rsidP="00C56DA9">
      <w:pPr>
        <w:spacing w:line="276" w:lineRule="auto"/>
        <w:ind w:firstLine="567"/>
        <w:jc w:val="both"/>
        <w:rPr>
          <w:rFonts w:ascii="Verdana" w:eastAsia="Calibri" w:hAnsi="Verdana" w:cs="Arial"/>
          <w:lang w:val="es-ES"/>
        </w:rPr>
      </w:pPr>
      <w:r>
        <w:rPr>
          <w:rFonts w:ascii="Verdana" w:hAnsi="Verdana" w:cs="Arial"/>
          <w:color w:val="000000"/>
        </w:rPr>
        <w:t xml:space="preserve">En esta línea, </w:t>
      </w:r>
      <w:r w:rsidRPr="00D92626">
        <w:rPr>
          <w:rFonts w:ascii="Verdana" w:eastAsia="Calibri" w:hAnsi="Verdana" w:cs="Arial"/>
          <w:lang w:val="es-ES"/>
        </w:rPr>
        <w:t xml:space="preserve">la implementación del SECOP I como plataforma </w:t>
      </w:r>
      <w:r>
        <w:rPr>
          <w:rFonts w:ascii="Verdana" w:eastAsia="Calibri" w:hAnsi="Verdana" w:cs="Arial"/>
          <w:lang w:val="es-ES"/>
        </w:rPr>
        <w:t>publicitaria</w:t>
      </w:r>
      <w:r w:rsidRPr="00D92626">
        <w:rPr>
          <w:rFonts w:ascii="Verdana" w:eastAsia="Calibri" w:hAnsi="Verdana" w:cs="Arial"/>
          <w:lang w:val="es-ES"/>
        </w:rPr>
        <w:t xml:space="preserve"> para la actividad contractual del Estado, </w:t>
      </w:r>
      <w:r>
        <w:rPr>
          <w:rFonts w:ascii="Verdana" w:eastAsia="Calibri" w:hAnsi="Verdana" w:cs="Arial"/>
          <w:lang w:val="es-ES"/>
        </w:rPr>
        <w:t>exige el cargue de los diferentes documentos que contienen</w:t>
      </w:r>
      <w:r w:rsidRPr="00D92626">
        <w:rPr>
          <w:rFonts w:ascii="Verdana" w:eastAsia="Calibri" w:hAnsi="Verdana" w:cs="Arial"/>
          <w:lang w:val="es-ES"/>
        </w:rPr>
        <w:t xml:space="preserve"> la</w:t>
      </w:r>
      <w:r>
        <w:rPr>
          <w:rFonts w:ascii="Verdana" w:eastAsia="Calibri" w:hAnsi="Verdana" w:cs="Arial"/>
          <w:lang w:val="es-ES"/>
        </w:rPr>
        <w:t>s</w:t>
      </w:r>
      <w:r w:rsidRPr="00D92626">
        <w:rPr>
          <w:rFonts w:ascii="Verdana" w:eastAsia="Calibri" w:hAnsi="Verdana" w:cs="Arial"/>
          <w:lang w:val="es-ES"/>
        </w:rPr>
        <w:t xml:space="preserve"> </w:t>
      </w:r>
      <w:r>
        <w:rPr>
          <w:rFonts w:ascii="Verdana" w:eastAsia="Calibri" w:hAnsi="Verdana" w:cs="Arial"/>
          <w:lang w:val="es-ES"/>
        </w:rPr>
        <w:t>modificaciones del contrato</w:t>
      </w:r>
      <w:r w:rsidRPr="00D92626">
        <w:rPr>
          <w:rFonts w:ascii="Verdana" w:eastAsia="Calibri" w:hAnsi="Verdana" w:cs="Arial"/>
          <w:lang w:val="es-ES"/>
        </w:rPr>
        <w:t xml:space="preserve"> y su consecuente aprobación o rechazo</w:t>
      </w:r>
      <w:r>
        <w:rPr>
          <w:rFonts w:ascii="Verdana" w:eastAsia="Calibri" w:hAnsi="Verdana" w:cs="Arial"/>
          <w:lang w:val="es-ES"/>
        </w:rPr>
        <w:t>, así como las demás actuaciones, como la aprobación de garantías, puesta en ejecución del contrato, terminación, liquidación y cierre del expediente</w:t>
      </w:r>
      <w:r w:rsidRPr="00D92626">
        <w:rPr>
          <w:rFonts w:ascii="Verdana" w:eastAsia="Calibri" w:hAnsi="Verdana" w:cs="Arial"/>
          <w:lang w:val="es-ES"/>
        </w:rPr>
        <w:t xml:space="preserve">. </w:t>
      </w:r>
      <w:r>
        <w:rPr>
          <w:rFonts w:ascii="Verdana" w:eastAsia="Calibri" w:hAnsi="Verdana" w:cs="Arial"/>
          <w:lang w:val="es-ES"/>
        </w:rPr>
        <w:t xml:space="preserve">Es decir, mediante el SECOP I resulta posible evidenciar en qué estado se encuentra el contrato: </w:t>
      </w:r>
      <w:r w:rsidRPr="00D63026">
        <w:rPr>
          <w:rFonts w:ascii="Verdana" w:eastAsia="Calibri" w:hAnsi="Verdana" w:cs="Arial"/>
        </w:rPr>
        <w:t>convocado, celebrado, en ejecución y terminado/cerrado</w:t>
      </w:r>
      <w:r>
        <w:rPr>
          <w:rFonts w:ascii="Verdana" w:eastAsia="Calibri" w:hAnsi="Verdana" w:cs="Arial"/>
          <w:lang w:val="es-ES"/>
        </w:rPr>
        <w:t xml:space="preserve">, entre otros. </w:t>
      </w:r>
    </w:p>
    <w:p w14:paraId="078410BF" w14:textId="77777777" w:rsidR="00C56DA9" w:rsidRPr="000A201B" w:rsidRDefault="00C56DA9" w:rsidP="00C56DA9">
      <w:pPr>
        <w:spacing w:line="276" w:lineRule="auto"/>
        <w:ind w:firstLine="567"/>
        <w:jc w:val="both"/>
        <w:rPr>
          <w:rFonts w:ascii="Verdana" w:hAnsi="Verdana" w:cs="Arial"/>
          <w:color w:val="000000" w:themeColor="text1"/>
        </w:rPr>
      </w:pPr>
      <w:r>
        <w:rPr>
          <w:rFonts w:ascii="Verdana" w:eastAsia="Calibri" w:hAnsi="Verdana" w:cs="Arial"/>
          <w:lang w:val="es-ES"/>
        </w:rPr>
        <w:t xml:space="preserve">En ese contexto, y en atención al objeto de la presente consulta, se señala que </w:t>
      </w:r>
      <w:r w:rsidRPr="000A201B">
        <w:rPr>
          <w:rFonts w:ascii="Verdana" w:hAnsi="Verdana" w:cs="Arial"/>
          <w:color w:val="000000" w:themeColor="text1"/>
        </w:rPr>
        <w:t>después de la terminación del contrato estatal se presentan ciertas actuaciones que la entidad debe realizar por mandato legal, o que deben realizar las partes en virtud del acuerdo de voluntades.</w:t>
      </w:r>
      <w:r w:rsidRPr="000A201B">
        <w:rPr>
          <w:rFonts w:ascii="Verdana" w:hAnsi="Verdana"/>
          <w:color w:val="000000" w:themeColor="text1"/>
        </w:rPr>
        <w:t xml:space="preserve"> </w:t>
      </w:r>
      <w:r w:rsidRPr="000A201B">
        <w:rPr>
          <w:rFonts w:ascii="Verdana" w:hAnsi="Verdana" w:cs="Arial"/>
          <w:color w:val="000000" w:themeColor="text1"/>
        </w:rPr>
        <w:t>Por regla general, estas actuaciones están contenidas en documentos, como, por ejemplo: i) el acta de recibo final</w:t>
      </w:r>
      <w:r>
        <w:rPr>
          <w:rFonts w:ascii="Verdana" w:hAnsi="Verdana" w:cs="Arial"/>
          <w:color w:val="000000" w:themeColor="text1"/>
        </w:rPr>
        <w:t xml:space="preserve"> o de satisfacción</w:t>
      </w:r>
      <w:r w:rsidRPr="000A201B">
        <w:rPr>
          <w:rFonts w:ascii="Verdana" w:hAnsi="Verdana" w:cs="Arial"/>
          <w:color w:val="000000" w:themeColor="text1"/>
        </w:rPr>
        <w:t xml:space="preserve"> del contrato, ii) </w:t>
      </w:r>
      <w:r>
        <w:rPr>
          <w:rFonts w:ascii="Verdana" w:hAnsi="Verdana" w:cs="Arial"/>
          <w:color w:val="000000" w:themeColor="text1"/>
        </w:rPr>
        <w:t xml:space="preserve">la </w:t>
      </w:r>
      <w:r w:rsidRPr="000A201B">
        <w:rPr>
          <w:rFonts w:ascii="Verdana" w:hAnsi="Verdana" w:cs="Arial"/>
          <w:color w:val="000000" w:themeColor="text1"/>
        </w:rPr>
        <w:t>liquidación, y iii) la constancia de cierre del expediente.</w:t>
      </w:r>
    </w:p>
    <w:p w14:paraId="7083373E" w14:textId="77777777" w:rsidR="00C56DA9" w:rsidRDefault="00C56DA9" w:rsidP="00C56DA9">
      <w:pPr>
        <w:spacing w:before="120" w:after="0" w:line="276" w:lineRule="auto"/>
        <w:ind w:firstLine="567"/>
        <w:jc w:val="both"/>
        <w:rPr>
          <w:rFonts w:ascii="Verdana" w:hAnsi="Verdana" w:cs="Arial"/>
          <w:color w:val="000000" w:themeColor="text1"/>
        </w:rPr>
      </w:pPr>
      <w:r w:rsidRPr="00A34CBC">
        <w:rPr>
          <w:rFonts w:ascii="Verdana" w:hAnsi="Verdana" w:cs="Arial"/>
          <w:color w:val="000000"/>
        </w:rPr>
        <w:t>El acta de recibo final del objeto del contrato no está regulada por las</w:t>
      </w:r>
      <w:r w:rsidRPr="000A201B">
        <w:rPr>
          <w:rFonts w:ascii="Verdana" w:hAnsi="Verdana" w:cs="Arial"/>
          <w:color w:val="000000" w:themeColor="text1"/>
        </w:rPr>
        <w:t xml:space="preserve"> normas de contratación pública. Sin embargo, en virtud de la autonomía de la voluntad, la entidad y el contratista pueden acordar su suscripción, con el objeto de facilitar la verificación de la ejecución de las obligaciones a cargo de aquel. Este documento también es útil para liquidar el contrato</w:t>
      </w:r>
      <w:r>
        <w:rPr>
          <w:rFonts w:ascii="Verdana" w:hAnsi="Verdana" w:cs="Arial"/>
          <w:color w:val="000000" w:themeColor="text1"/>
        </w:rPr>
        <w:t>, así como para determinar el inicio de la cobertura del amparo de calidad y estabilidad de la obra</w:t>
      </w:r>
      <w:r w:rsidRPr="000A201B">
        <w:rPr>
          <w:rFonts w:ascii="Verdana" w:hAnsi="Verdana" w:cs="Arial"/>
          <w:color w:val="000000" w:themeColor="text1"/>
        </w:rPr>
        <w:t>. La Sección Tercer</w:t>
      </w:r>
      <w:r>
        <w:rPr>
          <w:rFonts w:ascii="Verdana" w:hAnsi="Verdana" w:cs="Arial"/>
          <w:color w:val="000000" w:themeColor="text1"/>
        </w:rPr>
        <w:t>a del Consejo de Estado, en S</w:t>
      </w:r>
      <w:r w:rsidRPr="000A201B">
        <w:rPr>
          <w:rFonts w:ascii="Verdana" w:hAnsi="Verdana" w:cs="Arial"/>
          <w:color w:val="000000" w:themeColor="text1"/>
        </w:rPr>
        <w:t>entencia del 28 de febrero de 2013</w:t>
      </w:r>
      <w:r w:rsidRPr="000A201B">
        <w:rPr>
          <w:rStyle w:val="Refdenotaalpie"/>
          <w:rFonts w:ascii="Verdana" w:hAnsi="Verdana" w:cs="Arial"/>
          <w:color w:val="000000" w:themeColor="text1"/>
        </w:rPr>
        <w:footnoteReference w:id="8"/>
      </w:r>
      <w:r w:rsidRPr="000A201B">
        <w:rPr>
          <w:rFonts w:ascii="Verdana" w:hAnsi="Verdana" w:cs="Arial"/>
          <w:color w:val="000000" w:themeColor="text1"/>
        </w:rPr>
        <w:t>, indicó:</w:t>
      </w:r>
    </w:p>
    <w:p w14:paraId="74EB26C7" w14:textId="77777777" w:rsidR="00C56DA9" w:rsidRDefault="00C56DA9" w:rsidP="00C56DA9">
      <w:pPr>
        <w:spacing w:after="0" w:line="276" w:lineRule="auto"/>
        <w:ind w:firstLine="567"/>
        <w:jc w:val="both"/>
        <w:rPr>
          <w:rFonts w:ascii="Verdana" w:hAnsi="Verdana" w:cs="Arial"/>
          <w:color w:val="000000" w:themeColor="text1"/>
        </w:rPr>
      </w:pPr>
    </w:p>
    <w:p w14:paraId="7C3B97CD" w14:textId="77777777" w:rsidR="00C56DA9" w:rsidRPr="000A201B" w:rsidRDefault="00C56DA9" w:rsidP="00C56DA9">
      <w:pPr>
        <w:tabs>
          <w:tab w:val="left" w:pos="8080"/>
        </w:tabs>
        <w:spacing w:after="0" w:line="240" w:lineRule="auto"/>
        <w:ind w:left="709" w:right="709"/>
        <w:jc w:val="both"/>
        <w:rPr>
          <w:rFonts w:ascii="Verdana" w:hAnsi="Verdana" w:cs="Arial"/>
          <w:color w:val="000000" w:themeColor="text1"/>
          <w:sz w:val="21"/>
          <w:szCs w:val="21"/>
        </w:rPr>
      </w:pPr>
      <w:r w:rsidRPr="000A201B">
        <w:rPr>
          <w:rFonts w:ascii="Verdana" w:hAnsi="Verdana" w:cs="Arial"/>
          <w:color w:val="000000" w:themeColor="text1"/>
          <w:sz w:val="21"/>
          <w:szCs w:val="21"/>
        </w:rPr>
        <w:t xml:space="preserve">Es decir que dicha acta de recibo final es concebida como un medio de verificación de la ejecución del objeto contractual, para determinar si el mismo se efectuó cabalmente y de acuerdo con las especificaciones pactadas en el contrato, lo que significa que dicha acta constituye un elemento anterior y útil para la liquidación de los contratos, puesto que a través de ella se constata cualitativa y cuantitativamente el cumplimiento de las prestaciones a cargo del contratista como paso previo para efectuar el respectivo corte de cuentas que implica la </w:t>
      </w:r>
      <w:r w:rsidRPr="000A201B">
        <w:rPr>
          <w:rFonts w:ascii="Verdana" w:hAnsi="Verdana" w:cs="Arial"/>
          <w:color w:val="000000" w:themeColor="text1"/>
          <w:sz w:val="21"/>
          <w:szCs w:val="21"/>
        </w:rPr>
        <w:lastRenderedPageBreak/>
        <w:t>liquidación del contrato aunque en algunas ocasiones, las partes de hecho liquidan el contrato en la que denominan acta de recibo final.</w:t>
      </w:r>
    </w:p>
    <w:p w14:paraId="153B88E3" w14:textId="77777777" w:rsidR="00C56DA9" w:rsidRDefault="00C56DA9" w:rsidP="00C56DA9">
      <w:pPr>
        <w:spacing w:after="0" w:line="276" w:lineRule="auto"/>
        <w:ind w:firstLine="709"/>
        <w:jc w:val="both"/>
        <w:rPr>
          <w:rFonts w:ascii="Verdana" w:hAnsi="Verdana" w:cs="Arial"/>
          <w:color w:val="000000" w:themeColor="text1"/>
        </w:rPr>
      </w:pPr>
    </w:p>
    <w:p w14:paraId="27FF3838" w14:textId="77777777" w:rsidR="00C56DA9" w:rsidRDefault="00C56DA9" w:rsidP="00C56DA9">
      <w:pPr>
        <w:spacing w:line="276" w:lineRule="auto"/>
        <w:ind w:firstLine="709"/>
        <w:jc w:val="both"/>
        <w:rPr>
          <w:rFonts w:ascii="Verdana" w:hAnsi="Verdana" w:cs="Arial"/>
          <w:color w:val="000000" w:themeColor="text1"/>
        </w:rPr>
      </w:pPr>
      <w:r w:rsidRPr="000A201B">
        <w:rPr>
          <w:rFonts w:ascii="Verdana" w:hAnsi="Verdana" w:cs="Arial"/>
          <w:color w:val="000000" w:themeColor="text1"/>
        </w:rPr>
        <w:t>El acta de recibo final es un elemento accidental del contrato estatal</w:t>
      </w:r>
      <w:r w:rsidRPr="000A201B">
        <w:rPr>
          <w:rStyle w:val="Refdenotaalpie"/>
          <w:rFonts w:ascii="Verdana" w:hAnsi="Verdana" w:cs="Arial"/>
          <w:color w:val="000000" w:themeColor="text1"/>
        </w:rPr>
        <w:footnoteReference w:id="9"/>
      </w:r>
      <w:r w:rsidRPr="000A201B">
        <w:rPr>
          <w:rFonts w:ascii="Verdana" w:hAnsi="Verdana" w:cs="Arial"/>
          <w:color w:val="000000" w:themeColor="text1"/>
        </w:rPr>
        <w:t>, pues, de acuerdo con las cláusulas pactadas en el mismo, las partes la utilizan dentro del negocio jurídico, por un lado, para verificar la ejecución del contrato cualitativa y cuantitativamente y, por el otro, como insumo para definir las prestaciones a cargo de cada una de ellas.</w:t>
      </w:r>
      <w:r>
        <w:rPr>
          <w:rFonts w:ascii="Verdana" w:hAnsi="Verdana" w:cs="Arial"/>
          <w:color w:val="000000" w:themeColor="text1"/>
        </w:rPr>
        <w:t xml:space="preserve"> </w:t>
      </w:r>
    </w:p>
    <w:p w14:paraId="051C8853" w14:textId="77777777" w:rsidR="00C56DA9" w:rsidRDefault="00C56DA9" w:rsidP="00C56DA9">
      <w:pPr>
        <w:spacing w:before="120" w:line="276" w:lineRule="auto"/>
        <w:ind w:firstLine="708"/>
        <w:jc w:val="both"/>
        <w:rPr>
          <w:rFonts w:ascii="Verdana" w:hAnsi="Verdana" w:cs="Arial"/>
          <w:color w:val="000000" w:themeColor="text1"/>
        </w:rPr>
      </w:pPr>
      <w:r>
        <w:rPr>
          <w:rFonts w:ascii="Verdana" w:eastAsia="Times New Roman" w:hAnsi="Verdana" w:cs="Arial"/>
          <w:color w:val="000000"/>
        </w:rPr>
        <w:t>Por otro lado, la</w:t>
      </w:r>
      <w:r w:rsidRPr="00303985">
        <w:rPr>
          <w:rFonts w:ascii="Verdana" w:eastAsia="Times New Roman" w:hAnsi="Verdana" w:cs="Arial"/>
          <w:color w:val="000000"/>
          <w:lang w:val="es-ES"/>
        </w:rPr>
        <w:t xml:space="preserve">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Pr="00303985">
        <w:rPr>
          <w:rFonts w:ascii="Verdana" w:eastAsia="Times New Roman" w:hAnsi="Verdana" w:cs="Arial"/>
          <w:color w:val="000000"/>
          <w:vertAlign w:val="superscript"/>
          <w:lang w:val="es-ES"/>
        </w:rPr>
        <w:footnoteReference w:id="10"/>
      </w:r>
      <w:r w:rsidRPr="00303985">
        <w:rPr>
          <w:rFonts w:ascii="Verdana" w:eastAsia="Times New Roman" w:hAnsi="Verdana" w:cs="Arial"/>
          <w:color w:val="000000"/>
          <w:lang w:val="es-ES"/>
        </w:rPr>
        <w:t xml:space="preserve">. </w:t>
      </w:r>
      <w:r w:rsidRPr="00303985">
        <w:rPr>
          <w:rFonts w:ascii="Verdana" w:eastAsia="Times New Roman" w:hAnsi="Verdana" w:cs="Arial"/>
          <w:color w:val="000000"/>
          <w:szCs w:val="24"/>
          <w:lang w:val="es-ES_tradnl" w:eastAsia="es-ES_tradnl"/>
        </w:rPr>
        <w:t>Según l</w:t>
      </w:r>
      <w:r>
        <w:rPr>
          <w:rFonts w:ascii="Verdana" w:eastAsia="Times New Roman" w:hAnsi="Verdana" w:cs="Arial"/>
          <w:color w:val="000000"/>
          <w:szCs w:val="24"/>
          <w:lang w:val="es-ES_tradnl" w:eastAsia="es-ES_tradnl"/>
        </w:rPr>
        <w:t>o expuesto</w:t>
      </w:r>
      <w:r w:rsidRPr="00303985">
        <w:rPr>
          <w:rFonts w:ascii="Verdana" w:eastAsia="Times New Roman" w:hAnsi="Verdana" w:cs="Arial"/>
          <w:color w:val="000000"/>
          <w:szCs w:val="24"/>
          <w:lang w:val="es-ES_tradnl" w:eastAsia="es-ES_tradnl"/>
        </w:rPr>
        <w:t xml:space="preserve">,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303985">
        <w:rPr>
          <w:rFonts w:ascii="Verdana" w:eastAsia="Times New Roman" w:hAnsi="Verdana" w:cs="Arial"/>
          <w:i/>
          <w:iCs/>
          <w:color w:val="000000"/>
          <w:szCs w:val="24"/>
          <w:lang w:val="es-ES_tradnl" w:eastAsia="es-ES_tradnl"/>
        </w:rPr>
        <w:t>liquidar</w:t>
      </w:r>
      <w:r w:rsidRPr="00303985">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303985">
        <w:rPr>
          <w:rFonts w:ascii="Verdana" w:eastAsia="Times New Roman" w:hAnsi="Verdana" w:cs="Arial"/>
          <w:i/>
          <w:iCs/>
          <w:color w:val="000000"/>
          <w:szCs w:val="24"/>
          <w:lang w:val="es-ES_tradnl" w:eastAsia="es-ES_tradnl"/>
        </w:rPr>
        <w:t>liquidación</w:t>
      </w:r>
      <w:r w:rsidRPr="00303985">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303985">
        <w:rPr>
          <w:rFonts w:ascii="Verdana" w:eastAsia="Times New Roman" w:hAnsi="Verdana" w:cs="Arial"/>
          <w:color w:val="000000"/>
          <w:szCs w:val="24"/>
          <w:vertAlign w:val="superscript"/>
          <w:lang w:val="es-ES_tradnl" w:eastAsia="es-ES_tradnl"/>
        </w:rPr>
        <w:footnoteReference w:id="11"/>
      </w:r>
      <w:r w:rsidRPr="00303985">
        <w:rPr>
          <w:rFonts w:ascii="Verdana" w:eastAsia="Times New Roman" w:hAnsi="Verdana" w:cs="Arial"/>
          <w:color w:val="000000"/>
          <w:szCs w:val="24"/>
          <w:lang w:val="es-ES_tradnl" w:eastAsia="es-ES_tradnl"/>
        </w:rPr>
        <w:t xml:space="preserve">. </w:t>
      </w:r>
    </w:p>
    <w:p w14:paraId="32A692AC" w14:textId="77777777" w:rsidR="00C56DA9" w:rsidRDefault="00C56DA9" w:rsidP="00C56DA9">
      <w:pPr>
        <w:spacing w:before="120" w:line="276" w:lineRule="auto"/>
        <w:ind w:firstLine="708"/>
        <w:jc w:val="both"/>
        <w:rPr>
          <w:rFonts w:ascii="Verdana" w:eastAsia="Times New Roman" w:hAnsi="Verdana" w:cs="Arial"/>
          <w:color w:val="000000"/>
          <w:lang w:val="es-ES"/>
        </w:rPr>
      </w:pPr>
      <w:r>
        <w:rPr>
          <w:rFonts w:ascii="Verdana" w:hAnsi="Verdana" w:cs="Arial"/>
          <w:color w:val="000000" w:themeColor="text1"/>
        </w:rPr>
        <w:t xml:space="preserve">Teniendo en cuenta lo que implica la liquidación dentro </w:t>
      </w:r>
      <w:r>
        <w:rPr>
          <w:rFonts w:ascii="Verdana" w:eastAsia="Calibri" w:hAnsi="Verdana" w:cs="Arial"/>
          <w:lang w:val="es-ES"/>
        </w:rPr>
        <w:t xml:space="preserve">de la etapa de la contratación estatal la Agencia reitera que corresponde a </w:t>
      </w:r>
      <w:r w:rsidRPr="00EB074D">
        <w:rPr>
          <w:rFonts w:ascii="Verdana" w:eastAsia="Calibri" w:hAnsi="Verdana" w:cs="Arial"/>
        </w:rPr>
        <w:t xml:space="preserve">la Entidad Estatal </w:t>
      </w:r>
      <w:r>
        <w:rPr>
          <w:rFonts w:ascii="Verdana" w:eastAsia="Calibri" w:hAnsi="Verdana" w:cs="Arial"/>
        </w:rPr>
        <w:lastRenderedPageBreak/>
        <w:t xml:space="preserve">realizar </w:t>
      </w:r>
      <w:r w:rsidRPr="00EB074D">
        <w:rPr>
          <w:rFonts w:ascii="Verdana" w:eastAsia="Calibri" w:hAnsi="Verdana" w:cs="Arial"/>
        </w:rPr>
        <w:t>esta</w:t>
      </w:r>
      <w:r>
        <w:rPr>
          <w:rFonts w:ascii="Verdana" w:eastAsia="Calibri" w:hAnsi="Verdana" w:cs="Arial"/>
        </w:rPr>
        <w:t xml:space="preserve">s </w:t>
      </w:r>
      <w:r w:rsidRPr="00EB074D">
        <w:rPr>
          <w:rFonts w:ascii="Verdana" w:eastAsia="Calibri" w:hAnsi="Verdana" w:cs="Arial"/>
        </w:rPr>
        <w:t xml:space="preserve">modificaciones en </w:t>
      </w:r>
      <w:r>
        <w:rPr>
          <w:rFonts w:ascii="Verdana" w:eastAsia="Calibri" w:hAnsi="Verdana" w:cs="Arial"/>
        </w:rPr>
        <w:t>SECOP I</w:t>
      </w:r>
      <w:r w:rsidRPr="00EB074D">
        <w:rPr>
          <w:rFonts w:ascii="Verdana" w:eastAsia="Calibri" w:hAnsi="Verdana" w:cs="Arial"/>
        </w:rPr>
        <w:t>,</w:t>
      </w:r>
      <w:r>
        <w:rPr>
          <w:rFonts w:ascii="Verdana" w:eastAsia="Calibri" w:hAnsi="Verdana" w:cs="Arial"/>
        </w:rPr>
        <w:t xml:space="preserve"> que implica</w:t>
      </w:r>
      <w:r w:rsidRPr="00EB074D">
        <w:rPr>
          <w:rFonts w:ascii="Verdana" w:eastAsia="Calibri" w:hAnsi="Verdana" w:cs="Arial"/>
        </w:rPr>
        <w:t xml:space="preserve"> cambiar el estado del contrato a “</w:t>
      </w:r>
      <w:r>
        <w:rPr>
          <w:rFonts w:ascii="Verdana" w:eastAsia="Calibri" w:hAnsi="Verdana" w:cs="Arial"/>
        </w:rPr>
        <w:t>Cerrado</w:t>
      </w:r>
      <w:r w:rsidRPr="00EB074D">
        <w:rPr>
          <w:rFonts w:ascii="Verdana" w:eastAsia="Calibri" w:hAnsi="Verdana" w:cs="Arial"/>
        </w:rPr>
        <w:t>” y si</w:t>
      </w:r>
      <w:r>
        <w:rPr>
          <w:rFonts w:ascii="Verdana" w:eastAsia="Calibri" w:hAnsi="Verdana" w:cs="Arial"/>
        </w:rPr>
        <w:t xml:space="preserve"> </w:t>
      </w:r>
      <w:r w:rsidRPr="00EB074D">
        <w:rPr>
          <w:rFonts w:ascii="Verdana" w:eastAsia="Calibri" w:hAnsi="Verdana" w:cs="Arial"/>
        </w:rPr>
        <w:t>tiene disponibles los documentos relacionados con la terminación o con la liquidación, si aplica.</w:t>
      </w:r>
      <w:r>
        <w:rPr>
          <w:rFonts w:ascii="Verdana" w:eastAsia="Calibri" w:hAnsi="Verdana" w:cs="Arial"/>
        </w:rPr>
        <w:t xml:space="preserve"> </w:t>
      </w:r>
      <w:r w:rsidRPr="0071235D">
        <w:rPr>
          <w:rFonts w:ascii="Verdana" w:eastAsia="Times New Roman" w:hAnsi="Verdana" w:cs="Arial"/>
          <w:color w:val="000000"/>
        </w:rPr>
        <w:t>Por su parte, el artículo 2.2.1.1.2.4.3 del Decreto 1082 de 2015</w:t>
      </w:r>
      <w:r>
        <w:rPr>
          <w:rFonts w:ascii="Verdana" w:eastAsia="Times New Roman" w:hAnsi="Verdana" w:cs="Arial"/>
          <w:color w:val="000000"/>
        </w:rPr>
        <w:t xml:space="preserve"> señala que</w:t>
      </w:r>
      <w:r w:rsidRPr="0071235D">
        <w:rPr>
          <w:rFonts w:ascii="Verdana" w:eastAsia="Times New Roman" w:hAnsi="Verdana" w:cs="Arial"/>
          <w:color w:val="000000"/>
        </w:rPr>
        <w:t xml:space="preserve"> el </w:t>
      </w:r>
      <w:r w:rsidRPr="0071235D">
        <w:rPr>
          <w:rFonts w:ascii="Verdana" w:eastAsia="Times New Roman" w:hAnsi="Verdana" w:cs="Arial"/>
          <w:i/>
          <w:iCs/>
          <w:color w:val="000000"/>
        </w:rPr>
        <w:t>cierre del expediente</w:t>
      </w:r>
      <w:r w:rsidRPr="0071235D">
        <w:rPr>
          <w:rFonts w:ascii="Verdana" w:eastAsia="Times New Roman" w:hAnsi="Verdana" w:cs="Arial"/>
          <w:color w:val="000000"/>
        </w:rPr>
        <w:t xml:space="preserve"> es un acto de trámite que realiza la entidad estatal cuando han vencido, por un lado, las garantías de calidad, estabilidad y mantenimiento, o por el otro, cuando se establecieron condiciones de disposición final o recuperación ambiental de las obras o bienes. Se trata de una constancia administrativa que culmina las actuaciones contractuales</w:t>
      </w:r>
      <w:r w:rsidRPr="0071235D">
        <w:rPr>
          <w:rFonts w:ascii="Verdana" w:eastAsia="Times New Roman" w:hAnsi="Verdana" w:cs="Arial"/>
          <w:color w:val="000000"/>
          <w:vertAlign w:val="superscript"/>
        </w:rPr>
        <w:footnoteReference w:id="12"/>
      </w:r>
      <w:r w:rsidRPr="0071235D">
        <w:rPr>
          <w:rFonts w:ascii="Verdana" w:eastAsia="Times New Roman" w:hAnsi="Verdana" w:cs="Arial"/>
          <w:color w:val="000000"/>
        </w:rPr>
        <w:t xml:space="preserve">. </w:t>
      </w:r>
      <w:r>
        <w:rPr>
          <w:rFonts w:ascii="Verdana" w:eastAsia="Times New Roman" w:hAnsi="Verdana" w:cs="Arial"/>
          <w:color w:val="000000"/>
          <w:lang w:val="es-ES"/>
        </w:rPr>
        <w:t xml:space="preserve">en el caso del cierre del expediente contractual, es importante tener presente que </w:t>
      </w:r>
      <w:r w:rsidRPr="00CA3F96">
        <w:rPr>
          <w:rFonts w:ascii="Verdana" w:eastAsia="Times New Roman" w:hAnsi="Verdana" w:cs="Arial"/>
          <w:color w:val="000000"/>
          <w:lang w:val="es-ES"/>
        </w:rPr>
        <w:t xml:space="preserve">es un documento administrativo que busca cerrar el expediente contractual electrónico de un proceso de contratación. </w:t>
      </w:r>
    </w:p>
    <w:p w14:paraId="3B55A501" w14:textId="77777777" w:rsidR="00C56DA9" w:rsidRDefault="00C56DA9" w:rsidP="00C56DA9">
      <w:pPr>
        <w:spacing w:before="120" w:line="276" w:lineRule="auto"/>
        <w:ind w:firstLine="708"/>
        <w:jc w:val="both"/>
        <w:rPr>
          <w:rFonts w:ascii="Verdana" w:eastAsia="Calibri" w:hAnsi="Verdana" w:cs="Arial"/>
        </w:rPr>
      </w:pPr>
      <w:r>
        <w:rPr>
          <w:rFonts w:ascii="Verdana" w:eastAsia="Times New Roman" w:hAnsi="Verdana" w:cs="Arial"/>
          <w:color w:val="000000"/>
          <w:lang w:val="es-ES"/>
        </w:rPr>
        <w:t xml:space="preserve">Para que proceda el cierre del expediente contractual </w:t>
      </w:r>
      <w:r w:rsidRPr="000A201B">
        <w:rPr>
          <w:rFonts w:ascii="Verdana" w:eastAsia="Calibri" w:hAnsi="Verdana" w:cs="Arial"/>
        </w:rPr>
        <w:t xml:space="preserve">en la plataforma SECOP I de los procesos </w:t>
      </w:r>
      <w:r>
        <w:rPr>
          <w:rFonts w:ascii="Verdana" w:eastAsia="Calibri" w:hAnsi="Verdana" w:cs="Arial"/>
        </w:rPr>
        <w:t xml:space="preserve">es necesario </w:t>
      </w:r>
      <w:r w:rsidRPr="000A201B">
        <w:rPr>
          <w:rFonts w:ascii="Verdana" w:eastAsia="Calibri" w:hAnsi="Verdana" w:cs="Arial"/>
        </w:rPr>
        <w:t xml:space="preserve">que </w:t>
      </w:r>
      <w:r>
        <w:rPr>
          <w:rFonts w:ascii="Verdana" w:eastAsia="Calibri" w:hAnsi="Verdana" w:cs="Arial"/>
        </w:rPr>
        <w:t xml:space="preserve">se </w:t>
      </w:r>
      <w:r w:rsidRPr="000A201B">
        <w:rPr>
          <w:rFonts w:ascii="Verdana" w:eastAsia="Calibri" w:hAnsi="Verdana" w:cs="Arial"/>
        </w:rPr>
        <w:t xml:space="preserve">hayan cumplido con las obligaciones post-contractuales y de los contratos cuyo plazo de ejecución haya finalizado y no requiera de liquidación o no se encuentren obligaciones post-contractuales pendientes, por lo que el cierre del proceso dependerá </w:t>
      </w:r>
      <w:r>
        <w:rPr>
          <w:rFonts w:ascii="Verdana" w:eastAsia="Calibri" w:hAnsi="Verdana" w:cs="Arial"/>
        </w:rPr>
        <w:t xml:space="preserve">de </w:t>
      </w:r>
      <w:r w:rsidRPr="000A201B">
        <w:rPr>
          <w:rFonts w:ascii="Verdana" w:eastAsia="Calibri" w:hAnsi="Verdana" w:cs="Arial"/>
        </w:rPr>
        <w:t>la causal de terminación y de las disposiciones específicas del contrato</w:t>
      </w:r>
      <w:r>
        <w:rPr>
          <w:rFonts w:ascii="Verdana" w:eastAsia="Calibri" w:hAnsi="Verdana" w:cs="Arial"/>
        </w:rPr>
        <w:t>. En esta línea, aun cuando la Circular Externa 05 del 1 de noviembre de 2024 hace expresa referencia al trámite de cierre del expediente en el SECOP II, lo expresado allí también aplicaría para los contratos surtidos en SECOP I, en la medida en que el cierre del contrato puede aplicar en los siguientes supuestos:</w:t>
      </w:r>
      <w:r w:rsidRPr="00931E75">
        <w:t xml:space="preserve"> </w:t>
      </w:r>
      <w:r>
        <w:rPr>
          <w:rFonts w:ascii="Verdana" w:eastAsia="Calibri" w:hAnsi="Verdana" w:cs="Arial"/>
        </w:rPr>
        <w:t>a)</w:t>
      </w:r>
      <w:r w:rsidRPr="00931E75">
        <w:rPr>
          <w:rFonts w:ascii="Verdana" w:eastAsia="Calibri" w:hAnsi="Verdana" w:cs="Arial"/>
        </w:rPr>
        <w:t xml:space="preserve"> </w:t>
      </w:r>
      <w:r w:rsidRPr="00A82C03">
        <w:rPr>
          <w:rFonts w:ascii="Verdana" w:eastAsia="Calibri" w:hAnsi="Verdana" w:cs="Arial"/>
        </w:rPr>
        <w:t xml:space="preserve">Cerrar los expedientes electrónicos de los contratos que hayan cumplido con las </w:t>
      </w:r>
      <w:r>
        <w:rPr>
          <w:rFonts w:ascii="Verdana" w:eastAsia="Calibri" w:hAnsi="Verdana" w:cs="Arial"/>
        </w:rPr>
        <w:t xml:space="preserve">obligaciones post-contractuales, a las que prescribe el artículo </w:t>
      </w:r>
      <w:r w:rsidRPr="00A82C03">
        <w:rPr>
          <w:rFonts w:ascii="Verdana" w:eastAsia="Calibri" w:hAnsi="Verdana" w:cs="Arial"/>
        </w:rPr>
        <w:t>2.2.1.1.2</w:t>
      </w:r>
      <w:r>
        <w:rPr>
          <w:rFonts w:ascii="Verdana" w:eastAsia="Calibri" w:hAnsi="Verdana" w:cs="Arial"/>
        </w:rPr>
        <w:t>.4.3 del Decreto 1082 de 2015; b)</w:t>
      </w:r>
      <w:r w:rsidRPr="00A82C03">
        <w:rPr>
          <w:rFonts w:ascii="Verdana" w:eastAsia="Calibri" w:hAnsi="Verdana" w:cs="Arial"/>
        </w:rPr>
        <w:t xml:space="preserve"> Cerrar los expedientes electrónicos de los contratos cuyo plazo de ejecución y término para liquidar hayan finalizado, </w:t>
      </w:r>
      <w:r>
        <w:rPr>
          <w:rFonts w:ascii="Verdana" w:eastAsia="Calibri" w:hAnsi="Verdana" w:cs="Arial"/>
        </w:rPr>
        <w:t xml:space="preserve">que no </w:t>
      </w:r>
      <w:r w:rsidRPr="00A82C03">
        <w:rPr>
          <w:rFonts w:ascii="Verdana" w:eastAsia="Calibri" w:hAnsi="Verdana" w:cs="Arial"/>
        </w:rPr>
        <w:t>se hayan incluido garantías de calidad, estabilidad y mantenimiento, ni o</w:t>
      </w:r>
      <w:r>
        <w:rPr>
          <w:rFonts w:ascii="Verdana" w:eastAsia="Calibri" w:hAnsi="Verdana" w:cs="Arial"/>
        </w:rPr>
        <w:t>bligaciones post-contractuales; c)</w:t>
      </w:r>
      <w:r w:rsidRPr="00A82C03">
        <w:rPr>
          <w:rFonts w:ascii="Verdana" w:eastAsia="Calibri" w:hAnsi="Verdana" w:cs="Arial"/>
        </w:rPr>
        <w:t xml:space="preserve"> Cerrar el expediente electrónico de los contratos cuyo plazo de ejecución haya finalizado, que no requieran de liquidación o no se encuentren pendientes obligaciones post-contractuales p</w:t>
      </w:r>
      <w:r>
        <w:rPr>
          <w:rFonts w:ascii="Verdana" w:eastAsia="Calibri" w:hAnsi="Verdana" w:cs="Arial"/>
        </w:rPr>
        <w:t xml:space="preserve">endientes por </w:t>
      </w:r>
      <w:r>
        <w:rPr>
          <w:rFonts w:ascii="Verdana" w:eastAsia="Calibri" w:hAnsi="Verdana" w:cs="Arial"/>
        </w:rPr>
        <w:lastRenderedPageBreak/>
        <w:t>cumplir</w:t>
      </w:r>
      <w:r>
        <w:rPr>
          <w:rStyle w:val="Refdenotaalpie"/>
          <w:rFonts w:ascii="Verdana" w:eastAsia="Calibri" w:hAnsi="Verdana" w:cs="Arial"/>
        </w:rPr>
        <w:footnoteReference w:id="13"/>
      </w:r>
      <w:r w:rsidRPr="00A82C03">
        <w:rPr>
          <w:rFonts w:ascii="Verdana" w:eastAsia="Calibri" w:hAnsi="Verdana" w:cs="Arial"/>
        </w:rPr>
        <w:t>.</w:t>
      </w:r>
      <w:r>
        <w:rPr>
          <w:rFonts w:ascii="Verdana" w:eastAsia="Calibri" w:hAnsi="Verdana" w:cs="Arial"/>
        </w:rPr>
        <w:t xml:space="preserve"> Esto, sin perjuicio de otros supuestos que impliquen el cierre del contrato. </w:t>
      </w:r>
    </w:p>
    <w:p w14:paraId="5FA7ED01" w14:textId="77777777" w:rsidR="00C56DA9" w:rsidRPr="00EB074D" w:rsidRDefault="00C56DA9" w:rsidP="00C56DA9">
      <w:pPr>
        <w:spacing w:after="120" w:line="276" w:lineRule="auto"/>
        <w:ind w:firstLine="708"/>
        <w:jc w:val="both"/>
        <w:rPr>
          <w:rFonts w:ascii="Verdana" w:eastAsia="Calibri" w:hAnsi="Verdana" w:cs="Arial"/>
        </w:rPr>
      </w:pPr>
      <w:r w:rsidRPr="00EB074D">
        <w:rPr>
          <w:rFonts w:ascii="Verdana" w:eastAsia="Calibri" w:hAnsi="Verdana" w:cs="Arial"/>
        </w:rPr>
        <w:t>Una vez se cumplan todas las obligaciones post-contractuales, independientemente del tipo de contrato celebrado por las Entidades</w:t>
      </w:r>
      <w:r>
        <w:rPr>
          <w:rFonts w:ascii="Verdana" w:eastAsia="Calibri" w:hAnsi="Verdana" w:cs="Arial"/>
        </w:rPr>
        <w:t xml:space="preserve"> Estatales, las mismas procede</w:t>
      </w:r>
      <w:r w:rsidRPr="00EB074D">
        <w:rPr>
          <w:rFonts w:ascii="Verdana" w:eastAsia="Calibri" w:hAnsi="Verdana" w:cs="Arial"/>
        </w:rPr>
        <w:t>n con el cierre del contrato en la plataforma. En el caso de que no se hayan cumplido todas las fechas asociadas al contrato, las Entidades como responsables de su actividad contractual y conforme al régimen jurídico de contratación que les resulta aplicable, les corresponde adoptar las decisiones y adelantar las actuaciones que estimen pertinentes para desarrollar y materializar dicha actividad. En ese sentido, si como resultado del análisis requieren aplicar el cierre de</w:t>
      </w:r>
      <w:r>
        <w:rPr>
          <w:rFonts w:ascii="Verdana" w:eastAsia="Calibri" w:hAnsi="Verdana" w:cs="Arial"/>
        </w:rPr>
        <w:t>l contrato, las Entidades deben efectuar</w:t>
      </w:r>
      <w:r w:rsidRPr="00EB074D">
        <w:rPr>
          <w:rFonts w:ascii="Verdana" w:eastAsia="Calibri" w:hAnsi="Verdana" w:cs="Arial"/>
        </w:rPr>
        <w:t xml:space="preserve"> una modificación ajustando las fechas, y posteriormente</w:t>
      </w:r>
      <w:r>
        <w:rPr>
          <w:rFonts w:ascii="Verdana" w:eastAsia="Calibri" w:hAnsi="Verdana" w:cs="Arial"/>
        </w:rPr>
        <w:t xml:space="preserve">, proceder con el </w:t>
      </w:r>
      <w:r w:rsidRPr="00EB074D">
        <w:rPr>
          <w:rFonts w:ascii="Verdana" w:eastAsia="Calibri" w:hAnsi="Verdana" w:cs="Arial"/>
        </w:rPr>
        <w:t xml:space="preserve">cierre del expediente del contrato. </w:t>
      </w:r>
    </w:p>
    <w:p w14:paraId="483C30CE" w14:textId="77777777" w:rsidR="00C56DA9" w:rsidRPr="00304BF3" w:rsidRDefault="00C56DA9" w:rsidP="00C56DA9">
      <w:pPr>
        <w:tabs>
          <w:tab w:val="left" w:pos="709"/>
        </w:tabs>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conclusión, se puede afirmar que </w:t>
      </w:r>
      <w:r w:rsidRPr="00304BF3">
        <w:rPr>
          <w:rFonts w:ascii="Verdana" w:eastAsia="Calibri" w:hAnsi="Verdana" w:cs="Arial"/>
          <w:color w:val="000000" w:themeColor="text1"/>
        </w:rPr>
        <w:t>el cierre del expediente contractual constituye una actuación administrativa que se adelanta una vez finaliza la ejecución del contrato y se verifica el cumplimiento de las obligaciones y el vencimiento de las garantías. Dicho cierre implica, por parte de la entidad, dejar constancia expresa en el expediente físico o electrónico, y posteriormente registrar el cierre en el SECOP I, mediante la carga del documento correspondiente y la ejecución de las tareas necesarias para que el sistema refleje el estado del contrato como “cerrado”.</w:t>
      </w:r>
    </w:p>
    <w:p w14:paraId="482928D3" w14:textId="77777777" w:rsidR="00C56DA9" w:rsidRDefault="00C56DA9" w:rsidP="00C56DA9">
      <w:pPr>
        <w:tabs>
          <w:tab w:val="left" w:pos="709"/>
        </w:tabs>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Ahora bien, r</w:t>
      </w:r>
      <w:r w:rsidRPr="00304BF3">
        <w:rPr>
          <w:rFonts w:ascii="Verdana" w:eastAsia="Calibri" w:hAnsi="Verdana" w:cs="Arial"/>
          <w:color w:val="000000" w:themeColor="text1"/>
        </w:rPr>
        <w:t>especto de la competencia para adelantar el cierre del expediente contractual, esta se determina conforme a la distribución de funciones establecida en el manual de contratación y en los actos administrativos de delegación o asignación de funciones de la entidad. En principio, la responsabilidad recae en el representante legal de la entidad o en quien haya sido delegado o encargado de la gestión contractual, como el coordinador de contratación, el supervisor del contrato o el funcionario que ejerza esas funciones dentro de la estructura organizacional vigente.</w:t>
      </w:r>
    </w:p>
    <w:p w14:paraId="6E100642" w14:textId="77777777" w:rsidR="00C56DA9" w:rsidRPr="00E3533A" w:rsidRDefault="00C56DA9" w:rsidP="00C56DA9">
      <w:pPr>
        <w:tabs>
          <w:tab w:val="left" w:pos="709"/>
        </w:tabs>
        <w:spacing w:before="120" w:after="0" w:line="276" w:lineRule="auto"/>
        <w:ind w:firstLine="709"/>
        <w:jc w:val="both"/>
        <w:rPr>
          <w:rFonts w:ascii="Verdana" w:eastAsia="Calibri" w:hAnsi="Verdana" w:cs="Arial"/>
        </w:rPr>
      </w:pPr>
      <w:r w:rsidRPr="003F486B">
        <w:rPr>
          <w:rFonts w:ascii="Verdana" w:eastAsia="Calibri" w:hAnsi="Verdana" w:cs="Arial"/>
          <w:color w:val="000000" w:themeColor="text1"/>
        </w:rPr>
        <w:t xml:space="preserve">En consecuencia, el hecho de que los contratos correspondan a vigencias anteriores o a una administración distinta no impide su cierre, en tanto dicha actuación no depende de la persona que ejercía la representación legal en el momento de su celebración, sino de quien actualmente tenga la competencia </w:t>
      </w:r>
      <w:r w:rsidRPr="003F486B">
        <w:rPr>
          <w:rFonts w:ascii="Verdana" w:eastAsia="Calibri" w:hAnsi="Verdana" w:cs="Arial"/>
          <w:color w:val="000000" w:themeColor="text1"/>
        </w:rPr>
        <w:lastRenderedPageBreak/>
        <w:t xml:space="preserve">funcional para adelantar la gestión contractual. Así, la </w:t>
      </w:r>
      <w:r>
        <w:rPr>
          <w:rFonts w:ascii="Verdana" w:eastAsia="Calibri" w:hAnsi="Verdana" w:cs="Arial"/>
          <w:color w:val="000000" w:themeColor="text1"/>
        </w:rPr>
        <w:t>ordenadora del gasto y/o representante legal de la entidad estatal</w:t>
      </w:r>
      <w:r w:rsidRPr="003F486B">
        <w:rPr>
          <w:rFonts w:ascii="Verdana" w:eastAsia="Calibri" w:hAnsi="Verdana" w:cs="Arial"/>
          <w:color w:val="000000" w:themeColor="text1"/>
        </w:rPr>
        <w:t xml:space="preserve"> podrá efectuar el cierre de los contratos en SECOP I, siempre que dicha función se encuentre dentro de sus atribuciones o haya sido delegada expresamente, en atención a que el cierre del expediente es una obligación institucional y necesaria para garantizar la correcta finalización y archivo de los contratos estatales.</w:t>
      </w:r>
    </w:p>
    <w:bookmarkEnd w:id="1"/>
    <w:p w14:paraId="77CD097C" w14:textId="77777777" w:rsidR="00C56DA9" w:rsidRPr="00E3533A" w:rsidRDefault="00C56DA9" w:rsidP="00C56DA9">
      <w:pPr>
        <w:spacing w:after="0" w:line="276" w:lineRule="auto"/>
        <w:jc w:val="both"/>
        <w:rPr>
          <w:rFonts w:ascii="Verdana" w:eastAsia="Calibri" w:hAnsi="Verdana" w:cs="Arial"/>
          <w:lang w:eastAsia="es-MX"/>
        </w:rPr>
      </w:pPr>
    </w:p>
    <w:p w14:paraId="0FF1CF76" w14:textId="77777777" w:rsidR="00C56DA9" w:rsidRPr="00E3533A" w:rsidRDefault="00C56DA9" w:rsidP="00C56DA9">
      <w:pPr>
        <w:pStyle w:val="Prrafodelista"/>
        <w:numPr>
          <w:ilvl w:val="0"/>
          <w:numId w:val="2"/>
        </w:numPr>
        <w:tabs>
          <w:tab w:val="left" w:pos="142"/>
          <w:tab w:val="left" w:pos="284"/>
        </w:tabs>
        <w:spacing w:after="0" w:line="276" w:lineRule="auto"/>
        <w:jc w:val="both"/>
        <w:rPr>
          <w:rFonts w:ascii="Verdana" w:eastAsia="Century Gothic" w:hAnsi="Verdana" w:cs="Century Gothic"/>
          <w:b/>
          <w:bCs/>
        </w:rPr>
      </w:pPr>
      <w:r w:rsidRPr="00E3533A">
        <w:rPr>
          <w:rFonts w:ascii="Verdana" w:eastAsia="Century Gothic" w:hAnsi="Verdana" w:cs="Century Gothic"/>
          <w:b/>
          <w:bCs/>
        </w:rPr>
        <w:t xml:space="preserve">Referencias normativas, jurisprudenciales y otras fuentes </w:t>
      </w:r>
    </w:p>
    <w:p w14:paraId="4AB0AD9F" w14:textId="77777777" w:rsidR="00C56DA9" w:rsidRPr="00E3533A" w:rsidRDefault="00C56DA9" w:rsidP="00C56DA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56DA9" w:rsidRPr="00E3533A" w14:paraId="705C023D" w14:textId="77777777" w:rsidTr="009E10DA">
        <w:trPr>
          <w:trHeight w:val="856"/>
          <w:jc w:val="center"/>
        </w:trPr>
        <w:tc>
          <w:tcPr>
            <w:tcW w:w="8647" w:type="dxa"/>
          </w:tcPr>
          <w:p w14:paraId="770178BC" w14:textId="77777777" w:rsidR="00C56DA9" w:rsidRDefault="00C56DA9" w:rsidP="00C56DA9">
            <w:pPr>
              <w:widowControl w:val="0"/>
              <w:numPr>
                <w:ilvl w:val="0"/>
                <w:numId w:val="3"/>
              </w:numPr>
              <w:autoSpaceDE w:val="0"/>
              <w:autoSpaceDN w:val="0"/>
              <w:ind w:left="714" w:hanging="357"/>
              <w:jc w:val="both"/>
              <w:rPr>
                <w:rFonts w:ascii="Verdana" w:eastAsia="Arial MT" w:hAnsi="Verdana" w:cs="Arial"/>
                <w:lang w:eastAsia="es-ES" w:bidi="es-ES"/>
              </w:rPr>
            </w:pPr>
            <w:r w:rsidRPr="00AA1C35">
              <w:rPr>
                <w:rFonts w:ascii="Verdana" w:eastAsia="Arial MT" w:hAnsi="Verdana" w:cs="Arial"/>
                <w:lang w:eastAsia="es-ES" w:bidi="es-ES"/>
              </w:rPr>
              <w:t>Constitución Política de 1991, artículos 74 y 209</w:t>
            </w:r>
          </w:p>
          <w:p w14:paraId="0E81CB8C" w14:textId="77777777" w:rsidR="00C56DA9" w:rsidRPr="00E3533A" w:rsidRDefault="00C56DA9" w:rsidP="00C56DA9">
            <w:pPr>
              <w:widowControl w:val="0"/>
              <w:numPr>
                <w:ilvl w:val="0"/>
                <w:numId w:val="3"/>
              </w:numPr>
              <w:autoSpaceDE w:val="0"/>
              <w:autoSpaceDN w:val="0"/>
              <w:ind w:left="714" w:hanging="357"/>
              <w:jc w:val="both"/>
              <w:rPr>
                <w:rFonts w:ascii="Verdana" w:eastAsia="Arial MT" w:hAnsi="Verdana" w:cs="Arial"/>
                <w:lang w:eastAsia="es-ES" w:bidi="es-ES"/>
              </w:rPr>
            </w:pPr>
            <w:r w:rsidRPr="00E70563">
              <w:rPr>
                <w:rFonts w:ascii="Verdana" w:eastAsia="Arial MT" w:hAnsi="Verdana" w:cs="Arial"/>
                <w:lang w:eastAsia="es-ES" w:bidi="es-ES"/>
              </w:rPr>
              <w:t>Ley 1150 de 2007</w:t>
            </w:r>
            <w:r>
              <w:rPr>
                <w:rFonts w:ascii="Verdana" w:eastAsia="Arial MT" w:hAnsi="Verdana" w:cs="Arial"/>
                <w:lang w:eastAsia="es-ES" w:bidi="es-ES"/>
              </w:rPr>
              <w:t>,</w:t>
            </w:r>
            <w:r w:rsidRPr="00E70563">
              <w:rPr>
                <w:rFonts w:ascii="Verdana" w:eastAsia="Arial MT" w:hAnsi="Verdana" w:cs="Arial"/>
                <w:lang w:eastAsia="es-ES" w:bidi="es-ES"/>
              </w:rPr>
              <w:t xml:space="preserve"> </w:t>
            </w:r>
            <w:r>
              <w:rPr>
                <w:rFonts w:ascii="Verdana" w:eastAsia="Arial MT" w:hAnsi="Verdana" w:cs="Arial"/>
                <w:lang w:eastAsia="es-ES" w:bidi="es-ES"/>
              </w:rPr>
              <w:t>a</w:t>
            </w:r>
            <w:r w:rsidRPr="00E70563">
              <w:rPr>
                <w:rFonts w:ascii="Verdana" w:eastAsia="Arial MT" w:hAnsi="Verdana" w:cs="Arial"/>
                <w:lang w:eastAsia="es-ES" w:bidi="es-ES"/>
              </w:rPr>
              <w:t xml:space="preserve">rtículo </w:t>
            </w:r>
            <w:r>
              <w:rPr>
                <w:rFonts w:ascii="Verdana" w:eastAsia="Arial MT" w:hAnsi="Verdana" w:cs="Arial"/>
                <w:lang w:eastAsia="es-ES" w:bidi="es-ES"/>
              </w:rPr>
              <w:t>3</w:t>
            </w:r>
          </w:p>
          <w:p w14:paraId="246A6818" w14:textId="77777777" w:rsidR="00C56DA9" w:rsidRDefault="00C56DA9" w:rsidP="00C56DA9">
            <w:pPr>
              <w:widowControl w:val="0"/>
              <w:numPr>
                <w:ilvl w:val="0"/>
                <w:numId w:val="3"/>
              </w:numPr>
              <w:autoSpaceDE w:val="0"/>
              <w:autoSpaceDN w:val="0"/>
              <w:ind w:left="714" w:hanging="357"/>
              <w:jc w:val="both"/>
              <w:rPr>
                <w:rFonts w:ascii="Verdana" w:eastAsia="Arial MT" w:hAnsi="Verdana" w:cs="Arial"/>
                <w:lang w:eastAsia="es-ES" w:bidi="es-ES"/>
              </w:rPr>
            </w:pPr>
            <w:r w:rsidRPr="00C121BF">
              <w:rPr>
                <w:rFonts w:ascii="Verdana" w:eastAsia="Arial MT" w:hAnsi="Verdana" w:cs="Arial"/>
                <w:lang w:eastAsia="es-ES" w:bidi="es-ES"/>
              </w:rPr>
              <w:t>Ley 1712 de 2014, artículo 2, 5, 9 y 11</w:t>
            </w:r>
          </w:p>
          <w:p w14:paraId="212816F8" w14:textId="77777777" w:rsidR="00C56DA9" w:rsidRPr="00742532" w:rsidRDefault="00C56DA9" w:rsidP="00C56DA9">
            <w:pPr>
              <w:widowControl w:val="0"/>
              <w:numPr>
                <w:ilvl w:val="0"/>
                <w:numId w:val="3"/>
              </w:numPr>
              <w:autoSpaceDE w:val="0"/>
              <w:autoSpaceDN w:val="0"/>
              <w:ind w:left="714" w:hanging="357"/>
              <w:jc w:val="both"/>
              <w:rPr>
                <w:rFonts w:ascii="Verdana" w:eastAsia="Arial MT" w:hAnsi="Verdana" w:cs="Arial"/>
                <w:lang w:eastAsia="es-ES" w:bidi="es-ES"/>
              </w:rPr>
            </w:pPr>
            <w:r w:rsidRPr="00E3533A">
              <w:rPr>
                <w:rFonts w:ascii="Verdana" w:eastAsia="Arial MT" w:hAnsi="Verdana" w:cs="Arial"/>
                <w:lang w:eastAsia="es-ES" w:bidi="es-ES"/>
              </w:rPr>
              <w:t xml:space="preserve">Decreto 1082 de 2015, artículos 2.2.1.1.2.4.3, </w:t>
            </w:r>
            <w:r w:rsidRPr="00052904">
              <w:rPr>
                <w:rFonts w:ascii="Verdana" w:hAnsi="Verdana" w:cs="Arial"/>
                <w:shd w:val="clear" w:color="auto" w:fill="FFFFFF"/>
              </w:rPr>
              <w:t>2.2.1.1.1.3.1.</w:t>
            </w:r>
            <w:r>
              <w:rPr>
                <w:rFonts w:ascii="Verdana" w:hAnsi="Verdana" w:cs="Arial"/>
                <w:shd w:val="clear" w:color="auto" w:fill="FFFFFF"/>
              </w:rPr>
              <w:t xml:space="preserve"> y </w:t>
            </w:r>
            <w:r w:rsidRPr="00085E37">
              <w:rPr>
                <w:rFonts w:ascii="Verdana" w:hAnsi="Verdana" w:cs="Arial"/>
                <w:shd w:val="clear" w:color="auto" w:fill="FFFFFF"/>
              </w:rPr>
              <w:t>2.2.1.1.1.7.1.</w:t>
            </w:r>
          </w:p>
          <w:p w14:paraId="1A05EF0E" w14:textId="77777777" w:rsidR="00C56DA9" w:rsidRDefault="00C56DA9" w:rsidP="00C56DA9">
            <w:pPr>
              <w:widowControl w:val="0"/>
              <w:numPr>
                <w:ilvl w:val="0"/>
                <w:numId w:val="3"/>
              </w:numPr>
              <w:autoSpaceDE w:val="0"/>
              <w:autoSpaceDN w:val="0"/>
              <w:ind w:left="714" w:hanging="357"/>
              <w:jc w:val="both"/>
              <w:rPr>
                <w:rFonts w:ascii="Verdana" w:eastAsia="Arial MT" w:hAnsi="Verdana" w:cs="Arial"/>
                <w:lang w:eastAsia="es-ES" w:bidi="es-ES"/>
              </w:rPr>
            </w:pPr>
            <w:r w:rsidRPr="00742532">
              <w:rPr>
                <w:rFonts w:ascii="Verdana" w:eastAsia="Arial MT" w:hAnsi="Verdana" w:cs="Arial"/>
                <w:lang w:eastAsia="es-ES" w:bidi="es-ES"/>
              </w:rPr>
              <w:t>Decreto Único Reglamentario 1081 de 2015, Artículo 2.1.1.2.1.7.</w:t>
            </w:r>
          </w:p>
          <w:p w14:paraId="70B0A015" w14:textId="77777777" w:rsidR="00C56DA9" w:rsidRDefault="00C56DA9" w:rsidP="00C56DA9">
            <w:pPr>
              <w:widowControl w:val="0"/>
              <w:numPr>
                <w:ilvl w:val="0"/>
                <w:numId w:val="3"/>
              </w:numPr>
              <w:autoSpaceDE w:val="0"/>
              <w:autoSpaceDN w:val="0"/>
              <w:ind w:left="714" w:hanging="357"/>
              <w:jc w:val="both"/>
              <w:rPr>
                <w:rFonts w:ascii="Verdana" w:eastAsia="Arial MT" w:hAnsi="Verdana" w:cs="Arial"/>
                <w:lang w:eastAsia="es-ES" w:bidi="es-ES"/>
              </w:rPr>
            </w:pPr>
            <w:r w:rsidRPr="00B27BBE">
              <w:rPr>
                <w:rFonts w:ascii="Verdana" w:eastAsia="Arial MT" w:hAnsi="Verdana" w:cs="Arial"/>
                <w:lang w:eastAsia="es-ES" w:bidi="es-ES"/>
              </w:rPr>
              <w:t>Decreto 4170 de 2011</w:t>
            </w:r>
            <w:r>
              <w:rPr>
                <w:rFonts w:ascii="Verdana" w:eastAsia="Arial MT" w:hAnsi="Verdana" w:cs="Arial"/>
                <w:lang w:eastAsia="es-ES" w:bidi="es-ES"/>
              </w:rPr>
              <w:t>, a</w:t>
            </w:r>
            <w:r w:rsidRPr="00B27BBE">
              <w:rPr>
                <w:rFonts w:ascii="Verdana" w:eastAsia="Arial MT" w:hAnsi="Verdana" w:cs="Arial"/>
                <w:lang w:eastAsia="es-ES" w:bidi="es-ES"/>
              </w:rPr>
              <w:t>rtículo 3</w:t>
            </w:r>
          </w:p>
          <w:p w14:paraId="42FA4814" w14:textId="77777777" w:rsidR="00C56DA9" w:rsidRPr="00E3533A" w:rsidRDefault="00C56DA9" w:rsidP="00C56DA9">
            <w:pPr>
              <w:widowControl w:val="0"/>
              <w:numPr>
                <w:ilvl w:val="0"/>
                <w:numId w:val="3"/>
              </w:numPr>
              <w:autoSpaceDE w:val="0"/>
              <w:autoSpaceDN w:val="0"/>
              <w:ind w:left="714" w:hanging="357"/>
              <w:jc w:val="both"/>
              <w:rPr>
                <w:rFonts w:ascii="Verdana" w:eastAsia="Arial MT" w:hAnsi="Verdana" w:cs="Arial"/>
                <w:lang w:eastAsia="es-ES" w:bidi="es-ES"/>
              </w:rPr>
            </w:pPr>
            <w:r w:rsidRPr="00A47587">
              <w:rPr>
                <w:rFonts w:ascii="Verdana" w:eastAsia="Arial MT" w:hAnsi="Verdana" w:cs="Arial"/>
                <w:lang w:eastAsia="es-ES" w:bidi="es-ES"/>
              </w:rPr>
              <w:t>Código Civil, artículo 1501</w:t>
            </w:r>
          </w:p>
          <w:p w14:paraId="16AC0A40" w14:textId="77777777" w:rsidR="00C56DA9" w:rsidRDefault="00C56DA9" w:rsidP="00C56DA9">
            <w:pPr>
              <w:widowControl w:val="0"/>
              <w:numPr>
                <w:ilvl w:val="0"/>
                <w:numId w:val="3"/>
              </w:numPr>
              <w:autoSpaceDE w:val="0"/>
              <w:autoSpaceDN w:val="0"/>
              <w:jc w:val="both"/>
              <w:rPr>
                <w:rFonts w:ascii="Verdana" w:eastAsia="Arial MT" w:hAnsi="Verdana" w:cs="Arial"/>
                <w:lang w:eastAsia="es-ES" w:bidi="es-ES"/>
              </w:rPr>
            </w:pPr>
            <w:r w:rsidRPr="004C0029">
              <w:rPr>
                <w:rFonts w:ascii="Verdana" w:eastAsia="Arial MT" w:hAnsi="Verdana" w:cs="Arial"/>
                <w:lang w:eastAsia="es-ES" w:bidi="es-ES"/>
              </w:rPr>
              <w:t>CORTE CONSTITUCIONAL. Sentencia C‒274 de 9 de mayo de 2013. M.P. María Victoria Calle Correa.</w:t>
            </w:r>
          </w:p>
          <w:p w14:paraId="6111EAB3" w14:textId="77777777" w:rsidR="00C56DA9" w:rsidRDefault="00C56DA9" w:rsidP="00C56DA9">
            <w:pPr>
              <w:widowControl w:val="0"/>
              <w:numPr>
                <w:ilvl w:val="0"/>
                <w:numId w:val="3"/>
              </w:numPr>
              <w:autoSpaceDE w:val="0"/>
              <w:autoSpaceDN w:val="0"/>
              <w:jc w:val="both"/>
              <w:rPr>
                <w:rFonts w:ascii="Verdana" w:eastAsia="Arial MT" w:hAnsi="Verdana" w:cs="Arial"/>
                <w:lang w:eastAsia="es-ES" w:bidi="es-ES"/>
              </w:rPr>
            </w:pPr>
            <w:r w:rsidRPr="00547005">
              <w:rPr>
                <w:rFonts w:ascii="Verdana" w:eastAsia="Arial MT" w:hAnsi="Verdana" w:cs="Arial"/>
                <w:lang w:eastAsia="es-ES" w:bidi="es-ES"/>
              </w:rPr>
              <w:t>CONSEJO DE ESTADO. Sección Tercera. Subsección B. Sentencia del 28 de febrero de 2013. C.P. Danilo Rojas Betancourth. Exp. 25199</w:t>
            </w:r>
          </w:p>
          <w:p w14:paraId="0765D0BD" w14:textId="77777777" w:rsidR="00C56DA9" w:rsidRPr="00335074" w:rsidRDefault="00C56DA9" w:rsidP="00C56DA9">
            <w:pPr>
              <w:widowControl w:val="0"/>
              <w:numPr>
                <w:ilvl w:val="0"/>
                <w:numId w:val="3"/>
              </w:numPr>
              <w:autoSpaceDE w:val="0"/>
              <w:autoSpaceDN w:val="0"/>
              <w:jc w:val="both"/>
              <w:rPr>
                <w:rFonts w:ascii="Verdana" w:eastAsia="Arial MT" w:hAnsi="Verdana" w:cs="Arial"/>
                <w:lang w:eastAsia="es-ES" w:bidi="es-ES"/>
              </w:rPr>
            </w:pPr>
            <w:r w:rsidRPr="00335074">
              <w:rPr>
                <w:rFonts w:ascii="Verdana" w:eastAsia="Arial MT" w:hAnsi="Verdana" w:cs="Arial"/>
                <w:lang w:eastAsia="es-ES" w:bidi="es-ES"/>
              </w:rPr>
              <w:t>CONSEJO DE ESTADO. Sección Tercera. Subsección C. Sentencia del 20 de octubre de 2014, C.P: Enrique Gil Botero. Exp. 27.777.</w:t>
            </w:r>
          </w:p>
          <w:p w14:paraId="680591DD" w14:textId="77777777" w:rsidR="00C56DA9" w:rsidRDefault="00C56DA9" w:rsidP="00C56DA9">
            <w:pPr>
              <w:widowControl w:val="0"/>
              <w:numPr>
                <w:ilvl w:val="0"/>
                <w:numId w:val="3"/>
              </w:numPr>
              <w:autoSpaceDE w:val="0"/>
              <w:autoSpaceDN w:val="0"/>
              <w:jc w:val="both"/>
              <w:rPr>
                <w:rFonts w:ascii="Verdana" w:eastAsia="Arial MT" w:hAnsi="Verdana" w:cs="Arial"/>
                <w:lang w:eastAsia="es-ES" w:bidi="es-ES"/>
              </w:rPr>
            </w:pPr>
            <w:r w:rsidRPr="00335074">
              <w:rPr>
                <w:rFonts w:ascii="Verdana" w:eastAsia="Arial MT" w:hAnsi="Verdana" w:cs="Arial"/>
                <w:lang w:eastAsia="es-ES" w:bidi="es-ES"/>
              </w:rPr>
              <w:t>CONCEJO DE ESTADO. Sala de Consulta y Servicio Civil, en concepto del 8 de marzo de 2017, radicado No. 2298, y con ponencia del Consejero Édgar González</w:t>
            </w:r>
          </w:p>
          <w:p w14:paraId="38B9B5C2" w14:textId="77777777" w:rsidR="00C56DA9" w:rsidRDefault="00C56DA9" w:rsidP="00C56DA9">
            <w:pPr>
              <w:widowControl w:val="0"/>
              <w:numPr>
                <w:ilvl w:val="0"/>
                <w:numId w:val="3"/>
              </w:numPr>
              <w:autoSpaceDE w:val="0"/>
              <w:autoSpaceDN w:val="0"/>
              <w:jc w:val="both"/>
              <w:rPr>
                <w:rFonts w:ascii="Verdana" w:eastAsia="Arial MT" w:hAnsi="Verdana" w:cs="Arial"/>
                <w:lang w:eastAsia="es-ES" w:bidi="es-ES"/>
              </w:rPr>
            </w:pPr>
            <w:r w:rsidRPr="006E1FAA">
              <w:rPr>
                <w:rFonts w:ascii="Verdana" w:eastAsia="Arial MT" w:hAnsi="Verdana" w:cs="Arial"/>
                <w:lang w:eastAsia="es-ES" w:bidi="es-ES"/>
              </w:rPr>
              <w:t xml:space="preserve">AGENCIA NACIONAL DE CONTRATACIÓN PÚBLICA – COLOMBIA COMPRA EFICIENTE. Circular Externa 05 del 1 de noviembre de 2024. Disponible en línea: </w:t>
            </w:r>
            <w:hyperlink r:id="rId12" w:history="1">
              <w:r w:rsidRPr="003642CB">
                <w:rPr>
                  <w:rStyle w:val="Hipervnculo"/>
                  <w:rFonts w:ascii="Verdana" w:eastAsia="Arial MT" w:hAnsi="Verdana" w:cs="Arial"/>
                  <w:lang w:eastAsia="es-ES" w:bidi="es-ES"/>
                </w:rPr>
                <w:t>https://www.colombiacompra.gov.co/archivos/circular/circular-externa-no-005-de-2024</w:t>
              </w:r>
            </w:hyperlink>
            <w:r>
              <w:rPr>
                <w:rFonts w:ascii="Verdana" w:eastAsia="Arial MT" w:hAnsi="Verdana" w:cs="Arial"/>
                <w:lang w:eastAsia="es-ES" w:bidi="es-ES"/>
              </w:rPr>
              <w:t xml:space="preserve"> </w:t>
            </w:r>
          </w:p>
          <w:p w14:paraId="477EB196" w14:textId="77777777" w:rsidR="00C56DA9" w:rsidRDefault="00C56DA9" w:rsidP="00C56DA9">
            <w:pPr>
              <w:widowControl w:val="0"/>
              <w:numPr>
                <w:ilvl w:val="0"/>
                <w:numId w:val="3"/>
              </w:numPr>
              <w:autoSpaceDE w:val="0"/>
              <w:autoSpaceDN w:val="0"/>
              <w:jc w:val="both"/>
              <w:rPr>
                <w:lang w:val="es-ES"/>
              </w:rPr>
            </w:pPr>
            <w:r w:rsidRPr="005F3B71">
              <w:rPr>
                <w:rFonts w:ascii="Verdana" w:eastAsia="Arial MT" w:hAnsi="Verdana" w:cs="Arial"/>
                <w:lang w:eastAsia="es-ES" w:bidi="es-ES"/>
              </w:rPr>
              <w:t>BOBBIO, Norberto. Democracia y secreto. México: Fondo de Cultura Económica, 2013. p. 27.</w:t>
            </w:r>
          </w:p>
          <w:p w14:paraId="626FA6B9" w14:textId="77777777" w:rsidR="00C56DA9" w:rsidRPr="00E3533A" w:rsidRDefault="00C56DA9" w:rsidP="00C56DA9">
            <w:pPr>
              <w:widowControl w:val="0"/>
              <w:numPr>
                <w:ilvl w:val="0"/>
                <w:numId w:val="3"/>
              </w:numPr>
              <w:autoSpaceDE w:val="0"/>
              <w:autoSpaceDN w:val="0"/>
              <w:jc w:val="both"/>
              <w:rPr>
                <w:rFonts w:ascii="Verdana" w:eastAsia="Arial MT" w:hAnsi="Verdana" w:cs="Arial"/>
                <w:lang w:eastAsia="es-ES" w:bidi="es-ES"/>
              </w:rPr>
            </w:pPr>
            <w:r w:rsidRPr="00C2552F">
              <w:rPr>
                <w:rFonts w:ascii="Verdana" w:eastAsia="Arial MT" w:hAnsi="Verdana" w:cs="Arial"/>
                <w:lang w:eastAsia="es-ES" w:bidi="es-ES"/>
              </w:rPr>
              <w:t>EXPOSITO, Juan Carlos. Forma y contenido del contrato estatal. Bogotá: Universidad Externado de Colombia, 2013. pp. 89 -90</w:t>
            </w:r>
          </w:p>
        </w:tc>
      </w:tr>
    </w:tbl>
    <w:p w14:paraId="14CEC1BE" w14:textId="77777777" w:rsidR="00C56DA9" w:rsidRPr="00E3533A" w:rsidRDefault="00C56DA9" w:rsidP="00C56DA9">
      <w:pPr>
        <w:widowControl w:val="0"/>
        <w:autoSpaceDE w:val="0"/>
        <w:autoSpaceDN w:val="0"/>
        <w:spacing w:after="0" w:line="276" w:lineRule="auto"/>
        <w:jc w:val="both"/>
        <w:rPr>
          <w:rFonts w:ascii="Verdana" w:hAnsi="Verdana" w:cs="Arial"/>
        </w:rPr>
      </w:pPr>
    </w:p>
    <w:p w14:paraId="5AEB58EF" w14:textId="77777777" w:rsidR="00C56DA9" w:rsidRPr="00E3533A" w:rsidRDefault="00C56DA9" w:rsidP="00C56DA9">
      <w:pPr>
        <w:pStyle w:val="Prrafodelista"/>
        <w:numPr>
          <w:ilvl w:val="0"/>
          <w:numId w:val="2"/>
        </w:numPr>
        <w:tabs>
          <w:tab w:val="left" w:pos="142"/>
          <w:tab w:val="left" w:pos="284"/>
        </w:tabs>
        <w:spacing w:after="0" w:line="276" w:lineRule="auto"/>
        <w:jc w:val="both"/>
        <w:rPr>
          <w:rFonts w:ascii="Verdana" w:eastAsia="Century Gothic" w:hAnsi="Verdana" w:cs="Century Gothic"/>
          <w:b/>
          <w:bCs/>
        </w:rPr>
      </w:pPr>
      <w:r w:rsidRPr="00E3533A">
        <w:rPr>
          <w:rFonts w:ascii="Verdana" w:eastAsia="Century Gothic" w:hAnsi="Verdana" w:cs="Century Gothic"/>
          <w:b/>
          <w:bCs/>
        </w:rPr>
        <w:t>Doctrina de la Agencia Nacional de Contratación Pública:</w:t>
      </w:r>
    </w:p>
    <w:p w14:paraId="11BFAA89" w14:textId="77777777" w:rsidR="00C56DA9" w:rsidRPr="00E3533A" w:rsidRDefault="00C56DA9" w:rsidP="00C56DA9">
      <w:pPr>
        <w:widowControl w:val="0"/>
        <w:autoSpaceDE w:val="0"/>
        <w:autoSpaceDN w:val="0"/>
        <w:spacing w:after="0" w:line="276" w:lineRule="auto"/>
        <w:jc w:val="both"/>
        <w:rPr>
          <w:rFonts w:ascii="Verdana" w:hAnsi="Verdana" w:cs="Arial"/>
        </w:rPr>
      </w:pPr>
    </w:p>
    <w:p w14:paraId="00FDF7DB" w14:textId="77777777" w:rsidR="00C56DA9" w:rsidRDefault="00C56DA9" w:rsidP="00C56DA9">
      <w:pPr>
        <w:widowControl w:val="0"/>
        <w:autoSpaceDE w:val="0"/>
        <w:autoSpaceDN w:val="0"/>
        <w:spacing w:after="0" w:line="276" w:lineRule="auto"/>
        <w:jc w:val="both"/>
        <w:rPr>
          <w:rFonts w:ascii="Verdana" w:hAnsi="Verdana"/>
        </w:rPr>
      </w:pPr>
      <w:r>
        <w:rPr>
          <w:rFonts w:ascii="Verdana" w:eastAsia="Aptos" w:hAnsi="Verdana" w:cs="Arial"/>
          <w:shd w:val="clear" w:color="auto" w:fill="FFFFFF"/>
          <w:lang w:val="es-ES"/>
        </w:rPr>
        <w:t xml:space="preserve">Frente </w:t>
      </w:r>
      <w:r w:rsidRPr="00594E6F">
        <w:rPr>
          <w:rFonts w:ascii="Verdana" w:eastAsia="Aptos" w:hAnsi="Verdana" w:cs="Arial"/>
          <w:shd w:val="clear" w:color="auto" w:fill="FFFFFF"/>
        </w:rPr>
        <w:t xml:space="preserve">la constancia de cierre del expediente en los conceptos del 13 y 14 de agosto de 2019 ─radicados Nos. 2201913000005848 y 2201913000005887─, y del 7 de octubre de 2019 ─radicado No. 2201913000007481 y Concepto CU ─ </w:t>
      </w:r>
      <w:r w:rsidRPr="00594E6F">
        <w:rPr>
          <w:rFonts w:ascii="Verdana" w:eastAsia="Aptos" w:hAnsi="Verdana" w:cs="Arial"/>
          <w:shd w:val="clear" w:color="auto" w:fill="FFFFFF"/>
        </w:rPr>
        <w:lastRenderedPageBreak/>
        <w:t>028 de 2020</w:t>
      </w:r>
      <w:r w:rsidRPr="00594E6F">
        <w:rPr>
          <w:rFonts w:ascii="Verdana" w:eastAsia="Aptos" w:hAnsi="Verdana" w:cs="Arial"/>
          <w:shd w:val="clear" w:color="auto" w:fill="FFFFFF"/>
          <w:vertAlign w:val="superscript"/>
        </w:rPr>
        <w:footnoteReference w:id="14"/>
      </w:r>
      <w:r w:rsidRPr="00594E6F">
        <w:rPr>
          <w:rFonts w:ascii="Verdana" w:eastAsia="Aptos" w:hAnsi="Verdana" w:cs="Arial"/>
          <w:shd w:val="clear" w:color="auto" w:fill="FFFFFF"/>
        </w:rPr>
        <w:t>─,</w:t>
      </w:r>
      <w:r>
        <w:rPr>
          <w:rFonts w:ascii="Verdana" w:eastAsia="Aptos" w:hAnsi="Verdana" w:cs="Arial"/>
          <w:shd w:val="clear" w:color="auto" w:fill="FFFFFF"/>
        </w:rPr>
        <w:t xml:space="preserve"> C-480 del 24 de septiembre de 2024, C-913 del 19 de agosto de 2025, entre otros.  se explicó el propósito</w:t>
      </w:r>
      <w:r w:rsidRPr="00594E6F">
        <w:rPr>
          <w:rFonts w:ascii="Verdana" w:eastAsia="Aptos" w:hAnsi="Verdana" w:cs="Arial"/>
          <w:shd w:val="clear" w:color="auto" w:fill="FFFFFF"/>
        </w:rPr>
        <w:t xml:space="preserve"> de estos.</w:t>
      </w:r>
      <w:r>
        <w:rPr>
          <w:rFonts w:ascii="Verdana" w:eastAsia="Aptos" w:hAnsi="Verdana" w:cs="Arial"/>
          <w:shd w:val="clear" w:color="auto" w:fill="FFFFFF"/>
        </w:rPr>
        <w:t xml:space="preserve"> De igual modo, </w:t>
      </w:r>
      <w:r w:rsidRPr="00E2397D">
        <w:rPr>
          <w:rFonts w:ascii="Verdana" w:hAnsi="Verdana" w:cs="Arial"/>
          <w:shd w:val="clear" w:color="auto" w:fill="FFFFFF"/>
          <w:lang w:val="es-ES"/>
        </w:rPr>
        <w:t xml:space="preserve">estos y otros </w:t>
      </w:r>
      <w:r w:rsidRPr="00E2397D">
        <w:rPr>
          <w:rFonts w:ascii="Verdana" w:hAnsi="Verdana"/>
        </w:rPr>
        <w:t>conceptos se encuentran disponibles para consulta en el Sistema de relatoría de la Agencia, al cual se puede acceder a través del siguiente enlace</w:t>
      </w:r>
      <w:r w:rsidRPr="00E3533A">
        <w:rPr>
          <w:rFonts w:ascii="Verdana" w:hAnsi="Verdana"/>
        </w:rPr>
        <w:t>:</w:t>
      </w:r>
    </w:p>
    <w:p w14:paraId="2A1A34DF" w14:textId="77777777" w:rsidR="00C56DA9" w:rsidRDefault="00C56DA9" w:rsidP="00C56DA9">
      <w:pPr>
        <w:widowControl w:val="0"/>
        <w:autoSpaceDE w:val="0"/>
        <w:autoSpaceDN w:val="0"/>
        <w:spacing w:after="0" w:line="276" w:lineRule="auto"/>
        <w:jc w:val="both"/>
        <w:rPr>
          <w:rFonts w:ascii="Verdana" w:hAnsi="Verdana"/>
        </w:rPr>
      </w:pPr>
    </w:p>
    <w:p w14:paraId="4A6B1E36" w14:textId="77777777" w:rsidR="00C56DA9" w:rsidRPr="00E3533A" w:rsidRDefault="00C56DA9" w:rsidP="00C56DA9">
      <w:pPr>
        <w:widowControl w:val="0"/>
        <w:autoSpaceDE w:val="0"/>
        <w:autoSpaceDN w:val="0"/>
        <w:spacing w:after="0" w:line="276" w:lineRule="auto"/>
        <w:jc w:val="both"/>
        <w:rPr>
          <w:rFonts w:ascii="Verdana" w:eastAsia="Aptos" w:hAnsi="Verdana" w:cs="Arial"/>
          <w:shd w:val="clear" w:color="auto" w:fill="FFFFFF"/>
        </w:rPr>
      </w:pPr>
      <w:hyperlink r:id="rId13" w:history="1">
        <w:r w:rsidRPr="00E3533A">
          <w:rPr>
            <w:rFonts w:ascii="Verdana" w:hAnsi="Verdana" w:cs="Arial"/>
            <w:color w:val="0563C1" w:themeColor="hyperlink"/>
            <w:u w:val="single"/>
            <w:shd w:val="clear" w:color="auto" w:fill="FFFFFF"/>
          </w:rPr>
          <w:t>https://relatoria.colombiacompra.gov.co/busqueda/conceptos</w:t>
        </w:r>
      </w:hyperlink>
      <w:r w:rsidRPr="00E3533A">
        <w:rPr>
          <w:rFonts w:ascii="Verdana" w:hAnsi="Verdana" w:cs="Arial"/>
          <w:shd w:val="clear" w:color="auto" w:fill="FFFFFF"/>
        </w:rPr>
        <w:t>.</w:t>
      </w:r>
      <w:r w:rsidRPr="00E3533A">
        <w:rPr>
          <w:rFonts w:ascii="Verdana" w:hAnsi="Verdana" w:cs="Arial"/>
          <w:color w:val="FF0000"/>
          <w:shd w:val="clear" w:color="auto" w:fill="FFFFFF"/>
        </w:rPr>
        <w:t xml:space="preserve"> </w:t>
      </w:r>
      <w:r w:rsidRPr="00E3533A">
        <w:rPr>
          <w:rFonts w:ascii="Verdana" w:hAnsi="Verdana" w:cs="Arial"/>
          <w:color w:val="000000" w:themeColor="text1"/>
          <w:shd w:val="clear" w:color="auto" w:fill="FFFFFF"/>
        </w:rPr>
        <w:t>  </w:t>
      </w:r>
    </w:p>
    <w:p w14:paraId="0A72E2BD" w14:textId="77777777" w:rsidR="00C56DA9" w:rsidRPr="00E3533A" w:rsidRDefault="00C56DA9" w:rsidP="00C56DA9">
      <w:pPr>
        <w:spacing w:after="0"/>
        <w:jc w:val="both"/>
        <w:rPr>
          <w:rFonts w:ascii="Verdana" w:hAnsi="Verdana"/>
        </w:rPr>
      </w:pPr>
    </w:p>
    <w:p w14:paraId="747111AC" w14:textId="77777777" w:rsidR="00C56DA9" w:rsidRPr="00E3533A" w:rsidRDefault="00C56DA9" w:rsidP="00C56DA9">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30BFE959" w14:textId="77777777" w:rsidR="00C56DA9" w:rsidRPr="00E3533A" w:rsidRDefault="00C56DA9" w:rsidP="00C56DA9">
      <w:pPr>
        <w:spacing w:after="0"/>
        <w:jc w:val="both"/>
        <w:rPr>
          <w:rFonts w:ascii="Verdana" w:hAnsi="Verdana"/>
        </w:rPr>
      </w:pPr>
    </w:p>
    <w:p w14:paraId="4D67CA88" w14:textId="77777777" w:rsidR="00C56DA9" w:rsidRPr="00E3533A" w:rsidRDefault="00C56DA9" w:rsidP="00C56DA9">
      <w:pPr>
        <w:spacing w:after="0"/>
        <w:jc w:val="both"/>
        <w:rPr>
          <w:rFonts w:ascii="Verdana" w:hAnsi="Verdana"/>
        </w:rPr>
      </w:pPr>
      <w:r w:rsidRPr="00E3533A">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1D19D06" w14:textId="77777777" w:rsidR="00C56DA9" w:rsidRPr="00E3533A" w:rsidRDefault="00C56DA9" w:rsidP="00C56DA9">
      <w:pPr>
        <w:spacing w:after="0" w:line="240" w:lineRule="auto"/>
        <w:jc w:val="both"/>
        <w:rPr>
          <w:rFonts w:ascii="Verdana" w:hAnsi="Verdana"/>
        </w:rPr>
      </w:pPr>
    </w:p>
    <w:p w14:paraId="0181ABF3" w14:textId="77777777" w:rsidR="00C56DA9" w:rsidRPr="00E3533A" w:rsidRDefault="00C56DA9" w:rsidP="00C56DA9">
      <w:pPr>
        <w:pStyle w:val="Prrafodelista"/>
        <w:numPr>
          <w:ilvl w:val="0"/>
          <w:numId w:val="1"/>
        </w:numPr>
        <w:spacing w:after="0" w:line="240" w:lineRule="auto"/>
        <w:jc w:val="both"/>
        <w:rPr>
          <w:rFonts w:ascii="Verdana" w:hAnsi="Verdana"/>
        </w:rPr>
      </w:pPr>
      <w:r w:rsidRPr="00E3533A">
        <w:rPr>
          <w:rFonts w:ascii="Verdana" w:hAnsi="Verdana"/>
        </w:rPr>
        <w:t>Línea nacional gratuita o servicio a la ciudadanía: 01800 0520808</w:t>
      </w:r>
    </w:p>
    <w:p w14:paraId="66AE48AA" w14:textId="77777777" w:rsidR="00C56DA9" w:rsidRPr="00E3533A" w:rsidRDefault="00C56DA9" w:rsidP="00C56DA9">
      <w:pPr>
        <w:pStyle w:val="Prrafodelista"/>
        <w:numPr>
          <w:ilvl w:val="0"/>
          <w:numId w:val="1"/>
        </w:numPr>
        <w:spacing w:after="0" w:line="240" w:lineRule="auto"/>
        <w:jc w:val="both"/>
        <w:rPr>
          <w:rFonts w:ascii="Verdana" w:hAnsi="Verdana"/>
        </w:rPr>
      </w:pPr>
      <w:r w:rsidRPr="00E3533A">
        <w:rPr>
          <w:rFonts w:ascii="Verdana" w:hAnsi="Verdana"/>
        </w:rPr>
        <w:t>Línea en Bogotá (Mesa de servicio): +57 601 7456788</w:t>
      </w:r>
    </w:p>
    <w:p w14:paraId="47269539" w14:textId="77777777" w:rsidR="00C56DA9" w:rsidRPr="00E3533A" w:rsidRDefault="00C56DA9" w:rsidP="00C56DA9">
      <w:pPr>
        <w:pStyle w:val="Prrafodelista"/>
        <w:numPr>
          <w:ilvl w:val="0"/>
          <w:numId w:val="1"/>
        </w:numPr>
        <w:spacing w:after="0" w:line="240" w:lineRule="auto"/>
        <w:jc w:val="both"/>
        <w:rPr>
          <w:rFonts w:ascii="Verdana" w:hAnsi="Verdana"/>
        </w:rPr>
      </w:pPr>
      <w:r w:rsidRPr="00E3533A">
        <w:rPr>
          <w:rFonts w:ascii="Verdana" w:hAnsi="Verdana"/>
        </w:rPr>
        <w:t>Línea de servicio y atención al ciudadano: +57 601 7956600</w:t>
      </w:r>
    </w:p>
    <w:p w14:paraId="2E378D7D" w14:textId="77777777" w:rsidR="00C56DA9" w:rsidRPr="00E3533A" w:rsidRDefault="00C56DA9" w:rsidP="00C56DA9">
      <w:pPr>
        <w:pStyle w:val="Prrafodelista"/>
        <w:numPr>
          <w:ilvl w:val="0"/>
          <w:numId w:val="1"/>
        </w:numPr>
        <w:spacing w:after="0" w:line="240" w:lineRule="auto"/>
        <w:jc w:val="both"/>
        <w:rPr>
          <w:rFonts w:ascii="Verdana" w:hAnsi="Verdana"/>
        </w:rPr>
      </w:pPr>
      <w:r w:rsidRPr="00E3533A">
        <w:rPr>
          <w:rFonts w:ascii="Verdana" w:hAnsi="Verdana"/>
        </w:rPr>
        <w:t xml:space="preserve">Página web: </w:t>
      </w:r>
      <w:hyperlink r:id="rId14" w:history="1">
        <w:r w:rsidRPr="00E3533A">
          <w:rPr>
            <w:rStyle w:val="Hipervnculo"/>
            <w:rFonts w:ascii="Verdana" w:hAnsi="Verdana"/>
          </w:rPr>
          <w:t>www.colombiacompra.gov.co</w:t>
        </w:r>
      </w:hyperlink>
    </w:p>
    <w:p w14:paraId="243BCFD3" w14:textId="77777777" w:rsidR="00C56DA9" w:rsidRPr="00E3533A" w:rsidRDefault="00C56DA9" w:rsidP="00C56DA9">
      <w:pPr>
        <w:pStyle w:val="Prrafodelista"/>
        <w:spacing w:after="0" w:line="240" w:lineRule="auto"/>
        <w:ind w:left="785"/>
        <w:jc w:val="both"/>
        <w:rPr>
          <w:rFonts w:ascii="Verdana" w:hAnsi="Verdana"/>
        </w:rPr>
      </w:pPr>
    </w:p>
    <w:p w14:paraId="25A09C35" w14:textId="77777777" w:rsidR="00C56DA9" w:rsidRPr="00E3533A" w:rsidRDefault="00C56DA9" w:rsidP="00C56DA9">
      <w:pPr>
        <w:spacing w:after="0" w:line="240" w:lineRule="auto"/>
        <w:jc w:val="both"/>
        <w:rPr>
          <w:rFonts w:ascii="Verdana" w:hAnsi="Verdana"/>
        </w:rPr>
      </w:pPr>
      <w:r w:rsidRPr="00E3533A">
        <w:rPr>
          <w:rFonts w:ascii="Verdana" w:hAnsi="Verdana"/>
        </w:rPr>
        <w:t xml:space="preserve">Por último, lo invitamos a seguirnos en las redes sociales en las cuales se difunde información institucional: </w:t>
      </w:r>
    </w:p>
    <w:p w14:paraId="1D956CD5" w14:textId="77777777" w:rsidR="00C56DA9" w:rsidRPr="00E3533A" w:rsidRDefault="00C56DA9" w:rsidP="00C56DA9">
      <w:pPr>
        <w:spacing w:after="0" w:line="240" w:lineRule="auto"/>
        <w:jc w:val="both"/>
        <w:rPr>
          <w:rFonts w:ascii="Verdana" w:hAnsi="Verdana"/>
        </w:rPr>
      </w:pPr>
    </w:p>
    <w:p w14:paraId="087CD71D" w14:textId="77777777" w:rsidR="00C56DA9" w:rsidRPr="00E3533A" w:rsidRDefault="00C56DA9" w:rsidP="00C56DA9">
      <w:pPr>
        <w:spacing w:after="0" w:line="240" w:lineRule="auto"/>
        <w:jc w:val="both"/>
        <w:rPr>
          <w:rFonts w:ascii="Verdana" w:hAnsi="Verdana"/>
        </w:rPr>
      </w:pPr>
      <w:r w:rsidRPr="00E3533A">
        <w:rPr>
          <w:rFonts w:ascii="Verdana" w:hAnsi="Verdana"/>
        </w:rPr>
        <w:lastRenderedPageBreak/>
        <w:t xml:space="preserve">Twitter: </w:t>
      </w:r>
      <w:r w:rsidRPr="00E3533A">
        <w:rPr>
          <w:rStyle w:val="Hipervnculo"/>
          <w:rFonts w:ascii="Verdana" w:hAnsi="Verdana"/>
        </w:rPr>
        <w:t>@colombiacompra</w:t>
      </w:r>
      <w:r w:rsidRPr="00E3533A">
        <w:rPr>
          <w:rFonts w:ascii="Verdana" w:hAnsi="Verdana"/>
        </w:rPr>
        <w:t xml:space="preserve"> </w:t>
      </w:r>
    </w:p>
    <w:p w14:paraId="38551BB3" w14:textId="77777777" w:rsidR="00C56DA9" w:rsidRPr="00E3533A" w:rsidRDefault="00C56DA9" w:rsidP="00C56DA9">
      <w:pPr>
        <w:spacing w:after="0" w:line="240" w:lineRule="auto"/>
        <w:jc w:val="both"/>
        <w:rPr>
          <w:rFonts w:ascii="Verdana" w:hAnsi="Verdana"/>
        </w:rPr>
      </w:pPr>
      <w:r w:rsidRPr="00E3533A">
        <w:rPr>
          <w:rFonts w:ascii="Verdana" w:hAnsi="Verdana"/>
        </w:rPr>
        <w:t xml:space="preserve">Facebook: </w:t>
      </w:r>
      <w:r w:rsidRPr="00E3533A">
        <w:rPr>
          <w:rStyle w:val="Hipervnculo"/>
          <w:rFonts w:ascii="Verdana" w:hAnsi="Verdana"/>
        </w:rPr>
        <w:t>ColombiaCompraEficiente</w:t>
      </w:r>
    </w:p>
    <w:p w14:paraId="3414634A" w14:textId="77777777" w:rsidR="00C56DA9" w:rsidRPr="00E3533A" w:rsidRDefault="00C56DA9" w:rsidP="00C56DA9">
      <w:pPr>
        <w:spacing w:after="0" w:line="240" w:lineRule="auto"/>
        <w:jc w:val="both"/>
        <w:rPr>
          <w:rFonts w:ascii="Verdana" w:hAnsi="Verdana"/>
        </w:rPr>
      </w:pPr>
      <w:r w:rsidRPr="00E3533A">
        <w:rPr>
          <w:rFonts w:ascii="Verdana" w:hAnsi="Verdana"/>
        </w:rPr>
        <w:t xml:space="preserve">LinkedIn: </w:t>
      </w:r>
      <w:r w:rsidRPr="00E3533A">
        <w:rPr>
          <w:rStyle w:val="Hipervnculo"/>
          <w:rFonts w:ascii="Verdana" w:hAnsi="Verdana"/>
        </w:rPr>
        <w:t>Agencia Nacional de Contratación Pública - Colombia Compra Eficiente</w:t>
      </w:r>
      <w:r w:rsidRPr="00E3533A">
        <w:rPr>
          <w:rFonts w:ascii="Verdana" w:hAnsi="Verdana"/>
        </w:rPr>
        <w:t xml:space="preserve"> Instagram: </w:t>
      </w:r>
      <w:r w:rsidRPr="00E3533A">
        <w:rPr>
          <w:rStyle w:val="Hipervnculo"/>
          <w:rFonts w:ascii="Verdana" w:hAnsi="Verdana"/>
        </w:rPr>
        <w:t>@colombiacompraeficiente_cce</w:t>
      </w:r>
    </w:p>
    <w:p w14:paraId="0D31EFBE" w14:textId="77777777" w:rsidR="00C56DA9" w:rsidRPr="00E3533A" w:rsidRDefault="00C56DA9" w:rsidP="00C56DA9">
      <w:pPr>
        <w:spacing w:after="0" w:line="240" w:lineRule="auto"/>
        <w:jc w:val="both"/>
        <w:rPr>
          <w:rFonts w:ascii="Verdana" w:hAnsi="Verdana"/>
        </w:rPr>
      </w:pPr>
    </w:p>
    <w:p w14:paraId="4FC7080A" w14:textId="77777777" w:rsidR="00C56DA9" w:rsidRPr="00E3533A" w:rsidRDefault="00C56DA9" w:rsidP="00C56DA9">
      <w:pPr>
        <w:spacing w:after="0" w:line="256" w:lineRule="auto"/>
        <w:jc w:val="both"/>
        <w:rPr>
          <w:rFonts w:ascii="Verdana" w:eastAsia="Calibri" w:hAnsi="Verdana" w:cs="Times New Roman"/>
          <w:bCs/>
        </w:rPr>
      </w:pPr>
      <w:r w:rsidRPr="00E3533A">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18C546E" w14:textId="77777777" w:rsidR="00C56DA9" w:rsidRPr="00E3533A" w:rsidRDefault="00C56DA9" w:rsidP="00C56DA9">
      <w:pPr>
        <w:spacing w:after="0" w:line="256" w:lineRule="auto"/>
        <w:jc w:val="both"/>
        <w:rPr>
          <w:rFonts w:ascii="Verdana" w:eastAsia="Calibri" w:hAnsi="Verdana" w:cs="Times New Roman"/>
        </w:rPr>
      </w:pPr>
    </w:p>
    <w:p w14:paraId="1F8FCFE9" w14:textId="77777777" w:rsidR="00C56DA9" w:rsidRPr="00E3533A" w:rsidRDefault="00C56DA9" w:rsidP="00C56DA9">
      <w:pPr>
        <w:spacing w:after="0" w:line="256" w:lineRule="auto"/>
        <w:jc w:val="both"/>
        <w:rPr>
          <w:rFonts w:ascii="Verdana" w:eastAsia="Calibri" w:hAnsi="Verdana" w:cs="Times New Roman"/>
        </w:rPr>
      </w:pPr>
      <w:r w:rsidRPr="00E3533A">
        <w:rPr>
          <w:rFonts w:ascii="Verdana" w:eastAsia="Calibri" w:hAnsi="Verdana" w:cs="Times New Roman"/>
        </w:rPr>
        <w:t>Atentamente,</w:t>
      </w:r>
    </w:p>
    <w:p w14:paraId="6B27F037" w14:textId="77777777" w:rsidR="00C56DA9" w:rsidRPr="00E3533A" w:rsidRDefault="00C56DA9" w:rsidP="00C56DA9">
      <w:pPr>
        <w:spacing w:after="0" w:line="256" w:lineRule="auto"/>
        <w:jc w:val="center"/>
        <w:rPr>
          <w:rFonts w:ascii="Century Gothic" w:hAnsi="Century Gothic"/>
          <w:noProof/>
        </w:rPr>
      </w:pPr>
    </w:p>
    <w:bookmarkEnd w:id="0"/>
    <w:p w14:paraId="76374E43" w14:textId="37243A8D" w:rsidR="00C56DA9" w:rsidRPr="00E3533A" w:rsidRDefault="008F4177" w:rsidP="00C56DA9">
      <w:pPr>
        <w:spacing w:after="0" w:line="276" w:lineRule="auto"/>
        <w:jc w:val="center"/>
        <w:rPr>
          <w:rFonts w:ascii="Verdana" w:hAnsi="Verdana" w:cs="Arial"/>
          <w:color w:val="000000" w:themeColor="text1"/>
          <w:lang w:eastAsia="es-CO"/>
        </w:rPr>
      </w:pPr>
      <w:r w:rsidRPr="004D5C25">
        <w:rPr>
          <w:rFonts w:ascii="Century Gothic" w:hAnsi="Century Gothic"/>
          <w:noProof/>
        </w:rPr>
        <w:drawing>
          <wp:inline distT="0" distB="0" distL="0" distR="0" wp14:anchorId="03E6F3D1" wp14:editId="4E243C11">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56DA9" w:rsidRPr="00E3533A" w14:paraId="203682F9" w14:textId="77777777" w:rsidTr="009E10DA">
        <w:trPr>
          <w:trHeight w:val="315"/>
        </w:trPr>
        <w:tc>
          <w:tcPr>
            <w:tcW w:w="893" w:type="dxa"/>
            <w:vAlign w:val="center"/>
            <w:hideMark/>
          </w:tcPr>
          <w:p w14:paraId="42C249EA" w14:textId="77777777" w:rsidR="00C56DA9" w:rsidRPr="00E3533A" w:rsidRDefault="00C56DA9" w:rsidP="009E10DA">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29A6D4D" w14:textId="77777777" w:rsidR="00C56DA9" w:rsidRPr="00E3533A" w:rsidRDefault="00C56DA9" w:rsidP="009E10DA">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695FEDE6" w14:textId="77777777" w:rsidR="00C56DA9" w:rsidRPr="00E3533A" w:rsidRDefault="00C56DA9" w:rsidP="009E10DA">
            <w:pPr>
              <w:contextualSpacing/>
              <w:rPr>
                <w:rFonts w:ascii="Verdana" w:eastAsia="Arial" w:hAnsi="Verdana" w:cs="Arial"/>
                <w:sz w:val="16"/>
                <w:szCs w:val="16"/>
              </w:rPr>
            </w:pPr>
            <w:r w:rsidRPr="00E3533A">
              <w:rPr>
                <w:rFonts w:ascii="Verdana" w:eastAsia="Calibri" w:hAnsi="Verdana" w:cs="Times New Roman"/>
                <w:sz w:val="16"/>
                <w:szCs w:val="16"/>
              </w:rPr>
              <w:t>Analista T1 -02 de la Subdirección de Gestión Contractual</w:t>
            </w:r>
          </w:p>
        </w:tc>
      </w:tr>
      <w:tr w:rsidR="00C56DA9" w:rsidRPr="00E3533A" w14:paraId="46C3BF2F" w14:textId="77777777" w:rsidTr="009E10DA">
        <w:trPr>
          <w:trHeight w:val="330"/>
        </w:trPr>
        <w:tc>
          <w:tcPr>
            <w:tcW w:w="893" w:type="dxa"/>
            <w:vAlign w:val="center"/>
            <w:hideMark/>
          </w:tcPr>
          <w:p w14:paraId="664B4BF1" w14:textId="77777777" w:rsidR="00C56DA9" w:rsidRPr="00E3533A" w:rsidRDefault="00C56DA9" w:rsidP="009E10DA">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AD534F" w14:textId="77777777" w:rsidR="00C56DA9" w:rsidRPr="00E3533A" w:rsidRDefault="00C56DA9" w:rsidP="009E10DA">
            <w:pPr>
              <w:spacing w:line="256" w:lineRule="auto"/>
              <w:rPr>
                <w:rFonts w:ascii="Verdana" w:eastAsia="Calibri" w:hAnsi="Verdana" w:cs="Times New Roman"/>
                <w:sz w:val="16"/>
                <w:szCs w:val="16"/>
              </w:rPr>
            </w:pPr>
            <w:r w:rsidRPr="00E3533A">
              <w:rPr>
                <w:rFonts w:ascii="Verdana" w:eastAsia="Calibri" w:hAnsi="Verdana" w:cs="Times New Roman"/>
                <w:sz w:val="16"/>
                <w:szCs w:val="16"/>
              </w:rPr>
              <w:t>Diana Lucía Saavedra Castañeda</w:t>
            </w:r>
          </w:p>
          <w:p w14:paraId="2161FA15" w14:textId="77777777" w:rsidR="00C56DA9" w:rsidRPr="00E3533A" w:rsidRDefault="00C56DA9" w:rsidP="009E10DA">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C56DA9" w:rsidRPr="00E3533A" w14:paraId="092C53A3" w14:textId="77777777" w:rsidTr="009E10DA">
        <w:trPr>
          <w:trHeight w:val="300"/>
        </w:trPr>
        <w:tc>
          <w:tcPr>
            <w:tcW w:w="893" w:type="dxa"/>
            <w:vAlign w:val="center"/>
          </w:tcPr>
          <w:p w14:paraId="5E8A59D2" w14:textId="77777777" w:rsidR="00C56DA9" w:rsidRPr="00E3533A" w:rsidRDefault="00C56DA9" w:rsidP="009E10DA">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CA4AEC4" w14:textId="77777777" w:rsidR="00C56DA9" w:rsidRPr="00E3533A" w:rsidRDefault="00C56DA9" w:rsidP="009E10DA">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Carolina Quintero Gacharná</w:t>
            </w:r>
          </w:p>
          <w:p w14:paraId="54D1A178" w14:textId="77777777" w:rsidR="00C56DA9" w:rsidRPr="00E3533A" w:rsidRDefault="00C56DA9" w:rsidP="009E10DA">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04913BEE" w14:textId="77777777" w:rsidR="00C56DA9" w:rsidRPr="00E3533A" w:rsidRDefault="00C56DA9" w:rsidP="00C56DA9">
      <w:pPr>
        <w:spacing w:after="0"/>
        <w:rPr>
          <w:rFonts w:ascii="Verdana" w:hAnsi="Verdana"/>
        </w:rPr>
      </w:pPr>
    </w:p>
    <w:p w14:paraId="52B4D747" w14:textId="77777777" w:rsidR="00C56DA9" w:rsidRPr="00E3533A" w:rsidRDefault="00C56DA9" w:rsidP="00C56DA9">
      <w:pPr>
        <w:spacing w:after="0"/>
        <w:rPr>
          <w:rFonts w:ascii="Verdana" w:eastAsia="Times New Roman" w:hAnsi="Verdana" w:cs="Segoe UI"/>
          <w:sz w:val="18"/>
          <w:szCs w:val="18"/>
          <w:lang w:eastAsia="es-CO"/>
        </w:rPr>
      </w:pPr>
    </w:p>
    <w:p w14:paraId="7EB39302" w14:textId="77777777" w:rsidR="00C56DA9" w:rsidRPr="00E3533A" w:rsidRDefault="00C56DA9" w:rsidP="00C56DA9"/>
    <w:p w14:paraId="4A1BBA39" w14:textId="77777777" w:rsidR="00C56DA9" w:rsidRPr="00E3533A" w:rsidRDefault="00C56DA9" w:rsidP="00C56DA9">
      <w:pPr>
        <w:spacing w:after="0"/>
        <w:rPr>
          <w:rFonts w:ascii="Verdana" w:eastAsia="Times New Roman" w:hAnsi="Verdana" w:cs="Segoe UI"/>
          <w:sz w:val="18"/>
          <w:szCs w:val="18"/>
          <w:lang w:eastAsia="es-CO"/>
        </w:rPr>
      </w:pPr>
    </w:p>
    <w:p w14:paraId="24C3F859" w14:textId="77777777" w:rsidR="00C56DA9" w:rsidRPr="00E3533A" w:rsidRDefault="00C56DA9" w:rsidP="00C56DA9"/>
    <w:p w14:paraId="71246300" w14:textId="77777777" w:rsidR="00C24FFE" w:rsidRPr="00C56DA9" w:rsidRDefault="00C24FFE" w:rsidP="00C56DA9"/>
    <w:sectPr w:rsidR="00C24FFE" w:rsidRPr="00C56DA9" w:rsidSect="00C56DA9">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C5B313" w14:textId="77777777" w:rsidR="006E5051" w:rsidRDefault="006E5051" w:rsidP="00C56DA9">
      <w:pPr>
        <w:spacing w:after="0" w:line="240" w:lineRule="auto"/>
      </w:pPr>
      <w:r>
        <w:separator/>
      </w:r>
    </w:p>
  </w:endnote>
  <w:endnote w:type="continuationSeparator" w:id="0">
    <w:p w14:paraId="7A1EAC5A" w14:textId="77777777" w:rsidR="006E5051" w:rsidRDefault="006E5051" w:rsidP="00C56D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altName w:val="Arial"/>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B114D" w14:textId="77777777" w:rsidR="00C56DA9" w:rsidRDefault="00C56DA9">
    <w:pPr>
      <w:pStyle w:val="Piedepgina"/>
    </w:pPr>
  </w:p>
  <w:p w14:paraId="3D436D12" w14:textId="77777777" w:rsidR="00C56DA9" w:rsidRPr="00174B77" w:rsidRDefault="00C56DA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EBC2AEC" w14:textId="77777777" w:rsidR="00C56DA9" w:rsidRDefault="00C56DA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73C78256" w14:textId="77777777" w:rsidR="00C56DA9" w:rsidRPr="00E41027" w:rsidRDefault="00C56DA9" w:rsidP="00D520D8">
    <w:pPr>
      <w:spacing w:after="0"/>
      <w:jc w:val="both"/>
      <w:rPr>
        <w:rFonts w:ascii="Verdana" w:hAnsi="Verdana"/>
        <w:sz w:val="18"/>
        <w:szCs w:val="18"/>
      </w:rPr>
    </w:pPr>
    <w:r w:rsidRPr="00E41027">
      <w:rPr>
        <w:rFonts w:ascii="Verdana" w:hAnsi="Verdana"/>
        <w:sz w:val="18"/>
        <w:szCs w:val="18"/>
      </w:rPr>
      <w:t>Mesa de servicio: (+57) 601 7456788</w:t>
    </w:r>
  </w:p>
  <w:p w14:paraId="47E01EF1" w14:textId="77777777" w:rsidR="00C56DA9" w:rsidRDefault="00C56DA9"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6979CC" w14:textId="77777777" w:rsidR="006E5051" w:rsidRDefault="006E5051" w:rsidP="00C56DA9">
      <w:pPr>
        <w:spacing w:after="0" w:line="240" w:lineRule="auto"/>
      </w:pPr>
      <w:r>
        <w:separator/>
      </w:r>
    </w:p>
  </w:footnote>
  <w:footnote w:type="continuationSeparator" w:id="0">
    <w:p w14:paraId="0C09190E" w14:textId="77777777" w:rsidR="006E5051" w:rsidRDefault="006E5051" w:rsidP="00C56DA9">
      <w:pPr>
        <w:spacing w:after="0" w:line="240" w:lineRule="auto"/>
      </w:pPr>
      <w:r>
        <w:continuationSeparator/>
      </w:r>
    </w:p>
  </w:footnote>
  <w:footnote w:id="1">
    <w:p w14:paraId="3B29F134" w14:textId="77777777" w:rsidR="00C56DA9" w:rsidRDefault="00C56DA9" w:rsidP="00C56DA9">
      <w:pPr>
        <w:pStyle w:val="Textonotapie"/>
        <w:ind w:firstLine="709"/>
        <w:jc w:val="both"/>
        <w:rPr>
          <w:rFonts w:ascii="Verdana" w:hAnsi="Verdana" w:cs="Arial"/>
          <w:sz w:val="16"/>
          <w:szCs w:val="16"/>
          <w:lang w:val="es-ES"/>
        </w:rPr>
      </w:pPr>
      <w:r w:rsidRPr="00A617AC">
        <w:rPr>
          <w:rStyle w:val="Refdenotaalpie"/>
          <w:rFonts w:ascii="Verdana" w:hAnsi="Verdana" w:cs="Arial"/>
          <w:sz w:val="16"/>
          <w:szCs w:val="16"/>
        </w:rPr>
        <w:footnoteRef/>
      </w:r>
      <w:r w:rsidRPr="00A617AC">
        <w:rPr>
          <w:rFonts w:ascii="Verdana" w:hAnsi="Verdana" w:cs="Arial"/>
          <w:sz w:val="16"/>
          <w:szCs w:val="16"/>
        </w:rPr>
        <w:t xml:space="preserve"> </w:t>
      </w:r>
      <w:r w:rsidRPr="00A617AC">
        <w:rPr>
          <w:rFonts w:ascii="Verdana" w:hAnsi="Verdana" w:cs="Arial"/>
          <w:sz w:val="16"/>
          <w:szCs w:val="16"/>
          <w:lang w:val="es-ES"/>
        </w:rPr>
        <w:t>BOBBIO, Norberto. Democracia y secreto. México: Fondo de Cultura Económica, 2013. p. 27.</w:t>
      </w:r>
    </w:p>
    <w:p w14:paraId="53171BDA" w14:textId="77777777" w:rsidR="00C56DA9" w:rsidRPr="00A617AC" w:rsidRDefault="00C56DA9" w:rsidP="00C56DA9">
      <w:pPr>
        <w:pStyle w:val="Textonotapie"/>
        <w:ind w:firstLine="709"/>
        <w:jc w:val="both"/>
        <w:rPr>
          <w:rFonts w:ascii="Verdana" w:hAnsi="Verdana" w:cs="Arial"/>
          <w:sz w:val="16"/>
          <w:szCs w:val="16"/>
          <w:lang w:val="es-ES"/>
        </w:rPr>
      </w:pPr>
    </w:p>
  </w:footnote>
  <w:footnote w:id="2">
    <w:p w14:paraId="38944A5F" w14:textId="77777777" w:rsidR="00C56DA9" w:rsidRPr="00A617AC" w:rsidRDefault="00C56DA9" w:rsidP="00C56DA9">
      <w:pPr>
        <w:pStyle w:val="Textonotapie"/>
        <w:ind w:firstLine="709"/>
        <w:jc w:val="both"/>
        <w:rPr>
          <w:rFonts w:ascii="Verdana" w:hAnsi="Verdana" w:cs="Arial"/>
          <w:color w:val="000000" w:themeColor="text1"/>
          <w:sz w:val="16"/>
          <w:szCs w:val="16"/>
        </w:rPr>
      </w:pPr>
      <w:r w:rsidRPr="00A617AC">
        <w:rPr>
          <w:rStyle w:val="Refdenotaalpie"/>
          <w:rFonts w:ascii="Verdana" w:hAnsi="Verdana" w:cs="Arial"/>
          <w:color w:val="000000" w:themeColor="text1"/>
          <w:sz w:val="16"/>
          <w:szCs w:val="16"/>
        </w:rPr>
        <w:footnoteRef/>
      </w:r>
      <w:r w:rsidRPr="00A617AC">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2BF5DFA0" w14:textId="77777777" w:rsidR="00C56DA9" w:rsidRPr="00A617AC" w:rsidRDefault="00C56DA9" w:rsidP="00C56DA9">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Lo anterior, sin perjuicio de las publicaciones previstas en el numeral 3 del artículo 30 de la Ley 80 de 1993.</w:t>
      </w:r>
    </w:p>
    <w:p w14:paraId="1290D10C" w14:textId="77777777" w:rsidR="00C56DA9" w:rsidRPr="00A617AC" w:rsidRDefault="00C56DA9" w:rsidP="00C56DA9">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58B07D9E" w14:textId="77777777" w:rsidR="00C56DA9" w:rsidRPr="00A617AC" w:rsidRDefault="00C56DA9" w:rsidP="00C56DA9">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w:t>
      </w:r>
    </w:p>
    <w:p w14:paraId="05D00273" w14:textId="77777777" w:rsidR="00C56DA9" w:rsidRPr="00A617AC" w:rsidRDefault="00C56DA9" w:rsidP="00C56DA9">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17FAA669" w14:textId="77777777" w:rsidR="00C56DA9" w:rsidRPr="00A617AC" w:rsidRDefault="00C56DA9" w:rsidP="00C56DA9">
      <w:pPr>
        <w:pStyle w:val="Textonotapie"/>
        <w:ind w:firstLine="709"/>
        <w:jc w:val="both"/>
        <w:rPr>
          <w:rFonts w:ascii="Verdana" w:hAnsi="Verdana" w:cs="Arial"/>
          <w:color w:val="000000" w:themeColor="text1"/>
          <w:sz w:val="16"/>
          <w:szCs w:val="16"/>
          <w:lang w:val="es-CO"/>
        </w:rPr>
      </w:pPr>
    </w:p>
  </w:footnote>
  <w:footnote w:id="3">
    <w:p w14:paraId="05CEB934" w14:textId="77777777" w:rsidR="00C56DA9" w:rsidRPr="00A617AC" w:rsidRDefault="00C56DA9" w:rsidP="00C56DA9">
      <w:pPr>
        <w:pStyle w:val="Textonotapie"/>
        <w:ind w:firstLine="709"/>
        <w:jc w:val="both"/>
        <w:rPr>
          <w:rFonts w:ascii="Verdana" w:hAnsi="Verdana" w:cs="Arial"/>
          <w:color w:val="000000" w:themeColor="text1"/>
          <w:sz w:val="16"/>
          <w:szCs w:val="16"/>
        </w:rPr>
      </w:pPr>
      <w:r w:rsidRPr="00A617AC">
        <w:rPr>
          <w:rStyle w:val="Refdenotaalpie"/>
          <w:rFonts w:ascii="Verdana" w:hAnsi="Verdana" w:cs="Arial"/>
          <w:color w:val="000000" w:themeColor="text1"/>
          <w:sz w:val="16"/>
          <w:szCs w:val="16"/>
        </w:rPr>
        <w:footnoteRef/>
      </w:r>
      <w:r w:rsidRPr="00A617AC">
        <w:rPr>
          <w:rFonts w:ascii="Verdana" w:hAnsi="Verdana" w:cs="Arial"/>
          <w:color w:val="000000" w:themeColor="text1"/>
          <w:sz w:val="16"/>
          <w:szCs w:val="16"/>
        </w:rPr>
        <w:t xml:space="preserve"> Ley 1712 de 2014: </w:t>
      </w:r>
      <w:r>
        <w:rPr>
          <w:rFonts w:ascii="Verdana" w:hAnsi="Verdana" w:cs="Arial"/>
          <w:color w:val="000000" w:themeColor="text1"/>
          <w:sz w:val="16"/>
          <w:szCs w:val="16"/>
        </w:rPr>
        <w:t>“</w:t>
      </w:r>
      <w:r w:rsidRPr="00A617AC">
        <w:rPr>
          <w:rFonts w:ascii="Verdana" w:hAnsi="Verdana" w:cs="Arial"/>
          <w:color w:val="000000" w:themeColor="text1"/>
          <w:sz w:val="16"/>
          <w:szCs w:val="16"/>
        </w:rPr>
        <w:t>Artículo 2. Toda información en posesión, bajo control o custodia de un sujeto obligado es pública y no podrá ser reservada o limitada sino por disposición constitucional o legal, de conformidad con la presente ley</w:t>
      </w:r>
      <w:r>
        <w:rPr>
          <w:rFonts w:ascii="Verdana" w:hAnsi="Verdana" w:cs="Arial"/>
          <w:color w:val="000000" w:themeColor="text1"/>
          <w:sz w:val="16"/>
          <w:szCs w:val="16"/>
        </w:rPr>
        <w:t>”</w:t>
      </w:r>
      <w:r w:rsidRPr="00A617AC">
        <w:rPr>
          <w:rFonts w:ascii="Verdana" w:hAnsi="Verdana" w:cs="Arial"/>
          <w:color w:val="000000" w:themeColor="text1"/>
          <w:sz w:val="16"/>
          <w:szCs w:val="16"/>
        </w:rPr>
        <w:t>.</w:t>
      </w:r>
    </w:p>
    <w:p w14:paraId="66A3B610" w14:textId="77777777" w:rsidR="00C56DA9" w:rsidRPr="00A617AC" w:rsidRDefault="00C56DA9" w:rsidP="00C56DA9">
      <w:pPr>
        <w:pStyle w:val="Textonotapie"/>
        <w:ind w:firstLine="709"/>
        <w:jc w:val="both"/>
        <w:rPr>
          <w:rFonts w:ascii="Verdana" w:hAnsi="Verdana" w:cs="Arial"/>
          <w:color w:val="000000" w:themeColor="text1"/>
          <w:sz w:val="16"/>
          <w:szCs w:val="16"/>
          <w:lang w:val="es-CO"/>
        </w:rPr>
      </w:pPr>
    </w:p>
  </w:footnote>
  <w:footnote w:id="4">
    <w:p w14:paraId="318C6A2A" w14:textId="77777777" w:rsidR="00C56DA9" w:rsidRPr="00A617AC" w:rsidRDefault="00C56DA9" w:rsidP="00C56DA9">
      <w:pPr>
        <w:pStyle w:val="Textonotapie"/>
        <w:ind w:firstLine="709"/>
        <w:jc w:val="both"/>
        <w:rPr>
          <w:rFonts w:ascii="Verdana" w:hAnsi="Verdana" w:cs="Arial"/>
          <w:color w:val="000000" w:themeColor="text1"/>
          <w:sz w:val="16"/>
          <w:szCs w:val="16"/>
        </w:rPr>
      </w:pPr>
      <w:r w:rsidRPr="00A617AC">
        <w:rPr>
          <w:rStyle w:val="Refdenotaalpie"/>
          <w:rFonts w:ascii="Verdana" w:hAnsi="Verdana" w:cs="Arial"/>
          <w:color w:val="000000" w:themeColor="text1"/>
          <w:sz w:val="16"/>
          <w:szCs w:val="16"/>
        </w:rPr>
        <w:footnoteRef/>
      </w:r>
      <w:r w:rsidRPr="00A617AC">
        <w:rPr>
          <w:rFonts w:ascii="Verdana" w:hAnsi="Verdana" w:cs="Arial"/>
          <w:color w:val="000000" w:themeColor="text1"/>
          <w:sz w:val="16"/>
          <w:szCs w:val="16"/>
        </w:rPr>
        <w:t xml:space="preserve"> Ley 1712 de 2014: </w:t>
      </w:r>
      <w:r>
        <w:rPr>
          <w:rFonts w:ascii="Verdana" w:hAnsi="Verdana" w:cs="Arial"/>
          <w:color w:val="000000" w:themeColor="text1"/>
          <w:sz w:val="16"/>
          <w:szCs w:val="16"/>
        </w:rPr>
        <w:t>“</w:t>
      </w:r>
      <w:r w:rsidRPr="00A617AC">
        <w:rPr>
          <w:rFonts w:ascii="Verdana" w:hAnsi="Verdana" w:cs="Arial"/>
          <w:color w:val="000000" w:themeColor="text1"/>
          <w:sz w:val="16"/>
          <w:szCs w:val="16"/>
        </w:rPr>
        <w:t xml:space="preserve">Artículo 5. Ámbito de aplicación. Las disposiciones de esta ley serán aplicables a las siguientes personas en calidad de sujetos obligados: </w:t>
      </w:r>
    </w:p>
    <w:p w14:paraId="72D1ABBD" w14:textId="77777777" w:rsidR="00C56DA9" w:rsidRPr="00A617AC" w:rsidRDefault="00C56DA9" w:rsidP="00C56DA9">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r>
        <w:rPr>
          <w:rFonts w:ascii="Verdana" w:hAnsi="Verdana" w:cs="Arial"/>
          <w:color w:val="000000" w:themeColor="text1"/>
          <w:sz w:val="16"/>
          <w:szCs w:val="16"/>
        </w:rPr>
        <w:t>”</w:t>
      </w:r>
      <w:r w:rsidRPr="00A617AC">
        <w:rPr>
          <w:rFonts w:ascii="Verdana" w:hAnsi="Verdana" w:cs="Arial"/>
          <w:color w:val="000000" w:themeColor="text1"/>
          <w:sz w:val="16"/>
          <w:szCs w:val="16"/>
        </w:rPr>
        <w:t>.</w:t>
      </w:r>
    </w:p>
    <w:p w14:paraId="70B673BC" w14:textId="77777777" w:rsidR="00C56DA9" w:rsidRPr="00A617AC" w:rsidRDefault="00C56DA9" w:rsidP="00C56DA9">
      <w:pPr>
        <w:pStyle w:val="Textonotapie"/>
        <w:ind w:firstLine="709"/>
        <w:jc w:val="both"/>
        <w:rPr>
          <w:rFonts w:ascii="Verdana" w:hAnsi="Verdana" w:cs="Arial"/>
          <w:color w:val="000000" w:themeColor="text1"/>
          <w:sz w:val="16"/>
          <w:szCs w:val="16"/>
          <w:lang w:val="es-CO"/>
        </w:rPr>
      </w:pPr>
    </w:p>
  </w:footnote>
  <w:footnote w:id="5">
    <w:p w14:paraId="2282D9BA" w14:textId="77777777" w:rsidR="00C56DA9" w:rsidRPr="00A617AC" w:rsidRDefault="00C56DA9" w:rsidP="00C56DA9">
      <w:pPr>
        <w:pStyle w:val="Textonotapie"/>
        <w:ind w:firstLine="709"/>
        <w:jc w:val="both"/>
        <w:rPr>
          <w:rFonts w:ascii="Verdana" w:hAnsi="Verdana" w:cs="Arial"/>
          <w:color w:val="000000" w:themeColor="text1"/>
          <w:sz w:val="16"/>
          <w:szCs w:val="16"/>
        </w:rPr>
      </w:pPr>
      <w:r w:rsidRPr="00A617AC">
        <w:rPr>
          <w:rFonts w:ascii="Verdana" w:eastAsia="Times New Roman" w:hAnsi="Verdana" w:cs="Arial"/>
          <w:color w:val="000000" w:themeColor="text1"/>
          <w:sz w:val="16"/>
          <w:szCs w:val="16"/>
          <w:vertAlign w:val="superscript"/>
          <w:lang w:val="es-ES" w:eastAsia="es-ES"/>
        </w:rPr>
        <w:footnoteRef/>
      </w:r>
      <w:r w:rsidRPr="00A617AC">
        <w:rPr>
          <w:rFonts w:ascii="Verdana" w:eastAsia="Times New Roman" w:hAnsi="Verdana" w:cs="Arial"/>
          <w:color w:val="000000" w:themeColor="text1"/>
          <w:sz w:val="16"/>
          <w:szCs w:val="16"/>
          <w:vertAlign w:val="superscript"/>
          <w:lang w:val="es-ES" w:eastAsia="es-ES"/>
        </w:rPr>
        <w:t xml:space="preserve"> </w:t>
      </w:r>
      <w:r>
        <w:rPr>
          <w:rFonts w:ascii="Verdana" w:eastAsia="Times New Roman" w:hAnsi="Verdana" w:cs="Arial"/>
          <w:color w:val="000000" w:themeColor="text1"/>
          <w:sz w:val="16"/>
          <w:szCs w:val="16"/>
          <w:lang w:val="es-ES" w:eastAsia="es-ES"/>
        </w:rPr>
        <w:t>“</w:t>
      </w:r>
      <w:r w:rsidRPr="00A617AC">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10E773BD" w14:textId="77777777" w:rsidR="00C56DA9" w:rsidRPr="00A617AC" w:rsidRDefault="00C56DA9" w:rsidP="00C56DA9">
      <w:pPr>
        <w:pStyle w:val="Textonotapie"/>
        <w:ind w:firstLine="709"/>
        <w:jc w:val="both"/>
        <w:rPr>
          <w:rFonts w:ascii="Verdana" w:eastAsia="Times New Roman" w:hAnsi="Verdana" w:cs="Arial"/>
          <w:color w:val="000000" w:themeColor="text1"/>
          <w:sz w:val="16"/>
          <w:szCs w:val="16"/>
          <w:lang w:val="es-ES" w:eastAsia="es-ES"/>
        </w:rPr>
      </w:pPr>
      <w:r w:rsidRPr="00A617AC">
        <w:rPr>
          <w:rFonts w:ascii="Verdana" w:hAnsi="Verdana" w:cs="Arial"/>
          <w:color w:val="000000" w:themeColor="text1"/>
          <w:sz w:val="16"/>
          <w:szCs w:val="16"/>
        </w:rPr>
        <w:t>[…].</w:t>
      </w:r>
    </w:p>
    <w:p w14:paraId="1A4FD1DC" w14:textId="77777777" w:rsidR="00C56DA9" w:rsidRPr="00A617AC" w:rsidRDefault="00C56DA9" w:rsidP="00C56DA9">
      <w:pPr>
        <w:pStyle w:val="Textonotapie"/>
        <w:ind w:firstLine="709"/>
        <w:jc w:val="both"/>
        <w:rPr>
          <w:rFonts w:ascii="Verdana" w:eastAsia="Times New Roman" w:hAnsi="Verdana" w:cs="Arial"/>
          <w:color w:val="000000" w:themeColor="text1"/>
          <w:sz w:val="16"/>
          <w:szCs w:val="16"/>
          <w:lang w:val="es-ES" w:eastAsia="es-ES"/>
        </w:rPr>
      </w:pPr>
      <w:r w:rsidRPr="00A617AC">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r>
        <w:rPr>
          <w:rFonts w:ascii="Verdana" w:eastAsia="Times New Roman" w:hAnsi="Verdana" w:cs="Arial"/>
          <w:color w:val="000000" w:themeColor="text1"/>
          <w:sz w:val="16"/>
          <w:szCs w:val="16"/>
          <w:lang w:val="es-ES" w:eastAsia="es-ES"/>
        </w:rPr>
        <w:t>”</w:t>
      </w:r>
      <w:r w:rsidRPr="00A617AC">
        <w:rPr>
          <w:rFonts w:ascii="Verdana" w:eastAsia="Times New Roman" w:hAnsi="Verdana" w:cs="Arial"/>
          <w:color w:val="000000" w:themeColor="text1"/>
          <w:sz w:val="16"/>
          <w:szCs w:val="16"/>
          <w:lang w:val="es-ES" w:eastAsia="es-ES"/>
        </w:rPr>
        <w:t>.</w:t>
      </w:r>
    </w:p>
    <w:p w14:paraId="0332A13E" w14:textId="77777777" w:rsidR="00C56DA9" w:rsidRPr="00A617AC" w:rsidRDefault="00C56DA9" w:rsidP="00C56DA9">
      <w:pPr>
        <w:pStyle w:val="Textonotapie"/>
        <w:ind w:firstLine="709"/>
        <w:jc w:val="both"/>
        <w:rPr>
          <w:rFonts w:ascii="Verdana" w:eastAsia="Times New Roman" w:hAnsi="Verdana" w:cs="Arial"/>
          <w:color w:val="000000" w:themeColor="text1"/>
          <w:sz w:val="16"/>
          <w:szCs w:val="16"/>
          <w:lang w:val="es-ES" w:eastAsia="es-ES"/>
        </w:rPr>
      </w:pPr>
    </w:p>
  </w:footnote>
  <w:footnote w:id="6">
    <w:p w14:paraId="48608377" w14:textId="77777777" w:rsidR="00C56DA9" w:rsidRPr="00A617AC" w:rsidRDefault="00C56DA9" w:rsidP="00C56DA9">
      <w:pPr>
        <w:pStyle w:val="Textonotapie"/>
        <w:ind w:firstLine="709"/>
        <w:jc w:val="both"/>
        <w:rPr>
          <w:rFonts w:ascii="Verdana" w:hAnsi="Verdana" w:cs="Arial"/>
          <w:color w:val="000000"/>
          <w:sz w:val="16"/>
          <w:szCs w:val="16"/>
        </w:rPr>
      </w:pPr>
      <w:r w:rsidRPr="00A617AC">
        <w:rPr>
          <w:rStyle w:val="Refdenotaalpie"/>
          <w:rFonts w:ascii="Verdana" w:hAnsi="Verdana" w:cs="Arial"/>
          <w:color w:val="000000"/>
          <w:sz w:val="16"/>
          <w:szCs w:val="16"/>
        </w:rPr>
        <w:footnoteRef/>
      </w:r>
      <w:r w:rsidRPr="00A617AC">
        <w:rPr>
          <w:rFonts w:ascii="Verdana" w:hAnsi="Verdana" w:cs="Arial"/>
          <w:color w:val="000000"/>
          <w:sz w:val="16"/>
          <w:szCs w:val="16"/>
        </w:rPr>
        <w:t xml:space="preserve"> C</w:t>
      </w:r>
      <w:r w:rsidRPr="00A617AC">
        <w:rPr>
          <w:rFonts w:ascii="Verdana" w:eastAsia="Times New Roman" w:hAnsi="Verdana" w:cs="Arial"/>
          <w:color w:val="000000"/>
          <w:sz w:val="16"/>
          <w:szCs w:val="16"/>
          <w:lang w:val="es-ES" w:eastAsia="es-ES"/>
        </w:rPr>
        <w:t>ORTE CONSTITUCIONAL. Sentencia C‒274 de 9 de mayo de 2013. M.P. Mar</w:t>
      </w:r>
      <w:r w:rsidRPr="00A617AC">
        <w:rPr>
          <w:rFonts w:ascii="Verdana" w:eastAsia="Times New Roman" w:hAnsi="Verdana" w:cs="Century Gothic"/>
          <w:color w:val="000000"/>
          <w:sz w:val="16"/>
          <w:szCs w:val="16"/>
          <w:lang w:val="es-ES" w:eastAsia="es-ES"/>
        </w:rPr>
        <w:t>í</w:t>
      </w:r>
      <w:r w:rsidRPr="00A617AC">
        <w:rPr>
          <w:rFonts w:ascii="Verdana" w:eastAsia="Times New Roman" w:hAnsi="Verdana" w:cs="Arial"/>
          <w:color w:val="000000"/>
          <w:sz w:val="16"/>
          <w:szCs w:val="16"/>
          <w:lang w:val="es-ES" w:eastAsia="es-ES"/>
        </w:rPr>
        <w:t xml:space="preserve">a Victoria Calle Correa. </w:t>
      </w:r>
    </w:p>
    <w:p w14:paraId="39A05210" w14:textId="77777777" w:rsidR="00C56DA9" w:rsidRPr="00A617AC" w:rsidRDefault="00C56DA9" w:rsidP="00C56DA9">
      <w:pPr>
        <w:pStyle w:val="Textonotapie"/>
        <w:ind w:firstLine="709"/>
        <w:jc w:val="both"/>
        <w:rPr>
          <w:rFonts w:ascii="Verdana" w:hAnsi="Verdana" w:cs="Arial"/>
          <w:color w:val="000000"/>
          <w:sz w:val="16"/>
          <w:szCs w:val="16"/>
          <w:lang w:val="es-CO"/>
        </w:rPr>
      </w:pPr>
    </w:p>
  </w:footnote>
  <w:footnote w:id="7">
    <w:p w14:paraId="5678F485" w14:textId="77777777" w:rsidR="00C56DA9" w:rsidRPr="00A617AC" w:rsidRDefault="00C56DA9" w:rsidP="00C56DA9">
      <w:pPr>
        <w:pStyle w:val="Textonotapie"/>
        <w:ind w:firstLine="708"/>
        <w:jc w:val="both"/>
        <w:rPr>
          <w:rFonts w:ascii="Verdana" w:hAnsi="Verdana" w:cs="Arial"/>
          <w:color w:val="000000"/>
          <w:sz w:val="16"/>
          <w:szCs w:val="16"/>
        </w:rPr>
      </w:pPr>
      <w:r w:rsidRPr="00A617AC">
        <w:rPr>
          <w:rStyle w:val="Refdenotaalpie"/>
          <w:rFonts w:ascii="Verdana" w:hAnsi="Verdana" w:cs="Arial"/>
          <w:color w:val="000000"/>
          <w:sz w:val="16"/>
          <w:szCs w:val="16"/>
        </w:rPr>
        <w:footnoteRef/>
      </w:r>
      <w:r w:rsidRPr="00A617AC">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794981CE" w14:textId="77777777" w:rsidR="00C56DA9" w:rsidRPr="00A617AC" w:rsidRDefault="00C56DA9" w:rsidP="00C56DA9">
      <w:pPr>
        <w:pStyle w:val="Textonotapie"/>
        <w:ind w:firstLine="708"/>
        <w:jc w:val="both"/>
        <w:rPr>
          <w:rFonts w:ascii="Verdana" w:hAnsi="Verdana" w:cs="Arial"/>
          <w:color w:val="000000"/>
          <w:sz w:val="16"/>
          <w:szCs w:val="16"/>
        </w:rPr>
      </w:pPr>
      <w:r w:rsidRPr="00A97281">
        <w:rPr>
          <w:rStyle w:val="Refdenotaalpie"/>
        </w:rPr>
        <w:t>8</w:t>
      </w:r>
      <w:r w:rsidRPr="00A617AC">
        <w:rPr>
          <w:rFonts w:ascii="Verdana" w:hAnsi="Verdana" w:cs="Arial"/>
          <w:color w:val="000000"/>
          <w:sz w:val="16"/>
          <w:szCs w:val="16"/>
        </w:rPr>
        <w:t>.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8">
    <w:p w14:paraId="1405C6D5" w14:textId="77777777" w:rsidR="00C56DA9" w:rsidRPr="005867CF" w:rsidRDefault="00C56DA9" w:rsidP="00C56DA9">
      <w:pPr>
        <w:pStyle w:val="Textonotapie"/>
        <w:ind w:firstLine="708"/>
        <w:jc w:val="both"/>
        <w:rPr>
          <w:rFonts w:ascii="Verdana" w:hAnsi="Verdana" w:cs="Arial"/>
          <w:color w:val="000000" w:themeColor="text1"/>
          <w:sz w:val="15"/>
          <w:szCs w:val="15"/>
        </w:rPr>
      </w:pPr>
      <w:r w:rsidRPr="005867CF">
        <w:rPr>
          <w:rStyle w:val="Refdenotaalpie"/>
          <w:rFonts w:ascii="Verdana" w:hAnsi="Verdana" w:cs="Arial"/>
          <w:color w:val="000000" w:themeColor="text1"/>
          <w:sz w:val="15"/>
          <w:szCs w:val="15"/>
        </w:rPr>
        <w:footnoteRef/>
      </w:r>
      <w:r w:rsidRPr="005867CF">
        <w:rPr>
          <w:rFonts w:ascii="Verdana" w:hAnsi="Verdana" w:cs="Arial"/>
          <w:color w:val="000000" w:themeColor="text1"/>
          <w:sz w:val="15"/>
          <w:szCs w:val="15"/>
        </w:rPr>
        <w:t xml:space="preserve"> CONSEJO DE ESTADO. Sección Tercera. Subsección B. Sentencia del 28 de febrero de 2013. C.P. Danilo Rojas Betancourth. Exp. </w:t>
      </w:r>
      <w:r w:rsidRPr="005867CF">
        <w:rPr>
          <w:rFonts w:ascii="Verdana" w:hAnsi="Verdana" w:cs="Arial"/>
          <w:color w:val="000000" w:themeColor="text1"/>
          <w:sz w:val="15"/>
          <w:szCs w:val="15"/>
          <w:lang w:val="es-CO"/>
        </w:rPr>
        <w:t xml:space="preserve">25199. </w:t>
      </w:r>
    </w:p>
    <w:p w14:paraId="3CA98AC2" w14:textId="77777777" w:rsidR="00C56DA9" w:rsidRPr="005867CF" w:rsidRDefault="00C56DA9" w:rsidP="00C56DA9">
      <w:pPr>
        <w:pStyle w:val="Textonotapie"/>
        <w:ind w:firstLine="708"/>
        <w:jc w:val="both"/>
        <w:rPr>
          <w:rFonts w:ascii="Verdana" w:hAnsi="Verdana" w:cs="Arial"/>
          <w:color w:val="000000" w:themeColor="text1"/>
          <w:sz w:val="15"/>
          <w:szCs w:val="15"/>
          <w:lang w:val="es-ES"/>
        </w:rPr>
      </w:pPr>
    </w:p>
  </w:footnote>
  <w:footnote w:id="9">
    <w:p w14:paraId="4F3D02DA" w14:textId="77777777" w:rsidR="00C56DA9" w:rsidRDefault="00C56DA9" w:rsidP="00C56DA9">
      <w:pPr>
        <w:pStyle w:val="Textonotapie"/>
        <w:ind w:firstLine="708"/>
        <w:jc w:val="both"/>
        <w:rPr>
          <w:rFonts w:ascii="Verdana" w:hAnsi="Verdana" w:cs="Arial"/>
          <w:color w:val="000000" w:themeColor="text1"/>
          <w:sz w:val="15"/>
          <w:szCs w:val="15"/>
        </w:rPr>
      </w:pPr>
      <w:r w:rsidRPr="005867CF">
        <w:rPr>
          <w:rStyle w:val="Refdenotaalpie"/>
          <w:rFonts w:ascii="Verdana" w:hAnsi="Verdana" w:cs="Arial"/>
          <w:color w:val="000000" w:themeColor="text1"/>
          <w:sz w:val="15"/>
          <w:szCs w:val="15"/>
        </w:rPr>
        <w:footnoteRef/>
      </w:r>
      <w:r w:rsidRPr="005867CF">
        <w:rPr>
          <w:rStyle w:val="Refdenotaalpie"/>
          <w:rFonts w:ascii="Verdana" w:hAnsi="Verdana" w:cs="Arial"/>
          <w:color w:val="000000" w:themeColor="text1"/>
          <w:sz w:val="15"/>
          <w:szCs w:val="15"/>
        </w:rPr>
        <w:t xml:space="preserve"> </w:t>
      </w:r>
      <w:r w:rsidRPr="005867CF">
        <w:rPr>
          <w:rFonts w:ascii="Verdana" w:hAnsi="Verdana" w:cs="Arial"/>
          <w:color w:val="000000" w:themeColor="text1"/>
          <w:sz w:val="15"/>
          <w:szCs w:val="15"/>
        </w:rPr>
        <w:t xml:space="preserve">Código Civil, artículo 1501: </w:t>
      </w:r>
      <w:r>
        <w:rPr>
          <w:rFonts w:ascii="Verdana" w:hAnsi="Verdana" w:cs="Arial"/>
          <w:color w:val="000000" w:themeColor="text1"/>
          <w:sz w:val="15"/>
          <w:szCs w:val="15"/>
        </w:rPr>
        <w:t>“</w:t>
      </w:r>
      <w:r w:rsidRPr="005867CF">
        <w:rPr>
          <w:rFonts w:ascii="Verdana" w:hAnsi="Verdana" w:cs="Arial"/>
          <w:color w:val="000000" w:themeColor="text1"/>
          <w:sz w:val="15"/>
          <w:szCs w:val="15"/>
        </w:rPr>
        <w:t>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72A33EE2" w14:textId="77777777" w:rsidR="00C56DA9" w:rsidRPr="005867CF" w:rsidRDefault="00C56DA9" w:rsidP="00C56DA9">
      <w:pPr>
        <w:pStyle w:val="Textonotapie"/>
        <w:ind w:firstLine="708"/>
        <w:jc w:val="both"/>
        <w:rPr>
          <w:rFonts w:ascii="Verdana" w:hAnsi="Verdana" w:cs="Arial"/>
          <w:color w:val="000000" w:themeColor="text1"/>
          <w:sz w:val="15"/>
          <w:szCs w:val="15"/>
        </w:rPr>
      </w:pPr>
    </w:p>
  </w:footnote>
  <w:footnote w:id="10">
    <w:p w14:paraId="7BB04E32" w14:textId="77777777" w:rsidR="00C56DA9" w:rsidRDefault="00C56DA9" w:rsidP="00C56DA9">
      <w:pPr>
        <w:pStyle w:val="Textonotapie"/>
        <w:ind w:firstLine="708"/>
        <w:jc w:val="both"/>
        <w:rPr>
          <w:rFonts w:ascii="Verdana" w:hAnsi="Verdana" w:cs="Arial"/>
          <w:color w:val="000000"/>
          <w:sz w:val="15"/>
          <w:szCs w:val="15"/>
        </w:rPr>
      </w:pPr>
      <w:r w:rsidRPr="005867CF">
        <w:rPr>
          <w:rFonts w:ascii="Verdana" w:hAnsi="Verdana" w:cs="Arial"/>
          <w:color w:val="000000"/>
          <w:sz w:val="15"/>
          <w:szCs w:val="15"/>
          <w:vertAlign w:val="superscript"/>
        </w:rPr>
        <w:footnoteRef/>
      </w:r>
      <w:r w:rsidRPr="005867CF">
        <w:rPr>
          <w:rFonts w:ascii="Verdana" w:hAnsi="Verdana" w:cs="Arial"/>
          <w:color w:val="000000"/>
          <w:sz w:val="15"/>
          <w:szCs w:val="15"/>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5867CF">
        <w:rPr>
          <w:rFonts w:ascii="Verdana" w:hAnsi="Verdana" w:cs="Arial"/>
          <w:color w:val="000000"/>
          <w:sz w:val="15"/>
          <w:szCs w:val="15"/>
          <w:shd w:val="clear" w:color="auto" w:fill="FFFFFF"/>
        </w:rPr>
        <w:t>” (</w:t>
      </w:r>
      <w:r w:rsidRPr="005867CF">
        <w:rPr>
          <w:rFonts w:ascii="Verdana" w:hAnsi="Verdana" w:cs="Arial"/>
          <w:color w:val="000000"/>
          <w:sz w:val="15"/>
          <w:szCs w:val="15"/>
        </w:rPr>
        <w:t>EXPOSITO, Juan Carlos. Forma y contenido del contrato estatal. Bogotá: Universidad Externado de Colombia, 2013. pp. 89 -90).</w:t>
      </w:r>
    </w:p>
    <w:p w14:paraId="35B4DC29" w14:textId="77777777" w:rsidR="00C56DA9" w:rsidRPr="005867CF" w:rsidRDefault="00C56DA9" w:rsidP="00C56DA9">
      <w:pPr>
        <w:pStyle w:val="Textonotapie"/>
        <w:ind w:firstLine="708"/>
        <w:jc w:val="both"/>
        <w:rPr>
          <w:rFonts w:ascii="Verdana" w:hAnsi="Verdana" w:cs="Arial"/>
          <w:color w:val="000000"/>
          <w:sz w:val="15"/>
          <w:szCs w:val="15"/>
        </w:rPr>
      </w:pPr>
    </w:p>
  </w:footnote>
  <w:footnote w:id="11">
    <w:p w14:paraId="766EDE71" w14:textId="77777777" w:rsidR="00C56DA9" w:rsidRPr="005867CF" w:rsidRDefault="00C56DA9" w:rsidP="00C56DA9">
      <w:pPr>
        <w:spacing w:after="0" w:line="240" w:lineRule="auto"/>
        <w:ind w:firstLine="708"/>
        <w:jc w:val="both"/>
        <w:rPr>
          <w:rFonts w:ascii="Verdana" w:hAnsi="Verdana" w:cs="Arial"/>
          <w:color w:val="000000"/>
          <w:sz w:val="15"/>
          <w:szCs w:val="15"/>
        </w:rPr>
      </w:pPr>
      <w:r w:rsidRPr="005867CF">
        <w:rPr>
          <w:rFonts w:ascii="Verdana" w:hAnsi="Verdana" w:cs="Arial"/>
          <w:color w:val="000000"/>
          <w:sz w:val="15"/>
          <w:szCs w:val="15"/>
          <w:vertAlign w:val="superscript"/>
        </w:rPr>
        <w:footnoteRef/>
      </w:r>
      <w:r w:rsidRPr="005867CF">
        <w:rPr>
          <w:rFonts w:ascii="Verdana" w:hAnsi="Verdana" w:cs="Arial"/>
          <w:color w:val="000000"/>
          <w:sz w:val="15"/>
          <w:szCs w:val="15"/>
        </w:rPr>
        <w:t xml:space="preserve"> CONSEJO DE ESTADO. Sección Tercera. Subsección C. Sentencia del 20 de octubre de 2014, C.P: Enrique Gil Botero.</w:t>
      </w:r>
      <w:r w:rsidRPr="005867CF">
        <w:rPr>
          <w:rFonts w:ascii="Verdana" w:hAnsi="Verdana"/>
          <w:sz w:val="15"/>
          <w:szCs w:val="15"/>
        </w:rPr>
        <w:t xml:space="preserve"> Exp. </w:t>
      </w:r>
      <w:r w:rsidRPr="005867CF">
        <w:rPr>
          <w:rFonts w:ascii="Verdana" w:hAnsi="Verdana" w:cs="Arial"/>
          <w:color w:val="000000"/>
          <w:sz w:val="15"/>
          <w:szCs w:val="15"/>
        </w:rPr>
        <w:t>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12">
    <w:p w14:paraId="1658952E" w14:textId="77777777" w:rsidR="00C56DA9" w:rsidRDefault="00C56DA9" w:rsidP="00C56DA9">
      <w:pPr>
        <w:spacing w:after="0" w:line="240" w:lineRule="auto"/>
        <w:ind w:firstLine="709"/>
        <w:jc w:val="both"/>
        <w:rPr>
          <w:rFonts w:ascii="Verdana" w:hAnsi="Verdana" w:cs="Arial"/>
          <w:color w:val="000000" w:themeColor="text1"/>
          <w:sz w:val="15"/>
          <w:szCs w:val="15"/>
        </w:rPr>
      </w:pPr>
      <w:r w:rsidRPr="005867CF">
        <w:rPr>
          <w:rFonts w:ascii="Verdana" w:hAnsi="Verdana" w:cs="Arial"/>
          <w:color w:val="000000" w:themeColor="text1"/>
          <w:sz w:val="15"/>
          <w:szCs w:val="15"/>
          <w:vertAlign w:val="superscript"/>
        </w:rPr>
        <w:footnoteRef/>
      </w:r>
      <w:r w:rsidRPr="005867CF">
        <w:rPr>
          <w:rFonts w:ascii="Verdana" w:hAnsi="Verdana" w:cs="Arial"/>
          <w:color w:val="000000" w:themeColor="text1"/>
          <w:sz w:val="15"/>
          <w:szCs w:val="15"/>
        </w:rPr>
        <w:t xml:space="preserve"> </w:t>
      </w:r>
      <w:r>
        <w:rPr>
          <w:rFonts w:ascii="Verdana" w:hAnsi="Verdana" w:cs="Arial"/>
          <w:color w:val="000000" w:themeColor="text1"/>
          <w:sz w:val="15"/>
          <w:szCs w:val="15"/>
        </w:rPr>
        <w:t>CONCEJO DE ESTADO.</w:t>
      </w:r>
      <w:r w:rsidRPr="005867CF">
        <w:rPr>
          <w:rFonts w:ascii="Verdana" w:hAnsi="Verdana" w:cs="Arial"/>
          <w:color w:val="000000" w:themeColor="text1"/>
          <w:sz w:val="15"/>
          <w:szCs w:val="15"/>
        </w:rPr>
        <w:t xml:space="preserve"> Sala de Consulta y Servicio Civil, en concepto del 8 de marzo de 2017, radicado No. 2298, y con ponencia del Consejero Édgar González, manifestó respecto del trámite del cierre del expediente del Proceso de Contratación que: “[…] procede cuando se ha efectuado la liquidación del contrato, a efectos de dejar las constancias sobre el vencimiento de las garantías y la condición de los bienes y obras desde la perspectiva ambiental, y también en los casos en los cuales no se haya efectuado dicha liquidación, a efectos de dejar constancia sobre el punto final de la actuación contractual”.</w:t>
      </w:r>
    </w:p>
    <w:p w14:paraId="5F5FD090" w14:textId="77777777" w:rsidR="00C56DA9" w:rsidRPr="005867CF" w:rsidRDefault="00C56DA9" w:rsidP="00C56DA9">
      <w:pPr>
        <w:spacing w:after="0" w:line="240" w:lineRule="auto"/>
        <w:ind w:firstLine="709"/>
        <w:jc w:val="both"/>
        <w:rPr>
          <w:rFonts w:ascii="Verdana" w:hAnsi="Verdana" w:cs="Arial"/>
          <w:color w:val="000000" w:themeColor="text1"/>
          <w:sz w:val="15"/>
          <w:szCs w:val="15"/>
        </w:rPr>
      </w:pPr>
    </w:p>
  </w:footnote>
  <w:footnote w:id="13">
    <w:p w14:paraId="79D10FC2" w14:textId="77777777" w:rsidR="00C56DA9" w:rsidRPr="005867CF" w:rsidRDefault="00C56DA9" w:rsidP="00C56DA9">
      <w:pPr>
        <w:pStyle w:val="Textonotapie"/>
        <w:ind w:firstLine="709"/>
        <w:rPr>
          <w:rFonts w:ascii="Verdana" w:hAnsi="Verdana"/>
          <w:sz w:val="15"/>
          <w:szCs w:val="15"/>
        </w:rPr>
      </w:pPr>
      <w:r w:rsidRPr="005867CF">
        <w:rPr>
          <w:rStyle w:val="Refdenotaalpie"/>
          <w:rFonts w:ascii="Verdana" w:hAnsi="Verdana"/>
          <w:sz w:val="15"/>
          <w:szCs w:val="15"/>
        </w:rPr>
        <w:footnoteRef/>
      </w:r>
      <w:r w:rsidRPr="005867CF">
        <w:rPr>
          <w:rFonts w:ascii="Verdana" w:hAnsi="Verdana"/>
          <w:sz w:val="15"/>
          <w:szCs w:val="15"/>
        </w:rPr>
        <w:t xml:space="preserve"> AGENCIA NACIONAL DE CONTRATACIÓN PÚBLICA – COLOMBIA COMPRA EFICIENTE. Circular Externa 05 del 1 de noviembre de 2024. Disponible en línea: </w:t>
      </w:r>
      <w:hyperlink r:id="rId1" w:history="1">
        <w:r w:rsidRPr="005867CF">
          <w:rPr>
            <w:rStyle w:val="Hipervnculo"/>
            <w:rFonts w:ascii="Verdana" w:hAnsi="Verdana"/>
            <w:sz w:val="15"/>
            <w:szCs w:val="15"/>
          </w:rPr>
          <w:t>https://www.colombiacompra.gov.co/archivos/circular/circular-externa-no-005-de-2024</w:t>
        </w:r>
      </w:hyperlink>
      <w:r w:rsidRPr="005867CF">
        <w:rPr>
          <w:rFonts w:ascii="Verdana" w:hAnsi="Verdana"/>
          <w:sz w:val="15"/>
          <w:szCs w:val="15"/>
        </w:rPr>
        <w:t>.</w:t>
      </w:r>
    </w:p>
  </w:footnote>
  <w:footnote w:id="14">
    <w:p w14:paraId="64567172" w14:textId="77777777" w:rsidR="00C56DA9" w:rsidRPr="005867CF" w:rsidRDefault="00C56DA9" w:rsidP="00C56DA9">
      <w:pPr>
        <w:pStyle w:val="Textonotapie"/>
        <w:ind w:firstLine="708"/>
        <w:jc w:val="both"/>
        <w:rPr>
          <w:rFonts w:ascii="Verdana" w:hAnsi="Verdana" w:cs="Arial"/>
          <w:color w:val="000000" w:themeColor="text1"/>
          <w:sz w:val="15"/>
          <w:szCs w:val="15"/>
        </w:rPr>
      </w:pPr>
      <w:r w:rsidRPr="005867CF">
        <w:rPr>
          <w:rStyle w:val="Refdenotaalpie"/>
          <w:rFonts w:ascii="Verdana" w:hAnsi="Verdana" w:cs="Arial"/>
          <w:color w:val="000000" w:themeColor="text1"/>
          <w:sz w:val="15"/>
          <w:szCs w:val="15"/>
        </w:rPr>
        <w:footnoteRef/>
      </w:r>
      <w:r w:rsidRPr="005867CF">
        <w:rPr>
          <w:rFonts w:ascii="Verdana" w:hAnsi="Verdana" w:cs="Arial"/>
          <w:color w:val="000000" w:themeColor="text1"/>
          <w:sz w:val="15"/>
          <w:szCs w:val="15"/>
        </w:rPr>
        <w:t xml:space="preserve"> La pregunta fue la siguiente: ¿[e]s viable jurídicamente adelantar el trámite de cierre de expediente contractual de que trata el artículo 2.2.1.1.2.4.3 del Decreto 1082 de 2015, en los casos en los cuales se ha perdido competencia para liquidar un contrato por mutuo acuerdo entre las partes (vencimiento del plazo pactado para liquidación bilateral más dos meses de la liquidación unilateral más dos años de la caducidad de la acción de control de controversias contractuales), en el cual para efectos contables, presupuestales y financieros se ordene la liberación de los recursos no ejecutados en favor de la Entidad, y adicionalmente se ordene el pago de los saldos a favor del contratista por actividades ejecutadas durante el término de vigencia del contrato, que no hubiesen sido cobradas por el contratista debido a que se encontraban sujetas a pago contra liquidación bilateral, y el contrato no fue liquidado por causas no imputables a este?.</w:t>
      </w:r>
    </w:p>
    <w:p w14:paraId="634B18E0" w14:textId="77777777" w:rsidR="00C56DA9" w:rsidRPr="00FD5FA6" w:rsidRDefault="00C56DA9" w:rsidP="00C56DA9">
      <w:pPr>
        <w:pStyle w:val="Textonotapie"/>
        <w:ind w:firstLine="708"/>
        <w:jc w:val="both"/>
        <w:rPr>
          <w:rFonts w:ascii="Verdana" w:hAnsi="Verdana" w:cs="Arial"/>
          <w:color w:val="000000" w:themeColor="text1"/>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629E2" w14:textId="77777777" w:rsidR="00C56DA9" w:rsidRDefault="00C56DA9">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2F9F44A" wp14:editId="1A1D7F4C">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8A933DD" wp14:editId="0E379A6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E819B25" w14:textId="77777777" w:rsidR="00C56DA9" w:rsidRDefault="00C56DA9">
    <w:pPr>
      <w:pStyle w:val="Encabezado"/>
    </w:pPr>
  </w:p>
  <w:p w14:paraId="3D299E54" w14:textId="77777777" w:rsidR="00C56DA9" w:rsidRDefault="00C56DA9" w:rsidP="004A305D">
    <w:pPr>
      <w:spacing w:after="0"/>
      <w:rPr>
        <w:rFonts w:ascii="Verdana" w:hAnsi="Verdana"/>
        <w:b/>
        <w:bCs/>
      </w:rPr>
    </w:pPr>
  </w:p>
  <w:p w14:paraId="00ABC5BA" w14:textId="77777777" w:rsidR="00C56DA9" w:rsidRPr="00DC39FC" w:rsidRDefault="00C56DA9" w:rsidP="004A305D">
    <w:pPr>
      <w:spacing w:after="0"/>
      <w:rPr>
        <w:rFonts w:ascii="Verdana" w:hAnsi="Verdana"/>
        <w:b/>
        <w:bCs/>
      </w:rPr>
    </w:pPr>
    <w:r w:rsidRPr="00DC39FC">
      <w:rPr>
        <w:rFonts w:ascii="Verdana" w:hAnsi="Verdana"/>
        <w:b/>
        <w:bCs/>
      </w:rPr>
      <w:t>FORMATO PQRSD</w:t>
    </w:r>
  </w:p>
  <w:p w14:paraId="58CD0F71" w14:textId="77777777" w:rsidR="00C56DA9" w:rsidRPr="004A305D" w:rsidRDefault="00C56DA9" w:rsidP="00B01B1A">
    <w:pPr>
      <w:spacing w:after="0" w:line="120" w:lineRule="auto"/>
      <w:rPr>
        <w:rFonts w:ascii="Century Gothic" w:eastAsia="Geo" w:hAnsi="Century Gothic" w:cs="Geo"/>
        <w:sz w:val="16"/>
        <w:szCs w:val="16"/>
        <w:lang w:eastAsia="es-CO"/>
      </w:rPr>
    </w:pPr>
  </w:p>
  <w:p w14:paraId="4DD63599" w14:textId="77777777" w:rsidR="00C56DA9" w:rsidRDefault="00C56DA9"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2pt;height:12pt" o:bullet="t">
        <v:imagedata r:id="rId1" o:title="mso1B13"/>
      </v:shape>
    </w:pict>
  </w:numPicBullet>
  <w:abstractNum w:abstractNumId="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964118498">
    <w:abstractNumId w:val="0"/>
  </w:num>
  <w:num w:numId="3" w16cid:durableId="13390409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DA9"/>
    <w:rsid w:val="003715D3"/>
    <w:rsid w:val="00474DF4"/>
    <w:rsid w:val="004765D0"/>
    <w:rsid w:val="00485D25"/>
    <w:rsid w:val="004F471F"/>
    <w:rsid w:val="006E5051"/>
    <w:rsid w:val="008D3AE2"/>
    <w:rsid w:val="008F4177"/>
    <w:rsid w:val="009B1E97"/>
    <w:rsid w:val="00C24FFE"/>
    <w:rsid w:val="00C56DA9"/>
    <w:rsid w:val="00D419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D27FF"/>
  <w15:chartTrackingRefBased/>
  <w15:docId w15:val="{E847B020-090E-421E-B24C-CCD9AA87C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6DA9"/>
    <w:rPr>
      <w:kern w:val="0"/>
      <w14:ligatures w14:val="none"/>
    </w:rPr>
  </w:style>
  <w:style w:type="paragraph" w:styleId="Ttulo1">
    <w:name w:val="heading 1"/>
    <w:basedOn w:val="Normal"/>
    <w:next w:val="Normal"/>
    <w:link w:val="Ttulo1Car"/>
    <w:uiPriority w:val="9"/>
    <w:qFormat/>
    <w:rsid w:val="00C56DA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56DA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56DA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56DA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56DA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56DA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56DA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56DA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56DA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56DA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56DA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56DA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56DA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56DA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56DA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56DA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56DA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56DA9"/>
    <w:rPr>
      <w:rFonts w:eastAsiaTheme="majorEastAsia" w:cstheme="majorBidi"/>
      <w:color w:val="272727" w:themeColor="text1" w:themeTint="D8"/>
    </w:rPr>
  </w:style>
  <w:style w:type="paragraph" w:styleId="Ttulo">
    <w:name w:val="Title"/>
    <w:basedOn w:val="Normal"/>
    <w:next w:val="Normal"/>
    <w:link w:val="TtuloCar"/>
    <w:uiPriority w:val="10"/>
    <w:qFormat/>
    <w:rsid w:val="00C56D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56DA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56DA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56DA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56DA9"/>
    <w:pPr>
      <w:spacing w:before="160"/>
      <w:jc w:val="center"/>
    </w:pPr>
    <w:rPr>
      <w:i/>
      <w:iCs/>
      <w:color w:val="404040" w:themeColor="text1" w:themeTint="BF"/>
    </w:rPr>
  </w:style>
  <w:style w:type="character" w:customStyle="1" w:styleId="CitaCar">
    <w:name w:val="Cita Car"/>
    <w:basedOn w:val="Fuentedeprrafopredeter"/>
    <w:link w:val="Cita"/>
    <w:uiPriority w:val="29"/>
    <w:rsid w:val="00C56DA9"/>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C56DA9"/>
    <w:pPr>
      <w:ind w:left="720"/>
      <w:contextualSpacing/>
    </w:pPr>
  </w:style>
  <w:style w:type="character" w:styleId="nfasisintenso">
    <w:name w:val="Intense Emphasis"/>
    <w:basedOn w:val="Fuentedeprrafopredeter"/>
    <w:uiPriority w:val="21"/>
    <w:qFormat/>
    <w:rsid w:val="00C56DA9"/>
    <w:rPr>
      <w:i/>
      <w:iCs/>
      <w:color w:val="2F5496" w:themeColor="accent1" w:themeShade="BF"/>
    </w:rPr>
  </w:style>
  <w:style w:type="paragraph" w:styleId="Citadestacada">
    <w:name w:val="Intense Quote"/>
    <w:basedOn w:val="Normal"/>
    <w:next w:val="Normal"/>
    <w:link w:val="CitadestacadaCar"/>
    <w:uiPriority w:val="30"/>
    <w:qFormat/>
    <w:rsid w:val="00C56DA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56DA9"/>
    <w:rPr>
      <w:i/>
      <w:iCs/>
      <w:color w:val="2F5496" w:themeColor="accent1" w:themeShade="BF"/>
    </w:rPr>
  </w:style>
  <w:style w:type="character" w:styleId="Referenciaintensa">
    <w:name w:val="Intense Reference"/>
    <w:basedOn w:val="Fuentedeprrafopredeter"/>
    <w:uiPriority w:val="32"/>
    <w:qFormat/>
    <w:rsid w:val="00C56DA9"/>
    <w:rPr>
      <w:b/>
      <w:bCs/>
      <w:smallCaps/>
      <w:color w:val="2F5496" w:themeColor="accent1" w:themeShade="BF"/>
      <w:spacing w:val="5"/>
    </w:rPr>
  </w:style>
  <w:style w:type="paragraph" w:styleId="Encabezado">
    <w:name w:val="header"/>
    <w:basedOn w:val="Normal"/>
    <w:link w:val="EncabezadoCar"/>
    <w:uiPriority w:val="99"/>
    <w:unhideWhenUsed/>
    <w:rsid w:val="00C56DA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56DA9"/>
    <w:rPr>
      <w:kern w:val="0"/>
      <w14:ligatures w14:val="none"/>
    </w:rPr>
  </w:style>
  <w:style w:type="paragraph" w:styleId="Piedepgina">
    <w:name w:val="footer"/>
    <w:basedOn w:val="Normal"/>
    <w:link w:val="PiedepginaCar"/>
    <w:uiPriority w:val="99"/>
    <w:unhideWhenUsed/>
    <w:rsid w:val="00C56DA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56DA9"/>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C56DA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C56DA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C56DA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C56DA9"/>
    <w:rPr>
      <w:vertAlign w:val="superscript"/>
    </w:rPr>
  </w:style>
  <w:style w:type="table" w:styleId="Tablaconcuadrcula">
    <w:name w:val="Table Grid"/>
    <w:basedOn w:val="Tablanormal"/>
    <w:uiPriority w:val="39"/>
    <w:qFormat/>
    <w:rsid w:val="00C56DA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56DA9"/>
    <w:rPr>
      <w:color w:val="0000FF"/>
      <w:u w:val="single"/>
    </w:rPr>
  </w:style>
  <w:style w:type="paragraph" w:customStyle="1" w:styleId="paragraph">
    <w:name w:val="paragraph"/>
    <w:basedOn w:val="Normal"/>
    <w:rsid w:val="00C56DA9"/>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qFormat/>
    <w:rsid w:val="00C56DA9"/>
    <w:pPr>
      <w:spacing w:after="0" w:line="240" w:lineRule="auto"/>
    </w:pPr>
    <w:rPr>
      <w:rFonts w:ascii="Calibri" w:eastAsia="Calibri" w:hAnsi="Calibri"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C56DA9"/>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56D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circular/circular-externa-no-005-de-2024"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adora_smqc@outlook.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circular/circular-externa-no-005-de-202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39D138-7610-4A59-84FC-09BA4F4EEEC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88F2EC9E-B9EF-4D81-8038-66FB6BF265A1}">
  <ds:schemaRefs>
    <ds:schemaRef ds:uri="http://schemas.microsoft.com/sharepoint/v3/contenttype/forms"/>
  </ds:schemaRefs>
</ds:datastoreItem>
</file>

<file path=customXml/itemProps3.xml><?xml version="1.0" encoding="utf-8"?>
<ds:datastoreItem xmlns:ds="http://schemas.openxmlformats.org/officeDocument/2006/customXml" ds:itemID="{2F80D3B6-E6E0-4332-9446-A0806E102A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18</Pages>
  <Words>5965</Words>
  <Characters>32035</Characters>
  <Application>Microsoft Office Word</Application>
  <DocSecurity>0</DocSecurity>
  <Lines>681</Lines>
  <Paragraphs>164</Paragraphs>
  <ScaleCrop>false</ScaleCrop>
  <Company/>
  <LinksUpToDate>false</LinksUpToDate>
  <CharactersWithSpaces>37836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4</cp:revision>
  <dcterms:created xsi:type="dcterms:W3CDTF">2025-10-16T23:12:00Z</dcterms:created>
  <dcterms:modified xsi:type="dcterms:W3CDTF">2025-10-21T22:02:00Z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