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845E2" w14:textId="77777777" w:rsidR="00DF78D3" w:rsidRPr="00283C44" w:rsidRDefault="00DF78D3" w:rsidP="00DF78D3">
      <w:pPr>
        <w:rPr>
          <w:rFonts w:ascii="Verdana" w:eastAsia="Geomanist Light" w:hAnsi="Verdana" w:cs="Arial"/>
          <w:b/>
          <w:lang w:val="es-ES"/>
        </w:rPr>
      </w:pPr>
      <w:bookmarkStart w:id="0" w:name="_Hlk143780582"/>
      <w:r w:rsidRPr="00596C81">
        <w:rPr>
          <w:rFonts w:ascii="Verdana" w:eastAsia="Geomanist Light" w:hAnsi="Verdana" w:cs="Arial"/>
          <w:b/>
          <w:lang w:val="es-ES"/>
        </w:rPr>
        <w:t>REGISTRO ÚNICO DE PROPONENTES – RUP – Concepto</w:t>
      </w:r>
    </w:p>
    <w:p w14:paraId="667DB8C1" w14:textId="77777777" w:rsidR="00DF78D3" w:rsidRPr="00596C81" w:rsidRDefault="00DF78D3" w:rsidP="00DF78D3">
      <w:pPr>
        <w:jc w:val="both"/>
        <w:rPr>
          <w:rFonts w:ascii="Verdana" w:eastAsia="Geomanist Light" w:hAnsi="Verdana" w:cs="Arial"/>
          <w:bCs/>
          <w:lang w:val="es-ES"/>
        </w:rPr>
      </w:pPr>
      <w:r w:rsidRPr="00596C81">
        <w:rPr>
          <w:rFonts w:ascii="Verdana" w:eastAsia="Geomanist Light" w:hAnsi="Verdana" w:cs="Arial"/>
        </w:rPr>
        <w:t>El Registro Único de Proponentes – en adelante RUP – como instrumento en el que consta la información relacionada con las personas naturales y jurídicas, con el fin de que puedan participar en los Procedimientos de Contratación realizados por las Entidades Estatales, tiene por objeto contemplar en un único documento la información relativa a la capacidad jurídica, técnica, financiera y organizacional de los posibles proponentes.</w:t>
      </w:r>
    </w:p>
    <w:p w14:paraId="0025B329" w14:textId="77777777" w:rsidR="00DF78D3" w:rsidRPr="00283C44" w:rsidRDefault="00DF78D3" w:rsidP="00DF78D3">
      <w:pPr>
        <w:jc w:val="both"/>
        <w:rPr>
          <w:rFonts w:ascii="Verdana" w:eastAsia="Geomanist Light" w:hAnsi="Verdana" w:cs="Arial"/>
          <w:b/>
          <w:lang w:val="es-ES"/>
        </w:rPr>
      </w:pPr>
      <w:r w:rsidRPr="00596C81">
        <w:rPr>
          <w:rFonts w:ascii="Verdana" w:eastAsia="Geomanist Light" w:hAnsi="Verdana" w:cs="Arial"/>
          <w:b/>
          <w:lang w:val="es-ES"/>
        </w:rPr>
        <w:t>REGISTRO ÚNICO DE PROPONENTES – RUP – Firmeza</w:t>
      </w:r>
    </w:p>
    <w:p w14:paraId="4156E6B7" w14:textId="77777777" w:rsidR="00DF78D3" w:rsidRPr="00596C81" w:rsidRDefault="00DF78D3" w:rsidP="00DF78D3">
      <w:pPr>
        <w:jc w:val="both"/>
        <w:rPr>
          <w:rFonts w:ascii="Verdana" w:eastAsia="Geomanist Light" w:hAnsi="Verdana" w:cs="Arial"/>
          <w:bCs/>
          <w:lang w:val="es-ES"/>
        </w:rPr>
      </w:pPr>
      <w:r w:rsidRPr="00596C81">
        <w:rPr>
          <w:rFonts w:ascii="Verdana" w:eastAsia="Geomanist Light" w:hAnsi="Verdana" w:cs="Arial"/>
        </w:rPr>
        <w:t xml:space="preserve">[…] las cámaras de comercio, de acuerdo con el artículo 6.1 de la Ley 1150 de 2007 y con el artículo 2.2.1.1.1.5.3. del Decreto 1082 de 2015, verificarán y certificarán los requisitos habilitantes de experiencia, capacidad jurídica, capacidad financiera y de organización. En concordancia con lo establecido en el numeral 6.3 de la Ley 1150 de 2007, la cámara de comercio, verificada la información aportada por el proponente, publicará el acto de inscripción del RUP, contra el cual cualquier persona podrá interponer recurso de reposición dentro de los diez (10) días hábiles siguientes contados a partir de su publicación –posibilidad aplicable frente a la </w:t>
      </w:r>
      <w:r w:rsidRPr="00596C81">
        <w:rPr>
          <w:rFonts w:ascii="Verdana" w:eastAsia="Geomanist Light" w:hAnsi="Verdana" w:cs="Arial"/>
          <w:i/>
        </w:rPr>
        <w:t>inscripción, renovación o actualización–</w:t>
      </w:r>
      <w:r w:rsidRPr="00596C81">
        <w:rPr>
          <w:rFonts w:ascii="Verdana" w:eastAsia="Geomanist Light" w:hAnsi="Verdana" w:cs="Arial"/>
        </w:rPr>
        <w:t>.</w:t>
      </w:r>
    </w:p>
    <w:p w14:paraId="3DDDC483" w14:textId="77777777" w:rsidR="00DF78D3" w:rsidRPr="00283C44" w:rsidRDefault="00DF78D3" w:rsidP="00DF78D3">
      <w:pPr>
        <w:jc w:val="both"/>
        <w:rPr>
          <w:rFonts w:ascii="Verdana" w:eastAsia="Geomanist Light" w:hAnsi="Verdana" w:cs="Arial"/>
          <w:b/>
          <w:lang w:val="es-ES"/>
        </w:rPr>
      </w:pPr>
      <w:r w:rsidRPr="00596C81">
        <w:rPr>
          <w:rFonts w:ascii="Verdana" w:eastAsia="Geomanist Light" w:hAnsi="Verdana" w:cs="Arial"/>
          <w:b/>
          <w:lang w:val="es-ES"/>
        </w:rPr>
        <w:t xml:space="preserve">REGISTRO ÚNICO DE PROPONENTES – RUP – Firmeza – Inscripción </w:t>
      </w:r>
    </w:p>
    <w:p w14:paraId="7FC8A922" w14:textId="77777777" w:rsidR="00DF78D3" w:rsidRPr="00596C81" w:rsidRDefault="00DF78D3" w:rsidP="00DF78D3">
      <w:pPr>
        <w:jc w:val="both"/>
        <w:rPr>
          <w:rFonts w:ascii="Verdana" w:eastAsia="Geomanist Light" w:hAnsi="Verdana" w:cs="Arial"/>
        </w:rPr>
      </w:pPr>
      <w:r w:rsidRPr="00596C81">
        <w:rPr>
          <w:rFonts w:ascii="Verdana" w:eastAsia="Geomanist Light" w:hAnsi="Verdana" w:cs="Arial"/>
        </w:rPr>
        <w:t xml:space="preserve">En relación con la </w:t>
      </w:r>
      <w:r w:rsidRPr="00596C81">
        <w:rPr>
          <w:rFonts w:ascii="Verdana" w:eastAsia="Geomanist Light" w:hAnsi="Verdana" w:cs="Arial"/>
          <w:i/>
          <w:iCs/>
        </w:rPr>
        <w:t>inscripción</w:t>
      </w:r>
      <w:r w:rsidRPr="00596C81">
        <w:rPr>
          <w:rFonts w:ascii="Verdana" w:eastAsia="Geomanist Light" w:hAnsi="Verdana"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 que establece que los proponentes no pueden acreditar circunstancias ocurridas con posterioridad al cierre del proceso, unido a lo expresado por la Sala de Consulta y Servicio Civil del Consejo de Estado, quien interpretó una norma de igual contenido a la anterior,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p>
    <w:p w14:paraId="500D6B7F" w14:textId="77777777" w:rsidR="00DF78D3" w:rsidRPr="00283C44" w:rsidRDefault="00DF78D3" w:rsidP="00DF78D3">
      <w:pPr>
        <w:jc w:val="both"/>
        <w:rPr>
          <w:rFonts w:ascii="Verdana" w:eastAsia="Geomanist Light" w:hAnsi="Verdana" w:cs="Arial"/>
        </w:rPr>
      </w:pPr>
      <w:r w:rsidRPr="00596C81">
        <w:rPr>
          <w:rFonts w:ascii="Verdana" w:eastAsia="Geomanist Light" w:hAnsi="Verdana" w:cs="Arial"/>
        </w:rPr>
        <w:t xml:space="preserve">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w:t>
      </w:r>
      <w:r w:rsidRPr="00596C81">
        <w:rPr>
          <w:rFonts w:ascii="Verdana" w:eastAsia="Geomanist Light" w:hAnsi="Verdana" w:cs="Arial"/>
        </w:rPr>
        <w:lastRenderedPageBreak/>
        <w:t>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2DE1C194" w14:textId="77777777" w:rsidR="00DF78D3" w:rsidRPr="00596C81" w:rsidRDefault="00DF78D3" w:rsidP="00DF78D3">
      <w:pPr>
        <w:jc w:val="both"/>
        <w:rPr>
          <w:rFonts w:ascii="Verdana" w:eastAsia="Geomanist Light" w:hAnsi="Verdana" w:cs="Arial"/>
          <w:b/>
          <w:lang w:val="es-ES"/>
        </w:rPr>
      </w:pPr>
      <w:r w:rsidRPr="00596C81">
        <w:rPr>
          <w:rFonts w:ascii="Verdana" w:eastAsia="Geomanist Light" w:hAnsi="Verdana" w:cs="Arial"/>
          <w:b/>
          <w:lang w:val="es-ES"/>
        </w:rPr>
        <w:t xml:space="preserve">REGISTRO ÚNICO DE PROPONENTES – RUP – Firmeza – Renovación </w:t>
      </w:r>
    </w:p>
    <w:p w14:paraId="48CC0775" w14:textId="77777777" w:rsidR="00DF78D3" w:rsidRPr="00596C81" w:rsidRDefault="00DF78D3" w:rsidP="00DF78D3">
      <w:pPr>
        <w:jc w:val="both"/>
        <w:rPr>
          <w:rFonts w:ascii="Verdana" w:eastAsia="Geomanist Light" w:hAnsi="Verdana" w:cs="Arial"/>
        </w:rPr>
      </w:pPr>
      <w:r w:rsidRPr="00596C81">
        <w:rPr>
          <w:rFonts w:ascii="Verdana" w:eastAsia="Geomanist Light" w:hAnsi="Verdana" w:cs="Arial"/>
        </w:rPr>
        <w:t xml:space="preserve">Tratándose del trámite de </w:t>
      </w:r>
      <w:r w:rsidRPr="00596C81">
        <w:rPr>
          <w:rFonts w:ascii="Verdana" w:eastAsia="Geomanist Light" w:hAnsi="Verdana" w:cs="Arial"/>
          <w:i/>
          <w:iCs/>
        </w:rPr>
        <w:t>renovación</w:t>
      </w:r>
      <w:r w:rsidRPr="00596C81">
        <w:rPr>
          <w:rFonts w:ascii="Verdana" w:eastAsia="Geomanist Light" w:hAnsi="Verdana" w:cs="Arial"/>
        </w:rPr>
        <w:t>,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5646F24A" w14:textId="77777777" w:rsidR="00DF78D3" w:rsidRPr="00596C81" w:rsidRDefault="00DF78D3" w:rsidP="00DF78D3">
      <w:pPr>
        <w:jc w:val="both"/>
        <w:rPr>
          <w:rFonts w:ascii="Verdana" w:eastAsia="Geomanist Light" w:hAnsi="Verdana" w:cs="Arial"/>
        </w:rPr>
      </w:pPr>
      <w:r w:rsidRPr="00596C81">
        <w:rPr>
          <w:rFonts w:ascii="Verdana" w:eastAsia="Geomanist Light" w:hAnsi="Verdana" w:cs="Arial"/>
        </w:rPr>
        <w:t xml:space="preserve">Debe tenerse en cuenta, en relación con este aspecto, que el parágrafo 1, inciso segundo del artículo 5 de la Ley 1150 de 2007, modificado por el artículo 5 de la Ley 1882 de 2018, establece que: “Durante el término otorgado para subsanar las ofertas, los proponentes no podrán acreditar circunstancias ocurridas con posterioridad al cierre del proceso”. Esta regla tiene un alcance muy amplio, pues no expresa, como pudo haberlo hecho, que durante dicho término no se pueden </w:t>
      </w:r>
      <w:r w:rsidRPr="00596C81">
        <w:rPr>
          <w:rFonts w:ascii="Verdana" w:eastAsia="Geomanist Light" w:hAnsi="Verdana" w:cs="Arial"/>
          <w:i/>
          <w:iCs/>
        </w:rPr>
        <w:t>subsanar</w:t>
      </w:r>
      <w:r w:rsidRPr="00596C81">
        <w:rPr>
          <w:rFonts w:ascii="Verdana" w:eastAsia="Geomanist Light" w:hAnsi="Verdana" w:cs="Arial"/>
        </w:rPr>
        <w:t xml:space="preserve"> circunstancias ocurridas con posterioridad al cierre; sino que optó por establecer una regla más amplia, consistente en que durante dicho término los proponentes no pueden acreditar ningún tipo de “circunstancias ocurridas con posterioridad al cierre del proceso”. En tal sentido, se incurriría en la prohibición anterior si se presentara o acreditara un RUP diferente </w:t>
      </w:r>
      <w:r w:rsidRPr="00596C81">
        <w:rPr>
          <w:rFonts w:ascii="Verdana" w:eastAsia="Geomanist Light" w:hAnsi="Verdana" w:cs="Arial"/>
          <w:i/>
          <w:iCs/>
        </w:rPr>
        <w:t xml:space="preserve">renovado, </w:t>
      </w:r>
      <w:r w:rsidRPr="00596C81">
        <w:rPr>
          <w:rFonts w:ascii="Verdana" w:eastAsia="Geomanist Light" w:hAnsi="Verdana" w:cs="Arial"/>
        </w:rPr>
        <w:t>que no estaba en firme para el cierre del proceso; independientemente de que este nuevo RUP favorezca o perjudique al interesado.</w:t>
      </w:r>
    </w:p>
    <w:p w14:paraId="7AC9D21A" w14:textId="77777777" w:rsidR="00DF78D3" w:rsidRPr="00596C81" w:rsidRDefault="00DF78D3" w:rsidP="00DF78D3">
      <w:pPr>
        <w:jc w:val="both"/>
        <w:rPr>
          <w:rFonts w:ascii="Verdana" w:eastAsia="Geomanist Light" w:hAnsi="Verdana" w:cs="Arial"/>
          <w:b/>
          <w:lang w:val="es-ES"/>
        </w:rPr>
      </w:pPr>
    </w:p>
    <w:p w14:paraId="2B8E2BC1" w14:textId="77777777" w:rsidR="00DF78D3" w:rsidRPr="00596C81" w:rsidRDefault="00DF78D3" w:rsidP="00DF78D3">
      <w:pPr>
        <w:jc w:val="both"/>
        <w:rPr>
          <w:rFonts w:ascii="Verdana" w:eastAsia="Geomanist Light" w:hAnsi="Verdana" w:cs="Arial"/>
          <w:bCs/>
          <w:lang w:val="es-ES"/>
        </w:rPr>
      </w:pPr>
    </w:p>
    <w:p w14:paraId="08314BC8" w14:textId="77777777" w:rsidR="00DF78D3" w:rsidRPr="00283C44" w:rsidRDefault="00DF78D3" w:rsidP="00DF78D3">
      <w:pPr>
        <w:jc w:val="both"/>
        <w:rPr>
          <w:rFonts w:ascii="Verdana" w:eastAsia="Geomanist Light" w:hAnsi="Verdana" w:cs="Arial"/>
          <w:b/>
          <w:lang w:val="es-ES"/>
        </w:rPr>
      </w:pPr>
      <w:r w:rsidRPr="00596C81">
        <w:rPr>
          <w:rFonts w:ascii="Verdana" w:eastAsia="Geomanist Light" w:hAnsi="Verdana" w:cs="Arial"/>
          <w:b/>
          <w:lang w:val="es-ES"/>
        </w:rPr>
        <w:t>REGISTRO ÚNICO DE PROPONENTES – RUP – Firmeza – Cierre del Proceso</w:t>
      </w:r>
    </w:p>
    <w:p w14:paraId="6634E1C4" w14:textId="77777777" w:rsidR="00DF78D3" w:rsidRPr="00596C81" w:rsidRDefault="00DF78D3" w:rsidP="00DF78D3">
      <w:pPr>
        <w:jc w:val="both"/>
        <w:rPr>
          <w:rFonts w:ascii="Verdana" w:eastAsia="Geomanist Light" w:hAnsi="Verdana" w:cs="Arial"/>
          <w:lang w:val="es-MX"/>
        </w:rPr>
      </w:pPr>
      <w:r w:rsidRPr="00596C81">
        <w:rPr>
          <w:rFonts w:ascii="Verdana" w:eastAsia="Geomanist Light" w:hAnsi="Verdana" w:cs="Arial"/>
        </w:rPr>
        <w:t xml:space="preserve">[…] Es menester analizar si el RUP debe estar en firme para el momento cierre del proceso de selección o se es necesario que se mantenga vigente y esté en firme hasta el momento en que se celebre la audiencia de subasta. Al respecto, esta Agencia considera que, </w:t>
      </w:r>
      <w:proofErr w:type="spellStart"/>
      <w:r w:rsidRPr="00596C81">
        <w:rPr>
          <w:rFonts w:ascii="Verdana" w:eastAsia="Geomanist Light" w:hAnsi="Verdana" w:cs="Arial"/>
          <w:lang w:val="es-MX"/>
        </w:rPr>
        <w:t>si</w:t>
      </w:r>
      <w:proofErr w:type="spellEnd"/>
      <w:r w:rsidRPr="00596C81">
        <w:rPr>
          <w:rFonts w:ascii="Verdana" w:eastAsia="Geomanist Light" w:hAnsi="Verdana" w:cs="Arial"/>
          <w:lang w:val="es-MX"/>
        </w:rPr>
        <w:t xml:space="preserve"> para ese momento del cierre del proceso el Proponente tenía en firme el RUP estará habilitado para participar en el proceso y ser adjudicatario del contrato. </w:t>
      </w:r>
    </w:p>
    <w:p w14:paraId="15C5F931" w14:textId="77777777" w:rsidR="00DF78D3" w:rsidRPr="00283C44" w:rsidRDefault="00DF78D3" w:rsidP="00DF78D3">
      <w:pPr>
        <w:jc w:val="both"/>
        <w:rPr>
          <w:rFonts w:ascii="Verdana" w:eastAsia="Geomanist Light" w:hAnsi="Verdana" w:cs="Arial"/>
          <w:lang w:val="es-ES"/>
        </w:rPr>
      </w:pPr>
      <w:r w:rsidRPr="00596C81">
        <w:rPr>
          <w:rFonts w:ascii="Verdana" w:eastAsia="Geomanist Light" w:hAnsi="Verdana" w:cs="Arial"/>
        </w:rPr>
        <w:t>Dicha posición coincide con la tesis defendida por el Consejo de Estado, en sentencia proferida el pasado 17 de julio. Dicha Corporación, al analizar si la oferta ganadora en un Proceso de Contratación debió ser descalificada porque uno de los integrantes del consorcio adjudicatario no contaba con una inscripción vigente en el RÚP entre la fecha del cierre de la licitación y el acto de adjudicación.</w:t>
      </w:r>
    </w:p>
    <w:p w14:paraId="66F5903C" w14:textId="77777777" w:rsidR="00DF78D3" w:rsidRPr="003D0433" w:rsidRDefault="00DF78D3" w:rsidP="00DF78D3">
      <w:pPr>
        <w:spacing w:line="276" w:lineRule="auto"/>
        <w:jc w:val="both"/>
        <w:rPr>
          <w:rFonts w:ascii="Verdana" w:eastAsia="Calibri" w:hAnsi="Verdana" w:cs="Arial"/>
          <w:b/>
        </w:rPr>
      </w:pPr>
      <w:r w:rsidRPr="003D0433">
        <w:rPr>
          <w:rFonts w:ascii="Verdana" w:eastAsia="Calibri" w:hAnsi="Verdana" w:cs="Arial"/>
          <w:b/>
        </w:rPr>
        <w:t xml:space="preserve">SUBSANABILIDAD DE LAS OFERTAS – Alcance de la regla – Ley 1882 de 2018 – Ámbito temporal – Criterio material </w:t>
      </w:r>
    </w:p>
    <w:p w14:paraId="75AB39EA" w14:textId="77777777" w:rsidR="00DF78D3" w:rsidRPr="00283C44" w:rsidRDefault="00DF78D3" w:rsidP="00DF78D3">
      <w:pPr>
        <w:spacing w:line="276" w:lineRule="auto"/>
        <w:jc w:val="both"/>
        <w:rPr>
          <w:rFonts w:ascii="Verdana" w:eastAsia="Calibri" w:hAnsi="Verdana" w:cs="Arial"/>
          <w:sz w:val="20"/>
        </w:rPr>
      </w:pPr>
      <w:r w:rsidRPr="00773D24">
        <w:rPr>
          <w:rFonts w:ascii="Verdana" w:eastAsia="Calibri" w:hAnsi="Verdana" w:cs="Arial"/>
          <w:sz w:val="20"/>
        </w:rPr>
        <w:t xml:space="preserve">En ese orden de ideas, extendiendo las anteriores consideraciones a la regla de </w:t>
      </w:r>
      <w:proofErr w:type="spellStart"/>
      <w:r w:rsidRPr="00773D24">
        <w:rPr>
          <w:rFonts w:ascii="Verdana" w:eastAsia="Calibri" w:hAnsi="Verdana" w:cs="Arial"/>
          <w:sz w:val="20"/>
        </w:rPr>
        <w:t>subsanabilidad</w:t>
      </w:r>
      <w:proofErr w:type="spellEnd"/>
      <w:r w:rsidRPr="00773D24">
        <w:rPr>
          <w:rFonts w:ascii="Verdana" w:eastAsia="Calibri" w:hAnsi="Verdana" w:cs="Arial"/>
          <w:sz w:val="20"/>
        </w:rPr>
        <w:t xml:space="preserve"> consagrada en el parágrafo 1 del artículo 5 de la Ley 1150 de 2007 –modificado por la Ley 1882 de 2018–</w:t>
      </w:r>
      <w:r w:rsidRPr="00773D24">
        <w:rPr>
          <w:rFonts w:ascii="Verdana" w:eastAsia="Calibri" w:hAnsi="Verdana" w:cs="Arial"/>
          <w:i/>
          <w:iCs/>
          <w:sz w:val="20"/>
        </w:rPr>
        <w:t>,</w:t>
      </w:r>
      <w:r w:rsidRPr="00773D24">
        <w:rPr>
          <w:rFonts w:ascii="Verdana" w:eastAsia="Calibri" w:hAnsi="Verdana" w:cs="Arial"/>
          <w:sz w:val="20"/>
        </w:rPr>
        <w:t xml:space="preserve"> en el caso de la modalidad de licitación pública, los proponentes podrán subsanar los requisitos habilitantes que sean solicitados en el informe de evaluación durante el traslado del informe de evaluación, de cinco (5) días hábiles, por lo que después de finalizado el plazo señalado y expedido el informe de evaluación definitivo, los proponentes únicamente podrán pronunciarse sobre las respuestas dadas por la Entidad Estatal a las observaciones presentadas respecto del informe de evaluación definitivo, lo cual no implica una nueva oportunidad para mejorar o modificar, es decir no podrían subsanar ningún requisito habilitante a la luz de lo señalado en el numeral 1 del artículo 2.2.1.2.1.1.2. del Decreto 1082 de 2015, vencido el término de traslado del respectivo informe de evaluación</w:t>
      </w:r>
      <w:r>
        <w:rPr>
          <w:rFonts w:ascii="Verdana" w:eastAsia="Calibri" w:hAnsi="Verdana" w:cs="Arial"/>
          <w:sz w:val="20"/>
        </w:rPr>
        <w:t>.</w:t>
      </w:r>
    </w:p>
    <w:p w14:paraId="44D9CA55" w14:textId="77777777" w:rsidR="00DF78D3" w:rsidRPr="003D0433" w:rsidRDefault="00DF78D3" w:rsidP="00DF78D3">
      <w:pPr>
        <w:spacing w:line="276" w:lineRule="auto"/>
        <w:jc w:val="both"/>
        <w:rPr>
          <w:rFonts w:ascii="Verdana" w:eastAsia="Calibri" w:hAnsi="Verdana" w:cs="Arial"/>
          <w:b/>
          <w:lang w:val="es-ES_tradnl"/>
        </w:rPr>
      </w:pPr>
      <w:r w:rsidRPr="003D0433">
        <w:rPr>
          <w:rFonts w:ascii="Verdana" w:eastAsia="Calibri" w:hAnsi="Verdana" w:cs="Arial"/>
          <w:b/>
        </w:rPr>
        <w:t xml:space="preserve">LICITACIÓN PÚBLICA – Regla de </w:t>
      </w:r>
      <w:proofErr w:type="spellStart"/>
      <w:r w:rsidRPr="003D0433">
        <w:rPr>
          <w:rFonts w:ascii="Verdana" w:eastAsia="Calibri" w:hAnsi="Verdana" w:cs="Arial"/>
          <w:b/>
        </w:rPr>
        <w:t>subsanabilidad</w:t>
      </w:r>
      <w:proofErr w:type="spellEnd"/>
      <w:r w:rsidRPr="003D0433">
        <w:rPr>
          <w:rFonts w:ascii="Verdana" w:eastAsia="Calibri" w:hAnsi="Verdana" w:cs="Arial"/>
          <w:b/>
        </w:rPr>
        <w:t xml:space="preserve"> – Tiempo límite – Alcance normativo </w:t>
      </w:r>
    </w:p>
    <w:p w14:paraId="7233F053" w14:textId="77777777" w:rsidR="00DF78D3" w:rsidRDefault="00DF78D3" w:rsidP="00DF78D3">
      <w:pPr>
        <w:spacing w:after="0"/>
        <w:jc w:val="both"/>
        <w:rPr>
          <w:rFonts w:ascii="Verdana" w:eastAsia="Calibri" w:hAnsi="Verdana" w:cs="Arial"/>
          <w:sz w:val="20"/>
        </w:rPr>
      </w:pPr>
      <w:r w:rsidRPr="00773D24">
        <w:rPr>
          <w:rFonts w:ascii="Verdana" w:eastAsia="Calibri" w:hAnsi="Verdana" w:cs="Arial"/>
          <w:sz w:val="20"/>
        </w:rPr>
        <w:t xml:space="preserve">De lo anterior se encuentra que para el proceso de licitación pública, luego del traslado al informe de evaluación durante cinco (5) días hables, en donde los proponentes pueden realizar subsanaciones y presentar observaciones respecto al informe de evaluación, la Entidad contratante procederá a expedir un informe final de los requisitos habilitantes y </w:t>
      </w:r>
      <w:r w:rsidRPr="00773D24">
        <w:rPr>
          <w:rFonts w:ascii="Verdana" w:eastAsia="Calibri" w:hAnsi="Verdana" w:cs="Arial"/>
          <w:sz w:val="20"/>
        </w:rPr>
        <w:lastRenderedPageBreak/>
        <w:t>los requisitos ponderables diferentes a la oferta económica, el cual se puede entender como el informe de evaluación definitivo, previo a la realización de la audiencia de adjudicación de la que hace mención el numeral 10 del artículo 30 de la Ley 80 de 1993, y que se encuentra desarrollada en el artículo 2.2.1.2.1.1.2. del Decreto 1082 de 2015.</w:t>
      </w:r>
    </w:p>
    <w:p w14:paraId="4D978B00" w14:textId="77777777" w:rsidR="00DF78D3" w:rsidRDefault="00DF78D3" w:rsidP="00DF78D3">
      <w:pPr>
        <w:spacing w:after="0"/>
        <w:jc w:val="both"/>
        <w:rPr>
          <w:rFonts w:ascii="Verdana" w:eastAsia="Calibri" w:hAnsi="Verdana" w:cs="Arial"/>
          <w:sz w:val="20"/>
        </w:rPr>
      </w:pPr>
    </w:p>
    <w:p w14:paraId="49BC59BD" w14:textId="77777777" w:rsidR="00DF78D3" w:rsidRDefault="00DF78D3" w:rsidP="00DF78D3">
      <w:pPr>
        <w:spacing w:after="0" w:line="240" w:lineRule="auto"/>
        <w:jc w:val="both"/>
        <w:rPr>
          <w:rFonts w:ascii="Verdana" w:hAnsi="Verdana"/>
          <w:b/>
        </w:rPr>
      </w:pPr>
      <w:r>
        <w:rPr>
          <w:rFonts w:ascii="Verdana" w:eastAsia="Calibri" w:hAnsi="Verdana" w:cs="Arial"/>
          <w:b/>
          <w:lang w:val="es-ES" w:eastAsia="es-ES"/>
        </w:rPr>
        <w:t xml:space="preserve">REQUISITOS HABILITANTES – Noción – Fijación </w:t>
      </w:r>
      <w:r w:rsidRPr="00DF024B">
        <w:rPr>
          <w:rFonts w:ascii="Verdana" w:eastAsia="Calibri" w:hAnsi="Verdana" w:cs="Arial"/>
          <w:b/>
          <w:bCs/>
          <w:lang w:val="es-ES" w:eastAsia="es-ES"/>
        </w:rPr>
        <w:t>–</w:t>
      </w:r>
      <w:r>
        <w:rPr>
          <w:rFonts w:ascii="Verdana" w:eastAsia="Calibri" w:hAnsi="Verdana" w:cs="Arial"/>
          <w:b/>
          <w:lang w:val="es-ES" w:eastAsia="es-ES"/>
        </w:rPr>
        <w:t xml:space="preserve"> Parámetros</w:t>
      </w:r>
    </w:p>
    <w:p w14:paraId="59CB8039" w14:textId="77777777" w:rsidR="00DF78D3" w:rsidRDefault="00DF78D3" w:rsidP="00DF78D3">
      <w:pPr>
        <w:spacing w:after="0" w:line="240" w:lineRule="auto"/>
        <w:jc w:val="both"/>
        <w:rPr>
          <w:rFonts w:ascii="Verdana" w:eastAsia="Arial" w:hAnsi="Verdana" w:cs="Arial"/>
          <w:bCs/>
          <w:color w:val="000000" w:themeColor="text1"/>
          <w:sz w:val="20"/>
          <w:szCs w:val="20"/>
        </w:rPr>
      </w:pPr>
    </w:p>
    <w:p w14:paraId="6F02FF5E" w14:textId="77777777" w:rsidR="00DF78D3" w:rsidRDefault="00DF78D3" w:rsidP="00DF78D3">
      <w:pPr>
        <w:spacing w:after="0" w:line="240" w:lineRule="auto"/>
        <w:jc w:val="both"/>
        <w:rPr>
          <w:rFonts w:ascii="Verdana" w:eastAsia="Arial" w:hAnsi="Verdana" w:cs="Arial"/>
          <w:bCs/>
          <w:color w:val="000000" w:themeColor="text1"/>
          <w:sz w:val="20"/>
          <w:szCs w:val="20"/>
        </w:rPr>
      </w:pPr>
      <w:r>
        <w:rPr>
          <w:rFonts w:ascii="Verdana" w:eastAsia="Arial" w:hAnsi="Verdana" w:cs="Arial"/>
          <w:bCs/>
          <w:color w:val="000000" w:themeColor="text1"/>
          <w:sz w:val="20"/>
          <w:szCs w:val="20"/>
        </w:rPr>
        <w:t xml:space="preserve">Los requisitos habilitantes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610BB23B" w14:textId="77777777" w:rsidR="00DF78D3" w:rsidRDefault="00DF78D3" w:rsidP="00DF78D3">
      <w:pPr>
        <w:spacing w:after="0" w:line="240" w:lineRule="auto"/>
        <w:jc w:val="both"/>
        <w:rPr>
          <w:rFonts w:ascii="Verdana" w:eastAsia="Arial" w:hAnsi="Verdana" w:cs="Arial"/>
          <w:bCs/>
          <w:color w:val="000000" w:themeColor="text1"/>
          <w:sz w:val="20"/>
          <w:szCs w:val="20"/>
        </w:rPr>
      </w:pPr>
    </w:p>
    <w:p w14:paraId="18C16FA8" w14:textId="77777777" w:rsidR="00DF78D3" w:rsidRDefault="00DF78D3" w:rsidP="00DF78D3">
      <w:pPr>
        <w:spacing w:after="0" w:line="240" w:lineRule="auto"/>
        <w:jc w:val="both"/>
        <w:rPr>
          <w:rFonts w:ascii="Verdana" w:hAnsi="Verdana" w:cs="Arial"/>
          <w:bCs/>
          <w:sz w:val="20"/>
          <w:szCs w:val="20"/>
          <w:lang w:eastAsia="es-ES" w:bidi="es-ES"/>
        </w:rPr>
      </w:pPr>
      <w:r>
        <w:rPr>
          <w:rFonts w:ascii="Verdana" w:eastAsia="Times New Roman" w:hAnsi="Verdana" w:cs="Arial"/>
          <w:sz w:val="20"/>
          <w:szCs w:val="20"/>
          <w:lang w:val="es-ES_tradnl" w:eastAsia="es-MX"/>
        </w:rPr>
        <w:t xml:space="preserve">Ahora bien, para determinar cuáles son los requisitos habilitantes que deben exigir dentro de los procesos de contratación es necesario tener en cuenta </w:t>
      </w:r>
      <w:r>
        <w:rPr>
          <w:rFonts w:ascii="Verdana" w:hAnsi="Verdana" w:cs="Arial"/>
          <w:bCs/>
          <w:sz w:val="20"/>
          <w:szCs w:val="20"/>
          <w:lang w:val="es-MX" w:eastAsia="es-ES" w:bidi="es-ES"/>
        </w:rPr>
        <w:t xml:space="preserve">el </w:t>
      </w:r>
      <w:r>
        <w:rPr>
          <w:rFonts w:ascii="Verdana" w:hAnsi="Verdana" w:cs="Arial"/>
          <w:bCs/>
          <w:i/>
          <w:iCs/>
          <w:sz w:val="20"/>
          <w:szCs w:val="20"/>
          <w:lang w:val="es-MX" w:eastAsia="es-ES" w:bidi="es-ES"/>
        </w:rPr>
        <w:t>Manual para determinar y verificar los requisitos habilitantes en los procesos de contratación</w:t>
      </w:r>
      <w:r>
        <w:rPr>
          <w:rFonts w:ascii="Verdana" w:hAnsi="Verdana" w:cs="Arial"/>
          <w:bCs/>
          <w:iCs/>
          <w:sz w:val="20"/>
          <w:szCs w:val="20"/>
          <w:lang w:val="es-MX" w:eastAsia="es-ES" w:bidi="es-ES"/>
        </w:rPr>
        <w:t xml:space="preserve"> expedido por la Agencia, en la que se precisa</w:t>
      </w:r>
      <w:r>
        <w:rPr>
          <w:rFonts w:ascii="Verdana" w:hAnsi="Verdana" w:cs="Arial"/>
          <w:bCs/>
          <w:sz w:val="20"/>
          <w:szCs w:val="20"/>
          <w:lang w:val="es-MX" w:eastAsia="es-ES" w:bidi="es-ES"/>
        </w:rPr>
        <w:t xml:space="preserve">: “[…] </w:t>
      </w:r>
      <w:r>
        <w:rPr>
          <w:rFonts w:ascii="Verdana" w:hAnsi="Verdana" w:cs="Arial"/>
          <w:bCs/>
          <w:sz w:val="20"/>
          <w:szCs w:val="20"/>
          <w:lang w:eastAsia="es-ES" w:bidi="es-ES"/>
        </w:rPr>
        <w:t>la Entidad Estatal debe tener como parámetros: (i) el Riesgo del Proceso de Contratación; (</w:t>
      </w:r>
      <w:proofErr w:type="spellStart"/>
      <w:r>
        <w:rPr>
          <w:rFonts w:ascii="Verdana" w:hAnsi="Verdana" w:cs="Arial"/>
          <w:bCs/>
          <w:sz w:val="20"/>
          <w:szCs w:val="20"/>
          <w:lang w:eastAsia="es-ES" w:bidi="es-ES"/>
        </w:rPr>
        <w:t>ii</w:t>
      </w:r>
      <w:proofErr w:type="spellEnd"/>
      <w:r>
        <w:rPr>
          <w:rFonts w:ascii="Verdana" w:hAnsi="Verdana" w:cs="Arial"/>
          <w:bCs/>
          <w:sz w:val="20"/>
          <w:szCs w:val="20"/>
          <w:lang w:eastAsia="es-ES" w:bidi="es-ES"/>
        </w:rPr>
        <w:t>) el valor del contrato objeto del Proceso de Contratación; (</w:t>
      </w:r>
      <w:proofErr w:type="spellStart"/>
      <w:r>
        <w:rPr>
          <w:rFonts w:ascii="Verdana" w:hAnsi="Verdana" w:cs="Arial"/>
          <w:bCs/>
          <w:sz w:val="20"/>
          <w:szCs w:val="20"/>
          <w:lang w:eastAsia="es-ES" w:bidi="es-ES"/>
        </w:rPr>
        <w:t>iii</w:t>
      </w:r>
      <w:proofErr w:type="spellEnd"/>
      <w:r>
        <w:rPr>
          <w:rFonts w:ascii="Verdana" w:hAnsi="Verdana" w:cs="Arial"/>
          <w:bCs/>
          <w:sz w:val="20"/>
          <w:szCs w:val="20"/>
          <w:lang w:eastAsia="es-ES" w:bidi="es-ES"/>
        </w:rPr>
        <w:t>) el análisis del sector económico respectivo; y (</w:t>
      </w:r>
      <w:proofErr w:type="spellStart"/>
      <w:r>
        <w:rPr>
          <w:rFonts w:ascii="Verdana" w:hAnsi="Verdana" w:cs="Arial"/>
          <w:bCs/>
          <w:sz w:val="20"/>
          <w:szCs w:val="20"/>
          <w:lang w:eastAsia="es-ES" w:bidi="es-ES"/>
        </w:rPr>
        <w:t>iv</w:t>
      </w:r>
      <w:proofErr w:type="spellEnd"/>
      <w:r>
        <w:rPr>
          <w:rFonts w:ascii="Verdana" w:hAnsi="Verdana" w:cs="Arial"/>
          <w:bCs/>
          <w:sz w:val="20"/>
          <w:szCs w:val="20"/>
          <w:lang w:eastAsia="es-ES" w:bidi="es-ES"/>
        </w:rPr>
        <w:t xml:space="preserve">) el conocimiento de fondo de los posibles oferentes desde la perspectiva comercial”. Además, la Agencia expresa: “Entidades Estatales deben fijar los requisitos habilitantes que se incluirán en los pliegos de condiciones o documentos equivalentes durante la etapa de planeación del contrato estatal, después de haber adelantado el análisis del sector relativo al objeto del Proceso de Contratación, de tal manera que la determinación de las condiciones habilitantes se realice a partir del conocimiento de fondo de los posibles oferentes desde el punto de vista comercial y el análisis de Riesgo. </w:t>
      </w:r>
    </w:p>
    <w:p w14:paraId="4FE53AED" w14:textId="77777777" w:rsidR="00DF78D3" w:rsidRDefault="00DF78D3" w:rsidP="00DF78D3">
      <w:pPr>
        <w:spacing w:after="0" w:line="240" w:lineRule="auto"/>
        <w:jc w:val="both"/>
        <w:rPr>
          <w:rFonts w:ascii="Verdana" w:hAnsi="Verdana" w:cs="Arial"/>
          <w:bCs/>
          <w:sz w:val="20"/>
          <w:szCs w:val="20"/>
          <w:lang w:val="es-ES_tradnl" w:eastAsia="es-ES" w:bidi="es-ES"/>
        </w:rPr>
      </w:pPr>
    </w:p>
    <w:p w14:paraId="28126719" w14:textId="77777777" w:rsidR="00DF78D3" w:rsidRDefault="00DF78D3" w:rsidP="00DF78D3">
      <w:pPr>
        <w:spacing w:after="0" w:line="240" w:lineRule="auto"/>
        <w:jc w:val="both"/>
        <w:rPr>
          <w:rFonts w:ascii="Verdana" w:hAnsi="Verdana" w:cs="Arial"/>
          <w:bCs/>
          <w:sz w:val="20"/>
          <w:szCs w:val="20"/>
          <w:lang w:eastAsia="es-ES" w:bidi="es-ES"/>
        </w:rPr>
      </w:pPr>
      <w:r>
        <w:rPr>
          <w:rFonts w:ascii="Verdana" w:hAnsi="Verdana" w:cs="Arial"/>
          <w:bCs/>
          <w:sz w:val="20"/>
          <w:szCs w:val="20"/>
          <w:lang w:val="es-ES_tradnl" w:eastAsia="es-ES" w:bidi="es-ES"/>
        </w:rPr>
        <w:t>En el marco de los procesos de contratación, que las entidades estatales tienen restricciones para fijar cierto tipo de documentos como habilitantes, como es el caso, el artículo 5° del parágrafo 2° de la Ley 1150 de 2007, que prescribe: “</w:t>
      </w:r>
      <w:r>
        <w:rPr>
          <w:rFonts w:ascii="Verdana" w:hAnsi="Verdana" w:cs="Arial"/>
          <w:bCs/>
          <w:sz w:val="20"/>
          <w:szCs w:val="20"/>
          <w:lang w:eastAsia="es-ES" w:bidi="es-ES"/>
        </w:rPr>
        <w:t>Las certificaciones de sistemas de gestión de calidad no serán objeto de calificación, ni podrán establecerse como documento habilitante para participar en licitaciones o concursos”.</w:t>
      </w:r>
    </w:p>
    <w:p w14:paraId="6509EB1E" w14:textId="77777777" w:rsidR="00DF78D3" w:rsidRDefault="00DF78D3" w:rsidP="00DF78D3">
      <w:pPr>
        <w:spacing w:after="0" w:line="240" w:lineRule="auto"/>
        <w:jc w:val="both"/>
        <w:rPr>
          <w:rFonts w:ascii="Verdana" w:eastAsia="Arial" w:hAnsi="Verdana" w:cs="Arial"/>
          <w:bCs/>
          <w:color w:val="000000" w:themeColor="text1"/>
          <w:sz w:val="20"/>
          <w:szCs w:val="20"/>
        </w:rPr>
      </w:pPr>
    </w:p>
    <w:p w14:paraId="488DD136" w14:textId="77777777" w:rsidR="00DF78D3" w:rsidRDefault="00DF78D3" w:rsidP="00DF78D3">
      <w:pPr>
        <w:rPr>
          <w:rFonts w:ascii="Verdana" w:eastAsia="Calibri" w:hAnsi="Verdana" w:cs="Times New Roman"/>
        </w:rPr>
      </w:pPr>
      <w:r>
        <w:rPr>
          <w:rFonts w:ascii="Verdana" w:eastAsia="Calibri" w:hAnsi="Verdana" w:cs="Times New Roman"/>
        </w:rPr>
        <w:br w:type="page"/>
      </w:r>
    </w:p>
    <w:p w14:paraId="039FF35D" w14:textId="77777777" w:rsidR="00DF78D3" w:rsidRDefault="00DF78D3" w:rsidP="00DF78D3">
      <w:pPr>
        <w:spacing w:after="0"/>
        <w:rPr>
          <w:rFonts w:ascii="Verdana" w:hAnsi="Verdana"/>
        </w:rPr>
      </w:pPr>
    </w:p>
    <w:p w14:paraId="2A47FC18" w14:textId="77777777" w:rsidR="00DF78D3" w:rsidRDefault="00DF78D3" w:rsidP="00DF78D3">
      <w:pPr>
        <w:spacing w:after="0"/>
        <w:rPr>
          <w:rFonts w:ascii="Verdana" w:hAnsi="Verdana"/>
        </w:rPr>
      </w:pPr>
    </w:p>
    <w:p w14:paraId="269EFF3C" w14:textId="5F51D845" w:rsidR="00DF78D3" w:rsidRDefault="00DF78D3" w:rsidP="00DF78D3">
      <w:pPr>
        <w:spacing w:after="0"/>
        <w:rPr>
          <w:rFonts w:ascii="Verdana" w:hAnsi="Verdana"/>
        </w:rPr>
      </w:pPr>
      <w:r w:rsidRPr="0044528D">
        <w:rPr>
          <w:rFonts w:ascii="Verdana" w:hAnsi="Verdana"/>
        </w:rPr>
        <w:t xml:space="preserve">Bogotá D.C., </w:t>
      </w:r>
      <w:r>
        <w:rPr>
          <w:rFonts w:ascii="Verdana" w:hAnsi="Verdana"/>
        </w:rPr>
        <w:t>2</w:t>
      </w:r>
      <w:r w:rsidR="00F31E33">
        <w:rPr>
          <w:rFonts w:ascii="Verdana" w:hAnsi="Verdana"/>
        </w:rPr>
        <w:t>8</w:t>
      </w:r>
      <w:r>
        <w:rPr>
          <w:rFonts w:ascii="Verdana" w:hAnsi="Verdana"/>
        </w:rPr>
        <w:t xml:space="preserve"> de octubre de 2025</w:t>
      </w:r>
      <w:r w:rsidRPr="0044528D">
        <w:rPr>
          <w:rFonts w:ascii="Verdana" w:hAnsi="Verdana"/>
        </w:rPr>
        <w:tab/>
      </w:r>
    </w:p>
    <w:p w14:paraId="450522FD" w14:textId="77777777" w:rsidR="00141E8C" w:rsidRPr="0044528D" w:rsidRDefault="00141E8C" w:rsidP="00DF78D3">
      <w:pPr>
        <w:spacing w:after="0"/>
        <w:rPr>
          <w:rFonts w:ascii="Verdana" w:hAnsi="Verdana"/>
        </w:rPr>
      </w:pPr>
    </w:p>
    <w:p w14:paraId="5D88ED9D" w14:textId="77777777" w:rsidR="00141E8C" w:rsidRDefault="00141E8C" w:rsidP="00141E8C">
      <w:pPr>
        <w:spacing w:after="0"/>
        <w:ind w:left="3540"/>
        <w:rPr>
          <w:noProof/>
        </w:rPr>
      </w:pPr>
    </w:p>
    <w:p w14:paraId="3CB26475" w14:textId="711C161B" w:rsidR="00DF78D3" w:rsidRPr="0044528D" w:rsidRDefault="00141E8C" w:rsidP="00141E8C">
      <w:pPr>
        <w:spacing w:after="0"/>
        <w:ind w:left="3540"/>
        <w:rPr>
          <w:rFonts w:ascii="Verdana" w:hAnsi="Verdana"/>
        </w:rPr>
      </w:pPr>
      <w:r>
        <w:rPr>
          <w:noProof/>
        </w:rPr>
        <w:drawing>
          <wp:inline distT="0" distB="0" distL="0" distR="0" wp14:anchorId="1090CF84" wp14:editId="1E75A8BD">
            <wp:extent cx="2752725" cy="723900"/>
            <wp:effectExtent l="0" t="0" r="9525" b="0"/>
            <wp:docPr id="4722392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39217" name=""/>
                    <pic:cNvPicPr/>
                  </pic:nvPicPr>
                  <pic:blipFill>
                    <a:blip r:embed="rId10"/>
                    <a:stretch>
                      <a:fillRect/>
                    </a:stretch>
                  </pic:blipFill>
                  <pic:spPr>
                    <a:xfrm>
                      <a:off x="0" y="0"/>
                      <a:ext cx="2752725" cy="723900"/>
                    </a:xfrm>
                    <a:prstGeom prst="rect">
                      <a:avLst/>
                    </a:prstGeom>
                  </pic:spPr>
                </pic:pic>
              </a:graphicData>
            </a:graphic>
          </wp:inline>
        </w:drawing>
      </w:r>
    </w:p>
    <w:p w14:paraId="22C4B72B" w14:textId="77777777" w:rsidR="00DF78D3" w:rsidRDefault="00DF78D3" w:rsidP="00DF78D3">
      <w:pPr>
        <w:spacing w:after="0"/>
        <w:jc w:val="both"/>
        <w:rPr>
          <w:rFonts w:ascii="Verdana" w:hAnsi="Verdana"/>
          <w:lang w:val="es-MX"/>
        </w:rPr>
      </w:pPr>
      <w:r w:rsidRPr="00CC2A30">
        <w:rPr>
          <w:rFonts w:ascii="Verdana" w:hAnsi="Verdana"/>
          <w:lang w:val="es-MX"/>
        </w:rPr>
        <w:t>Seño</w:t>
      </w:r>
      <w:r>
        <w:rPr>
          <w:rFonts w:ascii="Verdana" w:hAnsi="Verdana"/>
          <w:lang w:val="es-MX"/>
        </w:rPr>
        <w:t>r</w:t>
      </w:r>
    </w:p>
    <w:p w14:paraId="6FB3BE37" w14:textId="77777777" w:rsidR="00DF78D3" w:rsidRDefault="00DF78D3" w:rsidP="00DF78D3">
      <w:pPr>
        <w:spacing w:after="0"/>
        <w:jc w:val="both"/>
        <w:rPr>
          <w:rFonts w:ascii="Verdana" w:hAnsi="Verdana"/>
          <w:b/>
          <w:bCs/>
        </w:rPr>
      </w:pPr>
      <w:proofErr w:type="spellStart"/>
      <w:r>
        <w:rPr>
          <w:rFonts w:ascii="Verdana" w:hAnsi="Verdana"/>
          <w:b/>
          <w:bCs/>
        </w:rPr>
        <w:t>Andres</w:t>
      </w:r>
      <w:proofErr w:type="spellEnd"/>
      <w:r>
        <w:rPr>
          <w:rFonts w:ascii="Verdana" w:hAnsi="Verdana"/>
          <w:b/>
          <w:bCs/>
        </w:rPr>
        <w:t xml:space="preserve"> Avendaño Giraldo</w:t>
      </w:r>
    </w:p>
    <w:p w14:paraId="5D953CC3" w14:textId="77777777" w:rsidR="00DF78D3" w:rsidRPr="00712805" w:rsidRDefault="00DF78D3" w:rsidP="00DF78D3">
      <w:pPr>
        <w:spacing w:after="0"/>
        <w:jc w:val="both"/>
        <w:rPr>
          <w:rFonts w:ascii="Verdana" w:hAnsi="Verdana"/>
          <w:u w:val="single"/>
          <w:lang w:val="fr-FR"/>
        </w:rPr>
      </w:pPr>
      <w:r>
        <w:rPr>
          <w:rFonts w:ascii="Verdana" w:hAnsi="Verdana"/>
          <w:u w:val="single"/>
          <w:lang w:val="fr-FR"/>
        </w:rPr>
        <w:t>Ing.andres.avendano</w:t>
      </w:r>
      <w:r w:rsidRPr="00712805">
        <w:rPr>
          <w:rFonts w:ascii="Verdana" w:hAnsi="Verdana"/>
          <w:u w:val="single"/>
          <w:lang w:val="fr-FR"/>
        </w:rPr>
        <w:t>@</w:t>
      </w:r>
      <w:r>
        <w:rPr>
          <w:rFonts w:ascii="Verdana" w:hAnsi="Verdana"/>
          <w:u w:val="single"/>
          <w:lang w:val="fr-FR"/>
        </w:rPr>
        <w:t>gmail</w:t>
      </w:r>
      <w:r w:rsidRPr="00712805">
        <w:rPr>
          <w:rFonts w:ascii="Verdana" w:hAnsi="Verdana"/>
          <w:u w:val="single"/>
          <w:lang w:val="fr-FR"/>
        </w:rPr>
        <w:t>.com</w:t>
      </w:r>
    </w:p>
    <w:p w14:paraId="4148FD8D" w14:textId="77777777" w:rsidR="00DF78D3" w:rsidRDefault="00DF78D3" w:rsidP="00DF78D3">
      <w:pPr>
        <w:spacing w:after="0"/>
        <w:rPr>
          <w:rFonts w:ascii="Verdana" w:hAnsi="Verdana"/>
          <w:lang w:val="es-MX"/>
        </w:rPr>
      </w:pPr>
      <w:r>
        <w:rPr>
          <w:rFonts w:ascii="Verdana" w:hAnsi="Verdana"/>
          <w:lang w:val="es-MX"/>
        </w:rPr>
        <w:t xml:space="preserve">Armenia, </w:t>
      </w:r>
      <w:proofErr w:type="spellStart"/>
      <w:r>
        <w:rPr>
          <w:rFonts w:ascii="Verdana" w:hAnsi="Verdana"/>
          <w:lang w:val="es-MX"/>
        </w:rPr>
        <w:t>Quindio</w:t>
      </w:r>
      <w:proofErr w:type="spellEnd"/>
    </w:p>
    <w:p w14:paraId="2833D59A" w14:textId="77777777" w:rsidR="00DF78D3" w:rsidRPr="009E522C" w:rsidRDefault="00DF78D3" w:rsidP="00DF78D3">
      <w:pPr>
        <w:spacing w:after="0"/>
        <w:jc w:val="right"/>
        <w:rPr>
          <w:rFonts w:ascii="Verdana" w:hAnsi="Verdana"/>
          <w:lang w:val="es-MX"/>
        </w:rPr>
      </w:pPr>
    </w:p>
    <w:p w14:paraId="67964471" w14:textId="77777777" w:rsidR="00DF78D3" w:rsidRPr="00712805" w:rsidRDefault="00DF78D3" w:rsidP="00DF78D3">
      <w:pPr>
        <w:spacing w:after="0"/>
        <w:jc w:val="both"/>
        <w:rPr>
          <w:rFonts w:ascii="Verdana" w:hAnsi="Verdana"/>
          <w:lang w:val="fr-FR"/>
        </w:rPr>
      </w:pPr>
    </w:p>
    <w:p w14:paraId="0ACC988B" w14:textId="77777777" w:rsidR="00DF78D3" w:rsidRPr="00CC2A30" w:rsidRDefault="00DF78D3" w:rsidP="00DF78D3">
      <w:pPr>
        <w:spacing w:after="0" w:line="240" w:lineRule="auto"/>
        <w:ind w:left="2694"/>
        <w:jc w:val="both"/>
        <w:rPr>
          <w:rFonts w:ascii="Verdana" w:eastAsia="Calibri" w:hAnsi="Verdana" w:cs="Arial"/>
          <w:b/>
          <w:bCs/>
          <w:lang w:val="es-ES" w:eastAsia="es-ES"/>
        </w:rPr>
      </w:pPr>
      <w:r w:rsidRPr="00CC2A30">
        <w:rPr>
          <w:rFonts w:ascii="Verdana" w:eastAsia="Calibri" w:hAnsi="Verdana" w:cs="Arial"/>
          <w:b/>
          <w:bCs/>
          <w:lang w:val="es-ES" w:eastAsia="es-ES"/>
        </w:rPr>
        <w:t>Concepto C–</w:t>
      </w:r>
      <w:r>
        <w:rPr>
          <w:rFonts w:ascii="Verdana" w:eastAsia="Calibri" w:hAnsi="Verdana" w:cs="Arial"/>
          <w:b/>
          <w:bCs/>
          <w:lang w:val="es-ES" w:eastAsia="es-ES"/>
        </w:rPr>
        <w:t>1356</w:t>
      </w:r>
      <w:r w:rsidRPr="00CC2A30">
        <w:rPr>
          <w:rFonts w:ascii="Verdana" w:eastAsia="Calibri" w:hAnsi="Verdana" w:cs="Arial"/>
          <w:b/>
          <w:bCs/>
          <w:lang w:val="es-ES" w:eastAsia="es-ES"/>
        </w:rPr>
        <w:t xml:space="preserve"> de 202</w:t>
      </w:r>
      <w:r>
        <w:rPr>
          <w:rFonts w:ascii="Verdana" w:eastAsia="Calibri" w:hAnsi="Verdana" w:cs="Arial"/>
          <w:b/>
          <w:bCs/>
          <w:lang w:val="es-ES" w:eastAsia="es-ES"/>
        </w:rPr>
        <w:t>5</w:t>
      </w:r>
    </w:p>
    <w:p w14:paraId="6604B8C7" w14:textId="77777777" w:rsidR="00DF78D3" w:rsidRPr="00CC2A30" w:rsidRDefault="00DF78D3" w:rsidP="00DF78D3">
      <w:pPr>
        <w:spacing w:after="0" w:line="240" w:lineRule="auto"/>
        <w:jc w:val="both"/>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091"/>
        <w:gridCol w:w="6237"/>
      </w:tblGrid>
      <w:tr w:rsidR="00DF78D3" w:rsidRPr="00CC2A30" w14:paraId="7ED908BB" w14:textId="77777777" w:rsidTr="00CA73E4">
        <w:trPr>
          <w:trHeight w:val="884"/>
        </w:trPr>
        <w:tc>
          <w:tcPr>
            <w:tcW w:w="2835" w:type="dxa"/>
            <w:hideMark/>
          </w:tcPr>
          <w:p w14:paraId="5E31918B" w14:textId="77777777" w:rsidR="00DF78D3" w:rsidRPr="00CC2A30" w:rsidRDefault="00DF78D3" w:rsidP="00CA73E4">
            <w:pPr>
              <w:jc w:val="both"/>
              <w:rPr>
                <w:rFonts w:ascii="Verdana" w:eastAsia="Calibri" w:hAnsi="Verdana" w:cs="Arial"/>
                <w:b/>
                <w:bCs/>
                <w:szCs w:val="24"/>
                <w:lang w:val="es-ES_tradnl" w:eastAsia="es-ES_tradnl"/>
              </w:rPr>
            </w:pPr>
            <w:r w:rsidRPr="00CC2A30">
              <w:rPr>
                <w:rFonts w:ascii="Verdana" w:eastAsia="Calibri" w:hAnsi="Verdana" w:cs="Arial"/>
                <w:b/>
                <w:bCs/>
                <w:szCs w:val="24"/>
                <w:lang w:val="es-ES_tradnl" w:eastAsia="es-ES_tradnl"/>
              </w:rPr>
              <w:t xml:space="preserve">Temas:                   </w:t>
            </w:r>
          </w:p>
        </w:tc>
        <w:tc>
          <w:tcPr>
            <w:tcW w:w="6091" w:type="dxa"/>
            <w:hideMark/>
          </w:tcPr>
          <w:p w14:paraId="2EA966E0" w14:textId="7C8739C3" w:rsidR="00DF78D3" w:rsidRPr="00CD5536" w:rsidRDefault="00000873" w:rsidP="00CA73E4">
            <w:pPr>
              <w:jc w:val="both"/>
              <w:rPr>
                <w:rFonts w:ascii="Verdana" w:eastAsia="Calibri" w:hAnsi="Verdana" w:cs="Arial"/>
              </w:rPr>
            </w:pPr>
            <w:r w:rsidRPr="00000873">
              <w:rPr>
                <w:rFonts w:ascii="Verdana" w:hAnsi="Verdana" w:cs="Arial"/>
                <w:bCs/>
                <w:lang w:val="es-ES" w:eastAsia="es-ES_tradnl"/>
              </w:rPr>
              <w:t xml:space="preserve">REGISTRO ÚNICO DE PROPONENTES – RUP – Concepto / REGISTRO ÚNICO DE PROPONENTES – RUP - Firmeza / REGISTRO ÚNICO DE PROPONENTES – RUP – Firmeza – Inscripción / REGISTRO ÚNICO DE PROPONENTES – RUP – Firmeza – Renovación / SUBSANABILIDAD DE LAS OFERTAS –Regla de </w:t>
            </w:r>
            <w:proofErr w:type="spellStart"/>
            <w:r w:rsidRPr="00000873">
              <w:rPr>
                <w:rFonts w:ascii="Verdana" w:hAnsi="Verdana" w:cs="Arial"/>
                <w:bCs/>
                <w:lang w:val="es-ES" w:eastAsia="es-ES_tradnl"/>
              </w:rPr>
              <w:t>subsanabilidad</w:t>
            </w:r>
            <w:proofErr w:type="spellEnd"/>
            <w:r w:rsidRPr="00000873">
              <w:rPr>
                <w:rFonts w:ascii="Verdana" w:hAnsi="Verdana" w:cs="Arial"/>
                <w:bCs/>
                <w:lang w:val="es-ES" w:eastAsia="es-ES_tradnl"/>
              </w:rPr>
              <w:t>.</w:t>
            </w:r>
          </w:p>
          <w:p w14:paraId="33DC7000" w14:textId="77777777" w:rsidR="00DF78D3" w:rsidRPr="004C6846" w:rsidRDefault="00DF78D3" w:rsidP="00CA73E4">
            <w:pPr>
              <w:spacing w:line="276" w:lineRule="auto"/>
              <w:jc w:val="both"/>
              <w:rPr>
                <w:rFonts w:ascii="Verdana" w:eastAsia="Calibri" w:hAnsi="Verdana" w:cs="Arial"/>
                <w:lang w:val="es-ES_tradnl"/>
              </w:rPr>
            </w:pPr>
          </w:p>
          <w:p w14:paraId="2AC17490" w14:textId="77777777" w:rsidR="00DF78D3" w:rsidRPr="00CC2A30" w:rsidRDefault="00DF78D3" w:rsidP="00CA73E4">
            <w:pPr>
              <w:spacing w:line="276" w:lineRule="auto"/>
              <w:jc w:val="both"/>
              <w:rPr>
                <w:rFonts w:ascii="Verdana" w:hAnsi="Verdana"/>
              </w:rPr>
            </w:pPr>
          </w:p>
        </w:tc>
        <w:tc>
          <w:tcPr>
            <w:tcW w:w="6237" w:type="dxa"/>
          </w:tcPr>
          <w:p w14:paraId="5AA17381" w14:textId="77777777" w:rsidR="00DF78D3" w:rsidRPr="00CC2A30" w:rsidRDefault="00DF78D3" w:rsidP="00CA73E4">
            <w:pPr>
              <w:jc w:val="both"/>
              <w:rPr>
                <w:rFonts w:ascii="Verdana" w:hAnsi="Verdana" w:cs="Arial"/>
                <w:lang w:val="es-ES"/>
              </w:rPr>
            </w:pPr>
          </w:p>
        </w:tc>
      </w:tr>
      <w:tr w:rsidR="00DF78D3" w:rsidRPr="00CC2A30" w14:paraId="7E66025F" w14:textId="77777777" w:rsidTr="00CA73E4">
        <w:tc>
          <w:tcPr>
            <w:tcW w:w="2835" w:type="dxa"/>
            <w:hideMark/>
          </w:tcPr>
          <w:p w14:paraId="6730EB36" w14:textId="77777777" w:rsidR="00DF78D3" w:rsidRPr="00CC2A30" w:rsidRDefault="00DF78D3" w:rsidP="00CA73E4">
            <w:pPr>
              <w:spacing w:before="120"/>
              <w:jc w:val="both"/>
              <w:rPr>
                <w:rFonts w:ascii="Verdana" w:eastAsia="Calibri" w:hAnsi="Verdana" w:cs="Arial"/>
                <w:b/>
                <w:bCs/>
                <w:szCs w:val="24"/>
                <w:lang w:val="es-ES_tradnl" w:eastAsia="es-ES_tradnl"/>
              </w:rPr>
            </w:pPr>
            <w:r w:rsidRPr="00CC2A30">
              <w:rPr>
                <w:rFonts w:ascii="Verdana" w:eastAsia="Calibri" w:hAnsi="Verdana" w:cs="Arial"/>
                <w:b/>
                <w:bCs/>
                <w:szCs w:val="24"/>
                <w:lang w:val="es-ES_tradnl" w:eastAsia="es-ES_tradnl"/>
              </w:rPr>
              <w:t xml:space="preserve">Radicación:               </w:t>
            </w:r>
          </w:p>
        </w:tc>
        <w:tc>
          <w:tcPr>
            <w:tcW w:w="6091" w:type="dxa"/>
            <w:hideMark/>
          </w:tcPr>
          <w:p w14:paraId="5ABC6B6E" w14:textId="77777777" w:rsidR="00DF78D3" w:rsidRPr="00CC2A30" w:rsidRDefault="00DF78D3" w:rsidP="00CA73E4">
            <w:pPr>
              <w:spacing w:before="120" w:line="276" w:lineRule="auto"/>
              <w:jc w:val="both"/>
              <w:rPr>
                <w:rFonts w:ascii="Verdana" w:eastAsia="Calibri" w:hAnsi="Verdana" w:cs="Arial"/>
                <w:szCs w:val="24"/>
                <w:lang w:val="es-ES_tradnl" w:eastAsia="es-ES_tradnl"/>
              </w:rPr>
            </w:pPr>
            <w:r w:rsidRPr="00CC2A30">
              <w:rPr>
                <w:rFonts w:ascii="Verdana" w:eastAsia="Calibri" w:hAnsi="Verdana" w:cs="Arial"/>
                <w:szCs w:val="24"/>
                <w:lang w:val="es-ES_tradnl" w:eastAsia="es-ES_tradnl"/>
              </w:rPr>
              <w:t xml:space="preserve">Respuesta a consulta con radicado No. </w:t>
            </w:r>
            <w:r w:rsidRPr="004F57B9">
              <w:rPr>
                <w:rFonts w:ascii="Verdana" w:eastAsia="Calibri" w:hAnsi="Verdana" w:cs="Arial"/>
                <w:szCs w:val="24"/>
                <w:lang w:val="es-ES_tradnl" w:eastAsia="es-ES_tradnl"/>
              </w:rPr>
              <w:t>1_2025_09_19_010366</w:t>
            </w:r>
            <w:r>
              <w:rPr>
                <w:rFonts w:ascii="Verdana" w:eastAsia="Calibri" w:hAnsi="Verdana" w:cs="Arial"/>
                <w:szCs w:val="24"/>
                <w:lang w:eastAsia="es-ES_tradnl"/>
              </w:rPr>
              <w:t xml:space="preserve"> </w:t>
            </w:r>
          </w:p>
        </w:tc>
        <w:tc>
          <w:tcPr>
            <w:tcW w:w="6237" w:type="dxa"/>
          </w:tcPr>
          <w:p w14:paraId="09723B9F" w14:textId="77777777" w:rsidR="00DF78D3" w:rsidRPr="00CC2A30" w:rsidRDefault="00DF78D3" w:rsidP="00CA73E4">
            <w:pPr>
              <w:spacing w:before="120"/>
              <w:jc w:val="both"/>
              <w:rPr>
                <w:rFonts w:ascii="Verdana" w:eastAsia="Calibri" w:hAnsi="Verdana" w:cs="Arial"/>
                <w:szCs w:val="24"/>
                <w:lang w:val="es-ES_tradnl" w:eastAsia="es-ES_tradnl"/>
              </w:rPr>
            </w:pPr>
          </w:p>
        </w:tc>
      </w:tr>
    </w:tbl>
    <w:p w14:paraId="2A75FEE2" w14:textId="77777777" w:rsidR="00DF78D3" w:rsidRPr="00CC2A30" w:rsidRDefault="00DF78D3" w:rsidP="00DF78D3">
      <w:pPr>
        <w:spacing w:after="0" w:line="240" w:lineRule="auto"/>
        <w:jc w:val="both"/>
        <w:rPr>
          <w:rFonts w:ascii="Verdana" w:eastAsia="Calibri" w:hAnsi="Verdana" w:cs="Arial"/>
          <w:szCs w:val="24"/>
          <w:lang w:val="es-ES_tradnl" w:eastAsia="es-ES_tradnl"/>
        </w:rPr>
      </w:pPr>
    </w:p>
    <w:p w14:paraId="0BBFEE0F" w14:textId="26549795" w:rsidR="00DF78D3" w:rsidRPr="00CC2A30" w:rsidRDefault="00141E8C" w:rsidP="00DF78D3">
      <w:pPr>
        <w:spacing w:after="0" w:line="240" w:lineRule="auto"/>
        <w:jc w:val="both"/>
        <w:rPr>
          <w:rFonts w:ascii="Verdana" w:eastAsia="Calibri" w:hAnsi="Verdana" w:cs="Arial"/>
          <w:lang w:val="es-ES" w:eastAsia="es-ES"/>
        </w:rPr>
      </w:pPr>
      <w:r w:rsidRPr="00141E8C">
        <w:rPr>
          <w:rFonts w:ascii="Verdana" w:eastAsia="Calibri" w:hAnsi="Verdana" w:cs="Arial"/>
          <w:lang w:val="es-ES" w:eastAsia="es-ES"/>
        </w:rPr>
        <w:t>Estimado señor Avendaño Giraldo</w:t>
      </w:r>
      <w:r w:rsidR="00DF78D3" w:rsidRPr="00CC2A30">
        <w:rPr>
          <w:rFonts w:ascii="Verdana" w:eastAsia="Calibri" w:hAnsi="Verdana" w:cs="Arial"/>
          <w:lang w:val="es-ES" w:eastAsia="es-ES"/>
        </w:rPr>
        <w:t xml:space="preserve">: </w:t>
      </w:r>
    </w:p>
    <w:p w14:paraId="5D1C73A3" w14:textId="77777777" w:rsidR="00DF78D3" w:rsidRPr="00CC2A30" w:rsidRDefault="00DF78D3" w:rsidP="00DF78D3">
      <w:pPr>
        <w:spacing w:after="0" w:line="240" w:lineRule="auto"/>
        <w:jc w:val="both"/>
        <w:rPr>
          <w:rFonts w:ascii="Verdana" w:eastAsia="Calibri" w:hAnsi="Verdana" w:cs="Arial"/>
          <w:lang w:val="es-ES" w:eastAsia="es-ES"/>
        </w:rPr>
      </w:pPr>
    </w:p>
    <w:p w14:paraId="278D2B47" w14:textId="77777777" w:rsidR="00DF78D3" w:rsidRDefault="00DF78D3" w:rsidP="00DF78D3">
      <w:pPr>
        <w:spacing w:after="120" w:line="276" w:lineRule="auto"/>
        <w:jc w:val="both"/>
        <w:rPr>
          <w:rFonts w:ascii="Verdana" w:eastAsia="Calibri" w:hAnsi="Verdana" w:cs="Arial"/>
          <w:sz w:val="20"/>
          <w:szCs w:val="20"/>
          <w:lang w:val="es-ES" w:eastAsia="es-ES"/>
        </w:rPr>
      </w:pPr>
      <w:r w:rsidRPr="00CC2A30">
        <w:rPr>
          <w:rFonts w:ascii="Verdana" w:eastAsia="Calibri" w:hAnsi="Verdana" w:cs="Arial"/>
          <w:lang w:val="es-ES" w:eastAsia="es-ES"/>
        </w:rPr>
        <w:t>En ejercicio de la competencia otorgada por los artículos 3, numeral 5º, y 11, numeral 8º, del Decreto Ley 4170 de 2011,</w:t>
      </w:r>
      <w:r w:rsidRPr="00CC2A30">
        <w:rPr>
          <w:rFonts w:ascii="Verdana" w:eastAsia="Arial MT" w:hAnsi="Verdana" w:cs="Arial MT"/>
          <w:lang w:val="es-ES" w:eastAsia="es-ES"/>
        </w:rPr>
        <w:t xml:space="preserve"> </w:t>
      </w:r>
      <w:r w:rsidRPr="00CC2A30">
        <w:rPr>
          <w:rFonts w:ascii="Verdana" w:eastAsia="Calibri" w:hAnsi="Verdana" w:cs="Arial"/>
          <w:lang w:val="es-ES" w:eastAsia="es-ES"/>
        </w:rPr>
        <w:t>la Agencia Nacional de Contratación Pública – Colombia Compra Eficiente– responde la</w:t>
      </w:r>
      <w:r>
        <w:rPr>
          <w:rFonts w:ascii="Verdana" w:eastAsia="Calibri" w:hAnsi="Verdana" w:cs="Arial"/>
          <w:lang w:val="es-ES" w:eastAsia="es-ES"/>
        </w:rPr>
        <w:t>s</w:t>
      </w:r>
      <w:r w:rsidRPr="00CC2A30">
        <w:rPr>
          <w:rFonts w:ascii="Verdana" w:eastAsia="Calibri" w:hAnsi="Verdana" w:cs="Arial"/>
          <w:lang w:val="es-ES" w:eastAsia="es-ES"/>
        </w:rPr>
        <w:t xml:space="preserve"> solicitud</w:t>
      </w:r>
      <w:r>
        <w:rPr>
          <w:rFonts w:ascii="Verdana" w:eastAsia="Calibri" w:hAnsi="Verdana" w:cs="Arial"/>
          <w:lang w:val="es-ES" w:eastAsia="es-ES"/>
        </w:rPr>
        <w:t>es</w:t>
      </w:r>
      <w:r w:rsidRPr="00CC2A30">
        <w:rPr>
          <w:rFonts w:ascii="Verdana" w:eastAsia="Calibri" w:hAnsi="Verdana" w:cs="Arial"/>
          <w:lang w:val="es-ES" w:eastAsia="es-ES"/>
        </w:rPr>
        <w:t xml:space="preserve"> de consulta del </w:t>
      </w:r>
      <w:r>
        <w:rPr>
          <w:rFonts w:ascii="Verdana" w:eastAsia="Calibri" w:hAnsi="Verdana" w:cs="Arial"/>
          <w:lang w:val="es-ES" w:eastAsia="es-ES"/>
        </w:rPr>
        <w:t>19</w:t>
      </w:r>
      <w:r w:rsidRPr="00CC2A30">
        <w:rPr>
          <w:rFonts w:ascii="Verdana" w:eastAsia="Calibri" w:hAnsi="Verdana" w:cs="Arial"/>
          <w:lang w:val="es-ES" w:eastAsia="es-ES"/>
        </w:rPr>
        <w:t xml:space="preserve"> de </w:t>
      </w:r>
      <w:r>
        <w:rPr>
          <w:rFonts w:ascii="Verdana" w:eastAsia="Calibri" w:hAnsi="Verdana" w:cs="Arial"/>
          <w:lang w:val="es-ES" w:eastAsia="es-ES"/>
        </w:rPr>
        <w:t xml:space="preserve">septiembre </w:t>
      </w:r>
      <w:r w:rsidRPr="00CC2A30">
        <w:rPr>
          <w:rFonts w:ascii="Verdana" w:eastAsia="Calibri" w:hAnsi="Verdana" w:cs="Arial"/>
          <w:lang w:val="es-ES" w:eastAsia="es-ES"/>
        </w:rPr>
        <w:t>de 202</w:t>
      </w:r>
      <w:r>
        <w:rPr>
          <w:rFonts w:ascii="Verdana" w:eastAsia="Calibri" w:hAnsi="Verdana" w:cs="Arial"/>
          <w:lang w:val="es-ES" w:eastAsia="es-ES"/>
        </w:rPr>
        <w:t>5,</w:t>
      </w:r>
      <w:r w:rsidRPr="00CC2A30">
        <w:rPr>
          <w:rFonts w:ascii="Verdana" w:eastAsia="Calibri" w:hAnsi="Verdana" w:cs="Arial"/>
          <w:lang w:val="es-ES" w:eastAsia="es-ES"/>
        </w:rPr>
        <w:t xml:space="preserve"> </w:t>
      </w:r>
      <w:r>
        <w:rPr>
          <w:rFonts w:ascii="Verdana" w:eastAsia="Calibri" w:hAnsi="Verdana" w:cs="Arial"/>
          <w:lang w:val="es-ES" w:eastAsia="es-ES"/>
        </w:rPr>
        <w:t>e</w:t>
      </w:r>
      <w:r w:rsidRPr="00CC2A30">
        <w:rPr>
          <w:rFonts w:ascii="Verdana" w:eastAsia="Calibri" w:hAnsi="Verdana" w:cs="Arial"/>
          <w:lang w:val="es-ES" w:eastAsia="es-ES"/>
        </w:rPr>
        <w:t>n la</w:t>
      </w:r>
      <w:r>
        <w:rPr>
          <w:rFonts w:ascii="Verdana" w:eastAsia="Calibri" w:hAnsi="Verdana" w:cs="Arial"/>
          <w:lang w:val="es-ES" w:eastAsia="es-ES"/>
        </w:rPr>
        <w:t>s</w:t>
      </w:r>
      <w:r w:rsidRPr="00CC2A30">
        <w:rPr>
          <w:rFonts w:ascii="Verdana" w:eastAsia="Calibri" w:hAnsi="Verdana" w:cs="Arial"/>
          <w:lang w:val="es-ES" w:eastAsia="es-ES"/>
        </w:rPr>
        <w:t xml:space="preserve"> cual</w:t>
      </w:r>
      <w:r>
        <w:rPr>
          <w:rFonts w:ascii="Verdana" w:eastAsia="Calibri" w:hAnsi="Verdana" w:cs="Arial"/>
          <w:lang w:val="es-ES" w:eastAsia="es-ES"/>
        </w:rPr>
        <w:t>es</w:t>
      </w:r>
      <w:r w:rsidRPr="00CC2A30">
        <w:rPr>
          <w:rFonts w:ascii="Verdana" w:eastAsia="Calibri" w:hAnsi="Verdana" w:cs="Arial"/>
          <w:lang w:val="es-ES" w:eastAsia="es-ES"/>
        </w:rPr>
        <w:t xml:space="preserve"> manifiesta lo siguiente:</w:t>
      </w:r>
    </w:p>
    <w:p w14:paraId="6DC20E51" w14:textId="77777777" w:rsidR="00DF78D3" w:rsidRDefault="00DF78D3" w:rsidP="00DF78D3">
      <w:pPr>
        <w:spacing w:after="0" w:line="240" w:lineRule="auto"/>
        <w:ind w:right="709"/>
        <w:jc w:val="both"/>
        <w:rPr>
          <w:rFonts w:ascii="Verdana" w:eastAsia="Calibri" w:hAnsi="Verdana" w:cs="Arial"/>
          <w:sz w:val="20"/>
          <w:szCs w:val="20"/>
          <w:lang w:val="es-ES" w:eastAsia="es-ES"/>
        </w:rPr>
      </w:pPr>
    </w:p>
    <w:p w14:paraId="48AC3D39" w14:textId="77777777" w:rsidR="00DF78D3" w:rsidRDefault="00DF78D3" w:rsidP="00DF78D3">
      <w:pPr>
        <w:spacing w:after="0" w:line="240" w:lineRule="auto"/>
        <w:ind w:left="709" w:right="709"/>
        <w:jc w:val="both"/>
        <w:rPr>
          <w:rFonts w:ascii="Verdana" w:eastAsia="Calibri" w:hAnsi="Verdana" w:cs="Arial"/>
          <w:sz w:val="20"/>
          <w:szCs w:val="20"/>
          <w:lang w:val="es-ES" w:eastAsia="es-ES"/>
        </w:rPr>
      </w:pPr>
      <w:r w:rsidRPr="00CC2A30">
        <w:rPr>
          <w:rFonts w:ascii="Verdana" w:eastAsia="Calibri" w:hAnsi="Verdana" w:cs="Arial"/>
          <w:sz w:val="20"/>
          <w:szCs w:val="20"/>
          <w:lang w:val="es-ES" w:eastAsia="es-ES"/>
        </w:rPr>
        <w:t>“(…)</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¿Puede una entidad exigir a un proponente acreditar el inicio del trámite de renovación del RUP, cuando en el RUES o en el propio certificado del RUP ya aparece el estado RENOVADO para la vigencia correspondiente?</w:t>
      </w:r>
      <w:r>
        <w:rPr>
          <w:rFonts w:ascii="Verdana" w:eastAsia="Calibri" w:hAnsi="Verdana" w:cs="Arial"/>
          <w:sz w:val="20"/>
          <w:szCs w:val="20"/>
          <w:lang w:val="es-ES" w:eastAsia="es-ES"/>
        </w:rPr>
        <w:t xml:space="preserve"> </w:t>
      </w:r>
    </w:p>
    <w:p w14:paraId="12B5A108" w14:textId="77777777" w:rsidR="00DF78D3" w:rsidRDefault="00DF78D3" w:rsidP="00DF78D3">
      <w:pPr>
        <w:spacing w:after="0" w:line="240" w:lineRule="auto"/>
        <w:ind w:left="709" w:right="709"/>
        <w:jc w:val="both"/>
        <w:rPr>
          <w:rFonts w:ascii="Verdana" w:eastAsia="Calibri" w:hAnsi="Verdana" w:cs="Arial"/>
          <w:sz w:val="20"/>
          <w:szCs w:val="20"/>
          <w:lang w:val="es-ES" w:eastAsia="es-ES"/>
        </w:rPr>
      </w:pPr>
    </w:p>
    <w:p w14:paraId="5CEF63E8" w14:textId="77777777" w:rsidR="00DF78D3" w:rsidRPr="004F57B9" w:rsidRDefault="00DF78D3" w:rsidP="00DF78D3">
      <w:pPr>
        <w:spacing w:after="0" w:line="240" w:lineRule="auto"/>
        <w:ind w:left="709" w:right="709"/>
        <w:jc w:val="both"/>
        <w:rPr>
          <w:rFonts w:ascii="Verdana" w:eastAsia="Calibri" w:hAnsi="Verdana" w:cs="Arial"/>
          <w:sz w:val="20"/>
          <w:szCs w:val="20"/>
          <w:lang w:val="es-ES" w:eastAsia="es-ES"/>
        </w:rPr>
      </w:pPr>
      <w:r w:rsidRPr="004F57B9">
        <w:rPr>
          <w:rFonts w:ascii="Verdana" w:eastAsia="Calibri" w:hAnsi="Verdana" w:cs="Arial"/>
          <w:sz w:val="20"/>
          <w:szCs w:val="20"/>
          <w:lang w:val="es-ES" w:eastAsia="es-ES"/>
        </w:rPr>
        <w:lastRenderedPageBreak/>
        <w:t xml:space="preserve">¿Debe considerarse válido un certificado expedido por la Junta Central de Contadores </w:t>
      </w:r>
      <w:proofErr w:type="gramStart"/>
      <w:r w:rsidRPr="004F57B9">
        <w:rPr>
          <w:rFonts w:ascii="Verdana" w:eastAsia="Calibri" w:hAnsi="Verdana" w:cs="Arial"/>
          <w:sz w:val="20"/>
          <w:szCs w:val="20"/>
          <w:lang w:val="es-ES" w:eastAsia="es-ES"/>
        </w:rPr>
        <w:t xml:space="preserve">con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fecha</w:t>
      </w:r>
      <w:proofErr w:type="gramEnd"/>
      <w:r w:rsidRPr="004F57B9">
        <w:rPr>
          <w:rFonts w:ascii="Verdana" w:eastAsia="Calibri" w:hAnsi="Verdana" w:cs="Arial"/>
          <w:sz w:val="20"/>
          <w:szCs w:val="20"/>
          <w:lang w:val="es-ES" w:eastAsia="es-ES"/>
        </w:rPr>
        <w:t xml:space="preserve"> posterior al cierre del proceso, cuando este acredita que el contador público estaba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 xml:space="preserve">inscrito y habilitado antes de la fecha de cierre, sin que existan ANTECEDENTES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 xml:space="preserve">DISCIPLINARIOS desde los últimos 5 años anteriores a incluso desde la fecha de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inscripción?</w:t>
      </w:r>
    </w:p>
    <w:p w14:paraId="66D8975E" w14:textId="77777777" w:rsidR="00DF78D3" w:rsidRDefault="00DF78D3" w:rsidP="00DF78D3">
      <w:pPr>
        <w:spacing w:after="0" w:line="240" w:lineRule="auto"/>
        <w:ind w:left="709" w:right="709"/>
        <w:jc w:val="both"/>
        <w:rPr>
          <w:rFonts w:ascii="Verdana" w:eastAsia="Calibri" w:hAnsi="Verdana" w:cs="Arial"/>
          <w:sz w:val="20"/>
          <w:szCs w:val="20"/>
          <w:lang w:val="es-ES" w:eastAsia="es-ES"/>
        </w:rPr>
      </w:pPr>
    </w:p>
    <w:p w14:paraId="1E33D40E" w14:textId="77777777" w:rsidR="00DF78D3" w:rsidRPr="004F57B9" w:rsidRDefault="00DF78D3" w:rsidP="00DF78D3">
      <w:pPr>
        <w:spacing w:after="0" w:line="240" w:lineRule="auto"/>
        <w:ind w:left="709" w:right="709"/>
        <w:jc w:val="both"/>
        <w:rPr>
          <w:rFonts w:ascii="Verdana" w:eastAsia="Calibri" w:hAnsi="Verdana" w:cs="Arial"/>
          <w:sz w:val="20"/>
          <w:szCs w:val="20"/>
          <w:lang w:val="es-ES" w:eastAsia="es-ES"/>
        </w:rPr>
      </w:pPr>
      <w:r w:rsidRPr="004F57B9">
        <w:rPr>
          <w:rFonts w:ascii="Verdana" w:eastAsia="Calibri" w:hAnsi="Verdana" w:cs="Arial"/>
          <w:sz w:val="20"/>
          <w:szCs w:val="20"/>
          <w:lang w:val="es-ES" w:eastAsia="es-ES"/>
        </w:rPr>
        <w:t xml:space="preserve">¿Cómo debe interpretarse en estos casos la instrucción contenida en la Circular Única </w:t>
      </w:r>
      <w:proofErr w:type="gramStart"/>
      <w:r w:rsidRPr="004F57B9">
        <w:rPr>
          <w:rFonts w:ascii="Verdana" w:eastAsia="Calibri" w:hAnsi="Verdana" w:cs="Arial"/>
          <w:sz w:val="20"/>
          <w:szCs w:val="20"/>
          <w:lang w:val="es-ES" w:eastAsia="es-ES"/>
        </w:rPr>
        <w:t xml:space="preserve">de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Colombia</w:t>
      </w:r>
      <w:proofErr w:type="gramEnd"/>
      <w:r w:rsidRPr="004F57B9">
        <w:rPr>
          <w:rFonts w:ascii="Verdana" w:eastAsia="Calibri" w:hAnsi="Verdana" w:cs="Arial"/>
          <w:sz w:val="20"/>
          <w:szCs w:val="20"/>
          <w:lang w:val="es-ES" w:eastAsia="es-ES"/>
        </w:rPr>
        <w:t xml:space="preserve"> Compra Eficiente, versión 03 del 27 de diciembre de 2023, que señala que “no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es la prueba lo que debe ser anterior al cierre del proceso, sino el hecho que ella acredita”?</w:t>
      </w:r>
    </w:p>
    <w:p w14:paraId="455AEDEF" w14:textId="77777777" w:rsidR="00DF78D3" w:rsidRDefault="00DF78D3" w:rsidP="00DF78D3">
      <w:pPr>
        <w:spacing w:after="0" w:line="240" w:lineRule="auto"/>
        <w:ind w:left="709" w:right="709"/>
        <w:jc w:val="both"/>
        <w:rPr>
          <w:rFonts w:ascii="Verdana" w:eastAsia="Calibri" w:hAnsi="Verdana" w:cs="Arial"/>
          <w:sz w:val="20"/>
          <w:szCs w:val="20"/>
          <w:lang w:val="es-ES" w:eastAsia="es-ES"/>
        </w:rPr>
      </w:pPr>
    </w:p>
    <w:p w14:paraId="4C66C34A" w14:textId="77777777" w:rsidR="00DF78D3" w:rsidRDefault="00DF78D3" w:rsidP="00DF78D3">
      <w:pPr>
        <w:spacing w:after="0" w:line="240" w:lineRule="auto"/>
        <w:ind w:left="709" w:right="709"/>
        <w:jc w:val="both"/>
        <w:rPr>
          <w:rFonts w:ascii="Verdana" w:eastAsia="Calibri" w:hAnsi="Verdana" w:cs="Arial"/>
          <w:sz w:val="20"/>
          <w:szCs w:val="20"/>
          <w:lang w:val="es-ES" w:eastAsia="es-ES"/>
        </w:rPr>
      </w:pPr>
      <w:r w:rsidRPr="004F57B9">
        <w:rPr>
          <w:rFonts w:ascii="Verdana" w:eastAsia="Calibri" w:hAnsi="Verdana" w:cs="Arial"/>
          <w:sz w:val="20"/>
          <w:szCs w:val="20"/>
          <w:lang w:val="es-ES" w:eastAsia="es-ES"/>
        </w:rPr>
        <w:t xml:space="preserve">En relación con lo dispuesto en la Circular Única de Colombia Compra Eficiente, versión </w:t>
      </w:r>
      <w:proofErr w:type="gramStart"/>
      <w:r w:rsidRPr="004F57B9">
        <w:rPr>
          <w:rFonts w:ascii="Verdana" w:eastAsia="Calibri" w:hAnsi="Verdana" w:cs="Arial"/>
          <w:sz w:val="20"/>
          <w:szCs w:val="20"/>
          <w:lang w:val="es-ES" w:eastAsia="es-ES"/>
        </w:rPr>
        <w:t xml:space="preserve">03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del</w:t>
      </w:r>
      <w:proofErr w:type="gramEnd"/>
      <w:r w:rsidRPr="004F57B9">
        <w:rPr>
          <w:rFonts w:ascii="Verdana" w:eastAsia="Calibri" w:hAnsi="Verdana" w:cs="Arial"/>
          <w:sz w:val="20"/>
          <w:szCs w:val="20"/>
          <w:lang w:val="es-ES" w:eastAsia="es-ES"/>
        </w:rPr>
        <w:t xml:space="preserve"> 27 de diciembre de 2023, ¿dicha Circular supera y/o consolida en su contenido lo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 xml:space="preserve">previsto en el Concepto CU-060 de 2020? En caso afirmativo, ¿cuál de estos </w:t>
      </w:r>
      <w:proofErr w:type="gramStart"/>
      <w:r w:rsidRPr="004F57B9">
        <w:rPr>
          <w:rFonts w:ascii="Verdana" w:eastAsia="Calibri" w:hAnsi="Verdana" w:cs="Arial"/>
          <w:sz w:val="20"/>
          <w:szCs w:val="20"/>
          <w:lang w:val="es-ES" w:eastAsia="es-ES"/>
        </w:rPr>
        <w:t xml:space="preserve">documentos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debe</w:t>
      </w:r>
      <w:proofErr w:type="gramEnd"/>
      <w:r w:rsidRPr="004F57B9">
        <w:rPr>
          <w:rFonts w:ascii="Verdana" w:eastAsia="Calibri" w:hAnsi="Verdana" w:cs="Arial"/>
          <w:sz w:val="20"/>
          <w:szCs w:val="20"/>
          <w:lang w:val="es-ES" w:eastAsia="es-ES"/>
        </w:rPr>
        <w:t xml:space="preserve"> prevalecer como referente normativo al momento de interpretar la posibilidad de </w:t>
      </w:r>
      <w:r>
        <w:rPr>
          <w:rFonts w:ascii="Verdana" w:eastAsia="Calibri" w:hAnsi="Verdana" w:cs="Arial"/>
          <w:sz w:val="20"/>
          <w:szCs w:val="20"/>
          <w:lang w:val="es-ES" w:eastAsia="es-ES"/>
        </w:rPr>
        <w:t xml:space="preserve"> </w:t>
      </w:r>
      <w:r w:rsidRPr="004F57B9">
        <w:rPr>
          <w:rFonts w:ascii="Verdana" w:eastAsia="Calibri" w:hAnsi="Verdana" w:cs="Arial"/>
          <w:sz w:val="20"/>
          <w:szCs w:val="20"/>
          <w:lang w:val="es-ES" w:eastAsia="es-ES"/>
        </w:rPr>
        <w:t>subsanar documentos dentro de un proceso de selección</w:t>
      </w:r>
      <w:r>
        <w:rPr>
          <w:rFonts w:ascii="Verdana" w:eastAsia="Calibri" w:hAnsi="Verdana" w:cs="Arial"/>
          <w:sz w:val="20"/>
          <w:szCs w:val="20"/>
          <w:lang w:val="es-ES" w:eastAsia="es-ES"/>
        </w:rPr>
        <w:t xml:space="preserve">? </w:t>
      </w:r>
      <w:r w:rsidRPr="04AE9A76">
        <w:rPr>
          <w:rFonts w:ascii="Verdana" w:eastAsia="Calibri" w:hAnsi="Verdana" w:cs="Arial"/>
          <w:sz w:val="20"/>
          <w:szCs w:val="20"/>
          <w:lang w:val="es-ES" w:eastAsia="es-ES"/>
        </w:rPr>
        <w:t>(sic)”</w:t>
      </w:r>
    </w:p>
    <w:p w14:paraId="1D5EC314" w14:textId="77777777" w:rsidR="00DF78D3" w:rsidRPr="00CC2A30" w:rsidRDefault="00DF78D3" w:rsidP="00DF78D3">
      <w:pPr>
        <w:spacing w:after="0" w:line="240" w:lineRule="auto"/>
        <w:ind w:left="709" w:right="709"/>
        <w:jc w:val="both"/>
        <w:rPr>
          <w:rFonts w:ascii="Verdana" w:eastAsia="Calibri" w:hAnsi="Verdana" w:cs="Arial"/>
          <w:sz w:val="20"/>
          <w:szCs w:val="20"/>
          <w:lang w:val="es-ES" w:eastAsia="es-ES"/>
        </w:rPr>
      </w:pPr>
    </w:p>
    <w:p w14:paraId="576E9DE5" w14:textId="77777777" w:rsidR="00DF78D3" w:rsidRPr="00CC2A30" w:rsidRDefault="00DF78D3" w:rsidP="00DF78D3">
      <w:pPr>
        <w:spacing w:after="120" w:line="276" w:lineRule="auto"/>
        <w:jc w:val="both"/>
        <w:rPr>
          <w:rFonts w:ascii="Verdana" w:eastAsia="Calibri" w:hAnsi="Verdana" w:cs="Arial"/>
          <w:lang w:val="es-ES" w:eastAsia="es-ES"/>
        </w:rPr>
      </w:pPr>
      <w:r w:rsidRPr="00CC2A30">
        <w:rPr>
          <w:rFonts w:ascii="Verdana" w:eastAsia="Calibri" w:hAnsi="Verdana" w:cs="Arial"/>
          <w:lang w:val="es-ES_tradnl" w:eastAsia="es-ES_tradnl"/>
        </w:rPr>
        <w:tab/>
      </w:r>
      <w:r w:rsidRPr="00CC2A30">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9AC4CE8" w14:textId="77777777" w:rsidR="00DF78D3" w:rsidRPr="00CC2A30" w:rsidRDefault="00DF78D3" w:rsidP="00DF78D3">
      <w:pPr>
        <w:spacing w:after="0" w:line="276" w:lineRule="auto"/>
        <w:jc w:val="both"/>
        <w:rPr>
          <w:rFonts w:ascii="Verdana" w:eastAsia="Calibri" w:hAnsi="Verdana" w:cs="Arial"/>
          <w:lang w:val="es-ES" w:eastAsia="es-ES"/>
        </w:rPr>
      </w:pPr>
      <w:r w:rsidRPr="00CC2A30">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720F3DA4" w14:textId="77777777" w:rsidR="00DF78D3" w:rsidRPr="00CC2A30" w:rsidRDefault="00DF78D3" w:rsidP="00DF78D3">
      <w:pPr>
        <w:spacing w:after="0" w:line="276" w:lineRule="auto"/>
        <w:jc w:val="both"/>
        <w:rPr>
          <w:rFonts w:ascii="Verdana" w:eastAsia="Calibri" w:hAnsi="Verdana" w:cs="Arial"/>
          <w:lang w:val="es-ES" w:eastAsia="es-ES"/>
        </w:rPr>
      </w:pPr>
    </w:p>
    <w:p w14:paraId="4DBCA2DB" w14:textId="77777777" w:rsidR="00DF78D3" w:rsidRPr="00CC2A30" w:rsidRDefault="00DF78D3" w:rsidP="00DF78D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Problema planteado:</w:t>
      </w:r>
    </w:p>
    <w:p w14:paraId="58C08326" w14:textId="77777777" w:rsidR="00DF78D3" w:rsidRPr="00CC2A30" w:rsidRDefault="00DF78D3" w:rsidP="00DF78D3">
      <w:pPr>
        <w:spacing w:after="0" w:line="240" w:lineRule="auto"/>
        <w:jc w:val="both"/>
        <w:rPr>
          <w:rFonts w:ascii="Verdana" w:eastAsia="Century Gothic" w:hAnsi="Verdana" w:cs="Century Gothic"/>
        </w:rPr>
      </w:pPr>
    </w:p>
    <w:p w14:paraId="6C742F9B" w14:textId="77777777" w:rsidR="00DF78D3" w:rsidRPr="00491498" w:rsidRDefault="00DF78D3" w:rsidP="00DF78D3">
      <w:pPr>
        <w:spacing w:after="0" w:line="276" w:lineRule="auto"/>
        <w:jc w:val="both"/>
        <w:rPr>
          <w:rFonts w:ascii="Verdana" w:eastAsia="Century Gothic" w:hAnsi="Verdana" w:cs="Century Gothic"/>
        </w:rPr>
      </w:pPr>
      <w:r w:rsidRPr="008D15EE">
        <w:rPr>
          <w:rFonts w:ascii="Verdana" w:eastAsia="Century Gothic" w:hAnsi="Verdana" w:cs="Century Gothic"/>
        </w:rPr>
        <w:lastRenderedPageBreak/>
        <w:t>De acuerdo con el contenido de sus solicitudes y que versan sobre la modalidad de licitación pública, esta Agencia resolverá los siguientes problemas jurídicos: (i) ¿En un proceso de selección es válido que el proponente renueve el Registro Único de Proponentes fuera del plazo que está establecido por la Ley?(</w:t>
      </w:r>
      <w:proofErr w:type="spellStart"/>
      <w:r w:rsidRPr="008D15EE">
        <w:rPr>
          <w:rFonts w:ascii="Verdana" w:eastAsia="Century Gothic" w:hAnsi="Verdana" w:cs="Century Gothic"/>
        </w:rPr>
        <w:t>ii</w:t>
      </w:r>
      <w:proofErr w:type="spellEnd"/>
      <w:r w:rsidRPr="008D15EE">
        <w:rPr>
          <w:rFonts w:ascii="Verdana" w:eastAsia="Century Gothic" w:hAnsi="Verdana" w:cs="Century Gothic"/>
        </w:rPr>
        <w:t>) ¿</w:t>
      </w:r>
      <w:r w:rsidRPr="008D15EE">
        <w:t xml:space="preserve"> </w:t>
      </w:r>
      <w:r w:rsidRPr="008D15EE">
        <w:rPr>
          <w:rFonts w:ascii="Verdana" w:eastAsia="Century Gothic" w:hAnsi="Verdana" w:cs="Century Gothic"/>
        </w:rPr>
        <w:t>Es válido, para la habilitación en un proceso de selección, un certificado de la Junta Central de Contadores expedido con fecha posterior al cierre del proceso que acredita inscripción?</w:t>
      </w:r>
    </w:p>
    <w:p w14:paraId="40532F3D" w14:textId="77777777" w:rsidR="00DF78D3" w:rsidRPr="00CC2A30" w:rsidRDefault="00DF78D3" w:rsidP="00DF78D3">
      <w:pPr>
        <w:spacing w:after="0" w:line="276" w:lineRule="auto"/>
        <w:jc w:val="both"/>
        <w:rPr>
          <w:rFonts w:ascii="Verdana" w:eastAsia="Century Gothic" w:hAnsi="Verdana" w:cs="Century Gothic"/>
        </w:rPr>
      </w:pPr>
    </w:p>
    <w:p w14:paraId="52482095" w14:textId="77777777" w:rsidR="00DF78D3" w:rsidRPr="00CC2A30" w:rsidRDefault="00DF78D3" w:rsidP="00DF78D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Respuesta:</w:t>
      </w:r>
    </w:p>
    <w:p w14:paraId="3416E3C6" w14:textId="77777777" w:rsidR="00DF78D3" w:rsidRPr="00CC2A30" w:rsidRDefault="00DF78D3" w:rsidP="00DF78D3">
      <w:pPr>
        <w:pStyle w:val="Prrafodelista"/>
        <w:tabs>
          <w:tab w:val="left" w:pos="142"/>
          <w:tab w:val="left" w:pos="284"/>
        </w:tabs>
        <w:spacing w:after="0" w:line="276" w:lineRule="auto"/>
        <w:ind w:left="0"/>
        <w:jc w:val="both"/>
        <w:rPr>
          <w:rFonts w:ascii="Verdana" w:eastAsia="Century Gothic" w:hAnsi="Verdana" w:cs="Century Gothic"/>
          <w:b/>
          <w:bCs/>
        </w:rPr>
      </w:pPr>
    </w:p>
    <w:p w14:paraId="6D2CEF21" w14:textId="77777777" w:rsidR="00DF78D3" w:rsidRPr="00491498" w:rsidRDefault="00DF78D3" w:rsidP="00DF78D3">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cs="Arial"/>
          <w:lang w:val="es-ES"/>
        </w:rPr>
      </w:pPr>
      <w:r>
        <w:rPr>
          <w:rFonts w:ascii="Verdana" w:eastAsia="Calibri" w:hAnsi="Verdana" w:cs="Arial"/>
          <w:lang w:val="es-ES"/>
        </w:rPr>
        <w:t>i)</w:t>
      </w:r>
      <w:r w:rsidRPr="00491498">
        <w:t xml:space="preserve"> </w:t>
      </w:r>
      <w:r w:rsidRPr="00491498">
        <w:rPr>
          <w:rFonts w:ascii="Verdana" w:eastAsia="Calibri" w:hAnsi="Verdana" w:cs="Arial"/>
          <w:lang w:val="es-ES"/>
        </w:rPr>
        <w:t>Para participar en procesos de selección en los que es obligatorio el Registro único de Proponentes – en adelante RUP –, es necesario que los oferentes acrediten que su inscripción se encuentra en firme antes de la fecha de cierre, ya que solo a partir de la firmeza se generan los efectos a los que se refiere el artículo 6 de la Ley 1150 de 2007. Ahora bien, el artículo 2.2.1.1.1.5.1. del Decreto 1082 de 2015 señala que las personas inscritas en el RUP deben presentar la información para renovar su registro a más tardar el quinto día hábil del mes de abril de cada año, de lo contrario cesan los efectos del RUP.</w:t>
      </w:r>
    </w:p>
    <w:p w14:paraId="6FDEBAC6" w14:textId="77777777" w:rsidR="00DF78D3" w:rsidRPr="00491498" w:rsidRDefault="00DF78D3" w:rsidP="00DF78D3">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cs="Arial"/>
          <w:lang w:val="es-ES"/>
        </w:rPr>
      </w:pPr>
      <w:r w:rsidRPr="00491498">
        <w:rPr>
          <w:rFonts w:ascii="Verdana" w:eastAsia="Calibri" w:hAnsi="Verdana" w:cs="Arial"/>
          <w:lang w:val="es-ES"/>
        </w:rPr>
        <w:t xml:space="preserve">En atención a esto, quienes estuvieron inscritos en el RUP y no ejercieron el deber de renovación dentro del término señalado por la norma, deberán inscribirse nuevamente y esperar a que la información adquiera firmeza para participar en Procesos de Contratación. Esta postura se fundamenta en lo dispuesto en el artículo 5 de la Ley 1882 de 2018 y la jurisprudencia reciente del Consejo de Estado, según la cual la entidad debe considerar el RUP vigente al momento del cierre del Proceso de Contratación, por cuanto el proponente no puede acreditar circunstancias ocurridas después de ese momento. </w:t>
      </w:r>
    </w:p>
    <w:p w14:paraId="4EB02C73" w14:textId="77777777" w:rsidR="00DF78D3" w:rsidRPr="00491498" w:rsidRDefault="00DF78D3" w:rsidP="00DF78D3">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cs="Arial"/>
          <w:lang w:val="es-ES"/>
        </w:rPr>
      </w:pPr>
      <w:r w:rsidRPr="00491498">
        <w:rPr>
          <w:rFonts w:ascii="Verdana" w:eastAsia="Calibri" w:hAnsi="Verdana" w:cs="Arial"/>
          <w:lang w:val="es-ES"/>
        </w:rPr>
        <w:t xml:space="preserve">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aras de dar respuesta al problema jurídico planteado, debe señalarse que,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 </w:t>
      </w:r>
    </w:p>
    <w:p w14:paraId="57A60E9E" w14:textId="1E0C4315" w:rsidR="00DF78D3" w:rsidRDefault="00DF78D3" w:rsidP="29F65EA1">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cs="Arial"/>
        </w:rPr>
      </w:pPr>
      <w:r w:rsidRPr="29F65EA1">
        <w:rPr>
          <w:rFonts w:ascii="Verdana" w:eastAsia="Calibri" w:hAnsi="Verdana" w:cs="Arial"/>
          <w:lang w:val="es-ES"/>
        </w:rPr>
        <w:lastRenderedPageBreak/>
        <w:t>Lo anterior, teniendo en cuenta que, durante el término otorgado para subsanar ofertas, no se podrán “acreditar circunstancias ocurridas con posterioridad al cierre del proceso”, la evaluación se realizará con la información del RUP en firme antes del cierre.</w:t>
      </w:r>
    </w:p>
    <w:p w14:paraId="31BE3381" w14:textId="6FBFD198" w:rsidR="00265B9F" w:rsidRPr="00265B9F" w:rsidRDefault="00DF78D3" w:rsidP="00265B9F">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rPr>
      </w:pPr>
      <w:proofErr w:type="spellStart"/>
      <w:r w:rsidRPr="29F65EA1">
        <w:rPr>
          <w:rFonts w:ascii="Verdana" w:eastAsia="Calibri" w:hAnsi="Verdana"/>
        </w:rPr>
        <w:t>ii</w:t>
      </w:r>
      <w:proofErr w:type="spellEnd"/>
      <w:r w:rsidRPr="29F65EA1">
        <w:rPr>
          <w:rFonts w:ascii="Verdana" w:eastAsia="Calibri" w:hAnsi="Verdana"/>
        </w:rPr>
        <w:t xml:space="preserve">) Respecto al segundo interrogante planteado, </w:t>
      </w:r>
      <w:r w:rsidR="00265B9F">
        <w:rPr>
          <w:rFonts w:ascii="Verdana" w:eastAsia="Calibri" w:hAnsi="Verdana"/>
        </w:rPr>
        <w:t>c</w:t>
      </w:r>
      <w:r w:rsidR="00265B9F" w:rsidRPr="00265B9F">
        <w:rPr>
          <w:rFonts w:ascii="Verdana" w:eastAsia="Calibri" w:hAnsi="Verdana"/>
        </w:rPr>
        <w:t xml:space="preserve">onforme a la interpretación de las normas generales del sistema de compras públicas, para garantizar el principio de selección objetiva, es necesario que las </w:t>
      </w:r>
      <w:r w:rsidR="00F375BB">
        <w:rPr>
          <w:rFonts w:ascii="Verdana" w:eastAsia="Calibri" w:hAnsi="Verdana"/>
        </w:rPr>
        <w:t>E</w:t>
      </w:r>
      <w:r w:rsidR="00265B9F" w:rsidRPr="00265B9F">
        <w:rPr>
          <w:rFonts w:ascii="Verdana" w:eastAsia="Calibri" w:hAnsi="Verdana"/>
        </w:rPr>
        <w:t xml:space="preserve">ntidades </w:t>
      </w:r>
      <w:r w:rsidR="00F375BB">
        <w:rPr>
          <w:rFonts w:ascii="Verdana" w:eastAsia="Calibri" w:hAnsi="Verdana"/>
        </w:rPr>
        <w:t>E</w:t>
      </w:r>
      <w:r w:rsidR="00265B9F" w:rsidRPr="00265B9F">
        <w:rPr>
          <w:rFonts w:ascii="Verdana" w:eastAsia="Calibri" w:hAnsi="Verdana"/>
        </w:rPr>
        <w:t xml:space="preserv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w:t>
      </w:r>
      <w:r w:rsidR="002F1C74" w:rsidRPr="00265B9F">
        <w:rPr>
          <w:rFonts w:ascii="Verdana" w:eastAsia="Calibri" w:hAnsi="Verdana"/>
        </w:rPr>
        <w:t xml:space="preserve">Entidades Estatales </w:t>
      </w:r>
      <w:r w:rsidR="00265B9F" w:rsidRPr="00265B9F">
        <w:rPr>
          <w:rFonts w:ascii="Verdana" w:eastAsia="Calibri" w:hAnsi="Verdana"/>
        </w:rPr>
        <w:t>de permitir la subsanación de los requisitos de participación, bajo las condiciones indicadas en la ley, antes de tomar la decisión de rechazar las propuestas que hayan omitido la observancia de los requisitos habilitantes.</w:t>
      </w:r>
    </w:p>
    <w:p w14:paraId="68CABC72" w14:textId="77777777" w:rsidR="00265B9F" w:rsidRPr="00265B9F" w:rsidRDefault="00265B9F" w:rsidP="00265B9F">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rPr>
      </w:pPr>
      <w:r w:rsidRPr="00265B9F">
        <w:rPr>
          <w:rFonts w:ascii="Verdana" w:eastAsia="Calibri" w:hAnsi="Verdana"/>
        </w:rPr>
        <w:t>Teniendo en cuenta las reglas dispuestas en la Ley 1882 de 2018, todo lo que no sea necesario para la comparación de propuestas no es argumento suficiente para su rechazo en las diferentes modalidades de selección. De esta manera, se conserva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w:t>
      </w:r>
    </w:p>
    <w:p w14:paraId="337C7B94" w14:textId="44AC406C" w:rsidR="00DF78D3" w:rsidRDefault="00265B9F" w:rsidP="00265B9F">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rPr>
      </w:pPr>
      <w:r w:rsidRPr="00265B9F">
        <w:rPr>
          <w:rFonts w:ascii="Verdana" w:eastAsia="Calibri" w:hAnsi="Verdana"/>
        </w:rPr>
        <w:t xml:space="preserve">En resumen, por regla general, son subsanables i) la falta de entrega o </w:t>
      </w:r>
      <w:proofErr w:type="spellStart"/>
      <w:r w:rsidRPr="00265B9F">
        <w:rPr>
          <w:rFonts w:ascii="Verdana" w:eastAsia="Calibri" w:hAnsi="Verdana"/>
        </w:rPr>
        <w:t>ii</w:t>
      </w:r>
      <w:proofErr w:type="spellEnd"/>
      <w:r w:rsidRPr="00265B9F">
        <w:rPr>
          <w:rFonts w:ascii="Verdana" w:eastAsia="Calibri" w:hAnsi="Verdana"/>
        </w:rPr>
        <w:t xml:space="preserve">) los defectos de los requisitos habilitantes. La excepción se encuentra en los casos, previstos en la ley, que limitan la </w:t>
      </w:r>
      <w:proofErr w:type="spellStart"/>
      <w:r w:rsidRPr="00265B9F">
        <w:rPr>
          <w:rFonts w:ascii="Verdana" w:eastAsia="Calibri" w:hAnsi="Verdana"/>
        </w:rPr>
        <w:t>subsanabilidad</w:t>
      </w:r>
      <w:proofErr w:type="spellEnd"/>
      <w:r w:rsidRPr="00265B9F">
        <w:rPr>
          <w:rFonts w:ascii="Verdana" w:eastAsia="Calibri" w:hAnsi="Verdana"/>
        </w:rPr>
        <w:t>, es decir, en la prohibición de permitir la entrega de la garantía de seriedad de la oferta que no fue aportada con la propuesta y de valer la acreditación de circunstancias ocurridas con posterioridad al cierre del proceso.</w:t>
      </w:r>
    </w:p>
    <w:p w14:paraId="7F99B0D8" w14:textId="4A69EA69" w:rsidR="00E6462D" w:rsidRDefault="007B5D42" w:rsidP="00DF78D3">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rPr>
      </w:pPr>
      <w:r>
        <w:rPr>
          <w:rFonts w:ascii="Verdana" w:eastAsia="Calibri" w:hAnsi="Verdana"/>
        </w:rPr>
        <w:t>Ahora bien, en</w:t>
      </w:r>
      <w:r w:rsidRPr="007B5D42">
        <w:rPr>
          <w:rFonts w:ascii="Verdana" w:eastAsia="Calibri" w:hAnsi="Verdana"/>
        </w:rPr>
        <w:t xml:space="preserve"> cuanto a la validez, para la habilitación en un proceso de selección, de un certificado de la Junta Central de Contadores expedido con fecha posterior al cierre del proceso y que acredita la inscripción, es necesario señalar que su consulta plantea la solución de un caso concreto</w:t>
      </w:r>
      <w:r w:rsidR="001237E1">
        <w:rPr>
          <w:rFonts w:ascii="Verdana" w:eastAsia="Calibri" w:hAnsi="Verdana"/>
        </w:rPr>
        <w:t xml:space="preserve">, </w:t>
      </w:r>
      <w:r w:rsidRPr="007B5D42">
        <w:rPr>
          <w:rFonts w:ascii="Verdana" w:eastAsia="Calibri" w:hAnsi="Verdana"/>
        </w:rPr>
        <w:t>si procede o no el rechazo de una oferta cuando el proponente presenta un certificado de antecedentes de un contador</w:t>
      </w:r>
      <w:r w:rsidR="003D3183">
        <w:rPr>
          <w:rFonts w:ascii="Verdana" w:eastAsia="Calibri" w:hAnsi="Verdana"/>
        </w:rPr>
        <w:t xml:space="preserve"> </w:t>
      </w:r>
      <w:r w:rsidRPr="007B5D42">
        <w:rPr>
          <w:rFonts w:ascii="Verdana" w:eastAsia="Calibri" w:hAnsi="Verdana"/>
        </w:rPr>
        <w:t>con fecha de expedición posterior al cierr</w:t>
      </w:r>
      <w:r w:rsidR="003D3183">
        <w:rPr>
          <w:rFonts w:ascii="Verdana" w:eastAsia="Calibri" w:hAnsi="Verdana"/>
        </w:rPr>
        <w:t xml:space="preserve">e </w:t>
      </w:r>
      <w:r w:rsidRPr="007B5D42">
        <w:rPr>
          <w:rFonts w:ascii="Verdana" w:eastAsia="Calibri" w:hAnsi="Verdana"/>
        </w:rPr>
        <w:t xml:space="preserve">y no la interpretación de una norma de carácter general en materia de compras y contratación pública. El objeto de pronunciamiento de esta entidad se limita a </w:t>
      </w:r>
      <w:r w:rsidRPr="007B5D42">
        <w:rPr>
          <w:rFonts w:ascii="Verdana" w:eastAsia="Calibri" w:hAnsi="Verdana"/>
        </w:rPr>
        <w:lastRenderedPageBreak/>
        <w:t>consultas sobre la aplicación de normas de carácter general, por lo que resolver la controversia planteada excede nuestra competencia consultiva. Además, la determinación sobre la procedencia del rechazo de la oferta ante circunstancias de esta naturaleza corresponde, por el principio de autonomía de la voluntad y por las reglas propias de ejecución contractual, a las partes involucradas y a los órganos competentes para dirimir controversias contractuales, no a esta entidad.</w:t>
      </w:r>
    </w:p>
    <w:p w14:paraId="499D9BEE" w14:textId="77777777" w:rsidR="00DF78D3" w:rsidRDefault="00DF78D3" w:rsidP="00DF78D3">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rPr>
      </w:pPr>
      <w:r w:rsidRPr="00BC1FF1">
        <w:rPr>
          <w:rFonts w:ascii="Verdana" w:hAnsi="Verdana" w:cs="Arial"/>
          <w:lang w:eastAsia="es-ES"/>
        </w:rPr>
        <w:t xml:space="preserve">        En todo caso, y más allá de la explicación previamente expuesta, es preciso advertir que el análisis requerido para resolver situaciones concretas sobre las condiciones en que las Entidades Estatales pueden adelantar sus procesos de contratación debe ser realizado por los interesados, conforme a lo señalado en la aclaración preliminar del presente escrito. En consecuencia, previa consulta con sus asesores jurídicos corresponde a dichos interesados adoptar las decisiones pertinentes frente a casos particulares y, en caso de controversia, acudir a las autoridades judiciales, fiscales o disciplinarias competentes. En ese sentido, cada entidad es responsable de definir la forma en que desarrolla su gestión contractual, sin que le corresponda a Colombia Compra Eficiente validar o avalar sus actuaciones.</w:t>
      </w:r>
    </w:p>
    <w:p w14:paraId="3E73D805" w14:textId="77777777" w:rsidR="00DF78D3" w:rsidRDefault="00DF78D3" w:rsidP="00DF78D3">
      <w:pPr>
        <w:pStyle w:val="Textoindependiente"/>
        <w:spacing w:before="1" w:line="276" w:lineRule="auto"/>
        <w:ind w:right="205"/>
        <w:jc w:val="both"/>
        <w:rPr>
          <w:rFonts w:ascii="Verdana" w:eastAsia="Calibri" w:hAnsi="Verdana"/>
          <w:lang w:val="es-CO"/>
        </w:rPr>
      </w:pPr>
    </w:p>
    <w:p w14:paraId="7D331A7E" w14:textId="77777777" w:rsidR="00DF78D3" w:rsidRPr="00CC2A30" w:rsidRDefault="00DF78D3" w:rsidP="00DF78D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Razones de la respuesta:</w:t>
      </w:r>
    </w:p>
    <w:p w14:paraId="2C8C5C72" w14:textId="77777777" w:rsidR="00DF78D3" w:rsidRPr="00CC2A30" w:rsidRDefault="00DF78D3" w:rsidP="00DF78D3">
      <w:pPr>
        <w:pStyle w:val="Prrafodelista"/>
        <w:tabs>
          <w:tab w:val="left" w:pos="142"/>
          <w:tab w:val="left" w:pos="284"/>
        </w:tabs>
        <w:spacing w:after="0" w:line="276" w:lineRule="auto"/>
        <w:ind w:left="0"/>
        <w:jc w:val="both"/>
        <w:rPr>
          <w:rFonts w:ascii="Verdana" w:eastAsia="Century Gothic" w:hAnsi="Verdana" w:cs="Century Gothic"/>
          <w:b/>
          <w:bCs/>
        </w:rPr>
      </w:pPr>
    </w:p>
    <w:p w14:paraId="1FC340E1" w14:textId="77777777" w:rsidR="00DF78D3" w:rsidRPr="00392E37" w:rsidRDefault="00DF78D3" w:rsidP="00DF78D3">
      <w:pPr>
        <w:spacing w:after="0" w:line="276" w:lineRule="auto"/>
        <w:contextualSpacing/>
        <w:jc w:val="both"/>
        <w:rPr>
          <w:rFonts w:ascii="Verdana" w:eastAsia="Calibri" w:hAnsi="Verdana" w:cs="Arial"/>
          <w:lang w:val="es-ES"/>
        </w:rPr>
      </w:pPr>
      <w:r w:rsidRPr="00392E37">
        <w:rPr>
          <w:rFonts w:ascii="Verdana" w:eastAsia="Calibri" w:hAnsi="Verdana" w:cs="Arial"/>
          <w:lang w:val="es-ES"/>
        </w:rPr>
        <w:t xml:space="preserve">Lo anterior se sustenta en las siguientes consideraciones: </w:t>
      </w:r>
    </w:p>
    <w:p w14:paraId="209CCBCF" w14:textId="77777777" w:rsidR="00DF78D3" w:rsidRPr="00392E37" w:rsidRDefault="00DF78D3" w:rsidP="00DF78D3">
      <w:pPr>
        <w:spacing w:after="0" w:line="276" w:lineRule="auto"/>
        <w:contextualSpacing/>
        <w:jc w:val="both"/>
        <w:rPr>
          <w:rFonts w:ascii="Verdana" w:eastAsia="Times New Roman" w:hAnsi="Verdana" w:cs="Arial"/>
          <w:szCs w:val="24"/>
          <w:lang w:eastAsia="es-ES_tradnl"/>
        </w:rPr>
      </w:pPr>
      <w:bookmarkStart w:id="1" w:name="_Hlk107927289"/>
    </w:p>
    <w:p w14:paraId="3A439665" w14:textId="77777777" w:rsidR="00DF78D3" w:rsidRPr="00C131C3" w:rsidRDefault="00DF78D3" w:rsidP="00DF78D3">
      <w:pPr>
        <w:pStyle w:val="Prrafodelista"/>
        <w:numPr>
          <w:ilvl w:val="0"/>
          <w:numId w:val="19"/>
        </w:numPr>
        <w:spacing w:after="0" w:line="276" w:lineRule="auto"/>
        <w:jc w:val="both"/>
        <w:rPr>
          <w:rFonts w:ascii="Verdana" w:eastAsia="Times New Roman" w:hAnsi="Verdana" w:cs="Arial"/>
          <w:szCs w:val="24"/>
          <w:lang w:eastAsia="es-ES_tradnl"/>
        </w:rPr>
      </w:pPr>
      <w:r w:rsidRPr="00C131C3">
        <w:rPr>
          <w:rFonts w:ascii="Verdana" w:eastAsia="Times New Roman" w:hAnsi="Verdana" w:cs="Arial"/>
          <w:szCs w:val="24"/>
          <w:lang w:eastAsia="es-ES_tradnl"/>
        </w:rPr>
        <w:t xml:space="preserve">El RUP como instrumento en el que consta la información relacionada con las personas naturales y jurídicas, tiene por objeto contemplar en un único documento la información relativa a la capacidad jurídica, técnica, financiera y organizacional de los posibles proponentes, con el fin de que puedan participar en los Procedimientos de Contratación realizados por las Entidades Estatales. </w:t>
      </w:r>
      <w:bookmarkEnd w:id="1"/>
      <w:r w:rsidRPr="00C131C3">
        <w:rPr>
          <w:rFonts w:ascii="Verdana" w:eastAsia="Times New Roman" w:hAnsi="Verdana" w:cs="Arial"/>
          <w:szCs w:val="24"/>
          <w:lang w:eastAsia="es-ES_tradnl"/>
        </w:rPr>
        <w:t>El Consejo de Estado definió la naturaleza y finalidad del RUP de la siguiente forma:</w:t>
      </w:r>
    </w:p>
    <w:p w14:paraId="4DED847F" w14:textId="77777777" w:rsidR="00DF78D3" w:rsidRPr="00392E37" w:rsidRDefault="00DF78D3" w:rsidP="00DF78D3">
      <w:pPr>
        <w:spacing w:after="0" w:line="276" w:lineRule="auto"/>
        <w:ind w:right="426"/>
        <w:contextualSpacing/>
        <w:rPr>
          <w:rFonts w:ascii="Verdana" w:eastAsia="Times New Roman" w:hAnsi="Verdana" w:cs="Arial"/>
          <w:szCs w:val="24"/>
          <w:lang w:eastAsia="es-ES_tradnl"/>
        </w:rPr>
      </w:pPr>
    </w:p>
    <w:p w14:paraId="2C00D3E1" w14:textId="77777777" w:rsidR="00DF78D3" w:rsidRPr="005F4E70" w:rsidRDefault="00DF78D3" w:rsidP="29F65EA1">
      <w:pPr>
        <w:tabs>
          <w:tab w:val="left" w:pos="8505"/>
        </w:tabs>
        <w:spacing w:after="0" w:line="240" w:lineRule="auto"/>
        <w:ind w:left="709" w:right="709"/>
        <w:contextualSpacing/>
        <w:jc w:val="both"/>
        <w:rPr>
          <w:rFonts w:ascii="Verdana" w:eastAsia="Times New Roman" w:hAnsi="Verdana" w:cs="Arial"/>
          <w:i/>
          <w:iCs/>
          <w:szCs w:val="24"/>
          <w:lang w:val="es-ES" w:eastAsia="es-ES_tradnl"/>
        </w:rPr>
      </w:pPr>
      <w:r w:rsidRPr="005F4E70">
        <w:rPr>
          <w:rFonts w:ascii="Verdana" w:eastAsia="Times New Roman" w:hAnsi="Verdana" w:cs="Arial"/>
          <w:i/>
          <w:iCs/>
          <w:szCs w:val="24"/>
          <w:lang w:val="es-ES" w:eastAsia="es-ES_tradnl"/>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w:t>
      </w:r>
      <w:r w:rsidRPr="005F4E70">
        <w:rPr>
          <w:rFonts w:ascii="Verdana" w:eastAsia="Times New Roman" w:hAnsi="Verdana" w:cs="Arial"/>
          <w:i/>
          <w:iCs/>
          <w:szCs w:val="24"/>
          <w:lang w:val="es-ES" w:eastAsia="es-ES_tradnl"/>
        </w:rPr>
        <w:lastRenderedPageBreak/>
        <w:t>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sidRPr="005F4E70">
        <w:rPr>
          <w:rFonts w:ascii="Verdana" w:eastAsia="Times New Roman" w:hAnsi="Verdana" w:cs="Arial"/>
          <w:i/>
          <w:iCs/>
          <w:szCs w:val="24"/>
          <w:lang w:val="es-ES" w:eastAsia="es-ES_tradnl"/>
        </w:rPr>
        <w:footnoteReference w:id="2"/>
      </w:r>
      <w:r w:rsidRPr="005F4E70">
        <w:rPr>
          <w:rFonts w:ascii="Verdana" w:eastAsia="Times New Roman" w:hAnsi="Verdana" w:cs="Arial"/>
          <w:i/>
          <w:iCs/>
          <w:szCs w:val="24"/>
          <w:lang w:val="es-ES" w:eastAsia="es-ES_tradnl"/>
        </w:rPr>
        <w:t>.</w:t>
      </w:r>
    </w:p>
    <w:p w14:paraId="36CD2D1D" w14:textId="77777777" w:rsidR="00DF78D3" w:rsidRPr="00392E37" w:rsidRDefault="00DF78D3" w:rsidP="00DF78D3">
      <w:pPr>
        <w:spacing w:after="0" w:line="276" w:lineRule="auto"/>
        <w:contextualSpacing/>
        <w:jc w:val="both"/>
        <w:rPr>
          <w:rFonts w:ascii="Verdana" w:eastAsia="Times New Roman" w:hAnsi="Verdana" w:cs="Arial"/>
          <w:lang w:eastAsia="es-ES_tradnl"/>
        </w:rPr>
      </w:pPr>
    </w:p>
    <w:p w14:paraId="78488B39" w14:textId="77777777" w:rsidR="00DF78D3" w:rsidRPr="00392E37" w:rsidRDefault="00DF78D3" w:rsidP="00DF78D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El artículo 6.1 de la Ley 1150 de 2007 dispone que el RUP es plena prueba de la información que contiene</w:t>
      </w:r>
      <w:r w:rsidRPr="00392E37">
        <w:rPr>
          <w:rFonts w:ascii="Verdana" w:eastAsia="Times New Roman" w:hAnsi="Verdana" w:cs="Arial"/>
          <w:vertAlign w:val="superscript"/>
          <w:lang w:eastAsia="es-ES_tradnl"/>
        </w:rPr>
        <w:footnoteReference w:id="3"/>
      </w:r>
      <w:r w:rsidRPr="00392E37">
        <w:rPr>
          <w:rFonts w:ascii="Verdana" w:eastAsia="Times New Roman" w:hAnsi="Verdana" w:cs="Arial"/>
          <w:lang w:eastAsia="es-ES_tradnl"/>
        </w:rPr>
        <w:t>.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392E37">
        <w:rPr>
          <w:rFonts w:ascii="Verdana" w:eastAsia="Times New Roman" w:hAnsi="Verdana" w:cs="Arial"/>
          <w:vertAlign w:val="superscript"/>
          <w:lang w:eastAsia="es-ES_tradnl"/>
        </w:rPr>
        <w:footnoteReference w:id="4"/>
      </w:r>
      <w:r w:rsidRPr="00392E37">
        <w:rPr>
          <w:rFonts w:ascii="Verdana" w:eastAsia="Times New Roman" w:hAnsi="Verdana" w:cs="Arial"/>
          <w:lang w:eastAsia="es-ES_tradnl"/>
        </w:rPr>
        <w:t xml:space="preserve">. </w:t>
      </w:r>
    </w:p>
    <w:p w14:paraId="1211F3CF" w14:textId="77777777" w:rsidR="00DF78D3" w:rsidRDefault="00DF78D3" w:rsidP="00DF78D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 xml:space="preserve">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w:t>
      </w:r>
      <w:r w:rsidRPr="00392E37">
        <w:rPr>
          <w:rFonts w:ascii="Verdana" w:eastAsia="Times New Roman" w:hAnsi="Verdana" w:cs="Arial"/>
          <w:lang w:eastAsia="es-ES_tradnl"/>
        </w:rPr>
        <w:lastRenderedPageBreak/>
        <w:t>industriales y comerciales del Estado y las sociedades de economía mixta, que tengan por objeto el desarrollo de sus actividades industriales y comerciales</w:t>
      </w:r>
      <w:r>
        <w:rPr>
          <w:rFonts w:ascii="Verdana" w:eastAsia="Times New Roman" w:hAnsi="Verdana" w:cs="Arial"/>
          <w:lang w:eastAsia="es-ES_tradnl"/>
        </w:rPr>
        <w:t xml:space="preserve">. </w:t>
      </w:r>
    </w:p>
    <w:p w14:paraId="55C30777" w14:textId="77777777" w:rsidR="00DF78D3" w:rsidRPr="00392E37" w:rsidRDefault="00DF78D3" w:rsidP="00DF78D3">
      <w:pPr>
        <w:spacing w:after="120" w:line="276" w:lineRule="auto"/>
        <w:ind w:firstLine="709"/>
        <w:jc w:val="both"/>
        <w:rPr>
          <w:rFonts w:ascii="Verdana" w:eastAsia="Times New Roman" w:hAnsi="Verdana" w:cs="Arial"/>
          <w:lang w:eastAsia="es-ES_tradnl"/>
        </w:rPr>
      </w:pPr>
      <w:r>
        <w:rPr>
          <w:rFonts w:ascii="Verdana" w:eastAsia="Times New Roman" w:hAnsi="Verdana" w:cs="Arial"/>
          <w:lang w:val="es-ES_tradnl" w:eastAsia="es-ES_tradnl"/>
        </w:rPr>
        <w:t>Las anteriores</w:t>
      </w:r>
      <w:r w:rsidRPr="00392E37">
        <w:rPr>
          <w:rFonts w:ascii="Verdana" w:eastAsia="Times New Roman" w:hAnsi="Verdana" w:cs="Arial"/>
          <w:lang w:val="es-ES_tradnl" w:eastAsia="es-ES_tradnl"/>
        </w:rPr>
        <w:t xml:space="preserve">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392E37">
        <w:rPr>
          <w:rFonts w:ascii="Verdana" w:eastAsia="Times New Roman" w:hAnsi="Verdana"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392E37">
        <w:rPr>
          <w:rFonts w:ascii="Verdana" w:eastAsia="Times New Roman" w:hAnsi="Verdana" w:cs="Arial"/>
          <w:vertAlign w:val="superscript"/>
          <w:lang w:eastAsia="es-ES_tradnl"/>
        </w:rPr>
        <w:footnoteReference w:id="5"/>
      </w:r>
      <w:r w:rsidRPr="00392E37">
        <w:rPr>
          <w:rFonts w:ascii="Verdana" w:eastAsia="Times New Roman" w:hAnsi="Verdana" w:cs="Arial"/>
          <w:lang w:eastAsia="es-ES_tradnl"/>
        </w:rPr>
        <w:t>.</w:t>
      </w:r>
    </w:p>
    <w:p w14:paraId="36025412" w14:textId="77777777" w:rsidR="00DF78D3" w:rsidRPr="00392E37" w:rsidRDefault="00DF78D3" w:rsidP="00DF78D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392E37">
        <w:rPr>
          <w:rFonts w:ascii="Verdana" w:eastAsia="Times New Roman" w:hAnsi="Verdana" w:cs="Arial"/>
          <w:vertAlign w:val="superscript"/>
          <w:lang w:eastAsia="es-ES_tradnl"/>
        </w:rPr>
        <w:footnoteReference w:id="6"/>
      </w:r>
      <w:r w:rsidRPr="00392E37">
        <w:rPr>
          <w:rFonts w:ascii="Verdana" w:eastAsia="Times New Roman" w:hAnsi="Verdana" w:cs="Arial"/>
          <w:lang w:eastAsia="es-ES_tradnl"/>
        </w:rPr>
        <w:t>. Lo anterior fue ratificado por el Consejo de Estado cuando enumeró las excepciones en las cuales las entidades tienen la obligación de verificar los requisitos habilitantes de los proponentes</w:t>
      </w:r>
      <w:r w:rsidRPr="00392E37">
        <w:rPr>
          <w:rFonts w:ascii="Verdana" w:eastAsia="Times New Roman" w:hAnsi="Verdana" w:cs="Arial"/>
          <w:vertAlign w:val="superscript"/>
          <w:lang w:eastAsia="es-ES_tradnl"/>
        </w:rPr>
        <w:footnoteReference w:id="7"/>
      </w:r>
      <w:r w:rsidRPr="00392E37">
        <w:rPr>
          <w:rFonts w:ascii="Verdana" w:eastAsia="Times New Roman" w:hAnsi="Verdana" w:cs="Arial"/>
          <w:lang w:eastAsia="es-ES_tradnl"/>
        </w:rPr>
        <w:t xml:space="preserve">.  </w:t>
      </w:r>
    </w:p>
    <w:p w14:paraId="12600957" w14:textId="77777777" w:rsidR="00DF78D3" w:rsidRPr="00392E37" w:rsidRDefault="00DF78D3" w:rsidP="00DF78D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Ahora bien, el inciso 1 del artículo 6 de la Ley 1150 de 2007</w:t>
      </w:r>
      <w:r w:rsidRPr="00392E37">
        <w:rPr>
          <w:rFonts w:ascii="Verdana" w:eastAsia="Times New Roman" w:hAnsi="Verdana" w:cs="Arial"/>
          <w:vertAlign w:val="superscript"/>
          <w:lang w:eastAsia="es-ES_tradnl"/>
        </w:rPr>
        <w:footnoteReference w:id="8"/>
      </w:r>
      <w:r w:rsidRPr="00392E37">
        <w:rPr>
          <w:rFonts w:ascii="Verdana" w:eastAsia="Times New Roman" w:hAnsi="Verdana" w:cs="Arial"/>
          <w:lang w:eastAsia="es-ES_tradnl"/>
        </w:rPr>
        <w:t xml:space="preserve">, mediante el cual se regulan los sujetos que deben inscribirse en el RUP, señaló que deben </w:t>
      </w:r>
      <w:r w:rsidRPr="00392E37">
        <w:rPr>
          <w:rFonts w:ascii="Verdana" w:eastAsia="Times New Roman" w:hAnsi="Verdana" w:cs="Arial"/>
          <w:lang w:eastAsia="es-ES_tradnl"/>
        </w:rPr>
        <w:lastRenderedPageBreak/>
        <w:t>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w:t>
      </w:r>
      <w:r w:rsidRPr="00392E37">
        <w:rPr>
          <w:rFonts w:ascii="Verdana" w:eastAsia="Times New Roman" w:hAnsi="Verdana" w:cs="Arial"/>
          <w:vertAlign w:val="superscript"/>
          <w:lang w:eastAsia="es-ES_tradnl"/>
        </w:rPr>
        <w:footnoteReference w:id="9"/>
      </w:r>
      <w:r w:rsidRPr="00392E37">
        <w:rPr>
          <w:rFonts w:ascii="Verdana" w:eastAsia="Times New Roman" w:hAnsi="Verdana" w:cs="Arial"/>
          <w:lang w:eastAsia="es-ES_tradnl"/>
        </w:rPr>
        <w:t xml:space="preserve">. </w:t>
      </w:r>
    </w:p>
    <w:p w14:paraId="0952F712" w14:textId="77777777" w:rsidR="00DF78D3" w:rsidRPr="00392E37" w:rsidRDefault="00DF78D3" w:rsidP="00DF78D3">
      <w:pPr>
        <w:widowControl w:val="0"/>
        <w:autoSpaceDE w:val="0"/>
        <w:autoSpaceDN w:val="0"/>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En desarrollo del marco legal expuesto</w:t>
      </w:r>
      <w:r w:rsidRPr="00392E37">
        <w:rPr>
          <w:rFonts w:ascii="Verdana" w:eastAsia="Times New Roman" w:hAnsi="Verdana" w:cs="Arial"/>
          <w:lang w:eastAsia="es-ES_tradnl"/>
        </w:rPr>
        <w:t>, el Decreto 1082 de 2015</w:t>
      </w:r>
      <w:r w:rsidRPr="00392E37">
        <w:rPr>
          <w:rFonts w:ascii="Verdana" w:eastAsia="Times New Roman" w:hAnsi="Verdana" w:cs="Arial"/>
          <w:vertAlign w:val="superscript"/>
          <w:lang w:eastAsia="es-ES_tradnl"/>
        </w:rPr>
        <w:footnoteReference w:id="10"/>
      </w:r>
      <w:r w:rsidRPr="00392E37">
        <w:rPr>
          <w:rFonts w:ascii="Verdana" w:eastAsia="Times New Roman" w:hAnsi="Verdana" w:cs="Arial"/>
          <w:lang w:eastAsia="es-ES_tradnl"/>
        </w:rPr>
        <w:t xml:space="preserve"> dispone quiénes deben inscribirse en el RUP, el momento de la renovación del registro, la información requerida para la inscripción, renovación o actualización</w:t>
      </w:r>
      <w:r w:rsidRPr="00392E37">
        <w:rPr>
          <w:rStyle w:val="Refdenotaalpie"/>
          <w:rFonts w:ascii="Verdana" w:eastAsia="Times New Roman" w:hAnsi="Verdana" w:cs="Arial"/>
          <w:lang w:eastAsia="es-ES_tradnl"/>
        </w:rPr>
        <w:footnoteReference w:id="11"/>
      </w:r>
      <w:r w:rsidRPr="00392E37">
        <w:rPr>
          <w:rFonts w:ascii="Verdana" w:eastAsia="Times New Roman" w:hAnsi="Verdana" w:cs="Arial"/>
          <w:lang w:eastAsia="es-ES_tradnl"/>
        </w:rPr>
        <w:t xml:space="preserve"> y la </w:t>
      </w:r>
      <w:r w:rsidRPr="00392E37">
        <w:rPr>
          <w:rFonts w:ascii="Verdana" w:eastAsia="Times New Roman" w:hAnsi="Verdana" w:cs="Arial"/>
          <w:lang w:eastAsia="es-ES_tradnl"/>
        </w:rPr>
        <w:lastRenderedPageBreak/>
        <w:t>posibilidad de solicitar la cancelación de la inscripción, en cualquier momento ante la cámara de comercio correspondiente</w:t>
      </w:r>
      <w:r w:rsidRPr="00392E37">
        <w:rPr>
          <w:rFonts w:ascii="Verdana" w:eastAsia="Times New Roman" w:hAnsi="Verdana" w:cs="Arial"/>
          <w:vertAlign w:val="superscript"/>
          <w:lang w:eastAsia="es-ES_tradnl"/>
        </w:rPr>
        <w:footnoteReference w:id="12"/>
      </w:r>
      <w:r w:rsidRPr="00392E37">
        <w:rPr>
          <w:rFonts w:ascii="Verdana" w:eastAsia="Times New Roman" w:hAnsi="Verdana" w:cs="Arial"/>
          <w:lang w:eastAsia="es-ES_tradnl"/>
        </w:rPr>
        <w:t>.</w:t>
      </w:r>
    </w:p>
    <w:p w14:paraId="4EDD2450" w14:textId="77777777" w:rsidR="00DF78D3" w:rsidRPr="00392E37" w:rsidRDefault="00DF78D3" w:rsidP="00DF78D3">
      <w:pPr>
        <w:widowControl w:val="0"/>
        <w:autoSpaceDE w:val="0"/>
        <w:autoSpaceDN w:val="0"/>
        <w:spacing w:after="120" w:line="276" w:lineRule="auto"/>
        <w:ind w:firstLine="709"/>
        <w:jc w:val="both"/>
        <w:rPr>
          <w:rFonts w:ascii="Verdana" w:eastAsia="Arial" w:hAnsi="Verdana" w:cs="Arial"/>
          <w:b/>
          <w:lang w:val="es-ES"/>
        </w:rPr>
      </w:pPr>
      <w:r w:rsidRPr="00392E37">
        <w:rPr>
          <w:rFonts w:ascii="Verdana" w:eastAsia="Times New Roman" w:hAnsi="Verdana" w:cs="Arial"/>
          <w:lang w:eastAsia="es-ES_tradnl"/>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bookmarkStart w:id="2" w:name="_Hlk104368148"/>
    </w:p>
    <w:p w14:paraId="14C6E270" w14:textId="77777777" w:rsidR="00DF78D3" w:rsidRPr="00392E37" w:rsidRDefault="00DF78D3" w:rsidP="00DF78D3">
      <w:pPr>
        <w:widowControl w:val="0"/>
        <w:autoSpaceDE w:val="0"/>
        <w:autoSpaceDN w:val="0"/>
        <w:spacing w:after="120" w:line="276" w:lineRule="auto"/>
        <w:ind w:firstLine="709"/>
        <w:jc w:val="both"/>
        <w:rPr>
          <w:rFonts w:ascii="Verdana" w:eastAsia="Arial" w:hAnsi="Verdana" w:cs="Arial"/>
          <w:b/>
          <w:lang w:val="es-ES"/>
        </w:rPr>
      </w:pPr>
      <w:bookmarkStart w:id="3" w:name="_Hlk107927340"/>
      <w:r>
        <w:rPr>
          <w:rFonts w:ascii="Verdana" w:hAnsi="Verdana" w:cs="Arial"/>
        </w:rPr>
        <w:t>Ahora bien, en relación con la firmeza del RUP, debe señalarse que, e</w:t>
      </w:r>
      <w:r w:rsidRPr="00392E37">
        <w:rPr>
          <w:rFonts w:ascii="Verdana" w:hAnsi="Verdana" w:cs="Arial"/>
        </w:rPr>
        <w:t>n concordancia</w:t>
      </w:r>
      <w:r w:rsidRPr="00392E37">
        <w:rPr>
          <w:rFonts w:ascii="Verdana" w:hAnsi="Verdana" w:cs="Arial"/>
          <w:spacing w:val="-4"/>
        </w:rPr>
        <w:t xml:space="preserve"> </w:t>
      </w:r>
      <w:r w:rsidRPr="00392E37">
        <w:rPr>
          <w:rFonts w:ascii="Verdana" w:hAnsi="Verdana" w:cs="Arial"/>
        </w:rPr>
        <w:t>con</w:t>
      </w:r>
      <w:r w:rsidRPr="00392E37">
        <w:rPr>
          <w:rFonts w:ascii="Verdana" w:hAnsi="Verdana" w:cs="Arial"/>
          <w:spacing w:val="-5"/>
        </w:rPr>
        <w:t xml:space="preserve"> </w:t>
      </w:r>
      <w:r w:rsidRPr="00392E37">
        <w:rPr>
          <w:rFonts w:ascii="Verdana" w:hAnsi="Verdana" w:cs="Arial"/>
        </w:rPr>
        <w:t>lo</w:t>
      </w:r>
      <w:r w:rsidRPr="00392E37">
        <w:rPr>
          <w:rFonts w:ascii="Verdana" w:hAnsi="Verdana" w:cs="Arial"/>
          <w:spacing w:val="-4"/>
        </w:rPr>
        <w:t xml:space="preserve"> </w:t>
      </w:r>
      <w:r w:rsidRPr="00392E37">
        <w:rPr>
          <w:rFonts w:ascii="Verdana" w:hAnsi="Verdana" w:cs="Arial"/>
        </w:rPr>
        <w:t>establecido</w:t>
      </w:r>
      <w:r w:rsidRPr="00392E37">
        <w:rPr>
          <w:rFonts w:ascii="Verdana" w:hAnsi="Verdana" w:cs="Arial"/>
          <w:spacing w:val="-4"/>
        </w:rPr>
        <w:t xml:space="preserve"> </w:t>
      </w:r>
      <w:r w:rsidRPr="00392E37">
        <w:rPr>
          <w:rFonts w:ascii="Verdana" w:hAnsi="Verdana" w:cs="Arial"/>
        </w:rPr>
        <w:t>en</w:t>
      </w:r>
      <w:r w:rsidRPr="00392E37">
        <w:rPr>
          <w:rFonts w:ascii="Verdana" w:hAnsi="Verdana" w:cs="Arial"/>
          <w:spacing w:val="-5"/>
        </w:rPr>
        <w:t xml:space="preserve"> </w:t>
      </w:r>
      <w:r w:rsidRPr="00392E37">
        <w:rPr>
          <w:rFonts w:ascii="Verdana" w:hAnsi="Verdana" w:cs="Arial"/>
        </w:rPr>
        <w:t>el</w:t>
      </w:r>
      <w:r w:rsidRPr="00392E37">
        <w:rPr>
          <w:rFonts w:ascii="Verdana" w:hAnsi="Verdana" w:cs="Arial"/>
          <w:spacing w:val="-4"/>
        </w:rPr>
        <w:t xml:space="preserve"> </w:t>
      </w:r>
      <w:r w:rsidRPr="00392E37">
        <w:rPr>
          <w:rFonts w:ascii="Verdana" w:hAnsi="Verdana" w:cs="Arial"/>
        </w:rPr>
        <w:t>numeral</w:t>
      </w:r>
      <w:r w:rsidRPr="00392E37">
        <w:rPr>
          <w:rFonts w:ascii="Verdana" w:hAnsi="Verdana" w:cs="Arial"/>
          <w:spacing w:val="-4"/>
        </w:rPr>
        <w:t xml:space="preserve"> </w:t>
      </w:r>
      <w:r w:rsidRPr="00392E37">
        <w:rPr>
          <w:rFonts w:ascii="Verdana" w:hAnsi="Verdana" w:cs="Arial"/>
        </w:rPr>
        <w:t>6.3</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la</w:t>
      </w:r>
      <w:r w:rsidRPr="00392E37">
        <w:rPr>
          <w:rFonts w:ascii="Verdana" w:hAnsi="Verdana" w:cs="Arial"/>
          <w:spacing w:val="-4"/>
        </w:rPr>
        <w:t xml:space="preserve"> </w:t>
      </w:r>
      <w:r w:rsidRPr="00392E37">
        <w:rPr>
          <w:rFonts w:ascii="Verdana" w:hAnsi="Verdana" w:cs="Arial"/>
        </w:rPr>
        <w:t>Ley</w:t>
      </w:r>
      <w:r w:rsidRPr="00392E37">
        <w:rPr>
          <w:rFonts w:ascii="Verdana" w:hAnsi="Verdana" w:cs="Arial"/>
          <w:spacing w:val="-4"/>
        </w:rPr>
        <w:t xml:space="preserve"> </w:t>
      </w:r>
      <w:r w:rsidRPr="00392E37">
        <w:rPr>
          <w:rFonts w:ascii="Verdana" w:hAnsi="Verdana" w:cs="Arial"/>
        </w:rPr>
        <w:t>1150</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2007, la cámara de comercio, verificada la información aportada por el proponente, publicará el acto de inscripción del RUP</w:t>
      </w:r>
      <w:r>
        <w:rPr>
          <w:rFonts w:ascii="Verdana" w:hAnsi="Verdana" w:cs="Arial"/>
        </w:rPr>
        <w:t>. C</w:t>
      </w:r>
      <w:r w:rsidRPr="00392E37">
        <w:rPr>
          <w:rFonts w:ascii="Verdana" w:hAnsi="Verdana" w:cs="Arial"/>
        </w:rPr>
        <w:t>ontra</w:t>
      </w:r>
      <w:r>
        <w:rPr>
          <w:rFonts w:ascii="Verdana" w:hAnsi="Verdana" w:cs="Arial"/>
        </w:rPr>
        <w:t xml:space="preserve"> dicho acto </w:t>
      </w:r>
      <w:r w:rsidRPr="00392E37">
        <w:rPr>
          <w:rFonts w:ascii="Verdana" w:hAnsi="Verdana" w:cs="Arial"/>
        </w:rPr>
        <w:t>cualquier</w:t>
      </w:r>
      <w:r w:rsidRPr="00392E37">
        <w:rPr>
          <w:rFonts w:ascii="Verdana" w:hAnsi="Verdana" w:cs="Arial"/>
          <w:spacing w:val="1"/>
        </w:rPr>
        <w:t xml:space="preserve"> </w:t>
      </w:r>
      <w:r w:rsidRPr="00392E37">
        <w:rPr>
          <w:rFonts w:ascii="Verdana" w:hAnsi="Verdana" w:cs="Arial"/>
        </w:rPr>
        <w:t xml:space="preserve">persona </w:t>
      </w:r>
      <w:r w:rsidRPr="00392E37">
        <w:rPr>
          <w:rFonts w:ascii="Verdana" w:hAnsi="Verdana" w:cs="Arial"/>
        </w:rPr>
        <w:lastRenderedPageBreak/>
        <w:t>podrá interponer recurso de reposición dentro de los diez (10) días hábiles</w:t>
      </w:r>
      <w:r w:rsidRPr="00392E37">
        <w:rPr>
          <w:rFonts w:ascii="Verdana" w:hAnsi="Verdana" w:cs="Arial"/>
          <w:spacing w:val="1"/>
        </w:rPr>
        <w:t xml:space="preserve"> </w:t>
      </w:r>
      <w:r w:rsidRPr="00392E37">
        <w:rPr>
          <w:rFonts w:ascii="Verdana" w:hAnsi="Verdana" w:cs="Arial"/>
        </w:rPr>
        <w:t>siguientes</w:t>
      </w:r>
      <w:r w:rsidRPr="00392E37">
        <w:rPr>
          <w:rFonts w:ascii="Verdana" w:hAnsi="Verdana" w:cs="Arial"/>
          <w:spacing w:val="1"/>
        </w:rPr>
        <w:t xml:space="preserve"> </w:t>
      </w:r>
      <w:r w:rsidRPr="00392E37">
        <w:rPr>
          <w:rFonts w:ascii="Verdana" w:hAnsi="Verdana" w:cs="Arial"/>
        </w:rPr>
        <w:t>contados</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partir</w:t>
      </w:r>
      <w:r w:rsidRPr="00392E37">
        <w:rPr>
          <w:rFonts w:ascii="Verdana" w:hAnsi="Verdana" w:cs="Arial"/>
          <w:spacing w:val="1"/>
        </w:rPr>
        <w:t xml:space="preserve"> </w:t>
      </w:r>
      <w:r w:rsidRPr="00392E37">
        <w:rPr>
          <w:rFonts w:ascii="Verdana" w:hAnsi="Verdana" w:cs="Arial"/>
        </w:rPr>
        <w:t>de</w:t>
      </w:r>
      <w:r w:rsidRPr="00392E37">
        <w:rPr>
          <w:rFonts w:ascii="Verdana" w:hAnsi="Verdana" w:cs="Arial"/>
          <w:spacing w:val="1"/>
        </w:rPr>
        <w:t xml:space="preserve"> </w:t>
      </w:r>
      <w:r w:rsidRPr="00392E37">
        <w:rPr>
          <w:rFonts w:ascii="Verdana" w:hAnsi="Verdana" w:cs="Arial"/>
        </w:rPr>
        <w:t>su</w:t>
      </w:r>
      <w:r w:rsidRPr="00392E37">
        <w:rPr>
          <w:rFonts w:ascii="Verdana" w:hAnsi="Verdana" w:cs="Arial"/>
          <w:spacing w:val="1"/>
        </w:rPr>
        <w:t xml:space="preserve"> </w:t>
      </w:r>
      <w:r w:rsidRPr="00392E37">
        <w:rPr>
          <w:rFonts w:ascii="Verdana" w:hAnsi="Verdana" w:cs="Arial"/>
        </w:rPr>
        <w:t>publicación</w:t>
      </w:r>
      <w:r w:rsidRPr="00392E37">
        <w:rPr>
          <w:rFonts w:ascii="Verdana" w:hAnsi="Verdana" w:cs="Arial"/>
          <w:spacing w:val="1"/>
        </w:rPr>
        <w:t xml:space="preserve"> </w:t>
      </w:r>
      <w:r w:rsidRPr="00392E37">
        <w:rPr>
          <w:rFonts w:ascii="Verdana" w:hAnsi="Verdana" w:cs="Arial"/>
        </w:rPr>
        <w:t>–posibilidad</w:t>
      </w:r>
      <w:r w:rsidRPr="00392E37">
        <w:rPr>
          <w:rFonts w:ascii="Verdana" w:hAnsi="Verdana" w:cs="Arial"/>
          <w:spacing w:val="1"/>
        </w:rPr>
        <w:t xml:space="preserve"> </w:t>
      </w:r>
      <w:r w:rsidRPr="00392E37">
        <w:rPr>
          <w:rFonts w:ascii="Verdana" w:hAnsi="Verdana" w:cs="Arial"/>
        </w:rPr>
        <w:t>aplicable</w:t>
      </w:r>
      <w:r w:rsidRPr="00392E37">
        <w:rPr>
          <w:rFonts w:ascii="Verdana" w:hAnsi="Verdana" w:cs="Arial"/>
          <w:spacing w:val="1"/>
        </w:rPr>
        <w:t xml:space="preserve"> </w:t>
      </w:r>
      <w:r w:rsidRPr="00392E37">
        <w:rPr>
          <w:rFonts w:ascii="Verdana" w:hAnsi="Verdana" w:cs="Arial"/>
        </w:rPr>
        <w:t>frente</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la</w:t>
      </w:r>
      <w:r w:rsidRPr="00392E37">
        <w:rPr>
          <w:rFonts w:ascii="Verdana" w:hAnsi="Verdana" w:cs="Arial"/>
          <w:spacing w:val="1"/>
        </w:rPr>
        <w:t xml:space="preserve"> </w:t>
      </w:r>
      <w:r w:rsidRPr="00392E37">
        <w:rPr>
          <w:rFonts w:ascii="Verdana" w:hAnsi="Verdana" w:cs="Arial"/>
          <w:i/>
        </w:rPr>
        <w:t>inscripción, renovación o actualización–</w:t>
      </w:r>
      <w:bookmarkEnd w:id="2"/>
      <w:r w:rsidRPr="00392E37">
        <w:rPr>
          <w:rStyle w:val="Refdenotaalpie"/>
          <w:rFonts w:ascii="Verdana" w:hAnsi="Verdana" w:cs="Arial"/>
          <w:iCs/>
        </w:rPr>
        <w:footnoteReference w:id="13"/>
      </w:r>
      <w:r w:rsidRPr="00392E37">
        <w:rPr>
          <w:rFonts w:ascii="Verdana" w:hAnsi="Verdana" w:cs="Arial"/>
        </w:rPr>
        <w:t xml:space="preserve">. </w:t>
      </w:r>
      <w:bookmarkEnd w:id="3"/>
      <w:r w:rsidRPr="00392E37">
        <w:rPr>
          <w:rFonts w:ascii="Verdana" w:hAnsi="Verdana" w:cs="Arial"/>
        </w:rPr>
        <w:t>En firme el acto administrativo que realiza la</w:t>
      </w:r>
      <w:r w:rsidRPr="00392E37">
        <w:rPr>
          <w:rFonts w:ascii="Verdana" w:hAnsi="Verdana" w:cs="Arial"/>
          <w:spacing w:val="1"/>
        </w:rPr>
        <w:t xml:space="preserve"> </w:t>
      </w:r>
      <w:r w:rsidRPr="00392E37">
        <w:rPr>
          <w:rFonts w:ascii="Verdana" w:hAnsi="Verdana" w:cs="Arial"/>
        </w:rPr>
        <w:t>inscripción</w:t>
      </w:r>
      <w:r w:rsidRPr="00392E37">
        <w:rPr>
          <w:rFonts w:ascii="Verdana" w:hAnsi="Verdana" w:cs="Arial"/>
          <w:spacing w:val="-8"/>
        </w:rPr>
        <w:t xml:space="preserve"> </w:t>
      </w:r>
      <w:r w:rsidRPr="00392E37">
        <w:rPr>
          <w:rFonts w:ascii="Verdana" w:hAnsi="Verdana" w:cs="Arial"/>
        </w:rPr>
        <w:t>en</w:t>
      </w:r>
      <w:r w:rsidRPr="00392E37">
        <w:rPr>
          <w:rFonts w:ascii="Verdana" w:hAnsi="Verdana" w:cs="Arial"/>
          <w:spacing w:val="-9"/>
        </w:rPr>
        <w:t xml:space="preserve"> </w:t>
      </w:r>
      <w:r w:rsidRPr="00392E37">
        <w:rPr>
          <w:rFonts w:ascii="Verdana" w:hAnsi="Verdana" w:cs="Arial"/>
        </w:rPr>
        <w:t>el</w:t>
      </w:r>
      <w:r w:rsidRPr="00392E37">
        <w:rPr>
          <w:rFonts w:ascii="Verdana" w:hAnsi="Verdana" w:cs="Arial"/>
          <w:spacing w:val="-9"/>
        </w:rPr>
        <w:t xml:space="preserve"> </w:t>
      </w:r>
      <w:r w:rsidRPr="00392E37">
        <w:rPr>
          <w:rFonts w:ascii="Verdana" w:hAnsi="Verdana" w:cs="Arial"/>
        </w:rPr>
        <w:t>RUP</w:t>
      </w:r>
      <w:r w:rsidRPr="00392E37">
        <w:rPr>
          <w:rFonts w:ascii="Verdana" w:hAnsi="Verdana" w:cs="Arial"/>
          <w:spacing w:val="-7"/>
        </w:rPr>
        <w:t xml:space="preserve"> </w:t>
      </w:r>
      <w:r w:rsidRPr="00392E37">
        <w:rPr>
          <w:rFonts w:ascii="Verdana" w:hAnsi="Verdana" w:cs="Arial"/>
        </w:rPr>
        <w:t>se</w:t>
      </w:r>
      <w:r w:rsidRPr="00392E37">
        <w:rPr>
          <w:rFonts w:ascii="Verdana" w:hAnsi="Verdana" w:cs="Arial"/>
          <w:spacing w:val="-9"/>
        </w:rPr>
        <w:t xml:space="preserve"> </w:t>
      </w:r>
      <w:r w:rsidRPr="00392E37">
        <w:rPr>
          <w:rFonts w:ascii="Verdana" w:hAnsi="Verdana" w:cs="Arial"/>
        </w:rPr>
        <w:t>podrá</w:t>
      </w:r>
      <w:r w:rsidRPr="00392E37">
        <w:rPr>
          <w:rFonts w:ascii="Verdana" w:hAnsi="Verdana" w:cs="Arial"/>
          <w:spacing w:val="-9"/>
        </w:rPr>
        <w:t xml:space="preserve"> </w:t>
      </w:r>
      <w:r w:rsidRPr="00392E37">
        <w:rPr>
          <w:rFonts w:ascii="Verdana" w:hAnsi="Verdana" w:cs="Arial"/>
        </w:rPr>
        <w:t>demandar</w:t>
      </w:r>
      <w:r w:rsidRPr="00392E37">
        <w:rPr>
          <w:rFonts w:ascii="Verdana" w:hAnsi="Verdana" w:cs="Arial"/>
          <w:spacing w:val="-9"/>
        </w:rPr>
        <w:t xml:space="preserve"> </w:t>
      </w:r>
      <w:r w:rsidRPr="00392E37">
        <w:rPr>
          <w:rFonts w:ascii="Verdana" w:hAnsi="Verdana" w:cs="Arial"/>
        </w:rPr>
        <w:t>su</w:t>
      </w:r>
      <w:r w:rsidRPr="00392E37">
        <w:rPr>
          <w:rFonts w:ascii="Verdana" w:hAnsi="Verdana" w:cs="Arial"/>
          <w:spacing w:val="-8"/>
        </w:rPr>
        <w:t xml:space="preserve"> </w:t>
      </w:r>
      <w:r w:rsidRPr="00392E37">
        <w:rPr>
          <w:rFonts w:ascii="Verdana" w:hAnsi="Verdana" w:cs="Arial"/>
        </w:rPr>
        <w:t>nulidad,</w:t>
      </w:r>
      <w:r w:rsidRPr="00392E37">
        <w:rPr>
          <w:rFonts w:ascii="Verdana" w:hAnsi="Verdana" w:cs="Arial"/>
          <w:spacing w:val="-9"/>
        </w:rPr>
        <w:t xml:space="preserve"> </w:t>
      </w:r>
      <w:r w:rsidRPr="00392E37">
        <w:rPr>
          <w:rFonts w:ascii="Verdana" w:hAnsi="Verdana" w:cs="Arial"/>
        </w:rPr>
        <w:t>sin que la</w:t>
      </w:r>
      <w:r w:rsidRPr="00392E37">
        <w:rPr>
          <w:rFonts w:ascii="Verdana" w:hAnsi="Verdana" w:cs="Arial"/>
          <w:spacing w:val="-9"/>
        </w:rPr>
        <w:t xml:space="preserve"> </w:t>
      </w:r>
      <w:r w:rsidRPr="00392E37">
        <w:rPr>
          <w:rFonts w:ascii="Verdana" w:hAnsi="Verdana" w:cs="Arial"/>
        </w:rPr>
        <w:t>presentación</w:t>
      </w:r>
      <w:r w:rsidRPr="00392E37">
        <w:rPr>
          <w:rFonts w:ascii="Verdana" w:hAnsi="Verdana" w:cs="Arial"/>
          <w:spacing w:val="-2"/>
        </w:rPr>
        <w:t xml:space="preserve"> </w:t>
      </w:r>
      <w:r w:rsidRPr="00392E37">
        <w:rPr>
          <w:rFonts w:ascii="Verdana" w:hAnsi="Verdana" w:cs="Arial"/>
        </w:rPr>
        <w:t>de</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demanda</w:t>
      </w:r>
      <w:r w:rsidRPr="00392E37">
        <w:rPr>
          <w:rFonts w:ascii="Verdana" w:hAnsi="Verdana" w:cs="Arial"/>
          <w:spacing w:val="-1"/>
        </w:rPr>
        <w:t xml:space="preserve"> </w:t>
      </w:r>
      <w:r w:rsidRPr="00392E37">
        <w:rPr>
          <w:rFonts w:ascii="Verdana" w:hAnsi="Verdana" w:cs="Arial"/>
        </w:rPr>
        <w:t>suspenda</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inscripción</w:t>
      </w:r>
      <w:r w:rsidRPr="00392E37">
        <w:rPr>
          <w:rFonts w:ascii="Verdana" w:hAnsi="Verdana" w:cs="Arial"/>
          <w:spacing w:val="-2"/>
        </w:rPr>
        <w:t xml:space="preserve"> </w:t>
      </w:r>
      <w:r w:rsidRPr="00392E37">
        <w:rPr>
          <w:rFonts w:ascii="Verdana" w:hAnsi="Verdana" w:cs="Arial"/>
        </w:rPr>
        <w:t>del registro.</w:t>
      </w:r>
    </w:p>
    <w:p w14:paraId="2CE9A035" w14:textId="77777777" w:rsidR="00DF78D3" w:rsidRPr="00392E37" w:rsidRDefault="00DF78D3" w:rsidP="00DF78D3">
      <w:pPr>
        <w:spacing w:after="0" w:line="276" w:lineRule="auto"/>
        <w:ind w:firstLine="709"/>
        <w:contextualSpacing/>
        <w:jc w:val="both"/>
        <w:rPr>
          <w:rFonts w:ascii="Verdana" w:hAnsi="Verdana" w:cs="Arial"/>
          <w:b/>
          <w:lang w:val="es-ES" w:eastAsia="es-ES_tradnl"/>
        </w:rPr>
      </w:pPr>
      <w:r w:rsidRPr="00392E37">
        <w:rPr>
          <w:rFonts w:ascii="Verdana" w:hAnsi="Verdana" w:cs="Arial"/>
        </w:rPr>
        <w:t xml:space="preserve">De otro lado, el artículo 2.2.1.1.1.5.1. del Decreto 1082 de 2015 señala que las personas inscritas en el RUP </w:t>
      </w:r>
      <w:r w:rsidRPr="00392E37">
        <w:rPr>
          <w:rFonts w:ascii="Verdana" w:hAnsi="Verdana" w:cs="Arial"/>
          <w:i/>
          <w:iCs/>
        </w:rPr>
        <w:t>deben presentar la información para renovar su registro a más tardar el quinto día hábil del mes de abril de cada año</w:t>
      </w:r>
      <w:r w:rsidRPr="00392E37">
        <w:rPr>
          <w:rFonts w:ascii="Verdana" w:hAnsi="Verdana" w:cs="Arial"/>
        </w:rPr>
        <w:t>, de lo contrario cesan los efectos del RUP</w:t>
      </w:r>
      <w:r w:rsidRPr="00392E37">
        <w:rPr>
          <w:rStyle w:val="Refdenotaalpie"/>
          <w:rFonts w:ascii="Verdana" w:hAnsi="Verdana" w:cs="Arial"/>
        </w:rPr>
        <w:footnoteReference w:id="14"/>
      </w:r>
      <w:r>
        <w:rPr>
          <w:rFonts w:ascii="Verdana" w:hAnsi="Verdana" w:cs="Arial"/>
        </w:rPr>
        <w:t>. S</w:t>
      </w:r>
      <w:r w:rsidRPr="00392E37">
        <w:rPr>
          <w:rFonts w:ascii="Verdana" w:hAnsi="Verdana" w:cs="Arial"/>
        </w:rPr>
        <w:t>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w:t>
      </w:r>
      <w:r>
        <w:rPr>
          <w:rFonts w:ascii="Verdana" w:hAnsi="Verdana" w:cs="Arial"/>
        </w:rPr>
        <w:t>, así</w:t>
      </w:r>
      <w:r w:rsidRPr="00392E37">
        <w:rPr>
          <w:rFonts w:ascii="Verdana" w:hAnsi="Verdana" w:cs="Arial"/>
        </w:rPr>
        <w:t>:</w:t>
      </w:r>
    </w:p>
    <w:p w14:paraId="19B3C99A" w14:textId="77777777" w:rsidR="00DF78D3" w:rsidRPr="00392E37" w:rsidRDefault="00DF78D3" w:rsidP="00DF78D3">
      <w:pPr>
        <w:spacing w:after="0" w:line="276" w:lineRule="auto"/>
        <w:contextualSpacing/>
        <w:jc w:val="both"/>
        <w:rPr>
          <w:rFonts w:ascii="Verdana" w:hAnsi="Verdana" w:cs="Arial"/>
        </w:rPr>
      </w:pPr>
    </w:p>
    <w:p w14:paraId="2149E334" w14:textId="77777777" w:rsidR="00DF78D3" w:rsidRPr="007D7696" w:rsidRDefault="00DF78D3" w:rsidP="00DF78D3">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sz w:val="20"/>
          <w:szCs w:val="20"/>
          <w:lang w:val="es-ES"/>
        </w:rPr>
        <w:t>Al respecto, no puede perderse de vista que la finalidad principal de 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 del RUP, al margen de que con ese acto se nutra del registro de</w:t>
      </w:r>
      <w:r w:rsidRPr="007D7696">
        <w:rPr>
          <w:rFonts w:ascii="Verdana" w:eastAsia="Arial MT" w:hAnsi="Verdana" w:cs="Arial"/>
          <w:spacing w:val="-56"/>
          <w:sz w:val="20"/>
          <w:szCs w:val="20"/>
          <w:lang w:val="es-ES"/>
        </w:rPr>
        <w:t xml:space="preserve"> </w:t>
      </w:r>
      <w:r w:rsidRPr="007D7696">
        <w:rPr>
          <w:rFonts w:ascii="Verdana" w:eastAsia="Arial MT" w:hAnsi="Verdana" w:cs="Arial"/>
          <w:sz w:val="20"/>
          <w:szCs w:val="20"/>
          <w:lang w:val="es-ES"/>
        </w:rPr>
        <w:t>nueva</w:t>
      </w:r>
      <w:r w:rsidRPr="007D7696">
        <w:rPr>
          <w:rFonts w:ascii="Verdana" w:eastAsia="Arial MT" w:hAnsi="Verdana" w:cs="Arial"/>
          <w:spacing w:val="-6"/>
          <w:sz w:val="20"/>
          <w:szCs w:val="20"/>
          <w:lang w:val="es-ES"/>
        </w:rPr>
        <w:t xml:space="preserve"> </w:t>
      </w:r>
      <w:r w:rsidRPr="007D7696">
        <w:rPr>
          <w:rFonts w:ascii="Verdana" w:eastAsia="Arial MT" w:hAnsi="Verdana" w:cs="Arial"/>
          <w:sz w:val="20"/>
          <w:szCs w:val="20"/>
          <w:lang w:val="es-ES"/>
        </w:rPr>
        <w:t>información,</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es</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conservar</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su</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vigencia,</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propósito</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que,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acuerdo con el</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artículo 8 del Decreto 1510 de 2013, solo ha de cumplirse si el mismo se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 dentro del plazo allí establecido, comprendido entre el 1 de enero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hasta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quinto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día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hábil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mes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abril.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defecto,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disposición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reglamentaria establece como consecuencia la cesación de los efectos 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RUP.</w:t>
      </w:r>
    </w:p>
    <w:p w14:paraId="2A9DF598" w14:textId="77777777" w:rsidR="00DF78D3" w:rsidRPr="007D7696" w:rsidRDefault="00DF78D3" w:rsidP="00DF78D3">
      <w:pPr>
        <w:widowControl w:val="0"/>
        <w:autoSpaceDE w:val="0"/>
        <w:autoSpaceDN w:val="0"/>
        <w:spacing w:after="0" w:line="240" w:lineRule="auto"/>
        <w:ind w:left="709" w:right="709"/>
        <w:contextualSpacing/>
        <w:rPr>
          <w:rFonts w:ascii="Verdana" w:eastAsia="Arial MT" w:hAnsi="Verdana" w:cs="Arial"/>
          <w:sz w:val="20"/>
          <w:szCs w:val="20"/>
          <w:lang w:val="es-ES"/>
        </w:rPr>
      </w:pPr>
    </w:p>
    <w:p w14:paraId="08E38870" w14:textId="77777777" w:rsidR="00DF78D3" w:rsidRPr="007D7696" w:rsidRDefault="00DF78D3" w:rsidP="00DF78D3">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i/>
          <w:iCs/>
          <w:sz w:val="20"/>
          <w:szCs w:val="20"/>
          <w:lang w:val="es-ES"/>
        </w:rPr>
        <w:t>Ante ese panorama, el incumplimiento del deber de renovar el RUP en el</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período trae como consecuencia la cesación de efectos respecto de la</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información</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certificada</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en</w:t>
      </w:r>
      <w:r w:rsidRPr="007D7696">
        <w:rPr>
          <w:rFonts w:ascii="Verdana" w:eastAsia="Arial MT" w:hAnsi="Verdana" w:cs="Arial"/>
          <w:i/>
          <w:iCs/>
          <w:spacing w:val="-9"/>
          <w:sz w:val="20"/>
          <w:szCs w:val="20"/>
          <w:lang w:val="es-ES"/>
        </w:rPr>
        <w:t xml:space="preserve"> </w:t>
      </w:r>
      <w:r w:rsidRPr="007D7696">
        <w:rPr>
          <w:rFonts w:ascii="Verdana" w:eastAsia="Arial MT" w:hAnsi="Verdana" w:cs="Arial"/>
          <w:i/>
          <w:iCs/>
          <w:sz w:val="20"/>
          <w:szCs w:val="20"/>
          <w:lang w:val="es-ES"/>
        </w:rPr>
        <w:t>ese</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documento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y,</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contera,</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falta</w:t>
      </w:r>
      <w:r w:rsidRPr="007D7696">
        <w:rPr>
          <w:rFonts w:ascii="Verdana" w:eastAsia="Arial MT" w:hAnsi="Verdana" w:cs="Arial"/>
          <w:spacing w:val="-7"/>
          <w:sz w:val="20"/>
          <w:szCs w:val="20"/>
          <w:lang w:val="es-ES"/>
        </w:rPr>
        <w:t xml:space="preserve"> </w:t>
      </w:r>
      <w:r w:rsidRPr="007D7696">
        <w:rPr>
          <w:rFonts w:ascii="Verdana" w:eastAsia="Arial MT" w:hAnsi="Verdana" w:cs="Arial"/>
          <w:sz w:val="20"/>
          <w:szCs w:val="20"/>
          <w:lang w:val="es-ES"/>
        </w:rPr>
        <w:t>de vocación como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plena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prueba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para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acreditar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cumplimiento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requisitos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habilitantes del proponente, anomalía que en manera alguna se sanea 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convalida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hecho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fuera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plazo reglamentado, en tanto no resulta jurídicamente admisible extender 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vigencia que por ministerio de la ley se encuentra vencida y cuyos efectos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cesaron,</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precisamente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no</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haberse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renovado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término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señalado</w:t>
      </w:r>
      <w:r w:rsidRPr="007D7696">
        <w:rPr>
          <w:rStyle w:val="Refdenotaalpie"/>
          <w:rFonts w:ascii="Verdana" w:eastAsia="Arial MT" w:hAnsi="Verdana" w:cs="Arial"/>
          <w:sz w:val="20"/>
          <w:szCs w:val="20"/>
          <w:lang w:val="es-ES"/>
        </w:rPr>
        <w:footnoteReference w:id="15"/>
      </w:r>
      <w:r w:rsidRPr="007D7696">
        <w:rPr>
          <w:rFonts w:ascii="Verdana" w:eastAsia="Arial MT" w:hAnsi="Verdana" w:cs="Arial"/>
          <w:sz w:val="20"/>
          <w:szCs w:val="20"/>
          <w:lang w:val="es-ES"/>
        </w:rPr>
        <w:t>. [Énfasis fuera del texto original]</w:t>
      </w:r>
    </w:p>
    <w:p w14:paraId="1BF5D75A" w14:textId="77777777" w:rsidR="00DF78D3" w:rsidRPr="00392E37" w:rsidRDefault="00DF78D3" w:rsidP="00DF78D3">
      <w:pPr>
        <w:widowControl w:val="0"/>
        <w:autoSpaceDE w:val="0"/>
        <w:autoSpaceDN w:val="0"/>
        <w:spacing w:after="0" w:line="276" w:lineRule="auto"/>
        <w:contextualSpacing/>
        <w:rPr>
          <w:rFonts w:ascii="Verdana" w:eastAsia="Arial MT" w:hAnsi="Verdana" w:cs="Arial"/>
          <w:lang w:val="es-ES"/>
        </w:rPr>
      </w:pPr>
    </w:p>
    <w:p w14:paraId="4153670B"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Conforme a lo anterior, y en armonía con lo señalado en el artículo 2.2.1.1.1.5.1. del Decreto 1082 de 2015, si el proponente no presenta la información para renovar su registro antes del quinto día hábil del mes de abril de cada año,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37A4F88C"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 xml:space="preserve">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w:t>
      </w:r>
      <w:r w:rsidRPr="00392E37">
        <w:rPr>
          <w:rFonts w:ascii="Verdana" w:hAnsi="Verdana" w:cs="Arial"/>
        </w:rPr>
        <w:lastRenderedPageBreak/>
        <w:t>RUP que está en firme antes de iniciar el trámite de renovación, cuyos efectos no han cesado por encontrarse vigente.</w:t>
      </w:r>
    </w:p>
    <w:p w14:paraId="4EDFEDBF"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 inscrita en el certificado, se podrá acreditar a través del medio documental expedido por la cámara de comercio correspondiente. Así, por no existir tarifa legal que permita establecer la forma de acreditar el trámite de renovación, la Entidad Estatal debe verificar que el documento aportado por el proponente ofrezca certeza sobre el estado del mismo.</w:t>
      </w:r>
    </w:p>
    <w:p w14:paraId="7FB09EE3"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Dicho esto, la firmeza del acto de inscripción, renovación y actualización del RUP debe armonizarse con las prescripciones establecidas para la generalidad de los actos administrativos, esto es, de acuerdo con el artículo 87 de la Ley 1437 de 2011</w:t>
      </w:r>
      <w:r w:rsidRPr="00392E37">
        <w:rPr>
          <w:rStyle w:val="Refdenotaalpie"/>
          <w:rFonts w:ascii="Verdana" w:hAnsi="Verdana" w:cs="Arial"/>
        </w:rPr>
        <w:footnoteReference w:id="16"/>
      </w:r>
      <w:r w:rsidRPr="00392E37">
        <w:rPr>
          <w:rFonts w:ascii="Verdana" w:hAnsi="Verdana" w:cs="Arial"/>
        </w:rPr>
        <w:t xml:space="preserve">. </w:t>
      </w:r>
    </w:p>
    <w:p w14:paraId="35CC56E3" w14:textId="77777777" w:rsidR="00DF78D3" w:rsidRPr="00392E37" w:rsidRDefault="00DF78D3" w:rsidP="00DF78D3">
      <w:pPr>
        <w:spacing w:after="120" w:line="276" w:lineRule="auto"/>
        <w:ind w:firstLine="709"/>
        <w:jc w:val="both"/>
        <w:rPr>
          <w:rFonts w:ascii="Verdana" w:hAnsi="Verdana" w:cs="Arial"/>
        </w:rPr>
      </w:pPr>
      <w:bookmarkStart w:id="4" w:name="_Hlk175919998"/>
      <w:r w:rsidRPr="00392E37">
        <w:rPr>
          <w:rFonts w:ascii="Verdana" w:hAnsi="Verdana" w:cs="Arial"/>
        </w:rPr>
        <w:t>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en Colombia, que aspiran celebrar contratos con las Entidades Estatales, salvo las excepciones establecidas en la ley.</w:t>
      </w:r>
    </w:p>
    <w:bookmarkEnd w:id="4"/>
    <w:p w14:paraId="7B2E1602"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 xml:space="preserve">Así, la firmeza del RUP es una condición de ejecutoriedad, para consolidar los efectos del acto administrativo de inscripción. En palabras del Consejo de Estado “El fenómeno procesal de la firmeza implica en principio, que la decisión </w:t>
      </w:r>
      <w:r w:rsidRPr="00392E37">
        <w:rPr>
          <w:rFonts w:ascii="Verdana" w:hAnsi="Verdana" w:cs="Arial"/>
        </w:rPr>
        <w:lastRenderedPageBreak/>
        <w:t>se torna incuestionable en sede administrativa, lo que a su vez conlleva su ejecutoriedad”</w:t>
      </w:r>
      <w:r w:rsidRPr="00392E37">
        <w:rPr>
          <w:rStyle w:val="Refdenotaalpie"/>
          <w:rFonts w:ascii="Verdana" w:hAnsi="Verdana" w:cs="Arial"/>
        </w:rPr>
        <w:footnoteReference w:id="17"/>
      </w:r>
      <w:r w:rsidRPr="00392E37">
        <w:rPr>
          <w:rFonts w:ascii="Verdana" w:hAnsi="Verdana" w:cs="Arial"/>
        </w:rPr>
        <w:t>.</w:t>
      </w:r>
    </w:p>
    <w:p w14:paraId="320F38DF"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0D059D74"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2B7627D6"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w:t>
      </w:r>
    </w:p>
    <w:p w14:paraId="6EE2F529" w14:textId="77777777" w:rsidR="00DF78D3" w:rsidRPr="00392E37" w:rsidRDefault="00DF78D3" w:rsidP="00DF78D3">
      <w:pPr>
        <w:spacing w:after="120" w:line="276" w:lineRule="auto"/>
        <w:ind w:firstLine="709"/>
        <w:jc w:val="both"/>
        <w:rPr>
          <w:rFonts w:ascii="Verdana" w:hAnsi="Verdana" w:cs="Arial"/>
        </w:rPr>
      </w:pPr>
      <w:bookmarkStart w:id="5" w:name="_Hlk104368216"/>
      <w:r w:rsidRPr="00392E37">
        <w:rPr>
          <w:rFonts w:ascii="Verdana" w:hAnsi="Verdana" w:cs="Arial"/>
        </w:rPr>
        <w:t xml:space="preserve">En relación con la </w:t>
      </w:r>
      <w:r w:rsidRPr="00392E37">
        <w:rPr>
          <w:rFonts w:ascii="Verdana" w:hAnsi="Verdana" w:cs="Arial"/>
          <w:i/>
          <w:iCs/>
        </w:rPr>
        <w:t>inscripción</w:t>
      </w:r>
      <w:r w:rsidRPr="00392E37">
        <w:rPr>
          <w:rFonts w:ascii="Verdana" w:hAnsi="Verdana"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sidRPr="00392E37">
        <w:rPr>
          <w:rStyle w:val="Refdenotaalpie"/>
          <w:rFonts w:ascii="Verdana" w:hAnsi="Verdana" w:cs="Arial"/>
        </w:rPr>
        <w:footnoteReference w:id="18"/>
      </w:r>
      <w:r w:rsidRPr="00392E37">
        <w:rPr>
          <w:rFonts w:ascii="Verdana" w:hAnsi="Verdana" w:cs="Arial"/>
        </w:rPr>
        <w:t xml:space="preserve">, que establece que </w:t>
      </w:r>
      <w:r w:rsidRPr="00392E37">
        <w:rPr>
          <w:rFonts w:ascii="Verdana" w:hAnsi="Verdana" w:cs="Arial"/>
        </w:rPr>
        <w:lastRenderedPageBreak/>
        <w:t>los proponentes no pueden acreditar circunstancias ocurridas con posterioridad al cierre del proceso, unido a lo expresado por la Sala de Consulta y Servicio Civil del Consejo de Estado, quien interpretó una norma de igual contenido a la anterior</w:t>
      </w:r>
      <w:r w:rsidRPr="00392E37">
        <w:rPr>
          <w:rStyle w:val="Refdenotaalpie"/>
          <w:rFonts w:ascii="Verdana" w:hAnsi="Verdana" w:cs="Arial"/>
        </w:rPr>
        <w:footnoteReference w:id="19"/>
      </w:r>
      <w:r w:rsidRPr="00392E37">
        <w:rPr>
          <w:rFonts w:ascii="Verdana" w:hAnsi="Verdana" w:cs="Arial"/>
        </w:rPr>
        <w:t>,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bookmarkEnd w:id="5"/>
      <w:r w:rsidRPr="00392E37">
        <w:rPr>
          <w:rStyle w:val="Refdenotaalpie"/>
          <w:rFonts w:ascii="Verdana" w:hAnsi="Verdana" w:cs="Arial"/>
        </w:rPr>
        <w:footnoteReference w:id="20"/>
      </w:r>
      <w:r w:rsidRPr="00392E37">
        <w:rPr>
          <w:rFonts w:ascii="Verdana" w:hAnsi="Verdana" w:cs="Arial"/>
        </w:rPr>
        <w:t>.</w:t>
      </w:r>
    </w:p>
    <w:p w14:paraId="13E41D7C" w14:textId="77777777" w:rsidR="00DF78D3" w:rsidRPr="00392E37" w:rsidRDefault="00DF78D3" w:rsidP="00DF78D3">
      <w:pPr>
        <w:spacing w:after="120" w:line="276" w:lineRule="auto"/>
        <w:ind w:firstLine="709"/>
        <w:jc w:val="both"/>
        <w:rPr>
          <w:rFonts w:ascii="Verdana" w:hAnsi="Verdana" w:cs="Arial"/>
        </w:rPr>
      </w:pPr>
      <w:bookmarkStart w:id="6" w:name="_Hlk107927422"/>
      <w:r w:rsidRPr="00392E37">
        <w:rPr>
          <w:rFonts w:ascii="Verdana" w:hAnsi="Verdana" w:cs="Arial"/>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314BCDA1" w14:textId="77777777" w:rsidR="00DF78D3" w:rsidRDefault="00DF78D3" w:rsidP="00DF78D3">
      <w:pPr>
        <w:spacing w:after="120" w:line="276" w:lineRule="auto"/>
        <w:ind w:firstLine="709"/>
        <w:jc w:val="both"/>
        <w:rPr>
          <w:rFonts w:ascii="Verdana" w:hAnsi="Verdana" w:cs="Arial"/>
        </w:rPr>
      </w:pPr>
      <w:bookmarkStart w:id="7" w:name="_Hlk107927453"/>
      <w:bookmarkStart w:id="8" w:name="_Hlk104368238"/>
      <w:bookmarkEnd w:id="6"/>
      <w:r w:rsidRPr="00392E37">
        <w:rPr>
          <w:rFonts w:ascii="Verdana" w:hAnsi="Verdana" w:cs="Arial"/>
        </w:rPr>
        <w:t xml:space="preserve">Tratándose del trámite de </w:t>
      </w:r>
      <w:r w:rsidRPr="00392E37">
        <w:rPr>
          <w:rFonts w:ascii="Verdana" w:hAnsi="Verdana" w:cs="Arial"/>
          <w:i/>
          <w:iCs/>
        </w:rPr>
        <w:t>renovación</w:t>
      </w:r>
      <w:r w:rsidRPr="00392E37">
        <w:rPr>
          <w:rFonts w:ascii="Verdana" w:hAnsi="Verdana" w:cs="Arial"/>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w:t>
      </w:r>
    </w:p>
    <w:p w14:paraId="441C5A14"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lastRenderedPageBreak/>
        <w:t>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0EB87AC6" w14:textId="77777777" w:rsidR="00DF78D3" w:rsidRDefault="00DF78D3" w:rsidP="00DF78D3">
      <w:pPr>
        <w:spacing w:after="120" w:line="276" w:lineRule="auto"/>
        <w:ind w:firstLine="709"/>
        <w:jc w:val="both"/>
        <w:rPr>
          <w:rFonts w:ascii="Verdana" w:hAnsi="Verdana" w:cs="Arial"/>
        </w:rPr>
      </w:pPr>
      <w:bookmarkStart w:id="9" w:name="_Hlk107927497"/>
      <w:bookmarkEnd w:id="7"/>
      <w:bookmarkEnd w:id="8"/>
      <w:r w:rsidRPr="00392E37">
        <w:rPr>
          <w:rFonts w:ascii="Verdana" w:hAnsi="Verdana" w:cs="Arial"/>
        </w:rPr>
        <w:t>Ahora bien, el deber de renovación, para impedir que el RUP deje de producir efectos consiste en “presentar la información para renovar su registro antes del quinto día hábil del mes de abril de cada año”</w:t>
      </w:r>
      <w:r w:rsidRPr="00392E37">
        <w:rPr>
          <w:rStyle w:val="Refdenotaalpie"/>
          <w:rFonts w:ascii="Verdana" w:hAnsi="Verdana" w:cs="Arial"/>
        </w:rPr>
        <w:footnoteReference w:id="21"/>
      </w:r>
      <w:r w:rsidRPr="00392E37">
        <w:rPr>
          <w:rFonts w:ascii="Verdana" w:hAnsi="Verdana" w:cs="Arial"/>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564AB8AC"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bookmarkEnd w:id="9"/>
    <w:p w14:paraId="0B9B87E9" w14:textId="77777777" w:rsidR="00DF78D3" w:rsidRPr="00392E37" w:rsidRDefault="00DF78D3" w:rsidP="00DF78D3">
      <w:pPr>
        <w:spacing w:after="0" w:line="276" w:lineRule="auto"/>
        <w:ind w:firstLine="709"/>
        <w:contextualSpacing/>
        <w:jc w:val="both"/>
        <w:rPr>
          <w:rFonts w:ascii="Verdana" w:hAnsi="Verdana" w:cs="Arial"/>
        </w:rPr>
      </w:pPr>
      <w:r w:rsidRPr="00392E37">
        <w:rPr>
          <w:rFonts w:ascii="Verdana" w:hAnsi="Verdana" w:cs="Arial"/>
        </w:rPr>
        <w:lastRenderedPageBreak/>
        <w:t>En concordancia con lo anterior, la Circular Externa Única de Colombia Compra Eficiente</w:t>
      </w:r>
      <w:r w:rsidRPr="00392E37">
        <w:rPr>
          <w:rStyle w:val="Refdenotaalpie"/>
          <w:rFonts w:ascii="Verdana" w:hAnsi="Verdana" w:cs="Arial"/>
        </w:rPr>
        <w:footnoteReference w:id="22"/>
      </w:r>
      <w:r w:rsidRPr="00392E37">
        <w:rPr>
          <w:rFonts w:ascii="Verdana" w:hAnsi="Verdana" w:cs="Arial"/>
        </w:rPr>
        <w:t xml:space="preserve"> en su numeral 12.3. recoge la tesis antes planteada respecto de la renovación del RUP al indicar: </w:t>
      </w:r>
    </w:p>
    <w:p w14:paraId="68B9BEEC" w14:textId="77777777" w:rsidR="00DF78D3" w:rsidRPr="00392E37" w:rsidRDefault="00DF78D3" w:rsidP="00DF78D3">
      <w:pPr>
        <w:spacing w:after="0" w:line="276" w:lineRule="auto"/>
        <w:ind w:firstLine="709"/>
        <w:contextualSpacing/>
        <w:jc w:val="both"/>
        <w:rPr>
          <w:rFonts w:ascii="Verdana" w:hAnsi="Verdana" w:cs="Arial"/>
        </w:rPr>
      </w:pPr>
    </w:p>
    <w:p w14:paraId="38DE564D" w14:textId="77777777" w:rsidR="00DF78D3" w:rsidRPr="00E075ED" w:rsidRDefault="00DF78D3" w:rsidP="00DF78D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El artículo 2.2.1.1.1.5.1. del Decreto 1082 de 2015 establece que las personas inscritas en el RUP deben presentar la información para renovar su registro a más tardar el quinto día hábil del mes de abril de cada año, pues de lo contrario cesan los efectos del RUP.</w:t>
      </w:r>
    </w:p>
    <w:p w14:paraId="44A19766" w14:textId="77777777" w:rsidR="00DF78D3" w:rsidRPr="00E075ED" w:rsidRDefault="00DF78D3" w:rsidP="00DF78D3">
      <w:pPr>
        <w:spacing w:after="0" w:line="240" w:lineRule="auto"/>
        <w:ind w:left="709" w:right="709"/>
        <w:contextualSpacing/>
        <w:jc w:val="both"/>
        <w:rPr>
          <w:rFonts w:ascii="Verdana" w:hAnsi="Verdana" w:cs="Arial"/>
          <w:sz w:val="20"/>
          <w:szCs w:val="20"/>
        </w:rPr>
      </w:pPr>
    </w:p>
    <w:p w14:paraId="0639EC37" w14:textId="77777777" w:rsidR="00DF78D3" w:rsidRPr="00E075ED" w:rsidRDefault="00DF78D3" w:rsidP="00DF78D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Al cierre del procedimiento de selección, es decir, hasta el plazo para presentar ofertas, el RUP debe encontrarse vigente, esto es, que el proponente haya presentado la información para renovar el registro en el término anteriormente establecido. </w:t>
      </w:r>
    </w:p>
    <w:p w14:paraId="7727AA62" w14:textId="77777777" w:rsidR="00DF78D3" w:rsidRPr="00E075ED" w:rsidRDefault="00DF78D3" w:rsidP="00DF78D3">
      <w:pPr>
        <w:spacing w:after="0" w:line="240" w:lineRule="auto"/>
        <w:ind w:left="709" w:right="709"/>
        <w:contextualSpacing/>
        <w:jc w:val="both"/>
        <w:rPr>
          <w:rFonts w:ascii="Verdana" w:hAnsi="Verdana" w:cs="Arial"/>
          <w:sz w:val="20"/>
          <w:szCs w:val="20"/>
        </w:rPr>
      </w:pPr>
    </w:p>
    <w:p w14:paraId="47C0587A" w14:textId="77777777" w:rsidR="00DF78D3" w:rsidRPr="00E075ED" w:rsidRDefault="00DF78D3" w:rsidP="00DF78D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 </w:t>
      </w:r>
      <w:r w:rsidRPr="00E075ED">
        <w:rPr>
          <w:rFonts w:ascii="Verdana" w:hAnsi="Verdana" w:cs="Arial"/>
          <w:i/>
          <w:iCs/>
          <w:sz w:val="20"/>
          <w:szCs w:val="20"/>
        </w:rPr>
        <w:t>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En todo caso, la evaluación de las ofertas se realizará con la información del RUP en firme antes del cierre del proceso.</w:t>
      </w:r>
      <w:r w:rsidRPr="00E075ED">
        <w:rPr>
          <w:rFonts w:ascii="Verdana" w:hAnsi="Verdana" w:cs="Arial"/>
          <w:sz w:val="20"/>
          <w:szCs w:val="20"/>
        </w:rPr>
        <w:t xml:space="preserve"> </w:t>
      </w:r>
    </w:p>
    <w:p w14:paraId="390F294C" w14:textId="77777777" w:rsidR="00DF78D3" w:rsidRPr="00E075ED" w:rsidRDefault="00DF78D3" w:rsidP="00DF78D3">
      <w:pPr>
        <w:spacing w:after="0" w:line="240" w:lineRule="auto"/>
        <w:ind w:left="709" w:right="709"/>
        <w:contextualSpacing/>
        <w:jc w:val="both"/>
        <w:rPr>
          <w:rFonts w:ascii="Verdana" w:hAnsi="Verdana" w:cs="Arial"/>
          <w:sz w:val="20"/>
          <w:szCs w:val="20"/>
        </w:rPr>
      </w:pPr>
    </w:p>
    <w:p w14:paraId="15B00E72" w14:textId="77777777" w:rsidR="00DF78D3" w:rsidRPr="00E075ED" w:rsidRDefault="00DF78D3" w:rsidP="00DF78D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estatal debe verificar que el documento aportado por el proponente ofrezca certeza sobre el estado del trámite. </w:t>
      </w:r>
    </w:p>
    <w:p w14:paraId="1E26E9FB" w14:textId="77777777" w:rsidR="00DF78D3" w:rsidRPr="00E075ED" w:rsidRDefault="00DF78D3" w:rsidP="00DF78D3">
      <w:pPr>
        <w:spacing w:after="0" w:line="240" w:lineRule="auto"/>
        <w:ind w:left="709" w:right="709"/>
        <w:contextualSpacing/>
        <w:jc w:val="both"/>
        <w:rPr>
          <w:rFonts w:ascii="Verdana" w:hAnsi="Verdana" w:cs="Arial"/>
          <w:sz w:val="20"/>
          <w:szCs w:val="20"/>
        </w:rPr>
      </w:pPr>
    </w:p>
    <w:p w14:paraId="55EB0F5C" w14:textId="77777777" w:rsidR="00DF78D3" w:rsidRPr="00E075ED" w:rsidRDefault="00DF78D3" w:rsidP="00DF78D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La firmeza del acto de inscripción, renovación y actualización del RUP debe armonizarse con las prescripciones establecidas para la generalidad de los actos administrativos, esto es, de acuerdo con el artículo 87 de la Ley </w:t>
      </w:r>
      <w:r w:rsidRPr="00E075ED">
        <w:rPr>
          <w:rFonts w:ascii="Verdana" w:hAnsi="Verdana" w:cs="Arial"/>
          <w:sz w:val="20"/>
          <w:szCs w:val="20"/>
        </w:rPr>
        <w:lastRenderedPageBreak/>
        <w:t>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[Énfasis fuera del texto original]</w:t>
      </w:r>
    </w:p>
    <w:p w14:paraId="35B919B5" w14:textId="77777777" w:rsidR="00DF78D3" w:rsidRPr="007D7696" w:rsidRDefault="00DF78D3" w:rsidP="00DF78D3">
      <w:pPr>
        <w:spacing w:after="0" w:line="276" w:lineRule="auto"/>
        <w:ind w:left="709" w:right="709"/>
        <w:contextualSpacing/>
        <w:jc w:val="both"/>
        <w:rPr>
          <w:rFonts w:ascii="Verdana" w:hAnsi="Verdana" w:cs="Arial"/>
        </w:rPr>
      </w:pPr>
    </w:p>
    <w:p w14:paraId="191C1411" w14:textId="77777777" w:rsidR="00DF78D3" w:rsidRPr="00392E37" w:rsidRDefault="00DF78D3" w:rsidP="00DF78D3">
      <w:pPr>
        <w:spacing w:after="120" w:line="276" w:lineRule="auto"/>
        <w:ind w:firstLine="709"/>
        <w:jc w:val="both"/>
        <w:rPr>
          <w:rFonts w:ascii="Verdana" w:hAnsi="Verdana" w:cs="Arial"/>
        </w:rPr>
      </w:pPr>
      <w:r w:rsidRPr="00392E37">
        <w:rPr>
          <w:rFonts w:ascii="Verdana" w:hAnsi="Verdana" w:cs="Arial"/>
        </w:rPr>
        <w:t xml:space="preserve">En efecto, la Circular Externa Única 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w:t>
      </w:r>
    </w:p>
    <w:p w14:paraId="653A8573" w14:textId="77777777" w:rsidR="00DF78D3" w:rsidRDefault="00DF78D3" w:rsidP="00DF78D3">
      <w:pPr>
        <w:spacing w:after="120" w:line="276" w:lineRule="auto"/>
        <w:ind w:firstLine="709"/>
        <w:jc w:val="both"/>
        <w:rPr>
          <w:rFonts w:ascii="Verdana" w:hAnsi="Verdana" w:cs="Arial"/>
        </w:rPr>
      </w:pPr>
      <w:r>
        <w:rPr>
          <w:rFonts w:ascii="Verdana" w:hAnsi="Verdana" w:cs="Arial"/>
        </w:rPr>
        <w:t>Ahora bien</w:t>
      </w:r>
      <w:r w:rsidRPr="00392E37">
        <w:rPr>
          <w:rFonts w:ascii="Verdana" w:hAnsi="Verdana" w:cs="Arial"/>
        </w:rPr>
        <w:t xml:space="preserve">, tratándose del trámite administrativo de la </w:t>
      </w:r>
      <w:r w:rsidRPr="00392E37">
        <w:rPr>
          <w:rFonts w:ascii="Verdana" w:hAnsi="Verdana" w:cs="Arial"/>
          <w:i/>
          <w:iCs/>
        </w:rPr>
        <w:t>actualización</w:t>
      </w:r>
      <w:r w:rsidRPr="00392E37">
        <w:rPr>
          <w:rFonts w:ascii="Verdana" w:hAnsi="Verdana" w:cs="Arial"/>
        </w:rPr>
        <w:t>,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w:t>
      </w:r>
    </w:p>
    <w:p w14:paraId="111E6C3D" w14:textId="77777777" w:rsidR="00DF78D3" w:rsidRPr="00B61AAB" w:rsidRDefault="00DF78D3" w:rsidP="00DF78D3">
      <w:pPr>
        <w:spacing w:after="120" w:line="276" w:lineRule="auto"/>
        <w:ind w:firstLine="709"/>
        <w:jc w:val="both"/>
        <w:rPr>
          <w:rFonts w:ascii="Verdana" w:hAnsi="Verdana" w:cs="Arial"/>
          <w:lang w:val="es-MX"/>
        </w:rPr>
      </w:pPr>
      <w:r w:rsidRPr="00B61AAB">
        <w:rPr>
          <w:rFonts w:ascii="Verdana" w:hAnsi="Verdana" w:cs="Arial"/>
        </w:rPr>
        <w:t xml:space="preserve">Finalmente, es menester analizar si el RUP debe estar </w:t>
      </w:r>
      <w:r>
        <w:rPr>
          <w:rFonts w:ascii="Verdana" w:hAnsi="Verdana" w:cs="Arial"/>
        </w:rPr>
        <w:t>en firme</w:t>
      </w:r>
      <w:r w:rsidRPr="00B61AAB">
        <w:rPr>
          <w:rFonts w:ascii="Verdana" w:hAnsi="Verdana" w:cs="Arial"/>
        </w:rPr>
        <w:t xml:space="preserve"> para el momento cierre del proceso de selección o </w:t>
      </w:r>
      <w:r>
        <w:rPr>
          <w:rFonts w:ascii="Verdana" w:hAnsi="Verdana" w:cs="Arial"/>
        </w:rPr>
        <w:t xml:space="preserve">se es necesario que se mantenga vigente y esté en firme hasta el momento en que se celebre </w:t>
      </w:r>
      <w:r w:rsidRPr="00B61AAB">
        <w:rPr>
          <w:rFonts w:ascii="Verdana" w:hAnsi="Verdana" w:cs="Arial"/>
        </w:rPr>
        <w:t xml:space="preserve">la audiencia de subasta. Al respecto, esta Agencia considera que, </w:t>
      </w:r>
      <w:proofErr w:type="spellStart"/>
      <w:r w:rsidRPr="00B61AAB">
        <w:rPr>
          <w:rFonts w:ascii="Verdana" w:hAnsi="Verdana" w:cs="Arial"/>
          <w:lang w:val="es-MX"/>
        </w:rPr>
        <w:t>si</w:t>
      </w:r>
      <w:proofErr w:type="spellEnd"/>
      <w:r w:rsidRPr="00B61AAB">
        <w:rPr>
          <w:rFonts w:ascii="Verdana" w:hAnsi="Verdana" w:cs="Arial"/>
          <w:lang w:val="es-MX"/>
        </w:rPr>
        <w:t xml:space="preserve"> para ese momento del cierre del proceso el Proponente tenía en firme el RUP estará habilitado para participar en el proceso</w:t>
      </w:r>
      <w:r>
        <w:rPr>
          <w:rFonts w:ascii="Verdana" w:hAnsi="Verdana" w:cs="Arial"/>
          <w:lang w:val="es-MX"/>
        </w:rPr>
        <w:t xml:space="preserve"> y ser adjudicatario del contrato</w:t>
      </w:r>
      <w:r w:rsidRPr="00B61AAB">
        <w:rPr>
          <w:rFonts w:ascii="Verdana" w:hAnsi="Verdana" w:cs="Arial"/>
          <w:lang w:val="es-MX"/>
        </w:rPr>
        <w:t xml:space="preserve">. </w:t>
      </w:r>
    </w:p>
    <w:p w14:paraId="572B235F" w14:textId="77777777" w:rsidR="00DF78D3" w:rsidRDefault="00DF78D3" w:rsidP="00DF78D3">
      <w:pPr>
        <w:spacing w:after="0" w:line="276" w:lineRule="auto"/>
        <w:ind w:firstLine="709"/>
        <w:jc w:val="both"/>
        <w:rPr>
          <w:rFonts w:ascii="Verdana" w:hAnsi="Verdana" w:cs="Arial"/>
        </w:rPr>
      </w:pPr>
      <w:r w:rsidRPr="00B61AAB">
        <w:rPr>
          <w:rFonts w:ascii="Verdana" w:hAnsi="Verdana" w:cs="Arial"/>
        </w:rPr>
        <w:t>Dicha posición coincide con la tesis defendida por el Consejo de Estado</w:t>
      </w:r>
      <w:r>
        <w:rPr>
          <w:rFonts w:ascii="Verdana" w:hAnsi="Verdana" w:cs="Arial"/>
        </w:rPr>
        <w:t>, en sentencia proferida el pasado 17 de julio. Dicha Corporación,</w:t>
      </w:r>
      <w:r w:rsidRPr="00B61AAB">
        <w:rPr>
          <w:rFonts w:ascii="Verdana" w:hAnsi="Verdana" w:cs="Arial"/>
        </w:rPr>
        <w:t xml:space="preserve"> </w:t>
      </w:r>
      <w:r>
        <w:rPr>
          <w:rFonts w:ascii="Verdana" w:hAnsi="Verdana" w:cs="Arial"/>
        </w:rPr>
        <w:t xml:space="preserve">al analizar si la </w:t>
      </w:r>
      <w:r w:rsidRPr="00B61AAB">
        <w:rPr>
          <w:rFonts w:ascii="Verdana" w:hAnsi="Verdana" w:cs="Arial"/>
        </w:rPr>
        <w:t>oferta ganadora</w:t>
      </w:r>
      <w:r>
        <w:rPr>
          <w:rFonts w:ascii="Verdana" w:hAnsi="Verdana" w:cs="Arial"/>
        </w:rPr>
        <w:t xml:space="preserve"> en un Proceso de Contratación </w:t>
      </w:r>
      <w:r w:rsidRPr="00B61AAB">
        <w:rPr>
          <w:rFonts w:ascii="Verdana" w:hAnsi="Verdana" w:cs="Arial"/>
        </w:rPr>
        <w:t>debió ser descalificada porque uno de los integrantes del consorcio adjudicatario no contaba con una inscripción vigente en el RÚP</w:t>
      </w:r>
      <w:r>
        <w:rPr>
          <w:rFonts w:ascii="Verdana" w:hAnsi="Verdana" w:cs="Arial"/>
        </w:rPr>
        <w:t xml:space="preserve"> entre la fecha de</w:t>
      </w:r>
      <w:r w:rsidRPr="00B61AAB">
        <w:rPr>
          <w:rFonts w:ascii="Verdana" w:hAnsi="Verdana" w:cs="Arial"/>
        </w:rPr>
        <w:t xml:space="preserve">l cierre de la licitación </w:t>
      </w:r>
      <w:r>
        <w:rPr>
          <w:rFonts w:ascii="Verdana" w:hAnsi="Verdana" w:cs="Arial"/>
        </w:rPr>
        <w:t>y</w:t>
      </w:r>
      <w:r w:rsidRPr="00B61AAB">
        <w:rPr>
          <w:rFonts w:ascii="Verdana" w:hAnsi="Verdana" w:cs="Arial"/>
        </w:rPr>
        <w:t xml:space="preserve"> el acto de adjudicación</w:t>
      </w:r>
      <w:r>
        <w:rPr>
          <w:rFonts w:ascii="Verdana" w:hAnsi="Verdana" w:cs="Arial"/>
        </w:rPr>
        <w:t xml:space="preserve">, señaló que: </w:t>
      </w:r>
    </w:p>
    <w:p w14:paraId="2CF8CABB" w14:textId="77777777" w:rsidR="00DF78D3" w:rsidRDefault="00DF78D3" w:rsidP="00DF78D3">
      <w:pPr>
        <w:spacing w:after="0" w:line="276" w:lineRule="auto"/>
        <w:ind w:firstLine="709"/>
        <w:jc w:val="both"/>
        <w:rPr>
          <w:rFonts w:ascii="Verdana" w:hAnsi="Verdana" w:cs="Arial"/>
        </w:rPr>
      </w:pPr>
    </w:p>
    <w:p w14:paraId="5F862BE4" w14:textId="77777777" w:rsidR="00DF78D3" w:rsidRPr="00C0053A" w:rsidRDefault="00DF78D3" w:rsidP="00DF78D3">
      <w:pPr>
        <w:spacing w:after="0" w:line="240" w:lineRule="auto"/>
        <w:ind w:left="709" w:right="709"/>
        <w:jc w:val="both"/>
        <w:rPr>
          <w:rFonts w:ascii="Verdana" w:hAnsi="Verdana" w:cs="Arial"/>
          <w:sz w:val="20"/>
          <w:szCs w:val="20"/>
        </w:rPr>
      </w:pPr>
      <w:r>
        <w:rPr>
          <w:rFonts w:ascii="Verdana" w:hAnsi="Verdana" w:cs="Arial"/>
          <w:sz w:val="20"/>
          <w:szCs w:val="20"/>
        </w:rPr>
        <w:lastRenderedPageBreak/>
        <w:t xml:space="preserve">[…] </w:t>
      </w:r>
      <w:r w:rsidRPr="00C0053A">
        <w:rPr>
          <w:rFonts w:ascii="Verdana" w:hAnsi="Verdana" w:cs="Arial"/>
          <w:sz w:val="20"/>
          <w:szCs w:val="20"/>
        </w:rPr>
        <w:t>de acuerdo con el artículo 5 de la Ley 1882 de 2018, la entidad debe considerar el RUP vigente al momento del cierre de la licitación, por cuanto el proponente no puede acreditar circunstancias ocurridas después de ese momento, lo cual asegura que las propuestas se evalúen sobre las mismas condiciones y evita que se pueda tener en cuenta cualquier evento que otorgue alguna ventaja o desventaja y que, por tanto, resulte sorpresivo, desconocido o inesperado para los participantes y para la entidad estatal convocante.</w:t>
      </w:r>
    </w:p>
    <w:p w14:paraId="394EC05E" w14:textId="77777777" w:rsidR="00DF78D3" w:rsidRPr="00C0053A" w:rsidRDefault="00DF78D3" w:rsidP="00DF78D3">
      <w:pPr>
        <w:spacing w:after="0" w:line="240" w:lineRule="auto"/>
        <w:ind w:left="709" w:right="709" w:firstLine="709"/>
        <w:jc w:val="both"/>
        <w:rPr>
          <w:rFonts w:ascii="Verdana" w:hAnsi="Verdana" w:cs="Arial"/>
          <w:sz w:val="20"/>
          <w:szCs w:val="20"/>
        </w:rPr>
      </w:pPr>
    </w:p>
    <w:p w14:paraId="1D369743" w14:textId="77777777" w:rsidR="00DF78D3" w:rsidRPr="00C0053A" w:rsidRDefault="00DF78D3" w:rsidP="00DF78D3">
      <w:pPr>
        <w:spacing w:after="0" w:line="240" w:lineRule="auto"/>
        <w:ind w:left="709" w:right="709"/>
        <w:jc w:val="both"/>
        <w:rPr>
          <w:rFonts w:ascii="Verdana" w:hAnsi="Verdana" w:cs="Arial"/>
          <w:sz w:val="20"/>
          <w:szCs w:val="20"/>
        </w:rPr>
      </w:pPr>
      <w:r w:rsidRPr="00C0053A">
        <w:rPr>
          <w:rFonts w:ascii="Verdana" w:hAnsi="Verdana" w:cs="Arial"/>
          <w:sz w:val="20"/>
          <w:szCs w:val="20"/>
        </w:rPr>
        <w:t>No otro sentido puede dársele a la norma en comento, toda vez que la imposibilidad de probar cualquier aspecto posterior al vencimiento de la convocatoria implica que todo hecho que ocurra después de esa fecha resulta indiferente de cara al proceso de selección, aunque esté debidamente acreditado, admitir lo contrario permitiría ajustes de último momento que podrían comprometer la objetividad del proceso de selección.</w:t>
      </w:r>
    </w:p>
    <w:p w14:paraId="5255B942" w14:textId="77777777" w:rsidR="00DF78D3" w:rsidRDefault="00DF78D3" w:rsidP="00DF78D3">
      <w:pPr>
        <w:spacing w:after="0" w:line="240" w:lineRule="auto"/>
        <w:ind w:left="709" w:right="709"/>
        <w:jc w:val="both"/>
        <w:rPr>
          <w:rFonts w:ascii="Verdana" w:hAnsi="Verdana" w:cs="Arial"/>
          <w:sz w:val="20"/>
          <w:szCs w:val="20"/>
        </w:rPr>
      </w:pPr>
    </w:p>
    <w:p w14:paraId="3DB1039A" w14:textId="77777777" w:rsidR="00DF78D3" w:rsidRDefault="00DF78D3" w:rsidP="00DF78D3">
      <w:pPr>
        <w:spacing w:after="0" w:line="240" w:lineRule="auto"/>
        <w:ind w:left="709" w:right="709"/>
        <w:jc w:val="both"/>
        <w:rPr>
          <w:rFonts w:ascii="Verdana" w:hAnsi="Verdana" w:cs="Arial"/>
          <w:sz w:val="20"/>
          <w:szCs w:val="20"/>
        </w:rPr>
      </w:pPr>
      <w:r w:rsidRPr="00C131C3">
        <w:rPr>
          <w:rFonts w:ascii="Verdana" w:hAnsi="Verdana" w:cs="Arial"/>
          <w:sz w:val="20"/>
          <w:szCs w:val="20"/>
        </w:rPr>
        <w:t>En consecuencia, por las particularidades del caso concreto, el registro presentado por el integrante resultaba suficiente para poder participar de conformidad con lo dispuesto en el pliego de condiciones, debido a que al momento del cierre de la convocatoria (29 de marzo de 2019) aún no había finalizado el término para prorrogar la validez de la inscripción (5 de abril de 2019) y, por lo tanto, estaba vigente y en firme según lo exigido por los términos de referencia</w:t>
      </w:r>
      <w:r w:rsidRPr="00C131C3">
        <w:rPr>
          <w:rStyle w:val="Refdenotaalpie"/>
          <w:rFonts w:ascii="Verdana" w:hAnsi="Verdana" w:cs="Arial"/>
          <w:sz w:val="20"/>
          <w:szCs w:val="20"/>
        </w:rPr>
        <w:footnoteReference w:id="23"/>
      </w:r>
      <w:r w:rsidRPr="00C131C3">
        <w:rPr>
          <w:rFonts w:ascii="Verdana" w:hAnsi="Verdana" w:cs="Arial"/>
          <w:sz w:val="20"/>
          <w:szCs w:val="20"/>
        </w:rPr>
        <w:t>.</w:t>
      </w:r>
    </w:p>
    <w:p w14:paraId="4AE3F0A1" w14:textId="77777777" w:rsidR="00DF78D3" w:rsidRDefault="00DF78D3" w:rsidP="00DF78D3">
      <w:pPr>
        <w:spacing w:after="0" w:line="240" w:lineRule="auto"/>
        <w:ind w:right="709"/>
        <w:jc w:val="both"/>
        <w:rPr>
          <w:rFonts w:ascii="Verdana" w:hAnsi="Verdana" w:cs="Arial"/>
          <w:sz w:val="20"/>
          <w:szCs w:val="20"/>
        </w:rPr>
      </w:pPr>
    </w:p>
    <w:p w14:paraId="2593277B" w14:textId="4297E744" w:rsidR="00DF78D3" w:rsidRPr="00C131C3" w:rsidDel="004D5F83" w:rsidRDefault="00DF78D3" w:rsidP="00DF78D3">
      <w:pPr>
        <w:spacing w:after="120" w:line="276" w:lineRule="auto"/>
        <w:ind w:firstLine="709"/>
        <w:jc w:val="both"/>
        <w:rPr>
          <w:rFonts w:ascii="Verdana" w:eastAsia="Times New Roman" w:hAnsi="Verdana" w:cs="Arial"/>
          <w:lang w:val="es-ES" w:eastAsia="es-ES"/>
        </w:rPr>
      </w:pPr>
      <w:r w:rsidRPr="29F65EA1">
        <w:rPr>
          <w:rFonts w:ascii="Verdana" w:eastAsia="Times New Roman" w:hAnsi="Verdana" w:cs="Arial"/>
          <w:lang w:val="es-ES" w:eastAsia="es-ES"/>
        </w:rPr>
        <w:t>Ahora bien</w:t>
      </w:r>
      <w:r w:rsidR="00433660">
        <w:rPr>
          <w:rFonts w:ascii="Verdana" w:eastAsia="Times New Roman" w:hAnsi="Verdana" w:cs="Arial"/>
          <w:lang w:val="es-ES" w:eastAsia="es-ES"/>
        </w:rPr>
        <w:t>,</w:t>
      </w:r>
      <w:r w:rsidRPr="29F65EA1">
        <w:rPr>
          <w:rFonts w:ascii="Verdana" w:eastAsia="Times New Roman" w:hAnsi="Verdana" w:cs="Arial"/>
          <w:lang w:val="es-ES" w:eastAsia="es-ES"/>
        </w:rPr>
        <w:t xml:space="preserve"> en </w:t>
      </w:r>
      <w:r w:rsidR="58DDFA1A" w:rsidRPr="29F65EA1">
        <w:rPr>
          <w:rFonts w:ascii="Verdana" w:eastAsia="Times New Roman" w:hAnsi="Verdana" w:cs="Arial"/>
          <w:lang w:val="es-ES" w:eastAsia="es-ES"/>
        </w:rPr>
        <w:t>relación</w:t>
      </w:r>
      <w:r w:rsidRPr="29F65EA1">
        <w:rPr>
          <w:rFonts w:ascii="Verdana" w:eastAsia="Times New Roman" w:hAnsi="Verdana" w:cs="Arial"/>
          <w:lang w:val="es-ES" w:eastAsia="es-ES"/>
        </w:rPr>
        <w:t xml:space="preserve"> al segundo planteamiento </w:t>
      </w:r>
      <w:r w:rsidR="53FCE666" w:rsidRPr="29F65EA1">
        <w:rPr>
          <w:rFonts w:ascii="Verdana" w:eastAsia="Times New Roman" w:hAnsi="Verdana" w:cs="Arial"/>
          <w:lang w:val="es-ES" w:eastAsia="es-ES"/>
        </w:rPr>
        <w:t>jurídico</w:t>
      </w:r>
      <w:r w:rsidRPr="29F65EA1">
        <w:rPr>
          <w:rFonts w:ascii="Verdana" w:eastAsia="Times New Roman" w:hAnsi="Verdana" w:cs="Arial"/>
          <w:lang w:val="es-ES" w:eastAsia="es-ES"/>
        </w:rPr>
        <w:t xml:space="preserve">, la regla de la </w:t>
      </w:r>
      <w:proofErr w:type="spellStart"/>
      <w:r w:rsidRPr="29F65EA1">
        <w:rPr>
          <w:rFonts w:ascii="Verdana" w:eastAsia="Times New Roman" w:hAnsi="Verdana" w:cs="Arial"/>
          <w:lang w:val="es-ES" w:eastAsia="es-ES"/>
        </w:rPr>
        <w:t>subsanabilidad</w:t>
      </w:r>
      <w:proofErr w:type="spellEnd"/>
      <w:r w:rsidRPr="29F65EA1">
        <w:rPr>
          <w:rFonts w:ascii="Verdana" w:eastAsia="Times New Roman" w:hAnsi="Verdana" w:cs="Arial"/>
          <w:lang w:val="es-ES" w:eastAsia="es-ES"/>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195E6F1B" w14:textId="77777777" w:rsidR="00DF78D3" w:rsidDel="00A05D54" w:rsidRDefault="00DF78D3" w:rsidP="00DF78D3">
      <w:pPr>
        <w:spacing w:after="120" w:line="276" w:lineRule="auto"/>
        <w:ind w:firstLine="709"/>
        <w:jc w:val="both"/>
        <w:rPr>
          <w:rFonts w:ascii="Verdana" w:eastAsia="Times New Roman" w:hAnsi="Verdana" w:cs="Arial"/>
          <w:lang w:val="es-ES" w:eastAsia="es-CO"/>
        </w:rPr>
      </w:pPr>
      <w:r w:rsidRPr="37C57DE6">
        <w:rPr>
          <w:rFonts w:ascii="Verdana" w:eastAsia="Times New Roman" w:hAnsi="Verdana" w:cs="Arial"/>
          <w:lang w:val="es-ES" w:eastAsia="es-ES"/>
        </w:rPr>
        <w:t>La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 w:eastAsia="es-ES"/>
        </w:rPr>
        <w:t xml:space="preserve"> la Ley </w:t>
      </w:r>
      <w:r w:rsidRPr="3F2B4452">
        <w:rPr>
          <w:rFonts w:ascii="Verdana" w:eastAsia="Times New Roman" w:hAnsi="Verdana" w:cs="Arial"/>
          <w:lang w:val="es-ES" w:eastAsia="es-CO"/>
        </w:rPr>
        <w:t xml:space="preserve">1882 de 2018, tuvo por finalidad la de introducir cambios y ajustes para fortalecer la contratación pública. En ese orden, mediante su artículo 5 modificó </w:t>
      </w:r>
      <w:r w:rsidRPr="3F2B4452">
        <w:rPr>
          <w:rFonts w:ascii="Verdana" w:eastAsia="Times New Roman" w:hAnsi="Verdana" w:cs="Arial"/>
          <w:lang w:val="es-ES" w:eastAsia="es-CO"/>
        </w:rPr>
        <w:lastRenderedPageBreak/>
        <w:t xml:space="preserve">el parágrafo 1º y adicionó algunos otros, entre ellos el 3° y 4° del artículo 5 de la Ley 1150 de 2007, en los siguientes términos: </w:t>
      </w:r>
    </w:p>
    <w:p w14:paraId="56D914FB" w14:textId="77777777" w:rsidR="00DF78D3" w:rsidRPr="00556BC7" w:rsidRDefault="00DF78D3" w:rsidP="00DF78D3">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t>“</w:t>
      </w:r>
      <w:r w:rsidRPr="00556BC7">
        <w:rPr>
          <w:rFonts w:ascii="Verdana" w:eastAsia="Times New Roman" w:hAnsi="Verdana" w:cs="Arial"/>
          <w:sz w:val="20"/>
          <w:szCs w:val="20"/>
          <w:lang w:val="es-ES_tradnl" w:eastAsia="es-CO"/>
        </w:rPr>
        <w:t xml:space="preserve">Artículo 5°. De la selección objetiva. </w:t>
      </w:r>
    </w:p>
    <w:p w14:paraId="6106C789" w14:textId="77777777" w:rsidR="00DF78D3" w:rsidRDefault="00DF78D3" w:rsidP="00DF78D3">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5C21B141"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556BC7">
        <w:rPr>
          <w:rStyle w:val="eop"/>
          <w:rFonts w:ascii="Verdana" w:hAnsi="Verdana" w:cs="Arial"/>
          <w:color w:val="000000"/>
          <w:sz w:val="20"/>
          <w:szCs w:val="20"/>
        </w:rPr>
        <w:t> </w:t>
      </w:r>
    </w:p>
    <w:p w14:paraId="1399E654"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225E495"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52BEE738"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0B926F0"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5A1785A0"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p>
    <w:p w14:paraId="536E2D0E"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44C366E6"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p>
    <w:p w14:paraId="174F6637"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5C110B98"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p>
    <w:p w14:paraId="14F6A83A"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55A08306"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p>
    <w:p w14:paraId="09CF61BD"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lastRenderedPageBreak/>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73E539FE"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3BEEB72A"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4FF5A3B1"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D95AA8C"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11BC9042"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9F6EDD3"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r w:rsidRPr="00556BC7">
        <w:rPr>
          <w:rStyle w:val="normaltextrun"/>
          <w:rFonts w:ascii="Verdana" w:hAnsi="Verdana" w:cs="Arial"/>
          <w:color w:val="000000"/>
          <w:sz w:val="20"/>
          <w:szCs w:val="20"/>
          <w:lang w:val="es-ES"/>
        </w:rPr>
        <w:t xml:space="preserve">, salvo lo dispuesto para el proceso de Mínima cuantía y para el proceso de selección a través del sistema de subasta. </w:t>
      </w:r>
      <w:r w:rsidRPr="005009EC">
        <w:rPr>
          <w:rStyle w:val="normaltextrun"/>
          <w:rFonts w:ascii="Verdana" w:hAnsi="Verdana" w:cs="Arial"/>
          <w:color w:val="000000"/>
          <w:sz w:val="20"/>
          <w:szCs w:val="20"/>
          <w:u w:val="single"/>
          <w:lang w:val="es-ES"/>
        </w:rPr>
        <w:t>Serán rechazadas las ofertas de aquellos proponentes que no suministren la información y la documentación solicitada por la entidad estatal hasta el plazo anteriormente señalado.</w:t>
      </w:r>
      <w:r w:rsidRPr="005009EC">
        <w:rPr>
          <w:rStyle w:val="eop"/>
          <w:rFonts w:ascii="Verdana" w:hAnsi="Verdana" w:cs="Arial"/>
          <w:color w:val="000000"/>
          <w:sz w:val="20"/>
          <w:szCs w:val="20"/>
          <w:u w:val="single"/>
        </w:rPr>
        <w:t> </w:t>
      </w:r>
    </w:p>
    <w:p w14:paraId="610E73D1"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27E13AA"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39C5021A"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5EE72C4"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37B5B972"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1982800" w14:textId="77777777" w:rsidR="00DF78D3" w:rsidRPr="005009EC" w:rsidRDefault="00DF78D3" w:rsidP="00DF78D3">
      <w:pPr>
        <w:pStyle w:val="paragraph"/>
        <w:spacing w:before="0" w:beforeAutospacing="0" w:after="0" w:afterAutospacing="0"/>
        <w:ind w:left="709" w:right="709"/>
        <w:jc w:val="both"/>
        <w:textAlignment w:val="baseline"/>
        <w:rPr>
          <w:rFonts w:ascii="Verdana" w:hAnsi="Verdana" w:cs="Segoe UI"/>
          <w:sz w:val="20"/>
          <w:szCs w:val="20"/>
          <w:u w:val="single"/>
        </w:rPr>
      </w:pPr>
      <w:r w:rsidRPr="005009EC">
        <w:rPr>
          <w:rStyle w:val="normaltextrun"/>
          <w:rFonts w:ascii="Verdana" w:hAnsi="Verdana" w:cs="Arial"/>
          <w:color w:val="000000"/>
          <w:sz w:val="20"/>
          <w:szCs w:val="20"/>
          <w:u w:val="single"/>
          <w:lang w:val="es-ES"/>
        </w:rPr>
        <w:t>PARÁGRAFO 3o. &lt;Parágrafo adicionado por el artículo 5 de la Ley 1882 de 2018. El nuevo texto es el siguiente:&gt; La no entrega de la garantía de seriedad junto con la propuesta no será subsanable y será causal de rechazo de la misma.</w:t>
      </w:r>
      <w:r w:rsidRPr="005009EC">
        <w:rPr>
          <w:rStyle w:val="eop"/>
          <w:rFonts w:ascii="Verdana" w:hAnsi="Verdana" w:cs="Arial"/>
          <w:color w:val="000000"/>
          <w:sz w:val="20"/>
          <w:szCs w:val="20"/>
          <w:u w:val="single"/>
        </w:rPr>
        <w:t> </w:t>
      </w:r>
    </w:p>
    <w:p w14:paraId="55435CD1"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44CAF72"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w:t>
      </w:r>
      <w:r w:rsidRPr="00556BC7">
        <w:rPr>
          <w:rStyle w:val="normaltextrun"/>
          <w:rFonts w:ascii="Verdana" w:hAnsi="Verdana" w:cs="Arial"/>
          <w:color w:val="000000"/>
          <w:sz w:val="20"/>
          <w:szCs w:val="20"/>
          <w:lang w:val="es-ES"/>
        </w:rPr>
        <w:lastRenderedPageBreak/>
        <w:t>comparación de las propuestas, deberán ser solicitados hasta el momento previo a su realización.</w:t>
      </w:r>
      <w:r w:rsidRPr="00556BC7">
        <w:rPr>
          <w:rStyle w:val="eop"/>
          <w:rFonts w:ascii="Verdana" w:hAnsi="Verdana" w:cs="Arial"/>
          <w:color w:val="000000"/>
          <w:sz w:val="20"/>
          <w:szCs w:val="20"/>
        </w:rPr>
        <w:t> </w:t>
      </w:r>
    </w:p>
    <w:p w14:paraId="5CF36302"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02A1F38" w14:textId="77777777" w:rsidR="00DF78D3" w:rsidRPr="00556BC7" w:rsidRDefault="00DF78D3" w:rsidP="00DF78D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w:t>
      </w:r>
      <w:r>
        <w:rPr>
          <w:rStyle w:val="normaltextrun"/>
          <w:rFonts w:ascii="Verdana" w:hAnsi="Verdana" w:cs="Arial"/>
          <w:color w:val="000000"/>
          <w:sz w:val="20"/>
          <w:szCs w:val="20"/>
          <w:lang w:val="es-ES"/>
        </w:rPr>
        <w:t>”. [Subrayado por fuera de texto original]</w:t>
      </w:r>
    </w:p>
    <w:p w14:paraId="6AFC5280" w14:textId="77777777" w:rsidR="00DF78D3" w:rsidRPr="00556BC7" w:rsidRDefault="00DF78D3" w:rsidP="00DF78D3">
      <w:pPr>
        <w:spacing w:after="0" w:line="276" w:lineRule="auto"/>
        <w:ind w:left="709" w:right="709"/>
        <w:jc w:val="both"/>
        <w:rPr>
          <w:rFonts w:ascii="Verdana" w:eastAsia="Times New Roman" w:hAnsi="Verdana" w:cs="Arial"/>
          <w:lang w:eastAsia="es-CO"/>
        </w:rPr>
      </w:pPr>
    </w:p>
    <w:p w14:paraId="6CF5EA51" w14:textId="77777777" w:rsidR="00DF78D3" w:rsidRPr="00D16A5E" w:rsidRDefault="00DF78D3" w:rsidP="00DF78D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xml:space="preserve">) mantiene el criterio aclaratorio de la Ley 1150 de 2007, según el cual todo lo que no afecte la asignación de puntaje puede subsanarse; </w:t>
      </w:r>
      <w:r>
        <w:rPr>
          <w:rFonts w:ascii="Verdana" w:eastAsia="Times New Roman" w:hAnsi="Verdana" w:cs="Arial"/>
          <w:lang w:val="es-ES" w:eastAsia="es-ES"/>
        </w:rPr>
        <w:t>e</w:t>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introduce modificaciones en relación con algunos aspectos que se analizarán a continuación. </w:t>
      </w:r>
    </w:p>
    <w:p w14:paraId="378044F4" w14:textId="6CB7AFFB" w:rsidR="00DF78D3" w:rsidRPr="00D16A5E" w:rsidRDefault="00DF78D3" w:rsidP="00164DAA">
      <w:pPr>
        <w:spacing w:after="120" w:line="276" w:lineRule="auto"/>
        <w:ind w:right="51" w:firstLine="709"/>
        <w:jc w:val="both"/>
        <w:rPr>
          <w:rFonts w:ascii="Verdana" w:eastAsia="Times New Roman" w:hAnsi="Verdana" w:cs="Arial"/>
          <w:lang w:val="es-ES" w:eastAsia="es-ES"/>
        </w:rPr>
      </w:pPr>
      <w:r w:rsidRPr="0F126BB0">
        <w:rPr>
          <w:rFonts w:ascii="Verdana" w:eastAsia="Times New Roman" w:hAnsi="Verdana" w:cs="Arial"/>
          <w:i/>
          <w:iCs/>
          <w:lang w:val="es-ES" w:eastAsia="es-ES"/>
        </w:rPr>
        <w:t xml:space="preserve">La primera modificación </w:t>
      </w:r>
      <w:r w:rsidRPr="37C57DE6">
        <w:rPr>
          <w:rFonts w:ascii="Verdana" w:eastAsia="Times New Roman" w:hAnsi="Verdana" w:cs="Arial"/>
          <w:lang w:val="es-ES" w:eastAsia="es-ES"/>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w:t>
      </w:r>
      <w:r w:rsidRPr="589BE328">
        <w:rPr>
          <w:rFonts w:ascii="Verdana" w:eastAsia="Times New Roman" w:hAnsi="Verdana" w:cs="Arial"/>
          <w:vertAlign w:val="superscript"/>
          <w:lang w:val="es-ES" w:eastAsia="es-ES"/>
        </w:rPr>
        <w:footnoteReference w:id="24"/>
      </w:r>
      <w:r w:rsidRPr="3F2B4452">
        <w:rPr>
          <w:rFonts w:ascii="Verdana" w:eastAsia="Times New Roman" w:hAnsi="Verdana" w:cs="Arial"/>
          <w:lang w:val="es-ES" w:eastAsia="es-ES"/>
        </w:rPr>
        <w:t xml:space="preserve"> </w:t>
      </w:r>
    </w:p>
    <w:p w14:paraId="7BC5A417" w14:textId="77777777" w:rsidR="00DF78D3" w:rsidRDefault="00DF78D3" w:rsidP="00DF78D3">
      <w:pPr>
        <w:spacing w:after="120" w:line="276" w:lineRule="auto"/>
        <w:ind w:firstLine="709"/>
        <w:jc w:val="both"/>
        <w:rPr>
          <w:rFonts w:ascii="Verdana" w:eastAsia="Arial" w:hAnsi="Verdana" w:cs="Arial"/>
        </w:rPr>
      </w:pPr>
      <w:r w:rsidRPr="3F2B4452">
        <w:rPr>
          <w:rFonts w:ascii="Verdana" w:eastAsia="Arial" w:hAnsi="Verdana" w:cs="Arial"/>
        </w:rPr>
        <w:t xml:space="preserve">En ese contexto, la facultad de las entidades estatales para incluir en los pliegos de condiciones o invitaciones públicas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1FD049F7" w14:textId="77777777" w:rsidR="00DF78D3" w:rsidRDefault="00DF78D3" w:rsidP="00DF78D3">
      <w:pPr>
        <w:spacing w:before="120" w:after="120" w:line="276" w:lineRule="auto"/>
        <w:ind w:firstLine="709"/>
        <w:jc w:val="both"/>
        <w:rPr>
          <w:rFonts w:ascii="Verdana" w:hAnsi="Verdana" w:cs="Arial"/>
          <w:color w:val="000000" w:themeColor="text1"/>
          <w:lang w:val="es-ES"/>
        </w:rPr>
      </w:pPr>
      <w:r w:rsidRPr="3F2B4452">
        <w:rPr>
          <w:rFonts w:ascii="Verdana" w:eastAsia="Arial" w:hAnsi="Verdana" w:cs="Arial"/>
        </w:rPr>
        <w:t xml:space="preserve">Al margen de lo anterior, debe advertirse que el análisis sobre la subsanación o el rechazo de las ofertas al interior de los procedimientos de selección debe ser realizado por quienes tengan interés en ello, de acuerdo con lo explicado en el presente oficio. De esta manera, las afirmaciones aquí realizadas no pueden ser interpretadas como juicios de valor sobre </w:t>
      </w:r>
      <w:r w:rsidRPr="3F2B4452">
        <w:rPr>
          <w:rFonts w:ascii="Verdana" w:eastAsia="Arial" w:hAnsi="Verdana" w:cs="Arial"/>
        </w:rPr>
        <w:lastRenderedPageBreak/>
        <w:t xml:space="preserve">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14B24041" w14:textId="77777777" w:rsidR="00DF78D3" w:rsidRDefault="00DF78D3" w:rsidP="00DF78D3">
      <w:pPr>
        <w:pStyle w:val="Textoindependiente"/>
        <w:spacing w:before="1" w:line="276" w:lineRule="auto"/>
        <w:ind w:right="49"/>
        <w:jc w:val="both"/>
        <w:rPr>
          <w:rFonts w:ascii="Verdana" w:eastAsia="Calibri" w:hAnsi="Verdana"/>
          <w:lang w:val="es-CO"/>
        </w:rPr>
      </w:pPr>
    </w:p>
    <w:p w14:paraId="1557C7F2" w14:textId="77777777" w:rsidR="00DF78D3" w:rsidRPr="00CC2A30" w:rsidRDefault="00DF78D3" w:rsidP="00DF78D3">
      <w:pPr>
        <w:numPr>
          <w:ilvl w:val="0"/>
          <w:numId w:val="17"/>
        </w:numPr>
        <w:tabs>
          <w:tab w:val="left" w:pos="142"/>
          <w:tab w:val="left" w:pos="284"/>
        </w:tabs>
        <w:spacing w:after="0" w:line="276" w:lineRule="auto"/>
        <w:ind w:left="0" w:firstLine="0"/>
        <w:jc w:val="both"/>
        <w:rPr>
          <w:rFonts w:ascii="Verdana" w:eastAsia="Century Gothic" w:hAnsi="Verdana" w:cs="Century Gothic"/>
          <w:b/>
          <w:bCs/>
          <w:lang w:val="es-ES"/>
        </w:rPr>
      </w:pPr>
      <w:r w:rsidRPr="00CC2A30">
        <w:rPr>
          <w:rFonts w:ascii="Verdana" w:eastAsia="Century Gothic" w:hAnsi="Verdana" w:cs="Century Gothic"/>
          <w:b/>
          <w:bCs/>
          <w:lang w:val="es-ES"/>
        </w:rPr>
        <w:t>Referencias normativas, jurisprudenciales y otras fuentes:</w:t>
      </w:r>
    </w:p>
    <w:p w14:paraId="639E4995" w14:textId="77777777" w:rsidR="00DF78D3" w:rsidRDefault="00DF78D3" w:rsidP="00DF78D3">
      <w:pPr>
        <w:pStyle w:val="Prrafodelista"/>
        <w:widowControl w:val="0"/>
        <w:autoSpaceDE w:val="0"/>
        <w:autoSpaceDN w:val="0"/>
        <w:spacing w:after="120" w:line="276" w:lineRule="auto"/>
        <w:contextualSpacing w:val="0"/>
        <w:jc w:val="both"/>
        <w:rPr>
          <w:rFonts w:ascii="Verdana" w:hAnsi="Verdana" w:cs="Arial"/>
        </w:rPr>
      </w:pPr>
    </w:p>
    <w:p w14:paraId="4A79BB96" w14:textId="77777777" w:rsidR="00DF78D3" w:rsidRPr="00E15CF6" w:rsidRDefault="00DF78D3" w:rsidP="00DF78D3">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E15CF6">
        <w:rPr>
          <w:rFonts w:ascii="Verdana" w:hAnsi="Verdana" w:cs="Arial"/>
        </w:rPr>
        <w:t xml:space="preserve">Ley 80 de 1993, artículo 24, artículo 25, artículo 30. Disponible en: </w:t>
      </w:r>
      <w:hyperlink r:id="rId11" w:history="1">
        <w:r w:rsidRPr="00E15CF6">
          <w:rPr>
            <w:rStyle w:val="Hipervnculo"/>
            <w:rFonts w:ascii="Verdana" w:hAnsi="Verdana" w:cs="Arial"/>
          </w:rPr>
          <w:t>https://relatoria.colombiacompra.gov.co/normativa/ley-80-de-1993/</w:t>
        </w:r>
      </w:hyperlink>
    </w:p>
    <w:p w14:paraId="3B1E36E5" w14:textId="77777777" w:rsidR="00DF78D3" w:rsidRPr="00E15CF6" w:rsidRDefault="00DF78D3" w:rsidP="00DF78D3">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E15CF6">
        <w:rPr>
          <w:rFonts w:ascii="Verdana" w:hAnsi="Verdana" w:cs="Arial"/>
        </w:rPr>
        <w:t xml:space="preserve">Ley 1150 de 2007, artículo 5. Disponible en: </w:t>
      </w:r>
      <w:hyperlink r:id="rId12" w:history="1">
        <w:r w:rsidRPr="00E15CF6">
          <w:rPr>
            <w:rStyle w:val="Hipervnculo"/>
            <w:rFonts w:ascii="Verdana" w:hAnsi="Verdana" w:cs="Arial"/>
          </w:rPr>
          <w:t>https://relatoria.colombiacompra.gov.co/normativa/ley-1150-de-2007/</w:t>
        </w:r>
      </w:hyperlink>
    </w:p>
    <w:p w14:paraId="112CBB06" w14:textId="77777777" w:rsidR="00DF78D3" w:rsidRPr="00E15CF6" w:rsidRDefault="00DF78D3" w:rsidP="00DF78D3">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E15CF6">
        <w:rPr>
          <w:rFonts w:ascii="Verdana" w:hAnsi="Verdana" w:cs="Arial"/>
        </w:rPr>
        <w:t xml:space="preserve">Ley 1882 de 2018, artículo 1, artículo 5. Disponible en: </w:t>
      </w:r>
      <w:hyperlink r:id="rId13" w:history="1">
        <w:r w:rsidRPr="00E15CF6">
          <w:rPr>
            <w:rStyle w:val="Hipervnculo"/>
            <w:rFonts w:ascii="Verdana" w:hAnsi="Verdana" w:cs="Arial"/>
          </w:rPr>
          <w:t>https://relatoria.colombiacompra.gov.co/normativa/ley-1882-de-2018/</w:t>
        </w:r>
      </w:hyperlink>
    </w:p>
    <w:p w14:paraId="7C0F81C2" w14:textId="77777777" w:rsidR="00DF78D3" w:rsidRPr="005078CC" w:rsidRDefault="00DF78D3" w:rsidP="00DF78D3">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E15CF6">
        <w:rPr>
          <w:rFonts w:ascii="Verdana" w:hAnsi="Verdana" w:cs="Arial"/>
        </w:rPr>
        <w:t xml:space="preserve">Decreto 1082 de 2015, artículo </w:t>
      </w:r>
      <w:r w:rsidRPr="00E15CF6">
        <w:rPr>
          <w:rFonts w:ascii="Verdana" w:hAnsi="Verdana"/>
        </w:rPr>
        <w:t xml:space="preserve">2.2.1.1.2.1.1, artículo </w:t>
      </w:r>
      <w:r w:rsidRPr="00E15CF6">
        <w:rPr>
          <w:rFonts w:ascii="Verdana" w:hAnsi="Verdana" w:cs="Arial"/>
          <w:color w:val="000000" w:themeColor="text1"/>
        </w:rPr>
        <w:t xml:space="preserve">2.2.1.1.2.1.3 </w:t>
      </w:r>
      <w:r w:rsidRPr="00E15CF6">
        <w:rPr>
          <w:rFonts w:ascii="Verdana" w:eastAsia="Calibri" w:hAnsi="Verdana" w:cs="Arial"/>
          <w:lang w:val="es-CO"/>
        </w:rPr>
        <w:t>artículo 2.2.1.2.1.1.2</w:t>
      </w:r>
      <w:r w:rsidRPr="00E15CF6">
        <w:rPr>
          <w:rFonts w:ascii="Verdana" w:hAnsi="Verdana" w:cs="Arial"/>
          <w:color w:val="000000" w:themeColor="text1"/>
        </w:rPr>
        <w:t xml:space="preserve">. </w:t>
      </w:r>
      <w:r w:rsidRPr="00E15CF6">
        <w:rPr>
          <w:rFonts w:ascii="Verdana" w:hAnsi="Verdana"/>
        </w:rPr>
        <w:t xml:space="preserve"> </w:t>
      </w:r>
      <w:r w:rsidRPr="00E15CF6">
        <w:rPr>
          <w:rFonts w:ascii="Verdana" w:hAnsi="Verdana" w:cs="Arial"/>
        </w:rPr>
        <w:t>Disponible en:</w:t>
      </w:r>
      <w:r w:rsidRPr="00E15CF6">
        <w:rPr>
          <w:rFonts w:ascii="Verdana" w:hAnsi="Verdana" w:cs="Arial"/>
        </w:rPr>
        <w:tab/>
        <w:t xml:space="preserve"> </w:t>
      </w:r>
      <w:hyperlink r:id="rId14" w:history="1">
        <w:r w:rsidRPr="00A9265C">
          <w:rPr>
            <w:rStyle w:val="Hipervnculo"/>
            <w:rFonts w:ascii="Verdana" w:hAnsi="Verdana" w:cs="Arial"/>
          </w:rPr>
          <w:t>https://relatoria.colombiacompra.gov.co/normativa/decreto-1082-de-2015/</w:t>
        </w:r>
      </w:hyperlink>
    </w:p>
    <w:p w14:paraId="79F1F299" w14:textId="77777777" w:rsidR="00DF78D3" w:rsidRPr="00E15CF6" w:rsidRDefault="00DF78D3" w:rsidP="00DF78D3">
      <w:pPr>
        <w:pStyle w:val="Prrafodelista"/>
        <w:widowControl w:val="0"/>
        <w:autoSpaceDE w:val="0"/>
        <w:autoSpaceDN w:val="0"/>
        <w:spacing w:after="120" w:line="276" w:lineRule="auto"/>
        <w:contextualSpacing w:val="0"/>
        <w:jc w:val="both"/>
        <w:rPr>
          <w:rFonts w:ascii="Verdana" w:hAnsi="Verdana" w:cs="Arial"/>
        </w:rPr>
      </w:pPr>
    </w:p>
    <w:p w14:paraId="51F4D2FD" w14:textId="77777777" w:rsidR="00DF78D3" w:rsidRPr="00CC2A30" w:rsidRDefault="00DF78D3" w:rsidP="00DF78D3">
      <w:pPr>
        <w:pStyle w:val="Prrafodelista"/>
        <w:numPr>
          <w:ilvl w:val="0"/>
          <w:numId w:val="20"/>
        </w:numPr>
        <w:tabs>
          <w:tab w:val="left" w:pos="142"/>
          <w:tab w:val="left" w:pos="284"/>
        </w:tabs>
        <w:spacing w:after="0" w:line="276" w:lineRule="auto"/>
        <w:ind w:left="0" w:firstLine="0"/>
        <w:jc w:val="both"/>
        <w:rPr>
          <w:rFonts w:ascii="Verdana" w:eastAsia="Century Gothic" w:hAnsi="Verdana" w:cs="Century Gothic"/>
          <w:b/>
          <w:bCs/>
        </w:rPr>
      </w:pPr>
      <w:r w:rsidRPr="00CC2A30">
        <w:rPr>
          <w:rFonts w:ascii="Verdana" w:eastAsia="Century Gothic" w:hAnsi="Verdana" w:cs="Century Gothic"/>
          <w:b/>
          <w:bCs/>
        </w:rPr>
        <w:t>Doctrina de la Agencia Nacional de Contratación Pública:</w:t>
      </w:r>
    </w:p>
    <w:p w14:paraId="384F140B" w14:textId="77777777" w:rsidR="00DF78D3" w:rsidRPr="00CC2A30" w:rsidRDefault="00DF78D3" w:rsidP="00DF78D3">
      <w:pPr>
        <w:widowControl w:val="0"/>
        <w:autoSpaceDE w:val="0"/>
        <w:autoSpaceDN w:val="0"/>
        <w:spacing w:after="0" w:line="276" w:lineRule="auto"/>
        <w:jc w:val="both"/>
        <w:rPr>
          <w:rFonts w:ascii="Verdana" w:eastAsia="Calibri" w:hAnsi="Verdana" w:cs="Arial"/>
          <w:lang w:val="es-ES" w:eastAsia="es-ES"/>
        </w:rPr>
      </w:pPr>
    </w:p>
    <w:p w14:paraId="4CC0C58F" w14:textId="77777777" w:rsidR="00DF78D3" w:rsidRDefault="00DF78D3" w:rsidP="00DF78D3">
      <w:pPr>
        <w:widowControl w:val="0"/>
        <w:autoSpaceDE w:val="0"/>
        <w:autoSpaceDN w:val="0"/>
        <w:spacing w:after="0" w:line="276" w:lineRule="auto"/>
        <w:jc w:val="both"/>
        <w:rPr>
          <w:rFonts w:ascii="Verdana" w:eastAsia="Calibri" w:hAnsi="Verdana" w:cs="Arial"/>
          <w:color w:val="000000" w:themeColor="text1"/>
          <w:lang w:val="es-ES"/>
        </w:rPr>
      </w:pPr>
      <w:r>
        <w:rPr>
          <w:rFonts w:ascii="Verdana" w:eastAsia="Calibri" w:hAnsi="Verdana" w:cs="Arial"/>
        </w:rPr>
        <w:t>La</w:t>
      </w:r>
      <w:r w:rsidRPr="0007375E">
        <w:rPr>
          <w:rFonts w:ascii="Verdana" w:eastAsia="Calibri" w:hAnsi="Verdana" w:cs="Arial"/>
        </w:rPr>
        <w:t xml:space="preserve"> Agencia Nacional de Contratación Pública − Colombia Compra Eficiente se ha pronunciado </w:t>
      </w:r>
      <w:r>
        <w:rPr>
          <w:rStyle w:val="normaltextrun"/>
          <w:rFonts w:ascii="Verdana" w:hAnsi="Verdana" w:cs="Arial"/>
          <w:shd w:val="clear" w:color="auto" w:fill="FFFFFF"/>
          <w:lang w:val="es-ES"/>
        </w:rPr>
        <w:t>s</w:t>
      </w:r>
      <w:r w:rsidRPr="00CC2A30">
        <w:rPr>
          <w:rStyle w:val="normaltextrun"/>
          <w:rFonts w:ascii="Verdana" w:hAnsi="Verdana" w:cs="Arial"/>
          <w:shd w:val="clear" w:color="auto" w:fill="FFFFFF"/>
          <w:lang w:val="es-ES"/>
        </w:rPr>
        <w:t xml:space="preserve">obre </w:t>
      </w:r>
      <w:r w:rsidRPr="00CC2A30">
        <w:rPr>
          <w:rFonts w:ascii="Verdana" w:eastAsia="Calibri" w:hAnsi="Verdana" w:cs="Arial"/>
          <w:color w:val="000000" w:themeColor="text1"/>
          <w:lang w:val="es-ES"/>
        </w:rPr>
        <w:t>el</w:t>
      </w:r>
      <w:r>
        <w:rPr>
          <w:rFonts w:ascii="Verdana" w:eastAsia="Calibri" w:hAnsi="Verdana" w:cs="Arial"/>
          <w:color w:val="000000" w:themeColor="text1"/>
          <w:lang w:val="es-ES"/>
        </w:rPr>
        <w:t xml:space="preserve"> </w:t>
      </w:r>
      <w:r w:rsidRPr="00E3764A">
        <w:rPr>
          <w:rFonts w:ascii="Verdana" w:eastAsia="Calibri" w:hAnsi="Verdana" w:cs="Arial"/>
          <w:color w:val="000000" w:themeColor="text1"/>
          <w:lang w:val="es-ES"/>
        </w:rPr>
        <w:t>principio de transparencia en la contratación pública</w:t>
      </w:r>
      <w:r>
        <w:rPr>
          <w:rFonts w:ascii="Verdana" w:eastAsia="Calibri" w:hAnsi="Verdana" w:cs="Arial"/>
          <w:color w:val="000000" w:themeColor="text1"/>
          <w:lang w:val="es-ES"/>
        </w:rPr>
        <w:t xml:space="preserve"> </w:t>
      </w:r>
      <w:r w:rsidRPr="00E3764A">
        <w:rPr>
          <w:rFonts w:ascii="Verdana" w:eastAsia="Calibri" w:hAnsi="Verdana" w:cs="Arial"/>
          <w:color w:val="000000" w:themeColor="text1"/>
          <w:lang w:val="es-ES"/>
        </w:rPr>
        <w:t>en los conceptos C-124 del 5 de marzo de 2020, C-171 del 7 de abril de 2020, C-419 del 12 de agosto de 2021, C-746 del 11 de noviembre de 2022, C-366 del 8 de septiembre de 2023</w:t>
      </w:r>
      <w:r>
        <w:rPr>
          <w:rFonts w:ascii="Verdana" w:eastAsia="Calibri" w:hAnsi="Verdana" w:cs="Arial"/>
          <w:color w:val="000000" w:themeColor="text1"/>
          <w:lang w:val="es-ES"/>
        </w:rPr>
        <w:t xml:space="preserve"> y C-017 del 26 de febrero de 2024,</w:t>
      </w:r>
      <w:r w:rsidRPr="00E3764A">
        <w:rPr>
          <w:rFonts w:ascii="Verdana" w:eastAsia="Calibri" w:hAnsi="Verdana" w:cs="Arial"/>
          <w:color w:val="000000" w:themeColor="text1"/>
          <w:lang w:val="es-ES"/>
        </w:rPr>
        <w:t xml:space="preserve"> entre otros</w:t>
      </w:r>
      <w:r>
        <w:rPr>
          <w:rFonts w:ascii="Verdana" w:eastAsia="Calibri" w:hAnsi="Verdana" w:cs="Arial"/>
          <w:color w:val="000000" w:themeColor="text1"/>
          <w:lang w:val="es-ES"/>
        </w:rPr>
        <w:t xml:space="preserve">. </w:t>
      </w:r>
    </w:p>
    <w:p w14:paraId="1A67D771" w14:textId="77777777" w:rsidR="00DF78D3" w:rsidRDefault="00DF78D3" w:rsidP="00DF78D3">
      <w:pPr>
        <w:widowControl w:val="0"/>
        <w:autoSpaceDE w:val="0"/>
        <w:autoSpaceDN w:val="0"/>
        <w:spacing w:after="0" w:line="276" w:lineRule="auto"/>
        <w:jc w:val="both"/>
        <w:rPr>
          <w:rFonts w:ascii="Verdana" w:eastAsia="Calibri" w:hAnsi="Verdana" w:cs="Arial"/>
        </w:rPr>
      </w:pPr>
    </w:p>
    <w:p w14:paraId="1CC0D163" w14:textId="77777777" w:rsidR="00DF78D3" w:rsidRDefault="00DF78D3" w:rsidP="00DF78D3">
      <w:pPr>
        <w:widowControl w:val="0"/>
        <w:autoSpaceDE w:val="0"/>
        <w:autoSpaceDN w:val="0"/>
        <w:spacing w:after="0" w:line="276" w:lineRule="auto"/>
        <w:jc w:val="both"/>
        <w:rPr>
          <w:rFonts w:ascii="Verdana" w:eastAsia="Calibri" w:hAnsi="Verdana" w:cs="Arial"/>
        </w:rPr>
      </w:pPr>
      <w:r>
        <w:rPr>
          <w:rFonts w:ascii="Verdana" w:eastAsia="Calibri" w:hAnsi="Verdana" w:cs="Arial"/>
        </w:rPr>
        <w:t>Finalmente respecto a la r</w:t>
      </w:r>
      <w:proofErr w:type="spellStart"/>
      <w:r w:rsidRPr="00D16A5E">
        <w:rPr>
          <w:rFonts w:ascii="Verdana" w:eastAsia="Calibri" w:hAnsi="Verdana" w:cs="Arial"/>
          <w:lang w:val="es-ES"/>
        </w:rPr>
        <w:t>egla</w:t>
      </w:r>
      <w:proofErr w:type="spellEnd"/>
      <w:r w:rsidRPr="00D16A5E">
        <w:rPr>
          <w:rFonts w:ascii="Verdana" w:eastAsia="Calibri" w:hAnsi="Verdana" w:cs="Arial"/>
          <w:lang w:val="es-ES"/>
        </w:rPr>
        <w:t xml:space="preserve"> de </w:t>
      </w:r>
      <w:proofErr w:type="spellStart"/>
      <w:r w:rsidRPr="00D16A5E">
        <w:rPr>
          <w:rFonts w:ascii="Verdana" w:eastAsia="Calibri" w:hAnsi="Verdana" w:cs="Arial"/>
          <w:lang w:val="es-ES"/>
        </w:rPr>
        <w:t>subsanabilidad</w:t>
      </w:r>
      <w:proofErr w:type="spellEnd"/>
      <w:r w:rsidRPr="00D16A5E">
        <w:rPr>
          <w:rFonts w:ascii="Verdana" w:eastAsia="Calibri" w:hAnsi="Verdana" w:cs="Arial"/>
          <w:lang w:val="es-ES"/>
        </w:rPr>
        <w:t xml:space="preserve"> en los procesos de selección,</w:t>
      </w:r>
      <w:r w:rsidRPr="00D16A5E">
        <w:rPr>
          <w:rStyle w:val="superscript"/>
          <w:rFonts w:ascii="Verdana" w:hAnsi="Verdana" w:cs="Arial"/>
          <w:shd w:val="clear" w:color="auto" w:fill="FFFFFF"/>
          <w:lang w:val="es-ES"/>
        </w:rPr>
        <w:t xml:space="preserve"> </w:t>
      </w:r>
      <w:r w:rsidRPr="00D16A5E">
        <w:rPr>
          <w:rStyle w:val="normaltextrun"/>
          <w:rFonts w:ascii="Verdana" w:hAnsi="Verdana" w:cs="Arial"/>
          <w:shd w:val="clear" w:color="auto" w:fill="FFFFFF"/>
          <w:lang w:val="es-ES"/>
        </w:rPr>
        <w:t>se pronunció esta Subdirección</w:t>
      </w:r>
      <w:r>
        <w:rPr>
          <w:rStyle w:val="normaltextrun"/>
          <w:rFonts w:ascii="Verdana" w:hAnsi="Verdana" w:cs="Arial"/>
          <w:shd w:val="clear" w:color="auto" w:fill="FFFFFF"/>
          <w:lang w:val="es-ES"/>
        </w:rPr>
        <w:t xml:space="preserve"> </w:t>
      </w:r>
      <w:r w:rsidRPr="00D16A5E">
        <w:rPr>
          <w:rFonts w:ascii="Verdana" w:eastAsia="Calibri" w:hAnsi="Verdana" w:cs="Arial"/>
          <w:lang w:val="es-ES"/>
        </w:rPr>
        <w:t>en los conceptos 4201913000007643 del 26 de diciembre de 2019, C-343 del 17 de junio de 2020, C-518 del 9 de septiembre de 2020, C-614 del 5 de octubre de 2022, C-882 del 21 de diciembre de 2022</w:t>
      </w:r>
      <w:r>
        <w:rPr>
          <w:rFonts w:ascii="Verdana" w:eastAsia="Calibri" w:hAnsi="Verdana" w:cs="Arial"/>
          <w:lang w:val="es-ES"/>
        </w:rPr>
        <w:t>,</w:t>
      </w:r>
      <w:r w:rsidRPr="00D16A5E">
        <w:rPr>
          <w:rFonts w:ascii="Verdana" w:eastAsia="Calibri" w:hAnsi="Verdana" w:cs="Arial"/>
          <w:lang w:val="es-ES"/>
        </w:rPr>
        <w:t xml:space="preserve"> C-172 del 6 de junio de 2023</w:t>
      </w:r>
      <w:r>
        <w:rPr>
          <w:rFonts w:ascii="Verdana" w:eastAsia="Calibri" w:hAnsi="Verdana" w:cs="Arial"/>
          <w:lang w:val="es-ES"/>
        </w:rPr>
        <w:t xml:space="preserve">,C-696 del 20 de noviembre de 2024, C-720 del 25 de noviembre de 2024 y C-748 del 29 de noviembre de 2024 y </w:t>
      </w:r>
      <w:r w:rsidRPr="00FA4CEE">
        <w:rPr>
          <w:rFonts w:ascii="Verdana" w:eastAsia="Calibri" w:hAnsi="Verdana" w:cs="Arial"/>
          <w:lang w:val="es-ES_tradnl"/>
        </w:rPr>
        <w:t xml:space="preserve">conceptos sobre requisitos habilitantes y los códigos CIIU, tales como: C-296 del 26 de marzo de 2025, C- 187 del 25 de marzo de 2025, C-662 del 29 de enero de 2025, C- 337 </w:t>
      </w:r>
      <w:r w:rsidRPr="00FA4CEE">
        <w:rPr>
          <w:rFonts w:ascii="Verdana" w:eastAsia="Calibri" w:hAnsi="Verdana" w:cs="Arial"/>
          <w:lang w:val="es-ES_tradnl"/>
        </w:rPr>
        <w:lastRenderedPageBreak/>
        <w:t>del 18 de agosto de 2023, C-397 del 7 de mayo de 2025, C-926 del 18 de agosto de 2025</w:t>
      </w:r>
      <w:r>
        <w:rPr>
          <w:rFonts w:ascii="Verdana" w:eastAsia="Calibri" w:hAnsi="Verdana" w:cs="Arial"/>
          <w:lang w:val="es-ES_tradnl"/>
        </w:rPr>
        <w:t>, C-1014 del 1 de septiembre de 2025,</w:t>
      </w:r>
      <w:r w:rsidRPr="00FA4CEE">
        <w:rPr>
          <w:rFonts w:ascii="Verdana" w:eastAsia="Calibri" w:hAnsi="Verdana" w:cs="Arial"/>
          <w:lang w:val="es-ES_tradnl"/>
        </w:rPr>
        <w:t xml:space="preserve"> entre otros</w:t>
      </w:r>
      <w:r w:rsidRPr="00FA4CEE">
        <w:rPr>
          <w:rFonts w:ascii="Verdana" w:eastAsia="Calibri" w:hAnsi="Verdana" w:cs="Arial"/>
          <w:lang w:val="es-ES" w:eastAsia="es-ES_tradnl"/>
        </w:rPr>
        <w:t xml:space="preserve">. </w:t>
      </w:r>
      <w:r>
        <w:rPr>
          <w:rFonts w:ascii="Verdana" w:eastAsia="Calibri" w:hAnsi="Verdana" w:cs="Arial"/>
          <w:lang w:val="es-ES"/>
        </w:rPr>
        <w:t xml:space="preserve"> </w:t>
      </w:r>
    </w:p>
    <w:p w14:paraId="2C2D7372" w14:textId="77777777" w:rsidR="00DF78D3" w:rsidRPr="00CC2A30" w:rsidRDefault="00DF78D3" w:rsidP="00DF78D3">
      <w:pPr>
        <w:widowControl w:val="0"/>
        <w:autoSpaceDE w:val="0"/>
        <w:autoSpaceDN w:val="0"/>
        <w:spacing w:after="0" w:line="276" w:lineRule="auto"/>
        <w:jc w:val="both"/>
        <w:rPr>
          <w:rFonts w:ascii="Verdana" w:eastAsia="Calibri" w:hAnsi="Verdana" w:cs="Arial"/>
          <w:color w:val="000000" w:themeColor="text1"/>
          <w:lang w:val="es-ES"/>
        </w:rPr>
      </w:pPr>
    </w:p>
    <w:p w14:paraId="66B2A3E5" w14:textId="77777777" w:rsidR="00DF78D3" w:rsidRPr="00CC2A30" w:rsidRDefault="00DF78D3" w:rsidP="00DF78D3">
      <w:pPr>
        <w:widowControl w:val="0"/>
        <w:autoSpaceDE w:val="0"/>
        <w:autoSpaceDN w:val="0"/>
        <w:spacing w:after="0" w:line="276" w:lineRule="auto"/>
        <w:jc w:val="both"/>
        <w:rPr>
          <w:rFonts w:ascii="Verdana" w:hAnsi="Verdana"/>
        </w:rPr>
      </w:pPr>
      <w:r w:rsidRPr="00CC2A30">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CC2A30">
        <w:rPr>
          <w:rFonts w:ascii="Verdana" w:hAnsi="Verdana"/>
        </w:rPr>
        <w:t>, accede a través del siguiente enlace:</w:t>
      </w:r>
    </w:p>
    <w:p w14:paraId="6E466CF8" w14:textId="77777777" w:rsidR="00DF78D3" w:rsidRPr="00CC2A30" w:rsidRDefault="00DF78D3" w:rsidP="00DF78D3">
      <w:pPr>
        <w:widowControl w:val="0"/>
        <w:autoSpaceDE w:val="0"/>
        <w:autoSpaceDN w:val="0"/>
        <w:spacing w:after="0" w:line="276" w:lineRule="auto"/>
        <w:jc w:val="both"/>
        <w:rPr>
          <w:rFonts w:ascii="Verdana" w:hAnsi="Verdana"/>
        </w:rPr>
      </w:pPr>
    </w:p>
    <w:p w14:paraId="1ECF4BB3" w14:textId="77777777" w:rsidR="00DF78D3" w:rsidRPr="00CC2A30" w:rsidRDefault="007C20DE" w:rsidP="00DF78D3">
      <w:pPr>
        <w:widowControl w:val="0"/>
        <w:autoSpaceDE w:val="0"/>
        <w:autoSpaceDN w:val="0"/>
        <w:spacing w:after="0" w:line="276" w:lineRule="auto"/>
        <w:jc w:val="both"/>
        <w:rPr>
          <w:rStyle w:val="normaltextrun"/>
          <w:rFonts w:ascii="Verdana" w:hAnsi="Verdana"/>
        </w:rPr>
      </w:pPr>
      <w:hyperlink r:id="rId15" w:history="1">
        <w:r w:rsidR="00DF78D3" w:rsidRPr="00CC2A30">
          <w:rPr>
            <w:rStyle w:val="Hipervnculo"/>
            <w:rFonts w:ascii="Verdana" w:hAnsi="Verdana" w:cs="Arial"/>
            <w:shd w:val="clear" w:color="auto" w:fill="FFFFFF"/>
            <w:lang w:val="es-ES"/>
          </w:rPr>
          <w:t>https://relatoria.colombiacompra.gov.co/busqueda/conceptos</w:t>
        </w:r>
      </w:hyperlink>
      <w:r w:rsidR="00DF78D3" w:rsidRPr="00CC2A30">
        <w:rPr>
          <w:rStyle w:val="normaltextrun"/>
          <w:rFonts w:ascii="Verdana" w:hAnsi="Verdana" w:cs="Arial"/>
          <w:shd w:val="clear" w:color="auto" w:fill="FFFFFF"/>
        </w:rPr>
        <w:t xml:space="preserve">. </w:t>
      </w:r>
    </w:p>
    <w:p w14:paraId="1197D132" w14:textId="77777777" w:rsidR="00DF78D3" w:rsidRPr="00CC2A30" w:rsidRDefault="00DF78D3" w:rsidP="00DF78D3">
      <w:pPr>
        <w:spacing w:after="0" w:line="240" w:lineRule="auto"/>
        <w:jc w:val="both"/>
        <w:rPr>
          <w:rFonts w:ascii="Verdana" w:eastAsia="Calibri" w:hAnsi="Verdana"/>
        </w:rPr>
      </w:pPr>
    </w:p>
    <w:p w14:paraId="0841235D" w14:textId="77777777" w:rsidR="00DF78D3" w:rsidRPr="00CC2A30" w:rsidRDefault="00DF78D3" w:rsidP="00DF78D3">
      <w:pPr>
        <w:spacing w:after="0" w:line="254" w:lineRule="auto"/>
        <w:rPr>
          <w:rFonts w:ascii="Verdana" w:eastAsia="Calibri" w:hAnsi="Verdana" w:cs="Times New Roman"/>
        </w:rPr>
      </w:pPr>
      <w:r w:rsidRPr="00CC2A30">
        <w:rPr>
          <w:rFonts w:ascii="Verdana" w:eastAsia="Calibri" w:hAnsi="Verdana" w:cs="Times New Roman"/>
        </w:rPr>
        <w:t xml:space="preserve">Por último, lo invitamos a seguirnos en las redes sociales en las cuales se difunde información institucional: </w:t>
      </w:r>
    </w:p>
    <w:p w14:paraId="45F6631A" w14:textId="77777777" w:rsidR="00DF78D3" w:rsidRPr="00CC2A30" w:rsidRDefault="00DF78D3" w:rsidP="00DF78D3">
      <w:pPr>
        <w:spacing w:after="0" w:line="254" w:lineRule="auto"/>
        <w:rPr>
          <w:rFonts w:ascii="Verdana" w:eastAsia="Calibri" w:hAnsi="Verdana" w:cs="Times New Roman"/>
        </w:rPr>
      </w:pPr>
    </w:p>
    <w:p w14:paraId="1844BEC1" w14:textId="77777777" w:rsidR="00DF78D3" w:rsidRPr="00CC2A30" w:rsidRDefault="00DF78D3" w:rsidP="00DF78D3">
      <w:pPr>
        <w:spacing w:after="0" w:line="254" w:lineRule="auto"/>
        <w:rPr>
          <w:rFonts w:ascii="Verdana" w:eastAsia="Calibri" w:hAnsi="Verdana" w:cs="Times New Roman"/>
        </w:rPr>
      </w:pPr>
      <w:r w:rsidRPr="00CC2A30">
        <w:rPr>
          <w:rFonts w:ascii="Verdana" w:eastAsia="Calibri" w:hAnsi="Verdana" w:cs="Times New Roman"/>
        </w:rPr>
        <w:t xml:space="preserve">Twitter: </w:t>
      </w:r>
      <w:r w:rsidRPr="00CC2A30">
        <w:rPr>
          <w:rFonts w:ascii="Verdana" w:eastAsia="Calibri" w:hAnsi="Verdana" w:cs="Times New Roman"/>
          <w:u w:val="single"/>
        </w:rPr>
        <w:t>@colombiacompra</w:t>
      </w:r>
      <w:r w:rsidRPr="00CC2A30">
        <w:rPr>
          <w:rFonts w:ascii="Verdana" w:eastAsia="Calibri" w:hAnsi="Verdana" w:cs="Times New Roman"/>
        </w:rPr>
        <w:t xml:space="preserve"> </w:t>
      </w:r>
    </w:p>
    <w:p w14:paraId="2056B194" w14:textId="77777777" w:rsidR="00DF78D3" w:rsidRPr="00CC2A30" w:rsidRDefault="00DF78D3" w:rsidP="00DF78D3">
      <w:pPr>
        <w:spacing w:after="0" w:line="254" w:lineRule="auto"/>
        <w:rPr>
          <w:rFonts w:ascii="Verdana" w:eastAsia="Calibri" w:hAnsi="Verdana" w:cs="Times New Roman"/>
        </w:rPr>
      </w:pPr>
      <w:r w:rsidRPr="00CC2A30">
        <w:rPr>
          <w:rFonts w:ascii="Verdana" w:eastAsia="Calibri" w:hAnsi="Verdana" w:cs="Times New Roman"/>
        </w:rPr>
        <w:t xml:space="preserve">Facebook: </w:t>
      </w:r>
      <w:proofErr w:type="spellStart"/>
      <w:r w:rsidRPr="00CC2A30">
        <w:rPr>
          <w:rFonts w:ascii="Verdana" w:eastAsia="Calibri" w:hAnsi="Verdana" w:cs="Times New Roman"/>
          <w:u w:val="single"/>
        </w:rPr>
        <w:t>ColombiaCompraEficiente</w:t>
      </w:r>
      <w:proofErr w:type="spellEnd"/>
    </w:p>
    <w:p w14:paraId="38E74ED6" w14:textId="77777777" w:rsidR="00DF78D3" w:rsidRPr="00CC2A30" w:rsidRDefault="00DF78D3" w:rsidP="00DF78D3">
      <w:pPr>
        <w:spacing w:after="0" w:line="254" w:lineRule="auto"/>
        <w:rPr>
          <w:rFonts w:ascii="Verdana" w:eastAsia="Calibri" w:hAnsi="Verdana" w:cs="Times New Roman"/>
          <w:u w:val="single"/>
        </w:rPr>
      </w:pPr>
      <w:r w:rsidRPr="00CC2A30">
        <w:rPr>
          <w:rFonts w:ascii="Verdana" w:eastAsia="Calibri" w:hAnsi="Verdana" w:cs="Times New Roman"/>
        </w:rPr>
        <w:t xml:space="preserve">LinkedIn: </w:t>
      </w:r>
      <w:r w:rsidRPr="00CC2A30">
        <w:rPr>
          <w:rFonts w:ascii="Verdana" w:eastAsia="Calibri" w:hAnsi="Verdana" w:cs="Times New Roman"/>
          <w:u w:val="single"/>
        </w:rPr>
        <w:t>Agencia Nacional de Contratación Pública - Colombia Compra Eficiente</w:t>
      </w:r>
      <w:r w:rsidRPr="00CC2A30">
        <w:rPr>
          <w:rFonts w:ascii="Verdana" w:eastAsia="Calibri" w:hAnsi="Verdana" w:cs="Times New Roman"/>
        </w:rPr>
        <w:t xml:space="preserve"> Instagram: </w:t>
      </w:r>
      <w:r w:rsidRPr="00CC2A30">
        <w:rPr>
          <w:rFonts w:ascii="Verdana" w:eastAsia="Calibri" w:hAnsi="Verdana" w:cs="Times New Roman"/>
          <w:u w:val="single"/>
        </w:rPr>
        <w:t>@colombiacompraeficiente_cce</w:t>
      </w:r>
    </w:p>
    <w:p w14:paraId="1CC839F1" w14:textId="77777777" w:rsidR="00DF78D3" w:rsidRPr="00CC2A30" w:rsidRDefault="00DF78D3" w:rsidP="00DF78D3">
      <w:pPr>
        <w:spacing w:after="0" w:line="254" w:lineRule="auto"/>
        <w:rPr>
          <w:rFonts w:ascii="Verdana" w:eastAsia="Calibri" w:hAnsi="Verdana" w:cs="Times New Roman"/>
          <w:b/>
          <w:bCs/>
        </w:rPr>
      </w:pPr>
    </w:p>
    <w:p w14:paraId="48638FFE" w14:textId="77777777" w:rsidR="00DF78D3" w:rsidRPr="00CC2A30" w:rsidRDefault="00DF78D3" w:rsidP="00DF78D3">
      <w:pPr>
        <w:spacing w:after="0" w:line="254" w:lineRule="auto"/>
        <w:jc w:val="both"/>
        <w:rPr>
          <w:rFonts w:ascii="Verdana" w:eastAsia="Calibri" w:hAnsi="Verdana" w:cs="Times New Roman"/>
          <w:lang w:val="es-ES_tradnl"/>
        </w:rPr>
      </w:pPr>
      <w:r w:rsidRPr="00CC2A3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E97DB04" w14:textId="77777777" w:rsidR="00DF78D3" w:rsidRDefault="00DF78D3" w:rsidP="00DF78D3">
      <w:pPr>
        <w:spacing w:after="0" w:line="240" w:lineRule="auto"/>
        <w:jc w:val="both"/>
        <w:rPr>
          <w:rFonts w:ascii="Verdana" w:eastAsia="Calibri" w:hAnsi="Verdana"/>
        </w:rPr>
      </w:pPr>
    </w:p>
    <w:p w14:paraId="033EFCB5" w14:textId="45A5667E" w:rsidR="00DF78D3" w:rsidRPr="001F1916" w:rsidRDefault="002059DE" w:rsidP="4F5D7377">
      <w:pPr>
        <w:spacing w:line="276" w:lineRule="auto"/>
        <w:jc w:val="center"/>
        <w:rPr>
          <w:rFonts w:ascii="Verdana" w:hAnsi="Verdana" w:cs="Arial"/>
          <w:color w:val="000000"/>
          <w:lang w:val="es-ES" w:eastAsia="es-CO"/>
        </w:rPr>
      </w:pPr>
      <w:r>
        <w:rPr>
          <w:noProof/>
        </w:rPr>
        <w:drawing>
          <wp:inline distT="0" distB="0" distL="0" distR="0" wp14:anchorId="56F30FA6" wp14:editId="1452F585">
            <wp:extent cx="2887781" cy="1241634"/>
            <wp:effectExtent l="0" t="0" r="0" b="0"/>
            <wp:docPr id="3441576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157612" name="Imagen 344157612"/>
                    <pic:cNvPicPr/>
                  </pic:nvPicPr>
                  <pic:blipFill>
                    <a:blip r:embed="rId16">
                      <a:extLst>
                        <a:ext uri="{28A0092B-C50C-407E-A947-70E740481C1C}">
                          <a14:useLocalDpi xmlns:a14="http://schemas.microsoft.com/office/drawing/2010/main"/>
                        </a:ext>
                      </a:extLst>
                    </a:blip>
                    <a:stretch>
                      <a:fillRect/>
                    </a:stretch>
                  </pic:blipFill>
                  <pic:spPr>
                    <a:xfrm>
                      <a:off x="0" y="0"/>
                      <a:ext cx="2887781" cy="124163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78D3" w:rsidRPr="001F1916" w14:paraId="258DA420" w14:textId="77777777" w:rsidTr="00CA73E4">
        <w:trPr>
          <w:trHeight w:val="315"/>
        </w:trPr>
        <w:tc>
          <w:tcPr>
            <w:tcW w:w="893" w:type="dxa"/>
            <w:vAlign w:val="center"/>
            <w:hideMark/>
          </w:tcPr>
          <w:p w14:paraId="22716F7E" w14:textId="77777777" w:rsidR="00DF78D3" w:rsidRPr="001F1916" w:rsidRDefault="00DF78D3" w:rsidP="00CA73E4">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4CEF00B" w14:textId="77777777" w:rsidR="00DF78D3" w:rsidRPr="001F1916" w:rsidRDefault="00DF78D3" w:rsidP="00CA73E4">
            <w:pPr>
              <w:spacing w:line="276" w:lineRule="auto"/>
              <w:contextualSpacing/>
              <w:rPr>
                <w:rFonts w:ascii="Verdana" w:eastAsia="Arial" w:hAnsi="Verdana" w:cs="Arial"/>
                <w:color w:val="000000" w:themeColor="text1"/>
                <w:sz w:val="16"/>
                <w:szCs w:val="16"/>
              </w:rPr>
            </w:pPr>
            <w:proofErr w:type="spellStart"/>
            <w:r>
              <w:rPr>
                <w:rFonts w:ascii="Verdana" w:eastAsia="Arial" w:hAnsi="Verdana" w:cs="Arial"/>
                <w:color w:val="000000" w:themeColor="text1"/>
                <w:sz w:val="16"/>
                <w:szCs w:val="16"/>
              </w:rPr>
              <w:t>Karol</w:t>
            </w:r>
            <w:proofErr w:type="spellEnd"/>
            <w:r>
              <w:rPr>
                <w:rFonts w:ascii="Verdana" w:eastAsia="Arial" w:hAnsi="Verdana" w:cs="Arial"/>
                <w:color w:val="000000" w:themeColor="text1"/>
                <w:sz w:val="16"/>
                <w:szCs w:val="16"/>
              </w:rPr>
              <w:t xml:space="preserve"> Andrea </w:t>
            </w:r>
            <w:proofErr w:type="spellStart"/>
            <w:r>
              <w:rPr>
                <w:rFonts w:ascii="Verdana" w:eastAsia="Arial" w:hAnsi="Verdana" w:cs="Arial"/>
                <w:color w:val="000000" w:themeColor="text1"/>
                <w:sz w:val="16"/>
                <w:szCs w:val="16"/>
              </w:rPr>
              <w:t>Gonzalez</w:t>
            </w:r>
            <w:proofErr w:type="spellEnd"/>
            <w:r>
              <w:rPr>
                <w:rFonts w:ascii="Verdana" w:eastAsia="Arial" w:hAnsi="Verdana" w:cs="Arial"/>
                <w:color w:val="000000" w:themeColor="text1"/>
                <w:sz w:val="16"/>
                <w:szCs w:val="16"/>
              </w:rPr>
              <w:t xml:space="preserve"> </w:t>
            </w:r>
            <w:proofErr w:type="spellStart"/>
            <w:r>
              <w:rPr>
                <w:rFonts w:ascii="Verdana" w:eastAsia="Arial" w:hAnsi="Verdana" w:cs="Arial"/>
                <w:color w:val="000000" w:themeColor="text1"/>
                <w:sz w:val="16"/>
                <w:szCs w:val="16"/>
              </w:rPr>
              <w:t>Marin</w:t>
            </w:r>
            <w:proofErr w:type="spellEnd"/>
          </w:p>
          <w:p w14:paraId="41DBBA7A" w14:textId="77777777" w:rsidR="00DF78D3" w:rsidRPr="001F1916" w:rsidRDefault="00DF78D3" w:rsidP="00CA73E4">
            <w:pPr>
              <w:spacing w:line="276" w:lineRule="auto"/>
              <w:contextualSpacing/>
              <w:rPr>
                <w:rFonts w:ascii="Verdana" w:eastAsia="Arial" w:hAnsi="Verdana" w:cs="Arial"/>
                <w:sz w:val="16"/>
                <w:szCs w:val="16"/>
              </w:rPr>
            </w:pPr>
            <w:r w:rsidRPr="001F1916">
              <w:rPr>
                <w:rFonts w:ascii="Verdana" w:eastAsia="Arial" w:hAnsi="Verdana" w:cs="Arial"/>
                <w:color w:val="000000" w:themeColor="text1"/>
                <w:sz w:val="16"/>
                <w:szCs w:val="16"/>
              </w:rPr>
              <w:t xml:space="preserve">Contratista de la Subdirección </w:t>
            </w:r>
            <w:r w:rsidRPr="001F1916">
              <w:rPr>
                <w:rFonts w:ascii="Verdana" w:eastAsia="Arial" w:hAnsi="Verdana" w:cs="Arial"/>
                <w:sz w:val="16"/>
                <w:szCs w:val="16"/>
              </w:rPr>
              <w:t>de Gestión Contractual</w:t>
            </w:r>
          </w:p>
        </w:tc>
      </w:tr>
      <w:tr w:rsidR="00DF78D3" w:rsidRPr="001F1916" w14:paraId="33ACDA5B" w14:textId="77777777" w:rsidTr="00CA73E4">
        <w:trPr>
          <w:trHeight w:val="330"/>
        </w:trPr>
        <w:tc>
          <w:tcPr>
            <w:tcW w:w="893" w:type="dxa"/>
            <w:vAlign w:val="center"/>
            <w:hideMark/>
          </w:tcPr>
          <w:p w14:paraId="45DE363E" w14:textId="77777777" w:rsidR="00DF78D3" w:rsidRPr="001F1916" w:rsidRDefault="00DF78D3" w:rsidP="00CA73E4">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D3C176" w14:textId="77777777" w:rsidR="00DF78D3" w:rsidRPr="001F1916" w:rsidRDefault="00DF78D3" w:rsidP="00CA73E4">
            <w:pPr>
              <w:spacing w:line="276" w:lineRule="auto"/>
              <w:contextualSpacing/>
              <w:textAlignment w:val="baseline"/>
              <w:rPr>
                <w:rFonts w:ascii="Verdana" w:eastAsia="Times New Roman" w:hAnsi="Verdana" w:cs="Arial"/>
                <w:sz w:val="16"/>
                <w:szCs w:val="16"/>
                <w:lang w:val="es-ES" w:eastAsia="es-ES_tradnl"/>
              </w:rPr>
            </w:pPr>
            <w:r w:rsidRPr="001F1916">
              <w:rPr>
                <w:rFonts w:ascii="Verdana" w:eastAsia="Times New Roman" w:hAnsi="Verdana" w:cs="Arial"/>
                <w:sz w:val="16"/>
                <w:szCs w:val="16"/>
                <w:lang w:val="es-ES" w:eastAsia="es-ES_tradnl"/>
              </w:rPr>
              <w:t>Juan Carlos González Vásquez</w:t>
            </w:r>
          </w:p>
          <w:p w14:paraId="6EB1BD02" w14:textId="77777777" w:rsidR="00DF78D3" w:rsidRPr="001F1916" w:rsidRDefault="00DF78D3" w:rsidP="00CA73E4">
            <w:pPr>
              <w:spacing w:line="276" w:lineRule="auto"/>
              <w:contextualSpacing/>
              <w:textAlignment w:val="baseline"/>
              <w:rPr>
                <w:rFonts w:ascii="Verdana" w:eastAsia="Times New Roman" w:hAnsi="Verdana" w:cs="Segoe UI"/>
                <w:sz w:val="16"/>
                <w:szCs w:val="16"/>
                <w:lang w:eastAsia="es-ES_tradnl"/>
              </w:rPr>
            </w:pPr>
            <w:r w:rsidRPr="001F1916">
              <w:rPr>
                <w:rFonts w:ascii="Verdana" w:eastAsia="Times New Roman" w:hAnsi="Verdana" w:cs="Arial"/>
                <w:sz w:val="16"/>
                <w:szCs w:val="16"/>
                <w:lang w:val="es-ES" w:eastAsia="es-ES_tradnl"/>
              </w:rPr>
              <w:t>Contratista de la Subdirección de Gestión Contractual</w:t>
            </w:r>
            <w:r w:rsidRPr="001F1916">
              <w:rPr>
                <w:rFonts w:ascii="Verdana" w:eastAsia="Times New Roman" w:hAnsi="Verdana" w:cs="Arial"/>
                <w:sz w:val="16"/>
                <w:szCs w:val="16"/>
                <w:lang w:eastAsia="es-ES_tradnl"/>
              </w:rPr>
              <w:t> </w:t>
            </w:r>
          </w:p>
        </w:tc>
      </w:tr>
      <w:tr w:rsidR="00DF78D3" w:rsidRPr="001F1916" w14:paraId="6852906A" w14:textId="77777777" w:rsidTr="00CA73E4">
        <w:trPr>
          <w:trHeight w:val="300"/>
        </w:trPr>
        <w:tc>
          <w:tcPr>
            <w:tcW w:w="893" w:type="dxa"/>
            <w:vAlign w:val="center"/>
          </w:tcPr>
          <w:p w14:paraId="0941ACCE" w14:textId="77777777" w:rsidR="00DF78D3" w:rsidRPr="001F1916" w:rsidRDefault="00DF78D3" w:rsidP="00CA73E4">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8F02D9" w14:textId="77777777" w:rsidR="00DF78D3" w:rsidRPr="001F1916" w:rsidRDefault="00DF78D3" w:rsidP="00CA73E4">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val="pt-BR" w:eastAsia="es-ES"/>
              </w:rPr>
              <w:t xml:space="preserve">Carolina Quintero </w:t>
            </w:r>
            <w:proofErr w:type="spellStart"/>
            <w:r w:rsidRPr="001F1916">
              <w:rPr>
                <w:rFonts w:ascii="Verdana" w:eastAsia="Calibri" w:hAnsi="Verdana" w:cs="Arial"/>
                <w:sz w:val="16"/>
                <w:szCs w:val="16"/>
                <w:lang w:val="pt-BR" w:eastAsia="es-ES"/>
              </w:rPr>
              <w:t>Gacharná</w:t>
            </w:r>
            <w:proofErr w:type="spellEnd"/>
          </w:p>
          <w:p w14:paraId="046D1886" w14:textId="77777777" w:rsidR="00DF78D3" w:rsidRPr="001F1916" w:rsidRDefault="00DF78D3" w:rsidP="00CA73E4">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eastAsia="es-ES"/>
              </w:rPr>
              <w:t>Subdirectora</w:t>
            </w:r>
            <w:r w:rsidRPr="001F1916">
              <w:rPr>
                <w:rFonts w:ascii="Verdana" w:eastAsia="Calibri" w:hAnsi="Verdana" w:cs="Arial"/>
                <w:sz w:val="16"/>
                <w:szCs w:val="16"/>
                <w:lang w:val="pt-BR" w:eastAsia="es-ES"/>
              </w:rPr>
              <w:t xml:space="preserve"> de </w:t>
            </w:r>
            <w:proofErr w:type="spellStart"/>
            <w:r w:rsidRPr="001F1916">
              <w:rPr>
                <w:rFonts w:ascii="Verdana" w:eastAsia="Calibri" w:hAnsi="Verdana" w:cs="Arial"/>
                <w:sz w:val="16"/>
                <w:szCs w:val="16"/>
                <w:lang w:val="pt-BR" w:eastAsia="es-ES"/>
              </w:rPr>
              <w:t>Gestión</w:t>
            </w:r>
            <w:proofErr w:type="spellEnd"/>
            <w:r w:rsidRPr="001F1916">
              <w:rPr>
                <w:rFonts w:ascii="Verdana" w:eastAsia="Calibri" w:hAnsi="Verdana" w:cs="Arial"/>
                <w:sz w:val="16"/>
                <w:szCs w:val="16"/>
                <w:lang w:val="pt-BR" w:eastAsia="es-ES"/>
              </w:rPr>
              <w:t xml:space="preserve"> </w:t>
            </w:r>
            <w:proofErr w:type="spellStart"/>
            <w:r w:rsidRPr="001F1916">
              <w:rPr>
                <w:rFonts w:ascii="Verdana" w:eastAsia="Calibri" w:hAnsi="Verdana" w:cs="Arial"/>
                <w:sz w:val="16"/>
                <w:szCs w:val="16"/>
                <w:lang w:val="pt-BR" w:eastAsia="es-ES"/>
              </w:rPr>
              <w:t>Contractual</w:t>
            </w:r>
            <w:proofErr w:type="spellEnd"/>
            <w:r w:rsidRPr="001F1916">
              <w:rPr>
                <w:rFonts w:ascii="Verdana" w:eastAsia="Calibri" w:hAnsi="Verdana" w:cs="Arial"/>
                <w:sz w:val="16"/>
                <w:szCs w:val="16"/>
                <w:lang w:val="pt-BR" w:eastAsia="es-ES"/>
              </w:rPr>
              <w:t xml:space="preserve"> ANCP – CCE</w:t>
            </w:r>
          </w:p>
        </w:tc>
      </w:tr>
    </w:tbl>
    <w:p w14:paraId="427B1424" w14:textId="77777777" w:rsidR="00DF78D3" w:rsidRPr="000365B6" w:rsidRDefault="00DF78D3" w:rsidP="00DF78D3"/>
    <w:bookmarkEnd w:id="0"/>
    <w:p w14:paraId="06C0768F" w14:textId="77777777" w:rsidR="00DF78D3" w:rsidRPr="0044528D" w:rsidRDefault="00DF78D3" w:rsidP="00DF78D3">
      <w:pPr>
        <w:spacing w:after="0"/>
        <w:rPr>
          <w:rFonts w:ascii="Verdana" w:hAnsi="Verdana"/>
        </w:rPr>
      </w:pPr>
    </w:p>
    <w:p w14:paraId="0F293BF4" w14:textId="2C4B94C6" w:rsidR="00127233" w:rsidRPr="00DF78D3" w:rsidRDefault="00127233" w:rsidP="00DF78D3"/>
    <w:sectPr w:rsidR="00127233" w:rsidRPr="00DF78D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D93D2" w14:textId="77777777" w:rsidR="000C7DF8" w:rsidRDefault="000C7DF8" w:rsidP="004A1847">
      <w:pPr>
        <w:spacing w:after="0" w:line="240" w:lineRule="auto"/>
      </w:pPr>
      <w:r>
        <w:separator/>
      </w:r>
    </w:p>
  </w:endnote>
  <w:endnote w:type="continuationSeparator" w:id="0">
    <w:p w14:paraId="7DED19D2" w14:textId="77777777" w:rsidR="000C7DF8" w:rsidRDefault="000C7DF8" w:rsidP="004A1847">
      <w:pPr>
        <w:spacing w:after="0" w:line="240" w:lineRule="auto"/>
      </w:pPr>
      <w:r>
        <w:continuationSeparator/>
      </w:r>
    </w:p>
  </w:endnote>
  <w:endnote w:type="continuationNotice" w:id="1">
    <w:p w14:paraId="2575AF5E" w14:textId="77777777" w:rsidR="000C7DF8" w:rsidRDefault="000C7D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3FA94" w14:textId="77777777" w:rsidR="000C7DF8" w:rsidRDefault="000C7DF8" w:rsidP="004A1847">
      <w:pPr>
        <w:spacing w:after="0" w:line="240" w:lineRule="auto"/>
      </w:pPr>
      <w:r>
        <w:separator/>
      </w:r>
    </w:p>
  </w:footnote>
  <w:footnote w:type="continuationSeparator" w:id="0">
    <w:p w14:paraId="0E8B2DD8" w14:textId="77777777" w:rsidR="000C7DF8" w:rsidRDefault="000C7DF8" w:rsidP="004A1847">
      <w:pPr>
        <w:spacing w:after="0" w:line="240" w:lineRule="auto"/>
      </w:pPr>
      <w:r>
        <w:continuationSeparator/>
      </w:r>
    </w:p>
  </w:footnote>
  <w:footnote w:type="continuationNotice" w:id="1">
    <w:p w14:paraId="6D360DD0" w14:textId="77777777" w:rsidR="000C7DF8" w:rsidRDefault="000C7DF8">
      <w:pPr>
        <w:spacing w:after="0" w:line="240" w:lineRule="auto"/>
      </w:pPr>
    </w:p>
  </w:footnote>
  <w:footnote w:id="2">
    <w:p w14:paraId="29B8B0BC" w14:textId="77777777" w:rsidR="00DF78D3" w:rsidRPr="00A60AC8" w:rsidRDefault="00DF78D3" w:rsidP="00DF78D3">
      <w:pPr>
        <w:pStyle w:val="Textonotapie"/>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Consejo de Estado. Sección Tercera. Subsección B. Sentencia del 6 de junio de 2013. </w:t>
      </w:r>
      <w:proofErr w:type="spellStart"/>
      <w:r w:rsidRPr="00A60AC8">
        <w:rPr>
          <w:rFonts w:ascii="Verdana" w:hAnsi="Verdana" w:cs="Arial"/>
          <w:sz w:val="16"/>
          <w:szCs w:val="16"/>
        </w:rPr>
        <w:t>Exp</w:t>
      </w:r>
      <w:proofErr w:type="spellEnd"/>
      <w:r w:rsidRPr="00A60AC8">
        <w:rPr>
          <w:rFonts w:ascii="Verdana" w:hAnsi="Verdana" w:cs="Arial"/>
          <w:sz w:val="16"/>
          <w:szCs w:val="16"/>
        </w:rPr>
        <w:t>. 25151. C.P. Stella Conto Díaz del Castillo.</w:t>
      </w:r>
    </w:p>
    <w:p w14:paraId="2D60EDBF" w14:textId="77777777" w:rsidR="00DF78D3" w:rsidRPr="00A60AC8" w:rsidRDefault="00DF78D3" w:rsidP="00DF78D3">
      <w:pPr>
        <w:pStyle w:val="Textonotapie"/>
        <w:ind w:firstLine="709"/>
        <w:contextualSpacing/>
        <w:jc w:val="both"/>
        <w:rPr>
          <w:rFonts w:ascii="Verdana" w:hAnsi="Verdana" w:cs="Arial"/>
          <w:sz w:val="16"/>
          <w:szCs w:val="16"/>
        </w:rPr>
      </w:pPr>
    </w:p>
  </w:footnote>
  <w:footnote w:id="3">
    <w:p w14:paraId="7A8D7CDE" w14:textId="77777777" w:rsidR="00DF78D3" w:rsidRPr="00A60AC8" w:rsidRDefault="00DF78D3" w:rsidP="00DF78D3">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Ley 1150 de 2007: “Artículo 6. De la verificación de las condiciones de los proponentes.</w:t>
      </w:r>
    </w:p>
    <w:p w14:paraId="20FC519A"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0AD34BA7"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6.1. […]</w:t>
      </w:r>
    </w:p>
    <w:p w14:paraId="6709FCD0"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0534ABC8"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 xml:space="preserve">No </w:t>
      </w:r>
      <w:proofErr w:type="gramStart"/>
      <w:r w:rsidRPr="00A60AC8">
        <w:rPr>
          <w:rFonts w:ascii="Verdana" w:hAnsi="Verdana" w:cs="Arial"/>
          <w:sz w:val="16"/>
          <w:szCs w:val="16"/>
          <w:lang w:eastAsia="es-CO"/>
        </w:rPr>
        <w:t>obstante</w:t>
      </w:r>
      <w:proofErr w:type="gramEnd"/>
      <w:r w:rsidRPr="00A60AC8">
        <w:rPr>
          <w:rFonts w:ascii="Verdana" w:hAnsi="Verdana" w:cs="Arial"/>
          <w:sz w:val="16"/>
          <w:szCs w:val="16"/>
          <w:lang w:eastAsia="es-CO"/>
        </w:rPr>
        <w:t xml:space="preserve"> lo anterior, sólo en aquellos casos en que por las características del objeto a contratar se requiera la verificación de requisitos del proponente adicionales a los contenidos en el Registro, la entidad podrá hacer tal verificación en forma directa.</w:t>
      </w:r>
    </w:p>
    <w:p w14:paraId="50AEC091"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5B1E5B42" w14:textId="77777777" w:rsidR="00DF78D3" w:rsidRPr="00A60AC8" w:rsidRDefault="00DF78D3" w:rsidP="00DF78D3">
      <w:pPr>
        <w:pStyle w:val="Textonotapie"/>
        <w:ind w:firstLine="709"/>
        <w:contextualSpacing/>
        <w:jc w:val="both"/>
        <w:rPr>
          <w:rFonts w:ascii="Verdana" w:hAnsi="Verdana" w:cs="Arial"/>
          <w:sz w:val="16"/>
          <w:szCs w:val="16"/>
          <w:lang w:val="es-ES"/>
        </w:rPr>
      </w:pPr>
    </w:p>
  </w:footnote>
  <w:footnote w:id="4">
    <w:p w14:paraId="369FD1FD"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Ley 1150 de 2007: “Artículo 5. De la selección objetiva.</w:t>
      </w:r>
      <w:r w:rsidRPr="00A60AC8">
        <w:rPr>
          <w:rFonts w:ascii="Verdana" w:hAnsi="Verdana" w:cs="Arial"/>
          <w:sz w:val="16"/>
          <w:szCs w:val="16"/>
          <w:lang w:eastAsia="es-CO"/>
        </w:rPr>
        <w:t xml:space="preserve"> </w:t>
      </w:r>
    </w:p>
    <w:p w14:paraId="2C4796AD"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516C346D"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3F2421AC" w14:textId="77777777" w:rsidR="00DF78D3" w:rsidRPr="00A60AC8" w:rsidRDefault="00DF78D3" w:rsidP="00DF78D3">
      <w:pPr>
        <w:pStyle w:val="Textonotapie"/>
        <w:ind w:firstLine="709"/>
        <w:contextualSpacing/>
        <w:jc w:val="both"/>
        <w:rPr>
          <w:rFonts w:ascii="Verdana" w:hAnsi="Verdana" w:cs="Arial"/>
          <w:sz w:val="16"/>
          <w:szCs w:val="16"/>
          <w:lang w:val="es-ES"/>
        </w:rPr>
      </w:pPr>
    </w:p>
  </w:footnote>
  <w:footnote w:id="5">
    <w:p w14:paraId="682CA8C9"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454170A" w14:textId="77777777" w:rsidR="00DF78D3" w:rsidRPr="00A60AC8" w:rsidRDefault="00DF78D3" w:rsidP="00DF78D3">
      <w:pPr>
        <w:pStyle w:val="Textonotapie"/>
        <w:ind w:firstLine="709"/>
        <w:contextualSpacing/>
        <w:jc w:val="both"/>
        <w:rPr>
          <w:rFonts w:ascii="Verdana" w:hAnsi="Verdana" w:cs="Arial"/>
          <w:sz w:val="16"/>
          <w:szCs w:val="16"/>
          <w:lang w:eastAsia="es-CO"/>
        </w:rPr>
      </w:pPr>
    </w:p>
  </w:footnote>
  <w:footnote w:id="6">
    <w:p w14:paraId="7904A34F"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 xml:space="preserve">Ley 1150 de 2007: “Artículo 6.  De la verificación de las condiciones de los proponentes. </w:t>
      </w:r>
    </w:p>
    <w:p w14:paraId="41FA153F"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 xml:space="preserve">[...] </w:t>
      </w:r>
    </w:p>
    <w:p w14:paraId="320DDBFE" w14:textId="77777777" w:rsidR="00DF78D3" w:rsidRPr="00A60AC8" w:rsidRDefault="00DF78D3" w:rsidP="00DF78D3">
      <w:pPr>
        <w:pStyle w:val="Textonotapie"/>
        <w:contextualSpacing/>
        <w:jc w:val="both"/>
        <w:rPr>
          <w:rFonts w:ascii="Verdana" w:hAnsi="Verdana" w:cs="Arial"/>
          <w:sz w:val="16"/>
          <w:szCs w:val="16"/>
          <w:lang w:eastAsia="es-CO"/>
        </w:rPr>
      </w:pPr>
      <w:r w:rsidRPr="00A60AC8">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p w14:paraId="58BD6B66" w14:textId="77777777" w:rsidR="00DF78D3" w:rsidRPr="00A60AC8" w:rsidRDefault="00DF78D3" w:rsidP="00DF78D3">
      <w:pPr>
        <w:pStyle w:val="Textonotapie"/>
        <w:ind w:firstLine="709"/>
        <w:contextualSpacing/>
        <w:jc w:val="both"/>
        <w:rPr>
          <w:rFonts w:ascii="Verdana" w:hAnsi="Verdana" w:cs="Arial"/>
          <w:sz w:val="16"/>
          <w:szCs w:val="16"/>
        </w:rPr>
      </w:pPr>
    </w:p>
  </w:footnote>
  <w:footnote w:id="7">
    <w:p w14:paraId="75CE16DF" w14:textId="77777777" w:rsidR="00DF78D3" w:rsidRPr="00A60AC8" w:rsidRDefault="00DF78D3" w:rsidP="00DF78D3">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Consejo de Estado. Sala de Consulta y Servicio Civil. Consulta del 20 de mayo de 2010. Exp.1992. C. P. Enrique José Arboleda Perdomo.</w:t>
      </w:r>
    </w:p>
    <w:p w14:paraId="7E505BA6" w14:textId="77777777" w:rsidR="00DF78D3" w:rsidRPr="00A60AC8" w:rsidRDefault="00DF78D3" w:rsidP="00DF78D3">
      <w:pPr>
        <w:pStyle w:val="Textonotapie"/>
        <w:ind w:firstLine="709"/>
        <w:contextualSpacing/>
        <w:jc w:val="both"/>
        <w:rPr>
          <w:rFonts w:ascii="Verdana" w:hAnsi="Verdana" w:cs="Arial"/>
          <w:sz w:val="16"/>
          <w:szCs w:val="16"/>
        </w:rPr>
      </w:pPr>
    </w:p>
  </w:footnote>
  <w:footnote w:id="8">
    <w:p w14:paraId="6BD8EC35" w14:textId="77777777" w:rsidR="00DF78D3" w:rsidRPr="00A60AC8" w:rsidRDefault="00DF78D3" w:rsidP="00DF78D3">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lang w:eastAsia="es-CO"/>
        </w:rPr>
        <w:t xml:space="preserve">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A60AC8">
        <w:rPr>
          <w:rFonts w:ascii="Verdana" w:hAnsi="Verdana" w:cs="Arial"/>
          <w:sz w:val="16"/>
          <w:szCs w:val="16"/>
        </w:rPr>
        <w:t xml:space="preserve"> </w:t>
      </w:r>
    </w:p>
    <w:p w14:paraId="7BEAA5A9" w14:textId="77777777" w:rsidR="00DF78D3" w:rsidRPr="00A60AC8" w:rsidRDefault="00DF78D3" w:rsidP="00DF78D3">
      <w:pPr>
        <w:pStyle w:val="Textonotapie"/>
        <w:ind w:firstLine="708"/>
        <w:contextualSpacing/>
        <w:jc w:val="both"/>
        <w:rPr>
          <w:rFonts w:ascii="Verdana" w:hAnsi="Verdana" w:cs="Arial"/>
          <w:sz w:val="16"/>
          <w:szCs w:val="16"/>
          <w:lang w:val="es-CO"/>
        </w:rPr>
      </w:pPr>
    </w:p>
  </w:footnote>
  <w:footnote w:id="9">
    <w:p w14:paraId="73E240B3" w14:textId="77777777" w:rsidR="00DF78D3" w:rsidRPr="00A60AC8" w:rsidRDefault="00DF78D3" w:rsidP="00DF78D3">
      <w:pPr>
        <w:pStyle w:val="Textonotapie"/>
        <w:ind w:firstLine="708"/>
        <w:contextualSpacing/>
        <w:jc w:val="both"/>
        <w:rPr>
          <w:rFonts w:ascii="Verdana" w:hAnsi="Verdana" w:cs="Arial"/>
          <w:sz w:val="16"/>
          <w:szCs w:val="16"/>
          <w:lang w:val="es-CO"/>
        </w:rPr>
      </w:pPr>
      <w:r w:rsidRPr="00A60AC8">
        <w:rPr>
          <w:rStyle w:val="Refdenotaalpie"/>
          <w:rFonts w:ascii="Verdana" w:hAnsi="Verdana" w:cs="Arial"/>
          <w:sz w:val="16"/>
          <w:szCs w:val="16"/>
        </w:rPr>
        <w:footnoteRef/>
      </w:r>
      <w:r w:rsidRPr="00A60AC8">
        <w:rPr>
          <w:rFonts w:ascii="Verdana" w:hAnsi="Verdana" w:cs="Arial"/>
          <w:sz w:val="16"/>
          <w:szCs w:val="16"/>
          <w:lang w:eastAsia="es-CO"/>
        </w:rPr>
        <w:t xml:space="preserve"> “¨[...]</w:t>
      </w:r>
      <w:r w:rsidRPr="00A60AC8">
        <w:rPr>
          <w:rFonts w:ascii="Verdana" w:hAnsi="Verdana" w:cs="Arial"/>
          <w:sz w:val="16"/>
          <w:szCs w:val="16"/>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A60AC8">
        <w:rPr>
          <w:rFonts w:ascii="Verdana" w:hAnsi="Verdana" w:cs="Arial"/>
          <w:sz w:val="16"/>
          <w:szCs w:val="16"/>
          <w:lang w:eastAsia="es-CO"/>
        </w:rPr>
        <w:t xml:space="preserve">[...]”. </w:t>
      </w:r>
      <w:r w:rsidRPr="00A60AC8">
        <w:rPr>
          <w:rFonts w:ascii="Verdana" w:hAnsi="Verdana" w:cs="Arial"/>
          <w:sz w:val="16"/>
          <w:szCs w:val="16"/>
        </w:rPr>
        <w:t xml:space="preserve"> </w:t>
      </w:r>
    </w:p>
    <w:p w14:paraId="49D8FA0E" w14:textId="77777777" w:rsidR="00DF78D3" w:rsidRPr="00A60AC8" w:rsidRDefault="00DF78D3" w:rsidP="00DF78D3">
      <w:pPr>
        <w:pStyle w:val="Textonotapie"/>
        <w:ind w:firstLine="709"/>
        <w:contextualSpacing/>
        <w:jc w:val="both"/>
        <w:rPr>
          <w:rFonts w:ascii="Verdana" w:hAnsi="Verdana" w:cs="Arial"/>
          <w:b/>
          <w:bCs/>
          <w:sz w:val="16"/>
          <w:szCs w:val="16"/>
        </w:rPr>
      </w:pPr>
    </w:p>
  </w:footnote>
  <w:footnote w:id="10">
    <w:p w14:paraId="23FDBBA3" w14:textId="77777777" w:rsidR="00DF78D3" w:rsidRPr="00A60AC8" w:rsidRDefault="00DF78D3" w:rsidP="00DF78D3">
      <w:pPr>
        <w:pStyle w:val="Textonotapie"/>
        <w:ind w:firstLine="708"/>
        <w:contextualSpacing/>
        <w:jc w:val="both"/>
        <w:rPr>
          <w:rFonts w:ascii="Verdana" w:hAnsi="Verdana" w:cs="Arial"/>
          <w:sz w:val="16"/>
          <w:szCs w:val="16"/>
          <w:shd w:val="clear" w:color="auto" w:fill="FFFFFF"/>
        </w:rPr>
      </w:pPr>
      <w:r w:rsidRPr="00A60AC8">
        <w:rPr>
          <w:rStyle w:val="Refdenotaalpie"/>
          <w:rFonts w:ascii="Verdana" w:hAnsi="Verdana" w:cs="Arial"/>
          <w:b/>
          <w:bCs/>
          <w:sz w:val="16"/>
          <w:szCs w:val="16"/>
        </w:rPr>
        <w:footnoteRef/>
      </w:r>
      <w:r w:rsidRPr="00A60AC8">
        <w:rPr>
          <w:rFonts w:ascii="Verdana" w:hAnsi="Verdana" w:cs="Arial"/>
          <w:b/>
          <w:bCs/>
          <w:sz w:val="16"/>
          <w:szCs w:val="16"/>
          <w:lang w:eastAsia="es-CO"/>
        </w:rPr>
        <w:t xml:space="preserve"> </w:t>
      </w:r>
      <w:r w:rsidRPr="00A60AC8">
        <w:rPr>
          <w:rFonts w:ascii="Verdana" w:hAnsi="Verdana" w:cs="Arial"/>
          <w:sz w:val="16"/>
          <w:szCs w:val="16"/>
        </w:rPr>
        <w:t>Decreto 1082 de 2015: “</w:t>
      </w:r>
      <w:r w:rsidRPr="00A60AC8">
        <w:rPr>
          <w:rStyle w:val="Textoennegrita"/>
          <w:rFonts w:ascii="Verdana" w:hAnsi="Verdana" w:cs="Arial"/>
          <w:sz w:val="16"/>
          <w:szCs w:val="16"/>
          <w:shd w:val="clear" w:color="auto" w:fill="FFFFFF"/>
        </w:rPr>
        <w:t xml:space="preserve">Artículo 2.2.1.1.1.5.1. </w:t>
      </w:r>
      <w:r w:rsidRPr="00A60AC8">
        <w:rPr>
          <w:rStyle w:val="nfasis"/>
          <w:rFonts w:ascii="Verdana" w:hAnsi="Verdana" w:cs="Arial"/>
          <w:bCs/>
          <w:sz w:val="16"/>
          <w:szCs w:val="16"/>
          <w:shd w:val="clear" w:color="auto" w:fill="FFFFFF"/>
        </w:rPr>
        <w:t>Inscripción, renovación, actualización y cancelación del RUP.</w:t>
      </w:r>
      <w:r w:rsidRPr="00A60AC8">
        <w:rPr>
          <w:rStyle w:val="nfasis"/>
          <w:rFonts w:ascii="Verdana" w:hAnsi="Verdana" w:cs="Arial"/>
          <w:sz w:val="16"/>
          <w:szCs w:val="16"/>
          <w:shd w:val="clear" w:color="auto" w:fill="FFFFFF"/>
        </w:rPr>
        <w:t xml:space="preserve"> </w:t>
      </w:r>
      <w:r w:rsidRPr="00A60AC8">
        <w:rPr>
          <w:rFonts w:ascii="Verdana" w:hAnsi="Verdana" w:cs="Arial"/>
          <w:sz w:val="16"/>
          <w:szCs w:val="16"/>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A60AC8">
        <w:rPr>
          <w:rFonts w:ascii="Verdana" w:hAnsi="Verdana" w:cs="Arial"/>
          <w:sz w:val="16"/>
          <w:szCs w:val="16"/>
          <w:lang w:eastAsia="es-CO"/>
        </w:rPr>
        <w:t>”</w:t>
      </w:r>
      <w:r w:rsidRPr="00A60AC8">
        <w:rPr>
          <w:rFonts w:ascii="Verdana" w:hAnsi="Verdana" w:cs="Arial"/>
          <w:sz w:val="16"/>
          <w:szCs w:val="16"/>
          <w:shd w:val="clear" w:color="auto" w:fill="FFFFFF"/>
        </w:rPr>
        <w:t>.</w:t>
      </w:r>
    </w:p>
    <w:p w14:paraId="581419CE" w14:textId="77777777" w:rsidR="00DF78D3" w:rsidRPr="00A60AC8" w:rsidRDefault="00DF78D3" w:rsidP="00DF78D3">
      <w:pPr>
        <w:pStyle w:val="Textonotapie"/>
        <w:ind w:firstLine="708"/>
        <w:contextualSpacing/>
        <w:jc w:val="both"/>
        <w:rPr>
          <w:rFonts w:ascii="Verdana" w:hAnsi="Verdana" w:cs="Arial"/>
          <w:sz w:val="16"/>
          <w:szCs w:val="16"/>
          <w:lang w:val="es-CO"/>
        </w:rPr>
      </w:pPr>
    </w:p>
  </w:footnote>
  <w:footnote w:id="11">
    <w:p w14:paraId="162ED984"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Decreto 1082 de 2015: “</w:t>
      </w:r>
      <w:r w:rsidRPr="00A60AC8">
        <w:rPr>
          <w:rStyle w:val="Textoennegrita"/>
          <w:rFonts w:ascii="Verdana" w:hAnsi="Verdana" w:cs="Arial"/>
          <w:sz w:val="16"/>
          <w:szCs w:val="16"/>
        </w:rPr>
        <w:t xml:space="preserve">Artículo 2.2.1.1.1.5.2. </w:t>
      </w:r>
      <w:r w:rsidRPr="00A60AC8">
        <w:rPr>
          <w:rStyle w:val="nfasis"/>
          <w:rFonts w:ascii="Verdana" w:eastAsiaTheme="majorEastAsia" w:hAnsi="Verdana" w:cs="Arial"/>
          <w:sz w:val="16"/>
          <w:szCs w:val="16"/>
        </w:rPr>
        <w:t xml:space="preserve">Información para inscripción, renovación o actualización. </w:t>
      </w:r>
      <w:r w:rsidRPr="00A60AC8">
        <w:rPr>
          <w:rFonts w:ascii="Verdana" w:hAnsi="Verdana" w:cs="Arial"/>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1E5B6317" w14:textId="77777777" w:rsidR="00DF78D3" w:rsidRPr="00A60AC8" w:rsidRDefault="00DF78D3" w:rsidP="00DF78D3">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1. Si es una persona natural:</w:t>
      </w:r>
    </w:p>
    <w:p w14:paraId="32F51D6F" w14:textId="77777777" w:rsidR="00DF78D3" w:rsidRPr="00A60AC8" w:rsidRDefault="00DF78D3" w:rsidP="00DF78D3">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1.1. Bienes, obras y servicios que ofrecerá a las Entidades Estatales, identificados con el Clasificador de Bienes y Servicios en el tercer nivel.</w:t>
      </w:r>
    </w:p>
    <w:p w14:paraId="0076E805"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A60AC8">
        <w:rPr>
          <w:rFonts w:ascii="Verdana" w:hAnsi="Verdana" w:cs="Arial"/>
          <w:sz w:val="16"/>
          <w:szCs w:val="16"/>
        </w:rPr>
        <w:softHyphen/>
        <w:t>sificador de Bienes y Servicios en el tercer nivel.</w:t>
      </w:r>
    </w:p>
    <w:p w14:paraId="6CAFC03C"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1.3. Si la persona está obligada a llevar contabilidad, copia de la información contable del último año exigida por las normas tributarias.</w:t>
      </w:r>
    </w:p>
    <w:p w14:paraId="2D6EB563"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1.4. Certificado expedido por la persona natural o su contador, relativa al tamaño empre</w:t>
      </w:r>
      <w:r w:rsidRPr="00A60AC8">
        <w:rPr>
          <w:rFonts w:ascii="Verdana" w:hAnsi="Verdana" w:cs="Arial"/>
          <w:sz w:val="16"/>
          <w:szCs w:val="16"/>
        </w:rPr>
        <w:softHyphen/>
        <w:t>sarial de acuerdo con la definición legal y reglamentaria.</w:t>
      </w:r>
    </w:p>
    <w:p w14:paraId="0B315216" w14:textId="77777777" w:rsidR="00DF78D3" w:rsidRPr="00A60AC8" w:rsidRDefault="00DF78D3" w:rsidP="00DF78D3">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2. Si es una persona jurídica:</w:t>
      </w:r>
    </w:p>
    <w:p w14:paraId="7E26D587" w14:textId="77777777" w:rsidR="00DF78D3" w:rsidRPr="00A60AC8" w:rsidRDefault="00DF78D3" w:rsidP="00DF78D3">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2.1. Bienes, obras y servicios que ofrecerá a las Entidades Estatales, identificados con el Clasificador de Bienes y Servicios en el tercer nivel.</w:t>
      </w:r>
    </w:p>
    <w:p w14:paraId="32DA9D72"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07D6EC91"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5B3E3B75" w14:textId="77777777" w:rsidR="00DF78D3" w:rsidRPr="00A60AC8" w:rsidRDefault="00DF78D3" w:rsidP="00DF78D3">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 xml:space="preserve"> </w:t>
      </w:r>
      <w:r w:rsidRPr="00A60AC8">
        <w:rPr>
          <w:rFonts w:ascii="Verdana" w:hAnsi="Verdana" w:cs="Arial"/>
          <w:sz w:val="16"/>
          <w:szCs w:val="16"/>
        </w:rPr>
        <w:tab/>
        <w:t>I. Principales cuentas detalladas del balance general.</w:t>
      </w:r>
    </w:p>
    <w:p w14:paraId="7D7BEDF6"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II. Principales cuentas del estado de pérdidas y ganancias.</w:t>
      </w:r>
    </w:p>
    <w:p w14:paraId="1664FD3E"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III. Cuentas contingentes deudoras y acreedoras.</w:t>
      </w:r>
    </w:p>
    <w:p w14:paraId="3B53E534"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1C8CBFC7"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2.4. Copia de los documentos adicionales exigidos por la Superintendencia de Sociedades respecto de las sociedades sometidas a su inspección, vigilancia o control.</w:t>
      </w:r>
    </w:p>
    <w:p w14:paraId="5EA5FE7F"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A60AC8">
        <w:rPr>
          <w:rFonts w:ascii="Verdana" w:hAnsi="Verdana" w:cs="Arial"/>
          <w:sz w:val="16"/>
          <w:szCs w:val="16"/>
        </w:rPr>
        <w:softHyphen/>
        <w:t>ficador de Bienes y Servicios en el tercer nivel. Si la constitución del interesado es menor a tres (3) años, puede acreditar la experiencia de sus accionistas, socios o constituyentes.</w:t>
      </w:r>
    </w:p>
    <w:p w14:paraId="212139BC"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2.6. Certificado expedido por el representante legal y el revisor fiscal, si la persona jurídica está obligada a tenerlo, o el auditor o contador, relativa al tamaño empresarial de acuerdo con la definición legal y reglamentaria.</w:t>
      </w:r>
    </w:p>
    <w:p w14:paraId="12B0B4D8" w14:textId="77777777" w:rsidR="00DF78D3" w:rsidRPr="00A60AC8" w:rsidRDefault="00DF78D3" w:rsidP="00DF78D3">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20168A41" w14:textId="77777777" w:rsidR="00DF78D3" w:rsidRPr="00A60AC8" w:rsidRDefault="00DF78D3" w:rsidP="00DF78D3">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A60AC8">
        <w:rPr>
          <w:rStyle w:val="Textoennegrita"/>
          <w:rFonts w:ascii="Verdana" w:hAnsi="Verdana" w:cs="Arial"/>
          <w:sz w:val="16"/>
          <w:szCs w:val="16"/>
        </w:rPr>
        <w:t xml:space="preserve"> </w:t>
      </w:r>
      <w:r w:rsidRPr="00A60AC8">
        <w:rPr>
          <w:rFonts w:ascii="Verdana" w:hAnsi="Verdana" w:cs="Arial"/>
          <w:sz w:val="16"/>
          <w:szCs w:val="16"/>
        </w:rPr>
        <w:t>del presente decreto”.</w:t>
      </w:r>
    </w:p>
    <w:p w14:paraId="1BC2938B" w14:textId="77777777" w:rsidR="00DF78D3" w:rsidRPr="00A60AC8" w:rsidRDefault="00DF78D3" w:rsidP="00DF78D3">
      <w:pPr>
        <w:pStyle w:val="Textonotapie"/>
        <w:ind w:firstLine="708"/>
        <w:contextualSpacing/>
        <w:jc w:val="both"/>
        <w:rPr>
          <w:rFonts w:ascii="Verdana" w:hAnsi="Verdana" w:cs="Arial"/>
          <w:sz w:val="16"/>
          <w:szCs w:val="16"/>
        </w:rPr>
      </w:pPr>
    </w:p>
  </w:footnote>
  <w:footnote w:id="12">
    <w:p w14:paraId="12A2EA41"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Decreto 1082 de 2015:</w:t>
      </w:r>
      <w:r w:rsidRPr="00A60AC8">
        <w:rPr>
          <w:rFonts w:ascii="Verdana" w:hAnsi="Verdana" w:cs="Arial"/>
          <w:sz w:val="16"/>
          <w:szCs w:val="16"/>
        </w:rPr>
        <w:t xml:space="preserve"> </w:t>
      </w:r>
      <w:r w:rsidRPr="00A60AC8">
        <w:rPr>
          <w:rFonts w:ascii="Verdana" w:hAnsi="Verdana" w:cs="Arial"/>
          <w:sz w:val="16"/>
          <w:szCs w:val="16"/>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0F018048"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47A2F444" w14:textId="77777777" w:rsidR="00DF78D3" w:rsidRPr="00A60AC8" w:rsidRDefault="00DF78D3" w:rsidP="00DF78D3">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Los inscritos en el RUP pueden en cualquier momento solicitar a la cámara de comercio cancelar su inscripción”.</w:t>
      </w:r>
    </w:p>
    <w:p w14:paraId="5181B1B0" w14:textId="77777777" w:rsidR="00DF78D3" w:rsidRPr="00A60AC8" w:rsidRDefault="00DF78D3" w:rsidP="00DF78D3">
      <w:pPr>
        <w:pStyle w:val="Textonotapie"/>
        <w:ind w:firstLine="709"/>
        <w:contextualSpacing/>
        <w:jc w:val="both"/>
        <w:rPr>
          <w:rFonts w:ascii="Verdana" w:hAnsi="Verdana" w:cs="Arial"/>
          <w:sz w:val="16"/>
          <w:szCs w:val="16"/>
          <w:lang w:val="es-ES"/>
        </w:rPr>
      </w:pPr>
    </w:p>
  </w:footnote>
  <w:footnote w:id="13">
    <w:p w14:paraId="778A96BC"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“6.3. De la impugnación de la inscripción en el Registro Único de Proponentes (RUP). Realizada la verificación a que se refiere el numeral 6.1</w:t>
      </w:r>
      <w:r w:rsidRPr="00A60AC8">
        <w:rPr>
          <w:rFonts w:ascii="Verdana" w:hAnsi="Verdana" w:cs="Arial"/>
          <w:spacing w:val="1"/>
          <w:sz w:val="16"/>
          <w:szCs w:val="16"/>
        </w:rPr>
        <w:t xml:space="preserve"> </w:t>
      </w:r>
      <w:r w:rsidRPr="00A60AC8">
        <w:rPr>
          <w:rFonts w:ascii="Verdana" w:hAnsi="Verdana" w:cs="Arial"/>
          <w:spacing w:val="-1"/>
          <w:sz w:val="16"/>
          <w:szCs w:val="16"/>
        </w:rPr>
        <w:t>del</w:t>
      </w:r>
      <w:r w:rsidRPr="00A60AC8">
        <w:rPr>
          <w:rFonts w:ascii="Verdana" w:hAnsi="Verdana" w:cs="Arial"/>
          <w:spacing w:val="-8"/>
          <w:sz w:val="16"/>
          <w:szCs w:val="16"/>
        </w:rPr>
        <w:t xml:space="preserve"> </w:t>
      </w:r>
      <w:r w:rsidRPr="00A60AC8">
        <w:rPr>
          <w:rFonts w:ascii="Verdana" w:hAnsi="Verdana" w:cs="Arial"/>
          <w:spacing w:val="-1"/>
          <w:sz w:val="16"/>
          <w:szCs w:val="16"/>
        </w:rPr>
        <w:t>presente</w:t>
      </w:r>
      <w:r w:rsidRPr="00A60AC8">
        <w:rPr>
          <w:rFonts w:ascii="Verdana" w:hAnsi="Verdana" w:cs="Arial"/>
          <w:spacing w:val="-8"/>
          <w:sz w:val="16"/>
          <w:szCs w:val="16"/>
        </w:rPr>
        <w:t xml:space="preserve"> </w:t>
      </w:r>
      <w:r w:rsidRPr="00A60AC8">
        <w:rPr>
          <w:rFonts w:ascii="Verdana" w:hAnsi="Verdana" w:cs="Arial"/>
          <w:spacing w:val="-1"/>
          <w:sz w:val="16"/>
          <w:szCs w:val="16"/>
        </w:rPr>
        <w:t>artículo,</w:t>
      </w:r>
      <w:r w:rsidRPr="00A60AC8">
        <w:rPr>
          <w:rFonts w:ascii="Verdana" w:hAnsi="Verdana" w:cs="Arial"/>
          <w:spacing w:val="-8"/>
          <w:sz w:val="16"/>
          <w:szCs w:val="16"/>
        </w:rPr>
        <w:t xml:space="preserve"> </w:t>
      </w:r>
      <w:r w:rsidRPr="00A60AC8">
        <w:rPr>
          <w:rFonts w:ascii="Verdana" w:hAnsi="Verdana" w:cs="Arial"/>
          <w:spacing w:val="-1"/>
          <w:sz w:val="16"/>
          <w:szCs w:val="16"/>
        </w:rPr>
        <w:t>la</w:t>
      </w:r>
      <w:r w:rsidRPr="00A60AC8">
        <w:rPr>
          <w:rFonts w:ascii="Verdana" w:hAnsi="Verdana" w:cs="Arial"/>
          <w:spacing w:val="-7"/>
          <w:sz w:val="16"/>
          <w:szCs w:val="16"/>
        </w:rPr>
        <w:t xml:space="preserve"> </w:t>
      </w:r>
      <w:r w:rsidRPr="00A60AC8">
        <w:rPr>
          <w:rFonts w:ascii="Verdana" w:hAnsi="Verdana" w:cs="Arial"/>
          <w:spacing w:val="-1"/>
          <w:sz w:val="16"/>
          <w:szCs w:val="16"/>
        </w:rPr>
        <w:t>Cámara</w:t>
      </w:r>
      <w:r w:rsidRPr="00A60AC8">
        <w:rPr>
          <w:rFonts w:ascii="Verdana" w:hAnsi="Verdana" w:cs="Arial"/>
          <w:spacing w:val="-8"/>
          <w:sz w:val="16"/>
          <w:szCs w:val="16"/>
        </w:rPr>
        <w:t xml:space="preserve"> </w:t>
      </w:r>
      <w:r w:rsidRPr="00A60AC8">
        <w:rPr>
          <w:rFonts w:ascii="Verdana" w:hAnsi="Verdana" w:cs="Arial"/>
          <w:spacing w:val="-1"/>
          <w:sz w:val="16"/>
          <w:szCs w:val="16"/>
        </w:rPr>
        <w:t>publicará</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8"/>
          <w:sz w:val="16"/>
          <w:szCs w:val="16"/>
        </w:rPr>
        <w:t xml:space="preserve"> </w:t>
      </w:r>
      <w:r w:rsidRPr="00A60AC8">
        <w:rPr>
          <w:rFonts w:ascii="Verdana" w:hAnsi="Verdana" w:cs="Arial"/>
          <w:spacing w:val="-1"/>
          <w:sz w:val="16"/>
          <w:szCs w:val="16"/>
        </w:rPr>
        <w:t>acto</w:t>
      </w:r>
      <w:r w:rsidRPr="00A60AC8">
        <w:rPr>
          <w:rFonts w:ascii="Verdana" w:hAnsi="Verdana" w:cs="Arial"/>
          <w:spacing w:val="-7"/>
          <w:sz w:val="16"/>
          <w:szCs w:val="16"/>
        </w:rPr>
        <w:t xml:space="preserve"> </w:t>
      </w:r>
      <w:r w:rsidRPr="00A60AC8">
        <w:rPr>
          <w:rFonts w:ascii="Verdana" w:hAnsi="Verdana" w:cs="Arial"/>
          <w:spacing w:val="-1"/>
          <w:sz w:val="16"/>
          <w:szCs w:val="16"/>
        </w:rPr>
        <w:t>de</w:t>
      </w:r>
      <w:r w:rsidRPr="00A60AC8">
        <w:rPr>
          <w:rFonts w:ascii="Verdana" w:hAnsi="Verdana" w:cs="Arial"/>
          <w:spacing w:val="-8"/>
          <w:sz w:val="16"/>
          <w:szCs w:val="16"/>
        </w:rPr>
        <w:t xml:space="preserve"> </w:t>
      </w:r>
      <w:r w:rsidRPr="00A60AC8">
        <w:rPr>
          <w:rFonts w:ascii="Verdana" w:hAnsi="Verdana" w:cs="Arial"/>
          <w:spacing w:val="-1"/>
          <w:sz w:val="16"/>
          <w:szCs w:val="16"/>
        </w:rPr>
        <w:t>inscripción,</w:t>
      </w:r>
      <w:r w:rsidRPr="00A60AC8">
        <w:rPr>
          <w:rFonts w:ascii="Verdana" w:hAnsi="Verdana" w:cs="Arial"/>
          <w:spacing w:val="-8"/>
          <w:sz w:val="16"/>
          <w:szCs w:val="16"/>
        </w:rPr>
        <w:t xml:space="preserve"> </w:t>
      </w:r>
      <w:r w:rsidRPr="00A60AC8">
        <w:rPr>
          <w:rFonts w:ascii="Verdana" w:hAnsi="Verdana" w:cs="Arial"/>
          <w:spacing w:val="-1"/>
          <w:sz w:val="16"/>
          <w:szCs w:val="16"/>
        </w:rPr>
        <w:t>contra</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7"/>
          <w:sz w:val="16"/>
          <w:szCs w:val="16"/>
        </w:rPr>
        <w:t xml:space="preserve"> </w:t>
      </w:r>
      <w:r w:rsidRPr="00A60AC8">
        <w:rPr>
          <w:rFonts w:ascii="Verdana" w:hAnsi="Verdana" w:cs="Arial"/>
          <w:spacing w:val="-1"/>
          <w:sz w:val="16"/>
          <w:szCs w:val="16"/>
        </w:rPr>
        <w:t>cual</w:t>
      </w:r>
      <w:r w:rsidRPr="00A60AC8">
        <w:rPr>
          <w:rFonts w:ascii="Verdana" w:hAnsi="Verdana" w:cs="Arial"/>
          <w:spacing w:val="-8"/>
          <w:sz w:val="16"/>
          <w:szCs w:val="16"/>
        </w:rPr>
        <w:t xml:space="preserve"> </w:t>
      </w:r>
      <w:r w:rsidRPr="00A60AC8">
        <w:rPr>
          <w:rFonts w:ascii="Verdana" w:hAnsi="Verdana" w:cs="Arial"/>
          <w:spacing w:val="-1"/>
          <w:sz w:val="16"/>
          <w:szCs w:val="16"/>
        </w:rPr>
        <w:t>cualquier</w:t>
      </w:r>
      <w:r w:rsidRPr="00A60AC8">
        <w:rPr>
          <w:rFonts w:ascii="Verdana" w:hAnsi="Verdana" w:cs="Arial"/>
          <w:spacing w:val="-8"/>
          <w:sz w:val="16"/>
          <w:szCs w:val="16"/>
        </w:rPr>
        <w:t xml:space="preserve"> </w:t>
      </w:r>
      <w:r w:rsidRPr="00A60AC8">
        <w:rPr>
          <w:rFonts w:ascii="Verdana" w:hAnsi="Verdana" w:cs="Arial"/>
          <w:spacing w:val="-1"/>
          <w:sz w:val="16"/>
          <w:szCs w:val="16"/>
        </w:rPr>
        <w:t>persona</w:t>
      </w:r>
      <w:r w:rsidRPr="00A60AC8">
        <w:rPr>
          <w:rFonts w:ascii="Verdana" w:hAnsi="Verdana" w:cs="Arial"/>
          <w:spacing w:val="-8"/>
          <w:sz w:val="16"/>
          <w:szCs w:val="16"/>
        </w:rPr>
        <w:t xml:space="preserve"> </w:t>
      </w:r>
      <w:r w:rsidRPr="00A60AC8">
        <w:rPr>
          <w:rFonts w:ascii="Verdana" w:hAnsi="Verdana" w:cs="Arial"/>
          <w:sz w:val="16"/>
          <w:szCs w:val="16"/>
        </w:rPr>
        <w:t>podrá</w:t>
      </w:r>
      <w:r w:rsidRPr="00A60AC8">
        <w:rPr>
          <w:rFonts w:ascii="Verdana" w:hAnsi="Verdana" w:cs="Arial"/>
          <w:spacing w:val="-7"/>
          <w:sz w:val="16"/>
          <w:szCs w:val="16"/>
        </w:rPr>
        <w:t xml:space="preserve"> </w:t>
      </w:r>
      <w:r w:rsidRPr="00A60AC8">
        <w:rPr>
          <w:rFonts w:ascii="Verdana" w:hAnsi="Verdana" w:cs="Arial"/>
          <w:sz w:val="16"/>
          <w:szCs w:val="16"/>
        </w:rPr>
        <w:t>interponer</w:t>
      </w:r>
      <w:r w:rsidRPr="00A60AC8">
        <w:rPr>
          <w:rFonts w:ascii="Verdana" w:hAnsi="Verdana" w:cs="Arial"/>
          <w:spacing w:val="-8"/>
          <w:sz w:val="16"/>
          <w:szCs w:val="16"/>
        </w:rPr>
        <w:t xml:space="preserve"> </w:t>
      </w:r>
      <w:r w:rsidRPr="00A60AC8">
        <w:rPr>
          <w:rFonts w:ascii="Verdana" w:hAnsi="Verdana" w:cs="Arial"/>
          <w:sz w:val="16"/>
          <w:szCs w:val="16"/>
        </w:rPr>
        <w:t>recurso</w:t>
      </w:r>
      <w:r w:rsidRPr="00A60AC8">
        <w:rPr>
          <w:rFonts w:ascii="Verdana" w:hAnsi="Verdana" w:cs="Arial"/>
          <w:spacing w:val="-8"/>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reposición</w:t>
      </w:r>
      <w:r w:rsidRPr="00A60AC8">
        <w:rPr>
          <w:rFonts w:ascii="Verdana" w:hAnsi="Verdana" w:cs="Arial"/>
          <w:spacing w:val="-8"/>
          <w:sz w:val="16"/>
          <w:szCs w:val="16"/>
        </w:rPr>
        <w:t xml:space="preserve"> </w:t>
      </w:r>
      <w:r w:rsidRPr="00A60AC8">
        <w:rPr>
          <w:rFonts w:ascii="Verdana" w:hAnsi="Verdana" w:cs="Arial"/>
          <w:sz w:val="16"/>
          <w:szCs w:val="16"/>
        </w:rPr>
        <w:t>ante</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8"/>
          <w:sz w:val="16"/>
          <w:szCs w:val="16"/>
        </w:rPr>
        <w:t xml:space="preserve"> </w:t>
      </w:r>
      <w:r w:rsidRPr="00A60AC8">
        <w:rPr>
          <w:rFonts w:ascii="Verdana" w:hAnsi="Verdana" w:cs="Arial"/>
          <w:sz w:val="16"/>
          <w:szCs w:val="16"/>
        </w:rPr>
        <w:t>respectiva</w:t>
      </w:r>
      <w:r w:rsidRPr="00A60AC8">
        <w:rPr>
          <w:rFonts w:ascii="Verdana" w:hAnsi="Verdana" w:cs="Arial"/>
          <w:spacing w:val="-7"/>
          <w:sz w:val="16"/>
          <w:szCs w:val="16"/>
        </w:rPr>
        <w:t xml:space="preserve"> </w:t>
      </w:r>
      <w:r w:rsidRPr="00A60AC8">
        <w:rPr>
          <w:rFonts w:ascii="Verdana" w:hAnsi="Verdana" w:cs="Arial"/>
          <w:sz w:val="16"/>
          <w:szCs w:val="16"/>
        </w:rPr>
        <w:t>Cámara</w:t>
      </w:r>
      <w:r w:rsidRPr="00A60AC8">
        <w:rPr>
          <w:rFonts w:ascii="Verdana" w:hAnsi="Verdana" w:cs="Arial"/>
          <w:spacing w:val="1"/>
          <w:sz w:val="16"/>
          <w:szCs w:val="16"/>
        </w:rPr>
        <w:t xml:space="preserve"> </w:t>
      </w:r>
      <w:r w:rsidRPr="00A60AC8">
        <w:rPr>
          <w:rFonts w:ascii="Verdana" w:hAnsi="Verdana" w:cs="Arial"/>
          <w:sz w:val="16"/>
          <w:szCs w:val="16"/>
        </w:rPr>
        <w:t>de Comercio, durante los diez (10) días hábiles siguientes a la publicación, sin que para ello requiera demostrar interés alguno. Para que la impugnación sea</w:t>
      </w:r>
      <w:r w:rsidRPr="00A60AC8">
        <w:rPr>
          <w:rFonts w:ascii="Verdana" w:hAnsi="Verdana" w:cs="Arial"/>
          <w:spacing w:val="1"/>
          <w:sz w:val="16"/>
          <w:szCs w:val="16"/>
        </w:rPr>
        <w:t xml:space="preserve"> </w:t>
      </w:r>
      <w:r w:rsidRPr="00A60AC8">
        <w:rPr>
          <w:rFonts w:ascii="Verdana" w:hAnsi="Verdana" w:cs="Arial"/>
          <w:sz w:val="16"/>
          <w:szCs w:val="16"/>
        </w:rPr>
        <w:t>admisible deberá prestarse caución bancaria o de compañía de seguros para garantizar los perjuicios que se puedan causar al inscrito. Contra la decisión que</w:t>
      </w:r>
      <w:r w:rsidRPr="00A60AC8">
        <w:rPr>
          <w:rFonts w:ascii="Verdana" w:hAnsi="Verdana" w:cs="Arial"/>
          <w:spacing w:val="1"/>
          <w:sz w:val="16"/>
          <w:szCs w:val="16"/>
        </w:rPr>
        <w:t xml:space="preserve"> </w:t>
      </w:r>
      <w:r w:rsidRPr="00A60AC8">
        <w:rPr>
          <w:rFonts w:ascii="Verdana" w:hAnsi="Verdana" w:cs="Arial"/>
          <w:sz w:val="16"/>
          <w:szCs w:val="16"/>
        </w:rPr>
        <w:t>resuelva</w:t>
      </w:r>
      <w:r w:rsidRPr="00A60AC8">
        <w:rPr>
          <w:rFonts w:ascii="Verdana" w:hAnsi="Verdana" w:cs="Arial"/>
          <w:spacing w:val="-2"/>
          <w:sz w:val="16"/>
          <w:szCs w:val="16"/>
        </w:rPr>
        <w:t xml:space="preserve"> </w:t>
      </w:r>
      <w:r w:rsidRPr="00A60AC8">
        <w:rPr>
          <w:rFonts w:ascii="Verdana" w:hAnsi="Verdana" w:cs="Arial"/>
          <w:sz w:val="16"/>
          <w:szCs w:val="16"/>
        </w:rPr>
        <w:t>el</w:t>
      </w:r>
      <w:r w:rsidRPr="00A60AC8">
        <w:rPr>
          <w:rFonts w:ascii="Verdana" w:hAnsi="Verdana" w:cs="Arial"/>
          <w:spacing w:val="-1"/>
          <w:sz w:val="16"/>
          <w:szCs w:val="16"/>
        </w:rPr>
        <w:t xml:space="preserve"> </w:t>
      </w:r>
      <w:r w:rsidRPr="00A60AC8">
        <w:rPr>
          <w:rFonts w:ascii="Verdana" w:hAnsi="Verdana" w:cs="Arial"/>
          <w:sz w:val="16"/>
          <w:szCs w:val="16"/>
        </w:rPr>
        <w:t>recurso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reposición,</w:t>
      </w:r>
      <w:r w:rsidRPr="00A60AC8">
        <w:rPr>
          <w:rFonts w:ascii="Verdana" w:hAnsi="Verdana" w:cs="Arial"/>
          <w:spacing w:val="-1"/>
          <w:sz w:val="16"/>
          <w:szCs w:val="16"/>
        </w:rPr>
        <w:t xml:space="preserve"> </w:t>
      </w:r>
      <w:r w:rsidRPr="00A60AC8">
        <w:rPr>
          <w:rFonts w:ascii="Verdana" w:hAnsi="Verdana" w:cs="Arial"/>
          <w:sz w:val="16"/>
          <w:szCs w:val="16"/>
        </w:rPr>
        <w:t>no</w:t>
      </w:r>
      <w:r w:rsidRPr="00A60AC8">
        <w:rPr>
          <w:rFonts w:ascii="Verdana" w:hAnsi="Verdana" w:cs="Arial"/>
          <w:spacing w:val="-1"/>
          <w:sz w:val="16"/>
          <w:szCs w:val="16"/>
        </w:rPr>
        <w:t xml:space="preserve"> </w:t>
      </w:r>
      <w:r w:rsidRPr="00A60AC8">
        <w:rPr>
          <w:rFonts w:ascii="Verdana" w:hAnsi="Verdana" w:cs="Arial"/>
          <w:sz w:val="16"/>
          <w:szCs w:val="16"/>
        </w:rPr>
        <w:t>procederá</w:t>
      </w:r>
      <w:r w:rsidRPr="00A60AC8">
        <w:rPr>
          <w:rFonts w:ascii="Verdana" w:hAnsi="Verdana" w:cs="Arial"/>
          <w:spacing w:val="-1"/>
          <w:sz w:val="16"/>
          <w:szCs w:val="16"/>
        </w:rPr>
        <w:t xml:space="preserve"> </w:t>
      </w:r>
      <w:r w:rsidRPr="00A60AC8">
        <w:rPr>
          <w:rFonts w:ascii="Verdana" w:hAnsi="Verdana" w:cs="Arial"/>
          <w:sz w:val="16"/>
          <w:szCs w:val="16"/>
        </w:rPr>
        <w:t>apelación.</w:t>
      </w:r>
    </w:p>
    <w:p w14:paraId="1AC5966C"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firme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inscripción,</w:t>
      </w:r>
      <w:r w:rsidRPr="00A60AC8">
        <w:rPr>
          <w:rFonts w:ascii="Verdana" w:hAnsi="Verdana" w:cs="Arial"/>
          <w:spacing w:val="-7"/>
          <w:sz w:val="16"/>
          <w:szCs w:val="16"/>
        </w:rPr>
        <w:t xml:space="preserve"> </w:t>
      </w:r>
      <w:r w:rsidRPr="00A60AC8">
        <w:rPr>
          <w:rFonts w:ascii="Verdana" w:hAnsi="Verdana" w:cs="Arial"/>
          <w:sz w:val="16"/>
          <w:szCs w:val="16"/>
        </w:rPr>
        <w:t>cualquier</w:t>
      </w:r>
      <w:r w:rsidRPr="00A60AC8">
        <w:rPr>
          <w:rFonts w:ascii="Verdana" w:hAnsi="Verdana" w:cs="Arial"/>
          <w:spacing w:val="-7"/>
          <w:sz w:val="16"/>
          <w:szCs w:val="16"/>
        </w:rPr>
        <w:t xml:space="preserve"> </w:t>
      </w:r>
      <w:r w:rsidRPr="00A60AC8">
        <w:rPr>
          <w:rFonts w:ascii="Verdana" w:hAnsi="Verdana" w:cs="Arial"/>
          <w:sz w:val="16"/>
          <w:szCs w:val="16"/>
        </w:rPr>
        <w:t>persona</w:t>
      </w:r>
      <w:r w:rsidRPr="00A60AC8">
        <w:rPr>
          <w:rFonts w:ascii="Verdana" w:hAnsi="Verdana" w:cs="Arial"/>
          <w:spacing w:val="-7"/>
          <w:sz w:val="16"/>
          <w:szCs w:val="16"/>
        </w:rPr>
        <w:t xml:space="preserve"> </w:t>
      </w:r>
      <w:r w:rsidRPr="00A60AC8">
        <w:rPr>
          <w:rFonts w:ascii="Verdana" w:hAnsi="Verdana" w:cs="Arial"/>
          <w:sz w:val="16"/>
          <w:szCs w:val="16"/>
        </w:rPr>
        <w:t>podrá</w:t>
      </w:r>
      <w:r w:rsidRPr="00A60AC8">
        <w:rPr>
          <w:rFonts w:ascii="Verdana" w:hAnsi="Verdana" w:cs="Arial"/>
          <w:spacing w:val="-7"/>
          <w:sz w:val="16"/>
          <w:szCs w:val="16"/>
        </w:rPr>
        <w:t xml:space="preserve"> </w:t>
      </w:r>
      <w:r w:rsidRPr="00A60AC8">
        <w:rPr>
          <w:rFonts w:ascii="Verdana" w:hAnsi="Verdana" w:cs="Arial"/>
          <w:sz w:val="16"/>
          <w:szCs w:val="16"/>
        </w:rPr>
        <w:t>demandar</w:t>
      </w:r>
      <w:r w:rsidRPr="00A60AC8">
        <w:rPr>
          <w:rFonts w:ascii="Verdana" w:hAnsi="Verdana" w:cs="Arial"/>
          <w:spacing w:val="-7"/>
          <w:sz w:val="16"/>
          <w:szCs w:val="16"/>
        </w:rPr>
        <w:t xml:space="preserve"> </w:t>
      </w:r>
      <w:r w:rsidRPr="00A60AC8">
        <w:rPr>
          <w:rFonts w:ascii="Verdana" w:hAnsi="Verdana" w:cs="Arial"/>
          <w:sz w:val="16"/>
          <w:szCs w:val="16"/>
        </w:rPr>
        <w:t>su</w:t>
      </w:r>
      <w:r w:rsidRPr="00A60AC8">
        <w:rPr>
          <w:rFonts w:ascii="Verdana" w:hAnsi="Verdana" w:cs="Arial"/>
          <w:spacing w:val="-7"/>
          <w:sz w:val="16"/>
          <w:szCs w:val="16"/>
        </w:rPr>
        <w:t xml:space="preserve"> </w:t>
      </w:r>
      <w:r w:rsidRPr="00A60AC8">
        <w:rPr>
          <w:rFonts w:ascii="Verdana" w:hAnsi="Verdana" w:cs="Arial"/>
          <w:sz w:val="16"/>
          <w:szCs w:val="16"/>
        </w:rPr>
        <w:t>nulidad</w:t>
      </w:r>
      <w:r w:rsidRPr="00A60AC8">
        <w:rPr>
          <w:rFonts w:ascii="Verdana" w:hAnsi="Verdana" w:cs="Arial"/>
          <w:spacing w:val="-7"/>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desarrollo</w:t>
      </w:r>
      <w:r w:rsidRPr="00A60AC8">
        <w:rPr>
          <w:rFonts w:ascii="Verdana" w:hAnsi="Verdana" w:cs="Arial"/>
          <w:spacing w:val="-6"/>
          <w:sz w:val="16"/>
          <w:szCs w:val="16"/>
        </w:rPr>
        <w:t xml:space="preserve"> </w:t>
      </w:r>
      <w:r w:rsidRPr="00A60AC8">
        <w:rPr>
          <w:rFonts w:ascii="Verdana" w:hAnsi="Verdana" w:cs="Arial"/>
          <w:sz w:val="16"/>
          <w:szCs w:val="16"/>
        </w:rPr>
        <w:t>de</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acción</w:t>
      </w:r>
      <w:r w:rsidRPr="00A60AC8">
        <w:rPr>
          <w:rFonts w:ascii="Verdana" w:hAnsi="Verdana" w:cs="Arial"/>
          <w:spacing w:val="-7"/>
          <w:sz w:val="16"/>
          <w:szCs w:val="16"/>
        </w:rPr>
        <w:t xml:space="preserve"> </w:t>
      </w:r>
      <w:r w:rsidRPr="00A60AC8">
        <w:rPr>
          <w:rFonts w:ascii="Verdana" w:hAnsi="Verdana" w:cs="Arial"/>
          <w:sz w:val="16"/>
          <w:szCs w:val="16"/>
        </w:rPr>
        <w:t>prevista</w:t>
      </w:r>
      <w:r w:rsidRPr="00A60AC8">
        <w:rPr>
          <w:rFonts w:ascii="Verdana" w:hAnsi="Verdana" w:cs="Arial"/>
          <w:spacing w:val="-6"/>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Código</w:t>
      </w:r>
      <w:r w:rsidRPr="00A60AC8">
        <w:rPr>
          <w:rFonts w:ascii="Verdana" w:hAnsi="Verdana" w:cs="Arial"/>
          <w:spacing w:val="-7"/>
          <w:sz w:val="16"/>
          <w:szCs w:val="16"/>
        </w:rPr>
        <w:t xml:space="preserve"> </w:t>
      </w:r>
      <w:r w:rsidRPr="00A60AC8">
        <w:rPr>
          <w:rFonts w:ascii="Verdana" w:hAnsi="Verdana" w:cs="Arial"/>
          <w:sz w:val="16"/>
          <w:szCs w:val="16"/>
        </w:rPr>
        <w:t>Contencioso</w:t>
      </w:r>
      <w:r w:rsidRPr="00A60AC8">
        <w:rPr>
          <w:rFonts w:ascii="Verdana" w:hAnsi="Verdana" w:cs="Arial"/>
          <w:spacing w:val="-7"/>
          <w:sz w:val="16"/>
          <w:szCs w:val="16"/>
        </w:rPr>
        <w:t xml:space="preserve"> </w:t>
      </w:r>
      <w:r w:rsidRPr="00A60AC8">
        <w:rPr>
          <w:rFonts w:ascii="Verdana" w:hAnsi="Verdana" w:cs="Arial"/>
          <w:sz w:val="16"/>
          <w:szCs w:val="16"/>
        </w:rPr>
        <w:t>Administrativo.</w:t>
      </w:r>
    </w:p>
    <w:p w14:paraId="292864E8" w14:textId="77777777" w:rsidR="00DF78D3" w:rsidRPr="00A60AC8" w:rsidRDefault="00DF78D3" w:rsidP="00DF78D3">
      <w:pPr>
        <w:spacing w:after="0" w:line="240" w:lineRule="auto"/>
        <w:contextualSpacing/>
        <w:jc w:val="both"/>
        <w:rPr>
          <w:rFonts w:ascii="Verdana" w:hAnsi="Verdana" w:cs="Arial"/>
          <w:sz w:val="16"/>
          <w:szCs w:val="16"/>
        </w:rPr>
      </w:pPr>
      <w:r w:rsidRPr="00A60AC8">
        <w:rPr>
          <w:rFonts w:ascii="Verdana" w:hAnsi="Verdana" w:cs="Arial"/>
          <w:sz w:val="16"/>
          <w:szCs w:val="16"/>
        </w:rPr>
        <w:t>Para</w:t>
      </w:r>
      <w:r w:rsidRPr="00A60AC8">
        <w:rPr>
          <w:rFonts w:ascii="Verdana" w:hAnsi="Verdana" w:cs="Arial"/>
          <w:spacing w:val="-5"/>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efecto</w:t>
      </w:r>
      <w:r w:rsidRPr="00A60AC8">
        <w:rPr>
          <w:rFonts w:ascii="Verdana" w:hAnsi="Verdana" w:cs="Arial"/>
          <w:spacing w:val="-4"/>
          <w:sz w:val="16"/>
          <w:szCs w:val="16"/>
        </w:rPr>
        <w:t xml:space="preserve"> </w:t>
      </w:r>
      <w:r w:rsidRPr="00A60AC8">
        <w:rPr>
          <w:rFonts w:ascii="Verdana" w:hAnsi="Verdana" w:cs="Arial"/>
          <w:sz w:val="16"/>
          <w:szCs w:val="16"/>
        </w:rPr>
        <w:t>será</w:t>
      </w:r>
      <w:r w:rsidRPr="00A60AC8">
        <w:rPr>
          <w:rFonts w:ascii="Verdana" w:hAnsi="Verdana" w:cs="Arial"/>
          <w:spacing w:val="-5"/>
          <w:sz w:val="16"/>
          <w:szCs w:val="16"/>
        </w:rPr>
        <w:t xml:space="preserve"> </w:t>
      </w:r>
      <w:r w:rsidRPr="00A60AC8">
        <w:rPr>
          <w:rFonts w:ascii="Verdana" w:hAnsi="Verdana" w:cs="Arial"/>
          <w:sz w:val="16"/>
          <w:szCs w:val="16"/>
        </w:rPr>
        <w:t>competente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Juez</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5"/>
          <w:sz w:val="16"/>
          <w:szCs w:val="16"/>
        </w:rPr>
        <w:t xml:space="preserve"> </w:t>
      </w:r>
      <w:r w:rsidRPr="00A60AC8">
        <w:rPr>
          <w:rFonts w:ascii="Verdana" w:hAnsi="Verdana" w:cs="Arial"/>
          <w:sz w:val="16"/>
          <w:szCs w:val="16"/>
        </w:rPr>
        <w:t>lo</w:t>
      </w:r>
      <w:r w:rsidRPr="00A60AC8">
        <w:rPr>
          <w:rFonts w:ascii="Verdana" w:hAnsi="Verdana" w:cs="Arial"/>
          <w:spacing w:val="-4"/>
          <w:sz w:val="16"/>
          <w:szCs w:val="16"/>
        </w:rPr>
        <w:t xml:space="preserve"> </w:t>
      </w:r>
      <w:r w:rsidRPr="00A60AC8">
        <w:rPr>
          <w:rFonts w:ascii="Verdana" w:hAnsi="Verdana" w:cs="Arial"/>
          <w:sz w:val="16"/>
          <w:szCs w:val="16"/>
        </w:rPr>
        <w:t>Contencioso</w:t>
      </w:r>
      <w:r w:rsidRPr="00A60AC8">
        <w:rPr>
          <w:rFonts w:ascii="Verdana" w:hAnsi="Verdana" w:cs="Arial"/>
          <w:spacing w:val="-5"/>
          <w:sz w:val="16"/>
          <w:szCs w:val="16"/>
        </w:rPr>
        <w:t xml:space="preserve"> </w:t>
      </w:r>
      <w:r w:rsidRPr="00A60AC8">
        <w:rPr>
          <w:rFonts w:ascii="Verdana" w:hAnsi="Verdana" w:cs="Arial"/>
          <w:sz w:val="16"/>
          <w:szCs w:val="16"/>
        </w:rPr>
        <w:t>Administrativo</w:t>
      </w:r>
      <w:r w:rsidRPr="00A60AC8">
        <w:rPr>
          <w:rFonts w:ascii="Verdana" w:hAnsi="Verdana" w:cs="Arial"/>
          <w:spacing w:val="-4"/>
          <w:sz w:val="16"/>
          <w:szCs w:val="16"/>
        </w:rPr>
        <w:t xml:space="preserve"> </w:t>
      </w:r>
      <w:r w:rsidRPr="00A60AC8">
        <w:rPr>
          <w:rFonts w:ascii="Verdana" w:hAnsi="Verdana" w:cs="Arial"/>
          <w:sz w:val="16"/>
          <w:szCs w:val="16"/>
        </w:rPr>
        <w:t>en</w:t>
      </w:r>
      <w:r w:rsidRPr="00A60AC8">
        <w:rPr>
          <w:rFonts w:ascii="Verdana" w:hAnsi="Verdana" w:cs="Arial"/>
          <w:spacing w:val="-5"/>
          <w:sz w:val="16"/>
          <w:szCs w:val="16"/>
        </w:rPr>
        <w:t xml:space="preserve"> </w:t>
      </w:r>
      <w:r w:rsidRPr="00A60AC8">
        <w:rPr>
          <w:rFonts w:ascii="Verdana" w:hAnsi="Verdana" w:cs="Arial"/>
          <w:sz w:val="16"/>
          <w:szCs w:val="16"/>
        </w:rPr>
        <w:t>única</w:t>
      </w:r>
      <w:r w:rsidRPr="00A60AC8">
        <w:rPr>
          <w:rFonts w:ascii="Verdana" w:hAnsi="Verdana" w:cs="Arial"/>
          <w:spacing w:val="-4"/>
          <w:sz w:val="16"/>
          <w:szCs w:val="16"/>
        </w:rPr>
        <w:t xml:space="preserve"> </w:t>
      </w:r>
      <w:r w:rsidRPr="00A60AC8">
        <w:rPr>
          <w:rFonts w:ascii="Verdana" w:hAnsi="Verdana" w:cs="Arial"/>
          <w:sz w:val="16"/>
          <w:szCs w:val="16"/>
        </w:rPr>
        <w:t>instancia.</w:t>
      </w:r>
    </w:p>
    <w:p w14:paraId="0DB3F08D"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La presentación de la demanda no suspenderá la inscripción, ni será causal de suspensión de los procesos de selección en curso en los que el</w:t>
      </w:r>
      <w:r w:rsidRPr="00A60AC8">
        <w:rPr>
          <w:rFonts w:ascii="Verdana" w:hAnsi="Verdana" w:cs="Arial"/>
          <w:spacing w:val="1"/>
          <w:sz w:val="16"/>
          <w:szCs w:val="16"/>
        </w:rPr>
        <w:t xml:space="preserve"> </w:t>
      </w:r>
      <w:r w:rsidRPr="00A60AC8">
        <w:rPr>
          <w:rFonts w:ascii="Verdana" w:hAnsi="Verdana" w:cs="Arial"/>
          <w:spacing w:val="-1"/>
          <w:sz w:val="16"/>
          <w:szCs w:val="16"/>
        </w:rPr>
        <w:t>proponente</w:t>
      </w:r>
      <w:r w:rsidRPr="00A60AC8">
        <w:rPr>
          <w:rFonts w:ascii="Verdana" w:hAnsi="Verdana" w:cs="Arial"/>
          <w:spacing w:val="-8"/>
          <w:sz w:val="16"/>
          <w:szCs w:val="16"/>
        </w:rPr>
        <w:t xml:space="preserve"> </w:t>
      </w:r>
      <w:r w:rsidRPr="00A60AC8">
        <w:rPr>
          <w:rFonts w:ascii="Verdana" w:hAnsi="Verdana" w:cs="Arial"/>
          <w:spacing w:val="-1"/>
          <w:sz w:val="16"/>
          <w:szCs w:val="16"/>
        </w:rPr>
        <w:t>sea</w:t>
      </w:r>
      <w:r w:rsidRPr="00A60AC8">
        <w:rPr>
          <w:rFonts w:ascii="Verdana" w:hAnsi="Verdana" w:cs="Arial"/>
          <w:spacing w:val="-8"/>
          <w:sz w:val="16"/>
          <w:szCs w:val="16"/>
        </w:rPr>
        <w:t xml:space="preserve"> </w:t>
      </w:r>
      <w:r w:rsidRPr="00A60AC8">
        <w:rPr>
          <w:rFonts w:ascii="Verdana" w:hAnsi="Verdana" w:cs="Arial"/>
          <w:spacing w:val="-1"/>
          <w:sz w:val="16"/>
          <w:szCs w:val="16"/>
        </w:rPr>
        <w:t>parte.</w:t>
      </w:r>
      <w:r w:rsidRPr="00A60AC8">
        <w:rPr>
          <w:rFonts w:ascii="Verdana" w:hAnsi="Verdana" w:cs="Arial"/>
          <w:spacing w:val="-7"/>
          <w:sz w:val="16"/>
          <w:szCs w:val="16"/>
        </w:rPr>
        <w:t xml:space="preserve"> </w:t>
      </w:r>
      <w:r w:rsidRPr="00A60AC8">
        <w:rPr>
          <w:rFonts w:ascii="Verdana" w:hAnsi="Verdana" w:cs="Arial"/>
          <w:spacing w:val="-1"/>
          <w:sz w:val="16"/>
          <w:szCs w:val="16"/>
        </w:rPr>
        <w:t>El</w:t>
      </w:r>
      <w:r w:rsidRPr="00A60AC8">
        <w:rPr>
          <w:rFonts w:ascii="Verdana" w:hAnsi="Verdana" w:cs="Arial"/>
          <w:spacing w:val="-8"/>
          <w:sz w:val="16"/>
          <w:szCs w:val="16"/>
        </w:rPr>
        <w:t xml:space="preserve"> </w:t>
      </w:r>
      <w:r w:rsidRPr="00A60AC8">
        <w:rPr>
          <w:rFonts w:ascii="Verdana" w:hAnsi="Verdana" w:cs="Arial"/>
          <w:spacing w:val="-1"/>
          <w:sz w:val="16"/>
          <w:szCs w:val="16"/>
        </w:rPr>
        <w:t>proceso</w:t>
      </w:r>
      <w:r w:rsidRPr="00A60AC8">
        <w:rPr>
          <w:rFonts w:ascii="Verdana" w:hAnsi="Verdana" w:cs="Arial"/>
          <w:spacing w:val="-7"/>
          <w:sz w:val="16"/>
          <w:szCs w:val="16"/>
        </w:rPr>
        <w:t xml:space="preserve"> </w:t>
      </w:r>
      <w:r w:rsidRPr="00A60AC8">
        <w:rPr>
          <w:rFonts w:ascii="Verdana" w:hAnsi="Verdana" w:cs="Arial"/>
          <w:spacing w:val="-1"/>
          <w:sz w:val="16"/>
          <w:szCs w:val="16"/>
        </w:rPr>
        <w:t>se</w:t>
      </w:r>
      <w:r w:rsidRPr="00A60AC8">
        <w:rPr>
          <w:rFonts w:ascii="Verdana" w:hAnsi="Verdana" w:cs="Arial"/>
          <w:spacing w:val="-8"/>
          <w:sz w:val="16"/>
          <w:szCs w:val="16"/>
        </w:rPr>
        <w:t xml:space="preserve"> </w:t>
      </w:r>
      <w:r w:rsidRPr="00A60AC8">
        <w:rPr>
          <w:rFonts w:ascii="Verdana" w:hAnsi="Verdana" w:cs="Arial"/>
          <w:spacing w:val="-1"/>
          <w:sz w:val="16"/>
          <w:szCs w:val="16"/>
        </w:rPr>
        <w:t>tramitará</w:t>
      </w:r>
      <w:r w:rsidRPr="00A60AC8">
        <w:rPr>
          <w:rFonts w:ascii="Verdana" w:hAnsi="Verdana" w:cs="Arial"/>
          <w:spacing w:val="-7"/>
          <w:sz w:val="16"/>
          <w:szCs w:val="16"/>
        </w:rPr>
        <w:t xml:space="preserve"> </w:t>
      </w:r>
      <w:r w:rsidRPr="00A60AC8">
        <w:rPr>
          <w:rFonts w:ascii="Verdana" w:hAnsi="Verdana" w:cs="Arial"/>
          <w:spacing w:val="-1"/>
          <w:sz w:val="16"/>
          <w:szCs w:val="16"/>
        </w:rPr>
        <w:t>por</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8"/>
          <w:sz w:val="16"/>
          <w:szCs w:val="16"/>
        </w:rPr>
        <w:t xml:space="preserve"> </w:t>
      </w:r>
      <w:r w:rsidRPr="00A60AC8">
        <w:rPr>
          <w:rFonts w:ascii="Verdana" w:hAnsi="Verdana" w:cs="Arial"/>
          <w:spacing w:val="-1"/>
          <w:sz w:val="16"/>
          <w:szCs w:val="16"/>
        </w:rPr>
        <w:t>procedimiento</w:t>
      </w:r>
      <w:r w:rsidRPr="00A60AC8">
        <w:rPr>
          <w:rFonts w:ascii="Verdana" w:hAnsi="Verdana" w:cs="Arial"/>
          <w:spacing w:val="-7"/>
          <w:sz w:val="16"/>
          <w:szCs w:val="16"/>
        </w:rPr>
        <w:t xml:space="preserve"> </w:t>
      </w:r>
      <w:r w:rsidRPr="00A60AC8">
        <w:rPr>
          <w:rFonts w:ascii="Verdana" w:hAnsi="Verdana" w:cs="Arial"/>
          <w:spacing w:val="-1"/>
          <w:sz w:val="16"/>
          <w:szCs w:val="16"/>
        </w:rPr>
        <w:t>ordinario</w:t>
      </w:r>
      <w:r w:rsidRPr="00A60AC8">
        <w:rPr>
          <w:rFonts w:ascii="Verdana" w:hAnsi="Verdana" w:cs="Arial"/>
          <w:spacing w:val="-8"/>
          <w:sz w:val="16"/>
          <w:szCs w:val="16"/>
        </w:rPr>
        <w:t xml:space="preserve"> </w:t>
      </w:r>
      <w:r w:rsidRPr="00A60AC8">
        <w:rPr>
          <w:rFonts w:ascii="Verdana" w:hAnsi="Verdana" w:cs="Arial"/>
          <w:spacing w:val="-1"/>
          <w:sz w:val="16"/>
          <w:szCs w:val="16"/>
        </w:rPr>
        <w:t>a</w:t>
      </w:r>
      <w:r w:rsidRPr="00A60AC8">
        <w:rPr>
          <w:rFonts w:ascii="Verdana" w:hAnsi="Verdana" w:cs="Arial"/>
          <w:spacing w:val="-7"/>
          <w:sz w:val="16"/>
          <w:szCs w:val="16"/>
        </w:rPr>
        <w:t xml:space="preserve"> </w:t>
      </w:r>
      <w:r w:rsidRPr="00A60AC8">
        <w:rPr>
          <w:rFonts w:ascii="Verdana" w:hAnsi="Verdana" w:cs="Arial"/>
          <w:spacing w:val="-1"/>
          <w:sz w:val="16"/>
          <w:szCs w:val="16"/>
        </w:rPr>
        <w:t>que</w:t>
      </w:r>
      <w:r w:rsidRPr="00A60AC8">
        <w:rPr>
          <w:rFonts w:ascii="Verdana" w:hAnsi="Verdana" w:cs="Arial"/>
          <w:spacing w:val="-8"/>
          <w:sz w:val="16"/>
          <w:szCs w:val="16"/>
        </w:rPr>
        <w:t xml:space="preserve"> </w:t>
      </w:r>
      <w:r w:rsidRPr="00A60AC8">
        <w:rPr>
          <w:rFonts w:ascii="Verdana" w:hAnsi="Verdana" w:cs="Arial"/>
          <w:spacing w:val="-1"/>
          <w:sz w:val="16"/>
          <w:szCs w:val="16"/>
        </w:rPr>
        <w:t>se</w:t>
      </w:r>
      <w:r w:rsidRPr="00A60AC8">
        <w:rPr>
          <w:rFonts w:ascii="Verdana" w:hAnsi="Verdana" w:cs="Arial"/>
          <w:spacing w:val="-7"/>
          <w:sz w:val="16"/>
          <w:szCs w:val="16"/>
        </w:rPr>
        <w:t xml:space="preserve"> </w:t>
      </w:r>
      <w:r w:rsidRPr="00A60AC8">
        <w:rPr>
          <w:rFonts w:ascii="Verdana" w:hAnsi="Verdana" w:cs="Arial"/>
          <w:spacing w:val="-1"/>
          <w:sz w:val="16"/>
          <w:szCs w:val="16"/>
        </w:rPr>
        <w:t>refiere</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7"/>
          <w:sz w:val="16"/>
          <w:szCs w:val="16"/>
        </w:rPr>
        <w:t xml:space="preserve"> </w:t>
      </w:r>
      <w:r w:rsidRPr="00A60AC8">
        <w:rPr>
          <w:rFonts w:ascii="Verdana" w:hAnsi="Verdana" w:cs="Arial"/>
          <w:spacing w:val="-1"/>
          <w:sz w:val="16"/>
          <w:szCs w:val="16"/>
        </w:rPr>
        <w:t>Código</w:t>
      </w:r>
      <w:r w:rsidRPr="00A60AC8">
        <w:rPr>
          <w:rFonts w:ascii="Verdana" w:hAnsi="Verdana" w:cs="Arial"/>
          <w:spacing w:val="-8"/>
          <w:sz w:val="16"/>
          <w:szCs w:val="16"/>
        </w:rPr>
        <w:t xml:space="preserve"> </w:t>
      </w:r>
      <w:r w:rsidRPr="00A60AC8">
        <w:rPr>
          <w:rFonts w:ascii="Verdana" w:hAnsi="Verdana" w:cs="Arial"/>
          <w:spacing w:val="-1"/>
          <w:sz w:val="16"/>
          <w:szCs w:val="16"/>
        </w:rPr>
        <w:t>Contencioso</w:t>
      </w:r>
      <w:r w:rsidRPr="00A60AC8">
        <w:rPr>
          <w:rFonts w:ascii="Verdana" w:hAnsi="Verdana" w:cs="Arial"/>
          <w:spacing w:val="-8"/>
          <w:sz w:val="16"/>
          <w:szCs w:val="16"/>
        </w:rPr>
        <w:t xml:space="preserve"> </w:t>
      </w:r>
      <w:r w:rsidRPr="00A60AC8">
        <w:rPr>
          <w:rFonts w:ascii="Verdana" w:hAnsi="Verdana" w:cs="Arial"/>
          <w:spacing w:val="-1"/>
          <w:sz w:val="16"/>
          <w:szCs w:val="16"/>
        </w:rPr>
        <w:t>Administrativo.</w:t>
      </w:r>
      <w:r w:rsidRPr="00A60AC8">
        <w:rPr>
          <w:rFonts w:ascii="Verdana" w:hAnsi="Verdana" w:cs="Arial"/>
          <w:spacing w:val="-6"/>
          <w:sz w:val="16"/>
          <w:szCs w:val="16"/>
        </w:rPr>
        <w:t xml:space="preserve"> </w:t>
      </w:r>
      <w:r w:rsidRPr="00A60AC8">
        <w:rPr>
          <w:rFonts w:ascii="Verdana" w:hAnsi="Verdana" w:cs="Arial"/>
          <w:sz w:val="16"/>
          <w:szCs w:val="16"/>
        </w:rPr>
        <w:t>Adoptada</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decisión,</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misma</w:t>
      </w:r>
      <w:r w:rsidRPr="00A60AC8">
        <w:rPr>
          <w:rFonts w:ascii="Verdana" w:hAnsi="Verdana" w:cs="Arial"/>
          <w:spacing w:val="1"/>
          <w:sz w:val="16"/>
          <w:szCs w:val="16"/>
        </w:rPr>
        <w:t xml:space="preserve"> </w:t>
      </w:r>
      <w:r w:rsidRPr="00A60AC8">
        <w:rPr>
          <w:rFonts w:ascii="Verdana" w:hAnsi="Verdana" w:cs="Arial"/>
          <w:sz w:val="16"/>
          <w:szCs w:val="16"/>
        </w:rPr>
        <w:t>sólo</w:t>
      </w:r>
      <w:r w:rsidRPr="00A60AC8">
        <w:rPr>
          <w:rFonts w:ascii="Verdana" w:hAnsi="Verdana" w:cs="Arial"/>
          <w:spacing w:val="-2"/>
          <w:sz w:val="16"/>
          <w:szCs w:val="16"/>
        </w:rPr>
        <w:t xml:space="preserve"> </w:t>
      </w:r>
      <w:r w:rsidRPr="00A60AC8">
        <w:rPr>
          <w:rFonts w:ascii="Verdana" w:hAnsi="Verdana" w:cs="Arial"/>
          <w:sz w:val="16"/>
          <w:szCs w:val="16"/>
        </w:rPr>
        <w:t>tendrá</w:t>
      </w:r>
      <w:r w:rsidRPr="00A60AC8">
        <w:rPr>
          <w:rFonts w:ascii="Verdana" w:hAnsi="Verdana" w:cs="Arial"/>
          <w:spacing w:val="-1"/>
          <w:sz w:val="16"/>
          <w:szCs w:val="16"/>
        </w:rPr>
        <w:t xml:space="preserve"> </w:t>
      </w:r>
      <w:r w:rsidRPr="00A60AC8">
        <w:rPr>
          <w:rFonts w:ascii="Verdana" w:hAnsi="Verdana" w:cs="Arial"/>
          <w:sz w:val="16"/>
          <w:szCs w:val="16"/>
        </w:rPr>
        <w:t>efectos</w:t>
      </w:r>
      <w:r w:rsidRPr="00A60AC8">
        <w:rPr>
          <w:rFonts w:ascii="Verdana" w:hAnsi="Verdana" w:cs="Arial"/>
          <w:spacing w:val="-1"/>
          <w:sz w:val="16"/>
          <w:szCs w:val="16"/>
        </w:rPr>
        <w:t xml:space="preserve"> </w:t>
      </w:r>
      <w:r w:rsidRPr="00A60AC8">
        <w:rPr>
          <w:rFonts w:ascii="Verdana" w:hAnsi="Verdana" w:cs="Arial"/>
          <w:sz w:val="16"/>
          <w:szCs w:val="16"/>
        </w:rPr>
        <w:t>hacia</w:t>
      </w:r>
      <w:r w:rsidRPr="00A60AC8">
        <w:rPr>
          <w:rFonts w:ascii="Verdana" w:hAnsi="Verdana" w:cs="Arial"/>
          <w:spacing w:val="-1"/>
          <w:sz w:val="16"/>
          <w:szCs w:val="16"/>
        </w:rPr>
        <w:t xml:space="preserve"> </w:t>
      </w:r>
      <w:r w:rsidRPr="00A60AC8">
        <w:rPr>
          <w:rFonts w:ascii="Verdana" w:hAnsi="Verdana" w:cs="Arial"/>
          <w:sz w:val="16"/>
          <w:szCs w:val="16"/>
        </w:rPr>
        <w:t>el</w:t>
      </w:r>
      <w:r w:rsidRPr="00A60AC8">
        <w:rPr>
          <w:rFonts w:ascii="Verdana" w:hAnsi="Verdana" w:cs="Arial"/>
          <w:spacing w:val="-1"/>
          <w:sz w:val="16"/>
          <w:szCs w:val="16"/>
        </w:rPr>
        <w:t xml:space="preserve"> </w:t>
      </w:r>
      <w:r w:rsidRPr="00A60AC8">
        <w:rPr>
          <w:rFonts w:ascii="Verdana" w:hAnsi="Verdana" w:cs="Arial"/>
          <w:sz w:val="16"/>
          <w:szCs w:val="16"/>
        </w:rPr>
        <w:t>futuro.</w:t>
      </w:r>
    </w:p>
    <w:p w14:paraId="4B2003A6"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Cuando en desarrollo de un proceso de selección una entidad estatal advierta la existencia de posibles irregularidades en el contenido de la</w:t>
      </w:r>
      <w:r w:rsidRPr="00A60AC8">
        <w:rPr>
          <w:rFonts w:ascii="Verdana" w:hAnsi="Verdana" w:cs="Arial"/>
          <w:spacing w:val="1"/>
          <w:sz w:val="16"/>
          <w:szCs w:val="16"/>
        </w:rPr>
        <w:t xml:space="preserve"> </w:t>
      </w:r>
      <w:r w:rsidRPr="00A60AC8">
        <w:rPr>
          <w:rFonts w:ascii="Verdana" w:hAnsi="Verdana" w:cs="Arial"/>
          <w:spacing w:val="-1"/>
          <w:sz w:val="16"/>
          <w:szCs w:val="16"/>
        </w:rPr>
        <w:t>información</w:t>
      </w:r>
      <w:r w:rsidRPr="00A60AC8">
        <w:rPr>
          <w:rFonts w:ascii="Verdana" w:hAnsi="Verdana" w:cs="Arial"/>
          <w:spacing w:val="-7"/>
          <w:sz w:val="16"/>
          <w:szCs w:val="16"/>
        </w:rPr>
        <w:t xml:space="preserve"> </w:t>
      </w:r>
      <w:r w:rsidRPr="00A60AC8">
        <w:rPr>
          <w:rFonts w:ascii="Verdana" w:hAnsi="Verdana" w:cs="Arial"/>
          <w:spacing w:val="-1"/>
          <w:sz w:val="16"/>
          <w:szCs w:val="16"/>
        </w:rPr>
        <w:t>del</w:t>
      </w:r>
      <w:r w:rsidRPr="00A60AC8">
        <w:rPr>
          <w:rFonts w:ascii="Verdana" w:hAnsi="Verdana" w:cs="Arial"/>
          <w:spacing w:val="-7"/>
          <w:sz w:val="16"/>
          <w:szCs w:val="16"/>
        </w:rPr>
        <w:t xml:space="preserve"> </w:t>
      </w:r>
      <w:r w:rsidRPr="00A60AC8">
        <w:rPr>
          <w:rFonts w:ascii="Verdana" w:hAnsi="Verdana" w:cs="Arial"/>
          <w:spacing w:val="-1"/>
          <w:sz w:val="16"/>
          <w:szCs w:val="16"/>
        </w:rPr>
        <w:t>RUP,</w:t>
      </w:r>
      <w:r w:rsidRPr="00A60AC8">
        <w:rPr>
          <w:rFonts w:ascii="Verdana" w:hAnsi="Verdana" w:cs="Arial"/>
          <w:spacing w:val="-6"/>
          <w:sz w:val="16"/>
          <w:szCs w:val="16"/>
        </w:rPr>
        <w:t xml:space="preserve"> </w:t>
      </w:r>
      <w:r w:rsidRPr="00A60AC8">
        <w:rPr>
          <w:rFonts w:ascii="Verdana" w:hAnsi="Verdana" w:cs="Arial"/>
          <w:spacing w:val="-1"/>
          <w:sz w:val="16"/>
          <w:szCs w:val="16"/>
        </w:rPr>
        <w:t>que</w:t>
      </w:r>
      <w:r w:rsidRPr="00A60AC8">
        <w:rPr>
          <w:rFonts w:ascii="Verdana" w:hAnsi="Verdana" w:cs="Arial"/>
          <w:spacing w:val="-7"/>
          <w:sz w:val="16"/>
          <w:szCs w:val="16"/>
        </w:rPr>
        <w:t xml:space="preserve"> </w:t>
      </w:r>
      <w:r w:rsidRPr="00A60AC8">
        <w:rPr>
          <w:rFonts w:ascii="Verdana" w:hAnsi="Verdana" w:cs="Arial"/>
          <w:spacing w:val="-1"/>
          <w:sz w:val="16"/>
          <w:szCs w:val="16"/>
        </w:rPr>
        <w:t>puedan</w:t>
      </w:r>
      <w:r w:rsidRPr="00A60AC8">
        <w:rPr>
          <w:rFonts w:ascii="Verdana" w:hAnsi="Verdana" w:cs="Arial"/>
          <w:spacing w:val="-7"/>
          <w:sz w:val="16"/>
          <w:szCs w:val="16"/>
        </w:rPr>
        <w:t xml:space="preserve"> </w:t>
      </w:r>
      <w:r w:rsidRPr="00A60AC8">
        <w:rPr>
          <w:rFonts w:ascii="Verdana" w:hAnsi="Verdana" w:cs="Arial"/>
          <w:spacing w:val="-1"/>
          <w:sz w:val="16"/>
          <w:szCs w:val="16"/>
        </w:rPr>
        <w:t>afectar</w:t>
      </w:r>
      <w:r w:rsidRPr="00A60AC8">
        <w:rPr>
          <w:rFonts w:ascii="Verdana" w:hAnsi="Verdana" w:cs="Arial"/>
          <w:spacing w:val="-6"/>
          <w:sz w:val="16"/>
          <w:szCs w:val="16"/>
        </w:rPr>
        <w:t xml:space="preserve"> </w:t>
      </w:r>
      <w:r w:rsidRPr="00A60AC8">
        <w:rPr>
          <w:rFonts w:ascii="Verdana" w:hAnsi="Verdana" w:cs="Arial"/>
          <w:spacing w:val="-1"/>
          <w:sz w:val="16"/>
          <w:szCs w:val="16"/>
        </w:rPr>
        <w:t>el</w:t>
      </w:r>
      <w:r w:rsidRPr="00A60AC8">
        <w:rPr>
          <w:rFonts w:ascii="Verdana" w:hAnsi="Verdana" w:cs="Arial"/>
          <w:spacing w:val="-7"/>
          <w:sz w:val="16"/>
          <w:szCs w:val="16"/>
        </w:rPr>
        <w:t xml:space="preserve"> </w:t>
      </w:r>
      <w:r w:rsidRPr="00A60AC8">
        <w:rPr>
          <w:rFonts w:ascii="Verdana" w:hAnsi="Verdana" w:cs="Arial"/>
          <w:spacing w:val="-1"/>
          <w:sz w:val="16"/>
          <w:szCs w:val="16"/>
        </w:rPr>
        <w:t>cumplimiento</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8"/>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requisitos</w:t>
      </w:r>
      <w:r w:rsidRPr="00A60AC8">
        <w:rPr>
          <w:rFonts w:ascii="Verdana" w:hAnsi="Verdana" w:cs="Arial"/>
          <w:spacing w:val="-7"/>
          <w:sz w:val="16"/>
          <w:szCs w:val="16"/>
        </w:rPr>
        <w:t xml:space="preserve"> </w:t>
      </w:r>
      <w:r w:rsidRPr="00A60AC8">
        <w:rPr>
          <w:rFonts w:ascii="Verdana" w:hAnsi="Verdana" w:cs="Arial"/>
          <w:sz w:val="16"/>
          <w:szCs w:val="16"/>
        </w:rPr>
        <w:t>exigidos</w:t>
      </w:r>
      <w:r w:rsidRPr="00A60AC8">
        <w:rPr>
          <w:rFonts w:ascii="Verdana" w:hAnsi="Verdana" w:cs="Arial"/>
          <w:spacing w:val="-6"/>
          <w:sz w:val="16"/>
          <w:szCs w:val="16"/>
        </w:rPr>
        <w:t xml:space="preserve"> </w:t>
      </w:r>
      <w:r w:rsidRPr="00A60AC8">
        <w:rPr>
          <w:rFonts w:ascii="Verdana" w:hAnsi="Verdana" w:cs="Arial"/>
          <w:sz w:val="16"/>
          <w:szCs w:val="16"/>
        </w:rPr>
        <w:t>al</w:t>
      </w:r>
      <w:r w:rsidRPr="00A60AC8">
        <w:rPr>
          <w:rFonts w:ascii="Verdana" w:hAnsi="Verdana" w:cs="Arial"/>
          <w:spacing w:val="-8"/>
          <w:sz w:val="16"/>
          <w:szCs w:val="16"/>
        </w:rPr>
        <w:t xml:space="preserve"> </w:t>
      </w:r>
      <w:r w:rsidRPr="00A60AC8">
        <w:rPr>
          <w:rFonts w:ascii="Verdana" w:hAnsi="Verdana" w:cs="Arial"/>
          <w:sz w:val="16"/>
          <w:szCs w:val="16"/>
        </w:rPr>
        <w:t>proponente</w:t>
      </w:r>
      <w:r w:rsidRPr="00A60AC8">
        <w:rPr>
          <w:rFonts w:ascii="Verdana" w:hAnsi="Verdana" w:cs="Arial"/>
          <w:spacing w:val="-6"/>
          <w:sz w:val="16"/>
          <w:szCs w:val="16"/>
        </w:rPr>
        <w:t xml:space="preserve"> </w:t>
      </w:r>
      <w:r w:rsidRPr="00A60AC8">
        <w:rPr>
          <w:rFonts w:ascii="Verdana" w:hAnsi="Verdana" w:cs="Arial"/>
          <w:sz w:val="16"/>
          <w:szCs w:val="16"/>
        </w:rPr>
        <w:t>dentro</w:t>
      </w:r>
      <w:r w:rsidRPr="00A60AC8">
        <w:rPr>
          <w:rFonts w:ascii="Verdana" w:hAnsi="Verdana" w:cs="Arial"/>
          <w:spacing w:val="-6"/>
          <w:sz w:val="16"/>
          <w:szCs w:val="16"/>
        </w:rPr>
        <w:t xml:space="preserve"> </w:t>
      </w:r>
      <w:r w:rsidRPr="00A60AC8">
        <w:rPr>
          <w:rFonts w:ascii="Verdana" w:hAnsi="Verdana" w:cs="Arial"/>
          <w:sz w:val="16"/>
          <w:szCs w:val="16"/>
        </w:rPr>
        <w:t>del</w:t>
      </w:r>
      <w:r w:rsidRPr="00A60AC8">
        <w:rPr>
          <w:rFonts w:ascii="Verdana" w:hAnsi="Verdana" w:cs="Arial"/>
          <w:spacing w:val="-7"/>
          <w:sz w:val="16"/>
          <w:szCs w:val="16"/>
        </w:rPr>
        <w:t xml:space="preserve"> </w:t>
      </w:r>
      <w:r w:rsidRPr="00A60AC8">
        <w:rPr>
          <w:rFonts w:ascii="Verdana" w:hAnsi="Verdana" w:cs="Arial"/>
          <w:sz w:val="16"/>
          <w:szCs w:val="16"/>
        </w:rPr>
        <w:t>proceso</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que</w:t>
      </w:r>
      <w:r w:rsidRPr="00A60AC8">
        <w:rPr>
          <w:rFonts w:ascii="Verdana" w:hAnsi="Verdana" w:cs="Arial"/>
          <w:spacing w:val="-7"/>
          <w:sz w:val="16"/>
          <w:szCs w:val="16"/>
        </w:rPr>
        <w:t xml:space="preserve"> </w:t>
      </w:r>
      <w:r w:rsidRPr="00A60AC8">
        <w:rPr>
          <w:rFonts w:ascii="Verdana" w:hAnsi="Verdana" w:cs="Arial"/>
          <w:sz w:val="16"/>
          <w:szCs w:val="16"/>
        </w:rPr>
        <w:t>se</w:t>
      </w:r>
      <w:r w:rsidRPr="00A60AC8">
        <w:rPr>
          <w:rFonts w:ascii="Verdana" w:hAnsi="Verdana" w:cs="Arial"/>
          <w:spacing w:val="-7"/>
          <w:sz w:val="16"/>
          <w:szCs w:val="16"/>
        </w:rPr>
        <w:t xml:space="preserve"> </w:t>
      </w:r>
      <w:r w:rsidRPr="00A60AC8">
        <w:rPr>
          <w:rFonts w:ascii="Verdana" w:hAnsi="Verdana" w:cs="Arial"/>
          <w:sz w:val="16"/>
          <w:szCs w:val="16"/>
        </w:rPr>
        <w:t>trate,</w:t>
      </w:r>
      <w:r w:rsidRPr="00A60AC8">
        <w:rPr>
          <w:rFonts w:ascii="Verdana" w:hAnsi="Verdana" w:cs="Arial"/>
          <w:spacing w:val="-6"/>
          <w:sz w:val="16"/>
          <w:szCs w:val="16"/>
        </w:rPr>
        <w:t xml:space="preserve"> </w:t>
      </w:r>
      <w:r w:rsidRPr="00A60AC8">
        <w:rPr>
          <w:rFonts w:ascii="Verdana" w:hAnsi="Verdana" w:cs="Arial"/>
          <w:sz w:val="16"/>
          <w:szCs w:val="16"/>
        </w:rPr>
        <w:t>podrá</w:t>
      </w:r>
      <w:r w:rsidRPr="00A60AC8">
        <w:rPr>
          <w:rFonts w:ascii="Verdana" w:hAnsi="Verdana" w:cs="Arial"/>
          <w:spacing w:val="-7"/>
          <w:sz w:val="16"/>
          <w:szCs w:val="16"/>
        </w:rPr>
        <w:t xml:space="preserve"> </w:t>
      </w:r>
      <w:r w:rsidRPr="00A60AC8">
        <w:rPr>
          <w:rFonts w:ascii="Verdana" w:hAnsi="Verdana" w:cs="Arial"/>
          <w:sz w:val="16"/>
          <w:szCs w:val="16"/>
        </w:rPr>
        <w:t>suspender</w:t>
      </w:r>
      <w:r w:rsidRPr="00A60AC8">
        <w:rPr>
          <w:rFonts w:ascii="Verdana" w:hAnsi="Verdana" w:cs="Arial"/>
          <w:spacing w:val="-7"/>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proceso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selección</w:t>
      </w:r>
      <w:r w:rsidRPr="00A60AC8">
        <w:rPr>
          <w:rFonts w:ascii="Verdana" w:hAnsi="Verdana" w:cs="Arial"/>
          <w:spacing w:val="-7"/>
          <w:sz w:val="16"/>
          <w:szCs w:val="16"/>
        </w:rPr>
        <w:t xml:space="preserve"> </w:t>
      </w:r>
      <w:r w:rsidRPr="00A60AC8">
        <w:rPr>
          <w:rFonts w:ascii="Verdana" w:hAnsi="Verdana" w:cs="Arial"/>
          <w:sz w:val="16"/>
          <w:szCs w:val="16"/>
        </w:rPr>
        <w:t>e</w:t>
      </w:r>
      <w:r w:rsidRPr="00A60AC8">
        <w:rPr>
          <w:rFonts w:ascii="Verdana" w:hAnsi="Verdana" w:cs="Arial"/>
          <w:spacing w:val="-7"/>
          <w:sz w:val="16"/>
          <w:szCs w:val="16"/>
        </w:rPr>
        <w:t xml:space="preserve"> </w:t>
      </w:r>
      <w:r w:rsidRPr="00A60AC8">
        <w:rPr>
          <w:rFonts w:ascii="Verdana" w:hAnsi="Verdana" w:cs="Arial"/>
          <w:sz w:val="16"/>
          <w:szCs w:val="16"/>
        </w:rPr>
        <w:t>impugnar</w:t>
      </w:r>
      <w:r w:rsidRPr="00A60AC8">
        <w:rPr>
          <w:rFonts w:ascii="Verdana" w:hAnsi="Verdana" w:cs="Arial"/>
          <w:spacing w:val="-7"/>
          <w:sz w:val="16"/>
          <w:szCs w:val="16"/>
        </w:rPr>
        <w:t xml:space="preserve"> </w:t>
      </w:r>
      <w:r w:rsidRPr="00A60AC8">
        <w:rPr>
          <w:rFonts w:ascii="Verdana" w:hAnsi="Verdana" w:cs="Arial"/>
          <w:sz w:val="16"/>
          <w:szCs w:val="16"/>
        </w:rPr>
        <w:t>ante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Cámara</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Comercio</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inscripción,</w:t>
      </w:r>
      <w:r w:rsidRPr="00A60AC8">
        <w:rPr>
          <w:rFonts w:ascii="Verdana" w:hAnsi="Verdana" w:cs="Arial"/>
          <w:spacing w:val="-7"/>
          <w:sz w:val="16"/>
          <w:szCs w:val="16"/>
        </w:rPr>
        <w:t xml:space="preserve"> </w:t>
      </w:r>
      <w:r w:rsidRPr="00A60AC8">
        <w:rPr>
          <w:rFonts w:ascii="Verdana" w:hAnsi="Verdana" w:cs="Arial"/>
          <w:sz w:val="16"/>
          <w:szCs w:val="16"/>
        </w:rPr>
        <w:t>para</w:t>
      </w:r>
      <w:r w:rsidRPr="00A60AC8">
        <w:rPr>
          <w:rFonts w:ascii="Verdana" w:hAnsi="Verdana" w:cs="Arial"/>
          <w:spacing w:val="-7"/>
          <w:sz w:val="16"/>
          <w:szCs w:val="16"/>
        </w:rPr>
        <w:t xml:space="preserve"> </w:t>
      </w:r>
      <w:r w:rsidRPr="00A60AC8">
        <w:rPr>
          <w:rFonts w:ascii="Verdana" w:hAnsi="Verdana" w:cs="Arial"/>
          <w:sz w:val="16"/>
          <w:szCs w:val="16"/>
        </w:rPr>
        <w:t>lo</w:t>
      </w:r>
      <w:r w:rsidRPr="00A60AC8">
        <w:rPr>
          <w:rFonts w:ascii="Verdana" w:hAnsi="Verdana" w:cs="Arial"/>
          <w:spacing w:val="-7"/>
          <w:sz w:val="16"/>
          <w:szCs w:val="16"/>
        </w:rPr>
        <w:t xml:space="preserve"> </w:t>
      </w:r>
      <w:r w:rsidRPr="00A60AC8">
        <w:rPr>
          <w:rFonts w:ascii="Verdana" w:hAnsi="Verdana" w:cs="Arial"/>
          <w:sz w:val="16"/>
          <w:szCs w:val="16"/>
        </w:rPr>
        <w:t>cual</w:t>
      </w:r>
      <w:r w:rsidRPr="00A60AC8">
        <w:rPr>
          <w:rFonts w:ascii="Verdana" w:hAnsi="Verdana" w:cs="Arial"/>
          <w:spacing w:val="-7"/>
          <w:sz w:val="16"/>
          <w:szCs w:val="16"/>
        </w:rPr>
        <w:t xml:space="preserve"> </w:t>
      </w:r>
      <w:r w:rsidRPr="00A60AC8">
        <w:rPr>
          <w:rFonts w:ascii="Verdana" w:hAnsi="Verdana" w:cs="Arial"/>
          <w:sz w:val="16"/>
          <w:szCs w:val="16"/>
        </w:rPr>
        <w:t>no</w:t>
      </w:r>
      <w:r w:rsidRPr="00A60AC8">
        <w:rPr>
          <w:rFonts w:ascii="Verdana" w:hAnsi="Verdana" w:cs="Arial"/>
          <w:spacing w:val="-7"/>
          <w:sz w:val="16"/>
          <w:szCs w:val="16"/>
        </w:rPr>
        <w:t xml:space="preserve"> </w:t>
      </w:r>
      <w:r w:rsidRPr="00A60AC8">
        <w:rPr>
          <w:rFonts w:ascii="Verdana" w:hAnsi="Verdana" w:cs="Arial"/>
          <w:sz w:val="16"/>
          <w:szCs w:val="16"/>
        </w:rPr>
        <w:t>estarán</w:t>
      </w:r>
      <w:r w:rsidRPr="00A60AC8">
        <w:rPr>
          <w:rFonts w:ascii="Verdana" w:hAnsi="Verdana" w:cs="Arial"/>
          <w:spacing w:val="-7"/>
          <w:sz w:val="16"/>
          <w:szCs w:val="16"/>
        </w:rPr>
        <w:t xml:space="preserve"> </w:t>
      </w:r>
      <w:r w:rsidRPr="00A60AC8">
        <w:rPr>
          <w:rFonts w:ascii="Verdana" w:hAnsi="Verdana" w:cs="Arial"/>
          <w:sz w:val="16"/>
          <w:szCs w:val="16"/>
        </w:rPr>
        <w:t>obligadas</w:t>
      </w:r>
      <w:r w:rsidRPr="00A60AC8">
        <w:rPr>
          <w:rFonts w:ascii="Verdana" w:hAnsi="Verdana" w:cs="Arial"/>
          <w:spacing w:val="-7"/>
          <w:sz w:val="16"/>
          <w:szCs w:val="16"/>
        </w:rPr>
        <w:t xml:space="preserve"> </w:t>
      </w:r>
      <w:r w:rsidRPr="00A60AC8">
        <w:rPr>
          <w:rFonts w:ascii="Verdana" w:hAnsi="Verdana" w:cs="Arial"/>
          <w:sz w:val="16"/>
          <w:szCs w:val="16"/>
        </w:rPr>
        <w:t>a</w:t>
      </w:r>
      <w:r w:rsidRPr="00A60AC8">
        <w:rPr>
          <w:rFonts w:ascii="Verdana" w:hAnsi="Verdana" w:cs="Arial"/>
          <w:spacing w:val="-7"/>
          <w:sz w:val="16"/>
          <w:szCs w:val="16"/>
        </w:rPr>
        <w:t xml:space="preserve"> </w:t>
      </w:r>
      <w:r w:rsidRPr="00A60AC8">
        <w:rPr>
          <w:rFonts w:ascii="Verdana" w:hAnsi="Verdana" w:cs="Arial"/>
          <w:sz w:val="16"/>
          <w:szCs w:val="16"/>
        </w:rPr>
        <w:t>prestar</w:t>
      </w:r>
      <w:r w:rsidRPr="00A60AC8">
        <w:rPr>
          <w:rFonts w:ascii="Verdana" w:hAnsi="Verdana" w:cs="Arial"/>
          <w:spacing w:val="-7"/>
          <w:sz w:val="16"/>
          <w:szCs w:val="16"/>
        </w:rPr>
        <w:t xml:space="preserve"> </w:t>
      </w:r>
      <w:r w:rsidRPr="00A60AC8">
        <w:rPr>
          <w:rFonts w:ascii="Verdana" w:hAnsi="Verdana" w:cs="Arial"/>
          <w:sz w:val="16"/>
          <w:szCs w:val="16"/>
        </w:rPr>
        <w:t>caución.</w:t>
      </w:r>
      <w:r w:rsidRPr="00A60AC8">
        <w:rPr>
          <w:rFonts w:ascii="Verdana" w:hAnsi="Verdana" w:cs="Arial"/>
          <w:spacing w:val="-7"/>
          <w:sz w:val="16"/>
          <w:szCs w:val="16"/>
        </w:rPr>
        <w:t xml:space="preserve"> </w:t>
      </w:r>
      <w:r w:rsidRPr="00A60AC8">
        <w:rPr>
          <w:rFonts w:ascii="Verdana" w:hAnsi="Verdana" w:cs="Arial"/>
          <w:sz w:val="16"/>
          <w:szCs w:val="16"/>
        </w:rPr>
        <w:t>Para</w:t>
      </w:r>
      <w:r w:rsidRPr="00A60AC8">
        <w:rPr>
          <w:rFonts w:ascii="Verdana" w:hAnsi="Verdana" w:cs="Arial"/>
          <w:spacing w:val="-6"/>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trámite</w:t>
      </w:r>
      <w:r w:rsidRPr="00A60AC8">
        <w:rPr>
          <w:rFonts w:ascii="Verdana" w:hAnsi="Verdana" w:cs="Arial"/>
          <w:spacing w:val="-7"/>
          <w:sz w:val="16"/>
          <w:szCs w:val="16"/>
        </w:rPr>
        <w:t xml:space="preserve"> </w:t>
      </w:r>
      <w:r w:rsidRPr="00A60AC8">
        <w:rPr>
          <w:rFonts w:ascii="Verdana" w:hAnsi="Verdana" w:cs="Arial"/>
          <w:sz w:val="16"/>
          <w:szCs w:val="16"/>
        </w:rPr>
        <w:t>y</w:t>
      </w:r>
      <w:r w:rsidRPr="00A60AC8">
        <w:rPr>
          <w:rFonts w:ascii="Verdana" w:hAnsi="Verdana" w:cs="Arial"/>
          <w:spacing w:val="-7"/>
          <w:sz w:val="16"/>
          <w:szCs w:val="16"/>
        </w:rPr>
        <w:t xml:space="preserve"> </w:t>
      </w:r>
      <w:r w:rsidRPr="00A60AC8">
        <w:rPr>
          <w:rFonts w:ascii="Verdana" w:hAnsi="Verdana" w:cs="Arial"/>
          <w:sz w:val="16"/>
          <w:szCs w:val="16"/>
        </w:rPr>
        <w:t>adopción</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decisión</w:t>
      </w:r>
      <w:r w:rsidRPr="00A60AC8">
        <w:rPr>
          <w:rFonts w:ascii="Verdana" w:hAnsi="Verdana" w:cs="Arial"/>
          <w:spacing w:val="1"/>
          <w:sz w:val="16"/>
          <w:szCs w:val="16"/>
        </w:rPr>
        <w:t xml:space="preserve"> </w:t>
      </w:r>
      <w:r w:rsidRPr="00A60AC8">
        <w:rPr>
          <w:rFonts w:ascii="Verdana" w:hAnsi="Verdana" w:cs="Arial"/>
          <w:sz w:val="16"/>
          <w:szCs w:val="16"/>
        </w:rPr>
        <w:t>las</w:t>
      </w:r>
      <w:r w:rsidRPr="00A60AC8">
        <w:rPr>
          <w:rFonts w:ascii="Verdana" w:hAnsi="Verdana" w:cs="Arial"/>
          <w:spacing w:val="-5"/>
          <w:sz w:val="16"/>
          <w:szCs w:val="16"/>
        </w:rPr>
        <w:t xml:space="preserve"> </w:t>
      </w:r>
      <w:r w:rsidRPr="00A60AC8">
        <w:rPr>
          <w:rFonts w:ascii="Verdana" w:hAnsi="Verdana" w:cs="Arial"/>
          <w:sz w:val="16"/>
          <w:szCs w:val="16"/>
        </w:rPr>
        <w:t>Cámaras</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Comercio</w:t>
      </w:r>
      <w:r w:rsidRPr="00A60AC8">
        <w:rPr>
          <w:rFonts w:ascii="Verdana" w:hAnsi="Verdana" w:cs="Arial"/>
          <w:spacing w:val="-4"/>
          <w:sz w:val="16"/>
          <w:szCs w:val="16"/>
        </w:rPr>
        <w:t xml:space="preserve"> </w:t>
      </w:r>
      <w:r w:rsidRPr="00A60AC8">
        <w:rPr>
          <w:rFonts w:ascii="Verdana" w:hAnsi="Verdana" w:cs="Arial"/>
          <w:sz w:val="16"/>
          <w:szCs w:val="16"/>
        </w:rPr>
        <w:t>tendrán</w:t>
      </w:r>
      <w:r w:rsidRPr="00A60AC8">
        <w:rPr>
          <w:rFonts w:ascii="Verdana" w:hAnsi="Verdana" w:cs="Arial"/>
          <w:spacing w:val="-4"/>
          <w:sz w:val="16"/>
          <w:szCs w:val="16"/>
        </w:rPr>
        <w:t xml:space="preserve"> </w:t>
      </w:r>
      <w:r w:rsidRPr="00A60AC8">
        <w:rPr>
          <w:rFonts w:ascii="Verdana" w:hAnsi="Verdana" w:cs="Arial"/>
          <w:sz w:val="16"/>
          <w:szCs w:val="16"/>
        </w:rPr>
        <w:t>un</w:t>
      </w:r>
      <w:r w:rsidRPr="00A60AC8">
        <w:rPr>
          <w:rFonts w:ascii="Verdana" w:hAnsi="Verdana" w:cs="Arial"/>
          <w:spacing w:val="-4"/>
          <w:sz w:val="16"/>
          <w:szCs w:val="16"/>
        </w:rPr>
        <w:t xml:space="preserve"> </w:t>
      </w:r>
      <w:r w:rsidRPr="00A60AC8">
        <w:rPr>
          <w:rFonts w:ascii="Verdana" w:hAnsi="Verdana" w:cs="Arial"/>
          <w:sz w:val="16"/>
          <w:szCs w:val="16"/>
        </w:rPr>
        <w:t>plazo</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veinte</w:t>
      </w:r>
      <w:r w:rsidRPr="00A60AC8">
        <w:rPr>
          <w:rFonts w:ascii="Verdana" w:hAnsi="Verdana" w:cs="Arial"/>
          <w:spacing w:val="-4"/>
          <w:sz w:val="16"/>
          <w:szCs w:val="16"/>
        </w:rPr>
        <w:t xml:space="preserve"> </w:t>
      </w:r>
      <w:r w:rsidRPr="00A60AC8">
        <w:rPr>
          <w:rFonts w:ascii="Verdana" w:hAnsi="Verdana" w:cs="Arial"/>
          <w:sz w:val="16"/>
          <w:szCs w:val="16"/>
        </w:rPr>
        <w:t>(20)</w:t>
      </w:r>
      <w:r w:rsidRPr="00A60AC8">
        <w:rPr>
          <w:rFonts w:ascii="Verdana" w:hAnsi="Verdana" w:cs="Arial"/>
          <w:spacing w:val="-4"/>
          <w:sz w:val="16"/>
          <w:szCs w:val="16"/>
        </w:rPr>
        <w:t xml:space="preserve"> </w:t>
      </w:r>
      <w:r w:rsidRPr="00A60AC8">
        <w:rPr>
          <w:rFonts w:ascii="Verdana" w:hAnsi="Verdana" w:cs="Arial"/>
          <w:sz w:val="16"/>
          <w:szCs w:val="16"/>
        </w:rPr>
        <w:t>días.</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no</w:t>
      </w:r>
      <w:r w:rsidRPr="00A60AC8">
        <w:rPr>
          <w:rFonts w:ascii="Verdana" w:hAnsi="Verdana" w:cs="Arial"/>
          <w:spacing w:val="-4"/>
          <w:sz w:val="16"/>
          <w:szCs w:val="16"/>
        </w:rPr>
        <w:t xml:space="preserve"> </w:t>
      </w:r>
      <w:r w:rsidRPr="00A60AC8">
        <w:rPr>
          <w:rFonts w:ascii="Verdana" w:hAnsi="Verdana" w:cs="Arial"/>
          <w:sz w:val="16"/>
          <w:szCs w:val="16"/>
        </w:rPr>
        <w:t>haberse</w:t>
      </w:r>
      <w:r w:rsidRPr="00A60AC8">
        <w:rPr>
          <w:rFonts w:ascii="Verdana" w:hAnsi="Verdana" w:cs="Arial"/>
          <w:spacing w:val="-4"/>
          <w:sz w:val="16"/>
          <w:szCs w:val="16"/>
        </w:rPr>
        <w:t xml:space="preserve"> </w:t>
      </w:r>
      <w:r w:rsidRPr="00A60AC8">
        <w:rPr>
          <w:rFonts w:ascii="Verdana" w:hAnsi="Verdana" w:cs="Arial"/>
          <w:sz w:val="16"/>
          <w:szCs w:val="16"/>
        </w:rPr>
        <w:t>adoptado</w:t>
      </w:r>
      <w:r w:rsidRPr="00A60AC8">
        <w:rPr>
          <w:rFonts w:ascii="Verdana" w:hAnsi="Verdana" w:cs="Arial"/>
          <w:spacing w:val="-4"/>
          <w:sz w:val="16"/>
          <w:szCs w:val="16"/>
        </w:rPr>
        <w:t xml:space="preserve"> </w:t>
      </w:r>
      <w:r w:rsidRPr="00A60AC8">
        <w:rPr>
          <w:rFonts w:ascii="Verdana" w:hAnsi="Verdana" w:cs="Arial"/>
          <w:sz w:val="16"/>
          <w:szCs w:val="16"/>
        </w:rPr>
        <w:t>una</w:t>
      </w:r>
      <w:r w:rsidRPr="00A60AC8">
        <w:rPr>
          <w:rFonts w:ascii="Verdana" w:hAnsi="Verdana" w:cs="Arial"/>
          <w:spacing w:val="-4"/>
          <w:sz w:val="16"/>
          <w:szCs w:val="16"/>
        </w:rPr>
        <w:t xml:space="preserve"> </w:t>
      </w:r>
      <w:r w:rsidRPr="00A60AC8">
        <w:rPr>
          <w:rFonts w:ascii="Verdana" w:hAnsi="Verdana" w:cs="Arial"/>
          <w:sz w:val="16"/>
          <w:szCs w:val="16"/>
        </w:rPr>
        <w:t>decisión</w:t>
      </w:r>
      <w:r w:rsidRPr="00A60AC8">
        <w:rPr>
          <w:rFonts w:ascii="Verdana" w:hAnsi="Verdana" w:cs="Arial"/>
          <w:spacing w:val="-4"/>
          <w:sz w:val="16"/>
          <w:szCs w:val="16"/>
        </w:rPr>
        <w:t xml:space="preserve"> </w:t>
      </w:r>
      <w:r w:rsidRPr="00A60AC8">
        <w:rPr>
          <w:rFonts w:ascii="Verdana" w:hAnsi="Verdana" w:cs="Arial"/>
          <w:sz w:val="16"/>
          <w:szCs w:val="16"/>
        </w:rPr>
        <w:t>en</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término</w:t>
      </w:r>
      <w:r w:rsidRPr="00A60AC8">
        <w:rPr>
          <w:rFonts w:ascii="Verdana" w:hAnsi="Verdana" w:cs="Arial"/>
          <w:spacing w:val="-4"/>
          <w:sz w:val="16"/>
          <w:szCs w:val="16"/>
        </w:rPr>
        <w:t xml:space="preserve"> </w:t>
      </w:r>
      <w:r w:rsidRPr="00A60AC8">
        <w:rPr>
          <w:rFonts w:ascii="Verdana" w:hAnsi="Verdana" w:cs="Arial"/>
          <w:sz w:val="16"/>
          <w:szCs w:val="16"/>
        </w:rPr>
        <w:t>anterior,</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entidad</w:t>
      </w:r>
      <w:r w:rsidRPr="00A60AC8">
        <w:rPr>
          <w:rFonts w:ascii="Verdana" w:hAnsi="Verdana" w:cs="Arial"/>
          <w:spacing w:val="-4"/>
          <w:sz w:val="16"/>
          <w:szCs w:val="16"/>
        </w:rPr>
        <w:t xml:space="preserve"> </w:t>
      </w:r>
      <w:r w:rsidRPr="00A60AC8">
        <w:rPr>
          <w:rFonts w:ascii="Verdana" w:hAnsi="Verdana" w:cs="Arial"/>
          <w:sz w:val="16"/>
          <w:szCs w:val="16"/>
        </w:rPr>
        <w:t>reanudará</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proceso</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selección</w:t>
      </w:r>
      <w:r w:rsidRPr="00A60AC8">
        <w:rPr>
          <w:rFonts w:ascii="Verdana" w:hAnsi="Verdana" w:cs="Arial"/>
          <w:spacing w:val="-2"/>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acuerdo</w:t>
      </w:r>
      <w:r w:rsidRPr="00A60AC8">
        <w:rPr>
          <w:rFonts w:ascii="Verdana" w:hAnsi="Verdana" w:cs="Arial"/>
          <w:spacing w:val="-1"/>
          <w:sz w:val="16"/>
          <w:szCs w:val="16"/>
        </w:rPr>
        <w:t xml:space="preserve"> </w:t>
      </w:r>
      <w:r w:rsidRPr="00A60AC8">
        <w:rPr>
          <w:rFonts w:ascii="Verdana" w:hAnsi="Verdana" w:cs="Arial"/>
          <w:sz w:val="16"/>
          <w:szCs w:val="16"/>
        </w:rPr>
        <w:t>con</w:t>
      </w:r>
      <w:r w:rsidRPr="00A60AC8">
        <w:rPr>
          <w:rFonts w:ascii="Verdana" w:hAnsi="Verdana" w:cs="Arial"/>
          <w:spacing w:val="-1"/>
          <w:sz w:val="16"/>
          <w:szCs w:val="16"/>
        </w:rPr>
        <w:t xml:space="preserve"> </w:t>
      </w:r>
      <w:r w:rsidRPr="00A60AC8">
        <w:rPr>
          <w:rFonts w:ascii="Verdana" w:hAnsi="Verdana" w:cs="Arial"/>
          <w:sz w:val="16"/>
          <w:szCs w:val="16"/>
        </w:rPr>
        <w:t>la</w:t>
      </w:r>
      <w:r w:rsidRPr="00A60AC8">
        <w:rPr>
          <w:rFonts w:ascii="Verdana" w:hAnsi="Verdana" w:cs="Arial"/>
          <w:spacing w:val="-1"/>
          <w:sz w:val="16"/>
          <w:szCs w:val="16"/>
        </w:rPr>
        <w:t xml:space="preserve"> </w:t>
      </w:r>
      <w:r w:rsidRPr="00A60AC8">
        <w:rPr>
          <w:rFonts w:ascii="Verdana" w:hAnsi="Verdana" w:cs="Arial"/>
          <w:sz w:val="16"/>
          <w:szCs w:val="16"/>
        </w:rPr>
        <w:t>información</w:t>
      </w:r>
      <w:r w:rsidRPr="00A60AC8">
        <w:rPr>
          <w:rFonts w:ascii="Verdana" w:hAnsi="Verdana" w:cs="Arial"/>
          <w:spacing w:val="-1"/>
          <w:sz w:val="16"/>
          <w:szCs w:val="16"/>
        </w:rPr>
        <w:t xml:space="preserve"> </w:t>
      </w:r>
      <w:r w:rsidRPr="00A60AC8">
        <w:rPr>
          <w:rFonts w:ascii="Verdana" w:hAnsi="Verdana" w:cs="Arial"/>
          <w:sz w:val="16"/>
          <w:szCs w:val="16"/>
        </w:rPr>
        <w:t>certificada</w:t>
      </w:r>
      <w:r w:rsidRPr="00A60AC8">
        <w:rPr>
          <w:rFonts w:ascii="Verdana" w:hAnsi="Verdana" w:cs="Arial"/>
          <w:spacing w:val="-1"/>
          <w:sz w:val="16"/>
          <w:szCs w:val="16"/>
        </w:rPr>
        <w:t xml:space="preserve"> </w:t>
      </w:r>
      <w:r w:rsidRPr="00A60AC8">
        <w:rPr>
          <w:rFonts w:ascii="Verdana" w:hAnsi="Verdana" w:cs="Arial"/>
          <w:sz w:val="16"/>
          <w:szCs w:val="16"/>
        </w:rPr>
        <w:t>en</w:t>
      </w:r>
      <w:r w:rsidRPr="00A60AC8">
        <w:rPr>
          <w:rFonts w:ascii="Verdana" w:hAnsi="Verdana" w:cs="Arial"/>
          <w:spacing w:val="-2"/>
          <w:sz w:val="16"/>
          <w:szCs w:val="16"/>
        </w:rPr>
        <w:t xml:space="preserve"> </w:t>
      </w:r>
      <w:r w:rsidRPr="00A60AC8">
        <w:rPr>
          <w:rFonts w:ascii="Verdana" w:hAnsi="Verdana" w:cs="Arial"/>
          <w:sz w:val="16"/>
          <w:szCs w:val="16"/>
        </w:rPr>
        <w:t>el</w:t>
      </w:r>
      <w:r w:rsidRPr="00A60AC8">
        <w:rPr>
          <w:rFonts w:ascii="Verdana" w:hAnsi="Verdana" w:cs="Arial"/>
          <w:spacing w:val="-1"/>
          <w:sz w:val="16"/>
          <w:szCs w:val="16"/>
        </w:rPr>
        <w:t xml:space="preserve"> </w:t>
      </w:r>
      <w:r w:rsidRPr="00A60AC8">
        <w:rPr>
          <w:rFonts w:ascii="Verdana" w:hAnsi="Verdana" w:cs="Arial"/>
          <w:sz w:val="16"/>
          <w:szCs w:val="16"/>
        </w:rPr>
        <w:t>RUP.</w:t>
      </w:r>
    </w:p>
    <w:p w14:paraId="2638DA83"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En el evento en que la Cámara de Comercio establezca la existencia de graves inconsistencias se le cancelará la inscripción en el registro</w:t>
      </w:r>
      <w:r w:rsidRPr="00A60AC8">
        <w:rPr>
          <w:rFonts w:ascii="Verdana" w:hAnsi="Verdana" w:cs="Arial"/>
          <w:spacing w:val="1"/>
          <w:sz w:val="16"/>
          <w:szCs w:val="16"/>
        </w:rPr>
        <w:t xml:space="preserve"> </w:t>
      </w:r>
      <w:r w:rsidRPr="00A60AC8">
        <w:rPr>
          <w:rFonts w:ascii="Verdana" w:hAnsi="Verdana" w:cs="Arial"/>
          <w:sz w:val="16"/>
          <w:szCs w:val="16"/>
        </w:rPr>
        <w:t>quedando en tal caso inhabilitado para contratar con las entidades estatales por el término de cinco (5) años, sin perjuicio de las acciones penales a que haya</w:t>
      </w:r>
      <w:r w:rsidRPr="00A60AC8">
        <w:rPr>
          <w:rFonts w:ascii="Verdana" w:hAnsi="Verdana" w:cs="Arial"/>
          <w:spacing w:val="1"/>
          <w:sz w:val="16"/>
          <w:szCs w:val="16"/>
        </w:rPr>
        <w:t xml:space="preserve"> </w:t>
      </w:r>
      <w:r w:rsidRPr="00A60AC8">
        <w:rPr>
          <w:rFonts w:ascii="Verdana" w:hAnsi="Verdana" w:cs="Arial"/>
          <w:sz w:val="16"/>
          <w:szCs w:val="16"/>
        </w:rPr>
        <w:t>lugar.</w:t>
      </w:r>
      <w:r w:rsidRPr="00A60AC8">
        <w:rPr>
          <w:rFonts w:ascii="Verdana" w:hAnsi="Verdana" w:cs="Arial"/>
          <w:spacing w:val="-1"/>
          <w:sz w:val="16"/>
          <w:szCs w:val="16"/>
        </w:rPr>
        <w:t xml:space="preserve"> </w:t>
      </w:r>
      <w:r w:rsidRPr="00A60AC8">
        <w:rPr>
          <w:rFonts w:ascii="Verdana" w:hAnsi="Verdana" w:cs="Arial"/>
          <w:sz w:val="16"/>
          <w:szCs w:val="16"/>
        </w:rPr>
        <w:t>En</w:t>
      </w:r>
      <w:r w:rsidRPr="00A60AC8">
        <w:rPr>
          <w:rFonts w:ascii="Verdana" w:hAnsi="Verdana" w:cs="Arial"/>
          <w:spacing w:val="-1"/>
          <w:sz w:val="16"/>
          <w:szCs w:val="16"/>
        </w:rPr>
        <w:t xml:space="preserve"> </w:t>
      </w:r>
      <w:r w:rsidRPr="00A60AC8">
        <w:rPr>
          <w:rFonts w:ascii="Verdana" w:hAnsi="Verdana" w:cs="Arial"/>
          <w:sz w:val="16"/>
          <w:szCs w:val="16"/>
        </w:rPr>
        <w:t>caso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reincidencia</w:t>
      </w:r>
      <w:r w:rsidRPr="00A60AC8">
        <w:rPr>
          <w:rFonts w:ascii="Verdana" w:hAnsi="Verdana" w:cs="Arial"/>
          <w:spacing w:val="-1"/>
          <w:sz w:val="16"/>
          <w:szCs w:val="16"/>
        </w:rPr>
        <w:t xml:space="preserve"> </w:t>
      </w:r>
      <w:r w:rsidRPr="00A60AC8">
        <w:rPr>
          <w:rFonts w:ascii="Verdana" w:hAnsi="Verdana" w:cs="Arial"/>
          <w:sz w:val="16"/>
          <w:szCs w:val="16"/>
        </w:rPr>
        <w:t>la</w:t>
      </w:r>
      <w:r w:rsidRPr="00A60AC8">
        <w:rPr>
          <w:rFonts w:ascii="Verdana" w:hAnsi="Verdana" w:cs="Arial"/>
          <w:spacing w:val="-2"/>
          <w:sz w:val="16"/>
          <w:szCs w:val="16"/>
        </w:rPr>
        <w:t xml:space="preserve"> </w:t>
      </w:r>
      <w:r w:rsidRPr="00A60AC8">
        <w:rPr>
          <w:rFonts w:ascii="Verdana" w:hAnsi="Verdana" w:cs="Arial"/>
          <w:sz w:val="16"/>
          <w:szCs w:val="16"/>
        </w:rPr>
        <w:t>inhabilidad</w:t>
      </w:r>
      <w:r w:rsidRPr="00A60AC8">
        <w:rPr>
          <w:rFonts w:ascii="Verdana" w:hAnsi="Verdana" w:cs="Arial"/>
          <w:spacing w:val="-1"/>
          <w:sz w:val="16"/>
          <w:szCs w:val="16"/>
        </w:rPr>
        <w:t xml:space="preserve"> </w:t>
      </w:r>
      <w:r w:rsidRPr="00A60AC8">
        <w:rPr>
          <w:rFonts w:ascii="Verdana" w:hAnsi="Verdana" w:cs="Arial"/>
          <w:sz w:val="16"/>
          <w:szCs w:val="16"/>
        </w:rPr>
        <w:t>será</w:t>
      </w:r>
      <w:r w:rsidRPr="00A60AC8">
        <w:rPr>
          <w:rFonts w:ascii="Verdana" w:hAnsi="Verdana" w:cs="Arial"/>
          <w:spacing w:val="-1"/>
          <w:sz w:val="16"/>
          <w:szCs w:val="16"/>
        </w:rPr>
        <w:t xml:space="preserve"> </w:t>
      </w:r>
      <w:r w:rsidRPr="00A60AC8">
        <w:rPr>
          <w:rFonts w:ascii="Verdana" w:hAnsi="Verdana" w:cs="Arial"/>
          <w:sz w:val="16"/>
          <w:szCs w:val="16"/>
        </w:rPr>
        <w:t>permanente.</w:t>
      </w:r>
    </w:p>
    <w:p w14:paraId="6E2399F2"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Las</w:t>
      </w:r>
      <w:r w:rsidRPr="00A60AC8">
        <w:rPr>
          <w:rFonts w:ascii="Verdana" w:hAnsi="Verdana" w:cs="Arial"/>
          <w:spacing w:val="-8"/>
          <w:sz w:val="16"/>
          <w:szCs w:val="16"/>
        </w:rPr>
        <w:t xml:space="preserve"> </w:t>
      </w:r>
      <w:r w:rsidRPr="00A60AC8">
        <w:rPr>
          <w:rFonts w:ascii="Verdana" w:hAnsi="Verdana" w:cs="Arial"/>
          <w:sz w:val="16"/>
          <w:szCs w:val="16"/>
        </w:rPr>
        <w:t>mismas</w:t>
      </w:r>
      <w:r w:rsidRPr="00A60AC8">
        <w:rPr>
          <w:rFonts w:ascii="Verdana" w:hAnsi="Verdana" w:cs="Arial"/>
          <w:spacing w:val="-7"/>
          <w:sz w:val="16"/>
          <w:szCs w:val="16"/>
        </w:rPr>
        <w:t xml:space="preserve"> </w:t>
      </w:r>
      <w:r w:rsidRPr="00A60AC8">
        <w:rPr>
          <w:rFonts w:ascii="Verdana" w:hAnsi="Verdana" w:cs="Arial"/>
          <w:sz w:val="16"/>
          <w:szCs w:val="16"/>
        </w:rPr>
        <w:t>sanciones</w:t>
      </w:r>
      <w:r w:rsidRPr="00A60AC8">
        <w:rPr>
          <w:rFonts w:ascii="Verdana" w:hAnsi="Verdana" w:cs="Arial"/>
          <w:spacing w:val="-7"/>
          <w:sz w:val="16"/>
          <w:szCs w:val="16"/>
        </w:rPr>
        <w:t xml:space="preserve"> </w:t>
      </w:r>
      <w:r w:rsidRPr="00A60AC8">
        <w:rPr>
          <w:rFonts w:ascii="Verdana" w:hAnsi="Verdana" w:cs="Arial"/>
          <w:sz w:val="16"/>
          <w:szCs w:val="16"/>
        </w:rPr>
        <w:t>previstas</w:t>
      </w:r>
      <w:r w:rsidRPr="00A60AC8">
        <w:rPr>
          <w:rFonts w:ascii="Verdana" w:hAnsi="Verdana" w:cs="Arial"/>
          <w:spacing w:val="-7"/>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inciso</w:t>
      </w:r>
      <w:r w:rsidRPr="00A60AC8">
        <w:rPr>
          <w:rFonts w:ascii="Verdana" w:hAnsi="Verdana" w:cs="Arial"/>
          <w:spacing w:val="-7"/>
          <w:sz w:val="16"/>
          <w:szCs w:val="16"/>
        </w:rPr>
        <w:t xml:space="preserve"> </w:t>
      </w:r>
      <w:r w:rsidRPr="00A60AC8">
        <w:rPr>
          <w:rFonts w:ascii="Verdana" w:hAnsi="Verdana" w:cs="Arial"/>
          <w:sz w:val="16"/>
          <w:szCs w:val="16"/>
        </w:rPr>
        <w:t>anterior</w:t>
      </w:r>
      <w:r w:rsidRPr="00A60AC8">
        <w:rPr>
          <w:rFonts w:ascii="Verdana" w:hAnsi="Verdana" w:cs="Arial"/>
          <w:spacing w:val="-7"/>
          <w:sz w:val="16"/>
          <w:szCs w:val="16"/>
        </w:rPr>
        <w:t xml:space="preserve"> </w:t>
      </w:r>
      <w:r w:rsidRPr="00A60AC8">
        <w:rPr>
          <w:rFonts w:ascii="Verdana" w:hAnsi="Verdana" w:cs="Arial"/>
          <w:sz w:val="16"/>
          <w:szCs w:val="16"/>
        </w:rPr>
        <w:t>se</w:t>
      </w:r>
      <w:r w:rsidRPr="00A60AC8">
        <w:rPr>
          <w:rFonts w:ascii="Verdana" w:hAnsi="Verdana" w:cs="Arial"/>
          <w:spacing w:val="-7"/>
          <w:sz w:val="16"/>
          <w:szCs w:val="16"/>
        </w:rPr>
        <w:t xml:space="preserve"> </w:t>
      </w:r>
      <w:r w:rsidRPr="00A60AC8">
        <w:rPr>
          <w:rFonts w:ascii="Verdana" w:hAnsi="Verdana" w:cs="Arial"/>
          <w:sz w:val="16"/>
          <w:szCs w:val="16"/>
        </w:rPr>
        <w:t>predicarán</w:t>
      </w:r>
      <w:r w:rsidRPr="00A60AC8">
        <w:rPr>
          <w:rFonts w:ascii="Verdana" w:hAnsi="Verdana" w:cs="Arial"/>
          <w:spacing w:val="-8"/>
          <w:sz w:val="16"/>
          <w:szCs w:val="16"/>
        </w:rPr>
        <w:t xml:space="preserve"> </w:t>
      </w:r>
      <w:r w:rsidRPr="00A60AC8">
        <w:rPr>
          <w:rFonts w:ascii="Verdana" w:hAnsi="Verdana" w:cs="Arial"/>
          <w:sz w:val="16"/>
          <w:szCs w:val="16"/>
        </w:rPr>
        <w:t>en</w:t>
      </w:r>
      <w:r w:rsidRPr="00A60AC8">
        <w:rPr>
          <w:rFonts w:ascii="Verdana" w:hAnsi="Verdana" w:cs="Arial"/>
          <w:spacing w:val="-7"/>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evento</w:t>
      </w:r>
      <w:r w:rsidRPr="00A60AC8">
        <w:rPr>
          <w:rFonts w:ascii="Verdana" w:hAnsi="Verdana" w:cs="Arial"/>
          <w:spacing w:val="-7"/>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que</w:t>
      </w:r>
      <w:r w:rsidRPr="00A60AC8">
        <w:rPr>
          <w:rFonts w:ascii="Verdana" w:hAnsi="Verdana" w:cs="Arial"/>
          <w:spacing w:val="-7"/>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Juez</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lo</w:t>
      </w:r>
      <w:r w:rsidRPr="00A60AC8">
        <w:rPr>
          <w:rFonts w:ascii="Verdana" w:hAnsi="Verdana" w:cs="Arial"/>
          <w:spacing w:val="-8"/>
          <w:sz w:val="16"/>
          <w:szCs w:val="16"/>
        </w:rPr>
        <w:t xml:space="preserve"> </w:t>
      </w:r>
      <w:r w:rsidRPr="00A60AC8">
        <w:rPr>
          <w:rFonts w:ascii="Verdana" w:hAnsi="Verdana" w:cs="Arial"/>
          <w:sz w:val="16"/>
          <w:szCs w:val="16"/>
        </w:rPr>
        <w:t>Contencioso</w:t>
      </w:r>
      <w:r w:rsidRPr="00A60AC8">
        <w:rPr>
          <w:rFonts w:ascii="Verdana" w:hAnsi="Verdana" w:cs="Arial"/>
          <w:spacing w:val="-7"/>
          <w:sz w:val="16"/>
          <w:szCs w:val="16"/>
        </w:rPr>
        <w:t xml:space="preserve"> </w:t>
      </w:r>
      <w:r w:rsidRPr="00A60AC8">
        <w:rPr>
          <w:rFonts w:ascii="Verdana" w:hAnsi="Verdana" w:cs="Arial"/>
          <w:sz w:val="16"/>
          <w:szCs w:val="16"/>
        </w:rPr>
        <w:t>Administrativa</w:t>
      </w:r>
      <w:r w:rsidRPr="00A60AC8">
        <w:rPr>
          <w:rFonts w:ascii="Verdana" w:hAnsi="Verdana" w:cs="Arial"/>
          <w:spacing w:val="-6"/>
          <w:sz w:val="16"/>
          <w:szCs w:val="16"/>
        </w:rPr>
        <w:t xml:space="preserve"> </w:t>
      </w:r>
      <w:r w:rsidRPr="00A60AC8">
        <w:rPr>
          <w:rFonts w:ascii="Verdana" w:hAnsi="Verdana" w:cs="Arial"/>
          <w:sz w:val="16"/>
          <w:szCs w:val="16"/>
        </w:rPr>
        <w:t>declare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8"/>
          <w:sz w:val="16"/>
          <w:szCs w:val="16"/>
        </w:rPr>
        <w:t xml:space="preserve"> </w:t>
      </w:r>
      <w:r w:rsidRPr="00A60AC8">
        <w:rPr>
          <w:rFonts w:ascii="Verdana" w:hAnsi="Verdana" w:cs="Arial"/>
          <w:sz w:val="16"/>
          <w:szCs w:val="16"/>
        </w:rPr>
        <w:t>nulidad</w:t>
      </w:r>
      <w:r w:rsidRPr="00A60AC8">
        <w:rPr>
          <w:rFonts w:ascii="Verdana" w:hAnsi="Verdana" w:cs="Arial"/>
          <w:spacing w:val="1"/>
          <w:sz w:val="16"/>
          <w:szCs w:val="16"/>
        </w:rPr>
        <w:t xml:space="preserve"> </w:t>
      </w:r>
      <w:r w:rsidRPr="00A60AC8">
        <w:rPr>
          <w:rFonts w:ascii="Verdana" w:hAnsi="Verdana" w:cs="Arial"/>
          <w:sz w:val="16"/>
          <w:szCs w:val="16"/>
        </w:rPr>
        <w:t>del</w:t>
      </w:r>
      <w:r w:rsidRPr="00A60AC8">
        <w:rPr>
          <w:rFonts w:ascii="Verdana" w:hAnsi="Verdana" w:cs="Arial"/>
          <w:spacing w:val="-2"/>
          <w:sz w:val="16"/>
          <w:szCs w:val="16"/>
        </w:rPr>
        <w:t xml:space="preserve"> </w:t>
      </w:r>
      <w:r w:rsidRPr="00A60AC8">
        <w:rPr>
          <w:rFonts w:ascii="Verdana" w:hAnsi="Verdana" w:cs="Arial"/>
          <w:sz w:val="16"/>
          <w:szCs w:val="16"/>
        </w:rPr>
        <w:t>acto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inscripción.</w:t>
      </w:r>
    </w:p>
    <w:p w14:paraId="66D5C841" w14:textId="77777777" w:rsidR="00DF78D3" w:rsidRPr="00A60AC8" w:rsidRDefault="00DF78D3" w:rsidP="00DF78D3">
      <w:pPr>
        <w:spacing w:after="0" w:line="240" w:lineRule="auto"/>
        <w:contextualSpacing/>
        <w:jc w:val="both"/>
        <w:rPr>
          <w:rFonts w:ascii="Verdana" w:hAnsi="Verdana" w:cs="Arial"/>
          <w:sz w:val="16"/>
          <w:szCs w:val="16"/>
        </w:rPr>
      </w:pP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información</w:t>
      </w:r>
      <w:r w:rsidRPr="00A60AC8">
        <w:rPr>
          <w:rFonts w:ascii="Verdana" w:hAnsi="Verdana" w:cs="Arial"/>
          <w:spacing w:val="-3"/>
          <w:sz w:val="16"/>
          <w:szCs w:val="16"/>
        </w:rPr>
        <w:t xml:space="preserve"> </w:t>
      </w:r>
      <w:r w:rsidRPr="00A60AC8">
        <w:rPr>
          <w:rFonts w:ascii="Verdana" w:hAnsi="Verdana" w:cs="Arial"/>
          <w:sz w:val="16"/>
          <w:szCs w:val="16"/>
        </w:rPr>
        <w:t>contenida</w:t>
      </w:r>
      <w:r w:rsidRPr="00A60AC8">
        <w:rPr>
          <w:rFonts w:ascii="Verdana" w:hAnsi="Verdana" w:cs="Arial"/>
          <w:spacing w:val="-4"/>
          <w:sz w:val="16"/>
          <w:szCs w:val="16"/>
        </w:rPr>
        <w:t xml:space="preserve"> </w:t>
      </w:r>
      <w:r w:rsidRPr="00A60AC8">
        <w:rPr>
          <w:rFonts w:ascii="Verdana" w:hAnsi="Verdana" w:cs="Arial"/>
          <w:sz w:val="16"/>
          <w:szCs w:val="16"/>
        </w:rPr>
        <w:t>en</w:t>
      </w:r>
      <w:r w:rsidRPr="00A60AC8">
        <w:rPr>
          <w:rFonts w:ascii="Verdana" w:hAnsi="Verdana" w:cs="Arial"/>
          <w:spacing w:val="-3"/>
          <w:sz w:val="16"/>
          <w:szCs w:val="16"/>
        </w:rPr>
        <w:t xml:space="preserve"> </w:t>
      </w:r>
      <w:r w:rsidRPr="00A60AC8">
        <w:rPr>
          <w:rFonts w:ascii="Verdana" w:hAnsi="Verdana" w:cs="Arial"/>
          <w:sz w:val="16"/>
          <w:szCs w:val="16"/>
        </w:rPr>
        <w:t>el</w:t>
      </w:r>
      <w:r w:rsidRPr="00A60AC8">
        <w:rPr>
          <w:rFonts w:ascii="Verdana" w:hAnsi="Verdana" w:cs="Arial"/>
          <w:spacing w:val="-3"/>
          <w:sz w:val="16"/>
          <w:szCs w:val="16"/>
        </w:rPr>
        <w:t xml:space="preserve"> </w:t>
      </w:r>
      <w:r w:rsidRPr="00A60AC8">
        <w:rPr>
          <w:rFonts w:ascii="Verdana" w:hAnsi="Verdana" w:cs="Arial"/>
          <w:sz w:val="16"/>
          <w:szCs w:val="16"/>
        </w:rPr>
        <w:t>registro</w:t>
      </w:r>
      <w:r w:rsidRPr="00A60AC8">
        <w:rPr>
          <w:rFonts w:ascii="Verdana" w:hAnsi="Verdana" w:cs="Arial"/>
          <w:spacing w:val="-4"/>
          <w:sz w:val="16"/>
          <w:szCs w:val="16"/>
        </w:rPr>
        <w:t xml:space="preserve"> </w:t>
      </w:r>
      <w:r w:rsidRPr="00A60AC8">
        <w:rPr>
          <w:rFonts w:ascii="Verdana" w:hAnsi="Verdana" w:cs="Arial"/>
          <w:sz w:val="16"/>
          <w:szCs w:val="16"/>
        </w:rPr>
        <w:t>es</w:t>
      </w:r>
      <w:r w:rsidRPr="00A60AC8">
        <w:rPr>
          <w:rFonts w:ascii="Verdana" w:hAnsi="Verdana" w:cs="Arial"/>
          <w:spacing w:val="-3"/>
          <w:sz w:val="16"/>
          <w:szCs w:val="16"/>
        </w:rPr>
        <w:t xml:space="preserve"> </w:t>
      </w:r>
      <w:r w:rsidRPr="00A60AC8">
        <w:rPr>
          <w:rFonts w:ascii="Verdana" w:hAnsi="Verdana" w:cs="Arial"/>
          <w:sz w:val="16"/>
          <w:szCs w:val="16"/>
        </w:rPr>
        <w:t>pública</w:t>
      </w:r>
      <w:r w:rsidRPr="00A60AC8">
        <w:rPr>
          <w:rFonts w:ascii="Verdana" w:hAnsi="Verdana" w:cs="Arial"/>
          <w:spacing w:val="-3"/>
          <w:sz w:val="16"/>
          <w:szCs w:val="16"/>
        </w:rPr>
        <w:t xml:space="preserve"> </w:t>
      </w:r>
      <w:r w:rsidRPr="00A60AC8">
        <w:rPr>
          <w:rFonts w:ascii="Verdana" w:hAnsi="Verdana" w:cs="Arial"/>
          <w:sz w:val="16"/>
          <w:szCs w:val="16"/>
        </w:rPr>
        <w:t>y</w:t>
      </w:r>
      <w:r w:rsidRPr="00A60AC8">
        <w:rPr>
          <w:rFonts w:ascii="Verdana" w:hAnsi="Verdana" w:cs="Arial"/>
          <w:spacing w:val="-4"/>
          <w:sz w:val="16"/>
          <w:szCs w:val="16"/>
        </w:rPr>
        <w:t xml:space="preserve"> </w:t>
      </w:r>
      <w:r w:rsidRPr="00A60AC8">
        <w:rPr>
          <w:rFonts w:ascii="Verdana" w:hAnsi="Verdana" w:cs="Arial"/>
          <w:sz w:val="16"/>
          <w:szCs w:val="16"/>
        </w:rPr>
        <w:t>su</w:t>
      </w:r>
      <w:r w:rsidRPr="00A60AC8">
        <w:rPr>
          <w:rFonts w:ascii="Verdana" w:hAnsi="Verdana" w:cs="Arial"/>
          <w:spacing w:val="-3"/>
          <w:sz w:val="16"/>
          <w:szCs w:val="16"/>
        </w:rPr>
        <w:t xml:space="preserve"> </w:t>
      </w:r>
      <w:r w:rsidRPr="00A60AC8">
        <w:rPr>
          <w:rFonts w:ascii="Verdana" w:hAnsi="Verdana" w:cs="Arial"/>
          <w:sz w:val="16"/>
          <w:szCs w:val="16"/>
        </w:rPr>
        <w:t>consulta</w:t>
      </w:r>
      <w:r w:rsidRPr="00A60AC8">
        <w:rPr>
          <w:rFonts w:ascii="Verdana" w:hAnsi="Verdana" w:cs="Arial"/>
          <w:spacing w:val="-3"/>
          <w:sz w:val="16"/>
          <w:szCs w:val="16"/>
        </w:rPr>
        <w:t xml:space="preserve"> </w:t>
      </w:r>
      <w:r w:rsidRPr="00A60AC8">
        <w:rPr>
          <w:rFonts w:ascii="Verdana" w:hAnsi="Verdana" w:cs="Arial"/>
          <w:sz w:val="16"/>
          <w:szCs w:val="16"/>
        </w:rPr>
        <w:t>será</w:t>
      </w:r>
      <w:r w:rsidRPr="00A60AC8">
        <w:rPr>
          <w:rFonts w:ascii="Verdana" w:hAnsi="Verdana" w:cs="Arial"/>
          <w:spacing w:val="-4"/>
          <w:sz w:val="16"/>
          <w:szCs w:val="16"/>
        </w:rPr>
        <w:t xml:space="preserve"> </w:t>
      </w:r>
      <w:r w:rsidRPr="00A60AC8">
        <w:rPr>
          <w:rFonts w:ascii="Verdana" w:hAnsi="Verdana" w:cs="Arial"/>
          <w:sz w:val="16"/>
          <w:szCs w:val="16"/>
        </w:rPr>
        <w:t>gratuita”.</w:t>
      </w:r>
    </w:p>
    <w:p w14:paraId="327062D2" w14:textId="77777777" w:rsidR="00DF78D3" w:rsidRPr="00A60AC8" w:rsidRDefault="00DF78D3" w:rsidP="00DF78D3">
      <w:pPr>
        <w:pStyle w:val="Textonotapie"/>
        <w:contextualSpacing/>
        <w:jc w:val="both"/>
        <w:rPr>
          <w:rFonts w:ascii="Verdana" w:hAnsi="Verdana" w:cs="Arial"/>
          <w:sz w:val="16"/>
          <w:szCs w:val="16"/>
        </w:rPr>
      </w:pPr>
    </w:p>
  </w:footnote>
  <w:footnote w:id="14">
    <w:p w14:paraId="1C8BD9C6"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“Artículo 2.2.1.1.1.5.1. Inscripción, renovación, actualización y cancelación del RUP. </w:t>
      </w:r>
    </w:p>
    <w:p w14:paraId="3C2E3F58"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w:t>
      </w:r>
    </w:p>
    <w:p w14:paraId="5540F892"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388CDE91" w14:textId="77777777" w:rsidR="00DF78D3" w:rsidRPr="00A60AC8" w:rsidRDefault="00DF78D3" w:rsidP="00DF78D3">
      <w:pPr>
        <w:pStyle w:val="Textonotapie"/>
        <w:contextualSpacing/>
        <w:jc w:val="both"/>
        <w:rPr>
          <w:rFonts w:ascii="Verdana" w:hAnsi="Verdana" w:cs="Arial"/>
          <w:sz w:val="16"/>
          <w:szCs w:val="16"/>
        </w:rPr>
      </w:pPr>
    </w:p>
  </w:footnote>
  <w:footnote w:id="15">
    <w:p w14:paraId="0F433F3D"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CONSEJO DE ESTADO. Sección Tercera. Subsección A. Sentencia del 19 de septiembre de 2019. </w:t>
      </w:r>
      <w:proofErr w:type="spellStart"/>
      <w:r w:rsidRPr="00A60AC8">
        <w:rPr>
          <w:rFonts w:ascii="Verdana" w:hAnsi="Verdana" w:cs="Arial"/>
          <w:sz w:val="16"/>
          <w:szCs w:val="16"/>
        </w:rPr>
        <w:t>Exp</w:t>
      </w:r>
      <w:proofErr w:type="spellEnd"/>
      <w:r w:rsidRPr="00A60AC8">
        <w:rPr>
          <w:rFonts w:ascii="Verdana" w:hAnsi="Verdana" w:cs="Arial"/>
          <w:sz w:val="16"/>
          <w:szCs w:val="16"/>
        </w:rPr>
        <w:t>. 59.432. C.P. Marta Nubia Velásquez Rico.</w:t>
      </w:r>
    </w:p>
    <w:p w14:paraId="21DDC37B" w14:textId="77777777" w:rsidR="00DF78D3" w:rsidRPr="00A60AC8" w:rsidRDefault="00DF78D3" w:rsidP="00DF78D3">
      <w:pPr>
        <w:pStyle w:val="Textonotapie"/>
        <w:contextualSpacing/>
        <w:jc w:val="both"/>
        <w:rPr>
          <w:rFonts w:ascii="Verdana" w:hAnsi="Verdana" w:cs="Arial"/>
          <w:sz w:val="16"/>
          <w:szCs w:val="16"/>
        </w:rPr>
      </w:pPr>
    </w:p>
  </w:footnote>
  <w:footnote w:id="16">
    <w:p w14:paraId="53A101A0"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“Artículo</w:t>
      </w:r>
      <w:r w:rsidRPr="00A60AC8">
        <w:rPr>
          <w:rFonts w:ascii="Verdana" w:hAnsi="Verdana" w:cs="Arial"/>
          <w:spacing w:val="-6"/>
          <w:sz w:val="16"/>
          <w:szCs w:val="16"/>
        </w:rPr>
        <w:t xml:space="preserve"> </w:t>
      </w:r>
      <w:r w:rsidRPr="00A60AC8">
        <w:rPr>
          <w:rFonts w:ascii="Verdana" w:hAnsi="Verdana" w:cs="Arial"/>
          <w:sz w:val="16"/>
          <w:szCs w:val="16"/>
        </w:rPr>
        <w:t>87.</w:t>
      </w:r>
      <w:r w:rsidRPr="00A60AC8">
        <w:rPr>
          <w:rFonts w:ascii="Verdana" w:hAnsi="Verdana" w:cs="Arial"/>
          <w:spacing w:val="-6"/>
          <w:sz w:val="16"/>
          <w:szCs w:val="16"/>
        </w:rPr>
        <w:t xml:space="preserve"> </w:t>
      </w:r>
      <w:r w:rsidRPr="00A60AC8">
        <w:rPr>
          <w:rFonts w:ascii="Verdana" w:hAnsi="Verdana" w:cs="Arial"/>
          <w:sz w:val="16"/>
          <w:szCs w:val="16"/>
        </w:rPr>
        <w:t>Firmeza</w:t>
      </w:r>
      <w:r w:rsidRPr="00A60AC8">
        <w:rPr>
          <w:rFonts w:ascii="Verdana" w:hAnsi="Verdana" w:cs="Arial"/>
          <w:spacing w:val="-6"/>
          <w:sz w:val="16"/>
          <w:szCs w:val="16"/>
        </w:rPr>
        <w:t xml:space="preserve"> </w:t>
      </w:r>
      <w:r w:rsidRPr="00A60AC8">
        <w:rPr>
          <w:rFonts w:ascii="Verdana" w:hAnsi="Verdana" w:cs="Arial"/>
          <w:sz w:val="16"/>
          <w:szCs w:val="16"/>
        </w:rPr>
        <w:t>de</w:t>
      </w:r>
      <w:r w:rsidRPr="00A60AC8">
        <w:rPr>
          <w:rFonts w:ascii="Verdana" w:hAnsi="Verdana" w:cs="Arial"/>
          <w:spacing w:val="-6"/>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actos</w:t>
      </w:r>
      <w:r w:rsidRPr="00A60AC8">
        <w:rPr>
          <w:rFonts w:ascii="Verdana" w:hAnsi="Verdana" w:cs="Arial"/>
          <w:spacing w:val="-6"/>
          <w:sz w:val="16"/>
          <w:szCs w:val="16"/>
        </w:rPr>
        <w:t xml:space="preserve"> </w:t>
      </w:r>
      <w:r w:rsidRPr="00A60AC8">
        <w:rPr>
          <w:rFonts w:ascii="Verdana" w:hAnsi="Verdana" w:cs="Arial"/>
          <w:sz w:val="16"/>
          <w:szCs w:val="16"/>
        </w:rPr>
        <w:t>administrativos.</w:t>
      </w:r>
      <w:r w:rsidRPr="00A60AC8">
        <w:rPr>
          <w:rFonts w:ascii="Verdana" w:hAnsi="Verdana" w:cs="Arial"/>
          <w:spacing w:val="-6"/>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actos</w:t>
      </w:r>
      <w:r w:rsidRPr="00A60AC8">
        <w:rPr>
          <w:rFonts w:ascii="Verdana" w:hAnsi="Verdana" w:cs="Arial"/>
          <w:spacing w:val="-6"/>
          <w:sz w:val="16"/>
          <w:szCs w:val="16"/>
        </w:rPr>
        <w:t xml:space="preserve"> </w:t>
      </w:r>
      <w:r w:rsidRPr="00A60AC8">
        <w:rPr>
          <w:rFonts w:ascii="Verdana" w:hAnsi="Verdana" w:cs="Arial"/>
          <w:sz w:val="16"/>
          <w:szCs w:val="16"/>
        </w:rPr>
        <w:t>administrativos</w:t>
      </w:r>
      <w:r w:rsidRPr="00A60AC8">
        <w:rPr>
          <w:rFonts w:ascii="Verdana" w:hAnsi="Verdana" w:cs="Arial"/>
          <w:spacing w:val="-6"/>
          <w:sz w:val="16"/>
          <w:szCs w:val="16"/>
        </w:rPr>
        <w:t xml:space="preserve"> </w:t>
      </w:r>
      <w:r w:rsidRPr="00A60AC8">
        <w:rPr>
          <w:rFonts w:ascii="Verdana" w:hAnsi="Verdana" w:cs="Arial"/>
          <w:sz w:val="16"/>
          <w:szCs w:val="16"/>
        </w:rPr>
        <w:t>quedarán</w:t>
      </w:r>
      <w:r w:rsidRPr="00A60AC8">
        <w:rPr>
          <w:rFonts w:ascii="Verdana" w:hAnsi="Verdana" w:cs="Arial"/>
          <w:spacing w:val="-6"/>
          <w:sz w:val="16"/>
          <w:szCs w:val="16"/>
        </w:rPr>
        <w:t xml:space="preserve"> </w:t>
      </w:r>
      <w:r w:rsidRPr="00A60AC8">
        <w:rPr>
          <w:rFonts w:ascii="Verdana" w:hAnsi="Verdana" w:cs="Arial"/>
          <w:sz w:val="16"/>
          <w:szCs w:val="16"/>
        </w:rPr>
        <w:t>en</w:t>
      </w:r>
      <w:r w:rsidRPr="00A60AC8">
        <w:rPr>
          <w:rFonts w:ascii="Verdana" w:hAnsi="Verdana" w:cs="Arial"/>
          <w:spacing w:val="-6"/>
          <w:sz w:val="16"/>
          <w:szCs w:val="16"/>
        </w:rPr>
        <w:t xml:space="preserve"> </w:t>
      </w:r>
      <w:r w:rsidRPr="00A60AC8">
        <w:rPr>
          <w:rFonts w:ascii="Verdana" w:hAnsi="Verdana" w:cs="Arial"/>
          <w:sz w:val="16"/>
          <w:szCs w:val="16"/>
        </w:rPr>
        <w:t>firme:</w:t>
      </w:r>
    </w:p>
    <w:p w14:paraId="62C83CF3"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1.</w:t>
      </w:r>
      <w:r w:rsidRPr="00A60AC8">
        <w:rPr>
          <w:rFonts w:ascii="Verdana" w:hAnsi="Verdana" w:cs="Arial"/>
          <w:spacing w:val="-4"/>
          <w:sz w:val="16"/>
          <w:szCs w:val="16"/>
        </w:rPr>
        <w:t xml:space="preserve"> </w:t>
      </w:r>
      <w:r w:rsidRPr="00A60AC8">
        <w:rPr>
          <w:rFonts w:ascii="Verdana" w:hAnsi="Verdana" w:cs="Arial"/>
          <w:sz w:val="16"/>
          <w:szCs w:val="16"/>
        </w:rPr>
        <w:t>Cuando</w:t>
      </w:r>
      <w:r w:rsidRPr="00A60AC8">
        <w:rPr>
          <w:rFonts w:ascii="Verdana" w:hAnsi="Verdana" w:cs="Arial"/>
          <w:spacing w:val="-3"/>
          <w:sz w:val="16"/>
          <w:szCs w:val="16"/>
        </w:rPr>
        <w:t xml:space="preserve"> </w:t>
      </w:r>
      <w:r w:rsidRPr="00A60AC8">
        <w:rPr>
          <w:rFonts w:ascii="Verdana" w:hAnsi="Verdana" w:cs="Arial"/>
          <w:sz w:val="16"/>
          <w:szCs w:val="16"/>
        </w:rPr>
        <w:t>contra</w:t>
      </w:r>
      <w:r w:rsidRPr="00A60AC8">
        <w:rPr>
          <w:rFonts w:ascii="Verdana" w:hAnsi="Verdana" w:cs="Arial"/>
          <w:spacing w:val="-4"/>
          <w:sz w:val="16"/>
          <w:szCs w:val="16"/>
        </w:rPr>
        <w:t xml:space="preserve"> </w:t>
      </w:r>
      <w:r w:rsidRPr="00A60AC8">
        <w:rPr>
          <w:rFonts w:ascii="Verdana" w:hAnsi="Verdana" w:cs="Arial"/>
          <w:sz w:val="16"/>
          <w:szCs w:val="16"/>
        </w:rPr>
        <w:t>ellos</w:t>
      </w:r>
      <w:r w:rsidRPr="00A60AC8">
        <w:rPr>
          <w:rFonts w:ascii="Verdana" w:hAnsi="Verdana" w:cs="Arial"/>
          <w:spacing w:val="-3"/>
          <w:sz w:val="16"/>
          <w:szCs w:val="16"/>
        </w:rPr>
        <w:t xml:space="preserve"> </w:t>
      </w:r>
      <w:r w:rsidRPr="00A60AC8">
        <w:rPr>
          <w:rFonts w:ascii="Verdana" w:hAnsi="Verdana" w:cs="Arial"/>
          <w:sz w:val="16"/>
          <w:szCs w:val="16"/>
        </w:rPr>
        <w:t>no</w:t>
      </w:r>
      <w:r w:rsidRPr="00A60AC8">
        <w:rPr>
          <w:rFonts w:ascii="Verdana" w:hAnsi="Verdana" w:cs="Arial"/>
          <w:spacing w:val="-4"/>
          <w:sz w:val="16"/>
          <w:szCs w:val="16"/>
        </w:rPr>
        <w:t xml:space="preserve"> </w:t>
      </w:r>
      <w:r w:rsidRPr="00A60AC8">
        <w:rPr>
          <w:rFonts w:ascii="Verdana" w:hAnsi="Verdana" w:cs="Arial"/>
          <w:sz w:val="16"/>
          <w:szCs w:val="16"/>
        </w:rPr>
        <w:t>proceda</w:t>
      </w:r>
      <w:r w:rsidRPr="00A60AC8">
        <w:rPr>
          <w:rFonts w:ascii="Verdana" w:hAnsi="Verdana" w:cs="Arial"/>
          <w:spacing w:val="-3"/>
          <w:sz w:val="16"/>
          <w:szCs w:val="16"/>
        </w:rPr>
        <w:t xml:space="preserve"> </w:t>
      </w:r>
      <w:r w:rsidRPr="00A60AC8">
        <w:rPr>
          <w:rFonts w:ascii="Verdana" w:hAnsi="Verdana" w:cs="Arial"/>
          <w:sz w:val="16"/>
          <w:szCs w:val="16"/>
        </w:rPr>
        <w:t>ningún</w:t>
      </w:r>
      <w:r w:rsidRPr="00A60AC8">
        <w:rPr>
          <w:rFonts w:ascii="Verdana" w:hAnsi="Verdana" w:cs="Arial"/>
          <w:spacing w:val="-4"/>
          <w:sz w:val="16"/>
          <w:szCs w:val="16"/>
        </w:rPr>
        <w:t xml:space="preserve"> </w:t>
      </w:r>
      <w:r w:rsidRPr="00A60AC8">
        <w:rPr>
          <w:rFonts w:ascii="Verdana" w:hAnsi="Verdana" w:cs="Arial"/>
          <w:sz w:val="16"/>
          <w:szCs w:val="16"/>
        </w:rPr>
        <w:t>recurso,</w:t>
      </w:r>
      <w:r w:rsidRPr="00A60AC8">
        <w:rPr>
          <w:rFonts w:ascii="Verdana" w:hAnsi="Verdana" w:cs="Arial"/>
          <w:spacing w:val="-3"/>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3"/>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3"/>
          <w:sz w:val="16"/>
          <w:szCs w:val="16"/>
        </w:rPr>
        <w:t xml:space="preserve"> </w:t>
      </w:r>
      <w:r w:rsidRPr="00A60AC8">
        <w:rPr>
          <w:rFonts w:ascii="Verdana" w:hAnsi="Verdana" w:cs="Arial"/>
          <w:sz w:val="16"/>
          <w:szCs w:val="16"/>
        </w:rPr>
        <w:t>al</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3"/>
          <w:sz w:val="16"/>
          <w:szCs w:val="16"/>
        </w:rPr>
        <w:t xml:space="preserve"> </w:t>
      </w:r>
      <w:r w:rsidRPr="00A60AC8">
        <w:rPr>
          <w:rFonts w:ascii="Verdana" w:hAnsi="Verdana" w:cs="Arial"/>
          <w:sz w:val="16"/>
          <w:szCs w:val="16"/>
        </w:rPr>
        <w:t>su</w:t>
      </w:r>
      <w:r w:rsidRPr="00A60AC8">
        <w:rPr>
          <w:rFonts w:ascii="Verdana" w:hAnsi="Verdana" w:cs="Arial"/>
          <w:spacing w:val="-4"/>
          <w:sz w:val="16"/>
          <w:szCs w:val="16"/>
        </w:rPr>
        <w:t xml:space="preserve"> </w:t>
      </w:r>
      <w:r w:rsidRPr="00A60AC8">
        <w:rPr>
          <w:rFonts w:ascii="Verdana" w:hAnsi="Verdana" w:cs="Arial"/>
          <w:sz w:val="16"/>
          <w:szCs w:val="16"/>
        </w:rPr>
        <w:t>notificación,</w:t>
      </w:r>
      <w:r w:rsidRPr="00A60AC8">
        <w:rPr>
          <w:rFonts w:ascii="Verdana" w:hAnsi="Verdana" w:cs="Arial"/>
          <w:spacing w:val="-3"/>
          <w:sz w:val="16"/>
          <w:szCs w:val="16"/>
        </w:rPr>
        <w:t xml:space="preserve"> </w:t>
      </w:r>
      <w:r w:rsidRPr="00A60AC8">
        <w:rPr>
          <w:rFonts w:ascii="Verdana" w:hAnsi="Verdana" w:cs="Arial"/>
          <w:sz w:val="16"/>
          <w:szCs w:val="16"/>
        </w:rPr>
        <w:t>comunicación</w:t>
      </w:r>
      <w:r w:rsidRPr="00A60AC8">
        <w:rPr>
          <w:rFonts w:ascii="Verdana" w:hAnsi="Verdana" w:cs="Arial"/>
          <w:spacing w:val="-4"/>
          <w:sz w:val="16"/>
          <w:szCs w:val="16"/>
        </w:rPr>
        <w:t xml:space="preserve"> </w:t>
      </w:r>
      <w:r w:rsidRPr="00A60AC8">
        <w:rPr>
          <w:rFonts w:ascii="Verdana" w:hAnsi="Verdana" w:cs="Arial"/>
          <w:sz w:val="16"/>
          <w:szCs w:val="16"/>
        </w:rPr>
        <w:t>o</w:t>
      </w:r>
      <w:r w:rsidRPr="00A60AC8">
        <w:rPr>
          <w:rFonts w:ascii="Verdana" w:hAnsi="Verdana" w:cs="Arial"/>
          <w:spacing w:val="-3"/>
          <w:sz w:val="16"/>
          <w:szCs w:val="16"/>
        </w:rPr>
        <w:t xml:space="preserve"> </w:t>
      </w:r>
      <w:r w:rsidRPr="00A60AC8">
        <w:rPr>
          <w:rFonts w:ascii="Verdana" w:hAnsi="Verdana" w:cs="Arial"/>
          <w:sz w:val="16"/>
          <w:szCs w:val="16"/>
        </w:rPr>
        <w:t>publicación</w:t>
      </w:r>
      <w:r w:rsidRPr="00A60AC8">
        <w:rPr>
          <w:rFonts w:ascii="Verdana" w:hAnsi="Verdana" w:cs="Arial"/>
          <w:spacing w:val="-3"/>
          <w:sz w:val="16"/>
          <w:szCs w:val="16"/>
        </w:rPr>
        <w:t xml:space="preserve"> </w:t>
      </w:r>
      <w:r w:rsidRPr="00A60AC8">
        <w:rPr>
          <w:rFonts w:ascii="Verdana" w:hAnsi="Verdana" w:cs="Arial"/>
          <w:sz w:val="16"/>
          <w:szCs w:val="16"/>
        </w:rPr>
        <w:t>según</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3"/>
          <w:sz w:val="16"/>
          <w:szCs w:val="16"/>
        </w:rPr>
        <w:t xml:space="preserve"> </w:t>
      </w:r>
      <w:r w:rsidRPr="00A60AC8">
        <w:rPr>
          <w:rFonts w:ascii="Verdana" w:hAnsi="Verdana" w:cs="Arial"/>
          <w:sz w:val="16"/>
          <w:szCs w:val="16"/>
        </w:rPr>
        <w:t>caso.</w:t>
      </w:r>
    </w:p>
    <w:p w14:paraId="36D730B6"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2.</w:t>
      </w:r>
      <w:r w:rsidRPr="00A60AC8">
        <w:rPr>
          <w:rFonts w:ascii="Verdana" w:hAnsi="Verdana" w:cs="Arial"/>
          <w:spacing w:val="-5"/>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4"/>
          <w:sz w:val="16"/>
          <w:szCs w:val="16"/>
        </w:rPr>
        <w:t xml:space="preserve"> </w:t>
      </w:r>
      <w:r w:rsidRPr="00A60AC8">
        <w:rPr>
          <w:rFonts w:ascii="Verdana" w:hAnsi="Verdana" w:cs="Arial"/>
          <w:sz w:val="16"/>
          <w:szCs w:val="16"/>
        </w:rPr>
        <w:t>a</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publicación,</w:t>
      </w:r>
      <w:r w:rsidRPr="00A60AC8">
        <w:rPr>
          <w:rFonts w:ascii="Verdana" w:hAnsi="Verdana" w:cs="Arial"/>
          <w:spacing w:val="-4"/>
          <w:sz w:val="16"/>
          <w:szCs w:val="16"/>
        </w:rPr>
        <w:t xml:space="preserve"> </w:t>
      </w:r>
      <w:r w:rsidRPr="00A60AC8">
        <w:rPr>
          <w:rFonts w:ascii="Verdana" w:hAnsi="Verdana" w:cs="Arial"/>
          <w:sz w:val="16"/>
          <w:szCs w:val="16"/>
        </w:rPr>
        <w:t>comunicación</w:t>
      </w:r>
      <w:r w:rsidRPr="00A60AC8">
        <w:rPr>
          <w:rFonts w:ascii="Verdana" w:hAnsi="Verdana" w:cs="Arial"/>
          <w:spacing w:val="-4"/>
          <w:sz w:val="16"/>
          <w:szCs w:val="16"/>
        </w:rPr>
        <w:t xml:space="preserve"> </w:t>
      </w:r>
      <w:r w:rsidRPr="00A60AC8">
        <w:rPr>
          <w:rFonts w:ascii="Verdana" w:hAnsi="Verdana" w:cs="Arial"/>
          <w:sz w:val="16"/>
          <w:szCs w:val="16"/>
        </w:rPr>
        <w:t>o</w:t>
      </w:r>
      <w:r w:rsidRPr="00A60AC8">
        <w:rPr>
          <w:rFonts w:ascii="Verdana" w:hAnsi="Verdana" w:cs="Arial"/>
          <w:spacing w:val="-4"/>
          <w:sz w:val="16"/>
          <w:szCs w:val="16"/>
        </w:rPr>
        <w:t xml:space="preserve"> </w:t>
      </w:r>
      <w:r w:rsidRPr="00A60AC8">
        <w:rPr>
          <w:rFonts w:ascii="Verdana" w:hAnsi="Verdana" w:cs="Arial"/>
          <w:sz w:val="16"/>
          <w:szCs w:val="16"/>
        </w:rPr>
        <w:t>notificación</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decisión</w:t>
      </w:r>
      <w:r w:rsidRPr="00A60AC8">
        <w:rPr>
          <w:rFonts w:ascii="Verdana" w:hAnsi="Verdana" w:cs="Arial"/>
          <w:spacing w:val="-4"/>
          <w:sz w:val="16"/>
          <w:szCs w:val="16"/>
        </w:rPr>
        <w:t xml:space="preserve"> </w:t>
      </w:r>
      <w:r w:rsidRPr="00A60AC8">
        <w:rPr>
          <w:rFonts w:ascii="Verdana" w:hAnsi="Verdana" w:cs="Arial"/>
          <w:sz w:val="16"/>
          <w:szCs w:val="16"/>
        </w:rPr>
        <w:t>sobre</w:t>
      </w:r>
      <w:r w:rsidRPr="00A60AC8">
        <w:rPr>
          <w:rFonts w:ascii="Verdana" w:hAnsi="Verdana" w:cs="Arial"/>
          <w:spacing w:val="-5"/>
          <w:sz w:val="16"/>
          <w:szCs w:val="16"/>
        </w:rPr>
        <w:t xml:space="preserve"> </w:t>
      </w:r>
      <w:r w:rsidRPr="00A60AC8">
        <w:rPr>
          <w:rFonts w:ascii="Verdana" w:hAnsi="Verdana" w:cs="Arial"/>
          <w:sz w:val="16"/>
          <w:szCs w:val="16"/>
        </w:rPr>
        <w:t>los</w:t>
      </w:r>
      <w:r w:rsidRPr="00A60AC8">
        <w:rPr>
          <w:rFonts w:ascii="Verdana" w:hAnsi="Verdana" w:cs="Arial"/>
          <w:spacing w:val="-4"/>
          <w:sz w:val="16"/>
          <w:szCs w:val="16"/>
        </w:rPr>
        <w:t xml:space="preserve"> </w:t>
      </w:r>
      <w:r w:rsidRPr="00A60AC8">
        <w:rPr>
          <w:rFonts w:ascii="Verdana" w:hAnsi="Verdana" w:cs="Arial"/>
          <w:sz w:val="16"/>
          <w:szCs w:val="16"/>
        </w:rPr>
        <w:t>recursos</w:t>
      </w:r>
      <w:r w:rsidRPr="00A60AC8">
        <w:rPr>
          <w:rFonts w:ascii="Verdana" w:hAnsi="Verdana" w:cs="Arial"/>
          <w:spacing w:val="-4"/>
          <w:sz w:val="16"/>
          <w:szCs w:val="16"/>
        </w:rPr>
        <w:t xml:space="preserve"> </w:t>
      </w:r>
      <w:r w:rsidRPr="00A60AC8">
        <w:rPr>
          <w:rFonts w:ascii="Verdana" w:hAnsi="Verdana" w:cs="Arial"/>
          <w:sz w:val="16"/>
          <w:szCs w:val="16"/>
        </w:rPr>
        <w:t>interpuestos.</w:t>
      </w:r>
    </w:p>
    <w:p w14:paraId="7874884F"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3.</w:t>
      </w:r>
      <w:r w:rsidRPr="00A60AC8">
        <w:rPr>
          <w:rFonts w:ascii="Verdana" w:hAnsi="Verdana" w:cs="Arial"/>
          <w:spacing w:val="6"/>
          <w:sz w:val="16"/>
          <w:szCs w:val="16"/>
        </w:rPr>
        <w:t xml:space="preserve"> </w:t>
      </w:r>
      <w:r w:rsidRPr="00A60AC8">
        <w:rPr>
          <w:rFonts w:ascii="Verdana" w:hAnsi="Verdana" w:cs="Arial"/>
          <w:sz w:val="16"/>
          <w:szCs w:val="16"/>
        </w:rPr>
        <w:t>Desde</w:t>
      </w:r>
      <w:r w:rsidRPr="00A60AC8">
        <w:rPr>
          <w:rFonts w:ascii="Verdana" w:hAnsi="Verdana" w:cs="Arial"/>
          <w:spacing w:val="6"/>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día</w:t>
      </w:r>
      <w:r w:rsidRPr="00A60AC8">
        <w:rPr>
          <w:rFonts w:ascii="Verdana" w:hAnsi="Verdana" w:cs="Arial"/>
          <w:spacing w:val="6"/>
          <w:sz w:val="16"/>
          <w:szCs w:val="16"/>
        </w:rPr>
        <w:t xml:space="preserve"> </w:t>
      </w:r>
      <w:r w:rsidRPr="00A60AC8">
        <w:rPr>
          <w:rFonts w:ascii="Verdana" w:hAnsi="Verdana" w:cs="Arial"/>
          <w:sz w:val="16"/>
          <w:szCs w:val="16"/>
        </w:rPr>
        <w:t>siguiente</w:t>
      </w:r>
      <w:r w:rsidRPr="00A60AC8">
        <w:rPr>
          <w:rFonts w:ascii="Verdana" w:hAnsi="Verdana" w:cs="Arial"/>
          <w:spacing w:val="6"/>
          <w:sz w:val="16"/>
          <w:szCs w:val="16"/>
        </w:rPr>
        <w:t xml:space="preserve"> </w:t>
      </w:r>
      <w:r w:rsidRPr="00A60AC8">
        <w:rPr>
          <w:rFonts w:ascii="Verdana" w:hAnsi="Verdana" w:cs="Arial"/>
          <w:sz w:val="16"/>
          <w:szCs w:val="16"/>
        </w:rPr>
        <w:t>al</w:t>
      </w:r>
      <w:r w:rsidRPr="00A60AC8">
        <w:rPr>
          <w:rFonts w:ascii="Verdana" w:hAnsi="Verdana" w:cs="Arial"/>
          <w:spacing w:val="7"/>
          <w:sz w:val="16"/>
          <w:szCs w:val="16"/>
        </w:rPr>
        <w:t xml:space="preserve"> </w:t>
      </w:r>
      <w:r w:rsidRPr="00A60AC8">
        <w:rPr>
          <w:rFonts w:ascii="Verdana" w:hAnsi="Verdana" w:cs="Arial"/>
          <w:sz w:val="16"/>
          <w:szCs w:val="16"/>
        </w:rPr>
        <w:t>del</w:t>
      </w:r>
      <w:r w:rsidRPr="00A60AC8">
        <w:rPr>
          <w:rFonts w:ascii="Verdana" w:hAnsi="Verdana" w:cs="Arial"/>
          <w:spacing w:val="6"/>
          <w:sz w:val="16"/>
          <w:szCs w:val="16"/>
        </w:rPr>
        <w:t xml:space="preserve"> </w:t>
      </w:r>
      <w:r w:rsidRPr="00A60AC8">
        <w:rPr>
          <w:rFonts w:ascii="Verdana" w:hAnsi="Verdana" w:cs="Arial"/>
          <w:sz w:val="16"/>
          <w:szCs w:val="16"/>
        </w:rPr>
        <w:t>vencimiento</w:t>
      </w:r>
      <w:r w:rsidRPr="00A60AC8">
        <w:rPr>
          <w:rFonts w:ascii="Verdana" w:hAnsi="Verdana" w:cs="Arial"/>
          <w:spacing w:val="7"/>
          <w:sz w:val="16"/>
          <w:szCs w:val="16"/>
        </w:rPr>
        <w:t xml:space="preserve"> </w:t>
      </w:r>
      <w:r w:rsidRPr="00A60AC8">
        <w:rPr>
          <w:rFonts w:ascii="Verdana" w:hAnsi="Verdana" w:cs="Arial"/>
          <w:sz w:val="16"/>
          <w:szCs w:val="16"/>
        </w:rPr>
        <w:t>del</w:t>
      </w:r>
      <w:r w:rsidRPr="00A60AC8">
        <w:rPr>
          <w:rFonts w:ascii="Verdana" w:hAnsi="Verdana" w:cs="Arial"/>
          <w:spacing w:val="6"/>
          <w:sz w:val="16"/>
          <w:szCs w:val="16"/>
        </w:rPr>
        <w:t xml:space="preserve"> </w:t>
      </w:r>
      <w:r w:rsidRPr="00A60AC8">
        <w:rPr>
          <w:rFonts w:ascii="Verdana" w:hAnsi="Verdana" w:cs="Arial"/>
          <w:sz w:val="16"/>
          <w:szCs w:val="16"/>
        </w:rPr>
        <w:t>término</w:t>
      </w:r>
      <w:r w:rsidRPr="00A60AC8">
        <w:rPr>
          <w:rFonts w:ascii="Verdana" w:hAnsi="Verdana" w:cs="Arial"/>
          <w:spacing w:val="6"/>
          <w:sz w:val="16"/>
          <w:szCs w:val="16"/>
        </w:rPr>
        <w:t xml:space="preserve"> </w:t>
      </w:r>
      <w:r w:rsidRPr="00A60AC8">
        <w:rPr>
          <w:rFonts w:ascii="Verdana" w:hAnsi="Verdana" w:cs="Arial"/>
          <w:sz w:val="16"/>
          <w:szCs w:val="16"/>
        </w:rPr>
        <w:t>para</w:t>
      </w:r>
      <w:r w:rsidRPr="00A60AC8">
        <w:rPr>
          <w:rFonts w:ascii="Verdana" w:hAnsi="Verdana" w:cs="Arial"/>
          <w:spacing w:val="7"/>
          <w:sz w:val="16"/>
          <w:szCs w:val="16"/>
        </w:rPr>
        <w:t xml:space="preserve"> </w:t>
      </w:r>
      <w:r w:rsidRPr="00A60AC8">
        <w:rPr>
          <w:rFonts w:ascii="Verdana" w:hAnsi="Verdana" w:cs="Arial"/>
          <w:sz w:val="16"/>
          <w:szCs w:val="16"/>
        </w:rPr>
        <w:t>interponer</w:t>
      </w:r>
      <w:r w:rsidRPr="00A60AC8">
        <w:rPr>
          <w:rFonts w:ascii="Verdana" w:hAnsi="Verdana" w:cs="Arial"/>
          <w:spacing w:val="6"/>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recursos,</w:t>
      </w:r>
      <w:r w:rsidRPr="00A60AC8">
        <w:rPr>
          <w:rFonts w:ascii="Verdana" w:hAnsi="Verdana" w:cs="Arial"/>
          <w:spacing w:val="7"/>
          <w:sz w:val="16"/>
          <w:szCs w:val="16"/>
        </w:rPr>
        <w:t xml:space="preserve"> </w:t>
      </w:r>
      <w:r w:rsidRPr="00A60AC8">
        <w:rPr>
          <w:rFonts w:ascii="Verdana" w:hAnsi="Verdana" w:cs="Arial"/>
          <w:sz w:val="16"/>
          <w:szCs w:val="16"/>
        </w:rPr>
        <w:t>si</w:t>
      </w:r>
      <w:r w:rsidRPr="00A60AC8">
        <w:rPr>
          <w:rFonts w:ascii="Verdana" w:hAnsi="Verdana" w:cs="Arial"/>
          <w:spacing w:val="6"/>
          <w:sz w:val="16"/>
          <w:szCs w:val="16"/>
        </w:rPr>
        <w:t xml:space="preserve"> </w:t>
      </w:r>
      <w:r w:rsidRPr="00A60AC8">
        <w:rPr>
          <w:rFonts w:ascii="Verdana" w:hAnsi="Verdana" w:cs="Arial"/>
          <w:sz w:val="16"/>
          <w:szCs w:val="16"/>
        </w:rPr>
        <w:t>estos</w:t>
      </w:r>
      <w:r w:rsidRPr="00A60AC8">
        <w:rPr>
          <w:rFonts w:ascii="Verdana" w:hAnsi="Verdana" w:cs="Arial"/>
          <w:spacing w:val="7"/>
          <w:sz w:val="16"/>
          <w:szCs w:val="16"/>
        </w:rPr>
        <w:t xml:space="preserve"> </w:t>
      </w:r>
      <w:r w:rsidRPr="00A60AC8">
        <w:rPr>
          <w:rFonts w:ascii="Verdana" w:hAnsi="Verdana" w:cs="Arial"/>
          <w:sz w:val="16"/>
          <w:szCs w:val="16"/>
        </w:rPr>
        <w:t>no</w:t>
      </w:r>
      <w:r w:rsidRPr="00A60AC8">
        <w:rPr>
          <w:rFonts w:ascii="Verdana" w:hAnsi="Verdana" w:cs="Arial"/>
          <w:spacing w:val="6"/>
          <w:sz w:val="16"/>
          <w:szCs w:val="16"/>
        </w:rPr>
        <w:t xml:space="preserve"> </w:t>
      </w:r>
      <w:r w:rsidRPr="00A60AC8">
        <w:rPr>
          <w:rFonts w:ascii="Verdana" w:hAnsi="Verdana" w:cs="Arial"/>
          <w:sz w:val="16"/>
          <w:szCs w:val="16"/>
        </w:rPr>
        <w:t>fueron</w:t>
      </w:r>
      <w:r w:rsidRPr="00A60AC8">
        <w:rPr>
          <w:rFonts w:ascii="Verdana" w:hAnsi="Verdana" w:cs="Arial"/>
          <w:spacing w:val="6"/>
          <w:sz w:val="16"/>
          <w:szCs w:val="16"/>
        </w:rPr>
        <w:t xml:space="preserve"> </w:t>
      </w:r>
      <w:r w:rsidRPr="00A60AC8">
        <w:rPr>
          <w:rFonts w:ascii="Verdana" w:hAnsi="Verdana" w:cs="Arial"/>
          <w:sz w:val="16"/>
          <w:szCs w:val="16"/>
        </w:rPr>
        <w:t>interpuestos,</w:t>
      </w:r>
      <w:r w:rsidRPr="00A60AC8">
        <w:rPr>
          <w:rFonts w:ascii="Verdana" w:hAnsi="Verdana" w:cs="Arial"/>
          <w:spacing w:val="7"/>
          <w:sz w:val="16"/>
          <w:szCs w:val="16"/>
        </w:rPr>
        <w:t xml:space="preserve"> </w:t>
      </w:r>
      <w:r w:rsidRPr="00A60AC8">
        <w:rPr>
          <w:rFonts w:ascii="Verdana" w:hAnsi="Verdana" w:cs="Arial"/>
          <w:sz w:val="16"/>
          <w:szCs w:val="16"/>
        </w:rPr>
        <w:t>o</w:t>
      </w:r>
      <w:r w:rsidRPr="00A60AC8">
        <w:rPr>
          <w:rFonts w:ascii="Verdana" w:hAnsi="Verdana" w:cs="Arial"/>
          <w:spacing w:val="6"/>
          <w:sz w:val="16"/>
          <w:szCs w:val="16"/>
        </w:rPr>
        <w:t xml:space="preserve"> </w:t>
      </w:r>
      <w:r w:rsidRPr="00A60AC8">
        <w:rPr>
          <w:rFonts w:ascii="Verdana" w:hAnsi="Verdana" w:cs="Arial"/>
          <w:sz w:val="16"/>
          <w:szCs w:val="16"/>
        </w:rPr>
        <w:t>se</w:t>
      </w:r>
      <w:r w:rsidRPr="00A60AC8">
        <w:rPr>
          <w:rFonts w:ascii="Verdana" w:hAnsi="Verdana" w:cs="Arial"/>
          <w:spacing w:val="7"/>
          <w:sz w:val="16"/>
          <w:szCs w:val="16"/>
        </w:rPr>
        <w:t xml:space="preserve"> </w:t>
      </w:r>
      <w:r w:rsidRPr="00A60AC8">
        <w:rPr>
          <w:rFonts w:ascii="Verdana" w:hAnsi="Verdana" w:cs="Arial"/>
          <w:sz w:val="16"/>
          <w:szCs w:val="16"/>
        </w:rPr>
        <w:t>hubiere</w:t>
      </w:r>
      <w:r w:rsidRPr="00A60AC8">
        <w:rPr>
          <w:rFonts w:ascii="Verdana" w:hAnsi="Verdana" w:cs="Arial"/>
          <w:spacing w:val="6"/>
          <w:sz w:val="16"/>
          <w:szCs w:val="16"/>
        </w:rPr>
        <w:t xml:space="preserve"> </w:t>
      </w:r>
      <w:r w:rsidRPr="00A60AC8">
        <w:rPr>
          <w:rFonts w:ascii="Verdana" w:hAnsi="Verdana" w:cs="Arial"/>
          <w:sz w:val="16"/>
          <w:szCs w:val="16"/>
        </w:rPr>
        <w:t>renunciado</w:t>
      </w:r>
      <w:r w:rsidRPr="00A60AC8">
        <w:rPr>
          <w:rFonts w:ascii="Verdana" w:hAnsi="Verdana" w:cs="Arial"/>
          <w:spacing w:val="1"/>
          <w:sz w:val="16"/>
          <w:szCs w:val="16"/>
        </w:rPr>
        <w:t xml:space="preserve"> </w:t>
      </w:r>
      <w:r w:rsidRPr="00A60AC8">
        <w:rPr>
          <w:rFonts w:ascii="Verdana" w:hAnsi="Verdana" w:cs="Arial"/>
          <w:sz w:val="16"/>
          <w:szCs w:val="16"/>
        </w:rPr>
        <w:t>expresamente</w:t>
      </w:r>
      <w:r w:rsidRPr="00A60AC8">
        <w:rPr>
          <w:rFonts w:ascii="Verdana" w:hAnsi="Verdana" w:cs="Arial"/>
          <w:spacing w:val="-2"/>
          <w:sz w:val="16"/>
          <w:szCs w:val="16"/>
        </w:rPr>
        <w:t xml:space="preserve"> </w:t>
      </w:r>
      <w:r w:rsidRPr="00A60AC8">
        <w:rPr>
          <w:rFonts w:ascii="Verdana" w:hAnsi="Verdana" w:cs="Arial"/>
          <w:sz w:val="16"/>
          <w:szCs w:val="16"/>
        </w:rPr>
        <w:t>a</w:t>
      </w:r>
      <w:r w:rsidRPr="00A60AC8">
        <w:rPr>
          <w:rFonts w:ascii="Verdana" w:hAnsi="Verdana" w:cs="Arial"/>
          <w:spacing w:val="-1"/>
          <w:sz w:val="16"/>
          <w:szCs w:val="16"/>
        </w:rPr>
        <w:t xml:space="preserve"> </w:t>
      </w:r>
      <w:r w:rsidRPr="00A60AC8">
        <w:rPr>
          <w:rFonts w:ascii="Verdana" w:hAnsi="Verdana" w:cs="Arial"/>
          <w:sz w:val="16"/>
          <w:szCs w:val="16"/>
        </w:rPr>
        <w:t>ellos.</w:t>
      </w:r>
    </w:p>
    <w:p w14:paraId="299E48DE"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4.</w:t>
      </w:r>
      <w:r w:rsidRPr="00A60AC8">
        <w:rPr>
          <w:rFonts w:ascii="Verdana" w:hAnsi="Verdana" w:cs="Arial"/>
          <w:spacing w:val="-4"/>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4"/>
          <w:sz w:val="16"/>
          <w:szCs w:val="16"/>
        </w:rPr>
        <w:t xml:space="preserve"> </w:t>
      </w:r>
      <w:r w:rsidRPr="00A60AC8">
        <w:rPr>
          <w:rFonts w:ascii="Verdana" w:hAnsi="Verdana" w:cs="Arial"/>
          <w:sz w:val="16"/>
          <w:szCs w:val="16"/>
        </w:rPr>
        <w:t>al</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notificación</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aceptación</w:t>
      </w:r>
      <w:r w:rsidRPr="00A60AC8">
        <w:rPr>
          <w:rFonts w:ascii="Verdana" w:hAnsi="Verdana" w:cs="Arial"/>
          <w:spacing w:val="-4"/>
          <w:sz w:val="16"/>
          <w:szCs w:val="16"/>
        </w:rPr>
        <w:t xml:space="preserve"> </w:t>
      </w:r>
      <w:r w:rsidRPr="00A60AC8">
        <w:rPr>
          <w:rFonts w:ascii="Verdana" w:hAnsi="Verdana" w:cs="Arial"/>
          <w:sz w:val="16"/>
          <w:szCs w:val="16"/>
        </w:rPr>
        <w:t>del</w:t>
      </w:r>
      <w:r w:rsidRPr="00A60AC8">
        <w:rPr>
          <w:rFonts w:ascii="Verdana" w:hAnsi="Verdana" w:cs="Arial"/>
          <w:spacing w:val="-4"/>
          <w:sz w:val="16"/>
          <w:szCs w:val="16"/>
        </w:rPr>
        <w:t xml:space="preserve"> </w:t>
      </w:r>
      <w:r w:rsidRPr="00A60AC8">
        <w:rPr>
          <w:rFonts w:ascii="Verdana" w:hAnsi="Verdana" w:cs="Arial"/>
          <w:sz w:val="16"/>
          <w:szCs w:val="16"/>
        </w:rPr>
        <w:t>desistimiento</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los</w:t>
      </w:r>
      <w:r w:rsidRPr="00A60AC8">
        <w:rPr>
          <w:rFonts w:ascii="Verdana" w:hAnsi="Verdana" w:cs="Arial"/>
          <w:spacing w:val="-4"/>
          <w:sz w:val="16"/>
          <w:szCs w:val="16"/>
        </w:rPr>
        <w:t xml:space="preserve"> </w:t>
      </w:r>
      <w:r w:rsidRPr="00A60AC8">
        <w:rPr>
          <w:rFonts w:ascii="Verdana" w:hAnsi="Verdana" w:cs="Arial"/>
          <w:sz w:val="16"/>
          <w:szCs w:val="16"/>
        </w:rPr>
        <w:t>recursos.</w:t>
      </w:r>
    </w:p>
    <w:p w14:paraId="385E4464"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“5.</w:t>
      </w:r>
      <w:r w:rsidRPr="00A60AC8">
        <w:rPr>
          <w:rFonts w:ascii="Verdana" w:hAnsi="Verdana" w:cs="Arial"/>
          <w:spacing w:val="-5"/>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4"/>
          <w:sz w:val="16"/>
          <w:szCs w:val="16"/>
        </w:rPr>
        <w:t xml:space="preserve"> </w:t>
      </w:r>
      <w:r w:rsidRPr="00A60AC8">
        <w:rPr>
          <w:rFonts w:ascii="Verdana" w:hAnsi="Verdana" w:cs="Arial"/>
          <w:sz w:val="16"/>
          <w:szCs w:val="16"/>
        </w:rPr>
        <w:t>al</w:t>
      </w:r>
      <w:r w:rsidRPr="00A60AC8">
        <w:rPr>
          <w:rFonts w:ascii="Verdana" w:hAnsi="Verdana" w:cs="Arial"/>
          <w:spacing w:val="-5"/>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protocolización</w:t>
      </w:r>
      <w:r w:rsidRPr="00A60AC8">
        <w:rPr>
          <w:rFonts w:ascii="Verdana" w:hAnsi="Verdana" w:cs="Arial"/>
          <w:spacing w:val="-5"/>
          <w:sz w:val="16"/>
          <w:szCs w:val="16"/>
        </w:rPr>
        <w:t xml:space="preserve"> </w:t>
      </w:r>
      <w:r w:rsidRPr="00A60AC8">
        <w:rPr>
          <w:rFonts w:ascii="Verdana" w:hAnsi="Verdana" w:cs="Arial"/>
          <w:sz w:val="16"/>
          <w:szCs w:val="16"/>
        </w:rPr>
        <w:t>a</w:t>
      </w:r>
      <w:r w:rsidRPr="00A60AC8">
        <w:rPr>
          <w:rFonts w:ascii="Verdana" w:hAnsi="Verdana" w:cs="Arial"/>
          <w:spacing w:val="-4"/>
          <w:sz w:val="16"/>
          <w:szCs w:val="16"/>
        </w:rPr>
        <w:t xml:space="preserve"> </w:t>
      </w:r>
      <w:r w:rsidRPr="00A60AC8">
        <w:rPr>
          <w:rFonts w:ascii="Verdana" w:hAnsi="Verdana" w:cs="Arial"/>
          <w:sz w:val="16"/>
          <w:szCs w:val="16"/>
        </w:rPr>
        <w:t>que</w:t>
      </w:r>
      <w:r w:rsidRPr="00A60AC8">
        <w:rPr>
          <w:rFonts w:ascii="Verdana" w:hAnsi="Verdana" w:cs="Arial"/>
          <w:spacing w:val="-4"/>
          <w:sz w:val="16"/>
          <w:szCs w:val="16"/>
        </w:rPr>
        <w:t xml:space="preserve"> </w:t>
      </w:r>
      <w:r w:rsidRPr="00A60AC8">
        <w:rPr>
          <w:rFonts w:ascii="Verdana" w:hAnsi="Verdana" w:cs="Arial"/>
          <w:sz w:val="16"/>
          <w:szCs w:val="16"/>
        </w:rPr>
        <w:t>alude</w:t>
      </w:r>
      <w:r w:rsidRPr="00A60AC8">
        <w:rPr>
          <w:rFonts w:ascii="Verdana" w:hAnsi="Verdana" w:cs="Arial"/>
          <w:spacing w:val="-5"/>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artículo</w:t>
      </w:r>
      <w:r w:rsidRPr="00A60AC8">
        <w:rPr>
          <w:rFonts w:ascii="Verdana" w:hAnsi="Verdana" w:cs="Arial"/>
          <w:spacing w:val="-5"/>
          <w:sz w:val="16"/>
          <w:szCs w:val="16"/>
        </w:rPr>
        <w:t xml:space="preserve"> </w:t>
      </w:r>
      <w:r w:rsidRPr="00A60AC8">
        <w:rPr>
          <w:rFonts w:ascii="Verdana" w:hAnsi="Verdana" w:cs="Arial"/>
          <w:sz w:val="16"/>
          <w:szCs w:val="16"/>
        </w:rPr>
        <w:t>85</w:t>
      </w:r>
      <w:r w:rsidRPr="00A60AC8">
        <w:rPr>
          <w:rFonts w:ascii="Verdana" w:hAnsi="Verdana" w:cs="Arial"/>
          <w:spacing w:val="-4"/>
          <w:sz w:val="16"/>
          <w:szCs w:val="16"/>
        </w:rPr>
        <w:t xml:space="preserve"> </w:t>
      </w:r>
      <w:r w:rsidRPr="00A60AC8">
        <w:rPr>
          <w:rFonts w:ascii="Verdana" w:hAnsi="Verdana" w:cs="Arial"/>
          <w:sz w:val="16"/>
          <w:szCs w:val="16"/>
        </w:rPr>
        <w:t>para</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silencio</w:t>
      </w:r>
      <w:r w:rsidRPr="00A60AC8">
        <w:rPr>
          <w:rFonts w:ascii="Verdana" w:hAnsi="Verdana" w:cs="Arial"/>
          <w:spacing w:val="-4"/>
          <w:sz w:val="16"/>
          <w:szCs w:val="16"/>
        </w:rPr>
        <w:t xml:space="preserve"> </w:t>
      </w:r>
      <w:r w:rsidRPr="00A60AC8">
        <w:rPr>
          <w:rFonts w:ascii="Verdana" w:hAnsi="Verdana" w:cs="Arial"/>
          <w:sz w:val="16"/>
          <w:szCs w:val="16"/>
        </w:rPr>
        <w:t>administrativo</w:t>
      </w:r>
      <w:r w:rsidRPr="00A60AC8">
        <w:rPr>
          <w:rFonts w:ascii="Verdana" w:hAnsi="Verdana" w:cs="Arial"/>
          <w:spacing w:val="-4"/>
          <w:sz w:val="16"/>
          <w:szCs w:val="16"/>
        </w:rPr>
        <w:t xml:space="preserve"> </w:t>
      </w:r>
      <w:r w:rsidRPr="00A60AC8">
        <w:rPr>
          <w:rFonts w:ascii="Verdana" w:hAnsi="Verdana" w:cs="Arial"/>
          <w:sz w:val="16"/>
          <w:szCs w:val="16"/>
        </w:rPr>
        <w:t>positivo”.</w:t>
      </w:r>
    </w:p>
    <w:p w14:paraId="13727EB5" w14:textId="77777777" w:rsidR="00DF78D3" w:rsidRPr="00A60AC8" w:rsidRDefault="00DF78D3" w:rsidP="00DF78D3">
      <w:pPr>
        <w:pStyle w:val="Textonotapie"/>
        <w:contextualSpacing/>
        <w:jc w:val="both"/>
        <w:rPr>
          <w:rFonts w:ascii="Verdana" w:hAnsi="Verdana" w:cs="Arial"/>
          <w:sz w:val="16"/>
          <w:szCs w:val="16"/>
        </w:rPr>
      </w:pPr>
    </w:p>
  </w:footnote>
  <w:footnote w:id="17">
    <w:p w14:paraId="2A739915" w14:textId="77777777" w:rsidR="00DF78D3" w:rsidRPr="00A60AC8" w:rsidRDefault="00DF78D3" w:rsidP="00DF78D3">
      <w:pPr>
        <w:spacing w:after="0" w:line="240" w:lineRule="auto"/>
        <w:ind w:firstLine="708"/>
        <w:contextualSpacing/>
        <w:jc w:val="both"/>
        <w:rPr>
          <w:rStyle w:val="Refdenotaalpie"/>
          <w:rFonts w:ascii="Verdana" w:hAnsi="Verdana" w:cs="Arial"/>
          <w:sz w:val="16"/>
          <w:szCs w:val="16"/>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 xml:space="preserve">Consejo de Estado. Sección Cuarta. Sentencia del 19 de noviembre de 1999. </w:t>
      </w:r>
      <w:proofErr w:type="spellStart"/>
      <w:r w:rsidRPr="00A60AC8">
        <w:rPr>
          <w:rStyle w:val="Refdenotaalpie"/>
          <w:rFonts w:ascii="Verdana" w:hAnsi="Verdana" w:cs="Arial"/>
          <w:sz w:val="16"/>
          <w:szCs w:val="16"/>
          <w:vertAlign w:val="baseline"/>
        </w:rPr>
        <w:t>Exp</w:t>
      </w:r>
      <w:proofErr w:type="spellEnd"/>
      <w:r w:rsidRPr="00A60AC8">
        <w:rPr>
          <w:rStyle w:val="Refdenotaalpie"/>
          <w:rFonts w:ascii="Verdana" w:hAnsi="Verdana" w:cs="Arial"/>
          <w:sz w:val="16"/>
          <w:szCs w:val="16"/>
          <w:vertAlign w:val="baseline"/>
        </w:rPr>
        <w:t>. 9.453. CP. Daniel Manrique Guzmán.</w:t>
      </w:r>
    </w:p>
    <w:p w14:paraId="2FC47E5E" w14:textId="77777777" w:rsidR="00DF78D3" w:rsidRPr="00A60AC8" w:rsidRDefault="00DF78D3" w:rsidP="00DF78D3">
      <w:pPr>
        <w:pStyle w:val="Textonotapie"/>
        <w:contextualSpacing/>
        <w:jc w:val="both"/>
        <w:rPr>
          <w:rFonts w:ascii="Verdana" w:hAnsi="Verdana" w:cs="Arial"/>
          <w:sz w:val="16"/>
          <w:szCs w:val="16"/>
        </w:rPr>
      </w:pPr>
    </w:p>
  </w:footnote>
  <w:footnote w:id="18">
    <w:p w14:paraId="2030976B" w14:textId="77777777" w:rsidR="00DF78D3" w:rsidRPr="00A60AC8" w:rsidRDefault="00DF78D3" w:rsidP="00DF78D3">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Ley 1882 de 2018: “Artículo 5. Modifíquese el Parágrafo 1 e inclúyanse los parágrafos 3, 4 y 5 de artículo 5° de la Ley 1150 de 2007, los cuales quedarán así:</w:t>
      </w:r>
    </w:p>
    <w:p w14:paraId="032DB15A" w14:textId="77777777" w:rsidR="00DF78D3" w:rsidRPr="00A60AC8" w:rsidRDefault="00DF78D3" w:rsidP="00DF78D3">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vertAlign w:val="baseline"/>
        </w:rPr>
        <w:t>[…]</w:t>
      </w:r>
    </w:p>
    <w:p w14:paraId="0AF97622" w14:textId="77777777" w:rsidR="00DF78D3" w:rsidRPr="00A60AC8" w:rsidRDefault="00DF78D3" w:rsidP="00DF78D3">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vertAlign w:val="baseline"/>
        </w:rPr>
        <w:t>Artículo 5°. De la selección objetiva. […]</w:t>
      </w:r>
    </w:p>
    <w:p w14:paraId="1F359ED1" w14:textId="77777777" w:rsidR="00DF78D3" w:rsidRPr="00A60AC8" w:rsidRDefault="00DF78D3" w:rsidP="00DF78D3">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vertAlign w:val="baseline"/>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671A85B1" w14:textId="77777777" w:rsidR="00DF78D3" w:rsidRPr="00A60AC8" w:rsidRDefault="00DF78D3" w:rsidP="00DF78D3">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vertAlign w:val="baseline"/>
        </w:rPr>
        <w:t>Durante el término otorgado para subsanar las ofertas, los proponentes no podrán acreditar circunstancias ocurridas con posterioridad al cierre del proceso” (</w:t>
      </w:r>
      <w:r w:rsidRPr="00A60AC8">
        <w:rPr>
          <w:rStyle w:val="Refdenotaalpie"/>
          <w:rFonts w:ascii="Verdana" w:hAnsi="Verdana" w:cs="Arial"/>
          <w:sz w:val="16"/>
          <w:szCs w:val="16"/>
        </w:rPr>
        <w:t xml:space="preserve">Cursiva </w:t>
      </w:r>
      <w:r w:rsidRPr="00A60AC8">
        <w:rPr>
          <w:rStyle w:val="Refdenotaalpie"/>
          <w:rFonts w:ascii="Verdana" w:hAnsi="Verdana" w:cs="Arial"/>
          <w:sz w:val="16"/>
          <w:szCs w:val="16"/>
          <w:vertAlign w:val="baseline"/>
        </w:rPr>
        <w:t>fuera de texto).</w:t>
      </w:r>
    </w:p>
    <w:p w14:paraId="7F87B6B8" w14:textId="77777777" w:rsidR="00DF78D3" w:rsidRPr="00A60AC8" w:rsidRDefault="00DF78D3" w:rsidP="00DF78D3">
      <w:pPr>
        <w:spacing w:after="0" w:line="240" w:lineRule="auto"/>
        <w:ind w:firstLine="708"/>
        <w:contextualSpacing/>
        <w:jc w:val="both"/>
        <w:rPr>
          <w:rFonts w:ascii="Verdana" w:hAnsi="Verdana" w:cs="Arial"/>
          <w:sz w:val="16"/>
          <w:szCs w:val="16"/>
        </w:rPr>
      </w:pPr>
    </w:p>
  </w:footnote>
  <w:footnote w:id="19">
    <w:p w14:paraId="1479AA15" w14:textId="77777777" w:rsidR="00DF78D3" w:rsidRPr="00A60AC8" w:rsidRDefault="00DF78D3" w:rsidP="00DF78D3">
      <w:pPr>
        <w:spacing w:after="0" w:line="240" w:lineRule="auto"/>
        <w:ind w:firstLine="708"/>
        <w:contextualSpacing/>
        <w:jc w:val="both"/>
        <w:rPr>
          <w:rStyle w:val="Refdenotaalpie"/>
          <w:rFonts w:ascii="Verdana" w:hAnsi="Verdana" w:cs="Arial"/>
          <w:sz w:val="16"/>
          <w:szCs w:val="16"/>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Decreto 2474 de 2008, art</w:t>
      </w:r>
      <w:r w:rsidRPr="00A60AC8">
        <w:rPr>
          <w:rFonts w:ascii="Verdana" w:hAnsi="Verdana" w:cs="Arial"/>
          <w:sz w:val="16"/>
          <w:szCs w:val="16"/>
        </w:rPr>
        <w:t>ículo</w:t>
      </w:r>
      <w:r w:rsidRPr="00A60AC8">
        <w:rPr>
          <w:rStyle w:val="Refdenotaalpie"/>
          <w:rFonts w:ascii="Verdana" w:hAnsi="Verdana" w:cs="Arial"/>
          <w:sz w:val="16"/>
          <w:szCs w:val="16"/>
          <w:vertAlign w:val="baseline"/>
        </w:rPr>
        <w:t xml:space="preserve"> 10, inciso final: “En ningún caso la entidad</w:t>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podrá señalar taxativamente los requisitos o documentos subsanables o no subsanables en el pliego de condiciones, ni permitir que se subsane la falta de capacidad para presentar la oferta, ni que se acrediten circunstancias ocurridas con posterioridad al cierre del proceso” (</w:t>
      </w:r>
      <w:r w:rsidRPr="00A60AC8">
        <w:rPr>
          <w:rStyle w:val="Refdenotaalpie"/>
          <w:rFonts w:ascii="Verdana" w:hAnsi="Verdana" w:cs="Arial"/>
          <w:sz w:val="16"/>
          <w:szCs w:val="16"/>
        </w:rPr>
        <w:t xml:space="preserve">Cursiva </w:t>
      </w:r>
      <w:r w:rsidRPr="00A60AC8">
        <w:rPr>
          <w:rStyle w:val="Refdenotaalpie"/>
          <w:rFonts w:ascii="Verdana" w:hAnsi="Verdana" w:cs="Arial"/>
          <w:sz w:val="16"/>
          <w:szCs w:val="16"/>
          <w:vertAlign w:val="baseline"/>
        </w:rPr>
        <w:t>fuera de texto).</w:t>
      </w:r>
    </w:p>
    <w:p w14:paraId="1A7E9736" w14:textId="77777777" w:rsidR="00DF78D3" w:rsidRPr="00A60AC8" w:rsidRDefault="00DF78D3" w:rsidP="00DF78D3">
      <w:pPr>
        <w:pStyle w:val="Textonotapie"/>
        <w:contextualSpacing/>
        <w:jc w:val="both"/>
        <w:rPr>
          <w:rStyle w:val="Refdenotaalpie"/>
          <w:rFonts w:ascii="Verdana" w:hAnsi="Verdana" w:cs="Arial"/>
          <w:sz w:val="16"/>
          <w:szCs w:val="16"/>
          <w:lang w:val="es-CO"/>
        </w:rPr>
      </w:pPr>
    </w:p>
  </w:footnote>
  <w:footnote w:id="20">
    <w:p w14:paraId="057BB336" w14:textId="77777777" w:rsidR="00DF78D3" w:rsidRPr="00A60AC8" w:rsidRDefault="00DF78D3" w:rsidP="00DF78D3">
      <w:pPr>
        <w:spacing w:after="0" w:line="240" w:lineRule="auto"/>
        <w:ind w:firstLine="709"/>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rPr>
        <w:footnoteRef/>
      </w:r>
      <w:r w:rsidRPr="00A60AC8">
        <w:rPr>
          <w:rStyle w:val="Refdenotaalpie"/>
          <w:rFonts w:ascii="Verdana" w:hAnsi="Verdana" w:cs="Arial"/>
          <w:sz w:val="16"/>
          <w:szCs w:val="16"/>
          <w:vertAlign w:val="baseline"/>
        </w:rPr>
        <w:t xml:space="preserve"> “De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w:t>
      </w:r>
      <w:proofErr w:type="spellStart"/>
      <w:r w:rsidRPr="00A60AC8">
        <w:rPr>
          <w:rStyle w:val="Refdenotaalpie"/>
          <w:rFonts w:ascii="Verdana" w:hAnsi="Verdana" w:cs="Arial"/>
          <w:sz w:val="16"/>
          <w:szCs w:val="16"/>
          <w:vertAlign w:val="baseline"/>
        </w:rPr>
        <w:t>Exp</w:t>
      </w:r>
      <w:proofErr w:type="spellEnd"/>
      <w:r w:rsidRPr="00A60AC8">
        <w:rPr>
          <w:rStyle w:val="Refdenotaalpie"/>
          <w:rFonts w:ascii="Verdana" w:hAnsi="Verdana" w:cs="Arial"/>
          <w:sz w:val="16"/>
          <w:szCs w:val="16"/>
          <w:vertAlign w:val="baseline"/>
        </w:rPr>
        <w:t>. 1.927. C.P. William Zambrano Cetina).</w:t>
      </w:r>
    </w:p>
    <w:p w14:paraId="7596C1C1" w14:textId="77777777" w:rsidR="00DF78D3" w:rsidRPr="00A60AC8" w:rsidRDefault="00DF78D3" w:rsidP="00DF78D3">
      <w:pPr>
        <w:pStyle w:val="Textonotapie"/>
        <w:contextualSpacing/>
        <w:jc w:val="both"/>
        <w:rPr>
          <w:rFonts w:ascii="Verdana" w:hAnsi="Verdana" w:cs="Arial"/>
          <w:sz w:val="16"/>
          <w:szCs w:val="16"/>
        </w:rPr>
      </w:pPr>
    </w:p>
  </w:footnote>
  <w:footnote w:id="21">
    <w:p w14:paraId="33941096" w14:textId="77777777" w:rsidR="00DF78D3" w:rsidRPr="00A60AC8" w:rsidRDefault="00DF78D3" w:rsidP="00DF78D3">
      <w:pPr>
        <w:spacing w:after="0" w:line="240" w:lineRule="auto"/>
        <w:ind w:firstLine="709"/>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Decreto 1082 de 2015, artículo 2.2.1.1.1.5.1., citado previamente.</w:t>
      </w:r>
    </w:p>
    <w:p w14:paraId="524D0D8D" w14:textId="77777777" w:rsidR="00DF78D3" w:rsidRPr="00A60AC8" w:rsidRDefault="00DF78D3" w:rsidP="00DF78D3">
      <w:pPr>
        <w:pStyle w:val="Textonotapie"/>
        <w:contextualSpacing/>
        <w:jc w:val="both"/>
        <w:rPr>
          <w:rFonts w:ascii="Verdana" w:hAnsi="Verdana" w:cs="Arial"/>
          <w:sz w:val="16"/>
          <w:szCs w:val="16"/>
        </w:rPr>
      </w:pPr>
    </w:p>
  </w:footnote>
  <w:footnote w:id="22">
    <w:p w14:paraId="710DC9DD" w14:textId="77777777" w:rsidR="00DF78D3" w:rsidRPr="00A60AC8" w:rsidRDefault="00DF78D3" w:rsidP="00DF78D3">
      <w:pPr>
        <w:pStyle w:val="Textonotapie"/>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La Circular Externa Única de Colombia Compra Eficiente puede ser consultada en el siguiente link: </w:t>
      </w:r>
      <w:hyperlink r:id="rId1" w:history="1">
        <w:r w:rsidRPr="00A60AC8">
          <w:rPr>
            <w:rStyle w:val="Hipervnculo"/>
            <w:rFonts w:ascii="Verdana" w:hAnsi="Verdana" w:cs="Arial"/>
            <w:sz w:val="16"/>
            <w:szCs w:val="16"/>
          </w:rPr>
          <w:t>https://colombiacompra.gov.co/sites/cce_public/files/cce_circulares/cce-eicp-ma-06_circular_externa_con_comentarios_de_ciudadanos-_v2f_002.pdf</w:t>
        </w:r>
      </w:hyperlink>
      <w:r w:rsidRPr="00A60AC8">
        <w:rPr>
          <w:rFonts w:ascii="Verdana" w:hAnsi="Verdana" w:cs="Arial"/>
          <w:sz w:val="16"/>
          <w:szCs w:val="16"/>
        </w:rPr>
        <w:t xml:space="preserve"> </w:t>
      </w:r>
    </w:p>
  </w:footnote>
  <w:footnote w:id="23">
    <w:p w14:paraId="390615DA" w14:textId="77777777" w:rsidR="00DF78D3" w:rsidRPr="00A60AC8" w:rsidRDefault="00DF78D3" w:rsidP="00DF78D3">
      <w:pPr>
        <w:widowControl w:val="0"/>
        <w:autoSpaceDE w:val="0"/>
        <w:autoSpaceDN w:val="0"/>
        <w:spacing w:after="0" w:line="240" w:lineRule="auto"/>
        <w:ind w:firstLine="708"/>
        <w:contextualSpacing/>
        <w:jc w:val="both"/>
        <w:rPr>
          <w:rFonts w:ascii="Verdana" w:hAnsi="Verdana" w:cs="Arial"/>
          <w:sz w:val="16"/>
          <w:szCs w:val="16"/>
        </w:rPr>
      </w:pPr>
      <w:r w:rsidRPr="00A60AC8">
        <w:rPr>
          <w:rStyle w:val="Refdenotaalpie"/>
          <w:rFonts w:ascii="Verdana" w:hAnsi="Verdana"/>
          <w:sz w:val="16"/>
          <w:szCs w:val="16"/>
        </w:rPr>
        <w:footnoteRef/>
      </w:r>
      <w:r w:rsidRPr="00A60AC8">
        <w:rPr>
          <w:rFonts w:ascii="Verdana" w:hAnsi="Verdana"/>
          <w:sz w:val="16"/>
          <w:szCs w:val="16"/>
        </w:rPr>
        <w:t xml:space="preserve"> </w:t>
      </w:r>
      <w:r w:rsidRPr="00A60AC8">
        <w:rPr>
          <w:rFonts w:ascii="Verdana" w:hAnsi="Verdana" w:cs="Arial"/>
          <w:sz w:val="16"/>
          <w:szCs w:val="16"/>
        </w:rPr>
        <w:t xml:space="preserve">Consejo de Estado. Sección Tercera. Sentencia del 17 de junio del 2024. </w:t>
      </w:r>
      <w:proofErr w:type="spellStart"/>
      <w:r w:rsidRPr="00A60AC8">
        <w:rPr>
          <w:rFonts w:ascii="Verdana" w:hAnsi="Verdana" w:cs="Arial"/>
          <w:sz w:val="16"/>
          <w:szCs w:val="16"/>
        </w:rPr>
        <w:t>Exp</w:t>
      </w:r>
      <w:proofErr w:type="spellEnd"/>
      <w:r w:rsidRPr="00A60AC8">
        <w:rPr>
          <w:rFonts w:ascii="Verdana" w:hAnsi="Verdana" w:cs="Arial"/>
          <w:sz w:val="16"/>
          <w:szCs w:val="16"/>
        </w:rPr>
        <w:t>. 70.326. C.P.</w:t>
      </w:r>
      <w:r w:rsidRPr="00A60AC8">
        <w:rPr>
          <w:rFonts w:ascii="Verdana" w:hAnsi="Verdana"/>
          <w:sz w:val="16"/>
          <w:szCs w:val="16"/>
        </w:rPr>
        <w:t xml:space="preserve"> </w:t>
      </w:r>
      <w:r w:rsidRPr="00A60AC8">
        <w:rPr>
          <w:rFonts w:ascii="Verdana" w:hAnsi="Verdana" w:cs="Arial"/>
          <w:sz w:val="16"/>
          <w:szCs w:val="16"/>
        </w:rPr>
        <w:t>Fredy Ibarra Martínez.</w:t>
      </w:r>
    </w:p>
  </w:footnote>
  <w:footnote w:id="24">
    <w:p w14:paraId="39811BB2" w14:textId="77777777" w:rsidR="00DF78D3" w:rsidRPr="00DC68C5" w:rsidRDefault="00DF78D3" w:rsidP="00DF78D3">
      <w:pPr>
        <w:pStyle w:val="Textonotapie"/>
        <w:ind w:firstLine="709"/>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Style w:val="Refdenotaalpie"/>
          <w:rFonts w:ascii="Verdana" w:hAnsi="Verdana" w:cs="Arial"/>
          <w:color w:val="000000"/>
          <w:sz w:val="16"/>
          <w:szCs w:val="16"/>
        </w:rPr>
        <w:t xml:space="preserve"> </w:t>
      </w:r>
      <w:r w:rsidRPr="00DC68C5">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29104ACA" w14:textId="77777777" w:rsidR="00DF78D3" w:rsidRPr="00DC68C5" w:rsidRDefault="00DF78D3" w:rsidP="00DF78D3">
      <w:pPr>
        <w:pStyle w:val="Textonotapie"/>
        <w:ind w:firstLine="709"/>
        <w:jc w:val="both"/>
        <w:rPr>
          <w:rFonts w:ascii="Verdana" w:hAnsi="Verdana" w:cs="Arial"/>
          <w:color w:val="00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0.5pt;height:10.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565106C"/>
    <w:multiLevelType w:val="hybridMultilevel"/>
    <w:tmpl w:val="0316BD22"/>
    <w:lvl w:ilvl="0" w:tplc="6FA208FC">
      <w:start w:val="2"/>
      <w:numFmt w:val="decimal"/>
      <w:lvlText w:val="%1."/>
      <w:lvlJc w:val="left"/>
      <w:pPr>
        <w:ind w:left="720" w:hanging="360"/>
      </w:pPr>
      <w:rPr>
        <w:rFonts w:eastAsiaTheme="minorHAns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98B3BB0"/>
    <w:multiLevelType w:val="hybridMultilevel"/>
    <w:tmpl w:val="A41C54B8"/>
    <w:lvl w:ilvl="0" w:tplc="D524571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9"/>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16"/>
  </w:num>
  <w:num w:numId="19">
    <w:abstractNumId w:val="11"/>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873"/>
    <w:rsid w:val="00016F78"/>
    <w:rsid w:val="00046945"/>
    <w:rsid w:val="00061B2A"/>
    <w:rsid w:val="00082362"/>
    <w:rsid w:val="000A683E"/>
    <w:rsid w:val="000B19B9"/>
    <w:rsid w:val="000C7DF8"/>
    <w:rsid w:val="000D0334"/>
    <w:rsid w:val="000F6486"/>
    <w:rsid w:val="001237E1"/>
    <w:rsid w:val="00125105"/>
    <w:rsid w:val="00127233"/>
    <w:rsid w:val="00141E8C"/>
    <w:rsid w:val="00164DAA"/>
    <w:rsid w:val="00187553"/>
    <w:rsid w:val="001A4CEE"/>
    <w:rsid w:val="001E4177"/>
    <w:rsid w:val="001F7DC6"/>
    <w:rsid w:val="002059DE"/>
    <w:rsid w:val="002421BB"/>
    <w:rsid w:val="0025796E"/>
    <w:rsid w:val="00265B9F"/>
    <w:rsid w:val="002707A2"/>
    <w:rsid w:val="00291D52"/>
    <w:rsid w:val="002951A0"/>
    <w:rsid w:val="002962BC"/>
    <w:rsid w:val="002A093D"/>
    <w:rsid w:val="002A0DD0"/>
    <w:rsid w:val="002A49AC"/>
    <w:rsid w:val="002A64FD"/>
    <w:rsid w:val="002C7A84"/>
    <w:rsid w:val="002E4FD9"/>
    <w:rsid w:val="002F1C74"/>
    <w:rsid w:val="00322A85"/>
    <w:rsid w:val="00324168"/>
    <w:rsid w:val="003448F4"/>
    <w:rsid w:val="00374F5E"/>
    <w:rsid w:val="00377E3E"/>
    <w:rsid w:val="003A779E"/>
    <w:rsid w:val="003D0F4D"/>
    <w:rsid w:val="003D3183"/>
    <w:rsid w:val="003D5B0D"/>
    <w:rsid w:val="003E0499"/>
    <w:rsid w:val="003F3941"/>
    <w:rsid w:val="00406575"/>
    <w:rsid w:val="00414C74"/>
    <w:rsid w:val="0042722E"/>
    <w:rsid w:val="00433660"/>
    <w:rsid w:val="0044528D"/>
    <w:rsid w:val="004638B9"/>
    <w:rsid w:val="004A1847"/>
    <w:rsid w:val="004A305D"/>
    <w:rsid w:val="004F21C4"/>
    <w:rsid w:val="004F685F"/>
    <w:rsid w:val="00513714"/>
    <w:rsid w:val="005566E8"/>
    <w:rsid w:val="00574867"/>
    <w:rsid w:val="00591460"/>
    <w:rsid w:val="005C3777"/>
    <w:rsid w:val="005C5CDC"/>
    <w:rsid w:val="005D476C"/>
    <w:rsid w:val="005F4E70"/>
    <w:rsid w:val="006219F8"/>
    <w:rsid w:val="006302F7"/>
    <w:rsid w:val="00665D70"/>
    <w:rsid w:val="00682A3B"/>
    <w:rsid w:val="0068544E"/>
    <w:rsid w:val="006900D9"/>
    <w:rsid w:val="006A760C"/>
    <w:rsid w:val="00706C16"/>
    <w:rsid w:val="00713077"/>
    <w:rsid w:val="00756841"/>
    <w:rsid w:val="007649AB"/>
    <w:rsid w:val="00771D0C"/>
    <w:rsid w:val="007833AC"/>
    <w:rsid w:val="007B268C"/>
    <w:rsid w:val="007B5D42"/>
    <w:rsid w:val="007B7171"/>
    <w:rsid w:val="007C0C0F"/>
    <w:rsid w:val="007C20DE"/>
    <w:rsid w:val="007C3DC2"/>
    <w:rsid w:val="007E5497"/>
    <w:rsid w:val="00806F5F"/>
    <w:rsid w:val="00820278"/>
    <w:rsid w:val="00867F95"/>
    <w:rsid w:val="008843B6"/>
    <w:rsid w:val="00891928"/>
    <w:rsid w:val="00897A3A"/>
    <w:rsid w:val="008A446D"/>
    <w:rsid w:val="008D0DCA"/>
    <w:rsid w:val="008D180B"/>
    <w:rsid w:val="008F0EA7"/>
    <w:rsid w:val="00907015"/>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66D0B"/>
    <w:rsid w:val="00AB0ADB"/>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1350"/>
    <w:rsid w:val="00D63AC2"/>
    <w:rsid w:val="00D7383B"/>
    <w:rsid w:val="00DA231B"/>
    <w:rsid w:val="00DC39FC"/>
    <w:rsid w:val="00DF5254"/>
    <w:rsid w:val="00DF78D3"/>
    <w:rsid w:val="00E06543"/>
    <w:rsid w:val="00E16408"/>
    <w:rsid w:val="00E20894"/>
    <w:rsid w:val="00E245AB"/>
    <w:rsid w:val="00E2764C"/>
    <w:rsid w:val="00E27F2E"/>
    <w:rsid w:val="00E50AFE"/>
    <w:rsid w:val="00E6462D"/>
    <w:rsid w:val="00E75C92"/>
    <w:rsid w:val="00E771DC"/>
    <w:rsid w:val="00E841F5"/>
    <w:rsid w:val="00E8772A"/>
    <w:rsid w:val="00E90F6B"/>
    <w:rsid w:val="00E92C27"/>
    <w:rsid w:val="00EA0E3D"/>
    <w:rsid w:val="00EC38A7"/>
    <w:rsid w:val="00EE1AA8"/>
    <w:rsid w:val="00F31E33"/>
    <w:rsid w:val="00F31EDC"/>
    <w:rsid w:val="00F375BB"/>
    <w:rsid w:val="00F462B3"/>
    <w:rsid w:val="00F5664F"/>
    <w:rsid w:val="00F666C4"/>
    <w:rsid w:val="00F76AFC"/>
    <w:rsid w:val="00FA47C0"/>
    <w:rsid w:val="00FB5DD1"/>
    <w:rsid w:val="00FC2B5D"/>
    <w:rsid w:val="00FF1449"/>
    <w:rsid w:val="264753F9"/>
    <w:rsid w:val="29F65EA1"/>
    <w:rsid w:val="2F6919C2"/>
    <w:rsid w:val="2FE0D055"/>
    <w:rsid w:val="4F5D7377"/>
    <w:rsid w:val="53FCE666"/>
    <w:rsid w:val="58DDFA1A"/>
    <w:rsid w:val="793E9AF3"/>
    <w:rsid w:val="79C0A7FB"/>
    <w:rsid w:val="7D865870"/>
    <w:rsid w:val="7FD754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78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78D3"/>
    <w:rPr>
      <w:rFonts w:ascii="Geomanist Light" w:hAnsi="Geomanist Light"/>
      <w:lang w:val="es-ES"/>
    </w:rPr>
  </w:style>
  <w:style w:type="paragraph" w:styleId="Textoindependiente">
    <w:name w:val="Body Text"/>
    <w:basedOn w:val="Normal"/>
    <w:link w:val="TextoindependienteCar"/>
    <w:uiPriority w:val="1"/>
    <w:qFormat/>
    <w:rsid w:val="00DF78D3"/>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DF78D3"/>
    <w:rPr>
      <w:rFonts w:ascii="Arial" w:eastAsia="Arial" w:hAnsi="Arial" w:cs="Arial"/>
      <w:lang w:val="es-ES"/>
    </w:rPr>
  </w:style>
  <w:style w:type="character" w:customStyle="1" w:styleId="superscript">
    <w:name w:val="superscript"/>
    <w:basedOn w:val="Fuentedeprrafopredeter"/>
    <w:rsid w:val="00DF78D3"/>
  </w:style>
  <w:style w:type="character" w:customStyle="1" w:styleId="NormalWebCar">
    <w:name w:val="Normal (Web) Car"/>
    <w:link w:val="NormalWeb"/>
    <w:uiPriority w:val="99"/>
    <w:rsid w:val="00DF78D3"/>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DF78D3"/>
    <w:rPr>
      <w:b/>
      <w:bCs/>
    </w:rPr>
  </w:style>
  <w:style w:type="character" w:styleId="nfasis">
    <w:name w:val="Emphasis"/>
    <w:basedOn w:val="Fuentedeprrafopredeter"/>
    <w:uiPriority w:val="20"/>
    <w:qFormat/>
    <w:rsid w:val="00DF78D3"/>
    <w:rPr>
      <w:i/>
      <w:iC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4802205">
      <w:bodyDiv w:val="1"/>
      <w:marLeft w:val="0"/>
      <w:marRight w:val="0"/>
      <w:marTop w:val="0"/>
      <w:marBottom w:val="0"/>
      <w:divBdr>
        <w:top w:val="none" w:sz="0" w:space="0" w:color="auto"/>
        <w:left w:val="none" w:sz="0" w:space="0" w:color="auto"/>
        <w:bottom w:val="none" w:sz="0" w:space="0" w:color="auto"/>
        <w:right w:val="none" w:sz="0" w:space="0" w:color="auto"/>
      </w:divBdr>
      <w:divsChild>
        <w:div w:id="1777364729">
          <w:marLeft w:val="0"/>
          <w:marRight w:val="0"/>
          <w:marTop w:val="0"/>
          <w:marBottom w:val="0"/>
          <w:divBdr>
            <w:top w:val="none" w:sz="0" w:space="0" w:color="auto"/>
            <w:left w:val="none" w:sz="0" w:space="0" w:color="auto"/>
            <w:bottom w:val="none" w:sz="0" w:space="0" w:color="auto"/>
            <w:right w:val="none" w:sz="0" w:space="0" w:color="auto"/>
          </w:divBdr>
          <w:divsChild>
            <w:div w:id="104078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1882-de-20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normativa/ley-1150-de-2007/"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normativa/ley-80-de-1993/"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decreto-1082-de-2015/"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circulares/cce-eicp-ma-06_circular_externa_con_comentarios_de_ciudadanos-_v2f_0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FFAFF42-B5B1-40A4-90FE-768FA1FC4F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schemas.microsoft.com/office/2006/metadata/properties"/>
    <ds:schemaRef ds:uri="http://schemas.microsoft.com/office/2006/documentManagement/types"/>
    <ds:schemaRef ds:uri="http://purl.org/dc/elements/1.1/"/>
    <ds:schemaRef ds:uri="a6cb9e4b-f1d1-4245-83ec-6cad768d538a"/>
    <ds:schemaRef ds:uri="http://schemas.microsoft.com/office/infopath/2007/PartnerControls"/>
    <ds:schemaRef ds:uri="http://schemas.openxmlformats.org/package/2006/metadata/core-properties"/>
    <ds:schemaRef ds:uri="9d85dbaf-23eb-4e57-a637-93dcacc8b1a1"/>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27</Pages>
  <Words>8500</Words>
  <Characters>46750</Characters>
  <Application>Microsoft Office Word</Application>
  <DocSecurity>0</DocSecurity>
  <Lines>389</Lines>
  <Paragraphs>110</Paragraphs>
  <ScaleCrop>false</ScaleCrop>
  <Company/>
  <LinksUpToDate>false</LinksUpToDate>
  <CharactersWithSpaces>55140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2025-10-30T13:46:00Z</dcterms:created>
  <dcterms:modified xsi:type="dcterms:W3CDTF">2025-10-30T13:46:00Z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