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1E4AFE" w14:textId="77777777" w:rsidR="005D4A0D" w:rsidRPr="00647611" w:rsidRDefault="005D4A0D" w:rsidP="005D4A0D">
      <w:pPr>
        <w:spacing w:after="0" w:line="240" w:lineRule="auto"/>
        <w:jc w:val="both"/>
        <w:rPr>
          <w:rFonts w:ascii="Verdana" w:eastAsia="Calibri" w:hAnsi="Verdana" w:cs="Arial"/>
          <w:sz w:val="20"/>
          <w:szCs w:val="20"/>
          <w:lang w:val="es-ES_tradnl" w:eastAsia="es-ES"/>
        </w:rPr>
      </w:pPr>
    </w:p>
    <w:p w14:paraId="6D2FE3CA" w14:textId="77777777" w:rsidR="005D4A0D" w:rsidRPr="00647611" w:rsidRDefault="005D4A0D" w:rsidP="005D4A0D">
      <w:pPr>
        <w:spacing w:after="0" w:line="240" w:lineRule="auto"/>
        <w:jc w:val="both"/>
        <w:rPr>
          <w:rFonts w:ascii="Verdana" w:hAnsi="Verdana" w:cs="Arial"/>
          <w:b/>
          <w:lang w:val="es-MX" w:eastAsia="es-ES_tradnl"/>
        </w:rPr>
      </w:pPr>
      <w:r w:rsidRPr="00647611">
        <w:rPr>
          <w:rFonts w:ascii="Verdana" w:hAnsi="Verdana" w:cs="Arial"/>
          <w:b/>
          <w:lang w:val="es-MX" w:eastAsia="es-ES_tradnl"/>
        </w:rPr>
        <w:t xml:space="preserve">LEY DE GARANTÍAS ELECTORALES </w:t>
      </w:r>
      <w:r w:rsidRPr="00647611">
        <w:rPr>
          <w:rFonts w:ascii="Verdana" w:hAnsi="Verdana" w:cs="Arial"/>
          <w:b/>
          <w:bCs/>
          <w:lang w:val="es-MX" w:eastAsia="es-ES_tradnl"/>
        </w:rPr>
        <w:t>‒</w:t>
      </w:r>
      <w:r w:rsidRPr="00647611">
        <w:rPr>
          <w:rFonts w:ascii="Verdana" w:hAnsi="Verdana" w:cs="Arial"/>
          <w:b/>
          <w:lang w:val="es-MX" w:eastAsia="es-ES_tradnl"/>
        </w:rPr>
        <w:t xml:space="preserve"> Finalidad </w:t>
      </w:r>
    </w:p>
    <w:p w14:paraId="61429D57" w14:textId="77777777" w:rsidR="005D4A0D" w:rsidRPr="00647611" w:rsidRDefault="005D4A0D" w:rsidP="005D4A0D">
      <w:pPr>
        <w:spacing w:after="0" w:line="240" w:lineRule="auto"/>
        <w:jc w:val="both"/>
        <w:rPr>
          <w:rFonts w:ascii="Verdana" w:hAnsi="Verdana" w:cs="Arial"/>
          <w:b/>
          <w:sz w:val="20"/>
          <w:szCs w:val="20"/>
          <w:lang w:val="es-MX" w:eastAsia="es-ES_tradnl"/>
        </w:rPr>
      </w:pPr>
    </w:p>
    <w:p w14:paraId="539AEE18" w14:textId="77777777" w:rsidR="005D4A0D" w:rsidRPr="00647611" w:rsidRDefault="005D4A0D" w:rsidP="005D4A0D">
      <w:pPr>
        <w:spacing w:after="0" w:line="240" w:lineRule="auto"/>
        <w:jc w:val="both"/>
        <w:rPr>
          <w:rFonts w:ascii="Verdana" w:eastAsia="Times New Roman" w:hAnsi="Verdana" w:cs="Arial"/>
          <w:sz w:val="20"/>
          <w:szCs w:val="20"/>
          <w:lang w:val="es-MX" w:eastAsia="es-CO"/>
        </w:rPr>
      </w:pPr>
      <w:r w:rsidRPr="00647611">
        <w:rPr>
          <w:rFonts w:ascii="Verdana" w:eastAsia="Times New Roman" w:hAnsi="Verdana" w:cs="Arial"/>
          <w:sz w:val="20"/>
          <w:szCs w:val="20"/>
          <w:lang w:val="es-MX" w:eastAsia="es-CO"/>
        </w:rPr>
        <w:t>En este contexto, la Ley de Garantías Electorales establece el marco jurídico para el desarrollo de las elecciones, procurando condiciones de igualdad y transparencia para los aspirantes. Paralelamente, se incluyen restricciones en las actuaciones de los servidores públicos, evitando interferencias en la contienda electoral, así como la posible desviación de recursos públicos en aspiraciones electorales. Por ello, varias de las disposiciones de la Ley 996 de 2005, al contener normas prohibitivas, no admiten una interpretación amplia, sino que deben interpretarse restrictivamente.</w:t>
      </w:r>
    </w:p>
    <w:p w14:paraId="79ACE03D" w14:textId="77777777" w:rsidR="005D4A0D" w:rsidRPr="00647611" w:rsidRDefault="005D4A0D" w:rsidP="005D4A0D">
      <w:pPr>
        <w:spacing w:after="0" w:line="240" w:lineRule="auto"/>
        <w:jc w:val="both"/>
        <w:rPr>
          <w:rFonts w:ascii="Verdana" w:hAnsi="Verdana" w:cs="Arial"/>
          <w:b/>
          <w:sz w:val="20"/>
          <w:szCs w:val="20"/>
          <w:lang w:val="es-MX" w:eastAsia="es-ES_tradnl"/>
        </w:rPr>
      </w:pPr>
    </w:p>
    <w:p w14:paraId="782375F9" w14:textId="77777777" w:rsidR="005D4A0D" w:rsidRPr="00647611" w:rsidRDefault="005D4A0D" w:rsidP="005D4A0D">
      <w:pPr>
        <w:spacing w:after="0" w:line="240" w:lineRule="auto"/>
        <w:jc w:val="both"/>
        <w:rPr>
          <w:rFonts w:ascii="Verdana" w:hAnsi="Verdana" w:cs="Arial"/>
          <w:b/>
          <w:lang w:val="es-MX" w:eastAsia="es-ES_tradnl"/>
        </w:rPr>
      </w:pPr>
      <w:r w:rsidRPr="00647611">
        <w:rPr>
          <w:rFonts w:ascii="Verdana" w:hAnsi="Verdana" w:cs="Arial"/>
          <w:b/>
          <w:lang w:val="es-MX" w:eastAsia="es-ES_tradnl"/>
        </w:rPr>
        <w:t xml:space="preserve">LEY DE GARANTÍAS ELECTORALES </w:t>
      </w:r>
      <w:r w:rsidRPr="00647611">
        <w:rPr>
          <w:rFonts w:ascii="Verdana" w:hAnsi="Verdana" w:cs="Arial"/>
          <w:b/>
          <w:bCs/>
          <w:lang w:val="es-MX" w:eastAsia="es-ES_tradnl"/>
        </w:rPr>
        <w:t>‒</w:t>
      </w:r>
      <w:r w:rsidRPr="00647611">
        <w:rPr>
          <w:rFonts w:ascii="Verdana" w:hAnsi="Verdana" w:cs="Arial"/>
          <w:b/>
          <w:lang w:val="es-MX" w:eastAsia="es-ES_tradnl"/>
        </w:rPr>
        <w:t xml:space="preserve"> Tipos de restricciones </w:t>
      </w:r>
      <w:r w:rsidRPr="00647611">
        <w:rPr>
          <w:rFonts w:ascii="Verdana" w:hAnsi="Verdana" w:cs="Arial"/>
          <w:b/>
          <w:bCs/>
          <w:lang w:val="es-MX" w:eastAsia="es-ES_tradnl"/>
        </w:rPr>
        <w:t>‒</w:t>
      </w:r>
      <w:r w:rsidRPr="00647611">
        <w:rPr>
          <w:rFonts w:ascii="Verdana" w:hAnsi="Verdana" w:cs="Arial"/>
          <w:b/>
          <w:lang w:val="es-MX" w:eastAsia="es-ES_tradnl"/>
        </w:rPr>
        <w:t xml:space="preserve"> Ámbito temporal – celebración- límite</w:t>
      </w:r>
    </w:p>
    <w:p w14:paraId="0371CE5E" w14:textId="77777777" w:rsidR="005D4A0D" w:rsidRPr="00647611" w:rsidRDefault="005D4A0D" w:rsidP="005D4A0D">
      <w:pPr>
        <w:spacing w:after="0" w:line="240" w:lineRule="auto"/>
        <w:jc w:val="both"/>
        <w:rPr>
          <w:rFonts w:ascii="Verdana" w:hAnsi="Verdana" w:cs="Arial"/>
          <w:b/>
          <w:sz w:val="20"/>
          <w:szCs w:val="20"/>
          <w:lang w:val="es-MX" w:eastAsia="es-ES_tradnl"/>
        </w:rPr>
      </w:pPr>
    </w:p>
    <w:p w14:paraId="400697D5" w14:textId="77777777" w:rsidR="005D4A0D" w:rsidRPr="00647611" w:rsidRDefault="005D4A0D" w:rsidP="005D4A0D">
      <w:pPr>
        <w:spacing w:after="0" w:line="240" w:lineRule="auto"/>
        <w:jc w:val="both"/>
        <w:rPr>
          <w:rFonts w:ascii="Verdana" w:eastAsia="Calibri" w:hAnsi="Verdana" w:cs="Arial"/>
          <w:sz w:val="20"/>
          <w:szCs w:val="20"/>
        </w:rPr>
      </w:pPr>
      <w:r w:rsidRPr="00647611">
        <w:rPr>
          <w:rFonts w:ascii="Verdana" w:eastAsia="Calibri" w:hAnsi="Verdana" w:cs="Arial"/>
          <w:sz w:val="20"/>
          <w:szCs w:val="20"/>
        </w:rPr>
        <w:t xml:space="preserve">Por un lado, el </w:t>
      </w:r>
      <w:r w:rsidRPr="00647611">
        <w:rPr>
          <w:rFonts w:ascii="Verdana" w:eastAsia="Calibri" w:hAnsi="Verdana" w:cs="Arial"/>
          <w:i/>
          <w:iCs/>
          <w:sz w:val="20"/>
          <w:szCs w:val="20"/>
        </w:rPr>
        <w:t>artículo 33 de la Ley 996 de 2005</w:t>
      </w:r>
      <w:r w:rsidRPr="00647611">
        <w:rPr>
          <w:rFonts w:ascii="Verdana" w:eastAsia="Calibri" w:hAnsi="Verdana" w:cs="Arial"/>
          <w:sz w:val="20"/>
          <w:szCs w:val="20"/>
        </w:rPr>
        <w:t xml:space="preserve">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57FB9C3F" w14:textId="77777777" w:rsidR="005D4A0D" w:rsidRPr="00647611" w:rsidRDefault="005D4A0D" w:rsidP="005D4A0D">
      <w:pPr>
        <w:spacing w:after="0" w:line="240" w:lineRule="auto"/>
        <w:jc w:val="both"/>
        <w:rPr>
          <w:rFonts w:ascii="Verdana" w:eastAsia="Calibri" w:hAnsi="Verdana" w:cs="Arial"/>
          <w:sz w:val="20"/>
          <w:szCs w:val="20"/>
        </w:rPr>
      </w:pPr>
    </w:p>
    <w:p w14:paraId="6AA5FCDE" w14:textId="77777777" w:rsidR="005D4A0D" w:rsidRPr="00647611" w:rsidRDefault="005D4A0D" w:rsidP="005D4A0D">
      <w:pPr>
        <w:widowControl w:val="0"/>
        <w:autoSpaceDE w:val="0"/>
        <w:autoSpaceDN w:val="0"/>
        <w:spacing w:after="0" w:line="240" w:lineRule="auto"/>
        <w:ind w:right="113"/>
        <w:jc w:val="both"/>
        <w:rPr>
          <w:rFonts w:ascii="Verdana" w:eastAsia="Arial" w:hAnsi="Verdana" w:cs="Arial"/>
          <w:sz w:val="20"/>
          <w:szCs w:val="20"/>
          <w:lang w:val="es-ES" w:eastAsia="es-ES" w:bidi="es-ES"/>
        </w:rPr>
      </w:pPr>
      <w:r w:rsidRPr="00647611">
        <w:rPr>
          <w:rFonts w:ascii="Verdana" w:eastAsia="Calibri" w:hAnsi="Verdana" w:cs="Arial"/>
          <w:sz w:val="20"/>
          <w:szCs w:val="20"/>
        </w:rPr>
        <w:t xml:space="preserve">Por otro lado, </w:t>
      </w:r>
      <w:r w:rsidRPr="00647611">
        <w:rPr>
          <w:rFonts w:ascii="Verdana" w:eastAsia="Calibri" w:hAnsi="Verdana" w:cs="Arial"/>
          <w:i/>
          <w:iCs/>
          <w:sz w:val="20"/>
          <w:szCs w:val="20"/>
        </w:rPr>
        <w:t>el parágrafo del artículo 38 de la Ley 996 de 2005</w:t>
      </w:r>
      <w:r w:rsidRPr="00647611">
        <w:rPr>
          <w:rFonts w:ascii="Verdana" w:eastAsia="Calibri" w:hAnsi="Verdana" w:cs="Arial"/>
          <w:sz w:val="20"/>
          <w:szCs w:val="20"/>
        </w:rPr>
        <w:t xml:space="preserve">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647611">
        <w:rPr>
          <w:rFonts w:ascii="Verdana" w:eastAsia="Calibri" w:hAnsi="Verdana" w:cs="Arial"/>
          <w:sz w:val="20"/>
          <w:szCs w:val="20"/>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647611">
        <w:rPr>
          <w:rFonts w:ascii="Verdana" w:eastAsia="Calibri" w:hAnsi="Verdana" w:cs="Arial"/>
          <w:sz w:val="20"/>
          <w:szCs w:val="20"/>
        </w:rPr>
        <w:t>”</w:t>
      </w:r>
      <w:r w:rsidRPr="00647611">
        <w:rPr>
          <w:rFonts w:ascii="Verdana" w:eastAsia="Calibri" w:hAnsi="Verdana" w:cs="Arial"/>
          <w:sz w:val="20"/>
          <w:szCs w:val="20"/>
          <w:lang w:val="es-MX"/>
        </w:rPr>
        <w:t>.</w:t>
      </w:r>
      <w:r w:rsidRPr="00647611">
        <w:rPr>
          <w:rFonts w:ascii="Verdana" w:eastAsia="Arial" w:hAnsi="Verdana" w:cs="Arial"/>
          <w:sz w:val="20"/>
          <w:szCs w:val="20"/>
          <w:lang w:val="es-ES" w:eastAsia="es-ES" w:bidi="es-ES"/>
        </w:rPr>
        <w:t xml:space="preserve"> </w:t>
      </w:r>
    </w:p>
    <w:p w14:paraId="7CE2C4A2" w14:textId="77777777" w:rsidR="005D4A0D" w:rsidRPr="00647611" w:rsidRDefault="005D4A0D" w:rsidP="005D4A0D">
      <w:pPr>
        <w:widowControl w:val="0"/>
        <w:autoSpaceDE w:val="0"/>
        <w:autoSpaceDN w:val="0"/>
        <w:spacing w:after="0" w:line="240" w:lineRule="auto"/>
        <w:ind w:right="113"/>
        <w:jc w:val="both"/>
        <w:rPr>
          <w:rFonts w:ascii="Verdana" w:eastAsia="Arial" w:hAnsi="Verdana" w:cs="Arial"/>
          <w:sz w:val="20"/>
          <w:szCs w:val="20"/>
          <w:lang w:val="es-ES" w:eastAsia="es-ES" w:bidi="es-ES"/>
        </w:rPr>
      </w:pPr>
    </w:p>
    <w:p w14:paraId="229E81F3" w14:textId="77777777" w:rsidR="005D4A0D" w:rsidRPr="00647611" w:rsidRDefault="005D4A0D" w:rsidP="005D4A0D">
      <w:pPr>
        <w:spacing w:after="0" w:line="240" w:lineRule="auto"/>
        <w:jc w:val="both"/>
        <w:rPr>
          <w:rFonts w:ascii="Verdana" w:eastAsia="Times New Roman" w:hAnsi="Verdana" w:cs="Arial"/>
          <w:bCs/>
          <w:sz w:val="20"/>
          <w:szCs w:val="20"/>
          <w:lang w:val="es-ES" w:eastAsia="es-CO"/>
        </w:rPr>
      </w:pPr>
      <w:r w:rsidRPr="00647611">
        <w:rPr>
          <w:rFonts w:ascii="Verdana" w:eastAsia="Times New Roman" w:hAnsi="Verdana" w:cs="Arial"/>
          <w:bCs/>
          <w:sz w:val="20"/>
          <w:szCs w:val="20"/>
          <w:lang w:eastAsia="es-CO"/>
        </w:rPr>
        <w:t xml:space="preserve">En efecto, el concepto de celebración en el marco de la contratación estatal se relaciona con el perfeccionamiento, es decir, con los requisitos para que exista un contrato estatal. Al respecto, se destaca que en entidades sometidas al Estatuto General de Contratación de la Administración Pública </w:t>
      </w:r>
      <w:r w:rsidRPr="00647611">
        <w:rPr>
          <w:rFonts w:ascii="Verdana" w:eastAsia="Times New Roman" w:hAnsi="Verdana" w:cs="Arial"/>
          <w:bCs/>
          <w:sz w:val="20"/>
          <w:szCs w:val="20"/>
          <w:lang w:val="es-ES" w:eastAsia="es-CO"/>
        </w:rPr>
        <w:t xml:space="preserve">la existencia de los contratos estatales, es decir, la producción de efectos jurídicos en los términos del artículo 1501 </w:t>
      </w:r>
      <w:proofErr w:type="spellStart"/>
      <w:r w:rsidRPr="00647611">
        <w:rPr>
          <w:rFonts w:ascii="Verdana" w:eastAsia="Times New Roman" w:hAnsi="Verdana" w:cs="Arial"/>
          <w:bCs/>
          <w:i/>
          <w:sz w:val="20"/>
          <w:szCs w:val="20"/>
          <w:lang w:val="es-ES" w:eastAsia="es-CO"/>
        </w:rPr>
        <w:t>ibídem</w:t>
      </w:r>
      <w:proofErr w:type="spellEnd"/>
      <w:r w:rsidRPr="00647611">
        <w:rPr>
          <w:rFonts w:ascii="Verdana" w:eastAsia="Times New Roman" w:hAnsi="Verdana" w:cs="Arial"/>
          <w:bCs/>
          <w:sz w:val="20"/>
          <w:szCs w:val="20"/>
          <w:lang w:val="es-ES" w:eastAsia="es-CO"/>
        </w:rPr>
        <w:t xml:space="preserve">, depende de la regulación del inciso primero de los artículos 39 y 41 de la Ley 80 de 1993. Por un lado, “Los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 Por otra parte, “Los contratos del Estado se perfeccionan cuando se logre acuerdo sobre el objeto y la contraprestación y éste se eleve a escrito”. </w:t>
      </w:r>
    </w:p>
    <w:p w14:paraId="35EC0DF0" w14:textId="77777777" w:rsidR="005D4A0D" w:rsidRPr="00647611" w:rsidRDefault="005D4A0D" w:rsidP="005D4A0D">
      <w:pPr>
        <w:spacing w:after="0" w:line="240" w:lineRule="auto"/>
        <w:jc w:val="both"/>
        <w:rPr>
          <w:rFonts w:ascii="Verdana" w:hAnsi="Verdana" w:cs="Arial"/>
          <w:b/>
          <w:sz w:val="20"/>
          <w:szCs w:val="20"/>
          <w:lang w:val="es-MX" w:eastAsia="es-ES_tradnl"/>
        </w:rPr>
      </w:pPr>
    </w:p>
    <w:p w14:paraId="3BDF6EAE" w14:textId="77777777" w:rsidR="005D4A0D" w:rsidRPr="00647611" w:rsidRDefault="005D4A0D" w:rsidP="005D4A0D">
      <w:pPr>
        <w:spacing w:after="0" w:line="240" w:lineRule="auto"/>
        <w:jc w:val="both"/>
        <w:rPr>
          <w:rFonts w:ascii="Verdana" w:hAnsi="Verdana" w:cs="Arial"/>
          <w:b/>
          <w:lang w:val="es-MX" w:eastAsia="es-ES_tradnl"/>
        </w:rPr>
      </w:pPr>
      <w:r w:rsidRPr="00647611">
        <w:rPr>
          <w:rFonts w:ascii="Verdana" w:hAnsi="Verdana" w:cs="Arial"/>
          <w:b/>
          <w:lang w:val="es-MX" w:eastAsia="es-ES_tradnl"/>
        </w:rPr>
        <w:lastRenderedPageBreak/>
        <w:t xml:space="preserve">LEY DE GARANTÍAS ELECTORALES – Prohibición artículo 33 – Contratación directa – Alcance </w:t>
      </w:r>
    </w:p>
    <w:p w14:paraId="05A5CF6C" w14:textId="77777777" w:rsidR="005D4A0D" w:rsidRPr="00647611" w:rsidRDefault="005D4A0D" w:rsidP="005D4A0D">
      <w:pPr>
        <w:spacing w:after="0" w:line="240" w:lineRule="auto"/>
        <w:jc w:val="both"/>
        <w:rPr>
          <w:rFonts w:ascii="Verdana" w:hAnsi="Verdana" w:cs="Arial"/>
          <w:b/>
          <w:sz w:val="20"/>
          <w:szCs w:val="20"/>
          <w:lang w:val="es-MX" w:eastAsia="es-ES_tradnl"/>
        </w:rPr>
      </w:pPr>
    </w:p>
    <w:p w14:paraId="45131D47" w14:textId="77777777" w:rsidR="005D4A0D" w:rsidRPr="00647611" w:rsidRDefault="005D4A0D" w:rsidP="005D4A0D">
      <w:pPr>
        <w:spacing w:after="0" w:line="240" w:lineRule="auto"/>
        <w:jc w:val="both"/>
        <w:rPr>
          <w:rFonts w:ascii="Verdana" w:eastAsia="Times New Roman" w:hAnsi="Verdana" w:cs="Arial"/>
          <w:bCs/>
          <w:sz w:val="20"/>
          <w:szCs w:val="20"/>
          <w:lang w:eastAsia="x-none"/>
        </w:rPr>
      </w:pPr>
      <w:r w:rsidRPr="00647611">
        <w:rPr>
          <w:rFonts w:ascii="Verdana" w:eastAsia="Times New Roman" w:hAnsi="Verdana" w:cs="Arial"/>
          <w:sz w:val="20"/>
          <w:szCs w:val="20"/>
          <w:lang w:eastAsia="x-none"/>
        </w:rPr>
        <w:t xml:space="preserve">De acuerdo con el citado concepto, la prohibición del artículo 33 de la Ley de Garantías Electorales se refiere a </w:t>
      </w:r>
      <w:r w:rsidRPr="00647611">
        <w:rPr>
          <w:rFonts w:ascii="Verdana" w:eastAsia="Times New Roman" w:hAnsi="Verdana" w:cs="Arial"/>
          <w:sz w:val="20"/>
          <w:szCs w:val="20"/>
          <w:lang w:eastAsia="en-GB"/>
        </w:rPr>
        <w:t>“</w:t>
      </w:r>
      <w:r w:rsidRPr="00647611">
        <w:rPr>
          <w:rFonts w:ascii="Verdana" w:eastAsia="Times New Roman" w:hAnsi="Verdana" w:cs="Arial"/>
          <w:sz w:val="20"/>
          <w:szCs w:val="20"/>
          <w:lang w:eastAsia="x-none"/>
        </w:rPr>
        <w:t>cualquier sistema que no implique convocatoria pública y posibilidad de pluralidad de oferentes</w:t>
      </w:r>
      <w:r w:rsidRPr="00647611">
        <w:rPr>
          <w:rFonts w:ascii="Verdana" w:eastAsia="Times New Roman" w:hAnsi="Verdana" w:cs="Arial"/>
          <w:sz w:val="20"/>
          <w:szCs w:val="20"/>
          <w:lang w:eastAsia="en-GB"/>
        </w:rPr>
        <w:t>”</w:t>
      </w:r>
      <w:r w:rsidRPr="00647611">
        <w:rPr>
          <w:rFonts w:ascii="Verdana" w:eastAsia="Times New Roman" w:hAnsi="Verdana" w:cs="Arial"/>
          <w:sz w:val="20"/>
          <w:szCs w:val="20"/>
          <w:lang w:eastAsia="x-none"/>
        </w:rPr>
        <w:t xml:space="preserve">, por lo que excluye las demás modalidades de contratación previstas en la Ley 1150 de 2007, es decir, la licitación pública, la selección abreviada, el concurso de méritos </w:t>
      </w:r>
      <w:r w:rsidRPr="00647611">
        <w:rPr>
          <w:rFonts w:ascii="Verdana" w:eastAsia="Times New Roman" w:hAnsi="Verdana" w:cs="Arial"/>
          <w:sz w:val="20"/>
          <w:szCs w:val="20"/>
          <w:lang w:val="es-ES_tradnl" w:eastAsia="x-none"/>
        </w:rPr>
        <w:t>y la mínima cuantía</w:t>
      </w:r>
      <w:r w:rsidRPr="00647611" w:rsidDel="00A85D9F">
        <w:rPr>
          <w:rFonts w:ascii="Verdana" w:eastAsia="Times New Roman" w:hAnsi="Verdana" w:cs="Arial"/>
          <w:sz w:val="20"/>
          <w:szCs w:val="20"/>
          <w:lang w:eastAsia="x-none"/>
        </w:rPr>
        <w:t xml:space="preserve"> </w:t>
      </w:r>
      <w:r w:rsidRPr="00647611">
        <w:rPr>
          <w:rFonts w:ascii="Verdana" w:eastAsia="Times New Roman" w:hAnsi="Verdana" w:cs="Arial"/>
          <w:sz w:val="20"/>
          <w:szCs w:val="20"/>
          <w:lang w:eastAsia="x-none"/>
        </w:rPr>
        <w:t xml:space="preserve">u otros previstos en normas especiales. Esta posición es congruente con la expedición de la Ley 1150 de 2007 que, entre otras reformas, introdujo la selección abreviada, rediseñó el concurso de méritos y sistematizó las causales de contratación directa, </w:t>
      </w:r>
      <w:r w:rsidRPr="00647611">
        <w:rPr>
          <w:rFonts w:ascii="Verdana" w:eastAsia="Calibri" w:hAnsi="Verdana" w:cs="Arial"/>
          <w:sz w:val="20"/>
          <w:szCs w:val="20"/>
          <w:lang w:eastAsia="x-none"/>
        </w:rPr>
        <w:t>además lo es con la posterior creación de la modalidad de mínima cuantía establecida actualmente en el numeral 5 del artículo 2 de la Ley 1150 de 2007, de acuerdo con las modificaciones realizadas por leyes posteriores.</w:t>
      </w:r>
    </w:p>
    <w:p w14:paraId="09570BBB" w14:textId="77777777" w:rsidR="005D4A0D" w:rsidRPr="00647611" w:rsidRDefault="005D4A0D" w:rsidP="005D4A0D">
      <w:pPr>
        <w:spacing w:after="0" w:line="240" w:lineRule="auto"/>
        <w:jc w:val="both"/>
        <w:rPr>
          <w:rFonts w:ascii="Verdana" w:hAnsi="Verdana" w:cs="Arial"/>
          <w:b/>
          <w:sz w:val="20"/>
          <w:szCs w:val="20"/>
          <w:lang w:eastAsia="es-ES_tradnl"/>
        </w:rPr>
      </w:pPr>
    </w:p>
    <w:p w14:paraId="6B69BDBA" w14:textId="77777777" w:rsidR="005D4A0D" w:rsidRPr="00647611" w:rsidRDefault="005D4A0D" w:rsidP="005D4A0D">
      <w:pPr>
        <w:spacing w:after="0" w:line="240" w:lineRule="auto"/>
        <w:jc w:val="both"/>
        <w:rPr>
          <w:rFonts w:ascii="Verdana" w:hAnsi="Verdana" w:cs="Arial"/>
          <w:b/>
          <w:lang w:val="es-MX" w:eastAsia="es-ES_tradnl"/>
        </w:rPr>
      </w:pPr>
      <w:r w:rsidRPr="00647611">
        <w:rPr>
          <w:rFonts w:ascii="Verdana" w:hAnsi="Verdana" w:cs="Arial"/>
          <w:b/>
          <w:lang w:val="es-MX" w:eastAsia="es-ES_tradnl"/>
        </w:rPr>
        <w:t>LEY DE GARANTÍAS ELECTORALES – Excepciones</w:t>
      </w:r>
    </w:p>
    <w:p w14:paraId="52A07CA2" w14:textId="77777777" w:rsidR="005D4A0D" w:rsidRPr="00647611" w:rsidRDefault="005D4A0D" w:rsidP="005D4A0D">
      <w:pPr>
        <w:spacing w:after="0" w:line="240" w:lineRule="auto"/>
        <w:jc w:val="both"/>
        <w:rPr>
          <w:rFonts w:ascii="Verdana" w:hAnsi="Verdana" w:cs="Arial"/>
          <w:b/>
          <w:sz w:val="20"/>
          <w:szCs w:val="20"/>
          <w:lang w:val="es-MX" w:eastAsia="es-ES_tradnl"/>
        </w:rPr>
      </w:pPr>
    </w:p>
    <w:p w14:paraId="71DA3AA0" w14:textId="77777777" w:rsidR="005D4A0D" w:rsidRPr="00647611" w:rsidRDefault="005D4A0D" w:rsidP="005D4A0D">
      <w:pPr>
        <w:spacing w:after="0" w:line="240" w:lineRule="auto"/>
        <w:jc w:val="both"/>
        <w:rPr>
          <w:rFonts w:ascii="Verdana" w:eastAsia="Times New Roman" w:hAnsi="Verdana" w:cs="Arial"/>
          <w:bCs/>
          <w:sz w:val="20"/>
          <w:szCs w:val="20"/>
          <w:lang w:val="es-MX" w:eastAsia="es-CO"/>
        </w:rPr>
      </w:pPr>
      <w:r w:rsidRPr="00647611">
        <w:rPr>
          <w:rFonts w:ascii="Verdana" w:eastAsia="Times New Roman" w:hAnsi="Verdana" w:cs="Arial"/>
          <w:bCs/>
          <w:sz w:val="20"/>
          <w:szCs w:val="20"/>
          <w:lang w:val="es-MX" w:eastAsia="x-none"/>
        </w:rPr>
        <w:t>De otro lado, las excepciones a la restricción prevista en la Ley de Garantías, con fundamento en las cuales podrán las entidades públicas adelantar procedimientos de selección directa en períodos previos a la contienda electoral por la Presidencia, se encuentran consagradas expresamente en el inciso final del citado artículo 33 de la Ley 996 de 2005 en lo referente a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647611">
        <w:rPr>
          <w:rFonts w:ascii="Verdana" w:eastAsia="Times New Roman" w:hAnsi="Verdana" w:cs="Arial"/>
          <w:bCs/>
          <w:sz w:val="20"/>
          <w:szCs w:val="20"/>
          <w:lang w:val="es-MX" w:eastAsia="es-CO"/>
        </w:rPr>
        <w:t xml:space="preserve">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5C07FBEB" w14:textId="77777777" w:rsidR="005D4A0D" w:rsidRPr="00647611" w:rsidRDefault="005D4A0D" w:rsidP="005D4A0D">
      <w:pPr>
        <w:spacing w:after="0" w:line="240" w:lineRule="auto"/>
        <w:jc w:val="both"/>
        <w:rPr>
          <w:rFonts w:ascii="Verdana" w:hAnsi="Verdana" w:cs="Arial"/>
          <w:b/>
          <w:sz w:val="20"/>
          <w:szCs w:val="20"/>
          <w:lang w:val="es-MX" w:eastAsia="es-ES_tradnl"/>
        </w:rPr>
      </w:pPr>
    </w:p>
    <w:p w14:paraId="39584083" w14:textId="77777777" w:rsidR="005D4A0D" w:rsidRPr="00647611" w:rsidRDefault="005D4A0D" w:rsidP="005D4A0D">
      <w:pPr>
        <w:spacing w:after="0" w:line="240" w:lineRule="auto"/>
        <w:jc w:val="both"/>
        <w:rPr>
          <w:rFonts w:ascii="Verdana" w:hAnsi="Verdana" w:cs="Arial"/>
          <w:b/>
          <w:lang w:val="es-MX" w:eastAsia="es-ES_tradnl"/>
        </w:rPr>
      </w:pPr>
      <w:r w:rsidRPr="00647611">
        <w:rPr>
          <w:rFonts w:ascii="Verdana" w:hAnsi="Verdana" w:cs="Arial"/>
          <w:b/>
          <w:lang w:val="es-MX" w:eastAsia="es-ES_tradnl"/>
        </w:rPr>
        <w:t xml:space="preserve">LEY DE GARANTÍAS ELECTORALES – Prohibición del artículo 33 – Destinatarios </w:t>
      </w:r>
    </w:p>
    <w:p w14:paraId="09AFA8C6" w14:textId="77777777" w:rsidR="005D4A0D" w:rsidRPr="00647611" w:rsidRDefault="005D4A0D" w:rsidP="005D4A0D">
      <w:pPr>
        <w:spacing w:after="0" w:line="240" w:lineRule="auto"/>
        <w:rPr>
          <w:rFonts w:ascii="Verdana" w:hAnsi="Verdana" w:cs="Arial"/>
          <w:sz w:val="20"/>
          <w:szCs w:val="20"/>
          <w:lang w:val="es-MX" w:eastAsia="es-ES_tradnl"/>
        </w:rPr>
      </w:pPr>
    </w:p>
    <w:p w14:paraId="32EA7CD6" w14:textId="77777777" w:rsidR="005D4A0D" w:rsidRPr="00647611" w:rsidRDefault="005D4A0D" w:rsidP="005D4A0D">
      <w:pPr>
        <w:spacing w:after="0" w:line="240" w:lineRule="auto"/>
        <w:jc w:val="both"/>
        <w:rPr>
          <w:rFonts w:ascii="Verdana" w:hAnsi="Verdana" w:cs="Arial"/>
          <w:sz w:val="20"/>
          <w:szCs w:val="20"/>
          <w:lang w:val="es-MX" w:eastAsia="es-ES_tradnl"/>
        </w:rPr>
      </w:pPr>
      <w:r w:rsidRPr="00647611">
        <w:rPr>
          <w:rFonts w:ascii="Verdana" w:eastAsia="Calibri" w:hAnsi="Verdana" w:cs="Arial"/>
          <w:sz w:val="20"/>
          <w:szCs w:val="20"/>
          <w:lang w:val="es-MX"/>
        </w:rPr>
        <w:t xml:space="preserve">De acuerdo con estos pronunciamientos de la Sala de Consulta y Servicio Civil del Consejo de Estado, la prohibición de la contratación directa también aplica frente a las entidades exceptuadas de la aplicación del EGCAP y que se rigen en materia contractual por el derecho privado. Sin embargo, señaló que algunas de estas entidades, como sucede con las empresas de servicios públicos domiciliarios, los </w:t>
      </w:r>
      <w:r w:rsidRPr="00647611">
        <w:rPr>
          <w:rFonts w:ascii="Verdana" w:eastAsia="Times New Roman" w:hAnsi="Verdana" w:cs="Arial"/>
          <w:bCs/>
          <w:sz w:val="20"/>
          <w:szCs w:val="20"/>
          <w:lang w:val="es-MX" w:eastAsia="x-none"/>
        </w:rPr>
        <w:t>establecimientos de crédito, las sociedades de servicios financieros y las entidades aseguradoras</w:t>
      </w:r>
      <w:r w:rsidRPr="00647611">
        <w:rPr>
          <w:rFonts w:ascii="Verdana" w:eastAsia="Calibri" w:hAnsi="Verdana" w:cs="Arial"/>
          <w:sz w:val="20"/>
          <w:szCs w:val="20"/>
          <w:lang w:val="es-MX"/>
        </w:rPr>
        <w:t xml:space="preserve"> no pueden adquirir los suministros de bienes y servicios necesarios para la realización de su actividad por contratación directa, sino por mecanismos competitivos que impliquen convocatoria pública y la posibilidad de la existencia de pluralidad de oferentes, pero indicó que en estos casos “las empresas no pueden dejar de entregar los servicios públicos a su cargo a nuevas personas, ni dejar de renovar los contratos existentes, </w:t>
      </w:r>
      <w:r w:rsidRPr="00647611">
        <w:rPr>
          <w:rFonts w:ascii="Verdana" w:eastAsia="Calibri" w:hAnsi="Verdana" w:cs="Arial"/>
          <w:sz w:val="20"/>
          <w:szCs w:val="20"/>
          <w:lang w:val="es-MX"/>
        </w:rPr>
        <w:lastRenderedPageBreak/>
        <w:t>pues significaría la parálisis de una actividad propia de la administración, que incluso podría desconocer los derechos fundamentales”</w:t>
      </w:r>
    </w:p>
    <w:p w14:paraId="68C3ED77" w14:textId="77777777" w:rsidR="005D4A0D" w:rsidRPr="00647611" w:rsidRDefault="005D4A0D" w:rsidP="005D4A0D">
      <w:pPr>
        <w:spacing w:after="0" w:line="240" w:lineRule="auto"/>
        <w:rPr>
          <w:rFonts w:ascii="Verdana" w:hAnsi="Verdana"/>
          <w:sz w:val="20"/>
          <w:szCs w:val="20"/>
        </w:rPr>
      </w:pPr>
    </w:p>
    <w:p w14:paraId="3F79D243" w14:textId="77777777" w:rsidR="005D4A0D" w:rsidRPr="00647611" w:rsidRDefault="005D4A0D" w:rsidP="005D4A0D">
      <w:pPr>
        <w:spacing w:after="0" w:line="240" w:lineRule="auto"/>
        <w:jc w:val="both"/>
        <w:rPr>
          <w:rFonts w:ascii="Verdana" w:hAnsi="Verdana"/>
          <w:b/>
        </w:rPr>
      </w:pPr>
      <w:r w:rsidRPr="00647611">
        <w:rPr>
          <w:rFonts w:ascii="Verdana" w:hAnsi="Verdana" w:cs="Arial"/>
          <w:b/>
          <w:lang w:val="es-MX" w:eastAsia="es-ES_tradnl"/>
        </w:rPr>
        <w:t>LEY DE GARANTÍAS ELECTORALES – Condiciones de igualdad – Contratación directa</w:t>
      </w:r>
    </w:p>
    <w:p w14:paraId="3F841A9F" w14:textId="77777777" w:rsidR="005D4A0D" w:rsidRPr="00647611" w:rsidRDefault="005D4A0D" w:rsidP="005D4A0D">
      <w:pPr>
        <w:spacing w:after="0" w:line="240" w:lineRule="auto"/>
        <w:rPr>
          <w:rFonts w:ascii="Verdana" w:hAnsi="Verdana"/>
          <w:sz w:val="20"/>
          <w:szCs w:val="20"/>
        </w:rPr>
      </w:pPr>
    </w:p>
    <w:p w14:paraId="49FE2E23" w14:textId="77777777" w:rsidR="005D4A0D" w:rsidRPr="00647611" w:rsidRDefault="005D4A0D" w:rsidP="005D4A0D">
      <w:pPr>
        <w:spacing w:after="0" w:line="240" w:lineRule="auto"/>
        <w:jc w:val="both"/>
        <w:rPr>
          <w:rFonts w:ascii="Verdana" w:eastAsia="Times New Roman" w:hAnsi="Verdana" w:cs="Arial"/>
          <w:bCs/>
          <w:sz w:val="20"/>
          <w:szCs w:val="20"/>
          <w:lang w:eastAsia="x-none"/>
        </w:rPr>
      </w:pPr>
      <w:r w:rsidRPr="00647611">
        <w:rPr>
          <w:rFonts w:ascii="Verdana" w:eastAsia="Times New Roman" w:hAnsi="Verdana" w:cs="Arial"/>
          <w:bCs/>
          <w:sz w:val="20"/>
          <w:szCs w:val="20"/>
          <w:lang w:val="es-MX" w:eastAsia="x-none"/>
        </w:rPr>
        <w:t xml:space="preserve">Además, se reitera que la restricción aplica frente a la contratación directa, entendida como cualquier sistema de selección o procedimiento de contratación utilizada por las entidades estatales que no incluya la convocatoria pública en alguna de sus etapas, ni permita la participación de una pluralidad de oferentes; por lo que las entidades que se rigen por el derecho privado podrán celebrar contratos de acuerdo con los procedimientos contractuales desarrollados en sus manuales de contratación, bajo el entendido que estos permitan la participación de una pluralidad de oferentes. </w:t>
      </w:r>
    </w:p>
    <w:p w14:paraId="373CCF87" w14:textId="77777777" w:rsidR="005D4A0D" w:rsidRPr="00647611" w:rsidRDefault="005D4A0D" w:rsidP="005D4A0D">
      <w:pPr>
        <w:spacing w:after="0" w:line="240" w:lineRule="auto"/>
        <w:jc w:val="both"/>
        <w:rPr>
          <w:rFonts w:ascii="Verdana" w:hAnsi="Verdana"/>
          <w:b/>
          <w:sz w:val="20"/>
          <w:szCs w:val="20"/>
        </w:rPr>
      </w:pPr>
    </w:p>
    <w:p w14:paraId="32F24D94" w14:textId="77777777" w:rsidR="005D4A0D" w:rsidRPr="00647611" w:rsidRDefault="005D4A0D" w:rsidP="005D4A0D">
      <w:pPr>
        <w:spacing w:after="0" w:line="240" w:lineRule="auto"/>
        <w:jc w:val="both"/>
        <w:rPr>
          <w:rFonts w:ascii="Verdana" w:hAnsi="Verdana"/>
          <w:b/>
          <w:lang w:val="es-MX"/>
        </w:rPr>
      </w:pPr>
      <w:r w:rsidRPr="00647611">
        <w:rPr>
          <w:rFonts w:ascii="Verdana" w:hAnsi="Verdana"/>
          <w:b/>
          <w:lang w:val="es-ES"/>
        </w:rPr>
        <w:t xml:space="preserve">ENAJENACIÓN VOLUNTARIA </w:t>
      </w:r>
      <w:r w:rsidRPr="00647611">
        <w:rPr>
          <w:rFonts w:ascii="Verdana" w:hAnsi="Verdana"/>
          <w:b/>
          <w:lang w:val="es-MX"/>
        </w:rPr>
        <w:t>– Objeto – Aplicación – Ley de Garantías Electorales – Restricción</w:t>
      </w:r>
      <w:r>
        <w:rPr>
          <w:rFonts w:ascii="Verdana" w:hAnsi="Verdana"/>
          <w:b/>
          <w:lang w:val="es-MX"/>
        </w:rPr>
        <w:t xml:space="preserve"> –</w:t>
      </w:r>
      <w:r w:rsidRPr="00647611">
        <w:rPr>
          <w:rFonts w:ascii="Verdana" w:hAnsi="Verdana"/>
          <w:b/>
          <w:lang w:val="es-MX"/>
        </w:rPr>
        <w:t xml:space="preserve"> Contratación Directa</w:t>
      </w:r>
    </w:p>
    <w:p w14:paraId="1496F0F3" w14:textId="77777777" w:rsidR="005D4A0D" w:rsidRPr="00647611" w:rsidRDefault="005D4A0D" w:rsidP="005D4A0D">
      <w:pPr>
        <w:spacing w:after="0" w:line="240" w:lineRule="auto"/>
        <w:rPr>
          <w:rFonts w:ascii="Verdana" w:hAnsi="Verdana"/>
          <w:sz w:val="20"/>
          <w:szCs w:val="20"/>
          <w:lang w:val="es-MX"/>
        </w:rPr>
      </w:pPr>
    </w:p>
    <w:p w14:paraId="7DA64702" w14:textId="77777777" w:rsidR="005D4A0D" w:rsidRPr="00647611" w:rsidRDefault="005D4A0D" w:rsidP="005D4A0D">
      <w:pPr>
        <w:spacing w:after="0" w:line="240" w:lineRule="auto"/>
        <w:jc w:val="both"/>
        <w:rPr>
          <w:rFonts w:ascii="Verdana" w:hAnsi="Verdana"/>
          <w:sz w:val="20"/>
          <w:szCs w:val="20"/>
          <w:lang w:val="es-ES"/>
        </w:rPr>
      </w:pPr>
      <w:r w:rsidRPr="00647611">
        <w:rPr>
          <w:rFonts w:ascii="Verdana" w:hAnsi="Verdana"/>
          <w:sz w:val="20"/>
          <w:szCs w:val="20"/>
          <w:lang w:val="es-ES"/>
        </w:rPr>
        <w:t>Sin embargo, no debe pasarse por alto que, al margen de su especialidad, el procedimiento administrativo para la adquisición de inmuebles por utilidad pública e interés social mediante enajenación voluntaria, implica el ejercicio de funciones administrativas, lo que, por ende, implica la aplicación de los principios de igualdad, moralidad, eficacia, economía, celeridad, imparcialidad y publicidad contenidos en el artículo 209 de la Constitución, varios de los cuales encuentran manifestaciones prácticas y concretas dentro de la regulación de las leyes 9 de 1989, 388 de 1997 y 1682 de 2013. Toda vez que a través de la adquisición de bienes inmuebles mediante enajenación directa se comprometen dineros provenientes del erario, resultan también aplicables los principios propios del Estado Social de Derecho y de la Administración pública como los principios de transparencia, publicidad entre otros.</w:t>
      </w:r>
    </w:p>
    <w:p w14:paraId="6EFF026C" w14:textId="77777777" w:rsidR="005D4A0D" w:rsidRPr="00647611" w:rsidRDefault="005D4A0D" w:rsidP="005D4A0D">
      <w:pPr>
        <w:spacing w:after="0" w:line="240" w:lineRule="auto"/>
        <w:jc w:val="both"/>
        <w:rPr>
          <w:rFonts w:ascii="Verdana" w:hAnsi="Verdana"/>
          <w:sz w:val="20"/>
          <w:szCs w:val="20"/>
          <w:lang w:val="es-ES"/>
        </w:rPr>
      </w:pPr>
    </w:p>
    <w:p w14:paraId="480CDC40" w14:textId="77777777" w:rsidR="005D4A0D" w:rsidRPr="00647611" w:rsidRDefault="005D4A0D" w:rsidP="005D4A0D">
      <w:pPr>
        <w:spacing w:after="0" w:line="240" w:lineRule="auto"/>
        <w:jc w:val="both"/>
        <w:rPr>
          <w:rFonts w:ascii="Verdana" w:hAnsi="Verdana"/>
          <w:lang w:val="es-ES"/>
        </w:rPr>
      </w:pPr>
      <w:r w:rsidRPr="00647611">
        <w:rPr>
          <w:rFonts w:ascii="Verdana" w:hAnsi="Verdana"/>
          <w:sz w:val="20"/>
          <w:szCs w:val="20"/>
          <w:lang w:val="es-ES"/>
        </w:rPr>
        <w:t>En virtud de lo expuesto, la adquisición de los predios que se realice por enajenación voluntaria está sometida a un régimen especial de contratación. Sin embargo, como se explicó antes, esta culmina con la suscripción de un contrato de promesa de compraventa o de compraventa entre la entidad y la persona, con lo cual se trata de un procedimiento de contratación estatal no competitivo que está restringido por la prohibición establecida en el artículo 33 de la Ley 996 de 2005. En contraste, cuando la adquisición ocurra por el procedimiento expropiatorio no se materializa en la celebración de un contrato.</w:t>
      </w:r>
      <w:r w:rsidRPr="00647611">
        <w:rPr>
          <w:rFonts w:ascii="Verdana" w:hAnsi="Verdana"/>
          <w:lang w:val="es-ES"/>
        </w:rPr>
        <w:t xml:space="preserve"> </w:t>
      </w:r>
    </w:p>
    <w:p w14:paraId="306A5632" w14:textId="77777777" w:rsidR="005D4A0D" w:rsidRPr="00177E85" w:rsidRDefault="005D4A0D" w:rsidP="005D4A0D">
      <w:pPr>
        <w:spacing w:after="0" w:line="240" w:lineRule="auto"/>
        <w:jc w:val="both"/>
        <w:rPr>
          <w:rFonts w:ascii="Verdana" w:eastAsia="Calibri" w:hAnsi="Verdana" w:cs="Arial"/>
          <w:sz w:val="20"/>
          <w:szCs w:val="20"/>
          <w:lang w:val="es-ES" w:eastAsia="es-ES"/>
        </w:rPr>
      </w:pPr>
    </w:p>
    <w:p w14:paraId="7A7998EC" w14:textId="77777777" w:rsidR="005D4A0D" w:rsidRDefault="005D4A0D" w:rsidP="005D4A0D">
      <w:pPr>
        <w:spacing w:after="0" w:line="240" w:lineRule="auto"/>
        <w:jc w:val="both"/>
        <w:rPr>
          <w:rFonts w:ascii="Verdana" w:eastAsia="Calibri" w:hAnsi="Verdana" w:cs="Arial"/>
          <w:sz w:val="20"/>
          <w:szCs w:val="20"/>
          <w:lang w:val="es-ES_tradnl" w:eastAsia="es-ES"/>
        </w:rPr>
      </w:pPr>
      <w:r w:rsidRPr="00683DFF">
        <w:rPr>
          <w:rFonts w:ascii="Verdana" w:eastAsia="Calibri" w:hAnsi="Verdana" w:cs="Arial"/>
          <w:sz w:val="20"/>
          <w:szCs w:val="20"/>
          <w:lang w:val="es-ES_tradnl" w:eastAsia="es-ES"/>
        </w:rPr>
        <w:t xml:space="preserve"> </w:t>
      </w:r>
    </w:p>
    <w:p w14:paraId="25EC90FE" w14:textId="77777777" w:rsidR="005D4A0D" w:rsidRDefault="005D4A0D" w:rsidP="005D4A0D">
      <w:pPr>
        <w:spacing w:after="0" w:line="240" w:lineRule="auto"/>
        <w:jc w:val="both"/>
        <w:rPr>
          <w:rFonts w:ascii="Verdana" w:eastAsia="Geomanist Light" w:hAnsi="Verdana" w:cs="Arial"/>
          <w:color w:val="000000" w:themeColor="text1"/>
          <w:lang w:val="es-MX"/>
        </w:rPr>
      </w:pPr>
    </w:p>
    <w:p w14:paraId="7F833277" w14:textId="77777777" w:rsidR="005D4A0D" w:rsidRDefault="005D4A0D" w:rsidP="005D4A0D">
      <w:pPr>
        <w:spacing w:after="0" w:line="240" w:lineRule="auto"/>
        <w:jc w:val="both"/>
        <w:rPr>
          <w:rFonts w:ascii="Verdana" w:eastAsia="Geomanist Light" w:hAnsi="Verdana" w:cs="Arial"/>
          <w:color w:val="000000" w:themeColor="text1"/>
          <w:lang w:val="es-MX"/>
        </w:rPr>
      </w:pPr>
    </w:p>
    <w:p w14:paraId="67340965" w14:textId="77777777" w:rsidR="005D4A0D" w:rsidRDefault="005D4A0D" w:rsidP="005D4A0D">
      <w:pPr>
        <w:spacing w:after="0" w:line="240" w:lineRule="auto"/>
        <w:jc w:val="both"/>
        <w:rPr>
          <w:rFonts w:ascii="Verdana" w:eastAsia="Geomanist Light" w:hAnsi="Verdana" w:cs="Arial"/>
          <w:color w:val="000000" w:themeColor="text1"/>
          <w:lang w:val="es-MX"/>
        </w:rPr>
      </w:pPr>
    </w:p>
    <w:p w14:paraId="525965CC" w14:textId="77777777" w:rsidR="005D4A0D" w:rsidRDefault="005D4A0D" w:rsidP="005D4A0D">
      <w:pPr>
        <w:spacing w:after="0" w:line="240" w:lineRule="auto"/>
        <w:jc w:val="both"/>
        <w:rPr>
          <w:rFonts w:ascii="Verdana" w:eastAsia="Geomanist Light" w:hAnsi="Verdana" w:cs="Arial"/>
          <w:color w:val="000000" w:themeColor="text1"/>
          <w:lang w:val="es-MX"/>
        </w:rPr>
      </w:pPr>
    </w:p>
    <w:p w14:paraId="4AA3117C" w14:textId="77777777" w:rsidR="005D4A0D" w:rsidRDefault="005D4A0D" w:rsidP="005D4A0D">
      <w:pPr>
        <w:spacing w:after="0" w:line="240" w:lineRule="auto"/>
        <w:jc w:val="both"/>
        <w:rPr>
          <w:rFonts w:ascii="Verdana" w:eastAsia="Geomanist Light" w:hAnsi="Verdana" w:cs="Arial"/>
          <w:color w:val="000000" w:themeColor="text1"/>
          <w:lang w:val="es-MX"/>
        </w:rPr>
      </w:pPr>
    </w:p>
    <w:p w14:paraId="6CE29BBC" w14:textId="77777777" w:rsidR="005D4A0D" w:rsidRDefault="005D4A0D" w:rsidP="005D4A0D">
      <w:pPr>
        <w:spacing w:after="0" w:line="240" w:lineRule="auto"/>
        <w:jc w:val="both"/>
        <w:rPr>
          <w:rFonts w:ascii="Verdana" w:eastAsia="Geomanist Light" w:hAnsi="Verdana" w:cs="Arial"/>
          <w:color w:val="000000" w:themeColor="text1"/>
          <w:lang w:val="es-MX"/>
        </w:rPr>
      </w:pPr>
    </w:p>
    <w:p w14:paraId="0C791404" w14:textId="77777777" w:rsidR="005D4A0D" w:rsidRDefault="005D4A0D" w:rsidP="008D78B9">
      <w:pPr>
        <w:spacing w:after="0" w:line="240" w:lineRule="auto"/>
        <w:jc w:val="both"/>
        <w:rPr>
          <w:rFonts w:ascii="Verdana" w:eastAsia="Geomanist Light" w:hAnsi="Verdana" w:cs="Arial"/>
          <w:color w:val="000000" w:themeColor="text1"/>
          <w:lang w:val="es-MX"/>
        </w:rPr>
      </w:pPr>
    </w:p>
    <w:p w14:paraId="01D026ED" w14:textId="47546A26" w:rsidR="008D78B9" w:rsidRDefault="008D78B9" w:rsidP="008D78B9">
      <w:pPr>
        <w:spacing w:after="0" w:line="240" w:lineRule="auto"/>
        <w:jc w:val="both"/>
        <w:rPr>
          <w:rFonts w:ascii="Verdana" w:eastAsia="Calibri" w:hAnsi="Verdana" w:cs="Arial"/>
          <w:sz w:val="20"/>
          <w:szCs w:val="20"/>
          <w:lang w:val="es-ES_tradnl" w:eastAsia="es-ES"/>
        </w:rPr>
      </w:pPr>
      <w:r>
        <w:rPr>
          <w:rFonts w:ascii="Verdana" w:eastAsia="Geomanist Light" w:hAnsi="Verdana" w:cs="Arial"/>
          <w:color w:val="000000" w:themeColor="text1"/>
          <w:lang w:val="es-MX"/>
        </w:rPr>
        <w:lastRenderedPageBreak/>
        <w:t>Bogotá D.C., </w:t>
      </w:r>
      <w:r w:rsidR="00D81FC9" w:rsidRPr="00D81FC9">
        <w:rPr>
          <w:rFonts w:ascii="Verdana" w:eastAsia="Geomanist Light" w:hAnsi="Verdana" w:cs="Arial"/>
          <w:color w:val="000000" w:themeColor="text1"/>
          <w:lang w:val="es-MX"/>
        </w:rPr>
        <w:t>27 de Octubre de 2025</w:t>
      </w:r>
    </w:p>
    <w:p w14:paraId="297215C2" w14:textId="77777777" w:rsidR="008D78B9" w:rsidRDefault="008D78B9" w:rsidP="008D78B9">
      <w:pPr>
        <w:spacing w:after="0" w:line="240" w:lineRule="auto"/>
        <w:jc w:val="both"/>
        <w:rPr>
          <w:rFonts w:ascii="Verdana" w:eastAsia="Calibri" w:hAnsi="Verdana" w:cs="Arial"/>
          <w:color w:val="000000"/>
          <w:lang w:val="es-ES"/>
        </w:rPr>
      </w:pPr>
    </w:p>
    <w:p w14:paraId="607965F0" w14:textId="5C4C3CAD" w:rsidR="0038135F" w:rsidRDefault="0038135F" w:rsidP="0038135F">
      <w:pPr>
        <w:spacing w:after="0" w:line="240" w:lineRule="auto"/>
        <w:jc w:val="right"/>
        <w:rPr>
          <w:rFonts w:ascii="Verdana" w:eastAsia="Calibri" w:hAnsi="Verdana" w:cs="Arial"/>
          <w:color w:val="000000"/>
          <w:lang w:val="es-ES"/>
        </w:rPr>
      </w:pPr>
      <w:r w:rsidRPr="0038135F">
        <w:rPr>
          <w:rFonts w:ascii="Verdana" w:eastAsia="Calibri" w:hAnsi="Verdana" w:cs="Arial"/>
          <w:noProof/>
          <w:color w:val="000000"/>
          <w:lang w:val="es-ES"/>
        </w:rPr>
        <w:drawing>
          <wp:inline distT="0" distB="0" distL="0" distR="0" wp14:anchorId="73C09994" wp14:editId="3ED0AFB6">
            <wp:extent cx="2400300" cy="622300"/>
            <wp:effectExtent l="0" t="0" r="0" b="0"/>
            <wp:docPr id="69105343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1053435" name=""/>
                    <pic:cNvPicPr/>
                  </pic:nvPicPr>
                  <pic:blipFill>
                    <a:blip r:embed="rId10"/>
                    <a:stretch>
                      <a:fillRect/>
                    </a:stretch>
                  </pic:blipFill>
                  <pic:spPr>
                    <a:xfrm>
                      <a:off x="0" y="0"/>
                      <a:ext cx="2400300" cy="622300"/>
                    </a:xfrm>
                    <a:prstGeom prst="rect">
                      <a:avLst/>
                    </a:prstGeom>
                  </pic:spPr>
                </pic:pic>
              </a:graphicData>
            </a:graphic>
          </wp:inline>
        </w:drawing>
      </w:r>
    </w:p>
    <w:p w14:paraId="18B98E25" w14:textId="77777777" w:rsidR="008D78B9" w:rsidRDefault="008D78B9" w:rsidP="008D78B9">
      <w:pPr>
        <w:spacing w:after="0" w:line="240" w:lineRule="auto"/>
        <w:jc w:val="both"/>
        <w:rPr>
          <w:rFonts w:ascii="Verdana" w:eastAsia="Calibri" w:hAnsi="Verdana" w:cs="Arial"/>
          <w:color w:val="000000"/>
          <w:lang w:val="es-ES"/>
        </w:rPr>
      </w:pPr>
    </w:p>
    <w:p w14:paraId="218EE3AE" w14:textId="77777777" w:rsidR="008D78B9" w:rsidRDefault="008D78B9" w:rsidP="008D78B9">
      <w:pPr>
        <w:spacing w:after="0" w:line="240" w:lineRule="auto"/>
        <w:jc w:val="both"/>
        <w:rPr>
          <w:rFonts w:ascii="Verdana" w:eastAsia="Calibri" w:hAnsi="Verdana" w:cs="Arial"/>
          <w:lang w:val="es-ES" w:eastAsia="es-ES"/>
        </w:rPr>
      </w:pPr>
      <w:r>
        <w:rPr>
          <w:rFonts w:ascii="Verdana" w:eastAsia="Calibri" w:hAnsi="Verdana" w:cs="Arial"/>
          <w:lang w:val="es-ES" w:eastAsia="es-ES"/>
        </w:rPr>
        <w:t>Señora</w:t>
      </w:r>
    </w:p>
    <w:p w14:paraId="01C15392" w14:textId="77777777" w:rsidR="008D78B9" w:rsidRDefault="008D78B9" w:rsidP="008D78B9">
      <w:pPr>
        <w:spacing w:after="0" w:line="240" w:lineRule="auto"/>
        <w:rPr>
          <w:rFonts w:ascii="Verdana" w:eastAsia="Calibri" w:hAnsi="Verdana" w:cs="Arial"/>
          <w:b/>
          <w:lang w:val="es-ES" w:eastAsia="es-ES"/>
        </w:rPr>
      </w:pPr>
      <w:r>
        <w:rPr>
          <w:rFonts w:ascii="Verdana" w:eastAsia="Calibri" w:hAnsi="Verdana" w:cs="Arial"/>
          <w:b/>
          <w:lang w:val="es-ES" w:eastAsia="es-ES"/>
        </w:rPr>
        <w:t>Diana Marcela Bedoya Garzón</w:t>
      </w:r>
    </w:p>
    <w:p w14:paraId="70AFB4D8" w14:textId="77777777" w:rsidR="008D78B9" w:rsidRDefault="008D78B9" w:rsidP="008D78B9">
      <w:pPr>
        <w:spacing w:after="0" w:line="240" w:lineRule="auto"/>
        <w:rPr>
          <w:rFonts w:ascii="Verdana" w:eastAsia="Calibri" w:hAnsi="Verdana" w:cs="Arial"/>
          <w:lang w:val="es-ES" w:eastAsia="es-ES"/>
        </w:rPr>
      </w:pPr>
      <w:hyperlink r:id="rId11" w:history="1">
        <w:r>
          <w:rPr>
            <w:rStyle w:val="Hipervnculo"/>
            <w:rFonts w:ascii="Verdana" w:hAnsi="Verdana"/>
          </w:rPr>
          <w:t>dianamarcela.bedoya@antioquia.gov.co</w:t>
        </w:r>
      </w:hyperlink>
      <w:r>
        <w:rPr>
          <w:rFonts w:ascii="Verdana" w:hAnsi="Verdana"/>
        </w:rPr>
        <w:t xml:space="preserve"> </w:t>
      </w:r>
      <w:r>
        <w:rPr>
          <w:rFonts w:ascii="Verdana" w:eastAsia="Calibri" w:hAnsi="Verdana" w:cs="Arial"/>
          <w:lang w:val="es-ES" w:eastAsia="es-ES"/>
        </w:rPr>
        <w:t xml:space="preserve">  </w:t>
      </w:r>
    </w:p>
    <w:p w14:paraId="1FB9B424" w14:textId="77777777" w:rsidR="008D78B9" w:rsidRDefault="008D78B9" w:rsidP="008D78B9">
      <w:pPr>
        <w:spacing w:after="0" w:line="240" w:lineRule="auto"/>
        <w:rPr>
          <w:rFonts w:ascii="Verdana" w:eastAsia="Calibri" w:hAnsi="Verdana" w:cs="Arial"/>
          <w:lang w:val="es-ES" w:eastAsia="es-ES"/>
        </w:rPr>
      </w:pPr>
      <w:r>
        <w:rPr>
          <w:rFonts w:ascii="Verdana" w:eastAsia="Calibri" w:hAnsi="Verdana" w:cs="Arial"/>
          <w:lang w:val="es-ES" w:eastAsia="es-ES"/>
        </w:rPr>
        <w:t xml:space="preserve">Medellín, Antioquia </w:t>
      </w:r>
    </w:p>
    <w:p w14:paraId="32408240" w14:textId="77777777" w:rsidR="008D78B9" w:rsidRDefault="008D78B9" w:rsidP="008D78B9">
      <w:pPr>
        <w:spacing w:after="0" w:line="240" w:lineRule="auto"/>
        <w:rPr>
          <w:rFonts w:ascii="Verdana" w:eastAsia="Calibri" w:hAnsi="Verdana" w:cs="Arial"/>
          <w:b/>
          <w:bCs/>
          <w:color w:val="000000"/>
          <w:lang w:val="es-ES_tradnl" w:eastAsia="es-ES_tradnl"/>
        </w:rPr>
      </w:pPr>
    </w:p>
    <w:p w14:paraId="6FD19B6D" w14:textId="77777777" w:rsidR="008D78B9" w:rsidRDefault="008D78B9" w:rsidP="008D78B9">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8D78B9" w14:paraId="3999F08B" w14:textId="77777777" w:rsidTr="008D78B9">
        <w:trPr>
          <w:trHeight w:val="884"/>
        </w:trPr>
        <w:tc>
          <w:tcPr>
            <w:tcW w:w="2689" w:type="dxa"/>
          </w:tcPr>
          <w:p w14:paraId="57449E0E" w14:textId="77777777" w:rsidR="008D78B9" w:rsidRDefault="008D78B9">
            <w:pPr>
              <w:jc w:val="both"/>
              <w:rPr>
                <w:rFonts w:ascii="Verdana" w:eastAsia="Calibri" w:hAnsi="Verdana" w:cs="Arial"/>
                <w:b/>
                <w:bCs/>
                <w:color w:val="7030A0"/>
                <w:lang w:val="es-ES_tradnl" w:eastAsia="es-ES_tradnl"/>
              </w:rPr>
            </w:pPr>
          </w:p>
        </w:tc>
        <w:tc>
          <w:tcPr>
            <w:tcW w:w="6100" w:type="dxa"/>
            <w:hideMark/>
          </w:tcPr>
          <w:p w14:paraId="7E7069DB" w14:textId="59CE1D17" w:rsidR="008D78B9" w:rsidRDefault="008D78B9">
            <w:pPr>
              <w:jc w:val="both"/>
              <w:rPr>
                <w:rFonts w:ascii="Verdana" w:eastAsia="Calibri" w:hAnsi="Verdana" w:cs="Arial"/>
                <w:b/>
                <w:bCs/>
                <w:color w:val="7030A0"/>
                <w:lang w:val="es-ES" w:eastAsia="es-ES"/>
              </w:rPr>
            </w:pPr>
            <w:r>
              <w:rPr>
                <w:rFonts w:ascii="Verdana" w:eastAsia="Calibri" w:hAnsi="Verdana" w:cs="Arial"/>
                <w:b/>
                <w:bCs/>
                <w:lang w:val="es-ES" w:eastAsia="es-ES"/>
              </w:rPr>
              <w:t>Concepto C – 1512 de 2025</w:t>
            </w:r>
          </w:p>
        </w:tc>
      </w:tr>
      <w:tr w:rsidR="008D78B9" w14:paraId="75096544" w14:textId="77777777" w:rsidTr="008D78B9">
        <w:trPr>
          <w:trHeight w:val="884"/>
        </w:trPr>
        <w:tc>
          <w:tcPr>
            <w:tcW w:w="2689" w:type="dxa"/>
            <w:hideMark/>
          </w:tcPr>
          <w:p w14:paraId="61ADD33E" w14:textId="77777777" w:rsidR="008D78B9" w:rsidRDefault="008D78B9">
            <w:pPr>
              <w:jc w:val="both"/>
              <w:rPr>
                <w:rFonts w:ascii="Verdana" w:eastAsia="Calibri" w:hAnsi="Verdana" w:cs="Arial"/>
                <w:color w:val="000000"/>
                <w:lang w:val="es-ES_tradnl" w:eastAsia="es-ES_tradnl"/>
              </w:rPr>
            </w:pPr>
            <w:r>
              <w:rPr>
                <w:rFonts w:ascii="Verdana" w:eastAsia="Calibri" w:hAnsi="Verdana" w:cs="Arial"/>
                <w:b/>
                <w:color w:val="000000"/>
                <w:lang w:val="es-ES_tradnl" w:eastAsia="es-ES_tradnl"/>
              </w:rPr>
              <w:t>Temas:</w:t>
            </w:r>
            <w:r>
              <w:rPr>
                <w:rFonts w:ascii="Verdana" w:eastAsia="Calibri" w:hAnsi="Verdana" w:cs="Arial"/>
                <w:color w:val="000000"/>
                <w:lang w:val="es-ES_tradnl" w:eastAsia="es-ES_tradnl"/>
              </w:rPr>
              <w:t xml:space="preserve">                   </w:t>
            </w:r>
          </w:p>
        </w:tc>
        <w:tc>
          <w:tcPr>
            <w:tcW w:w="6100" w:type="dxa"/>
            <w:hideMark/>
          </w:tcPr>
          <w:p w14:paraId="648DEE0D" w14:textId="77777777" w:rsidR="008D78B9" w:rsidRDefault="008D78B9">
            <w:pPr>
              <w:spacing w:line="276" w:lineRule="auto"/>
              <w:jc w:val="both"/>
              <w:rPr>
                <w:rFonts w:ascii="Verdana" w:eastAsia="Calibri" w:hAnsi="Verdana" w:cs="Arial"/>
                <w:lang w:val="es-ES" w:eastAsia="es-ES"/>
              </w:rPr>
            </w:pPr>
            <w:r>
              <w:rPr>
                <w:rFonts w:ascii="Verdana" w:eastAsia="Calibri" w:hAnsi="Verdana" w:cs="Arial"/>
                <w:lang w:val="es-ES" w:eastAsia="es-ES"/>
              </w:rPr>
              <w:t xml:space="preserve">LEY DE GARANTÍAS ELECTORALES ‒ Finalidad / LEY DE GARANTÍAS ELECTORALES ‒ Tipos de restricciones ‒ Ámbito temporal – celebración- límite / LEY DE GARANTÍAS ELECTORALES – Prohibición artículo 33 – Contratación directa – Alcance / LEY DE GARANTÍAS ELECTORALES – Excepciones / LEY DE GARANTÍAS ELECTORALES – Prohibición del artículo 33 – Destinatarios / LEY DE GARANTÍAS ELECTORALES – Condiciones de igualdad – Contratación directa / ENAJENACIÓN VOLUNTARIA – Objeto – Aplicación – Ley de Garantías Electorales – Restricción- Contratación Directa                     </w:t>
            </w:r>
          </w:p>
          <w:p w14:paraId="33F26495" w14:textId="77777777" w:rsidR="008D78B9" w:rsidRDefault="008D78B9">
            <w:pPr>
              <w:spacing w:line="276" w:lineRule="auto"/>
              <w:jc w:val="both"/>
              <w:rPr>
                <w:rFonts w:ascii="Verdana" w:eastAsia="Calibri" w:hAnsi="Verdana" w:cs="Arial"/>
                <w:lang w:val="es-ES" w:eastAsia="es-ES"/>
              </w:rPr>
            </w:pPr>
            <w:r>
              <w:rPr>
                <w:rFonts w:ascii="Verdana" w:eastAsia="Calibri" w:hAnsi="Verdana" w:cs="Arial"/>
                <w:lang w:val="es-ES" w:eastAsia="es-ES"/>
              </w:rPr>
              <w:t xml:space="preserve">  </w:t>
            </w:r>
          </w:p>
        </w:tc>
      </w:tr>
      <w:tr w:rsidR="008D78B9" w14:paraId="5D2567A7" w14:textId="77777777" w:rsidTr="008D78B9">
        <w:tc>
          <w:tcPr>
            <w:tcW w:w="2689" w:type="dxa"/>
            <w:hideMark/>
          </w:tcPr>
          <w:p w14:paraId="047EEA4D" w14:textId="77777777" w:rsidR="008D78B9" w:rsidRDefault="008D78B9">
            <w:pPr>
              <w:jc w:val="both"/>
              <w:rPr>
                <w:rFonts w:ascii="Verdana" w:eastAsia="Calibri" w:hAnsi="Verdana" w:cs="Arial"/>
                <w:b/>
                <w:lang w:val="es-ES_tradnl" w:eastAsia="es-ES_tradnl"/>
              </w:rPr>
            </w:pPr>
            <w:r>
              <w:rPr>
                <w:rFonts w:ascii="Verdana" w:eastAsia="Calibri" w:hAnsi="Verdana" w:cs="Arial"/>
                <w:b/>
                <w:lang w:val="es-ES_tradnl" w:eastAsia="es-ES_tradnl"/>
              </w:rPr>
              <w:t>Radicación:</w:t>
            </w:r>
            <w:r>
              <w:rPr>
                <w:rFonts w:ascii="Verdana" w:eastAsia="Calibri" w:hAnsi="Verdana" w:cs="Arial"/>
                <w:lang w:val="es-ES_tradnl" w:eastAsia="es-ES_tradnl"/>
              </w:rPr>
              <w:t xml:space="preserve">               </w:t>
            </w:r>
          </w:p>
        </w:tc>
        <w:tc>
          <w:tcPr>
            <w:tcW w:w="6100" w:type="dxa"/>
            <w:hideMark/>
          </w:tcPr>
          <w:p w14:paraId="13EF448C" w14:textId="77777777" w:rsidR="008D78B9" w:rsidRDefault="008D78B9">
            <w:pPr>
              <w:spacing w:line="276" w:lineRule="auto"/>
              <w:jc w:val="both"/>
              <w:rPr>
                <w:rFonts w:ascii="Verdana" w:eastAsia="Calibri" w:hAnsi="Verdana" w:cs="Arial"/>
                <w:lang w:val="es-ES_tradnl" w:eastAsia="es-ES_tradnl"/>
              </w:rPr>
            </w:pPr>
            <w:r>
              <w:rPr>
                <w:rFonts w:ascii="Verdana" w:eastAsia="Calibri" w:hAnsi="Verdana" w:cs="Arial"/>
                <w:lang w:val="es-ES_tradnl" w:eastAsia="es-ES_tradnl"/>
              </w:rPr>
              <w:t xml:space="preserve">Respuesta a las consultas con radicados No. 1_2025_10_21_011792 y 1_2025_10_21_011793       –Acumulados–                                    </w:t>
            </w:r>
          </w:p>
        </w:tc>
      </w:tr>
    </w:tbl>
    <w:p w14:paraId="7F0665BA" w14:textId="77777777" w:rsidR="008D78B9" w:rsidRDefault="008D78B9" w:rsidP="008D78B9">
      <w:pPr>
        <w:spacing w:after="0" w:line="240" w:lineRule="auto"/>
        <w:jc w:val="both"/>
        <w:rPr>
          <w:rFonts w:ascii="Verdana" w:eastAsia="Calibri" w:hAnsi="Verdana" w:cs="Arial"/>
          <w:color w:val="000000"/>
          <w:lang w:val="es-ES_tradnl" w:eastAsia="es-ES_tradnl"/>
        </w:rPr>
      </w:pPr>
    </w:p>
    <w:p w14:paraId="33799EA3" w14:textId="77777777" w:rsidR="008D78B9" w:rsidRDefault="008D78B9" w:rsidP="008D78B9">
      <w:pPr>
        <w:spacing w:after="0" w:line="240" w:lineRule="auto"/>
        <w:jc w:val="both"/>
        <w:rPr>
          <w:rFonts w:ascii="Verdana" w:eastAsia="Calibri" w:hAnsi="Verdana" w:cs="Arial"/>
          <w:color w:val="000000"/>
          <w:lang w:val="es-ES_tradnl" w:eastAsia="es-ES_tradnl"/>
        </w:rPr>
      </w:pPr>
    </w:p>
    <w:p w14:paraId="5BC795AD" w14:textId="77777777" w:rsidR="008D78B9" w:rsidRDefault="008D78B9" w:rsidP="008D78B9">
      <w:pPr>
        <w:spacing w:after="0" w:line="276" w:lineRule="auto"/>
        <w:jc w:val="both"/>
        <w:rPr>
          <w:rFonts w:ascii="Verdana" w:eastAsia="Calibri" w:hAnsi="Verdana" w:cs="Arial"/>
          <w:lang w:val="es-ES" w:eastAsia="es-ES"/>
        </w:rPr>
      </w:pPr>
      <w:r>
        <w:rPr>
          <w:rFonts w:ascii="Verdana" w:eastAsia="Calibri" w:hAnsi="Verdana" w:cs="Arial"/>
          <w:lang w:val="es-ES" w:eastAsia="es-ES"/>
        </w:rPr>
        <w:t xml:space="preserve">Estimada señora Bedoya Garzón: </w:t>
      </w:r>
    </w:p>
    <w:p w14:paraId="12C5EC1C" w14:textId="77777777" w:rsidR="008D78B9" w:rsidRDefault="008D78B9" w:rsidP="008D78B9">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4DFFB4FB" w14:textId="77777777" w:rsidR="008D78B9" w:rsidRDefault="008D78B9" w:rsidP="008D78B9">
      <w:pPr>
        <w:spacing w:after="0" w:line="276" w:lineRule="auto"/>
        <w:jc w:val="both"/>
        <w:rPr>
          <w:rFonts w:ascii="Verdana" w:eastAsia="Calibri" w:hAnsi="Verdana" w:cs="Arial"/>
          <w:color w:val="7030A0"/>
          <w:lang w:val="es-ES" w:eastAsia="es-ES"/>
        </w:rPr>
      </w:pPr>
      <w:r>
        <w:rPr>
          <w:rFonts w:ascii="Verdana" w:eastAsia="Calibri" w:hAnsi="Verdana" w:cs="Arial"/>
          <w:color w:val="000000" w:themeColor="text1"/>
          <w:lang w:val="es-ES" w:eastAsia="es-ES"/>
        </w:rPr>
        <w:t>En ejercicio de la competencia otorgada por los artículos 3, numeral 5º, y 11, numeral 8º, del Decreto Ley 4170 de 2011,</w:t>
      </w:r>
      <w:r>
        <w:rPr>
          <w:rFonts w:ascii="Verdana" w:eastAsia="Arial MT" w:hAnsi="Verdana" w:cs="Arial MT"/>
          <w:lang w:val="es-ES" w:eastAsia="es-ES"/>
        </w:rPr>
        <w:t xml:space="preserve"> </w:t>
      </w:r>
      <w:r>
        <w:rPr>
          <w:rFonts w:ascii="Verdana" w:hAnsi="Verdana" w:cs="Arial"/>
        </w:rPr>
        <w:t xml:space="preserve">así como lo establecido en el artículo 4 de la Resolución 1707 de 2018 expedida por esta Entidad, </w:t>
      </w:r>
      <w:r>
        <w:rPr>
          <w:rFonts w:ascii="Verdana" w:eastAsia="Calibri" w:hAnsi="Verdana" w:cs="Arial"/>
          <w:color w:val="000000" w:themeColor="text1"/>
          <w:lang w:val="es-ES" w:eastAsia="es-ES"/>
        </w:rPr>
        <w:t xml:space="preserve">la Agencia Nacional de Contratación Pública – Colombia Compra Eficiente responde su solicitud de </w:t>
      </w:r>
      <w:r>
        <w:rPr>
          <w:rFonts w:ascii="Verdana" w:eastAsia="Calibri" w:hAnsi="Verdana" w:cs="Arial"/>
          <w:color w:val="000000" w:themeColor="text1"/>
          <w:lang w:val="es-ES" w:eastAsia="es-ES"/>
        </w:rPr>
        <w:lastRenderedPageBreak/>
        <w:t xml:space="preserve">consulta de </w:t>
      </w:r>
      <w:r>
        <w:rPr>
          <w:rFonts w:ascii="Verdana" w:eastAsia="Calibri" w:hAnsi="Verdana" w:cs="Arial"/>
          <w:lang w:val="es-ES" w:eastAsia="es-ES"/>
        </w:rPr>
        <w:t xml:space="preserve">fecha 15 de octubre de 2025 realizada a la Procuraduría General de la Nación, remitida por competencia a esta entidad –conforme al artículo 21 de la Ley 1437 de 2011– mediante correo electrónico del 21 de octubre de la misma anualidad, en la cual manifiesta lo siguiente: </w:t>
      </w:r>
    </w:p>
    <w:p w14:paraId="65CECD9C" w14:textId="77777777" w:rsidR="008D78B9" w:rsidRDefault="008D78B9" w:rsidP="008D78B9">
      <w:pPr>
        <w:pStyle w:val="Prrafodelista"/>
        <w:tabs>
          <w:tab w:val="left" w:pos="142"/>
          <w:tab w:val="left" w:pos="284"/>
        </w:tabs>
        <w:spacing w:after="0" w:line="276" w:lineRule="auto"/>
        <w:ind w:left="0"/>
        <w:jc w:val="both"/>
        <w:rPr>
          <w:rFonts w:ascii="Verdana" w:eastAsia="Century Gothic" w:hAnsi="Verdana" w:cs="Century Gothic"/>
          <w:b/>
          <w:bCs/>
        </w:rPr>
      </w:pPr>
    </w:p>
    <w:p w14:paraId="49B2BE00" w14:textId="77777777" w:rsidR="008D78B9" w:rsidRDefault="008D78B9" w:rsidP="008D78B9">
      <w:pPr>
        <w:spacing w:after="0" w:line="240" w:lineRule="auto"/>
        <w:ind w:left="709" w:right="709"/>
        <w:jc w:val="both"/>
        <w:rPr>
          <w:rFonts w:ascii="Verdana" w:eastAsia="Century Gothic" w:hAnsi="Verdana" w:cs="Century Gothic"/>
          <w:sz w:val="20"/>
          <w:szCs w:val="20"/>
          <w:lang w:val="es-ES"/>
        </w:rPr>
      </w:pPr>
      <w:bookmarkStart w:id="0" w:name="_Hlk95313578"/>
      <w:r>
        <w:rPr>
          <w:rFonts w:ascii="Verdana" w:eastAsia="Century Gothic" w:hAnsi="Verdana" w:cs="Century Gothic"/>
          <w:sz w:val="20"/>
          <w:szCs w:val="20"/>
          <w:lang w:val="es-ES"/>
        </w:rPr>
        <w:t>“</w:t>
      </w:r>
      <w:bookmarkEnd w:id="0"/>
      <w:r>
        <w:rPr>
          <w:rFonts w:ascii="Verdana" w:eastAsia="Century Gothic" w:hAnsi="Verdana" w:cs="Century Gothic"/>
          <w:sz w:val="20"/>
          <w:szCs w:val="20"/>
          <w:lang w:val="es-ES"/>
        </w:rPr>
        <w:t>[…] para efectos de la prevención del daño antijurídico, en virtud de los proyectos de infraestructura que han sido declarados de utilidad pública, que han sido incluidos en los planes de desarrollo, y cuentan con presupuesto, se requiere el apoyo del Ministerio Público para emitir un concepto jurídico con el objeto de analizar si la Ley 996 de 2005, particularmente lo dispuesto en su artículo 33, resulta aplicable a la celebración de contratos de compraventa de predios que han sido declarados de utilidad pública, dentro del marco de ejecución de proyectos de infraestructura vial u otros proyectos de interés público</w:t>
      </w:r>
      <w:r>
        <w:rPr>
          <w:rFonts w:ascii="Verdana" w:eastAsia="Century Gothic" w:hAnsi="Verdana" w:cs="Century Gothic"/>
          <w:sz w:val="20"/>
          <w:szCs w:val="20"/>
        </w:rPr>
        <w:t>”.</w:t>
      </w:r>
    </w:p>
    <w:p w14:paraId="692FE827" w14:textId="77777777" w:rsidR="008D78B9" w:rsidRDefault="008D78B9" w:rsidP="008D78B9">
      <w:pPr>
        <w:pStyle w:val="Prrafodelista"/>
        <w:tabs>
          <w:tab w:val="left" w:pos="142"/>
          <w:tab w:val="left" w:pos="284"/>
        </w:tabs>
        <w:spacing w:after="0" w:line="276" w:lineRule="auto"/>
        <w:ind w:left="0"/>
        <w:jc w:val="both"/>
        <w:rPr>
          <w:rFonts w:ascii="Verdana" w:eastAsia="Century Gothic" w:hAnsi="Verdana" w:cs="Century Gothic"/>
          <w:b/>
          <w:bCs/>
        </w:rPr>
      </w:pPr>
    </w:p>
    <w:p w14:paraId="6DEA1E6B" w14:textId="77777777" w:rsidR="008D78B9" w:rsidRDefault="008D78B9" w:rsidP="008D78B9">
      <w:pPr>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 xml:space="preserve">De manera preliminar, resulta necesario acotar que esta entidad sólo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concretos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Pr>
          <w:rFonts w:ascii="Verdana" w:eastAsia="Calibri" w:hAnsi="Verdana" w:cs="Arial"/>
          <w:color w:val="000000"/>
          <w:szCs w:val="24"/>
          <w:lang w:val="es-ES_tradnl" w:eastAsia="es-ES_tradnl"/>
        </w:rPr>
        <w:tab/>
      </w:r>
    </w:p>
    <w:p w14:paraId="499DF18C" w14:textId="77777777" w:rsidR="008D78B9" w:rsidRDefault="008D78B9" w:rsidP="008D78B9">
      <w:pPr>
        <w:spacing w:after="0" w:line="276" w:lineRule="auto"/>
        <w:ind w:firstLine="708"/>
        <w:jc w:val="both"/>
        <w:rPr>
          <w:rFonts w:ascii="Verdana" w:eastAsia="Calibri" w:hAnsi="Verdana" w:cs="Arial"/>
          <w:lang w:val="es-ES" w:eastAsia="es-ES"/>
        </w:rPr>
      </w:pPr>
      <w:r>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las circunstancias específicas que la hayan motivado, pero haciendo unas consideraciones sobre las normas generales relacionadas con el</w:t>
      </w:r>
      <w:r>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Pr>
          <w:rFonts w:ascii="Verdana" w:eastAsia="Calibri" w:hAnsi="Verdana" w:cs="Arial"/>
          <w:color w:val="7030A0"/>
          <w:lang w:val="es-ES" w:eastAsia="es-ES"/>
        </w:rPr>
        <w:t xml:space="preserve"> </w:t>
      </w:r>
      <w:r>
        <w:rPr>
          <w:rFonts w:ascii="Verdana" w:eastAsia="Calibri" w:hAnsi="Verdana" w:cs="Arial"/>
          <w:color w:val="000000"/>
          <w:lang w:val="es-ES" w:eastAsia="es-ES"/>
        </w:rPr>
        <w:t>de su consulta.</w:t>
      </w:r>
      <w:r>
        <w:rPr>
          <w:rFonts w:ascii="Verdana" w:eastAsia="Calibri" w:hAnsi="Verdana" w:cs="Arial"/>
          <w:lang w:val="es-ES" w:eastAsia="es-ES"/>
        </w:rPr>
        <w:t xml:space="preserve"> </w:t>
      </w:r>
      <w:r>
        <w:rPr>
          <w:rFonts w:ascii="Verdana" w:eastAsia="Calibri" w:hAnsi="Verdana" w:cs="Arial"/>
          <w:color w:val="000000"/>
          <w:lang w:val="es-ES" w:eastAsia="es-ES"/>
        </w:rPr>
        <w:t xml:space="preserve">  </w:t>
      </w:r>
    </w:p>
    <w:p w14:paraId="4B48594E" w14:textId="77777777" w:rsidR="008D78B9" w:rsidRDefault="008D78B9" w:rsidP="008D78B9">
      <w:pPr>
        <w:spacing w:after="0" w:line="276" w:lineRule="auto"/>
        <w:ind w:firstLine="709"/>
        <w:jc w:val="both"/>
        <w:rPr>
          <w:rFonts w:ascii="Verdana" w:eastAsia="Calibri" w:hAnsi="Verdana" w:cs="Arial"/>
          <w:color w:val="000000"/>
          <w:lang w:val="es-ES" w:eastAsia="es-ES"/>
        </w:rPr>
      </w:pPr>
    </w:p>
    <w:p w14:paraId="3196F02F" w14:textId="77777777" w:rsidR="008D78B9" w:rsidRDefault="008D78B9" w:rsidP="008D78B9">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Pr>
          <w:rFonts w:ascii="Verdana" w:eastAsia="Century Gothic" w:hAnsi="Verdana" w:cs="Century Gothic"/>
          <w:b/>
          <w:bCs/>
        </w:rPr>
        <w:t>Problema planteado:</w:t>
      </w:r>
    </w:p>
    <w:p w14:paraId="068915AB" w14:textId="77777777" w:rsidR="008D78B9" w:rsidRDefault="008D78B9" w:rsidP="008D78B9">
      <w:pPr>
        <w:tabs>
          <w:tab w:val="left" w:pos="426"/>
        </w:tabs>
        <w:spacing w:after="0" w:line="276" w:lineRule="auto"/>
        <w:jc w:val="both"/>
        <w:rPr>
          <w:rFonts w:ascii="Verdana" w:eastAsia="Century Gothic" w:hAnsi="Verdana" w:cs="Century Gothic"/>
          <w:lang w:val="es-ES"/>
        </w:rPr>
      </w:pPr>
    </w:p>
    <w:p w14:paraId="5410E563" w14:textId="77777777" w:rsidR="008D78B9" w:rsidRDefault="008D78B9" w:rsidP="008D78B9">
      <w:pPr>
        <w:spacing w:after="0" w:line="276" w:lineRule="auto"/>
        <w:jc w:val="both"/>
        <w:rPr>
          <w:rFonts w:ascii="Verdana" w:eastAsia="Century Gothic" w:hAnsi="Verdana" w:cs="Century Gothic"/>
        </w:rPr>
      </w:pPr>
      <w:r>
        <w:rPr>
          <w:rFonts w:ascii="Verdana" w:eastAsia="Century Gothic" w:hAnsi="Verdana" w:cs="Century Gothic"/>
        </w:rPr>
        <w:t xml:space="preserve">De acuerdo con el contenido de su solicitud, esta Agencia resolverá los siguientes problemas jurídicos: ¿los procesos de enajenación voluntaria </w:t>
      </w:r>
      <w:r>
        <w:rPr>
          <w:rFonts w:ascii="Verdana" w:eastAsia="Calibri" w:hAnsi="Verdana" w:cs="Times New Roman"/>
          <w:iCs/>
          <w:lang w:val="es-ES"/>
        </w:rPr>
        <w:t xml:space="preserve">por parte de entidades estatales para adquirir predios se considera que se adelante por </w:t>
      </w:r>
      <w:r>
        <w:rPr>
          <w:rFonts w:ascii="Verdana" w:eastAsia="Calibri" w:hAnsi="Verdana" w:cs="Times New Roman"/>
          <w:iCs/>
          <w:lang w:val="es-ES"/>
        </w:rPr>
        <w:lastRenderedPageBreak/>
        <w:t>contratación directa y, por tanto, está restringida durante la Ley de Garantías Electorales?</w:t>
      </w:r>
      <w:r>
        <w:rPr>
          <w:rFonts w:ascii="Verdana" w:eastAsia="Century Gothic" w:hAnsi="Verdana" w:cs="Century Gothic"/>
        </w:rPr>
        <w:t xml:space="preserve">             </w:t>
      </w:r>
      <w:r>
        <w:rPr>
          <w:rFonts w:ascii="Verdana" w:eastAsia="Century Gothic" w:hAnsi="Verdana" w:cs="Century Gothic"/>
          <w:color w:val="7030A0"/>
        </w:rPr>
        <w:t xml:space="preserve"> </w:t>
      </w:r>
    </w:p>
    <w:p w14:paraId="273CDD82" w14:textId="77777777" w:rsidR="008D78B9" w:rsidRDefault="008D78B9" w:rsidP="008D78B9">
      <w:pPr>
        <w:spacing w:after="0" w:line="276" w:lineRule="auto"/>
        <w:jc w:val="both"/>
        <w:rPr>
          <w:rFonts w:ascii="Verdana" w:eastAsia="Calibri" w:hAnsi="Verdana" w:cs="Arial"/>
          <w:color w:val="7030A0"/>
        </w:rPr>
      </w:pPr>
    </w:p>
    <w:p w14:paraId="650A9632" w14:textId="77777777" w:rsidR="008D78B9" w:rsidRDefault="008D78B9" w:rsidP="008D78B9">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Pr>
          <w:rFonts w:ascii="Verdana" w:eastAsia="Century Gothic" w:hAnsi="Verdana" w:cs="Century Gothic"/>
          <w:b/>
          <w:bCs/>
        </w:rPr>
        <w:t>Respuesta:</w:t>
      </w:r>
    </w:p>
    <w:p w14:paraId="6230F16D" w14:textId="77777777" w:rsidR="008D78B9" w:rsidRDefault="008D78B9" w:rsidP="008D78B9">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8D78B9" w14:paraId="42E15591" w14:textId="77777777" w:rsidTr="008D78B9">
        <w:trPr>
          <w:jc w:val="center"/>
        </w:trPr>
        <w:tc>
          <w:tcPr>
            <w:tcW w:w="8828" w:type="dxa"/>
            <w:tcBorders>
              <w:top w:val="dotted" w:sz="4" w:space="0" w:color="auto"/>
              <w:left w:val="dotted" w:sz="4" w:space="0" w:color="auto"/>
              <w:bottom w:val="dotted" w:sz="4" w:space="0" w:color="auto"/>
              <w:right w:val="dotted" w:sz="4" w:space="0" w:color="auto"/>
            </w:tcBorders>
            <w:hideMark/>
          </w:tcPr>
          <w:p w14:paraId="0AAAC6B5" w14:textId="77777777" w:rsidR="008D78B9" w:rsidRDefault="008D78B9">
            <w:pPr>
              <w:spacing w:after="120" w:line="276" w:lineRule="auto"/>
              <w:jc w:val="both"/>
              <w:rPr>
                <w:rFonts w:ascii="Verdana" w:eastAsia="Times New Roman" w:hAnsi="Verdana" w:cs="Arial"/>
                <w:bCs/>
                <w:lang w:val="es-MX" w:eastAsia="x-none"/>
              </w:rPr>
            </w:pPr>
            <w:bookmarkStart w:id="1" w:name="_Hlk171694685"/>
            <w:r>
              <w:rPr>
                <w:rFonts w:ascii="Verdana" w:eastAsia="Calibri" w:hAnsi="Verdana" w:cs="Arial"/>
                <w:lang w:val="es-MX"/>
              </w:rPr>
              <w:t xml:space="preserve">Conforme a la interpretación general de las normas del sistema de compras públicas, la restricción prevista en el artículo 33 de la Ley 996 de 2005 </w:t>
            </w:r>
            <w:r>
              <w:rPr>
                <w:rFonts w:ascii="Verdana" w:eastAsia="Times New Roman" w:hAnsi="Verdana" w:cs="Arial"/>
                <w:bCs/>
                <w:lang w:val="es-MX" w:eastAsia="x-none"/>
              </w:rPr>
              <w:t xml:space="preserve">cobija a cualquier entidad pública independiente del régimen jurídico, que pueda mediante la contratación directa romper el equilibrio entre los candidatos en desarrollo de las elecciones presidenciales. </w:t>
            </w:r>
            <w:r>
              <w:rPr>
                <w:rFonts w:ascii="Verdana" w:eastAsia="Times New Roman" w:hAnsi="Verdana" w:cs="Arial"/>
                <w:lang w:val="es-ES" w:eastAsia="es-ES_tradnl"/>
              </w:rPr>
              <w:t xml:space="preserve">En virtud de esta restricción, se precisa que la adquisición de los predios que se realice por enajenación voluntaria está sometida a un régimen especial de contratación. Sin embargo, como se explicó en las razones de la respuesta, esta culmina con la suscripción de un contrato de promesa de compraventa o de compraventa entre la entidad y la persona, con lo cual se trata de un procedimiento de contratación estatal no competitivo que se encuentra restringido por la prohibición establecida en el artículo 33 de la Ley 996 de 2005. En contraste, cuando la adquisición ocurra por el procedimiento expropiatorio no se materializa en la celebración de un contrato. </w:t>
            </w:r>
          </w:p>
          <w:p w14:paraId="5495B4A4" w14:textId="77777777" w:rsidR="008D78B9" w:rsidRDefault="008D78B9">
            <w:pPr>
              <w:spacing w:after="120" w:line="276" w:lineRule="auto"/>
              <w:ind w:firstLine="709"/>
              <w:jc w:val="both"/>
              <w:rPr>
                <w:rFonts w:ascii="Verdana" w:eastAsia="Times New Roman" w:hAnsi="Verdana" w:cs="Arial"/>
                <w:bCs/>
                <w:lang w:val="es-MX" w:eastAsia="x-none"/>
              </w:rPr>
            </w:pPr>
            <w:r>
              <w:rPr>
                <w:rFonts w:ascii="Verdana" w:eastAsia="Times New Roman" w:hAnsi="Verdana" w:cs="Arial"/>
                <w:bCs/>
                <w:lang w:val="es-MX" w:eastAsia="x-none"/>
              </w:rPr>
              <w:t xml:space="preserve">En tal sentido, se reitera que la restricción del artículo 33 de la Ley 996 de 2005 aplica frente a la contratación directa, entendida como cualquier sistema de selección o procedimiento de contratación utilizada por las entidades estatales que no incluya la convocatoria pública en alguna de sus etapas, ni permita la participación de una pluralidad de oferentes, ya sea en aplicación de normas del Estatuto General de Contratación de la Administración Pública, así como de regímenes especiales. Esto, sin perjuicio de las excepciones a la prohibición establecidas en el inciso segundo del mismo artículo 33, como son: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Es responsabilidad del respectivo ente del Estado, examinar en cada caso la naturaleza de las actividades que adelanta y determinar si las mismas se enmarcan en alguna de las mencionadas </w:t>
            </w:r>
            <w:r>
              <w:rPr>
                <w:rFonts w:ascii="Verdana" w:eastAsia="Times New Roman" w:hAnsi="Verdana" w:cs="Arial"/>
                <w:bCs/>
                <w:lang w:val="es-MX" w:eastAsia="x-none"/>
              </w:rPr>
              <w:lastRenderedPageBreak/>
              <w:t>excepciones, de manera que se le permita realizar la contratación que necesite en forma directa.</w:t>
            </w:r>
          </w:p>
          <w:p w14:paraId="0E3FDBD6" w14:textId="77777777" w:rsidR="008D78B9" w:rsidRDefault="008D78B9">
            <w:pPr>
              <w:spacing w:line="276" w:lineRule="auto"/>
              <w:ind w:right="51" w:firstLine="737"/>
              <w:jc w:val="both"/>
              <w:rPr>
                <w:rFonts w:ascii="Verdana" w:eastAsia="Calibri" w:hAnsi="Verdana" w:cs="Arial"/>
                <w:bCs/>
                <w:color w:val="000000" w:themeColor="text1"/>
              </w:rPr>
            </w:pPr>
            <w:r>
              <w:rPr>
                <w:rStyle w:val="s15"/>
                <w:rFonts w:ascii="Verdana" w:hAnsi="Verdana"/>
                <w:color w:val="000000"/>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Por lo anterior, previo 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p>
        </w:tc>
      </w:tr>
    </w:tbl>
    <w:p w14:paraId="599C77B0" w14:textId="77777777" w:rsidR="008D78B9" w:rsidRDefault="008D78B9" w:rsidP="008D78B9">
      <w:pPr>
        <w:tabs>
          <w:tab w:val="left" w:pos="142"/>
          <w:tab w:val="left" w:pos="284"/>
        </w:tabs>
        <w:spacing w:after="0" w:line="276" w:lineRule="auto"/>
        <w:jc w:val="both"/>
        <w:rPr>
          <w:rFonts w:ascii="Verdana" w:eastAsia="Century Gothic" w:hAnsi="Verdana" w:cs="Century Gothic"/>
          <w:b/>
          <w:bCs/>
          <w:lang w:val="es-ES"/>
        </w:rPr>
      </w:pPr>
    </w:p>
    <w:bookmarkEnd w:id="1"/>
    <w:p w14:paraId="62A876DF" w14:textId="77777777" w:rsidR="008D78B9" w:rsidRDefault="008D78B9" w:rsidP="008D78B9">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Pr>
          <w:rFonts w:ascii="Verdana" w:eastAsia="Century Gothic" w:hAnsi="Verdana" w:cs="Century Gothic"/>
          <w:b/>
          <w:bCs/>
        </w:rPr>
        <w:t>Razones de la respuesta:</w:t>
      </w:r>
    </w:p>
    <w:p w14:paraId="73E54457" w14:textId="77777777" w:rsidR="008D78B9" w:rsidRDefault="008D78B9" w:rsidP="008D78B9">
      <w:pPr>
        <w:spacing w:after="0" w:line="276" w:lineRule="auto"/>
        <w:jc w:val="both"/>
        <w:rPr>
          <w:rFonts w:ascii="Verdana" w:eastAsia="Calibri" w:hAnsi="Verdana" w:cs="Arial"/>
          <w:color w:val="7030A0"/>
          <w:lang w:val="es-ES"/>
        </w:rPr>
      </w:pPr>
    </w:p>
    <w:p w14:paraId="3D7BBD0F" w14:textId="77777777" w:rsidR="008D78B9" w:rsidRDefault="008D78B9" w:rsidP="008D78B9">
      <w:pPr>
        <w:spacing w:after="0" w:line="276" w:lineRule="auto"/>
        <w:jc w:val="both"/>
        <w:rPr>
          <w:rFonts w:ascii="Verdana" w:eastAsia="Calibri" w:hAnsi="Verdana" w:cs="Arial"/>
          <w:lang w:val="es-ES"/>
        </w:rPr>
      </w:pPr>
      <w:r>
        <w:rPr>
          <w:rFonts w:ascii="Verdana" w:eastAsia="Calibri" w:hAnsi="Verdana" w:cs="Arial"/>
          <w:lang w:val="es-ES"/>
        </w:rPr>
        <w:t>Lo anterior se sustenta en las siguientes consideraciones:</w:t>
      </w:r>
    </w:p>
    <w:p w14:paraId="4F10C13D" w14:textId="77777777" w:rsidR="008D78B9" w:rsidRDefault="008D78B9" w:rsidP="008D78B9">
      <w:pPr>
        <w:spacing w:after="0" w:line="276" w:lineRule="auto"/>
        <w:jc w:val="both"/>
        <w:rPr>
          <w:rFonts w:ascii="Verdana" w:eastAsia="Calibri" w:hAnsi="Verdana" w:cs="Arial"/>
          <w:lang w:val="es-ES"/>
        </w:rPr>
      </w:pPr>
    </w:p>
    <w:p w14:paraId="50D2245D" w14:textId="77777777" w:rsidR="008D78B9" w:rsidRDefault="008D78B9" w:rsidP="008D78B9">
      <w:pPr>
        <w:tabs>
          <w:tab w:val="left" w:pos="426"/>
        </w:tabs>
        <w:spacing w:after="120" w:line="276" w:lineRule="auto"/>
        <w:jc w:val="both"/>
        <w:rPr>
          <w:rFonts w:ascii="Verdana" w:eastAsia="Times New Roman" w:hAnsi="Verdana" w:cs="Arial"/>
          <w:lang w:eastAsia="es-CO"/>
        </w:rPr>
      </w:pPr>
      <w:r>
        <w:rPr>
          <w:rFonts w:ascii="Verdana" w:eastAsia="Calibri" w:hAnsi="Verdana" w:cs="Arial"/>
        </w:rPr>
        <w:t>i. El ordenamiento jurídico colombiano contempla previsiones claras para evitar la obtención de beneficios personales en asuntos propios de la administración pública</w:t>
      </w:r>
      <w:r>
        <w:rPr>
          <w:rFonts w:ascii="Verdana" w:eastAsia="Calibri" w:hAnsi="Verdana" w:cs="Arial"/>
          <w:i/>
        </w:rPr>
        <w:t xml:space="preserve">. </w:t>
      </w:r>
      <w:r>
        <w:rPr>
          <w:rFonts w:ascii="Verdana" w:eastAsia="Calibri" w:hAnsi="Verdana" w:cs="Arial"/>
        </w:rPr>
        <w:t>Por ejemplo, el artículo 127 de la Constitución Política establece una prohibición contractual a los servidores públicos y, en cuanto a aspectos políticos, establece restricciones a ciertos empleados del Estado, incluso en época no electoral</w:t>
      </w:r>
      <w:r>
        <w:rPr>
          <w:rFonts w:ascii="Verdana" w:hAnsi="Verdana"/>
          <w:vertAlign w:val="superscript"/>
        </w:rPr>
        <w:footnoteReference w:id="1"/>
      </w:r>
      <w:r>
        <w:rPr>
          <w:rFonts w:ascii="Verdana" w:eastAsia="Calibri" w:hAnsi="Verdana" w:cs="Arial"/>
        </w:rPr>
        <w:t xml:space="preserve">. </w:t>
      </w:r>
    </w:p>
    <w:p w14:paraId="28C9F082" w14:textId="77777777" w:rsidR="008D78B9" w:rsidRDefault="008D78B9" w:rsidP="008D78B9">
      <w:pPr>
        <w:tabs>
          <w:tab w:val="left" w:pos="426"/>
        </w:tabs>
        <w:spacing w:after="0" w:line="276" w:lineRule="auto"/>
        <w:ind w:firstLine="709"/>
        <w:jc w:val="both"/>
        <w:rPr>
          <w:rFonts w:ascii="Verdana" w:eastAsia="Calibri" w:hAnsi="Verdana" w:cs="Arial"/>
          <w:lang w:val="es-ES_tradnl"/>
        </w:rPr>
      </w:pPr>
      <w:r>
        <w:rPr>
          <w:rFonts w:ascii="Verdana" w:eastAsia="Times New Roman" w:hAnsi="Verdana" w:cs="Arial"/>
          <w:lang w:eastAsia="es-CO"/>
        </w:rPr>
        <w:t>En el mismo sentido</w:t>
      </w:r>
      <w:r>
        <w:rPr>
          <w:rFonts w:ascii="Verdana" w:eastAsia="Times New Roman" w:hAnsi="Verdana" w:cs="Arial"/>
          <w:lang w:val="es-MX" w:eastAsia="es-CO"/>
        </w:rPr>
        <w:t xml:space="preserve">, </w:t>
      </w:r>
      <w:bookmarkStart w:id="2" w:name="_Hlk99576829"/>
      <w:r>
        <w:rPr>
          <w:rFonts w:ascii="Verdana" w:eastAsia="Times New Roman" w:hAnsi="Verdana" w:cs="Arial"/>
          <w:lang w:val="es-MX" w:eastAsia="es-CO"/>
        </w:rPr>
        <w:t>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Pr>
          <w:rFonts w:ascii="Verdana" w:eastAsia="Times New Roman" w:hAnsi="Verdana" w:cs="Arial"/>
          <w:vertAlign w:val="superscript"/>
          <w:lang w:val="es-MX" w:eastAsia="es-CO"/>
        </w:rPr>
        <w:footnoteReference w:id="2"/>
      </w:r>
      <w:r>
        <w:rPr>
          <w:rFonts w:ascii="Verdana" w:eastAsia="Times New Roman" w:hAnsi="Verdana" w:cs="Arial"/>
          <w:lang w:val="es-MX" w:eastAsia="es-CO"/>
        </w:rPr>
        <w:t xml:space="preserve">. En </w:t>
      </w:r>
      <w:r>
        <w:rPr>
          <w:rFonts w:ascii="Verdana" w:eastAsia="Times New Roman" w:hAnsi="Verdana" w:cs="Arial"/>
          <w:lang w:val="es-MX" w:eastAsia="es-CO"/>
        </w:rPr>
        <w:lastRenderedPageBreak/>
        <w:t>esta medida, introduce limitaciones para realizar nombramientos, postulaciones, contrataciones o cualquier otro tipo de actividad que implique destinación de recursos públicos bajo el devenir propio de las Entidades Estatales.</w:t>
      </w:r>
      <w:r>
        <w:rPr>
          <w:rFonts w:ascii="Verdana" w:eastAsia="Calibri" w:hAnsi="Verdana" w:cs="Arial"/>
          <w:lang w:val="es-ES_tradnl"/>
        </w:rPr>
        <w:t xml:space="preserve"> </w:t>
      </w:r>
      <w:bookmarkEnd w:id="2"/>
      <w:r>
        <w:rPr>
          <w:rFonts w:ascii="Verdana" w:eastAsia="Times New Roman" w:hAnsi="Verdana" w:cs="Arial"/>
          <w:lang w:val="es-MX" w:eastAsia="es-CO"/>
        </w:rPr>
        <w:t>En armonía con lo anterior, la Corte Constitucional ha abordado la definición de la Ley de Garantías Electorales. De esta manera, explica que tiene como propósito:</w:t>
      </w:r>
    </w:p>
    <w:p w14:paraId="661C7434" w14:textId="77777777" w:rsidR="008D78B9" w:rsidRDefault="008D78B9" w:rsidP="008D78B9">
      <w:pPr>
        <w:spacing w:after="0" w:line="276" w:lineRule="auto"/>
        <w:ind w:right="709"/>
        <w:contextualSpacing/>
        <w:jc w:val="both"/>
        <w:rPr>
          <w:rFonts w:ascii="Verdana" w:eastAsia="Times New Roman" w:hAnsi="Verdana" w:cs="Arial"/>
          <w:lang w:val="es-ES" w:eastAsia="es-CO"/>
        </w:rPr>
      </w:pPr>
    </w:p>
    <w:p w14:paraId="6CA2EBF2" w14:textId="77777777" w:rsidR="008D78B9" w:rsidRDefault="008D78B9" w:rsidP="008D78B9">
      <w:pPr>
        <w:spacing w:after="0" w:line="240" w:lineRule="auto"/>
        <w:ind w:left="709" w:right="709"/>
        <w:contextualSpacing/>
        <w:jc w:val="both"/>
        <w:rPr>
          <w:rFonts w:ascii="Verdana" w:eastAsia="Times New Roman" w:hAnsi="Verdana" w:cs="Arial"/>
          <w:sz w:val="20"/>
          <w:szCs w:val="20"/>
          <w:lang w:val="es-MX" w:eastAsia="es-CO"/>
        </w:rPr>
      </w:pPr>
      <w:r>
        <w:rPr>
          <w:rFonts w:ascii="Verdana" w:eastAsia="Times New Roman" w:hAnsi="Verdana" w:cs="Arial"/>
          <w:sz w:val="20"/>
          <w:szCs w:val="20"/>
          <w:lang w:val="es-ES" w:eastAsia="es-CO"/>
        </w:rPr>
        <w:t xml:space="preserve">“[…] </w:t>
      </w:r>
      <w:r>
        <w:rPr>
          <w:rFonts w:ascii="Verdana" w:eastAsia="Times New Roman" w:hAnsi="Verdana" w:cs="Arial"/>
          <w:sz w:val="20"/>
          <w:szCs w:val="20"/>
          <w:lang w:val="es-MX" w:eastAsia="es-CO"/>
        </w:rPr>
        <w:t>la definición de reglas claras que permitan acceder a los canales de expresión democrática de manera efectiva e igualitaria. El objetivo de una ley de garantías es definir esas reglas.</w:t>
      </w:r>
    </w:p>
    <w:p w14:paraId="414282D3" w14:textId="77777777" w:rsidR="008D78B9" w:rsidRDefault="008D78B9" w:rsidP="008D78B9">
      <w:pPr>
        <w:spacing w:after="0" w:line="240" w:lineRule="auto"/>
        <w:ind w:left="709" w:right="709"/>
        <w:contextualSpacing/>
        <w:jc w:val="both"/>
        <w:rPr>
          <w:rFonts w:ascii="Verdana" w:eastAsia="Times New Roman" w:hAnsi="Verdana" w:cs="Arial"/>
          <w:sz w:val="20"/>
          <w:szCs w:val="20"/>
          <w:lang w:val="es-MX" w:eastAsia="es-CO"/>
        </w:rPr>
      </w:pPr>
      <w:r>
        <w:rPr>
          <w:rFonts w:ascii="Verdana" w:eastAsia="Times New Roman" w:hAnsi="Verdana" w:cs="Arial"/>
          <w:sz w:val="20"/>
          <w:szCs w:val="20"/>
          <w:lang w:val="es-MX" w:eastAsia="es-CO"/>
        </w:rPr>
        <w:t xml:space="preserve">[…] </w:t>
      </w:r>
    </w:p>
    <w:p w14:paraId="2FA19F50" w14:textId="77777777" w:rsidR="008D78B9" w:rsidRDefault="008D78B9" w:rsidP="008D78B9">
      <w:pPr>
        <w:spacing w:after="0" w:line="240" w:lineRule="auto"/>
        <w:ind w:left="709" w:right="709"/>
        <w:contextualSpacing/>
        <w:jc w:val="both"/>
        <w:rPr>
          <w:rFonts w:ascii="Verdana" w:eastAsia="Times New Roman" w:hAnsi="Verdana" w:cs="Arial"/>
          <w:sz w:val="12"/>
          <w:szCs w:val="12"/>
          <w:lang w:val="es-MX" w:eastAsia="es-CO"/>
        </w:rPr>
      </w:pPr>
    </w:p>
    <w:p w14:paraId="66697E8D" w14:textId="77777777" w:rsidR="008D78B9" w:rsidRDefault="008D78B9" w:rsidP="008D78B9">
      <w:pPr>
        <w:spacing w:after="0" w:line="240" w:lineRule="auto"/>
        <w:ind w:left="709" w:right="709"/>
        <w:contextualSpacing/>
        <w:jc w:val="both"/>
        <w:rPr>
          <w:rFonts w:ascii="Verdana" w:eastAsia="Times New Roman" w:hAnsi="Verdana" w:cs="Arial"/>
          <w:sz w:val="20"/>
          <w:szCs w:val="20"/>
          <w:lang w:val="es-MX" w:eastAsia="es-CO"/>
        </w:rPr>
      </w:pPr>
      <w:r>
        <w:rPr>
          <w:rFonts w:ascii="Verdana" w:eastAsia="Times New Roman" w:hAnsi="Verdana" w:cs="Arial"/>
          <w:sz w:val="20"/>
          <w:szCs w:val="20"/>
          <w:lang w:val="es-MX"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Pr>
          <w:rFonts w:ascii="Verdana" w:eastAsia="Calibri" w:hAnsi="Verdana" w:cs="Arial"/>
          <w:sz w:val="20"/>
          <w:szCs w:val="20"/>
          <w:vertAlign w:val="superscript"/>
          <w:lang w:val="es-MX"/>
        </w:rPr>
        <w:footnoteReference w:id="3"/>
      </w:r>
    </w:p>
    <w:p w14:paraId="7828D3CA" w14:textId="77777777" w:rsidR="008D78B9" w:rsidRDefault="008D78B9" w:rsidP="008D78B9">
      <w:pPr>
        <w:spacing w:after="0" w:line="276" w:lineRule="auto"/>
        <w:ind w:firstLine="709"/>
        <w:jc w:val="both"/>
        <w:rPr>
          <w:rFonts w:ascii="Verdana" w:eastAsia="Times New Roman" w:hAnsi="Verdana" w:cs="Arial"/>
          <w:lang w:val="es-MX" w:eastAsia="es-CO"/>
        </w:rPr>
      </w:pPr>
      <w:bookmarkStart w:id="3" w:name="_Hlk78818186"/>
    </w:p>
    <w:p w14:paraId="5151F427" w14:textId="77777777" w:rsidR="008D78B9" w:rsidRDefault="008D78B9" w:rsidP="008D78B9">
      <w:pPr>
        <w:spacing w:after="0" w:line="276" w:lineRule="auto"/>
        <w:ind w:firstLine="709"/>
        <w:jc w:val="both"/>
        <w:rPr>
          <w:rFonts w:ascii="Verdana" w:eastAsia="Times New Roman" w:hAnsi="Verdana" w:cs="Arial"/>
          <w:lang w:val="es-MX" w:eastAsia="es-CO"/>
        </w:rPr>
      </w:pPr>
      <w:r>
        <w:rPr>
          <w:rFonts w:ascii="Verdana" w:eastAsia="Times New Roman" w:hAnsi="Verdana" w:cs="Arial"/>
          <w:lang w:val="es-MX" w:eastAsia="es-CO"/>
        </w:rPr>
        <w:t xml:space="preserve">En este contexto, la Ley de Garantías Electorales establece el marco jurídico para el desarrollo de las elecciones, procurando condiciones de igualdad y transparencia para los aspirantes. Paralelamente, se incluyen restricciones en las actuaciones de los servidores públicos, evitando interferencias en la contienda electoral, así como la posible desviación de recursos públicos en aspiraciones electorales. </w:t>
      </w:r>
      <w:bookmarkEnd w:id="3"/>
      <w:r>
        <w:rPr>
          <w:rFonts w:ascii="Verdana" w:eastAsia="Times New Roman" w:hAnsi="Verdana" w:cs="Arial"/>
          <w:lang w:val="es-MX" w:eastAsia="es-CO"/>
        </w:rPr>
        <w:t>Por ello, varias de las disposiciones de la Ley 996 de 2005, al contener normas prohibitivas, no admiten una interpretación amplia, sino que deben interpretarse restrictivamente. En efecto, la Sala de Consulta y Servicio Civil del Consejo de Estado, precisó:</w:t>
      </w:r>
    </w:p>
    <w:p w14:paraId="50105B1A" w14:textId="77777777" w:rsidR="008D78B9" w:rsidRDefault="008D78B9" w:rsidP="008D78B9">
      <w:pPr>
        <w:spacing w:after="0" w:line="276" w:lineRule="auto"/>
        <w:ind w:firstLine="709"/>
        <w:jc w:val="both"/>
        <w:rPr>
          <w:rFonts w:ascii="Verdana" w:eastAsia="Times New Roman" w:hAnsi="Verdana" w:cs="Arial"/>
          <w:lang w:val="es-MX" w:eastAsia="es-CO"/>
        </w:rPr>
      </w:pPr>
    </w:p>
    <w:p w14:paraId="1E83D39B" w14:textId="77777777" w:rsidR="008D78B9" w:rsidRDefault="008D78B9" w:rsidP="008D78B9">
      <w:pPr>
        <w:spacing w:after="0" w:line="240" w:lineRule="auto"/>
        <w:ind w:left="709" w:right="709"/>
        <w:contextualSpacing/>
        <w:jc w:val="both"/>
        <w:rPr>
          <w:rFonts w:ascii="Verdana" w:eastAsia="Times New Roman" w:hAnsi="Verdana" w:cs="Arial"/>
          <w:sz w:val="20"/>
          <w:szCs w:val="20"/>
          <w:lang w:val="es-MX" w:eastAsia="es-CO"/>
        </w:rPr>
      </w:pPr>
      <w:r>
        <w:rPr>
          <w:rFonts w:ascii="Verdana" w:eastAsia="Times New Roman" w:hAnsi="Verdana" w:cs="Arial"/>
          <w:sz w:val="20"/>
          <w:szCs w:val="20"/>
          <w:lang w:val="es-MX" w:eastAsia="es-CO"/>
        </w:rPr>
        <w:t>“No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legis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4259AF02" w14:textId="77777777" w:rsidR="008D78B9" w:rsidRDefault="008D78B9" w:rsidP="008D78B9">
      <w:pPr>
        <w:spacing w:after="0" w:line="240" w:lineRule="auto"/>
        <w:ind w:right="709"/>
        <w:contextualSpacing/>
        <w:jc w:val="both"/>
        <w:rPr>
          <w:rFonts w:ascii="Verdana" w:eastAsia="Times New Roman" w:hAnsi="Verdana" w:cs="Arial"/>
          <w:sz w:val="12"/>
          <w:szCs w:val="12"/>
          <w:lang w:val="es-MX" w:eastAsia="es-CO"/>
        </w:rPr>
      </w:pPr>
    </w:p>
    <w:p w14:paraId="059BC76E" w14:textId="77777777" w:rsidR="008D78B9" w:rsidRDefault="008D78B9" w:rsidP="008D78B9">
      <w:pPr>
        <w:spacing w:after="0" w:line="240" w:lineRule="auto"/>
        <w:ind w:left="709" w:right="709"/>
        <w:contextualSpacing/>
        <w:jc w:val="both"/>
        <w:rPr>
          <w:rFonts w:ascii="Verdana" w:eastAsia="Times New Roman" w:hAnsi="Verdana" w:cs="Arial"/>
          <w:sz w:val="20"/>
          <w:szCs w:val="20"/>
          <w:lang w:val="es-MX" w:eastAsia="es-CO"/>
        </w:rPr>
      </w:pPr>
      <w:r>
        <w:rPr>
          <w:rFonts w:ascii="Verdana" w:eastAsia="Times New Roman" w:hAnsi="Verdana" w:cs="Arial"/>
          <w:sz w:val="20"/>
          <w:szCs w:val="20"/>
          <w:lang w:val="es-MX" w:eastAsia="es-CO"/>
        </w:rPr>
        <w:t>La jurisprudencia de la Corte Constitucional</w:t>
      </w:r>
      <w:r>
        <w:rPr>
          <w:rFonts w:ascii="Verdana" w:eastAsia="Times New Roman" w:hAnsi="Verdana" w:cs="Arial"/>
          <w:sz w:val="20"/>
          <w:szCs w:val="20"/>
          <w:vertAlign w:val="superscript"/>
          <w:lang w:val="es-MX" w:eastAsia="es-CO"/>
        </w:rPr>
        <w:footnoteReference w:id="4"/>
      </w:r>
      <w:r>
        <w:rPr>
          <w:rFonts w:ascii="Verdana" w:eastAsia="Times New Roman" w:hAnsi="Verdana" w:cs="Arial"/>
          <w:sz w:val="20"/>
          <w:szCs w:val="20"/>
          <w:lang w:val="es-MX" w:eastAsia="es-CO"/>
        </w:rPr>
        <w:t> y del Consejo de Estado</w:t>
      </w:r>
      <w:r>
        <w:rPr>
          <w:rFonts w:ascii="Verdana" w:eastAsia="Times New Roman" w:hAnsi="Verdana" w:cs="Arial"/>
          <w:sz w:val="20"/>
          <w:szCs w:val="20"/>
          <w:vertAlign w:val="superscript"/>
          <w:lang w:val="es-MX" w:eastAsia="es-CO"/>
        </w:rPr>
        <w:footnoteReference w:id="5"/>
      </w:r>
      <w:r>
        <w:rPr>
          <w:rFonts w:ascii="Verdana" w:eastAsia="Times New Roman" w:hAnsi="Verdana" w:cs="Arial"/>
          <w:sz w:val="20"/>
          <w:szCs w:val="20"/>
          <w:lang w:val="es-MX"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Pr>
          <w:rFonts w:ascii="Verdana" w:eastAsia="Times New Roman" w:hAnsi="Verdana" w:cs="Arial"/>
          <w:sz w:val="20"/>
          <w:szCs w:val="20"/>
          <w:vertAlign w:val="superscript"/>
          <w:lang w:val="es-MX" w:eastAsia="es-CO"/>
        </w:rPr>
        <w:footnoteReference w:id="6"/>
      </w:r>
      <w:r>
        <w:rPr>
          <w:rFonts w:ascii="Verdana" w:eastAsia="Times New Roman" w:hAnsi="Verdana" w:cs="Arial"/>
          <w:sz w:val="20"/>
          <w:szCs w:val="20"/>
          <w:lang w:val="es-MX" w:eastAsia="es-CO"/>
        </w:rPr>
        <w:t>.</w:t>
      </w:r>
    </w:p>
    <w:p w14:paraId="443E896C" w14:textId="77777777" w:rsidR="008D78B9" w:rsidRDefault="008D78B9" w:rsidP="008D78B9">
      <w:pPr>
        <w:spacing w:after="0" w:line="276" w:lineRule="auto"/>
        <w:jc w:val="both"/>
        <w:rPr>
          <w:rFonts w:ascii="Verdana" w:eastAsia="Calibri" w:hAnsi="Verdana" w:cs="Arial"/>
          <w:bCs/>
          <w:lang w:val="es-ES_tradnl"/>
        </w:rPr>
      </w:pPr>
    </w:p>
    <w:p w14:paraId="2E2AD27F" w14:textId="77777777" w:rsidR="008D78B9" w:rsidRDefault="008D78B9" w:rsidP="008D78B9">
      <w:pPr>
        <w:spacing w:after="0" w:line="276" w:lineRule="auto"/>
        <w:ind w:firstLine="709"/>
        <w:jc w:val="both"/>
        <w:rPr>
          <w:rFonts w:ascii="Verdana" w:eastAsia="Arial" w:hAnsi="Verdana" w:cs="Arial"/>
          <w:lang w:val="es-ES" w:eastAsia="es-ES" w:bidi="es-ES"/>
        </w:rPr>
      </w:pPr>
      <w:r>
        <w:rPr>
          <w:rFonts w:ascii="Verdana" w:eastAsia="Times New Roman" w:hAnsi="Verdana" w:cs="Arial"/>
          <w:lang w:val="es-MX" w:eastAsia="es-CO"/>
        </w:rPr>
        <w:t>De</w:t>
      </w:r>
      <w:r>
        <w:rPr>
          <w:rFonts w:ascii="Verdana" w:eastAsia="Arial" w:hAnsi="Verdana" w:cs="Arial"/>
          <w:lang w:val="es-ES" w:eastAsia="es-ES" w:bidi="es-ES"/>
        </w:rPr>
        <w:t xml:space="preserve"> conformidad con lo anterior, </w:t>
      </w:r>
      <w:bookmarkStart w:id="4" w:name="_Hlk77236098"/>
      <w:bookmarkStart w:id="5" w:name="_Hlk100679383"/>
      <w:r>
        <w:rPr>
          <w:rFonts w:ascii="Verdana" w:eastAsia="Arial" w:hAnsi="Verdana" w:cs="Arial"/>
          <w:lang w:val="es-ES" w:eastAsia="es-ES" w:bidi="es-ES"/>
        </w:rPr>
        <w:t xml:space="preserve">la Ley de Garantías Electorales estableció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w:t>
      </w:r>
    </w:p>
    <w:p w14:paraId="3BDA18F2" w14:textId="77777777" w:rsidR="008D78B9" w:rsidRDefault="008D78B9" w:rsidP="008D78B9">
      <w:pPr>
        <w:spacing w:after="0" w:line="276" w:lineRule="auto"/>
        <w:ind w:firstLine="709"/>
        <w:jc w:val="both"/>
        <w:rPr>
          <w:rFonts w:ascii="Verdana" w:eastAsia="Arial" w:hAnsi="Verdana" w:cs="Arial"/>
          <w:lang w:val="es-ES" w:eastAsia="es-ES" w:bidi="es-ES"/>
        </w:rPr>
      </w:pPr>
    </w:p>
    <w:p w14:paraId="38FBC857" w14:textId="77777777" w:rsidR="008D78B9" w:rsidRDefault="008D78B9" w:rsidP="008D78B9">
      <w:pPr>
        <w:spacing w:after="120" w:line="276" w:lineRule="auto"/>
        <w:jc w:val="both"/>
        <w:rPr>
          <w:rFonts w:ascii="Verdana" w:eastAsia="Arial" w:hAnsi="Verdana" w:cs="Arial"/>
          <w:lang w:val="es-ES" w:eastAsia="es-ES" w:bidi="es-ES"/>
        </w:rPr>
      </w:pPr>
      <w:proofErr w:type="spellStart"/>
      <w:r>
        <w:rPr>
          <w:rFonts w:ascii="Verdana" w:eastAsia="Arial" w:hAnsi="Verdana" w:cs="Arial"/>
          <w:lang w:val="es-ES" w:eastAsia="es-ES" w:bidi="es-ES"/>
        </w:rPr>
        <w:t>ii</w:t>
      </w:r>
      <w:proofErr w:type="spellEnd"/>
      <w:r>
        <w:rPr>
          <w:rFonts w:ascii="Verdana" w:eastAsia="Arial" w:hAnsi="Verdana" w:cs="Arial"/>
          <w:lang w:val="es-ES" w:eastAsia="es-ES" w:bidi="es-ES"/>
        </w:rPr>
        <w:t>. Precisado el propósito de la Ley, es pertinente señalar que las restricciones consagradas en la citada Ley se dirigen a dos (2) tipos de campañas electorales claramente diferenciadas: las presidenciales y las demás que se adelanten para la elección de los demás cargos de elección popular, tanto a nivel nacional como territorial.</w:t>
      </w:r>
      <w:bookmarkEnd w:id="4"/>
    </w:p>
    <w:p w14:paraId="2E4195F0" w14:textId="77777777" w:rsidR="008D78B9" w:rsidRDefault="008D78B9" w:rsidP="008D78B9">
      <w:pPr>
        <w:spacing w:after="120" w:line="276" w:lineRule="auto"/>
        <w:ind w:firstLine="708"/>
        <w:jc w:val="both"/>
        <w:rPr>
          <w:rFonts w:ascii="Verdana" w:eastAsia="Calibri" w:hAnsi="Verdana" w:cs="Arial"/>
        </w:rPr>
      </w:pPr>
      <w:r>
        <w:rPr>
          <w:rFonts w:ascii="Verdana" w:eastAsia="Calibri" w:hAnsi="Verdana" w:cs="Arial"/>
        </w:rPr>
        <w:t xml:space="preserve">Por un lado, el </w:t>
      </w:r>
      <w:r>
        <w:rPr>
          <w:rFonts w:ascii="Verdana" w:eastAsia="Calibri" w:hAnsi="Verdana" w:cs="Arial"/>
          <w:i/>
          <w:iCs/>
        </w:rPr>
        <w:t>artículo 33 de la Ley 996 de 2005</w:t>
      </w:r>
      <w:r>
        <w:rPr>
          <w:rFonts w:ascii="Verdana" w:eastAsia="Calibri" w:hAnsi="Verdana" w:cs="Arial"/>
        </w:rPr>
        <w:t xml:space="preserve">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w:t>
      </w:r>
      <w:r>
        <w:rPr>
          <w:rFonts w:ascii="Verdana" w:eastAsia="Calibri" w:hAnsi="Verdana" w:cs="Arial"/>
        </w:rPr>
        <w:lastRenderedPageBreak/>
        <w:t>acciones terroristas, desastres naturales o casos de fuerza mayor, y los que deban realizar las entidades sanitarias y hospitalarias”</w:t>
      </w:r>
      <w:r>
        <w:rPr>
          <w:vertAlign w:val="superscript"/>
        </w:rPr>
        <w:footnoteReference w:id="7"/>
      </w:r>
      <w:r>
        <w:rPr>
          <w:rFonts w:ascii="Verdana" w:eastAsia="Calibri" w:hAnsi="Verdana" w:cs="Arial"/>
        </w:rPr>
        <w:t>.</w:t>
      </w:r>
    </w:p>
    <w:p w14:paraId="2521D3FB" w14:textId="77777777" w:rsidR="008D78B9" w:rsidRDefault="008D78B9" w:rsidP="008D78B9">
      <w:pPr>
        <w:widowControl w:val="0"/>
        <w:autoSpaceDE w:val="0"/>
        <w:autoSpaceDN w:val="0"/>
        <w:spacing w:after="120" w:line="276" w:lineRule="auto"/>
        <w:ind w:right="113" w:firstLine="709"/>
        <w:jc w:val="both"/>
        <w:rPr>
          <w:rFonts w:ascii="Verdana" w:eastAsia="Arial" w:hAnsi="Verdana" w:cs="Arial"/>
          <w:lang w:val="es-ES" w:eastAsia="es-ES" w:bidi="es-ES"/>
        </w:rPr>
      </w:pPr>
      <w:r>
        <w:rPr>
          <w:rFonts w:ascii="Verdana" w:eastAsia="Calibri" w:hAnsi="Verdana" w:cs="Arial"/>
        </w:rPr>
        <w:t xml:space="preserve">Por otro lado, </w:t>
      </w:r>
      <w:r>
        <w:rPr>
          <w:rFonts w:ascii="Verdana" w:eastAsia="Calibri" w:hAnsi="Verdana" w:cs="Arial"/>
          <w:i/>
          <w:iCs/>
        </w:rPr>
        <w:t>el parágrafo del artículo 38 de la Ley 996 de 2005</w:t>
      </w:r>
      <w:r>
        <w:rPr>
          <w:rFonts w:ascii="Verdana" w:eastAsia="Calibri" w:hAnsi="Verdana" w:cs="Arial"/>
        </w:rPr>
        <w:t xml:space="preserve"> prevé una restricción, aplicable respecto de cualquier tipo de contienda electoral, que prohíbe a los gobernadores, alcaldes municipales o distritales, secretarios, gerentes y directores de entidades descentralizadas del orden municipal, departamental o distrital “[…] </w:t>
      </w:r>
      <w:r>
        <w:rPr>
          <w:rFonts w:ascii="Verdana" w:eastAsia="Calibri" w:hAnsi="Verdana" w:cs="Arial"/>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Pr>
          <w:rFonts w:ascii="Verdana" w:eastAsia="Calibri" w:hAnsi="Verdana" w:cs="Arial"/>
        </w:rPr>
        <w:t>”</w:t>
      </w:r>
      <w:bookmarkEnd w:id="5"/>
      <w:r>
        <w:rPr>
          <w:rFonts w:ascii="Verdana" w:eastAsia="Calibri" w:hAnsi="Verdana" w:cs="Arial"/>
          <w:vertAlign w:val="superscript"/>
        </w:rPr>
        <w:footnoteReference w:id="8"/>
      </w:r>
      <w:r>
        <w:rPr>
          <w:rFonts w:ascii="Verdana" w:eastAsia="Calibri" w:hAnsi="Verdana" w:cs="Arial"/>
          <w:lang w:val="es-MX"/>
        </w:rPr>
        <w:t>.</w:t>
      </w:r>
      <w:r>
        <w:rPr>
          <w:rFonts w:ascii="Verdana" w:eastAsia="Arial" w:hAnsi="Verdana" w:cs="Arial"/>
          <w:lang w:val="es-ES" w:eastAsia="es-ES" w:bidi="es-ES"/>
        </w:rPr>
        <w:t xml:space="preserve"> </w:t>
      </w:r>
    </w:p>
    <w:p w14:paraId="1DCE1C14" w14:textId="77777777" w:rsidR="008D78B9" w:rsidRDefault="008D78B9" w:rsidP="008D78B9">
      <w:pPr>
        <w:spacing w:after="120" w:line="276" w:lineRule="auto"/>
        <w:ind w:firstLine="708"/>
        <w:jc w:val="both"/>
        <w:rPr>
          <w:rFonts w:ascii="Verdana" w:eastAsia="Times New Roman" w:hAnsi="Verdana" w:cs="Arial"/>
          <w:bCs/>
          <w:lang w:eastAsia="es-CO"/>
        </w:rPr>
      </w:pPr>
      <w:r>
        <w:rPr>
          <w:rFonts w:ascii="Verdana" w:eastAsia="Times New Roman" w:hAnsi="Verdana" w:cs="Arial"/>
          <w:bCs/>
          <w:lang w:val="es-MX" w:eastAsia="es-CO"/>
        </w:rPr>
        <w:t>Para entender el momento de aplicación de estas restricciones, es preciso señalar que el vocablo “celebrar” es definido por el Diccionario Panhispánico del Español Jurídico como: “</w:t>
      </w:r>
      <w:r>
        <w:rPr>
          <w:rFonts w:ascii="Verdana" w:eastAsia="Times New Roman" w:hAnsi="Verdana" w:cs="Arial"/>
          <w:bCs/>
          <w:lang w:eastAsia="es-CO"/>
        </w:rPr>
        <w:t>1. </w:t>
      </w:r>
      <w:r>
        <w:rPr>
          <w:rFonts w:ascii="Verdana" w:eastAsia="Times New Roman" w:hAnsi="Verdana" w:cs="Arial"/>
          <w:bCs/>
          <w:i/>
          <w:iCs/>
          <w:lang w:eastAsia="es-CO"/>
        </w:rPr>
        <w:t>Gral.</w:t>
      </w:r>
      <w:r>
        <w:rPr>
          <w:rFonts w:ascii="Verdana" w:eastAsia="Times New Roman" w:hAnsi="Verdana" w:cs="Arial"/>
          <w:bCs/>
          <w:lang w:eastAsia="es-CO"/>
        </w:rPr>
        <w:t xml:space="preserve"> Otorgar o firmar un contrato. 2. </w:t>
      </w:r>
      <w:proofErr w:type="spellStart"/>
      <w:r>
        <w:rPr>
          <w:rFonts w:ascii="Verdana" w:eastAsia="Times New Roman" w:hAnsi="Verdana" w:cs="Arial"/>
          <w:bCs/>
          <w:i/>
          <w:iCs/>
          <w:lang w:eastAsia="es-CO"/>
        </w:rPr>
        <w:t>Proc</w:t>
      </w:r>
      <w:proofErr w:type="spellEnd"/>
      <w:r>
        <w:rPr>
          <w:rFonts w:ascii="Verdana" w:eastAsia="Times New Roman" w:hAnsi="Verdana" w:cs="Arial"/>
          <w:bCs/>
          <w:i/>
          <w:iCs/>
          <w:lang w:eastAsia="es-CO"/>
        </w:rPr>
        <w:t>.</w:t>
      </w:r>
      <w:r>
        <w:rPr>
          <w:rFonts w:ascii="Verdana" w:eastAsia="Times New Roman" w:hAnsi="Verdana" w:cs="Arial"/>
          <w:bCs/>
          <w:lang w:eastAsia="es-CO"/>
        </w:rPr>
        <w:t xml:space="preserve"> Realizar los actos procesales propios de un juicio o vista”. Dentro de las dos definiciones, la que se acerca a la expresión “celebrar” en el contexto de la Ley de Garantías Electorales es la primera, esto es, al perfeccionamiento del contrato. </w:t>
      </w:r>
    </w:p>
    <w:p w14:paraId="0717E138" w14:textId="77777777" w:rsidR="008D78B9" w:rsidRDefault="008D78B9" w:rsidP="008D78B9">
      <w:pPr>
        <w:spacing w:after="120" w:line="276" w:lineRule="auto"/>
        <w:ind w:firstLine="708"/>
        <w:jc w:val="both"/>
        <w:rPr>
          <w:rFonts w:ascii="Verdana" w:eastAsia="Times New Roman" w:hAnsi="Verdana" w:cs="Arial"/>
          <w:bCs/>
          <w:lang w:val="es-ES" w:eastAsia="es-CO"/>
        </w:rPr>
      </w:pPr>
      <w:r>
        <w:rPr>
          <w:rFonts w:ascii="Verdana" w:eastAsia="Times New Roman" w:hAnsi="Verdana" w:cs="Arial"/>
          <w:bCs/>
          <w:lang w:eastAsia="es-CO"/>
        </w:rPr>
        <w:t xml:space="preserve">En efecto, el concepto de celebración en el marco de la contratación estatal se relaciona con el perfeccionamiento, es decir, con los requisitos para que exista un contrato estatal. Al respecto, se destaca que en entidades sometidas al Estatuto General de Contratación de la Administración Pública </w:t>
      </w:r>
      <w:r>
        <w:rPr>
          <w:rFonts w:ascii="Verdana" w:eastAsia="Times New Roman" w:hAnsi="Verdana" w:cs="Arial"/>
          <w:bCs/>
          <w:lang w:val="es-ES" w:eastAsia="es-CO"/>
        </w:rPr>
        <w:t xml:space="preserve">la existencia de los contratos estatales, es decir, la producción de efectos jurídicos en los términos del artículo 1501 </w:t>
      </w:r>
      <w:proofErr w:type="spellStart"/>
      <w:r>
        <w:rPr>
          <w:rFonts w:ascii="Verdana" w:eastAsia="Times New Roman" w:hAnsi="Verdana" w:cs="Arial"/>
          <w:bCs/>
          <w:i/>
          <w:lang w:val="es-ES" w:eastAsia="es-CO"/>
        </w:rPr>
        <w:t>ibídem</w:t>
      </w:r>
      <w:proofErr w:type="spellEnd"/>
      <w:r>
        <w:rPr>
          <w:rFonts w:ascii="Verdana" w:eastAsia="Times New Roman" w:hAnsi="Verdana" w:cs="Arial"/>
          <w:bCs/>
          <w:lang w:val="es-ES" w:eastAsia="es-CO"/>
        </w:rPr>
        <w:t xml:space="preserve">, depende de la regulación del inciso primero de los artículos 39 y 41 de la Ley 80 de 1993. Por un lado, “Los contratos que celebren las entidades estatales constarán por escrito y no requerirán ser </w:t>
      </w:r>
      <w:r>
        <w:rPr>
          <w:rFonts w:ascii="Verdana" w:eastAsia="Times New Roman" w:hAnsi="Verdana" w:cs="Arial"/>
          <w:bCs/>
          <w:lang w:val="es-ES" w:eastAsia="es-CO"/>
        </w:rPr>
        <w:lastRenderedPageBreak/>
        <w:t xml:space="preserve">elevados a escritura pública, con excepción de aquellos que impliquen mutación del dominio o imposición de gravámenes y servidumbres sobre bienes inmuebles y, en general, aquellos que conforme a las normas legales vigentes deban cumplir con dicha formalidad”. Por otra parte, “Los contratos del Estado se perfeccionan cuando se logre acuerdo sobre el objeto y la contraprestación y éste se eleve a escrito”. </w:t>
      </w:r>
    </w:p>
    <w:p w14:paraId="3A27CC6E" w14:textId="77777777" w:rsidR="008D78B9" w:rsidRDefault="008D78B9" w:rsidP="008D78B9">
      <w:pPr>
        <w:spacing w:after="120" w:line="276" w:lineRule="auto"/>
        <w:ind w:firstLine="708"/>
        <w:jc w:val="both"/>
        <w:rPr>
          <w:rFonts w:ascii="Verdana" w:eastAsia="Times New Roman" w:hAnsi="Verdana" w:cs="Arial"/>
          <w:bCs/>
          <w:lang w:val="es-ES" w:eastAsia="es-CO"/>
        </w:rPr>
      </w:pPr>
      <w:r>
        <w:rPr>
          <w:rFonts w:ascii="Verdana" w:eastAsia="Times New Roman" w:hAnsi="Verdana" w:cs="Arial"/>
          <w:bCs/>
          <w:lang w:val="es-ES" w:eastAsia="es-CO"/>
        </w:rPr>
        <w:t xml:space="preserve">De este modo, esta Agencia precisa que el concepto “celebrar” para efectos de las restricciones en la contratación dispuesta por la Ley de Garantías Electorales se refiere a los requisitos de perfeccionamiento del contrato estatal. Por tanto, no se refiere a los requisitos de ejecución, es decir, aquellas condiciones para iniciar un contrato, como es la aprobación de las garantías o el registro presupuestal, o en algunos casos, la firma del acta de inicio, si así se determinó. </w:t>
      </w:r>
    </w:p>
    <w:p w14:paraId="23DA5C73" w14:textId="77777777" w:rsidR="008D78B9" w:rsidRDefault="008D78B9" w:rsidP="008D78B9">
      <w:pPr>
        <w:spacing w:after="120" w:line="276" w:lineRule="auto"/>
        <w:ind w:firstLine="708"/>
        <w:jc w:val="both"/>
        <w:rPr>
          <w:rFonts w:ascii="Verdana" w:eastAsia="Times New Roman" w:hAnsi="Verdana" w:cs="Arial"/>
          <w:bCs/>
          <w:lang w:val="es-ES" w:eastAsia="es-CO"/>
        </w:rPr>
      </w:pPr>
      <w:r>
        <w:rPr>
          <w:rFonts w:ascii="Verdana" w:eastAsia="Times New Roman" w:hAnsi="Verdana" w:cs="Arial"/>
          <w:bCs/>
          <w:lang w:val="es-ES" w:eastAsia="es-CO"/>
        </w:rPr>
        <w:t xml:space="preserve">Así mismo, </w:t>
      </w:r>
      <w:r>
        <w:rPr>
          <w:rFonts w:ascii="Verdana" w:eastAsia="Times New Roman" w:hAnsi="Verdana" w:cs="Arial"/>
          <w:bCs/>
          <w:lang w:val="es-MX" w:eastAsia="es-CO"/>
        </w:rPr>
        <w:t xml:space="preserve">como en otras oportunidades lo ha manifestado esta Agencia, las prórrogas, modificaciones o adiciones de los contratos suscritos antes de la </w:t>
      </w:r>
      <w:proofErr w:type="gramStart"/>
      <w:r>
        <w:rPr>
          <w:rFonts w:ascii="Verdana" w:eastAsia="Times New Roman" w:hAnsi="Verdana" w:cs="Arial"/>
          <w:bCs/>
          <w:lang w:val="es-MX" w:eastAsia="es-CO"/>
        </w:rPr>
        <w:t>entrada en vigencia</w:t>
      </w:r>
      <w:proofErr w:type="gramEnd"/>
      <w:r>
        <w:rPr>
          <w:rFonts w:ascii="Verdana" w:eastAsia="Times New Roman" w:hAnsi="Verdana" w:cs="Arial"/>
          <w:bCs/>
          <w:lang w:val="es-MX" w:eastAsia="es-CO"/>
        </w:rPr>
        <w:t xml:space="preserve"> de las prohibiciones anotadas, así como la cesión de los mismos, pueden tener lugar en el período de aplicación de la Ley de Garantías, sin que ello haga nugatoria la restricción de la contratación directa y siempre que cumplan los principios de planeación, transparencia y responsabilidad</w:t>
      </w:r>
      <w:r>
        <w:rPr>
          <w:rFonts w:ascii="Verdana" w:eastAsia="Times New Roman" w:hAnsi="Verdana" w:cs="Arial"/>
          <w:bCs/>
          <w:vertAlign w:val="superscript"/>
          <w:lang w:val="es-MX" w:eastAsia="es-CO"/>
        </w:rPr>
        <w:footnoteReference w:id="9"/>
      </w:r>
      <w:r>
        <w:rPr>
          <w:rFonts w:ascii="Verdana" w:eastAsia="Times New Roman" w:hAnsi="Verdana" w:cs="Arial"/>
          <w:bCs/>
          <w:lang w:val="es-MX" w:eastAsia="es-CO"/>
        </w:rPr>
        <w:t xml:space="preserve">. </w:t>
      </w:r>
    </w:p>
    <w:p w14:paraId="0B195C02" w14:textId="77777777" w:rsidR="008D78B9" w:rsidRDefault="008D78B9" w:rsidP="008D78B9">
      <w:pPr>
        <w:widowControl w:val="0"/>
        <w:autoSpaceDE w:val="0"/>
        <w:autoSpaceDN w:val="0"/>
        <w:spacing w:after="0" w:line="276" w:lineRule="auto"/>
        <w:ind w:right="113" w:firstLine="708"/>
        <w:contextualSpacing/>
        <w:jc w:val="both"/>
        <w:rPr>
          <w:rFonts w:ascii="Verdana" w:eastAsia="Arial" w:hAnsi="Verdana" w:cs="Arial"/>
          <w:lang w:val="es-ES" w:eastAsia="es-ES" w:bidi="es-ES"/>
        </w:rPr>
      </w:pPr>
      <w:r>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considera:</w:t>
      </w:r>
    </w:p>
    <w:p w14:paraId="66EB5CFD" w14:textId="77777777" w:rsidR="008D78B9" w:rsidRDefault="008D78B9" w:rsidP="008D78B9">
      <w:pPr>
        <w:widowControl w:val="0"/>
        <w:autoSpaceDE w:val="0"/>
        <w:autoSpaceDN w:val="0"/>
        <w:spacing w:after="0" w:line="276" w:lineRule="auto"/>
        <w:ind w:left="805" w:right="812"/>
        <w:contextualSpacing/>
        <w:jc w:val="both"/>
        <w:rPr>
          <w:rFonts w:ascii="Verdana" w:eastAsia="Arial" w:hAnsi="Verdana" w:cs="Arial"/>
          <w:lang w:val="es-ES" w:eastAsia="es-ES" w:bidi="es-ES"/>
        </w:rPr>
      </w:pPr>
    </w:p>
    <w:p w14:paraId="6E5B52D0" w14:textId="77777777" w:rsidR="008D78B9" w:rsidRDefault="008D78B9" w:rsidP="008D78B9">
      <w:pPr>
        <w:widowControl w:val="0"/>
        <w:autoSpaceDE w:val="0"/>
        <w:autoSpaceDN w:val="0"/>
        <w:spacing w:after="0" w:line="240" w:lineRule="auto"/>
        <w:ind w:left="709" w:right="709"/>
        <w:jc w:val="both"/>
        <w:rPr>
          <w:rFonts w:ascii="Verdana" w:eastAsia="Arial" w:hAnsi="Verdana" w:cs="Arial"/>
          <w:sz w:val="20"/>
          <w:szCs w:val="20"/>
          <w:lang w:eastAsia="es-ES" w:bidi="es-ES"/>
        </w:rPr>
      </w:pPr>
      <w:r>
        <w:rPr>
          <w:rFonts w:ascii="Verdana" w:eastAsia="Arial" w:hAnsi="Verdana" w:cs="Arial"/>
          <w:sz w:val="20"/>
          <w:szCs w:val="20"/>
          <w:lang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w:t>
      </w:r>
      <w:bookmarkStart w:id="8" w:name="_Hlk76109421"/>
      <w:r>
        <w:rPr>
          <w:rFonts w:ascii="Verdana" w:eastAsia="Arial" w:hAnsi="Verdana" w:cs="Arial"/>
          <w:sz w:val="20"/>
          <w:szCs w:val="20"/>
          <w:lang w:eastAsia="es-ES" w:bidi="es-ES"/>
        </w:rPr>
        <w:t>se integran parcialmente</w:t>
      </w:r>
      <w:bookmarkEnd w:id="8"/>
      <w:r>
        <w:rPr>
          <w:rFonts w:ascii="Verdana" w:eastAsia="Arial" w:hAnsi="Verdana" w:cs="Arial"/>
          <w:sz w:val="20"/>
          <w:szCs w:val="20"/>
          <w:lang w:eastAsia="es-ES" w:bidi="es-ES"/>
        </w:rPr>
        <w:t xml:space="preserv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Presidente de la República, a las autoridades territoriales allí mencionadas sólo se aplican las restricciones </w:t>
      </w:r>
      <w:r>
        <w:rPr>
          <w:rFonts w:ascii="Verdana" w:eastAsia="Arial" w:hAnsi="Verdana" w:cs="Arial"/>
          <w:sz w:val="20"/>
          <w:szCs w:val="20"/>
          <w:lang w:eastAsia="es-ES" w:bidi="es-ES"/>
        </w:rPr>
        <w:lastRenderedPageBreak/>
        <w:t>contenidas en el parágrafo del artículo 38”.</w:t>
      </w:r>
      <w:r>
        <w:rPr>
          <w:rFonts w:ascii="Verdana" w:eastAsia="Arial" w:hAnsi="Verdana" w:cs="Arial"/>
          <w:sz w:val="20"/>
          <w:szCs w:val="20"/>
          <w:vertAlign w:val="superscript"/>
          <w:lang w:eastAsia="es-ES" w:bidi="es-ES"/>
        </w:rPr>
        <w:footnoteReference w:id="10"/>
      </w:r>
    </w:p>
    <w:p w14:paraId="4084EDE6" w14:textId="77777777" w:rsidR="008D78B9" w:rsidRDefault="008D78B9" w:rsidP="008D78B9">
      <w:pPr>
        <w:widowControl w:val="0"/>
        <w:autoSpaceDE w:val="0"/>
        <w:autoSpaceDN w:val="0"/>
        <w:spacing w:line="276" w:lineRule="auto"/>
        <w:contextualSpacing/>
        <w:rPr>
          <w:rFonts w:ascii="Verdana" w:eastAsia="Arial" w:hAnsi="Verdana" w:cs="Arial"/>
          <w:lang w:val="es-ES" w:eastAsia="es-ES" w:bidi="es-ES"/>
        </w:rPr>
      </w:pPr>
    </w:p>
    <w:p w14:paraId="46A75F74" w14:textId="77777777" w:rsidR="008D78B9" w:rsidRDefault="008D78B9" w:rsidP="008D78B9">
      <w:pPr>
        <w:spacing w:after="120" w:line="276" w:lineRule="auto"/>
        <w:ind w:firstLine="709"/>
        <w:jc w:val="both"/>
        <w:rPr>
          <w:rFonts w:ascii="Verdana" w:eastAsia="Arial" w:hAnsi="Verdana" w:cs="Arial"/>
          <w:lang w:val="es-ES" w:eastAsia="es-ES" w:bidi="es-ES"/>
        </w:rPr>
      </w:pPr>
      <w:r>
        <w:rPr>
          <w:rFonts w:ascii="Verdana" w:eastAsia="Arial" w:hAnsi="Verdana" w:cs="Arial"/>
          <w:lang w:val="es-ES" w:eastAsia="es-ES" w:bidi="es-ES"/>
        </w:rPr>
        <w:t xml:space="preserve">De conformidad con lo anterior, </w:t>
      </w:r>
      <w:bookmarkStart w:id="9" w:name="_Hlk77236420"/>
      <w:bookmarkStart w:id="10" w:name="_Hlk78818435"/>
      <w:bookmarkStart w:id="11" w:name="_Hlk75780333"/>
      <w:r>
        <w:rPr>
          <w:rFonts w:ascii="Verdana" w:eastAsia="Arial" w:hAnsi="Verdana" w:cs="Arial"/>
          <w:lang w:val="es-ES" w:eastAsia="es-ES" w:bidi="es-ES"/>
        </w:rPr>
        <w:t xml:space="preserve">la Ley 996 de 2005 establece dos (2) tipos de restricciones en materia de contratación, las cuales coinciden parcialmente. </w:t>
      </w:r>
      <w:r>
        <w:rPr>
          <w:rFonts w:ascii="Verdana" w:eastAsia="Arial" w:hAnsi="Verdana" w:cs="Arial"/>
          <w:i/>
          <w:lang w:val="es-ES" w:eastAsia="es-ES" w:bidi="es-ES"/>
        </w:rPr>
        <w:t>En primer lugar</w:t>
      </w:r>
      <w:r>
        <w:rPr>
          <w:rFonts w:ascii="Verdana" w:eastAsia="Arial" w:hAnsi="Verdana" w:cs="Arial"/>
          <w:lang w:val="es-ES" w:eastAsia="es-ES" w:bidi="es-ES"/>
        </w:rPr>
        <w:t xml:space="preserve">, la del artículo 33 que aplica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Pr>
          <w:rFonts w:ascii="Verdana" w:eastAsia="Arial" w:hAnsi="Verdana" w:cs="Arial"/>
          <w:i/>
          <w:lang w:val="es-ES" w:eastAsia="es-ES" w:bidi="es-ES"/>
        </w:rPr>
        <w:t>En segundo lugar</w:t>
      </w:r>
      <w:r>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bookmarkEnd w:id="9"/>
    </w:p>
    <w:bookmarkEnd w:id="10"/>
    <w:p w14:paraId="1E05C93F" w14:textId="77777777" w:rsidR="008D78B9" w:rsidRDefault="008D78B9" w:rsidP="008D78B9">
      <w:pPr>
        <w:spacing w:after="120" w:line="276" w:lineRule="auto"/>
        <w:ind w:firstLine="709"/>
        <w:jc w:val="both"/>
        <w:rPr>
          <w:rFonts w:ascii="Verdana" w:eastAsia="Arial" w:hAnsi="Verdana" w:cs="Arial"/>
          <w:lang w:val="es-ES" w:eastAsia="es-ES" w:bidi="es-ES"/>
        </w:rPr>
      </w:pPr>
      <w:r>
        <w:rPr>
          <w:rFonts w:ascii="Verdana" w:eastAsia="Arial" w:hAnsi="Verdana" w:cs="Arial"/>
          <w:lang w:val="es-ES" w:eastAsia="es-ES" w:bidi="es-ES"/>
        </w:rPr>
        <w:t xml:space="preserve">Ambas restricciones no son excluyentes, lo que permite concluir que, en el período preelectoral para elección de </w:t>
      </w:r>
      <w:proofErr w:type="gramStart"/>
      <w:r>
        <w:rPr>
          <w:rFonts w:ascii="Verdana" w:eastAsia="Arial" w:hAnsi="Verdana" w:cs="Arial"/>
          <w:lang w:val="es-ES" w:eastAsia="es-ES" w:bidi="es-ES"/>
        </w:rPr>
        <w:t>Presidente</w:t>
      </w:r>
      <w:proofErr w:type="gramEnd"/>
      <w:r>
        <w:rPr>
          <w:rFonts w:ascii="Verdana" w:eastAsia="Arial" w:hAnsi="Verdana" w:cs="Arial"/>
          <w:lang w:val="es-ES" w:eastAsia="es-ES" w:bidi="es-ES"/>
        </w:rPr>
        <w:t xml:space="preserve"> de la República, a todos los entes del Estado, incluidos los territoriales, aplican las restricciones del artículo 33 con sus excepciones, así como las del parágrafo del artículo 38. En cambio, tratándose de elecciones en general, excluyendo las correspondientes al </w:t>
      </w:r>
      <w:proofErr w:type="gramStart"/>
      <w:r>
        <w:rPr>
          <w:rFonts w:ascii="Verdana" w:eastAsia="Arial" w:hAnsi="Verdana" w:cs="Arial"/>
          <w:lang w:val="es-ES" w:eastAsia="es-ES" w:bidi="es-ES"/>
        </w:rPr>
        <w:t>Presidente</w:t>
      </w:r>
      <w:proofErr w:type="gramEnd"/>
      <w:r>
        <w:rPr>
          <w:rFonts w:ascii="Verdana" w:eastAsia="Arial" w:hAnsi="Verdana" w:cs="Arial"/>
          <w:lang w:val="es-ES" w:eastAsia="es-ES" w:bidi="es-ES"/>
        </w:rPr>
        <w:t xml:space="preserve"> de la República, las autoridades allí mencionadas sólo deben aplicar las restricciones contenidas en el parágrafo del artículo 38.</w:t>
      </w:r>
    </w:p>
    <w:bookmarkEnd w:id="11"/>
    <w:p w14:paraId="5F064323" w14:textId="77777777" w:rsidR="008D78B9" w:rsidRDefault="008D78B9" w:rsidP="008D78B9">
      <w:pPr>
        <w:spacing w:after="0" w:line="276" w:lineRule="auto"/>
        <w:ind w:firstLine="709"/>
        <w:jc w:val="both"/>
        <w:rPr>
          <w:rFonts w:ascii="Verdana" w:eastAsia="Arial" w:hAnsi="Verdana" w:cs="Arial"/>
          <w:lang w:val="es-ES" w:eastAsia="es-ES" w:bidi="es-ES"/>
        </w:rPr>
      </w:pPr>
      <w:r>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w:t>
      </w:r>
      <w:proofErr w:type="gramStart"/>
      <w:r>
        <w:rPr>
          <w:rFonts w:ascii="Verdana" w:eastAsia="Arial" w:hAnsi="Verdana" w:cs="Arial"/>
          <w:lang w:val="es-ES" w:eastAsia="es-ES" w:bidi="es-ES"/>
        </w:rPr>
        <w:t>Presidente</w:t>
      </w:r>
      <w:proofErr w:type="gramEnd"/>
      <w:r>
        <w:rPr>
          <w:rFonts w:ascii="Verdana" w:eastAsia="Arial" w:hAnsi="Verdana" w:cs="Arial"/>
          <w:lang w:val="es-ES" w:eastAsia="es-ES" w:bidi="es-ES"/>
        </w:rPr>
        <w:t xml:space="preserve"> o el Vicepresidente desde que éstos –estando en ejercicio de su cargo– manifiesten el interés de ser candidato presidencial, lo cual debe ocurrir seis (6) meses antes de la elección en primera vuelta, de acuerdo con el artículo 9 de la Ley 996 de 2005. Sin embargo, el condicionamiento impuesto por la Corte Constitucional, relacionado con el momento en que estas restricciones empiezan a regir para el </w:t>
      </w:r>
      <w:proofErr w:type="gramStart"/>
      <w:r>
        <w:rPr>
          <w:rFonts w:ascii="Verdana" w:eastAsia="Arial" w:hAnsi="Verdana" w:cs="Arial"/>
          <w:lang w:val="es-ES" w:eastAsia="es-ES" w:bidi="es-ES"/>
        </w:rPr>
        <w:t>Presidente</w:t>
      </w:r>
      <w:proofErr w:type="gramEnd"/>
      <w:r>
        <w:rPr>
          <w:rFonts w:ascii="Verdana" w:eastAsia="Arial" w:hAnsi="Verdana" w:cs="Arial"/>
          <w:lang w:val="es-ES" w:eastAsia="es-ES" w:bidi="es-ES"/>
        </w:rPr>
        <w:t xml:space="preserve"> y el Vicepresidente de la República, ha perdido vigencia ante la prohibición de la </w:t>
      </w:r>
      <w:r>
        <w:rPr>
          <w:rFonts w:ascii="Verdana" w:eastAsia="Arial" w:hAnsi="Verdana" w:cs="Arial"/>
          <w:lang w:val="es-ES" w:eastAsia="es-ES" w:bidi="es-ES"/>
        </w:rPr>
        <w:lastRenderedPageBreak/>
        <w:t xml:space="preserve">reelección presidencial, restablecida por el Acto Legislativo 2 de 2015. Esto excepto para el </w:t>
      </w:r>
      <w:proofErr w:type="gramStart"/>
      <w:r>
        <w:rPr>
          <w:rFonts w:ascii="Verdana" w:eastAsia="Arial" w:hAnsi="Verdana" w:cs="Arial"/>
          <w:lang w:val="es-ES" w:eastAsia="es-ES" w:bidi="es-ES"/>
        </w:rPr>
        <w:t>Vicepresidente</w:t>
      </w:r>
      <w:proofErr w:type="gramEnd"/>
      <w:r>
        <w:rPr>
          <w:rFonts w:ascii="Verdana" w:eastAsia="Arial" w:hAnsi="Verdana" w:cs="Arial"/>
          <w:lang w:val="es-ES" w:eastAsia="es-ES" w:bidi="es-ES"/>
        </w:rPr>
        <w:t xml:space="preserve"> que no haya ejercido la presidencia o que la haya ejercido por un tiempo inferior a tres (3) meses durante el respectivo cuatrienio, en forma continua o discontinua, conforme al artículo 197 de la Constitución Política. </w:t>
      </w:r>
    </w:p>
    <w:p w14:paraId="0E4A79F9" w14:textId="77777777" w:rsidR="008D78B9" w:rsidRDefault="008D78B9" w:rsidP="008D78B9">
      <w:pPr>
        <w:spacing w:after="0" w:line="276" w:lineRule="auto"/>
        <w:ind w:firstLine="708"/>
        <w:jc w:val="both"/>
        <w:rPr>
          <w:rFonts w:ascii="Verdana" w:eastAsia="Arial" w:hAnsi="Verdana" w:cs="Arial"/>
          <w:lang w:val="es-ES" w:eastAsia="es-ES" w:bidi="es-ES"/>
        </w:rPr>
      </w:pPr>
      <w:r>
        <w:rPr>
          <w:rFonts w:ascii="Verdana" w:eastAsia="Arial" w:hAnsi="Verdana" w:cs="Arial"/>
          <w:lang w:val="es-ES" w:eastAsia="es-ES" w:bidi="es-ES"/>
        </w:rPr>
        <w:t xml:space="preserve"> </w:t>
      </w:r>
      <w:bookmarkStart w:id="12" w:name="_Hlk78820161"/>
    </w:p>
    <w:p w14:paraId="5A35FA48" w14:textId="77777777" w:rsidR="008D78B9" w:rsidRDefault="008D78B9" w:rsidP="008D78B9">
      <w:pPr>
        <w:spacing w:after="0" w:line="276" w:lineRule="auto"/>
        <w:jc w:val="both"/>
        <w:rPr>
          <w:rFonts w:ascii="Verdana" w:eastAsia="Times New Roman" w:hAnsi="Verdana" w:cs="Arial"/>
          <w:bCs/>
          <w:lang w:val="es-MX" w:eastAsia="es-CO"/>
        </w:rPr>
      </w:pPr>
      <w:proofErr w:type="spellStart"/>
      <w:r>
        <w:rPr>
          <w:rFonts w:ascii="Verdana" w:eastAsia="Arial" w:hAnsi="Verdana" w:cs="Arial"/>
          <w:lang w:val="es-ES" w:eastAsia="es-ES" w:bidi="es-ES"/>
        </w:rPr>
        <w:t>iii</w:t>
      </w:r>
      <w:proofErr w:type="spellEnd"/>
      <w:r>
        <w:rPr>
          <w:rFonts w:ascii="Verdana" w:eastAsia="Arial" w:hAnsi="Verdana" w:cs="Arial"/>
          <w:lang w:val="es-ES" w:eastAsia="es-ES" w:bidi="es-ES"/>
        </w:rPr>
        <w:t xml:space="preserve">. </w:t>
      </w:r>
      <w:r>
        <w:rPr>
          <w:rFonts w:ascii="Verdana" w:eastAsia="Times New Roman" w:hAnsi="Verdana" w:cs="Arial"/>
          <w:bCs/>
          <w:lang w:val="es-MX" w:eastAsia="x-none"/>
        </w:rPr>
        <w:t xml:space="preserve">El ámbito material de la prohibición contenida en el artículo 33 de la ley 996 de 2005 está delimitado por la expresión </w:t>
      </w:r>
      <w:r>
        <w:rPr>
          <w:rFonts w:ascii="Verdana" w:eastAsia="Calibri" w:hAnsi="Verdana" w:cs="Arial"/>
          <w:bCs/>
          <w:sz w:val="20"/>
          <w:szCs w:val="20"/>
          <w:lang w:val="es-MX"/>
        </w:rPr>
        <w:t>“</w:t>
      </w:r>
      <w:r>
        <w:rPr>
          <w:rFonts w:ascii="Verdana" w:eastAsia="Times New Roman" w:hAnsi="Verdana" w:cs="Arial"/>
          <w:bCs/>
          <w:lang w:val="es-MX" w:eastAsia="x-none"/>
        </w:rPr>
        <w:t>queda prohibida la contratación directa</w:t>
      </w:r>
      <w:r>
        <w:rPr>
          <w:rFonts w:ascii="Verdana" w:eastAsia="Calibri" w:hAnsi="Verdana" w:cs="Arial"/>
          <w:sz w:val="20"/>
          <w:szCs w:val="20"/>
          <w:lang w:val="es-MX"/>
        </w:rPr>
        <w:t>”</w:t>
      </w:r>
      <w:r>
        <w:rPr>
          <w:rFonts w:ascii="Verdana" w:eastAsia="Times New Roman" w:hAnsi="Verdana" w:cs="Arial"/>
          <w:bCs/>
          <w:lang w:val="es-MX" w:eastAsia="x-none"/>
        </w:rPr>
        <w:t xml:space="preserve">. </w:t>
      </w:r>
      <w:r>
        <w:rPr>
          <w:rFonts w:ascii="Verdana" w:eastAsia="Times New Roman" w:hAnsi="Verdana" w:cs="Arial"/>
          <w:lang w:val="es-MX" w:eastAsia="es-CO"/>
        </w:rPr>
        <w:t xml:space="preserve"> A propósito de </w:t>
      </w:r>
      <w:r>
        <w:rPr>
          <w:rFonts w:ascii="Verdana" w:eastAsia="Times New Roman" w:hAnsi="Verdana" w:cs="Arial"/>
          <w:lang w:eastAsia="es-CO"/>
        </w:rPr>
        <w:t>esta restricción de la Ley de Garantías Electorales, la Sala de Consulta y Servicio Civil del Consejo de Estado ha considerado que:</w:t>
      </w:r>
    </w:p>
    <w:p w14:paraId="63CF782B" w14:textId="77777777" w:rsidR="008D78B9" w:rsidRDefault="008D78B9" w:rsidP="008D78B9">
      <w:pPr>
        <w:spacing w:after="0" w:line="276" w:lineRule="auto"/>
        <w:ind w:left="708" w:right="709"/>
        <w:jc w:val="both"/>
        <w:rPr>
          <w:rFonts w:ascii="Verdana" w:eastAsia="Calibri" w:hAnsi="Verdana" w:cs="Arial"/>
          <w:lang w:val="es-MX"/>
        </w:rPr>
      </w:pPr>
    </w:p>
    <w:p w14:paraId="2941E58F" w14:textId="77777777" w:rsidR="008D78B9" w:rsidRDefault="008D78B9" w:rsidP="008D78B9">
      <w:pPr>
        <w:spacing w:after="120" w:line="240" w:lineRule="auto"/>
        <w:ind w:left="709" w:right="709"/>
        <w:jc w:val="both"/>
        <w:rPr>
          <w:rFonts w:ascii="Verdana" w:eastAsia="Calibri" w:hAnsi="Verdana" w:cs="Arial"/>
          <w:sz w:val="20"/>
          <w:szCs w:val="20"/>
          <w:lang w:val="es-MX"/>
        </w:rPr>
      </w:pPr>
      <w:r>
        <w:rPr>
          <w:rFonts w:ascii="Verdana" w:eastAsia="Calibri" w:hAnsi="Verdana" w:cs="Arial"/>
          <w:sz w:val="20"/>
          <w:szCs w:val="20"/>
          <w:lang w:val="es-MX"/>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Pr>
          <w:rFonts w:ascii="Verdana" w:eastAsia="Times New Roman" w:hAnsi="Verdana" w:cs="Arial"/>
          <w:sz w:val="20"/>
          <w:szCs w:val="20"/>
          <w:vertAlign w:val="superscript"/>
          <w:lang w:eastAsia="es-CO"/>
        </w:rPr>
        <w:footnoteReference w:id="11"/>
      </w:r>
      <w:r>
        <w:rPr>
          <w:rFonts w:ascii="Verdana" w:eastAsia="Calibri" w:hAnsi="Verdana" w:cs="Arial"/>
          <w:sz w:val="20"/>
          <w:szCs w:val="20"/>
          <w:lang w:val="es-MX"/>
        </w:rPr>
        <w:t>.</w:t>
      </w:r>
    </w:p>
    <w:p w14:paraId="601073EB" w14:textId="77777777" w:rsidR="008D78B9" w:rsidRDefault="008D78B9" w:rsidP="008D78B9">
      <w:pPr>
        <w:spacing w:after="0" w:line="240" w:lineRule="auto"/>
        <w:ind w:left="708" w:right="709"/>
        <w:jc w:val="both"/>
        <w:rPr>
          <w:rFonts w:ascii="Verdana" w:eastAsia="Calibri" w:hAnsi="Verdana" w:cs="Arial"/>
          <w:sz w:val="20"/>
          <w:szCs w:val="20"/>
          <w:lang w:val="es-MX"/>
        </w:rPr>
      </w:pPr>
      <w:r>
        <w:rPr>
          <w:rFonts w:ascii="Verdana" w:eastAsia="Calibri" w:hAnsi="Verdana" w:cs="Arial"/>
          <w:sz w:val="20"/>
          <w:szCs w:val="20"/>
          <w:lang w:val="es-MX"/>
        </w:rPr>
        <w:t>Esta Sala ha entendido que para los efectos de la ley de garantías, y dada su finalidad, el enunciado ´contratación directa´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concurso</w:t>
      </w:r>
      <w:r>
        <w:rPr>
          <w:rFonts w:ascii="Verdana" w:eastAsia="Times New Roman" w:hAnsi="Verdana" w:cs="Arial"/>
          <w:sz w:val="20"/>
          <w:szCs w:val="20"/>
          <w:vertAlign w:val="superscript"/>
          <w:lang w:val="es-MX"/>
        </w:rPr>
        <w:footnoteReference w:id="12"/>
      </w:r>
      <w:r>
        <w:rPr>
          <w:rFonts w:ascii="Verdana" w:eastAsia="Times New Roman" w:hAnsi="Verdana" w:cs="Arial"/>
          <w:sz w:val="20"/>
          <w:szCs w:val="20"/>
          <w:vertAlign w:val="superscript"/>
          <w:lang w:val="es-MX"/>
        </w:rPr>
        <w:t>.</w:t>
      </w:r>
      <w:r>
        <w:rPr>
          <w:rFonts w:ascii="Verdana" w:eastAsia="Calibri" w:hAnsi="Verdana" w:cs="Arial"/>
          <w:sz w:val="20"/>
          <w:szCs w:val="20"/>
          <w:lang w:val="es-MX"/>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Pr>
          <w:rFonts w:ascii="Verdana" w:eastAsia="Times New Roman" w:hAnsi="Verdana" w:cs="Arial"/>
          <w:sz w:val="20"/>
          <w:szCs w:val="20"/>
          <w:vertAlign w:val="superscript"/>
          <w:lang w:eastAsia="es-CO"/>
        </w:rPr>
        <w:footnoteReference w:id="13"/>
      </w:r>
      <w:r>
        <w:rPr>
          <w:rFonts w:ascii="Verdana" w:eastAsia="Calibri" w:hAnsi="Verdana" w:cs="Arial"/>
          <w:sz w:val="20"/>
          <w:szCs w:val="20"/>
          <w:lang w:val="es-MX"/>
        </w:rPr>
        <w:t>.</w:t>
      </w:r>
    </w:p>
    <w:p w14:paraId="723BD775" w14:textId="77777777" w:rsidR="008D78B9" w:rsidRDefault="008D78B9" w:rsidP="008D78B9">
      <w:pPr>
        <w:shd w:val="clear" w:color="auto" w:fill="FFFFFF"/>
        <w:spacing w:after="0" w:line="276" w:lineRule="auto"/>
        <w:ind w:firstLine="709"/>
        <w:jc w:val="both"/>
        <w:rPr>
          <w:rFonts w:ascii="Verdana" w:eastAsia="Times New Roman" w:hAnsi="Verdana" w:cs="Arial"/>
          <w:lang w:eastAsia="x-none"/>
        </w:rPr>
      </w:pPr>
    </w:p>
    <w:p w14:paraId="7CC5A294" w14:textId="77777777" w:rsidR="008D78B9" w:rsidRDefault="008D78B9" w:rsidP="008D78B9">
      <w:pPr>
        <w:spacing w:after="120" w:line="276" w:lineRule="auto"/>
        <w:ind w:firstLine="708"/>
        <w:jc w:val="both"/>
        <w:rPr>
          <w:rFonts w:ascii="Verdana" w:eastAsia="Times New Roman" w:hAnsi="Verdana" w:cs="Arial"/>
          <w:bCs/>
          <w:lang w:eastAsia="x-none"/>
        </w:rPr>
      </w:pPr>
      <w:r>
        <w:rPr>
          <w:rFonts w:ascii="Verdana" w:eastAsia="Times New Roman" w:hAnsi="Verdana" w:cs="Arial"/>
          <w:lang w:eastAsia="x-none"/>
        </w:rPr>
        <w:t xml:space="preserve">De acuerdo con el citado concepto, la prohibición del artículo 33 de la Ley de Garantías Electorales se refiere a </w:t>
      </w:r>
      <w:r>
        <w:rPr>
          <w:rFonts w:ascii="Verdana" w:eastAsia="Times New Roman" w:hAnsi="Verdana" w:cs="Arial"/>
          <w:sz w:val="19"/>
          <w:szCs w:val="19"/>
          <w:lang w:eastAsia="en-GB"/>
        </w:rPr>
        <w:t>“</w:t>
      </w:r>
      <w:r>
        <w:rPr>
          <w:rFonts w:ascii="Verdana" w:eastAsia="Times New Roman" w:hAnsi="Verdana" w:cs="Arial"/>
          <w:lang w:eastAsia="x-none"/>
        </w:rPr>
        <w:t>cualquier sistema que no implique convocatoria pública y posibilidad de pluralidad de oferentes</w:t>
      </w:r>
      <w:r>
        <w:rPr>
          <w:rFonts w:ascii="Verdana" w:eastAsia="Times New Roman" w:hAnsi="Verdana" w:cs="Arial"/>
          <w:lang w:eastAsia="en-GB"/>
        </w:rPr>
        <w:t>”</w:t>
      </w:r>
      <w:r>
        <w:rPr>
          <w:rFonts w:ascii="Verdana" w:eastAsia="Times New Roman" w:hAnsi="Verdana" w:cs="Arial"/>
          <w:lang w:eastAsia="x-none"/>
        </w:rPr>
        <w:t xml:space="preserve">, por lo que excluye las demás modalidades de contratación previstas en la Ley 1150 de 2007, es decir, la licitación pública, la selección abreviada, el concurso de méritos </w:t>
      </w:r>
      <w:r>
        <w:rPr>
          <w:rFonts w:ascii="Verdana" w:eastAsia="Times New Roman" w:hAnsi="Verdana" w:cs="Arial"/>
          <w:lang w:val="es-ES_tradnl" w:eastAsia="x-none"/>
        </w:rPr>
        <w:t xml:space="preserve">y la mínima cuantía </w:t>
      </w:r>
      <w:r>
        <w:rPr>
          <w:rFonts w:ascii="Verdana" w:eastAsia="Times New Roman" w:hAnsi="Verdana" w:cs="Arial"/>
          <w:lang w:eastAsia="x-none"/>
        </w:rPr>
        <w:t xml:space="preserve">u otros previstos en normas especiales. Esta posición es </w:t>
      </w:r>
      <w:r>
        <w:rPr>
          <w:rFonts w:ascii="Verdana" w:eastAsia="Times New Roman" w:hAnsi="Verdana" w:cs="Arial"/>
          <w:lang w:eastAsia="x-none"/>
        </w:rPr>
        <w:lastRenderedPageBreak/>
        <w:t>congruente con la expedición de la Ley 1150 de 2007 que, entre otras reformas, introdujo la selección abreviada, rediseñó el concurso de méritos</w:t>
      </w:r>
      <w:r>
        <w:rPr>
          <w:rFonts w:ascii="Verdana" w:eastAsia="Times New Roman" w:hAnsi="Verdana" w:cs="Arial"/>
          <w:vertAlign w:val="superscript"/>
          <w:lang w:val="en-GB" w:eastAsia="x-none"/>
        </w:rPr>
        <w:footnoteReference w:id="14"/>
      </w:r>
      <w:r>
        <w:rPr>
          <w:rFonts w:ascii="Verdana" w:eastAsia="Times New Roman" w:hAnsi="Verdana" w:cs="Arial"/>
          <w:lang w:eastAsia="x-none"/>
        </w:rPr>
        <w:t xml:space="preserve"> y sistematizó las causales de contratación directa</w:t>
      </w:r>
      <w:r>
        <w:rPr>
          <w:rFonts w:ascii="Verdana" w:eastAsia="Times New Roman" w:hAnsi="Verdana" w:cs="Arial"/>
          <w:vertAlign w:val="superscript"/>
          <w:lang w:val="en-GB" w:eastAsia="x-none"/>
        </w:rPr>
        <w:footnoteReference w:id="15"/>
      </w:r>
      <w:r>
        <w:rPr>
          <w:rFonts w:ascii="Verdana" w:eastAsia="Times New Roman" w:hAnsi="Verdana" w:cs="Arial"/>
          <w:lang w:eastAsia="x-none"/>
        </w:rPr>
        <w:t xml:space="preserve">, </w:t>
      </w:r>
      <w:r>
        <w:rPr>
          <w:rFonts w:ascii="Verdana" w:eastAsia="Calibri" w:hAnsi="Verdana" w:cs="Arial"/>
          <w:szCs w:val="24"/>
          <w:lang w:eastAsia="x-none"/>
        </w:rPr>
        <w:t>además lo es con la posterior creación de la modalidad de mínima cuantía establecida actualmente en el numeral 5 del artículo 2 de la Ley 1150 de 2007, de acuerdo con las modificaciones realizadas por leyes posteriores.</w:t>
      </w:r>
    </w:p>
    <w:p w14:paraId="44FB0A5E" w14:textId="77777777" w:rsidR="008D78B9" w:rsidRDefault="008D78B9" w:rsidP="008D78B9">
      <w:pPr>
        <w:spacing w:after="120" w:line="276" w:lineRule="auto"/>
        <w:ind w:firstLine="708"/>
        <w:jc w:val="both"/>
        <w:rPr>
          <w:rFonts w:ascii="Verdana" w:eastAsia="Times New Roman" w:hAnsi="Verdana" w:cs="Arial"/>
          <w:lang w:val="es-MX" w:eastAsia="x-none"/>
        </w:rPr>
      </w:pPr>
      <w:r>
        <w:rPr>
          <w:rFonts w:ascii="Verdana" w:eastAsia="Times New Roman" w:hAnsi="Verdana" w:cs="Arial"/>
          <w:lang w:eastAsia="x-none"/>
        </w:rPr>
        <w:t xml:space="preserve">De esta forma, con fundamento en la evolución de la normativa sobre la contratación pública, se ha depurado la noción de </w:t>
      </w:r>
      <w:r>
        <w:rPr>
          <w:rFonts w:ascii="Verdana" w:eastAsia="Times New Roman" w:hAnsi="Verdana" w:cs="Arial"/>
          <w:sz w:val="19"/>
          <w:szCs w:val="19"/>
          <w:lang w:eastAsia="en-GB"/>
        </w:rPr>
        <w:t>“</w:t>
      </w:r>
      <w:r>
        <w:rPr>
          <w:rFonts w:ascii="Verdana" w:eastAsia="Times New Roman" w:hAnsi="Verdana" w:cs="Arial"/>
          <w:lang w:eastAsia="x-none"/>
        </w:rPr>
        <w:t>contratación directa</w:t>
      </w:r>
      <w:r>
        <w:rPr>
          <w:rFonts w:ascii="Verdana" w:eastAsia="Times New Roman" w:hAnsi="Verdana" w:cs="Arial"/>
          <w:lang w:eastAsia="en-GB"/>
        </w:rPr>
        <w:t>”</w:t>
      </w:r>
      <w:r>
        <w:rPr>
          <w:rFonts w:ascii="Verdana" w:eastAsia="Times New Roman" w:hAnsi="Verdana" w:cs="Arial"/>
          <w:lang w:eastAsia="x-none"/>
        </w:rPr>
        <w:t>, precisando el Consejo de Estado –en el concepto citado– que, “aun cuando no coincide única y exactamente con la regulación que de dicho sistema de selección hace el artículo 2º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w:t>
      </w:r>
      <w:r>
        <w:rPr>
          <w:rFonts w:ascii="Verdana" w:eastAsia="Times New Roman" w:hAnsi="Verdana" w:cs="Arial"/>
          <w:vertAlign w:val="superscript"/>
          <w:lang w:val="en-GB" w:eastAsia="x-none"/>
        </w:rPr>
        <w:footnoteReference w:id="16"/>
      </w:r>
      <w:r>
        <w:rPr>
          <w:rFonts w:ascii="Verdana" w:eastAsia="Times New Roman" w:hAnsi="Verdana" w:cs="Arial"/>
          <w:lang w:eastAsia="x-none"/>
        </w:rPr>
        <w:t>, han establecido sistemas de contratación que implican convocatoria pública y participación de varios oferentes</w:t>
      </w:r>
      <w:r>
        <w:rPr>
          <w:rFonts w:ascii="Verdana" w:eastAsia="Times New Roman" w:hAnsi="Verdana" w:cs="Arial"/>
          <w:lang w:eastAsia="en-GB"/>
        </w:rPr>
        <w:t>”</w:t>
      </w:r>
      <w:r>
        <w:rPr>
          <w:rFonts w:ascii="Verdana" w:eastAsia="Times New Roman" w:hAnsi="Verdana" w:cs="Arial"/>
          <w:lang w:eastAsia="x-none"/>
        </w:rPr>
        <w:t xml:space="preserve">. </w:t>
      </w:r>
    </w:p>
    <w:p w14:paraId="6DC982B3" w14:textId="77777777" w:rsidR="008D78B9" w:rsidRDefault="008D78B9" w:rsidP="008D78B9">
      <w:pPr>
        <w:spacing w:after="120" w:line="276" w:lineRule="auto"/>
        <w:ind w:firstLine="708"/>
        <w:jc w:val="both"/>
        <w:rPr>
          <w:rFonts w:ascii="Verdana" w:eastAsia="Times New Roman" w:hAnsi="Verdana" w:cs="Arial"/>
          <w:bCs/>
          <w:lang w:val="es-MX" w:eastAsia="es-CO"/>
        </w:rPr>
      </w:pPr>
      <w:r>
        <w:rPr>
          <w:rFonts w:ascii="Verdana" w:eastAsia="Times New Roman" w:hAnsi="Verdana" w:cs="Arial"/>
          <w:bCs/>
          <w:lang w:val="es-MX" w:eastAsia="x-none"/>
        </w:rPr>
        <w:t>E</w:t>
      </w:r>
      <w:r>
        <w:rPr>
          <w:rFonts w:ascii="Verdana" w:eastAsia="Times New Roman" w:hAnsi="Verdana" w:cs="Arial"/>
          <w:lang w:eastAsia="x-none"/>
        </w:rPr>
        <w:t>n efecto, vale la pena mencionar que, 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“contratación directa”, es que la convocatoria para inscribirse en forma previa se haga de manera pública, y que se permita la participación de una pluralidad de oferentes</w:t>
      </w:r>
      <w:r>
        <w:rPr>
          <w:vertAlign w:val="superscript"/>
        </w:rPr>
        <w:footnoteReference w:id="17"/>
      </w:r>
      <w:r>
        <w:rPr>
          <w:rFonts w:ascii="Verdana" w:eastAsia="Times New Roman" w:hAnsi="Verdana" w:cs="Arial"/>
          <w:lang w:eastAsia="x-none"/>
        </w:rPr>
        <w:t xml:space="preserve">. </w:t>
      </w:r>
    </w:p>
    <w:p w14:paraId="66A802F6" w14:textId="77777777" w:rsidR="008D78B9" w:rsidRDefault="008D78B9" w:rsidP="008D78B9">
      <w:pPr>
        <w:spacing w:after="120" w:line="276" w:lineRule="auto"/>
        <w:ind w:firstLine="708"/>
        <w:jc w:val="both"/>
        <w:rPr>
          <w:rFonts w:ascii="Verdana" w:eastAsia="Times New Roman" w:hAnsi="Verdana" w:cs="Arial"/>
          <w:bCs/>
          <w:lang w:val="es-MX" w:eastAsia="es-CO"/>
        </w:rPr>
      </w:pPr>
      <w:r>
        <w:rPr>
          <w:rFonts w:ascii="Verdana" w:eastAsia="Times New Roman" w:hAnsi="Verdana" w:cs="Arial"/>
          <w:bCs/>
          <w:lang w:val="es-MX" w:eastAsia="es-CO"/>
        </w:rPr>
        <w:t xml:space="preserve">Como se advierte de lo anterior, el Consejo de Estado realiza una interpretación amplia de la contratación directa, para efectos de aplicar las restricciones establecidas en la Ley de Garantías, al señalar que no solo aplica frente a las entidades sometidas al Estatuto general de Contratación de la Administración Pública, sino también frente a las entidades que tengan un </w:t>
      </w:r>
      <w:r>
        <w:rPr>
          <w:rFonts w:ascii="Verdana" w:eastAsia="Times New Roman" w:hAnsi="Verdana" w:cs="Arial"/>
          <w:bCs/>
          <w:lang w:val="es-MX" w:eastAsia="es-CO"/>
        </w:rPr>
        <w:lastRenderedPageBreak/>
        <w:t>régimen especial de contratación. No obstante, también se observa que luego de la expedición de Ley 1150 de 2007, el Consejo de Estado comenzó a delimitar con mayor precisión el término de “contratación directa”.</w:t>
      </w:r>
    </w:p>
    <w:p w14:paraId="568693D2" w14:textId="77777777" w:rsidR="008D78B9" w:rsidRDefault="008D78B9" w:rsidP="008D78B9">
      <w:pPr>
        <w:spacing w:after="120" w:line="276" w:lineRule="auto"/>
        <w:ind w:firstLine="708"/>
        <w:jc w:val="both"/>
        <w:rPr>
          <w:rFonts w:ascii="Verdana" w:eastAsia="Times New Roman" w:hAnsi="Verdana" w:cs="Arial"/>
          <w:bCs/>
          <w:lang w:val="es-MX" w:eastAsia="x-none"/>
        </w:rPr>
      </w:pPr>
      <w:r>
        <w:rPr>
          <w:rFonts w:ascii="Verdana" w:eastAsia="Times New Roman" w:hAnsi="Verdana" w:cs="Arial"/>
          <w:bCs/>
          <w:lang w:val="es-MX" w:eastAsia="x-none"/>
        </w:rPr>
        <w:t xml:space="preserve"> Así las cosas, ha de entenderse que, para los efectos de la Ley de Garantías Electorales y, en particular,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r>
        <w:rPr>
          <w:rFonts w:ascii="Verdana" w:eastAsia="Times New Roman" w:hAnsi="Verdana" w:cs="Arial"/>
          <w:vertAlign w:val="superscript"/>
          <w:lang w:eastAsia="x-none"/>
        </w:rPr>
        <w:footnoteReference w:id="18"/>
      </w:r>
      <w:r>
        <w:rPr>
          <w:rFonts w:ascii="Verdana" w:eastAsia="Times New Roman" w:hAnsi="Verdana" w:cs="Arial"/>
          <w:bCs/>
          <w:lang w:val="es-MX" w:eastAsia="x-none"/>
        </w:rPr>
        <w:t>.</w:t>
      </w:r>
      <w:r>
        <w:rPr>
          <w:rFonts w:ascii="Verdana" w:eastAsia="Times New Roman" w:hAnsi="Verdana" w:cs="Arial"/>
          <w:vertAlign w:val="superscript"/>
          <w:lang w:val="es-MX" w:eastAsia="x-none"/>
        </w:rPr>
        <w:t xml:space="preserve"> </w:t>
      </w:r>
    </w:p>
    <w:p w14:paraId="03E1D42E" w14:textId="77777777" w:rsidR="008D78B9" w:rsidRDefault="008D78B9" w:rsidP="008D78B9">
      <w:pPr>
        <w:spacing w:after="120" w:line="276" w:lineRule="auto"/>
        <w:ind w:firstLine="708"/>
        <w:jc w:val="both"/>
        <w:rPr>
          <w:rFonts w:ascii="Verdana" w:eastAsia="Times New Roman" w:hAnsi="Verdana" w:cs="Arial"/>
          <w:lang w:eastAsia="x-none"/>
        </w:rPr>
      </w:pPr>
      <w:r>
        <w:rPr>
          <w:rFonts w:ascii="Verdana" w:eastAsia="Times New Roman" w:hAnsi="Verdana" w:cs="Arial"/>
          <w:bCs/>
          <w:lang w:val="es-MX" w:eastAsia="x-none"/>
        </w:rPr>
        <w:t>De lo anterior se desprende que la restricción aplica, sin perjuicio de las excepciones establecidas en la misma ley, para celebrar cualquier contrato de forma directa, esto es, sin que exista un proceso abierto y competitivo.</w:t>
      </w:r>
      <w:r>
        <w:rPr>
          <w:rFonts w:ascii="Verdana" w:eastAsia="Times New Roman" w:hAnsi="Verdana" w:cs="Arial"/>
          <w:lang w:eastAsia="x-none"/>
        </w:rPr>
        <w:t xml:space="preserve"> Por tanto, no son materia de la prohibición 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sistemas.</w:t>
      </w:r>
    </w:p>
    <w:p w14:paraId="0995A9FA" w14:textId="77777777" w:rsidR="008D78B9" w:rsidRDefault="008D78B9" w:rsidP="008D78B9">
      <w:pPr>
        <w:spacing w:after="120" w:line="276" w:lineRule="auto"/>
        <w:ind w:firstLine="708"/>
        <w:jc w:val="both"/>
        <w:rPr>
          <w:rFonts w:ascii="Verdana" w:eastAsia="Times New Roman" w:hAnsi="Verdana" w:cs="Arial"/>
          <w:bCs/>
          <w:lang w:val="es-MX" w:eastAsia="es-CO"/>
        </w:rPr>
      </w:pPr>
      <w:r>
        <w:rPr>
          <w:rFonts w:ascii="Verdana" w:eastAsia="Times New Roman" w:hAnsi="Verdana" w:cs="Arial"/>
          <w:bCs/>
          <w:lang w:val="es-MX" w:eastAsia="es-CO"/>
        </w:rPr>
        <w:t>Como en otras oportunidades lo ha manifestado esta Agencia, las prórrogas, modificaciones o adiciones de los contratos suscritos antes de la entrada en vigencia de las prohibiciones anotadas, así como la cesión de los mismos, pueden tener lugar en el período de aplicación de la Ley de Garantías, sin que ello haga nugatoria la restricción de la contratación directa y siempre que cumplan los principios de planeación, transparencia y responsabilidad</w:t>
      </w:r>
      <w:r>
        <w:rPr>
          <w:vertAlign w:val="superscript"/>
        </w:rPr>
        <w:footnoteReference w:id="19"/>
      </w:r>
      <w:r>
        <w:rPr>
          <w:rFonts w:ascii="Verdana" w:eastAsia="Times New Roman" w:hAnsi="Verdana" w:cs="Arial"/>
          <w:bCs/>
          <w:lang w:val="es-MX" w:eastAsia="es-CO"/>
        </w:rPr>
        <w:t xml:space="preserve">. Además, también es posible que contratos celebrados previamente se continúen ejecutando con normalidad. </w:t>
      </w:r>
    </w:p>
    <w:p w14:paraId="4DA69750" w14:textId="77777777" w:rsidR="008D78B9" w:rsidRDefault="008D78B9" w:rsidP="008D78B9">
      <w:pPr>
        <w:spacing w:after="120" w:line="276" w:lineRule="auto"/>
        <w:ind w:firstLine="708"/>
        <w:jc w:val="both"/>
        <w:rPr>
          <w:rFonts w:ascii="Verdana" w:eastAsia="Times New Roman" w:hAnsi="Verdana" w:cs="Arial"/>
          <w:bCs/>
          <w:lang w:val="es-MX" w:eastAsia="es-CO"/>
        </w:rPr>
      </w:pPr>
      <w:r>
        <w:rPr>
          <w:rFonts w:ascii="Verdana" w:eastAsia="Times New Roman" w:hAnsi="Verdana" w:cs="Arial"/>
          <w:bCs/>
          <w:lang w:val="es-MX" w:eastAsia="x-none"/>
        </w:rPr>
        <w:t xml:space="preserve">De otro lado, las excepciones a la restricción prevista en la Ley de Garantías, con fundamento en las cuales podrán las entidades públicas adelantar procedimientos de selección directa en períodos previos a la contienda electoral por la Presidencia, se encuentran consagradas expresamente en el inciso final del citado artículo 33 de la Ley 996 de 2005 en lo referente a i) la defensa y </w:t>
      </w:r>
      <w:r>
        <w:rPr>
          <w:rFonts w:ascii="Verdana" w:eastAsia="Times New Roman" w:hAnsi="Verdana" w:cs="Arial"/>
          <w:bCs/>
          <w:lang w:val="es-MX" w:eastAsia="x-none"/>
        </w:rPr>
        <w:lastRenderedPageBreak/>
        <w:t>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Pr>
          <w:rFonts w:ascii="Verdana" w:eastAsia="Times New Roman" w:hAnsi="Verdana" w:cs="Arial"/>
          <w:bCs/>
          <w:lang w:val="es-MX" w:eastAsia="es-CO"/>
        </w:rPr>
        <w:t xml:space="preserve">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0B07BA72" w14:textId="77777777" w:rsidR="008D78B9" w:rsidRDefault="008D78B9" w:rsidP="008D78B9">
      <w:pPr>
        <w:spacing w:after="120" w:line="276" w:lineRule="auto"/>
        <w:ind w:firstLine="709"/>
        <w:jc w:val="both"/>
        <w:rPr>
          <w:rFonts w:ascii="Verdana" w:eastAsia="Times New Roman" w:hAnsi="Verdana" w:cs="Arial"/>
          <w:bCs/>
          <w:lang w:val="es-MX" w:eastAsia="x-none"/>
        </w:rPr>
      </w:pPr>
      <w:r>
        <w:rPr>
          <w:rFonts w:ascii="Verdana" w:eastAsia="Times New Roman" w:hAnsi="Verdana" w:cs="Arial"/>
          <w:bCs/>
          <w:lang w:val="es-MX" w:eastAsia="x-none"/>
        </w:rPr>
        <w:t>En esta labor es importante tener en cuenta, como lo anotó la Corte Constitucional, en Sentencia C-1153 de noviembre 11 de 2005 que “si bien la limitación garantiza la igualdad de condiciones, también es necesario que tal limitación que pretende la igualdad no termine yendo en detrimento de intereses públicos, cuya garantía está en cabeza del ejecutivo, como son los inmersos en las excepciones para la prohibición de contratación”</w:t>
      </w:r>
      <w:r>
        <w:rPr>
          <w:rFonts w:ascii="Verdana" w:eastAsia="Calibri" w:hAnsi="Verdana" w:cs="Arial"/>
          <w:vertAlign w:val="superscript"/>
          <w:lang w:val="es-MX"/>
        </w:rPr>
        <w:footnoteReference w:id="20"/>
      </w:r>
      <w:r>
        <w:rPr>
          <w:rFonts w:ascii="Verdana" w:eastAsia="Times New Roman" w:hAnsi="Verdana" w:cs="Arial"/>
          <w:bCs/>
          <w:lang w:val="es-MX" w:eastAsia="x-none"/>
        </w:rPr>
        <w:t>. De ahí que la Corte haya señalado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candidatos como garantía electoral.</w:t>
      </w:r>
    </w:p>
    <w:p w14:paraId="42886DD9" w14:textId="77777777" w:rsidR="008D78B9" w:rsidRDefault="008D78B9" w:rsidP="008D78B9">
      <w:pPr>
        <w:spacing w:after="0" w:line="276" w:lineRule="auto"/>
        <w:ind w:firstLine="708"/>
        <w:jc w:val="both"/>
        <w:rPr>
          <w:rFonts w:ascii="Verdana" w:eastAsia="Times New Roman" w:hAnsi="Verdana" w:cs="Arial"/>
          <w:bCs/>
          <w:lang w:val="es-MX" w:eastAsia="x-none"/>
        </w:rPr>
      </w:pPr>
      <w:r>
        <w:rPr>
          <w:rFonts w:ascii="Verdana" w:eastAsia="Times New Roman" w:hAnsi="Verdana" w:cs="Arial"/>
          <w:bCs/>
          <w:lang w:val="es-MX" w:eastAsia="x-none"/>
        </w:rPr>
        <w:t>En relación con los destinatarios de la restricción analizada, el artículo 33 de la Ley 996 de 2005 los señala expresamente, en el sentido de que son “todos los entes del Estado”, expresión que contempla a los diferentes organismos o entidades autorizadas por la ley para suscribir contratos.</w:t>
      </w:r>
      <w:r>
        <w:rPr>
          <w:rFonts w:ascii="Verdana" w:eastAsia="Calibri" w:hAnsi="Verdana" w:cs="Arial"/>
          <w:sz w:val="24"/>
          <w:lang w:val="es-MX"/>
        </w:rPr>
        <w:t xml:space="preserve"> </w:t>
      </w:r>
      <w:r>
        <w:rPr>
          <w:rFonts w:ascii="Verdana" w:eastAsia="Times New Roman" w:hAnsi="Verdana" w:cs="Arial"/>
          <w:bCs/>
          <w:lang w:val="es-MX" w:eastAsia="x-none"/>
        </w:rPr>
        <w:t>En efecto, tal como lo ha sostenido el Consejo de Estado, el vocablo “todos” utilizado por el legislador comprende</w:t>
      </w:r>
      <w:r>
        <w:rPr>
          <w:rFonts w:ascii="Verdana" w:eastAsia="Calibri" w:hAnsi="Verdana" w:cs="Arial"/>
          <w:sz w:val="24"/>
          <w:lang w:val="es-MX"/>
        </w:rPr>
        <w:t xml:space="preserve"> </w:t>
      </w:r>
      <w:r>
        <w:rPr>
          <w:rFonts w:ascii="Verdana" w:eastAsia="Times New Roman" w:hAnsi="Verdana" w:cs="Arial"/>
          <w:bCs/>
          <w:lang w:val="es-MX" w:eastAsia="x-none"/>
        </w:rPr>
        <w:t xml:space="preserve">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w:t>
      </w:r>
      <w:r>
        <w:rPr>
          <w:rFonts w:ascii="Verdana" w:eastAsia="Times New Roman" w:hAnsi="Verdana" w:cs="Arial"/>
          <w:bCs/>
          <w:lang w:val="es-ES_tradnl" w:eastAsia="x-none"/>
        </w:rPr>
        <w:t xml:space="preserve">La Sala de Consulta y Servicio Civil del Consejo de Estado, en Concepto 1727 de fecha 20 de febrero de 2006, consideró que: </w:t>
      </w:r>
    </w:p>
    <w:p w14:paraId="06EAEDC9" w14:textId="77777777" w:rsidR="008D78B9" w:rsidRDefault="008D78B9" w:rsidP="008D78B9">
      <w:pPr>
        <w:spacing w:after="0" w:line="276" w:lineRule="auto"/>
        <w:jc w:val="both"/>
        <w:rPr>
          <w:rFonts w:ascii="Verdana" w:eastAsia="Times New Roman" w:hAnsi="Verdana" w:cs="Arial"/>
          <w:bCs/>
          <w:lang w:val="es-MX" w:eastAsia="x-none"/>
        </w:rPr>
      </w:pPr>
    </w:p>
    <w:p w14:paraId="7DB0E439" w14:textId="77777777" w:rsidR="008D78B9" w:rsidRDefault="008D78B9" w:rsidP="008D78B9">
      <w:pPr>
        <w:spacing w:after="0" w:line="240" w:lineRule="auto"/>
        <w:ind w:left="708" w:right="709"/>
        <w:jc w:val="both"/>
        <w:rPr>
          <w:rFonts w:ascii="Verdana" w:eastAsia="Times New Roman" w:hAnsi="Verdana" w:cs="Arial"/>
          <w:bCs/>
          <w:sz w:val="20"/>
          <w:szCs w:val="20"/>
          <w:lang w:val="es-MX" w:eastAsia="es-CO"/>
        </w:rPr>
      </w:pPr>
      <w:r>
        <w:rPr>
          <w:rFonts w:ascii="Verdana" w:eastAsia="Times New Roman" w:hAnsi="Verdana" w:cs="Arial"/>
          <w:bCs/>
          <w:sz w:val="20"/>
          <w:szCs w:val="20"/>
          <w:lang w:val="es-MX" w:eastAsia="x-none"/>
        </w:rPr>
        <w:t>“El artículo 33 de la ley 996 de 2005, efectivamente se aplica incluso a las entidades estatales con régimen especial de contratación y que están exceptuadas del ámbito de aplicación del Estatuto General de Contratación de la Administración Pública, como por ejemplo los prestadores de servicios públicos domiciliarios (empresas de servicios públicos oficiales y empresas industriales y comerciales del Estado) y a los municipios prestadores directos, incluyendo las excepciones contenidas en el segundo inciso de esta norma”</w:t>
      </w:r>
      <w:r>
        <w:rPr>
          <w:vertAlign w:val="superscript"/>
        </w:rPr>
        <w:footnoteReference w:id="21"/>
      </w:r>
      <w:r>
        <w:rPr>
          <w:rFonts w:ascii="Verdana" w:eastAsia="Times New Roman" w:hAnsi="Verdana" w:cs="Arial"/>
          <w:bCs/>
          <w:sz w:val="20"/>
          <w:szCs w:val="20"/>
          <w:lang w:val="es-MX" w:eastAsia="x-none"/>
        </w:rPr>
        <w:t>.</w:t>
      </w:r>
      <w:r>
        <w:rPr>
          <w:rFonts w:ascii="Verdana" w:eastAsia="Times New Roman" w:hAnsi="Verdana" w:cs="Arial"/>
          <w:bCs/>
          <w:sz w:val="20"/>
          <w:szCs w:val="20"/>
          <w:lang w:val="es-MX" w:eastAsia="es-CO"/>
        </w:rPr>
        <w:t xml:space="preserve"> </w:t>
      </w:r>
    </w:p>
    <w:p w14:paraId="0630655B" w14:textId="77777777" w:rsidR="008D78B9" w:rsidRDefault="008D78B9" w:rsidP="008D78B9">
      <w:pPr>
        <w:spacing w:after="0" w:line="276" w:lineRule="auto"/>
        <w:ind w:firstLine="708"/>
        <w:jc w:val="both"/>
        <w:rPr>
          <w:rFonts w:ascii="Verdana" w:eastAsia="Times New Roman" w:hAnsi="Verdana" w:cs="Arial"/>
          <w:bCs/>
          <w:lang w:val="es-MX" w:eastAsia="es-CO"/>
        </w:rPr>
      </w:pPr>
    </w:p>
    <w:p w14:paraId="09AD1746" w14:textId="77777777" w:rsidR="008D78B9" w:rsidRDefault="008D78B9" w:rsidP="008D78B9">
      <w:pPr>
        <w:spacing w:after="0" w:line="276" w:lineRule="auto"/>
        <w:ind w:firstLine="708"/>
        <w:jc w:val="both"/>
        <w:rPr>
          <w:rFonts w:ascii="Verdana" w:eastAsia="Calibri" w:hAnsi="Verdana" w:cs="Arial"/>
          <w:lang w:val="es-MX"/>
        </w:rPr>
      </w:pPr>
      <w:r>
        <w:rPr>
          <w:rFonts w:ascii="Verdana" w:eastAsia="Times New Roman" w:hAnsi="Verdana" w:cs="Arial"/>
          <w:bCs/>
          <w:lang w:val="es-MX" w:eastAsia="x-none"/>
        </w:rPr>
        <w:t>De igual forma, en Concepto con radicado 1738 del 6 de abril de 2006, esa misma Corporación manifestó que “Las restricciones de la Ley de Garantías en materia de contratación directa y celebración de convenios interadministrativos, se aplican a las empresas industriales y comerciales del Estado y a las Sociedades de Economía Mixta, salvo cuando la celebración de un convenio interadministrativo sea ordenada, para ambas partes, por el Legislador”</w:t>
      </w:r>
      <w:r>
        <w:rPr>
          <w:rFonts w:ascii="Verdana" w:eastAsia="Calibri" w:hAnsi="Verdana" w:cs="Arial"/>
          <w:sz w:val="24"/>
          <w:vertAlign w:val="superscript"/>
          <w:lang w:val="es-MX"/>
        </w:rPr>
        <w:footnoteReference w:id="22"/>
      </w:r>
      <w:r>
        <w:rPr>
          <w:rFonts w:ascii="Verdana" w:eastAsia="Times New Roman" w:hAnsi="Verdana" w:cs="Arial"/>
          <w:bCs/>
          <w:lang w:val="es-MX" w:eastAsia="x-none"/>
        </w:rPr>
        <w:t>.</w:t>
      </w:r>
      <w:r>
        <w:rPr>
          <w:rFonts w:ascii="Verdana" w:eastAsia="Calibri" w:hAnsi="Verdana" w:cs="Arial"/>
          <w:lang w:val="es-MX"/>
        </w:rPr>
        <w:t xml:space="preserve"> Además, la Sala de Consulta y Servicio Civil del Consejo de Estado realizó la siguiente distinción, retomando el pronunciamiento de la misma sala del 20 de febrero de 2006, citado anteriormente:</w:t>
      </w:r>
    </w:p>
    <w:p w14:paraId="50628948" w14:textId="77777777" w:rsidR="008D78B9" w:rsidRDefault="008D78B9" w:rsidP="008D78B9">
      <w:pPr>
        <w:spacing w:after="0" w:line="276" w:lineRule="auto"/>
        <w:jc w:val="both"/>
        <w:rPr>
          <w:rFonts w:ascii="Verdana" w:eastAsia="Calibri" w:hAnsi="Verdana" w:cs="Arial"/>
          <w:lang w:val="es-MX"/>
        </w:rPr>
      </w:pPr>
    </w:p>
    <w:p w14:paraId="6F39797A" w14:textId="77777777" w:rsidR="008D78B9" w:rsidRDefault="008D78B9" w:rsidP="008D78B9">
      <w:pPr>
        <w:spacing w:after="0" w:line="240" w:lineRule="auto"/>
        <w:ind w:left="708" w:right="709"/>
        <w:jc w:val="both"/>
        <w:rPr>
          <w:rFonts w:ascii="Verdana" w:eastAsia="Calibri" w:hAnsi="Verdana" w:cs="Arial"/>
          <w:sz w:val="20"/>
          <w:szCs w:val="20"/>
          <w:lang w:val="es-MX"/>
        </w:rPr>
      </w:pPr>
      <w:r>
        <w:rPr>
          <w:rFonts w:ascii="Verdana" w:eastAsia="Calibri" w:hAnsi="Verdana" w:cs="Arial"/>
          <w:sz w:val="20"/>
          <w:szCs w:val="20"/>
          <w:lang w:val="es-MX"/>
        </w:rPr>
        <w:t xml:space="preserve">“En el concepto No. 1727 de fecha 20 de febrero de 2006, ésta Sala distinguió dos clases de contratos en relación con las empresas de servicios públicos domiciliarios: unos, en los que la posición de la empresa es la de consumidora de las prestaciones objeto del contrato, que utiliza para la prestación de los servicios a su cargo, y los otros, en los que la empresa entrega esos servicios a los usuarios, conforme a unas reglas uniformes para todos ellos y sin que haya privilegios o tratos desiguales. En los primeros contratos, es claro que la empresa debe adquirir esos bienes previa licitación pública, según se expuso anteriormente, pero en el segundo caso, las empresas no pueden dejar de entregar los servicios </w:t>
      </w:r>
      <w:r>
        <w:rPr>
          <w:rFonts w:ascii="Verdana" w:eastAsia="Calibri" w:hAnsi="Verdana" w:cs="Arial"/>
          <w:sz w:val="20"/>
          <w:szCs w:val="20"/>
          <w:lang w:val="es-MX"/>
        </w:rPr>
        <w:lastRenderedPageBreak/>
        <w:t>públicos a su cargo a nuevas personas, ni dejar de renovar los contratos existentes, pues significaría la parálisis de una actividad propia de la administración, que incluso podría desconocer los derechos fundamentales.</w:t>
      </w:r>
    </w:p>
    <w:p w14:paraId="0AF633DC" w14:textId="77777777" w:rsidR="008D78B9" w:rsidRDefault="008D78B9" w:rsidP="008D78B9">
      <w:pPr>
        <w:spacing w:after="0" w:line="240" w:lineRule="auto"/>
        <w:ind w:right="709"/>
        <w:jc w:val="both"/>
        <w:rPr>
          <w:rFonts w:ascii="Verdana" w:eastAsia="Calibri" w:hAnsi="Verdana" w:cs="Arial"/>
          <w:sz w:val="12"/>
          <w:szCs w:val="12"/>
          <w:lang w:val="es-MX"/>
        </w:rPr>
      </w:pPr>
      <w:r>
        <w:rPr>
          <w:rFonts w:ascii="Verdana" w:eastAsia="Calibri" w:hAnsi="Verdana" w:cs="Arial"/>
          <w:sz w:val="20"/>
          <w:szCs w:val="20"/>
          <w:lang w:val="es-MX"/>
        </w:rPr>
        <w:tab/>
      </w:r>
    </w:p>
    <w:p w14:paraId="22304009" w14:textId="77777777" w:rsidR="008D78B9" w:rsidRDefault="008D78B9" w:rsidP="008D78B9">
      <w:pPr>
        <w:spacing w:after="0" w:line="240" w:lineRule="auto"/>
        <w:ind w:left="708" w:right="709"/>
        <w:jc w:val="both"/>
        <w:rPr>
          <w:rFonts w:ascii="Verdana" w:eastAsia="Calibri" w:hAnsi="Verdana" w:cs="Arial"/>
          <w:sz w:val="20"/>
          <w:szCs w:val="20"/>
          <w:lang w:val="es-MX"/>
        </w:rPr>
      </w:pPr>
      <w:r>
        <w:rPr>
          <w:rFonts w:ascii="Verdana" w:eastAsia="Times New Roman" w:hAnsi="Verdana" w:cs="Arial"/>
          <w:bCs/>
          <w:sz w:val="20"/>
          <w:szCs w:val="20"/>
          <w:lang w:val="es-MX" w:eastAsia="x-none"/>
        </w:rPr>
        <w:t>Aplicando este razonamiento a los establecimientos de crédito, a las sociedades de servicios financieros y a las entidades aseguradoras, encontramos que no pueden adquirir los suministros de bienes y servicios necesarios para la realización de su actividad por contratación directa sino por el mecanismo de la licitación pública, pero es obvio que si una de éstas entidades va a prestar un servicio financiero o de seguros a un particular, lo puede hacer, pues éstos se ofrecen a toda la comunidad en condiciones de igualdad. Si se supusiera que está prohibida su contratación directa, significaría la parálisis de tal actividad de interés público, lo que de ninguna manera es lo querido por la ley 996 de 2005”</w:t>
      </w:r>
      <w:r>
        <w:rPr>
          <w:rFonts w:ascii="Verdana" w:eastAsia="Calibri" w:hAnsi="Verdana" w:cs="Arial"/>
          <w:sz w:val="20"/>
          <w:szCs w:val="20"/>
          <w:vertAlign w:val="superscript"/>
          <w:lang w:val="es-MX"/>
        </w:rPr>
        <w:footnoteReference w:id="23"/>
      </w:r>
      <w:r>
        <w:rPr>
          <w:rFonts w:ascii="Verdana" w:eastAsia="Times New Roman" w:hAnsi="Verdana" w:cs="Arial"/>
          <w:bCs/>
          <w:sz w:val="20"/>
          <w:szCs w:val="20"/>
          <w:lang w:val="es-MX" w:eastAsia="x-none"/>
        </w:rPr>
        <w:t>.</w:t>
      </w:r>
    </w:p>
    <w:p w14:paraId="30156D31" w14:textId="77777777" w:rsidR="008D78B9" w:rsidRDefault="008D78B9" w:rsidP="008D78B9">
      <w:pPr>
        <w:spacing w:after="0" w:line="276" w:lineRule="auto"/>
        <w:jc w:val="both"/>
        <w:rPr>
          <w:rFonts w:ascii="Verdana" w:eastAsia="Calibri" w:hAnsi="Verdana" w:cs="Arial"/>
          <w:lang w:val="es-MX"/>
        </w:rPr>
      </w:pPr>
    </w:p>
    <w:p w14:paraId="410AB510" w14:textId="77777777" w:rsidR="008D78B9" w:rsidRDefault="008D78B9" w:rsidP="008D78B9">
      <w:pPr>
        <w:spacing w:after="120" w:line="276" w:lineRule="auto"/>
        <w:ind w:firstLine="709"/>
        <w:jc w:val="both"/>
        <w:rPr>
          <w:rFonts w:ascii="Verdana" w:eastAsia="Times New Roman" w:hAnsi="Verdana" w:cs="Arial"/>
          <w:lang w:eastAsia="es-CO"/>
        </w:rPr>
      </w:pPr>
      <w:r>
        <w:rPr>
          <w:rFonts w:ascii="Verdana" w:eastAsia="Calibri" w:hAnsi="Verdana" w:cs="Arial"/>
          <w:lang w:val="es-MX"/>
        </w:rPr>
        <w:t xml:space="preserve">De acuerdo con estos pronunciamientos de la Sala de Consulta y Servicio Civil del Consejo de Estado, la prohibición de la contratación directa también aplica frente a las entidades exceptuadas de la aplicación del EGCAP y que se rigen en materia contractual por el derecho privado. Sin embargo, señaló que algunas de estas entidades, como sucede con las empresas de servicios públicos domiciliarios, los </w:t>
      </w:r>
      <w:r>
        <w:rPr>
          <w:rFonts w:ascii="Verdana" w:eastAsia="Times New Roman" w:hAnsi="Verdana" w:cs="Arial"/>
          <w:bCs/>
          <w:lang w:val="es-MX" w:eastAsia="x-none"/>
        </w:rPr>
        <w:t>establecimientos de crédito, las sociedades de servicios financieros y las entidades aseguradoras</w:t>
      </w:r>
      <w:r>
        <w:rPr>
          <w:rFonts w:ascii="Verdana" w:eastAsia="Calibri" w:hAnsi="Verdana" w:cs="Arial"/>
          <w:lang w:val="es-MX"/>
        </w:rPr>
        <w:t xml:space="preserve"> no pueden adquirir los suministros de bienes y servicios necesarios para la realización de su actividad por contratación directa, sino por mecanismos competitivos que impliquen convocatoria pública y la posibilidad de la existencia de pluralidad de oferentes, pero indicó que en estos casos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r>
        <w:rPr>
          <w:vertAlign w:val="superscript"/>
        </w:rPr>
        <w:footnoteReference w:id="24"/>
      </w:r>
      <w:r>
        <w:rPr>
          <w:rFonts w:ascii="Verdana" w:eastAsia="Calibri" w:hAnsi="Verdana" w:cs="Arial"/>
          <w:lang w:val="es-MX"/>
        </w:rPr>
        <w:t>.</w:t>
      </w:r>
      <w:r>
        <w:rPr>
          <w:rFonts w:ascii="Verdana" w:eastAsia="Times New Roman" w:hAnsi="Verdana" w:cs="Arial"/>
          <w:lang w:val="es-MX" w:eastAsia="es-CO"/>
        </w:rPr>
        <w:t xml:space="preserve"> </w:t>
      </w:r>
    </w:p>
    <w:p w14:paraId="52D0EC7F" w14:textId="77777777" w:rsidR="008D78B9" w:rsidRDefault="008D78B9" w:rsidP="008D78B9">
      <w:pPr>
        <w:spacing w:after="120" w:line="276" w:lineRule="auto"/>
        <w:ind w:firstLine="709"/>
        <w:jc w:val="both"/>
        <w:rPr>
          <w:rFonts w:ascii="Verdana" w:eastAsia="Times New Roman" w:hAnsi="Verdana" w:cs="Arial"/>
          <w:bCs/>
          <w:lang w:val="es-MX" w:eastAsia="x-none"/>
        </w:rPr>
      </w:pPr>
      <w:r>
        <w:rPr>
          <w:rFonts w:ascii="Verdana" w:eastAsia="Times New Roman" w:hAnsi="Verdana" w:cs="Arial"/>
          <w:lang w:eastAsia="es-CO"/>
        </w:rPr>
        <w:t>Sin perjuicio de estos pronunciamientos de la Sala de Consulta y Servicio Civil</w:t>
      </w:r>
      <w:r>
        <w:rPr>
          <w:rFonts w:ascii="Verdana" w:eastAsia="Calibri" w:hAnsi="Verdana" w:cs="Arial"/>
          <w:lang w:val="es-MX"/>
        </w:rPr>
        <w:t xml:space="preserve">, como la ha señalado esa misma Corporación, la restricción prevista en la Ley 996 de 2005 </w:t>
      </w:r>
      <w:r>
        <w:rPr>
          <w:rFonts w:ascii="Verdana" w:eastAsia="Times New Roman" w:hAnsi="Verdana" w:cs="Arial"/>
          <w:bCs/>
          <w:lang w:val="es-MX" w:eastAsia="x-none"/>
        </w:rPr>
        <w:t xml:space="preserve">cobija a cualquier entidad pública independiente del régimen jurídico, que pueda mediante la contratación directa romper el equilibrio entre los candidatos en desarrollo de las elecciones presidenciales. Tampoco existe un supuesto de exoneración a la prohibición por tener un régimen especial de los actos o contratos o por la ejecución de un cierto tipo de recursos en sus </w:t>
      </w:r>
      <w:r>
        <w:rPr>
          <w:rFonts w:ascii="Verdana" w:eastAsia="Times New Roman" w:hAnsi="Verdana" w:cs="Arial"/>
          <w:bCs/>
          <w:lang w:val="es-MX" w:eastAsia="x-none"/>
        </w:rPr>
        <w:lastRenderedPageBreak/>
        <w:t>contrataciones, pues, la posibilidad de que los entes del Estado usen la contratación con fines políticos, esto es, con la intención de influir a los electores y alterar la voluntad popular en las contiendas electorales, puede presentarse tanto en la contratación regulada por la Ley 80 de 1993 como en la regida por normas especiales.</w:t>
      </w:r>
    </w:p>
    <w:p w14:paraId="340D9B21" w14:textId="77777777" w:rsidR="008D78B9" w:rsidRDefault="008D78B9" w:rsidP="008D78B9">
      <w:pPr>
        <w:spacing w:after="120" w:line="276" w:lineRule="auto"/>
        <w:ind w:firstLine="709"/>
        <w:jc w:val="both"/>
        <w:rPr>
          <w:rFonts w:ascii="Verdana" w:eastAsia="Times New Roman" w:hAnsi="Verdana" w:cs="Arial"/>
          <w:bCs/>
          <w:lang w:eastAsia="x-none"/>
        </w:rPr>
      </w:pPr>
      <w:r>
        <w:rPr>
          <w:rFonts w:ascii="Verdana" w:eastAsia="Times New Roman" w:hAnsi="Verdana" w:cs="Arial"/>
          <w:bCs/>
          <w:lang w:val="es-MX" w:eastAsia="x-none"/>
        </w:rPr>
        <w:t>Esto, sin perjuicio de las excepciones a la prohibición establecidas en el inciso segundo del mismo artículo 33, como son: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09051669" w14:textId="77777777" w:rsidR="008D78B9" w:rsidRDefault="008D78B9" w:rsidP="008D78B9">
      <w:pPr>
        <w:spacing w:after="120" w:line="276" w:lineRule="auto"/>
        <w:ind w:firstLine="709"/>
        <w:jc w:val="both"/>
        <w:rPr>
          <w:rFonts w:ascii="Verdana" w:eastAsia="Times New Roman" w:hAnsi="Verdana" w:cs="Arial"/>
          <w:bCs/>
          <w:lang w:eastAsia="x-none"/>
        </w:rPr>
      </w:pPr>
      <w:r>
        <w:rPr>
          <w:rFonts w:ascii="Verdana" w:eastAsia="Times New Roman" w:hAnsi="Verdana" w:cs="Arial"/>
          <w:bCs/>
          <w:lang w:val="es-MX" w:eastAsia="x-none"/>
        </w:rPr>
        <w:t xml:space="preserve">Además, se reitera que la restricción aplica frente a la contratación directa, entendida como cualquier sistema de selección o procedimiento de contratación utilizada por las entidades estatales que no incluya la convocatoria pública en alguna de sus etapas, ni permita la participación de una pluralidad de oferentes, ya sea en aplicación de normas del Estatuto General de Contratación de la Administración Pública, así como de regímenes especiales. Por tanto, las entidades que se rigen por el derecho privado podrán celebrar contratos de acuerdo con los procedimientos contractuales desarrollados en sus manuales de contratación, bajo el entendido que estos permitan la participación de una pluralidad de oferentes. </w:t>
      </w:r>
    </w:p>
    <w:p w14:paraId="23397052" w14:textId="77777777" w:rsidR="008D78B9" w:rsidRDefault="008D78B9" w:rsidP="008D78B9">
      <w:pPr>
        <w:spacing w:after="0" w:line="276" w:lineRule="auto"/>
        <w:ind w:firstLine="709"/>
        <w:jc w:val="both"/>
        <w:rPr>
          <w:rFonts w:ascii="Verdana" w:eastAsia="Times New Roman" w:hAnsi="Verdana" w:cs="Arial"/>
          <w:bCs/>
          <w:lang w:val="es-MX" w:eastAsia="x-none"/>
        </w:rPr>
      </w:pPr>
      <w:r>
        <w:rPr>
          <w:rFonts w:ascii="Verdana" w:eastAsia="Times New Roman" w:hAnsi="Verdana" w:cs="Arial"/>
          <w:bCs/>
          <w:lang w:val="es-MX" w:eastAsia="x-none"/>
        </w:rPr>
        <w:t>Finalmente, se reitera, c</w:t>
      </w:r>
      <w:r>
        <w:rPr>
          <w:rFonts w:ascii="Verdana" w:eastAsia="Times New Roman" w:hAnsi="Verdana" w:cs="Arial"/>
          <w:bCs/>
          <w:lang w:val="es-MX" w:eastAsia="es-CO"/>
        </w:rPr>
        <w:t xml:space="preserve">omo en otras oportunidades lo ha manifestado esta Agencia, que las prórrogas, modificaciones o adiciones de los contratos suscritos antes de la entrada en vigencia de las prohibiciones anotadas, así como la cesión de los mismos, pueden tener lugar en el período de aplicación de la Ley de Garantías, sin que ello haga nugatoria la restricción de la contratación directa y siempre que cumplan los principios de planeación, transparencia y </w:t>
      </w:r>
      <w:r>
        <w:rPr>
          <w:rFonts w:ascii="Verdana" w:eastAsia="Times New Roman" w:hAnsi="Verdana" w:cs="Arial"/>
          <w:bCs/>
          <w:lang w:val="es-MX" w:eastAsia="es-CO"/>
        </w:rPr>
        <w:lastRenderedPageBreak/>
        <w:t>responsabilidad</w:t>
      </w:r>
      <w:r>
        <w:rPr>
          <w:vertAlign w:val="superscript"/>
        </w:rPr>
        <w:footnoteReference w:id="25"/>
      </w:r>
      <w:r>
        <w:rPr>
          <w:rFonts w:ascii="Verdana" w:eastAsia="Times New Roman" w:hAnsi="Verdana" w:cs="Arial"/>
          <w:bCs/>
          <w:lang w:val="es-MX" w:eastAsia="es-CO"/>
        </w:rPr>
        <w:t>. Además, también es posible que contratos celebrados previamente se continúen ejecutando con normalidad.</w:t>
      </w:r>
    </w:p>
    <w:p w14:paraId="6D96B9C6" w14:textId="77777777" w:rsidR="008D78B9" w:rsidRDefault="008D78B9" w:rsidP="008D78B9">
      <w:pPr>
        <w:spacing w:after="0" w:line="276" w:lineRule="auto"/>
        <w:ind w:firstLine="709"/>
        <w:jc w:val="both"/>
        <w:rPr>
          <w:rFonts w:ascii="Verdana" w:eastAsia="Times New Roman" w:hAnsi="Verdana" w:cs="Arial"/>
          <w:bCs/>
          <w:lang w:val="es-MX" w:eastAsia="x-none"/>
        </w:rPr>
      </w:pPr>
    </w:p>
    <w:p w14:paraId="4A61E5C7" w14:textId="77777777" w:rsidR="008D78B9" w:rsidRDefault="008D78B9" w:rsidP="008D78B9">
      <w:pPr>
        <w:pStyle w:val="paragraph"/>
        <w:shd w:val="clear" w:color="auto" w:fill="FFFFFF"/>
        <w:spacing w:before="0" w:beforeAutospacing="0" w:after="120" w:afterAutospacing="0" w:line="276" w:lineRule="auto"/>
        <w:jc w:val="both"/>
        <w:textAlignment w:val="baseline"/>
        <w:rPr>
          <w:rFonts w:ascii="Verdana" w:eastAsia="Verdana" w:hAnsi="Verdana" w:cs="Verdana"/>
          <w:sz w:val="22"/>
          <w:szCs w:val="22"/>
          <w:lang w:val="es-ES"/>
        </w:rPr>
      </w:pPr>
      <w:proofErr w:type="spellStart"/>
      <w:r>
        <w:rPr>
          <w:rFonts w:ascii="Verdana" w:eastAsia="Calibri" w:hAnsi="Verdana" w:cs="Arial"/>
          <w:sz w:val="22"/>
          <w:szCs w:val="22"/>
          <w:lang w:val="es-ES"/>
        </w:rPr>
        <w:t>iv</w:t>
      </w:r>
      <w:proofErr w:type="spellEnd"/>
      <w:r>
        <w:rPr>
          <w:rFonts w:ascii="Verdana" w:eastAsia="Calibri" w:hAnsi="Verdana" w:cs="Arial"/>
          <w:sz w:val="22"/>
          <w:szCs w:val="22"/>
          <w:lang w:val="es-ES"/>
        </w:rPr>
        <w:t xml:space="preserve">. </w:t>
      </w:r>
      <w:bookmarkStart w:id="13" w:name="_Hlk79760203"/>
      <w:r>
        <w:rPr>
          <w:rFonts w:ascii="Verdana" w:hAnsi="Verdana"/>
          <w:sz w:val="22"/>
          <w:szCs w:val="22"/>
          <w:lang w:val="es-ES"/>
        </w:rPr>
        <w:t>La expropiación es un procedimiento administrativo por medio del cual el Estado, por razones de utilidad pública o interés social, priva coactivamente de la titularidad de un bien a un particular, de acuerdo con un procedimiento específico, con intervención de la autoridad judicial –expropiación por vía judicial– o mediante la utilización de los poderes públicos propios del régimen administrativo –expropiación por vía administrativa–, y previo pago de una indemnización</w:t>
      </w:r>
      <w:r>
        <w:rPr>
          <w:rStyle w:val="Refdenotaalpie"/>
          <w:rFonts w:ascii="Verdana" w:hAnsi="Verdana"/>
          <w:sz w:val="22"/>
          <w:szCs w:val="22"/>
          <w:lang w:val="es-ES"/>
        </w:rPr>
        <w:footnoteReference w:id="26"/>
      </w:r>
      <w:r>
        <w:rPr>
          <w:rFonts w:ascii="Verdana" w:hAnsi="Verdana"/>
          <w:sz w:val="22"/>
          <w:szCs w:val="22"/>
          <w:lang w:val="es-ES"/>
        </w:rPr>
        <w:t>.</w:t>
      </w:r>
    </w:p>
    <w:p w14:paraId="28B8DF15" w14:textId="77777777" w:rsidR="008D78B9" w:rsidRDefault="008D78B9" w:rsidP="008D78B9">
      <w:pPr>
        <w:spacing w:after="120" w:line="276" w:lineRule="auto"/>
        <w:ind w:firstLine="708"/>
        <w:jc w:val="both"/>
        <w:rPr>
          <w:rFonts w:ascii="Verdana" w:eastAsia="Times New Roman" w:hAnsi="Verdana" w:cs="Arial"/>
          <w:lang w:val="es-ES" w:eastAsia="es-ES_tradnl"/>
        </w:rPr>
      </w:pPr>
      <w:r>
        <w:rPr>
          <w:rFonts w:ascii="Verdana" w:eastAsia="Times New Roman" w:hAnsi="Verdana" w:cs="Arial"/>
          <w:lang w:val="es-ES" w:eastAsia="es-ES_tradnl"/>
        </w:rPr>
        <w:t>El Legislador, por medio de la Ley 9 de 1989 reguló, entre otros aspectos, lo concerniente al procedimiento para la enajenación voluntaria y expropiación de bienes inmuebles con el fin de desarrollar las actividades que la misma ley –artículo 10– declaró como de utilidad pública</w:t>
      </w:r>
      <w:r>
        <w:rPr>
          <w:rStyle w:val="Refdenotaalpie"/>
          <w:rFonts w:ascii="Verdana" w:eastAsia="Times New Roman" w:hAnsi="Verdana" w:cs="Arial"/>
          <w:lang w:val="es-ES" w:eastAsia="es-ES_tradnl"/>
        </w:rPr>
        <w:footnoteReference w:id="27"/>
      </w:r>
      <w:r>
        <w:rPr>
          <w:rFonts w:ascii="Verdana" w:eastAsia="Times New Roman" w:hAnsi="Verdana" w:cs="Arial"/>
          <w:lang w:val="es-ES" w:eastAsia="es-ES_tradnl"/>
        </w:rPr>
        <w:t>. Dicha ley fue modificada por la Ley 388 de 1997</w:t>
      </w:r>
      <w:r>
        <w:rPr>
          <w:rStyle w:val="Refdenotaalpie"/>
          <w:rFonts w:ascii="Verdana" w:eastAsia="Times New Roman" w:hAnsi="Verdana" w:cs="Arial"/>
          <w:lang w:val="es-ES" w:eastAsia="es-ES_tradnl"/>
        </w:rPr>
        <w:footnoteReference w:id="28"/>
      </w:r>
      <w:r>
        <w:rPr>
          <w:rFonts w:ascii="Verdana" w:eastAsia="Times New Roman" w:hAnsi="Verdana" w:cs="Arial"/>
          <w:lang w:val="es-ES" w:eastAsia="es-ES_tradnl"/>
        </w:rPr>
        <w:t xml:space="preserve"> que tuvo entre sus objetivos armonizar la legislación con las nuevas normas de la Constitución Política de 1991</w:t>
      </w:r>
      <w:r>
        <w:rPr>
          <w:rStyle w:val="Refdenotaalpie"/>
          <w:rFonts w:ascii="Verdana" w:eastAsia="Times New Roman" w:hAnsi="Verdana" w:cs="Arial"/>
          <w:lang w:val="es-ES" w:eastAsia="es-ES_tradnl"/>
        </w:rPr>
        <w:footnoteReference w:id="29"/>
      </w:r>
      <w:r>
        <w:rPr>
          <w:rFonts w:ascii="Verdana" w:eastAsia="Times New Roman" w:hAnsi="Verdana" w:cs="Arial"/>
          <w:lang w:val="es-ES" w:eastAsia="es-ES_tradnl"/>
        </w:rPr>
        <w:t xml:space="preserve">, y en sus artículos 58 y siguientes desarrolló lo relativo a la “adquisición de inmuebles por enajenación voluntaria y expropiación judicial”. Estas normas constituyen, principalmente, el régimen general de la expropiación por vía judicial y por vía administrativa, y regulan también aspectos de la enajenación voluntaria y de la negociación directa, de manera que “contienen las directrices que deben seguir las </w:t>
      </w:r>
      <w:r>
        <w:rPr>
          <w:rFonts w:ascii="Verdana" w:eastAsia="Times New Roman" w:hAnsi="Verdana" w:cs="Arial"/>
          <w:lang w:val="es-ES" w:eastAsia="es-ES_tradnl"/>
        </w:rPr>
        <w:lastRenderedPageBreak/>
        <w:t>administraciones locales y los ciudadanos para cumplir con los fines sociales y de utilidad pública del ordenamiento urbano”</w:t>
      </w:r>
      <w:r>
        <w:rPr>
          <w:rStyle w:val="Refdenotaalpie"/>
          <w:rFonts w:ascii="Verdana" w:eastAsia="Times New Roman" w:hAnsi="Verdana" w:cs="Arial"/>
          <w:lang w:val="es-ES" w:eastAsia="es-ES_tradnl"/>
        </w:rPr>
        <w:footnoteReference w:id="30"/>
      </w:r>
      <w:r>
        <w:rPr>
          <w:rFonts w:ascii="Verdana" w:eastAsia="Times New Roman" w:hAnsi="Verdana" w:cs="Arial"/>
          <w:lang w:val="es-ES" w:eastAsia="es-ES_tradnl"/>
        </w:rPr>
        <w:t>.</w:t>
      </w:r>
    </w:p>
    <w:bookmarkEnd w:id="13"/>
    <w:p w14:paraId="5752EFA9" w14:textId="77777777" w:rsidR="008D78B9" w:rsidRDefault="008D78B9" w:rsidP="008D78B9">
      <w:pPr>
        <w:spacing w:after="120" w:line="276" w:lineRule="auto"/>
        <w:ind w:firstLine="708"/>
        <w:jc w:val="both"/>
        <w:rPr>
          <w:rFonts w:ascii="Verdana" w:hAnsi="Verdana" w:cs="Arial"/>
          <w:lang w:val="es-ES"/>
        </w:rPr>
      </w:pPr>
      <w:r>
        <w:rPr>
          <w:rFonts w:ascii="Verdana" w:hAnsi="Verdana" w:cs="Arial"/>
          <w:lang w:val="es-ES"/>
        </w:rPr>
        <w:t>El trámite de expropiación, como se dijo, puede realizarse por vía</w:t>
      </w:r>
      <w:bookmarkStart w:id="14" w:name="_Hlk78998965"/>
      <w:r>
        <w:rPr>
          <w:rFonts w:ascii="Verdana" w:hAnsi="Verdana" w:cs="Arial"/>
          <w:lang w:val="es-ES"/>
        </w:rPr>
        <w:t xml:space="preserve"> judicial o por vía administrativa. La jurisprudencia constitucional ha hecho énfasis</w:t>
      </w:r>
      <w:r>
        <w:rPr>
          <w:rFonts w:ascii="Verdana" w:hAnsi="Verdana" w:cs="Arial"/>
          <w:spacing w:val="19"/>
          <w:lang w:val="es-ES"/>
        </w:rPr>
        <w:t xml:space="preserve"> </w:t>
      </w:r>
      <w:r>
        <w:rPr>
          <w:rFonts w:ascii="Verdana" w:hAnsi="Verdana" w:cs="Arial"/>
          <w:lang w:val="es-ES"/>
        </w:rPr>
        <w:t>en que, sin importar la vía por la que se adelante la expropiación, este proceso debe ser garantista y respetar el debido proceso</w:t>
      </w:r>
      <w:r>
        <w:rPr>
          <w:rStyle w:val="Refdenotaalpie"/>
          <w:rFonts w:ascii="Verdana" w:hAnsi="Verdana" w:cs="Arial"/>
          <w:lang w:val="es-ES"/>
        </w:rPr>
        <w:footnoteReference w:id="31"/>
      </w:r>
      <w:r>
        <w:rPr>
          <w:rFonts w:ascii="Verdana" w:hAnsi="Verdana" w:cs="Arial"/>
          <w:lang w:val="es-ES"/>
        </w:rPr>
        <w:t xml:space="preserve">. De esta manera, la garantía del debido proceso en el marco de un proceso de expropiación implica el cumplimiento de una serie de etapas previas definidas por las leyes antes mencionadas, tales como: i) la oferta de compra, </w:t>
      </w:r>
      <w:proofErr w:type="spellStart"/>
      <w:r>
        <w:rPr>
          <w:rFonts w:ascii="Verdana" w:hAnsi="Verdana" w:cs="Arial"/>
          <w:lang w:val="es-ES"/>
        </w:rPr>
        <w:t>ii</w:t>
      </w:r>
      <w:proofErr w:type="spellEnd"/>
      <w:r>
        <w:rPr>
          <w:rFonts w:ascii="Verdana" w:hAnsi="Verdana" w:cs="Arial"/>
          <w:lang w:val="es-ES"/>
        </w:rPr>
        <w:t xml:space="preserve">) la negociación directa y </w:t>
      </w:r>
      <w:proofErr w:type="spellStart"/>
      <w:r>
        <w:rPr>
          <w:rFonts w:ascii="Verdana" w:hAnsi="Verdana" w:cs="Arial"/>
          <w:lang w:val="es-ES"/>
        </w:rPr>
        <w:t>iii</w:t>
      </w:r>
      <w:proofErr w:type="spellEnd"/>
      <w:r>
        <w:rPr>
          <w:rFonts w:ascii="Verdana" w:hAnsi="Verdana" w:cs="Arial"/>
          <w:lang w:val="es-ES"/>
        </w:rPr>
        <w:t>) el proceso expropiatorio.</w:t>
      </w:r>
    </w:p>
    <w:p w14:paraId="23C107BA" w14:textId="77777777" w:rsidR="008D78B9" w:rsidRDefault="008D78B9" w:rsidP="008D78B9">
      <w:pPr>
        <w:spacing w:after="120" w:line="276" w:lineRule="auto"/>
        <w:ind w:firstLine="708"/>
        <w:jc w:val="both"/>
        <w:rPr>
          <w:rFonts w:ascii="Verdana" w:hAnsi="Verdana" w:cs="Arial"/>
          <w:lang w:val="es-ES"/>
        </w:rPr>
      </w:pPr>
      <w:r>
        <w:rPr>
          <w:rFonts w:ascii="Verdana" w:hAnsi="Verdana" w:cs="Arial"/>
          <w:lang w:val="es-ES"/>
        </w:rPr>
        <w:t>La primera etapa, relativa a la oferta de compra, que aplica tanto en los procesos de expropiación judicial como administrativa, hace referencia a la oferta de compra que hace la autoridad al propietario del bien. La segunda etapa de negociación o de enajenación voluntaria es aquella en virtud de la cual el particular y la entidad llegan a un acuerdo a través de la celebración de un contrato de compraventa o de promesa de compraventa, pero si en esta etapa no se logra un acuerdo entre el propietario del bien y la Administración debe adelantarse el procedimiento expropiatorio. La tercera y última etapa es la expropiación, ya sea administrativa o judicial.</w:t>
      </w:r>
    </w:p>
    <w:bookmarkEnd w:id="14"/>
    <w:p w14:paraId="3F524289" w14:textId="77777777" w:rsidR="008D78B9" w:rsidRDefault="008D78B9" w:rsidP="008D78B9">
      <w:pPr>
        <w:spacing w:after="120" w:line="276" w:lineRule="auto"/>
        <w:ind w:firstLine="708"/>
        <w:jc w:val="both"/>
        <w:rPr>
          <w:rFonts w:ascii="Verdana" w:eastAsia="Times New Roman" w:hAnsi="Verdana" w:cs="Arial"/>
          <w:lang w:val="es-ES" w:eastAsia="es-ES_tradnl"/>
        </w:rPr>
      </w:pPr>
      <w:r>
        <w:rPr>
          <w:rFonts w:ascii="Verdana" w:eastAsia="Times New Roman" w:hAnsi="Verdana" w:cs="Arial"/>
          <w:lang w:val="es-ES" w:eastAsia="es-ES_tradnl"/>
        </w:rPr>
        <w:t>Por consiguiente, el procedimiento para la adquisición de bienes inmuebles destinados a actividades de utilidad pública e interés social contempla que la entidad pública adquirente efectúe previamente el trámite de adquisición a través de la enajenación voluntaria y negociada con el propietario del inmueble, antes de acudir a los procedimientos especiales para la expropiación judicial o administrativa.</w:t>
      </w:r>
      <w:r>
        <w:rPr>
          <w:rFonts w:ascii="Verdana" w:hAnsi="Verdana"/>
          <w:lang w:val="es-ES"/>
        </w:rPr>
        <w:t xml:space="preserve"> </w:t>
      </w:r>
      <w:r>
        <w:rPr>
          <w:rFonts w:ascii="Verdana" w:eastAsia="Times New Roman" w:hAnsi="Verdana" w:cs="Arial"/>
          <w:lang w:val="es-ES" w:eastAsia="es-ES_tradnl"/>
        </w:rPr>
        <w:t>Así, en los casos de enajenación voluntaria y negociación directa, la adquisición se realiza como resultado de un negocio jurídico autónomo, en el que la obligación de pago se determinará de común acuerdo entre el Estado y el vendedor, pues, en tales eventos no se trata de una expropiación</w:t>
      </w:r>
      <w:r>
        <w:rPr>
          <w:rStyle w:val="Refdenotaalpie"/>
          <w:rFonts w:ascii="Verdana" w:eastAsia="Times New Roman" w:hAnsi="Verdana" w:cs="Arial"/>
          <w:lang w:val="es-ES" w:eastAsia="es-ES_tradnl"/>
        </w:rPr>
        <w:footnoteReference w:id="32"/>
      </w:r>
      <w:r>
        <w:rPr>
          <w:rFonts w:ascii="Verdana" w:eastAsia="Times New Roman" w:hAnsi="Verdana" w:cs="Arial"/>
          <w:lang w:val="es-ES" w:eastAsia="es-ES_tradnl"/>
        </w:rPr>
        <w:t>.</w:t>
      </w:r>
    </w:p>
    <w:p w14:paraId="51CF650C" w14:textId="77777777" w:rsidR="008D78B9" w:rsidRDefault="008D78B9" w:rsidP="008D78B9">
      <w:pPr>
        <w:spacing w:after="0" w:line="276" w:lineRule="auto"/>
        <w:ind w:firstLine="708"/>
        <w:jc w:val="both"/>
        <w:rPr>
          <w:rFonts w:ascii="Verdana" w:eastAsia="Times New Roman" w:hAnsi="Verdana" w:cs="Arial"/>
          <w:lang w:val="es-ES" w:eastAsia="es-ES_tradnl"/>
        </w:rPr>
      </w:pPr>
      <w:r>
        <w:rPr>
          <w:rFonts w:ascii="Verdana" w:eastAsia="Times New Roman" w:hAnsi="Verdana" w:cs="Arial"/>
          <w:lang w:val="es-ES" w:eastAsia="es-ES_tradnl"/>
        </w:rPr>
        <w:lastRenderedPageBreak/>
        <w:t xml:space="preserve">Una vez se ha efectuado la notificación del acto de oferta empieza a correr el término durante el cual se llevará a cabo la negociación con el propietario del inmueble. Si en este plazo se logra el acuerdo se celebrará un </w:t>
      </w:r>
      <w:r>
        <w:rPr>
          <w:rFonts w:ascii="Verdana" w:eastAsia="Times New Roman" w:hAnsi="Verdana" w:cs="Arial"/>
          <w:i/>
          <w:iCs/>
          <w:lang w:val="es-ES" w:eastAsia="es-ES_tradnl"/>
        </w:rPr>
        <w:t>contrato de compraventa</w:t>
      </w:r>
      <w:r>
        <w:rPr>
          <w:rFonts w:ascii="Verdana" w:eastAsia="Times New Roman" w:hAnsi="Verdana" w:cs="Arial"/>
          <w:lang w:val="es-ES" w:eastAsia="es-ES_tradnl"/>
        </w:rPr>
        <w:t xml:space="preserve"> o de promesa de compraventa</w:t>
      </w:r>
      <w:r>
        <w:rPr>
          <w:rStyle w:val="Refdenotaalpie"/>
          <w:rFonts w:ascii="Verdana" w:eastAsia="Times New Roman" w:hAnsi="Verdana" w:cs="Arial"/>
          <w:lang w:val="es-ES" w:eastAsia="es-ES_tradnl"/>
        </w:rPr>
        <w:footnoteReference w:id="33"/>
      </w:r>
      <w:r>
        <w:rPr>
          <w:rFonts w:ascii="Verdana" w:eastAsia="Times New Roman" w:hAnsi="Verdana" w:cs="Arial"/>
          <w:lang w:val="es-ES" w:eastAsia="es-ES_tradnl"/>
        </w:rPr>
        <w:t xml:space="preserve">. En caso contrario se deberá dar inicio al proceso de expropiación. Finalmente, en caso de acuerdo, realizada la entrega material del inmueble a favor de la entidad adquirente, el pago del precio se efectuará de conformidad con lo convenido dentro del respectivo contrato de compraventa. </w:t>
      </w:r>
    </w:p>
    <w:p w14:paraId="1C64710D" w14:textId="77777777" w:rsidR="008D78B9" w:rsidRDefault="008D78B9" w:rsidP="008D78B9">
      <w:pPr>
        <w:spacing w:before="120" w:after="0" w:line="276" w:lineRule="auto"/>
        <w:ind w:firstLine="708"/>
        <w:jc w:val="both"/>
        <w:rPr>
          <w:rFonts w:ascii="Verdana" w:eastAsia="Times New Roman" w:hAnsi="Verdana" w:cs="Arial"/>
          <w:lang w:val="es-ES" w:eastAsia="es-ES_tradnl"/>
        </w:rPr>
      </w:pPr>
      <w:r>
        <w:rPr>
          <w:rFonts w:ascii="Verdana" w:eastAsia="Times New Roman" w:hAnsi="Verdana" w:cs="Arial"/>
          <w:lang w:val="es-ES" w:eastAsia="es-ES_tradnl"/>
        </w:rPr>
        <w:t>En efecto, en los procesos de expropiación judicial o expropiación administrativa existe una etapa previa de negociación, en la cual la administración intenta adquirir voluntariamente el bien, de suerte que se evite iniciar el proceso forzoso expropiatorio. Esta etapa comienza con una oferta de la entidad al particular para adquirir el bien por el precio base fijado con fundamento en un avalúo. Posteriormente, pasa a una etapa de negociación directa con el particular. En caso de que el proceso de negociación directa se concrete, culmina con la etapa de transferencia del bien y de pago del precio acordado. Pero, si el proceso de negociación se frustra, inicia la etapa expropiatoria, mediante los procesos judicial o administrativo, según el caso, hasta obtener el título traslaticio de dominio al Estado, la tradición del bien y realizar el pago de la indemnización al particular expropiado.</w:t>
      </w:r>
    </w:p>
    <w:p w14:paraId="5451C495" w14:textId="77777777" w:rsidR="008D78B9" w:rsidRDefault="008D78B9" w:rsidP="008D78B9">
      <w:pPr>
        <w:tabs>
          <w:tab w:val="left" w:pos="709"/>
        </w:tabs>
        <w:spacing w:before="120" w:after="120" w:line="276" w:lineRule="auto"/>
        <w:ind w:firstLine="708"/>
        <w:jc w:val="both"/>
        <w:rPr>
          <w:rFonts w:ascii="Verdana" w:eastAsia="Times New Roman" w:hAnsi="Verdana" w:cs="Arial"/>
          <w:lang w:val="es-ES" w:eastAsia="es-ES_tradnl"/>
        </w:rPr>
      </w:pPr>
      <w:bookmarkStart w:id="15" w:name="_Hlk79760762"/>
      <w:r>
        <w:rPr>
          <w:rFonts w:ascii="Verdana" w:eastAsia="Times New Roman" w:hAnsi="Verdana" w:cs="Arial"/>
          <w:lang w:val="es-ES" w:eastAsia="es-ES_tradnl"/>
        </w:rPr>
        <w:t xml:space="preserve">Dado que el procedimiento establecido podría culminar con la celebración de </w:t>
      </w:r>
      <w:bookmarkStart w:id="16" w:name="_Hlk79003065"/>
      <w:r>
        <w:rPr>
          <w:rFonts w:ascii="Verdana" w:eastAsia="Times New Roman" w:hAnsi="Verdana" w:cs="Arial"/>
          <w:lang w:val="es-ES" w:eastAsia="es-ES_tradnl"/>
        </w:rPr>
        <w:t xml:space="preserve">una promesa de compraventa o en un contrato de compraventa, </w:t>
      </w:r>
      <w:bookmarkEnd w:id="16"/>
      <w:r>
        <w:rPr>
          <w:rFonts w:ascii="Verdana" w:eastAsia="Times New Roman" w:hAnsi="Verdana" w:cs="Arial"/>
          <w:lang w:val="es-ES" w:eastAsia="es-ES_tradnl"/>
        </w:rPr>
        <w:t xml:space="preserve">en el que participan entidades estatales y se invierten recursos de naturaleza pública, bien puede afirmarse que estos actos jurídicos negociales son auténticos contratos estatales, según el criterio orgánico establecido en el artículo 32 de la Ley 80 de 1993, en concordancia el artículo 2 </w:t>
      </w:r>
      <w:r>
        <w:rPr>
          <w:rFonts w:ascii="Verdana" w:eastAsia="Times New Roman" w:hAnsi="Verdana" w:cs="Arial"/>
          <w:i/>
          <w:iCs/>
          <w:lang w:val="es-ES" w:eastAsia="es-ES_tradnl"/>
        </w:rPr>
        <w:t>ibidem</w:t>
      </w:r>
      <w:r>
        <w:rPr>
          <w:rFonts w:ascii="Verdana" w:eastAsia="Times New Roman" w:hAnsi="Verdana" w:cs="Arial"/>
          <w:lang w:val="es-ES" w:eastAsia="es-ES_tradnl"/>
        </w:rPr>
        <w:t xml:space="preserve"> y en armonía con lo dispuesto por el artículo 1 de la Ley 1150 de 2007.</w:t>
      </w:r>
    </w:p>
    <w:p w14:paraId="5FEF5F32" w14:textId="77777777" w:rsidR="008D78B9" w:rsidRDefault="008D78B9" w:rsidP="008D78B9">
      <w:pPr>
        <w:pStyle w:val="paragraph"/>
        <w:shd w:val="clear" w:color="auto" w:fill="FFFFFF"/>
        <w:spacing w:before="0" w:beforeAutospacing="0" w:after="0" w:afterAutospacing="0" w:line="276" w:lineRule="auto"/>
        <w:ind w:firstLine="703"/>
        <w:jc w:val="both"/>
        <w:textAlignment w:val="baseline"/>
        <w:rPr>
          <w:rFonts w:ascii="Verdana" w:hAnsi="Verdana" w:cs="Arial"/>
          <w:sz w:val="22"/>
          <w:szCs w:val="22"/>
          <w:lang w:val="es-ES" w:eastAsia="es-ES_tradnl"/>
        </w:rPr>
      </w:pPr>
      <w:r>
        <w:rPr>
          <w:rFonts w:ascii="Verdana" w:hAnsi="Verdana" w:cs="Arial"/>
          <w:sz w:val="22"/>
          <w:szCs w:val="22"/>
          <w:lang w:val="es-ES" w:eastAsia="es-ES_tradnl"/>
        </w:rPr>
        <w:t xml:space="preserve">Sin embargo, el procedimiento de adquisición de bienes inmuebles establecido en el Estatuto General de Contratación de la Administración Pública no resulta aplicable. Tal y como ha sido aclarado por esta Agencia, el procedimiento para la adquisición de bienes inmuebles con fines de utilidad </w:t>
      </w:r>
      <w:r>
        <w:rPr>
          <w:rFonts w:ascii="Verdana" w:hAnsi="Verdana" w:cs="Arial"/>
          <w:sz w:val="22"/>
          <w:szCs w:val="22"/>
          <w:lang w:val="es-ES" w:eastAsia="es-ES_tradnl"/>
        </w:rPr>
        <w:lastRenderedPageBreak/>
        <w:t>pública e interés social se encuentra excluido de la aplicación de tal estatuto, por cuanto es un procedimiento regulado en un régimen especial y exceptuado.</w:t>
      </w:r>
      <w:bookmarkEnd w:id="15"/>
      <w:r>
        <w:rPr>
          <w:rFonts w:ascii="Verdana" w:hAnsi="Verdana" w:cs="Arial"/>
          <w:sz w:val="22"/>
          <w:szCs w:val="22"/>
          <w:lang w:val="es-ES" w:eastAsia="es-ES_tradnl"/>
        </w:rPr>
        <w:t xml:space="preserve"> Al respecto, se reitera lo señalado por esta Agencia mediante Concepto C-159 de 2020, en los siguientes términos:</w:t>
      </w:r>
    </w:p>
    <w:p w14:paraId="7D23DD8C" w14:textId="77777777" w:rsidR="008D78B9" w:rsidRDefault="008D78B9" w:rsidP="008D78B9">
      <w:pPr>
        <w:pStyle w:val="paragraph"/>
        <w:shd w:val="clear" w:color="auto" w:fill="FFFFFF"/>
        <w:spacing w:before="0" w:beforeAutospacing="0" w:after="0" w:afterAutospacing="0" w:line="276" w:lineRule="auto"/>
        <w:ind w:firstLine="703"/>
        <w:jc w:val="both"/>
        <w:textAlignment w:val="baseline"/>
        <w:rPr>
          <w:rFonts w:ascii="Verdana" w:hAnsi="Verdana" w:cs="Arial"/>
          <w:sz w:val="22"/>
          <w:szCs w:val="22"/>
          <w:lang w:val="es-ES" w:eastAsia="es-ES_tradnl"/>
        </w:rPr>
      </w:pPr>
    </w:p>
    <w:p w14:paraId="63F742A3" w14:textId="77777777" w:rsidR="008D78B9" w:rsidRDefault="008D78B9" w:rsidP="008D78B9">
      <w:pPr>
        <w:spacing w:after="0" w:line="240" w:lineRule="auto"/>
        <w:ind w:left="708" w:right="709"/>
        <w:jc w:val="both"/>
        <w:rPr>
          <w:rFonts w:ascii="Verdana" w:eastAsia="Times New Roman" w:hAnsi="Verdana" w:cs="Arial"/>
          <w:sz w:val="20"/>
          <w:szCs w:val="20"/>
          <w:lang w:val="es-ES" w:eastAsia="es-ES_tradnl"/>
        </w:rPr>
      </w:pPr>
      <w:r>
        <w:rPr>
          <w:rFonts w:ascii="Verdana" w:eastAsia="Calibri" w:hAnsi="Verdana" w:cs="Arial"/>
          <w:color w:val="000000" w:themeColor="text1"/>
          <w:sz w:val="20"/>
          <w:szCs w:val="20"/>
          <w:lang w:val="es-ES"/>
        </w:rPr>
        <w:t>“Al observar lo anterior y contrastarlo con la normativa de contratación pública, esta entidad concluyó que, a pesar de que la Ley 80 de 1993 regula los contratos de las entidades, la excepción a esta regla debe tener origen constitucional o legal, y por ello, en virtud de la especialidad del procedimiento, el trámite de enajenación voluntaria directa, al que se refiere la Ley 9 de 1989, modificada por la Ley 388 de 1997, no hace parte de la normativa de contratación pública, toda vez que si bien dicho trámite implica la celebración de un contrato de compraventa, ese contrato tiene origen o razón de ser en la declaración previa de los bienes de “utilidad pública o interés social” en los términos del artículo 58 de la Ley 388 de 1997”</w:t>
      </w:r>
      <w:r>
        <w:rPr>
          <w:rStyle w:val="Refdenotaalpie"/>
          <w:rFonts w:ascii="Verdana" w:eastAsia="Calibri" w:hAnsi="Verdana" w:cs="Arial"/>
          <w:color w:val="000000" w:themeColor="text1"/>
          <w:sz w:val="20"/>
          <w:szCs w:val="20"/>
          <w:lang w:val="es-ES"/>
        </w:rPr>
        <w:footnoteReference w:id="34"/>
      </w:r>
      <w:r>
        <w:rPr>
          <w:rFonts w:ascii="Verdana" w:eastAsia="Calibri" w:hAnsi="Verdana" w:cs="Arial"/>
          <w:color w:val="000000" w:themeColor="text1"/>
          <w:sz w:val="20"/>
          <w:szCs w:val="20"/>
          <w:lang w:val="es-ES"/>
        </w:rPr>
        <w:t>.</w:t>
      </w:r>
    </w:p>
    <w:p w14:paraId="1FC44DF2" w14:textId="77777777" w:rsidR="008D78B9" w:rsidRDefault="008D78B9" w:rsidP="008D78B9">
      <w:pPr>
        <w:spacing w:after="0" w:line="276" w:lineRule="auto"/>
        <w:jc w:val="both"/>
        <w:rPr>
          <w:rFonts w:ascii="Verdana" w:eastAsia="Times New Roman" w:hAnsi="Verdana" w:cs="Arial"/>
          <w:lang w:val="es-ES" w:eastAsia="es-ES_tradnl"/>
        </w:rPr>
      </w:pPr>
    </w:p>
    <w:p w14:paraId="48EEF183" w14:textId="77777777" w:rsidR="008D78B9" w:rsidRDefault="008D78B9" w:rsidP="008D78B9">
      <w:pPr>
        <w:spacing w:after="120" w:line="276" w:lineRule="auto"/>
        <w:ind w:firstLine="708"/>
        <w:jc w:val="both"/>
        <w:rPr>
          <w:rFonts w:ascii="Verdana" w:eastAsia="Times New Roman" w:hAnsi="Verdana" w:cs="Arial"/>
          <w:lang w:val="es-ES" w:eastAsia="es-ES_tradnl"/>
        </w:rPr>
      </w:pPr>
      <w:r>
        <w:rPr>
          <w:rFonts w:ascii="Verdana" w:eastAsia="Times New Roman" w:hAnsi="Verdana" w:cs="Arial"/>
          <w:lang w:val="es-ES" w:eastAsia="es-ES_tradnl"/>
        </w:rPr>
        <w:t xml:space="preserve">En efecto, pese a que existe un régimen normativo aplicable de manera general a la contratación del Estado, el legislador ha establecido regímenes especiales para algunas entidades estatales en consideración a su actividad o para algunos contratos estatales </w:t>
      </w:r>
      <w:proofErr w:type="gramStart"/>
      <w:r>
        <w:rPr>
          <w:rFonts w:ascii="Verdana" w:eastAsia="Times New Roman" w:hAnsi="Verdana" w:cs="Arial"/>
          <w:lang w:val="es-ES" w:eastAsia="es-ES_tradnl"/>
        </w:rPr>
        <w:t>en razón de</w:t>
      </w:r>
      <w:proofErr w:type="gramEnd"/>
      <w:r>
        <w:rPr>
          <w:rFonts w:ascii="Verdana" w:eastAsia="Times New Roman" w:hAnsi="Verdana" w:cs="Arial"/>
          <w:lang w:val="es-ES" w:eastAsia="es-ES_tradnl"/>
        </w:rPr>
        <w:t xml:space="preserve"> su objeto, que contienen una serie de normas distintas o específicas que se aplican a la actividad contractual de tales entidades o en la celebración de dichos contratos, o simplemente remiten al Derecho privado. Por ende, no resultan aplicables aquellas materias reguladas por el citado Estatuto y las normas que lo modifiquen o adicionen, como, por ejemplo, los mecanismos de selección, las cláusulas excepcionales, la liquidación del contrato, entre otros, salvo que el régimen especial así lo autorice. </w:t>
      </w:r>
    </w:p>
    <w:p w14:paraId="11B41C10" w14:textId="77777777" w:rsidR="008D78B9" w:rsidRDefault="008D78B9" w:rsidP="008D78B9">
      <w:pPr>
        <w:spacing w:after="120" w:line="276" w:lineRule="auto"/>
        <w:ind w:firstLine="708"/>
        <w:jc w:val="both"/>
        <w:rPr>
          <w:rFonts w:ascii="Verdana" w:eastAsia="Times New Roman" w:hAnsi="Verdana" w:cs="Arial"/>
          <w:lang w:val="es-ES" w:eastAsia="es-ES_tradnl"/>
        </w:rPr>
      </w:pPr>
      <w:r>
        <w:rPr>
          <w:rFonts w:ascii="Verdana" w:eastAsia="Times New Roman" w:hAnsi="Verdana" w:cs="Arial"/>
          <w:lang w:val="es-ES" w:eastAsia="es-ES_tradnl"/>
        </w:rPr>
        <w:t xml:space="preserve">Sin embargo, no debe pasarse por alto que, al margen de su especialidad, el procedimiento administrativo </w:t>
      </w:r>
      <w:bookmarkStart w:id="17" w:name="_Hlk79133236"/>
      <w:r>
        <w:rPr>
          <w:rFonts w:ascii="Verdana" w:eastAsia="Times New Roman" w:hAnsi="Verdana" w:cs="Arial"/>
          <w:lang w:val="es-ES" w:eastAsia="es-ES_tradnl"/>
        </w:rPr>
        <w:t xml:space="preserve">para la adquisición de inmuebles por utilidad pública e interés social mediante enajenación voluntaria, </w:t>
      </w:r>
      <w:bookmarkEnd w:id="17"/>
      <w:r>
        <w:rPr>
          <w:rFonts w:ascii="Verdana" w:eastAsia="Times New Roman" w:hAnsi="Verdana" w:cs="Arial"/>
          <w:lang w:val="es-ES" w:eastAsia="es-ES_tradnl"/>
        </w:rPr>
        <w:t>implica el ejercicio de funciones administrativas, lo que, por ende, implica la aplicación de los principios de igualdad, moralidad, eficacia, economía, celeridad, imparcialidad y publicidad contenidos en el artículo 209 de la Constitución, varios de los cuales encuentran manifestaciones prácticas y concretas dentro de la regulación de las leyes 9 de 1989, 388 de 1997 y 1682 de 2013.</w:t>
      </w:r>
      <w:bookmarkStart w:id="18" w:name="_Hlk79760844"/>
      <w:r>
        <w:rPr>
          <w:rFonts w:ascii="Verdana" w:eastAsia="Times New Roman" w:hAnsi="Verdana" w:cs="Arial"/>
          <w:lang w:val="es-ES" w:eastAsia="es-ES_tradnl"/>
        </w:rPr>
        <w:t xml:space="preserve"> Toda vez que a través de la adquisición de bienes inmuebles mediante enajenación directa se comprometen dineros </w:t>
      </w:r>
      <w:r>
        <w:rPr>
          <w:rFonts w:ascii="Verdana" w:eastAsia="Times New Roman" w:hAnsi="Verdana" w:cs="Arial"/>
          <w:lang w:val="es-ES" w:eastAsia="es-ES_tradnl"/>
        </w:rPr>
        <w:lastRenderedPageBreak/>
        <w:t>provenientes del erario, resultan también aplicables los principios propios del Estado Social de Derecho y de la Administración pública como los principios de transparencia, publicidad entre otros.</w:t>
      </w:r>
    </w:p>
    <w:p w14:paraId="45A553C0" w14:textId="77777777" w:rsidR="008D78B9" w:rsidRDefault="008D78B9" w:rsidP="008D78B9">
      <w:pPr>
        <w:tabs>
          <w:tab w:val="left" w:pos="426"/>
        </w:tabs>
        <w:spacing w:after="120" w:line="276" w:lineRule="auto"/>
        <w:jc w:val="both"/>
        <w:rPr>
          <w:rFonts w:ascii="Verdana" w:eastAsia="Times New Roman" w:hAnsi="Verdana" w:cs="Arial"/>
          <w:lang w:val="es-ES" w:eastAsia="es-ES_tradnl"/>
        </w:rPr>
      </w:pPr>
      <w:r>
        <w:rPr>
          <w:rFonts w:ascii="Verdana" w:eastAsia="Times New Roman" w:hAnsi="Verdana" w:cs="Arial"/>
          <w:lang w:val="es-ES" w:eastAsia="es-ES_tradnl"/>
        </w:rPr>
        <w:tab/>
      </w:r>
      <w:r>
        <w:rPr>
          <w:rFonts w:ascii="Verdana" w:eastAsia="Times New Roman" w:hAnsi="Verdana" w:cs="Arial"/>
          <w:lang w:val="es-ES" w:eastAsia="es-ES_tradnl"/>
        </w:rPr>
        <w:tab/>
        <w:t>En virtud de lo expuesto, la adquisición de los predios que se realice por enajenación voluntaria está sometida a un régimen especial de contratación. Sin embargo, como se explicó antes, esta culmina con la suscripción de un contrato de promesa de compraventa o de compraventa entre la entidad y la persona, con lo cual se trata de un procedimiento de contratación estatal no competitivo que está restringido por la prohibición establecida en el artículo 33 de la Ley 996 de 2005</w:t>
      </w:r>
      <w:bookmarkEnd w:id="18"/>
      <w:r>
        <w:rPr>
          <w:rFonts w:ascii="Verdana" w:eastAsia="Times New Roman" w:hAnsi="Verdana" w:cs="Arial"/>
          <w:lang w:val="es-ES" w:eastAsia="es-ES_tradnl"/>
        </w:rPr>
        <w:t xml:space="preserve">. En contraste, cuando la adquisición ocurra por el procedimiento expropiatorio no se materializa en la celebración de un contrato. </w:t>
      </w:r>
    </w:p>
    <w:bookmarkEnd w:id="12"/>
    <w:p w14:paraId="728AC098" w14:textId="77777777" w:rsidR="008D78B9" w:rsidRDefault="008D78B9" w:rsidP="008D78B9">
      <w:pPr>
        <w:spacing w:after="0" w:line="276" w:lineRule="auto"/>
        <w:ind w:firstLine="709"/>
        <w:jc w:val="both"/>
        <w:rPr>
          <w:rFonts w:ascii="Verdana" w:eastAsia="Times New Roman" w:hAnsi="Verdana" w:cs="Arial"/>
          <w:bCs/>
          <w:lang w:val="es-MX" w:eastAsia="x-none"/>
        </w:rPr>
      </w:pPr>
      <w:r>
        <w:rPr>
          <w:rFonts w:ascii="Verdana" w:eastAsia="Times New Roman" w:hAnsi="Verdana" w:cs="Arial"/>
          <w:bCs/>
          <w:lang w:val="es-MX" w:eastAsia="x-none"/>
        </w:rPr>
        <w:t>En tal sentido, se reitera que la restricción del artículo 33 de la Ley 996 de 2005 aplica frente a la contratación directa, entendida como cualquier sistema de selección o procedimiento de contratación utilizada por las entidades estatales que no incluya la convocatoria pública en alguna de sus etapas, ni permita la participación de una pluralidad de oferentes, ya sea en aplicación de normas del Estatuto General de Contratación de la Administración Pública, así como de regímenes especiales. Esto, sin perjuicio de las excepciones a la prohibición establecidas en el inciso segundo del mismo artículo 33, como son: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500B6ADF" w14:textId="77777777" w:rsidR="008D78B9" w:rsidRDefault="008D78B9" w:rsidP="008D78B9">
      <w:pPr>
        <w:spacing w:after="0" w:line="276" w:lineRule="auto"/>
        <w:jc w:val="both"/>
        <w:rPr>
          <w:rFonts w:ascii="Verdana" w:eastAsia="Calibri" w:hAnsi="Verdana" w:cs="Arial"/>
          <w:lang w:val="es-ES"/>
        </w:rPr>
      </w:pPr>
    </w:p>
    <w:p w14:paraId="610FDD2D" w14:textId="77777777" w:rsidR="008D78B9" w:rsidRDefault="008D78B9" w:rsidP="008D78B9">
      <w:pPr>
        <w:spacing w:after="120" w:line="276" w:lineRule="auto"/>
        <w:jc w:val="both"/>
        <w:rPr>
          <w:rFonts w:ascii="Verdana" w:eastAsia="Calibri" w:hAnsi="Verdana" w:cs="Arial"/>
          <w:bCs/>
          <w:color w:val="000000" w:themeColor="text1"/>
        </w:rPr>
      </w:pPr>
      <w:r>
        <w:rPr>
          <w:rFonts w:ascii="Verdana" w:eastAsia="Calibri" w:hAnsi="Verdana" w:cs="Arial"/>
          <w:bCs/>
          <w:color w:val="000000" w:themeColor="text1"/>
        </w:rPr>
        <w:t xml:space="preserve">v. 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w:t>
      </w:r>
      <w:r>
        <w:rPr>
          <w:rFonts w:ascii="Verdana" w:eastAsia="Calibri" w:hAnsi="Verdana" w:cs="Arial"/>
          <w:bCs/>
          <w:color w:val="000000" w:themeColor="text1"/>
        </w:rPr>
        <w:lastRenderedPageBreak/>
        <w:t>motivan la consulta. Por lo anterior, previo concepto de sus asesores, la solución de situaciones particulares corresponde a los interesados adoptar la decisión correspondiente y, en caso de conflicto, a las autoridades judiciales, fiscales y disciplinarias.</w:t>
      </w:r>
    </w:p>
    <w:p w14:paraId="38A50454" w14:textId="77777777" w:rsidR="008D78B9" w:rsidRDefault="008D78B9" w:rsidP="008D78B9">
      <w:pPr>
        <w:spacing w:after="0" w:line="276" w:lineRule="auto"/>
        <w:ind w:firstLine="708"/>
        <w:jc w:val="both"/>
        <w:rPr>
          <w:rFonts w:ascii="Verdana" w:hAnsi="Verdana" w:cs="Arial"/>
          <w:color w:val="000000" w:themeColor="text1"/>
        </w:rPr>
      </w:pPr>
      <w:r>
        <w:rPr>
          <w:rFonts w:ascii="Verdana" w:eastAsia="Calibri" w:hAnsi="Verdana" w:cs="Arial"/>
          <w:bCs/>
          <w:color w:val="000000" w:themeColor="text1"/>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2DA3E375" w14:textId="77777777" w:rsidR="008D78B9" w:rsidRDefault="008D78B9" w:rsidP="008D78B9">
      <w:pPr>
        <w:spacing w:after="0" w:line="276" w:lineRule="auto"/>
        <w:jc w:val="both"/>
        <w:rPr>
          <w:rFonts w:ascii="Verdana" w:eastAsia="Calibri" w:hAnsi="Verdana" w:cs="Arial"/>
          <w:bCs/>
          <w:color w:val="000000" w:themeColor="text1"/>
        </w:rPr>
      </w:pPr>
      <w:r>
        <w:rPr>
          <w:rFonts w:ascii="Verdana" w:eastAsia="Calibri" w:hAnsi="Verdana" w:cs="Arial"/>
          <w:bCs/>
          <w:color w:val="000000" w:themeColor="text1"/>
        </w:rPr>
        <w:t xml:space="preserve"> </w:t>
      </w:r>
    </w:p>
    <w:p w14:paraId="0359CA49" w14:textId="77777777" w:rsidR="008D78B9" w:rsidRDefault="008D78B9" w:rsidP="008D78B9">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Pr>
          <w:rFonts w:ascii="Verdana" w:eastAsia="Century Gothic" w:hAnsi="Verdana" w:cs="Century Gothic"/>
          <w:b/>
          <w:bCs/>
        </w:rPr>
        <w:t>Referencias normativas:</w:t>
      </w:r>
    </w:p>
    <w:p w14:paraId="26B210A3" w14:textId="77777777" w:rsidR="008D78B9" w:rsidRDefault="008D78B9" w:rsidP="008D78B9">
      <w:pPr>
        <w:widowControl w:val="0"/>
        <w:autoSpaceDE w:val="0"/>
        <w:autoSpaceDN w:val="0"/>
        <w:spacing w:after="0" w:line="276" w:lineRule="auto"/>
        <w:jc w:val="both"/>
        <w:rPr>
          <w:rFonts w:ascii="Verdana" w:hAnsi="Verdana" w:cs="Arial"/>
        </w:rPr>
      </w:pPr>
    </w:p>
    <w:tbl>
      <w:tblPr>
        <w:tblStyle w:val="Tablaconcuadrcula"/>
        <w:tblW w:w="8640"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8D78B9" w14:paraId="6F964767" w14:textId="77777777" w:rsidTr="008D78B9">
        <w:trPr>
          <w:trHeight w:val="870"/>
          <w:jc w:val="center"/>
        </w:trPr>
        <w:tc>
          <w:tcPr>
            <w:tcW w:w="8647" w:type="dxa"/>
            <w:tcBorders>
              <w:top w:val="dotted" w:sz="4" w:space="0" w:color="auto"/>
              <w:left w:val="dotted" w:sz="4" w:space="0" w:color="auto"/>
              <w:bottom w:val="dotted" w:sz="4" w:space="0" w:color="auto"/>
              <w:right w:val="dotted" w:sz="4" w:space="0" w:color="auto"/>
            </w:tcBorders>
            <w:hideMark/>
          </w:tcPr>
          <w:p w14:paraId="183506F2" w14:textId="77777777" w:rsidR="008D78B9" w:rsidRDefault="008D78B9" w:rsidP="008D78B9">
            <w:pPr>
              <w:pStyle w:val="Prrafodelista"/>
              <w:widowControl w:val="0"/>
              <w:numPr>
                <w:ilvl w:val="0"/>
                <w:numId w:val="17"/>
              </w:numPr>
              <w:autoSpaceDE w:val="0"/>
              <w:autoSpaceDN w:val="0"/>
              <w:spacing w:after="120" w:line="276" w:lineRule="auto"/>
              <w:ind w:left="714" w:hanging="357"/>
              <w:jc w:val="both"/>
              <w:rPr>
                <w:rFonts w:ascii="Verdana" w:hAnsi="Verdana" w:cs="Arial"/>
              </w:rPr>
            </w:pPr>
            <w:r>
              <w:rPr>
                <w:rFonts w:ascii="Verdana" w:hAnsi="Verdana" w:cs="Arial"/>
              </w:rPr>
              <w:t>Constitución Política de 1991, artículos 127, 197 y 209.</w:t>
            </w:r>
          </w:p>
          <w:p w14:paraId="45584190" w14:textId="77777777" w:rsidR="008D78B9" w:rsidRDefault="008D78B9" w:rsidP="008D78B9">
            <w:pPr>
              <w:pStyle w:val="Prrafodelista"/>
              <w:widowControl w:val="0"/>
              <w:numPr>
                <w:ilvl w:val="0"/>
                <w:numId w:val="17"/>
              </w:numPr>
              <w:autoSpaceDE w:val="0"/>
              <w:autoSpaceDN w:val="0"/>
              <w:spacing w:after="120" w:line="276" w:lineRule="auto"/>
              <w:ind w:left="714" w:hanging="357"/>
              <w:jc w:val="both"/>
              <w:rPr>
                <w:rFonts w:ascii="Verdana" w:hAnsi="Verdana" w:cs="Arial"/>
              </w:rPr>
            </w:pPr>
            <w:r>
              <w:rPr>
                <w:rFonts w:ascii="Verdana" w:hAnsi="Verdana" w:cs="Arial"/>
              </w:rPr>
              <w:t>Ley 80 de 1993, artículos 2, 32, 39 y 41.</w:t>
            </w:r>
          </w:p>
          <w:p w14:paraId="65D80E5F" w14:textId="77777777" w:rsidR="008D78B9" w:rsidRDefault="008D78B9" w:rsidP="008D78B9">
            <w:pPr>
              <w:pStyle w:val="Prrafodelista"/>
              <w:widowControl w:val="0"/>
              <w:numPr>
                <w:ilvl w:val="0"/>
                <w:numId w:val="17"/>
              </w:numPr>
              <w:autoSpaceDE w:val="0"/>
              <w:autoSpaceDN w:val="0"/>
              <w:spacing w:after="120" w:line="276" w:lineRule="auto"/>
              <w:ind w:left="714" w:hanging="357"/>
              <w:jc w:val="both"/>
              <w:rPr>
                <w:rFonts w:ascii="Verdana" w:hAnsi="Verdana" w:cs="Arial"/>
              </w:rPr>
            </w:pPr>
            <w:r>
              <w:rPr>
                <w:rFonts w:ascii="Verdana" w:hAnsi="Verdana" w:cs="Arial"/>
              </w:rPr>
              <w:t>Ley 338 de 1997, artículos 58 y ss.</w:t>
            </w:r>
          </w:p>
          <w:p w14:paraId="2CAC4348" w14:textId="77777777" w:rsidR="008D78B9" w:rsidRDefault="008D78B9" w:rsidP="008D78B9">
            <w:pPr>
              <w:pStyle w:val="Prrafodelista"/>
              <w:widowControl w:val="0"/>
              <w:numPr>
                <w:ilvl w:val="0"/>
                <w:numId w:val="17"/>
              </w:numPr>
              <w:autoSpaceDE w:val="0"/>
              <w:autoSpaceDN w:val="0"/>
              <w:spacing w:after="120" w:line="276" w:lineRule="auto"/>
              <w:ind w:left="714" w:hanging="357"/>
              <w:jc w:val="both"/>
              <w:rPr>
                <w:rFonts w:ascii="Verdana" w:hAnsi="Verdana" w:cs="Arial"/>
              </w:rPr>
            </w:pPr>
            <w:r>
              <w:rPr>
                <w:rFonts w:ascii="Verdana" w:hAnsi="Verdana" w:cs="Arial"/>
              </w:rPr>
              <w:t>Ley 996 de 2005, artículos 33 y 38.</w:t>
            </w:r>
          </w:p>
          <w:p w14:paraId="679DE2CB" w14:textId="77777777" w:rsidR="008D78B9" w:rsidRDefault="008D78B9" w:rsidP="008D78B9">
            <w:pPr>
              <w:pStyle w:val="Prrafodelista"/>
              <w:widowControl w:val="0"/>
              <w:numPr>
                <w:ilvl w:val="0"/>
                <w:numId w:val="17"/>
              </w:numPr>
              <w:autoSpaceDE w:val="0"/>
              <w:autoSpaceDN w:val="0"/>
              <w:spacing w:after="120" w:line="276" w:lineRule="auto"/>
              <w:ind w:left="714" w:hanging="357"/>
              <w:jc w:val="both"/>
              <w:rPr>
                <w:rFonts w:ascii="Verdana" w:hAnsi="Verdana" w:cs="Arial"/>
              </w:rPr>
            </w:pPr>
            <w:r>
              <w:rPr>
                <w:rFonts w:ascii="Verdana" w:hAnsi="Verdana" w:cs="Arial"/>
              </w:rPr>
              <w:t>Ley 1150 de 2007, artículos 1 y 2.</w:t>
            </w:r>
          </w:p>
          <w:p w14:paraId="2F126415" w14:textId="77777777" w:rsidR="008D78B9" w:rsidRDefault="008D78B9" w:rsidP="008D78B9">
            <w:pPr>
              <w:pStyle w:val="Prrafodelista"/>
              <w:widowControl w:val="0"/>
              <w:numPr>
                <w:ilvl w:val="0"/>
                <w:numId w:val="17"/>
              </w:numPr>
              <w:autoSpaceDE w:val="0"/>
              <w:autoSpaceDN w:val="0"/>
              <w:spacing w:line="276" w:lineRule="auto"/>
              <w:ind w:left="714" w:hanging="357"/>
              <w:jc w:val="both"/>
              <w:rPr>
                <w:rFonts w:ascii="Verdana" w:hAnsi="Verdana" w:cs="Arial"/>
              </w:rPr>
            </w:pPr>
            <w:r>
              <w:rPr>
                <w:rFonts w:ascii="Verdana" w:hAnsi="Verdana" w:cs="Arial"/>
              </w:rPr>
              <w:t>Código Civil, artículo 1501.</w:t>
            </w:r>
          </w:p>
        </w:tc>
      </w:tr>
    </w:tbl>
    <w:p w14:paraId="733E2916" w14:textId="77777777" w:rsidR="008D78B9" w:rsidRDefault="008D78B9" w:rsidP="008D78B9">
      <w:pPr>
        <w:widowControl w:val="0"/>
        <w:autoSpaceDE w:val="0"/>
        <w:autoSpaceDN w:val="0"/>
        <w:spacing w:after="0" w:line="276" w:lineRule="auto"/>
        <w:jc w:val="both"/>
        <w:rPr>
          <w:rFonts w:ascii="Verdana" w:hAnsi="Verdana" w:cs="Arial"/>
        </w:rPr>
      </w:pPr>
    </w:p>
    <w:p w14:paraId="32BB15C6" w14:textId="77777777" w:rsidR="008D78B9" w:rsidRDefault="008D78B9" w:rsidP="008D78B9">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p>
    <w:p w14:paraId="4E3F0C3E" w14:textId="77777777" w:rsidR="008D78B9" w:rsidRDefault="008D78B9" w:rsidP="008D78B9">
      <w:pPr>
        <w:widowControl w:val="0"/>
        <w:autoSpaceDE w:val="0"/>
        <w:autoSpaceDN w:val="0"/>
        <w:spacing w:after="0" w:line="276" w:lineRule="auto"/>
        <w:jc w:val="both"/>
        <w:rPr>
          <w:rFonts w:ascii="Verdana" w:hAnsi="Verdana" w:cs="Arial"/>
        </w:rPr>
      </w:pPr>
    </w:p>
    <w:p w14:paraId="63C59305" w14:textId="77777777" w:rsidR="008D78B9" w:rsidRDefault="008D78B9" w:rsidP="008D78B9">
      <w:pPr>
        <w:widowControl w:val="0"/>
        <w:autoSpaceDE w:val="0"/>
        <w:autoSpaceDN w:val="0"/>
        <w:spacing w:after="0" w:line="276" w:lineRule="auto"/>
        <w:jc w:val="both"/>
        <w:rPr>
          <w:rStyle w:val="normaltextrun"/>
          <w:shd w:val="clear" w:color="auto" w:fill="FFFFFF"/>
        </w:rPr>
      </w:pPr>
      <w:r>
        <w:rPr>
          <w:rFonts w:ascii="Verdana" w:hAnsi="Verdana" w:cs="Arial"/>
          <w:shd w:val="clear" w:color="auto" w:fill="FFFFFF"/>
        </w:rPr>
        <w:t xml:space="preserve">Sobre la finalidad y propósito de la Ley de Garantías Electorales, la ANCP- CCE se ha pronunciado en los Conceptos 4201913000004536 de 17 de julio de 2019, 4201912000005556 del 12 de septiembre de 2019, 4201913000005175 del 13 de septiembre de 2019, 4201913000006452 del 07 de octubre de 2019, 4201913000005082 del 17 de octubre de 2019, 4201913000006306 del 21 de octubre de 2019, 4201912000006552 del 07 de noviembre de 2019, 4201913000006604 del 17 de diciembre de 2019,  C-227 del 24 de mayo de 2021 y 396 del 13 de agosto de 2021, C-439 del 27 de agosto de 2021, C-456 del 3 de septiembre, C-481 del 9 de septiembre de 2021, C- 528 del 27 de septiembre de 2021, C-550 del 5 de octubre de 2021 y C-523 del 10 de octubre de 2021, C-606 del 28 de octubre de 2021 y C-614 del 2 de noviembre de 2021, C-636 del 16 de noviembre de 2021, 681 del 7 de diciembre de 2021, C-686 del </w:t>
      </w:r>
      <w:r>
        <w:rPr>
          <w:rFonts w:ascii="Verdana" w:hAnsi="Verdana" w:cs="Arial"/>
          <w:shd w:val="clear" w:color="auto" w:fill="FFFFFF"/>
        </w:rPr>
        <w:lastRenderedPageBreak/>
        <w:t>21 de diciembre de 2021, C-697 del 3 de enero de 2022, C-317 del 25 de abril de 2025, C-510 del 4 de junio de 2025, 646 del 26 de junio de 2025, C-957 del 23 de agosto de 2025, C-975 del 28 de agosto de 2025, C-1015 del 4 de septiembre de 2025, C-1096 del 28 de agosto de 2025, C-1174 del 29 de septiembre de 2025, C- 1170 del 16 de septiembre de 2025, C-1194 del 3 de octubre de 2025, C-1343 del 20 de octubre de 2025, entre otros</w:t>
      </w:r>
      <w:r>
        <w:rPr>
          <w:rFonts w:ascii="Verdana" w:hAnsi="Verdana"/>
        </w:rPr>
        <w:t>.</w:t>
      </w:r>
      <w:r>
        <w:rPr>
          <w:rFonts w:ascii="Verdana" w:hAnsi="Verdana" w:cs="Arial"/>
          <w:shd w:val="clear" w:color="auto" w:fill="FFFFFF"/>
        </w:rPr>
        <w:t xml:space="preserve"> Estos y otros </w:t>
      </w:r>
      <w:r>
        <w:rPr>
          <w:rStyle w:val="normaltextrun"/>
          <w:rFonts w:ascii="Verdana" w:hAnsi="Verdana" w:cs="Arial"/>
          <w:shd w:val="clear" w:color="auto" w:fill="FFFFFF"/>
        </w:rPr>
        <w:t xml:space="preserve">se encuentran disponibles para consulta en el Sistema de relatoría de la Agencia, al cual puede accederse a través del siguiente enlace: </w:t>
      </w:r>
      <w:hyperlink r:id="rId12" w:history="1">
        <w:r>
          <w:rPr>
            <w:rStyle w:val="Hipervnculo"/>
            <w:rFonts w:ascii="Verdana" w:hAnsi="Verdana" w:cs="Arial"/>
            <w:shd w:val="clear" w:color="auto" w:fill="FFFFFF"/>
          </w:rPr>
          <w:t>https://relatoria.colombiacompra.gov.co/busqueda/conceptos</w:t>
        </w:r>
      </w:hyperlink>
      <w:r>
        <w:rPr>
          <w:rStyle w:val="normaltextrun"/>
          <w:rFonts w:ascii="Verdana" w:hAnsi="Verdana" w:cs="Arial"/>
          <w:shd w:val="clear" w:color="auto" w:fill="FFFFFF"/>
        </w:rPr>
        <w:t xml:space="preserve">. </w:t>
      </w:r>
      <w:r>
        <w:rPr>
          <w:rStyle w:val="normaltextrun"/>
          <w:rFonts w:ascii="Verdana" w:hAnsi="Verdana" w:cs="Arial"/>
          <w:color w:val="FF0000"/>
          <w:shd w:val="clear" w:color="auto" w:fill="FFFFFF"/>
          <w:lang w:val="es-ES"/>
        </w:rPr>
        <w:t xml:space="preserve"> </w:t>
      </w:r>
    </w:p>
    <w:p w14:paraId="2DA60142" w14:textId="77777777" w:rsidR="008D78B9" w:rsidRDefault="008D78B9" w:rsidP="008D78B9">
      <w:pPr>
        <w:widowControl w:val="0"/>
        <w:autoSpaceDE w:val="0"/>
        <w:autoSpaceDN w:val="0"/>
        <w:spacing w:after="0" w:line="276" w:lineRule="auto"/>
        <w:jc w:val="both"/>
        <w:rPr>
          <w:color w:val="000000" w:themeColor="text1"/>
        </w:rPr>
      </w:pPr>
    </w:p>
    <w:p w14:paraId="548AFDAB" w14:textId="77777777" w:rsidR="008D78B9" w:rsidRDefault="008D78B9" w:rsidP="008D78B9">
      <w:pPr>
        <w:shd w:val="clear" w:color="auto" w:fill="FFFFFF"/>
        <w:spacing w:after="0" w:line="276" w:lineRule="auto"/>
        <w:jc w:val="both"/>
        <w:rPr>
          <w:rFonts w:ascii="Verdana" w:hAnsi="Verdana"/>
          <w:color w:val="467886"/>
          <w:u w:val="single"/>
        </w:rPr>
      </w:pPr>
      <w:r>
        <w:rPr>
          <w:rFonts w:ascii="Verdana" w:hAnsi="Verdana"/>
          <w:color w:val="000000"/>
        </w:rPr>
        <w:t>Te informamos que ya se encuentra disponible la </w:t>
      </w:r>
      <w:r>
        <w:rPr>
          <w:rFonts w:ascii="Verdana" w:hAnsi="Verdana"/>
          <w:b/>
          <w:bCs/>
          <w:color w:val="000000"/>
        </w:rPr>
        <w:t>Guía de lineamientos de transparencia y selección objetiva para el departamento de La Guajira – Objetivo sexto constitucional de la Sentencia T-302 del 2017. </w:t>
      </w:r>
      <w:r>
        <w:rPr>
          <w:rFonts w:ascii="Verdana" w:hAnsi="Verdana"/>
          <w:color w:val="000000"/>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Pr>
          <w:rFonts w:ascii="Verdana" w:hAnsi="Verdana"/>
          <w:color w:val="000000"/>
        </w:rPr>
        <w:t>Wayúu</w:t>
      </w:r>
      <w:proofErr w:type="spellEnd"/>
      <w:r>
        <w:rPr>
          <w:rFonts w:ascii="Verdana" w:hAnsi="Verdana"/>
          <w:color w:val="000000"/>
        </w:rPr>
        <w:t>. Puede consultar la guía en el siguiente enlace: </w:t>
      </w:r>
      <w:hyperlink r:id="rId13" w:tgtFrame="_blank" w:tooltip="Dirección URL original: https://www.colombiacompra.gov.co/wp-content/uploads/2025/05/GUIA-DE-LINEAMIENTOS-DE-TRANSPARENCIA-Y-SELECCION-OBJETIVA-1.0.pdf. Haga clic o pulse si confía en este vínculo." w:history="1">
        <w:r>
          <w:rPr>
            <w:rStyle w:val="Hipervnculo"/>
            <w:rFonts w:ascii="Verdana" w:hAnsi="Verdana"/>
          </w:rPr>
          <w:t>Guía de lineamientos de transparencia y selección objetiva para el departamento de La Guajira – Objetivo sexto constitucional de la Sentencia T-302 del 2017</w:t>
        </w:r>
      </w:hyperlink>
      <w:r>
        <w:rPr>
          <w:rFonts w:ascii="Verdana" w:hAnsi="Verdana"/>
          <w:color w:val="000000"/>
          <w:u w:val="single"/>
        </w:rPr>
        <w:t>".</w:t>
      </w:r>
    </w:p>
    <w:p w14:paraId="733267E7" w14:textId="77777777" w:rsidR="008D78B9" w:rsidRDefault="008D78B9" w:rsidP="008D78B9">
      <w:pPr>
        <w:shd w:val="clear" w:color="auto" w:fill="FFFFFF"/>
        <w:spacing w:after="0" w:line="276" w:lineRule="auto"/>
        <w:jc w:val="both"/>
        <w:rPr>
          <w:rFonts w:ascii="Verdana" w:hAnsi="Verdana" w:cs="Arial"/>
          <w:color w:val="FF0000"/>
          <w:shd w:val="clear" w:color="auto" w:fill="FFFFFF"/>
          <w:lang w:val="es-ES_tradnl"/>
        </w:rPr>
      </w:pPr>
      <w:r>
        <w:rPr>
          <w:rFonts w:ascii="Verdana" w:hAnsi="Verdana" w:cs="Arial"/>
          <w:color w:val="000000" w:themeColor="text1"/>
          <w:shd w:val="clear" w:color="auto" w:fill="FFFFFF"/>
          <w:lang w:val="es-ES_tradnl"/>
        </w:rPr>
        <w:t xml:space="preserve"> </w:t>
      </w:r>
      <w:r>
        <w:rPr>
          <w:rStyle w:val="normaltextrun"/>
          <w:rFonts w:ascii="Verdana" w:hAnsi="Verdana" w:cs="Arial"/>
          <w:color w:val="FF0000"/>
          <w:shd w:val="clear" w:color="auto" w:fill="FFFFFF"/>
          <w:lang w:val="es-ES_tradnl"/>
        </w:rPr>
        <w:t xml:space="preserve">        </w:t>
      </w:r>
    </w:p>
    <w:p w14:paraId="6FC90080" w14:textId="77777777" w:rsidR="008D78B9" w:rsidRDefault="008D78B9" w:rsidP="008D78B9">
      <w:pPr>
        <w:widowControl w:val="0"/>
        <w:autoSpaceDE w:val="0"/>
        <w:autoSpaceDN w:val="0"/>
        <w:spacing w:after="0" w:line="276" w:lineRule="auto"/>
        <w:jc w:val="both"/>
        <w:rPr>
          <w:rFonts w:ascii="Verdana" w:hAnsi="Verdana" w:cs="Arial"/>
          <w:lang w:val="es-ES_tradnl"/>
        </w:rPr>
      </w:pPr>
      <w:r>
        <w:rPr>
          <w:rFonts w:ascii="Verdana" w:hAnsi="Verdana" w:cs="Arial"/>
        </w:rPr>
        <w:t xml:space="preserve">Este concepto tiene el alcance previsto en el artículo 28 del Código de Procedimiento Administrativo y de lo Contencioso Administrativo </w:t>
      </w:r>
      <w:r>
        <w:rPr>
          <w:rFonts w:ascii="Verdana" w:hAnsi="Verdana" w:cs="Arial"/>
          <w:lang w:val="es-ES_tradnl"/>
        </w:rPr>
        <w:t xml:space="preserve">y las expresiones aquí utilizadas con mayúscula inicial deben ser entendidas con el significado que les otorga el artículo 2.2.1.1.1.3.1. del Decreto 1082 de 2015. </w:t>
      </w:r>
    </w:p>
    <w:p w14:paraId="0D252ACF" w14:textId="77777777" w:rsidR="008D78B9" w:rsidRDefault="008D78B9" w:rsidP="008D78B9">
      <w:pPr>
        <w:widowControl w:val="0"/>
        <w:autoSpaceDE w:val="0"/>
        <w:autoSpaceDN w:val="0"/>
        <w:spacing w:after="0" w:line="276" w:lineRule="auto"/>
        <w:jc w:val="both"/>
        <w:rPr>
          <w:rFonts w:ascii="Verdana" w:hAnsi="Verdana" w:cs="Arial"/>
        </w:rPr>
      </w:pPr>
    </w:p>
    <w:p w14:paraId="65E807DC" w14:textId="77777777" w:rsidR="008D78B9" w:rsidRDefault="008D78B9" w:rsidP="008D78B9">
      <w:pPr>
        <w:spacing w:after="0" w:line="240" w:lineRule="auto"/>
        <w:rPr>
          <w:rFonts w:ascii="Verdana" w:hAnsi="Verdana" w:cs="Arial"/>
          <w:lang w:eastAsia="es-CO"/>
        </w:rPr>
      </w:pPr>
      <w:r>
        <w:rPr>
          <w:rFonts w:ascii="Verdana" w:eastAsia="Times New Roman" w:hAnsi="Verdana" w:cs="Arial"/>
          <w:lang w:eastAsia="es-CO"/>
        </w:rPr>
        <w:t>Atentamente,</w:t>
      </w:r>
      <w:r>
        <w:rPr>
          <w:rFonts w:ascii="Verdana" w:hAnsi="Verdana" w:cs="Arial"/>
          <w:lang w:eastAsia="es-CO"/>
        </w:rPr>
        <w:t xml:space="preserve"> </w:t>
      </w:r>
    </w:p>
    <w:p w14:paraId="53EB326D" w14:textId="43F2BE39" w:rsidR="002961BE" w:rsidRDefault="00325F67" w:rsidP="002961BE">
      <w:pPr>
        <w:spacing w:line="276" w:lineRule="auto"/>
        <w:jc w:val="center"/>
        <w:rPr>
          <w:rFonts w:ascii="Verdana" w:hAnsi="Verdana" w:cs="Arial"/>
          <w:color w:val="000000"/>
          <w:lang w:val="es-ES_tradnl" w:eastAsia="es-CO"/>
        </w:rPr>
      </w:pPr>
      <w:r>
        <w:rPr>
          <w:noProof/>
        </w:rPr>
        <w:drawing>
          <wp:inline distT="0" distB="0" distL="0" distR="0" wp14:anchorId="7654F088" wp14:editId="339C8360">
            <wp:extent cx="3771900" cy="1400175"/>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4"/>
                    <a:stretch>
                      <a:fillRect/>
                    </a:stretch>
                  </pic:blipFill>
                  <pic:spPr>
                    <a:xfrm>
                      <a:off x="0" y="0"/>
                      <a:ext cx="3771900" cy="1400175"/>
                    </a:xfrm>
                    <a:prstGeom prst="rect">
                      <a:avLst/>
                    </a:prstGeom>
                  </pic:spPr>
                </pic:pic>
              </a:graphicData>
            </a:graphic>
          </wp:inline>
        </w:drawing>
      </w:r>
    </w:p>
    <w:p w14:paraId="619731D8" w14:textId="77777777" w:rsidR="002961BE" w:rsidRDefault="002961BE" w:rsidP="008D78B9">
      <w:pPr>
        <w:spacing w:line="276" w:lineRule="auto"/>
        <w:jc w:val="center"/>
        <w:rPr>
          <w:rFonts w:ascii="Verdana" w:hAnsi="Verdana" w:cs="Arial"/>
          <w:color w:val="000000"/>
          <w:lang w:val="es-ES_tradnl"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8D78B9" w14:paraId="261A12B3" w14:textId="77777777" w:rsidTr="008D78B9">
        <w:trPr>
          <w:trHeight w:val="315"/>
        </w:trPr>
        <w:tc>
          <w:tcPr>
            <w:tcW w:w="893" w:type="dxa"/>
            <w:vAlign w:val="center"/>
            <w:hideMark/>
          </w:tcPr>
          <w:p w14:paraId="5585E476" w14:textId="77777777" w:rsidR="008D78B9" w:rsidRDefault="008D78B9">
            <w:pPr>
              <w:spacing w:after="255"/>
              <w:contextualSpacing/>
              <w:rPr>
                <w:rFonts w:ascii="Verdana" w:hAnsi="Verdana" w:cs="Arial"/>
                <w:sz w:val="16"/>
                <w:szCs w:val="16"/>
                <w:lang w:val="es-ES" w:eastAsia="es-ES"/>
              </w:rPr>
            </w:pPr>
            <w:r>
              <w:rPr>
                <w:rFonts w:ascii="Verdana" w:hAnsi="Verdana" w:cs="Arial"/>
                <w:sz w:val="16"/>
                <w:szCs w:val="16"/>
                <w:lang w:val="es-ES" w:eastAsia="es-ES"/>
              </w:rPr>
              <w:lastRenderedPageBreak/>
              <w:t>Elaboró:</w:t>
            </w:r>
          </w:p>
        </w:tc>
        <w:tc>
          <w:tcPr>
            <w:tcW w:w="5628" w:type="dxa"/>
            <w:tcBorders>
              <w:top w:val="nil"/>
              <w:left w:val="nil"/>
              <w:bottom w:val="dotted" w:sz="4" w:space="0" w:color="7F7F7F" w:themeColor="text1" w:themeTint="80"/>
              <w:right w:val="nil"/>
            </w:tcBorders>
            <w:vAlign w:val="center"/>
            <w:hideMark/>
          </w:tcPr>
          <w:p w14:paraId="0C9A6CAB" w14:textId="77777777" w:rsidR="008D78B9" w:rsidRDefault="008D78B9">
            <w:pPr>
              <w:spacing w:after="255"/>
              <w:contextualSpacing/>
              <w:rPr>
                <w:rStyle w:val="normaltextrun"/>
              </w:rPr>
            </w:pPr>
            <w:r>
              <w:rPr>
                <w:rStyle w:val="normaltextrun"/>
                <w:rFonts w:ascii="Verdana" w:hAnsi="Verdana"/>
                <w:sz w:val="16"/>
                <w:szCs w:val="16"/>
              </w:rPr>
              <w:t>Juan David Montoya Penagos</w:t>
            </w:r>
          </w:p>
          <w:p w14:paraId="1B47A1E2" w14:textId="77777777" w:rsidR="008D78B9" w:rsidRDefault="008D78B9">
            <w:pPr>
              <w:spacing w:after="255"/>
              <w:contextualSpacing/>
              <w:rPr>
                <w:rFonts w:eastAsia="Arial" w:cs="Arial"/>
              </w:rPr>
            </w:pPr>
            <w:r>
              <w:rPr>
                <w:rStyle w:val="normaltextrun"/>
                <w:rFonts w:ascii="Verdana" w:hAnsi="Verdana"/>
                <w:sz w:val="16"/>
                <w:szCs w:val="16"/>
              </w:rPr>
              <w:t>Contratista de la Subdirección de Gestión Contractual</w:t>
            </w:r>
          </w:p>
        </w:tc>
      </w:tr>
      <w:tr w:rsidR="008D78B9" w14:paraId="208606E6" w14:textId="77777777" w:rsidTr="008D78B9">
        <w:trPr>
          <w:trHeight w:val="330"/>
        </w:trPr>
        <w:tc>
          <w:tcPr>
            <w:tcW w:w="893" w:type="dxa"/>
            <w:vAlign w:val="center"/>
            <w:hideMark/>
          </w:tcPr>
          <w:p w14:paraId="514C2E53" w14:textId="77777777" w:rsidR="008D78B9" w:rsidRDefault="008D78B9">
            <w:pPr>
              <w:spacing w:after="255"/>
              <w:contextualSpacing/>
              <w:rPr>
                <w:rFonts w:ascii="Verdana" w:hAnsi="Verdana" w:cs="Arial"/>
                <w:sz w:val="16"/>
                <w:szCs w:val="16"/>
                <w:lang w:val="es-ES" w:eastAsia="es-ES"/>
              </w:rPr>
            </w:pPr>
            <w:r>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729A0310" w14:textId="77777777" w:rsidR="008D78B9" w:rsidRDefault="008D78B9" w:rsidP="002961BE">
            <w:pPr>
              <w:pStyle w:val="paragraph"/>
              <w:spacing w:after="0" w:afterAutospacing="0"/>
              <w:textAlignment w:val="baseline"/>
              <w:rPr>
                <w:rStyle w:val="normaltextrun"/>
                <w:lang w:val="es-ES_tradnl"/>
              </w:rPr>
            </w:pPr>
            <w:r>
              <w:rPr>
                <w:rStyle w:val="normaltextrun"/>
                <w:rFonts w:ascii="Verdana" w:hAnsi="Verdana" w:cs="Arial"/>
                <w:sz w:val="16"/>
                <w:szCs w:val="16"/>
                <w:lang w:val="es-ES_tradnl"/>
              </w:rPr>
              <w:t>Alejandro Sarmiento Cantillo</w:t>
            </w:r>
          </w:p>
          <w:p w14:paraId="19745FA5" w14:textId="77777777" w:rsidR="008D78B9" w:rsidRDefault="008D78B9">
            <w:pPr>
              <w:pStyle w:val="paragraph"/>
              <w:spacing w:before="0" w:beforeAutospacing="0" w:after="0" w:afterAutospacing="0"/>
              <w:contextualSpacing/>
              <w:textAlignment w:val="baseline"/>
              <w:rPr>
                <w:rFonts w:cs="Segoe UI"/>
              </w:rPr>
            </w:pPr>
            <w:r>
              <w:rPr>
                <w:rStyle w:val="normaltextrun"/>
                <w:rFonts w:ascii="Verdana" w:hAnsi="Verdana" w:cs="Arial"/>
                <w:sz w:val="16"/>
                <w:szCs w:val="16"/>
                <w:lang w:val="es-ES_tradnl"/>
              </w:rPr>
              <w:t>Gestor T1 ‒ 15 de la Subdirección de Gestión Contractual</w:t>
            </w:r>
          </w:p>
        </w:tc>
      </w:tr>
      <w:tr w:rsidR="008D78B9" w14:paraId="20C505C1" w14:textId="77777777" w:rsidTr="008D78B9">
        <w:trPr>
          <w:trHeight w:val="300"/>
        </w:trPr>
        <w:tc>
          <w:tcPr>
            <w:tcW w:w="893" w:type="dxa"/>
            <w:vAlign w:val="center"/>
            <w:hideMark/>
          </w:tcPr>
          <w:p w14:paraId="50C363BF" w14:textId="77777777" w:rsidR="008D78B9" w:rsidRDefault="008D78B9">
            <w:pPr>
              <w:spacing w:after="255"/>
              <w:contextualSpacing/>
              <w:rPr>
                <w:rFonts w:ascii="Verdana" w:hAnsi="Verdana" w:cs="Arial"/>
                <w:sz w:val="16"/>
                <w:szCs w:val="16"/>
                <w:lang w:val="es-ES" w:eastAsia="es-ES"/>
              </w:rPr>
            </w:pPr>
            <w:r>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72D66715" w14:textId="77777777" w:rsidR="008D78B9" w:rsidRDefault="008D78B9">
            <w:pPr>
              <w:spacing w:after="255"/>
              <w:contextualSpacing/>
              <w:rPr>
                <w:rFonts w:ascii="Verdana" w:eastAsia="Calibri" w:hAnsi="Verdana" w:cs="Arial"/>
                <w:sz w:val="16"/>
                <w:szCs w:val="16"/>
                <w:lang w:val="pt-BR" w:eastAsia="es-ES"/>
              </w:rPr>
            </w:pPr>
            <w:r>
              <w:rPr>
                <w:rFonts w:ascii="Verdana" w:eastAsia="Calibri" w:hAnsi="Verdana" w:cs="Arial"/>
                <w:sz w:val="16"/>
                <w:szCs w:val="16"/>
                <w:lang w:val="pt-BR" w:eastAsia="es-ES"/>
              </w:rPr>
              <w:t xml:space="preserve">Carolina Quintero </w:t>
            </w:r>
            <w:proofErr w:type="spellStart"/>
            <w:r>
              <w:rPr>
                <w:rFonts w:ascii="Verdana" w:eastAsia="Calibri" w:hAnsi="Verdana" w:cs="Arial"/>
                <w:sz w:val="16"/>
                <w:szCs w:val="16"/>
                <w:lang w:val="pt-BR" w:eastAsia="es-ES"/>
              </w:rPr>
              <w:t>Gacharná</w:t>
            </w:r>
            <w:proofErr w:type="spellEnd"/>
          </w:p>
          <w:p w14:paraId="263D8286" w14:textId="77777777" w:rsidR="008D78B9" w:rsidRDefault="008D78B9">
            <w:pPr>
              <w:spacing w:after="255"/>
              <w:contextualSpacing/>
              <w:rPr>
                <w:rFonts w:ascii="Verdana" w:eastAsia="Calibri" w:hAnsi="Verdana" w:cs="Arial"/>
                <w:sz w:val="16"/>
                <w:szCs w:val="16"/>
                <w:lang w:val="pt-BR" w:eastAsia="es-ES"/>
              </w:rPr>
            </w:pPr>
            <w:r>
              <w:rPr>
                <w:rFonts w:ascii="Verdana" w:eastAsia="Calibri" w:hAnsi="Verdana" w:cs="Arial"/>
                <w:sz w:val="16"/>
                <w:szCs w:val="16"/>
                <w:lang w:eastAsia="es-ES"/>
              </w:rPr>
              <w:t>Subdirectora</w:t>
            </w:r>
            <w:r>
              <w:rPr>
                <w:rFonts w:ascii="Verdana" w:eastAsia="Calibri" w:hAnsi="Verdana" w:cs="Arial"/>
                <w:sz w:val="16"/>
                <w:szCs w:val="16"/>
                <w:lang w:val="pt-BR" w:eastAsia="es-ES"/>
              </w:rPr>
              <w:t xml:space="preserve"> de Gestión </w:t>
            </w:r>
            <w:proofErr w:type="spellStart"/>
            <w:r>
              <w:rPr>
                <w:rFonts w:ascii="Verdana" w:eastAsia="Calibri" w:hAnsi="Verdana" w:cs="Arial"/>
                <w:sz w:val="16"/>
                <w:szCs w:val="16"/>
                <w:lang w:val="pt-BR" w:eastAsia="es-ES"/>
              </w:rPr>
              <w:t>Contractual</w:t>
            </w:r>
            <w:proofErr w:type="spellEnd"/>
            <w:r>
              <w:rPr>
                <w:rFonts w:ascii="Verdana" w:eastAsia="Calibri" w:hAnsi="Verdana" w:cs="Arial"/>
                <w:sz w:val="16"/>
                <w:szCs w:val="16"/>
                <w:lang w:val="pt-BR" w:eastAsia="es-ES"/>
              </w:rPr>
              <w:t xml:space="preserve"> ANCP – CCE</w:t>
            </w:r>
          </w:p>
        </w:tc>
      </w:tr>
    </w:tbl>
    <w:p w14:paraId="417A83FF" w14:textId="77777777" w:rsidR="008D78B9" w:rsidRDefault="008D78B9" w:rsidP="008D78B9"/>
    <w:p w14:paraId="1426A109" w14:textId="77777777" w:rsidR="008D78B9" w:rsidRDefault="008D78B9" w:rsidP="008D78B9"/>
    <w:p w14:paraId="0F293BF4" w14:textId="7884B575" w:rsidR="00127233" w:rsidRPr="008D78B9" w:rsidRDefault="00127233" w:rsidP="008D78B9"/>
    <w:sectPr w:rsidR="00127233" w:rsidRPr="008D78B9"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C504F5" w14:textId="77777777" w:rsidR="00A3458D" w:rsidRDefault="00A3458D" w:rsidP="004A1847">
      <w:pPr>
        <w:spacing w:after="0" w:line="240" w:lineRule="auto"/>
      </w:pPr>
      <w:r>
        <w:separator/>
      </w:r>
    </w:p>
  </w:endnote>
  <w:endnote w:type="continuationSeparator" w:id="0">
    <w:p w14:paraId="5B1E2E06" w14:textId="77777777" w:rsidR="00A3458D" w:rsidRDefault="00A3458D"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rial MT">
    <w:altName w:val="Arial"/>
    <w:panose1 w:val="020B0604020202020204"/>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Arial Nova">
    <w:panose1 w:val="020B0504020202020204"/>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B81315" w14:textId="77777777" w:rsidR="00A3458D" w:rsidRDefault="00A3458D" w:rsidP="004A1847">
      <w:pPr>
        <w:spacing w:after="0" w:line="240" w:lineRule="auto"/>
      </w:pPr>
      <w:r>
        <w:separator/>
      </w:r>
    </w:p>
  </w:footnote>
  <w:footnote w:type="continuationSeparator" w:id="0">
    <w:p w14:paraId="5544427E" w14:textId="77777777" w:rsidR="00A3458D" w:rsidRDefault="00A3458D" w:rsidP="004A1847">
      <w:pPr>
        <w:spacing w:after="0" w:line="240" w:lineRule="auto"/>
      </w:pPr>
      <w:r>
        <w:continuationSeparator/>
      </w:r>
    </w:p>
  </w:footnote>
  <w:footnote w:id="1">
    <w:p w14:paraId="28FC901E" w14:textId="77777777" w:rsidR="008D78B9" w:rsidRDefault="008D78B9" w:rsidP="008D78B9">
      <w:pPr>
        <w:pStyle w:val="Textonotapie"/>
        <w:ind w:firstLine="709"/>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7C318B10" w14:textId="77777777" w:rsidR="008D78B9" w:rsidRDefault="008D78B9" w:rsidP="008D78B9">
      <w:pPr>
        <w:pStyle w:val="Textonotapie"/>
        <w:ind w:firstLine="709"/>
        <w:jc w:val="both"/>
        <w:rPr>
          <w:rFonts w:ascii="Verdana" w:hAnsi="Verdana" w:cs="Arial"/>
          <w:sz w:val="16"/>
          <w:szCs w:val="16"/>
        </w:rPr>
      </w:pPr>
      <w:r>
        <w:rPr>
          <w:rFonts w:ascii="Verdana" w:hAnsi="Verdana" w:cs="Arial"/>
          <w:sz w:val="16"/>
          <w:szCs w:val="16"/>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footnote>
  <w:footnote w:id="2">
    <w:p w14:paraId="13B0DF8C" w14:textId="77777777" w:rsidR="008D78B9" w:rsidRDefault="008D78B9" w:rsidP="008D78B9">
      <w:pPr>
        <w:pStyle w:val="Textonotapie"/>
        <w:ind w:firstLine="709"/>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Gaceta del Congreso de la República No. 71 del 2005.</w:t>
      </w:r>
    </w:p>
  </w:footnote>
  <w:footnote w:id="3">
    <w:p w14:paraId="037CC592" w14:textId="77777777" w:rsidR="008D78B9" w:rsidRDefault="008D78B9" w:rsidP="008D78B9">
      <w:pPr>
        <w:pStyle w:val="Textonotapie"/>
        <w:ind w:firstLine="709"/>
        <w:jc w:val="both"/>
        <w:rPr>
          <w:rFonts w:ascii="Verdana" w:hAnsi="Verdana" w:cs="Arial"/>
          <w:sz w:val="16"/>
          <w:szCs w:val="16"/>
          <w:lang w:val="pt-BR"/>
        </w:rPr>
      </w:pPr>
      <w:r>
        <w:rPr>
          <w:rStyle w:val="Refdenotaalpie"/>
          <w:rFonts w:ascii="Verdana" w:hAnsi="Verdana" w:cs="Arial"/>
          <w:sz w:val="16"/>
          <w:szCs w:val="16"/>
        </w:rPr>
        <w:footnoteRef/>
      </w:r>
      <w:r>
        <w:rPr>
          <w:rFonts w:ascii="Verdana" w:hAnsi="Verdana" w:cs="Arial"/>
          <w:sz w:val="16"/>
          <w:szCs w:val="16"/>
          <w:lang w:val="pt-BR"/>
        </w:rPr>
        <w:t xml:space="preserve"> Corte Constitucional, Sentencia C- 1153 de 2005, M.P. Marco Gerardo Monroy Cabra.</w:t>
      </w:r>
    </w:p>
  </w:footnote>
  <w:footnote w:id="4">
    <w:p w14:paraId="64B41EFE" w14:textId="77777777" w:rsidR="008D78B9" w:rsidRDefault="008D78B9" w:rsidP="008D78B9">
      <w:pPr>
        <w:pStyle w:val="Textonotapie"/>
        <w:ind w:firstLine="709"/>
        <w:jc w:val="both"/>
        <w:rPr>
          <w:rFonts w:ascii="Verdana" w:hAnsi="Verdana" w:cs="Arial"/>
          <w:sz w:val="16"/>
          <w:szCs w:val="16"/>
          <w:lang w:val="pt-BR"/>
        </w:rPr>
      </w:pPr>
      <w:r>
        <w:rPr>
          <w:rStyle w:val="Refdenotaalpie"/>
          <w:rFonts w:ascii="Verdana" w:hAnsi="Verdana" w:cs="Arial"/>
          <w:sz w:val="16"/>
          <w:szCs w:val="16"/>
        </w:rPr>
        <w:footnoteRef/>
      </w:r>
      <w:r>
        <w:rPr>
          <w:rFonts w:ascii="Verdana" w:hAnsi="Verdana" w:cs="Arial"/>
          <w:sz w:val="16"/>
          <w:szCs w:val="16"/>
          <w:lang w:val="pt-BR"/>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footnote>
  <w:footnote w:id="5">
    <w:p w14:paraId="6D15F5E0" w14:textId="77777777" w:rsidR="008D78B9" w:rsidRDefault="008D78B9" w:rsidP="008D78B9">
      <w:pPr>
        <w:pStyle w:val="Textonotapie"/>
        <w:ind w:firstLine="709"/>
        <w:jc w:val="both"/>
        <w:rPr>
          <w:rFonts w:ascii="Verdana" w:hAnsi="Verdana" w:cs="Arial"/>
          <w:sz w:val="16"/>
          <w:szCs w:val="16"/>
          <w:lang w:val="es-CO"/>
        </w:rPr>
      </w:pPr>
      <w:r>
        <w:rPr>
          <w:rStyle w:val="Refdenotaalpie"/>
          <w:rFonts w:ascii="Verdana" w:hAnsi="Verdana" w:cs="Arial"/>
          <w:sz w:val="16"/>
          <w:szCs w:val="16"/>
        </w:rPr>
        <w:footnoteRef/>
      </w:r>
      <w:r>
        <w:rPr>
          <w:rFonts w:ascii="Verdana" w:hAnsi="Verdana" w:cs="Arial"/>
          <w:sz w:val="16"/>
          <w:szCs w:val="16"/>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6">
    <w:p w14:paraId="7E867906" w14:textId="77777777" w:rsidR="008D78B9" w:rsidRDefault="008D78B9" w:rsidP="008D78B9">
      <w:pPr>
        <w:pStyle w:val="Textonotapie"/>
        <w:ind w:firstLine="709"/>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Consejo de Estado, Sala de Consulta y Servicio Civil de fecha 24 de julio de 2013, radicado 2166, C. P. Álvaro Namén Vargas.  </w:t>
      </w:r>
    </w:p>
  </w:footnote>
  <w:footnote w:id="7">
    <w:p w14:paraId="07DDD58B" w14:textId="77777777" w:rsidR="008D78B9" w:rsidRDefault="008D78B9" w:rsidP="008D78B9">
      <w:pPr>
        <w:spacing w:after="0" w:line="240" w:lineRule="auto"/>
        <w:ind w:firstLine="709"/>
        <w:jc w:val="both"/>
        <w:rPr>
          <w:rFonts w:ascii="Verdana" w:eastAsia="Times New Roman"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w:t>
      </w:r>
      <w:r>
        <w:rPr>
          <w:rFonts w:ascii="Verdana" w:eastAsia="Calibri" w:hAnsi="Verdana" w:cs="Arial"/>
          <w:color w:val="000000"/>
          <w:sz w:val="16"/>
          <w:szCs w:val="16"/>
        </w:rPr>
        <w:t>“</w:t>
      </w:r>
      <w:bookmarkStart w:id="6" w:name="33"/>
      <w:r>
        <w:rPr>
          <w:rFonts w:ascii="Verdana" w:eastAsia="Times New Roman" w:hAnsi="Verdana" w:cs="Arial"/>
          <w:sz w:val="16"/>
          <w:szCs w:val="16"/>
        </w:rPr>
        <w:t>Artículo 33. Restricciones a la contratación pública.</w:t>
      </w:r>
      <w:bookmarkEnd w:id="6"/>
      <w:r>
        <w:rPr>
          <w:rFonts w:ascii="Verdana" w:eastAsia="Times New Roman" w:hAnsi="Verdana" w:cs="Arial"/>
          <w:sz w:val="16"/>
          <w:szCs w:val="16"/>
        </w:rPr>
        <w:t> Durante los cuatro (4) meses anteriores a la elección presidencial y hasta la realización de la elección en la segunda vuelta, si fuere el caso, queda prohibida la contratación directa por parte de todos los entes del Estado.</w:t>
      </w:r>
    </w:p>
    <w:p w14:paraId="6455DA6F" w14:textId="77777777" w:rsidR="008D78B9" w:rsidRDefault="008D78B9" w:rsidP="008D78B9">
      <w:pPr>
        <w:spacing w:after="0" w:line="240" w:lineRule="auto"/>
        <w:ind w:firstLine="709"/>
        <w:jc w:val="both"/>
        <w:rPr>
          <w:rFonts w:ascii="Verdana" w:eastAsia="Times New Roman" w:hAnsi="Verdana" w:cs="Arial"/>
          <w:sz w:val="16"/>
          <w:szCs w:val="16"/>
        </w:rPr>
      </w:pPr>
      <w:r>
        <w:rPr>
          <w:rFonts w:ascii="Verdana" w:eastAsia="Times New Roman"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Pr>
          <w:rFonts w:ascii="Verdana" w:eastAsia="Calibri" w:hAnsi="Verdana" w:cs="Arial"/>
          <w:color w:val="000000"/>
          <w:sz w:val="16"/>
          <w:szCs w:val="16"/>
        </w:rPr>
        <w:t>”</w:t>
      </w:r>
      <w:r>
        <w:rPr>
          <w:rFonts w:ascii="Verdana" w:eastAsia="Times New Roman" w:hAnsi="Verdana" w:cs="Arial"/>
          <w:sz w:val="16"/>
          <w:szCs w:val="16"/>
        </w:rPr>
        <w:t>.</w:t>
      </w:r>
    </w:p>
  </w:footnote>
  <w:footnote w:id="8">
    <w:p w14:paraId="4CA9C338" w14:textId="77777777" w:rsidR="008D78B9" w:rsidRDefault="008D78B9" w:rsidP="008D78B9">
      <w:pPr>
        <w:pStyle w:val="NormalWeb"/>
        <w:spacing w:before="0" w:beforeAutospacing="0" w:after="0" w:afterAutospacing="0"/>
        <w:ind w:firstLine="709"/>
        <w:jc w:val="both"/>
        <w:rPr>
          <w:rFonts w:ascii="Verdana" w:hAnsi="Verdana" w:cs="Arial"/>
          <w:sz w:val="16"/>
          <w:szCs w:val="16"/>
          <w:lang w:val="es-MX"/>
        </w:rPr>
      </w:pPr>
      <w:r>
        <w:rPr>
          <w:rStyle w:val="Refdenotaalpie"/>
          <w:rFonts w:ascii="Verdana" w:hAnsi="Verdana" w:cs="Arial"/>
          <w:sz w:val="16"/>
          <w:szCs w:val="16"/>
        </w:rPr>
        <w:footnoteRef/>
      </w:r>
      <w:r>
        <w:rPr>
          <w:rFonts w:ascii="Verdana" w:hAnsi="Verdana" w:cs="Arial"/>
          <w:sz w:val="16"/>
          <w:szCs w:val="16"/>
        </w:rPr>
        <w:t xml:space="preserve"> </w:t>
      </w:r>
      <w:r>
        <w:rPr>
          <w:rFonts w:ascii="Verdana" w:eastAsia="Calibri" w:hAnsi="Verdana" w:cs="Arial"/>
          <w:color w:val="000000"/>
          <w:sz w:val="16"/>
          <w:szCs w:val="16"/>
        </w:rPr>
        <w:t>“</w:t>
      </w:r>
      <w:bookmarkStart w:id="7" w:name="38"/>
      <w:r>
        <w:rPr>
          <w:rFonts w:ascii="Verdana" w:hAnsi="Verdana" w:cs="Arial"/>
          <w:sz w:val="16"/>
          <w:szCs w:val="16"/>
          <w:lang w:val="es-MX"/>
        </w:rPr>
        <w:t>Artículo 38. Prohibiciones para los servidores públicos. A los empleados del Estado les está prohibido:</w:t>
      </w:r>
      <w:bookmarkEnd w:id="7"/>
      <w:r>
        <w:rPr>
          <w:rFonts w:ascii="Verdana" w:hAnsi="Verdana" w:cs="Arial"/>
          <w:sz w:val="16"/>
          <w:szCs w:val="16"/>
          <w:lang w:val="es-MX"/>
        </w:rPr>
        <w:t xml:space="preserve"> […]</w:t>
      </w:r>
    </w:p>
    <w:p w14:paraId="27B30E97" w14:textId="77777777" w:rsidR="008D78B9" w:rsidRDefault="008D78B9" w:rsidP="008D78B9">
      <w:pPr>
        <w:pStyle w:val="NormalWeb"/>
        <w:spacing w:before="0" w:beforeAutospacing="0" w:after="0" w:afterAutospacing="0"/>
        <w:ind w:firstLine="709"/>
        <w:jc w:val="both"/>
        <w:rPr>
          <w:rFonts w:ascii="Verdana" w:hAnsi="Verdana" w:cs="Arial"/>
          <w:sz w:val="16"/>
          <w:szCs w:val="16"/>
          <w:lang w:val="es-MX"/>
        </w:rPr>
      </w:pPr>
      <w:r>
        <w:rPr>
          <w:rStyle w:val="baj"/>
          <w:rFonts w:ascii="Verdana" w:hAnsi="Verdana" w:cs="Arial"/>
          <w:sz w:val="16"/>
          <w:szCs w:val="16"/>
          <w:lang w:val="es-MX"/>
        </w:rPr>
        <w:t>Parágrafo.</w:t>
      </w:r>
      <w:r>
        <w:rPr>
          <w:rFonts w:ascii="Verdana" w:hAnsi="Verdana" w:cs="Arial"/>
          <w:sz w:val="16"/>
          <w:szCs w:val="16"/>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Pr>
          <w:rFonts w:ascii="Verdana" w:eastAsia="Calibri" w:hAnsi="Verdana" w:cs="Arial"/>
          <w:color w:val="000000"/>
          <w:sz w:val="16"/>
          <w:szCs w:val="16"/>
        </w:rPr>
        <w:t>”</w:t>
      </w:r>
      <w:r>
        <w:rPr>
          <w:rFonts w:ascii="Verdana" w:hAnsi="Verdana" w:cs="Arial"/>
          <w:sz w:val="16"/>
          <w:szCs w:val="16"/>
          <w:lang w:val="es-MX"/>
        </w:rPr>
        <w:t>.</w:t>
      </w:r>
    </w:p>
  </w:footnote>
  <w:footnote w:id="9">
    <w:p w14:paraId="1B438921" w14:textId="77777777" w:rsidR="008D78B9" w:rsidRDefault="008D78B9" w:rsidP="008D78B9">
      <w:pPr>
        <w:pStyle w:val="Textonotapie"/>
        <w:ind w:firstLine="708"/>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Colombia Compra Eficiente. Circular Externa Única. Numeral 16.5. </w:t>
      </w:r>
    </w:p>
  </w:footnote>
  <w:footnote w:id="10">
    <w:p w14:paraId="08F07B67" w14:textId="77777777" w:rsidR="008D78B9" w:rsidRDefault="008D78B9" w:rsidP="008D78B9">
      <w:pPr>
        <w:spacing w:after="0" w:line="240" w:lineRule="auto"/>
        <w:ind w:left="100" w:right="244" w:firstLine="608"/>
        <w:jc w:val="both"/>
        <w:rPr>
          <w:rFonts w:ascii="Verdana" w:hAnsi="Verdana" w:cs="Arial"/>
          <w:sz w:val="16"/>
          <w:szCs w:val="16"/>
          <w:lang w:val="es-ES"/>
        </w:rPr>
      </w:pPr>
      <w:r>
        <w:rPr>
          <w:rStyle w:val="Refdenotaalpie"/>
          <w:rFonts w:ascii="Verdana" w:hAnsi="Verdana" w:cs="Arial"/>
          <w:sz w:val="16"/>
          <w:szCs w:val="16"/>
        </w:rPr>
        <w:footnoteRef/>
      </w:r>
      <w:r>
        <w:rPr>
          <w:rFonts w:ascii="Verdana" w:hAnsi="Verdana" w:cs="Arial"/>
          <w:sz w:val="16"/>
          <w:szCs w:val="16"/>
        </w:rPr>
        <w:t xml:space="preserve"> Consejo de Estado. Sala de Consulta y Servicio Civil. Concepto del 17 de febrero de 2015. C.P. William Zambrano Cetina. Radicación No. 11001-03-06-000-2015-00164-00(2269).</w:t>
      </w:r>
    </w:p>
  </w:footnote>
  <w:footnote w:id="11">
    <w:p w14:paraId="0CBACBAE" w14:textId="77777777" w:rsidR="008D78B9" w:rsidRDefault="008D78B9" w:rsidP="008D78B9">
      <w:pPr>
        <w:pStyle w:val="Textonotapie"/>
        <w:ind w:right="51" w:firstLine="709"/>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w:t>
      </w:r>
      <w:r>
        <w:rPr>
          <w:rFonts w:ascii="Verdana" w:hAnsi="Verdana" w:cs="Arial"/>
          <w:sz w:val="16"/>
          <w:szCs w:val="16"/>
          <w:lang w:val="es-ES"/>
        </w:rPr>
        <w:t xml:space="preserve">[25] </w:t>
      </w:r>
      <w:r>
        <w:rPr>
          <w:rFonts w:ascii="Verdana" w:hAnsi="Verdana" w:cs="Arial"/>
          <w:sz w:val="16"/>
          <w:szCs w:val="16"/>
        </w:rPr>
        <w:t>Cfr. Consejo de Estado. Sección Tercera. Sentencia de 3 de diciembre de 2007. Radicados: 24.715, 25.206, 25.409, 24.524, 27.834, 25.410, 26.105, 28.244, 31.447 -acumulados-“.</w:t>
      </w:r>
    </w:p>
  </w:footnote>
  <w:footnote w:id="12">
    <w:p w14:paraId="75247A98" w14:textId="77777777" w:rsidR="008D78B9" w:rsidRDefault="008D78B9" w:rsidP="008D78B9">
      <w:pPr>
        <w:pStyle w:val="Textonotapie"/>
        <w:ind w:right="51" w:firstLine="709"/>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w:t>
      </w:r>
      <w:r>
        <w:rPr>
          <w:rFonts w:ascii="Verdana" w:hAnsi="Verdana" w:cs="Arial"/>
          <w:sz w:val="16"/>
          <w:szCs w:val="16"/>
          <w:lang w:val="es-ES"/>
        </w:rPr>
        <w:t xml:space="preserve">[26] </w:t>
      </w:r>
      <w:r>
        <w:rPr>
          <w:rFonts w:ascii="Verdana" w:hAnsi="Verdana" w:cs="Arial"/>
          <w:sz w:val="16"/>
          <w:szCs w:val="16"/>
        </w:rPr>
        <w:t>Al respecto ver el concepto 1712 de 2 de febrero de 2006. Consejo de Estado Sala de Consulta y Servicio Civil”.</w:t>
      </w:r>
    </w:p>
  </w:footnote>
  <w:footnote w:id="13">
    <w:p w14:paraId="138015C1" w14:textId="77777777" w:rsidR="008D78B9" w:rsidRDefault="008D78B9" w:rsidP="008D78B9">
      <w:pPr>
        <w:pStyle w:val="Textonotapie"/>
        <w:ind w:firstLine="709"/>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Consejo de Estado. Sala de Consulta y Servicio Civil. Concepto del 2 de septiembre de 2013. Radicación número: 11001-03-06-000-2013-00412-00 (2168). Consejero Ponente: Álvaro Namén Vargas.</w:t>
      </w:r>
    </w:p>
  </w:footnote>
  <w:footnote w:id="14">
    <w:p w14:paraId="33CF3C3F" w14:textId="77777777" w:rsidR="008D78B9" w:rsidRDefault="008D78B9" w:rsidP="008D78B9">
      <w:pPr>
        <w:pStyle w:val="Textonotapie"/>
        <w:ind w:firstLine="709"/>
        <w:jc w:val="both"/>
        <w:rPr>
          <w:rFonts w:ascii="Verdana" w:hAnsi="Verdana" w:cs="Arial"/>
          <w:sz w:val="16"/>
          <w:szCs w:val="16"/>
          <w:lang w:val="es-ES"/>
        </w:rPr>
      </w:pPr>
      <w:r>
        <w:rPr>
          <w:rStyle w:val="Refdenotaalpie"/>
          <w:rFonts w:ascii="Verdana" w:hAnsi="Verdana" w:cs="Arial"/>
          <w:sz w:val="16"/>
          <w:szCs w:val="16"/>
        </w:rPr>
        <w:footnoteRef/>
      </w:r>
      <w:r>
        <w:rPr>
          <w:rFonts w:ascii="Verdana" w:hAnsi="Verdana" w:cs="Arial"/>
          <w:sz w:val="16"/>
          <w:szCs w:val="16"/>
        </w:rPr>
        <w:t xml:space="preserve"> </w:t>
      </w:r>
      <w:r>
        <w:rPr>
          <w:rFonts w:ascii="Verdana" w:hAnsi="Verdana" w:cs="Arial"/>
          <w:sz w:val="16"/>
          <w:szCs w:val="16"/>
          <w:lang w:val="es-ES"/>
        </w:rPr>
        <w:t xml:space="preserve">Artículo 2. </w:t>
      </w:r>
    </w:p>
  </w:footnote>
  <w:footnote w:id="15">
    <w:p w14:paraId="3046FA08" w14:textId="77777777" w:rsidR="008D78B9" w:rsidRDefault="008D78B9" w:rsidP="008D78B9">
      <w:pPr>
        <w:pStyle w:val="Textonotapie"/>
        <w:ind w:firstLine="709"/>
        <w:jc w:val="both"/>
        <w:rPr>
          <w:rFonts w:ascii="Verdana" w:hAnsi="Verdana" w:cs="Arial"/>
          <w:sz w:val="16"/>
          <w:szCs w:val="16"/>
          <w:lang w:val="es-ES"/>
        </w:rPr>
      </w:pPr>
      <w:r>
        <w:rPr>
          <w:rStyle w:val="Refdenotaalpie"/>
          <w:rFonts w:ascii="Verdana" w:hAnsi="Verdana" w:cs="Arial"/>
          <w:sz w:val="16"/>
          <w:szCs w:val="16"/>
        </w:rPr>
        <w:footnoteRef/>
      </w:r>
      <w:r>
        <w:rPr>
          <w:rFonts w:ascii="Verdana" w:hAnsi="Verdana" w:cs="Arial"/>
          <w:sz w:val="16"/>
          <w:szCs w:val="16"/>
        </w:rPr>
        <w:t xml:space="preserve"> </w:t>
      </w:r>
      <w:r>
        <w:rPr>
          <w:rFonts w:ascii="Verdana" w:hAnsi="Verdana" w:cs="Arial"/>
          <w:i/>
          <w:sz w:val="16"/>
          <w:szCs w:val="16"/>
          <w:lang w:val="es-ES"/>
        </w:rPr>
        <w:t>Ídem</w:t>
      </w:r>
      <w:r>
        <w:rPr>
          <w:rFonts w:ascii="Verdana" w:hAnsi="Verdana" w:cs="Arial"/>
          <w:sz w:val="16"/>
          <w:szCs w:val="16"/>
          <w:lang w:val="es-ES"/>
        </w:rPr>
        <w:t>.</w:t>
      </w:r>
    </w:p>
  </w:footnote>
  <w:footnote w:id="16">
    <w:p w14:paraId="2DF2C0C6" w14:textId="77777777" w:rsidR="008D78B9" w:rsidRDefault="008D78B9" w:rsidP="008D78B9">
      <w:pPr>
        <w:pStyle w:val="Textonotapie"/>
        <w:ind w:firstLine="709"/>
        <w:jc w:val="both"/>
        <w:rPr>
          <w:rFonts w:ascii="Verdana" w:hAnsi="Verdana" w:cs="Arial"/>
          <w:sz w:val="16"/>
          <w:szCs w:val="16"/>
          <w:lang w:val="es-ES"/>
        </w:rPr>
      </w:pPr>
      <w:r>
        <w:rPr>
          <w:rStyle w:val="Refdenotaalpie"/>
          <w:rFonts w:ascii="Verdana" w:hAnsi="Verdana" w:cs="Arial"/>
          <w:sz w:val="16"/>
          <w:szCs w:val="16"/>
        </w:rPr>
        <w:footnoteRef/>
      </w:r>
      <w:r>
        <w:rPr>
          <w:rStyle w:val="Refdenotaalpie"/>
          <w:rFonts w:ascii="Verdana" w:hAnsi="Verdana" w:cs="Arial"/>
          <w:sz w:val="16"/>
          <w:szCs w:val="16"/>
        </w:rPr>
        <w:t xml:space="preserve"> </w:t>
      </w:r>
      <w:r>
        <w:rPr>
          <w:rFonts w:ascii="Verdana" w:hAnsi="Verdana" w:cs="Arial"/>
          <w:sz w:val="16"/>
          <w:szCs w:val="16"/>
          <w:lang w:val="es-ES"/>
        </w:rPr>
        <w:t xml:space="preserve">“[…] A este respecto, cabe recordar que el artículo 860 del Código de Comercio regula la licitación en el derecho privado”. </w:t>
      </w:r>
    </w:p>
  </w:footnote>
  <w:footnote w:id="17">
    <w:p w14:paraId="54DA4ACA" w14:textId="77777777" w:rsidR="008D78B9" w:rsidRDefault="008D78B9" w:rsidP="008D78B9">
      <w:pPr>
        <w:shd w:val="clear" w:color="auto" w:fill="FFFFFF"/>
        <w:spacing w:after="0" w:line="240" w:lineRule="auto"/>
        <w:ind w:firstLine="709"/>
        <w:jc w:val="both"/>
        <w:rPr>
          <w:rFonts w:ascii="Verdana" w:hAnsi="Verdana" w:cs="Arial"/>
          <w:sz w:val="16"/>
          <w:szCs w:val="16"/>
          <w:lang w:val="es-ES"/>
        </w:rPr>
      </w:pPr>
      <w:r>
        <w:rPr>
          <w:rStyle w:val="Refdenotaalpie"/>
          <w:rFonts w:ascii="Verdana" w:hAnsi="Verdana" w:cs="Arial"/>
          <w:sz w:val="16"/>
          <w:szCs w:val="16"/>
        </w:rPr>
        <w:footnoteRef/>
      </w:r>
      <w:r>
        <w:rPr>
          <w:rStyle w:val="Refdenotaalpie"/>
          <w:rFonts w:ascii="Verdana" w:hAnsi="Verdana" w:cs="Arial"/>
          <w:sz w:val="16"/>
          <w:szCs w:val="16"/>
        </w:rPr>
        <w:t xml:space="preserve"> </w:t>
      </w:r>
      <w:r>
        <w:rPr>
          <w:rFonts w:ascii="Verdana" w:hAnsi="Verdana" w:cs="Arial"/>
          <w:sz w:val="16"/>
          <w:szCs w:val="16"/>
          <w:lang w:val="es-ES"/>
        </w:rPr>
        <w:t>Consejo de Estado. Sala de Consulta y Servicio Civil, Concepto de 8 de mayo de 2018. Radicación Número: 11001-03-06-000-2018-00095-00(2382). C.P. Álvaro Namén Vargas.</w:t>
      </w:r>
    </w:p>
  </w:footnote>
  <w:footnote w:id="18">
    <w:p w14:paraId="5573FF93" w14:textId="77777777" w:rsidR="008D78B9" w:rsidRDefault="008D78B9" w:rsidP="008D78B9">
      <w:pPr>
        <w:pStyle w:val="Textonotapie"/>
        <w:ind w:firstLine="709"/>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Consejo de Estado. Sala de Consulta y Servicio Civil. Concepto del 08 de mayo de 2018. Exp. 2.382. C.P. Álvaro Namén Vargas.</w:t>
      </w:r>
    </w:p>
  </w:footnote>
  <w:footnote w:id="19">
    <w:p w14:paraId="5E207C39" w14:textId="77777777" w:rsidR="008D78B9" w:rsidRDefault="008D78B9" w:rsidP="008D78B9">
      <w:pPr>
        <w:pStyle w:val="Textonotapie"/>
        <w:ind w:firstLine="708"/>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Colombia Compra Eficiente. Circular Externa Única. Numeral 16.5. En este sentido, la Agencia ha expresado: “[…] las prórrogas, modificaciones o adiciones, y la cesión de los contratos suscritos antes del período de la campaña electoral, pueden realizarse en cualquier tiempo antes o después del comienzo de la aplicación de la Ley de Garantías, siempre y cuando el contrato se encuentre vigente y se observen las demás disposiciones conforme a las cuales deben realizarse dichas actuaciones”.</w:t>
      </w:r>
    </w:p>
  </w:footnote>
  <w:footnote w:id="20">
    <w:p w14:paraId="1F4A7E09" w14:textId="77777777" w:rsidR="008D78B9" w:rsidRDefault="008D78B9" w:rsidP="008D78B9">
      <w:pPr>
        <w:pStyle w:val="Textonotapie"/>
        <w:ind w:firstLine="709"/>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La Corte Constitucional mediante Sentencia C-1153-05 de 11 de noviembre de 2005, Magistrado Ponente Marco Gerardo Monroy Cabra, efectuó el Control constitucional al Proyecto de Ley Estatutaria N° 216/05 Senado, N° 235-Cámara que dio lugar a la Ley de Garantías Electorales.</w:t>
      </w:r>
    </w:p>
  </w:footnote>
  <w:footnote w:id="21">
    <w:p w14:paraId="07D1E542" w14:textId="77777777" w:rsidR="008D78B9" w:rsidRDefault="008D78B9" w:rsidP="008D78B9">
      <w:pPr>
        <w:spacing w:after="0" w:line="240" w:lineRule="auto"/>
        <w:ind w:firstLine="709"/>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Consejo de Estado. Sala de Consulta y Servicio Civil. Concepto de 20 de febrero de 2006. Radicación Número: 11001-03-06-000-2006-00026-00 (1727). C.P.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footnote>
  <w:footnote w:id="22">
    <w:p w14:paraId="1A54BB1E" w14:textId="77777777" w:rsidR="008D78B9" w:rsidRDefault="008D78B9" w:rsidP="008D78B9">
      <w:pPr>
        <w:pStyle w:val="Textonotapie"/>
        <w:ind w:right="51" w:firstLine="709"/>
        <w:jc w:val="both"/>
        <w:rPr>
          <w:rFonts w:ascii="Verdana" w:eastAsia="Times New Roman" w:hAnsi="Verdana" w:cs="Arial"/>
          <w:bCs/>
          <w:sz w:val="16"/>
          <w:szCs w:val="16"/>
          <w:lang w:eastAsia="x-none"/>
        </w:rPr>
      </w:pPr>
      <w:r>
        <w:rPr>
          <w:rStyle w:val="Refdenotaalpie"/>
          <w:rFonts w:ascii="Verdana" w:hAnsi="Verdana" w:cs="Arial"/>
          <w:sz w:val="16"/>
          <w:szCs w:val="16"/>
        </w:rPr>
        <w:footnoteRef/>
      </w:r>
      <w:r>
        <w:rPr>
          <w:rFonts w:ascii="Verdana" w:hAnsi="Verdana" w:cs="Arial"/>
          <w:sz w:val="16"/>
          <w:szCs w:val="16"/>
        </w:rPr>
        <w:t xml:space="preserve"> Consejo de Estado. Sala de Consulta y Servicio Civil. Concepto de 6 de abril de 2006. Radicación Número: 11001-03-06-000-2006-00038-00 (1738). C.P. Enrique José Arboleda Perdomo:</w:t>
      </w:r>
      <w:r>
        <w:rPr>
          <w:rFonts w:ascii="Verdana" w:eastAsia="Times New Roman" w:hAnsi="Verdana" w:cs="Arial"/>
          <w:bCs/>
          <w:sz w:val="16"/>
          <w:szCs w:val="16"/>
          <w:lang w:eastAsia="x-none"/>
        </w:rPr>
        <w:t xml:space="preserve"> “</w:t>
      </w:r>
      <w:r>
        <w:rPr>
          <w:rFonts w:ascii="Verdana" w:hAnsi="Verdana" w:cs="Arial"/>
          <w:sz w:val="16"/>
          <w:szCs w:val="16"/>
        </w:rPr>
        <w:t>Si bien en el tema del concepto del que se extractaron los párrafos transcritos, se hacía referencia a las empresas de servicios públicos domiciliarios mixtas, la explicación dada cobija también a las empresas industriales y comerciales del estado y a las de crédito, pues todas ellas hacen parte de la definición de administración pública de la ley 489 de 1998, y además encajan dentro de la noción de todos los entes del Estado que trae la ley 996 de 2005 en el artículo 33, de manera que no es lógico pretender exonerarse de ésta prohibición alegando un régimen especial de los actos o contratos</w:t>
      </w:r>
      <w:r>
        <w:rPr>
          <w:rFonts w:ascii="Verdana" w:eastAsia="Times New Roman" w:hAnsi="Verdana" w:cs="Arial"/>
          <w:bCs/>
          <w:sz w:val="16"/>
          <w:szCs w:val="16"/>
          <w:lang w:eastAsia="x-none"/>
        </w:rPr>
        <w:t>”.</w:t>
      </w:r>
    </w:p>
  </w:footnote>
  <w:footnote w:id="23">
    <w:p w14:paraId="3F9B32D5" w14:textId="77777777" w:rsidR="008D78B9" w:rsidRDefault="008D78B9" w:rsidP="008D78B9">
      <w:pPr>
        <w:spacing w:after="0" w:line="240" w:lineRule="auto"/>
        <w:ind w:firstLine="708"/>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Consejo de Estado. Sala de Consulta y Servicio Civil. Concepto de 6 de abril de 2006. Radicación Número: 11001-03-06-000-2006-00038-00(1738). Consejero Ponente: Enrique José Arboleda Perdomo. </w:t>
      </w:r>
    </w:p>
  </w:footnote>
  <w:footnote w:id="24">
    <w:p w14:paraId="3FF9F36A" w14:textId="77777777" w:rsidR="008D78B9" w:rsidRDefault="008D78B9" w:rsidP="008D78B9">
      <w:pPr>
        <w:pStyle w:val="Textonotapie"/>
        <w:ind w:right="51" w:firstLine="709"/>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Consejo de Estado. Sala de Consulta y Servicio Civil, ídem.</w:t>
      </w:r>
    </w:p>
  </w:footnote>
  <w:footnote w:id="25">
    <w:p w14:paraId="72FC01C5" w14:textId="77777777" w:rsidR="008D78B9" w:rsidRDefault="008D78B9" w:rsidP="008D78B9">
      <w:pPr>
        <w:pStyle w:val="Textonotapie"/>
        <w:ind w:firstLine="708"/>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Colombia Compra Eficiente. Circular Externa Única. Numeral 15.5.</w:t>
      </w:r>
    </w:p>
  </w:footnote>
  <w:footnote w:id="26">
    <w:p w14:paraId="48DCE1B8" w14:textId="77777777" w:rsidR="008D78B9" w:rsidRDefault="008D78B9" w:rsidP="008D78B9">
      <w:pPr>
        <w:snapToGrid w:val="0"/>
        <w:spacing w:line="240" w:lineRule="auto"/>
        <w:ind w:firstLine="709"/>
        <w:contextualSpacing/>
        <w:jc w:val="both"/>
        <w:rPr>
          <w:rFonts w:ascii="Verdana" w:hAnsi="Verdana" w:cs="Arial"/>
          <w:color w:val="000000" w:themeColor="text1"/>
          <w:sz w:val="16"/>
          <w:szCs w:val="16"/>
        </w:rPr>
      </w:pPr>
      <w:r>
        <w:rPr>
          <w:rStyle w:val="Refdenotaalpie"/>
          <w:rFonts w:ascii="Verdana" w:hAnsi="Verdana" w:cs="Arial"/>
          <w:color w:val="000000" w:themeColor="text1"/>
          <w:sz w:val="16"/>
          <w:szCs w:val="16"/>
        </w:rPr>
        <w:footnoteRef/>
      </w:r>
      <w:r>
        <w:rPr>
          <w:rFonts w:ascii="Verdana" w:hAnsi="Verdana" w:cs="Arial"/>
          <w:color w:val="000000" w:themeColor="text1"/>
          <w:sz w:val="16"/>
          <w:szCs w:val="16"/>
        </w:rPr>
        <w:t xml:space="preserve"> Corte Constitucional. Sentencia C- 474 de 2005, M.P. Humberto Antonio Sierra Porto. Sentencia C - 428 de 1994. M.P. Antonio Barrera Carbonell.</w:t>
      </w:r>
    </w:p>
  </w:footnote>
  <w:footnote w:id="27">
    <w:p w14:paraId="5CCC331F" w14:textId="77777777" w:rsidR="008D78B9" w:rsidRDefault="008D78B9" w:rsidP="008D78B9">
      <w:pPr>
        <w:snapToGrid w:val="0"/>
        <w:spacing w:line="240" w:lineRule="auto"/>
        <w:ind w:firstLine="709"/>
        <w:contextualSpacing/>
        <w:jc w:val="both"/>
        <w:rPr>
          <w:rFonts w:ascii="Verdana" w:eastAsia="Times New Roman" w:hAnsi="Verdana" w:cs="Arial"/>
          <w:color w:val="000000" w:themeColor="text1"/>
          <w:sz w:val="16"/>
          <w:szCs w:val="16"/>
          <w:shd w:val="clear" w:color="auto" w:fill="FFFFFF"/>
          <w:lang w:eastAsia="es-ES_tradnl"/>
        </w:rPr>
      </w:pPr>
      <w:r>
        <w:rPr>
          <w:rStyle w:val="Refdenotaalpie"/>
          <w:rFonts w:ascii="Verdana" w:hAnsi="Verdana" w:cs="Arial"/>
          <w:color w:val="000000" w:themeColor="text1"/>
          <w:sz w:val="16"/>
          <w:szCs w:val="16"/>
        </w:rPr>
        <w:footnoteRef/>
      </w:r>
      <w:r>
        <w:rPr>
          <w:rFonts w:ascii="Verdana" w:hAnsi="Verdana" w:cs="Arial"/>
          <w:color w:val="000000" w:themeColor="text1"/>
          <w:sz w:val="16"/>
          <w:szCs w:val="16"/>
        </w:rPr>
        <w:t xml:space="preserve"> “</w:t>
      </w:r>
      <w:r>
        <w:rPr>
          <w:rFonts w:ascii="Verdana" w:eastAsia="Times New Roman" w:hAnsi="Verdana" w:cs="Arial"/>
          <w:color w:val="000000" w:themeColor="text1"/>
          <w:sz w:val="16"/>
          <w:szCs w:val="16"/>
          <w:shd w:val="clear" w:color="auto" w:fill="FFFFFF"/>
          <w:lang w:eastAsia="es-ES_tradnl"/>
        </w:rPr>
        <w:t>Por la cual se dictan normas sobre planes de desarrollo municipal, compraventa y expropiación de bienes y se dictan otras disposiciones”. En el Capítulo III se reguló específicamente la adquisición de bienes por enajenación voluntaria y por expropiación.</w:t>
      </w:r>
    </w:p>
    <w:p w14:paraId="20D21FF4" w14:textId="77777777" w:rsidR="008D78B9" w:rsidRDefault="008D78B9" w:rsidP="008D78B9">
      <w:pPr>
        <w:snapToGrid w:val="0"/>
        <w:spacing w:line="240" w:lineRule="auto"/>
        <w:ind w:firstLine="709"/>
        <w:contextualSpacing/>
        <w:jc w:val="both"/>
        <w:rPr>
          <w:rFonts w:ascii="Verdana" w:eastAsia="Times New Roman" w:hAnsi="Verdana" w:cs="Arial"/>
          <w:color w:val="000000" w:themeColor="text1"/>
          <w:sz w:val="16"/>
          <w:szCs w:val="16"/>
          <w:lang w:eastAsia="es-ES_tradnl"/>
        </w:rPr>
      </w:pPr>
      <w:r>
        <w:rPr>
          <w:rFonts w:ascii="Verdana" w:eastAsia="Times New Roman" w:hAnsi="Verdana" w:cs="Arial"/>
          <w:color w:val="000000" w:themeColor="text1"/>
          <w:sz w:val="16"/>
          <w:szCs w:val="16"/>
          <w:lang w:eastAsia="es-ES_tradnl"/>
        </w:rPr>
        <w:t>Esta normativa se expidió con fundamento el acto legislativo 1 de 1936, que había modificado el artículo 30 de la Constitución Política de 1886, a cuyo tenor: “Artículo 30. Se garantizan la propiedad privada y los demás derechos adquiridos con justo título, con arreglo a las leyes civiles, por personas naturales o jurídicas, los cuales no pueden ser desconocidos ni vulnerados por leyes posteriores. Cuando de la aplicación de una ley expedida por motivos de utilidad pública o interés social, resultaren en conflicto los derechos de particulares con la necesidad reconocida por la misma ley, el interés privado deberá ceder ante el interés público o social. // La propiedad es una función social que implica obligaciones. // Por motivos de utilidad pública o de interés social definidos por el legislador, podrá haber expropiación, mediante sentencia judicial e indemnización previa. // Con todo, el legislador, por razones de equidad, podrá determinar los casos en que no haya lugar a indemnización, mediante el voto favorable de la mayoría absoluta de los miembros de una y otra Cámara”.</w:t>
      </w:r>
    </w:p>
  </w:footnote>
  <w:footnote w:id="28">
    <w:p w14:paraId="38209880" w14:textId="77777777" w:rsidR="008D78B9" w:rsidRDefault="008D78B9" w:rsidP="008D78B9">
      <w:pPr>
        <w:snapToGrid w:val="0"/>
        <w:spacing w:line="240" w:lineRule="auto"/>
        <w:ind w:firstLine="709"/>
        <w:contextualSpacing/>
        <w:jc w:val="both"/>
        <w:rPr>
          <w:rFonts w:ascii="Verdana" w:eastAsia="Times New Roman" w:hAnsi="Verdana" w:cs="Arial"/>
          <w:color w:val="000000" w:themeColor="text1"/>
          <w:sz w:val="16"/>
          <w:szCs w:val="16"/>
          <w:lang w:eastAsia="es-ES_tradnl"/>
        </w:rPr>
      </w:pPr>
      <w:r>
        <w:rPr>
          <w:rStyle w:val="Refdenotaalpie"/>
          <w:rFonts w:ascii="Verdana" w:hAnsi="Verdana" w:cs="Arial"/>
          <w:color w:val="000000" w:themeColor="text1"/>
          <w:sz w:val="16"/>
          <w:szCs w:val="16"/>
        </w:rPr>
        <w:footnoteRef/>
      </w:r>
      <w:r>
        <w:rPr>
          <w:rFonts w:ascii="Verdana" w:hAnsi="Verdana" w:cs="Arial"/>
          <w:color w:val="000000" w:themeColor="text1"/>
          <w:sz w:val="16"/>
          <w:szCs w:val="16"/>
        </w:rPr>
        <w:t xml:space="preserve"> </w:t>
      </w:r>
      <w:r>
        <w:rPr>
          <w:rFonts w:ascii="Verdana" w:eastAsia="Times New Roman" w:hAnsi="Verdana" w:cs="Arial"/>
          <w:color w:val="000000" w:themeColor="text1"/>
          <w:sz w:val="16"/>
          <w:szCs w:val="16"/>
          <w:lang w:eastAsia="es-ES_tradnl"/>
        </w:rPr>
        <w:t>Por la cual se modifica la Ley 9 de 1989, y la Ley 2 de 1991 y se dictan otras disposiciones.</w:t>
      </w:r>
    </w:p>
  </w:footnote>
  <w:footnote w:id="29">
    <w:p w14:paraId="55873D91" w14:textId="77777777" w:rsidR="008D78B9" w:rsidRDefault="008D78B9" w:rsidP="008D78B9">
      <w:pPr>
        <w:snapToGrid w:val="0"/>
        <w:spacing w:line="240" w:lineRule="auto"/>
        <w:ind w:firstLine="709"/>
        <w:contextualSpacing/>
        <w:jc w:val="both"/>
        <w:rPr>
          <w:rFonts w:ascii="Verdana" w:eastAsia="Times New Roman" w:hAnsi="Verdana" w:cs="Arial"/>
          <w:b/>
          <w:bCs/>
          <w:color w:val="000000" w:themeColor="text1"/>
          <w:sz w:val="16"/>
          <w:szCs w:val="16"/>
          <w:shd w:val="clear" w:color="auto" w:fill="FFFFFF"/>
          <w:lang w:eastAsia="es-ES_tradnl"/>
        </w:rPr>
      </w:pPr>
      <w:r>
        <w:rPr>
          <w:rStyle w:val="Refdenotaalpie"/>
          <w:rFonts w:ascii="Verdana" w:hAnsi="Verdana" w:cs="Arial"/>
          <w:color w:val="000000" w:themeColor="text1"/>
          <w:sz w:val="16"/>
          <w:szCs w:val="16"/>
        </w:rPr>
        <w:footnoteRef/>
      </w:r>
      <w:r>
        <w:rPr>
          <w:rFonts w:ascii="Verdana" w:hAnsi="Verdana" w:cs="Arial"/>
          <w:color w:val="000000" w:themeColor="text1"/>
          <w:sz w:val="16"/>
          <w:szCs w:val="16"/>
        </w:rPr>
        <w:t xml:space="preserve"> </w:t>
      </w:r>
      <w:r>
        <w:rPr>
          <w:rFonts w:ascii="Verdana" w:hAnsi="Verdana" w:cs="Arial"/>
          <w:color w:val="000000" w:themeColor="text1"/>
          <w:sz w:val="16"/>
          <w:szCs w:val="16"/>
          <w:lang w:val="es-ES"/>
        </w:rPr>
        <w:t xml:space="preserve">Consejo de Estado. Sala de Consulta y Servicio Civil. Concepto del 10 de abril de 2008. Rad. </w:t>
      </w:r>
      <w:r>
        <w:rPr>
          <w:rFonts w:ascii="Verdana" w:eastAsia="Times New Roman" w:hAnsi="Verdana" w:cs="Arial"/>
          <w:color w:val="000000" w:themeColor="text1"/>
          <w:sz w:val="16"/>
          <w:szCs w:val="16"/>
          <w:shd w:val="clear" w:color="auto" w:fill="FFFFFF"/>
          <w:lang w:eastAsia="es-ES_tradnl"/>
        </w:rPr>
        <w:t>11001-03-06-000-2008-00017-00. C.P. Gustavo Aponte Santos.</w:t>
      </w:r>
      <w:r>
        <w:rPr>
          <w:rFonts w:ascii="Verdana" w:eastAsia="Times New Roman" w:hAnsi="Verdana" w:cs="Arial"/>
          <w:b/>
          <w:bCs/>
          <w:color w:val="000000" w:themeColor="text1"/>
          <w:sz w:val="16"/>
          <w:szCs w:val="16"/>
          <w:shd w:val="clear" w:color="auto" w:fill="FFFFFF"/>
          <w:lang w:eastAsia="es-ES_tradnl"/>
        </w:rPr>
        <w:t xml:space="preserve"> </w:t>
      </w:r>
    </w:p>
  </w:footnote>
  <w:footnote w:id="30">
    <w:p w14:paraId="4051C010" w14:textId="77777777" w:rsidR="008D78B9" w:rsidRDefault="008D78B9" w:rsidP="008D78B9">
      <w:pPr>
        <w:pStyle w:val="Textonotapie"/>
        <w:snapToGrid w:val="0"/>
        <w:ind w:firstLine="709"/>
        <w:jc w:val="both"/>
        <w:rPr>
          <w:rFonts w:ascii="Verdana" w:hAnsi="Verdana" w:cs="Arial"/>
          <w:color w:val="000000" w:themeColor="text1"/>
          <w:sz w:val="16"/>
          <w:szCs w:val="16"/>
          <w:lang w:val="es-CO"/>
        </w:rPr>
      </w:pPr>
      <w:r>
        <w:rPr>
          <w:rStyle w:val="Refdenotaalpie"/>
          <w:rFonts w:ascii="Verdana" w:hAnsi="Verdana" w:cs="Arial"/>
          <w:color w:val="000000" w:themeColor="text1"/>
          <w:sz w:val="16"/>
          <w:szCs w:val="16"/>
        </w:rPr>
        <w:footnoteRef/>
      </w:r>
      <w:r>
        <w:rPr>
          <w:rFonts w:ascii="Verdana" w:hAnsi="Verdana" w:cs="Arial"/>
          <w:color w:val="000000" w:themeColor="text1"/>
          <w:sz w:val="16"/>
          <w:szCs w:val="16"/>
        </w:rPr>
        <w:t xml:space="preserve"> </w:t>
      </w:r>
      <w:r>
        <w:rPr>
          <w:rFonts w:ascii="Verdana" w:hAnsi="Verdana" w:cs="Arial"/>
          <w:color w:val="000000" w:themeColor="text1"/>
          <w:sz w:val="16"/>
          <w:szCs w:val="16"/>
          <w:lang w:val="es-CO"/>
        </w:rPr>
        <w:t>Corte Constitucional. Sentencia C - 1074 de 4 de diciembre de 2002. M.P. Manuel José Cepeda Espinoza.</w:t>
      </w:r>
    </w:p>
  </w:footnote>
  <w:footnote w:id="31">
    <w:p w14:paraId="1B41FE3B" w14:textId="77777777" w:rsidR="008D78B9" w:rsidRDefault="008D78B9" w:rsidP="008D78B9">
      <w:pPr>
        <w:snapToGrid w:val="0"/>
        <w:spacing w:line="240" w:lineRule="auto"/>
        <w:ind w:firstLine="708"/>
        <w:contextualSpacing/>
        <w:jc w:val="both"/>
        <w:rPr>
          <w:rFonts w:ascii="Verdana" w:hAnsi="Verdana" w:cs="Arial"/>
          <w:color w:val="000000" w:themeColor="text1"/>
          <w:sz w:val="16"/>
          <w:szCs w:val="16"/>
        </w:rPr>
      </w:pPr>
      <w:r>
        <w:rPr>
          <w:rStyle w:val="Refdenotaalpie"/>
          <w:rFonts w:ascii="Verdana" w:hAnsi="Verdana" w:cs="Arial"/>
          <w:color w:val="000000" w:themeColor="text1"/>
          <w:sz w:val="16"/>
          <w:szCs w:val="16"/>
        </w:rPr>
        <w:footnoteRef/>
      </w:r>
      <w:r>
        <w:rPr>
          <w:rFonts w:ascii="Verdana" w:hAnsi="Verdana" w:cs="Arial"/>
          <w:color w:val="000000" w:themeColor="text1"/>
          <w:sz w:val="16"/>
          <w:szCs w:val="16"/>
        </w:rPr>
        <w:t xml:space="preserve"> Corte Constitucional. Sentencia C - 669 de 28 de octubre de 2015. M.P. Luis Ernesto Vargas Silva.</w:t>
      </w:r>
    </w:p>
  </w:footnote>
  <w:footnote w:id="32">
    <w:p w14:paraId="4DC2DDCC" w14:textId="77777777" w:rsidR="008D78B9" w:rsidRDefault="008D78B9" w:rsidP="008D78B9">
      <w:pPr>
        <w:pStyle w:val="Textonotapie"/>
        <w:snapToGrid w:val="0"/>
        <w:ind w:firstLine="709"/>
        <w:jc w:val="both"/>
        <w:rPr>
          <w:rFonts w:ascii="Verdana" w:hAnsi="Verdana" w:cs="Arial"/>
          <w:color w:val="000000" w:themeColor="text1"/>
          <w:sz w:val="16"/>
          <w:szCs w:val="16"/>
        </w:rPr>
      </w:pPr>
      <w:r>
        <w:rPr>
          <w:rStyle w:val="Refdenotaalpie"/>
          <w:rFonts w:ascii="Verdana" w:hAnsi="Verdana" w:cs="Arial"/>
          <w:color w:val="000000" w:themeColor="text1"/>
          <w:sz w:val="16"/>
          <w:szCs w:val="16"/>
        </w:rPr>
        <w:footnoteRef/>
      </w:r>
      <w:r>
        <w:rPr>
          <w:rFonts w:ascii="Verdana" w:hAnsi="Verdana" w:cs="Arial"/>
          <w:color w:val="000000" w:themeColor="text1"/>
          <w:sz w:val="16"/>
          <w:szCs w:val="16"/>
        </w:rPr>
        <w:t xml:space="preserve"> “La expropiación no es un contrato, no es una venta, ni siquiera forzada, como la que se verifica en subasta pública en determinados casos; es una figura esencialmente distinta, de derecho público, enderezada al bien de la comunidad y en virtud de la cual, por motivos superiores, la Administración toma la propiedad particular, y como esta medida genera un daño, y no un precio, se satisface mediante una indemnización. Se indemniza el perjuicio en diferentes órdenes de la responsabilidad contractual y extracontractual, y se indemniza al expropiado el daño que para él implica esta forma de expropiación –que opera contra su voluntad- pero en provecho público”. (Corte Constitucional. Sentencia C - 153 de 1994. M.P. Alejandro Martínez Caballero).</w:t>
      </w:r>
    </w:p>
  </w:footnote>
  <w:footnote w:id="33">
    <w:p w14:paraId="47C3B612" w14:textId="77777777" w:rsidR="008D78B9" w:rsidRDefault="008D78B9" w:rsidP="008D78B9">
      <w:pPr>
        <w:snapToGrid w:val="0"/>
        <w:spacing w:line="240" w:lineRule="auto"/>
        <w:ind w:firstLine="709"/>
        <w:contextualSpacing/>
        <w:jc w:val="both"/>
        <w:rPr>
          <w:rFonts w:ascii="Verdana" w:eastAsia="Times New Roman" w:hAnsi="Verdana" w:cs="Arial"/>
          <w:color w:val="000000" w:themeColor="text1"/>
          <w:sz w:val="16"/>
          <w:szCs w:val="16"/>
          <w:lang w:eastAsia="es-ES_tradnl"/>
        </w:rPr>
      </w:pPr>
      <w:r>
        <w:rPr>
          <w:rStyle w:val="Refdenotaalpie"/>
          <w:rFonts w:ascii="Verdana" w:hAnsi="Verdana" w:cs="Arial"/>
          <w:color w:val="000000" w:themeColor="text1"/>
          <w:sz w:val="16"/>
          <w:szCs w:val="16"/>
        </w:rPr>
        <w:footnoteRef/>
      </w:r>
      <w:r>
        <w:rPr>
          <w:rFonts w:ascii="Verdana" w:hAnsi="Verdana" w:cs="Arial"/>
          <w:color w:val="000000" w:themeColor="text1"/>
          <w:sz w:val="16"/>
          <w:szCs w:val="16"/>
        </w:rPr>
        <w:t xml:space="preserve"> Una vez otorgada la correspondiente escritura pública de compraventa, esta deberá ser inscrita en la Oficina de Instrumentos Públicos respectiva, conforme a lo previsto en el artículo 14 de la Ley 9 de 1989, modificado por el artículo 34 de la Ley 3 de 1991</w:t>
      </w:r>
      <w:r>
        <w:rPr>
          <w:rFonts w:ascii="Verdana" w:eastAsia="Times New Roman" w:hAnsi="Verdana" w:cs="Arial"/>
          <w:color w:val="000000" w:themeColor="text1"/>
          <w:sz w:val="16"/>
          <w:szCs w:val="16"/>
          <w:lang w:eastAsia="es-ES_tradnl"/>
        </w:rPr>
        <w:t>.</w:t>
      </w:r>
    </w:p>
  </w:footnote>
  <w:footnote w:id="34">
    <w:p w14:paraId="3A2CBE03" w14:textId="77777777" w:rsidR="008D78B9" w:rsidRDefault="008D78B9" w:rsidP="008D78B9">
      <w:pPr>
        <w:pStyle w:val="Textonotapie"/>
        <w:snapToGrid w:val="0"/>
        <w:ind w:firstLine="708"/>
        <w:jc w:val="both"/>
        <w:rPr>
          <w:rFonts w:ascii="Verdana" w:hAnsi="Verdana" w:cs="Arial"/>
          <w:color w:val="000000" w:themeColor="text1"/>
          <w:sz w:val="16"/>
          <w:szCs w:val="16"/>
          <w:lang w:val="es-CO"/>
        </w:rPr>
      </w:pPr>
      <w:r>
        <w:rPr>
          <w:rStyle w:val="Refdenotaalpie"/>
          <w:rFonts w:ascii="Verdana" w:hAnsi="Verdana" w:cs="Arial"/>
          <w:color w:val="000000" w:themeColor="text1"/>
          <w:sz w:val="16"/>
          <w:szCs w:val="16"/>
        </w:rPr>
        <w:footnoteRef/>
      </w:r>
      <w:r>
        <w:rPr>
          <w:rFonts w:ascii="Verdana" w:hAnsi="Verdana" w:cs="Arial"/>
          <w:color w:val="000000" w:themeColor="text1"/>
          <w:sz w:val="16"/>
          <w:szCs w:val="16"/>
        </w:rPr>
        <w:t xml:space="preserve"> Postura que también fue desarrollada con mayor detalle en el concepto con radicado de salida No. 2201913000008597 del 19 de noviembre de 2019 –rad. De entrada 2201913000008597–, proferido por esta Agencia. (Disponible en: </w:t>
      </w:r>
      <w:hyperlink r:id="rId1" w:history="1">
        <w:r>
          <w:rPr>
            <w:rStyle w:val="Hipervnculo"/>
            <w:rFonts w:ascii="Verdana" w:hAnsi="Verdana" w:cs="Arial"/>
            <w:color w:val="000000" w:themeColor="text1"/>
            <w:sz w:val="16"/>
            <w:szCs w:val="16"/>
          </w:rPr>
          <w:t>https://relatoria.colombiacompra.gov.co/ficha/4201912000005718</w:t>
        </w:r>
      </w:hyperlink>
      <w:r>
        <w:rPr>
          <w:rFonts w:ascii="Verdana" w:hAnsi="Verdana" w:cs="Arial"/>
          <w:color w:val="000000" w:themeColor="text1"/>
          <w:sz w:val="16"/>
          <w:szCs w:val="16"/>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2" type="#_x0000_t75" style="width:11.2pt;height:11.2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start w:val="1"/>
      <w:numFmt w:val="bullet"/>
      <w:lvlText w:val=""/>
      <w:lvlJc w:val="left"/>
      <w:pPr>
        <w:ind w:left="2160" w:hanging="360"/>
      </w:pPr>
      <w:rPr>
        <w:rFonts w:ascii="Wingdings" w:hAnsi="Wingdings" w:hint="default"/>
      </w:rPr>
    </w:lvl>
    <w:lvl w:ilvl="3" w:tplc="040A0001">
      <w:start w:val="1"/>
      <w:numFmt w:val="bullet"/>
      <w:lvlText w:val=""/>
      <w:lvlJc w:val="left"/>
      <w:pPr>
        <w:ind w:left="2880" w:hanging="360"/>
      </w:pPr>
      <w:rPr>
        <w:rFonts w:ascii="Symbol" w:hAnsi="Symbol" w:hint="default"/>
      </w:rPr>
    </w:lvl>
    <w:lvl w:ilvl="4" w:tplc="040A0003">
      <w:start w:val="1"/>
      <w:numFmt w:val="bullet"/>
      <w:lvlText w:val="o"/>
      <w:lvlJc w:val="left"/>
      <w:pPr>
        <w:ind w:left="3600" w:hanging="360"/>
      </w:pPr>
      <w:rPr>
        <w:rFonts w:ascii="Courier New" w:hAnsi="Courier New" w:cs="Courier New" w:hint="default"/>
      </w:rPr>
    </w:lvl>
    <w:lvl w:ilvl="5" w:tplc="040A0005">
      <w:start w:val="1"/>
      <w:numFmt w:val="bullet"/>
      <w:lvlText w:val=""/>
      <w:lvlJc w:val="left"/>
      <w:pPr>
        <w:ind w:left="4320" w:hanging="360"/>
      </w:pPr>
      <w:rPr>
        <w:rFonts w:ascii="Wingdings" w:hAnsi="Wingdings" w:hint="default"/>
      </w:rPr>
    </w:lvl>
    <w:lvl w:ilvl="6" w:tplc="040A0001">
      <w:start w:val="1"/>
      <w:numFmt w:val="bullet"/>
      <w:lvlText w:val=""/>
      <w:lvlJc w:val="left"/>
      <w:pPr>
        <w:ind w:left="5040" w:hanging="360"/>
      </w:pPr>
      <w:rPr>
        <w:rFonts w:ascii="Symbol" w:hAnsi="Symbol" w:hint="default"/>
      </w:rPr>
    </w:lvl>
    <w:lvl w:ilvl="7" w:tplc="040A0003">
      <w:start w:val="1"/>
      <w:numFmt w:val="bullet"/>
      <w:lvlText w:val="o"/>
      <w:lvlJc w:val="left"/>
      <w:pPr>
        <w:ind w:left="5760" w:hanging="360"/>
      </w:pPr>
      <w:rPr>
        <w:rFonts w:ascii="Courier New" w:hAnsi="Courier New" w:cs="Courier New" w:hint="default"/>
      </w:rPr>
    </w:lvl>
    <w:lvl w:ilvl="8" w:tplc="040A0005">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805397034">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63861042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7"/>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4E6B"/>
    <w:rsid w:val="00016F78"/>
    <w:rsid w:val="00046945"/>
    <w:rsid w:val="00061B2A"/>
    <w:rsid w:val="00082362"/>
    <w:rsid w:val="000A683E"/>
    <w:rsid w:val="000B19B9"/>
    <w:rsid w:val="000B36DF"/>
    <w:rsid w:val="000D0334"/>
    <w:rsid w:val="000E5735"/>
    <w:rsid w:val="000F6486"/>
    <w:rsid w:val="00125105"/>
    <w:rsid w:val="00127233"/>
    <w:rsid w:val="001337B8"/>
    <w:rsid w:val="001E4177"/>
    <w:rsid w:val="001F7DC6"/>
    <w:rsid w:val="002421BB"/>
    <w:rsid w:val="0025796E"/>
    <w:rsid w:val="002707A2"/>
    <w:rsid w:val="002951A0"/>
    <w:rsid w:val="002961BE"/>
    <w:rsid w:val="002962BC"/>
    <w:rsid w:val="002A093D"/>
    <w:rsid w:val="002A0DD0"/>
    <w:rsid w:val="002A49AC"/>
    <w:rsid w:val="002A64FD"/>
    <w:rsid w:val="002C7A84"/>
    <w:rsid w:val="002E4FD9"/>
    <w:rsid w:val="00322A85"/>
    <w:rsid w:val="00324168"/>
    <w:rsid w:val="00325F67"/>
    <w:rsid w:val="003448F4"/>
    <w:rsid w:val="00374F5E"/>
    <w:rsid w:val="00377E3E"/>
    <w:rsid w:val="0038135F"/>
    <w:rsid w:val="003A779E"/>
    <w:rsid w:val="003D0F4D"/>
    <w:rsid w:val="003D5B0D"/>
    <w:rsid w:val="003E0499"/>
    <w:rsid w:val="003F3941"/>
    <w:rsid w:val="00406575"/>
    <w:rsid w:val="00414C74"/>
    <w:rsid w:val="0042722E"/>
    <w:rsid w:val="0044528D"/>
    <w:rsid w:val="004A1847"/>
    <w:rsid w:val="004A305D"/>
    <w:rsid w:val="004F21C4"/>
    <w:rsid w:val="004F685F"/>
    <w:rsid w:val="005566E8"/>
    <w:rsid w:val="00574867"/>
    <w:rsid w:val="00591460"/>
    <w:rsid w:val="005C3777"/>
    <w:rsid w:val="005C5CDC"/>
    <w:rsid w:val="005D476C"/>
    <w:rsid w:val="005D4A0D"/>
    <w:rsid w:val="006219F8"/>
    <w:rsid w:val="006302F7"/>
    <w:rsid w:val="00632816"/>
    <w:rsid w:val="00665D70"/>
    <w:rsid w:val="006900D9"/>
    <w:rsid w:val="006A760C"/>
    <w:rsid w:val="00706C16"/>
    <w:rsid w:val="00756841"/>
    <w:rsid w:val="007649AB"/>
    <w:rsid w:val="00771D0C"/>
    <w:rsid w:val="007833AC"/>
    <w:rsid w:val="007B268C"/>
    <w:rsid w:val="007B7171"/>
    <w:rsid w:val="007C0C0F"/>
    <w:rsid w:val="007C3DC2"/>
    <w:rsid w:val="007E5497"/>
    <w:rsid w:val="00806F5F"/>
    <w:rsid w:val="00820278"/>
    <w:rsid w:val="00867F95"/>
    <w:rsid w:val="008843B6"/>
    <w:rsid w:val="00891928"/>
    <w:rsid w:val="00897A3A"/>
    <w:rsid w:val="008A446D"/>
    <w:rsid w:val="008D180B"/>
    <w:rsid w:val="008D78B9"/>
    <w:rsid w:val="008F0EA7"/>
    <w:rsid w:val="00923EEF"/>
    <w:rsid w:val="009419F9"/>
    <w:rsid w:val="0095685E"/>
    <w:rsid w:val="00961B09"/>
    <w:rsid w:val="00965334"/>
    <w:rsid w:val="0097093E"/>
    <w:rsid w:val="009A0DFA"/>
    <w:rsid w:val="009B25A8"/>
    <w:rsid w:val="009B2D26"/>
    <w:rsid w:val="009C71FA"/>
    <w:rsid w:val="009C72E7"/>
    <w:rsid w:val="009D3058"/>
    <w:rsid w:val="009F250F"/>
    <w:rsid w:val="009F3A13"/>
    <w:rsid w:val="00A122D3"/>
    <w:rsid w:val="00A17F13"/>
    <w:rsid w:val="00A20739"/>
    <w:rsid w:val="00A33C78"/>
    <w:rsid w:val="00A3458D"/>
    <w:rsid w:val="00AA5206"/>
    <w:rsid w:val="00AB0ADB"/>
    <w:rsid w:val="00B00C0E"/>
    <w:rsid w:val="00B01B1A"/>
    <w:rsid w:val="00B44A47"/>
    <w:rsid w:val="00B504A0"/>
    <w:rsid w:val="00B72CD3"/>
    <w:rsid w:val="00B72FFF"/>
    <w:rsid w:val="00BC3D36"/>
    <w:rsid w:val="00BD7F72"/>
    <w:rsid w:val="00C04FB3"/>
    <w:rsid w:val="00C330EB"/>
    <w:rsid w:val="00C754BE"/>
    <w:rsid w:val="00C76B1C"/>
    <w:rsid w:val="00CB6357"/>
    <w:rsid w:val="00CC1B26"/>
    <w:rsid w:val="00D027D2"/>
    <w:rsid w:val="00D22704"/>
    <w:rsid w:val="00D423A2"/>
    <w:rsid w:val="00D520D8"/>
    <w:rsid w:val="00D63AC2"/>
    <w:rsid w:val="00D7383B"/>
    <w:rsid w:val="00D81FC9"/>
    <w:rsid w:val="00DA231B"/>
    <w:rsid w:val="00DC39FC"/>
    <w:rsid w:val="00DF525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157D3"/>
    <w:rsid w:val="00F31EDC"/>
    <w:rsid w:val="00F462B3"/>
    <w:rsid w:val="00F5664F"/>
    <w:rsid w:val="00F666C4"/>
    <w:rsid w:val="00F76AFC"/>
    <w:rsid w:val="00FA47C0"/>
    <w:rsid w:val="00FB5DD1"/>
    <w:rsid w:val="00FC2B5D"/>
    <w:rsid w:val="00FF144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uiPriority w:val="99"/>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NormalWebCar">
    <w:name w:val="Normal (Web) Car"/>
    <w:link w:val="NormalWeb"/>
    <w:uiPriority w:val="99"/>
    <w:semiHidden/>
    <w:locked/>
    <w:rsid w:val="008D78B9"/>
    <w:rPr>
      <w:rFonts w:ascii="Times New Roman" w:eastAsia="Times New Roman" w:hAnsi="Times New Roman" w:cs="Times New Roman"/>
      <w:sz w:val="24"/>
      <w:szCs w:val="24"/>
      <w:lang w:eastAsia="es-CO"/>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8D78B9"/>
    <w:rPr>
      <w:rFonts w:ascii="Geomanist Light" w:hAnsi="Geomanist Light"/>
      <w:lang w:val="es-ES"/>
    </w:rPr>
  </w:style>
  <w:style w:type="paragraph" w:customStyle="1" w:styleId="Appelnotedebasde">
    <w:name w:val="Appel note de bas de..."/>
    <w:basedOn w:val="Normal"/>
    <w:link w:val="Refdenotaalpie"/>
    <w:uiPriority w:val="99"/>
    <w:rsid w:val="008D78B9"/>
    <w:pPr>
      <w:spacing w:line="240" w:lineRule="exact"/>
    </w:pPr>
    <w:rPr>
      <w:vertAlign w:val="superscript"/>
    </w:rPr>
  </w:style>
  <w:style w:type="character" w:customStyle="1" w:styleId="s15">
    <w:name w:val="s15"/>
    <w:basedOn w:val="Fuentedeprrafopredeter"/>
    <w:rsid w:val="008D78B9"/>
  </w:style>
  <w:style w:type="character" w:customStyle="1" w:styleId="baj">
    <w:name w:val="b_aj"/>
    <w:basedOn w:val="Fuentedeprrafopredeter"/>
    <w:rsid w:val="008D78B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48149359">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dianamarcela.bedoya@antioquia.gov.co"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footnotes.xml.rels><?xml version="1.0" encoding="UTF-8" standalone="yes"?>
<Relationships xmlns="http://schemas.openxmlformats.org/package/2006/relationships"><Relationship Id="rId1" Type="http://schemas.openxmlformats.org/officeDocument/2006/relationships/hyperlink" Target="https://relatoria.colombiacompra.gov.co/ficha/4201912000005718"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e12b00258f526aca9cff1c58808bc7a0">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730abbc8c4891a3f3c16b4680e1768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8256DAA9-4B43-4FF0-944F-69A2D28AF090}"/>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1</TotalTime>
  <Pages>27</Pages>
  <Words>9282</Words>
  <Characters>51053</Characters>
  <Application>Microsoft Office Word</Application>
  <DocSecurity>0</DocSecurity>
  <Lines>425</Lines>
  <Paragraphs>120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60215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Joan Montoya Penagos</cp:lastModifiedBy>
  <cp:revision>7</cp:revision>
  <cp:lastPrinted>2023-01-10T21:18:00Z</cp:lastPrinted>
  <dcterms:created xsi:type="dcterms:W3CDTF">2025-10-27T15:28:00Z</dcterms:created>
  <dcterms:modified xsi:type="dcterms:W3CDTF">2025-10-27T16:11:00Z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