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612BC" w14:textId="77777777" w:rsidR="00FB7971" w:rsidRDefault="00FB7971" w:rsidP="00FB7971">
      <w:pPr>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CONFIGURACIÓN DE RELACIÓN CONTRACTUAL – Entre entidad contratante y contratista</w:t>
      </w:r>
    </w:p>
    <w:p w14:paraId="55495DDC" w14:textId="77777777" w:rsidR="00FB7971" w:rsidRDefault="00FB7971" w:rsidP="00FB7971">
      <w:pPr>
        <w:spacing w:after="0" w:line="240" w:lineRule="auto"/>
        <w:rPr>
          <w:rFonts w:ascii="Verdana" w:eastAsia="Calibri" w:hAnsi="Verdana" w:cs="Arial"/>
          <w:b/>
          <w:lang w:val="es-ES_tradnl" w:eastAsia="es-ES_tradnl"/>
        </w:rPr>
      </w:pPr>
    </w:p>
    <w:p w14:paraId="7AA2972A" w14:textId="77777777" w:rsidR="00FB7971" w:rsidRDefault="00FB7971" w:rsidP="00FB7971">
      <w:pPr>
        <w:spacing w:after="0" w:line="240" w:lineRule="auto"/>
        <w:jc w:val="both"/>
        <w:rPr>
          <w:rFonts w:ascii="Verdana" w:eastAsia="Calibri" w:hAnsi="Verdana" w:cs="Arial"/>
          <w:color w:val="000000" w:themeColor="text1"/>
          <w:sz w:val="20"/>
          <w:szCs w:val="20"/>
        </w:rPr>
      </w:pPr>
      <w:r w:rsidRPr="002A07CA">
        <w:rPr>
          <w:rFonts w:ascii="Verdana" w:eastAsia="Calibri" w:hAnsi="Verdana" w:cs="Arial"/>
          <w:color w:val="000000" w:themeColor="text1"/>
          <w:sz w:val="20"/>
          <w:szCs w:val="20"/>
        </w:rPr>
        <w:t>En primer lugar, se advierte que la relación contractual se configura entre una entidad estatal y un contratista en el marco del Estatuto General de Contratación de la Administración Pública —en adelante EGCAP— y no con su representante legal—. Así lo dispone el artículo 6 de la Ley 80 de 1993, al señalar que “podrán celebrar contratos con las entidades estatales las personas consideradas legalmente capaces en las disposiciones vigentes”. Esta capacidad para contratar se predica del sujeto jurídico en sí mismo, y no de la persona natural que ejerce su representación.</w:t>
      </w:r>
    </w:p>
    <w:p w14:paraId="4A8E19B9" w14:textId="77777777" w:rsidR="00FB7971" w:rsidRPr="002A07CA" w:rsidRDefault="00FB7971" w:rsidP="00FB7971">
      <w:pPr>
        <w:spacing w:after="0" w:line="240" w:lineRule="auto"/>
        <w:jc w:val="both"/>
        <w:rPr>
          <w:rFonts w:ascii="Verdana" w:eastAsia="Calibri" w:hAnsi="Verdana" w:cs="Arial"/>
          <w:color w:val="000000" w:themeColor="text1"/>
          <w:sz w:val="20"/>
          <w:szCs w:val="20"/>
        </w:rPr>
      </w:pPr>
    </w:p>
    <w:p w14:paraId="487DA499" w14:textId="77777777" w:rsidR="00FB7971" w:rsidRDefault="00FB7971" w:rsidP="00FB7971">
      <w:pPr>
        <w:spacing w:after="0" w:line="240" w:lineRule="auto"/>
        <w:jc w:val="both"/>
        <w:rPr>
          <w:rFonts w:ascii="Verdana" w:eastAsia="Calibri" w:hAnsi="Verdana" w:cs="Arial"/>
          <w:color w:val="000000" w:themeColor="text1"/>
          <w:sz w:val="20"/>
          <w:szCs w:val="20"/>
        </w:rPr>
      </w:pPr>
      <w:r w:rsidRPr="002A07CA">
        <w:rPr>
          <w:rFonts w:ascii="Verdana" w:eastAsia="Calibri" w:hAnsi="Verdana" w:cs="Arial"/>
          <w:color w:val="000000" w:themeColor="text1"/>
          <w:sz w:val="20"/>
          <w:szCs w:val="20"/>
        </w:rPr>
        <w:t xml:space="preserve">En línea con lo anterior, el artículo 41 </w:t>
      </w:r>
      <w:r w:rsidRPr="002A07CA">
        <w:rPr>
          <w:rFonts w:ascii="Verdana" w:eastAsia="Calibri" w:hAnsi="Verdana" w:cs="Arial"/>
          <w:i/>
          <w:iCs/>
          <w:color w:val="000000" w:themeColor="text1"/>
          <w:sz w:val="20"/>
          <w:szCs w:val="20"/>
        </w:rPr>
        <w:t>ibídem</w:t>
      </w:r>
      <w:r w:rsidRPr="002A07CA">
        <w:rPr>
          <w:rFonts w:ascii="Verdana" w:eastAsia="Calibri" w:hAnsi="Verdana" w:cs="Arial"/>
          <w:color w:val="000000" w:themeColor="text1"/>
          <w:sz w:val="20"/>
          <w:szCs w:val="20"/>
        </w:rPr>
        <w:t xml:space="preserve"> señala que los contratos estatales se perfeccionan “cuando se logra acuerdo sobre el objeto y la contraprestación y este se eleva a escrito”, lo que reafirma que el vínculo contractual se genera entre la entidad contratante y la sociedad, en tanto sujeto dotado de personería jurídica, capacidad y patrimonio propios. En consecuencia, el representante legal actúa como un órgano de la persona jurídica, y sus actos se reputan como actos de ésta, mas no como manifestaciones personales.</w:t>
      </w:r>
    </w:p>
    <w:p w14:paraId="17206BFC" w14:textId="77777777" w:rsidR="00FB7971" w:rsidRPr="002A07CA" w:rsidRDefault="00FB7971" w:rsidP="00FB7971">
      <w:pPr>
        <w:spacing w:after="0" w:line="240" w:lineRule="auto"/>
        <w:jc w:val="both"/>
        <w:rPr>
          <w:rFonts w:ascii="Verdana" w:eastAsia="Calibri" w:hAnsi="Verdana" w:cs="Arial"/>
          <w:color w:val="000000" w:themeColor="text1"/>
          <w:sz w:val="20"/>
          <w:szCs w:val="20"/>
        </w:rPr>
      </w:pPr>
    </w:p>
    <w:p w14:paraId="51DB5353" w14:textId="77777777" w:rsidR="00FB7971" w:rsidRDefault="00FB7971" w:rsidP="00FB7971">
      <w:pPr>
        <w:spacing w:after="0" w:line="240" w:lineRule="auto"/>
        <w:jc w:val="both"/>
        <w:rPr>
          <w:rFonts w:ascii="Verdana" w:eastAsia="Calibri" w:hAnsi="Verdana" w:cs="Arial"/>
          <w:color w:val="000000" w:themeColor="text1"/>
          <w:sz w:val="20"/>
          <w:szCs w:val="20"/>
        </w:rPr>
      </w:pPr>
      <w:r w:rsidRPr="002A07CA">
        <w:rPr>
          <w:rFonts w:ascii="Verdana" w:eastAsia="Calibri" w:hAnsi="Verdana" w:cs="Arial"/>
          <w:color w:val="000000" w:themeColor="text1"/>
          <w:sz w:val="20"/>
          <w:szCs w:val="20"/>
        </w:rPr>
        <w:t>Por su parte, el artículo 2.2.1.1.1.5.3. del Decreto 1082 de 2015 —reglamentario de la Ley 80— reglamentario del Estatuto General de Contratación, dispone que las cámaras de comercio deben verificar y certificar, entre otros aspectos, la capacidad jurídica del proponente para prestar los bienes, obras o servicios ofrecidos, así como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66187A81" w14:textId="77777777" w:rsidR="00FB7971" w:rsidRPr="002A07CA" w:rsidRDefault="00FB7971" w:rsidP="00FB7971">
      <w:pPr>
        <w:spacing w:after="0" w:line="240" w:lineRule="auto"/>
        <w:jc w:val="both"/>
        <w:rPr>
          <w:rFonts w:ascii="Verdana" w:eastAsia="Calibri" w:hAnsi="Verdana" w:cs="Arial"/>
          <w:color w:val="000000" w:themeColor="text1"/>
          <w:sz w:val="20"/>
          <w:szCs w:val="20"/>
        </w:rPr>
      </w:pPr>
    </w:p>
    <w:p w14:paraId="5420A185" w14:textId="77777777" w:rsidR="00FB7971" w:rsidRPr="002A07CA" w:rsidRDefault="00FB7971" w:rsidP="00FB7971">
      <w:pPr>
        <w:spacing w:after="0" w:line="240" w:lineRule="auto"/>
        <w:jc w:val="both"/>
        <w:rPr>
          <w:rFonts w:ascii="Verdana" w:eastAsia="Calibri" w:hAnsi="Verdana" w:cs="Arial"/>
          <w:color w:val="000000" w:themeColor="text1"/>
          <w:sz w:val="20"/>
          <w:szCs w:val="20"/>
        </w:rPr>
      </w:pPr>
      <w:r w:rsidRPr="002A07CA">
        <w:rPr>
          <w:rFonts w:ascii="Verdana" w:eastAsia="Calibri" w:hAnsi="Verdana" w:cs="Arial"/>
          <w:color w:val="000000" w:themeColor="text1"/>
          <w:sz w:val="20"/>
          <w:szCs w:val="20"/>
        </w:rPr>
        <w:t>De esta disposición se desprende que la representación legal constituye una facultad orgánica de la persona jurídica para manifestar su voluntad, cuyo ejercicio puede ser verificado, limitado o sustituido conforme a la ley y a los estatutos sociales. En tal virtud, el elemento relevante para la validez y continuidad del vínculo contractual no radica en la identidad del individuo que ejerce la representación, sino en la existencia y vigencia de la representación misma, en tanto expresión de la capacidad jurídica del contratista.</w:t>
      </w:r>
    </w:p>
    <w:p w14:paraId="02E1526C" w14:textId="77777777" w:rsidR="00FB7971" w:rsidRPr="002A07CA" w:rsidRDefault="00FB7971" w:rsidP="00FB7971">
      <w:pPr>
        <w:spacing w:after="0" w:line="240" w:lineRule="auto"/>
        <w:rPr>
          <w:rFonts w:ascii="Verdana" w:eastAsia="Calibri" w:hAnsi="Verdana" w:cs="Arial"/>
          <w:b/>
          <w:lang w:eastAsia="es-ES_tradnl"/>
        </w:rPr>
      </w:pPr>
    </w:p>
    <w:p w14:paraId="1923AA51" w14:textId="77777777" w:rsidR="00FB7971" w:rsidRDefault="00FB7971" w:rsidP="00FB7971">
      <w:pPr>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SOCIEDADES – Definición – Actuación por medio de representantes legales</w:t>
      </w:r>
    </w:p>
    <w:p w14:paraId="084997EF" w14:textId="77777777" w:rsidR="00FB7971" w:rsidRDefault="00FB7971" w:rsidP="00FB7971">
      <w:pPr>
        <w:spacing w:after="0" w:line="240" w:lineRule="auto"/>
        <w:jc w:val="both"/>
        <w:rPr>
          <w:rFonts w:ascii="Verdana" w:eastAsia="Calibri" w:hAnsi="Verdana" w:cs="Arial"/>
          <w:b/>
          <w:lang w:val="es-ES_tradnl" w:eastAsia="es-ES_tradnl"/>
        </w:rPr>
      </w:pPr>
    </w:p>
    <w:p w14:paraId="0A566047" w14:textId="77777777" w:rsidR="00FB7971" w:rsidRDefault="00FB7971" w:rsidP="00FB7971">
      <w:pPr>
        <w:spacing w:after="0" w:line="240" w:lineRule="auto"/>
        <w:jc w:val="both"/>
        <w:rPr>
          <w:rFonts w:ascii="Verdana" w:eastAsia="Calibri" w:hAnsi="Verdana" w:cs="Arial"/>
          <w:color w:val="000000" w:themeColor="text1"/>
          <w:sz w:val="20"/>
          <w:szCs w:val="20"/>
        </w:rPr>
      </w:pPr>
      <w:r w:rsidRPr="0085328D">
        <w:rPr>
          <w:rFonts w:ascii="Verdana" w:eastAsia="Calibri" w:hAnsi="Verdana" w:cs="Arial"/>
          <w:color w:val="000000" w:themeColor="text1"/>
          <w:sz w:val="20"/>
          <w:szCs w:val="20"/>
        </w:rPr>
        <w:t>En ese sentido, ante la ocurrencia del fallecimiento o, como lo ha llamado la doctrina societaria en Colombia, la muerte intempestiva del representante legal, resulta necesario revisar lo dispuesto por el Código de Comercio sobre la estructura orgánica de las sociedades y la figura de la representación legal. En efecto, el artículo 98 del Código de Comercio define que las sociedades son personas jurídicas distintas de los socios que las integran y actúan por medio de sus representantes legales, quienes expresan su voluntad frente a terceros.</w:t>
      </w:r>
    </w:p>
    <w:p w14:paraId="2EB83CF7" w14:textId="77777777" w:rsidR="00FB7971" w:rsidRDefault="00FB7971" w:rsidP="00FB7971">
      <w:pPr>
        <w:spacing w:after="0" w:line="240" w:lineRule="auto"/>
        <w:jc w:val="both"/>
        <w:rPr>
          <w:rFonts w:ascii="Verdana" w:eastAsia="Calibri" w:hAnsi="Verdana" w:cs="Arial"/>
          <w:color w:val="000000" w:themeColor="text1"/>
          <w:sz w:val="20"/>
          <w:szCs w:val="20"/>
        </w:rPr>
      </w:pPr>
    </w:p>
    <w:p w14:paraId="6D0799E8" w14:textId="77777777" w:rsidR="00FB7971" w:rsidRPr="00E32E43" w:rsidRDefault="00FB7971" w:rsidP="00FB7971">
      <w:pPr>
        <w:spacing w:after="0" w:line="240" w:lineRule="auto"/>
        <w:jc w:val="both"/>
        <w:rPr>
          <w:rFonts w:ascii="Verdana" w:eastAsia="Calibri" w:hAnsi="Verdana" w:cs="Arial"/>
          <w:b/>
          <w:lang w:val="es-ES_tradnl" w:eastAsia="es-ES_tradnl"/>
        </w:rPr>
      </w:pPr>
      <w:r w:rsidRPr="00E32E43">
        <w:rPr>
          <w:rFonts w:ascii="Verdana" w:eastAsia="Calibri" w:hAnsi="Verdana" w:cs="Arial"/>
          <w:b/>
          <w:lang w:val="es-ES_tradnl" w:eastAsia="es-ES_tradnl"/>
        </w:rPr>
        <w:lastRenderedPageBreak/>
        <w:t xml:space="preserve">FALLECIMIENTO DE REPRESENTANTE LEGAL – No extingue existencia o validez del contrato – No se configura causal de disolución </w:t>
      </w:r>
    </w:p>
    <w:p w14:paraId="57A852BD" w14:textId="77777777" w:rsidR="00FB7971" w:rsidRDefault="00FB7971" w:rsidP="00FB7971">
      <w:pPr>
        <w:spacing w:after="0" w:line="240" w:lineRule="auto"/>
        <w:jc w:val="both"/>
        <w:rPr>
          <w:rFonts w:ascii="Verdana" w:eastAsia="Calibri" w:hAnsi="Verdana" w:cs="Arial"/>
          <w:color w:val="000000" w:themeColor="text1"/>
          <w:sz w:val="20"/>
          <w:szCs w:val="20"/>
        </w:rPr>
      </w:pPr>
    </w:p>
    <w:p w14:paraId="6F7B076E" w14:textId="77777777" w:rsidR="00FB7971" w:rsidRDefault="00FB7971" w:rsidP="00FB7971">
      <w:pPr>
        <w:spacing w:after="0" w:line="240" w:lineRule="auto"/>
        <w:jc w:val="both"/>
        <w:rPr>
          <w:rFonts w:ascii="Verdana" w:eastAsia="Calibri" w:hAnsi="Verdana" w:cs="Arial"/>
          <w:color w:val="000000" w:themeColor="text1"/>
          <w:sz w:val="20"/>
          <w:szCs w:val="20"/>
        </w:rPr>
      </w:pPr>
      <w:r w:rsidRPr="003527A3">
        <w:rPr>
          <w:rFonts w:ascii="Verdana" w:eastAsia="Calibri" w:hAnsi="Verdana" w:cs="Arial"/>
          <w:color w:val="000000" w:themeColor="text1"/>
          <w:sz w:val="20"/>
          <w:szCs w:val="20"/>
        </w:rPr>
        <w:t>Así, el fallecimiento del representante legal no extingue ni altera la existencia jurídica del contratista, ni genera la disolución automática de la persona jurídica, toda vez que esta conserva su capacidad plena para continuar con el cumplimiento de sus obligaciones contractuales. Lo anterior encuentra respaldo en los principios de continuidad y autonomía patrimonial que rigen a las sociedades mercantiles, según los cuales la personalidad jurídica persiste mientras no se configure una causal legal o estatutaria de disolución.</w:t>
      </w:r>
    </w:p>
    <w:p w14:paraId="5DD900F1" w14:textId="77777777" w:rsidR="00FB7971" w:rsidRPr="003527A3" w:rsidRDefault="00FB7971" w:rsidP="00FB7971">
      <w:pPr>
        <w:spacing w:after="0" w:line="240" w:lineRule="auto"/>
        <w:jc w:val="both"/>
        <w:rPr>
          <w:rFonts w:ascii="Verdana" w:eastAsia="Calibri" w:hAnsi="Verdana" w:cs="Arial"/>
          <w:color w:val="000000" w:themeColor="text1"/>
          <w:sz w:val="20"/>
          <w:szCs w:val="20"/>
        </w:rPr>
      </w:pPr>
    </w:p>
    <w:p w14:paraId="690612A9" w14:textId="77777777" w:rsidR="00FB7971" w:rsidRDefault="00FB7971" w:rsidP="00FB7971">
      <w:pPr>
        <w:spacing w:after="0" w:line="240" w:lineRule="auto"/>
        <w:jc w:val="both"/>
        <w:rPr>
          <w:rFonts w:ascii="Verdana" w:eastAsia="Calibri" w:hAnsi="Verdana" w:cs="Arial"/>
          <w:color w:val="000000" w:themeColor="text1"/>
          <w:sz w:val="20"/>
          <w:szCs w:val="20"/>
        </w:rPr>
      </w:pPr>
      <w:r w:rsidRPr="003527A3">
        <w:rPr>
          <w:rFonts w:ascii="Verdana" w:eastAsia="Calibri" w:hAnsi="Verdana" w:cs="Arial"/>
          <w:color w:val="000000" w:themeColor="text1"/>
          <w:sz w:val="20"/>
          <w:szCs w:val="20"/>
        </w:rPr>
        <w:t>Ahora bien, el derecho societario colombiano ha previsto mecanismos específicos para garantizar la continuidad funcional de la representación legal en casos de falta absoluta, entre ellos la figura de la suplencia. Esta tiene por finalidad asegurar que la sociedad nunca quede carente de representación, de modo que los negocios jurídicos y relaciones contractuales puedan mantenerse sin interrupción.</w:t>
      </w:r>
    </w:p>
    <w:p w14:paraId="2906D9ED" w14:textId="77777777" w:rsidR="00FB7971" w:rsidRDefault="00FB7971" w:rsidP="00FB7971">
      <w:pPr>
        <w:spacing w:after="0" w:line="240" w:lineRule="auto"/>
        <w:jc w:val="both"/>
        <w:rPr>
          <w:rFonts w:ascii="Verdana" w:eastAsia="Calibri" w:hAnsi="Verdana" w:cs="Arial"/>
          <w:color w:val="000000" w:themeColor="text1"/>
          <w:sz w:val="20"/>
          <w:szCs w:val="20"/>
        </w:rPr>
      </w:pPr>
    </w:p>
    <w:p w14:paraId="06E32E98" w14:textId="77777777" w:rsidR="00FB7971" w:rsidRDefault="00FB7971" w:rsidP="00FB7971">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p>
    <w:p w14:paraId="547F3A5C" w14:textId="77777777" w:rsidR="00FB7971" w:rsidRDefault="00FB7971" w:rsidP="00FB7971">
      <w:pPr>
        <w:spacing w:after="0" w:line="240" w:lineRule="auto"/>
        <w:jc w:val="both"/>
        <w:rPr>
          <w:rFonts w:ascii="Verdana" w:eastAsia="Calibri" w:hAnsi="Verdana" w:cs="Arial"/>
          <w:color w:val="000000" w:themeColor="text1"/>
          <w:sz w:val="20"/>
          <w:szCs w:val="20"/>
        </w:rPr>
      </w:pPr>
    </w:p>
    <w:p w14:paraId="2FEEBDA7" w14:textId="77777777" w:rsidR="00FB7971" w:rsidRDefault="00FB7971" w:rsidP="00FB7971">
      <w:pPr>
        <w:spacing w:after="0" w:line="240" w:lineRule="auto"/>
        <w:jc w:val="both"/>
        <w:rPr>
          <w:rFonts w:ascii="Verdana" w:eastAsia="Calibri" w:hAnsi="Verdana" w:cs="Arial"/>
          <w:b/>
          <w:lang w:val="es-ES_tradnl" w:eastAsia="es-ES_tradnl"/>
        </w:rPr>
      </w:pPr>
      <w:r w:rsidRPr="003527A3">
        <w:rPr>
          <w:rFonts w:ascii="Verdana" w:eastAsia="Calibri" w:hAnsi="Verdana" w:cs="Arial"/>
          <w:color w:val="000000" w:themeColor="text1"/>
          <w:sz w:val="20"/>
          <w:szCs w:val="20"/>
        </w:rPr>
        <w:t xml:space="preserve">De este modo, el fallecimiento del representante legal constituye un hecho de gobierno societario interno que debe ser atendido por los órganos de administración de la sociedad contratista, pero no afecta por sí mismo la validez, vigencia ni ejecución del contrato estatal, ni habilita </w:t>
      </w:r>
      <w:r w:rsidRPr="00E32E43">
        <w:rPr>
          <w:rFonts w:ascii="Verdana" w:eastAsia="Calibri" w:hAnsi="Verdana" w:cs="Arial"/>
          <w:color w:val="000000" w:themeColor="text1"/>
          <w:sz w:val="20"/>
          <w:szCs w:val="20"/>
        </w:rPr>
        <w:t xml:space="preserve">de manera automática </w:t>
      </w:r>
      <w:r w:rsidRPr="003527A3">
        <w:rPr>
          <w:rFonts w:ascii="Verdana" w:eastAsia="Calibri" w:hAnsi="Verdana" w:cs="Arial"/>
          <w:color w:val="000000" w:themeColor="text1"/>
          <w:sz w:val="20"/>
          <w:szCs w:val="20"/>
        </w:rPr>
        <w:t>la aplicación de figuras como la cesión del contrato o la cesión de derechos económicos, cuya procedencia obedece a circunstancias jurídicas distintas y requieren, además, el consentimiento expreso de las partes involucrada</w:t>
      </w:r>
      <w:r w:rsidRPr="00E32E43">
        <w:rPr>
          <w:rFonts w:ascii="Verdana" w:eastAsia="Calibri" w:hAnsi="Verdana" w:cs="Arial"/>
          <w:color w:val="000000" w:themeColor="text1"/>
          <w:sz w:val="20"/>
          <w:szCs w:val="20"/>
        </w:rPr>
        <w:t>s.</w:t>
      </w:r>
    </w:p>
    <w:p w14:paraId="74EE8E86" w14:textId="77777777" w:rsidR="00FB7971" w:rsidRDefault="00FB7971" w:rsidP="00FB7971">
      <w:pPr>
        <w:spacing w:after="0" w:line="240" w:lineRule="auto"/>
        <w:rPr>
          <w:rFonts w:ascii="Verdana" w:eastAsia="Calibri" w:hAnsi="Verdana" w:cs="Arial"/>
          <w:b/>
          <w:lang w:val="es-ES_tradnl" w:eastAsia="es-ES_tradnl"/>
        </w:rPr>
      </w:pPr>
    </w:p>
    <w:p w14:paraId="7EDEA93B" w14:textId="77777777" w:rsidR="00FB7971" w:rsidRPr="007D0816" w:rsidRDefault="00FB7971" w:rsidP="00FB7971">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Régimen jurídico aplicable – EGCAP – Código de </w:t>
      </w:r>
      <w:r>
        <w:rPr>
          <w:rFonts w:ascii="Verdana" w:eastAsia="Calibri" w:hAnsi="Verdana" w:cs="Arial"/>
          <w:b/>
          <w:lang w:val="es-ES_tradnl" w:eastAsia="es-ES_tradnl"/>
        </w:rPr>
        <w:t>C</w:t>
      </w:r>
      <w:r w:rsidRPr="007D0816">
        <w:rPr>
          <w:rFonts w:ascii="Verdana" w:eastAsia="Calibri" w:hAnsi="Verdana" w:cs="Arial"/>
          <w:b/>
          <w:lang w:val="es-ES_tradnl" w:eastAsia="es-ES_tradnl"/>
        </w:rPr>
        <w:t>omercio</w:t>
      </w:r>
    </w:p>
    <w:p w14:paraId="3F0F34B2" w14:textId="77777777" w:rsidR="00FB7971" w:rsidRPr="00DE2AC7" w:rsidRDefault="00FB7971" w:rsidP="00FB7971">
      <w:pPr>
        <w:spacing w:after="0" w:line="240" w:lineRule="auto"/>
        <w:jc w:val="both"/>
        <w:rPr>
          <w:rFonts w:ascii="Verdana" w:eastAsia="Calibri" w:hAnsi="Verdana" w:cs="Arial"/>
          <w:bCs/>
          <w:sz w:val="20"/>
          <w:szCs w:val="20"/>
          <w:lang w:val="es-ES_tradnl" w:eastAsia="es-ES_tradnl"/>
        </w:rPr>
      </w:pPr>
    </w:p>
    <w:p w14:paraId="456558AC" w14:textId="77777777" w:rsidR="00FB7971" w:rsidRPr="00DE2AC7" w:rsidRDefault="00FB7971" w:rsidP="00FB7971">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ii) corresponderán como actos jurídicos bilaterales generadores de obligaciones, entre otros, a los previstos en el derecho privado, en los términos del artículo 32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y iii) contendrán las estipulaciones que, de acuerdo con las normas civiles, comerciales y las previstas en esta ley, correspondan a su esencia y naturaleza, conforme a lo dispuesto por el artículo 40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w:t>
      </w:r>
    </w:p>
    <w:p w14:paraId="5C078750" w14:textId="77777777" w:rsidR="00FB7971" w:rsidRPr="00DE2AC7" w:rsidRDefault="00FB7971" w:rsidP="00FB7971">
      <w:pPr>
        <w:spacing w:after="0" w:line="240" w:lineRule="auto"/>
        <w:jc w:val="both"/>
        <w:rPr>
          <w:rFonts w:ascii="Verdana" w:eastAsia="Calibri" w:hAnsi="Verdana" w:cs="Arial"/>
          <w:color w:val="000000" w:themeColor="text1"/>
          <w:sz w:val="20"/>
          <w:szCs w:val="20"/>
        </w:rPr>
      </w:pPr>
    </w:p>
    <w:p w14:paraId="27DEF72F" w14:textId="77777777" w:rsidR="00FB7971" w:rsidRPr="00AF1555" w:rsidRDefault="00FB7971" w:rsidP="00FB7971">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CESIÓN DE CRÉDITO</w:t>
      </w:r>
      <w:r w:rsidRPr="00E95799">
        <w:rPr>
          <w:rFonts w:ascii="Verdana" w:eastAsia="Calibri" w:hAnsi="Verdana" w:cs="Arial"/>
          <w:b/>
          <w:color w:val="000000" w:themeColor="text1"/>
          <w:lang w:val="es-ES"/>
        </w:rPr>
        <w:t xml:space="preserve"> </w:t>
      </w:r>
      <w:r>
        <w:rPr>
          <w:rFonts w:ascii="Verdana" w:eastAsia="Calibri" w:hAnsi="Verdana" w:cs="Arial"/>
          <w:b/>
          <w:color w:val="000000" w:themeColor="text1"/>
          <w:lang w:val="es-ES"/>
        </w:rPr>
        <w:t xml:space="preserve">O DE DERECHOS ECONÓMICOS </w:t>
      </w:r>
      <w:r w:rsidRPr="00E95799">
        <w:rPr>
          <w:rFonts w:ascii="Verdana" w:eastAsia="Calibri" w:hAnsi="Verdana" w:cs="Arial"/>
          <w:b/>
          <w:color w:val="000000" w:themeColor="text1"/>
          <w:lang w:val="es-ES"/>
        </w:rPr>
        <w:t xml:space="preserve">– </w:t>
      </w:r>
      <w:r>
        <w:rPr>
          <w:rFonts w:ascii="Verdana" w:eastAsia="Calibri" w:hAnsi="Verdana" w:cs="Arial"/>
          <w:b/>
          <w:color w:val="000000" w:themeColor="text1"/>
          <w:lang w:val="es-ES"/>
        </w:rPr>
        <w:t>Requisitos</w:t>
      </w:r>
      <w:r w:rsidRPr="00AF1555">
        <w:rPr>
          <w:rFonts w:ascii="Verdana" w:eastAsia="Calibri" w:hAnsi="Verdana" w:cs="Arial"/>
          <w:b/>
          <w:color w:val="000000" w:themeColor="text1"/>
          <w:lang w:val="es-ES"/>
        </w:rPr>
        <w:t xml:space="preserve"> </w:t>
      </w:r>
    </w:p>
    <w:p w14:paraId="2FBD87DD" w14:textId="77777777" w:rsidR="00FB7971" w:rsidRPr="00AF1555" w:rsidRDefault="00FB7971" w:rsidP="00FB7971">
      <w:pPr>
        <w:spacing w:after="0" w:line="240" w:lineRule="auto"/>
        <w:jc w:val="both"/>
        <w:rPr>
          <w:rFonts w:ascii="Verdana" w:eastAsia="Calibri" w:hAnsi="Verdana" w:cs="Arial"/>
          <w:bCs/>
          <w:color w:val="000000" w:themeColor="text1"/>
          <w:sz w:val="20"/>
          <w:szCs w:val="20"/>
          <w:lang w:val="es-ES"/>
        </w:rPr>
      </w:pPr>
    </w:p>
    <w:p w14:paraId="1511EF32" w14:textId="77777777" w:rsidR="00FB7971" w:rsidRDefault="00FB7971" w:rsidP="00FB7971">
      <w:pPr>
        <w:spacing w:after="0" w:line="240" w:lineRule="auto"/>
        <w:jc w:val="both"/>
        <w:rPr>
          <w:rFonts w:ascii="Verdana" w:eastAsia="Calibri" w:hAnsi="Verdana" w:cs="Arial"/>
          <w:bCs/>
          <w:color w:val="000000" w:themeColor="text1"/>
          <w:sz w:val="20"/>
          <w:szCs w:val="20"/>
          <w:lang w:eastAsia="es-ES_tradnl"/>
        </w:rPr>
      </w:pPr>
      <w:r w:rsidRPr="00A34B7E">
        <w:rPr>
          <w:rFonts w:ascii="Verdana" w:eastAsia="Calibri" w:hAnsi="Verdana" w:cs="Arial"/>
          <w:bCs/>
          <w:color w:val="000000" w:themeColor="text1"/>
          <w:sz w:val="20"/>
          <w:szCs w:val="20"/>
          <w:lang w:eastAsia="es-ES_tradnl"/>
        </w:rPr>
        <w:t xml:space="preserve">Los requisitos para hacer efectiva la </w:t>
      </w:r>
      <w:r w:rsidRPr="00A34B7E">
        <w:rPr>
          <w:rFonts w:ascii="Verdana" w:eastAsia="Calibri" w:hAnsi="Verdana" w:cs="Arial"/>
          <w:bCs/>
          <w:i/>
          <w:iCs/>
          <w:color w:val="000000" w:themeColor="text1"/>
          <w:sz w:val="20"/>
          <w:szCs w:val="20"/>
          <w:lang w:eastAsia="es-ES_tradnl"/>
        </w:rPr>
        <w:t>cesión de créditos</w:t>
      </w:r>
      <w:r w:rsidRPr="00A34B7E">
        <w:rPr>
          <w:rFonts w:ascii="Verdana" w:eastAsia="Calibri" w:hAnsi="Verdana" w:cs="Arial"/>
          <w:bCs/>
          <w:color w:val="000000" w:themeColor="text1"/>
          <w:sz w:val="20"/>
          <w:szCs w:val="20"/>
          <w:lang w:eastAsia="es-ES_tradnl"/>
        </w:rPr>
        <w:t xml:space="preserve"> están previstos en la regulación de esta figura contenida en los artículos 1959 a 1966 del Código Civil. En síntesis, los </w:t>
      </w:r>
      <w:r w:rsidRPr="00A34B7E">
        <w:rPr>
          <w:rFonts w:ascii="Verdana" w:eastAsia="Calibri" w:hAnsi="Verdana" w:cs="Arial"/>
          <w:bCs/>
          <w:color w:val="000000" w:themeColor="text1"/>
          <w:sz w:val="20"/>
          <w:szCs w:val="20"/>
          <w:lang w:eastAsia="es-ES_tradnl"/>
        </w:rPr>
        <w:lastRenderedPageBreak/>
        <w:t xml:space="preserve">requisitos principales de la cesión son los siguientes: i) la cesión de créditos opera, a cualquier título que se haga, con la entrega del título; ii) si el crédito no consta en un documento, el cedente deberá hacer uno y entregarlo al cesionario; iii) la cesión produce efectos para el deudor y terceros luego de que el cesionario la notifica al deudor o es aceptada por éste; iv)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vii) las reglas de la cesión de créditos no se aplican a títulos valores regidos por las normas de transmisión del Código de Comercio. </w:t>
      </w:r>
    </w:p>
    <w:p w14:paraId="6C1216B2" w14:textId="77777777" w:rsidR="00FB7971" w:rsidRPr="00A34B7E" w:rsidRDefault="00FB7971" w:rsidP="00FB7971">
      <w:pPr>
        <w:spacing w:after="0" w:line="240" w:lineRule="auto"/>
        <w:jc w:val="both"/>
        <w:rPr>
          <w:rFonts w:ascii="Verdana" w:eastAsia="Calibri" w:hAnsi="Verdana" w:cs="Arial"/>
          <w:bCs/>
          <w:color w:val="000000" w:themeColor="text1"/>
          <w:sz w:val="20"/>
          <w:szCs w:val="20"/>
          <w:lang w:eastAsia="es-ES_tradnl"/>
        </w:rPr>
      </w:pPr>
    </w:p>
    <w:p w14:paraId="0CFD9A16" w14:textId="77777777" w:rsidR="00FB7971" w:rsidRPr="00EB0B5F" w:rsidRDefault="00FB7971" w:rsidP="00FB7971">
      <w:pPr>
        <w:spacing w:after="0" w:line="240" w:lineRule="auto"/>
        <w:jc w:val="both"/>
        <w:rPr>
          <w:rFonts w:ascii="Verdana" w:eastAsia="Calibri" w:hAnsi="Verdana" w:cs="Arial"/>
          <w:iCs/>
          <w:color w:val="000000" w:themeColor="text1"/>
          <w:sz w:val="20"/>
          <w:szCs w:val="20"/>
          <w:lang w:eastAsia="es-ES_tradnl"/>
        </w:rPr>
      </w:pPr>
      <w:r w:rsidRPr="00A34B7E">
        <w:rPr>
          <w:rFonts w:ascii="Verdana" w:eastAsia="Calibri" w:hAnsi="Verdana" w:cs="Arial"/>
          <w:bCs/>
          <w:color w:val="000000" w:themeColor="text1"/>
          <w:sz w:val="20"/>
          <w:szCs w:val="20"/>
          <w:lang w:eastAsia="es-ES_tradnl"/>
        </w:rPr>
        <w:t xml:space="preserve">En el contexto expuesto, un crédito puede ser cedido, cumpliendo con las previsiones legales que hacen oponible la transmisión del derecho a una tercera persona, caso en el cual podrá pagarse válidamente la prestación que debe al cesionario. Como explica la doctrina, la </w:t>
      </w:r>
      <w:r w:rsidRPr="00A34B7E">
        <w:rPr>
          <w:rFonts w:ascii="Verdana" w:eastAsia="Calibri" w:hAnsi="Verdana" w:cs="Arial"/>
          <w:bCs/>
          <w:i/>
          <w:iCs/>
          <w:color w:val="000000" w:themeColor="text1"/>
          <w:sz w:val="20"/>
          <w:szCs w:val="20"/>
          <w:lang w:eastAsia="es-ES_tradnl"/>
        </w:rPr>
        <w:t>cesión de crédito</w:t>
      </w:r>
      <w:r w:rsidRPr="00A34B7E">
        <w:rPr>
          <w:rFonts w:ascii="Verdana" w:eastAsia="Calibri" w:hAnsi="Verdana" w:cs="Arial"/>
          <w:bCs/>
          <w:color w:val="000000" w:themeColor="text1"/>
          <w:sz w:val="20"/>
          <w:szCs w:val="20"/>
          <w:lang w:eastAsia="es-ES_tradnl"/>
        </w:rPr>
        <w:t xml:space="preserve"> concierne al acreedor cedente y al tercero cesionario, de manera que el deudor cedido –aunque deba notificarse– juega un rol pasivo en el negocio celebrado</w:t>
      </w:r>
      <w:r w:rsidRPr="00AF1555">
        <w:rPr>
          <w:rFonts w:ascii="Verdana" w:eastAsia="Calibri" w:hAnsi="Verdana" w:cs="Arial"/>
          <w:color w:val="000000" w:themeColor="text1"/>
          <w:sz w:val="20"/>
          <w:szCs w:val="20"/>
          <w:lang w:val="es-ES_tradnl"/>
        </w:rPr>
        <w:t>.</w:t>
      </w:r>
    </w:p>
    <w:p w14:paraId="780CF55C" w14:textId="77777777" w:rsidR="00FB7971" w:rsidRPr="00AF1555" w:rsidRDefault="00FB7971" w:rsidP="00FB7971">
      <w:pPr>
        <w:spacing w:after="0" w:line="240" w:lineRule="auto"/>
        <w:rPr>
          <w:rFonts w:ascii="Verdana" w:eastAsia="Geomanist Light" w:hAnsi="Verdana" w:cs="Arial"/>
          <w:color w:val="000000" w:themeColor="text1"/>
          <w:sz w:val="20"/>
          <w:szCs w:val="20"/>
          <w:lang w:val="es-ES_tradnl"/>
        </w:rPr>
      </w:pPr>
    </w:p>
    <w:p w14:paraId="242DD38B" w14:textId="77777777" w:rsidR="00FB7971" w:rsidRDefault="00FB7971" w:rsidP="00FB7971">
      <w:pPr>
        <w:spacing w:after="0"/>
        <w:rPr>
          <w:rFonts w:ascii="Verdana" w:hAnsi="Verdana"/>
        </w:rPr>
      </w:pPr>
    </w:p>
    <w:p w14:paraId="0D193E8F" w14:textId="77777777" w:rsidR="00FB7971" w:rsidRDefault="00FB7971" w:rsidP="00FB7971">
      <w:pPr>
        <w:spacing w:after="0"/>
        <w:rPr>
          <w:rFonts w:ascii="Verdana" w:hAnsi="Verdana"/>
        </w:rPr>
      </w:pPr>
    </w:p>
    <w:p w14:paraId="1C81BD3B" w14:textId="77777777" w:rsidR="00FB7971" w:rsidRDefault="00FB7971" w:rsidP="00FB7971">
      <w:pPr>
        <w:spacing w:after="0"/>
        <w:rPr>
          <w:rFonts w:ascii="Verdana" w:hAnsi="Verdana"/>
        </w:rPr>
      </w:pPr>
    </w:p>
    <w:p w14:paraId="38454CA3" w14:textId="77777777" w:rsidR="00FB7971" w:rsidRDefault="00FB7971" w:rsidP="00FB7971">
      <w:pPr>
        <w:spacing w:after="0"/>
        <w:rPr>
          <w:rFonts w:ascii="Verdana" w:hAnsi="Verdana"/>
        </w:rPr>
      </w:pPr>
    </w:p>
    <w:p w14:paraId="5599D8A3" w14:textId="77777777" w:rsidR="00FB7971" w:rsidRDefault="00FB7971" w:rsidP="00FB7971">
      <w:pPr>
        <w:spacing w:after="0"/>
        <w:rPr>
          <w:rFonts w:ascii="Verdana" w:hAnsi="Verdana"/>
        </w:rPr>
      </w:pPr>
    </w:p>
    <w:p w14:paraId="0A18D3BD" w14:textId="77777777" w:rsidR="00FB7971" w:rsidRDefault="00FB7971" w:rsidP="00FB7971">
      <w:pPr>
        <w:spacing w:after="0"/>
        <w:rPr>
          <w:rFonts w:ascii="Verdana" w:hAnsi="Verdana"/>
        </w:rPr>
      </w:pPr>
    </w:p>
    <w:p w14:paraId="757FAA10" w14:textId="77777777" w:rsidR="00FB7971" w:rsidRDefault="00FB7971" w:rsidP="00FB7971">
      <w:pPr>
        <w:spacing w:after="0"/>
        <w:rPr>
          <w:rFonts w:ascii="Verdana" w:hAnsi="Verdana"/>
        </w:rPr>
      </w:pPr>
    </w:p>
    <w:p w14:paraId="3DAC0EB1" w14:textId="77777777" w:rsidR="00FB7971" w:rsidRDefault="00FB7971" w:rsidP="00FB7971">
      <w:pPr>
        <w:spacing w:after="0"/>
        <w:rPr>
          <w:rFonts w:ascii="Verdana" w:hAnsi="Verdana"/>
        </w:rPr>
      </w:pPr>
    </w:p>
    <w:p w14:paraId="0CBC5EEA" w14:textId="77777777" w:rsidR="00FB7971" w:rsidRDefault="00FB7971" w:rsidP="00FB7971">
      <w:pPr>
        <w:spacing w:after="0"/>
        <w:rPr>
          <w:rFonts w:ascii="Verdana" w:hAnsi="Verdana"/>
        </w:rPr>
      </w:pPr>
    </w:p>
    <w:p w14:paraId="3191FCD8" w14:textId="77777777" w:rsidR="00FB7971" w:rsidRDefault="00FB7971" w:rsidP="00FB7971">
      <w:pPr>
        <w:spacing w:after="0"/>
        <w:rPr>
          <w:rFonts w:ascii="Verdana" w:hAnsi="Verdana"/>
        </w:rPr>
      </w:pPr>
    </w:p>
    <w:p w14:paraId="489DA909" w14:textId="77777777" w:rsidR="00FB7971" w:rsidRDefault="00FB7971" w:rsidP="00FB7971">
      <w:pPr>
        <w:spacing w:after="0"/>
        <w:rPr>
          <w:rFonts w:ascii="Verdana" w:hAnsi="Verdana"/>
        </w:rPr>
      </w:pPr>
    </w:p>
    <w:p w14:paraId="636A8B72" w14:textId="77777777" w:rsidR="00FB7971" w:rsidRDefault="00FB7971" w:rsidP="00FB7971">
      <w:pPr>
        <w:spacing w:after="0"/>
        <w:rPr>
          <w:rFonts w:ascii="Verdana" w:hAnsi="Verdana"/>
        </w:rPr>
      </w:pPr>
    </w:p>
    <w:p w14:paraId="097471B4" w14:textId="77777777" w:rsidR="00FB7971" w:rsidRDefault="00FB7971" w:rsidP="00FB7971">
      <w:pPr>
        <w:spacing w:after="0"/>
        <w:rPr>
          <w:rFonts w:ascii="Verdana" w:hAnsi="Verdana"/>
        </w:rPr>
      </w:pPr>
    </w:p>
    <w:p w14:paraId="533ABF56" w14:textId="77777777" w:rsidR="00FB7971" w:rsidRDefault="00FB7971" w:rsidP="00FB7971">
      <w:pPr>
        <w:spacing w:after="0"/>
        <w:rPr>
          <w:rFonts w:ascii="Verdana" w:hAnsi="Verdana"/>
        </w:rPr>
      </w:pPr>
    </w:p>
    <w:p w14:paraId="0FCB21E2" w14:textId="77777777" w:rsidR="00FB7971" w:rsidRDefault="00FB7971" w:rsidP="00FB7971">
      <w:pPr>
        <w:spacing w:after="0"/>
        <w:rPr>
          <w:rFonts w:ascii="Verdana" w:hAnsi="Verdana"/>
        </w:rPr>
      </w:pPr>
    </w:p>
    <w:p w14:paraId="7EDF9432" w14:textId="77777777" w:rsidR="00FB7971" w:rsidRDefault="00FB7971" w:rsidP="00FB7971">
      <w:pPr>
        <w:spacing w:after="0"/>
        <w:rPr>
          <w:rFonts w:ascii="Verdana" w:hAnsi="Verdana"/>
        </w:rPr>
      </w:pPr>
    </w:p>
    <w:p w14:paraId="62452BBC" w14:textId="77777777" w:rsidR="00FB7971" w:rsidRDefault="00FB7971" w:rsidP="00FB7971">
      <w:pPr>
        <w:spacing w:after="0"/>
        <w:rPr>
          <w:rFonts w:ascii="Verdana" w:hAnsi="Verdana"/>
        </w:rPr>
      </w:pPr>
    </w:p>
    <w:p w14:paraId="12ABC8F4" w14:textId="77777777" w:rsidR="00FB7971" w:rsidRDefault="00FB7971" w:rsidP="00FB7971">
      <w:pPr>
        <w:spacing w:after="0"/>
        <w:rPr>
          <w:rFonts w:ascii="Verdana" w:hAnsi="Verdana"/>
        </w:rPr>
      </w:pPr>
    </w:p>
    <w:p w14:paraId="63490391" w14:textId="77777777" w:rsidR="00FB7971" w:rsidRDefault="00FB7971" w:rsidP="00FB7971">
      <w:pPr>
        <w:spacing w:after="0"/>
        <w:rPr>
          <w:rFonts w:ascii="Verdana" w:hAnsi="Verdana"/>
        </w:rPr>
      </w:pPr>
    </w:p>
    <w:p w14:paraId="031AC418" w14:textId="77777777" w:rsidR="00FB7971" w:rsidRDefault="00FB7971" w:rsidP="00FB7971">
      <w:pPr>
        <w:spacing w:after="0"/>
        <w:rPr>
          <w:rFonts w:ascii="Verdana" w:hAnsi="Verdana"/>
        </w:rPr>
      </w:pPr>
    </w:p>
    <w:p w14:paraId="34E18E35" w14:textId="77777777" w:rsidR="00FB7971" w:rsidRDefault="00FB7971" w:rsidP="00FB7971">
      <w:pPr>
        <w:spacing w:after="0"/>
        <w:rPr>
          <w:rFonts w:ascii="Verdana" w:hAnsi="Verdana"/>
        </w:rPr>
      </w:pPr>
    </w:p>
    <w:p w14:paraId="4C1957A7" w14:textId="77777777" w:rsidR="00FB7971" w:rsidRDefault="00FB7971" w:rsidP="00FB7971">
      <w:pPr>
        <w:spacing w:after="0"/>
        <w:rPr>
          <w:rFonts w:ascii="Verdana" w:hAnsi="Verdana"/>
        </w:rPr>
      </w:pPr>
    </w:p>
    <w:p w14:paraId="03448EB1" w14:textId="7A33B024" w:rsidR="00FB7971" w:rsidRPr="00C7320B" w:rsidRDefault="00FB7971" w:rsidP="00FB7971">
      <w:pPr>
        <w:spacing w:after="0"/>
        <w:rPr>
          <w:rFonts w:ascii="Verdana" w:hAnsi="Verdana"/>
        </w:rPr>
      </w:pPr>
      <w:r w:rsidRPr="00C7320B">
        <w:rPr>
          <w:rFonts w:ascii="Verdana" w:hAnsi="Verdana"/>
        </w:rPr>
        <w:lastRenderedPageBreak/>
        <w:t xml:space="preserve">Bogotá D.C., </w:t>
      </w:r>
      <w:r w:rsidR="00C7320B" w:rsidRPr="00C7320B">
        <w:rPr>
          <w:rFonts w:ascii="Verdana" w:hAnsi="Verdana"/>
        </w:rPr>
        <w:t>28 de oct</w:t>
      </w:r>
      <w:r w:rsidR="00C7320B">
        <w:rPr>
          <w:rFonts w:ascii="Verdana" w:hAnsi="Verdana"/>
        </w:rPr>
        <w:t>ubre de 2025</w:t>
      </w:r>
      <w:r w:rsidRPr="00C7320B">
        <w:rPr>
          <w:rFonts w:ascii="Verdana" w:hAnsi="Verdana"/>
        </w:rPr>
        <w:tab/>
      </w:r>
    </w:p>
    <w:p w14:paraId="25A12369" w14:textId="77777777" w:rsidR="00C7320B" w:rsidRPr="00C7320B" w:rsidRDefault="00C7320B" w:rsidP="00FB7971">
      <w:pPr>
        <w:spacing w:after="0"/>
        <w:rPr>
          <w:rFonts w:ascii="Verdana" w:hAnsi="Verdana"/>
        </w:rPr>
      </w:pPr>
    </w:p>
    <w:p w14:paraId="7822DACA" w14:textId="51F0AF5A" w:rsidR="00FB7971" w:rsidRPr="00B76BCF" w:rsidRDefault="00C7320B" w:rsidP="00C7320B">
      <w:pPr>
        <w:spacing w:after="0" w:line="240" w:lineRule="auto"/>
        <w:jc w:val="right"/>
        <w:rPr>
          <w:rFonts w:ascii="Verdana" w:eastAsia="Calibri" w:hAnsi="Verdana" w:cs="Arial"/>
          <w:color w:val="000000"/>
          <w:lang w:val="es-MX"/>
        </w:rPr>
      </w:pPr>
      <w:r w:rsidRPr="00C7320B">
        <w:rPr>
          <w:rFonts w:ascii="Verdana" w:eastAsia="Calibri" w:hAnsi="Verdana" w:cs="Arial"/>
          <w:color w:val="000000"/>
          <w:lang w:val="es-MX"/>
        </w:rPr>
        <w:drawing>
          <wp:inline distT="0" distB="0" distL="0" distR="0" wp14:anchorId="1983FAB2" wp14:editId="6519E358">
            <wp:extent cx="3927708" cy="1031034"/>
            <wp:effectExtent l="0" t="0" r="0" b="0"/>
            <wp:docPr id="7844186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418670" name="Imagen 1" descr="Texto&#10;&#10;El contenido generado por IA puede ser incorrecto."/>
                    <pic:cNvPicPr/>
                  </pic:nvPicPr>
                  <pic:blipFill>
                    <a:blip r:embed="rId7"/>
                    <a:stretch>
                      <a:fillRect/>
                    </a:stretch>
                  </pic:blipFill>
                  <pic:spPr>
                    <a:xfrm>
                      <a:off x="0" y="0"/>
                      <a:ext cx="3945494" cy="1035703"/>
                    </a:xfrm>
                    <a:prstGeom prst="rect">
                      <a:avLst/>
                    </a:prstGeom>
                  </pic:spPr>
                </pic:pic>
              </a:graphicData>
            </a:graphic>
          </wp:inline>
        </w:drawing>
      </w:r>
    </w:p>
    <w:p w14:paraId="6C3063F4" w14:textId="77777777" w:rsidR="00FB7971" w:rsidRPr="00593A5F" w:rsidRDefault="00FB7971" w:rsidP="00FB7971">
      <w:pPr>
        <w:spacing w:after="0" w:line="240" w:lineRule="auto"/>
        <w:jc w:val="both"/>
        <w:rPr>
          <w:rFonts w:ascii="Verdana" w:eastAsia="Calibri" w:hAnsi="Verdana" w:cs="Arial"/>
          <w:color w:val="000000"/>
          <w:lang w:val="es-ES"/>
        </w:rPr>
      </w:pPr>
    </w:p>
    <w:p w14:paraId="1777800E" w14:textId="77777777" w:rsidR="00FB7971" w:rsidRPr="00B96799" w:rsidRDefault="00FB7971" w:rsidP="00FB7971">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5E7848AA" w14:textId="77777777" w:rsidR="00FB7971" w:rsidRDefault="00FB7971" w:rsidP="00FB7971">
      <w:pPr>
        <w:spacing w:after="0" w:line="240" w:lineRule="auto"/>
        <w:rPr>
          <w:rFonts w:ascii="Verdana" w:eastAsia="Calibri" w:hAnsi="Verdana" w:cs="Arial"/>
          <w:b/>
          <w:lang w:val="es-ES_tradnl" w:eastAsia="es-ES_tradnl"/>
        </w:rPr>
      </w:pPr>
      <w:r w:rsidRPr="004B4E74">
        <w:rPr>
          <w:rFonts w:ascii="Verdana" w:eastAsia="Calibri" w:hAnsi="Verdana" w:cs="Arial"/>
          <w:b/>
          <w:lang w:val="es-ES_tradnl" w:eastAsia="es-ES_tradnl"/>
        </w:rPr>
        <w:t>Diana Marcela Serrano Espinosa</w:t>
      </w:r>
    </w:p>
    <w:p w14:paraId="478888B6" w14:textId="77777777" w:rsidR="00FB7971" w:rsidRPr="005B7620" w:rsidRDefault="00FB7971" w:rsidP="00FB7971">
      <w:pPr>
        <w:spacing w:after="0" w:line="240" w:lineRule="auto"/>
        <w:rPr>
          <w:rFonts w:ascii="Verdana" w:eastAsia="Calibri" w:hAnsi="Verdana" w:cs="Arial"/>
          <w:bCs/>
          <w:lang w:val="es-ES_tradnl" w:eastAsia="es-ES_tradnl"/>
        </w:rPr>
      </w:pPr>
      <w:r w:rsidRPr="005B7620">
        <w:rPr>
          <w:rFonts w:ascii="Verdana" w:eastAsia="Calibri" w:hAnsi="Verdana" w:cs="Arial"/>
          <w:bCs/>
          <w:lang w:val="es-ES_tradnl" w:eastAsia="es-ES_tradnl"/>
        </w:rPr>
        <w:t>Oficina de Control Interno Disciplinario Agencia Logística de las Fuerzas Militares</w:t>
      </w:r>
    </w:p>
    <w:p w14:paraId="5BF1779F" w14:textId="77777777" w:rsidR="00FB7971" w:rsidRPr="00DC4B3B" w:rsidRDefault="00FB7971" w:rsidP="00FB7971">
      <w:pPr>
        <w:spacing w:after="0" w:line="240" w:lineRule="auto"/>
        <w:jc w:val="both"/>
        <w:rPr>
          <w:rFonts w:ascii="Verdana" w:eastAsia="Calibri" w:hAnsi="Verdana" w:cs="Arial"/>
          <w:lang w:val="es-ES" w:eastAsia="es-ES"/>
        </w:rPr>
      </w:pPr>
      <w:hyperlink r:id="rId8" w:history="1">
        <w:r w:rsidRPr="00FB5364">
          <w:rPr>
            <w:rStyle w:val="Hipervnculo"/>
            <w:rFonts w:ascii="Verdana" w:eastAsia="Calibri" w:hAnsi="Verdana" w:cs="Arial"/>
            <w:lang w:val="es-ES" w:eastAsia="es-ES"/>
          </w:rPr>
          <w:t>instrucciondisciplinaria@agencialogistica.gov.co</w:t>
        </w:r>
      </w:hyperlink>
      <w:r>
        <w:rPr>
          <w:rFonts w:ascii="Verdana" w:eastAsia="Calibri" w:hAnsi="Verdana" w:cs="Arial"/>
          <w:lang w:val="es-ES" w:eastAsia="es-ES"/>
        </w:rPr>
        <w:t xml:space="preserve"> </w:t>
      </w:r>
      <w:r w:rsidRPr="005B7620">
        <w:rPr>
          <w:rFonts w:ascii="Verdana" w:eastAsia="Calibri" w:hAnsi="Verdana" w:cs="Arial"/>
          <w:lang w:val="es-ES" w:eastAsia="es-ES"/>
        </w:rPr>
        <w:t xml:space="preserve">      </w:t>
      </w:r>
      <w:r w:rsidRPr="00DC4B3B">
        <w:rPr>
          <w:rFonts w:ascii="Verdana" w:hAnsi="Verdana"/>
        </w:rPr>
        <w:t xml:space="preserve">   </w:t>
      </w:r>
      <w:r w:rsidRPr="00DC4B3B">
        <w:rPr>
          <w:rFonts w:ascii="Verdana" w:eastAsia="Calibri" w:hAnsi="Verdana" w:cs="Arial"/>
          <w:lang w:val="es-ES" w:eastAsia="es-ES"/>
        </w:rPr>
        <w:t xml:space="preserve">    </w:t>
      </w:r>
    </w:p>
    <w:p w14:paraId="5986EFDE" w14:textId="77777777" w:rsidR="00FB7971" w:rsidRDefault="00FB7971" w:rsidP="00FB7971">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28AD0113" w14:textId="77777777" w:rsidR="00FB7971" w:rsidRPr="00593A5F" w:rsidRDefault="00FB7971" w:rsidP="00FB7971">
      <w:pPr>
        <w:spacing w:after="0" w:line="240" w:lineRule="auto"/>
        <w:rPr>
          <w:rFonts w:ascii="Verdana" w:eastAsia="Calibri" w:hAnsi="Verdana" w:cs="Arial"/>
          <w:b/>
          <w:bCs/>
          <w:color w:val="000000"/>
          <w:lang w:val="es-ES_tradnl" w:eastAsia="es-ES_tradnl"/>
        </w:rPr>
      </w:pPr>
    </w:p>
    <w:p w14:paraId="100EFF2F" w14:textId="77777777" w:rsidR="00FB7971" w:rsidRPr="00593A5F" w:rsidRDefault="00FB7971" w:rsidP="00FB797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B7971" w:rsidRPr="00593A5F" w14:paraId="737DBD7F" w14:textId="77777777" w:rsidTr="00B32A68">
        <w:trPr>
          <w:trHeight w:val="884"/>
        </w:trPr>
        <w:tc>
          <w:tcPr>
            <w:tcW w:w="2689" w:type="dxa"/>
          </w:tcPr>
          <w:p w14:paraId="2A607A47" w14:textId="77777777" w:rsidR="00FB7971" w:rsidRPr="00C00976" w:rsidRDefault="00FB7971" w:rsidP="00B32A68">
            <w:pPr>
              <w:jc w:val="both"/>
              <w:rPr>
                <w:rFonts w:ascii="Verdana" w:eastAsia="Calibri" w:hAnsi="Verdana" w:cs="Arial"/>
                <w:b/>
                <w:bCs/>
                <w:color w:val="7030A0"/>
                <w:lang w:val="es-ES_tradnl" w:eastAsia="es-ES_tradnl"/>
              </w:rPr>
            </w:pPr>
          </w:p>
        </w:tc>
        <w:tc>
          <w:tcPr>
            <w:tcW w:w="6100" w:type="dxa"/>
          </w:tcPr>
          <w:p w14:paraId="523FC537" w14:textId="77777777" w:rsidR="00FB7971" w:rsidRPr="00C00976" w:rsidRDefault="00FB7971" w:rsidP="00B32A6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Pr>
                <w:rFonts w:ascii="Verdana" w:eastAsia="Calibri" w:hAnsi="Verdana" w:cs="Arial"/>
                <w:b/>
                <w:bCs/>
                <w:lang w:val="es-ES" w:eastAsia="es-ES"/>
              </w:rPr>
              <w:t xml:space="preserve">1340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FB7971" w:rsidRPr="00593A5F" w14:paraId="4EE7CF68" w14:textId="77777777" w:rsidTr="00B32A68">
        <w:trPr>
          <w:trHeight w:val="884"/>
        </w:trPr>
        <w:tc>
          <w:tcPr>
            <w:tcW w:w="2689" w:type="dxa"/>
          </w:tcPr>
          <w:p w14:paraId="39DBAE45" w14:textId="77777777" w:rsidR="00FB7971" w:rsidRPr="00593A5F" w:rsidRDefault="00FB7971" w:rsidP="00B32A6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BB94DBB" w14:textId="77777777" w:rsidR="00FB7971" w:rsidRPr="00871FEA" w:rsidRDefault="00FB7971" w:rsidP="00B32A68">
            <w:pPr>
              <w:spacing w:line="276" w:lineRule="auto"/>
              <w:jc w:val="both"/>
              <w:rPr>
                <w:rFonts w:ascii="Verdana" w:eastAsia="Calibri" w:hAnsi="Verdana" w:cs="Arial"/>
                <w:lang w:val="es-ES" w:eastAsia="es-ES"/>
              </w:rPr>
            </w:pPr>
            <w:r w:rsidRPr="00871FEA">
              <w:rPr>
                <w:rFonts w:ascii="Verdana" w:eastAsia="Calibri" w:hAnsi="Verdana" w:cs="Arial"/>
                <w:lang w:val="es-ES" w:eastAsia="es-ES"/>
              </w:rPr>
              <w:t>CONFIGURACIÓN DE RELACIÓN CONTRACTUAL – Entre entidad contratante y contratista</w:t>
            </w:r>
            <w:r>
              <w:rPr>
                <w:rFonts w:ascii="Verdana" w:eastAsia="Calibri" w:hAnsi="Verdana" w:cs="Arial"/>
                <w:lang w:val="es-ES" w:eastAsia="es-ES"/>
              </w:rPr>
              <w:t xml:space="preserve"> / </w:t>
            </w:r>
            <w:r w:rsidRPr="00871FEA">
              <w:rPr>
                <w:rFonts w:ascii="Verdana" w:eastAsia="Calibri" w:hAnsi="Verdana" w:cs="Arial"/>
                <w:lang w:val="es-ES" w:eastAsia="es-ES"/>
              </w:rPr>
              <w:t>SOCIEDADES – Definición – Actuación por medio de representantes legales</w:t>
            </w:r>
            <w:r>
              <w:rPr>
                <w:rFonts w:ascii="Verdana" w:eastAsia="Calibri" w:hAnsi="Verdana" w:cs="Arial"/>
                <w:lang w:val="es-ES" w:eastAsia="es-ES"/>
              </w:rPr>
              <w:t xml:space="preserve"> / </w:t>
            </w:r>
            <w:r w:rsidRPr="00871FEA">
              <w:rPr>
                <w:rFonts w:ascii="Verdana" w:eastAsia="Calibri" w:hAnsi="Verdana" w:cs="Arial"/>
                <w:lang w:val="es-ES" w:eastAsia="es-ES"/>
              </w:rPr>
              <w:t>FALLECIMIENTO DE REPRESENTANTE LEGAL – No extingue existencia o validez del contrato – No se configura causal de disolución</w:t>
            </w:r>
            <w:r>
              <w:rPr>
                <w:rFonts w:ascii="Verdana" w:eastAsia="Calibri" w:hAnsi="Verdana" w:cs="Arial"/>
                <w:lang w:val="es-ES" w:eastAsia="es-ES"/>
              </w:rPr>
              <w:t xml:space="preserve"> / </w:t>
            </w:r>
            <w:r w:rsidRPr="00871FEA">
              <w:rPr>
                <w:rFonts w:ascii="Verdana" w:eastAsia="Calibri" w:hAnsi="Verdana" w:cs="Arial"/>
                <w:lang w:val="es-ES" w:eastAsia="es-ES"/>
              </w:rPr>
              <w:t>CESIÓN DEL CONTRATO ESTATAL – Régimen jurídico aplicable – EGCAP – Código de Comercio</w:t>
            </w:r>
            <w:r>
              <w:rPr>
                <w:rFonts w:ascii="Verdana" w:eastAsia="Calibri" w:hAnsi="Verdana" w:cs="Arial"/>
                <w:lang w:val="es-ES" w:eastAsia="es-ES"/>
              </w:rPr>
              <w:t xml:space="preserve"> / </w:t>
            </w:r>
            <w:r w:rsidRPr="00871FEA">
              <w:rPr>
                <w:rFonts w:ascii="Verdana" w:eastAsia="Calibri" w:hAnsi="Verdana" w:cs="Arial"/>
                <w:lang w:val="es-ES" w:eastAsia="es-ES"/>
              </w:rPr>
              <w:t>CESIÓN DE CRÉDITO O DE DERECHOS ECONÓMICOS – Requisitos</w:t>
            </w:r>
          </w:p>
        </w:tc>
      </w:tr>
      <w:tr w:rsidR="00FB7971" w:rsidRPr="008E6AD9" w14:paraId="58FDFE1F" w14:textId="77777777" w:rsidTr="00B32A68">
        <w:tc>
          <w:tcPr>
            <w:tcW w:w="2689" w:type="dxa"/>
          </w:tcPr>
          <w:p w14:paraId="2E0CA5C5" w14:textId="77777777" w:rsidR="00FB7971" w:rsidRPr="008E6AD9" w:rsidRDefault="00FB7971" w:rsidP="00B32A6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6403A01" w14:textId="77777777" w:rsidR="00FB7971" w:rsidRPr="00B92340" w:rsidRDefault="00FB7971" w:rsidP="00B32A6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460EA">
              <w:rPr>
                <w:rFonts w:ascii="Verdana" w:eastAsia="Calibri" w:hAnsi="Verdana" w:cs="Arial"/>
                <w:lang w:val="es-ES_tradnl" w:eastAsia="es-ES_tradnl"/>
              </w:rPr>
              <w:t>P20250527005150</w:t>
            </w:r>
            <w:r>
              <w:rPr>
                <w:rFonts w:ascii="Verdana" w:eastAsia="Calibri" w:hAnsi="Verdana" w:cs="Arial"/>
                <w:lang w:val="es-ES_tradnl" w:eastAsia="es-ES_tradnl"/>
              </w:rPr>
              <w:t xml:space="preserve"> - </w:t>
            </w:r>
            <w:r w:rsidRPr="008C7A6E">
              <w:rPr>
                <w:rFonts w:ascii="Verdana" w:eastAsia="Calibri" w:hAnsi="Verdana" w:cs="Arial"/>
                <w:i/>
                <w:iCs/>
                <w:lang w:val="es-ES_tradnl" w:eastAsia="es-ES_tradnl"/>
              </w:rPr>
              <w:t>Concepto I.D. 036-2025</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30AC939" w14:textId="77777777" w:rsidR="00FB7971" w:rsidRPr="00593A5F" w:rsidRDefault="00FB7971" w:rsidP="00FB7971">
      <w:pPr>
        <w:spacing w:after="0" w:line="240" w:lineRule="auto"/>
        <w:jc w:val="both"/>
        <w:rPr>
          <w:rFonts w:ascii="Verdana" w:eastAsia="Calibri" w:hAnsi="Verdana" w:cs="Arial"/>
          <w:color w:val="000000"/>
          <w:lang w:val="es-ES_tradnl" w:eastAsia="es-ES_tradnl"/>
        </w:rPr>
      </w:pPr>
    </w:p>
    <w:p w14:paraId="6FD66100" w14:textId="77777777" w:rsidR="00FB7971" w:rsidRPr="00593A5F" w:rsidRDefault="00FB7971" w:rsidP="00FB7971">
      <w:pPr>
        <w:spacing w:after="0" w:line="240" w:lineRule="auto"/>
        <w:jc w:val="both"/>
        <w:rPr>
          <w:rFonts w:ascii="Verdana" w:eastAsia="Calibri" w:hAnsi="Verdana" w:cs="Arial"/>
          <w:color w:val="000000"/>
          <w:lang w:val="es-ES_tradnl" w:eastAsia="es-ES_tradnl"/>
        </w:rPr>
      </w:pPr>
    </w:p>
    <w:p w14:paraId="0E544047" w14:textId="77777777" w:rsidR="00FB7971" w:rsidRPr="008E6AD9" w:rsidRDefault="00FB7971" w:rsidP="00FB797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señora Serrano Espinoza</w:t>
      </w:r>
      <w:r w:rsidRPr="008E6AD9">
        <w:rPr>
          <w:rFonts w:ascii="Verdana" w:eastAsia="Calibri" w:hAnsi="Verdana" w:cs="Arial"/>
          <w:lang w:val="es-ES" w:eastAsia="es-ES"/>
        </w:rPr>
        <w:t xml:space="preserve">: </w:t>
      </w:r>
    </w:p>
    <w:p w14:paraId="5132A042" w14:textId="77777777" w:rsidR="00FB7971" w:rsidRDefault="00FB7971" w:rsidP="00FB797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E3AF439" w14:textId="77777777" w:rsidR="00FB7971" w:rsidRPr="00593A5F" w:rsidRDefault="00FB7971" w:rsidP="00FB797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18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w:t>
      </w:r>
      <w:r w:rsidRPr="008E6AD9">
        <w:rPr>
          <w:rFonts w:ascii="Verdana" w:eastAsia="Calibri" w:hAnsi="Verdana" w:cs="Arial"/>
          <w:lang w:val="es-ES" w:eastAsia="es-ES"/>
        </w:rPr>
        <w:t xml:space="preserve">: </w:t>
      </w:r>
    </w:p>
    <w:p w14:paraId="56B7E5EE" w14:textId="77777777" w:rsidR="00FB7971" w:rsidRPr="00272A7B" w:rsidRDefault="00FB7971" w:rsidP="00FB7971">
      <w:pPr>
        <w:pStyle w:val="Prrafodelista"/>
        <w:tabs>
          <w:tab w:val="left" w:pos="142"/>
          <w:tab w:val="left" w:pos="284"/>
        </w:tabs>
        <w:spacing w:after="0" w:line="276" w:lineRule="auto"/>
        <w:ind w:left="0"/>
        <w:jc w:val="both"/>
        <w:rPr>
          <w:rFonts w:ascii="Verdana" w:eastAsia="Century Gothic" w:hAnsi="Verdana" w:cs="Century Gothic"/>
          <w:b/>
          <w:bCs/>
        </w:rPr>
      </w:pPr>
    </w:p>
    <w:p w14:paraId="67FCB047" w14:textId="77777777" w:rsidR="00FB7971" w:rsidRPr="00A73573" w:rsidRDefault="00FB7971" w:rsidP="00FB7971">
      <w:pPr>
        <w:spacing w:after="0" w:line="240" w:lineRule="auto"/>
        <w:ind w:left="709" w:right="709"/>
        <w:jc w:val="both"/>
        <w:rPr>
          <w:rFonts w:ascii="Verdana" w:eastAsia="Century Gothic" w:hAnsi="Verdana" w:cs="Century Gothic"/>
          <w:sz w:val="20"/>
          <w:szCs w:val="20"/>
        </w:rPr>
      </w:pPr>
      <w:bookmarkStart w:id="0" w:name="_Hlk95313578"/>
      <w:r w:rsidRPr="00A73573">
        <w:rPr>
          <w:rFonts w:ascii="Verdana" w:eastAsia="Century Gothic" w:hAnsi="Verdana" w:cs="Century Gothic"/>
          <w:sz w:val="20"/>
          <w:szCs w:val="20"/>
          <w:lang w:val="es-ES"/>
        </w:rPr>
        <w:t>“</w:t>
      </w:r>
      <w:bookmarkEnd w:id="0"/>
      <w:r w:rsidRPr="00A73573">
        <w:rPr>
          <w:rFonts w:ascii="Verdana" w:eastAsia="Century Gothic" w:hAnsi="Verdana" w:cs="Century Gothic"/>
          <w:sz w:val="20"/>
          <w:szCs w:val="20"/>
          <w:lang w:val="es-ES"/>
        </w:rPr>
        <w:t xml:space="preserve">[…] </w:t>
      </w:r>
      <w:r w:rsidRPr="00A73573">
        <w:rPr>
          <w:rFonts w:ascii="Verdana" w:eastAsia="Century Gothic" w:hAnsi="Verdana" w:cs="Century Gothic"/>
          <w:sz w:val="20"/>
          <w:szCs w:val="20"/>
        </w:rPr>
        <w:t xml:space="preserve">¿Cómo se debe proceder legalmente en caso de que una entidad firme un contrato con determinado proveedor y durante la ejecución del contrato, el representante legal de la firma contratista, fallece? Frente al caso descrito anteriormente, </w:t>
      </w:r>
    </w:p>
    <w:p w14:paraId="6403854F" w14:textId="77777777" w:rsidR="00FB7971" w:rsidRPr="00A73573" w:rsidRDefault="00FB7971" w:rsidP="00FB7971">
      <w:pPr>
        <w:spacing w:after="0" w:line="240" w:lineRule="auto"/>
        <w:ind w:left="709" w:right="709"/>
        <w:jc w:val="both"/>
        <w:rPr>
          <w:rFonts w:ascii="Verdana" w:eastAsia="Century Gothic" w:hAnsi="Verdana" w:cs="Century Gothic"/>
          <w:sz w:val="20"/>
          <w:szCs w:val="20"/>
        </w:rPr>
      </w:pPr>
    </w:p>
    <w:p w14:paraId="761E08A7" w14:textId="77777777" w:rsidR="00FB7971" w:rsidRPr="00A73573" w:rsidRDefault="00FB7971" w:rsidP="00FB7971">
      <w:pPr>
        <w:spacing w:after="0" w:line="240" w:lineRule="auto"/>
        <w:ind w:left="709" w:right="709"/>
        <w:jc w:val="both"/>
        <w:rPr>
          <w:rFonts w:ascii="Verdana" w:eastAsia="Century Gothic" w:hAnsi="Verdana" w:cs="Century Gothic"/>
          <w:sz w:val="20"/>
          <w:szCs w:val="20"/>
          <w:lang w:val="es-ES"/>
        </w:rPr>
      </w:pPr>
      <w:r w:rsidRPr="00A73573">
        <w:rPr>
          <w:rFonts w:ascii="Verdana" w:eastAsia="Century Gothic" w:hAnsi="Verdana" w:cs="Century Gothic"/>
          <w:sz w:val="20"/>
          <w:szCs w:val="20"/>
        </w:rPr>
        <w:t>¿Es correcto que la entidad realice un modificatorio al contrato y mediante esta figura realice una cesión de derechos económicos del contrato?</w:t>
      </w:r>
      <w:r w:rsidRPr="00A73573">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793EF084" w14:textId="77777777" w:rsidR="00FB7971" w:rsidRPr="008E6AD9" w:rsidRDefault="00FB7971" w:rsidP="00FB7971">
      <w:pPr>
        <w:pStyle w:val="Prrafodelista"/>
        <w:tabs>
          <w:tab w:val="left" w:pos="142"/>
          <w:tab w:val="left" w:pos="284"/>
        </w:tabs>
        <w:spacing w:after="0" w:line="276" w:lineRule="auto"/>
        <w:ind w:left="0"/>
        <w:jc w:val="both"/>
        <w:rPr>
          <w:rFonts w:ascii="Verdana" w:eastAsia="Century Gothic" w:hAnsi="Verdana" w:cs="Century Gothic"/>
          <w:b/>
          <w:bCs/>
        </w:rPr>
      </w:pPr>
    </w:p>
    <w:p w14:paraId="7E9DEFE9" w14:textId="77777777" w:rsidR="00FB7971" w:rsidRPr="00A652FF" w:rsidRDefault="00FB7971" w:rsidP="00FB797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C09B682" w14:textId="77777777" w:rsidR="00FB7971" w:rsidRDefault="00FB7971" w:rsidP="00FB797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BAB4C40" w14:textId="77777777" w:rsidR="00FB7971" w:rsidRPr="00593A5F" w:rsidRDefault="00FB7971" w:rsidP="00FB7971">
      <w:pPr>
        <w:spacing w:after="0" w:line="276" w:lineRule="auto"/>
        <w:ind w:firstLine="709"/>
        <w:jc w:val="both"/>
        <w:rPr>
          <w:rFonts w:ascii="Verdana" w:eastAsia="Calibri" w:hAnsi="Verdana" w:cs="Arial"/>
          <w:color w:val="000000"/>
          <w:lang w:val="es-ES" w:eastAsia="es-ES"/>
        </w:rPr>
      </w:pPr>
    </w:p>
    <w:p w14:paraId="259927D7" w14:textId="77777777" w:rsidR="00FB7971" w:rsidRPr="00593A5F" w:rsidRDefault="00FB7971" w:rsidP="00FB7971">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F9A2EDB" w14:textId="77777777" w:rsidR="00FB7971" w:rsidRPr="00593A5F" w:rsidRDefault="00FB7971" w:rsidP="00FB7971">
      <w:pPr>
        <w:tabs>
          <w:tab w:val="left" w:pos="426"/>
        </w:tabs>
        <w:spacing w:after="0" w:line="276" w:lineRule="auto"/>
        <w:jc w:val="both"/>
        <w:rPr>
          <w:rFonts w:ascii="Verdana" w:eastAsia="Century Gothic" w:hAnsi="Verdana" w:cs="Century Gothic"/>
          <w:lang w:val="es-ES"/>
        </w:rPr>
      </w:pPr>
    </w:p>
    <w:p w14:paraId="590479E6" w14:textId="77777777" w:rsidR="00FB7971" w:rsidRPr="00593A5F" w:rsidRDefault="00FB7971" w:rsidP="00FB7971">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sidRPr="00EC6786">
        <w:rPr>
          <w:rFonts w:ascii="Verdana" w:eastAsia="Century Gothic" w:hAnsi="Verdana" w:cs="Century Gothic"/>
        </w:rPr>
        <w:t>¿Cuáles son los efectos jurídicos que genera el fallecimiento del representante legal de una persona jurídica contratista durante la ejecución de un contrato estatal y qué figuras del ordenamiento jurídico resultan aplicables para garantizar la continuidad contractual?</w:t>
      </w:r>
    </w:p>
    <w:p w14:paraId="1BC54D97" w14:textId="77777777" w:rsidR="00FB7971" w:rsidRPr="004B140F" w:rsidRDefault="00FB7971" w:rsidP="00FB7971">
      <w:pPr>
        <w:spacing w:after="0" w:line="276" w:lineRule="auto"/>
        <w:jc w:val="both"/>
        <w:rPr>
          <w:rFonts w:ascii="Verdana" w:eastAsia="Calibri" w:hAnsi="Verdana" w:cs="Arial"/>
          <w:color w:val="7030A0"/>
        </w:rPr>
      </w:pPr>
    </w:p>
    <w:p w14:paraId="7B3E55F2" w14:textId="77777777" w:rsidR="00FB7971" w:rsidRPr="00593A5F" w:rsidRDefault="00FB7971" w:rsidP="00FB7971">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17418AE" w14:textId="77777777" w:rsidR="00FB7971" w:rsidRPr="00593A5F" w:rsidRDefault="00FB7971" w:rsidP="00FB797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B7971" w:rsidRPr="00593A5F" w14:paraId="77DAB170" w14:textId="77777777" w:rsidTr="00B32A68">
        <w:trPr>
          <w:jc w:val="center"/>
        </w:trPr>
        <w:tc>
          <w:tcPr>
            <w:tcW w:w="8828" w:type="dxa"/>
          </w:tcPr>
          <w:p w14:paraId="7DE3971C" w14:textId="77777777" w:rsidR="00FB7971" w:rsidRPr="00685F82" w:rsidRDefault="00FB7971" w:rsidP="00B32A68">
            <w:pPr>
              <w:spacing w:after="120" w:line="276" w:lineRule="auto"/>
              <w:jc w:val="both"/>
              <w:rPr>
                <w:rFonts w:ascii="Verdana" w:eastAsia="Calibri" w:hAnsi="Verdana" w:cs="Arial"/>
                <w:color w:val="000000" w:themeColor="text1"/>
              </w:rPr>
            </w:pPr>
            <w:bookmarkStart w:id="1" w:name="_Hlk171694685"/>
            <w:r>
              <w:rPr>
                <w:rFonts w:ascii="Verdana" w:eastAsia="Calibri" w:hAnsi="Verdana" w:cs="Arial"/>
                <w:color w:val="000000" w:themeColor="text1"/>
              </w:rPr>
              <w:lastRenderedPageBreak/>
              <w:t>Como se explicará en las consideraciones del presente concepto</w:t>
            </w:r>
            <w:r w:rsidRPr="00685F82">
              <w:rPr>
                <w:rFonts w:ascii="Verdana" w:eastAsia="Calibri" w:hAnsi="Verdana" w:cs="Arial"/>
                <w:color w:val="000000" w:themeColor="text1"/>
              </w:rPr>
              <w:t>, el fallecimiento del representante legal de una sociedad contratista no afecta la existencia, validez ni continuidad del contrato estatal celebrado con la entidad pública, por cuanto el vínculo jurídico se configura entre la Administración y la persona jurídica contratista, conforme a los artículos 6 y 41 de la Ley 80 de 1993. La representación legal constituye una manifestación orgánica de la voluntad de la sociedad y, por tanto, su ausencia debe ser suplida conforme a las normas del derecho societario, sin que ello implique alteración alguna en las obligaciones contractuales asumidas.</w:t>
            </w:r>
          </w:p>
          <w:p w14:paraId="1F290D74" w14:textId="77777777" w:rsidR="00FB7971" w:rsidRPr="00685F82" w:rsidRDefault="00FB7971" w:rsidP="00B32A68">
            <w:pPr>
              <w:spacing w:after="120" w:line="276" w:lineRule="auto"/>
              <w:ind w:firstLine="708"/>
              <w:jc w:val="both"/>
              <w:rPr>
                <w:rFonts w:ascii="Verdana" w:eastAsia="Calibri" w:hAnsi="Verdana" w:cs="Arial"/>
                <w:color w:val="000000" w:themeColor="text1"/>
              </w:rPr>
            </w:pPr>
            <w:r w:rsidRPr="00685F82">
              <w:rPr>
                <w:rFonts w:ascii="Verdana" w:eastAsia="Calibri" w:hAnsi="Verdana" w:cs="Arial"/>
                <w:color w:val="000000" w:themeColor="text1"/>
              </w:rPr>
              <w:t>En consecuencia, el hecho del fallecimiento del representante legal se enmarca dentro de la esfera interna de la persona jurídica y debe ser resuelto por los órganos sociales competentes mediante la designación y registro de un nuevo representante, en los términos previstos por el Código de Comercio, la Ley 222 de 1995 y las orientaciones de la Superintendencia de Sociedades. Tal situación no genera por sí misma la necesidad de acudir a la figura de la cesión del contrato ni de la cesión de derechos económicos, pues la sociedad mantiene su capacidad y legitimación para ejecutar el contrato, sin que exista modificación del sujeto contratista.</w:t>
            </w:r>
          </w:p>
          <w:p w14:paraId="04F5CD6C" w14:textId="77777777" w:rsidR="00FB7971" w:rsidRDefault="00FB7971" w:rsidP="00B32A68">
            <w:pPr>
              <w:spacing w:after="120" w:line="276" w:lineRule="auto"/>
              <w:ind w:firstLine="708"/>
              <w:jc w:val="both"/>
              <w:rPr>
                <w:rFonts w:ascii="Verdana" w:eastAsia="Calibri" w:hAnsi="Verdana" w:cs="Arial"/>
                <w:color w:val="000000" w:themeColor="text1"/>
              </w:rPr>
            </w:pPr>
            <w:r w:rsidRPr="00685F82">
              <w:rPr>
                <w:rFonts w:ascii="Verdana" w:eastAsia="Calibri" w:hAnsi="Verdana" w:cs="Arial"/>
                <w:color w:val="000000" w:themeColor="text1"/>
              </w:rPr>
              <w:t>No obstante, si la sociedad decidiera transferir la posición contractual o los créditos derivados del contrato, deberá observar los requisitos y limitaciones establecidos en el Estatuto General de Contratación de la Administración Pública, particularmente los artículos 9 y 41 de la Ley 80 de 1993, así como las normas de los artículos 887 a 896 del Código de Comercio y 1959 a 1966 del Código Civil, según el caso. En todo evento, tales figuras requieren autorización expresa de la entidad contratante o notificación o aceptación según su naturaleza, y deben respetar los principios de transparencia, selección objetiva e igualdad que rigen la contratación pública.</w:t>
            </w:r>
          </w:p>
          <w:p w14:paraId="64D65723" w14:textId="77777777" w:rsidR="00FB7971" w:rsidRDefault="00FB7971" w:rsidP="00B32A68">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sidRPr="00E853DE">
              <w:rPr>
                <w:rFonts w:ascii="Verdana" w:eastAsia="Calibri" w:hAnsi="Verdana" w:cs="Arial"/>
                <w:bCs/>
                <w:color w:val="000000" w:themeColor="text1"/>
              </w:rPr>
              <w:lastRenderedPageBreak/>
              <w:t>adoptar la decisión correspondiente y, en caso de conflicto, a las autoridades judiciales, fiscales y disciplinarias.</w:t>
            </w:r>
          </w:p>
          <w:p w14:paraId="0DD9CEAE" w14:textId="77777777" w:rsidR="00FB7971" w:rsidRPr="001941FD" w:rsidRDefault="00FB7971" w:rsidP="00B32A68">
            <w:pPr>
              <w:spacing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tc>
      </w:tr>
    </w:tbl>
    <w:p w14:paraId="1BD619CA" w14:textId="77777777" w:rsidR="00FB7971" w:rsidRPr="00593A5F" w:rsidRDefault="00FB7971" w:rsidP="00FB7971">
      <w:pPr>
        <w:tabs>
          <w:tab w:val="left" w:pos="142"/>
          <w:tab w:val="left" w:pos="284"/>
        </w:tabs>
        <w:spacing w:after="0" w:line="276" w:lineRule="auto"/>
        <w:jc w:val="both"/>
        <w:rPr>
          <w:rFonts w:ascii="Verdana" w:eastAsia="Century Gothic" w:hAnsi="Verdana" w:cs="Century Gothic"/>
          <w:b/>
          <w:bCs/>
          <w:lang w:val="es-ES"/>
        </w:rPr>
      </w:pPr>
    </w:p>
    <w:bookmarkEnd w:id="1"/>
    <w:p w14:paraId="7FA816D9" w14:textId="77777777" w:rsidR="00FB7971" w:rsidRPr="00593A5F" w:rsidRDefault="00FB7971" w:rsidP="00FB7971">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E817312" w14:textId="77777777" w:rsidR="00FB7971" w:rsidRPr="00593A5F" w:rsidRDefault="00FB7971" w:rsidP="00FB7971">
      <w:pPr>
        <w:spacing w:after="0" w:line="276" w:lineRule="auto"/>
        <w:jc w:val="both"/>
        <w:rPr>
          <w:rFonts w:ascii="Verdana" w:eastAsia="Calibri" w:hAnsi="Verdana" w:cs="Arial"/>
          <w:color w:val="7030A0"/>
          <w:lang w:val="es-ES"/>
        </w:rPr>
      </w:pPr>
    </w:p>
    <w:p w14:paraId="77287DA2" w14:textId="77777777" w:rsidR="00FB7971" w:rsidRDefault="00FB7971" w:rsidP="00FB797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768B90B" w14:textId="77777777" w:rsidR="00FB7971" w:rsidRDefault="00FB7971" w:rsidP="00FB7971">
      <w:pPr>
        <w:spacing w:after="0" w:line="276" w:lineRule="auto"/>
        <w:jc w:val="both"/>
        <w:rPr>
          <w:rFonts w:ascii="Verdana" w:eastAsia="Calibri" w:hAnsi="Verdana" w:cs="Arial"/>
          <w:lang w:val="es-ES"/>
        </w:rPr>
      </w:pPr>
    </w:p>
    <w:p w14:paraId="378FCB50" w14:textId="77777777" w:rsidR="00FB7971" w:rsidRPr="00F3558C" w:rsidRDefault="00FB7971" w:rsidP="00FB7971">
      <w:pPr>
        <w:spacing w:after="120" w:line="276" w:lineRule="auto"/>
        <w:jc w:val="both"/>
        <w:rPr>
          <w:rFonts w:ascii="Verdana" w:eastAsia="Calibri" w:hAnsi="Verdana" w:cs="Arial"/>
        </w:rPr>
      </w:pPr>
      <w:r>
        <w:rPr>
          <w:rFonts w:ascii="Verdana" w:eastAsia="Calibri" w:hAnsi="Verdana" w:cs="Arial"/>
          <w:lang w:val="es-ES"/>
        </w:rPr>
        <w:t>C</w:t>
      </w:r>
      <w:r w:rsidRPr="00F3558C">
        <w:rPr>
          <w:rFonts w:ascii="Verdana" w:eastAsia="Calibri" w:hAnsi="Verdana" w:cs="Arial"/>
          <w:lang w:val="es-ES"/>
        </w:rPr>
        <w:t>on el propósito de atender las inquietudes planteadas por el peticionario, este concepto desarrolla las consideraciones jurídicas necesarias para determinar las consecuencias derivadas del fallecimiento del representante legal de una sociedad contratista durante la ejecución de un contrato estatal, así como la pertinencia o no de aplicar las figuras de cesión del contrato o de cesión de derechos económicos.</w:t>
      </w:r>
      <w:r>
        <w:rPr>
          <w:rFonts w:ascii="Verdana" w:eastAsia="Calibri" w:hAnsi="Verdana" w:cs="Arial"/>
          <w:lang w:val="es-ES"/>
        </w:rPr>
        <w:t xml:space="preserve"> </w:t>
      </w:r>
      <w:r w:rsidRPr="00F3558C">
        <w:rPr>
          <w:rFonts w:ascii="Verdana" w:eastAsia="Calibri" w:hAnsi="Verdana" w:cs="Arial"/>
          <w:lang w:val="es-ES"/>
        </w:rPr>
        <w:t>Para tal efecto, las consideraciones se presentarán en el siguiente orden: i</w:t>
      </w:r>
      <w:r>
        <w:rPr>
          <w:rFonts w:ascii="Verdana" w:eastAsia="Calibri" w:hAnsi="Verdana" w:cs="Arial"/>
          <w:lang w:val="es-ES"/>
        </w:rPr>
        <w:t>.</w:t>
      </w:r>
      <w:r w:rsidRPr="00F3558C">
        <w:rPr>
          <w:rFonts w:ascii="Verdana" w:eastAsia="Calibri" w:hAnsi="Verdana" w:cs="Arial"/>
          <w:lang w:val="es-ES"/>
        </w:rPr>
        <w:t xml:space="preserve"> se examinarán los efectos jurídicos que produce el fallecimiento del representante legal de la persona jurídica contratista y las medidas de suplencia previstas en el régimen societario; ii</w:t>
      </w:r>
      <w:r>
        <w:rPr>
          <w:rFonts w:ascii="Verdana" w:eastAsia="Calibri" w:hAnsi="Verdana" w:cs="Arial"/>
          <w:lang w:val="es-ES"/>
        </w:rPr>
        <w:t>.</w:t>
      </w:r>
      <w:r w:rsidRPr="00F3558C">
        <w:rPr>
          <w:rFonts w:ascii="Verdana" w:eastAsia="Calibri" w:hAnsi="Verdana" w:cs="Arial"/>
          <w:lang w:val="es-ES"/>
        </w:rPr>
        <w:t xml:space="preserve"> se abordará la noción, fundamento y régimen aplicable de la cesión del contrato en la contratación estatal; </w:t>
      </w:r>
      <w:r>
        <w:rPr>
          <w:rFonts w:ascii="Verdana" w:eastAsia="Calibri" w:hAnsi="Verdana" w:cs="Arial"/>
          <w:lang w:val="es-ES"/>
        </w:rPr>
        <w:t>y</w:t>
      </w:r>
      <w:r w:rsidRPr="00F3558C">
        <w:rPr>
          <w:rFonts w:ascii="Verdana" w:eastAsia="Calibri" w:hAnsi="Verdana" w:cs="Arial"/>
          <w:lang w:val="es-ES"/>
        </w:rPr>
        <w:t xml:space="preserve"> la figura de la cesión de derechos económicos del contrato;</w:t>
      </w:r>
      <w:r>
        <w:rPr>
          <w:rFonts w:ascii="Verdana" w:eastAsia="Calibri" w:hAnsi="Verdana" w:cs="Arial"/>
          <w:lang w:val="es-ES"/>
        </w:rPr>
        <w:t xml:space="preserve"> y, por último,</w:t>
      </w:r>
      <w:r w:rsidRPr="00F3558C">
        <w:rPr>
          <w:rFonts w:ascii="Verdana" w:eastAsia="Calibri" w:hAnsi="Verdana" w:cs="Arial"/>
          <w:lang w:val="es-ES"/>
        </w:rPr>
        <w:t xml:space="preserve"> iv</w:t>
      </w:r>
      <w:r>
        <w:rPr>
          <w:rFonts w:ascii="Verdana" w:eastAsia="Calibri" w:hAnsi="Verdana" w:cs="Arial"/>
          <w:lang w:val="es-ES"/>
        </w:rPr>
        <w:t>.</w:t>
      </w:r>
      <w:r w:rsidRPr="00F3558C">
        <w:rPr>
          <w:rFonts w:ascii="Verdana" w:eastAsia="Calibri" w:hAnsi="Verdana" w:cs="Arial"/>
          <w:lang w:val="es-ES"/>
        </w:rPr>
        <w:t xml:space="preserve"> </w:t>
      </w:r>
      <w:r>
        <w:rPr>
          <w:rFonts w:ascii="Verdana" w:eastAsia="Calibri" w:hAnsi="Verdana" w:cs="Arial"/>
          <w:lang w:val="es-ES"/>
        </w:rPr>
        <w:t>La conclusión que integran los razonamientos hechos:</w:t>
      </w:r>
    </w:p>
    <w:p w14:paraId="2277A09E" w14:textId="77777777" w:rsidR="00FB7971" w:rsidRDefault="00FB7971" w:rsidP="00FB7971">
      <w:pPr>
        <w:spacing w:after="120" w:line="276" w:lineRule="auto"/>
        <w:jc w:val="both"/>
        <w:rPr>
          <w:rFonts w:ascii="Verdana" w:eastAsia="Calibri" w:hAnsi="Verdana" w:cs="Arial"/>
          <w:lang w:val="es-ES"/>
        </w:rPr>
      </w:pPr>
      <w:r>
        <w:rPr>
          <w:rFonts w:ascii="Verdana" w:eastAsia="Calibri" w:hAnsi="Verdana" w:cs="Arial"/>
        </w:rPr>
        <w:t xml:space="preserve">i. </w:t>
      </w:r>
      <w:bookmarkStart w:id="2" w:name="_Hlk212475054"/>
      <w:r>
        <w:rPr>
          <w:rFonts w:ascii="Verdana" w:eastAsia="Calibri" w:hAnsi="Verdana" w:cs="Arial"/>
        </w:rPr>
        <w:t>En primer lugar, se advierte que l</w:t>
      </w:r>
      <w:r w:rsidRPr="00FD6E48">
        <w:rPr>
          <w:rFonts w:ascii="Verdana" w:eastAsia="Calibri" w:hAnsi="Verdana" w:cs="Arial"/>
          <w:lang w:val="es-ES"/>
        </w:rPr>
        <w:t>a relación contractual se configura entre una entidad estatal y un contratista en el marco del Estatuto General de Contratación de la Administración Pública —</w:t>
      </w:r>
      <w:r>
        <w:rPr>
          <w:rFonts w:ascii="Verdana" w:eastAsia="Calibri" w:hAnsi="Verdana" w:cs="Arial"/>
          <w:lang w:val="es-ES"/>
        </w:rPr>
        <w:t>en adelante EGCAP</w:t>
      </w:r>
      <w:r w:rsidRPr="00FD6E48">
        <w:rPr>
          <w:rFonts w:ascii="Verdana" w:eastAsia="Calibri" w:hAnsi="Verdana" w:cs="Arial"/>
          <w:lang w:val="es-ES"/>
        </w:rPr>
        <w:t>—</w:t>
      </w:r>
      <w:r>
        <w:rPr>
          <w:rFonts w:ascii="Verdana" w:eastAsia="Calibri" w:hAnsi="Verdana" w:cs="Arial"/>
          <w:lang w:val="es-ES"/>
        </w:rPr>
        <w:t xml:space="preserve"> y </w:t>
      </w:r>
      <w:r w:rsidRPr="00FD6E48">
        <w:rPr>
          <w:rFonts w:ascii="Verdana" w:eastAsia="Calibri" w:hAnsi="Verdana" w:cs="Arial"/>
          <w:lang w:val="es-ES"/>
        </w:rPr>
        <w:t>no con su representante legal—. Así lo dispone el artículo 6 de la Ley 80 de 1993</w:t>
      </w:r>
      <w:r>
        <w:rPr>
          <w:rStyle w:val="Refdenotaalpie"/>
          <w:rFonts w:ascii="Verdana" w:eastAsia="Calibri" w:hAnsi="Verdana" w:cs="Arial"/>
          <w:lang w:val="es-ES"/>
        </w:rPr>
        <w:footnoteReference w:id="1"/>
      </w:r>
      <w:r w:rsidRPr="00FD6E48">
        <w:rPr>
          <w:rFonts w:ascii="Verdana" w:eastAsia="Calibri" w:hAnsi="Verdana" w:cs="Arial"/>
          <w:lang w:val="es-ES"/>
        </w:rPr>
        <w:t xml:space="preserve">, al señalar que “podrán </w:t>
      </w:r>
      <w:r w:rsidRPr="00FD6E48">
        <w:rPr>
          <w:rFonts w:ascii="Verdana" w:eastAsia="Calibri" w:hAnsi="Verdana" w:cs="Arial"/>
          <w:lang w:val="es-ES"/>
        </w:rPr>
        <w:lastRenderedPageBreak/>
        <w:t>celebrar contratos con las entidades estatales las personas consideradas legalmente capaces en las disposiciones vigentes”. Esta capacidad para contratar se predica del sujeto jurídico en sí mismo, y no de la persona natural que ejerce su representación.</w:t>
      </w:r>
    </w:p>
    <w:p w14:paraId="62599E18" w14:textId="77777777" w:rsidR="00FB7971" w:rsidRDefault="00FB7971" w:rsidP="00FB7971">
      <w:pPr>
        <w:spacing w:after="120" w:line="276" w:lineRule="auto"/>
        <w:ind w:firstLine="708"/>
        <w:jc w:val="both"/>
        <w:rPr>
          <w:rFonts w:ascii="Verdana" w:eastAsia="Calibri" w:hAnsi="Verdana" w:cs="Arial"/>
        </w:rPr>
      </w:pPr>
      <w:r>
        <w:rPr>
          <w:rFonts w:ascii="Verdana" w:eastAsia="Calibri" w:hAnsi="Verdana" w:cs="Arial"/>
        </w:rPr>
        <w:t xml:space="preserve">En línea con lo anterior, </w:t>
      </w:r>
      <w:r w:rsidRPr="008A770F">
        <w:rPr>
          <w:rFonts w:ascii="Verdana" w:eastAsia="Calibri" w:hAnsi="Verdana" w:cs="Arial"/>
        </w:rPr>
        <w:t xml:space="preserve">el artículo 41 </w:t>
      </w:r>
      <w:r w:rsidRPr="008A770F">
        <w:rPr>
          <w:rFonts w:ascii="Verdana" w:eastAsia="Calibri" w:hAnsi="Verdana" w:cs="Arial"/>
          <w:i/>
          <w:iCs/>
        </w:rPr>
        <w:t>ibídem</w:t>
      </w:r>
      <w:r>
        <w:rPr>
          <w:rFonts w:ascii="Verdana" w:eastAsia="Calibri" w:hAnsi="Verdana" w:cs="Arial"/>
          <w:i/>
          <w:iCs/>
        </w:rPr>
        <w:t xml:space="preserve"> </w:t>
      </w:r>
      <w:r w:rsidRPr="008A770F">
        <w:rPr>
          <w:rFonts w:ascii="Verdana" w:eastAsia="Calibri" w:hAnsi="Verdana" w:cs="Arial"/>
        </w:rPr>
        <w:t>señala que los contratos estatales se perfeccionan “cuando se logra acuerdo sobre el objeto y la contraprestación y este se eleva a escrito”, lo que reafirma que el vínculo contractual se genera entre la entidad contratante y la sociedad, en tanto sujeto dotado de personería jurídica, capacidad y patrimonio propios. En consecuencia, el representante legal actúa como un órgano de la persona jurídica, y sus actos se reputan como actos de ésta, mas no como manifestaciones personales.</w:t>
      </w:r>
    </w:p>
    <w:p w14:paraId="2312F09D" w14:textId="77777777" w:rsidR="00FB7971" w:rsidRPr="00A27166" w:rsidRDefault="00FB7971" w:rsidP="00FB7971">
      <w:pPr>
        <w:spacing w:after="120" w:line="276" w:lineRule="auto"/>
        <w:ind w:firstLine="708"/>
        <w:jc w:val="both"/>
        <w:rPr>
          <w:rFonts w:ascii="Verdana" w:eastAsia="Calibri" w:hAnsi="Verdana" w:cs="Arial"/>
        </w:rPr>
      </w:pPr>
      <w:r w:rsidRPr="00FC5565">
        <w:rPr>
          <w:rFonts w:ascii="Verdana" w:eastAsia="Calibri" w:hAnsi="Verdana" w:cs="Arial"/>
        </w:rPr>
        <w:t xml:space="preserve">Por su parte, el artículo </w:t>
      </w:r>
      <w:r w:rsidRPr="00357203">
        <w:rPr>
          <w:rFonts w:ascii="Verdana" w:eastAsia="Calibri" w:hAnsi="Verdana" w:cs="Arial"/>
        </w:rPr>
        <w:t>2.2.1.1.1.5.3.</w:t>
      </w:r>
      <w:r w:rsidRPr="00FC5565">
        <w:rPr>
          <w:rFonts w:ascii="Verdana" w:eastAsia="Calibri" w:hAnsi="Verdana" w:cs="Arial"/>
        </w:rPr>
        <w:t xml:space="preserve"> del Decreto 1082 de 2015 —reglamentario de la Ley 80— </w:t>
      </w:r>
      <w:r w:rsidRPr="00A27166">
        <w:rPr>
          <w:rFonts w:ascii="Verdana" w:eastAsia="Calibri" w:hAnsi="Verdana" w:cs="Arial"/>
        </w:rPr>
        <w:t>reglamentario del Estatuto General de Contratación, dispone que las cámaras de comercio deben verificar y certificar, entre otros aspectos, la capacidad jurídica del proponente para prestar los bienes, obras o servicios ofrecidos, así como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28A56E1C" w14:textId="77777777" w:rsidR="00FB7971" w:rsidRDefault="00FB7971" w:rsidP="00FB7971">
      <w:pPr>
        <w:spacing w:after="120" w:line="276" w:lineRule="auto"/>
        <w:ind w:firstLine="708"/>
        <w:jc w:val="both"/>
        <w:rPr>
          <w:rFonts w:ascii="Verdana" w:eastAsia="Calibri" w:hAnsi="Verdana" w:cs="Arial"/>
        </w:rPr>
      </w:pPr>
      <w:r w:rsidRPr="00A27166">
        <w:rPr>
          <w:rFonts w:ascii="Verdana" w:eastAsia="Calibri" w:hAnsi="Verdana" w:cs="Arial"/>
        </w:rPr>
        <w:t>De esta disposición se desprende que la representación legal constituye una facultad orgánica de la persona jurídica para manifestar su voluntad, cuyo ejercicio puede ser verificado, limitado o sustituido conforme a la ley y a los estatutos sociales. En tal virtud, el elemento relevante para la validez y continuidad del vínculo contractual no radica en la identidad del individuo que ejerce la representación, sino en la existencia y vigencia de la representación misma, en tanto expresión de la capacidad jurídica del contratista.</w:t>
      </w:r>
    </w:p>
    <w:p w14:paraId="6D7DEF0D" w14:textId="77777777" w:rsidR="00FB7971" w:rsidRDefault="00FB7971" w:rsidP="00FB7971">
      <w:pPr>
        <w:spacing w:after="120" w:line="276" w:lineRule="auto"/>
        <w:ind w:firstLine="708"/>
        <w:jc w:val="both"/>
        <w:rPr>
          <w:rFonts w:ascii="Verdana" w:eastAsia="Calibri" w:hAnsi="Verdana" w:cs="Arial"/>
        </w:rPr>
      </w:pPr>
      <w:bookmarkStart w:id="3" w:name="_Hlk212475265"/>
      <w:bookmarkEnd w:id="2"/>
      <w:r>
        <w:rPr>
          <w:rFonts w:ascii="Verdana" w:eastAsia="Calibri" w:hAnsi="Verdana" w:cs="Arial"/>
        </w:rPr>
        <w:t xml:space="preserve">En ese sentido, ante la ocurrencia del fallecimiento o, como lo ha llamado la doctrina societaria en Colombia, la </w:t>
      </w:r>
      <w:r w:rsidRPr="00642E93">
        <w:rPr>
          <w:rFonts w:ascii="Verdana" w:eastAsia="Calibri" w:hAnsi="Verdana" w:cs="Arial"/>
          <w:i/>
          <w:iCs/>
        </w:rPr>
        <w:t>muerte intempestiva</w:t>
      </w:r>
      <w:r>
        <w:rPr>
          <w:rFonts w:ascii="Verdana" w:eastAsia="Calibri" w:hAnsi="Verdana" w:cs="Arial"/>
        </w:rPr>
        <w:t xml:space="preserve"> del representante legal</w:t>
      </w:r>
      <w:r>
        <w:rPr>
          <w:rStyle w:val="Refdenotaalpie"/>
          <w:rFonts w:ascii="Verdana" w:eastAsia="Calibri" w:hAnsi="Verdana" w:cs="Arial"/>
        </w:rPr>
        <w:footnoteReference w:id="2"/>
      </w:r>
      <w:r>
        <w:rPr>
          <w:rFonts w:ascii="Verdana" w:eastAsia="Calibri" w:hAnsi="Verdana" w:cs="Arial"/>
        </w:rPr>
        <w:t xml:space="preserve">, </w:t>
      </w:r>
      <w:r w:rsidRPr="00BE5865">
        <w:rPr>
          <w:rFonts w:ascii="Verdana" w:eastAsia="Calibri" w:hAnsi="Verdana" w:cs="Arial"/>
        </w:rPr>
        <w:t xml:space="preserve">resulta </w:t>
      </w:r>
      <w:r>
        <w:rPr>
          <w:rFonts w:ascii="Verdana" w:eastAsia="Calibri" w:hAnsi="Verdana" w:cs="Arial"/>
        </w:rPr>
        <w:t>necesario revisar</w:t>
      </w:r>
      <w:r w:rsidRPr="00BE5865">
        <w:rPr>
          <w:rFonts w:ascii="Verdana" w:eastAsia="Calibri" w:hAnsi="Verdana" w:cs="Arial"/>
        </w:rPr>
        <w:t xml:space="preserve"> lo dispuesto por el Código de Comercio sobre la </w:t>
      </w:r>
      <w:r w:rsidRPr="00BE5865">
        <w:rPr>
          <w:rFonts w:ascii="Verdana" w:eastAsia="Calibri" w:hAnsi="Verdana" w:cs="Arial"/>
        </w:rPr>
        <w:lastRenderedPageBreak/>
        <w:t xml:space="preserve">estructura orgánica de las sociedades y la figura de la representación legal. En efecto, </w:t>
      </w:r>
      <w:r>
        <w:rPr>
          <w:rFonts w:ascii="Verdana" w:eastAsia="Calibri" w:hAnsi="Verdana" w:cs="Arial"/>
        </w:rPr>
        <w:t>e</w:t>
      </w:r>
      <w:r w:rsidRPr="00BE5865">
        <w:rPr>
          <w:rFonts w:ascii="Verdana" w:eastAsia="Calibri" w:hAnsi="Verdana" w:cs="Arial"/>
        </w:rPr>
        <w:t>l artículo 98</w:t>
      </w:r>
      <w:r>
        <w:rPr>
          <w:rStyle w:val="Refdenotaalpie"/>
          <w:rFonts w:ascii="Verdana" w:eastAsia="Calibri" w:hAnsi="Verdana" w:cs="Arial"/>
        </w:rPr>
        <w:footnoteReference w:id="3"/>
      </w:r>
      <w:r>
        <w:rPr>
          <w:rFonts w:ascii="Verdana" w:eastAsia="Calibri" w:hAnsi="Verdana" w:cs="Arial"/>
        </w:rPr>
        <w:t xml:space="preserve"> </w:t>
      </w:r>
      <w:r w:rsidRPr="00BE5865">
        <w:rPr>
          <w:rFonts w:ascii="Verdana" w:eastAsia="Calibri" w:hAnsi="Verdana" w:cs="Arial"/>
        </w:rPr>
        <w:t>del Código de Comercio define que las sociedades son personas jurídicas distintas de los socios que las integran y actúan por medio de sus representantes legales, quienes expresan su voluntad frente a terceros.</w:t>
      </w:r>
    </w:p>
    <w:bookmarkEnd w:id="3"/>
    <w:p w14:paraId="1348BF7C" w14:textId="77777777" w:rsidR="00FB7971" w:rsidRDefault="00FB7971" w:rsidP="00FB7971">
      <w:pPr>
        <w:spacing w:after="0" w:line="276" w:lineRule="auto"/>
        <w:ind w:firstLine="708"/>
        <w:jc w:val="both"/>
        <w:rPr>
          <w:rFonts w:ascii="Verdana" w:eastAsia="Calibri" w:hAnsi="Verdana" w:cs="Arial"/>
        </w:rPr>
      </w:pPr>
      <w:r>
        <w:rPr>
          <w:rFonts w:ascii="Verdana" w:eastAsia="Calibri" w:hAnsi="Verdana" w:cs="Arial"/>
        </w:rPr>
        <w:t xml:space="preserve">En cuanto a la naturaleza y noción del concepto de la representación legal, la Superintendencia de Sociedades, citando al tratadista </w:t>
      </w:r>
      <w:r w:rsidRPr="007944DB">
        <w:rPr>
          <w:rFonts w:ascii="Verdana" w:eastAsia="Calibri" w:hAnsi="Verdana" w:cs="Arial"/>
        </w:rPr>
        <w:t>Reyes Villamizar</w:t>
      </w:r>
      <w:r>
        <w:rPr>
          <w:rStyle w:val="Refdenotaalpie"/>
          <w:rFonts w:ascii="Verdana" w:eastAsia="Calibri" w:hAnsi="Verdana" w:cs="Arial"/>
        </w:rPr>
        <w:footnoteReference w:id="4"/>
      </w:r>
      <w:r>
        <w:rPr>
          <w:rFonts w:ascii="Verdana" w:eastAsia="Calibri" w:hAnsi="Verdana" w:cs="Arial"/>
        </w:rPr>
        <w:t>, expresó lo siguiente:</w:t>
      </w:r>
    </w:p>
    <w:p w14:paraId="68E6B1F7" w14:textId="77777777" w:rsidR="00FB7971" w:rsidRDefault="00FB7971" w:rsidP="00FB7971">
      <w:pPr>
        <w:spacing w:after="0" w:line="276" w:lineRule="auto"/>
        <w:ind w:firstLine="708"/>
        <w:jc w:val="both"/>
        <w:rPr>
          <w:rFonts w:ascii="Verdana" w:eastAsia="Calibri" w:hAnsi="Verdana" w:cs="Arial"/>
        </w:rPr>
      </w:pPr>
    </w:p>
    <w:p w14:paraId="75463A3A" w14:textId="77777777" w:rsidR="00FB7971" w:rsidRDefault="00FB7971" w:rsidP="00FB7971">
      <w:pPr>
        <w:spacing w:after="120" w:line="240" w:lineRule="auto"/>
        <w:ind w:left="709" w:right="709"/>
        <w:jc w:val="both"/>
        <w:rPr>
          <w:rFonts w:ascii="Verdana" w:hAnsi="Verdana" w:cs="Arial"/>
          <w:sz w:val="21"/>
          <w:szCs w:val="21"/>
        </w:rPr>
      </w:pPr>
      <w:r>
        <w:rPr>
          <w:rFonts w:ascii="Verdana" w:hAnsi="Verdana" w:cs="Arial"/>
          <w:sz w:val="21"/>
          <w:szCs w:val="21"/>
        </w:rPr>
        <w:t>“</w:t>
      </w:r>
      <w:r w:rsidRPr="007944DB">
        <w:rPr>
          <w:rFonts w:ascii="Verdana" w:hAnsi="Verdana" w:cs="Arial"/>
          <w:sz w:val="21"/>
          <w:szCs w:val="21"/>
        </w:rPr>
        <w:t>el representante legal es la persona encargada de representar a la sociedad ante terceros, pues entre sus facultades más importantes está la de celebrar o ejecutar todos los actos o contratos comprendidos dentro del objeto social o que se relacionen con la existencia y funcionamiento de la sociedad, teniendo en cuenta las obligaciones y prohibiciones establecidas en la Ley y los estatutos.</w:t>
      </w:r>
    </w:p>
    <w:p w14:paraId="2234B9AF" w14:textId="77777777" w:rsidR="00FB7971" w:rsidRDefault="00FB7971" w:rsidP="00FB7971">
      <w:pPr>
        <w:spacing w:after="120" w:line="240" w:lineRule="auto"/>
        <w:ind w:left="709" w:right="709"/>
        <w:jc w:val="both"/>
        <w:rPr>
          <w:rFonts w:ascii="Verdana" w:hAnsi="Verdana" w:cs="Arial"/>
          <w:sz w:val="21"/>
          <w:szCs w:val="21"/>
        </w:rPr>
      </w:pPr>
      <w:r>
        <w:rPr>
          <w:rFonts w:ascii="Verdana" w:hAnsi="Verdana" w:cs="Arial"/>
          <w:sz w:val="21"/>
          <w:szCs w:val="21"/>
        </w:rPr>
        <w:t>[…]</w:t>
      </w:r>
    </w:p>
    <w:p w14:paraId="5BC436BB" w14:textId="77777777" w:rsidR="00FB7971" w:rsidRDefault="00FB7971" w:rsidP="00FB7971">
      <w:pPr>
        <w:spacing w:after="120" w:line="240" w:lineRule="auto"/>
        <w:ind w:left="709" w:right="709"/>
        <w:jc w:val="both"/>
        <w:rPr>
          <w:rFonts w:ascii="Verdana" w:hAnsi="Verdana" w:cs="Arial"/>
          <w:sz w:val="21"/>
          <w:szCs w:val="21"/>
        </w:rPr>
      </w:pPr>
      <w:r w:rsidRPr="009C10ED">
        <w:rPr>
          <w:rFonts w:ascii="Verdana" w:hAnsi="Verdana" w:cs="Arial"/>
          <w:sz w:val="21"/>
          <w:szCs w:val="21"/>
        </w:rPr>
        <w:t xml:space="preserve">El artículo 23 de la Ley 222 de 1995, señala que en el ejercicio de las funciones asignadas a los administradores, entre ellos al representante legal (Art. 22 ibídem), les corresponde entre otras la de “Realizar los esfuerzos conducentes al adecuado desarrollo del objeto social” y "Velar por el estricto cumplimiento de las disposiciones legales o estatutarias", atribuciones que deben observarse bajo los principios de buena fe, lealtad y la diligencia de un buen hombre de negocios. </w:t>
      </w:r>
      <w:r>
        <w:rPr>
          <w:rFonts w:ascii="Verdana" w:hAnsi="Verdana" w:cs="Arial"/>
          <w:sz w:val="21"/>
          <w:szCs w:val="21"/>
        </w:rPr>
        <w:t>[…]</w:t>
      </w:r>
    </w:p>
    <w:p w14:paraId="11747AB4" w14:textId="77777777" w:rsidR="00FB7971" w:rsidRDefault="00FB7971" w:rsidP="00FB7971">
      <w:pPr>
        <w:spacing w:after="0" w:line="240" w:lineRule="auto"/>
        <w:ind w:left="709" w:right="709"/>
        <w:jc w:val="both"/>
        <w:rPr>
          <w:rFonts w:ascii="Verdana" w:hAnsi="Verdana" w:cs="Arial"/>
          <w:sz w:val="21"/>
          <w:szCs w:val="21"/>
        </w:rPr>
      </w:pPr>
      <w:r w:rsidRPr="009C10ED">
        <w:rPr>
          <w:rFonts w:ascii="Verdana" w:hAnsi="Verdana" w:cs="Arial"/>
          <w:sz w:val="21"/>
          <w:szCs w:val="21"/>
        </w:rPr>
        <w:t>Es así como la representación legal no puede delegarse ni en un asociado ni en un tercero ajeno a la sociedad</w:t>
      </w:r>
      <w:r>
        <w:rPr>
          <w:rStyle w:val="Refdenotaalpie"/>
          <w:rFonts w:ascii="Verdana" w:hAnsi="Verdana" w:cs="Arial"/>
          <w:sz w:val="21"/>
          <w:szCs w:val="21"/>
        </w:rPr>
        <w:footnoteReference w:id="5"/>
      </w:r>
      <w:r>
        <w:rPr>
          <w:rFonts w:ascii="Verdana" w:hAnsi="Verdana" w:cs="Arial"/>
          <w:sz w:val="21"/>
          <w:szCs w:val="21"/>
        </w:rPr>
        <w:t>”.</w:t>
      </w:r>
    </w:p>
    <w:p w14:paraId="3C940BE8" w14:textId="77777777" w:rsidR="00FB7971" w:rsidRDefault="00FB7971" w:rsidP="00FB7971">
      <w:pPr>
        <w:spacing w:after="0" w:line="240" w:lineRule="auto"/>
        <w:ind w:left="709" w:right="709"/>
        <w:jc w:val="both"/>
        <w:rPr>
          <w:rFonts w:ascii="Verdana" w:hAnsi="Verdana" w:cs="Arial"/>
          <w:sz w:val="21"/>
          <w:szCs w:val="21"/>
        </w:rPr>
      </w:pPr>
    </w:p>
    <w:p w14:paraId="169985D2" w14:textId="77777777" w:rsidR="00FB7971" w:rsidRPr="003527A3" w:rsidRDefault="00FB7971" w:rsidP="00FB7971">
      <w:pPr>
        <w:spacing w:after="120" w:line="276" w:lineRule="auto"/>
        <w:ind w:firstLine="708"/>
        <w:jc w:val="both"/>
        <w:rPr>
          <w:rFonts w:ascii="Verdana" w:eastAsia="Calibri" w:hAnsi="Verdana" w:cs="Arial"/>
          <w:bCs/>
          <w:color w:val="000000" w:themeColor="text1"/>
        </w:rPr>
      </w:pPr>
      <w:r w:rsidRPr="003527A3">
        <w:rPr>
          <w:rFonts w:ascii="Verdana" w:eastAsia="Calibri" w:hAnsi="Verdana" w:cs="Arial"/>
          <w:bCs/>
          <w:color w:val="000000" w:themeColor="text1"/>
        </w:rPr>
        <w:t>Ante el panorama expuesto, resulta necesario precisar</w:t>
      </w:r>
      <w:r>
        <w:rPr>
          <w:rFonts w:ascii="Verdana" w:eastAsia="Calibri" w:hAnsi="Verdana" w:cs="Arial"/>
          <w:bCs/>
          <w:color w:val="000000" w:themeColor="text1"/>
        </w:rPr>
        <w:t xml:space="preserve"> que</w:t>
      </w:r>
      <w:r w:rsidRPr="003527A3">
        <w:rPr>
          <w:rFonts w:ascii="Verdana" w:eastAsia="Calibri" w:hAnsi="Verdana" w:cs="Arial"/>
          <w:bCs/>
          <w:color w:val="000000" w:themeColor="text1"/>
        </w:rPr>
        <w:t xml:space="preserve"> la naturaleza jurídica de la relación contractual entre la entidad estatal y el contratista </w:t>
      </w:r>
      <w:r>
        <w:rPr>
          <w:rFonts w:ascii="Verdana" w:eastAsia="Calibri" w:hAnsi="Verdana" w:cs="Arial"/>
          <w:bCs/>
          <w:color w:val="000000" w:themeColor="text1"/>
        </w:rPr>
        <w:t xml:space="preserve">se configura </w:t>
      </w:r>
      <w:r w:rsidRPr="003527A3">
        <w:rPr>
          <w:rFonts w:ascii="Verdana" w:eastAsia="Calibri" w:hAnsi="Verdana" w:cs="Arial"/>
          <w:bCs/>
          <w:color w:val="000000" w:themeColor="text1"/>
        </w:rPr>
        <w:t xml:space="preserve">cuando este último actúa bajo la forma de una persona jurídica. En efecto, el contrato estatal se perfecciona y ejecuta con la sociedad como sujeto </w:t>
      </w:r>
      <w:r w:rsidRPr="003527A3">
        <w:rPr>
          <w:rFonts w:ascii="Verdana" w:eastAsia="Calibri" w:hAnsi="Verdana" w:cs="Arial"/>
          <w:bCs/>
          <w:color w:val="000000" w:themeColor="text1"/>
        </w:rPr>
        <w:lastRenderedPageBreak/>
        <w:t>de derecho, dotada de personalidad jurídica propia y distinta de la de sus socios, administradores o representantes legales.</w:t>
      </w:r>
      <w:r>
        <w:rPr>
          <w:rFonts w:ascii="Verdana" w:eastAsia="Calibri" w:hAnsi="Verdana" w:cs="Arial"/>
          <w:bCs/>
          <w:color w:val="000000" w:themeColor="text1"/>
        </w:rPr>
        <w:t xml:space="preserve"> </w:t>
      </w:r>
      <w:r w:rsidRPr="003527A3">
        <w:rPr>
          <w:rFonts w:ascii="Verdana" w:eastAsia="Calibri" w:hAnsi="Verdana" w:cs="Arial"/>
          <w:bCs/>
          <w:color w:val="000000" w:themeColor="text1"/>
        </w:rPr>
        <w:t>En esa medida, el representante legal no es parte del contrato en calidad personal, sino el órgano de representación a través del cual la persona jurídica manifiesta su voluntad y asume compromisos frente a terceros, incluida la Administración. Su actuación vincula a la sociedad, pero no la sustituye ni se confunde con ella.</w:t>
      </w:r>
    </w:p>
    <w:p w14:paraId="1AAF8828" w14:textId="77777777" w:rsidR="00FB7971" w:rsidRPr="003527A3" w:rsidRDefault="00FB7971" w:rsidP="00FB7971">
      <w:pPr>
        <w:spacing w:after="120" w:line="276" w:lineRule="auto"/>
        <w:ind w:firstLine="708"/>
        <w:jc w:val="both"/>
        <w:rPr>
          <w:rFonts w:ascii="Verdana" w:eastAsia="Calibri" w:hAnsi="Verdana" w:cs="Arial"/>
          <w:bCs/>
          <w:color w:val="000000" w:themeColor="text1"/>
        </w:rPr>
      </w:pPr>
      <w:r w:rsidRPr="003527A3">
        <w:rPr>
          <w:rFonts w:ascii="Verdana" w:eastAsia="Calibri" w:hAnsi="Verdana" w:cs="Arial"/>
          <w:bCs/>
          <w:color w:val="000000" w:themeColor="text1"/>
        </w:rPr>
        <w:t>Así, el fallecimiento del representante legal no extingue ni altera la existencia jurídica del contratista, ni genera la disolución automática de la persona jurídica, toda vez que esta conserva su capacidad plena para continuar con el cumplimiento de sus obligaciones contractuales. Lo anterior encuentra respaldo en los principios de continuidad y autonomía patrimonial que rigen a las sociedades mercantiles, según los cuales la personalidad jurídica persiste mientras no se configure una causal legal o estatutaria de disolución.</w:t>
      </w:r>
    </w:p>
    <w:p w14:paraId="5B072937" w14:textId="77777777" w:rsidR="00FB7971" w:rsidRPr="003527A3" w:rsidRDefault="00FB7971" w:rsidP="00FB7971">
      <w:pPr>
        <w:spacing w:after="120" w:line="276" w:lineRule="auto"/>
        <w:ind w:firstLine="708"/>
        <w:jc w:val="both"/>
        <w:rPr>
          <w:rFonts w:ascii="Verdana" w:eastAsia="Calibri" w:hAnsi="Verdana" w:cs="Arial"/>
          <w:bCs/>
          <w:color w:val="000000" w:themeColor="text1"/>
        </w:rPr>
      </w:pPr>
      <w:r w:rsidRPr="003527A3">
        <w:rPr>
          <w:rFonts w:ascii="Verdana" w:eastAsia="Calibri" w:hAnsi="Verdana" w:cs="Arial"/>
          <w:bCs/>
          <w:color w:val="000000" w:themeColor="text1"/>
        </w:rPr>
        <w:t>Ahora bien, el derecho societario colombiano ha previsto mecanismos específicos para garantizar la continuidad funcional de la representación legal en casos de falta absoluta, entre ellos la figura de la suplencia. Esta tiene por finalidad asegurar que la sociedad nunca quede carente de representación, de modo que los negocios jurídicos y relaciones contractuales puedan mantenerse sin interrupción.</w:t>
      </w:r>
    </w:p>
    <w:p w14:paraId="3CC51625" w14:textId="77777777" w:rsidR="00FB7971" w:rsidRPr="003527A3" w:rsidRDefault="00FB7971" w:rsidP="00FB7971">
      <w:pPr>
        <w:spacing w:after="120" w:line="276" w:lineRule="auto"/>
        <w:ind w:firstLine="708"/>
        <w:jc w:val="both"/>
        <w:rPr>
          <w:rFonts w:ascii="Verdana" w:eastAsia="Calibri" w:hAnsi="Verdana" w:cs="Arial"/>
          <w:bCs/>
          <w:color w:val="000000" w:themeColor="text1"/>
        </w:rPr>
      </w:pPr>
      <w:r w:rsidRPr="003527A3">
        <w:rPr>
          <w:rFonts w:ascii="Verdana" w:eastAsia="Calibri" w:hAnsi="Verdana" w:cs="Arial"/>
          <w:bCs/>
          <w:color w:val="000000" w:themeColor="text1"/>
        </w:rPr>
        <w:t>La Corte Constitucional, en la Sentencia C-621 de 2003, reconoció la relevancia de esta institución al precisar que, ante la ausencia del representante legal, los órganos sociales competentes están obligados a designar y registrar el reemplazo dentro de un plazo razonable, que no puede exceder de treinta (30) días contados desde la ocurrencia del hecho que origine la vacancia. En igual sentido, la Superintendencia de Sociedades, mediante el Oficio 220-229540 del 18 de octubre de 2022</w:t>
      </w:r>
      <w:r>
        <w:rPr>
          <w:rStyle w:val="Refdenotaalpie"/>
          <w:rFonts w:ascii="Verdana" w:eastAsia="Calibri" w:hAnsi="Verdana" w:cs="Arial"/>
          <w:bCs/>
          <w:color w:val="000000" w:themeColor="text1"/>
        </w:rPr>
        <w:footnoteReference w:id="6"/>
      </w:r>
      <w:r w:rsidRPr="003527A3">
        <w:rPr>
          <w:rFonts w:ascii="Verdana" w:eastAsia="Calibri" w:hAnsi="Verdana" w:cs="Arial"/>
          <w:bCs/>
          <w:color w:val="000000" w:themeColor="text1"/>
        </w:rPr>
        <w:t>, señaló que la omisión en el nombramiento y registro del nuevo representante puede dar lugar a sanciones por incumplimiento de los deberes legales de administración.</w:t>
      </w:r>
    </w:p>
    <w:p w14:paraId="6FEF6A3F" w14:textId="77777777" w:rsidR="00FB7971" w:rsidRDefault="00FB7971" w:rsidP="00FB7971">
      <w:pPr>
        <w:spacing w:after="120" w:line="276" w:lineRule="auto"/>
        <w:ind w:firstLine="708"/>
        <w:jc w:val="both"/>
        <w:rPr>
          <w:rFonts w:ascii="Verdana" w:eastAsia="Calibri" w:hAnsi="Verdana" w:cs="Arial"/>
          <w:bCs/>
          <w:color w:val="000000" w:themeColor="text1"/>
        </w:rPr>
      </w:pPr>
      <w:r w:rsidRPr="003527A3">
        <w:rPr>
          <w:rFonts w:ascii="Verdana" w:eastAsia="Calibri" w:hAnsi="Verdana" w:cs="Arial"/>
          <w:bCs/>
          <w:color w:val="000000" w:themeColor="text1"/>
        </w:rPr>
        <w:t xml:space="preserve">De este modo, el fallecimiento del representante legal constituye un hecho de gobierno societario interno que debe ser atendido por los órganos de administración de la sociedad contratista, pero no afecta por sí mismo la validez, vigencia ni ejecución del contrato estatal, ni habilita </w:t>
      </w:r>
      <w:r>
        <w:rPr>
          <w:rFonts w:ascii="Verdana" w:eastAsia="Calibri" w:hAnsi="Verdana" w:cs="Arial"/>
          <w:bCs/>
          <w:color w:val="000000" w:themeColor="text1"/>
        </w:rPr>
        <w:t xml:space="preserve">de manera automática </w:t>
      </w:r>
      <w:r w:rsidRPr="003527A3">
        <w:rPr>
          <w:rFonts w:ascii="Verdana" w:eastAsia="Calibri" w:hAnsi="Verdana" w:cs="Arial"/>
          <w:bCs/>
          <w:color w:val="000000" w:themeColor="text1"/>
        </w:rPr>
        <w:t xml:space="preserve">la </w:t>
      </w:r>
      <w:r w:rsidRPr="003527A3">
        <w:rPr>
          <w:rFonts w:ascii="Verdana" w:eastAsia="Calibri" w:hAnsi="Verdana" w:cs="Arial"/>
          <w:bCs/>
          <w:color w:val="000000" w:themeColor="text1"/>
        </w:rPr>
        <w:lastRenderedPageBreak/>
        <w:t>aplicación de figuras como la cesión del contrato o la cesión de derechos económicos, cuya procedencia obedece a circunstancias jurídicas distintas y requieren, además, el consentimiento expreso de las partes involucrada</w:t>
      </w:r>
      <w:r>
        <w:rPr>
          <w:rFonts w:ascii="Verdana" w:eastAsia="Calibri" w:hAnsi="Verdana" w:cs="Arial"/>
          <w:bCs/>
          <w:color w:val="000000" w:themeColor="text1"/>
        </w:rPr>
        <w:t>s.</w:t>
      </w:r>
    </w:p>
    <w:p w14:paraId="4ECBE6CD" w14:textId="77777777" w:rsidR="00FB7971" w:rsidRDefault="00FB7971" w:rsidP="00FB7971">
      <w:pPr>
        <w:spacing w:after="120" w:line="276" w:lineRule="auto"/>
        <w:ind w:firstLine="708"/>
        <w:jc w:val="both"/>
        <w:rPr>
          <w:rFonts w:ascii="Verdana" w:eastAsia="Calibri" w:hAnsi="Verdana" w:cs="Arial"/>
          <w:bCs/>
          <w:color w:val="000000" w:themeColor="text1"/>
        </w:rPr>
      </w:pPr>
      <w:r w:rsidRPr="00822D96">
        <w:rPr>
          <w:rFonts w:ascii="Verdana" w:eastAsia="Calibri" w:hAnsi="Verdana" w:cs="Arial"/>
          <w:bCs/>
          <w:color w:val="000000" w:themeColor="text1"/>
        </w:rPr>
        <w:t>En todo caso, dado que las consideraciones expuestas en el presente concepto no constituyen un pronunciamiento sobre situaciones de carácter particular ni implican la asesoría específica en los procedimientos contractuales que adelante la entidad consultante, resulta pertinente precisar la noción y el alcance que esta Agencia ha reconocido respecto de las figuras de cesión del contrato y cesión de derechos económicos del contrato, con el fin de ofrecer una orientación general a los partícipes del Sistema de Compra Pública para la adecuada toma de decisiones conforme a los supuestos analizados.</w:t>
      </w:r>
    </w:p>
    <w:p w14:paraId="7F62204F" w14:textId="77777777" w:rsidR="00FB7971" w:rsidRPr="004C544B" w:rsidRDefault="00FB7971" w:rsidP="00FB7971">
      <w:pPr>
        <w:spacing w:after="0" w:line="276" w:lineRule="auto"/>
        <w:jc w:val="both"/>
        <w:rPr>
          <w:rFonts w:ascii="Verdana" w:hAnsi="Verdana" w:cs="Arial"/>
        </w:rPr>
      </w:pPr>
      <w:r>
        <w:rPr>
          <w:rFonts w:ascii="Verdana" w:eastAsia="Calibri" w:hAnsi="Verdana" w:cs="Arial"/>
          <w:bCs/>
          <w:color w:val="000000" w:themeColor="text1"/>
        </w:rPr>
        <w:t>ii. Por un lado, c</w:t>
      </w:r>
      <w:r w:rsidRPr="004C544B">
        <w:rPr>
          <w:rFonts w:ascii="Verdana" w:eastAsia="Calibri" w:hAnsi="Verdana" w:cs="Arial"/>
          <w:bCs/>
          <w:color w:val="000000" w:themeColor="text1"/>
        </w:rPr>
        <w:t xml:space="preserve">onforme a los artículos 887 y siguientes del Código de Comercio, la </w:t>
      </w:r>
      <w:r w:rsidRPr="00AF24C9">
        <w:rPr>
          <w:rFonts w:ascii="Verdana" w:eastAsia="Calibri" w:hAnsi="Verdana" w:cs="Arial"/>
          <w:bCs/>
          <w:i/>
          <w:iCs/>
          <w:color w:val="000000" w:themeColor="text1"/>
        </w:rPr>
        <w:t>cesión de los contratos</w:t>
      </w:r>
      <w:r w:rsidRPr="004C544B">
        <w:rPr>
          <w:rFonts w:ascii="Verdana" w:eastAsia="Calibri" w:hAnsi="Verdana" w:cs="Arial"/>
          <w:bCs/>
          <w:color w:val="000000" w:themeColor="text1"/>
        </w:rPr>
        <w:t xml:space="preserve">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4C544B">
        <w:rPr>
          <w:rStyle w:val="Refdenotaalpie"/>
          <w:rFonts w:ascii="Verdana" w:eastAsia="Calibri" w:hAnsi="Verdana" w:cs="Arial"/>
          <w:bCs/>
          <w:color w:val="000000" w:themeColor="text1"/>
        </w:rPr>
        <w:footnoteReference w:id="7"/>
      </w:r>
      <w:r w:rsidRPr="004C544B">
        <w:rPr>
          <w:rFonts w:ascii="Verdana" w:eastAsia="Calibri" w:hAnsi="Verdana" w:cs="Arial"/>
          <w:bCs/>
          <w:color w:val="000000" w:themeColor="text1"/>
        </w:rPr>
        <w:t>.</w:t>
      </w:r>
      <w:r w:rsidRPr="004C544B">
        <w:rPr>
          <w:rFonts w:ascii="Verdana" w:eastAsia="Calibri" w:hAnsi="Verdana" w:cs="Arial"/>
          <w:color w:val="000000" w:themeColor="text1"/>
        </w:rPr>
        <w:t xml:space="preserve"> </w:t>
      </w:r>
      <w:r w:rsidRPr="004C544B">
        <w:rPr>
          <w:rFonts w:ascii="Verdana" w:hAnsi="Verdana" w:cs="Arial"/>
        </w:rPr>
        <w:t>Para la doctrina:</w:t>
      </w:r>
    </w:p>
    <w:p w14:paraId="727E6EBB" w14:textId="77777777" w:rsidR="00FB7971" w:rsidRPr="004C544B" w:rsidRDefault="00FB7971" w:rsidP="00FB7971">
      <w:pPr>
        <w:spacing w:after="0" w:line="276" w:lineRule="auto"/>
        <w:ind w:firstLine="708"/>
        <w:jc w:val="both"/>
        <w:rPr>
          <w:rFonts w:ascii="Verdana" w:hAnsi="Verdana" w:cs="Arial"/>
        </w:rPr>
      </w:pPr>
    </w:p>
    <w:p w14:paraId="776AFBD5" w14:textId="77777777" w:rsidR="00FB7971" w:rsidRPr="004C544B" w:rsidRDefault="00FB7971" w:rsidP="00FB7971">
      <w:pPr>
        <w:spacing w:after="120" w:line="240" w:lineRule="auto"/>
        <w:ind w:left="709" w:right="709"/>
        <w:jc w:val="both"/>
        <w:rPr>
          <w:rFonts w:ascii="Verdana" w:eastAsia="Calibri" w:hAnsi="Verdana" w:cs="Arial"/>
          <w:color w:val="000000" w:themeColor="text1"/>
          <w:sz w:val="21"/>
          <w:szCs w:val="21"/>
        </w:rPr>
      </w:pPr>
      <w:r w:rsidRPr="004C544B">
        <w:rPr>
          <w:rFonts w:ascii="Verdana" w:hAnsi="Verdana" w:cs="Arial"/>
          <w:sz w:val="21"/>
          <w:szCs w:val="21"/>
        </w:rPr>
        <w:t xml:space="preserve">“La cesión de contrato (presupuesto éste último como </w:t>
      </w:r>
      <w:r w:rsidRPr="004C544B">
        <w:rPr>
          <w:rFonts w:ascii="Verdana" w:hAnsi="Verdana" w:cs="Arial"/>
          <w:i/>
          <w:iCs/>
          <w:sz w:val="21"/>
          <w:szCs w:val="21"/>
        </w:rPr>
        <w:t>bilateral</w:t>
      </w:r>
      <w:r w:rsidRPr="004C544B">
        <w:rPr>
          <w:rFonts w:ascii="Verdana" w:hAnsi="Verdana" w:cs="Arial"/>
          <w:sz w:val="21"/>
          <w:szCs w:val="21"/>
        </w:rPr>
        <w:t xml:space="preserve">, al menos en la configuración típica de la institución) es el instrumento que permite realizar la llamada </w:t>
      </w:r>
      <w:r w:rsidRPr="004C544B">
        <w:rPr>
          <w:rFonts w:ascii="Verdana" w:hAnsi="Verdana" w:cs="Arial"/>
          <w:i/>
          <w:iCs/>
          <w:sz w:val="21"/>
          <w:szCs w:val="21"/>
        </w:rPr>
        <w:t>circulación del contrato</w:t>
      </w:r>
      <w:r w:rsidRPr="004C544B">
        <w:rPr>
          <w:rFonts w:ascii="Verdana" w:hAnsi="Verdana" w:cs="Arial"/>
          <w:sz w:val="21"/>
          <w:szCs w:val="21"/>
        </w:rPr>
        <w:t xml:space="preserve">, es decir, la transferencia negocial a un tercero (llamado </w:t>
      </w:r>
      <w:r w:rsidRPr="004C544B">
        <w:rPr>
          <w:rFonts w:ascii="Verdana" w:hAnsi="Verdana" w:cs="Arial"/>
          <w:i/>
          <w:iCs/>
          <w:sz w:val="21"/>
          <w:szCs w:val="21"/>
        </w:rPr>
        <w:t>cesionario</w:t>
      </w:r>
      <w:r w:rsidRPr="004C544B">
        <w:rPr>
          <w:rFonts w:ascii="Verdana" w:hAnsi="Verdana" w:cs="Arial"/>
          <w:sz w:val="21"/>
          <w:szCs w:val="21"/>
        </w:rPr>
        <w:t xml:space="preserve">) del conjunto de posiciones contractuales (entendido como resultante unitario de derechos y obligaciones orgánicamente interdependientes), constituida en la persona de uno de los originarios contratantes (llamado </w:t>
      </w:r>
      <w:r w:rsidRPr="004C544B">
        <w:rPr>
          <w:rFonts w:ascii="Verdana" w:hAnsi="Verdana" w:cs="Arial"/>
          <w:i/>
          <w:iCs/>
          <w:sz w:val="21"/>
          <w:szCs w:val="21"/>
        </w:rPr>
        <w:t>cedente</w:t>
      </w:r>
      <w:r w:rsidRPr="004C544B">
        <w:rPr>
          <w:rFonts w:ascii="Verdana" w:hAnsi="Verdana" w:cs="Arial"/>
          <w:sz w:val="21"/>
          <w:szCs w:val="21"/>
        </w:rPr>
        <w:t xml:space="preserve">); de tal forma que, a través de esa sustitución </w:t>
      </w:r>
      <w:r w:rsidRPr="004C544B">
        <w:rPr>
          <w:rFonts w:ascii="Verdana" w:hAnsi="Verdana" w:cs="Arial"/>
          <w:i/>
          <w:iCs/>
          <w:sz w:val="21"/>
          <w:szCs w:val="21"/>
        </w:rPr>
        <w:t>negocial</w:t>
      </w:r>
      <w:r w:rsidRPr="004C544B">
        <w:rPr>
          <w:rFonts w:ascii="Verdana" w:hAnsi="Verdana" w:cs="Arial"/>
          <w:sz w:val="21"/>
          <w:szCs w:val="21"/>
        </w:rPr>
        <w:t xml:space="preserve"> del tercero en la posición de ‘parte’ del contrato, en lugar del cedente, dicho tercero subentra en la totalidad de los derechos y obligaciones que en su orgánica interdependencia se derivan del contrato estipulado por el cedente.</w:t>
      </w:r>
    </w:p>
    <w:p w14:paraId="5E4C1CFA" w14:textId="77777777" w:rsidR="00FB7971" w:rsidRPr="004C544B" w:rsidRDefault="00FB7971" w:rsidP="00FB7971">
      <w:pPr>
        <w:spacing w:after="0" w:line="240" w:lineRule="auto"/>
        <w:ind w:left="709" w:right="709"/>
        <w:jc w:val="both"/>
        <w:rPr>
          <w:rFonts w:ascii="Verdana" w:hAnsi="Verdana" w:cs="Arial"/>
          <w:sz w:val="21"/>
          <w:szCs w:val="21"/>
        </w:rPr>
      </w:pPr>
      <w:r w:rsidRPr="004C544B">
        <w:rPr>
          <w:rFonts w:ascii="Verdana" w:hAnsi="Verdana" w:cs="Arial"/>
          <w:sz w:val="21"/>
          <w:szCs w:val="21"/>
        </w:rPr>
        <w:lastRenderedPageBreak/>
        <w:t xml:space="preserve">A este respecto justamente se ha notado que el tráfico considera aquí los contratos sobre todo como </w:t>
      </w:r>
      <w:r w:rsidRPr="004C544B">
        <w:rPr>
          <w:rFonts w:ascii="Verdana" w:hAnsi="Verdana" w:cs="Arial"/>
          <w:i/>
          <w:iCs/>
          <w:sz w:val="21"/>
          <w:szCs w:val="21"/>
        </w:rPr>
        <w:t>valores económicos</w:t>
      </w:r>
      <w:r w:rsidRPr="004C544B">
        <w:rPr>
          <w:rFonts w:ascii="Verdana" w:hAnsi="Verdana" w:cs="Arial"/>
          <w:sz w:val="21"/>
          <w:szCs w:val="21"/>
        </w:rPr>
        <w:t xml:space="preserve">, idóneos como tales para una determinada forma de circulación: en consideración a la utilidad futura a que el contrato está encaminado a procurar, la práctica atribuye al mismo contrato un valor económico actual, considerándolo, por tanto, como un bien capaz de circular. Ahora bien; el Derecho apresta, precisamente, el instrumento para tal circulación en cuanto admite que uno de los originarios contratantes pueda transferir a un tercero, con el consentimiento imprescindible del otro contratante original (llamado </w:t>
      </w:r>
      <w:r w:rsidRPr="004C544B">
        <w:rPr>
          <w:rFonts w:ascii="Verdana" w:hAnsi="Verdana" w:cs="Arial"/>
          <w:i/>
          <w:iCs/>
          <w:sz w:val="21"/>
          <w:szCs w:val="21"/>
        </w:rPr>
        <w:t>contratante cedido</w:t>
      </w:r>
      <w:r w:rsidRPr="004C544B">
        <w:rPr>
          <w:rFonts w:ascii="Verdana" w:hAnsi="Verdana" w:cs="Arial"/>
          <w:sz w:val="21"/>
          <w:szCs w:val="21"/>
        </w:rPr>
        <w:t>), la relación contractual entera, como conjunto de derecho y obligaciones, como única resultante de elementos activos y pasivos […]”</w:t>
      </w:r>
      <w:r w:rsidRPr="004C544B">
        <w:rPr>
          <w:rStyle w:val="Refdenotaalpie"/>
          <w:rFonts w:ascii="Verdana" w:hAnsi="Verdana" w:cs="Arial"/>
          <w:color w:val="000000" w:themeColor="text1"/>
          <w:sz w:val="21"/>
          <w:szCs w:val="21"/>
        </w:rPr>
        <w:footnoteReference w:id="8"/>
      </w:r>
      <w:r w:rsidRPr="004C544B">
        <w:rPr>
          <w:rFonts w:ascii="Verdana" w:hAnsi="Verdana" w:cs="Arial"/>
          <w:sz w:val="21"/>
          <w:szCs w:val="21"/>
        </w:rPr>
        <w:t>.</w:t>
      </w:r>
    </w:p>
    <w:p w14:paraId="290093BD" w14:textId="77777777" w:rsidR="00FB7971" w:rsidRPr="004C544B" w:rsidRDefault="00FB7971" w:rsidP="00FB7971">
      <w:pPr>
        <w:spacing w:after="0" w:line="276" w:lineRule="auto"/>
        <w:ind w:left="709" w:right="709"/>
        <w:jc w:val="both"/>
        <w:rPr>
          <w:rFonts w:ascii="Verdana" w:eastAsia="Calibri" w:hAnsi="Verdana" w:cs="Arial"/>
          <w:color w:val="000000" w:themeColor="text1"/>
        </w:rPr>
      </w:pPr>
    </w:p>
    <w:p w14:paraId="1630893D" w14:textId="77777777" w:rsidR="00FB7971" w:rsidRPr="004C544B" w:rsidRDefault="00FB7971" w:rsidP="00FB7971">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subentra en la relación con el cedido […]”</w:t>
      </w:r>
      <w:r w:rsidRPr="004C544B">
        <w:rPr>
          <w:rStyle w:val="Refdenotaalpie"/>
          <w:rFonts w:ascii="Verdana" w:eastAsia="Calibri" w:hAnsi="Verdana" w:cs="Arial"/>
          <w:color w:val="000000" w:themeColor="text1"/>
        </w:rPr>
        <w:footnoteReference w:id="9"/>
      </w:r>
      <w:r w:rsidRPr="004C544B">
        <w:rPr>
          <w:rFonts w:ascii="Verdana" w:eastAsia="Calibri" w:hAnsi="Verdana" w:cs="Arial"/>
          <w:color w:val="000000" w:themeColor="text1"/>
        </w:rPr>
        <w:t>. Por otro, “[…] es la transferencia de la posición contractual de un contratante a otro sujeto, que le subentra en la relación con la contraparte […]”</w:t>
      </w:r>
      <w:r w:rsidRPr="004C544B">
        <w:rPr>
          <w:rStyle w:val="Refdenotaalpie"/>
          <w:rFonts w:ascii="Verdana" w:eastAsia="Calibri" w:hAnsi="Verdana" w:cs="Arial"/>
          <w:color w:val="000000" w:themeColor="text1"/>
        </w:rPr>
        <w:footnoteReference w:id="10"/>
      </w:r>
      <w:r w:rsidRPr="004C544B">
        <w:rPr>
          <w:rFonts w:ascii="Verdana" w:eastAsia="Calibri" w:hAnsi="Verdana" w:cs="Arial"/>
          <w:color w:val="000000" w:themeColor="text1"/>
        </w:rPr>
        <w:t xml:space="preserve">. De esta manera, </w:t>
      </w:r>
      <w:r w:rsidRPr="004C544B">
        <w:rPr>
          <w:rFonts w:ascii="Verdana" w:hAnsi="Verdana" w:cs="Arial"/>
          <w:color w:val="000000" w:themeColor="text1"/>
        </w:rPr>
        <w:t xml:space="preserve">concurren tres (3) sujetos: i) el cedente, esto es, el contratista inicial; ii) el cesionario, es decir, quien asume total o parcialmente los derechos y obligaciones de este último; y iii) el cedido que, en el caso de los contratos estatales, sería la entidad que suscribió el contrato. </w:t>
      </w:r>
      <w:r w:rsidRPr="004C544B">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5F0D98E3" w14:textId="77777777" w:rsidR="00FB7971" w:rsidRPr="004C544B" w:rsidRDefault="00FB7971" w:rsidP="00FB7971">
      <w:pPr>
        <w:spacing w:after="0" w:line="276" w:lineRule="auto"/>
        <w:ind w:firstLine="708"/>
        <w:jc w:val="both"/>
        <w:rPr>
          <w:rFonts w:ascii="Verdana" w:hAnsi="Verdana" w:cs="Arial"/>
          <w:color w:val="000000" w:themeColor="text1"/>
        </w:rPr>
      </w:pPr>
    </w:p>
    <w:p w14:paraId="27AF315B" w14:textId="77777777" w:rsidR="00FB7971" w:rsidRPr="004C544B" w:rsidRDefault="00FB7971" w:rsidP="00FB7971">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xml:space="preserve">“[…]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w:t>
      </w:r>
      <w:r w:rsidRPr="004C544B">
        <w:rPr>
          <w:rFonts w:ascii="Verdana" w:eastAsia="Calibri" w:hAnsi="Verdana" w:cs="Arial"/>
          <w:color w:val="000000" w:themeColor="text1"/>
          <w:sz w:val="21"/>
          <w:szCs w:val="21"/>
        </w:rPr>
        <w:lastRenderedPageBreak/>
        <w:t>obligaciones recíprocas, surgidos a una de un mismo contrato, por parte de uno de los contratantes a un tercero, esto es, en últimas, la transferencia de una posición o relación contractual, cuyo resultado es la sustitución de una de las partes (acreedora-deudora) […]”</w:t>
      </w:r>
      <w:r w:rsidRPr="004C544B">
        <w:rPr>
          <w:rStyle w:val="Refdenotaalpie"/>
          <w:rFonts w:ascii="Verdana" w:eastAsia="Calibri" w:hAnsi="Verdana" w:cs="Arial"/>
          <w:color w:val="000000" w:themeColor="text1"/>
          <w:sz w:val="21"/>
          <w:szCs w:val="21"/>
        </w:rPr>
        <w:footnoteReference w:id="11"/>
      </w:r>
      <w:r w:rsidRPr="004C544B">
        <w:rPr>
          <w:rFonts w:ascii="Verdana" w:eastAsia="Calibri" w:hAnsi="Verdana" w:cs="Arial"/>
          <w:color w:val="000000" w:themeColor="text1"/>
          <w:sz w:val="21"/>
          <w:szCs w:val="21"/>
        </w:rPr>
        <w:t>.</w:t>
      </w:r>
    </w:p>
    <w:p w14:paraId="07053153" w14:textId="77777777" w:rsidR="00FB7971" w:rsidRPr="004C544B" w:rsidRDefault="00FB7971" w:rsidP="00FB7971">
      <w:pPr>
        <w:tabs>
          <w:tab w:val="left" w:pos="709"/>
        </w:tabs>
        <w:spacing w:after="0" w:line="276" w:lineRule="auto"/>
        <w:ind w:left="709" w:right="709"/>
        <w:jc w:val="both"/>
        <w:rPr>
          <w:rFonts w:ascii="Verdana" w:eastAsia="Calibri" w:hAnsi="Verdana" w:cs="Arial"/>
          <w:color w:val="000000" w:themeColor="text1"/>
        </w:rPr>
      </w:pPr>
    </w:p>
    <w:p w14:paraId="6D41F8A5" w14:textId="77777777" w:rsidR="00FB7971" w:rsidRPr="004C544B" w:rsidRDefault="00FB7971" w:rsidP="00FB7971">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ii) corresponderán como actos jurídicos bilaterales generadores de obligaciones, entre otros, a los previstos en el derecho privado, en los términos del artículo 32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y iii) contendrán las estipulaciones que, de acuerdo con las normas civiles, comerciales y las previstas en esta ley, correspondan a su esencia y naturaleza, conforme a lo dispuesto por el artículo 40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w:t>
      </w:r>
    </w:p>
    <w:p w14:paraId="16ECB453" w14:textId="77777777" w:rsidR="00FB7971" w:rsidRPr="004C544B" w:rsidRDefault="00FB7971" w:rsidP="00FB7971">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11CE9AAA" w14:textId="77777777" w:rsidR="00FB7971" w:rsidRPr="004C544B" w:rsidRDefault="00FB7971" w:rsidP="00FB7971">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w:t>
      </w:r>
      <w:r w:rsidRPr="004C544B">
        <w:rPr>
          <w:rStyle w:val="Refdenotaalpie"/>
          <w:rFonts w:ascii="Verdana" w:eastAsia="Calibri" w:hAnsi="Verdana" w:cs="Arial"/>
          <w:color w:val="000000" w:themeColor="text1"/>
        </w:rPr>
        <w:footnoteReference w:id="12"/>
      </w:r>
      <w:r w:rsidRPr="004C544B">
        <w:rPr>
          <w:rFonts w:ascii="Verdana" w:eastAsia="Calibri" w:hAnsi="Verdana" w:cs="Arial"/>
          <w:color w:val="000000" w:themeColor="text1"/>
        </w:rPr>
        <w:t xml:space="preserve">. Por otra parte, el </w:t>
      </w:r>
      <w:r w:rsidRPr="004C544B">
        <w:rPr>
          <w:rFonts w:ascii="Verdana" w:eastAsia="Calibri" w:hAnsi="Verdana" w:cs="Arial"/>
          <w:color w:val="000000" w:themeColor="text1"/>
        </w:rPr>
        <w:lastRenderedPageBreak/>
        <w:t>artículo 891 obliga al cesionario a avisar al cedente de la mora o el incumplimiento dentro de los 10 días siguientes, siempre y cuando este se haya obligado a garantizar el cumplimiento por parte del contratante cedido</w:t>
      </w:r>
      <w:r w:rsidRPr="004C544B">
        <w:rPr>
          <w:rStyle w:val="Refdenotaalpie"/>
          <w:rFonts w:ascii="Verdana" w:eastAsia="Calibri" w:hAnsi="Verdana" w:cs="Arial"/>
          <w:color w:val="000000" w:themeColor="text1"/>
        </w:rPr>
        <w:footnoteReference w:id="13"/>
      </w:r>
      <w:r w:rsidRPr="004C544B">
        <w:rPr>
          <w:rFonts w:ascii="Verdana" w:eastAsia="Calibri" w:hAnsi="Verdana" w:cs="Arial"/>
          <w:color w:val="000000" w:themeColor="text1"/>
        </w:rPr>
        <w:t>.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sidRPr="004C544B">
        <w:rPr>
          <w:rStyle w:val="Refdenotaalpie"/>
          <w:rFonts w:ascii="Verdana" w:eastAsia="Calibri" w:hAnsi="Verdana" w:cs="Arial"/>
          <w:color w:val="000000" w:themeColor="text1"/>
        </w:rPr>
        <w:footnoteReference w:id="14"/>
      </w:r>
      <w:r w:rsidRPr="004C544B">
        <w:rPr>
          <w:rFonts w:ascii="Verdana" w:eastAsia="Calibri" w:hAnsi="Verdana" w:cs="Arial"/>
          <w:color w:val="000000" w:themeColor="text1"/>
        </w:rPr>
        <w:t xml:space="preserve">. </w:t>
      </w:r>
    </w:p>
    <w:p w14:paraId="3E101C50" w14:textId="77777777" w:rsidR="00FB7971" w:rsidRPr="004C544B" w:rsidRDefault="00FB7971" w:rsidP="00FB7971">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 xml:space="preserve">Al margen de estas y otras disposiciones que de manera particular consagra el Código de Comercio sobre la cesión del contrato, esta figura cuenta con algunas normas especiales en la Ley 80 de 1993. Por ejemplo, </w:t>
      </w:r>
      <w:bookmarkStart w:id="4" w:name="_Hlk79822251"/>
      <w:r w:rsidRPr="004C544B">
        <w:rPr>
          <w:rFonts w:ascii="Verdana" w:eastAsia="Calibri" w:hAnsi="Verdana" w:cs="Arial"/>
          <w:color w:val="000000" w:themeColor="text1"/>
        </w:rPr>
        <w:t>el artículo 41, inciso tercero</w:t>
      </w:r>
      <w:bookmarkEnd w:id="4"/>
      <w:r w:rsidRPr="004C544B">
        <w:rPr>
          <w:rFonts w:ascii="Verdana" w:eastAsia="Calibri" w:hAnsi="Verdana" w:cs="Arial"/>
          <w:color w:val="000000" w:themeColor="text1"/>
        </w:rPr>
        <w:t xml:space="preserve">, del EGCAP prescribe que “Los contratos estatales son </w:t>
      </w:r>
      <w:r w:rsidRPr="004C544B">
        <w:rPr>
          <w:rFonts w:ascii="Verdana" w:eastAsia="Calibri" w:hAnsi="Verdana" w:cs="Arial"/>
          <w:i/>
          <w:iCs/>
          <w:color w:val="000000" w:themeColor="text1"/>
        </w:rPr>
        <w:t>intuito personae</w:t>
      </w:r>
      <w:r w:rsidRPr="004C544B">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4C544B">
        <w:rPr>
          <w:rFonts w:ascii="Verdana" w:eastAsia="Calibri" w:hAnsi="Verdana" w:cs="Arial"/>
          <w:i/>
          <w:iCs/>
          <w:color w:val="000000" w:themeColor="text1"/>
        </w:rPr>
        <w:t>faceta negativa</w:t>
      </w:r>
      <w:r w:rsidRPr="004C544B">
        <w:rPr>
          <w:rFonts w:ascii="Verdana" w:eastAsia="Calibri" w:hAnsi="Verdana" w:cs="Arial"/>
          <w:color w:val="000000" w:themeColor="text1"/>
        </w:rPr>
        <w:t>– y una autorización excepcional –</w:t>
      </w:r>
      <w:r w:rsidRPr="004C544B">
        <w:rPr>
          <w:rFonts w:ascii="Verdana" w:eastAsia="Calibri" w:hAnsi="Verdana" w:cs="Arial"/>
          <w:i/>
          <w:iCs/>
          <w:color w:val="000000" w:themeColor="text1"/>
        </w:rPr>
        <w:t>faceta positiva</w:t>
      </w:r>
      <w:r w:rsidRPr="004C544B">
        <w:rPr>
          <w:rFonts w:ascii="Verdana" w:eastAsia="Calibri" w:hAnsi="Verdana" w:cs="Arial"/>
          <w:color w:val="000000" w:themeColor="text1"/>
        </w:rPr>
        <w:t>–.</w:t>
      </w:r>
    </w:p>
    <w:p w14:paraId="0B1AF784" w14:textId="77777777" w:rsidR="00FB7971" w:rsidRPr="004C544B" w:rsidRDefault="00FB7971" w:rsidP="00FB7971">
      <w:pPr>
        <w:tabs>
          <w:tab w:val="left" w:pos="709"/>
        </w:tabs>
        <w:spacing w:after="120" w:line="276" w:lineRule="auto"/>
        <w:jc w:val="both"/>
        <w:rPr>
          <w:rFonts w:ascii="Verdana" w:eastAsia="Calibri" w:hAnsi="Verdana" w:cs="Arial"/>
          <w:bCs/>
          <w:color w:val="000000" w:themeColor="text1"/>
        </w:rPr>
      </w:pPr>
      <w:r w:rsidRPr="004C544B">
        <w:rPr>
          <w:rFonts w:ascii="Verdana" w:eastAsia="Calibri" w:hAnsi="Verdana" w:cs="Arial"/>
          <w:bCs/>
          <w:color w:val="000000" w:themeColor="text1"/>
        </w:rPr>
        <w:tab/>
        <w:t xml:space="preserve">En lo que respecta a la </w:t>
      </w:r>
      <w:r w:rsidRPr="004C544B">
        <w:rPr>
          <w:rFonts w:ascii="Verdana" w:eastAsia="Calibri" w:hAnsi="Verdana" w:cs="Arial"/>
          <w:bCs/>
          <w:i/>
          <w:iCs/>
          <w:color w:val="000000" w:themeColor="text1"/>
        </w:rPr>
        <w:t>faceta negativa</w:t>
      </w:r>
      <w:r w:rsidRPr="004C544B">
        <w:rPr>
          <w:rFonts w:ascii="Verdana" w:eastAsia="Calibri" w:hAnsi="Verdana" w:cs="Arial"/>
          <w:bCs/>
          <w:color w:val="000000" w:themeColor="text1"/>
        </w:rPr>
        <w:t>, el artículo 41 del Estatuto General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previsto en el artículo 1501 del Código Civil– es de aquellos “[…] que no siendo esenciales en él, se entienden pertenecerle, sin necesidad de una cláusula especial […]”</w:t>
      </w:r>
      <w:r w:rsidRPr="004C544B">
        <w:rPr>
          <w:rStyle w:val="Refdenotaalpie"/>
          <w:rFonts w:ascii="Verdana" w:eastAsia="Calibri" w:hAnsi="Verdana" w:cs="Arial"/>
          <w:bCs/>
          <w:color w:val="000000" w:themeColor="text1"/>
        </w:rPr>
        <w:footnoteReference w:id="15"/>
      </w:r>
      <w:r w:rsidRPr="004C544B">
        <w:rPr>
          <w:rFonts w:ascii="Verdana" w:eastAsia="Calibri" w:hAnsi="Verdana" w:cs="Arial"/>
          <w:bCs/>
          <w:color w:val="000000" w:themeColor="text1"/>
        </w:rPr>
        <w:t xml:space="preserve">.  </w:t>
      </w:r>
    </w:p>
    <w:p w14:paraId="24963D40" w14:textId="77777777" w:rsidR="00FB7971" w:rsidRPr="004C544B" w:rsidRDefault="00FB7971" w:rsidP="00FB7971">
      <w:pPr>
        <w:spacing w:after="0" w:line="276" w:lineRule="auto"/>
        <w:ind w:firstLine="708"/>
        <w:jc w:val="both"/>
        <w:rPr>
          <w:rFonts w:ascii="Verdana" w:eastAsia="Calibri" w:hAnsi="Verdana" w:cs="Arial"/>
          <w:bCs/>
          <w:color w:val="000000" w:themeColor="text1"/>
        </w:rPr>
      </w:pPr>
      <w:r w:rsidRPr="004C544B">
        <w:rPr>
          <w:rFonts w:ascii="Verdana" w:eastAsia="Calibri" w:hAnsi="Verdana" w:cs="Arial"/>
          <w:bCs/>
          <w:color w:val="000000" w:themeColor="text1"/>
        </w:rPr>
        <w:lastRenderedPageBreak/>
        <w:t xml:space="preserve">En su </w:t>
      </w:r>
      <w:r w:rsidRPr="004C544B">
        <w:rPr>
          <w:rFonts w:ascii="Verdana" w:eastAsia="Calibri" w:hAnsi="Verdana" w:cs="Arial"/>
          <w:bCs/>
          <w:i/>
          <w:iCs/>
          <w:color w:val="000000" w:themeColor="text1"/>
        </w:rPr>
        <w:t>faceta positiva</w:t>
      </w:r>
      <w:r w:rsidRPr="004C544B">
        <w:rPr>
          <w:rFonts w:ascii="Verdana" w:eastAsia="Calibri" w:hAnsi="Verdana" w:cs="Arial"/>
          <w:bCs/>
          <w:color w:val="000000" w:themeColor="text1"/>
        </w:rPr>
        <w:t xml:space="preserve">, la Ley 80 de 1993 permite excepcionalmente la cesión del contrato estatal siempre que exista autorización previa escrita de la entidad contratante. Por ello, “[…] El cocontratante que </w:t>
      </w:r>
      <w:r w:rsidRPr="00DE5DE4">
        <w:rPr>
          <w:rFonts w:ascii="Verdana" w:eastAsia="Calibri" w:hAnsi="Verdana" w:cs="Arial"/>
          <w:bCs/>
          <w:color w:val="000000" w:themeColor="text1"/>
          <w:sz w:val="24"/>
          <w:szCs w:val="24"/>
        </w:rPr>
        <w:t>‘</w:t>
      </w:r>
      <w:r w:rsidRPr="004C544B">
        <w:rPr>
          <w:rFonts w:ascii="Verdana" w:eastAsia="Calibri" w:hAnsi="Verdana" w:cs="Arial"/>
          <w:bCs/>
          <w:i/>
          <w:iCs/>
          <w:color w:val="000000" w:themeColor="text1"/>
        </w:rPr>
        <w:t>ceda</w:t>
      </w:r>
      <w:r w:rsidRPr="00DE5DE4">
        <w:rPr>
          <w:rFonts w:ascii="Verdana" w:eastAsia="Calibri" w:hAnsi="Verdana" w:cs="Arial"/>
          <w:bCs/>
          <w:color w:val="000000" w:themeColor="text1"/>
        </w:rPr>
        <w:t>’</w:t>
      </w:r>
      <w:r w:rsidRPr="004C544B">
        <w:rPr>
          <w:rFonts w:ascii="Verdana" w:eastAsia="Calibri" w:hAnsi="Verdana" w:cs="Arial"/>
          <w:bCs/>
          <w:color w:val="000000" w:themeColor="text1"/>
        </w:rPr>
        <w:t xml:space="preserve"> el contrato sin estar autorizado para ello incurre en grave responsabilidad: su actitud implica </w:t>
      </w:r>
      <w:r>
        <w:rPr>
          <w:rFonts w:ascii="Verdana" w:eastAsia="Calibri" w:hAnsi="Verdana" w:cs="Arial"/>
          <w:bCs/>
          <w:color w:val="000000" w:themeColor="text1"/>
        </w:rPr>
        <w:t>‘</w:t>
      </w:r>
      <w:r w:rsidRPr="004C544B">
        <w:rPr>
          <w:rFonts w:ascii="Verdana" w:eastAsia="Calibri" w:hAnsi="Verdana" w:cs="Arial"/>
          <w:bCs/>
          <w:i/>
          <w:iCs/>
          <w:color w:val="000000" w:themeColor="text1"/>
        </w:rPr>
        <w:t>incumplimiento</w:t>
      </w:r>
      <w:r>
        <w:rPr>
          <w:rFonts w:ascii="Verdana" w:eastAsia="Calibri" w:hAnsi="Verdana" w:cs="Arial"/>
          <w:bCs/>
          <w:color w:val="000000" w:themeColor="text1"/>
        </w:rPr>
        <w:t>’</w:t>
      </w:r>
      <w:r w:rsidRPr="004C544B">
        <w:rPr>
          <w:rFonts w:ascii="Verdana" w:eastAsia="Calibri" w:hAnsi="Verdana" w:cs="Arial"/>
          <w:bCs/>
          <w:color w:val="000000" w:themeColor="text1"/>
        </w:rPr>
        <w:t xml:space="preserve"> del contrato; de ahí que esa cesión ilícita no resulte oponible a la Administración Pública […]”</w:t>
      </w:r>
      <w:r w:rsidRPr="004C544B">
        <w:rPr>
          <w:rStyle w:val="Refdenotaalpie"/>
          <w:rFonts w:ascii="Verdana" w:eastAsia="Calibri" w:hAnsi="Verdana" w:cs="Arial"/>
          <w:bCs/>
          <w:color w:val="000000" w:themeColor="text1"/>
        </w:rPr>
        <w:footnoteReference w:id="16"/>
      </w:r>
      <w:r w:rsidRPr="004C544B">
        <w:rPr>
          <w:rFonts w:ascii="Verdana" w:eastAsia="Calibri" w:hAnsi="Verdana" w:cs="Arial"/>
          <w:bCs/>
          <w:color w:val="000000" w:themeColor="text1"/>
        </w:rPr>
        <w:t xml:space="preserve">.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 </w:t>
      </w:r>
      <w:r w:rsidRPr="004C544B">
        <w:rPr>
          <w:rFonts w:ascii="Verdana" w:eastAsia="Calibri" w:hAnsi="Verdana" w:cs="Arial"/>
          <w:color w:val="000000" w:themeColor="text1"/>
        </w:rPr>
        <w:t>En relación con lo anterior la doctrina define la cesión en los contratos estatales de la siguiente manera:</w:t>
      </w:r>
    </w:p>
    <w:p w14:paraId="32B87FDE" w14:textId="77777777" w:rsidR="00FB7971" w:rsidRPr="004C544B" w:rsidRDefault="00FB7971" w:rsidP="00FB7971">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 </w:t>
      </w:r>
    </w:p>
    <w:p w14:paraId="6B0E234A" w14:textId="77777777" w:rsidR="00FB7971" w:rsidRPr="004C544B" w:rsidRDefault="00FB7971" w:rsidP="00FB7971">
      <w:pPr>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xml:space="preserve">“La cesión en la contratación estatal supone, previa autorización de la entidad contratante, la sustitución </w:t>
      </w:r>
      <w:r w:rsidRPr="004C544B">
        <w:rPr>
          <w:rFonts w:ascii="Verdana" w:eastAsia="Calibri" w:hAnsi="Verdana" w:cs="Arial"/>
          <w:i/>
          <w:iCs/>
          <w:color w:val="000000" w:themeColor="text1"/>
          <w:sz w:val="21"/>
          <w:szCs w:val="21"/>
        </w:rPr>
        <w:t>in genere</w:t>
      </w:r>
      <w:r w:rsidRPr="004C544B">
        <w:rPr>
          <w:rFonts w:ascii="Verdana" w:eastAsia="Calibri" w:hAnsi="Verdana" w:cs="Arial"/>
          <w:color w:val="000000" w:themeColor="text1"/>
          <w:sz w:val="21"/>
          <w:szCs w:val="21"/>
        </w:rPr>
        <w:t>,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contractual originaria, sin que sea precisa la transferencia individual de cuantos derechos y obligaciones conforman la universalidad jurídica a ceder […]”</w:t>
      </w:r>
      <w:r w:rsidRPr="004C544B">
        <w:rPr>
          <w:rStyle w:val="Refdenotaalpie"/>
          <w:rFonts w:ascii="Verdana" w:hAnsi="Verdana" w:cs="Arial"/>
          <w:color w:val="000000" w:themeColor="text1"/>
          <w:sz w:val="21"/>
          <w:szCs w:val="21"/>
        </w:rPr>
        <w:footnoteReference w:id="17"/>
      </w:r>
      <w:r w:rsidRPr="004C544B">
        <w:rPr>
          <w:rFonts w:ascii="Verdana" w:eastAsia="Calibri" w:hAnsi="Verdana" w:cs="Arial"/>
          <w:color w:val="000000" w:themeColor="text1"/>
          <w:sz w:val="21"/>
          <w:szCs w:val="21"/>
        </w:rPr>
        <w:t>.</w:t>
      </w:r>
    </w:p>
    <w:p w14:paraId="186CBE34" w14:textId="77777777" w:rsidR="00FB7971" w:rsidRPr="004C544B" w:rsidRDefault="00FB7971" w:rsidP="00FB7971">
      <w:pPr>
        <w:spacing w:after="0" w:line="276" w:lineRule="auto"/>
        <w:jc w:val="both"/>
        <w:rPr>
          <w:rFonts w:ascii="Verdana" w:eastAsia="Calibri" w:hAnsi="Verdana" w:cs="Arial"/>
          <w:color w:val="000000" w:themeColor="text1"/>
        </w:rPr>
      </w:pPr>
    </w:p>
    <w:p w14:paraId="1EC98F29" w14:textId="77777777" w:rsidR="00FB7971" w:rsidRPr="004C544B" w:rsidRDefault="00FB7971" w:rsidP="00FB7971">
      <w:pPr>
        <w:spacing w:after="120" w:line="276" w:lineRule="auto"/>
        <w:ind w:firstLine="709"/>
        <w:jc w:val="both"/>
        <w:rPr>
          <w:rFonts w:ascii="Verdana" w:eastAsia="Calibri" w:hAnsi="Verdana" w:cs="Arial"/>
          <w:bCs/>
          <w:color w:val="000000" w:themeColor="text1"/>
        </w:rPr>
      </w:pPr>
      <w:r w:rsidRPr="004C544B">
        <w:rPr>
          <w:rFonts w:ascii="Verdana" w:eastAsia="Calibri" w:hAnsi="Verdana" w:cs="Arial"/>
          <w:bCs/>
          <w:color w:val="000000" w:themeColor="text1"/>
        </w:rP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w:t>
      </w:r>
      <w:r w:rsidRPr="004C544B">
        <w:rPr>
          <w:rFonts w:ascii="Verdana" w:hAnsi="Verdana"/>
        </w:rPr>
        <w:t xml:space="preserve"> </w:t>
      </w:r>
      <w:r w:rsidRPr="004C544B">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4C544B">
        <w:rPr>
          <w:rFonts w:ascii="Verdana" w:eastAsia="Calibri" w:hAnsi="Verdana" w:cs="Arial"/>
          <w:color w:val="000000" w:themeColor="text1"/>
        </w:rPr>
        <w:t xml:space="preserve">. </w:t>
      </w:r>
    </w:p>
    <w:p w14:paraId="3585C933" w14:textId="77777777" w:rsidR="00FB7971" w:rsidRPr="004C544B" w:rsidRDefault="00FB7971" w:rsidP="00FB7971">
      <w:pPr>
        <w:tabs>
          <w:tab w:val="left" w:pos="709"/>
        </w:tabs>
        <w:spacing w:after="120" w:line="276" w:lineRule="auto"/>
        <w:jc w:val="both"/>
        <w:rPr>
          <w:rFonts w:ascii="Verdana" w:eastAsia="Calibri" w:hAnsi="Verdana" w:cs="Arial"/>
          <w:color w:val="000000" w:themeColor="text1"/>
        </w:rPr>
      </w:pPr>
      <w:bookmarkStart w:id="5" w:name="_Hlk80369799"/>
      <w:r w:rsidRPr="004C544B">
        <w:rPr>
          <w:rFonts w:ascii="Verdana" w:eastAsia="Calibri" w:hAnsi="Verdana" w:cs="Arial"/>
          <w:color w:val="000000" w:themeColor="text1"/>
        </w:rPr>
        <w:lastRenderedPageBreak/>
        <w:tab/>
        <w:t>Por lo demás, el Consejo de Estado ha precisado como requisitos de la cesión del contrato estatal los siguientes: i) debe recaer en un tercero; ii) el cesionario debe tener capacidad jurídica para continuar con la ejecución del objeto contractual y no estar incurso en causales de inhabilidad e incompatibilidad para contratar; y iii)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bookmarkStart w:id="6" w:name="_Hlk80369829"/>
      <w:bookmarkEnd w:id="5"/>
      <w:r w:rsidRPr="004C544B">
        <w:rPr>
          <w:rFonts w:ascii="Verdana" w:eastAsia="Calibri" w:hAnsi="Verdana" w:cs="Arial"/>
          <w:color w:val="000000" w:themeColor="text1"/>
        </w:rPr>
        <w:t>,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6"/>
      <w:r w:rsidRPr="004C544B">
        <w:rPr>
          <w:rFonts w:ascii="Verdana" w:eastAsia="Calibri" w:hAnsi="Verdana" w:cs="Arial"/>
          <w:color w:val="000000" w:themeColor="text1"/>
        </w:rPr>
        <w:t>”</w:t>
      </w:r>
      <w:r w:rsidRPr="004C544B">
        <w:rPr>
          <w:rStyle w:val="Refdenotaalpie"/>
          <w:rFonts w:ascii="Verdana" w:eastAsia="Calibri" w:hAnsi="Verdana" w:cs="Arial"/>
          <w:color w:val="000000" w:themeColor="text1"/>
        </w:rPr>
        <w:footnoteReference w:id="18"/>
      </w:r>
      <w:r w:rsidRPr="004C544B">
        <w:rPr>
          <w:rFonts w:ascii="Verdana" w:eastAsia="Calibri" w:hAnsi="Verdana" w:cs="Arial"/>
          <w:color w:val="000000" w:themeColor="text1"/>
        </w:rPr>
        <w:t>.</w:t>
      </w:r>
    </w:p>
    <w:p w14:paraId="688470EF" w14:textId="77777777" w:rsidR="00FB7971" w:rsidRPr="004C544B" w:rsidRDefault="00FB7971" w:rsidP="00FB7971">
      <w:pPr>
        <w:tabs>
          <w:tab w:val="left" w:pos="709"/>
        </w:tabs>
        <w:spacing w:after="120" w:line="276" w:lineRule="auto"/>
        <w:ind w:firstLine="709"/>
        <w:jc w:val="both"/>
        <w:rPr>
          <w:rFonts w:ascii="Verdana" w:eastAsia="Calibri" w:hAnsi="Verdana" w:cs="Arial"/>
          <w:color w:val="000000" w:themeColor="text1"/>
        </w:rPr>
      </w:pPr>
      <w:bookmarkStart w:id="7" w:name="_Hlk80369857"/>
      <w:r w:rsidRPr="004C544B">
        <w:rPr>
          <w:rFonts w:ascii="Verdana" w:eastAsia="Calibri" w:hAnsi="Verdana" w:cs="Arial"/>
          <w:color w:val="000000" w:themeColor="text1"/>
        </w:rPr>
        <w:t>Por lo tanto, la entidad estatal en el trámite de autorización de una cesión de posición contractual está obligada a respetar y dar cabal cumplimiento a los principios y normas rectoras de la contratación pública que resulten aplicables al proceso de contratación, entre otros, los principios de transparencia, selección objetiva e igualdad. En otros términos, so pretexto de una cesión contractual, no pueden vulnerarse las reglas y principios de la contratación estatal.</w:t>
      </w:r>
    </w:p>
    <w:bookmarkEnd w:id="7"/>
    <w:p w14:paraId="3BED5EA3" w14:textId="77777777" w:rsidR="00FB7971" w:rsidRPr="004C544B" w:rsidRDefault="00FB7971" w:rsidP="00FB7971">
      <w:pPr>
        <w:tabs>
          <w:tab w:val="left" w:pos="709"/>
        </w:tabs>
        <w:spacing w:after="0" w:line="276" w:lineRule="auto"/>
        <w:ind w:firstLine="709"/>
        <w:jc w:val="both"/>
        <w:rPr>
          <w:rFonts w:ascii="Verdana" w:eastAsia="Calibri" w:hAnsi="Verdana" w:cs="Arial"/>
          <w:color w:val="000000" w:themeColor="text1"/>
        </w:rPr>
      </w:pPr>
      <w:r w:rsidRPr="004C544B">
        <w:rPr>
          <w:rFonts w:ascii="Verdana" w:eastAsia="Calibri" w:hAnsi="Verdana" w:cs="Arial"/>
          <w:color w:val="000000" w:themeColor="text1"/>
        </w:rPr>
        <w:t xml:space="preserve">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w:t>
      </w:r>
      <w:r w:rsidRPr="004C544B">
        <w:rPr>
          <w:rFonts w:ascii="Verdana" w:eastAsia="Calibri" w:hAnsi="Verdana" w:cs="Arial"/>
          <w:color w:val="000000" w:themeColor="text1"/>
        </w:rPr>
        <w:lastRenderedPageBreak/>
        <w:t>el consorcio o unión temporal”. En esta última hipótesis, para la doctrina no existe un tercero como requisito de la cesión, y agrega lo siguiente:</w:t>
      </w:r>
    </w:p>
    <w:p w14:paraId="1C545694" w14:textId="77777777" w:rsidR="00FB7971" w:rsidRPr="004C544B" w:rsidRDefault="00FB7971" w:rsidP="00FB7971">
      <w:pPr>
        <w:tabs>
          <w:tab w:val="left" w:pos="709"/>
        </w:tabs>
        <w:spacing w:after="0" w:line="276" w:lineRule="auto"/>
        <w:jc w:val="both"/>
        <w:rPr>
          <w:rFonts w:ascii="Verdana" w:eastAsia="Calibri" w:hAnsi="Verdana" w:cs="Arial"/>
          <w:color w:val="000000" w:themeColor="text1"/>
        </w:rPr>
      </w:pPr>
    </w:p>
    <w:p w14:paraId="6A8A2A8E" w14:textId="77777777" w:rsidR="00FB7971" w:rsidRPr="004C544B" w:rsidRDefault="00FB7971" w:rsidP="00FB7971">
      <w:pPr>
        <w:tabs>
          <w:tab w:val="left" w:pos="709"/>
        </w:tabs>
        <w:spacing w:after="0" w:line="240" w:lineRule="auto"/>
        <w:ind w:left="709" w:right="709"/>
        <w:jc w:val="both"/>
        <w:rPr>
          <w:rFonts w:ascii="Verdana" w:eastAsia="Calibri" w:hAnsi="Verdana" w:cs="Arial"/>
          <w:color w:val="000000" w:themeColor="text1"/>
          <w:sz w:val="21"/>
          <w:szCs w:val="21"/>
        </w:rPr>
      </w:pPr>
      <w:r w:rsidRPr="004C544B">
        <w:rPr>
          <w:rFonts w:ascii="Verdana" w:eastAsia="Calibri" w:hAnsi="Verdana" w:cs="Arial"/>
          <w:color w:val="000000" w:themeColor="text1"/>
          <w:sz w:val="21"/>
          <w:szCs w:val="21"/>
        </w:rPr>
        <w:t>“[…]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En estos casos se está en presencia, por tanto, de un contratista plural; esto es, la calidad de contratista se predica de cada uno de los integrantes del consorcio o unión temporal, de allí que […] no es válida la cesión en el propio contratista”</w:t>
      </w:r>
      <w:r w:rsidRPr="004C544B">
        <w:rPr>
          <w:rStyle w:val="Refdenotaalpie"/>
          <w:rFonts w:ascii="Verdana" w:eastAsia="Calibri" w:hAnsi="Verdana" w:cs="Arial"/>
          <w:color w:val="000000" w:themeColor="text1"/>
          <w:sz w:val="21"/>
          <w:szCs w:val="21"/>
        </w:rPr>
        <w:footnoteReference w:id="19"/>
      </w:r>
      <w:r w:rsidRPr="004C544B">
        <w:rPr>
          <w:rFonts w:ascii="Verdana" w:eastAsia="Calibri" w:hAnsi="Verdana" w:cs="Arial"/>
          <w:color w:val="000000" w:themeColor="text1"/>
          <w:sz w:val="21"/>
          <w:szCs w:val="21"/>
        </w:rPr>
        <w:t xml:space="preserve">.   </w:t>
      </w:r>
    </w:p>
    <w:p w14:paraId="518F6BAB" w14:textId="77777777" w:rsidR="00FB7971" w:rsidRPr="004C544B" w:rsidRDefault="00FB7971" w:rsidP="00FB7971">
      <w:pPr>
        <w:tabs>
          <w:tab w:val="left" w:pos="709"/>
        </w:tabs>
        <w:spacing w:after="0" w:line="276" w:lineRule="auto"/>
        <w:ind w:firstLine="709"/>
        <w:jc w:val="both"/>
        <w:rPr>
          <w:rFonts w:ascii="Verdana" w:eastAsia="Calibri" w:hAnsi="Verdana" w:cs="Arial"/>
          <w:color w:val="000000" w:themeColor="text1"/>
        </w:rPr>
      </w:pPr>
    </w:p>
    <w:p w14:paraId="0622500C" w14:textId="77777777" w:rsidR="00FB7971" w:rsidRPr="003A34AF" w:rsidRDefault="00FB7971" w:rsidP="00FB7971">
      <w:pPr>
        <w:spacing w:line="276" w:lineRule="auto"/>
        <w:ind w:right="51" w:firstLine="709"/>
        <w:jc w:val="both"/>
        <w:rPr>
          <w:rFonts w:ascii="Verdana" w:eastAsia="Calibri" w:hAnsi="Verdana" w:cs="Arial"/>
          <w:color w:val="000000" w:themeColor="text1"/>
          <w:sz w:val="20"/>
          <w:szCs w:val="20"/>
        </w:rPr>
      </w:pPr>
      <w:bookmarkStart w:id="8" w:name="_Hlk79797430"/>
      <w:r>
        <w:rPr>
          <w:rFonts w:ascii="Verdana" w:eastAsia="Calibri" w:hAnsi="Verdana" w:cs="Arial"/>
          <w:color w:val="000000" w:themeColor="text1"/>
        </w:rPr>
        <w:t xml:space="preserve">De esta manera, si está prohibida la cesión entre quienes integren el proponente plural, significa que está permitida la cesión de sus integrantes a un tercero distinto a los miembros del consorcio o la unión temporal. Esto no es más que la aplicación del argumento </w:t>
      </w:r>
      <w:r w:rsidRPr="00E377B4">
        <w:rPr>
          <w:rFonts w:ascii="Verdana" w:eastAsia="Calibri" w:hAnsi="Verdana" w:cs="Arial"/>
          <w:i/>
          <w:iCs/>
          <w:color w:val="000000" w:themeColor="text1"/>
        </w:rPr>
        <w:t>a contrario</w:t>
      </w:r>
      <w:r>
        <w:rPr>
          <w:rFonts w:ascii="Verdana" w:eastAsia="Calibri" w:hAnsi="Verdana" w:cs="Arial"/>
          <w:color w:val="000000" w:themeColor="text1"/>
        </w:rPr>
        <w:t xml:space="preserve">, criterio hermenéutico por el cual </w:t>
      </w:r>
      <w:r w:rsidRPr="003A34AF">
        <w:rPr>
          <w:rFonts w:ascii="Verdana" w:eastAsia="Calibri" w:hAnsi="Verdana" w:cs="Arial"/>
          <w:color w:val="000000" w:themeColor="text1"/>
        </w:rPr>
        <w:t>“[…] dado un enunciado normativo que predica una cualificación normativa respecto a un término en él incluido que está por un sujeto o una clase de sujetos, debe evitarse extender el significado de ese término de modo tal que llegue a comprender a sujetos o clases de sujetos no estricta y literalmente incluidos en él de conformidad con el primer enunciado normativo</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20"/>
      </w:r>
      <w:r w:rsidRPr="003A34AF">
        <w:rPr>
          <w:rFonts w:ascii="Verdana" w:eastAsia="Calibri" w:hAnsi="Verdana" w:cs="Arial"/>
          <w:color w:val="000000" w:themeColor="text1"/>
        </w:rPr>
        <w:t>.</w:t>
      </w:r>
      <w:r>
        <w:rPr>
          <w:rFonts w:ascii="Verdana" w:eastAsia="Calibri" w:hAnsi="Verdana" w:cs="Arial"/>
          <w:color w:val="000000" w:themeColor="text1"/>
        </w:rPr>
        <w:t xml:space="preserve"> 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w:t>
      </w:r>
    </w:p>
    <w:p w14:paraId="6D65966D" w14:textId="77777777" w:rsidR="00FB7971" w:rsidRPr="004C544B" w:rsidRDefault="00FB7971" w:rsidP="00FB7971">
      <w:pPr>
        <w:spacing w:line="276" w:lineRule="auto"/>
        <w:ind w:right="51" w:firstLine="709"/>
        <w:jc w:val="both"/>
        <w:rPr>
          <w:rFonts w:ascii="Verdana" w:eastAsia="Calibri" w:hAnsi="Verdana" w:cs="Arial"/>
          <w:color w:val="000000" w:themeColor="text1"/>
        </w:rPr>
      </w:pPr>
      <w:r w:rsidRPr="004C544B">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9" w:name="_Hlk79799730"/>
      <w:r w:rsidRPr="004C544B">
        <w:rPr>
          <w:rFonts w:ascii="Verdana" w:eastAsia="Calibri" w:hAnsi="Verdana" w:cs="Arial"/>
          <w:color w:val="000000" w:themeColor="text1"/>
        </w:rPr>
        <w:t xml:space="preserve">los artículos 887 a 896 </w:t>
      </w:r>
      <w:bookmarkEnd w:id="9"/>
      <w:r w:rsidRPr="004C544B">
        <w:rPr>
          <w:rFonts w:ascii="Verdana" w:eastAsia="Calibri" w:hAnsi="Verdana" w:cs="Arial"/>
          <w:color w:val="000000" w:themeColor="text1"/>
        </w:rPr>
        <w:t>del Código de Comercio definen la cesión del contrato. Por consiguiente, resultan aplicables las normas del derecho civil y comercial pertinentes, sobre cesión del crédito y cesión de contratos respectivamente, salvo en las materias particularmente reguladas por el Estatuto General de Contratación de la Administración Pública, como lo señala el artículo 13 de la Ley 80 de 1993.</w:t>
      </w:r>
      <w:r w:rsidRPr="004C544B">
        <w:rPr>
          <w:rFonts w:ascii="Verdana" w:hAnsi="Verdana" w:cs="Arial"/>
          <w:color w:val="000000" w:themeColor="text1"/>
        </w:rPr>
        <w:t xml:space="preserve"> </w:t>
      </w:r>
    </w:p>
    <w:bookmarkEnd w:id="8"/>
    <w:p w14:paraId="6D48CB08" w14:textId="77777777" w:rsidR="00FB7971" w:rsidRDefault="00FB7971" w:rsidP="00FB7971">
      <w:pPr>
        <w:spacing w:after="120" w:line="276" w:lineRule="auto"/>
        <w:ind w:firstLine="708"/>
        <w:jc w:val="both"/>
        <w:rPr>
          <w:rFonts w:ascii="Verdana" w:hAnsi="Verdana" w:cs="Arial"/>
          <w:color w:val="000000" w:themeColor="text1"/>
        </w:rPr>
      </w:pPr>
      <w:r w:rsidRPr="004C544B">
        <w:rPr>
          <w:rFonts w:ascii="Verdana" w:eastAsia="Calibri" w:hAnsi="Verdana" w:cs="Arial"/>
          <w:color w:val="000000" w:themeColor="text1"/>
        </w:rPr>
        <w:lastRenderedPageBreak/>
        <w:t xml:space="preserve">De conformidad con los requisitos y las restricciones explicadas </w:t>
      </w:r>
      <w:r w:rsidRPr="004C544B">
        <w:rPr>
          <w:rFonts w:ascii="Verdana" w:eastAsia="Calibri" w:hAnsi="Verdana" w:cs="Arial"/>
          <w:i/>
          <w:iCs/>
          <w:color w:val="000000" w:themeColor="text1"/>
        </w:rPr>
        <w:t>ut supra</w:t>
      </w:r>
      <w:r w:rsidRPr="004C544B">
        <w:rPr>
          <w:rFonts w:ascii="Verdana" w:eastAsia="Calibri" w:hAnsi="Verdana" w:cs="Arial"/>
          <w:color w:val="000000" w:themeColor="text1"/>
        </w:rPr>
        <w:t>, en los contratos estatales cuya ejecución aún no haya sido cumplida en todo o en parte, el contratista podrá hacerse sustituir por un tercero en la relación derivada del contrato, quien en adelante ocupará su posición jurídica.</w:t>
      </w:r>
      <w:r w:rsidRPr="004C544B">
        <w:rPr>
          <w:rFonts w:ascii="Verdana" w:hAnsi="Verdana" w:cs="Arial"/>
          <w:color w:val="000000" w:themeColor="text1"/>
        </w:rPr>
        <w:t xml:space="preserve"> Es una de las posibilidades en las cuales existe una modificación de uno de los extremos de la relación contractual, es decir de uno de los sujetos, siempre que sea autorizada previamente por la entidad cedida, en cuyo caso requiere la suscripción de un contrato entre el cedente y el cesionario, de manera que es de carácter bilateral en la medida en que es el resultado de un acuerdo voluntades. Con fundamento en el contrato de cesión, el cesionario reemplaza –en todo o en parte– al contratista cedente en la ejecución del contrato estatal, respondiendo por el cumplimiento de las obligaciones frente a la Administración.</w:t>
      </w:r>
    </w:p>
    <w:p w14:paraId="1CA1E06E" w14:textId="77777777" w:rsidR="00FB7971" w:rsidRPr="00415608" w:rsidRDefault="00FB7971" w:rsidP="00FB7971">
      <w:pPr>
        <w:pStyle w:val="Textoindependiente"/>
        <w:jc w:val="both"/>
        <w:rPr>
          <w:rFonts w:ascii="Verdana" w:hAnsi="Verdana"/>
        </w:rPr>
      </w:pPr>
      <w:r>
        <w:rPr>
          <w:rFonts w:ascii="Verdana" w:hAnsi="Verdana" w:cs="Arial"/>
          <w:color w:val="000000" w:themeColor="text1"/>
        </w:rPr>
        <w:t xml:space="preserve">iii. En relación con la </w:t>
      </w:r>
      <w:r w:rsidRPr="00BF5960">
        <w:rPr>
          <w:rFonts w:ascii="Verdana" w:hAnsi="Verdana" w:cs="Arial"/>
          <w:i/>
          <w:iCs/>
          <w:color w:val="000000" w:themeColor="text1"/>
        </w:rPr>
        <w:t xml:space="preserve">cesión de </w:t>
      </w:r>
      <w:r>
        <w:rPr>
          <w:rFonts w:ascii="Verdana" w:hAnsi="Verdana" w:cs="Arial"/>
          <w:i/>
          <w:iCs/>
          <w:color w:val="000000" w:themeColor="text1"/>
        </w:rPr>
        <w:t xml:space="preserve">créditos o </w:t>
      </w:r>
      <w:r w:rsidRPr="00BF5960">
        <w:rPr>
          <w:rFonts w:ascii="Verdana" w:hAnsi="Verdana" w:cs="Arial"/>
          <w:i/>
          <w:iCs/>
          <w:color w:val="000000" w:themeColor="text1"/>
        </w:rPr>
        <w:t>derechos económicos</w:t>
      </w:r>
      <w:r>
        <w:rPr>
          <w:rFonts w:ascii="Verdana" w:hAnsi="Verdana" w:cs="Arial"/>
          <w:color w:val="000000" w:themeColor="text1"/>
        </w:rPr>
        <w:t xml:space="preserve">, esta Agencia ha manifestado lo siguiente: </w:t>
      </w:r>
      <w:r w:rsidRPr="00415608">
        <w:rPr>
          <w:rFonts w:ascii="Verdana" w:hAnsi="Verdana"/>
        </w:rPr>
        <w:t>el contrato estatal, como contrato bilateral y oneroso que es, genera obligaciones correlativas tanto para la entidad estatal contratante como para el contratista, que resultan equivalentes y comportan la ecuación financiera del contrato. Cuando el contratista cumple con las obligaciones de dar, hacer o no hacer, esto es, ejecuta las prestaciones a su cargo, surge para la entidad estatal la correlativa obligación de pagar la contraprestación, remuneración o precio pactado en favor del contratista. En derecho, pago es la ejecución de la prestación debida por el deudor, cualquiera que sea el objeto de ella</w:t>
      </w:r>
      <w:r w:rsidRPr="00415608">
        <w:rPr>
          <w:rStyle w:val="Refdenotaalpie"/>
          <w:rFonts w:ascii="Verdana" w:hAnsi="Verdana"/>
        </w:rPr>
        <w:footnoteReference w:id="21"/>
      </w:r>
      <w:r w:rsidRPr="00415608">
        <w:rPr>
          <w:rFonts w:ascii="Verdana" w:hAnsi="Verdana"/>
        </w:rPr>
        <w:t>.</w:t>
      </w:r>
    </w:p>
    <w:p w14:paraId="092B8C71" w14:textId="77777777" w:rsidR="00FB7971" w:rsidRPr="00415608" w:rsidRDefault="00FB7971" w:rsidP="00FB7971">
      <w:pPr>
        <w:pStyle w:val="Textoindependiente"/>
        <w:ind w:firstLine="709"/>
        <w:jc w:val="both"/>
        <w:rPr>
          <w:rFonts w:ascii="Verdana" w:hAnsi="Verdana"/>
        </w:rPr>
      </w:pPr>
      <w:r w:rsidRPr="00415608">
        <w:rPr>
          <w:rFonts w:ascii="Verdana" w:hAnsi="Verdana"/>
        </w:rPr>
        <w:t>El pago de la contraprestación a cargo de la entidad estatal, de conformidad con lo dispuesto por los artículos 1626 y siguientes del Código Civil, debe cumplirse, por regla general, en los términos de la obligación pactada, y debe hacerse al acreedor mismo o la persona que la ley o el juez autoricen a recibir por él, o a la persona diputada por el acreedor para recibir el cobro. S</w:t>
      </w:r>
      <w:r>
        <w:rPr>
          <w:rFonts w:ascii="Verdana" w:hAnsi="Verdana"/>
        </w:rPr>
        <w:t>ó</w:t>
      </w:r>
      <w:r w:rsidRPr="00415608">
        <w:rPr>
          <w:rFonts w:ascii="Verdana" w:hAnsi="Verdana"/>
        </w:rPr>
        <w:t>lo de esa manera el pago se reputa válido, y libera al deudor del cumplimiento de su obligación</w:t>
      </w:r>
      <w:r w:rsidRPr="00415608">
        <w:rPr>
          <w:rStyle w:val="Refdenotaalpie"/>
          <w:rFonts w:ascii="Verdana" w:hAnsi="Verdana"/>
        </w:rPr>
        <w:footnoteReference w:id="22"/>
      </w:r>
      <w:r w:rsidRPr="00415608">
        <w:rPr>
          <w:rFonts w:ascii="Verdana" w:hAnsi="Verdana"/>
        </w:rPr>
        <w:t xml:space="preserve">. Sin perjuicio de lo anterior, la ley también tiene por pago válido el que se hace a persona distinta del acreedor, cuando éste lo ratifica de modo </w:t>
      </w:r>
      <w:r w:rsidRPr="00415608">
        <w:rPr>
          <w:rFonts w:ascii="Verdana" w:hAnsi="Verdana"/>
        </w:rPr>
        <w:lastRenderedPageBreak/>
        <w:t>expreso o tácito o cuando se paga a un representante o un mandatario del acreedor, siempre que lo anterior sea de conocimiento del deudor</w:t>
      </w:r>
      <w:r w:rsidRPr="00415608">
        <w:rPr>
          <w:rStyle w:val="Refdenotaalpie"/>
          <w:rFonts w:ascii="Verdana" w:hAnsi="Verdana"/>
        </w:rPr>
        <w:footnoteReference w:id="23"/>
      </w:r>
      <w:r w:rsidRPr="00415608">
        <w:rPr>
          <w:rFonts w:ascii="Verdana" w:hAnsi="Verdana"/>
        </w:rPr>
        <w:t>.</w:t>
      </w:r>
    </w:p>
    <w:p w14:paraId="66B79288" w14:textId="77777777" w:rsidR="00FB7971" w:rsidRPr="00A97F2A" w:rsidRDefault="00FB7971" w:rsidP="00FB7971">
      <w:pPr>
        <w:pStyle w:val="Textoindependiente"/>
        <w:spacing w:after="0"/>
        <w:ind w:firstLine="709"/>
        <w:jc w:val="both"/>
        <w:rPr>
          <w:rFonts w:ascii="Verdana" w:hAnsi="Verdana"/>
        </w:rPr>
      </w:pPr>
      <w:r>
        <w:rPr>
          <w:rFonts w:ascii="Verdana" w:hAnsi="Verdana"/>
        </w:rPr>
        <w:t>Esto</w:t>
      </w:r>
      <w:r w:rsidRPr="00A97F2A">
        <w:rPr>
          <w:rFonts w:ascii="Verdana" w:hAnsi="Verdana"/>
        </w:rPr>
        <w:t xml:space="preserve"> permite afirmar que, por ejemplo, tratándose de un contrato celebrado entre una entidad estatal y un consorcio o unión temporal, en principio la contraprestación a cargo de la entidad debe pagarse válidamente al representante designado. Esto siempre y cuando la facultad de recibir sea conocida por la entidad contratante, ya sea porque así se dispuso en el contrato consorcial o porque el poder o mandato medie en otro instrumento de forma expresa o</w:t>
      </w:r>
      <w:r w:rsidRPr="00A97F2A">
        <w:rPr>
          <w:rFonts w:ascii="Verdana" w:hAnsi="Verdana"/>
          <w:spacing w:val="-4"/>
        </w:rPr>
        <w:t xml:space="preserve"> </w:t>
      </w:r>
      <w:r w:rsidRPr="00A97F2A">
        <w:rPr>
          <w:rFonts w:ascii="Verdana" w:hAnsi="Verdana"/>
        </w:rPr>
        <w:t>tácita. Sin perjuicio de lo anterior, también debe tenerse en cuenta que la obligación de pago comporta un crédito en favor del acreedor beneficiario, que constituye un derecho personal, de contenido económico, cuya definición está prevista en el artículo 666 del Código Civil de la siguiente</w:t>
      </w:r>
      <w:r w:rsidRPr="00A97F2A">
        <w:rPr>
          <w:rFonts w:ascii="Verdana" w:hAnsi="Verdana"/>
          <w:spacing w:val="-6"/>
        </w:rPr>
        <w:t xml:space="preserve"> </w:t>
      </w:r>
      <w:r w:rsidRPr="00A97F2A">
        <w:rPr>
          <w:rFonts w:ascii="Verdana" w:hAnsi="Verdana"/>
        </w:rPr>
        <w:t>manera:</w:t>
      </w:r>
    </w:p>
    <w:p w14:paraId="2B7D5030" w14:textId="77777777" w:rsidR="00FB7971" w:rsidRPr="00A97F2A" w:rsidRDefault="00FB7971" w:rsidP="00FB7971">
      <w:pPr>
        <w:pStyle w:val="Textoindependiente"/>
        <w:spacing w:after="0"/>
        <w:ind w:firstLine="709"/>
        <w:jc w:val="both"/>
        <w:rPr>
          <w:rFonts w:ascii="Verdana" w:hAnsi="Verdana"/>
        </w:rPr>
      </w:pPr>
    </w:p>
    <w:p w14:paraId="017A00AE" w14:textId="77777777" w:rsidR="00FB7971" w:rsidRPr="00A97F2A" w:rsidRDefault="00FB7971" w:rsidP="00FB7971">
      <w:pPr>
        <w:pStyle w:val="Textoindependiente"/>
        <w:spacing w:after="0" w:line="240" w:lineRule="auto"/>
        <w:ind w:left="709" w:right="709"/>
        <w:jc w:val="both"/>
        <w:rPr>
          <w:rFonts w:ascii="Verdana" w:hAnsi="Verdana"/>
          <w:sz w:val="21"/>
          <w:szCs w:val="21"/>
        </w:rPr>
      </w:pPr>
      <w:r w:rsidRPr="00A97F2A">
        <w:rPr>
          <w:rFonts w:ascii="Verdana" w:hAnsi="Verdana"/>
          <w:sz w:val="21"/>
          <w:szCs w:val="21"/>
        </w:rPr>
        <w:t>“Derechos personales o créditos son los que sólo pueden reclamarse de ciertas personas que, por un hecho suyo o la sola disposición de la ley, han contraído las obligaciones correlativas; como el que tiene el prestamista contra su deudor por el dinero prestado, o el hijo contra el padre por alimentos. De estos derechos nacen las acciones personales”.</w:t>
      </w:r>
    </w:p>
    <w:p w14:paraId="4078D260" w14:textId="77777777" w:rsidR="00FB7971" w:rsidRPr="00A97F2A" w:rsidRDefault="00FB7971" w:rsidP="00FB7971">
      <w:pPr>
        <w:pStyle w:val="Textoindependiente"/>
        <w:spacing w:after="0"/>
        <w:jc w:val="both"/>
        <w:rPr>
          <w:rFonts w:ascii="Verdana" w:hAnsi="Verdana"/>
        </w:rPr>
      </w:pPr>
    </w:p>
    <w:p w14:paraId="762B8B6F" w14:textId="77777777" w:rsidR="00FB7971" w:rsidRPr="005E27C9" w:rsidRDefault="00FB7971" w:rsidP="00FB7971">
      <w:pPr>
        <w:pStyle w:val="Textoindependiente"/>
        <w:tabs>
          <w:tab w:val="left" w:pos="8505"/>
        </w:tabs>
        <w:spacing w:after="0"/>
        <w:ind w:firstLine="709"/>
        <w:jc w:val="both"/>
        <w:rPr>
          <w:rFonts w:ascii="Verdana" w:hAnsi="Verdana"/>
        </w:rPr>
      </w:pPr>
      <w:r w:rsidRPr="005E27C9">
        <w:rPr>
          <w:rFonts w:ascii="Verdana" w:hAnsi="Verdana"/>
        </w:rPr>
        <w:t xml:space="preserve">El titular de un crédito, contenido o no en un documento que sirva de título, puede disponer de </w:t>
      </w:r>
      <w:r>
        <w:rPr>
          <w:rFonts w:ascii="Verdana" w:hAnsi="Verdana"/>
        </w:rPr>
        <w:t>é</w:t>
      </w:r>
      <w:r w:rsidRPr="005E27C9">
        <w:rPr>
          <w:rFonts w:ascii="Verdana" w:hAnsi="Verdana"/>
        </w:rPr>
        <w:t>l por cualquier causa: venta, permuta, donación, aporte en sociedad, etc., es decir, onerosa o gratuitamente, por constituir un activo patrimonial</w:t>
      </w:r>
      <w:r w:rsidRPr="005E27C9">
        <w:rPr>
          <w:rStyle w:val="Refdenotaalpie"/>
          <w:rFonts w:ascii="Verdana" w:hAnsi="Verdana"/>
        </w:rPr>
        <w:footnoteReference w:id="24"/>
      </w:r>
      <w:r w:rsidRPr="005E27C9">
        <w:rPr>
          <w:rFonts w:ascii="Verdana" w:hAnsi="Verdana"/>
        </w:rPr>
        <w:t>. Asimismo, puede disponer de un crédito mediante la cesión; razón por la cual:</w:t>
      </w:r>
    </w:p>
    <w:p w14:paraId="7F910F77" w14:textId="77777777" w:rsidR="00FB7971" w:rsidRPr="005E27C9" w:rsidRDefault="00FB7971" w:rsidP="00FB7971">
      <w:pPr>
        <w:pStyle w:val="Textoindependiente"/>
        <w:spacing w:after="0"/>
        <w:ind w:right="304" w:firstLine="708"/>
        <w:jc w:val="both"/>
        <w:rPr>
          <w:rFonts w:ascii="Verdana" w:hAnsi="Verdana"/>
        </w:rPr>
      </w:pPr>
    </w:p>
    <w:p w14:paraId="7B0B4907" w14:textId="77777777" w:rsidR="00FB7971" w:rsidRPr="005E27C9" w:rsidRDefault="00FB7971" w:rsidP="00FB7971">
      <w:pPr>
        <w:pStyle w:val="Textoindependiente"/>
        <w:spacing w:after="0" w:line="240" w:lineRule="auto"/>
        <w:ind w:left="709" w:right="709"/>
        <w:jc w:val="both"/>
        <w:rPr>
          <w:rFonts w:ascii="Verdana" w:hAnsi="Verdana"/>
          <w:sz w:val="21"/>
          <w:szCs w:val="21"/>
        </w:rPr>
      </w:pPr>
      <w:r w:rsidRPr="005E27C9">
        <w:rPr>
          <w:rFonts w:ascii="Verdana" w:hAnsi="Verdana"/>
          <w:sz w:val="21"/>
          <w:szCs w:val="21"/>
        </w:rPr>
        <w:t xml:space="preserve">“Consideramos que la cesión de créditos, tal como está regulada en el Código Civil, encierra un negocio jurídico participante de la causa o del título que se haga. Es decir: que si se hace a título de venta intervendrá </w:t>
      </w:r>
      <w:r w:rsidRPr="005E27C9">
        <w:rPr>
          <w:rFonts w:ascii="Verdana" w:hAnsi="Verdana"/>
          <w:sz w:val="21"/>
          <w:szCs w:val="21"/>
        </w:rPr>
        <w:lastRenderedPageBreak/>
        <w:t>la noción de este contrato, si se cambia; el de permuta y así sucesivamente. Mas, por imposición expresa del artículo 33 de la Ley 57 de 1887, la cesión no tendrá efecto alguno entre el que transmite el derecho, cedente, y el que se encarga de este crédito, cesionario, sino en virtud de la entrega del título contentivo del derecho personal traspasado o mediante el otorgamiento de un documento del cedente al cesionario en el evento en que no conste, en un título, ese crédito. Con la entrega se hace la</w:t>
      </w:r>
      <w:r w:rsidRPr="005E27C9">
        <w:rPr>
          <w:rFonts w:ascii="Verdana" w:hAnsi="Verdana"/>
          <w:spacing w:val="-4"/>
          <w:sz w:val="21"/>
          <w:szCs w:val="21"/>
        </w:rPr>
        <w:t xml:space="preserve"> </w:t>
      </w:r>
      <w:r w:rsidRPr="005E27C9">
        <w:rPr>
          <w:rFonts w:ascii="Verdana" w:hAnsi="Verdana"/>
          <w:sz w:val="21"/>
          <w:szCs w:val="21"/>
        </w:rPr>
        <w:t>tradición”</w:t>
      </w:r>
      <w:r w:rsidRPr="005E27C9">
        <w:rPr>
          <w:rStyle w:val="Refdenotaalpie"/>
          <w:rFonts w:ascii="Verdana" w:hAnsi="Verdana"/>
        </w:rPr>
        <w:footnoteReference w:id="25"/>
      </w:r>
      <w:r w:rsidRPr="005E27C9">
        <w:rPr>
          <w:rFonts w:ascii="Verdana" w:hAnsi="Verdana"/>
          <w:sz w:val="21"/>
          <w:szCs w:val="21"/>
        </w:rPr>
        <w:t>.</w:t>
      </w:r>
    </w:p>
    <w:p w14:paraId="7AFD9B08" w14:textId="77777777" w:rsidR="00FB7971" w:rsidRPr="005E27C9" w:rsidRDefault="00FB7971" w:rsidP="00FB7971">
      <w:pPr>
        <w:pStyle w:val="Textoindependiente"/>
        <w:spacing w:after="0"/>
        <w:ind w:left="1010" w:right="731"/>
        <w:jc w:val="both"/>
        <w:rPr>
          <w:rFonts w:ascii="Verdana" w:hAnsi="Verdana"/>
        </w:rPr>
      </w:pPr>
    </w:p>
    <w:p w14:paraId="6E318E18" w14:textId="77777777" w:rsidR="00FB7971" w:rsidRPr="005E27C9" w:rsidRDefault="00FB7971" w:rsidP="00FB7971">
      <w:pPr>
        <w:pStyle w:val="Textoindependiente"/>
        <w:ind w:firstLine="709"/>
        <w:jc w:val="both"/>
        <w:rPr>
          <w:rFonts w:ascii="Verdana" w:hAnsi="Verdana"/>
        </w:rPr>
      </w:pPr>
      <w:bookmarkStart w:id="10" w:name="_Hlk161752048"/>
      <w:r w:rsidRPr="005E27C9">
        <w:rPr>
          <w:rFonts w:ascii="Verdana" w:hAnsi="Verdana"/>
        </w:rPr>
        <w:t xml:space="preserve">Los requisitos para hacer efectiva la </w:t>
      </w:r>
      <w:r w:rsidRPr="00182C89">
        <w:rPr>
          <w:rFonts w:ascii="Verdana" w:hAnsi="Verdana"/>
          <w:i/>
          <w:iCs/>
        </w:rPr>
        <w:t>cesión de créditos</w:t>
      </w:r>
      <w:r w:rsidRPr="005E27C9">
        <w:rPr>
          <w:rFonts w:ascii="Verdana" w:hAnsi="Verdana"/>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ii) si el crédito no consta en un documento, el cedente deberá hacer uno y entregarlo al cesionario; iii) la cesión produce efectos para el deudor y terceros luego de que el cesionario la notifica al deudor o es aceptada por éste; iv)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vii) las reglas de la cesión de créditos no se aplican a títulos valores regidos por las normas de transmisión del Código de Comercio.</w:t>
      </w:r>
      <w:r>
        <w:rPr>
          <w:rFonts w:ascii="Verdana" w:hAnsi="Verdana"/>
        </w:rPr>
        <w:t xml:space="preserve"> </w:t>
      </w:r>
    </w:p>
    <w:bookmarkEnd w:id="10"/>
    <w:p w14:paraId="7E252939" w14:textId="77777777" w:rsidR="00FB7971" w:rsidRDefault="00FB7971" w:rsidP="00FB7971">
      <w:pPr>
        <w:spacing w:after="120" w:line="276" w:lineRule="auto"/>
        <w:ind w:firstLine="709"/>
        <w:jc w:val="both"/>
        <w:rPr>
          <w:rFonts w:ascii="Verdana" w:hAnsi="Verdana"/>
        </w:rPr>
      </w:pPr>
      <w:r w:rsidRPr="005E27C9">
        <w:rPr>
          <w:rFonts w:ascii="Verdana" w:hAnsi="Verdana"/>
        </w:rPr>
        <w:t>En el contexto expuesto, un crédito puede ser cedido, cumpliendo con las previsiones legales que hacen oponible la transmisión del derecho a una tercera persona, caso en el cual podrá pagar</w:t>
      </w:r>
      <w:r>
        <w:rPr>
          <w:rFonts w:ascii="Verdana" w:hAnsi="Verdana"/>
        </w:rPr>
        <w:t>se</w:t>
      </w:r>
      <w:r w:rsidRPr="005E27C9">
        <w:rPr>
          <w:rFonts w:ascii="Verdana" w:hAnsi="Verdana"/>
        </w:rPr>
        <w:t xml:space="preserve"> válidamente la prestación que debe al cesionario.</w:t>
      </w:r>
      <w:r>
        <w:rPr>
          <w:rFonts w:ascii="Verdana" w:hAnsi="Verdana"/>
        </w:rPr>
        <w:t xml:space="preserve"> Como explica la doctrina, la </w:t>
      </w:r>
      <w:r w:rsidRPr="00182C89">
        <w:rPr>
          <w:rFonts w:ascii="Verdana" w:hAnsi="Verdana"/>
          <w:i/>
          <w:iCs/>
        </w:rPr>
        <w:t>cesión de crédito</w:t>
      </w:r>
      <w:r>
        <w:rPr>
          <w:rFonts w:ascii="Verdana" w:hAnsi="Verdana"/>
        </w:rPr>
        <w:t xml:space="preserve"> concierne al acreedor cedente y al tercero cesionario, de manera que el deudor cedido –aunque deba notificarse– juega un rol pasivo en el negocio celebrado</w:t>
      </w:r>
      <w:r>
        <w:rPr>
          <w:rStyle w:val="Refdenotaalpie"/>
          <w:rFonts w:ascii="Verdana" w:hAnsi="Verdana"/>
        </w:rPr>
        <w:footnoteReference w:id="26"/>
      </w:r>
      <w:r>
        <w:rPr>
          <w:rFonts w:ascii="Verdana" w:hAnsi="Verdana"/>
        </w:rPr>
        <w:t xml:space="preserve">. </w:t>
      </w:r>
    </w:p>
    <w:p w14:paraId="72AB6F4F" w14:textId="77777777" w:rsidR="00FB7971" w:rsidRDefault="00FB7971" w:rsidP="00FB7971">
      <w:pPr>
        <w:spacing w:after="120" w:line="276" w:lineRule="auto"/>
        <w:ind w:firstLine="708"/>
        <w:jc w:val="both"/>
        <w:rPr>
          <w:rFonts w:ascii="Verdana" w:hAnsi="Verdana" w:cs="Arial"/>
        </w:rPr>
      </w:pPr>
      <w:r w:rsidRPr="00510F54">
        <w:rPr>
          <w:rFonts w:ascii="Verdana" w:hAnsi="Verdana"/>
        </w:rPr>
        <w:lastRenderedPageBreak/>
        <w:t xml:space="preserve">La </w:t>
      </w:r>
      <w:r w:rsidRPr="00182C89">
        <w:rPr>
          <w:rFonts w:ascii="Verdana" w:hAnsi="Verdana"/>
          <w:i/>
          <w:iCs/>
        </w:rPr>
        <w:t>cesión de créditos</w:t>
      </w:r>
      <w:r w:rsidRPr="00510F54">
        <w:rPr>
          <w:rFonts w:ascii="Verdana" w:hAnsi="Verdana"/>
        </w:rPr>
        <w:t xml:space="preserve"> es una figura distinta a la </w:t>
      </w:r>
      <w:r w:rsidRPr="00182C89">
        <w:rPr>
          <w:rFonts w:ascii="Verdana" w:hAnsi="Verdana"/>
          <w:i/>
          <w:iCs/>
        </w:rPr>
        <w:t>cesión de contratos</w:t>
      </w:r>
      <w:r w:rsidRPr="00510F54">
        <w:rPr>
          <w:rFonts w:ascii="Verdana" w:hAnsi="Verdana"/>
        </w:rPr>
        <w:t xml:space="preserve">. </w:t>
      </w:r>
      <w:r w:rsidRPr="00510F54">
        <w:rPr>
          <w:rFonts w:ascii="Verdana" w:eastAsia="Calibri" w:hAnsi="Verdana" w:cs="Arial"/>
          <w:bCs/>
          <w:color w:val="000000" w:themeColor="text1"/>
        </w:rPr>
        <w:t>Conforme a los artículos 887 y siguientes del Código de Comercio, esta última juega un papel importante en la gestión de los intereses,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510F54">
        <w:rPr>
          <w:rStyle w:val="Refdenotaalpie"/>
          <w:rFonts w:ascii="Verdana" w:eastAsia="Calibri" w:hAnsi="Verdana" w:cs="Arial"/>
          <w:bCs/>
          <w:color w:val="000000" w:themeColor="text1"/>
        </w:rPr>
        <w:footnoteReference w:id="27"/>
      </w:r>
      <w:r w:rsidRPr="00510F54">
        <w:rPr>
          <w:rFonts w:ascii="Verdana" w:eastAsia="Calibri" w:hAnsi="Verdana" w:cs="Arial"/>
          <w:bCs/>
          <w:color w:val="000000" w:themeColor="text1"/>
        </w:rPr>
        <w:t>.</w:t>
      </w:r>
      <w:r w:rsidRPr="00510F54">
        <w:rPr>
          <w:rFonts w:ascii="Verdana" w:eastAsia="Calibri" w:hAnsi="Verdana" w:cs="Arial"/>
          <w:color w:val="000000" w:themeColor="text1"/>
        </w:rPr>
        <w:t xml:space="preserve"> </w:t>
      </w:r>
      <w:r w:rsidRPr="00510F54">
        <w:rPr>
          <w:rFonts w:ascii="Verdana" w:hAnsi="Verdana" w:cs="Arial"/>
        </w:rPr>
        <w:t xml:space="preserve">Para la doctrina, “La cesión del contrato sirve para hacer posible la </w:t>
      </w:r>
      <w:r w:rsidRPr="00510F54">
        <w:rPr>
          <w:rFonts w:ascii="Verdana" w:hAnsi="Verdana" w:cs="Arial"/>
          <w:i/>
          <w:iCs/>
        </w:rPr>
        <w:t>circulación del contrato en su integridad</w:t>
      </w:r>
      <w:r w:rsidRPr="00510F54">
        <w:rPr>
          <w:rFonts w:ascii="Verdana" w:hAnsi="Verdana" w:cs="Arial"/>
        </w:rPr>
        <w:t xml:space="preserve">, es decir, para hacer </w:t>
      </w:r>
      <w:r w:rsidRPr="00510F54">
        <w:rPr>
          <w:rFonts w:ascii="Verdana" w:hAnsi="Verdana" w:cs="Arial"/>
          <w:i/>
          <w:iCs/>
        </w:rPr>
        <w:t>subintrar</w:t>
      </w:r>
      <w:r w:rsidRPr="00510F54">
        <w:rPr>
          <w:rFonts w:ascii="Verdana" w:hAnsi="Verdana" w:cs="Arial"/>
        </w:rPr>
        <w:t xml:space="preserve"> un extraño en la categoría de parte contractual, en </w:t>
      </w:r>
      <w:r w:rsidRPr="00510F54">
        <w:rPr>
          <w:rFonts w:ascii="Verdana" w:hAnsi="Verdana" w:cs="Arial"/>
          <w:i/>
          <w:iCs/>
        </w:rPr>
        <w:t>lugar</w:t>
      </w:r>
      <w:r w:rsidRPr="00510F54">
        <w:rPr>
          <w:rFonts w:ascii="Verdana" w:hAnsi="Verdana" w:cs="Arial"/>
        </w:rPr>
        <w:t xml:space="preserve"> de uno de los contratantes originarios”</w:t>
      </w:r>
      <w:r w:rsidRPr="00510F54">
        <w:rPr>
          <w:rStyle w:val="Refdenotaalpie"/>
          <w:rFonts w:ascii="Verdana" w:hAnsi="Verdana" w:cs="Arial"/>
          <w:color w:val="000000" w:themeColor="text1"/>
        </w:rPr>
        <w:footnoteReference w:id="28"/>
      </w:r>
      <w:r w:rsidRPr="00510F54">
        <w:rPr>
          <w:rFonts w:ascii="Verdana" w:hAnsi="Verdana" w:cs="Arial"/>
        </w:rPr>
        <w:t>.</w:t>
      </w:r>
    </w:p>
    <w:p w14:paraId="35DA106D" w14:textId="77777777" w:rsidR="00FB7971" w:rsidRDefault="00FB7971" w:rsidP="00FB7971">
      <w:pPr>
        <w:spacing w:after="120" w:line="276" w:lineRule="auto"/>
        <w:ind w:firstLine="708"/>
        <w:jc w:val="both"/>
        <w:rPr>
          <w:rFonts w:ascii="Verdana" w:eastAsia="Calibri" w:hAnsi="Verdana" w:cs="Arial"/>
          <w:bCs/>
          <w:color w:val="000000" w:themeColor="text1"/>
        </w:rPr>
      </w:pPr>
      <w:r w:rsidRPr="00CF5497">
        <w:rPr>
          <w:rFonts w:ascii="Verdana" w:eastAsia="Calibri" w:hAnsi="Verdana" w:cs="Arial"/>
          <w:color w:val="000000" w:themeColor="text1"/>
        </w:rPr>
        <w:t xml:space="preserve">En la </w:t>
      </w:r>
      <w:r w:rsidRPr="00182C89">
        <w:rPr>
          <w:rFonts w:ascii="Verdana" w:eastAsia="Calibri" w:hAnsi="Verdana" w:cs="Arial"/>
          <w:i/>
          <w:iCs/>
          <w:color w:val="000000" w:themeColor="text1"/>
        </w:rPr>
        <w:t>cesión de contratos</w:t>
      </w:r>
      <w:r w:rsidRPr="00CF5497">
        <w:rPr>
          <w:rFonts w:ascii="Verdana" w:eastAsia="Calibri" w:hAnsi="Verdana" w:cs="Arial"/>
          <w:color w:val="000000" w:themeColor="text1"/>
        </w:rPr>
        <w:t xml:space="preserve">, la entidad cedida juega un rol activo, pues el artículo 41, inciso tercero, de la Ley 80 de 1993 la </w:t>
      </w:r>
      <w:r w:rsidRPr="00CF5497">
        <w:rPr>
          <w:rFonts w:ascii="Verdana" w:eastAsia="Calibri" w:hAnsi="Verdana" w:cs="Arial"/>
          <w:bCs/>
          <w:color w:val="000000" w:themeColor="text1"/>
        </w:rPr>
        <w:t>permite excepcionalmente siempre que exista autorización previa escrita del contratante. Por ello, “[…] El cocontratante que ‘</w:t>
      </w:r>
      <w:r w:rsidRPr="00CF5497">
        <w:rPr>
          <w:rFonts w:ascii="Verdana" w:eastAsia="Calibri" w:hAnsi="Verdana" w:cs="Arial"/>
          <w:bCs/>
          <w:i/>
          <w:iCs/>
          <w:color w:val="000000" w:themeColor="text1"/>
        </w:rPr>
        <w:t>ceda</w:t>
      </w:r>
      <w:r w:rsidRPr="00CF5497">
        <w:rPr>
          <w:rFonts w:ascii="Verdana" w:eastAsia="Calibri" w:hAnsi="Verdana" w:cs="Arial"/>
          <w:bCs/>
          <w:color w:val="000000" w:themeColor="text1"/>
        </w:rPr>
        <w:t>’ el contrato sin estar autorizado para ello incurre en grave responsabilidad: su actitud implica ‘</w:t>
      </w:r>
      <w:r w:rsidRPr="00CF5497">
        <w:rPr>
          <w:rFonts w:ascii="Verdana" w:eastAsia="Calibri" w:hAnsi="Verdana" w:cs="Arial"/>
          <w:bCs/>
          <w:i/>
          <w:iCs/>
          <w:color w:val="000000" w:themeColor="text1"/>
        </w:rPr>
        <w:t>incumplimiento</w:t>
      </w:r>
      <w:r w:rsidRPr="00CF5497">
        <w:rPr>
          <w:rFonts w:ascii="Verdana" w:eastAsia="Calibri" w:hAnsi="Verdana" w:cs="Arial"/>
          <w:bCs/>
          <w:color w:val="000000" w:themeColor="text1"/>
        </w:rPr>
        <w:t>’ del contrato; de ahí que esa cesión ilícita no resulte oponible a la Administración Pública […]”</w:t>
      </w:r>
      <w:r w:rsidRPr="00CF5497">
        <w:rPr>
          <w:rStyle w:val="Refdenotaalpie"/>
          <w:rFonts w:ascii="Verdana" w:eastAsia="Calibri" w:hAnsi="Verdana" w:cs="Arial"/>
          <w:bCs/>
          <w:color w:val="000000" w:themeColor="text1"/>
        </w:rPr>
        <w:footnoteReference w:id="29"/>
      </w:r>
      <w:r w:rsidRPr="00CF5497">
        <w:rPr>
          <w:rFonts w:ascii="Verdana" w:eastAsia="Calibri" w:hAnsi="Verdana" w:cs="Arial"/>
          <w:bCs/>
          <w:color w:val="000000" w:themeColor="text1"/>
        </w:rPr>
        <w:t>.</w:t>
      </w:r>
    </w:p>
    <w:p w14:paraId="09B500A4" w14:textId="77777777" w:rsidR="00FB7971" w:rsidRDefault="00FB7971" w:rsidP="00FB7971">
      <w:pPr>
        <w:tabs>
          <w:tab w:val="left" w:pos="709"/>
        </w:tabs>
        <w:spacing w:after="120" w:line="276" w:lineRule="auto"/>
        <w:jc w:val="both"/>
        <w:rPr>
          <w:rFonts w:ascii="Verdana" w:eastAsia="Calibri" w:hAnsi="Verdana" w:cs="Arial"/>
          <w:color w:val="000000" w:themeColor="text1"/>
        </w:rPr>
      </w:pPr>
      <w:r>
        <w:rPr>
          <w:rFonts w:ascii="Verdana" w:eastAsia="Calibri" w:hAnsi="Verdana" w:cs="Arial"/>
          <w:bCs/>
          <w:color w:val="000000" w:themeColor="text1"/>
        </w:rPr>
        <w:tab/>
        <w:t>Además</w:t>
      </w:r>
      <w:r w:rsidRPr="00CF5497">
        <w:rPr>
          <w:rFonts w:ascii="Verdana" w:eastAsia="Calibri" w:hAnsi="Verdana" w:cs="Arial"/>
          <w:color w:val="000000" w:themeColor="text1"/>
        </w:rPr>
        <w:t xml:space="preserve">,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w:t>
      </w:r>
      <w:r w:rsidRPr="00CF5497">
        <w:rPr>
          <w:rFonts w:ascii="Verdana" w:eastAsia="Calibri" w:hAnsi="Verdana" w:cs="Arial"/>
          <w:color w:val="000000" w:themeColor="text1"/>
        </w:rPr>
        <w:lastRenderedPageBreak/>
        <w:t>puede servir como instrumento para desviar las obligaciones que tiene la entidad contratante de cumplimiento de los parámetros de la selección objetiva”</w:t>
      </w:r>
      <w:r w:rsidRPr="00CF5497">
        <w:rPr>
          <w:rStyle w:val="Refdenotaalpie"/>
          <w:rFonts w:ascii="Verdana" w:eastAsia="Calibri" w:hAnsi="Verdana" w:cs="Arial"/>
          <w:color w:val="000000" w:themeColor="text1"/>
        </w:rPr>
        <w:footnoteReference w:id="30"/>
      </w:r>
      <w:r w:rsidRPr="00CF5497">
        <w:rPr>
          <w:rFonts w:ascii="Verdana" w:eastAsia="Calibri" w:hAnsi="Verdana" w:cs="Arial"/>
          <w:color w:val="000000" w:themeColor="text1"/>
        </w:rPr>
        <w:t>.</w:t>
      </w:r>
    </w:p>
    <w:p w14:paraId="7FE63B49" w14:textId="77777777" w:rsidR="00FB7971" w:rsidRPr="005B22F5" w:rsidRDefault="00FB7971" w:rsidP="00FB7971">
      <w:pPr>
        <w:spacing w:after="120" w:line="276" w:lineRule="auto"/>
        <w:ind w:right="51" w:firstLine="708"/>
        <w:jc w:val="both"/>
        <w:rPr>
          <w:rFonts w:ascii="Verdana" w:eastAsia="Calibri" w:hAnsi="Verdana" w:cs="Arial"/>
          <w:bCs/>
          <w:color w:val="000000" w:themeColor="text1"/>
        </w:rPr>
      </w:pPr>
      <w:r>
        <w:rPr>
          <w:rFonts w:ascii="Verdana" w:eastAsia="Calibri" w:hAnsi="Verdana" w:cs="Arial"/>
          <w:color w:val="000000" w:themeColor="text1"/>
        </w:rPr>
        <w:t>iv. En consecuencia, e</w:t>
      </w:r>
      <w:r w:rsidRPr="005B22F5">
        <w:rPr>
          <w:rFonts w:ascii="Verdana" w:eastAsia="Calibri" w:hAnsi="Verdana" w:cs="Arial"/>
          <w:bCs/>
          <w:color w:val="000000" w:themeColor="text1"/>
        </w:rPr>
        <w:t>l fallecimiento del representante legal de una sociedad contratista durante la ejecución de un contrato estatal no afecta la existencia, validez ni continuidad del vínculo contractual, por cuanto el contratista es la persona jurídica, quien conserva su capacidad y personería mientras no se configure causal de disolución. Corresponde a los órganos sociales designar y registrar al nuevo representante legal conforme a las disposiciones societarias aplicables.</w:t>
      </w:r>
    </w:p>
    <w:p w14:paraId="3E7D6A10" w14:textId="77777777" w:rsidR="00FB7971" w:rsidRPr="009B1432" w:rsidRDefault="00FB7971" w:rsidP="00FB7971">
      <w:pPr>
        <w:spacing w:after="120" w:line="276" w:lineRule="auto"/>
        <w:ind w:firstLine="708"/>
        <w:jc w:val="both"/>
        <w:rPr>
          <w:rFonts w:ascii="Verdana" w:eastAsia="Calibri" w:hAnsi="Verdana" w:cs="Arial"/>
          <w:color w:val="000000" w:themeColor="text1"/>
        </w:rPr>
      </w:pPr>
      <w:r w:rsidRPr="005B22F5">
        <w:rPr>
          <w:rFonts w:ascii="Verdana" w:eastAsia="Calibri" w:hAnsi="Verdana" w:cs="Arial"/>
          <w:bCs/>
          <w:color w:val="000000" w:themeColor="text1"/>
        </w:rPr>
        <w:t>No procede aplicar automáticamente las figuras de cesión del contrato ni de cesión de derechos económicos como consecuencia del fallecimiento del representante legal, toda vez que la sociedad contratista subsiste y conserva la titularidad del contrato y de las obligaciones derivadas del mismo. Dichas figuras solo resultan pertinentes si la sociedad, por decisión propia o necesidad jurídica, decide transferir su posición contractual o los créditos a un tercero, caso en el cual deberán observarse los requisitos legales y obtenerse, cuando corresponda, la autorización escrita de la entidad contratante.</w:t>
      </w:r>
      <w:r>
        <w:rPr>
          <w:rFonts w:ascii="Verdana" w:eastAsia="Calibri" w:hAnsi="Verdana" w:cs="Arial"/>
          <w:color w:val="000000" w:themeColor="text1"/>
        </w:rPr>
        <w:t xml:space="preserve">   </w:t>
      </w:r>
    </w:p>
    <w:p w14:paraId="6C5ABC1B" w14:textId="77777777" w:rsidR="00FB7971" w:rsidRDefault="00FB7971" w:rsidP="00FB7971">
      <w:pPr>
        <w:spacing w:after="0" w:line="276" w:lineRule="auto"/>
        <w:ind w:firstLine="708"/>
        <w:jc w:val="both"/>
        <w:rPr>
          <w:rStyle w:val="s15"/>
          <w:rFonts w:ascii="Verdana" w:hAnsi="Verdana"/>
          <w:color w:val="000000"/>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6FEF3EE8" w14:textId="77777777" w:rsidR="00FB7971" w:rsidRPr="00182C89" w:rsidRDefault="00FB7971" w:rsidP="00FB7971">
      <w:pPr>
        <w:spacing w:after="0" w:line="276" w:lineRule="auto"/>
        <w:ind w:firstLine="708"/>
        <w:jc w:val="both"/>
        <w:rPr>
          <w:rFonts w:ascii="Verdana" w:eastAsia="Calibri" w:hAnsi="Verdana" w:cs="Arial"/>
          <w:color w:val="000000" w:themeColor="text1"/>
        </w:rPr>
      </w:pPr>
    </w:p>
    <w:p w14:paraId="484D4816" w14:textId="77777777" w:rsidR="00FB7971" w:rsidRPr="00593A5F" w:rsidRDefault="00FB7971" w:rsidP="00FB7971">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7D34CEE" w14:textId="77777777" w:rsidR="00FB7971" w:rsidRPr="00593A5F" w:rsidRDefault="00FB7971" w:rsidP="00FB797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B7971" w:rsidRPr="00D51CBA" w14:paraId="449877C6" w14:textId="77777777" w:rsidTr="00B32A68">
        <w:trPr>
          <w:trHeight w:val="491"/>
          <w:jc w:val="center"/>
        </w:trPr>
        <w:tc>
          <w:tcPr>
            <w:tcW w:w="8647" w:type="dxa"/>
          </w:tcPr>
          <w:p w14:paraId="603B379A" w14:textId="77777777" w:rsidR="00FB7971" w:rsidRPr="00185EE9"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rPr>
            </w:pPr>
            <w:r>
              <w:rPr>
                <w:rFonts w:ascii="Verdana" w:hAnsi="Verdana" w:cs="Arial"/>
              </w:rPr>
              <w:t>Ley 80 de 1993, artículos 6, 13, 32, 40 y 41.</w:t>
            </w:r>
          </w:p>
          <w:p w14:paraId="5AD0F36C" w14:textId="77777777" w:rsidR="00FB7971" w:rsidRPr="004923A3"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sidRPr="001C6C6F">
              <w:rPr>
                <w:rFonts w:ascii="Verdana" w:hAnsi="Verdana" w:cs="Arial"/>
              </w:rPr>
              <w:t>666</w:t>
            </w:r>
            <w:r>
              <w:rPr>
                <w:rFonts w:ascii="Verdana" w:hAnsi="Verdana" w:cs="Arial"/>
              </w:rPr>
              <w:t>, 1501, 1634, 1635, 1959 y ss</w:t>
            </w:r>
            <w:r w:rsidRPr="00185EE9">
              <w:rPr>
                <w:rFonts w:ascii="Verdana" w:hAnsi="Verdana" w:cs="Arial"/>
              </w:rPr>
              <w:t>.</w:t>
            </w:r>
          </w:p>
          <w:p w14:paraId="1D176654" w14:textId="77777777" w:rsidR="00FB7971"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Código de Comercio, artículos 98, 887, 891 y ss.</w:t>
            </w:r>
          </w:p>
          <w:p w14:paraId="25BD742B" w14:textId="77777777" w:rsidR="00FB7971" w:rsidRPr="00845689"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es-ES_tradnl"/>
              </w:rPr>
            </w:pPr>
            <w:r w:rsidRPr="00FC5565">
              <w:rPr>
                <w:rFonts w:ascii="Verdana" w:eastAsia="Calibri" w:hAnsi="Verdana" w:cs="Arial"/>
              </w:rPr>
              <w:t>Decreto 1082 de 2015</w:t>
            </w:r>
            <w:r>
              <w:rPr>
                <w:rFonts w:ascii="Verdana" w:eastAsia="Calibri" w:hAnsi="Verdana" w:cs="Arial"/>
              </w:rPr>
              <w:t xml:space="preserve">, artículo </w:t>
            </w:r>
            <w:r w:rsidRPr="00357203">
              <w:rPr>
                <w:rFonts w:ascii="Verdana" w:eastAsia="Calibri" w:hAnsi="Verdana" w:cs="Arial"/>
              </w:rPr>
              <w:t>2.2.1.1.1.5.3.</w:t>
            </w:r>
          </w:p>
          <w:p w14:paraId="701E4C51" w14:textId="77777777" w:rsidR="00FB7971"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pt-BR"/>
              </w:rPr>
            </w:pPr>
            <w:r w:rsidRPr="00216D66">
              <w:rPr>
                <w:rFonts w:ascii="Verdana" w:hAnsi="Verdana" w:cs="Arial"/>
                <w:color w:val="000000" w:themeColor="text1"/>
                <w:lang w:val="pt-BR"/>
              </w:rPr>
              <w:t>Corte Constitucional Sentencia C-621 de 2003</w:t>
            </w:r>
          </w:p>
          <w:p w14:paraId="5562B031" w14:textId="77777777" w:rsidR="00FB7971"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pt-BR"/>
              </w:rPr>
            </w:pPr>
            <w:r w:rsidRPr="00A17E0D">
              <w:rPr>
                <w:rFonts w:ascii="Verdana" w:hAnsi="Verdana" w:cs="Arial"/>
                <w:color w:val="000000" w:themeColor="text1"/>
                <w:lang w:val="es-CO"/>
              </w:rPr>
              <w:t xml:space="preserve">CONSEJO DE ESTADO. Sección Tercera. Sentencia del 16 de marzo de </w:t>
            </w:r>
            <w:r w:rsidRPr="00A17E0D">
              <w:rPr>
                <w:rFonts w:ascii="Verdana" w:hAnsi="Verdana" w:cs="Arial"/>
                <w:color w:val="000000" w:themeColor="text1"/>
                <w:lang w:val="es-CO"/>
              </w:rPr>
              <w:lastRenderedPageBreak/>
              <w:t xml:space="preserve">2015. </w:t>
            </w:r>
            <w:r w:rsidRPr="00A17E0D">
              <w:rPr>
                <w:rFonts w:ascii="Verdana" w:hAnsi="Verdana" w:cs="Arial"/>
                <w:color w:val="000000" w:themeColor="text1"/>
                <w:lang w:val="pt-BR"/>
              </w:rPr>
              <w:t>Rad. 1999-03028, M.P. Jaime Orlando Santofimio Gamboa</w:t>
            </w:r>
          </w:p>
          <w:p w14:paraId="460E2FE0" w14:textId="77777777" w:rsidR="00FB7971" w:rsidRPr="00A73573"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pt-BR"/>
              </w:rPr>
            </w:pPr>
            <w:r w:rsidRPr="00D51CBA">
              <w:rPr>
                <w:rFonts w:ascii="Verdana" w:hAnsi="Verdana" w:cs="Arial"/>
                <w:color w:val="000000" w:themeColor="text1"/>
                <w:lang w:val="pt-BR"/>
              </w:rPr>
              <w:t xml:space="preserve">Superintendencia de sociedades. Concepto. OFICIO 220-229540 DEL 18 DE OCTUBRE DE 2022. ASUNTO: REPRESENTANTE LEGAL O REVISOR FISCAL SUPLENTE. </w:t>
            </w:r>
            <w:r w:rsidRPr="00A73573">
              <w:rPr>
                <w:rFonts w:ascii="Verdana" w:hAnsi="Verdana" w:cs="Arial"/>
                <w:color w:val="000000" w:themeColor="text1"/>
                <w:lang w:val="pt-BR"/>
              </w:rPr>
              <w:t xml:space="preserve">Consultar en: </w:t>
            </w:r>
            <w:hyperlink r:id="rId9" w:history="1">
              <w:r w:rsidRPr="00A73573">
                <w:rPr>
                  <w:rStyle w:val="Hipervnculo"/>
                  <w:rFonts w:ascii="Verdana" w:hAnsi="Verdana" w:cs="Arial"/>
                  <w:lang w:val="pt-BR"/>
                </w:rPr>
                <w:t>https://www.supersociedades.gov.co/web/nuestra-entidad/conceptos-juridicos</w:t>
              </w:r>
            </w:hyperlink>
            <w:r w:rsidRPr="00A73573">
              <w:rPr>
                <w:rFonts w:ascii="Verdana" w:hAnsi="Verdana" w:cs="Arial"/>
                <w:color w:val="000000" w:themeColor="text1"/>
                <w:lang w:val="pt-BR"/>
              </w:rPr>
              <w:t xml:space="preserve"> </w:t>
            </w:r>
          </w:p>
          <w:p w14:paraId="294F89AE" w14:textId="77777777" w:rsidR="00FB7971"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es-CO"/>
              </w:rPr>
            </w:pPr>
            <w:r w:rsidRPr="00E81DCF">
              <w:rPr>
                <w:rFonts w:ascii="Verdana" w:hAnsi="Verdana" w:cs="Arial"/>
                <w:color w:val="000000" w:themeColor="text1"/>
                <w:lang w:val="es-CO"/>
              </w:rPr>
              <w:t xml:space="preserve">Superintendencia de sociedades. Concepto. Oficio: 220-301537 del 21 de octubre de 2024. Consultar en: </w:t>
            </w:r>
            <w:hyperlink r:id="rId10" w:history="1">
              <w:r w:rsidRPr="00BA6D12">
                <w:rPr>
                  <w:rStyle w:val="Hipervnculo"/>
                  <w:rFonts w:ascii="Verdana" w:hAnsi="Verdana" w:cs="Arial"/>
                  <w:lang w:val="es-CO"/>
                </w:rPr>
                <w:t>https://www.supersociedades.gov.co/documents/107391/159040/220-301537+-+REPRESENTACI%C3%93N+COMERCIAL+Y+REPRESENTACI%C3%93N+LEGAL.pdf/30a7c153-3fd4-2897-ba3d-51d56c01acb6?version=1.2&amp;t=1741882932512</w:t>
              </w:r>
            </w:hyperlink>
            <w:r>
              <w:rPr>
                <w:rFonts w:ascii="Verdana" w:hAnsi="Verdana" w:cs="Arial"/>
                <w:color w:val="000000" w:themeColor="text1"/>
                <w:lang w:val="es-CO"/>
              </w:rPr>
              <w:t xml:space="preserve"> </w:t>
            </w:r>
          </w:p>
          <w:p w14:paraId="6B61A1DD" w14:textId="77777777" w:rsidR="00FB7971" w:rsidRDefault="00FB7971" w:rsidP="00FB7971">
            <w:pPr>
              <w:pStyle w:val="Prrafodelista"/>
              <w:widowControl w:val="0"/>
              <w:numPr>
                <w:ilvl w:val="0"/>
                <w:numId w:val="3"/>
              </w:numPr>
              <w:autoSpaceDE w:val="0"/>
              <w:autoSpaceDN w:val="0"/>
              <w:ind w:left="714" w:hanging="357"/>
              <w:contextualSpacing w:val="0"/>
              <w:jc w:val="both"/>
              <w:rPr>
                <w:rFonts w:ascii="Verdana" w:hAnsi="Verdana" w:cs="Arial"/>
                <w:color w:val="000000" w:themeColor="text1"/>
                <w:lang w:val="es-CO"/>
              </w:rPr>
            </w:pPr>
            <w:r w:rsidRPr="00CF2BAA">
              <w:rPr>
                <w:rFonts w:ascii="Verdana" w:hAnsi="Verdana" w:cs="Arial"/>
                <w:color w:val="000000" w:themeColor="text1"/>
                <w:lang w:val="es-CO"/>
              </w:rPr>
              <w:t>REYES VILLAMIZAR. Francisco. DERECHO SOCIETARIO. “Requisitos de Forma del Contrato Social”. Tomo I. Cuarta Edición. Editorial TEMIS S.A. Bogotá. 2020. 213 y 687 p. ISBN: 978-958-35-1270-4</w:t>
            </w:r>
            <w:r>
              <w:rPr>
                <w:rFonts w:ascii="Verdana" w:hAnsi="Verdana" w:cs="Arial"/>
                <w:color w:val="000000" w:themeColor="text1"/>
                <w:lang w:val="es-CO"/>
              </w:rPr>
              <w:t xml:space="preserve"> </w:t>
            </w:r>
          </w:p>
          <w:p w14:paraId="1B8B8A55" w14:textId="77777777" w:rsidR="00FB7971" w:rsidRPr="001B171F"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1B171F">
              <w:rPr>
                <w:rFonts w:ascii="Verdana" w:hAnsi="Verdana" w:cs="Arial"/>
                <w:color w:val="000000" w:themeColor="text1"/>
                <w:lang w:val="es-CO"/>
              </w:rPr>
              <w:t>ANDREOLI, Marcello. La cesión del contrato. Santiago: Ediciones Olejnik, 2019. p. 12.</w:t>
            </w:r>
          </w:p>
          <w:p w14:paraId="534699D9" w14:textId="77777777" w:rsidR="00FB7971" w:rsidRPr="001B171F"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1B171F">
              <w:rPr>
                <w:rFonts w:ascii="Verdana" w:hAnsi="Verdana" w:cs="Arial"/>
                <w:color w:val="000000" w:themeColor="text1"/>
                <w:lang w:val="es-CO"/>
              </w:rPr>
              <w:t>ROPPO, Vincenzo. El contrato. Lima: Gaceta Jurídica, 2009. p. 547.</w:t>
            </w:r>
          </w:p>
          <w:p w14:paraId="5688F1CC" w14:textId="77777777" w:rsidR="00FB7971" w:rsidRPr="001B171F"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1B171F">
              <w:rPr>
                <w:rFonts w:ascii="Verdana" w:hAnsi="Verdana" w:cs="Arial"/>
                <w:color w:val="000000" w:themeColor="text1"/>
                <w:lang w:val="es-CO"/>
              </w:rPr>
              <w:t>HINESTROSA, Fernando. Tratado de las obligaciones: concepto, estructura y vicisitudes. Tercera Edición. Bogotá: Universidad Externado de Colombia, 2007. Libro en formato EPUB.</w:t>
            </w:r>
          </w:p>
          <w:p w14:paraId="5EB10263" w14:textId="77777777" w:rsidR="00FB7971" w:rsidRPr="001B171F"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1B171F">
              <w:rPr>
                <w:rFonts w:ascii="Verdana" w:hAnsi="Verdana" w:cs="Arial"/>
                <w:color w:val="000000" w:themeColor="text1"/>
                <w:lang w:val="es-CO"/>
              </w:rPr>
              <w:t>ARRUBLA PAUCAR, Jaime Alberto. Contratos mercantiles: teoría general del negocio mercantil. Decimocuarta Edición. Bogotá: Legis, 2021. p. 251</w:t>
            </w:r>
          </w:p>
          <w:p w14:paraId="47B583A7" w14:textId="77777777" w:rsidR="00FB7971" w:rsidRPr="001B171F"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1B171F">
              <w:rPr>
                <w:rFonts w:ascii="Verdana" w:hAnsi="Verdana" w:cs="Arial"/>
                <w:color w:val="000000" w:themeColor="text1"/>
                <w:lang w:val="pt-BR"/>
              </w:rPr>
              <w:t xml:space="preserve">ESCOLA, Jorge. Tratado integral de los contratos administrativos. </w:t>
            </w:r>
            <w:r w:rsidRPr="001B171F">
              <w:rPr>
                <w:rFonts w:ascii="Verdana" w:hAnsi="Verdana" w:cs="Arial"/>
                <w:color w:val="000000" w:themeColor="text1"/>
                <w:lang w:val="es-CO"/>
              </w:rPr>
              <w:t>Volumen I. Buenos Aires: Depalma, 2012. p. 424</w:t>
            </w:r>
          </w:p>
          <w:p w14:paraId="198888E5" w14:textId="77777777" w:rsidR="00FB7971" w:rsidRPr="001B171F"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1B171F">
              <w:rPr>
                <w:rFonts w:ascii="Verdana" w:hAnsi="Verdana" w:cs="Arial"/>
                <w:color w:val="000000" w:themeColor="text1"/>
                <w:lang w:val="pt-BR"/>
              </w:rPr>
              <w:t xml:space="preserve">MARIENHOFF, Miguel S. Tratado de derecho administrativo. </w:t>
            </w:r>
            <w:r w:rsidRPr="001B171F">
              <w:rPr>
                <w:rFonts w:ascii="Verdana" w:hAnsi="Verdana" w:cs="Arial"/>
                <w:color w:val="000000" w:themeColor="text1"/>
                <w:lang w:val="es-CO"/>
              </w:rPr>
              <w:t xml:space="preserve">Tomo IIIA. Cuarta Edición. Buenos Aires: Abeledo Perrot, 1998. p. 318. </w:t>
            </w:r>
          </w:p>
          <w:p w14:paraId="25F869E6" w14:textId="77777777" w:rsidR="00FB7971" w:rsidRPr="00D51CBA" w:rsidRDefault="00FB7971" w:rsidP="00FB7971">
            <w:pPr>
              <w:pStyle w:val="Prrafodelista"/>
              <w:widowControl w:val="0"/>
              <w:numPr>
                <w:ilvl w:val="0"/>
                <w:numId w:val="3"/>
              </w:numPr>
              <w:autoSpaceDE w:val="0"/>
              <w:autoSpaceDN w:val="0"/>
              <w:contextualSpacing w:val="0"/>
              <w:jc w:val="both"/>
              <w:rPr>
                <w:rFonts w:ascii="Verdana" w:hAnsi="Verdana" w:cs="Arial"/>
                <w:color w:val="000000" w:themeColor="text1"/>
                <w:lang w:val="es-CO"/>
              </w:rPr>
            </w:pPr>
            <w:r w:rsidRPr="001B171F">
              <w:rPr>
                <w:rFonts w:ascii="Verdana" w:hAnsi="Verdana" w:cs="Arial"/>
                <w:color w:val="000000" w:themeColor="text1"/>
                <w:lang w:val="es-CO"/>
              </w:rPr>
              <w:t>RAMÍREZ GRISALES, Richard. La cesión. Serie: Las cláusulas del contrato estatal. Medellín: Centro de Estudios de Derecho Administrativo –CEDA– y Librería Jurídica Sánchez R., 2014. pp. 71-72.</w:t>
            </w:r>
          </w:p>
          <w:p w14:paraId="46035294" w14:textId="77777777" w:rsidR="00FB7971" w:rsidRPr="00A84801"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A84801">
              <w:rPr>
                <w:rFonts w:ascii="Verdana" w:hAnsi="Verdana" w:cs="Arial"/>
                <w:color w:val="000000" w:themeColor="text1"/>
                <w:lang w:val="es-CO"/>
              </w:rPr>
              <w:t>TARELLO, Govanni. La interpretación de la ley. Lima: Palestra Editores, 2013. p. 313.</w:t>
            </w:r>
          </w:p>
          <w:p w14:paraId="0883D02F" w14:textId="77777777" w:rsidR="00FB7971" w:rsidRPr="00A84801" w:rsidRDefault="00FB7971" w:rsidP="00FB7971">
            <w:pPr>
              <w:pStyle w:val="Prrafodelista"/>
              <w:widowControl w:val="0"/>
              <w:numPr>
                <w:ilvl w:val="0"/>
                <w:numId w:val="3"/>
              </w:numPr>
              <w:autoSpaceDE w:val="0"/>
              <w:autoSpaceDN w:val="0"/>
              <w:jc w:val="both"/>
              <w:rPr>
                <w:rFonts w:ascii="Verdana" w:hAnsi="Verdana" w:cs="Arial"/>
                <w:color w:val="000000" w:themeColor="text1"/>
                <w:lang w:val="es-CO"/>
              </w:rPr>
            </w:pPr>
            <w:r w:rsidRPr="00A73573">
              <w:rPr>
                <w:rFonts w:ascii="Verdana" w:hAnsi="Verdana" w:cs="Arial"/>
                <w:color w:val="000000" w:themeColor="text1"/>
                <w:lang w:val="it-IT"/>
              </w:rPr>
              <w:t xml:space="preserve">ALESSANDRI R. Arturo, SOMARRIVA U. Manuel y VODANOVIC H. Antonio. </w:t>
            </w:r>
            <w:r w:rsidRPr="00A84801">
              <w:rPr>
                <w:rFonts w:ascii="Verdana" w:hAnsi="Verdana" w:cs="Arial"/>
                <w:color w:val="000000" w:themeColor="text1"/>
                <w:lang w:val="es-CO"/>
              </w:rPr>
              <w:t>Tratado de las obligaciones, VII, Editorial Jurídica de Chile. 2Ed., 2004, Chile, p. 11.</w:t>
            </w:r>
          </w:p>
          <w:p w14:paraId="43D65B70" w14:textId="77777777" w:rsidR="00FB7971" w:rsidRDefault="00FB7971" w:rsidP="00FB7971">
            <w:pPr>
              <w:pStyle w:val="Prrafodelista"/>
              <w:widowControl w:val="0"/>
              <w:numPr>
                <w:ilvl w:val="0"/>
                <w:numId w:val="3"/>
              </w:numPr>
              <w:autoSpaceDE w:val="0"/>
              <w:autoSpaceDN w:val="0"/>
              <w:contextualSpacing w:val="0"/>
              <w:jc w:val="both"/>
              <w:rPr>
                <w:rFonts w:ascii="Verdana" w:hAnsi="Verdana" w:cs="Arial"/>
                <w:color w:val="000000" w:themeColor="text1"/>
                <w:lang w:val="es-CO"/>
              </w:rPr>
            </w:pPr>
            <w:r w:rsidRPr="00A84801">
              <w:rPr>
                <w:rFonts w:ascii="Verdana" w:hAnsi="Verdana" w:cs="Arial"/>
                <w:color w:val="000000" w:themeColor="text1"/>
                <w:lang w:val="es-CO"/>
              </w:rPr>
              <w:t>BONIVENTO FERNANDEZ, José. Los principales contratos civiles y su paralelo con los comerciales, Vigésimo segunda edición. Bogotá: Tirant lo Blanch, 2024. p. 524.</w:t>
            </w:r>
          </w:p>
          <w:p w14:paraId="117EB2A7" w14:textId="77777777" w:rsidR="00FB7971" w:rsidRPr="00D51CBA" w:rsidRDefault="00FB7971" w:rsidP="00FB7971">
            <w:pPr>
              <w:pStyle w:val="Prrafodelista"/>
              <w:widowControl w:val="0"/>
              <w:numPr>
                <w:ilvl w:val="0"/>
                <w:numId w:val="3"/>
              </w:numPr>
              <w:autoSpaceDE w:val="0"/>
              <w:autoSpaceDN w:val="0"/>
              <w:contextualSpacing w:val="0"/>
              <w:jc w:val="both"/>
              <w:rPr>
                <w:rFonts w:ascii="Verdana" w:hAnsi="Verdana" w:cs="Arial"/>
                <w:color w:val="000000" w:themeColor="text1"/>
                <w:lang w:val="es-CO"/>
              </w:rPr>
            </w:pPr>
            <w:r w:rsidRPr="00A73573">
              <w:rPr>
                <w:rFonts w:ascii="Verdana" w:hAnsi="Verdana" w:cs="Arial"/>
                <w:color w:val="000000" w:themeColor="text1"/>
                <w:lang w:val="it-IT"/>
              </w:rPr>
              <w:t xml:space="preserve">MESSINEO, Francesco. Doctrina general del contrato. </w:t>
            </w:r>
            <w:r w:rsidRPr="001A6AD5">
              <w:rPr>
                <w:rFonts w:ascii="Verdana" w:hAnsi="Verdana" w:cs="Arial"/>
                <w:color w:val="000000" w:themeColor="text1"/>
                <w:lang w:val="es-CO"/>
              </w:rPr>
              <w:t xml:space="preserve">Santiago: Olejnik, 2018. p. 633. </w:t>
            </w:r>
          </w:p>
        </w:tc>
      </w:tr>
    </w:tbl>
    <w:p w14:paraId="2837CF3B" w14:textId="77777777" w:rsidR="00FB7971" w:rsidRPr="00D51CBA" w:rsidRDefault="00FB7971" w:rsidP="00FB7971">
      <w:pPr>
        <w:widowControl w:val="0"/>
        <w:autoSpaceDE w:val="0"/>
        <w:autoSpaceDN w:val="0"/>
        <w:spacing w:after="0" w:line="276" w:lineRule="auto"/>
        <w:jc w:val="both"/>
        <w:rPr>
          <w:rFonts w:ascii="Verdana" w:hAnsi="Verdana" w:cs="Arial"/>
        </w:rPr>
      </w:pPr>
    </w:p>
    <w:p w14:paraId="0015DE48" w14:textId="77777777" w:rsidR="00FB7971" w:rsidRPr="00593A5F" w:rsidRDefault="00FB7971" w:rsidP="00FB7971">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1FD2D72" w14:textId="77777777" w:rsidR="00FB7971" w:rsidRPr="00593A5F" w:rsidRDefault="00FB7971" w:rsidP="00FB7971">
      <w:pPr>
        <w:widowControl w:val="0"/>
        <w:autoSpaceDE w:val="0"/>
        <w:autoSpaceDN w:val="0"/>
        <w:spacing w:after="0" w:line="276" w:lineRule="auto"/>
        <w:jc w:val="both"/>
        <w:rPr>
          <w:rFonts w:ascii="Verdana" w:hAnsi="Verdana" w:cs="Arial"/>
        </w:rPr>
      </w:pPr>
    </w:p>
    <w:p w14:paraId="48C55E95" w14:textId="77777777" w:rsidR="00FB7971" w:rsidRDefault="00FB7971" w:rsidP="00FB7971">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cesión de contratos en los Conceptos </w:t>
      </w:r>
      <w:r w:rsidRPr="00DE2AC7">
        <w:rPr>
          <w:rFonts w:ascii="Verdana" w:hAnsi="Verdana" w:cs="Arial"/>
          <w:shd w:val="clear" w:color="auto" w:fill="FFFFFF"/>
        </w:rPr>
        <w:t>4201913000007643 y 4201913000007669 del 26 de diciembre de 2019, así como en los Conceptos C-551 del 24 de septiembre de 2020, C-572 del 27 de agosto de 2020, C-582 del 28 de agosto de 2020, C-385 del 20 de agosto de 2021, C-069 del 24 de abril de 2023</w:t>
      </w:r>
      <w:r>
        <w:rPr>
          <w:rFonts w:ascii="Verdana" w:hAnsi="Verdana" w:cs="Arial"/>
          <w:shd w:val="clear" w:color="auto" w:fill="FFFFFF"/>
        </w:rPr>
        <w:t>,</w:t>
      </w:r>
      <w:r w:rsidRPr="00DE2AC7">
        <w:rPr>
          <w:rFonts w:ascii="Verdana" w:hAnsi="Verdana" w:cs="Arial"/>
          <w:shd w:val="clear" w:color="auto" w:fill="FFFFFF"/>
        </w:rPr>
        <w:t xml:space="preserve"> C-868 del 20 de diciembre de 2024</w:t>
      </w:r>
      <w:r>
        <w:rPr>
          <w:rFonts w:ascii="Verdana" w:hAnsi="Verdana" w:cs="Arial"/>
          <w:shd w:val="clear" w:color="auto" w:fill="FFFFFF"/>
        </w:rPr>
        <w:t>, C-880 del 30 de diciembre de 2024, C-214 del 25 de marzo de 2025 y C-675 del 4 de junio de 2025, 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se encuentran disponibles para consulta en el Sistema de relatoría de la Agencia, al cual puede accederse a través del siguiente enlace:</w:t>
      </w:r>
    </w:p>
    <w:p w14:paraId="56CA5E62" w14:textId="77777777" w:rsidR="00FB7971" w:rsidRDefault="00FB7971" w:rsidP="00FB7971">
      <w:pPr>
        <w:widowControl w:val="0"/>
        <w:autoSpaceDE w:val="0"/>
        <w:autoSpaceDN w:val="0"/>
        <w:spacing w:after="0" w:line="276" w:lineRule="auto"/>
        <w:jc w:val="both"/>
        <w:rPr>
          <w:rStyle w:val="normaltextrun"/>
          <w:rFonts w:ascii="Verdana" w:hAnsi="Verdana" w:cs="Arial"/>
          <w:shd w:val="clear" w:color="auto" w:fill="FFFFFF"/>
        </w:rPr>
      </w:pPr>
    </w:p>
    <w:p w14:paraId="2C93B0CA" w14:textId="77777777" w:rsidR="00FB7971" w:rsidRPr="00ED0098" w:rsidRDefault="00FB7971" w:rsidP="00FB7971">
      <w:pPr>
        <w:widowControl w:val="0"/>
        <w:autoSpaceDE w:val="0"/>
        <w:autoSpaceDN w:val="0"/>
        <w:spacing w:after="0" w:line="276" w:lineRule="auto"/>
        <w:jc w:val="both"/>
        <w:rPr>
          <w:rStyle w:val="normaltextrun"/>
          <w:rFonts w:ascii="Verdana" w:hAnsi="Verdana" w:cs="Arial"/>
          <w:shd w:val="clear" w:color="auto" w:fill="FFFFFF"/>
        </w:rPr>
      </w:pP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8F21165" w14:textId="77777777" w:rsidR="00FB7971" w:rsidRDefault="00FB7971" w:rsidP="00FB7971">
      <w:pPr>
        <w:widowControl w:val="0"/>
        <w:autoSpaceDE w:val="0"/>
        <w:autoSpaceDN w:val="0"/>
        <w:spacing w:after="0" w:line="276" w:lineRule="auto"/>
        <w:jc w:val="both"/>
        <w:rPr>
          <w:rFonts w:ascii="Verdana" w:hAnsi="Verdana" w:cs="Arial"/>
          <w:color w:val="000000" w:themeColor="text1"/>
          <w:shd w:val="clear" w:color="auto" w:fill="FFFFFF"/>
        </w:rPr>
      </w:pPr>
    </w:p>
    <w:p w14:paraId="39922BA1" w14:textId="77777777" w:rsidR="00FB7971" w:rsidRPr="00E3533A" w:rsidRDefault="00FB7971" w:rsidP="00FB7971">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37A09475" w14:textId="77777777" w:rsidR="00FB7971" w:rsidRDefault="00FB7971" w:rsidP="00FB7971">
      <w:pPr>
        <w:widowControl w:val="0"/>
        <w:autoSpaceDE w:val="0"/>
        <w:autoSpaceDN w:val="0"/>
        <w:spacing w:after="0" w:line="276" w:lineRule="auto"/>
        <w:jc w:val="both"/>
        <w:rPr>
          <w:rFonts w:ascii="Verdana" w:hAnsi="Verdana" w:cs="Arial"/>
        </w:rPr>
      </w:pPr>
    </w:p>
    <w:p w14:paraId="266C2598" w14:textId="77777777" w:rsidR="00FB7971" w:rsidRPr="00116940" w:rsidRDefault="00FB7971" w:rsidP="00FB7971">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DEB10F0" w14:textId="77777777" w:rsidR="00FB7971" w:rsidRPr="00116940" w:rsidRDefault="00FB7971" w:rsidP="00FB7971">
      <w:pPr>
        <w:spacing w:after="0"/>
        <w:jc w:val="both"/>
        <w:rPr>
          <w:rFonts w:ascii="Verdana" w:hAnsi="Verdana"/>
        </w:rPr>
      </w:pPr>
    </w:p>
    <w:p w14:paraId="5DF57D0F" w14:textId="77777777" w:rsidR="00FB7971" w:rsidRPr="00116940" w:rsidRDefault="00FB7971" w:rsidP="00FB7971">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DCB994B" w14:textId="77777777" w:rsidR="00FB7971" w:rsidRPr="00116940" w:rsidRDefault="00FB7971" w:rsidP="00FB7971">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6C49AD9" w14:textId="77777777" w:rsidR="00FB7971" w:rsidRPr="00116940" w:rsidRDefault="00FB7971" w:rsidP="00FB7971">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2">
        <w:r w:rsidRPr="00116940">
          <w:rPr>
            <w:rStyle w:val="Hipervnculo"/>
            <w:rFonts w:ascii="Verdana" w:eastAsia="Verdana" w:hAnsi="Verdana" w:cs="Verdana"/>
            <w:lang w:val="es-MX"/>
          </w:rPr>
          <w:t>ventanilladeradicacion@colombiacompra.gov.co</w:t>
        </w:r>
      </w:hyperlink>
    </w:p>
    <w:p w14:paraId="6F757768" w14:textId="77777777" w:rsidR="00FB7971" w:rsidRPr="00116940" w:rsidRDefault="00FB7971" w:rsidP="00FB7971">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lastRenderedPageBreak/>
        <w:t>Formulario web para</w:t>
      </w:r>
      <w:r w:rsidRPr="00116940">
        <w:rPr>
          <w:rFonts w:ascii="Verdana" w:eastAsia="Verdana" w:hAnsi="Verdana" w:cs="Verdana"/>
          <w:lang w:val="es"/>
        </w:rPr>
        <w:t xml:space="preserve"> PQRSD: </w:t>
      </w:r>
      <w:hyperlink r:id="rId13">
        <w:r w:rsidRPr="00116940">
          <w:rPr>
            <w:rStyle w:val="Hipervnculo"/>
            <w:rFonts w:ascii="Verdana" w:eastAsia="Verdana" w:hAnsi="Verdana" w:cs="Verdana"/>
            <w:lang w:val="es-MX"/>
          </w:rPr>
          <w:t>https://www.colombiacompra.gov.co/pqrsd/informacion-importante-antes-de-formular-una-pqrsd</w:t>
        </w:r>
      </w:hyperlink>
    </w:p>
    <w:p w14:paraId="0872C54C" w14:textId="77777777" w:rsidR="00FB7971" w:rsidRPr="00116940" w:rsidRDefault="00FB7971" w:rsidP="00FB7971">
      <w:pPr>
        <w:spacing w:after="0" w:line="240" w:lineRule="auto"/>
        <w:ind w:left="720"/>
        <w:jc w:val="both"/>
        <w:rPr>
          <w:rFonts w:ascii="Verdana" w:hAnsi="Verdana"/>
        </w:rPr>
      </w:pPr>
    </w:p>
    <w:p w14:paraId="3607B978" w14:textId="77777777" w:rsidR="00FB7971" w:rsidRPr="00116940" w:rsidRDefault="00FB7971" w:rsidP="00FB7971">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4"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16307A9" w14:textId="77777777" w:rsidR="00FB7971" w:rsidRPr="00116940" w:rsidRDefault="00FB7971" w:rsidP="00FB7971">
      <w:pPr>
        <w:spacing w:after="0" w:line="240" w:lineRule="auto"/>
        <w:rPr>
          <w:rFonts w:ascii="Verdana" w:hAnsi="Verdana"/>
        </w:rPr>
      </w:pPr>
    </w:p>
    <w:p w14:paraId="2F29BAC8" w14:textId="77777777" w:rsidR="00FB7971" w:rsidRPr="00116940" w:rsidRDefault="00FB7971" w:rsidP="00FB797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EEF6312" w14:textId="77777777" w:rsidR="00FB7971" w:rsidRPr="00116940" w:rsidRDefault="00FB7971" w:rsidP="00FB7971">
      <w:pPr>
        <w:spacing w:after="0" w:line="240" w:lineRule="auto"/>
        <w:jc w:val="both"/>
        <w:rPr>
          <w:rFonts w:ascii="Verdana" w:hAnsi="Verdana"/>
        </w:rPr>
      </w:pPr>
    </w:p>
    <w:p w14:paraId="70B89043" w14:textId="77777777" w:rsidR="00FB7971" w:rsidRPr="00116940" w:rsidRDefault="00FB7971" w:rsidP="00FB797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3835BBD" w14:textId="77777777" w:rsidR="00FB7971" w:rsidRPr="00116940" w:rsidRDefault="00FB7971" w:rsidP="00FB7971">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163562D" w14:textId="77777777" w:rsidR="00FB7971" w:rsidRPr="00116940" w:rsidRDefault="00FB7971" w:rsidP="00FB797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AEDC135" w14:textId="77777777" w:rsidR="00FB7971" w:rsidRPr="00116940" w:rsidRDefault="00FB7971" w:rsidP="00FB7971">
      <w:pPr>
        <w:spacing w:after="0" w:line="240" w:lineRule="auto"/>
        <w:jc w:val="both"/>
        <w:rPr>
          <w:rFonts w:ascii="Verdana" w:hAnsi="Verdana"/>
        </w:rPr>
      </w:pPr>
    </w:p>
    <w:p w14:paraId="7E19E551" w14:textId="77777777" w:rsidR="00FB7971" w:rsidRPr="00593A5F" w:rsidRDefault="00FB7971" w:rsidP="00FB797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27F572D" w14:textId="77777777" w:rsidR="00FB7971" w:rsidRPr="00593A5F" w:rsidRDefault="00FB7971" w:rsidP="00FB7971">
      <w:pPr>
        <w:widowControl w:val="0"/>
        <w:autoSpaceDE w:val="0"/>
        <w:autoSpaceDN w:val="0"/>
        <w:spacing w:after="0" w:line="276" w:lineRule="auto"/>
        <w:jc w:val="both"/>
        <w:rPr>
          <w:rFonts w:ascii="Verdana" w:hAnsi="Verdana" w:cs="Arial"/>
        </w:rPr>
      </w:pPr>
    </w:p>
    <w:p w14:paraId="2A4031D7" w14:textId="77777777" w:rsidR="00FB7971" w:rsidRPr="00593A5F" w:rsidRDefault="00FB7971" w:rsidP="00FB797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C4CC6F" w14:textId="5756DFEB" w:rsidR="00FB7971" w:rsidRDefault="00357755" w:rsidP="00FB7971">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AD9194E" wp14:editId="35ACA47F">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B7971" w:rsidRPr="00E3533A" w14:paraId="72184E04" w14:textId="77777777" w:rsidTr="00B32A68">
        <w:trPr>
          <w:trHeight w:val="315"/>
        </w:trPr>
        <w:tc>
          <w:tcPr>
            <w:tcW w:w="893" w:type="dxa"/>
            <w:vAlign w:val="center"/>
            <w:hideMark/>
          </w:tcPr>
          <w:p w14:paraId="47E3BB87" w14:textId="77777777" w:rsidR="00FB7971" w:rsidRPr="00E3533A" w:rsidRDefault="00FB7971" w:rsidP="00B32A68">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69E17F7" w14:textId="77777777" w:rsidR="00FB7971" w:rsidRPr="00E3533A" w:rsidRDefault="00FB7971" w:rsidP="00B32A68">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7A0A241C" w14:textId="77777777" w:rsidR="00FB7971" w:rsidRPr="00E3533A" w:rsidRDefault="00FB7971" w:rsidP="00B32A68">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FB7971" w:rsidRPr="00E3533A" w14:paraId="1C1EECCE" w14:textId="77777777" w:rsidTr="00B32A68">
        <w:trPr>
          <w:trHeight w:val="330"/>
        </w:trPr>
        <w:tc>
          <w:tcPr>
            <w:tcW w:w="893" w:type="dxa"/>
            <w:vAlign w:val="center"/>
            <w:hideMark/>
          </w:tcPr>
          <w:p w14:paraId="2975D56F" w14:textId="77777777" w:rsidR="00FB7971" w:rsidRPr="00E3533A" w:rsidRDefault="00FB7971" w:rsidP="00B32A68">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89BF0B" w14:textId="77777777" w:rsidR="00FB7971" w:rsidRPr="00E3533A" w:rsidRDefault="00FB7971" w:rsidP="00B32A68">
            <w:pPr>
              <w:spacing w:line="256" w:lineRule="auto"/>
              <w:rPr>
                <w:rFonts w:ascii="Verdana" w:eastAsia="Calibri" w:hAnsi="Verdana" w:cs="Times New Roman"/>
                <w:sz w:val="16"/>
                <w:szCs w:val="16"/>
              </w:rPr>
            </w:pPr>
            <w:r w:rsidRPr="00E3533A">
              <w:rPr>
                <w:rFonts w:ascii="Verdana" w:eastAsia="Calibri" w:hAnsi="Verdana" w:cs="Times New Roman"/>
                <w:sz w:val="16"/>
                <w:szCs w:val="16"/>
              </w:rPr>
              <w:t>Diana Lucía Saavedra Castañeda</w:t>
            </w:r>
          </w:p>
          <w:p w14:paraId="4772D9EB" w14:textId="77777777" w:rsidR="00FB7971" w:rsidRPr="00E3533A" w:rsidRDefault="00FB7971" w:rsidP="00B32A68">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FB7971" w:rsidRPr="00E3533A" w14:paraId="3D380342" w14:textId="77777777" w:rsidTr="00B32A68">
        <w:trPr>
          <w:trHeight w:val="300"/>
        </w:trPr>
        <w:tc>
          <w:tcPr>
            <w:tcW w:w="893" w:type="dxa"/>
            <w:vAlign w:val="center"/>
          </w:tcPr>
          <w:p w14:paraId="696F6BE8" w14:textId="77777777" w:rsidR="00FB7971" w:rsidRPr="00E3533A" w:rsidRDefault="00FB7971" w:rsidP="00B32A68">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8B91A6" w14:textId="77777777" w:rsidR="00FB7971" w:rsidRPr="00E3533A" w:rsidRDefault="00FB7971" w:rsidP="00B32A68">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Carolina Quintero Gacharná</w:t>
            </w:r>
          </w:p>
          <w:p w14:paraId="6F5F7C7F" w14:textId="77777777" w:rsidR="00FB7971" w:rsidRPr="00E3533A" w:rsidRDefault="00FB7971" w:rsidP="00B32A68">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28E1BCD7" w14:textId="77777777" w:rsidR="00FB7971" w:rsidRPr="00E3533A" w:rsidRDefault="00FB7971" w:rsidP="00FB7971">
      <w:pPr>
        <w:spacing w:after="0"/>
        <w:rPr>
          <w:rFonts w:ascii="Verdana" w:hAnsi="Verdana"/>
        </w:rPr>
      </w:pPr>
    </w:p>
    <w:p w14:paraId="240447E7" w14:textId="77777777" w:rsidR="00274079" w:rsidRPr="00FB7971" w:rsidRDefault="00274079" w:rsidP="00FB7971"/>
    <w:sectPr w:rsidR="00274079" w:rsidRPr="00FB7971" w:rsidSect="00AB1233">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EC1F0" w14:textId="77777777" w:rsidR="00531C05" w:rsidRDefault="00531C05" w:rsidP="00AB1233">
      <w:pPr>
        <w:spacing w:after="0" w:line="240" w:lineRule="auto"/>
      </w:pPr>
      <w:r>
        <w:separator/>
      </w:r>
    </w:p>
  </w:endnote>
  <w:endnote w:type="continuationSeparator" w:id="0">
    <w:p w14:paraId="041967FD" w14:textId="77777777" w:rsidR="00531C05" w:rsidRDefault="00531C05" w:rsidP="00AB12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221D" w14:textId="77777777" w:rsidR="00AB1233" w:rsidRDefault="00AB1233">
    <w:pPr>
      <w:pStyle w:val="Piedepgina"/>
    </w:pPr>
  </w:p>
  <w:p w14:paraId="6354A732" w14:textId="77777777" w:rsidR="00AB1233" w:rsidRPr="00174B77" w:rsidRDefault="00AB123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19F2240" w14:textId="77777777" w:rsidR="00AB1233" w:rsidRDefault="00AB123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0F1B91C" w14:textId="77777777" w:rsidR="00AB1233" w:rsidRPr="00E41027" w:rsidRDefault="00AB1233" w:rsidP="00D520D8">
    <w:pPr>
      <w:spacing w:after="0"/>
      <w:jc w:val="both"/>
      <w:rPr>
        <w:rFonts w:ascii="Verdana" w:hAnsi="Verdana"/>
        <w:sz w:val="18"/>
        <w:szCs w:val="18"/>
      </w:rPr>
    </w:pPr>
    <w:r w:rsidRPr="00E41027">
      <w:rPr>
        <w:rFonts w:ascii="Verdana" w:hAnsi="Verdana"/>
        <w:sz w:val="18"/>
        <w:szCs w:val="18"/>
      </w:rPr>
      <w:t>Mesa de servicio: (+57) 601 7456788</w:t>
    </w:r>
  </w:p>
  <w:p w14:paraId="24572211" w14:textId="77777777" w:rsidR="00AB1233" w:rsidRDefault="00AB1233"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845BF" w14:textId="77777777" w:rsidR="00531C05" w:rsidRDefault="00531C05" w:rsidP="00AB1233">
      <w:pPr>
        <w:spacing w:after="0" w:line="240" w:lineRule="auto"/>
      </w:pPr>
      <w:r>
        <w:separator/>
      </w:r>
    </w:p>
  </w:footnote>
  <w:footnote w:type="continuationSeparator" w:id="0">
    <w:p w14:paraId="33B3771C" w14:textId="77777777" w:rsidR="00531C05" w:rsidRDefault="00531C05" w:rsidP="00AB1233">
      <w:pPr>
        <w:spacing w:after="0" w:line="240" w:lineRule="auto"/>
      </w:pPr>
      <w:r>
        <w:continuationSeparator/>
      </w:r>
    </w:p>
  </w:footnote>
  <w:footnote w:id="1">
    <w:p w14:paraId="25B86AE0"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vertAlign w:val="superscript"/>
        </w:rPr>
        <w:footnoteRef/>
      </w:r>
      <w:r w:rsidRPr="00D6295F">
        <w:rPr>
          <w:rFonts w:ascii="Verdana" w:hAnsi="Verdana" w:cs="Arial"/>
          <w:sz w:val="14"/>
          <w:szCs w:val="14"/>
          <w:vertAlign w:val="superscript"/>
        </w:rPr>
        <w:t xml:space="preserve"> </w:t>
      </w:r>
      <w:r w:rsidRPr="00D6295F">
        <w:rPr>
          <w:rFonts w:ascii="Verdana" w:hAnsi="Verdana" w:cs="Arial"/>
          <w:sz w:val="14"/>
          <w:szCs w:val="14"/>
        </w:rPr>
        <w:t>Ley 80 de 1993. Artículo 6: “</w:t>
      </w:r>
      <w:r w:rsidRPr="00D6295F">
        <w:rPr>
          <w:rFonts w:ascii="Verdana" w:hAnsi="Verdana" w:cs="Arial"/>
          <w:i/>
          <w:iCs/>
          <w:sz w:val="14"/>
          <w:szCs w:val="14"/>
        </w:rPr>
        <w:t>De la capacidad para contratar</w:t>
      </w:r>
      <w:r w:rsidRPr="00D6295F">
        <w:rPr>
          <w:rFonts w:ascii="Verdana" w:hAnsi="Verdana" w:cs="Arial"/>
          <w:sz w:val="14"/>
          <w:szCs w:val="14"/>
        </w:rPr>
        <w:t>.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    </w:t>
      </w:r>
    </w:p>
    <w:p w14:paraId="2EE8CE1F"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    </w:t>
      </w:r>
    </w:p>
    <w:p w14:paraId="34383E53"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Las personas jurídicas nacionales y extranjeras deberán acreditar que su duración no será inferior a la del plazo del contrato y un año más.</w:t>
      </w:r>
    </w:p>
    <w:p w14:paraId="6CBBBF6E"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w:t>
      </w:r>
    </w:p>
    <w:p w14:paraId="79ABD186" w14:textId="77777777" w:rsidR="00FB7971" w:rsidRPr="00D6295F" w:rsidRDefault="00FB7971" w:rsidP="00FB7971">
      <w:pPr>
        <w:pStyle w:val="Textonotapie"/>
        <w:jc w:val="both"/>
        <w:rPr>
          <w:rFonts w:ascii="Verdana" w:hAnsi="Verdana"/>
          <w:sz w:val="14"/>
          <w:szCs w:val="14"/>
          <w:lang w:val="es-CO"/>
        </w:rPr>
      </w:pPr>
    </w:p>
  </w:footnote>
  <w:footnote w:id="2">
    <w:p w14:paraId="4F91F78B" w14:textId="77777777" w:rsidR="00FB7971" w:rsidRPr="00D6295F" w:rsidRDefault="00FB7971" w:rsidP="00FB7971">
      <w:pPr>
        <w:pStyle w:val="Textonotapie"/>
        <w:ind w:firstLine="708"/>
        <w:jc w:val="both"/>
        <w:rPr>
          <w:rFonts w:ascii="Verdana" w:hAnsi="Verdana"/>
          <w:sz w:val="14"/>
          <w:szCs w:val="14"/>
        </w:rPr>
      </w:pPr>
      <w:r w:rsidRPr="00D6295F">
        <w:rPr>
          <w:rStyle w:val="Refdenotaalpie"/>
          <w:rFonts w:ascii="Verdana" w:hAnsi="Verdana"/>
          <w:sz w:val="14"/>
          <w:szCs w:val="14"/>
        </w:rPr>
        <w:footnoteRef/>
      </w:r>
      <w:r w:rsidRPr="00D6295F">
        <w:rPr>
          <w:rFonts w:ascii="Verdana" w:hAnsi="Verdana"/>
          <w:sz w:val="14"/>
          <w:szCs w:val="14"/>
        </w:rPr>
        <w:t xml:space="preserve"> Superintendencia de sociedades. Concepto. OFICIO 220-229540 DEL 18 DE OCTUBRE DE 2022. ASUNTO: REPRESENTANTE LEGAL O REVISOR FISCAL SUPLENTE. Consultar en: </w:t>
      </w:r>
      <w:hyperlink r:id="rId1" w:history="1">
        <w:r w:rsidRPr="00D6295F">
          <w:rPr>
            <w:rStyle w:val="Hipervnculo"/>
            <w:rFonts w:ascii="Verdana" w:hAnsi="Verdana"/>
            <w:sz w:val="14"/>
            <w:szCs w:val="14"/>
          </w:rPr>
          <w:t>https://www.supersociedades.gov.co/web/nuestra-entidad/conceptos-juridicos</w:t>
        </w:r>
      </w:hyperlink>
      <w:r w:rsidRPr="00D6295F">
        <w:rPr>
          <w:rFonts w:ascii="Verdana" w:hAnsi="Verdana"/>
          <w:sz w:val="14"/>
          <w:szCs w:val="14"/>
        </w:rPr>
        <w:t xml:space="preserve"> </w:t>
      </w:r>
    </w:p>
    <w:p w14:paraId="2DD25EB2" w14:textId="77777777" w:rsidR="00FB7971" w:rsidRPr="00D6295F" w:rsidRDefault="00FB7971" w:rsidP="00FB7971">
      <w:pPr>
        <w:pStyle w:val="Textonotapie"/>
        <w:ind w:firstLine="708"/>
        <w:jc w:val="both"/>
        <w:rPr>
          <w:rFonts w:ascii="Verdana" w:hAnsi="Verdana"/>
          <w:sz w:val="14"/>
          <w:szCs w:val="14"/>
        </w:rPr>
      </w:pPr>
    </w:p>
  </w:footnote>
  <w:footnote w:id="3">
    <w:p w14:paraId="7A87AC46" w14:textId="77777777" w:rsidR="00FB7971" w:rsidRPr="00D6295F" w:rsidRDefault="00FB7971" w:rsidP="00FB7971">
      <w:pPr>
        <w:pStyle w:val="Textonotapie"/>
        <w:ind w:firstLine="708"/>
        <w:jc w:val="both"/>
        <w:rPr>
          <w:rFonts w:ascii="Verdana" w:hAnsi="Verdana"/>
          <w:sz w:val="14"/>
          <w:szCs w:val="14"/>
        </w:rPr>
      </w:pPr>
      <w:r w:rsidRPr="00D6295F">
        <w:rPr>
          <w:rStyle w:val="Refdenotaalpie"/>
          <w:rFonts w:ascii="Verdana" w:hAnsi="Verdana"/>
          <w:sz w:val="14"/>
          <w:szCs w:val="14"/>
        </w:rPr>
        <w:footnoteRef/>
      </w:r>
      <w:r w:rsidRPr="00D6295F">
        <w:rPr>
          <w:rFonts w:ascii="Verdana" w:hAnsi="Verdana"/>
          <w:sz w:val="14"/>
          <w:szCs w:val="14"/>
        </w:rPr>
        <w:t xml:space="preserve"> Código de Comercio. Artículo 98. </w:t>
      </w:r>
      <w:r w:rsidRPr="00D6295F">
        <w:rPr>
          <w:rFonts w:ascii="Verdana" w:hAnsi="Verdana"/>
          <w:i/>
          <w:iCs/>
          <w:sz w:val="14"/>
          <w:szCs w:val="14"/>
        </w:rPr>
        <w:t>Contrato De Sociedad - Concepto - Persona Jurídica Distinta</w:t>
      </w:r>
      <w:r w:rsidRPr="00D6295F">
        <w:rPr>
          <w:rFonts w:ascii="Verdana" w:hAnsi="Verdana"/>
          <w:sz w:val="14"/>
          <w:szCs w:val="14"/>
        </w:rPr>
        <w:t>. Por el contrato de sociedad dos o más personas se obligan a hacer un aporte en dinero, en trabajo o en otros bienes apreciables en dinero, con el fin de repartirse entre sí las utilidades obtenidas en la empresa o actividad social.   </w:t>
      </w:r>
    </w:p>
    <w:p w14:paraId="41E902EC" w14:textId="77777777" w:rsidR="00FB7971" w:rsidRPr="00D6295F" w:rsidRDefault="00FB7971" w:rsidP="00FB7971">
      <w:pPr>
        <w:pStyle w:val="Textonotapie"/>
        <w:ind w:firstLine="708"/>
        <w:jc w:val="both"/>
        <w:rPr>
          <w:rFonts w:ascii="Verdana" w:hAnsi="Verdana"/>
          <w:sz w:val="14"/>
          <w:szCs w:val="14"/>
        </w:rPr>
      </w:pPr>
      <w:r w:rsidRPr="00D6295F">
        <w:rPr>
          <w:rFonts w:ascii="Verdana" w:hAnsi="Verdana"/>
          <w:sz w:val="14"/>
          <w:szCs w:val="14"/>
        </w:rPr>
        <w:t>La sociedad, una vez constituida legalmente, forma una persona jurídica distinta de los socios individualmente considerados. </w:t>
      </w:r>
    </w:p>
    <w:p w14:paraId="2321FD90" w14:textId="77777777" w:rsidR="00FB7971" w:rsidRPr="00D6295F" w:rsidRDefault="00FB7971" w:rsidP="00FB7971">
      <w:pPr>
        <w:pStyle w:val="Textonotapie"/>
        <w:jc w:val="both"/>
        <w:rPr>
          <w:rFonts w:ascii="Verdana" w:hAnsi="Verdana"/>
          <w:sz w:val="14"/>
          <w:szCs w:val="14"/>
          <w:lang w:val="es-CO"/>
        </w:rPr>
      </w:pPr>
    </w:p>
  </w:footnote>
  <w:footnote w:id="4">
    <w:p w14:paraId="6A095161" w14:textId="77777777" w:rsidR="00FB7971" w:rsidRPr="00D6295F" w:rsidRDefault="00FB7971" w:rsidP="00FB7971">
      <w:pPr>
        <w:pStyle w:val="Textonotapie"/>
        <w:ind w:firstLine="708"/>
        <w:jc w:val="both"/>
        <w:rPr>
          <w:rFonts w:ascii="Verdana" w:hAnsi="Verdana"/>
          <w:sz w:val="14"/>
          <w:szCs w:val="14"/>
        </w:rPr>
      </w:pPr>
      <w:r w:rsidRPr="00D6295F">
        <w:rPr>
          <w:rStyle w:val="Refdenotaalpie"/>
          <w:rFonts w:ascii="Verdana" w:hAnsi="Verdana"/>
          <w:sz w:val="14"/>
          <w:szCs w:val="14"/>
        </w:rPr>
        <w:footnoteRef/>
      </w:r>
      <w:r w:rsidRPr="00D6295F">
        <w:rPr>
          <w:rStyle w:val="Refdenotaalpie"/>
          <w:rFonts w:ascii="Verdana" w:hAnsi="Verdana"/>
          <w:sz w:val="14"/>
          <w:szCs w:val="14"/>
        </w:rPr>
        <w:t xml:space="preserve"> </w:t>
      </w:r>
      <w:r w:rsidRPr="00D6295F">
        <w:rPr>
          <w:rFonts w:ascii="Verdana" w:hAnsi="Verdana"/>
          <w:sz w:val="14"/>
          <w:szCs w:val="14"/>
        </w:rPr>
        <w:t>REYES VILLAMIZAR. Francisco. DERECHO SOCIETARIO. “Requisitos de Forma del Contrato Social”. Tomo I. Cuarta Edición. Editorial TEMIS S.A. Bogotá. 2020. 213 y 687 p. ISBN: 978-958-35-1270-4</w:t>
      </w:r>
    </w:p>
    <w:p w14:paraId="0283EECD" w14:textId="77777777" w:rsidR="00FB7971" w:rsidRPr="00D6295F" w:rsidRDefault="00FB7971" w:rsidP="00FB7971">
      <w:pPr>
        <w:pStyle w:val="Textonotapie"/>
        <w:ind w:firstLine="708"/>
        <w:jc w:val="both"/>
        <w:rPr>
          <w:rFonts w:ascii="Verdana" w:hAnsi="Verdana"/>
          <w:sz w:val="14"/>
          <w:szCs w:val="14"/>
        </w:rPr>
      </w:pPr>
    </w:p>
  </w:footnote>
  <w:footnote w:id="5">
    <w:p w14:paraId="1A6CEBEB" w14:textId="77777777" w:rsidR="00FB7971" w:rsidRPr="00D6295F" w:rsidRDefault="00FB7971" w:rsidP="00FB7971">
      <w:pPr>
        <w:pStyle w:val="Textonotapie"/>
        <w:ind w:firstLine="708"/>
        <w:jc w:val="both"/>
        <w:rPr>
          <w:rFonts w:ascii="Verdana" w:hAnsi="Verdana"/>
          <w:sz w:val="14"/>
          <w:szCs w:val="14"/>
        </w:rPr>
      </w:pPr>
      <w:r w:rsidRPr="00D6295F">
        <w:rPr>
          <w:rStyle w:val="Refdenotaalpie"/>
          <w:rFonts w:ascii="Verdana" w:hAnsi="Verdana"/>
          <w:sz w:val="14"/>
          <w:szCs w:val="14"/>
        </w:rPr>
        <w:footnoteRef/>
      </w:r>
      <w:r w:rsidRPr="00D6295F">
        <w:rPr>
          <w:rFonts w:ascii="Verdana" w:hAnsi="Verdana"/>
          <w:sz w:val="14"/>
          <w:szCs w:val="14"/>
        </w:rPr>
        <w:t xml:space="preserve"> Superintendencia de sociedades. Concepto. Oficio: 220-301537 del 21 de octubre de 2024. Consultar en: </w:t>
      </w:r>
      <w:hyperlink r:id="rId2" w:history="1">
        <w:r w:rsidRPr="00D6295F">
          <w:rPr>
            <w:rStyle w:val="Hipervnculo"/>
            <w:rFonts w:ascii="Verdana" w:hAnsi="Verdana"/>
            <w:sz w:val="14"/>
            <w:szCs w:val="14"/>
          </w:rPr>
          <w:t>https://www.supersociedades.gov.co/documents/107391/159040/220-301537+-+REPRESENTACI%C3%93N+COMERCIAL+Y+REPRESENTACI%C3%93N+LEGAL.pdf/30a7c153-3fd4-2897-ba3d-51d56c01acb6?version=1.2&amp;t=1741882932512</w:t>
        </w:r>
      </w:hyperlink>
      <w:r w:rsidRPr="00D6295F">
        <w:rPr>
          <w:rFonts w:ascii="Verdana" w:hAnsi="Verdana"/>
          <w:sz w:val="14"/>
          <w:szCs w:val="14"/>
        </w:rPr>
        <w:t xml:space="preserve"> </w:t>
      </w:r>
    </w:p>
    <w:p w14:paraId="5FA347C0" w14:textId="77777777" w:rsidR="00FB7971" w:rsidRPr="00D6295F" w:rsidRDefault="00FB7971" w:rsidP="00FB7971">
      <w:pPr>
        <w:pStyle w:val="Textonotapie"/>
        <w:ind w:firstLine="708"/>
        <w:jc w:val="both"/>
        <w:rPr>
          <w:rFonts w:ascii="Verdana" w:hAnsi="Verdana"/>
          <w:sz w:val="14"/>
          <w:szCs w:val="14"/>
        </w:rPr>
      </w:pPr>
    </w:p>
  </w:footnote>
  <w:footnote w:id="6">
    <w:p w14:paraId="16047622" w14:textId="77777777" w:rsidR="00FB7971" w:rsidRPr="00D6295F" w:rsidRDefault="00FB7971" w:rsidP="00FB7971">
      <w:pPr>
        <w:pStyle w:val="Textonotapie"/>
        <w:ind w:firstLine="708"/>
        <w:jc w:val="both"/>
        <w:rPr>
          <w:rFonts w:ascii="Verdana" w:hAnsi="Verdana"/>
          <w:sz w:val="14"/>
          <w:szCs w:val="14"/>
        </w:rPr>
      </w:pPr>
      <w:r w:rsidRPr="00D6295F">
        <w:rPr>
          <w:rStyle w:val="Refdenotaalpie"/>
          <w:rFonts w:ascii="Verdana" w:hAnsi="Verdana"/>
          <w:sz w:val="14"/>
          <w:szCs w:val="14"/>
        </w:rPr>
        <w:footnoteRef/>
      </w:r>
      <w:r w:rsidRPr="00D6295F">
        <w:rPr>
          <w:rFonts w:ascii="Verdana" w:hAnsi="Verdana"/>
          <w:sz w:val="14"/>
          <w:szCs w:val="14"/>
        </w:rPr>
        <w:t xml:space="preserve"> Superintendencia de sociedades. Concepto. OFICIO 220-229540 DEL 18 DE OCTUBRE DE 2022. ASUNTO: REPRESENTANTE LEGAL O REVISOR FISCAL SUPLENTE. Consultar en: </w:t>
      </w:r>
      <w:hyperlink r:id="rId3" w:history="1">
        <w:r w:rsidRPr="00D6295F">
          <w:rPr>
            <w:rStyle w:val="Hipervnculo"/>
            <w:rFonts w:ascii="Verdana" w:hAnsi="Verdana"/>
            <w:sz w:val="14"/>
            <w:szCs w:val="14"/>
          </w:rPr>
          <w:t>https://www.supersociedades.gov.co/web/nuestra-entidad/conceptos-juridicos</w:t>
        </w:r>
      </w:hyperlink>
    </w:p>
    <w:p w14:paraId="4434A09C" w14:textId="77777777" w:rsidR="00FB7971" w:rsidRPr="00D6295F" w:rsidRDefault="00FB7971" w:rsidP="00FB7971">
      <w:pPr>
        <w:pStyle w:val="Textonotapie"/>
        <w:ind w:firstLine="708"/>
        <w:jc w:val="both"/>
        <w:rPr>
          <w:rFonts w:ascii="Verdana" w:hAnsi="Verdana"/>
          <w:sz w:val="14"/>
          <w:szCs w:val="14"/>
        </w:rPr>
      </w:pPr>
    </w:p>
  </w:footnote>
  <w:footnote w:id="7">
    <w:p w14:paraId="32026B99" w14:textId="77777777" w:rsidR="00FB7971" w:rsidRPr="00D6295F"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21E687C7"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 xml:space="preserve">La misma sustitución podrá hacerse en los contratos mercantiles de ejecución instantánea que aún no hayan sido cumplidos en todo o en parte, y en los celebrados </w:t>
      </w:r>
      <w:r w:rsidRPr="00D6295F">
        <w:rPr>
          <w:rFonts w:ascii="Verdana" w:hAnsi="Verdana" w:cs="Arial"/>
          <w:i/>
          <w:iCs/>
          <w:sz w:val="14"/>
          <w:szCs w:val="14"/>
        </w:rPr>
        <w:t>intuitu personae</w:t>
      </w:r>
      <w:r w:rsidRPr="00D6295F">
        <w:rPr>
          <w:rFonts w:ascii="Verdana" w:hAnsi="Verdana" w:cs="Arial"/>
          <w:sz w:val="14"/>
          <w:szCs w:val="14"/>
        </w:rPr>
        <w:t>, pero en estos casos será necesaria la aceptación del contratante cedido”.</w:t>
      </w:r>
    </w:p>
    <w:p w14:paraId="23F3A3CD"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8">
    <w:p w14:paraId="54DFC663" w14:textId="77777777" w:rsidR="00FB7971"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ANDREOLI, Marcello. La cesión del contrato. Santiago: Ediciones Olejnik, 2019. p. 12. Énfasis dentro del texto. En este contexto, “La cesión del contrato sirve para hacer posible la </w:t>
      </w:r>
      <w:r w:rsidRPr="00D6295F">
        <w:rPr>
          <w:rFonts w:ascii="Verdana" w:hAnsi="Verdana" w:cs="Arial"/>
          <w:i/>
          <w:iCs/>
          <w:sz w:val="14"/>
          <w:szCs w:val="14"/>
        </w:rPr>
        <w:t>circulación del contrato en su integridad</w:t>
      </w:r>
      <w:r w:rsidRPr="00D6295F">
        <w:rPr>
          <w:rFonts w:ascii="Verdana" w:hAnsi="Verdana" w:cs="Arial"/>
          <w:sz w:val="14"/>
          <w:szCs w:val="14"/>
        </w:rPr>
        <w:t xml:space="preserve">, es decir, para hacer </w:t>
      </w:r>
      <w:r w:rsidRPr="00D6295F">
        <w:rPr>
          <w:rFonts w:ascii="Verdana" w:hAnsi="Verdana" w:cs="Arial"/>
          <w:i/>
          <w:iCs/>
          <w:sz w:val="14"/>
          <w:szCs w:val="14"/>
        </w:rPr>
        <w:t>subintrar</w:t>
      </w:r>
      <w:r w:rsidRPr="00D6295F">
        <w:rPr>
          <w:rFonts w:ascii="Verdana" w:hAnsi="Verdana" w:cs="Arial"/>
          <w:sz w:val="14"/>
          <w:szCs w:val="14"/>
        </w:rPr>
        <w:t xml:space="preserve"> un extraño en la categoría de </w:t>
      </w:r>
      <w:r w:rsidRPr="00D6295F">
        <w:rPr>
          <w:rFonts w:ascii="Verdana" w:hAnsi="Verdana" w:cs="Arial"/>
          <w:i/>
          <w:iCs/>
          <w:sz w:val="14"/>
          <w:szCs w:val="14"/>
        </w:rPr>
        <w:t>parte</w:t>
      </w:r>
      <w:r w:rsidRPr="00D6295F">
        <w:rPr>
          <w:rFonts w:ascii="Verdana" w:hAnsi="Verdana" w:cs="Arial"/>
          <w:sz w:val="14"/>
          <w:szCs w:val="14"/>
        </w:rPr>
        <w:t xml:space="preserve"> contractual, </w:t>
      </w:r>
      <w:r w:rsidRPr="00D6295F">
        <w:rPr>
          <w:rFonts w:ascii="Verdana" w:hAnsi="Verdana" w:cs="Arial"/>
          <w:i/>
          <w:iCs/>
          <w:sz w:val="14"/>
          <w:szCs w:val="14"/>
        </w:rPr>
        <w:t>en lugar</w:t>
      </w:r>
      <w:r w:rsidRPr="00D6295F">
        <w:rPr>
          <w:rFonts w:ascii="Verdana" w:hAnsi="Verdana" w:cs="Arial"/>
          <w:sz w:val="14"/>
          <w:szCs w:val="14"/>
        </w:rPr>
        <w:t xml:space="preserve"> de uno de los contratantes originarios” (MESSINEO, Francesco. Doctrina general del contrato. Santiago: Olejnik, 2018. p. 633. Énfasis dentro del texto).</w:t>
      </w:r>
    </w:p>
    <w:p w14:paraId="27CAB8C8" w14:textId="77777777" w:rsidR="00FB7971" w:rsidRPr="00D6295F" w:rsidRDefault="00FB7971" w:rsidP="00FB7971">
      <w:pPr>
        <w:pStyle w:val="Textonotapie"/>
        <w:ind w:firstLine="708"/>
        <w:jc w:val="both"/>
        <w:rPr>
          <w:rFonts w:ascii="Verdana" w:hAnsi="Verdana" w:cs="Arial"/>
          <w:sz w:val="14"/>
          <w:szCs w:val="14"/>
        </w:rPr>
      </w:pPr>
    </w:p>
  </w:footnote>
  <w:footnote w:id="9">
    <w:p w14:paraId="271F8AF4" w14:textId="77777777" w:rsidR="00FB7971" w:rsidRDefault="00FB7971" w:rsidP="00FB7971">
      <w:pPr>
        <w:pStyle w:val="Textonotapie"/>
        <w:ind w:firstLine="709"/>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ROPPO, Vincenzo. El contrato. Lima: Gaceta Jurídica, 2009. p. 547.</w:t>
      </w:r>
    </w:p>
    <w:p w14:paraId="00227242" w14:textId="77777777" w:rsidR="00FB7971" w:rsidRPr="00D6295F" w:rsidRDefault="00FB7971" w:rsidP="00FB7971">
      <w:pPr>
        <w:pStyle w:val="Textonotapie"/>
        <w:ind w:firstLine="709"/>
        <w:jc w:val="both"/>
        <w:rPr>
          <w:rFonts w:ascii="Verdana" w:hAnsi="Verdana" w:cs="Arial"/>
          <w:sz w:val="14"/>
          <w:szCs w:val="14"/>
        </w:rPr>
      </w:pPr>
    </w:p>
  </w:footnote>
  <w:footnote w:id="10">
    <w:p w14:paraId="4486099F" w14:textId="77777777" w:rsidR="00FB7971" w:rsidRDefault="00FB7971" w:rsidP="00FB7971">
      <w:pPr>
        <w:pStyle w:val="Textonotapie"/>
        <w:ind w:firstLine="709"/>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w:t>
      </w:r>
      <w:r w:rsidRPr="00D6295F">
        <w:rPr>
          <w:rFonts w:ascii="Verdana" w:hAnsi="Verdana" w:cs="Arial"/>
          <w:i/>
          <w:iCs/>
          <w:sz w:val="14"/>
          <w:szCs w:val="14"/>
        </w:rPr>
        <w:t>Ibidem</w:t>
      </w:r>
      <w:r w:rsidRPr="00D6295F">
        <w:rPr>
          <w:rFonts w:ascii="Verdana" w:hAnsi="Verdana" w:cs="Arial"/>
          <w:sz w:val="14"/>
          <w:szCs w:val="14"/>
        </w:rPr>
        <w:t>.</w:t>
      </w:r>
    </w:p>
    <w:p w14:paraId="652BE2B7" w14:textId="77777777" w:rsidR="00FB7971" w:rsidRPr="00D6295F" w:rsidRDefault="00FB7971" w:rsidP="00FB7971">
      <w:pPr>
        <w:pStyle w:val="Textonotapie"/>
        <w:ind w:firstLine="709"/>
        <w:jc w:val="both"/>
        <w:rPr>
          <w:rFonts w:ascii="Verdana" w:hAnsi="Verdana" w:cs="Arial"/>
          <w:sz w:val="14"/>
          <w:szCs w:val="14"/>
        </w:rPr>
      </w:pPr>
    </w:p>
  </w:footnote>
  <w:footnote w:id="11">
    <w:p w14:paraId="5FA5796B" w14:textId="77777777" w:rsidR="00FB7971" w:rsidRDefault="00FB7971" w:rsidP="00FB7971">
      <w:pPr>
        <w:pStyle w:val="Textonotapie"/>
        <w:ind w:firstLine="709"/>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p w14:paraId="6A2FF022" w14:textId="77777777" w:rsidR="00FB7971" w:rsidRPr="00D6295F" w:rsidRDefault="00FB7971" w:rsidP="00FB7971">
      <w:pPr>
        <w:pStyle w:val="Textonotapie"/>
        <w:ind w:firstLine="709"/>
        <w:jc w:val="both"/>
        <w:rPr>
          <w:rFonts w:ascii="Verdana" w:hAnsi="Verdana" w:cs="Arial"/>
          <w:sz w:val="14"/>
          <w:szCs w:val="14"/>
        </w:rPr>
      </w:pPr>
      <w:r w:rsidRPr="00D6295F">
        <w:rPr>
          <w:rFonts w:ascii="Verdana" w:hAnsi="Verdana" w:cs="Arial"/>
          <w:sz w:val="14"/>
          <w:szCs w:val="14"/>
        </w:rPr>
        <w:t xml:space="preserve"> </w:t>
      </w:r>
    </w:p>
  </w:footnote>
  <w:footnote w:id="12">
    <w:p w14:paraId="4C1C48A1" w14:textId="77777777" w:rsidR="00FB7971" w:rsidRPr="00D6295F" w:rsidRDefault="00FB7971" w:rsidP="00FB7971">
      <w:pPr>
        <w:pStyle w:val="Textonotapie"/>
        <w:ind w:firstLine="709"/>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p w14:paraId="741B2120" w14:textId="77777777" w:rsidR="00FB7971" w:rsidRPr="00D6295F" w:rsidRDefault="00FB7971" w:rsidP="00FB7971">
      <w:pPr>
        <w:pStyle w:val="Textonotapie"/>
        <w:ind w:firstLine="709"/>
        <w:jc w:val="both"/>
        <w:rPr>
          <w:rFonts w:ascii="Verdana" w:hAnsi="Verdana" w:cs="Arial"/>
          <w:sz w:val="14"/>
          <w:szCs w:val="14"/>
        </w:rPr>
      </w:pPr>
    </w:p>
  </w:footnote>
  <w:footnote w:id="13">
    <w:p w14:paraId="4FD2C442" w14:textId="77777777" w:rsidR="00FB7971" w:rsidRPr="00D6295F" w:rsidRDefault="00FB7971" w:rsidP="00FB7971">
      <w:pPr>
        <w:pStyle w:val="Textonotapie"/>
        <w:ind w:firstLine="709"/>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p w14:paraId="63BFE6B9" w14:textId="77777777" w:rsidR="00FB7971" w:rsidRPr="00D6295F" w:rsidRDefault="00FB7971" w:rsidP="00FB7971">
      <w:pPr>
        <w:pStyle w:val="Textonotapie"/>
        <w:ind w:firstLine="709"/>
        <w:jc w:val="both"/>
        <w:rPr>
          <w:rFonts w:ascii="Verdana" w:hAnsi="Verdana" w:cs="Arial"/>
          <w:sz w:val="14"/>
          <w:szCs w:val="14"/>
          <w:lang w:val="es-CO"/>
        </w:rPr>
      </w:pPr>
    </w:p>
  </w:footnote>
  <w:footnote w:id="14">
    <w:p w14:paraId="540343BD" w14:textId="77777777" w:rsidR="00FB7971" w:rsidRPr="00D6295F" w:rsidRDefault="00FB7971" w:rsidP="00FB7971">
      <w:pPr>
        <w:pStyle w:val="Textonotapie"/>
        <w:ind w:firstLine="709"/>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1C4A7F28" w14:textId="77777777" w:rsidR="00FB7971" w:rsidRDefault="00FB7971" w:rsidP="00FB7971">
      <w:pPr>
        <w:pStyle w:val="Textonotapie"/>
        <w:ind w:firstLine="709"/>
        <w:jc w:val="both"/>
        <w:rPr>
          <w:rFonts w:ascii="Verdana" w:hAnsi="Verdana" w:cs="Arial"/>
          <w:sz w:val="14"/>
          <w:szCs w:val="14"/>
        </w:rPr>
      </w:pPr>
      <w:r w:rsidRPr="00D6295F">
        <w:rPr>
          <w:rFonts w:ascii="Verdana" w:hAnsi="Verdana" w:cs="Arial"/>
          <w:sz w:val="14"/>
          <w:szCs w:val="14"/>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p w14:paraId="70FCDEAC" w14:textId="77777777" w:rsidR="00FB7971" w:rsidRPr="00D6295F" w:rsidRDefault="00FB7971" w:rsidP="00FB7971">
      <w:pPr>
        <w:pStyle w:val="Textonotapie"/>
        <w:ind w:firstLine="709"/>
        <w:jc w:val="both"/>
        <w:rPr>
          <w:rFonts w:ascii="Verdana" w:hAnsi="Verdana" w:cs="Arial"/>
          <w:sz w:val="14"/>
          <w:szCs w:val="14"/>
        </w:rPr>
      </w:pPr>
    </w:p>
  </w:footnote>
  <w:footnote w:id="15">
    <w:p w14:paraId="2FF74EB7" w14:textId="77777777" w:rsidR="00FB7971" w:rsidRPr="00D6295F"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3D93A16A" w14:textId="77777777" w:rsidR="00FB7971" w:rsidRPr="00D6295F"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p w14:paraId="63A43EAA" w14:textId="77777777" w:rsidR="00FB7971" w:rsidRPr="00D6295F" w:rsidRDefault="00FB7971" w:rsidP="00FB7971">
      <w:pPr>
        <w:pStyle w:val="Textonotapie"/>
        <w:ind w:firstLine="708"/>
        <w:jc w:val="both"/>
        <w:rPr>
          <w:rFonts w:ascii="Verdana" w:hAnsi="Verdana" w:cs="Arial"/>
          <w:sz w:val="14"/>
          <w:szCs w:val="14"/>
        </w:rPr>
      </w:pPr>
    </w:p>
  </w:footnote>
  <w:footnote w:id="16">
    <w:p w14:paraId="2F04F3D3" w14:textId="77777777" w:rsidR="00FB7971" w:rsidRPr="00D6295F"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A73573">
        <w:rPr>
          <w:rFonts w:ascii="Verdana" w:hAnsi="Verdana" w:cs="Arial"/>
          <w:sz w:val="14"/>
          <w:szCs w:val="14"/>
        </w:rPr>
        <w:t xml:space="preserve"> MARIENHOFF, Miguel S. Tratado de derecho administrativo. </w:t>
      </w:r>
      <w:r w:rsidRPr="00D6295F">
        <w:rPr>
          <w:rFonts w:ascii="Verdana" w:hAnsi="Verdana" w:cs="Arial"/>
          <w:sz w:val="14"/>
          <w:szCs w:val="14"/>
        </w:rPr>
        <w:t>Tomo IIIA. Cuarta Edición. Buenos Aires: Abeledo Perrot, 1998. p. 318. Énfasis dentro del texto.</w:t>
      </w:r>
    </w:p>
    <w:p w14:paraId="6C0AA6FD" w14:textId="77777777" w:rsidR="00FB7971" w:rsidRPr="00D6295F" w:rsidRDefault="00FB7971" w:rsidP="00FB7971">
      <w:pPr>
        <w:pStyle w:val="Textonotapie"/>
        <w:ind w:firstLine="708"/>
        <w:jc w:val="both"/>
        <w:rPr>
          <w:rFonts w:ascii="Verdana" w:hAnsi="Verdana" w:cs="Arial"/>
          <w:sz w:val="14"/>
          <w:szCs w:val="14"/>
          <w:lang w:val="es-ES"/>
        </w:rPr>
      </w:pPr>
    </w:p>
  </w:footnote>
  <w:footnote w:id="17">
    <w:p w14:paraId="6FB520BB" w14:textId="77777777" w:rsidR="00FB7971" w:rsidRPr="00D6295F"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RAMÍREZ GRISALES, Richard. La cesión. Serie: Las cláusulas del contrato estatal. Medellín: Centro de Estudios de Derecho Administrativo –CEDA– y Librería Jurídica Sánchez R., 2014. pp. 71-72.</w:t>
      </w:r>
    </w:p>
  </w:footnote>
  <w:footnote w:id="18">
    <w:p w14:paraId="12B5AAA2" w14:textId="77777777" w:rsidR="00FB7971" w:rsidRPr="00D6295F" w:rsidRDefault="00FB7971" w:rsidP="00FB7971">
      <w:pPr>
        <w:pStyle w:val="Textonotapie"/>
        <w:ind w:firstLine="709"/>
        <w:jc w:val="both"/>
        <w:rPr>
          <w:rFonts w:ascii="Verdana" w:hAnsi="Verdana" w:cs="Arial"/>
          <w:sz w:val="14"/>
          <w:szCs w:val="14"/>
          <w:lang w:val="es-ES"/>
        </w:rPr>
      </w:pPr>
      <w:r w:rsidRPr="00D6295F">
        <w:rPr>
          <w:rStyle w:val="Refdenotaalpie"/>
          <w:rFonts w:ascii="Verdana" w:hAnsi="Verdana" w:cs="Arial"/>
          <w:sz w:val="14"/>
          <w:szCs w:val="14"/>
        </w:rPr>
        <w:footnoteRef/>
      </w:r>
      <w:r w:rsidRPr="00D6295F">
        <w:rPr>
          <w:rFonts w:ascii="Verdana" w:hAnsi="Verdana" w:cs="Arial"/>
          <w:sz w:val="14"/>
          <w:szCs w:val="14"/>
        </w:rPr>
        <w:t xml:space="preserve"> </w:t>
      </w:r>
      <w:r w:rsidRPr="00D6295F">
        <w:rPr>
          <w:rFonts w:ascii="Verdana" w:hAnsi="Verdana" w:cs="Arial"/>
          <w:sz w:val="14"/>
          <w:szCs w:val="14"/>
          <w:lang w:val="es-ES"/>
        </w:rPr>
        <w:t>CONSEJO DE ESTADO. Sección Tercera. Sentencia del 16 de marzo de 2015. Rad. 1999-03028, M.P. Jaime Orlando Santofimio Gamboa.</w:t>
      </w:r>
    </w:p>
  </w:footnote>
  <w:footnote w:id="19">
    <w:p w14:paraId="5E5FD6B3" w14:textId="77777777" w:rsidR="00FB7971"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RAMÍREZ GRISALES, La cesión… Op. cit., pp.162-163. </w:t>
      </w:r>
    </w:p>
    <w:p w14:paraId="1DBC86AB" w14:textId="77777777" w:rsidR="00FB7971" w:rsidRPr="00D6295F" w:rsidRDefault="00FB7971" w:rsidP="00FB7971">
      <w:pPr>
        <w:pStyle w:val="Textonotapie"/>
        <w:ind w:firstLine="708"/>
        <w:jc w:val="both"/>
        <w:rPr>
          <w:rFonts w:ascii="Verdana" w:hAnsi="Verdana" w:cs="Arial"/>
          <w:sz w:val="14"/>
          <w:szCs w:val="14"/>
        </w:rPr>
      </w:pPr>
    </w:p>
  </w:footnote>
  <w:footnote w:id="20">
    <w:p w14:paraId="64870857" w14:textId="77777777" w:rsidR="00FB7971" w:rsidRPr="00D6295F" w:rsidRDefault="00FB7971" w:rsidP="00FB7971">
      <w:pPr>
        <w:pStyle w:val="Textonotapie"/>
        <w:ind w:firstLine="708"/>
        <w:jc w:val="both"/>
        <w:rPr>
          <w:rFonts w:ascii="Verdana" w:hAnsi="Verdana"/>
          <w:sz w:val="14"/>
          <w:szCs w:val="14"/>
          <w:lang w:val="es-CO"/>
        </w:rPr>
      </w:pPr>
      <w:r w:rsidRPr="00D6295F">
        <w:rPr>
          <w:rStyle w:val="Refdenotaalpie"/>
          <w:rFonts w:ascii="Verdana" w:hAnsi="Verdana"/>
          <w:sz w:val="14"/>
          <w:szCs w:val="14"/>
        </w:rPr>
        <w:footnoteRef/>
      </w:r>
      <w:r w:rsidRPr="00D6295F">
        <w:rPr>
          <w:rFonts w:ascii="Verdana" w:hAnsi="Verdana"/>
          <w:sz w:val="14"/>
          <w:szCs w:val="14"/>
        </w:rPr>
        <w:t xml:space="preserve"> TARELLO, Govanni. La interpretación de la ley. Lima: Palestra Editores, 2013. p. 313.</w:t>
      </w:r>
    </w:p>
  </w:footnote>
  <w:footnote w:id="21">
    <w:p w14:paraId="2B57D09E" w14:textId="77777777" w:rsidR="00FB7971" w:rsidRDefault="00FB7971" w:rsidP="00FB7971">
      <w:pPr>
        <w:spacing w:after="0" w:line="254" w:lineRule="auto"/>
        <w:ind w:firstLine="708"/>
        <w:jc w:val="both"/>
        <w:rPr>
          <w:rFonts w:ascii="Verdana" w:hAnsi="Verdana"/>
          <w:color w:val="000000" w:themeColor="text1"/>
          <w:sz w:val="14"/>
          <w:szCs w:val="14"/>
        </w:rPr>
      </w:pPr>
      <w:r w:rsidRPr="00D6295F">
        <w:rPr>
          <w:rStyle w:val="Refdenotaalpie"/>
          <w:rFonts w:ascii="Verdana" w:hAnsi="Verdana"/>
          <w:color w:val="000000" w:themeColor="text1"/>
          <w:sz w:val="14"/>
          <w:szCs w:val="14"/>
        </w:rPr>
        <w:footnoteRef/>
      </w:r>
      <w:r w:rsidRPr="00D6295F">
        <w:rPr>
          <w:rFonts w:ascii="Verdana" w:hAnsi="Verdana"/>
          <w:color w:val="000000" w:themeColor="text1"/>
          <w:sz w:val="14"/>
          <w:szCs w:val="14"/>
        </w:rPr>
        <w:t xml:space="preserve"> ALESSANDRI R. Arturo, SOMARRIVA U. Manuel y VODANOVIC H. Antonio. Tratado de las obligaciones, VII, Editorial Jurídica de Chile. 2Ed., 2004, Chile, p. 11.</w:t>
      </w:r>
    </w:p>
    <w:p w14:paraId="62EAFD29" w14:textId="77777777" w:rsidR="00FB7971" w:rsidRPr="00D6295F" w:rsidRDefault="00FB7971" w:rsidP="00FB7971">
      <w:pPr>
        <w:spacing w:after="0" w:line="254" w:lineRule="auto"/>
        <w:ind w:firstLine="708"/>
        <w:jc w:val="both"/>
        <w:rPr>
          <w:rFonts w:ascii="Verdana" w:hAnsi="Verdana"/>
          <w:color w:val="000000" w:themeColor="text1"/>
          <w:sz w:val="14"/>
          <w:szCs w:val="14"/>
        </w:rPr>
      </w:pPr>
    </w:p>
  </w:footnote>
  <w:footnote w:id="22">
    <w:p w14:paraId="6BFEFDD6" w14:textId="77777777" w:rsidR="00FB7971" w:rsidRPr="00D6295F" w:rsidRDefault="00FB7971" w:rsidP="00FB7971">
      <w:pPr>
        <w:spacing w:after="0"/>
        <w:ind w:firstLine="708"/>
        <w:jc w:val="both"/>
        <w:rPr>
          <w:rFonts w:ascii="Verdana" w:hAnsi="Verdana" w:cs="Arial"/>
          <w:color w:val="000000" w:themeColor="text1"/>
          <w:sz w:val="14"/>
          <w:szCs w:val="14"/>
        </w:rPr>
      </w:pPr>
      <w:r w:rsidRPr="00D6295F">
        <w:rPr>
          <w:rStyle w:val="Refdenotaalpie"/>
          <w:rFonts w:ascii="Verdana" w:hAnsi="Verdana" w:cs="Arial"/>
          <w:color w:val="000000" w:themeColor="text1"/>
          <w:sz w:val="14"/>
          <w:szCs w:val="14"/>
        </w:rPr>
        <w:footnoteRef/>
      </w:r>
      <w:r w:rsidRPr="00D6295F">
        <w:rPr>
          <w:rFonts w:ascii="Verdana" w:hAnsi="Verdana" w:cs="Arial"/>
          <w:color w:val="000000" w:themeColor="text1"/>
          <w:sz w:val="14"/>
          <w:szCs w:val="14"/>
        </w:rPr>
        <w:t xml:space="preserve"> “Artículo 1634 del Código Civil. Para que el pago sea válido, debe hacerse o al acreedor mismo (bajo cuyo nombre se entienden todos los que le hayan sucedido en el crédito aún a título singular), o a la persona que la ley o el juez autoricen a recibir por él, o a la persona diputada por el acreedor para el cobro.</w:t>
      </w:r>
    </w:p>
    <w:p w14:paraId="305CE2D2" w14:textId="77777777" w:rsidR="00FB7971" w:rsidRDefault="00FB7971" w:rsidP="00FB7971">
      <w:pPr>
        <w:spacing w:after="0"/>
        <w:ind w:firstLine="708"/>
        <w:jc w:val="both"/>
        <w:rPr>
          <w:rFonts w:ascii="Verdana" w:hAnsi="Verdana" w:cs="Arial"/>
          <w:color w:val="000000" w:themeColor="text1"/>
          <w:sz w:val="14"/>
          <w:szCs w:val="14"/>
        </w:rPr>
      </w:pPr>
      <w:r w:rsidRPr="00D6295F">
        <w:rPr>
          <w:rFonts w:ascii="Verdana" w:hAnsi="Verdana" w:cs="Arial"/>
          <w:color w:val="000000" w:themeColor="text1"/>
          <w:sz w:val="14"/>
          <w:szCs w:val="14"/>
        </w:rPr>
        <w:t>El pago hecho de buena fe a la persona que estaba entonces en posesión del crédito, es válido, aunque después aparezca que el crédito no le pertenecía”.</w:t>
      </w:r>
    </w:p>
    <w:p w14:paraId="7676514D" w14:textId="77777777" w:rsidR="00FB7971" w:rsidRPr="00D6295F" w:rsidRDefault="00FB7971" w:rsidP="00FB7971">
      <w:pPr>
        <w:spacing w:after="0"/>
        <w:ind w:firstLine="708"/>
        <w:jc w:val="both"/>
        <w:rPr>
          <w:rFonts w:ascii="Verdana" w:hAnsi="Verdana" w:cs="Arial"/>
          <w:color w:val="000000" w:themeColor="text1"/>
          <w:sz w:val="14"/>
          <w:szCs w:val="14"/>
        </w:rPr>
      </w:pPr>
    </w:p>
  </w:footnote>
  <w:footnote w:id="23">
    <w:p w14:paraId="3419EDF6" w14:textId="77777777" w:rsidR="00FB7971" w:rsidRPr="00D6295F" w:rsidRDefault="00FB7971" w:rsidP="00FB7971">
      <w:pPr>
        <w:spacing w:after="0" w:line="237" w:lineRule="auto"/>
        <w:ind w:firstLine="708"/>
        <w:jc w:val="both"/>
        <w:rPr>
          <w:rFonts w:ascii="Verdana" w:hAnsi="Verdana" w:cs="Arial"/>
          <w:color w:val="000000" w:themeColor="text1"/>
          <w:sz w:val="14"/>
          <w:szCs w:val="14"/>
        </w:rPr>
      </w:pPr>
      <w:r w:rsidRPr="00D6295F">
        <w:rPr>
          <w:rStyle w:val="Refdenotaalpie"/>
          <w:rFonts w:ascii="Verdana" w:hAnsi="Verdana" w:cs="Arial"/>
          <w:color w:val="000000" w:themeColor="text1"/>
          <w:sz w:val="14"/>
          <w:szCs w:val="14"/>
        </w:rPr>
        <w:footnoteRef/>
      </w:r>
      <w:r w:rsidRPr="00D6295F">
        <w:rPr>
          <w:rFonts w:ascii="Verdana" w:hAnsi="Verdana" w:cs="Arial"/>
          <w:color w:val="000000" w:themeColor="text1"/>
          <w:sz w:val="14"/>
          <w:szCs w:val="14"/>
        </w:rPr>
        <w:t xml:space="preserve"> “Código Civil, Artículo 1635: El pago hecho a una persona diversa de las expresadas en el artículo precedente, es válido, si el acreedor lo ratifica de un modo expreso o tácito, pudiendo legítimamente hacerlo; o si el que ha recibido el pago sucede en el crédito, como heredero del acreedor, o bajo otro título cualquiera.</w:t>
      </w:r>
    </w:p>
    <w:p w14:paraId="61CABAED" w14:textId="77777777" w:rsidR="00FB7971" w:rsidRPr="00D6295F" w:rsidRDefault="00FB7971" w:rsidP="00FB7971">
      <w:pPr>
        <w:spacing w:after="0"/>
        <w:jc w:val="both"/>
        <w:rPr>
          <w:rFonts w:ascii="Verdana" w:hAnsi="Verdana" w:cs="Arial"/>
          <w:color w:val="000000" w:themeColor="text1"/>
          <w:sz w:val="14"/>
          <w:szCs w:val="14"/>
        </w:rPr>
      </w:pPr>
      <w:r w:rsidRPr="00D6295F">
        <w:rPr>
          <w:rFonts w:ascii="Verdana" w:hAnsi="Verdana" w:cs="Arial"/>
          <w:color w:val="000000" w:themeColor="text1"/>
          <w:sz w:val="14"/>
          <w:szCs w:val="14"/>
        </w:rPr>
        <w:t>Cuando el pago hecho a persona incompetente es ratificado por el acreedor, se mirará como válido desde el principio.</w:t>
      </w:r>
    </w:p>
    <w:p w14:paraId="3971F7A8" w14:textId="77777777" w:rsidR="00FB7971" w:rsidRPr="00D6295F" w:rsidRDefault="00FB7971" w:rsidP="00FB7971">
      <w:pPr>
        <w:spacing w:after="0" w:line="206" w:lineRule="exact"/>
        <w:ind w:firstLine="708"/>
        <w:jc w:val="both"/>
        <w:rPr>
          <w:rFonts w:ascii="Verdana" w:hAnsi="Verdana" w:cs="Arial"/>
          <w:color w:val="000000" w:themeColor="text1"/>
          <w:sz w:val="14"/>
          <w:szCs w:val="14"/>
        </w:rPr>
      </w:pPr>
      <w:r w:rsidRPr="00D6295F">
        <w:rPr>
          <w:rFonts w:ascii="Verdana" w:hAnsi="Verdana" w:cs="Arial"/>
          <w:color w:val="000000" w:themeColor="text1"/>
          <w:sz w:val="14"/>
          <w:szCs w:val="14"/>
        </w:rPr>
        <w:t>(…)</w:t>
      </w:r>
    </w:p>
    <w:p w14:paraId="6436AE89" w14:textId="77777777" w:rsidR="00FB7971" w:rsidRPr="00D6295F" w:rsidRDefault="00FB7971" w:rsidP="00FB7971">
      <w:pPr>
        <w:spacing w:after="0"/>
        <w:ind w:firstLine="708"/>
        <w:jc w:val="both"/>
        <w:rPr>
          <w:rFonts w:ascii="Verdana" w:hAnsi="Verdana" w:cs="Arial"/>
          <w:color w:val="000000" w:themeColor="text1"/>
          <w:sz w:val="14"/>
          <w:szCs w:val="14"/>
        </w:rPr>
      </w:pPr>
      <w:r w:rsidRPr="00D6295F">
        <w:rPr>
          <w:rFonts w:ascii="Verdana" w:hAnsi="Verdana" w:cs="Arial"/>
          <w:color w:val="000000" w:themeColor="text1"/>
          <w:sz w:val="14"/>
          <w:szCs w:val="14"/>
        </w:rPr>
        <w:t>“Código Civil, Artículo 1637: Reciben legítimamente los tutores y curadores por sus respectivos representados; los albaceas que tuvieron este encargo especial o la tenencia de los bienes del difunto; los padres de familia por sus hijos, en iguales términos; los recaudadores fiscales o de comunidades o establecimientos públicos, por el fisco o las respectivas comunidades o establecimientos; y las demás personas que por ley especial o decreto judicial estén autorizadas para</w:t>
      </w:r>
      <w:r w:rsidRPr="00D6295F">
        <w:rPr>
          <w:rFonts w:ascii="Verdana" w:hAnsi="Verdana" w:cs="Arial"/>
          <w:color w:val="000000" w:themeColor="text1"/>
          <w:spacing w:val="-7"/>
          <w:sz w:val="14"/>
          <w:szCs w:val="14"/>
        </w:rPr>
        <w:t xml:space="preserve"> </w:t>
      </w:r>
      <w:r w:rsidRPr="00D6295F">
        <w:rPr>
          <w:rFonts w:ascii="Verdana" w:hAnsi="Verdana" w:cs="Arial"/>
          <w:color w:val="000000" w:themeColor="text1"/>
          <w:sz w:val="14"/>
          <w:szCs w:val="14"/>
        </w:rPr>
        <w:t>ello.</w:t>
      </w:r>
    </w:p>
    <w:p w14:paraId="20D2BB0D" w14:textId="77777777" w:rsidR="00FB7971" w:rsidRDefault="00FB7971" w:rsidP="00FB7971">
      <w:pPr>
        <w:spacing w:after="0" w:line="237" w:lineRule="auto"/>
        <w:ind w:firstLine="708"/>
        <w:jc w:val="both"/>
        <w:rPr>
          <w:rFonts w:ascii="Verdana" w:hAnsi="Verdana" w:cs="Arial"/>
          <w:color w:val="000000" w:themeColor="text1"/>
          <w:sz w:val="14"/>
          <w:szCs w:val="14"/>
        </w:rPr>
      </w:pPr>
      <w:r w:rsidRPr="00D6295F">
        <w:rPr>
          <w:rFonts w:ascii="Verdana" w:hAnsi="Verdana" w:cs="Arial"/>
          <w:color w:val="000000" w:themeColor="text1"/>
          <w:sz w:val="14"/>
          <w:szCs w:val="14"/>
        </w:rPr>
        <w:t>“Código Civil, Artículo 1638: La diputación para recibir el pago puede conferirse por poder general para la libre administración de todos los negocios del acreedor, o por poder especial para la libre administración del negocio o negocios en que está comprendido el pago, o por un simple mandato comunicado al deudor”.</w:t>
      </w:r>
    </w:p>
    <w:p w14:paraId="4F5EB02C" w14:textId="77777777" w:rsidR="00FB7971" w:rsidRPr="00D6295F" w:rsidRDefault="00FB7971" w:rsidP="00FB7971">
      <w:pPr>
        <w:spacing w:after="0" w:line="237" w:lineRule="auto"/>
        <w:ind w:firstLine="708"/>
        <w:jc w:val="both"/>
        <w:rPr>
          <w:rFonts w:ascii="Verdana" w:hAnsi="Verdana" w:cs="Arial"/>
          <w:color w:val="000000" w:themeColor="text1"/>
          <w:sz w:val="14"/>
          <w:szCs w:val="14"/>
        </w:rPr>
      </w:pPr>
    </w:p>
  </w:footnote>
  <w:footnote w:id="24">
    <w:p w14:paraId="7E9968A3" w14:textId="77777777" w:rsidR="00FB7971" w:rsidRPr="00D6295F" w:rsidRDefault="00FB7971" w:rsidP="00FB7971">
      <w:pPr>
        <w:spacing w:after="0" w:line="254" w:lineRule="auto"/>
        <w:ind w:firstLine="709"/>
        <w:jc w:val="both"/>
        <w:rPr>
          <w:rFonts w:ascii="Verdana" w:hAnsi="Verdana"/>
          <w:color w:val="000000" w:themeColor="text1"/>
          <w:sz w:val="14"/>
          <w:szCs w:val="14"/>
        </w:rPr>
      </w:pPr>
      <w:r w:rsidRPr="00D6295F">
        <w:rPr>
          <w:rStyle w:val="Refdenotaalpie"/>
          <w:rFonts w:ascii="Verdana" w:hAnsi="Verdana"/>
          <w:color w:val="000000" w:themeColor="text1"/>
          <w:sz w:val="14"/>
          <w:szCs w:val="14"/>
        </w:rPr>
        <w:footnoteRef/>
      </w:r>
      <w:r w:rsidRPr="00D6295F">
        <w:rPr>
          <w:rFonts w:ascii="Verdana" w:hAnsi="Verdana"/>
          <w:color w:val="000000" w:themeColor="text1"/>
          <w:sz w:val="14"/>
          <w:szCs w:val="14"/>
        </w:rPr>
        <w:t xml:space="preserve"> BONIVENTO FERNANDEZ, José. Los principales contratos civiles y su paralelo con los comerciales, Vigésimo segunda edición. Bogotá: Tirant lo Blanch, 2024. p. 524.</w:t>
      </w:r>
    </w:p>
  </w:footnote>
  <w:footnote w:id="25">
    <w:p w14:paraId="5E50418E" w14:textId="77777777" w:rsidR="00FB7971" w:rsidRDefault="00FB7971" w:rsidP="00FB7971">
      <w:pPr>
        <w:spacing w:after="0"/>
        <w:ind w:firstLine="709"/>
        <w:jc w:val="both"/>
        <w:rPr>
          <w:rFonts w:ascii="Verdana" w:hAnsi="Verdana"/>
          <w:color w:val="000000" w:themeColor="text1"/>
          <w:sz w:val="14"/>
          <w:szCs w:val="14"/>
        </w:rPr>
      </w:pPr>
      <w:r w:rsidRPr="00D6295F">
        <w:rPr>
          <w:rStyle w:val="Refdenotaalpie"/>
          <w:rFonts w:ascii="Verdana" w:hAnsi="Verdana"/>
          <w:color w:val="000000" w:themeColor="text1"/>
          <w:sz w:val="14"/>
          <w:szCs w:val="14"/>
        </w:rPr>
        <w:footnoteRef/>
      </w:r>
      <w:r w:rsidRPr="00D6295F">
        <w:rPr>
          <w:rFonts w:ascii="Verdana" w:hAnsi="Verdana"/>
          <w:color w:val="000000" w:themeColor="text1"/>
          <w:sz w:val="14"/>
          <w:szCs w:val="14"/>
        </w:rPr>
        <w:t xml:space="preserve"> </w:t>
      </w:r>
      <w:r w:rsidRPr="00D6295F">
        <w:rPr>
          <w:rFonts w:ascii="Verdana" w:hAnsi="Verdana"/>
          <w:i/>
          <w:iCs/>
          <w:color w:val="000000" w:themeColor="text1"/>
          <w:sz w:val="14"/>
          <w:szCs w:val="14"/>
        </w:rPr>
        <w:t>Ibidem</w:t>
      </w:r>
      <w:r w:rsidRPr="00D6295F">
        <w:rPr>
          <w:rFonts w:ascii="Verdana" w:hAnsi="Verdana"/>
          <w:color w:val="000000" w:themeColor="text1"/>
          <w:sz w:val="14"/>
          <w:szCs w:val="14"/>
        </w:rPr>
        <w:t>, pp. 524-525.</w:t>
      </w:r>
    </w:p>
    <w:p w14:paraId="47EFC6AB" w14:textId="77777777" w:rsidR="00FB7971" w:rsidRPr="00D6295F" w:rsidRDefault="00FB7971" w:rsidP="00FB7971">
      <w:pPr>
        <w:spacing w:after="0"/>
        <w:ind w:firstLine="709"/>
        <w:jc w:val="both"/>
        <w:rPr>
          <w:rFonts w:ascii="Verdana" w:hAnsi="Verdana"/>
          <w:color w:val="000000" w:themeColor="text1"/>
          <w:sz w:val="14"/>
          <w:szCs w:val="14"/>
        </w:rPr>
      </w:pPr>
    </w:p>
  </w:footnote>
  <w:footnote w:id="26">
    <w:p w14:paraId="54A55F0B" w14:textId="77777777" w:rsidR="00FB7971" w:rsidRPr="00D6295F" w:rsidRDefault="00FB7971" w:rsidP="00FB7971">
      <w:pPr>
        <w:pStyle w:val="Textonotapie"/>
        <w:ind w:firstLine="708"/>
        <w:jc w:val="both"/>
        <w:rPr>
          <w:rFonts w:ascii="Verdana" w:hAnsi="Verdana"/>
          <w:sz w:val="14"/>
          <w:szCs w:val="14"/>
          <w:lang w:val="es-CO"/>
        </w:rPr>
      </w:pPr>
      <w:r w:rsidRPr="00D6295F">
        <w:rPr>
          <w:rStyle w:val="Refdenotaalpie"/>
          <w:rFonts w:ascii="Verdana" w:hAnsi="Verdana"/>
          <w:sz w:val="14"/>
          <w:szCs w:val="14"/>
        </w:rPr>
        <w:footnoteRef/>
      </w:r>
      <w:r w:rsidRPr="00D6295F">
        <w:rPr>
          <w:rFonts w:ascii="Verdana" w:hAnsi="Verdana"/>
          <w:sz w:val="14"/>
          <w:szCs w:val="14"/>
        </w:rPr>
        <w:t xml:space="preserve"> Como explica la doctrina, “[…] La cesión de créditos es un negocio jurídico: acto de autonomía privada, en virtud del cual el acreedor dispone de su derecho, para transferirlo a un tercero, quien será en adelante el único sujeto activo de la relación, si la cesión es total, o uno de ellos, en la medida del traspaso, si la cesión es parcial, y con quien habrá de entenderse en lo sucesivo el deudor, ante todo para la cancelación. La cesión es un instrumento social y legal para la disposición de derechos subjetivos, acá el de crédito. Más específicamente es un contrato por el cual el acreedor cedente, gratuita o retributivamente, transfiere a la otra parte, cesionario, el crédito, considerado como un bien incorporal (arts. 653 [3] y 76i c. c.). Sus partes son el acreedor cedente y el tercero cesionario. </w:t>
      </w:r>
      <w:r w:rsidRPr="00D6295F">
        <w:rPr>
          <w:rFonts w:ascii="Verdana" w:hAnsi="Verdana"/>
          <w:i/>
          <w:iCs/>
          <w:sz w:val="14"/>
          <w:szCs w:val="14"/>
        </w:rPr>
        <w:t>El deudor no es parte en la cesión, es un extraño a ella, a la que no se puede oponer, a la que su asentimiento no agrega ni quita nada, y con la que su único contacto es la notificación que ha de hacérsele para que le sea oponible, así como para darle oportunidad de hacer reserva de sus excepciones personales frente al cedente</w:t>
      </w:r>
      <w:r w:rsidRPr="00D6295F">
        <w:rPr>
          <w:rFonts w:ascii="Verdana" w:hAnsi="Verdana"/>
          <w:sz w:val="14"/>
          <w:szCs w:val="14"/>
        </w:rPr>
        <w:t xml:space="preserve">” (Cfr. HINESTROSA, Fernando. Tratatado de las obligaciones: concepto, estructura y vicisitudes. Tercera edición. Bogotá: Universidad Externado de Colombia, 2017. Libro en formato EPUB. Énfasis fuera de texto). </w:t>
      </w:r>
    </w:p>
  </w:footnote>
  <w:footnote w:id="27">
    <w:p w14:paraId="673C096D" w14:textId="77777777" w:rsidR="00FB7971" w:rsidRPr="00D6295F"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D6295F">
        <w:rPr>
          <w:rFonts w:ascii="Verdana" w:hAnsi="Verdana" w:cs="Arial"/>
          <w:sz w:val="14"/>
          <w:szCs w:val="14"/>
        </w:rPr>
        <w:t xml:space="preserve"> Al respecto, el artículo 887 del Código de Comercio dispone que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0542920A" w14:textId="77777777" w:rsidR="00FB7971" w:rsidRDefault="00FB7971" w:rsidP="00FB7971">
      <w:pPr>
        <w:pStyle w:val="Textonotapie"/>
        <w:ind w:firstLine="708"/>
        <w:jc w:val="both"/>
        <w:rPr>
          <w:rFonts w:ascii="Verdana" w:hAnsi="Verdana" w:cs="Arial"/>
          <w:sz w:val="14"/>
          <w:szCs w:val="14"/>
        </w:rPr>
      </w:pPr>
      <w:r w:rsidRPr="00D6295F">
        <w:rPr>
          <w:rFonts w:ascii="Verdana" w:hAnsi="Verdana" w:cs="Arial"/>
          <w:sz w:val="14"/>
          <w:szCs w:val="14"/>
        </w:rPr>
        <w:t xml:space="preserve">La misma sustitución podrá hacerse en los contratos mercantiles de ejecución instantánea que aún no hayan sido cumplidos en todo o en parte, y en los celebrados </w:t>
      </w:r>
      <w:r w:rsidRPr="00D6295F">
        <w:rPr>
          <w:rFonts w:ascii="Verdana" w:hAnsi="Verdana" w:cs="Arial"/>
          <w:i/>
          <w:iCs/>
          <w:sz w:val="14"/>
          <w:szCs w:val="14"/>
        </w:rPr>
        <w:t>intuitu personae</w:t>
      </w:r>
      <w:r w:rsidRPr="00D6295F">
        <w:rPr>
          <w:rFonts w:ascii="Verdana" w:hAnsi="Verdana" w:cs="Arial"/>
          <w:sz w:val="14"/>
          <w:szCs w:val="14"/>
        </w:rPr>
        <w:t>, pero en estos casos será necesaria la aceptación del contratante cedido”.</w:t>
      </w:r>
    </w:p>
    <w:p w14:paraId="65E92B46" w14:textId="77777777" w:rsidR="00FB7971" w:rsidRPr="00D6295F" w:rsidRDefault="00FB7971" w:rsidP="00FB7971">
      <w:pPr>
        <w:pStyle w:val="Textonotapie"/>
        <w:ind w:firstLine="708"/>
        <w:jc w:val="both"/>
        <w:rPr>
          <w:rFonts w:ascii="Verdana" w:hAnsi="Verdana" w:cs="Arial"/>
          <w:sz w:val="14"/>
          <w:szCs w:val="14"/>
        </w:rPr>
      </w:pPr>
    </w:p>
  </w:footnote>
  <w:footnote w:id="28">
    <w:p w14:paraId="3D2E0BA0" w14:textId="77777777" w:rsidR="00FB7971"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A73573">
        <w:rPr>
          <w:rFonts w:ascii="Verdana" w:hAnsi="Verdana" w:cs="Arial"/>
          <w:sz w:val="14"/>
          <w:szCs w:val="14"/>
          <w:lang w:val="it-IT"/>
        </w:rPr>
        <w:t xml:space="preserve"> MESSINEO, Francesco. Doctrina general del contrato. </w:t>
      </w:r>
      <w:r w:rsidRPr="00D6295F">
        <w:rPr>
          <w:rFonts w:ascii="Verdana" w:hAnsi="Verdana" w:cs="Arial"/>
          <w:sz w:val="14"/>
          <w:szCs w:val="14"/>
        </w:rPr>
        <w:t>Santiago: Olejnik, 2018. p. 633. Énfasis dentro del texto.</w:t>
      </w:r>
    </w:p>
    <w:p w14:paraId="2A80C1E2" w14:textId="77777777" w:rsidR="00FB7971" w:rsidRPr="00D6295F" w:rsidRDefault="00FB7971" w:rsidP="00FB7971">
      <w:pPr>
        <w:pStyle w:val="Textonotapie"/>
        <w:ind w:firstLine="708"/>
        <w:jc w:val="both"/>
        <w:rPr>
          <w:rFonts w:ascii="Verdana" w:hAnsi="Verdana" w:cs="Arial"/>
          <w:sz w:val="14"/>
          <w:szCs w:val="14"/>
        </w:rPr>
      </w:pPr>
    </w:p>
  </w:footnote>
  <w:footnote w:id="29">
    <w:p w14:paraId="289ABCE4" w14:textId="77777777" w:rsidR="00FB7971" w:rsidRDefault="00FB7971" w:rsidP="00FB7971">
      <w:pPr>
        <w:pStyle w:val="Textonotapie"/>
        <w:ind w:firstLine="708"/>
        <w:jc w:val="both"/>
        <w:rPr>
          <w:rFonts w:ascii="Verdana" w:hAnsi="Verdana" w:cs="Arial"/>
          <w:sz w:val="14"/>
          <w:szCs w:val="14"/>
        </w:rPr>
      </w:pPr>
      <w:r w:rsidRPr="00D6295F">
        <w:rPr>
          <w:rStyle w:val="Refdenotaalpie"/>
          <w:rFonts w:ascii="Verdana" w:hAnsi="Verdana" w:cs="Arial"/>
          <w:sz w:val="14"/>
          <w:szCs w:val="14"/>
        </w:rPr>
        <w:footnoteRef/>
      </w:r>
      <w:r w:rsidRPr="00A73573">
        <w:rPr>
          <w:rFonts w:ascii="Verdana" w:hAnsi="Verdana" w:cs="Arial"/>
          <w:sz w:val="14"/>
          <w:szCs w:val="14"/>
        </w:rPr>
        <w:t xml:space="preserve"> MARIENHOFF, Miguel S. Tratado de derecho administrativo. </w:t>
      </w:r>
      <w:r w:rsidRPr="00D6295F">
        <w:rPr>
          <w:rFonts w:ascii="Verdana" w:hAnsi="Verdana" w:cs="Arial"/>
          <w:sz w:val="14"/>
          <w:szCs w:val="14"/>
        </w:rPr>
        <w:t>Tomo IIIA. Cuarta Edición. Buenos Aires: Abeledo Perrot, 1998. p. 318. Énfasis dentro del texto.</w:t>
      </w:r>
    </w:p>
    <w:p w14:paraId="534D3CBC" w14:textId="77777777" w:rsidR="00FB7971" w:rsidRPr="00D6295F" w:rsidRDefault="00FB7971" w:rsidP="00FB7971">
      <w:pPr>
        <w:pStyle w:val="Textonotapie"/>
        <w:ind w:firstLine="708"/>
        <w:jc w:val="both"/>
        <w:rPr>
          <w:rFonts w:ascii="Verdana" w:hAnsi="Verdana" w:cs="Arial"/>
          <w:sz w:val="14"/>
          <w:szCs w:val="14"/>
          <w:lang w:val="es-ES"/>
        </w:rPr>
      </w:pPr>
    </w:p>
  </w:footnote>
  <w:footnote w:id="30">
    <w:p w14:paraId="551FE431" w14:textId="77777777" w:rsidR="00FB7971" w:rsidRPr="00D6295F" w:rsidRDefault="00FB7971" w:rsidP="00FB7971">
      <w:pPr>
        <w:pStyle w:val="Textonotapie"/>
        <w:ind w:firstLine="709"/>
        <w:jc w:val="both"/>
        <w:rPr>
          <w:rFonts w:ascii="Verdana" w:hAnsi="Verdana" w:cs="Arial"/>
          <w:sz w:val="14"/>
          <w:szCs w:val="14"/>
          <w:lang w:val="es-ES"/>
        </w:rPr>
      </w:pPr>
      <w:r w:rsidRPr="00D6295F">
        <w:rPr>
          <w:rStyle w:val="Refdenotaalpie"/>
          <w:rFonts w:ascii="Verdana" w:hAnsi="Verdana" w:cs="Arial"/>
          <w:sz w:val="14"/>
          <w:szCs w:val="14"/>
        </w:rPr>
        <w:footnoteRef/>
      </w:r>
      <w:r w:rsidRPr="00D6295F">
        <w:rPr>
          <w:rFonts w:ascii="Verdana" w:hAnsi="Verdana" w:cs="Arial"/>
          <w:sz w:val="14"/>
          <w:szCs w:val="14"/>
        </w:rPr>
        <w:t xml:space="preserve"> </w:t>
      </w:r>
      <w:r w:rsidRPr="00D6295F">
        <w:rPr>
          <w:rFonts w:ascii="Verdana" w:hAnsi="Verdana" w:cs="Arial"/>
          <w:sz w:val="14"/>
          <w:szCs w:val="14"/>
          <w:lang w:val="es-ES"/>
        </w:rPr>
        <w:t>CONSEJO DE ESTADO. Sección Tercera. Sentencia del 16 de marzo de 2015. Rad. 1999-03028. C.P. Jaime Orlando Santofimio Gamboa.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A1578" w14:textId="77777777" w:rsidR="00AB1233" w:rsidRDefault="00AB1233">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1F9FA62" wp14:editId="1E0774EB">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F1D23D4" wp14:editId="3BF4484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1A68891" w14:textId="77777777" w:rsidR="00AB1233" w:rsidRDefault="00AB1233">
    <w:pPr>
      <w:pStyle w:val="Encabezado"/>
    </w:pPr>
  </w:p>
  <w:p w14:paraId="0CD1F2B4" w14:textId="77777777" w:rsidR="00AB1233" w:rsidRDefault="00AB1233" w:rsidP="004A305D">
    <w:pPr>
      <w:spacing w:after="0"/>
      <w:rPr>
        <w:rFonts w:ascii="Verdana" w:hAnsi="Verdana"/>
        <w:b/>
        <w:bCs/>
      </w:rPr>
    </w:pPr>
  </w:p>
  <w:p w14:paraId="6D589690" w14:textId="77777777" w:rsidR="00AB1233" w:rsidRPr="00DC39FC" w:rsidRDefault="00AB1233" w:rsidP="004A305D">
    <w:pPr>
      <w:spacing w:after="0"/>
      <w:rPr>
        <w:rFonts w:ascii="Verdana" w:hAnsi="Verdana"/>
        <w:b/>
        <w:bCs/>
      </w:rPr>
    </w:pPr>
    <w:r w:rsidRPr="00DC39FC">
      <w:rPr>
        <w:rFonts w:ascii="Verdana" w:hAnsi="Verdana"/>
        <w:b/>
        <w:bCs/>
      </w:rPr>
      <w:t>FORMATO PQRSD</w:t>
    </w:r>
  </w:p>
  <w:p w14:paraId="7A9514D6" w14:textId="77777777" w:rsidR="00AB1233" w:rsidRPr="004A305D" w:rsidRDefault="00AB1233" w:rsidP="00B01B1A">
    <w:pPr>
      <w:spacing w:after="0" w:line="120" w:lineRule="auto"/>
      <w:rPr>
        <w:rFonts w:ascii="Century Gothic" w:eastAsia="Geo" w:hAnsi="Century Gothic" w:cs="Geo"/>
        <w:sz w:val="16"/>
        <w:szCs w:val="16"/>
        <w:lang w:eastAsia="es-CO"/>
      </w:rPr>
    </w:pPr>
  </w:p>
  <w:p w14:paraId="444D3FC4" w14:textId="77777777" w:rsidR="00AB1233" w:rsidRDefault="00AB123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35pt;height:11.3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233"/>
    <w:rsid w:val="00274079"/>
    <w:rsid w:val="00357755"/>
    <w:rsid w:val="00531C05"/>
    <w:rsid w:val="00622AAC"/>
    <w:rsid w:val="008100A2"/>
    <w:rsid w:val="008343B3"/>
    <w:rsid w:val="00AB1233"/>
    <w:rsid w:val="00AE02F1"/>
    <w:rsid w:val="00C7320B"/>
    <w:rsid w:val="00FB797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DB99697"/>
  <w15:chartTrackingRefBased/>
  <w15:docId w15:val="{FECE413E-E617-417B-A91C-92D675508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1233"/>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B123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1233"/>
    <w:rPr>
      <w:kern w:val="0"/>
      <w14:ligatures w14:val="none"/>
    </w:rPr>
  </w:style>
  <w:style w:type="paragraph" w:styleId="Piedepgina">
    <w:name w:val="footer"/>
    <w:basedOn w:val="Normal"/>
    <w:link w:val="PiedepginaCar"/>
    <w:uiPriority w:val="99"/>
    <w:unhideWhenUsed/>
    <w:rsid w:val="00AB123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123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B123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B123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B123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B1233"/>
    <w:rPr>
      <w:vertAlign w:val="superscript"/>
    </w:rPr>
  </w:style>
  <w:style w:type="character" w:customStyle="1" w:styleId="normaltextrun">
    <w:name w:val="normaltextrun"/>
    <w:basedOn w:val="Fuentedeprrafopredeter"/>
    <w:rsid w:val="00AB1233"/>
  </w:style>
  <w:style w:type="table" w:styleId="Tablaconcuadrcula">
    <w:name w:val="Table Grid"/>
    <w:basedOn w:val="Tablanormal"/>
    <w:uiPriority w:val="39"/>
    <w:qFormat/>
    <w:rsid w:val="00AB123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AB1233"/>
    <w:pPr>
      <w:ind w:left="720"/>
      <w:contextualSpacing/>
    </w:pPr>
    <w:rPr>
      <w:rFonts w:ascii="Geomanist Light" w:hAnsi="Geomanist Light"/>
      <w:lang w:val="es-ES"/>
    </w:rPr>
  </w:style>
  <w:style w:type="character" w:styleId="Hipervnculo">
    <w:name w:val="Hyperlink"/>
    <w:basedOn w:val="Fuentedeprrafopredeter"/>
    <w:uiPriority w:val="99"/>
    <w:unhideWhenUsed/>
    <w:rsid w:val="00AB1233"/>
    <w:rPr>
      <w:color w:val="0000FF"/>
      <w:u w:val="single"/>
    </w:rPr>
  </w:style>
  <w:style w:type="paragraph" w:customStyle="1" w:styleId="paragraph">
    <w:name w:val="paragraph"/>
    <w:basedOn w:val="Normal"/>
    <w:rsid w:val="00AB123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AB1233"/>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B1233"/>
    <w:rPr>
      <w:rFonts w:ascii="Geomanist Light" w:hAnsi="Geomanist Light"/>
      <w:kern w:val="0"/>
      <w:lang w:val="es-ES"/>
      <w14:ligatures w14:val="none"/>
    </w:rPr>
  </w:style>
  <w:style w:type="character" w:customStyle="1" w:styleId="s15">
    <w:name w:val="s15"/>
    <w:basedOn w:val="Fuentedeprrafopredeter"/>
    <w:rsid w:val="00AB1233"/>
  </w:style>
  <w:style w:type="character" w:customStyle="1" w:styleId="apple-converted-space">
    <w:name w:val="apple-converted-space"/>
    <w:basedOn w:val="Fuentedeprrafopredeter"/>
    <w:rsid w:val="00AB1233"/>
  </w:style>
  <w:style w:type="paragraph" w:styleId="Textoindependiente">
    <w:name w:val="Body Text"/>
    <w:basedOn w:val="Normal"/>
    <w:link w:val="TextoindependienteCar"/>
    <w:uiPriority w:val="99"/>
    <w:unhideWhenUsed/>
    <w:rsid w:val="00AB123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B1233"/>
    <w:rPr>
      <w:rFonts w:eastAsiaTheme="minorEastAsia"/>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strucciondisciplinaria@agencialogistica.gov.co" TargetMode="External"/><Relationship Id="rId13" Type="http://schemas.openxmlformats.org/officeDocument/2006/relationships/hyperlink" Target="https://www.colombiacompra.gov.co/pqrsd/informacion-importante-antes-de-formular-una-pqrsd"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2.png"/><Relationship Id="rId12" Type="http://schemas.openxmlformats.org/officeDocument/2006/relationships/hyperlink" Target="mailto:ventanilladeradicacion@colombiacompra.gov.co"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s://www.supersociedades.gov.co/documents/107391/159040/220-301537+-+REPRESENTACI%C3%93N+COMERCIAL+Y+REPRESENTACI%C3%93N+LEGAL.pdf/30a7c153-3fd4-2897-ba3d-51d56c01acb6?version=1.2&amp;t=174188293251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upersociedades.gov.co/web/nuestra-entidad/conceptos-juridicos" TargetMode="External"/><Relationship Id="rId14" Type="http://schemas.openxmlformats.org/officeDocument/2006/relationships/hyperlink" Target="https://forms.office.com/r/pPHyWVs2SZ"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www.supersociedades.gov.co/web/nuestra-entidad/conceptos-juridicos" TargetMode="External"/><Relationship Id="rId2" Type="http://schemas.openxmlformats.org/officeDocument/2006/relationships/hyperlink" Target="https://www.supersociedades.gov.co/documents/107391/159040/220-301537+-+REPRESENTACI%C3%93N+COMERCIAL+Y+REPRESENTACI%C3%93N+LEGAL.pdf/30a7c153-3fd4-2897-ba3d-51d56c01acb6?version=1.2&amp;t=1741882932512" TargetMode="External"/><Relationship Id="rId1" Type="http://schemas.openxmlformats.org/officeDocument/2006/relationships/hyperlink" Target="https://www.supersociedades.gov.co/web/nuestra-entidad/conceptos-juridic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8DA8C3A-AA61-4AD8-88A0-A084E98EB35B}"/>
</file>

<file path=customXml/itemProps2.xml><?xml version="1.0" encoding="utf-8"?>
<ds:datastoreItem xmlns:ds="http://schemas.openxmlformats.org/officeDocument/2006/customXml" ds:itemID="{972B643D-E6DC-4E04-8213-28C2FAC87485}"/>
</file>

<file path=customXml/itemProps3.xml><?xml version="1.0" encoding="utf-8"?>
<ds:datastoreItem xmlns:ds="http://schemas.openxmlformats.org/officeDocument/2006/customXml" ds:itemID="{6DD39836-8122-4ECD-8A89-75DB496CD988}"/>
</file>

<file path=docProps/app.xml><?xml version="1.0" encoding="utf-8"?>
<Properties xmlns="http://schemas.openxmlformats.org/officeDocument/2006/extended-properties" xmlns:vt="http://schemas.openxmlformats.org/officeDocument/2006/docPropsVTypes">
  <Template>Normal</Template>
  <TotalTime>4</TotalTime>
  <Pages>25</Pages>
  <Words>8387</Words>
  <Characters>45544</Characters>
  <Application>Microsoft Office Word</Application>
  <DocSecurity>0</DocSecurity>
  <Lines>875</Lines>
  <Paragraphs>169</Paragraphs>
  <ScaleCrop>false</ScaleCrop>
  <Company/>
  <LinksUpToDate>false</LinksUpToDate>
  <CharactersWithSpaces>53762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6</cp:revision>
  <dcterms:created xsi:type="dcterms:W3CDTF">2025-10-27T21:51:00Z</dcterms:created>
  <dcterms:modified xsi:type="dcterms:W3CDTF">2025-11-04T17:36:00Z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