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9A633" w14:textId="77777777" w:rsidR="00E214AF" w:rsidRPr="00132CCC" w:rsidRDefault="00E214AF" w:rsidP="00E214AF">
      <w:pPr>
        <w:spacing w:after="0" w:line="240" w:lineRule="auto"/>
        <w:jc w:val="both"/>
        <w:rPr>
          <w:rFonts w:ascii="Verdana" w:eastAsia="Calibri" w:hAnsi="Verdana" w:cs="Arial"/>
          <w:b/>
          <w:lang w:eastAsia="es-ES"/>
        </w:rPr>
      </w:pPr>
      <w:bookmarkStart w:id="0" w:name="_Hlk143780582"/>
      <w:r w:rsidRPr="00132CCC">
        <w:rPr>
          <w:rFonts w:ascii="Verdana" w:eastAsia="Calibri" w:hAnsi="Verdana" w:cs="Arial"/>
          <w:b/>
          <w:lang w:eastAsia="es-ES"/>
        </w:rPr>
        <w:t xml:space="preserve">CONVOCATORIAS LIMITADAS A MIPYMES NACIONALES – Requisitos – presupuestos mínimos </w:t>
      </w:r>
    </w:p>
    <w:p w14:paraId="35E9E445" w14:textId="77777777" w:rsidR="00E214AF" w:rsidRPr="00132CCC" w:rsidRDefault="00E214AF" w:rsidP="00E214AF">
      <w:pPr>
        <w:spacing w:after="0" w:line="240" w:lineRule="auto"/>
        <w:jc w:val="both"/>
        <w:rPr>
          <w:rFonts w:ascii="Verdana" w:eastAsia="Calibri" w:hAnsi="Verdana" w:cs="Arial"/>
          <w:b/>
          <w:sz w:val="20"/>
          <w:szCs w:val="20"/>
          <w:lang w:eastAsia="es-ES"/>
        </w:rPr>
      </w:pPr>
    </w:p>
    <w:p w14:paraId="68E6FA90" w14:textId="77777777" w:rsidR="00E214AF" w:rsidRPr="00132CCC" w:rsidRDefault="00E214AF" w:rsidP="00E214AF">
      <w:pPr>
        <w:spacing w:after="0" w:line="240" w:lineRule="auto"/>
        <w:jc w:val="both"/>
        <w:rPr>
          <w:rFonts w:ascii="Verdana" w:eastAsia="Calibri" w:hAnsi="Verdana" w:cs="Arial"/>
          <w:bCs/>
          <w:sz w:val="20"/>
          <w:szCs w:val="20"/>
          <w:lang w:eastAsia="es-ES"/>
        </w:rPr>
      </w:pPr>
      <w:r w:rsidRPr="0028080B">
        <w:rPr>
          <w:rFonts w:ascii="Verdana" w:eastAsia="Calibri" w:hAnsi="Verdana" w:cs="Arial"/>
          <w:bCs/>
          <w:sz w:val="20"/>
          <w:szCs w:val="20"/>
          <w:lang w:val="es-ES_tradnl" w:eastAsia="es-ES"/>
        </w:rPr>
        <w:t xml:space="preserve">El artículo 5 del Decreto 1860 de 2021 modificó </w:t>
      </w:r>
      <w:r w:rsidRPr="0028080B">
        <w:rPr>
          <w:rFonts w:ascii="Verdana" w:eastAsia="Calibri" w:hAnsi="Verdana" w:cs="Arial"/>
          <w:bCs/>
          <w:sz w:val="20"/>
          <w:szCs w:val="20"/>
          <w:lang w:eastAsia="es-ES"/>
        </w:rPr>
        <w:t>los artículos 2.2.1.2.4.2.2., 2.2.1.2.4.2.3. y 2.2.1.2.4.2.4. de la Subsección 2 de la Sección 4 del Capítulo 2 del Título 1 de la Parte 2 del Libro 2 del Decreto 1082 de 2015, reglamentando</w:t>
      </w:r>
      <w:r w:rsidRPr="0028080B">
        <w:rPr>
          <w:rFonts w:ascii="Verdana" w:eastAsia="Calibri" w:hAnsi="Verdana" w:cs="Arial"/>
          <w:bCs/>
          <w:sz w:val="20"/>
          <w:szCs w:val="20"/>
          <w:lang w:val="es-ES_tradnl" w:eastAsia="es-ES"/>
        </w:rPr>
        <w:t xml:space="preserve"> las convocatorias limitadas a </w:t>
      </w:r>
      <w:proofErr w:type="spellStart"/>
      <w:r w:rsidRPr="0028080B">
        <w:rPr>
          <w:rFonts w:ascii="Verdana" w:eastAsia="Calibri" w:hAnsi="Verdana" w:cs="Arial"/>
          <w:bCs/>
          <w:sz w:val="20"/>
          <w:szCs w:val="20"/>
          <w:lang w:val="es-ES_tradnl" w:eastAsia="es-ES"/>
        </w:rPr>
        <w:t>Mipyme</w:t>
      </w:r>
      <w:proofErr w:type="spellEnd"/>
      <w:r w:rsidRPr="0028080B">
        <w:rPr>
          <w:rFonts w:ascii="Verdana" w:eastAsia="Calibri" w:hAnsi="Verdana" w:cs="Arial"/>
          <w:bCs/>
          <w:sz w:val="20"/>
          <w:szCs w:val="20"/>
          <w:lang w:val="es-ES_tradnl" w:eastAsia="es-ES"/>
        </w:rPr>
        <w:t xml:space="preserve">, con fundamento en lo establecido en el artículo 34 de la Ley 2069 de 2020. Esta nueva reglamentación desarrolla tres aspectos: i) requisitos para limitar la convocatoria de los </w:t>
      </w:r>
      <w:r w:rsidRPr="0028080B">
        <w:rPr>
          <w:rFonts w:ascii="Verdana" w:eastAsia="Calibri" w:hAnsi="Verdana" w:cs="Arial"/>
          <w:bCs/>
          <w:sz w:val="20"/>
          <w:szCs w:val="20"/>
          <w:lang w:eastAsia="es-ES"/>
        </w:rPr>
        <w:t>procesos de contratación con pluralidad de oferentes</w:t>
      </w:r>
      <w:r w:rsidRPr="0028080B">
        <w:rPr>
          <w:rFonts w:ascii="Verdana" w:eastAsia="Calibri" w:hAnsi="Verdana" w:cs="Arial"/>
          <w:bCs/>
          <w:sz w:val="20"/>
          <w:szCs w:val="20"/>
          <w:lang w:val="es-ES_tradnl" w:eastAsia="es-ES"/>
        </w:rPr>
        <w:t xml:space="preserve"> a las </w:t>
      </w:r>
      <w:proofErr w:type="spellStart"/>
      <w:r w:rsidRPr="0028080B">
        <w:rPr>
          <w:rFonts w:ascii="Verdana" w:eastAsia="Calibri" w:hAnsi="Verdana" w:cs="Arial"/>
          <w:bCs/>
          <w:sz w:val="20"/>
          <w:szCs w:val="20"/>
          <w:lang w:val="es-ES_tradnl" w:eastAsia="es-ES"/>
        </w:rPr>
        <w:t>Mipyme</w:t>
      </w:r>
      <w:proofErr w:type="spellEnd"/>
      <w:r w:rsidRPr="0028080B">
        <w:rPr>
          <w:rFonts w:ascii="Verdana" w:eastAsia="Calibri" w:hAnsi="Verdana" w:cs="Arial"/>
          <w:bCs/>
          <w:sz w:val="20"/>
          <w:szCs w:val="20"/>
          <w:lang w:val="es-ES_tradnl" w:eastAsia="es-ES"/>
        </w:rPr>
        <w:t xml:space="preserve"> colombianas con mínimo un (1) año de existencia – artículo </w:t>
      </w:r>
      <w:r w:rsidRPr="0028080B">
        <w:rPr>
          <w:rFonts w:ascii="Verdana" w:eastAsia="Calibri" w:hAnsi="Verdana" w:cs="Arial"/>
          <w:bCs/>
          <w:sz w:val="20"/>
          <w:szCs w:val="20"/>
          <w:lang w:eastAsia="es-ES"/>
        </w:rPr>
        <w:t>2.2.1.2.4.2.2-</w:t>
      </w:r>
      <w:r w:rsidRPr="0028080B">
        <w:rPr>
          <w:rFonts w:ascii="Verdana" w:eastAsia="Calibri" w:hAnsi="Verdana" w:cs="Arial"/>
          <w:bCs/>
          <w:sz w:val="20"/>
          <w:szCs w:val="20"/>
          <w:lang w:val="es-ES_tradnl" w:eastAsia="es-ES"/>
        </w:rPr>
        <w:t xml:space="preserve"> , </w:t>
      </w:r>
      <w:proofErr w:type="spellStart"/>
      <w:r w:rsidRPr="0028080B">
        <w:rPr>
          <w:rFonts w:ascii="Verdana" w:eastAsia="Calibri" w:hAnsi="Verdana" w:cs="Arial"/>
          <w:bCs/>
          <w:sz w:val="20"/>
          <w:szCs w:val="20"/>
          <w:lang w:val="es-ES_tradnl" w:eastAsia="es-ES"/>
        </w:rPr>
        <w:t>ii</w:t>
      </w:r>
      <w:proofErr w:type="spellEnd"/>
      <w:r w:rsidRPr="0028080B">
        <w:rPr>
          <w:rFonts w:ascii="Verdana" w:eastAsia="Calibri" w:hAnsi="Verdana" w:cs="Arial"/>
          <w:bCs/>
          <w:sz w:val="20"/>
          <w:szCs w:val="20"/>
          <w:lang w:val="es-ES_tradnl" w:eastAsia="es-ES"/>
        </w:rPr>
        <w:t xml:space="preserve">) desarrolla las </w:t>
      </w:r>
      <w:r w:rsidRPr="0028080B">
        <w:rPr>
          <w:rFonts w:ascii="Verdana" w:eastAsia="Calibri" w:hAnsi="Verdana" w:cs="Arial"/>
          <w:bCs/>
          <w:sz w:val="20"/>
          <w:szCs w:val="20"/>
          <w:lang w:eastAsia="es-ES"/>
        </w:rPr>
        <w:t xml:space="preserve">convocatorias limitadas a </w:t>
      </w:r>
      <w:proofErr w:type="spellStart"/>
      <w:r w:rsidRPr="0028080B">
        <w:rPr>
          <w:rFonts w:ascii="Verdana" w:eastAsia="Calibri" w:hAnsi="Verdana" w:cs="Arial"/>
          <w:bCs/>
          <w:sz w:val="20"/>
          <w:szCs w:val="20"/>
          <w:lang w:eastAsia="es-ES"/>
        </w:rPr>
        <w:t>Mipyme</w:t>
      </w:r>
      <w:proofErr w:type="spellEnd"/>
      <w:r w:rsidRPr="0028080B">
        <w:rPr>
          <w:rFonts w:ascii="Verdana" w:eastAsia="Calibri" w:hAnsi="Verdana" w:cs="Arial"/>
          <w:bCs/>
          <w:sz w:val="20"/>
          <w:szCs w:val="20"/>
          <w:lang w:eastAsia="es-ES"/>
        </w:rPr>
        <w:t xml:space="preserve"> colombianas que tengan domicilio en los departamentos o municipios en donde se va a ejecutar el contrato – artículo 2.2.1.2.4.2.3.,</w:t>
      </w:r>
      <w:r w:rsidRPr="0028080B">
        <w:rPr>
          <w:rFonts w:ascii="Verdana" w:eastAsia="Calibri" w:hAnsi="Verdana" w:cs="Arial"/>
          <w:bCs/>
          <w:sz w:val="20"/>
          <w:szCs w:val="20"/>
          <w:lang w:val="es-ES_tradnl" w:eastAsia="es-ES"/>
        </w:rPr>
        <w:t xml:space="preserve"> y </w:t>
      </w:r>
      <w:proofErr w:type="spellStart"/>
      <w:r w:rsidRPr="0028080B">
        <w:rPr>
          <w:rFonts w:ascii="Verdana" w:eastAsia="Calibri" w:hAnsi="Verdana" w:cs="Arial"/>
          <w:bCs/>
          <w:sz w:val="20"/>
          <w:szCs w:val="20"/>
          <w:lang w:val="es-ES_tradnl" w:eastAsia="es-ES"/>
        </w:rPr>
        <w:t>iii</w:t>
      </w:r>
      <w:proofErr w:type="spellEnd"/>
      <w:r w:rsidRPr="0028080B">
        <w:rPr>
          <w:rFonts w:ascii="Verdana" w:eastAsia="Calibri" w:hAnsi="Verdana" w:cs="Arial"/>
          <w:bCs/>
          <w:sz w:val="20"/>
          <w:szCs w:val="20"/>
          <w:lang w:val="es-ES_tradnl" w:eastAsia="es-ES"/>
        </w:rPr>
        <w:t xml:space="preserve">) </w:t>
      </w:r>
      <w:r w:rsidRPr="0028080B">
        <w:rPr>
          <w:rFonts w:ascii="Verdana" w:eastAsia="Calibri" w:hAnsi="Verdana" w:cs="Arial"/>
          <w:bCs/>
          <w:sz w:val="20"/>
          <w:szCs w:val="20"/>
          <w:lang w:eastAsia="es-ES"/>
        </w:rPr>
        <w:t>regula la acreditación de requisitos para participar en convocatorias limitadas – artículo 2.2.1.2.4.2.4-.</w:t>
      </w:r>
    </w:p>
    <w:p w14:paraId="00275BCE" w14:textId="77777777" w:rsidR="00E214AF" w:rsidRPr="0028080B" w:rsidRDefault="00E214AF" w:rsidP="00E214AF">
      <w:pPr>
        <w:spacing w:after="0" w:line="240" w:lineRule="auto"/>
        <w:jc w:val="both"/>
        <w:rPr>
          <w:rFonts w:ascii="Verdana" w:eastAsia="Calibri" w:hAnsi="Verdana" w:cs="Arial"/>
          <w:bCs/>
          <w:sz w:val="20"/>
          <w:szCs w:val="20"/>
          <w:lang w:eastAsia="es-ES"/>
        </w:rPr>
      </w:pPr>
    </w:p>
    <w:p w14:paraId="00F99A1F" w14:textId="77777777" w:rsidR="00E214AF" w:rsidRDefault="00E214AF" w:rsidP="00E214AF">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p>
    <w:p w14:paraId="029A5828" w14:textId="77777777" w:rsidR="00E214AF" w:rsidRPr="0028080B" w:rsidRDefault="00E214AF" w:rsidP="00E214AF">
      <w:pPr>
        <w:spacing w:after="0" w:line="240" w:lineRule="auto"/>
        <w:jc w:val="both"/>
        <w:rPr>
          <w:rFonts w:ascii="Verdana" w:eastAsia="Calibri" w:hAnsi="Verdana" w:cs="Arial"/>
          <w:sz w:val="20"/>
          <w:szCs w:val="20"/>
          <w:lang w:val="es-ES" w:eastAsia="es-ES"/>
        </w:rPr>
      </w:pPr>
    </w:p>
    <w:p w14:paraId="76349D8E" w14:textId="77777777" w:rsidR="00E214AF" w:rsidRPr="00132CCC" w:rsidRDefault="00E214AF" w:rsidP="00E214AF">
      <w:pPr>
        <w:spacing w:after="0" w:line="240" w:lineRule="auto"/>
        <w:jc w:val="both"/>
        <w:rPr>
          <w:rFonts w:ascii="Verdana" w:eastAsia="Calibri" w:hAnsi="Verdana" w:cs="Arial"/>
          <w:sz w:val="20"/>
          <w:szCs w:val="20"/>
          <w:lang w:val="es-ES" w:eastAsia="es-ES"/>
        </w:rPr>
      </w:pPr>
      <w:r w:rsidRPr="00132CCC">
        <w:rPr>
          <w:rFonts w:ascii="Verdana" w:eastAsia="Calibri" w:hAnsi="Verdana" w:cs="Arial"/>
          <w:sz w:val="20"/>
          <w:szCs w:val="20"/>
          <w:lang w:eastAsia="es-ES"/>
        </w:rPr>
        <w:t xml:space="preserve">En este contexto, el artículo 2.2.1.2.4.2.2. del Decreto 1082 de 2015 –modificado por el Decreto 1860 de 2021– establece los requisitos que se deben acreditar en las “convocatorias limitadas a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xml:space="preserve"> colombianas con mínimo un (1) año de existencia, siempre que se cumplan los requisitos señalados allí.</w:t>
      </w:r>
    </w:p>
    <w:p w14:paraId="5B8D3763" w14:textId="77777777" w:rsidR="00E214AF" w:rsidRPr="00132CCC" w:rsidRDefault="00E214AF" w:rsidP="00E214AF">
      <w:pPr>
        <w:spacing w:after="0" w:line="240" w:lineRule="auto"/>
        <w:jc w:val="both"/>
        <w:rPr>
          <w:rFonts w:ascii="Verdana" w:eastAsia="Calibri" w:hAnsi="Verdana" w:cs="Arial"/>
          <w:sz w:val="20"/>
          <w:szCs w:val="20"/>
          <w:lang w:val="es-ES" w:eastAsia="es-ES"/>
        </w:rPr>
      </w:pPr>
    </w:p>
    <w:p w14:paraId="5392C9F9" w14:textId="77777777" w:rsidR="00E214AF" w:rsidRPr="00132CCC" w:rsidRDefault="00E214AF" w:rsidP="00E214AF">
      <w:pPr>
        <w:spacing w:after="0" w:line="240" w:lineRule="auto"/>
        <w:jc w:val="both"/>
        <w:rPr>
          <w:rFonts w:ascii="Verdana" w:eastAsia="Calibri" w:hAnsi="Verdana" w:cs="Arial"/>
          <w:b/>
          <w:lang w:eastAsia="es-ES"/>
        </w:rPr>
      </w:pPr>
      <w:r w:rsidRPr="00132CCC">
        <w:rPr>
          <w:rFonts w:ascii="Verdana" w:eastAsia="Calibri" w:hAnsi="Verdana" w:cs="Arial"/>
          <w:b/>
          <w:lang w:eastAsia="es-ES"/>
        </w:rPr>
        <w:t>CONVOCATORIAS LIMITADAS A MIPYMES EN EL ÁMBITO TERRITORIAL – Limitación territorial – Facultad discrecional</w:t>
      </w:r>
    </w:p>
    <w:p w14:paraId="415B3CB5" w14:textId="77777777" w:rsidR="00E214AF" w:rsidRPr="00132CCC" w:rsidRDefault="00E214AF" w:rsidP="00E214AF">
      <w:pPr>
        <w:spacing w:after="0" w:line="240" w:lineRule="auto"/>
        <w:rPr>
          <w:rFonts w:ascii="Verdana" w:eastAsia="Calibri" w:hAnsi="Verdana" w:cs="Arial"/>
          <w:sz w:val="20"/>
          <w:szCs w:val="20"/>
          <w:lang w:eastAsia="es-ES"/>
        </w:rPr>
      </w:pPr>
    </w:p>
    <w:p w14:paraId="6434D121"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no puede motu proprio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5947D5F9"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33E89C61"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Cumplidos los dos requisitos del artículo 2.2.1.2.4.2.2. </w:t>
      </w:r>
      <w:proofErr w:type="spellStart"/>
      <w:r w:rsidRPr="00132CCC">
        <w:rPr>
          <w:rFonts w:ascii="Verdana" w:eastAsia="Calibri" w:hAnsi="Verdana" w:cs="Arial"/>
          <w:sz w:val="20"/>
          <w:szCs w:val="20"/>
          <w:lang w:eastAsia="es-ES"/>
        </w:rPr>
        <w:t>ibídem</w:t>
      </w:r>
      <w:proofErr w:type="spellEnd"/>
      <w:r w:rsidRPr="00132CCC">
        <w:rPr>
          <w:rFonts w:ascii="Verdana" w:eastAsia="Calibri" w:hAnsi="Verdana" w:cs="Arial"/>
          <w:sz w:val="20"/>
          <w:szCs w:val="20"/>
          <w:lang w:eastAsia="es-ES"/>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colombianas domiciliadas en el municipio o departamento en el que se ejecutará el contrato. Esto de acuerdo con lo establecido en artículo 2.2.1.2.4.2.3. del Decreto 1082 de 2015 modificado por el Decreto 1860 de 2021, norma que se refiere a la facultad de la administración con el verbo infinitivo “poder”, no “deber”. </w:t>
      </w:r>
    </w:p>
    <w:p w14:paraId="7DC416CB"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66AB569D"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Colombia Compra Eficiente ha sostenido que la decisión de limitar territorialmente una convocatoria a MiPymes es discrecional de la entidad, sin embargo, la decisión debe estar justificada en los correspondientes “estudios del sector”. Lo anterior por cuanto el artículo 2.2.1.2.4.2.3. del Decreto 1082 de 2015, indicó que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beneficiadas deben tener su domicilio principal en el municipio o departamento donde se ejecutará el contrato para poder participar en una convocatoria limitada territorialmente.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5626C264"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27FC4BC0"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En tal sentido, se debe tener presente que lo que sucede de pleno derecho es la limitación a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colombianas a la que se refiere el artículo 2.2.1.2.4.2.2. del Decreto 1082 de 2015, pero no la “limitación territorial” referida en el artículo 2.2.1.2.4.2.3. </w:t>
      </w:r>
      <w:proofErr w:type="spellStart"/>
      <w:r w:rsidRPr="00132CCC">
        <w:rPr>
          <w:rFonts w:ascii="Verdana" w:eastAsia="Calibri" w:hAnsi="Verdana" w:cs="Arial"/>
          <w:sz w:val="20"/>
          <w:szCs w:val="20"/>
          <w:lang w:eastAsia="es-ES"/>
        </w:rPr>
        <w:t>ibídem</w:t>
      </w:r>
      <w:proofErr w:type="spellEnd"/>
      <w:r w:rsidRPr="00132CCC">
        <w:rPr>
          <w:rFonts w:ascii="Verdana" w:eastAsia="Calibri" w:hAnsi="Verdana" w:cs="Arial"/>
          <w:sz w:val="20"/>
          <w:szCs w:val="20"/>
          <w:lang w:eastAsia="es-ES"/>
        </w:rPr>
        <w:t xml:space="preserve">, pues esta, como ya se dijo, es facultativa para la entidad. Las únicas exigencias son: i) que la convocatoria esté limitada a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colombianas “domiciliadas en los departamentos o municipios en donde se va a ejecutar el contrato” y </w:t>
      </w:r>
      <w:proofErr w:type="spellStart"/>
      <w:r w:rsidRPr="00132CCC">
        <w:rPr>
          <w:rFonts w:ascii="Verdana" w:eastAsia="Calibri" w:hAnsi="Verdana" w:cs="Arial"/>
          <w:sz w:val="20"/>
          <w:szCs w:val="20"/>
          <w:lang w:eastAsia="es-ES"/>
        </w:rPr>
        <w:t>ii</w:t>
      </w:r>
      <w:proofErr w:type="spellEnd"/>
      <w:r w:rsidRPr="00132CCC">
        <w:rPr>
          <w:rFonts w:ascii="Verdana" w:eastAsia="Calibri" w:hAnsi="Verdana" w:cs="Arial"/>
          <w:sz w:val="20"/>
          <w:szCs w:val="20"/>
          <w:lang w:eastAsia="es-ES"/>
        </w:rPr>
        <w:t xml:space="preserve">) que la entidad justifique su decisión en los “estudios del sector”. No es procedente, entonces, que sean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las que soliciten la “limitación territorial” a la que se refiere el artículo 2.2.1.2.4.2.3. del Decreto 1082 de 2015.</w:t>
      </w:r>
    </w:p>
    <w:p w14:paraId="14F2BAED" w14:textId="77777777" w:rsidR="00E214AF" w:rsidRPr="00132CCC" w:rsidRDefault="00E214AF" w:rsidP="00E214AF">
      <w:pPr>
        <w:spacing w:after="0" w:line="240" w:lineRule="auto"/>
        <w:rPr>
          <w:rFonts w:ascii="Verdana" w:eastAsia="Calibri" w:hAnsi="Verdana" w:cs="Arial"/>
          <w:sz w:val="20"/>
          <w:szCs w:val="20"/>
          <w:lang w:eastAsia="es-ES"/>
        </w:rPr>
      </w:pPr>
    </w:p>
    <w:p w14:paraId="3EF9D616" w14:textId="77777777" w:rsidR="00E214AF" w:rsidRPr="00132CCC" w:rsidRDefault="00E214AF" w:rsidP="00E214AF">
      <w:pPr>
        <w:spacing w:after="0" w:line="240" w:lineRule="auto"/>
        <w:jc w:val="both"/>
        <w:rPr>
          <w:rFonts w:ascii="Verdana" w:eastAsia="Calibri" w:hAnsi="Verdana" w:cs="Arial"/>
          <w:b/>
          <w:lang w:eastAsia="es-ES"/>
        </w:rPr>
      </w:pPr>
      <w:r w:rsidRPr="00132CCC">
        <w:rPr>
          <w:rFonts w:ascii="Verdana" w:eastAsia="Calibri" w:hAnsi="Verdana" w:cs="Arial"/>
          <w:b/>
          <w:lang w:eastAsia="es-ES"/>
        </w:rPr>
        <w:t>CONVOCATORIAS LIMITADAS A MIPYMES EN EL ÁMBITO TERRITORIAL – Domicilio en lugar de ejecución – Estudios del sector</w:t>
      </w:r>
    </w:p>
    <w:p w14:paraId="1196E87B" w14:textId="77777777" w:rsidR="00E214AF" w:rsidRPr="00132CCC" w:rsidRDefault="00E214AF" w:rsidP="00E214AF">
      <w:pPr>
        <w:spacing w:after="0" w:line="240" w:lineRule="auto"/>
        <w:rPr>
          <w:rFonts w:ascii="Verdana" w:eastAsia="Calibri" w:hAnsi="Verdana" w:cs="Arial"/>
          <w:sz w:val="20"/>
          <w:szCs w:val="20"/>
          <w:lang w:eastAsia="es-ES"/>
        </w:rPr>
      </w:pPr>
    </w:p>
    <w:p w14:paraId="65616C08"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092C3E">
        <w:rPr>
          <w:rFonts w:ascii="Verdana" w:eastAsia="Calibri" w:hAnsi="Verdana" w:cs="Arial"/>
          <w:sz w:val="20"/>
          <w:szCs w:val="20"/>
          <w:lang w:eastAsia="es-ES"/>
        </w:rPr>
        <w:t xml:space="preserve">Con todo, respecto del objeto de la consulta es preciso advertir que, el ejercicio de la facultad discrecional en orden de aplicar la limitación territorial en favor de las </w:t>
      </w:r>
      <w:proofErr w:type="spellStart"/>
      <w:r w:rsidRPr="00092C3E">
        <w:rPr>
          <w:rFonts w:ascii="Verdana" w:eastAsia="Calibri" w:hAnsi="Verdana" w:cs="Arial"/>
          <w:sz w:val="20"/>
          <w:szCs w:val="20"/>
          <w:lang w:eastAsia="es-ES"/>
        </w:rPr>
        <w:t>Mipymes</w:t>
      </w:r>
      <w:proofErr w:type="spellEnd"/>
      <w:r w:rsidRPr="00092C3E">
        <w:rPr>
          <w:rFonts w:ascii="Verdana" w:eastAsia="Calibri" w:hAnsi="Verdana" w:cs="Arial"/>
          <w:sz w:val="20"/>
          <w:szCs w:val="20"/>
          <w:lang w:eastAsia="es-ES"/>
        </w:rPr>
        <w:t xml:space="preserve"> con domicilio en un municipio o en un departamento específico debe hacerse dentro del marco de lo regulado por el artículo 2.2.1.2.4.2.3 </w:t>
      </w:r>
      <w:proofErr w:type="spellStart"/>
      <w:r w:rsidRPr="00092C3E">
        <w:rPr>
          <w:rFonts w:ascii="Verdana" w:eastAsia="Calibri" w:hAnsi="Verdana" w:cs="Arial"/>
          <w:sz w:val="20"/>
          <w:szCs w:val="20"/>
          <w:lang w:eastAsia="es-ES"/>
        </w:rPr>
        <w:t>ejusdem</w:t>
      </w:r>
      <w:proofErr w:type="spellEnd"/>
      <w:r w:rsidRPr="00092C3E">
        <w:rPr>
          <w:rFonts w:ascii="Verdana" w:eastAsia="Calibri" w:hAnsi="Verdana" w:cs="Arial"/>
          <w:sz w:val="20"/>
          <w:szCs w:val="20"/>
          <w:lang w:eastAsia="es-ES"/>
        </w:rPr>
        <w:t xml:space="preserve">, el cual establece como presupuesto que las </w:t>
      </w:r>
      <w:proofErr w:type="spellStart"/>
      <w:r w:rsidRPr="00092C3E">
        <w:rPr>
          <w:rFonts w:ascii="Verdana" w:eastAsia="Calibri" w:hAnsi="Verdana" w:cs="Arial"/>
          <w:sz w:val="20"/>
          <w:szCs w:val="20"/>
          <w:lang w:eastAsia="es-ES"/>
        </w:rPr>
        <w:t>Mipymes</w:t>
      </w:r>
      <w:proofErr w:type="spellEnd"/>
      <w:r w:rsidRPr="00092C3E">
        <w:rPr>
          <w:rFonts w:ascii="Verdana" w:eastAsia="Calibri" w:hAnsi="Verdana" w:cs="Arial"/>
          <w:sz w:val="20"/>
          <w:szCs w:val="20"/>
          <w:lang w:eastAsia="es-ES"/>
        </w:rPr>
        <w:t xml:space="preserve"> tengan su domicilio en el lugar en donde se va a ejecutar el contrato. Esto significa que, en el marco de estas convocatorias, la exigibilidad de que el domicilio de las </w:t>
      </w:r>
      <w:proofErr w:type="spellStart"/>
      <w:r w:rsidRPr="00092C3E">
        <w:rPr>
          <w:rFonts w:ascii="Verdana" w:eastAsia="Calibri" w:hAnsi="Verdana" w:cs="Arial"/>
          <w:sz w:val="20"/>
          <w:szCs w:val="20"/>
          <w:lang w:eastAsia="es-ES"/>
        </w:rPr>
        <w:t>Mipymes</w:t>
      </w:r>
      <w:proofErr w:type="spellEnd"/>
      <w:r w:rsidRPr="00092C3E">
        <w:rPr>
          <w:rFonts w:ascii="Verdana" w:eastAsia="Calibri" w:hAnsi="Verdana" w:cs="Arial"/>
          <w:sz w:val="20"/>
          <w:szCs w:val="20"/>
          <w:lang w:eastAsia="es-ES"/>
        </w:rPr>
        <w:t xml:space="preserve"> se ubique en un único municipio en particular o en alguno de los municipios que conforman un departamento en concreto, está ligada al ámbito territorial en el que se va a desarrollar el objeto contractual. </w:t>
      </w:r>
    </w:p>
    <w:p w14:paraId="657A5555" w14:textId="77777777" w:rsidR="00E214AF" w:rsidRPr="00092C3E" w:rsidRDefault="00E214AF" w:rsidP="00E214AF">
      <w:pPr>
        <w:spacing w:after="0" w:line="240" w:lineRule="auto"/>
        <w:jc w:val="both"/>
        <w:rPr>
          <w:rFonts w:ascii="Verdana" w:eastAsia="Calibri" w:hAnsi="Verdana" w:cs="Arial"/>
          <w:sz w:val="20"/>
          <w:szCs w:val="20"/>
          <w:lang w:eastAsia="es-ES"/>
        </w:rPr>
      </w:pPr>
    </w:p>
    <w:p w14:paraId="21288356"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092C3E">
        <w:rPr>
          <w:rFonts w:ascii="Verdana" w:eastAsia="Calibri" w:hAnsi="Verdana" w:cs="Arial"/>
          <w:sz w:val="20"/>
          <w:szCs w:val="20"/>
          <w:lang w:eastAsia="es-ES"/>
        </w:rPr>
        <w:t xml:space="preserve">De este modo, en el caso de un contrato que se va a ejecutar en su totalidad dentro del territorio de un municipio, la limitación territorial debe aplicarse en favor de las </w:t>
      </w:r>
      <w:proofErr w:type="spellStart"/>
      <w:r w:rsidRPr="00092C3E">
        <w:rPr>
          <w:rFonts w:ascii="Verdana" w:eastAsia="Calibri" w:hAnsi="Verdana" w:cs="Arial"/>
          <w:sz w:val="20"/>
          <w:szCs w:val="20"/>
          <w:lang w:eastAsia="es-ES"/>
        </w:rPr>
        <w:t>Mipyme</w:t>
      </w:r>
      <w:proofErr w:type="spellEnd"/>
      <w:r w:rsidRPr="00092C3E">
        <w:rPr>
          <w:rFonts w:ascii="Verdana" w:eastAsia="Calibri" w:hAnsi="Verdana" w:cs="Arial"/>
          <w:sz w:val="20"/>
          <w:szCs w:val="20"/>
          <w:lang w:eastAsia="es-ES"/>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2A432B79" w14:textId="77777777" w:rsidR="00E214AF" w:rsidRPr="00092C3E" w:rsidRDefault="00E214AF" w:rsidP="00E214AF">
      <w:pPr>
        <w:spacing w:after="0" w:line="240" w:lineRule="auto"/>
        <w:jc w:val="both"/>
        <w:rPr>
          <w:rFonts w:ascii="Verdana" w:eastAsia="Calibri" w:hAnsi="Verdana" w:cs="Arial"/>
          <w:sz w:val="20"/>
          <w:szCs w:val="20"/>
          <w:lang w:eastAsia="es-ES"/>
        </w:rPr>
      </w:pPr>
      <w:r w:rsidRPr="00092C3E">
        <w:rPr>
          <w:rFonts w:ascii="Verdana" w:eastAsia="Calibri" w:hAnsi="Verdana" w:cs="Arial"/>
          <w:sz w:val="20"/>
          <w:szCs w:val="20"/>
          <w:lang w:eastAsia="es-ES"/>
        </w:rPr>
        <w:t xml:space="preserve">  </w:t>
      </w:r>
    </w:p>
    <w:p w14:paraId="6DE78165" w14:textId="77777777" w:rsidR="00E214AF" w:rsidRPr="00092C3E" w:rsidRDefault="00E214AF" w:rsidP="00E214AF">
      <w:pPr>
        <w:spacing w:after="0" w:line="240" w:lineRule="auto"/>
        <w:jc w:val="both"/>
        <w:rPr>
          <w:rFonts w:ascii="Verdana" w:eastAsia="Calibri" w:hAnsi="Verdana" w:cs="Arial"/>
          <w:sz w:val="20"/>
          <w:szCs w:val="20"/>
          <w:lang w:eastAsia="es-ES"/>
        </w:rPr>
      </w:pPr>
      <w:r w:rsidRPr="00092C3E">
        <w:rPr>
          <w:rFonts w:ascii="Verdana" w:eastAsia="Calibri" w:hAnsi="Verdana" w:cs="Arial"/>
          <w:sz w:val="20"/>
          <w:szCs w:val="20"/>
          <w:lang w:eastAsia="es-ES"/>
        </w:rPr>
        <w:t xml:space="preserve">Así las cosas, esta Agencia considera que lo recomendable es que las entidades establezcan ex ante las condiciones en las que, eventualmente, harían la “limitación territorial”. Para tales fines, en los documentos del proceso podrían establecer </w:t>
      </w:r>
      <w:r w:rsidRPr="00092C3E">
        <w:rPr>
          <w:rFonts w:ascii="Verdana" w:eastAsia="Calibri" w:hAnsi="Verdana" w:cs="Arial"/>
          <w:sz w:val="20"/>
          <w:szCs w:val="20"/>
          <w:lang w:eastAsia="es-ES"/>
        </w:rPr>
        <w:lastRenderedPageBreak/>
        <w:t xml:space="preserve">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092C3E">
        <w:rPr>
          <w:rFonts w:ascii="Verdana" w:eastAsia="Calibri" w:hAnsi="Verdana" w:cs="Arial"/>
          <w:sz w:val="20"/>
          <w:szCs w:val="20"/>
          <w:lang w:eastAsia="es-ES"/>
        </w:rPr>
        <w:t>Mipymes</w:t>
      </w:r>
      <w:proofErr w:type="spellEnd"/>
      <w:r w:rsidRPr="00092C3E">
        <w:rPr>
          <w:rFonts w:ascii="Verdana" w:eastAsia="Calibri" w:hAnsi="Verdana" w:cs="Arial"/>
          <w:sz w:val="20"/>
          <w:szCs w:val="20"/>
          <w:lang w:eastAsia="es-ES"/>
        </w:rPr>
        <w:t>, por ejemplo, en relación con cuál o cuáles municipios o departamentos harían la limitación territorial de que trata el artículo 2.2.1.2.4.2.3. del Decreto 1082 de 2015.</w:t>
      </w:r>
    </w:p>
    <w:p w14:paraId="655BE19F"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10EB7A30" w14:textId="77777777" w:rsidR="00E214AF" w:rsidRPr="00132CCC" w:rsidRDefault="00E214AF" w:rsidP="00E214AF">
      <w:pPr>
        <w:spacing w:after="0" w:line="240" w:lineRule="auto"/>
        <w:jc w:val="both"/>
        <w:rPr>
          <w:rFonts w:ascii="Verdana" w:eastAsia="Calibri" w:hAnsi="Verdana" w:cs="Arial"/>
          <w:b/>
          <w:lang w:eastAsia="es-ES"/>
        </w:rPr>
      </w:pPr>
      <w:r w:rsidRPr="00132CCC">
        <w:rPr>
          <w:rFonts w:ascii="Verdana" w:eastAsia="Calibri" w:hAnsi="Verdana" w:cs="Arial"/>
          <w:b/>
          <w:lang w:eastAsia="es-ES"/>
        </w:rPr>
        <w:t xml:space="preserve">CONVOCATORIAS LIMITADAS A MIPYMES EN EL ÁMBITO TERRITORIAL – </w:t>
      </w:r>
      <w:r w:rsidRPr="006F2486">
        <w:rPr>
          <w:rFonts w:ascii="Verdana" w:eastAsia="Calibri" w:hAnsi="Verdana" w:cs="Arial"/>
          <w:b/>
          <w:lang w:eastAsia="es-ES"/>
        </w:rPr>
        <w:t>Desarrollo regional y fortalecimiento del tejido productivo</w:t>
      </w:r>
      <w:r>
        <w:rPr>
          <w:rFonts w:ascii="Verdana" w:eastAsia="Calibri" w:hAnsi="Verdana" w:cs="Arial"/>
          <w:b/>
          <w:lang w:eastAsia="es-ES"/>
        </w:rPr>
        <w:t xml:space="preserve"> </w:t>
      </w:r>
      <w:r w:rsidRPr="00132CCC">
        <w:rPr>
          <w:rFonts w:ascii="Verdana" w:eastAsia="Calibri" w:hAnsi="Verdana" w:cs="Arial"/>
          <w:b/>
          <w:lang w:eastAsia="es-ES"/>
        </w:rPr>
        <w:t>– Procede en circunscripciones municipal y departamental</w:t>
      </w:r>
    </w:p>
    <w:p w14:paraId="34BB4CB8" w14:textId="77777777" w:rsidR="00E214AF" w:rsidRPr="00132CCC" w:rsidRDefault="00E214AF" w:rsidP="00E214AF">
      <w:pPr>
        <w:spacing w:after="0" w:line="240" w:lineRule="auto"/>
        <w:rPr>
          <w:rFonts w:ascii="Verdana" w:eastAsia="Calibri" w:hAnsi="Verdana" w:cs="Arial"/>
          <w:sz w:val="20"/>
          <w:szCs w:val="20"/>
          <w:lang w:eastAsia="es-ES"/>
        </w:rPr>
      </w:pPr>
    </w:p>
    <w:p w14:paraId="107AFB0D"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0D7AB3">
        <w:rPr>
          <w:rFonts w:ascii="Verdana" w:eastAsia="Calibri" w:hAnsi="Verdana" w:cs="Arial"/>
          <w:sz w:val="20"/>
          <w:szCs w:val="20"/>
          <w:lang w:eastAsia="es-ES"/>
        </w:rPr>
        <w:t xml:space="preserve">Así, la limitación territorial se erige como una herramienta complementaria dentro de este ecosistema normativo, destinada a fomentar la vinculación de </w:t>
      </w:r>
      <w:proofErr w:type="spellStart"/>
      <w:r w:rsidRPr="000D7AB3">
        <w:rPr>
          <w:rFonts w:ascii="Verdana" w:eastAsia="Calibri" w:hAnsi="Verdana" w:cs="Arial"/>
          <w:sz w:val="20"/>
          <w:szCs w:val="20"/>
          <w:lang w:eastAsia="es-ES"/>
        </w:rPr>
        <w:t>Mipymes</w:t>
      </w:r>
      <w:proofErr w:type="spellEnd"/>
      <w:r w:rsidRPr="000D7AB3">
        <w:rPr>
          <w:rFonts w:ascii="Verdana" w:eastAsia="Calibri" w:hAnsi="Verdana" w:cs="Arial"/>
          <w:sz w:val="20"/>
          <w:szCs w:val="20"/>
          <w:lang w:eastAsia="es-ES"/>
        </w:rPr>
        <w:t xml:space="preserve"> domiciliadas en los territorios donde se ejecutan los contratos, generando encadenamientos productivos y fortalecimiento regional.</w:t>
      </w:r>
      <w:r w:rsidRPr="00132CCC">
        <w:rPr>
          <w:rFonts w:ascii="Verdana" w:eastAsia="Calibri" w:hAnsi="Verdana" w:cs="Arial"/>
          <w:sz w:val="20"/>
          <w:szCs w:val="20"/>
          <w:lang w:eastAsia="es-ES"/>
        </w:rPr>
        <w:t xml:space="preserve"> </w:t>
      </w:r>
      <w:r w:rsidRPr="000D7AB3">
        <w:rPr>
          <w:rFonts w:ascii="Verdana" w:eastAsia="Calibri" w:hAnsi="Verdana" w:cs="Arial"/>
          <w:sz w:val="20"/>
          <w:szCs w:val="20"/>
          <w:lang w:eastAsia="es-ES"/>
        </w:rPr>
        <w:t>En este contexto, la decisión de aplicar una limitación territorial debe basarse en criterios técnicos que demuestren que tal medida contribuye efectivamente a los fines de promoción empresarial y desarrollo regional previstos en las normas citadas.</w:t>
      </w:r>
    </w:p>
    <w:p w14:paraId="58FDCAC8"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1B59492E"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En síntesis, la limitación territorial prevista en el artículo 2.2.1.2.4.2.3 del Decreto 1082 de 2015, modificado por el Decreto 1860 de 2021, constituye una facultad discrecional de la Entidad Estatal, cuyo ejercicio debe estar precedido por la verificación de los requisitos que habilitan la limitación general a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y sustentarse en una justificación técnica contenida en los estudios del sector. Esta medida no opera de pleno derecho, ni depende del número de solicitudes presentadas por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de distintos ámbitos, sino de la conveniencia y coherencia que guarde con el lugar o lugares de ejecución del contrato. En ese sentido, cuando la ejecución contractual se circunscribe a un único municipio, la limitación podrá aplicarse respecto de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con domicilio principal en esa entidad territorial, mientras que, si la ejecución abarca varios municipios pertenecientes a un mismo departamento, la entidad podrá extender la limitación a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con domicilio en cualquiera de ellos, dentro del ámbito departamental correspondiente. </w:t>
      </w:r>
    </w:p>
    <w:p w14:paraId="4B591A1D"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344BB16A"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No es jurídicamente procedente configurar circunscripciones diferentes a las expresamente contempladas por la norma —esto es, municipal o departamental—, pues el reglamento delimita con precisión el alcance territorial de la medida. En todo caso, la decisión debe obedecer a criterios de razonabilidad y proporcionalidad, orientados a garantizar que la medida contribuya efectivamente al propósito de la Ley 2069 de 2020 y del conjunto normativo de fomento empresarial y desarrollo regional (Ley 590 de 2000, Decreto 142 de 2023, Ley 2294 de 2023 y Decreto 874 de 2024), que buscan promover la participación de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y unidades económicas de menor escala en el mercado de compras públicas, fortaleciendo el tejido productivo y el desarrollo económico local.</w:t>
      </w:r>
    </w:p>
    <w:p w14:paraId="56E1F20B" w14:textId="77777777" w:rsidR="00E214AF" w:rsidRPr="00132CCC" w:rsidRDefault="00E214AF" w:rsidP="00E214AF">
      <w:pPr>
        <w:spacing w:after="0" w:line="240" w:lineRule="auto"/>
        <w:rPr>
          <w:rFonts w:ascii="Verdana" w:eastAsia="Calibri" w:hAnsi="Verdana" w:cs="Arial"/>
          <w:sz w:val="20"/>
          <w:szCs w:val="20"/>
          <w:lang w:eastAsia="es-ES"/>
        </w:rPr>
      </w:pPr>
    </w:p>
    <w:p w14:paraId="350F753A" w14:textId="77777777" w:rsidR="00E214AF" w:rsidRPr="00132CCC" w:rsidRDefault="00E214AF" w:rsidP="00E214AF">
      <w:pPr>
        <w:spacing w:after="0" w:line="240" w:lineRule="auto"/>
        <w:jc w:val="both"/>
        <w:rPr>
          <w:rFonts w:ascii="Verdana" w:eastAsia="Calibri" w:hAnsi="Verdana" w:cs="Arial"/>
          <w:b/>
          <w:lang w:eastAsia="es-ES"/>
        </w:rPr>
      </w:pPr>
      <w:r w:rsidRPr="00132CCC">
        <w:rPr>
          <w:rFonts w:ascii="Verdana" w:eastAsia="Calibri" w:hAnsi="Verdana" w:cs="Arial"/>
          <w:b/>
          <w:lang w:eastAsia="es-ES"/>
        </w:rPr>
        <w:t xml:space="preserve">CONVOCATORIAS LIMITADAS A MIPYMES – Consorcio o unión temporal – </w:t>
      </w:r>
      <w:r w:rsidRPr="00B34B72">
        <w:rPr>
          <w:rFonts w:ascii="Verdana" w:eastAsia="Calibri" w:hAnsi="Verdana" w:cs="Arial"/>
          <w:b/>
          <w:lang w:eastAsia="es-ES"/>
        </w:rPr>
        <w:t>No procede agrupar municipios</w:t>
      </w:r>
    </w:p>
    <w:p w14:paraId="2D10F4C2"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7E8A8346"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 la restricción de participación no se extiende a cualquier proponente plural, sino exclusivamente a aquellos integrados en su totalidad por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xml:space="preserve"> que cumplan individualmente con las condiciones exigidas por la norma, incluida la existencia mínima </w:t>
      </w:r>
      <w:r w:rsidRPr="00132CCC">
        <w:rPr>
          <w:rFonts w:ascii="Verdana" w:eastAsia="Calibri" w:hAnsi="Verdana" w:cs="Arial"/>
          <w:sz w:val="20"/>
          <w:szCs w:val="20"/>
          <w:lang w:eastAsia="es-ES"/>
        </w:rPr>
        <w:lastRenderedPageBreak/>
        <w:t xml:space="preserve">de un año y la correspondencia del objeto social con el del proceso de contratación. En ese sentido, la solicitud de limitación presentada por un proponente plural solo será procedente si todos sus miembros acreditan la condición de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pues la calidad empresarial no se predica del consorcio o de la unión temporal como ente colectivo —ya que carecen de personería jurídica propia—, sino de cada uno de los integrantes que lo conforman.</w:t>
      </w:r>
    </w:p>
    <w:p w14:paraId="22DB1B9A"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4ABEB07F"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Así, la verificación de la condición de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xml:space="preserve"> debe realizarse respecto de cada miembro del proponente plural, conforme a la definición contenida en la Ley 590 de 2000 y sus normas reglamentarias, teniendo en cuenta los parámetros de número de empleados y activos totales definidos por el Ministerio de Comercio, Industria y Turismo. En consecuencia, si alguno de los integrantes no acredita la calidad de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el proponente plural en su conjunto no podrá solicitar ni participar en la convocatoria limitada, por cuanto dejaría de cumplir la exigencia del parágrafo 3 del artículo 2.2.1.2.4.2.4 del Decreto 1082 de 2015.</w:t>
      </w:r>
    </w:p>
    <w:p w14:paraId="1085D1E7"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78D2559E"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En ese contexto, cuando un consorcio o unión temporal integrado exclusivamente por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xml:space="preserve"> presenta la solicitud de limitación, esta puede considerarse válida en los términos del artículo 2.2.1.2.4.2.2, siempre que la solicitud sea presentada por su representante común, con fundamento en el acuerdo de constitución que le otorga facultades expresas para actuar en nombre del grupo plural. La entidad estatal, al evaluar la procedencia de la limitación y la posterior admisión de la oferta, deberá verificar que todos los integrantes cumplan con las condiciones de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xml:space="preserve"> y que la sumatoria de su experiencia y capacidad contractual se ajuste a las reglas generales de </w:t>
      </w:r>
      <w:proofErr w:type="gramStart"/>
      <w:r w:rsidRPr="00132CCC">
        <w:rPr>
          <w:rFonts w:ascii="Verdana" w:eastAsia="Calibri" w:hAnsi="Verdana" w:cs="Arial"/>
          <w:sz w:val="20"/>
          <w:szCs w:val="20"/>
          <w:lang w:eastAsia="es-ES"/>
        </w:rPr>
        <w:t>los proponentes plurales establecidas</w:t>
      </w:r>
      <w:proofErr w:type="gramEnd"/>
      <w:r w:rsidRPr="00132CCC">
        <w:rPr>
          <w:rFonts w:ascii="Verdana" w:eastAsia="Calibri" w:hAnsi="Verdana" w:cs="Arial"/>
          <w:sz w:val="20"/>
          <w:szCs w:val="20"/>
          <w:lang w:eastAsia="es-ES"/>
        </w:rPr>
        <w:t xml:space="preserve"> en la Ley 80 de 1993.</w:t>
      </w:r>
    </w:p>
    <w:p w14:paraId="382B9246" w14:textId="77777777" w:rsidR="00E214AF" w:rsidRPr="00132CCC" w:rsidRDefault="00E214AF" w:rsidP="00E214AF">
      <w:pPr>
        <w:spacing w:after="0" w:line="240" w:lineRule="auto"/>
        <w:jc w:val="both"/>
        <w:rPr>
          <w:rFonts w:ascii="Verdana" w:eastAsia="Calibri" w:hAnsi="Verdana" w:cs="Arial"/>
          <w:sz w:val="20"/>
          <w:szCs w:val="20"/>
          <w:lang w:eastAsia="es-ES"/>
        </w:rPr>
      </w:pPr>
    </w:p>
    <w:p w14:paraId="7A975547" w14:textId="77777777" w:rsidR="00E214AF" w:rsidRPr="00132CCC" w:rsidRDefault="00E214AF" w:rsidP="00E214AF">
      <w:pPr>
        <w:spacing w:after="0" w:line="240" w:lineRule="auto"/>
        <w:jc w:val="both"/>
        <w:rPr>
          <w:rFonts w:ascii="Verdana" w:eastAsia="Calibri" w:hAnsi="Verdana" w:cs="Arial"/>
          <w:sz w:val="20"/>
          <w:szCs w:val="20"/>
          <w:lang w:eastAsia="es-ES"/>
        </w:rPr>
      </w:pPr>
      <w:r w:rsidRPr="003E30DA">
        <w:rPr>
          <w:rFonts w:ascii="Verdana" w:eastAsia="Calibri" w:hAnsi="Verdana" w:cs="Arial"/>
          <w:sz w:val="20"/>
          <w:szCs w:val="20"/>
          <w:lang w:eastAsia="es-ES"/>
        </w:rPr>
        <w:t xml:space="preserve">En conclusión, los consorcios y uniones temporales pueden solicitar la limitación de una convocatoria a </w:t>
      </w:r>
      <w:proofErr w:type="spellStart"/>
      <w:r w:rsidRPr="003E30DA">
        <w:rPr>
          <w:rFonts w:ascii="Verdana" w:eastAsia="Calibri" w:hAnsi="Verdana" w:cs="Arial"/>
          <w:sz w:val="20"/>
          <w:szCs w:val="20"/>
          <w:lang w:eastAsia="es-ES"/>
        </w:rPr>
        <w:t>Mipyme</w:t>
      </w:r>
      <w:proofErr w:type="spellEnd"/>
      <w:r w:rsidRPr="003E30DA">
        <w:rPr>
          <w:rFonts w:ascii="Verdana" w:eastAsia="Calibri" w:hAnsi="Verdana" w:cs="Arial"/>
          <w:sz w:val="20"/>
          <w:szCs w:val="20"/>
          <w:lang w:eastAsia="es-ES"/>
        </w:rPr>
        <w:t xml:space="preserve"> y participar en ella, siempre que todos sus integrantes sean </w:t>
      </w:r>
      <w:proofErr w:type="spellStart"/>
      <w:r w:rsidRPr="003E30DA">
        <w:rPr>
          <w:rFonts w:ascii="Verdana" w:eastAsia="Calibri" w:hAnsi="Verdana" w:cs="Arial"/>
          <w:sz w:val="20"/>
          <w:szCs w:val="20"/>
          <w:lang w:eastAsia="es-ES"/>
        </w:rPr>
        <w:t>Mipyme</w:t>
      </w:r>
      <w:proofErr w:type="spellEnd"/>
      <w:r w:rsidRPr="003E30DA">
        <w:rPr>
          <w:rFonts w:ascii="Verdana" w:eastAsia="Calibri" w:hAnsi="Verdana" w:cs="Arial"/>
          <w:sz w:val="20"/>
          <w:szCs w:val="20"/>
          <w:lang w:eastAsia="es-ES"/>
        </w:rPr>
        <w:t xml:space="preserve"> colombianas con al menos un (1) año de existencia y que la solicitud sea presentada por su representante común debidamente facultado. La calidad de </w:t>
      </w:r>
      <w:proofErr w:type="spellStart"/>
      <w:r w:rsidRPr="003E30DA">
        <w:rPr>
          <w:rFonts w:ascii="Verdana" w:eastAsia="Calibri" w:hAnsi="Verdana" w:cs="Arial"/>
          <w:sz w:val="20"/>
          <w:szCs w:val="20"/>
          <w:lang w:eastAsia="es-ES"/>
        </w:rPr>
        <w:t>Mipyme</w:t>
      </w:r>
      <w:proofErr w:type="spellEnd"/>
      <w:r w:rsidRPr="003E30DA">
        <w:rPr>
          <w:rFonts w:ascii="Verdana" w:eastAsia="Calibri" w:hAnsi="Verdana" w:cs="Arial"/>
          <w:sz w:val="20"/>
          <w:szCs w:val="20"/>
          <w:lang w:eastAsia="es-ES"/>
        </w:rPr>
        <w:t xml:space="preserve"> no se predica del grupo plural como tal, sino de cada uno de sus miembros; por tanto, la participación de un integrante que no ostente dicha condición impide que el proponente plural sea admitido en procesos limitados. Esta interpretación armoniza con el objetivo de la medida afirmativa, orientada a favorecer la participación efectiva de las </w:t>
      </w:r>
      <w:proofErr w:type="spellStart"/>
      <w:r w:rsidRPr="003E30DA">
        <w:rPr>
          <w:rFonts w:ascii="Verdana" w:eastAsia="Calibri" w:hAnsi="Verdana" w:cs="Arial"/>
          <w:sz w:val="20"/>
          <w:szCs w:val="20"/>
          <w:lang w:eastAsia="es-ES"/>
        </w:rPr>
        <w:t>Mipyme</w:t>
      </w:r>
      <w:proofErr w:type="spellEnd"/>
      <w:r w:rsidRPr="003E30DA">
        <w:rPr>
          <w:rFonts w:ascii="Verdana" w:eastAsia="Calibri" w:hAnsi="Verdana" w:cs="Arial"/>
          <w:sz w:val="20"/>
          <w:szCs w:val="20"/>
          <w:lang w:eastAsia="es-ES"/>
        </w:rPr>
        <w:t xml:space="preserve"> en el mercado de compras públicas, bajo criterios de transparencia, igualdad de oportunidades y fortalecimiento empresarial.</w:t>
      </w:r>
    </w:p>
    <w:p w14:paraId="1AAF7A6F" w14:textId="77777777" w:rsidR="00E214AF" w:rsidRDefault="00E214AF" w:rsidP="00E214AF">
      <w:pPr>
        <w:spacing w:after="0" w:line="240" w:lineRule="auto"/>
        <w:rPr>
          <w:rFonts w:ascii="Verdana" w:eastAsia="Calibri" w:hAnsi="Verdana" w:cs="Arial"/>
          <w:lang w:eastAsia="es-ES"/>
        </w:rPr>
      </w:pPr>
    </w:p>
    <w:p w14:paraId="58F8AEB1" w14:textId="77777777" w:rsidR="00E214AF" w:rsidRDefault="00E214AF" w:rsidP="00E214AF">
      <w:pPr>
        <w:spacing w:after="0" w:line="240" w:lineRule="auto"/>
        <w:rPr>
          <w:rFonts w:ascii="Verdana" w:eastAsia="Calibri" w:hAnsi="Verdana" w:cs="Arial"/>
          <w:lang w:eastAsia="es-ES"/>
        </w:rPr>
      </w:pPr>
    </w:p>
    <w:p w14:paraId="5752A93F" w14:textId="77777777" w:rsidR="00E214AF" w:rsidRDefault="00E214AF" w:rsidP="00E214AF">
      <w:pPr>
        <w:spacing w:after="0" w:line="240" w:lineRule="auto"/>
        <w:rPr>
          <w:rFonts w:ascii="Verdana" w:eastAsia="Calibri" w:hAnsi="Verdana" w:cs="Arial"/>
          <w:lang w:eastAsia="es-ES"/>
        </w:rPr>
      </w:pPr>
    </w:p>
    <w:p w14:paraId="1933B3C6" w14:textId="77777777" w:rsidR="00E214AF" w:rsidRDefault="00E214AF" w:rsidP="00E214AF">
      <w:pPr>
        <w:spacing w:after="0" w:line="240" w:lineRule="auto"/>
        <w:rPr>
          <w:rFonts w:ascii="Verdana" w:eastAsia="Calibri" w:hAnsi="Verdana" w:cs="Arial"/>
          <w:lang w:eastAsia="es-ES"/>
        </w:rPr>
      </w:pPr>
    </w:p>
    <w:p w14:paraId="6F847D42" w14:textId="77777777" w:rsidR="00E214AF" w:rsidRDefault="00E214AF" w:rsidP="00E214AF">
      <w:pPr>
        <w:spacing w:after="0" w:line="240" w:lineRule="auto"/>
        <w:rPr>
          <w:rFonts w:ascii="Verdana" w:eastAsia="Calibri" w:hAnsi="Verdana" w:cs="Arial"/>
          <w:lang w:eastAsia="es-ES"/>
        </w:rPr>
      </w:pPr>
    </w:p>
    <w:p w14:paraId="48C62E02" w14:textId="77777777" w:rsidR="00E214AF" w:rsidRDefault="00E214AF" w:rsidP="00E214AF">
      <w:pPr>
        <w:spacing w:after="0" w:line="240" w:lineRule="auto"/>
        <w:contextualSpacing/>
        <w:rPr>
          <w:rFonts w:ascii="Verdana" w:eastAsia="Times New Roman" w:hAnsi="Verdana" w:cs="Arial"/>
          <w:lang w:eastAsia="es-ES_tradnl"/>
        </w:rPr>
      </w:pPr>
    </w:p>
    <w:p w14:paraId="75DFE541" w14:textId="77777777" w:rsidR="00E214AF" w:rsidRDefault="00E214AF" w:rsidP="00E214AF">
      <w:pPr>
        <w:spacing w:after="0" w:line="240" w:lineRule="auto"/>
        <w:contextualSpacing/>
        <w:rPr>
          <w:rFonts w:ascii="Verdana" w:eastAsia="Times New Roman" w:hAnsi="Verdana" w:cs="Arial"/>
          <w:lang w:eastAsia="es-ES_tradnl"/>
        </w:rPr>
      </w:pPr>
    </w:p>
    <w:p w14:paraId="296AE959" w14:textId="77777777" w:rsidR="00E214AF" w:rsidRDefault="00E214AF" w:rsidP="00E214AF">
      <w:pPr>
        <w:spacing w:after="0" w:line="240" w:lineRule="auto"/>
        <w:contextualSpacing/>
        <w:rPr>
          <w:rFonts w:ascii="Verdana" w:eastAsia="Times New Roman" w:hAnsi="Verdana" w:cs="Arial"/>
          <w:lang w:eastAsia="es-ES_tradnl"/>
        </w:rPr>
      </w:pPr>
    </w:p>
    <w:p w14:paraId="0586C331" w14:textId="77777777" w:rsidR="00E214AF" w:rsidRDefault="00E214AF" w:rsidP="00E214AF">
      <w:pPr>
        <w:spacing w:after="0" w:line="240" w:lineRule="auto"/>
        <w:contextualSpacing/>
        <w:rPr>
          <w:rFonts w:ascii="Verdana" w:eastAsia="Times New Roman" w:hAnsi="Verdana" w:cs="Arial"/>
          <w:lang w:eastAsia="es-ES_tradnl"/>
        </w:rPr>
      </w:pPr>
    </w:p>
    <w:p w14:paraId="1DFAE9B2" w14:textId="77777777" w:rsidR="00E214AF" w:rsidRDefault="00E214AF" w:rsidP="00E214AF">
      <w:pPr>
        <w:spacing w:after="0" w:line="240" w:lineRule="auto"/>
        <w:contextualSpacing/>
        <w:rPr>
          <w:rFonts w:ascii="Verdana" w:eastAsia="Times New Roman" w:hAnsi="Verdana" w:cs="Arial"/>
          <w:lang w:eastAsia="es-ES_tradnl"/>
        </w:rPr>
      </w:pPr>
    </w:p>
    <w:p w14:paraId="3DE422A9" w14:textId="77777777" w:rsidR="00E214AF" w:rsidRDefault="00E214AF" w:rsidP="00E214AF">
      <w:pPr>
        <w:spacing w:after="0" w:line="240" w:lineRule="auto"/>
        <w:contextualSpacing/>
        <w:rPr>
          <w:rFonts w:ascii="Verdana" w:eastAsia="Times New Roman" w:hAnsi="Verdana" w:cs="Arial"/>
          <w:lang w:eastAsia="es-ES_tradnl"/>
        </w:rPr>
      </w:pPr>
    </w:p>
    <w:p w14:paraId="07E32311" w14:textId="57EA49C8" w:rsidR="00E214AF" w:rsidRDefault="00E214AF" w:rsidP="00E214AF">
      <w:pPr>
        <w:spacing w:after="0" w:line="240" w:lineRule="auto"/>
        <w:contextualSpacing/>
        <w:rPr>
          <w:rFonts w:ascii="Verdana" w:eastAsia="Calibri" w:hAnsi="Verdana" w:cs="Arial"/>
          <w:color w:val="000000"/>
        </w:rPr>
      </w:pPr>
      <w:r w:rsidRPr="006A09D6">
        <w:rPr>
          <w:rFonts w:ascii="Verdana" w:eastAsia="Times New Roman" w:hAnsi="Verdana" w:cs="Arial"/>
          <w:lang w:eastAsia="es-ES_tradnl"/>
        </w:rPr>
        <w:lastRenderedPageBreak/>
        <w:t>Bogotá D.C., </w:t>
      </w:r>
      <w:r w:rsidR="00E830F0">
        <w:rPr>
          <w:rFonts w:ascii="Verdana" w:eastAsia="Times New Roman" w:hAnsi="Verdana" w:cs="Arial"/>
          <w:lang w:eastAsia="es-ES_tradnl"/>
        </w:rPr>
        <w:t>12 de noviembre de 2025</w:t>
      </w:r>
      <w:r w:rsidRPr="006A09D6">
        <w:rPr>
          <w:rFonts w:ascii="Verdana" w:eastAsia="Times New Roman" w:hAnsi="Verdana" w:cs="Arial"/>
          <w:lang w:eastAsia="es-ES_tradnl"/>
        </w:rPr>
        <w:t> </w:t>
      </w:r>
    </w:p>
    <w:p w14:paraId="7B7E0FC3" w14:textId="77777777" w:rsidR="00E830F0" w:rsidRDefault="00E830F0" w:rsidP="00E214AF">
      <w:pPr>
        <w:spacing w:after="0" w:line="240" w:lineRule="auto"/>
        <w:rPr>
          <w:rFonts w:ascii="Verdana" w:eastAsia="Calibri" w:hAnsi="Verdana" w:cs="Arial"/>
          <w:color w:val="000000"/>
        </w:rPr>
      </w:pPr>
    </w:p>
    <w:p w14:paraId="4B6BDC11" w14:textId="28BD66CD" w:rsidR="00E830F0" w:rsidRPr="0080349C" w:rsidRDefault="00E830F0" w:rsidP="00E830F0">
      <w:pPr>
        <w:spacing w:after="0" w:line="240" w:lineRule="auto"/>
        <w:jc w:val="right"/>
        <w:rPr>
          <w:rFonts w:ascii="Verdana" w:eastAsia="Calibri" w:hAnsi="Verdana" w:cs="Arial"/>
          <w:color w:val="000000"/>
        </w:rPr>
      </w:pPr>
      <w:r w:rsidRPr="00E830F0">
        <w:rPr>
          <w:rFonts w:ascii="Verdana" w:eastAsia="Calibri" w:hAnsi="Verdana" w:cs="Arial"/>
          <w:noProof/>
          <w:color w:val="000000"/>
        </w:rPr>
        <w:drawing>
          <wp:anchor distT="0" distB="0" distL="114300" distR="114300" simplePos="0" relativeHeight="251658240" behindDoc="1" locked="0" layoutInCell="1" allowOverlap="1" wp14:anchorId="051D9766" wp14:editId="6A4ACF4C">
            <wp:simplePos x="0" y="0"/>
            <wp:positionH relativeFrom="column">
              <wp:posOffset>3025140</wp:posOffset>
            </wp:positionH>
            <wp:positionV relativeFrom="paragraph">
              <wp:posOffset>-1905</wp:posOffset>
            </wp:positionV>
            <wp:extent cx="2588895" cy="885819"/>
            <wp:effectExtent l="0" t="0" r="1905" b="0"/>
            <wp:wrapNone/>
            <wp:docPr id="182382280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822807"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88895" cy="885819"/>
                    </a:xfrm>
                    <a:prstGeom prst="rect">
                      <a:avLst/>
                    </a:prstGeom>
                  </pic:spPr>
                </pic:pic>
              </a:graphicData>
            </a:graphic>
          </wp:anchor>
        </w:drawing>
      </w:r>
    </w:p>
    <w:p w14:paraId="2FC4E545" w14:textId="77777777" w:rsidR="00E214AF" w:rsidRPr="00474910" w:rsidRDefault="00E214AF" w:rsidP="00E214AF">
      <w:pPr>
        <w:spacing w:after="0" w:line="240" w:lineRule="auto"/>
        <w:jc w:val="both"/>
        <w:rPr>
          <w:rFonts w:ascii="Verdana" w:eastAsia="Calibri" w:hAnsi="Verdana" w:cs="Arial"/>
          <w:color w:val="000000"/>
          <w:lang w:val="es-ES"/>
        </w:rPr>
      </w:pPr>
    </w:p>
    <w:p w14:paraId="2F9C5458" w14:textId="77777777" w:rsidR="00E214AF" w:rsidRPr="00474910" w:rsidRDefault="00E214AF" w:rsidP="00E214AF">
      <w:pPr>
        <w:spacing w:after="0" w:line="240" w:lineRule="auto"/>
        <w:jc w:val="both"/>
        <w:rPr>
          <w:rFonts w:ascii="Verdana" w:eastAsia="Calibri" w:hAnsi="Verdana" w:cs="Arial"/>
          <w:lang w:val="es-ES" w:eastAsia="es-ES"/>
        </w:rPr>
      </w:pPr>
      <w:r w:rsidRPr="00474910">
        <w:rPr>
          <w:rFonts w:ascii="Verdana" w:eastAsia="Calibri" w:hAnsi="Verdana" w:cs="Arial"/>
          <w:lang w:val="es-ES" w:eastAsia="es-ES"/>
        </w:rPr>
        <w:t>Señor</w:t>
      </w:r>
    </w:p>
    <w:p w14:paraId="1B5C8A5D" w14:textId="77777777" w:rsidR="00E214AF" w:rsidRDefault="00E214AF" w:rsidP="00E214AF">
      <w:pPr>
        <w:spacing w:after="0" w:line="240" w:lineRule="auto"/>
        <w:rPr>
          <w:rFonts w:ascii="Verdana" w:eastAsia="Calibri" w:hAnsi="Verdana" w:cs="Arial"/>
          <w:b/>
          <w:lang w:eastAsia="es-ES_tradnl"/>
        </w:rPr>
      </w:pPr>
      <w:r w:rsidRPr="005E3DB0">
        <w:rPr>
          <w:rFonts w:ascii="Verdana" w:eastAsia="Calibri" w:hAnsi="Verdana" w:cs="Arial"/>
          <w:b/>
          <w:lang w:eastAsia="es-ES_tradnl"/>
        </w:rPr>
        <w:t>Carlos Andres</w:t>
      </w:r>
      <w:r w:rsidRPr="005E3DB0">
        <w:t xml:space="preserve"> </w:t>
      </w:r>
      <w:r w:rsidRPr="005E3DB0">
        <w:rPr>
          <w:rFonts w:ascii="Verdana" w:eastAsia="Calibri" w:hAnsi="Verdana" w:cs="Arial"/>
          <w:b/>
          <w:lang w:eastAsia="es-ES_tradnl"/>
        </w:rPr>
        <w:t>Suarez Toloza</w:t>
      </w:r>
    </w:p>
    <w:p w14:paraId="4834D5D2" w14:textId="77777777" w:rsidR="00E214AF" w:rsidRPr="00474910" w:rsidRDefault="00E214AF" w:rsidP="00E214AF">
      <w:pPr>
        <w:spacing w:after="0" w:line="240" w:lineRule="auto"/>
        <w:rPr>
          <w:rFonts w:ascii="Verdana" w:eastAsia="Calibri" w:hAnsi="Verdana" w:cs="Arial"/>
          <w:lang w:val="es-ES" w:eastAsia="es-ES"/>
        </w:rPr>
      </w:pPr>
      <w:hyperlink r:id="rId11" w:history="1">
        <w:r w:rsidRPr="007B06E1">
          <w:rPr>
            <w:rStyle w:val="Hipervnculo"/>
            <w:rFonts w:ascii="Verdana" w:eastAsia="Calibri" w:hAnsi="Verdana" w:cs="Arial"/>
            <w:lang w:val="es-ES" w:eastAsia="es-ES"/>
          </w:rPr>
          <w:t>progresarcs@gmail.com</w:t>
        </w:r>
      </w:hyperlink>
      <w:r>
        <w:rPr>
          <w:rFonts w:ascii="Verdana" w:eastAsia="Calibri" w:hAnsi="Verdana" w:cs="Arial"/>
          <w:lang w:val="es-ES" w:eastAsia="es-ES"/>
        </w:rPr>
        <w:t xml:space="preserve"> </w:t>
      </w:r>
    </w:p>
    <w:p w14:paraId="2DFBB06F" w14:textId="77777777" w:rsidR="00E214AF" w:rsidRPr="00474910" w:rsidRDefault="00E214AF" w:rsidP="00E214AF">
      <w:pPr>
        <w:spacing w:after="0" w:line="240" w:lineRule="auto"/>
        <w:rPr>
          <w:rFonts w:ascii="Verdana" w:eastAsia="Calibri" w:hAnsi="Verdana" w:cs="Arial"/>
          <w:lang w:val="es-ES" w:eastAsia="es-ES"/>
        </w:rPr>
      </w:pPr>
      <w:r w:rsidRPr="00DD5587">
        <w:rPr>
          <w:rFonts w:ascii="Verdana" w:eastAsia="Calibri" w:hAnsi="Verdana" w:cs="Arial"/>
          <w:lang w:val="es-ES" w:eastAsia="es-ES"/>
        </w:rPr>
        <w:t xml:space="preserve">La Jagua </w:t>
      </w:r>
      <w:r>
        <w:rPr>
          <w:rFonts w:ascii="Verdana" w:eastAsia="Calibri" w:hAnsi="Verdana" w:cs="Arial"/>
          <w:lang w:val="es-ES" w:eastAsia="es-ES"/>
        </w:rPr>
        <w:t>d</w:t>
      </w:r>
      <w:r w:rsidRPr="00DD5587">
        <w:rPr>
          <w:rFonts w:ascii="Verdana" w:eastAsia="Calibri" w:hAnsi="Verdana" w:cs="Arial"/>
          <w:lang w:val="es-ES" w:eastAsia="es-ES"/>
        </w:rPr>
        <w:t>e Ibirico</w:t>
      </w:r>
      <w:r w:rsidRPr="00474910">
        <w:rPr>
          <w:rFonts w:ascii="Verdana" w:eastAsia="Calibri" w:hAnsi="Verdana" w:cs="Arial"/>
          <w:lang w:val="es-ES" w:eastAsia="es-ES"/>
        </w:rPr>
        <w:t xml:space="preserve">, </w:t>
      </w:r>
      <w:r>
        <w:rPr>
          <w:rFonts w:ascii="Verdana" w:eastAsia="Calibri" w:hAnsi="Verdana" w:cs="Arial"/>
          <w:lang w:val="es-ES" w:eastAsia="es-ES"/>
        </w:rPr>
        <w:t>Cesar</w:t>
      </w:r>
      <w:r w:rsidRPr="00474910">
        <w:rPr>
          <w:rFonts w:ascii="Verdana" w:eastAsia="Calibri" w:hAnsi="Verdana" w:cs="Arial"/>
          <w:lang w:val="es-ES" w:eastAsia="es-ES"/>
        </w:rPr>
        <w:t xml:space="preserve"> </w:t>
      </w:r>
    </w:p>
    <w:p w14:paraId="2BAC4F51" w14:textId="77777777" w:rsidR="00E214AF" w:rsidRPr="00DD5587" w:rsidRDefault="00E214AF" w:rsidP="00E214AF">
      <w:pPr>
        <w:spacing w:after="0" w:line="240" w:lineRule="auto"/>
        <w:rPr>
          <w:rFonts w:ascii="Verdana" w:eastAsia="Calibri" w:hAnsi="Verdana" w:cs="Arial"/>
          <w:b/>
          <w:bCs/>
          <w:color w:val="000000"/>
          <w:lang w:val="es-ES" w:eastAsia="es-ES_tradnl"/>
        </w:rPr>
      </w:pPr>
    </w:p>
    <w:p w14:paraId="0C6BAAB9" w14:textId="77777777" w:rsidR="00E214AF" w:rsidRPr="00474910" w:rsidRDefault="00E214AF" w:rsidP="00E214A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214AF" w:rsidRPr="00474910" w14:paraId="382C50E9" w14:textId="77777777" w:rsidTr="00B519F3">
        <w:trPr>
          <w:trHeight w:val="194"/>
        </w:trPr>
        <w:tc>
          <w:tcPr>
            <w:tcW w:w="2689" w:type="dxa"/>
          </w:tcPr>
          <w:p w14:paraId="19813BF3" w14:textId="77777777" w:rsidR="00E214AF" w:rsidRPr="00474910" w:rsidRDefault="00E214AF" w:rsidP="00B519F3">
            <w:pPr>
              <w:jc w:val="both"/>
              <w:rPr>
                <w:rFonts w:ascii="Verdana" w:eastAsia="Calibri" w:hAnsi="Verdana" w:cs="Arial"/>
                <w:b/>
                <w:bCs/>
                <w:color w:val="7030A0"/>
                <w:lang w:val="es-ES_tradnl" w:eastAsia="es-ES_tradnl"/>
              </w:rPr>
            </w:pPr>
          </w:p>
        </w:tc>
        <w:tc>
          <w:tcPr>
            <w:tcW w:w="6100" w:type="dxa"/>
          </w:tcPr>
          <w:p w14:paraId="0DE58A5C" w14:textId="77777777" w:rsidR="00E214AF" w:rsidRPr="00446EAA" w:rsidRDefault="00E214AF" w:rsidP="00B519F3">
            <w:pPr>
              <w:jc w:val="both"/>
              <w:rPr>
                <w:rFonts w:ascii="Verdana" w:eastAsia="Calibri" w:hAnsi="Verdana" w:cs="Arial"/>
                <w:b/>
                <w:bCs/>
                <w:lang w:val="es-ES" w:eastAsia="es-ES"/>
              </w:rPr>
            </w:pPr>
            <w:r w:rsidRPr="00474910">
              <w:rPr>
                <w:rFonts w:ascii="Verdana" w:eastAsia="Calibri" w:hAnsi="Verdana" w:cs="Arial"/>
                <w:b/>
                <w:bCs/>
                <w:lang w:val="es-ES" w:eastAsia="es-ES"/>
              </w:rPr>
              <w:t>Concepto C–</w:t>
            </w:r>
            <w:r>
              <w:rPr>
                <w:rFonts w:ascii="Verdana" w:eastAsia="Calibri" w:hAnsi="Verdana" w:cs="Arial"/>
                <w:b/>
                <w:bCs/>
                <w:lang w:val="es-ES" w:eastAsia="es-ES"/>
              </w:rPr>
              <w:t>1434</w:t>
            </w:r>
            <w:r w:rsidRPr="00474910">
              <w:rPr>
                <w:rFonts w:ascii="Verdana" w:eastAsia="Calibri" w:hAnsi="Verdana" w:cs="Arial"/>
                <w:b/>
                <w:bCs/>
                <w:lang w:val="es-ES" w:eastAsia="es-ES"/>
              </w:rPr>
              <w:t xml:space="preserve"> de 2025</w:t>
            </w:r>
          </w:p>
          <w:p w14:paraId="39F99DED" w14:textId="77777777" w:rsidR="00E214AF" w:rsidRPr="00474910" w:rsidRDefault="00E214AF" w:rsidP="00B519F3">
            <w:pPr>
              <w:jc w:val="both"/>
              <w:rPr>
                <w:rFonts w:ascii="Verdana" w:eastAsia="Calibri" w:hAnsi="Verdana" w:cs="Arial"/>
                <w:b/>
                <w:bCs/>
                <w:color w:val="7030A0"/>
                <w:lang w:val="es-ES" w:eastAsia="es-ES"/>
              </w:rPr>
            </w:pPr>
          </w:p>
        </w:tc>
      </w:tr>
      <w:tr w:rsidR="00E214AF" w:rsidRPr="00474910" w14:paraId="6DA2A2AC" w14:textId="77777777" w:rsidTr="00B519F3">
        <w:trPr>
          <w:trHeight w:val="884"/>
        </w:trPr>
        <w:tc>
          <w:tcPr>
            <w:tcW w:w="2689" w:type="dxa"/>
          </w:tcPr>
          <w:p w14:paraId="1728BCE2" w14:textId="77777777" w:rsidR="00E214AF" w:rsidRPr="00474910" w:rsidRDefault="00E214AF" w:rsidP="00B519F3">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10E2F376" w14:textId="25EFB1C4" w:rsidR="00E214AF" w:rsidRPr="00132CCC" w:rsidRDefault="00E214AF" w:rsidP="00B519F3">
            <w:pPr>
              <w:jc w:val="both"/>
              <w:rPr>
                <w:rFonts w:ascii="Verdana" w:eastAsia="Calibri" w:hAnsi="Verdana" w:cs="Arial"/>
                <w:highlight w:val="yellow"/>
                <w:lang w:eastAsia="es-ES"/>
              </w:rPr>
            </w:pPr>
            <w:r w:rsidRPr="00132CCC">
              <w:rPr>
                <w:rFonts w:ascii="Verdana" w:eastAsia="Calibri" w:hAnsi="Verdana" w:cs="Arial"/>
                <w:lang w:eastAsia="es-ES"/>
              </w:rPr>
              <w:t xml:space="preserve">CONVOCATORIAS LIMITADAS A MIPYMES NACIONALES – Requisitos – </w:t>
            </w:r>
            <w:r w:rsidR="00E45184">
              <w:rPr>
                <w:rFonts w:ascii="Verdana" w:eastAsia="Calibri" w:hAnsi="Verdana" w:cs="Arial"/>
                <w:lang w:eastAsia="es-ES"/>
              </w:rPr>
              <w:t>P</w:t>
            </w:r>
            <w:r w:rsidRPr="00132CCC">
              <w:rPr>
                <w:rFonts w:ascii="Verdana" w:eastAsia="Calibri" w:hAnsi="Verdana" w:cs="Arial"/>
                <w:lang w:eastAsia="es-ES"/>
              </w:rPr>
              <w:t>resupuestos mínimos</w:t>
            </w:r>
            <w:r>
              <w:rPr>
                <w:rFonts w:ascii="Verdana" w:eastAsia="Calibri" w:hAnsi="Verdana" w:cs="Arial"/>
                <w:lang w:eastAsia="es-ES"/>
              </w:rPr>
              <w:t xml:space="preserve"> / </w:t>
            </w:r>
            <w:r w:rsidRPr="00132CCC">
              <w:rPr>
                <w:rFonts w:ascii="Verdana" w:eastAsia="Calibri" w:hAnsi="Verdana" w:cs="Arial"/>
                <w:lang w:eastAsia="es-ES"/>
              </w:rPr>
              <w:t>CONVOCATORIAS LIMITADAS A MIPYMES EN EL ÁMBITO TERRITORIAL – Limitación territorial – Facultad discrecional</w:t>
            </w:r>
            <w:r>
              <w:rPr>
                <w:rFonts w:ascii="Verdana" w:eastAsia="Calibri" w:hAnsi="Verdana" w:cs="Arial"/>
                <w:lang w:eastAsia="es-ES"/>
              </w:rPr>
              <w:t xml:space="preserve"> / </w:t>
            </w:r>
            <w:r w:rsidRPr="00D63FDA">
              <w:rPr>
                <w:rFonts w:ascii="Verdana" w:eastAsia="Calibri" w:hAnsi="Verdana" w:cs="Arial"/>
                <w:lang w:eastAsia="es-ES"/>
              </w:rPr>
              <w:t>CONVOCATORIAS LIMITADAS A MIPYMES EN EL ÁMBITO TERRITORIAL – Domicilio en lugar de ejecución – Estudios del sector</w:t>
            </w:r>
            <w:r>
              <w:rPr>
                <w:rFonts w:ascii="Verdana" w:eastAsia="Calibri" w:hAnsi="Verdana" w:cs="Arial"/>
                <w:lang w:eastAsia="es-ES"/>
              </w:rPr>
              <w:t xml:space="preserve"> / </w:t>
            </w:r>
            <w:r w:rsidRPr="00D63FDA">
              <w:rPr>
                <w:rFonts w:ascii="Verdana" w:eastAsia="Calibri" w:hAnsi="Verdana" w:cs="Arial"/>
                <w:lang w:eastAsia="es-ES"/>
              </w:rPr>
              <w:t xml:space="preserve">CONVOCATORIAS LIMITADAS A MIPYMES EN EL ÁMBITO TERRITORIAL – </w:t>
            </w:r>
            <w:r w:rsidRPr="00A947A7">
              <w:rPr>
                <w:rFonts w:ascii="Verdana" w:eastAsia="Calibri" w:hAnsi="Verdana" w:cs="Arial"/>
                <w:lang w:eastAsia="es-ES"/>
              </w:rPr>
              <w:t>Desarrollo regional y fortalecimiento del tejido productivo</w:t>
            </w:r>
            <w:r w:rsidRPr="00D63FDA">
              <w:rPr>
                <w:rFonts w:ascii="Verdana" w:eastAsia="Calibri" w:hAnsi="Verdana" w:cs="Arial"/>
                <w:lang w:eastAsia="es-ES"/>
              </w:rPr>
              <w:t xml:space="preserve"> – Procede en circunscripciones municipal y departamental</w:t>
            </w:r>
            <w:r>
              <w:rPr>
                <w:rFonts w:ascii="Verdana" w:eastAsia="Calibri" w:hAnsi="Verdana" w:cs="Arial"/>
                <w:lang w:eastAsia="es-ES"/>
              </w:rPr>
              <w:t xml:space="preserve"> </w:t>
            </w:r>
            <w:r w:rsidRPr="00D63FDA">
              <w:rPr>
                <w:rFonts w:ascii="Verdana" w:eastAsia="Calibri" w:hAnsi="Verdana" w:cs="Arial"/>
                <w:lang w:eastAsia="es-ES"/>
              </w:rPr>
              <w:t xml:space="preserve">– </w:t>
            </w:r>
            <w:r w:rsidRPr="00A947A7">
              <w:rPr>
                <w:rFonts w:ascii="Verdana" w:eastAsia="Calibri" w:hAnsi="Verdana" w:cs="Arial"/>
                <w:lang w:eastAsia="es-ES"/>
              </w:rPr>
              <w:t>No procede agrupar municipios</w:t>
            </w:r>
            <w:r>
              <w:rPr>
                <w:rFonts w:ascii="Verdana" w:eastAsia="Calibri" w:hAnsi="Verdana" w:cs="Arial"/>
                <w:lang w:eastAsia="es-ES"/>
              </w:rPr>
              <w:t xml:space="preserve"> / </w:t>
            </w:r>
            <w:r w:rsidRPr="00D63FDA">
              <w:rPr>
                <w:rFonts w:ascii="Verdana" w:eastAsia="Calibri" w:hAnsi="Verdana" w:cs="Arial"/>
                <w:lang w:eastAsia="es-ES"/>
              </w:rPr>
              <w:t>CONVOCATORIAS LIMITADAS A MIPYMES – Consorcio o unión temporal –</w:t>
            </w:r>
            <w:r>
              <w:rPr>
                <w:rFonts w:ascii="Verdana" w:eastAsia="Calibri" w:hAnsi="Verdana" w:cs="Arial"/>
                <w:lang w:eastAsia="es-ES"/>
              </w:rPr>
              <w:t xml:space="preserve"> </w:t>
            </w:r>
            <w:r w:rsidRPr="00005A20">
              <w:rPr>
                <w:rFonts w:ascii="Verdana" w:eastAsia="Calibri" w:hAnsi="Verdana" w:cs="Arial"/>
                <w:lang w:eastAsia="es-ES"/>
              </w:rPr>
              <w:t xml:space="preserve">Todos los integrantes deben ostentar la calidad de </w:t>
            </w:r>
            <w:proofErr w:type="spellStart"/>
            <w:r w:rsidRPr="00005A20">
              <w:rPr>
                <w:rFonts w:ascii="Verdana" w:eastAsia="Calibri" w:hAnsi="Verdana" w:cs="Arial"/>
                <w:lang w:eastAsia="es-ES"/>
              </w:rPr>
              <w:t>Mipyme</w:t>
            </w:r>
            <w:proofErr w:type="spellEnd"/>
          </w:p>
        </w:tc>
      </w:tr>
      <w:tr w:rsidR="00E214AF" w:rsidRPr="00474910" w14:paraId="1CAA4825" w14:textId="77777777" w:rsidTr="00B519F3">
        <w:tc>
          <w:tcPr>
            <w:tcW w:w="2689" w:type="dxa"/>
          </w:tcPr>
          <w:p w14:paraId="13479227" w14:textId="77777777" w:rsidR="00E214AF" w:rsidRPr="00474910" w:rsidRDefault="00E214AF" w:rsidP="00B519F3">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3BBEAAC6" w14:textId="77777777" w:rsidR="00E214AF" w:rsidRPr="00474910" w:rsidRDefault="00E214AF" w:rsidP="00B519F3">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360510">
              <w:rPr>
                <w:rFonts w:ascii="Verdana" w:eastAsia="Calibri" w:hAnsi="Verdana" w:cs="Arial"/>
                <w:lang w:eastAsia="es-ES_tradnl"/>
              </w:rPr>
              <w:t>1_2025_10_02_010939</w:t>
            </w:r>
          </w:p>
        </w:tc>
      </w:tr>
    </w:tbl>
    <w:p w14:paraId="4B9E8197" w14:textId="77777777" w:rsidR="00E214AF" w:rsidRPr="00474910" w:rsidRDefault="00E214AF" w:rsidP="00E214AF">
      <w:pPr>
        <w:spacing w:after="0" w:line="240" w:lineRule="auto"/>
        <w:jc w:val="both"/>
        <w:rPr>
          <w:rFonts w:ascii="Verdana" w:eastAsia="Calibri" w:hAnsi="Verdana" w:cs="Arial"/>
          <w:color w:val="000000"/>
          <w:lang w:val="es-ES_tradnl" w:eastAsia="es-ES_tradnl"/>
        </w:rPr>
      </w:pPr>
    </w:p>
    <w:p w14:paraId="1ADE6901" w14:textId="77777777" w:rsidR="00E214AF" w:rsidRPr="00474910" w:rsidRDefault="00E214AF" w:rsidP="00E214AF">
      <w:pPr>
        <w:spacing w:after="0" w:line="240" w:lineRule="auto"/>
        <w:jc w:val="both"/>
        <w:rPr>
          <w:rFonts w:ascii="Verdana" w:eastAsia="Calibri" w:hAnsi="Verdana" w:cs="Arial"/>
          <w:color w:val="000000"/>
          <w:lang w:val="es-ES_tradnl" w:eastAsia="es-ES_tradnl"/>
        </w:rPr>
      </w:pPr>
    </w:p>
    <w:p w14:paraId="616F1B76" w14:textId="77777777" w:rsidR="00E214AF" w:rsidRPr="008E6AD9" w:rsidRDefault="00E214AF" w:rsidP="00E214A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360510">
        <w:rPr>
          <w:rFonts w:ascii="Verdana" w:eastAsia="Calibri" w:hAnsi="Verdana" w:cs="Arial"/>
          <w:lang w:val="es-ES" w:eastAsia="es-ES"/>
        </w:rPr>
        <w:t>Suarez Toloza</w:t>
      </w:r>
      <w:r w:rsidRPr="008E6AD9">
        <w:rPr>
          <w:rFonts w:ascii="Verdana" w:eastAsia="Calibri" w:hAnsi="Verdana" w:cs="Arial"/>
          <w:lang w:val="es-ES" w:eastAsia="es-ES"/>
        </w:rPr>
        <w:t xml:space="preserve">: </w:t>
      </w:r>
    </w:p>
    <w:p w14:paraId="7E7D5E5F" w14:textId="77777777" w:rsidR="00E214AF" w:rsidRDefault="00E214AF" w:rsidP="00E214A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A9A60EB" w14:textId="77777777" w:rsidR="00E214AF" w:rsidRPr="006730E9" w:rsidRDefault="00E214AF" w:rsidP="00E214A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152C0F">
        <w:rPr>
          <w:rFonts w:ascii="Verdana" w:eastAsia="Calibri" w:hAnsi="Verdana" w:cs="Arial"/>
          <w:color w:val="000000" w:themeColor="text1"/>
          <w:lang w:eastAsia="es-ES"/>
        </w:rPr>
        <w:t xml:space="preserve">y de conformidad con las modalidades del derecho de petición contempladas en la Ley 1755 de 2015, así como lo establecido en la resolución N° 469 del 2025 expedida por esta Agencia, damos respuesta a su </w:t>
      </w:r>
      <w:r>
        <w:rPr>
          <w:rFonts w:ascii="Verdana" w:eastAsia="Calibri" w:hAnsi="Verdana" w:cs="Arial"/>
          <w:color w:val="000000" w:themeColor="text1"/>
          <w:lang w:eastAsia="es-ES"/>
        </w:rPr>
        <w:t>c</w:t>
      </w:r>
      <w:r w:rsidRPr="00152C0F">
        <w:rPr>
          <w:rFonts w:ascii="Verdana" w:eastAsia="Calibri" w:hAnsi="Verdana" w:cs="Arial"/>
          <w:color w:val="000000" w:themeColor="text1"/>
          <w:lang w:eastAsia="es-ES"/>
        </w:rPr>
        <w:t xml:space="preserve">onsulta </w:t>
      </w:r>
      <w:r>
        <w:rPr>
          <w:rFonts w:ascii="Verdana" w:eastAsia="Calibri" w:hAnsi="Verdana" w:cs="Arial"/>
          <w:color w:val="000000" w:themeColor="text1"/>
          <w:lang w:eastAsia="es-ES"/>
        </w:rPr>
        <w:t>radicada el</w:t>
      </w:r>
      <w:r w:rsidRPr="00152C0F">
        <w:rPr>
          <w:rFonts w:ascii="Verdana" w:eastAsia="Calibri" w:hAnsi="Verdana" w:cs="Arial"/>
          <w:color w:val="000000" w:themeColor="text1"/>
          <w:lang w:eastAsia="es-ES"/>
        </w:rPr>
        <w:t xml:space="preserve"> </w:t>
      </w:r>
      <w:r>
        <w:rPr>
          <w:rFonts w:ascii="Verdana" w:eastAsia="Calibri" w:hAnsi="Verdana" w:cs="Arial"/>
          <w:color w:val="000000" w:themeColor="text1"/>
          <w:lang w:eastAsia="es-ES"/>
        </w:rPr>
        <w:t>2</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formulada en los siguientes términos</w:t>
      </w:r>
      <w:r w:rsidRPr="006730E9">
        <w:rPr>
          <w:rFonts w:ascii="Verdana" w:eastAsia="Calibri" w:hAnsi="Verdana" w:cs="Arial"/>
          <w:lang w:val="es-ES" w:eastAsia="es-ES"/>
        </w:rPr>
        <w:t xml:space="preserve">: </w:t>
      </w:r>
    </w:p>
    <w:p w14:paraId="7F84DB54" w14:textId="77777777" w:rsidR="00E214AF" w:rsidRPr="00272A7B" w:rsidRDefault="00E214AF" w:rsidP="00E214A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6DF1C0E"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r>
        <w:rPr>
          <w:rFonts w:ascii="Verdana" w:eastAsia="Century Gothic" w:hAnsi="Verdana" w:cs="Century Gothic"/>
          <w:sz w:val="21"/>
          <w:szCs w:val="21"/>
        </w:rPr>
        <w:t xml:space="preserve">“[…] </w:t>
      </w:r>
      <w:r w:rsidRPr="00DB2B76">
        <w:rPr>
          <w:rFonts w:ascii="Verdana" w:eastAsia="Century Gothic" w:hAnsi="Verdana" w:cs="Century Gothic"/>
          <w:sz w:val="21"/>
          <w:szCs w:val="21"/>
        </w:rPr>
        <w:t xml:space="preserve">1. ¿Qué sucede si en una convocatoria se presentan dos solicitudes de limitación a MIPYME municipal y dos a nivel departamental, cuál de las dos debe primar? </w:t>
      </w:r>
    </w:p>
    <w:p w14:paraId="58440659"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p>
    <w:p w14:paraId="44B46630"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r w:rsidRPr="00DB2B76">
        <w:rPr>
          <w:rFonts w:ascii="Verdana" w:eastAsia="Century Gothic" w:hAnsi="Verdana" w:cs="Century Gothic"/>
          <w:sz w:val="21"/>
          <w:szCs w:val="21"/>
        </w:rPr>
        <w:t xml:space="preserve">2. En caso de proponentes plurales (unión temporal o consorcio), ¿pueden solicitar limitación MIPYME y cómo se presenta si son dos o más integrantes? </w:t>
      </w:r>
    </w:p>
    <w:p w14:paraId="57C121D1"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p>
    <w:p w14:paraId="273B3BB9"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r w:rsidRPr="00DB2B76">
        <w:rPr>
          <w:rFonts w:ascii="Verdana" w:eastAsia="Century Gothic" w:hAnsi="Verdana" w:cs="Century Gothic"/>
          <w:sz w:val="21"/>
          <w:szCs w:val="21"/>
        </w:rPr>
        <w:t xml:space="preserve">3. Si se presentan solicitudes de limitación territorial (municipal o departamental), ¿puede la entidad decidir no acogerlas y en su lugar limitar la convocatoria solo a MIPYME nacionales? </w:t>
      </w:r>
    </w:p>
    <w:p w14:paraId="266EF828"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p>
    <w:p w14:paraId="0A32E91B"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r w:rsidRPr="00DB2B76">
        <w:rPr>
          <w:rFonts w:ascii="Verdana" w:eastAsia="Century Gothic" w:hAnsi="Verdana" w:cs="Century Gothic"/>
          <w:sz w:val="21"/>
          <w:szCs w:val="21"/>
        </w:rPr>
        <w:t xml:space="preserve">4. Si en un municipio se solicitan limitaciones municipal y departamental, ¿puede la entidad optar por una circunscripción de varios municipios cercanos, o solo es posible municipal o departamental completo? </w:t>
      </w:r>
    </w:p>
    <w:p w14:paraId="5E256ABA" w14:textId="77777777" w:rsidR="00E214AF"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p>
    <w:p w14:paraId="5C7C4B11" w14:textId="77777777" w:rsidR="00E214AF" w:rsidRPr="001C3918" w:rsidRDefault="00E214AF" w:rsidP="00E214AF">
      <w:pPr>
        <w:pStyle w:val="Prrafodelista"/>
        <w:spacing w:after="0" w:line="240" w:lineRule="auto"/>
        <w:ind w:left="709" w:right="709"/>
        <w:contextualSpacing w:val="0"/>
        <w:jc w:val="both"/>
        <w:rPr>
          <w:rFonts w:ascii="Verdana" w:eastAsia="Century Gothic" w:hAnsi="Verdana" w:cs="Century Gothic"/>
          <w:sz w:val="21"/>
          <w:szCs w:val="21"/>
        </w:rPr>
      </w:pPr>
      <w:r w:rsidRPr="00DB2B76">
        <w:rPr>
          <w:rFonts w:ascii="Verdana" w:eastAsia="Century Gothic" w:hAnsi="Verdana" w:cs="Century Gothic"/>
          <w:sz w:val="21"/>
          <w:szCs w:val="21"/>
        </w:rPr>
        <w:t>5. Si hay dos solicitudes municipales y tres o cuatro departamentales, ¿prima la mayor cantidad de departamentales o la territorial municipal por ser más específica?</w:t>
      </w:r>
      <w:r>
        <w:rPr>
          <w:rFonts w:ascii="Verdana" w:eastAsia="Century Gothic" w:hAnsi="Verdana" w:cs="Century Gothic"/>
          <w:sz w:val="21"/>
          <w:szCs w:val="21"/>
        </w:rPr>
        <w:t xml:space="preserve"> […]”</w:t>
      </w:r>
    </w:p>
    <w:p w14:paraId="2758C1CA" w14:textId="77777777" w:rsidR="00E214AF" w:rsidRPr="008E6AD9" w:rsidRDefault="00E214AF" w:rsidP="00E214AF">
      <w:pPr>
        <w:pStyle w:val="Prrafodelista"/>
        <w:tabs>
          <w:tab w:val="left" w:pos="142"/>
          <w:tab w:val="left" w:pos="284"/>
        </w:tabs>
        <w:spacing w:after="0" w:line="276" w:lineRule="auto"/>
        <w:ind w:left="709" w:right="709"/>
        <w:contextualSpacing w:val="0"/>
        <w:jc w:val="both"/>
        <w:rPr>
          <w:rFonts w:ascii="Verdana" w:eastAsia="Century Gothic" w:hAnsi="Verdana" w:cs="Century Gothic"/>
          <w:b/>
          <w:bCs/>
        </w:rPr>
      </w:pPr>
    </w:p>
    <w:p w14:paraId="130F2A78" w14:textId="77777777" w:rsidR="00E214AF" w:rsidRPr="00A652FF" w:rsidRDefault="00E214AF" w:rsidP="00E214A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7DCE707" w14:textId="77777777" w:rsidR="00E214AF" w:rsidRDefault="00E214AF" w:rsidP="00E214A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097E28B" w14:textId="77777777" w:rsidR="00E214AF" w:rsidRPr="00593A5F" w:rsidRDefault="00E214AF" w:rsidP="00E214AF">
      <w:pPr>
        <w:spacing w:after="0" w:line="276" w:lineRule="auto"/>
        <w:jc w:val="both"/>
        <w:rPr>
          <w:rFonts w:ascii="Verdana" w:eastAsia="Calibri" w:hAnsi="Verdana" w:cs="Arial"/>
          <w:color w:val="000000"/>
          <w:lang w:val="es-ES" w:eastAsia="es-ES"/>
        </w:rPr>
      </w:pPr>
    </w:p>
    <w:p w14:paraId="5DDAB0A8" w14:textId="77777777" w:rsidR="00E214AF" w:rsidRPr="00593A5F" w:rsidRDefault="00E214AF" w:rsidP="00E214A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29B805C9" w14:textId="77777777" w:rsidR="00E214AF" w:rsidRPr="00593A5F" w:rsidRDefault="00E214AF" w:rsidP="00E214AF">
      <w:pPr>
        <w:tabs>
          <w:tab w:val="left" w:pos="426"/>
        </w:tabs>
        <w:spacing w:after="0" w:line="276" w:lineRule="auto"/>
        <w:jc w:val="both"/>
        <w:rPr>
          <w:rFonts w:ascii="Verdana" w:eastAsia="Century Gothic" w:hAnsi="Verdana" w:cs="Century Gothic"/>
          <w:lang w:val="es-ES"/>
        </w:rPr>
      </w:pPr>
    </w:p>
    <w:p w14:paraId="13C2AC6A" w14:textId="77777777" w:rsidR="00E214AF" w:rsidRDefault="00E214AF" w:rsidP="00E214A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 xml:space="preserve">su solicitud, esta Agencia resolverá </w:t>
      </w:r>
      <w:r>
        <w:rPr>
          <w:rFonts w:ascii="Verdana" w:eastAsia="Century Gothic" w:hAnsi="Verdana" w:cs="Century Gothic"/>
        </w:rPr>
        <w:t>los</w:t>
      </w:r>
      <w:r w:rsidRPr="00B47324">
        <w:rPr>
          <w:rFonts w:ascii="Verdana" w:eastAsia="Century Gothic" w:hAnsi="Verdana" w:cs="Century Gothic"/>
        </w:rPr>
        <w:t xml:space="preserve"> siguiente</w:t>
      </w:r>
      <w:r>
        <w:rPr>
          <w:rFonts w:ascii="Verdana" w:eastAsia="Century Gothic" w:hAnsi="Verdana" w:cs="Century Gothic"/>
        </w:rPr>
        <w:t>s</w:t>
      </w:r>
      <w:r w:rsidRPr="00B47324">
        <w:rPr>
          <w:rFonts w:ascii="Verdana" w:eastAsia="Century Gothic" w:hAnsi="Verdana" w:cs="Century Gothic"/>
        </w:rPr>
        <w:t xml:space="preserve"> problema</w:t>
      </w:r>
      <w:r>
        <w:rPr>
          <w:rFonts w:ascii="Verdana" w:eastAsia="Century Gothic" w:hAnsi="Verdana" w:cs="Century Gothic"/>
        </w:rPr>
        <w:t>s</w:t>
      </w:r>
      <w:r w:rsidRPr="00B47324">
        <w:rPr>
          <w:rFonts w:ascii="Verdana" w:eastAsia="Century Gothic" w:hAnsi="Verdana" w:cs="Century Gothic"/>
        </w:rPr>
        <w:t xml:space="preserve"> jurídico</w:t>
      </w:r>
      <w:r>
        <w:rPr>
          <w:rFonts w:ascii="Verdana" w:eastAsia="Century Gothic" w:hAnsi="Verdana" w:cs="Century Gothic"/>
        </w:rPr>
        <w:t>s</w:t>
      </w:r>
      <w:r w:rsidRPr="00B47324">
        <w:rPr>
          <w:rFonts w:ascii="Verdana" w:eastAsia="Century Gothic" w:hAnsi="Verdana" w:cs="Century Gothic"/>
        </w:rPr>
        <w:t xml:space="preserve">: </w:t>
      </w:r>
    </w:p>
    <w:p w14:paraId="2E5D216C" w14:textId="77777777" w:rsidR="00E214AF" w:rsidRDefault="00E214AF" w:rsidP="00E214AF">
      <w:pPr>
        <w:spacing w:after="0" w:line="276" w:lineRule="auto"/>
        <w:jc w:val="both"/>
        <w:rPr>
          <w:rFonts w:ascii="Verdana" w:eastAsia="Century Gothic" w:hAnsi="Verdana" w:cs="Century Gothic"/>
        </w:rPr>
      </w:pPr>
    </w:p>
    <w:p w14:paraId="45D7E794" w14:textId="77777777" w:rsidR="00E214AF" w:rsidRDefault="00E214AF" w:rsidP="00E214AF">
      <w:pPr>
        <w:spacing w:after="0" w:line="276" w:lineRule="auto"/>
        <w:jc w:val="both"/>
        <w:rPr>
          <w:rFonts w:ascii="Verdana" w:eastAsia="Century Gothic" w:hAnsi="Verdana" w:cs="Century Gothic"/>
        </w:rPr>
      </w:pPr>
      <w:r w:rsidRPr="00A33163">
        <w:rPr>
          <w:rFonts w:ascii="Verdana" w:eastAsia="Century Gothic" w:hAnsi="Verdana" w:cs="Century Gothic"/>
          <w:b/>
          <w:bCs/>
        </w:rPr>
        <w:lastRenderedPageBreak/>
        <w:t>1.</w:t>
      </w:r>
      <w:r>
        <w:rPr>
          <w:rFonts w:ascii="Verdana" w:eastAsia="Century Gothic" w:hAnsi="Verdana" w:cs="Century Gothic"/>
        </w:rPr>
        <w:t xml:space="preserve"> </w:t>
      </w:r>
      <w:proofErr w:type="gramStart"/>
      <w:r w:rsidRPr="00864A48">
        <w:rPr>
          <w:rFonts w:ascii="Verdana" w:eastAsia="Century Gothic" w:hAnsi="Verdana" w:cs="Century Gothic"/>
        </w:rPr>
        <w:t xml:space="preserve">¿En qué condiciones puede una Entidad Estatal, una vez recibidas las solicitudes de limitación a </w:t>
      </w:r>
      <w:proofErr w:type="spellStart"/>
      <w:r w:rsidRPr="00864A48">
        <w:rPr>
          <w:rFonts w:ascii="Verdana" w:eastAsia="Century Gothic" w:hAnsi="Verdana" w:cs="Century Gothic"/>
        </w:rPr>
        <w:t>Mipymes</w:t>
      </w:r>
      <w:proofErr w:type="spellEnd"/>
      <w:r w:rsidRPr="00864A48">
        <w:rPr>
          <w:rFonts w:ascii="Verdana" w:eastAsia="Century Gothic" w:hAnsi="Verdana" w:cs="Century Gothic"/>
        </w:rPr>
        <w:t>, aplicar la limitación territorial prevista en el artículo 2.</w:t>
      </w:r>
      <w:proofErr w:type="gramEnd"/>
      <w:r w:rsidRPr="00864A48">
        <w:rPr>
          <w:rFonts w:ascii="Verdana" w:eastAsia="Century Gothic" w:hAnsi="Verdana" w:cs="Century Gothic"/>
        </w:rPr>
        <w:t xml:space="preserve">2.1.2.4.2.3 del Decreto 1082 de 2015, modificado por el Decreto 1860 de 2021? En particular, ¿cuál es el alcance de dicha decisión cuando se presentan solicitudes de limitación a </w:t>
      </w:r>
      <w:proofErr w:type="spellStart"/>
      <w:r w:rsidRPr="00864A48">
        <w:rPr>
          <w:rFonts w:ascii="Verdana" w:eastAsia="Century Gothic" w:hAnsi="Verdana" w:cs="Century Gothic"/>
        </w:rPr>
        <w:t>Mipymes</w:t>
      </w:r>
      <w:proofErr w:type="spellEnd"/>
      <w:r w:rsidRPr="00864A48">
        <w:rPr>
          <w:rFonts w:ascii="Verdana" w:eastAsia="Century Gothic" w:hAnsi="Verdana" w:cs="Century Gothic"/>
        </w:rPr>
        <w:t xml:space="preserve"> domiciliadas en distintos niveles territoriales —municipal o departamental—, puede la Entidad optar por una limitación distinta a las solicitadas —como la dirigida a </w:t>
      </w:r>
      <w:proofErr w:type="spellStart"/>
      <w:r w:rsidRPr="00864A48">
        <w:rPr>
          <w:rFonts w:ascii="Verdana" w:eastAsia="Century Gothic" w:hAnsi="Verdana" w:cs="Century Gothic"/>
        </w:rPr>
        <w:t>Mipymes</w:t>
      </w:r>
      <w:proofErr w:type="spellEnd"/>
      <w:r w:rsidRPr="00864A48">
        <w:rPr>
          <w:rFonts w:ascii="Verdana" w:eastAsia="Century Gothic" w:hAnsi="Verdana" w:cs="Century Gothic"/>
        </w:rPr>
        <w:t xml:space="preserve"> nacionales—, y debe primar el número de solicitudes o el ámbito territorial más específico al momento de decidir?</w:t>
      </w:r>
    </w:p>
    <w:p w14:paraId="06DBED37" w14:textId="77777777" w:rsidR="00E214AF" w:rsidRDefault="00E214AF" w:rsidP="00E214AF">
      <w:pPr>
        <w:spacing w:after="0" w:line="276" w:lineRule="auto"/>
        <w:jc w:val="both"/>
        <w:rPr>
          <w:rFonts w:ascii="Verdana" w:eastAsia="Century Gothic" w:hAnsi="Verdana" w:cs="Century Gothic"/>
        </w:rPr>
      </w:pPr>
    </w:p>
    <w:p w14:paraId="3E27FF4B" w14:textId="77777777" w:rsidR="00E214AF" w:rsidRPr="00DB1F39" w:rsidRDefault="00E214AF" w:rsidP="00E214AF">
      <w:pPr>
        <w:spacing w:after="0" w:line="276" w:lineRule="auto"/>
        <w:jc w:val="both"/>
        <w:rPr>
          <w:rFonts w:ascii="Verdana" w:eastAsia="Century Gothic" w:hAnsi="Verdana" w:cs="Century Gothic"/>
        </w:rPr>
      </w:pPr>
      <w:r>
        <w:rPr>
          <w:rFonts w:ascii="Verdana" w:eastAsia="Century Gothic" w:hAnsi="Verdana" w:cs="Century Gothic"/>
          <w:b/>
          <w:bCs/>
        </w:rPr>
        <w:t>2</w:t>
      </w:r>
      <w:r w:rsidRPr="00A33163">
        <w:rPr>
          <w:rFonts w:ascii="Verdana" w:eastAsia="Century Gothic" w:hAnsi="Verdana" w:cs="Century Gothic"/>
          <w:b/>
          <w:bCs/>
        </w:rPr>
        <w:t>.</w:t>
      </w:r>
      <w:r>
        <w:rPr>
          <w:rFonts w:ascii="Verdana" w:eastAsia="Century Gothic" w:hAnsi="Verdana" w:cs="Century Gothic"/>
        </w:rPr>
        <w:t xml:space="preserve"> </w:t>
      </w:r>
      <w:r w:rsidRPr="0085560B">
        <w:rPr>
          <w:rFonts w:ascii="Verdana" w:eastAsia="Century Gothic" w:hAnsi="Verdana" w:cs="Century Gothic"/>
        </w:rPr>
        <w:t xml:space="preserve">¿Pueden los proponentes plurales (consorcios o uniones temporales) solicitar la limitación de la convocatoria a </w:t>
      </w:r>
      <w:proofErr w:type="spellStart"/>
      <w:r w:rsidRPr="0085560B">
        <w:rPr>
          <w:rFonts w:ascii="Verdana" w:eastAsia="Century Gothic" w:hAnsi="Verdana" w:cs="Century Gothic"/>
        </w:rPr>
        <w:t>Mipymes</w:t>
      </w:r>
      <w:proofErr w:type="spellEnd"/>
      <w:r w:rsidRPr="0085560B">
        <w:rPr>
          <w:rFonts w:ascii="Verdana" w:eastAsia="Century Gothic" w:hAnsi="Verdana" w:cs="Century Gothic"/>
        </w:rPr>
        <w:t xml:space="preserve"> y, en caso afirmativo, </w:t>
      </w:r>
      <w:proofErr w:type="gramStart"/>
      <w:r w:rsidRPr="0085560B">
        <w:rPr>
          <w:rFonts w:ascii="Verdana" w:eastAsia="Century Gothic" w:hAnsi="Verdana" w:cs="Century Gothic"/>
        </w:rPr>
        <w:t xml:space="preserve">cómo debe acreditarse la condición de </w:t>
      </w:r>
      <w:proofErr w:type="spellStart"/>
      <w:r w:rsidRPr="0085560B">
        <w:rPr>
          <w:rFonts w:ascii="Verdana" w:eastAsia="Century Gothic" w:hAnsi="Verdana" w:cs="Century Gothic"/>
        </w:rPr>
        <w:t>Mipyme</w:t>
      </w:r>
      <w:proofErr w:type="spellEnd"/>
      <w:r w:rsidRPr="0085560B">
        <w:rPr>
          <w:rFonts w:ascii="Verdana" w:eastAsia="Century Gothic" w:hAnsi="Verdana" w:cs="Century Gothic"/>
        </w:rPr>
        <w:t xml:space="preserve"> cuando el grupo plural está integrado por dos o más empresas, personas naturales o jurídicas con calificaciones empresariales distintas?</w:t>
      </w:r>
      <w:proofErr w:type="gramEnd"/>
    </w:p>
    <w:p w14:paraId="1F79AF73" w14:textId="77777777" w:rsidR="00E214AF" w:rsidRPr="004B140F" w:rsidRDefault="00E214AF" w:rsidP="00E214AF">
      <w:pPr>
        <w:spacing w:after="0" w:line="276" w:lineRule="auto"/>
        <w:jc w:val="both"/>
        <w:rPr>
          <w:rFonts w:ascii="Verdana" w:eastAsia="Calibri" w:hAnsi="Verdana" w:cs="Arial"/>
          <w:color w:val="7030A0"/>
        </w:rPr>
      </w:pPr>
    </w:p>
    <w:p w14:paraId="1A4C8208" w14:textId="77777777" w:rsidR="00E214AF" w:rsidRPr="00593A5F" w:rsidRDefault="00E214AF" w:rsidP="00E214A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042529AD" w14:textId="77777777" w:rsidR="00E214AF" w:rsidRPr="00593A5F" w:rsidRDefault="00E214AF" w:rsidP="00E214A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214AF" w:rsidRPr="00593A5F" w14:paraId="15F60600" w14:textId="77777777" w:rsidTr="00B519F3">
        <w:trPr>
          <w:jc w:val="center"/>
        </w:trPr>
        <w:tc>
          <w:tcPr>
            <w:tcW w:w="8828" w:type="dxa"/>
          </w:tcPr>
          <w:p w14:paraId="20BC913D" w14:textId="77777777" w:rsidR="00E214AF" w:rsidRPr="00944623" w:rsidRDefault="00E214AF" w:rsidP="00B519F3">
            <w:pPr>
              <w:spacing w:after="120" w:line="276" w:lineRule="auto"/>
              <w:jc w:val="both"/>
              <w:rPr>
                <w:rFonts w:ascii="Verdana" w:eastAsia="Verdana" w:hAnsi="Verdana" w:cs="Verdana"/>
              </w:rPr>
            </w:pPr>
            <w:bookmarkStart w:id="1" w:name="_Hlk171694685"/>
            <w:r w:rsidRPr="001423E1">
              <w:rPr>
                <w:rFonts w:ascii="Verdana" w:eastAsia="Verdana" w:hAnsi="Verdana" w:cs="Verdana"/>
                <w:b/>
                <w:bCs/>
                <w:lang w:val="es-ES"/>
              </w:rPr>
              <w:t>1.</w:t>
            </w:r>
            <w:r>
              <w:rPr>
                <w:rFonts w:ascii="Verdana" w:eastAsia="Verdana" w:hAnsi="Verdana" w:cs="Verdana"/>
                <w:lang w:val="es-ES"/>
              </w:rPr>
              <w:t xml:space="preserve"> </w:t>
            </w:r>
            <w:r w:rsidRPr="00944623">
              <w:rPr>
                <w:rFonts w:ascii="Verdana" w:eastAsia="Verdana" w:hAnsi="Verdana" w:cs="Verdana"/>
              </w:rPr>
              <w:t>La aplicación de la limitación territorial en los procesos de contratación pública debe entenderse como una facultad discrecional de la Entidad Estatal, supeditada al cumplimiento de los requisitos previstos en el artículo 2.2.1.2.4.2.2 del Decreto 1082 de 2015, modificado por el Decreto 1860 de 2021, y a la debida justificación técnica en los estudios del sector. En este sentido, el hecho de que en una convocatoria se presenten solicitudes de limitación a nivel municipal y otras a nivel departamental no implica que una deba primar sobre la otra de manera automática, ni que la Entidad esté obligada a acogerlas de forma expresa.</w:t>
            </w:r>
          </w:p>
          <w:p w14:paraId="7D1C9E42" w14:textId="77777777" w:rsidR="00E214AF" w:rsidRPr="00944623" w:rsidRDefault="00E214AF" w:rsidP="00B519F3">
            <w:pPr>
              <w:spacing w:before="120" w:after="120" w:line="276" w:lineRule="auto"/>
              <w:ind w:firstLine="708"/>
              <w:jc w:val="both"/>
              <w:rPr>
                <w:rFonts w:ascii="Verdana" w:eastAsia="Verdana" w:hAnsi="Verdana" w:cs="Verdana"/>
              </w:rPr>
            </w:pPr>
            <w:r w:rsidRPr="00944623">
              <w:rPr>
                <w:rFonts w:ascii="Verdana" w:eastAsia="Verdana" w:hAnsi="Verdana" w:cs="Verdana"/>
              </w:rPr>
              <w:t xml:space="preserve">La decisión de aplicar o no la limitación territorial depende de la coherencia entre el ámbito geográfico de ejecución del contrato y el propósito de la medida afirmativa de fomento empresarial prevista en la Ley 2069 de 2020. Por tanto, si la ejecución contractual se circunscribe a un solo municipio, será razonable aplicar la limitación a las </w:t>
            </w:r>
            <w:proofErr w:type="spellStart"/>
            <w:r w:rsidRPr="00944623">
              <w:rPr>
                <w:rFonts w:ascii="Verdana" w:eastAsia="Verdana" w:hAnsi="Verdana" w:cs="Verdana"/>
              </w:rPr>
              <w:t>Mipyme</w:t>
            </w:r>
            <w:proofErr w:type="spellEnd"/>
            <w:r w:rsidRPr="00944623">
              <w:rPr>
                <w:rFonts w:ascii="Verdana" w:eastAsia="Verdana" w:hAnsi="Verdana" w:cs="Verdana"/>
              </w:rPr>
              <w:t xml:space="preserve"> domiciliadas en dicho municipio; si, por el contrario, abarca varios municipios dentro de un mismo departamento, podrá extenderse válidamente al ámbito departamental. Lo relevante es que la medida sea proporcional, razonable y garantice una pluralidad suficiente de oferentes, conforme a los principios de planeación, economía y transparencia.</w:t>
            </w:r>
          </w:p>
          <w:p w14:paraId="4DF046A8" w14:textId="77777777" w:rsidR="00E214AF" w:rsidRPr="00944623" w:rsidRDefault="00E214AF" w:rsidP="00B519F3">
            <w:pPr>
              <w:spacing w:before="120" w:after="120" w:line="276" w:lineRule="auto"/>
              <w:ind w:firstLine="708"/>
              <w:jc w:val="both"/>
              <w:rPr>
                <w:rFonts w:ascii="Verdana" w:eastAsia="Verdana" w:hAnsi="Verdana" w:cs="Verdana"/>
              </w:rPr>
            </w:pPr>
            <w:r w:rsidRPr="00944623">
              <w:rPr>
                <w:rFonts w:ascii="Verdana" w:eastAsia="Verdana" w:hAnsi="Verdana" w:cs="Verdana"/>
              </w:rPr>
              <w:lastRenderedPageBreak/>
              <w:t xml:space="preserve">Adicionalmente, la Entidad Estatal no está obligada a acoger las solicitudes de limitación territorial formuladas por las </w:t>
            </w:r>
            <w:proofErr w:type="spellStart"/>
            <w:r w:rsidRPr="00944623">
              <w:rPr>
                <w:rFonts w:ascii="Verdana" w:eastAsia="Verdana" w:hAnsi="Verdana" w:cs="Verdana"/>
              </w:rPr>
              <w:t>Mipyme</w:t>
            </w:r>
            <w:proofErr w:type="spellEnd"/>
            <w:r w:rsidRPr="00944623">
              <w:rPr>
                <w:rFonts w:ascii="Verdana" w:eastAsia="Verdana" w:hAnsi="Verdana" w:cs="Verdana"/>
              </w:rPr>
              <w:t xml:space="preserve">, pues la norma le confiere una potestad y no un deber en cuanto al ámbito geográfico de la restricción. Si, con fundamento en los estudios del sector, la Entidad concluye que el objeto contractual no presenta una vinculación territorial específica, o que una limitación territorial podría afectar la pluralidad de oferentes, podrá válidamente optar por limitar la convocatoria únicamente a </w:t>
            </w:r>
            <w:proofErr w:type="spellStart"/>
            <w:r w:rsidRPr="00944623">
              <w:rPr>
                <w:rFonts w:ascii="Verdana" w:eastAsia="Verdana" w:hAnsi="Verdana" w:cs="Verdana"/>
              </w:rPr>
              <w:t>Mipyme</w:t>
            </w:r>
            <w:proofErr w:type="spellEnd"/>
            <w:r w:rsidRPr="00944623">
              <w:rPr>
                <w:rFonts w:ascii="Verdana" w:eastAsia="Verdana" w:hAnsi="Verdana" w:cs="Verdana"/>
              </w:rPr>
              <w:t xml:space="preserve"> nacionales, decisión que también cumple con el propósito de la política pública de promoción empresarial</w:t>
            </w:r>
            <w:r>
              <w:rPr>
                <w:rFonts w:ascii="Verdana" w:eastAsia="Verdana" w:hAnsi="Verdana" w:cs="Verdana"/>
              </w:rPr>
              <w:t>.</w:t>
            </w:r>
          </w:p>
          <w:p w14:paraId="15D37E77" w14:textId="77777777" w:rsidR="00E214AF" w:rsidRPr="00944623" w:rsidRDefault="00E214AF" w:rsidP="00B519F3">
            <w:pPr>
              <w:spacing w:before="120" w:after="120" w:line="276" w:lineRule="auto"/>
              <w:ind w:firstLine="708"/>
              <w:jc w:val="both"/>
              <w:rPr>
                <w:rFonts w:ascii="Verdana" w:eastAsia="Verdana" w:hAnsi="Verdana" w:cs="Verdana"/>
              </w:rPr>
            </w:pPr>
            <w:r w:rsidRPr="00944623">
              <w:rPr>
                <w:rFonts w:ascii="Verdana" w:eastAsia="Verdana" w:hAnsi="Verdana" w:cs="Verdana"/>
              </w:rPr>
              <w:t>Ahora bien, la normativa vigente no contempla la posibilidad de que las entidades estatales configuren circunscripciones territoriales diferentes a las expresamente establecidas por el reglamento, esto es, municipal o departamental. En consecuencia, no es jurídicamente procedente delimitar la convocatoria a un conjunto de municipios o a una zona geográfica intermedia o mixta, pues ello implicaría extender el alcance de la norma más allá de lo previsto por el legislador y el Ejecutivo.</w:t>
            </w:r>
          </w:p>
          <w:p w14:paraId="6DA75021" w14:textId="77777777" w:rsidR="00E214AF" w:rsidRPr="00054373" w:rsidRDefault="00E214AF" w:rsidP="00B519F3">
            <w:pPr>
              <w:spacing w:before="120" w:after="120" w:line="276" w:lineRule="auto"/>
              <w:ind w:firstLine="708"/>
              <w:jc w:val="both"/>
              <w:rPr>
                <w:rFonts w:ascii="Verdana" w:hAnsi="Verdana"/>
              </w:rPr>
            </w:pPr>
            <w:r w:rsidRPr="00944623">
              <w:rPr>
                <w:rFonts w:ascii="Verdana" w:eastAsia="Verdana" w:hAnsi="Verdana" w:cs="Verdana"/>
              </w:rPr>
              <w:t xml:space="preserve">Finalmente, ni la cantidad de solicitudes ni su origen territorial generan por sí solas un derecho preferente que obligue a la entidad a escoger una de las dos escalas de limitación. La Entidad debe sustentar su decisión en criterios objetivos, tales como la localización del objeto contractual, la capacidad de las </w:t>
            </w:r>
            <w:proofErr w:type="spellStart"/>
            <w:r w:rsidRPr="00944623">
              <w:rPr>
                <w:rFonts w:ascii="Verdana" w:eastAsia="Verdana" w:hAnsi="Verdana" w:cs="Verdana"/>
              </w:rPr>
              <w:t>Mipyme</w:t>
            </w:r>
            <w:proofErr w:type="spellEnd"/>
            <w:r w:rsidRPr="00944623">
              <w:rPr>
                <w:rFonts w:ascii="Verdana" w:eastAsia="Verdana" w:hAnsi="Verdana" w:cs="Verdana"/>
              </w:rPr>
              <w:t xml:space="preserve"> potenciales proveedoras y las condiciones de competencia en el mercado, dejando constancia en los estudios del sector de las razones que justifican la delimitación elegida. De esta manera, la decisión se ajustará al marco jurídico vigente y contribuirá al fin último de la política de fomento a las </w:t>
            </w:r>
            <w:proofErr w:type="spellStart"/>
            <w:r w:rsidRPr="00944623">
              <w:rPr>
                <w:rFonts w:ascii="Verdana" w:eastAsia="Verdana" w:hAnsi="Verdana" w:cs="Verdana"/>
              </w:rPr>
              <w:t>Mipyme</w:t>
            </w:r>
            <w:proofErr w:type="spellEnd"/>
            <w:r w:rsidRPr="00944623">
              <w:rPr>
                <w:rFonts w:ascii="Verdana" w:eastAsia="Verdana" w:hAnsi="Verdana" w:cs="Verdana"/>
              </w:rPr>
              <w:t>, orientada a fortalecer el desarrollo económico y productivo de las regiones.</w:t>
            </w:r>
          </w:p>
          <w:p w14:paraId="46B9E4F8" w14:textId="77777777" w:rsidR="00E214AF" w:rsidRPr="00AF5EF1" w:rsidRDefault="00E214AF" w:rsidP="00B519F3">
            <w:pPr>
              <w:spacing w:before="120" w:after="120" w:line="276" w:lineRule="auto"/>
              <w:ind w:firstLine="708"/>
              <w:jc w:val="both"/>
              <w:rPr>
                <w:rFonts w:ascii="Verdana" w:hAnsi="Verdana"/>
              </w:rPr>
            </w:pPr>
            <w:r>
              <w:rPr>
                <w:rFonts w:ascii="Verdana" w:hAnsi="Verdana"/>
                <w:b/>
                <w:bCs/>
                <w:lang w:val="es-ES"/>
              </w:rPr>
              <w:t>2</w:t>
            </w:r>
            <w:r w:rsidRPr="001423E1">
              <w:rPr>
                <w:rFonts w:ascii="Verdana" w:hAnsi="Verdana"/>
                <w:b/>
                <w:bCs/>
                <w:lang w:val="es-ES"/>
              </w:rPr>
              <w:t>.</w:t>
            </w:r>
            <w:r>
              <w:rPr>
                <w:rFonts w:ascii="Verdana" w:hAnsi="Verdana"/>
                <w:lang w:val="es-ES"/>
              </w:rPr>
              <w:t xml:space="preserve"> </w:t>
            </w:r>
            <w:r w:rsidRPr="00AF5EF1">
              <w:rPr>
                <w:rFonts w:ascii="Verdana" w:hAnsi="Verdana"/>
              </w:rPr>
              <w:t xml:space="preserve">Los proponentes plurales, tales como consorcios y uniones temporales, sí pueden solicitar la limitación de una convocatoria a </w:t>
            </w:r>
            <w:proofErr w:type="spellStart"/>
            <w:r w:rsidRPr="00AF5EF1">
              <w:rPr>
                <w:rFonts w:ascii="Verdana" w:hAnsi="Verdana"/>
              </w:rPr>
              <w:t>Mipyme</w:t>
            </w:r>
            <w:proofErr w:type="spellEnd"/>
            <w:r w:rsidRPr="00AF5EF1">
              <w:rPr>
                <w:rFonts w:ascii="Verdana" w:hAnsi="Verdana"/>
              </w:rPr>
              <w:t xml:space="preserve"> y participar en ella, siempre que todos sus integrantes sean efectivamente </w:t>
            </w:r>
            <w:proofErr w:type="spellStart"/>
            <w:r w:rsidRPr="00AF5EF1">
              <w:rPr>
                <w:rFonts w:ascii="Verdana" w:hAnsi="Verdana"/>
              </w:rPr>
              <w:t>Mipyme</w:t>
            </w:r>
            <w:proofErr w:type="spellEnd"/>
            <w:r w:rsidRPr="00AF5EF1">
              <w:rPr>
                <w:rFonts w:ascii="Verdana" w:hAnsi="Verdana"/>
              </w:rPr>
              <w:t xml:space="preserve"> colombianas con al menos un (1) año de existencia, conforme a lo previsto en los artículos 2.2.1.2.4.2.2 y 2.2.1.2.4.2.4, parágrafo 3, del Decreto 1082 de 2015, modificado por el Decreto 1860 de 2021.</w:t>
            </w:r>
          </w:p>
          <w:p w14:paraId="6491D5FC" w14:textId="77777777" w:rsidR="00E214AF" w:rsidRPr="00AF5EF1" w:rsidRDefault="00E214AF" w:rsidP="00B519F3">
            <w:pPr>
              <w:spacing w:before="120" w:after="120" w:line="276" w:lineRule="auto"/>
              <w:ind w:firstLine="708"/>
              <w:jc w:val="both"/>
              <w:rPr>
                <w:rFonts w:ascii="Verdana" w:hAnsi="Verdana"/>
              </w:rPr>
            </w:pPr>
            <w:r w:rsidRPr="00AF5EF1">
              <w:rPr>
                <w:rFonts w:ascii="Verdana" w:hAnsi="Verdana"/>
              </w:rPr>
              <w:t xml:space="preserve">Dado que estas figuras carecen de personería jurídica propia, la condición de </w:t>
            </w:r>
            <w:proofErr w:type="spellStart"/>
            <w:r w:rsidRPr="00AF5EF1">
              <w:rPr>
                <w:rFonts w:ascii="Verdana" w:hAnsi="Verdana"/>
              </w:rPr>
              <w:t>Mipyme</w:t>
            </w:r>
            <w:proofErr w:type="spellEnd"/>
            <w:r w:rsidRPr="00AF5EF1">
              <w:rPr>
                <w:rFonts w:ascii="Verdana" w:hAnsi="Verdana"/>
              </w:rPr>
              <w:t xml:space="preserve"> no se predica del consorcio o de la unión temporal como tal, sino de cada uno de los miembros que los integran. Por consiguiente, la acreditación de esta condición debe realizarse de manera individual, con base </w:t>
            </w:r>
            <w:r w:rsidRPr="00AF5EF1">
              <w:rPr>
                <w:rFonts w:ascii="Verdana" w:hAnsi="Verdana"/>
              </w:rPr>
              <w:lastRenderedPageBreak/>
              <w:t>en los parámetros establecidos por el Ministerio de Comercio, Industria y Turismo, en cuanto a número de empleados y valor de activos totales.</w:t>
            </w:r>
          </w:p>
          <w:p w14:paraId="49CB00DC" w14:textId="77777777" w:rsidR="00E214AF" w:rsidRPr="00AF5EF1" w:rsidRDefault="00E214AF" w:rsidP="00B519F3">
            <w:pPr>
              <w:spacing w:before="120" w:after="120" w:line="276" w:lineRule="auto"/>
              <w:ind w:firstLine="708"/>
              <w:jc w:val="both"/>
              <w:rPr>
                <w:rFonts w:ascii="Verdana" w:hAnsi="Verdana"/>
              </w:rPr>
            </w:pPr>
            <w:r w:rsidRPr="00AF5EF1">
              <w:rPr>
                <w:rFonts w:ascii="Verdana" w:hAnsi="Verdana"/>
              </w:rPr>
              <w:t xml:space="preserve">La solicitud de limitación podrá ser presentada por el representante común del proponente plural, siempre que cuente con las facultades expresas otorgadas en el acuerdo de constitución. No obstante, la Entidad Estatal solo podrá aceptar la solicitud y, posteriormente, la oferta, si verifica que todos los integrantes del grupo plural cumplen los requisitos exigidos para las </w:t>
            </w:r>
            <w:proofErr w:type="spellStart"/>
            <w:r w:rsidRPr="00AF5EF1">
              <w:rPr>
                <w:rFonts w:ascii="Verdana" w:hAnsi="Verdana"/>
              </w:rPr>
              <w:t>Mipyme</w:t>
            </w:r>
            <w:proofErr w:type="spellEnd"/>
            <w:r w:rsidRPr="00AF5EF1">
              <w:rPr>
                <w:rFonts w:ascii="Verdana" w:hAnsi="Verdana"/>
              </w:rPr>
              <w:t>.</w:t>
            </w:r>
          </w:p>
          <w:p w14:paraId="0BECC95F" w14:textId="77777777" w:rsidR="00E214AF" w:rsidRPr="003E3E88" w:rsidRDefault="00E214AF" w:rsidP="00B519F3">
            <w:pPr>
              <w:spacing w:before="120" w:after="120" w:line="276" w:lineRule="auto"/>
              <w:ind w:firstLine="708"/>
              <w:jc w:val="both"/>
              <w:rPr>
                <w:rFonts w:ascii="Verdana" w:hAnsi="Verdana"/>
                <w:lang w:val="es-ES"/>
              </w:rPr>
            </w:pPr>
            <w:r w:rsidRPr="00AF5EF1">
              <w:rPr>
                <w:rFonts w:ascii="Verdana" w:hAnsi="Verdana"/>
              </w:rPr>
              <w:t xml:space="preserve">En consecuencia, si alguno de los integrantes no acredita dicha calidad, el proponente plural en su conjunto no podrá solicitar ni participar en convocatorias limitadas, puesto que la medida afirmativa está dirigida exclusivamente a </w:t>
            </w:r>
            <w:proofErr w:type="spellStart"/>
            <w:r w:rsidRPr="00AF5EF1">
              <w:rPr>
                <w:rFonts w:ascii="Verdana" w:hAnsi="Verdana"/>
              </w:rPr>
              <w:t>Mipyme</w:t>
            </w:r>
            <w:proofErr w:type="spellEnd"/>
            <w:r w:rsidRPr="00AF5EF1">
              <w:rPr>
                <w:rFonts w:ascii="Verdana" w:hAnsi="Verdana"/>
              </w:rPr>
              <w:t>. Esta interpretación garantiza el cumplimiento del propósito de la política pública de inclusión empresarial, que busca fortalecer la participación de las micro, pequeñas y medianas empresas en el mercado de compras públicas, bajo condiciones de equidad y transparencia.</w:t>
            </w:r>
            <w:r>
              <w:rPr>
                <w:rFonts w:ascii="Verdana" w:hAnsi="Verdana"/>
              </w:rPr>
              <w:t xml:space="preserve">  </w:t>
            </w:r>
          </w:p>
        </w:tc>
      </w:tr>
    </w:tbl>
    <w:p w14:paraId="1A50E23A" w14:textId="77777777" w:rsidR="00E214AF" w:rsidRPr="00593A5F" w:rsidRDefault="00E214AF" w:rsidP="00E214AF">
      <w:pPr>
        <w:tabs>
          <w:tab w:val="left" w:pos="142"/>
          <w:tab w:val="left" w:pos="284"/>
        </w:tabs>
        <w:spacing w:after="0" w:line="276" w:lineRule="auto"/>
        <w:jc w:val="both"/>
        <w:rPr>
          <w:rFonts w:ascii="Verdana" w:eastAsia="Century Gothic" w:hAnsi="Verdana" w:cs="Century Gothic"/>
          <w:b/>
          <w:bCs/>
          <w:lang w:val="es-ES"/>
        </w:rPr>
      </w:pPr>
    </w:p>
    <w:bookmarkEnd w:id="1"/>
    <w:p w14:paraId="2C0395B3" w14:textId="77777777" w:rsidR="00E214AF" w:rsidRPr="00593A5F" w:rsidRDefault="00E214AF" w:rsidP="00E214A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2092CA92" w14:textId="77777777" w:rsidR="00E214AF" w:rsidRPr="00593A5F" w:rsidRDefault="00E214AF" w:rsidP="00E214AF">
      <w:pPr>
        <w:spacing w:after="0" w:line="276" w:lineRule="auto"/>
        <w:jc w:val="both"/>
        <w:rPr>
          <w:rFonts w:ascii="Verdana" w:eastAsia="Calibri" w:hAnsi="Verdana" w:cs="Arial"/>
          <w:color w:val="7030A0"/>
          <w:lang w:val="es-ES"/>
        </w:rPr>
      </w:pPr>
    </w:p>
    <w:p w14:paraId="3A721503" w14:textId="77777777" w:rsidR="00E214AF" w:rsidRDefault="00E214AF" w:rsidP="00E214AF">
      <w:pPr>
        <w:spacing w:after="0" w:line="276" w:lineRule="auto"/>
        <w:jc w:val="both"/>
        <w:rPr>
          <w:rFonts w:ascii="Verdana" w:eastAsia="Calibri" w:hAnsi="Verdana" w:cs="Arial"/>
          <w:lang w:val="es-ES"/>
        </w:rPr>
      </w:pPr>
      <w:r w:rsidRPr="00171942">
        <w:rPr>
          <w:rFonts w:ascii="Verdana" w:eastAsia="Calibri" w:hAnsi="Verdana" w:cs="Arial"/>
        </w:rPr>
        <w:t xml:space="preserve">En atención a la consulta formulada, mediante la cual se solicita a la Agencia Nacional de Contratación Pública – Colombia Compra Eficiente precisar el alcance y las condiciones de aplicación de la limitación de convocatorias a </w:t>
      </w:r>
      <w:proofErr w:type="spellStart"/>
      <w:r w:rsidRPr="00171942">
        <w:rPr>
          <w:rFonts w:ascii="Verdana" w:eastAsia="Calibri" w:hAnsi="Verdana" w:cs="Arial"/>
        </w:rPr>
        <w:t>Mipymes</w:t>
      </w:r>
      <w:proofErr w:type="spellEnd"/>
      <w:r w:rsidRPr="00171942">
        <w:rPr>
          <w:rFonts w:ascii="Verdana" w:eastAsia="Calibri" w:hAnsi="Verdana" w:cs="Arial"/>
        </w:rPr>
        <w:t xml:space="preserve"> en el marco del artículo 2.2.1.2.4.2.3 del Decreto 1082 de 2015, modificado por el Decreto 1860 de 2021, este concepto tiene por objeto analizar, a la luz del marco normativo vigente y de los principios que orientan la función administrativa y la contratación estatal, los criterios que deben guiar a las Entidades Estatales al momento de aplicar la limitación territorial (municipal o departamental) y la participación de proponentes plurales en procesos de selección limitados a </w:t>
      </w:r>
      <w:proofErr w:type="spellStart"/>
      <w:r w:rsidRPr="00171942">
        <w:rPr>
          <w:rFonts w:ascii="Verdana" w:eastAsia="Calibri" w:hAnsi="Verdana" w:cs="Arial"/>
        </w:rPr>
        <w:t>Mipymes</w:t>
      </w:r>
      <w:proofErr w:type="spellEnd"/>
      <w:r w:rsidRPr="00171942">
        <w:rPr>
          <w:rFonts w:ascii="Verdana" w:eastAsia="Calibri" w:hAnsi="Verdana" w:cs="Arial"/>
        </w:rPr>
        <w:t>. El análisis que se presenta a continuación se enmarca en la competencia consultiva de esta Agencia y busca contribuir a la interpretación uniforme de las disposiciones que promueven la participación efectiva de las micro, pequeñas y medianas empresas en el sistema de compra pública, en armonía con los fines de desarrollo regional y fortalecimiento del tejido productivo nacional.</w:t>
      </w:r>
    </w:p>
    <w:p w14:paraId="459CE2FD" w14:textId="77777777" w:rsidR="00E214AF" w:rsidRDefault="00E214AF" w:rsidP="00E214AF">
      <w:pPr>
        <w:spacing w:after="0" w:line="276" w:lineRule="auto"/>
        <w:jc w:val="both"/>
        <w:rPr>
          <w:rFonts w:ascii="Verdana" w:eastAsia="Calibri" w:hAnsi="Verdana" w:cs="Arial"/>
          <w:lang w:val="es-ES"/>
        </w:rPr>
      </w:pPr>
    </w:p>
    <w:p w14:paraId="2EBCE804" w14:textId="77777777" w:rsidR="00E214AF" w:rsidRPr="00C940A9" w:rsidRDefault="00E214AF" w:rsidP="00E214AF">
      <w:pPr>
        <w:spacing w:after="120" w:line="276" w:lineRule="auto"/>
        <w:jc w:val="both"/>
        <w:rPr>
          <w:rFonts w:ascii="Verdana" w:hAnsi="Verdana" w:cs="Arial"/>
          <w:bCs/>
          <w:lang w:eastAsia="es-ES"/>
        </w:rPr>
      </w:pPr>
      <w:r w:rsidRPr="00C87C06">
        <w:rPr>
          <w:rFonts w:ascii="Verdana" w:hAnsi="Verdana" w:cs="Arial"/>
          <w:b/>
          <w:lang w:val="es-ES_tradnl" w:eastAsia="es-ES"/>
        </w:rPr>
        <w:t>i</w:t>
      </w:r>
      <w:r>
        <w:rPr>
          <w:rFonts w:ascii="Verdana" w:hAnsi="Verdana" w:cs="Arial"/>
          <w:b/>
          <w:lang w:val="es-ES_tradnl" w:eastAsia="es-ES"/>
        </w:rPr>
        <w:t xml:space="preserve">). </w:t>
      </w:r>
      <w:r>
        <w:rPr>
          <w:rFonts w:ascii="Verdana" w:hAnsi="Verdana" w:cs="Arial"/>
          <w:bCs/>
          <w:lang w:val="es-ES_tradnl" w:eastAsia="es-ES"/>
        </w:rPr>
        <w:t>E</w:t>
      </w:r>
      <w:r w:rsidRPr="00C940A9">
        <w:rPr>
          <w:rFonts w:ascii="Verdana" w:hAnsi="Verdana" w:cs="Arial"/>
          <w:bCs/>
          <w:lang w:val="es-ES_tradnl" w:eastAsia="es-ES"/>
        </w:rPr>
        <w:t xml:space="preserve">l artículo 5 del Decreto 1860 de 2021 modificó </w:t>
      </w:r>
      <w:r w:rsidRPr="00C940A9">
        <w:rPr>
          <w:rFonts w:ascii="Verdana" w:hAnsi="Verdana" w:cs="Arial"/>
          <w:bCs/>
          <w:lang w:eastAsia="es-ES"/>
        </w:rPr>
        <w:t xml:space="preserve">los artículos </w:t>
      </w:r>
      <w:bookmarkStart w:id="2" w:name="_Hlk194041112"/>
      <w:r w:rsidRPr="00C940A9">
        <w:rPr>
          <w:rFonts w:ascii="Verdana" w:hAnsi="Verdana" w:cs="Arial"/>
          <w:bCs/>
          <w:lang w:eastAsia="es-ES"/>
        </w:rPr>
        <w:t>2.2.1.2.4.2.2., 2.2.1.2.4.2.3. y 2.2.1.2.4.2.4</w:t>
      </w:r>
      <w:bookmarkEnd w:id="2"/>
      <w:r w:rsidRPr="00C940A9">
        <w:rPr>
          <w:rFonts w:ascii="Verdana" w:hAnsi="Verdana" w:cs="Arial"/>
          <w:bCs/>
          <w:lang w:eastAsia="es-ES"/>
        </w:rPr>
        <w:t>. de la Subsección 2 de la Sección 4 del Capítulo 2 del Título 1 de la Parte 2 del Libro 2 del Decreto 1082 de 2015, reglamentando</w:t>
      </w:r>
      <w:r w:rsidRPr="00C940A9">
        <w:rPr>
          <w:rFonts w:ascii="Verdana" w:hAnsi="Verdana" w:cs="Arial"/>
          <w:bCs/>
          <w:lang w:val="es-ES_tradnl" w:eastAsia="es-ES"/>
        </w:rPr>
        <w:t xml:space="preserve"> las convocatorias limitadas a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con fundamento en lo establecido en el </w:t>
      </w:r>
      <w:r w:rsidRPr="00C940A9">
        <w:rPr>
          <w:rFonts w:ascii="Verdana" w:hAnsi="Verdana" w:cs="Arial"/>
          <w:bCs/>
          <w:lang w:val="es-ES_tradnl" w:eastAsia="es-ES"/>
        </w:rPr>
        <w:lastRenderedPageBreak/>
        <w:t xml:space="preserve">artículo 34 de la Ley 2069 de 2020. Esta nueva </w:t>
      </w:r>
      <w:r>
        <w:rPr>
          <w:rFonts w:ascii="Verdana" w:hAnsi="Verdana" w:cs="Arial"/>
          <w:bCs/>
          <w:lang w:val="es-ES_tradnl" w:eastAsia="es-ES"/>
        </w:rPr>
        <w:t>reglamentación</w:t>
      </w:r>
      <w:r w:rsidRPr="00C940A9">
        <w:rPr>
          <w:rFonts w:ascii="Verdana" w:hAnsi="Verdana" w:cs="Arial"/>
          <w:bCs/>
          <w:lang w:val="es-ES_tradnl" w:eastAsia="es-ES"/>
        </w:rPr>
        <w:t xml:space="preserve"> </w:t>
      </w:r>
      <w:r>
        <w:rPr>
          <w:rFonts w:ascii="Verdana" w:hAnsi="Verdana" w:cs="Arial"/>
          <w:bCs/>
          <w:lang w:val="es-ES_tradnl" w:eastAsia="es-ES"/>
        </w:rPr>
        <w:t>desarrolla</w:t>
      </w:r>
      <w:r w:rsidRPr="00C940A9">
        <w:rPr>
          <w:rFonts w:ascii="Verdana" w:hAnsi="Verdana" w:cs="Arial"/>
          <w:bCs/>
          <w:lang w:val="es-ES_tradnl" w:eastAsia="es-ES"/>
        </w:rPr>
        <w:t xml:space="preserve"> </w:t>
      </w:r>
      <w:r>
        <w:rPr>
          <w:rFonts w:ascii="Verdana" w:hAnsi="Verdana" w:cs="Arial"/>
          <w:bCs/>
          <w:lang w:val="es-ES_tradnl" w:eastAsia="es-ES"/>
        </w:rPr>
        <w:t xml:space="preserve">tres </w:t>
      </w:r>
      <w:r w:rsidRPr="00C940A9">
        <w:rPr>
          <w:rFonts w:ascii="Verdana" w:hAnsi="Verdana" w:cs="Arial"/>
          <w:bCs/>
          <w:lang w:val="es-ES_tradnl" w:eastAsia="es-ES"/>
        </w:rPr>
        <w:t xml:space="preserve">aspectos: i) requisitos para limitar la convocatoria de los </w:t>
      </w:r>
      <w:r w:rsidRPr="00C940A9">
        <w:rPr>
          <w:rFonts w:ascii="Verdana" w:hAnsi="Verdana" w:cs="Arial"/>
          <w:bCs/>
          <w:lang w:eastAsia="es-ES"/>
        </w:rPr>
        <w:t>procesos de contratación con pluralidad de oferentes</w:t>
      </w:r>
      <w:r w:rsidRPr="00C940A9">
        <w:rPr>
          <w:rFonts w:ascii="Verdana" w:hAnsi="Verdana" w:cs="Arial"/>
          <w:bCs/>
          <w:lang w:val="es-ES_tradnl" w:eastAsia="es-ES"/>
        </w:rPr>
        <w:t xml:space="preserve"> a las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colombianas con mínimo un (1) año de existencia – artículo </w:t>
      </w:r>
      <w:r w:rsidRPr="00C940A9">
        <w:rPr>
          <w:rFonts w:ascii="Verdana" w:hAnsi="Verdana" w:cs="Arial"/>
          <w:bCs/>
          <w:lang w:eastAsia="es-ES"/>
        </w:rPr>
        <w:t>2.2.1.2.4.2.2-</w:t>
      </w:r>
      <w:r w:rsidRPr="00C940A9">
        <w:rPr>
          <w:rFonts w:ascii="Verdana" w:hAnsi="Verdana" w:cs="Arial"/>
          <w:bCs/>
          <w:lang w:val="es-ES_tradnl" w:eastAsia="es-ES"/>
        </w:rPr>
        <w:t xml:space="preserve"> , </w:t>
      </w:r>
      <w:proofErr w:type="spellStart"/>
      <w:r w:rsidRPr="00C940A9">
        <w:rPr>
          <w:rFonts w:ascii="Verdana" w:hAnsi="Verdana" w:cs="Arial"/>
          <w:bCs/>
          <w:lang w:val="es-ES_tradnl" w:eastAsia="es-ES"/>
        </w:rPr>
        <w:t>ii</w:t>
      </w:r>
      <w:proofErr w:type="spellEnd"/>
      <w:r w:rsidRPr="00C940A9">
        <w:rPr>
          <w:rFonts w:ascii="Verdana" w:hAnsi="Verdana" w:cs="Arial"/>
          <w:bCs/>
          <w:lang w:val="es-ES_tradnl" w:eastAsia="es-ES"/>
        </w:rPr>
        <w:t xml:space="preserve">) desarrolla las </w:t>
      </w:r>
      <w:r w:rsidRPr="00C940A9">
        <w:rPr>
          <w:rFonts w:ascii="Verdana" w:hAnsi="Verdana" w:cs="Arial"/>
          <w:bCs/>
          <w:lang w:eastAsia="es-ES"/>
        </w:rPr>
        <w:t xml:space="preserve">convocatorias limitadas a </w:t>
      </w:r>
      <w:proofErr w:type="spellStart"/>
      <w:r w:rsidRPr="00C940A9">
        <w:rPr>
          <w:rFonts w:ascii="Verdana" w:hAnsi="Verdana" w:cs="Arial"/>
          <w:bCs/>
          <w:lang w:eastAsia="es-ES"/>
        </w:rPr>
        <w:t>Mipyme</w:t>
      </w:r>
      <w:proofErr w:type="spellEnd"/>
      <w:r w:rsidRPr="00C940A9">
        <w:rPr>
          <w:rFonts w:ascii="Verdana" w:hAnsi="Verdana" w:cs="Arial"/>
          <w:bCs/>
          <w:lang w:eastAsia="es-ES"/>
        </w:rPr>
        <w:t xml:space="preserve"> colombianas que tengan domicilio en los departamentos o municipios en donde se va a ejecutar el contrato – artículo 2.2.1.2.4.2.3.,</w:t>
      </w:r>
      <w:r w:rsidRPr="00C940A9">
        <w:rPr>
          <w:rFonts w:ascii="Verdana" w:hAnsi="Verdana" w:cs="Arial"/>
          <w:bCs/>
          <w:lang w:val="es-ES_tradnl" w:eastAsia="es-ES"/>
        </w:rPr>
        <w:t xml:space="preserve"> y </w:t>
      </w:r>
      <w:proofErr w:type="spellStart"/>
      <w:r w:rsidRPr="00C940A9">
        <w:rPr>
          <w:rFonts w:ascii="Verdana" w:hAnsi="Verdana" w:cs="Arial"/>
          <w:bCs/>
          <w:lang w:val="es-ES_tradnl" w:eastAsia="es-ES"/>
        </w:rPr>
        <w:t>iii</w:t>
      </w:r>
      <w:proofErr w:type="spellEnd"/>
      <w:r w:rsidRPr="00C940A9">
        <w:rPr>
          <w:rFonts w:ascii="Verdana" w:hAnsi="Verdana" w:cs="Arial"/>
          <w:bCs/>
          <w:lang w:val="es-ES_tradnl" w:eastAsia="es-ES"/>
        </w:rPr>
        <w:t xml:space="preserve">) </w:t>
      </w:r>
      <w:r w:rsidRPr="00C940A9">
        <w:rPr>
          <w:rFonts w:ascii="Verdana" w:hAnsi="Verdana" w:cs="Arial"/>
          <w:bCs/>
          <w:lang w:eastAsia="es-ES"/>
        </w:rPr>
        <w:t>regula la acreditación de requisitos para participar en convocatorias limitadas – artículo 2.2.1.2.4.2.4-</w:t>
      </w:r>
      <w:r>
        <w:rPr>
          <w:rFonts w:ascii="Verdana" w:hAnsi="Verdana" w:cs="Arial"/>
          <w:bCs/>
          <w:lang w:eastAsia="es-ES"/>
        </w:rPr>
        <w:t>.</w:t>
      </w:r>
    </w:p>
    <w:p w14:paraId="201DAEB5" w14:textId="77777777" w:rsidR="00E214AF" w:rsidRPr="00C940A9" w:rsidRDefault="00E214AF" w:rsidP="00E214AF">
      <w:pPr>
        <w:spacing w:after="120" w:line="276" w:lineRule="auto"/>
        <w:ind w:firstLine="709"/>
        <w:jc w:val="both"/>
        <w:rPr>
          <w:rFonts w:ascii="Verdana" w:hAnsi="Verdana" w:cs="Arial"/>
          <w:lang w:val="es-ES" w:eastAsia="es-ES"/>
        </w:rPr>
      </w:pPr>
      <w:r w:rsidRPr="00C940A9">
        <w:rPr>
          <w:rFonts w:ascii="Verdana" w:hAnsi="Verdana" w:cs="Arial"/>
          <w:lang w:val="es-ES" w:eastAsia="es-ES"/>
        </w:rPr>
        <w:t xml:space="preserve">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00C940A9">
        <w:rPr>
          <w:rFonts w:ascii="Verdana" w:hAnsi="Verdana" w:cs="Arial"/>
          <w:lang w:val="es-ES" w:eastAsia="es-ES"/>
        </w:rPr>
        <w:t>Mipyme</w:t>
      </w:r>
      <w:proofErr w:type="spellEnd"/>
      <w:r w:rsidRPr="00C940A9">
        <w:rPr>
          <w:rFonts w:ascii="Verdana" w:hAnsi="Verdana" w:cs="Arial"/>
          <w:lang w:val="es-ES" w:eastAsia="es-ES"/>
        </w:rPr>
        <w:t>,</w:t>
      </w:r>
      <w:r w:rsidRPr="00C940A9">
        <w:rPr>
          <w:rFonts w:ascii="Verdana" w:eastAsia="Calibri" w:hAnsi="Verdana" w:cs="Arial"/>
          <w:lang w:val="es-ES"/>
        </w:rPr>
        <w:t xml:space="preserve"> </w:t>
      </w:r>
      <w:r w:rsidRPr="00C940A9">
        <w:rPr>
          <w:rFonts w:ascii="Verdana" w:hAnsi="Verdana" w:cs="Arial"/>
          <w:lang w:val="es-ES" w:eastAsia="es-ES"/>
        </w:rPr>
        <w:t xml:space="preserve">disposición que entró a regir desde el 24 de marzo de 2022, pues, como se indicó, </w:t>
      </w:r>
      <w:r w:rsidRPr="00C940A9">
        <w:rPr>
          <w:rFonts w:ascii="Verdana" w:eastAsia="Calibri" w:hAnsi="Verdana" w:cs="Arial"/>
          <w:lang w:val="es-ES"/>
        </w:rPr>
        <w:t>el artículo 8 de dicho decreto sometió su vigencia al transcurso del periodo de 3 meses siguientes a su expedición.</w:t>
      </w:r>
    </w:p>
    <w:p w14:paraId="2DC413A5" w14:textId="77777777" w:rsidR="00E214AF" w:rsidRPr="00C940A9" w:rsidRDefault="00E214AF" w:rsidP="00E214AF">
      <w:pPr>
        <w:spacing w:after="0" w:line="276" w:lineRule="auto"/>
        <w:ind w:firstLine="709"/>
        <w:jc w:val="both"/>
        <w:rPr>
          <w:rFonts w:ascii="Verdana" w:eastAsia="Arial" w:hAnsi="Verdana" w:cs="Arial"/>
          <w:color w:val="000000"/>
        </w:rPr>
      </w:pPr>
      <w:r w:rsidRPr="00C940A9">
        <w:rPr>
          <w:rFonts w:ascii="Verdana" w:eastAsia="Arial" w:hAnsi="Verdana" w:cs="Arial"/>
          <w:color w:val="000000"/>
        </w:rPr>
        <w:t xml:space="preserve">En este contexto, el artículo 2.2.1.2.4.2.2. del Decreto 1082 de 2015 –modificado por el Decreto 1860 de 2021– establece los requisitos que se deben acreditar en las “convocatorias limitadas a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colombianas con mínimo un (1) año de existencia, siempre que se cumplan los requisitos señalados allí. Al respecto indica lo siguiente: </w:t>
      </w:r>
    </w:p>
    <w:p w14:paraId="56327C21" w14:textId="77777777" w:rsidR="00E214AF" w:rsidRDefault="00E214AF" w:rsidP="00E214AF">
      <w:pPr>
        <w:spacing w:after="0"/>
        <w:ind w:left="709" w:right="709"/>
        <w:jc w:val="both"/>
        <w:rPr>
          <w:rFonts w:ascii="Verdana" w:eastAsia="Calibri" w:hAnsi="Verdana" w:cs="Arial"/>
          <w:sz w:val="20"/>
          <w:szCs w:val="20"/>
          <w:lang w:val="es-ES"/>
        </w:rPr>
      </w:pPr>
    </w:p>
    <w:p w14:paraId="69D0D9FF" w14:textId="77777777" w:rsidR="00E214AF" w:rsidRPr="00C940A9" w:rsidRDefault="00E214AF" w:rsidP="00E214AF">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00C940A9">
        <w:rPr>
          <w:rFonts w:ascii="Verdana" w:eastAsia="Calibri" w:hAnsi="Verdana" w:cs="Arial"/>
          <w:sz w:val="20"/>
          <w:szCs w:val="20"/>
          <w:lang w:val="es-ES"/>
        </w:rPr>
        <w:t xml:space="preserve">Artículo 2.2.1.2.4.2.2. Convocatorias Imitadas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con mínimo un (1) año de existencia, cuando concurran los siguientes requisitos: </w:t>
      </w:r>
    </w:p>
    <w:p w14:paraId="0C480DF1" w14:textId="77777777" w:rsidR="00E214AF" w:rsidRPr="00C940A9" w:rsidRDefault="00E214AF" w:rsidP="00E214AF">
      <w:pPr>
        <w:spacing w:after="0" w:line="240" w:lineRule="auto"/>
        <w:ind w:left="709" w:right="709"/>
        <w:jc w:val="both"/>
        <w:rPr>
          <w:rFonts w:ascii="Verdana" w:eastAsia="Calibri" w:hAnsi="Verdana" w:cs="Arial"/>
          <w:sz w:val="20"/>
          <w:szCs w:val="20"/>
          <w:lang w:val="es-ES"/>
        </w:rPr>
      </w:pPr>
    </w:p>
    <w:p w14:paraId="434B8528" w14:textId="77777777" w:rsidR="00E214AF" w:rsidRPr="00C940A9" w:rsidRDefault="00E214AF" w:rsidP="00E214AF">
      <w:pPr>
        <w:spacing w:after="0" w:line="240" w:lineRule="auto"/>
        <w:ind w:left="709" w:right="709"/>
        <w:jc w:val="both"/>
        <w:rPr>
          <w:rFonts w:ascii="Verdana" w:eastAsia="Calibri" w:hAnsi="Verdana" w:cs="Arial"/>
          <w:sz w:val="20"/>
          <w:szCs w:val="20"/>
          <w:lang w:val="es-ES_tradnl"/>
        </w:rPr>
      </w:pPr>
      <w:r w:rsidRPr="00C940A9">
        <w:rPr>
          <w:rFonts w:ascii="Verdana" w:eastAsia="Calibri" w:hAnsi="Verdana" w:cs="Arial"/>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4340289F" w14:textId="77777777" w:rsidR="00E214AF" w:rsidRDefault="00E214AF" w:rsidP="00E214AF">
      <w:pPr>
        <w:spacing w:after="0" w:line="240" w:lineRule="auto"/>
        <w:ind w:left="709" w:right="709"/>
        <w:jc w:val="both"/>
        <w:rPr>
          <w:rFonts w:ascii="Verdana" w:eastAsia="Calibri" w:hAnsi="Verdana" w:cs="Arial"/>
          <w:sz w:val="20"/>
          <w:szCs w:val="20"/>
          <w:lang w:val="es-ES"/>
        </w:rPr>
      </w:pPr>
    </w:p>
    <w:p w14:paraId="0F63347B" w14:textId="77777777" w:rsidR="00E214AF" w:rsidRPr="00C940A9" w:rsidRDefault="00E214AF" w:rsidP="00E214AF">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2. Se hayan recibido solicitudes de por lo menos dos (2)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para limitar la convocatoria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Las Entidades Estatales independientemente de su régimen de contratación, </w:t>
      </w:r>
      <w:r w:rsidRPr="00C940A9">
        <w:rPr>
          <w:rFonts w:ascii="Verdana" w:eastAsia="Calibri" w:hAnsi="Verdana" w:cs="Arial"/>
          <w:sz w:val="20"/>
          <w:szCs w:val="20"/>
          <w:lang w:val="es-ES"/>
        </w:rPr>
        <w:lastRenderedPageBreak/>
        <w:t xml:space="preserve">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cuyo objeto social les permita ejecutar el contrato relacionado con el proceso contractual.</w:t>
      </w:r>
    </w:p>
    <w:p w14:paraId="6BE1088E" w14:textId="77777777" w:rsidR="00E214AF" w:rsidRPr="00C940A9" w:rsidRDefault="00E214AF" w:rsidP="00E214AF">
      <w:pPr>
        <w:spacing w:after="0" w:line="240" w:lineRule="auto"/>
        <w:ind w:left="709" w:right="709"/>
        <w:jc w:val="both"/>
        <w:rPr>
          <w:rFonts w:ascii="Verdana" w:eastAsia="Calibri" w:hAnsi="Verdana" w:cs="Arial"/>
          <w:sz w:val="20"/>
          <w:szCs w:val="20"/>
          <w:lang w:val="es-ES"/>
        </w:rPr>
      </w:pPr>
    </w:p>
    <w:p w14:paraId="3312206E" w14:textId="77777777" w:rsidR="00E214AF" w:rsidRPr="00C940A9" w:rsidRDefault="00E214AF" w:rsidP="00E214AF">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Parágrafo. Las cooperativas y demás entidades de economía solidaria, siempre que tengan la calidad de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podrán solicitar y participar en las convocatorias limitadas en las mismas condiciones dispuestas en el presente artículo</w:t>
      </w:r>
      <w:r>
        <w:rPr>
          <w:rFonts w:ascii="Verdana" w:eastAsia="Calibri" w:hAnsi="Verdana" w:cs="Arial"/>
          <w:sz w:val="20"/>
          <w:szCs w:val="20"/>
          <w:lang w:val="es-ES"/>
        </w:rPr>
        <w:t>”</w:t>
      </w:r>
      <w:r w:rsidRPr="00C940A9">
        <w:rPr>
          <w:rFonts w:ascii="Verdana" w:eastAsia="Calibri" w:hAnsi="Verdana" w:cs="Arial"/>
          <w:sz w:val="20"/>
          <w:szCs w:val="20"/>
          <w:lang w:val="es-ES"/>
        </w:rPr>
        <w:t>.</w:t>
      </w:r>
    </w:p>
    <w:p w14:paraId="5972E4B7" w14:textId="77777777" w:rsidR="00E214AF" w:rsidRPr="001D4AC1" w:rsidRDefault="00E214AF" w:rsidP="00E214AF">
      <w:pPr>
        <w:spacing w:after="0"/>
        <w:ind w:left="709" w:right="709"/>
        <w:jc w:val="both"/>
        <w:rPr>
          <w:rFonts w:ascii="Century Gothic" w:eastAsia="Arial" w:hAnsi="Century Gothic" w:cs="Arial"/>
          <w:color w:val="000000"/>
        </w:rPr>
      </w:pPr>
    </w:p>
    <w:p w14:paraId="27BD28A2" w14:textId="77777777" w:rsidR="00E214AF" w:rsidRPr="00C940A9" w:rsidRDefault="00E214AF" w:rsidP="00E214AF">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Según se evidencia, el numeral primero limita cuantitativamente los procesos contractuales en los que se puede hacer esa convocatoria limitada a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w:t>
      </w:r>
      <w:r w:rsidRPr="00C940A9">
        <w:rPr>
          <w:rStyle w:val="Refdenotaalpie"/>
          <w:rFonts w:ascii="Verdana" w:eastAsia="Arial" w:hAnsi="Verdana" w:cs="Arial"/>
          <w:color w:val="000000"/>
        </w:rPr>
        <w:footnoteReference w:id="1"/>
      </w:r>
      <w:r w:rsidRPr="00C940A9">
        <w:rPr>
          <w:rFonts w:ascii="Verdana" w:eastAsia="Arial" w:hAnsi="Verdana" w:cs="Arial"/>
          <w:color w:val="000000"/>
        </w:rPr>
        <w:t xml:space="preserve">. </w:t>
      </w:r>
    </w:p>
    <w:p w14:paraId="1ECC94C3" w14:textId="77777777" w:rsidR="00E214AF" w:rsidRPr="005B1F06" w:rsidRDefault="00E214AF" w:rsidP="00E214AF">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Por su parte, el numeral segundo establece dos exigencias: por un lado, que al menos dos (2)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C940A9">
        <w:rPr>
          <w:rFonts w:ascii="Verdana" w:eastAsia="Arial" w:hAnsi="Verdana" w:cs="Arial"/>
          <w:color w:val="000000"/>
          <w:lang w:val="es-ES_tradnl"/>
        </w:rPr>
        <w:t xml:space="preserve">o el que haga </w:t>
      </w:r>
      <w:r w:rsidRPr="005B1F06">
        <w:rPr>
          <w:rFonts w:ascii="Verdana" w:eastAsia="Arial" w:hAnsi="Verdana" w:cs="Arial"/>
          <w:color w:val="000000"/>
          <w:lang w:val="es-ES_tradnl"/>
        </w:rPr>
        <w:t>sus veces de acuerdo con la normativa aplicable a cada proceso de contratación</w:t>
      </w:r>
      <w:r w:rsidRPr="005B1F06">
        <w:rPr>
          <w:rFonts w:ascii="Verdana" w:eastAsia="Arial" w:hAnsi="Verdana" w:cs="Arial"/>
          <w:color w:val="000000"/>
        </w:rPr>
        <w:t xml:space="preserve">. Además, la norma señala que, </w:t>
      </w:r>
      <w:r w:rsidRPr="005B1F06">
        <w:rPr>
          <w:rFonts w:ascii="Verdana" w:eastAsia="Arial" w:hAnsi="Verdana" w:cs="Arial"/>
          <w:color w:val="000000"/>
          <w:lang w:val="es-ES_tradnl"/>
        </w:rPr>
        <w:t xml:space="preserve">tratándose de personas jurídicas, las solicitudes solo las podrán realizar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siempre que estas cumplan con las condiciones señaladas en el artículo. </w:t>
      </w:r>
    </w:p>
    <w:p w14:paraId="2973C260" w14:textId="77777777" w:rsidR="00E214AF" w:rsidRPr="005B1F06" w:rsidRDefault="00E214AF" w:rsidP="00E214AF">
      <w:pPr>
        <w:spacing w:after="120" w:line="276" w:lineRule="auto"/>
        <w:ind w:firstLine="709"/>
        <w:jc w:val="both"/>
        <w:rPr>
          <w:rFonts w:ascii="Verdana" w:hAnsi="Verdana" w:cs="Arial"/>
          <w:lang w:val="es-ES" w:eastAsia="es-MX"/>
        </w:rPr>
      </w:pPr>
      <w:r w:rsidRPr="005B1F06">
        <w:rPr>
          <w:rFonts w:ascii="Verdana" w:eastAsia="Arial" w:hAnsi="Verdana" w:cs="Arial"/>
          <w:color w:val="000000"/>
          <w:lang w:val="es-ES_tradnl"/>
        </w:rPr>
        <w:t>Así las cosas,</w:t>
      </w:r>
      <w:r w:rsidRPr="005B1F06">
        <w:rPr>
          <w:rFonts w:ascii="Verdana" w:hAnsi="Verdana" w:cs="Arial"/>
          <w:lang w:val="es-ES" w:eastAsia="es-MX"/>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5B1F06">
        <w:rPr>
          <w:rFonts w:ascii="Verdana" w:hAnsi="Verdana" w:cs="Arial"/>
          <w:lang w:val="es-ES" w:eastAsia="es-MX"/>
        </w:rPr>
        <w:t>Mipymes</w:t>
      </w:r>
      <w:proofErr w:type="spellEnd"/>
      <w:r w:rsidRPr="005B1F06">
        <w:rPr>
          <w:rFonts w:ascii="Verdana" w:hAnsi="Verdana" w:cs="Arial"/>
          <w:lang w:val="es-ES" w:eastAsia="es-MX"/>
        </w:rPr>
        <w:t xml:space="preserve"> colombianas con mínimo un (1) año de existencia, cuando se cumplan los </w:t>
      </w:r>
      <w:r w:rsidRPr="005B1F06">
        <w:rPr>
          <w:rFonts w:ascii="Verdana" w:hAnsi="Verdana" w:cs="Arial"/>
          <w:lang w:val="es-ES" w:eastAsia="es-MX"/>
        </w:rPr>
        <w:lastRenderedPageBreak/>
        <w:t>requisitos previstos en el artículo 2.2.1.2.4.2.2 del Decreto 1082 de 2015 anteriormente señalado.</w:t>
      </w:r>
    </w:p>
    <w:p w14:paraId="58F4A5EE" w14:textId="77777777" w:rsidR="00E214AF" w:rsidRPr="005B1F06" w:rsidRDefault="00E214AF" w:rsidP="00E214AF">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t xml:space="preserve">En relación con las limitaciones territoriales </w:t>
      </w:r>
      <w:r w:rsidRPr="706726C8">
        <w:rPr>
          <w:rFonts w:ascii="Verdana" w:hAnsi="Verdana" w:cs="Arial"/>
          <w:lang w:val="es-ES"/>
        </w:rPr>
        <w:t xml:space="preserve">de las convocatorias a </w:t>
      </w:r>
      <w:proofErr w:type="spellStart"/>
      <w:r w:rsidRPr="706726C8">
        <w:rPr>
          <w:rFonts w:ascii="Verdana" w:hAnsi="Verdana" w:cs="Arial"/>
          <w:lang w:val="es-ES"/>
        </w:rPr>
        <w:t>Mipymes</w:t>
      </w:r>
      <w:proofErr w:type="spellEnd"/>
      <w:r w:rsidRPr="706726C8">
        <w:rPr>
          <w:rFonts w:ascii="Verdana" w:eastAsia="Calibri" w:hAnsi="Verdana" w:cs="Arial"/>
          <w:lang w:val="es-ES"/>
        </w:rPr>
        <w:t xml:space="preserve"> el texto del actual artículo 2.2.1.2.4.2.3, modificado por el artículo 5 del Decreto 1860 de 2021, determina que toda empresa constituida bajo las leyes colombianas o que tenga su domicilio principal en el territorio colombiano y, además, cumpla los criterios previstos por la </w:t>
      </w:r>
      <w:bookmarkStart w:id="3" w:name="_Hlk194041590"/>
      <w:r w:rsidRPr="706726C8">
        <w:rPr>
          <w:rFonts w:ascii="Verdana" w:eastAsia="Calibri" w:hAnsi="Verdana" w:cs="Arial"/>
          <w:lang w:val="es-ES"/>
        </w:rPr>
        <w:t>Ley 590 de 2000 y el Decreto 957 de 2019</w:t>
      </w:r>
      <w:bookmarkEnd w:id="3"/>
      <w:r w:rsidRPr="706726C8">
        <w:rPr>
          <w:rFonts w:ascii="Verdana" w:eastAsia="Calibri" w:hAnsi="Verdana" w:cs="Arial"/>
          <w:lang w:val="es-ES"/>
        </w:rPr>
        <w:t xml:space="preserve">, será considerada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domiciliadas en un municipio o departamento son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En consecuencia, no es procedente distinguir entre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y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municipales o departamentales, habida cuenta que estas últimas no existen como categoría dentro del ordenamiento normativo. </w:t>
      </w:r>
    </w:p>
    <w:p w14:paraId="3C8E791F" w14:textId="77777777" w:rsidR="00E214AF" w:rsidRPr="005B1F06" w:rsidRDefault="00E214AF" w:rsidP="00E214AF">
      <w:pPr>
        <w:spacing w:after="0" w:line="276" w:lineRule="auto"/>
        <w:ind w:firstLine="708"/>
        <w:jc w:val="both"/>
        <w:rPr>
          <w:rFonts w:ascii="Verdana" w:eastAsia="Calibri" w:hAnsi="Verdana" w:cs="Arial"/>
          <w:lang w:val="es-ES_tradnl"/>
        </w:rPr>
      </w:pPr>
      <w:r w:rsidRPr="005B1F06">
        <w:rPr>
          <w:rFonts w:ascii="Verdana" w:eastAsia="Calibri" w:hAnsi="Verdana" w:cs="Arial"/>
          <w:lang w:val="es-ES_tradnl"/>
        </w:rPr>
        <w:t xml:space="preserve">El texto normativo dispone lo siguiente:  </w:t>
      </w:r>
    </w:p>
    <w:p w14:paraId="40C9760D" w14:textId="77777777" w:rsidR="00E214AF" w:rsidRDefault="00E214AF" w:rsidP="00E214AF">
      <w:pPr>
        <w:spacing w:after="0" w:line="276" w:lineRule="auto"/>
        <w:ind w:left="709" w:right="758" w:hanging="1"/>
        <w:jc w:val="both"/>
        <w:rPr>
          <w:rFonts w:ascii="Verdana" w:hAnsi="Verdana" w:cs="Arial"/>
          <w:sz w:val="20"/>
          <w:szCs w:val="20"/>
          <w:lang w:val="es-ES_tradnl"/>
        </w:rPr>
      </w:pPr>
    </w:p>
    <w:p w14:paraId="0BC297C2" w14:textId="77777777" w:rsidR="00E214AF" w:rsidRPr="005B1F06" w:rsidRDefault="00E214AF" w:rsidP="00E214AF">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w:t>
      </w:r>
      <w:r w:rsidRPr="005B1F06">
        <w:rPr>
          <w:rFonts w:ascii="Verdana" w:hAnsi="Verdana" w:cs="Arial"/>
          <w:sz w:val="20"/>
          <w:szCs w:val="20"/>
          <w:lang w:val="es-ES_tradnl"/>
        </w:rPr>
        <w:t>ARTÍCULO  5. Modificaci</w:t>
      </w:r>
      <w:r w:rsidRPr="005B1F06">
        <w:rPr>
          <w:rFonts w:ascii="Verdana" w:hAnsi="Verdana" w:cs="Century Gothic"/>
          <w:sz w:val="20"/>
          <w:szCs w:val="20"/>
          <w:lang w:val="es-ES_tradnl"/>
        </w:rPr>
        <w:t>ó</w:t>
      </w:r>
      <w:r w:rsidRPr="005B1F06">
        <w:rPr>
          <w:rFonts w:ascii="Verdana" w:hAnsi="Verdana" w:cs="Arial"/>
          <w:sz w:val="20"/>
          <w:szCs w:val="20"/>
          <w:lang w:val="es-ES_tradnl"/>
        </w:rPr>
        <w:t>n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Modif</w:t>
      </w:r>
      <w:r w:rsidRPr="005B1F06">
        <w:rPr>
          <w:rFonts w:ascii="Verdana" w:hAnsi="Verdana" w:cs="Century Gothic"/>
          <w:sz w:val="20"/>
          <w:szCs w:val="20"/>
          <w:lang w:val="es-ES_tradnl"/>
        </w:rPr>
        <w:t>í</w:t>
      </w:r>
      <w:r w:rsidRPr="005B1F06">
        <w:rPr>
          <w:rFonts w:ascii="Verdana" w:hAnsi="Verdana" w:cs="Arial"/>
          <w:sz w:val="20"/>
          <w:szCs w:val="20"/>
          <w:lang w:val="es-ES_tradnl"/>
        </w:rPr>
        <w:t>quense los art</w:t>
      </w:r>
      <w:r w:rsidRPr="005B1F06">
        <w:rPr>
          <w:rFonts w:ascii="Verdana" w:hAnsi="Verdana" w:cs="Century Gothic"/>
          <w:sz w:val="20"/>
          <w:szCs w:val="20"/>
          <w:lang w:val="es-ES_tradnl"/>
        </w:rPr>
        <w:t>í</w:t>
      </w:r>
      <w:r w:rsidRPr="005B1F06">
        <w:rPr>
          <w:rFonts w:ascii="Verdana" w:hAnsi="Verdana" w:cs="Arial"/>
          <w:sz w:val="20"/>
          <w:szCs w:val="20"/>
          <w:lang w:val="es-ES_tradnl"/>
        </w:rPr>
        <w:t>culos 2.2.1.2.4.2.2., 2.2.1.2.4.2.3. y 2.2.1.2.4.2.4.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los cuales quedar</w:t>
      </w:r>
      <w:r w:rsidRPr="005B1F06">
        <w:rPr>
          <w:rFonts w:ascii="Verdana" w:hAnsi="Verdana" w:cs="Century Gothic"/>
          <w:sz w:val="20"/>
          <w:szCs w:val="20"/>
          <w:lang w:val="es-ES_tradnl"/>
        </w:rPr>
        <w:t>á</w:t>
      </w:r>
      <w:r w:rsidRPr="005B1F06">
        <w:rPr>
          <w:rFonts w:ascii="Verdana" w:hAnsi="Verdana" w:cs="Arial"/>
          <w:sz w:val="20"/>
          <w:szCs w:val="20"/>
          <w:lang w:val="es-ES_tradnl"/>
        </w:rPr>
        <w:t>n as</w:t>
      </w:r>
      <w:r w:rsidRPr="005B1F06">
        <w:rPr>
          <w:rFonts w:ascii="Verdana" w:hAnsi="Verdana" w:cs="Century Gothic"/>
          <w:sz w:val="20"/>
          <w:szCs w:val="20"/>
          <w:lang w:val="es-ES_tradnl"/>
        </w:rPr>
        <w:t>í</w:t>
      </w:r>
      <w:r w:rsidRPr="005B1F06">
        <w:rPr>
          <w:rFonts w:ascii="Verdana" w:hAnsi="Verdana" w:cs="Arial"/>
          <w:sz w:val="20"/>
          <w:szCs w:val="20"/>
          <w:lang w:val="es-ES_tradnl"/>
        </w:rPr>
        <w:t>:</w:t>
      </w:r>
    </w:p>
    <w:p w14:paraId="4344A872" w14:textId="77777777" w:rsidR="00E214AF" w:rsidRPr="005B1F06" w:rsidRDefault="00E214AF" w:rsidP="00E214AF">
      <w:pPr>
        <w:spacing w:after="0" w:line="240" w:lineRule="auto"/>
        <w:ind w:left="709" w:right="758" w:hanging="1"/>
        <w:jc w:val="both"/>
        <w:rPr>
          <w:rFonts w:ascii="Verdana" w:hAnsi="Verdana" w:cs="Arial"/>
          <w:sz w:val="20"/>
          <w:szCs w:val="20"/>
          <w:lang w:val="es-ES_tradnl"/>
        </w:rPr>
      </w:pPr>
      <w:r w:rsidRPr="005B1F06">
        <w:rPr>
          <w:rFonts w:ascii="Verdana" w:hAnsi="Verdana" w:cs="Arial"/>
          <w:sz w:val="20"/>
          <w:szCs w:val="20"/>
          <w:lang w:val="es-ES_tradnl"/>
        </w:rPr>
        <w:t>[…]</w:t>
      </w:r>
    </w:p>
    <w:p w14:paraId="3BFEF561" w14:textId="77777777" w:rsidR="00E214AF" w:rsidRDefault="00E214AF" w:rsidP="00E214AF">
      <w:pPr>
        <w:spacing w:after="0" w:line="240" w:lineRule="auto"/>
        <w:ind w:left="709" w:right="709"/>
        <w:jc w:val="both"/>
        <w:rPr>
          <w:rFonts w:ascii="Verdana" w:hAnsi="Verdana" w:cs="Arial"/>
          <w:sz w:val="20"/>
          <w:szCs w:val="20"/>
          <w:lang w:val="es-ES_tradnl"/>
        </w:rPr>
      </w:pPr>
      <w:r w:rsidRPr="005B1F06">
        <w:rPr>
          <w:rFonts w:ascii="Verdana" w:hAnsi="Verdana" w:cs="Arial"/>
          <w:sz w:val="20"/>
          <w:szCs w:val="20"/>
          <w:lang w:val="es-ES_tradnl"/>
        </w:rPr>
        <w:t>ARTÍCULO 2.2.1.2.4.2.3. Limitaciones territoriales. De conformidad con el par</w:t>
      </w:r>
      <w:r w:rsidRPr="005B1F06">
        <w:rPr>
          <w:rFonts w:ascii="Verdana" w:hAnsi="Verdana" w:cs="Century Gothic"/>
          <w:sz w:val="20"/>
          <w:szCs w:val="20"/>
          <w:lang w:val="es-ES_tradnl"/>
        </w:rPr>
        <w:t>á</w:t>
      </w:r>
      <w:r w:rsidRPr="005B1F06">
        <w:rPr>
          <w:rFonts w:ascii="Verdana" w:hAnsi="Verdana" w:cs="Arial"/>
          <w:sz w:val="20"/>
          <w:szCs w:val="20"/>
          <w:lang w:val="es-ES_tradnl"/>
        </w:rPr>
        <w:t>grafo 1 del art</w:t>
      </w:r>
      <w:r w:rsidRPr="005B1F06">
        <w:rPr>
          <w:rFonts w:ascii="Verdana" w:hAnsi="Verdana" w:cs="Century Gothic"/>
          <w:sz w:val="20"/>
          <w:szCs w:val="20"/>
          <w:lang w:val="es-ES_tradnl"/>
        </w:rPr>
        <w:t>í</w:t>
      </w:r>
      <w:r w:rsidRPr="005B1F06">
        <w:rPr>
          <w:rFonts w:ascii="Verdana" w:hAnsi="Verdana" w:cs="Arial"/>
          <w:sz w:val="20"/>
          <w:szCs w:val="20"/>
          <w:lang w:val="es-ES_tradnl"/>
        </w:rPr>
        <w:t>culo 12 de la Ley 1150 de 2007, las Entidades Estatales, independientemente de su r</w:t>
      </w:r>
      <w:r w:rsidRPr="005B1F06">
        <w:rPr>
          <w:rFonts w:ascii="Verdana" w:hAnsi="Verdana" w:cs="Century Gothic"/>
          <w:sz w:val="20"/>
          <w:szCs w:val="20"/>
          <w:lang w:val="es-ES_tradnl"/>
        </w:rPr>
        <w:t>é</w:t>
      </w:r>
      <w:r w:rsidRPr="005B1F06">
        <w:rPr>
          <w:rFonts w:ascii="Verdana" w:hAnsi="Verdana" w:cs="Arial"/>
          <w:sz w:val="20"/>
          <w:szCs w:val="20"/>
          <w:lang w:val="es-ES_tradnl"/>
        </w:rPr>
        <w:t>gimen de contrataci</w:t>
      </w:r>
      <w:r w:rsidRPr="005B1F06">
        <w:rPr>
          <w:rFonts w:ascii="Verdana" w:hAnsi="Verdana" w:cs="Century Gothic"/>
          <w:sz w:val="20"/>
          <w:szCs w:val="20"/>
          <w:lang w:val="es-ES_tradnl"/>
        </w:rPr>
        <w:t>ó</w:t>
      </w:r>
      <w:r w:rsidRPr="005B1F06">
        <w:rPr>
          <w:rFonts w:ascii="Verdana" w:hAnsi="Verdana" w:cs="Arial"/>
          <w:sz w:val="20"/>
          <w:szCs w:val="20"/>
          <w:lang w:val="es-ES_tradnl"/>
        </w:rPr>
        <w:t>n, los patrimonios aut</w:t>
      </w:r>
      <w:r w:rsidRPr="005B1F06">
        <w:rPr>
          <w:rFonts w:ascii="Verdana" w:hAnsi="Verdana" w:cs="Century Gothic"/>
          <w:sz w:val="20"/>
          <w:szCs w:val="20"/>
          <w:lang w:val="es-ES_tradnl"/>
        </w:rPr>
        <w:t>ó</w:t>
      </w:r>
      <w:r w:rsidRPr="005B1F06">
        <w:rPr>
          <w:rFonts w:ascii="Verdana" w:hAnsi="Verdana" w:cs="Arial"/>
          <w:sz w:val="20"/>
          <w:szCs w:val="20"/>
          <w:lang w:val="es-ES_tradnl"/>
        </w:rPr>
        <w:t>nomos constituidos por Entidades Estatales y los particulares que ejecuten recursos p</w:t>
      </w:r>
      <w:r w:rsidRPr="005B1F06">
        <w:rPr>
          <w:rFonts w:ascii="Verdana" w:hAnsi="Verdana" w:cs="Century Gothic"/>
          <w:sz w:val="20"/>
          <w:szCs w:val="20"/>
          <w:lang w:val="es-ES_tradnl"/>
        </w:rPr>
        <w:t>ú</w:t>
      </w:r>
      <w:r w:rsidRPr="005B1F06">
        <w:rPr>
          <w:rFonts w:ascii="Verdana" w:hAnsi="Verdana" w:cs="Arial"/>
          <w:sz w:val="20"/>
          <w:szCs w:val="20"/>
          <w:lang w:val="es-ES_tradnl"/>
        </w:rPr>
        <w:t>blicos, pueden realizar convocatorias limitadas a MiPymes colombianas que tengan domicilio en los departamentos o municipios en donde se va a ejecutar el contrato. Cada MiPymes deber</w:t>
      </w:r>
      <w:r w:rsidRPr="005B1F06">
        <w:rPr>
          <w:rFonts w:ascii="Verdana" w:hAnsi="Verdana" w:cs="Century Gothic"/>
          <w:sz w:val="20"/>
          <w:szCs w:val="20"/>
          <w:lang w:val="es-ES_tradnl"/>
        </w:rPr>
        <w:t>á</w:t>
      </w:r>
      <w:r w:rsidRPr="005B1F06">
        <w:rPr>
          <w:rFonts w:ascii="Verdana" w:hAnsi="Verdana" w:cs="Arial"/>
          <w:sz w:val="20"/>
          <w:szCs w:val="20"/>
          <w:lang w:val="es-ES_tradnl"/>
        </w:rPr>
        <w:t xml:space="preserve"> acreditar su domicilio con los documentos a los que se refiere el siguiente artículo</w:t>
      </w:r>
      <w:r>
        <w:rPr>
          <w:rFonts w:ascii="Verdana" w:hAnsi="Verdana" w:cs="Arial"/>
          <w:sz w:val="20"/>
          <w:szCs w:val="20"/>
          <w:lang w:val="es-ES_tradnl"/>
        </w:rPr>
        <w:t>”</w:t>
      </w:r>
      <w:r w:rsidRPr="005B1F06">
        <w:rPr>
          <w:rFonts w:ascii="Verdana" w:hAnsi="Verdana" w:cs="Arial"/>
          <w:sz w:val="20"/>
          <w:szCs w:val="20"/>
          <w:lang w:val="es-ES_tradnl"/>
        </w:rPr>
        <w:t xml:space="preserve">. </w:t>
      </w:r>
    </w:p>
    <w:p w14:paraId="3F186D85" w14:textId="77777777" w:rsidR="00E214AF" w:rsidRPr="005A75AB" w:rsidRDefault="00E214AF" w:rsidP="00E214AF">
      <w:pPr>
        <w:spacing w:after="0" w:line="276" w:lineRule="auto"/>
        <w:ind w:left="709" w:right="709"/>
        <w:jc w:val="both"/>
        <w:rPr>
          <w:rFonts w:ascii="Verdana" w:eastAsia="Calibri" w:hAnsi="Verdana" w:cs="Arial"/>
          <w:lang w:val="es-ES_tradnl"/>
        </w:rPr>
      </w:pPr>
    </w:p>
    <w:p w14:paraId="272E54A5" w14:textId="77777777" w:rsidR="00E214AF" w:rsidRPr="005B1F06" w:rsidRDefault="00E214AF" w:rsidP="00E214AF">
      <w:pPr>
        <w:spacing w:after="120" w:line="276" w:lineRule="auto"/>
        <w:ind w:firstLine="709"/>
        <w:jc w:val="both"/>
        <w:rPr>
          <w:rFonts w:ascii="Verdana" w:eastAsia="Calibri" w:hAnsi="Verdana" w:cs="Arial"/>
          <w:lang w:val="es-ES"/>
        </w:rPr>
      </w:pPr>
      <w:r w:rsidRPr="706726C8">
        <w:rPr>
          <w:rFonts w:ascii="Verdana" w:eastAsia="Calibri" w:hAnsi="Verdana" w:cs="Arial"/>
          <w:lang w:val="es-ES"/>
        </w:rPr>
        <w:t xml:space="preserve">La norma reglamentaria coincide con la redacción del parágrafo 1 del artículo 34 de la Ley 2069 de 2020, según el cual, solo es posible limitar convocatorias a la participación de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 del ámbito municipal o departamental correspondiente al de la ejecución del contrato”. En tales términos, la norma citada solo contempla la posibilidad de limitar convocatorias 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con domicilio en esos dos tipos de entidades territoriales. </w:t>
      </w:r>
    </w:p>
    <w:p w14:paraId="377202CD" w14:textId="77777777" w:rsidR="00E214AF" w:rsidRPr="005B1F06" w:rsidRDefault="00E214AF" w:rsidP="00E214AF">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lastRenderedPageBreak/>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 Además, las normas de contratación permiten que las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nacionales puedan beneficiarse de la ejecución de un contrato dentro de la entidad territorial en la que tienen su “domicilio”. </w:t>
      </w:r>
    </w:p>
    <w:p w14:paraId="2BE2498A" w14:textId="77777777" w:rsidR="00E214AF" w:rsidRPr="005B1F06" w:rsidRDefault="00E214AF" w:rsidP="00E214AF">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themeColor="text1"/>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contratado en el que la </w:t>
      </w:r>
      <w:proofErr w:type="spellStart"/>
      <w:r w:rsidRPr="706726C8">
        <w:rPr>
          <w:rFonts w:ascii="Verdana" w:eastAsia="Arial" w:hAnsi="Verdana" w:cs="Arial"/>
          <w:color w:val="000000" w:themeColor="text1"/>
          <w:lang w:val="es-ES"/>
        </w:rPr>
        <w:t>Mipymes</w:t>
      </w:r>
      <w:proofErr w:type="spellEnd"/>
      <w:r w:rsidRPr="706726C8">
        <w:rPr>
          <w:rFonts w:ascii="Verdana" w:eastAsia="Arial" w:hAnsi="Verdana" w:cs="Arial"/>
          <w:color w:val="000000" w:themeColor="text1"/>
          <w:lang w:val="es-ES"/>
        </w:rPr>
        <w:t xml:space="preserve"> tiene su “domicilio”, y no en donde tiene sucursales. </w:t>
      </w:r>
    </w:p>
    <w:p w14:paraId="232C0F85" w14:textId="77777777" w:rsidR="00E214AF" w:rsidRPr="005B1F06" w:rsidRDefault="00E214AF" w:rsidP="00E214AF">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w:t>
      </w:r>
      <w:r w:rsidRPr="7F14F77F">
        <w:rPr>
          <w:rFonts w:ascii="Century Gothic" w:eastAsia="Arial" w:hAnsi="Century Gothic" w:cs="Arial"/>
          <w:color w:val="000000" w:themeColor="text1"/>
          <w:lang w:val="es-ES"/>
        </w:rPr>
        <w:t xml:space="preserve"> </w:t>
      </w:r>
      <w:r w:rsidRPr="005B1F06">
        <w:rPr>
          <w:rFonts w:ascii="Verdana" w:eastAsia="Arial" w:hAnsi="Verdana" w:cs="Arial"/>
          <w:color w:val="000000" w:themeColor="text1"/>
          <w:lang w:val="es-ES"/>
        </w:rPr>
        <w:t xml:space="preserve">una o varias sucursales que son establecimientos de comercio, esto es, bienes mercantiles pertenecientes a la sociedad. En ese mismo sentido, los artículos 110 y 111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color w:val="000000" w:themeColor="text1"/>
          <w:lang w:val="es-E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De acuerdo con lo anterior, si el legislador distinguió entre uno y otro y si el reglamento se refiere al “domicilio”, se entiende que no es procedente extender el beneficio contenido en el artículo 2.2.1.2.4.2.3.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i/>
          <w:color w:val="000000" w:themeColor="text1"/>
          <w:lang w:val="es-ES"/>
        </w:rPr>
        <w:t xml:space="preserve"> </w:t>
      </w:r>
      <w:r w:rsidRPr="005B1F06">
        <w:rPr>
          <w:rFonts w:ascii="Verdana" w:eastAsia="Arial" w:hAnsi="Verdana" w:cs="Arial"/>
          <w:color w:val="000000" w:themeColor="text1"/>
          <w:lang w:val="es-ES"/>
        </w:rPr>
        <w:t>a las entidades que tienen “sucursales” en el municipio o departamento en donde se va a ejecutar el contrato estatal.</w:t>
      </w:r>
    </w:p>
    <w:p w14:paraId="6C5C39BB" w14:textId="77777777" w:rsidR="00E214AF" w:rsidRPr="005B1F06" w:rsidRDefault="00E214AF" w:rsidP="00E214AF">
      <w:pPr>
        <w:spacing w:after="120" w:line="276" w:lineRule="auto"/>
        <w:ind w:firstLine="709"/>
        <w:jc w:val="both"/>
        <w:rPr>
          <w:rFonts w:ascii="Verdana" w:eastAsia="Arial" w:hAnsi="Verdana" w:cs="Arial"/>
          <w:color w:val="000000"/>
          <w:lang w:val="es-ES"/>
        </w:rPr>
      </w:pPr>
      <w:bookmarkStart w:id="4" w:name="_Hlk213767865"/>
      <w:r w:rsidRPr="706726C8">
        <w:rPr>
          <w:rFonts w:ascii="Verdana" w:eastAsia="Arial" w:hAnsi="Verdana" w:cs="Arial"/>
          <w:color w:val="000000"/>
          <w:lang w:val="es-ES"/>
        </w:rPr>
        <w:t>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706726C8">
        <w:rPr>
          <w:rStyle w:val="Refdenotaalpie"/>
          <w:rFonts w:ascii="Verdana" w:eastAsia="Arial" w:hAnsi="Verdana" w:cs="Arial"/>
          <w:color w:val="000000"/>
          <w:lang w:val="es-ES"/>
        </w:rPr>
        <w:footnoteReference w:id="2"/>
      </w:r>
      <w:r w:rsidRPr="706726C8">
        <w:rPr>
          <w:rFonts w:ascii="Verdana" w:eastAsia="Arial" w:hAnsi="Verdana" w:cs="Arial"/>
          <w:color w:val="000000"/>
          <w:lang w:val="es-ES"/>
        </w:rPr>
        <w:t xml:space="preserve">. En ese sentido, si la entidad no recibió las </w:t>
      </w:r>
      <w:r w:rsidRPr="706726C8">
        <w:rPr>
          <w:rFonts w:ascii="Verdana" w:eastAsia="Arial" w:hAnsi="Verdana" w:cs="Arial"/>
          <w:color w:val="000000"/>
          <w:lang w:val="es-ES"/>
        </w:rPr>
        <w:lastRenderedPageBreak/>
        <w:t xml:space="preserve">solicitudes para limitar la convocatoria a </w:t>
      </w:r>
      <w:proofErr w:type="spellStart"/>
      <w:r w:rsidRPr="706726C8">
        <w:rPr>
          <w:rFonts w:ascii="Verdana" w:eastAsia="Arial" w:hAnsi="Verdana" w:cs="Arial"/>
          <w:color w:val="000000"/>
          <w:lang w:val="es-ES"/>
        </w:rPr>
        <w:t>Mipymes</w:t>
      </w:r>
      <w:proofErr w:type="spellEnd"/>
      <w:r w:rsidRPr="706726C8">
        <w:rPr>
          <w:rFonts w:ascii="Verdana" w:eastAsia="Arial" w:hAnsi="Verdana" w:cs="Arial"/>
          <w:color w:val="000000"/>
          <w:lang w:val="es-ES"/>
        </w:rPr>
        <w:t xml:space="preserve">, no puede </w:t>
      </w:r>
      <w:r w:rsidRPr="706726C8">
        <w:rPr>
          <w:rFonts w:ascii="Verdana" w:eastAsia="Arial" w:hAnsi="Verdana" w:cs="Arial"/>
          <w:i/>
          <w:color w:val="000000"/>
          <w:lang w:val="es-ES"/>
        </w:rPr>
        <w:t xml:space="preserve">motu proprio </w:t>
      </w:r>
      <w:r w:rsidRPr="706726C8">
        <w:rPr>
          <w:rFonts w:ascii="Verdana" w:eastAsia="Arial" w:hAnsi="Verdana" w:cs="Arial"/>
          <w:color w:val="00000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291FA1A9" w14:textId="77777777" w:rsidR="00E214AF" w:rsidRPr="005B1F06" w:rsidRDefault="00E214AF" w:rsidP="00E214AF">
      <w:pPr>
        <w:spacing w:after="120" w:line="276" w:lineRule="auto"/>
        <w:ind w:firstLine="708"/>
        <w:jc w:val="both"/>
        <w:rPr>
          <w:rFonts w:ascii="Verdana" w:hAnsi="Verdana" w:cs="Arial"/>
          <w:color w:val="000000" w:themeColor="text1"/>
        </w:rPr>
      </w:pPr>
      <w:r w:rsidRPr="005B1F06">
        <w:rPr>
          <w:rFonts w:ascii="Verdana" w:hAnsi="Verdana" w:cs="Arial"/>
          <w:color w:val="000000" w:themeColor="text1"/>
        </w:rPr>
        <w:t xml:space="preserve">Cumplidos los dos requisitos del artículo 2.2.1.2.4.2.2. </w:t>
      </w:r>
      <w:proofErr w:type="spellStart"/>
      <w:r w:rsidRPr="005B1F06">
        <w:rPr>
          <w:rFonts w:ascii="Verdana" w:hAnsi="Verdana" w:cs="Arial"/>
          <w:i/>
          <w:iCs/>
          <w:color w:val="000000" w:themeColor="text1"/>
        </w:rPr>
        <w:t>ibídem</w:t>
      </w:r>
      <w:proofErr w:type="spellEnd"/>
      <w:r w:rsidRPr="005B1F06">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w:t>
      </w:r>
      <w:r w:rsidRPr="00BF61EA">
        <w:rPr>
          <w:rFonts w:ascii="Verdana" w:hAnsi="Verdana" w:cs="Arial"/>
          <w:i/>
          <w:iCs/>
          <w:color w:val="000000" w:themeColor="text1"/>
        </w:rPr>
        <w:t>pueden</w:t>
      </w:r>
      <w:r w:rsidRPr="005B1F06">
        <w:rPr>
          <w:rFonts w:ascii="Verdana" w:hAnsi="Verdana" w:cs="Arial"/>
          <w:color w:val="000000" w:themeColor="text1"/>
        </w:rPr>
        <w:t xml:space="preserve"> ─no tienen que─ decidir si limitan la convocatoria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 domiciliadas en el municipio o departamento en el que se</w:t>
      </w:r>
      <w:r w:rsidRPr="001D4AC1">
        <w:rPr>
          <w:rFonts w:ascii="Century Gothic" w:hAnsi="Century Gothic" w:cs="Arial"/>
          <w:color w:val="000000" w:themeColor="text1"/>
        </w:rPr>
        <w:t xml:space="preserve"> </w:t>
      </w:r>
      <w:r w:rsidRPr="005B1F06">
        <w:rPr>
          <w:rFonts w:ascii="Verdana" w:hAnsi="Verdana" w:cs="Arial"/>
          <w:color w:val="000000" w:themeColor="text1"/>
        </w:rPr>
        <w:t>ejecutará el contrato</w:t>
      </w:r>
      <w:r w:rsidRPr="005B1F06">
        <w:rPr>
          <w:rFonts w:ascii="Verdana" w:hAnsi="Verdana" w:cs="Arial"/>
          <w:color w:val="000000" w:themeColor="text1"/>
          <w:vertAlign w:val="superscript"/>
        </w:rPr>
        <w:footnoteReference w:id="3"/>
      </w:r>
      <w:r w:rsidRPr="005B1F06">
        <w:rPr>
          <w:rFonts w:ascii="Verdana" w:hAnsi="Verdana" w:cs="Arial"/>
          <w:color w:val="000000" w:themeColor="text1"/>
        </w:rPr>
        <w:t xml:space="preserve">. Esto de acuerdo con lo establecido en artículo 2.2.1.2.4.2.3. del Decreto 1082 de 2015 </w:t>
      </w:r>
      <w:r w:rsidRPr="005B1F06">
        <w:rPr>
          <w:rFonts w:ascii="Verdana" w:eastAsia="Arial" w:hAnsi="Verdana" w:cs="Arial"/>
          <w:color w:val="000000"/>
          <w:lang w:val="es-ES_tradnl"/>
        </w:rPr>
        <w:t>modificado por el Decreto 1860 de 2021</w:t>
      </w:r>
      <w:r w:rsidRPr="005B1F06">
        <w:rPr>
          <w:rFonts w:ascii="Verdana" w:hAnsi="Verdana" w:cs="Arial"/>
          <w:color w:val="000000" w:themeColor="text1"/>
        </w:rPr>
        <w:t xml:space="preserve">, norma que se refiere a la facultad de la administración con el verbo infinitivo “poder”, no “deber”. </w:t>
      </w:r>
    </w:p>
    <w:p w14:paraId="3D89AB6F" w14:textId="77777777" w:rsidR="00E214AF" w:rsidRPr="005B1F06" w:rsidRDefault="00E214AF" w:rsidP="00E214AF">
      <w:pPr>
        <w:spacing w:after="120" w:line="276" w:lineRule="auto"/>
        <w:ind w:firstLine="709"/>
        <w:jc w:val="both"/>
        <w:rPr>
          <w:rFonts w:ascii="Verdana" w:eastAsia="Calibri" w:hAnsi="Verdana" w:cs="Arial"/>
          <w:color w:val="000000" w:themeColor="text1"/>
        </w:rPr>
      </w:pPr>
      <w:r w:rsidRPr="005B1F06">
        <w:rPr>
          <w:rFonts w:ascii="Verdana" w:eastAsia="Calibri" w:hAnsi="Verdana" w:cs="Arial"/>
          <w:color w:val="000000" w:themeColor="text1"/>
        </w:rPr>
        <w:t>Colombia Compra Eficiente ha sostenido que la decisión de limitar territorialmente un</w:t>
      </w:r>
      <w:r w:rsidRPr="005B1F06">
        <w:rPr>
          <w:rFonts w:ascii="Verdana" w:hAnsi="Verdana" w:cs="Arial"/>
          <w:color w:val="000000" w:themeColor="text1"/>
        </w:rPr>
        <w:t xml:space="preserve">a convocatoria a MiPymes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 xml:space="preserve">artículo 2.2.1.2.4.2.3. del Decreto 1082 de 2015, indicó que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Style w:val="Refdenotaalpie"/>
          <w:rFonts w:ascii="Verdana" w:hAnsi="Verdana" w:cs="Arial"/>
          <w:color w:val="000000" w:themeColor="text1"/>
        </w:rPr>
        <w:footnoteReference w:id="4"/>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65828F66" w14:textId="77777777" w:rsidR="00E214AF" w:rsidRPr="005B1F06" w:rsidRDefault="00E214AF" w:rsidP="00E214AF">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lastRenderedPageBreak/>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proofErr w:type="spellStart"/>
      <w:r w:rsidRPr="005B1F06">
        <w:rPr>
          <w:rFonts w:ascii="Verdana" w:eastAsia="Calibri" w:hAnsi="Verdana" w:cs="Arial"/>
          <w:i/>
          <w:iCs/>
          <w:color w:val="000000" w:themeColor="text1"/>
        </w:rPr>
        <w:t>ibídem</w:t>
      </w:r>
      <w:proofErr w:type="spellEnd"/>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 xml:space="preserve">imitada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“domiciliadas en los departamentos o municipios en donde se va a ejecutar el contrato” y </w:t>
      </w:r>
      <w:proofErr w:type="spellStart"/>
      <w:r w:rsidRPr="005B1F06">
        <w:rPr>
          <w:rFonts w:ascii="Verdana" w:eastAsia="Calibri" w:hAnsi="Verdana" w:cs="Arial"/>
          <w:color w:val="000000" w:themeColor="text1"/>
        </w:rPr>
        <w:t>ii</w:t>
      </w:r>
      <w:proofErr w:type="spellEnd"/>
      <w:r w:rsidRPr="005B1F06">
        <w:rPr>
          <w:rFonts w:ascii="Verdana" w:eastAsia="Calibri" w:hAnsi="Verdana" w:cs="Arial"/>
          <w:color w:val="000000" w:themeColor="text1"/>
        </w:rPr>
        <w:t xml:space="preserve">) que la entidad justifique su decisión en los “estudios del sector”. No es procedente, entonces, que sean las </w:t>
      </w:r>
      <w:proofErr w:type="spellStart"/>
      <w:r w:rsidRPr="005B1F06">
        <w:rPr>
          <w:rFonts w:ascii="Verdana" w:eastAsia="Calibri" w:hAnsi="Verdana" w:cs="Arial"/>
          <w:color w:val="000000" w:themeColor="text1"/>
        </w:rPr>
        <w:t>Mipymes</w:t>
      </w:r>
      <w:proofErr w:type="spellEnd"/>
      <w:r w:rsidRPr="005B1F06">
        <w:rPr>
          <w:rFonts w:ascii="Verdana" w:eastAsia="Calibri" w:hAnsi="Verdana" w:cs="Arial"/>
          <w:color w:val="000000" w:themeColor="text1"/>
        </w:rPr>
        <w:t xml:space="preserve"> las que soliciten la “limitación territorial” a la que se refiere el artículo 2.2.1.2.4.2.3. del Decreto 1082 de 2015. </w:t>
      </w:r>
    </w:p>
    <w:bookmarkEnd w:id="4"/>
    <w:p w14:paraId="5CC4203B" w14:textId="77777777" w:rsidR="00E214AF" w:rsidRPr="00A4749D" w:rsidRDefault="00E214AF" w:rsidP="00E214AF">
      <w:pPr>
        <w:spacing w:after="120" w:line="276" w:lineRule="auto"/>
        <w:ind w:firstLine="709"/>
        <w:jc w:val="both"/>
        <w:rPr>
          <w:rFonts w:ascii="Verdana" w:eastAsia="Calibri" w:hAnsi="Verdana" w:cs="Arial"/>
          <w:color w:val="000000" w:themeColor="text1"/>
        </w:rPr>
      </w:pPr>
      <w:r w:rsidRPr="005B1F06">
        <w:rPr>
          <w:rFonts w:ascii="Verdana" w:eastAsia="Calibri" w:hAnsi="Verdana" w:cs="Arial"/>
          <w:color w:val="000000" w:themeColor="text1"/>
        </w:rPr>
        <w:t>En tal sentido, se debe reite</w:t>
      </w:r>
      <w:r w:rsidRPr="005B1F06">
        <w:rPr>
          <w:rFonts w:ascii="Verdana" w:hAnsi="Verdana" w:cs="Arial"/>
          <w:color w:val="000000" w:themeColor="text1"/>
        </w:rPr>
        <w:t xml:space="preserve">rar que el origen de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que solicitan la “limitación territorial” no es relevante frente a dicha decisión, por dos razo</w:t>
      </w:r>
      <w:r w:rsidRPr="005B1F06">
        <w:rPr>
          <w:rFonts w:ascii="Verdana" w:hAnsi="Verdana" w:cs="Arial"/>
          <w:color w:val="000000" w:themeColor="text1"/>
        </w:rPr>
        <w:t>nes: primero, porque las MiPymes</w:t>
      </w:r>
      <w:r w:rsidRPr="005B1F06">
        <w:rPr>
          <w:rFonts w:ascii="Verdana" w:eastAsia="Calibri" w:hAnsi="Verdana" w:cs="Arial"/>
          <w:color w:val="000000" w:themeColor="text1"/>
        </w:rPr>
        <w:t xml:space="preserve"> no están habilitadas para pedir la “limitación territorial”, lo están para pedir la “convocatoria limitada a MiPymes”, y, segundo, porque el único criterio a tener en cuenta, una vez se ha decidido justificadamente</w:t>
      </w:r>
      <w:r w:rsidRPr="001D4AC1">
        <w:rPr>
          <w:rFonts w:ascii="Century Gothic" w:eastAsia="Calibri" w:hAnsi="Century Gothic" w:cs="Arial"/>
          <w:color w:val="000000" w:themeColor="text1"/>
        </w:rPr>
        <w:t xml:space="preserve"> </w:t>
      </w:r>
      <w:r w:rsidRPr="00A4749D">
        <w:rPr>
          <w:rFonts w:ascii="Verdana" w:eastAsia="Calibri" w:hAnsi="Verdana" w:cs="Arial"/>
          <w:color w:val="000000" w:themeColor="text1"/>
        </w:rPr>
        <w:t>limitar territorialmente la convocatori</w:t>
      </w:r>
      <w:r w:rsidRPr="00A4749D">
        <w:rPr>
          <w:rFonts w:ascii="Verdana" w:hAnsi="Verdana" w:cs="Arial"/>
          <w:color w:val="000000" w:themeColor="text1"/>
        </w:rPr>
        <w:t xml:space="preserve">a previamente limitada a </w:t>
      </w:r>
      <w:proofErr w:type="spellStart"/>
      <w:r w:rsidRPr="00A4749D">
        <w:rPr>
          <w:rFonts w:ascii="Verdana" w:hAnsi="Verdana" w:cs="Arial"/>
          <w:color w:val="000000" w:themeColor="text1"/>
        </w:rPr>
        <w:t>Mipymes</w:t>
      </w:r>
      <w:proofErr w:type="spellEnd"/>
      <w:r w:rsidRPr="00A4749D">
        <w:rPr>
          <w:rFonts w:ascii="Verdana" w:eastAsia="Calibri" w:hAnsi="Verdana" w:cs="Arial"/>
          <w:color w:val="000000" w:themeColor="text1"/>
        </w:rPr>
        <w:t>, es el lugar donde se va a ejecutar el contrato.</w:t>
      </w:r>
    </w:p>
    <w:p w14:paraId="6B157204" w14:textId="77777777" w:rsidR="00E214AF" w:rsidRPr="00A4749D" w:rsidRDefault="00E214AF" w:rsidP="00E214AF">
      <w:pPr>
        <w:spacing w:after="0" w:line="276" w:lineRule="auto"/>
        <w:ind w:firstLine="709"/>
        <w:jc w:val="both"/>
        <w:rPr>
          <w:rFonts w:ascii="Verdana" w:eastAsia="Arial" w:hAnsi="Verdana" w:cs="Arial"/>
          <w:color w:val="000000"/>
          <w:lang w:val="es-ES"/>
        </w:rPr>
      </w:pPr>
      <w:r w:rsidRPr="00A4749D">
        <w:rPr>
          <w:rFonts w:ascii="Verdana" w:eastAsia="Arial" w:hAnsi="Verdana" w:cs="Arial"/>
          <w:color w:val="000000" w:themeColor="text1"/>
          <w:lang w:val="es-ES"/>
        </w:rPr>
        <w:t xml:space="preserve">Conviene, igualmente, precisar que el domicilio de la </w:t>
      </w:r>
      <w:proofErr w:type="spellStart"/>
      <w:r w:rsidRPr="00A4749D">
        <w:rPr>
          <w:rFonts w:ascii="Verdana" w:eastAsia="Arial" w:hAnsi="Verdana" w:cs="Arial"/>
          <w:color w:val="000000" w:themeColor="text1"/>
          <w:lang w:val="es-ES"/>
        </w:rPr>
        <w:t>Mipymes</w:t>
      </w:r>
      <w:proofErr w:type="spellEnd"/>
      <w:r w:rsidRPr="00A4749D">
        <w:rPr>
          <w:rFonts w:ascii="Verdana" w:eastAsia="Arial" w:hAnsi="Verdana" w:cs="Arial"/>
          <w:color w:val="000000" w:themeColor="text1"/>
          <w:lang w:val="es-ES"/>
        </w:rPr>
        <w:t xml:space="preserve">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MiPymes. De igual manera, en el parágrafo 2 de dicho artículo se definen los requisitos que deben acompañar la solicitud de limitación a </w:t>
      </w:r>
      <w:proofErr w:type="spellStart"/>
      <w:r w:rsidRPr="00A4749D">
        <w:rPr>
          <w:rFonts w:ascii="Verdana" w:eastAsia="Arial" w:hAnsi="Verdana" w:cs="Arial"/>
          <w:color w:val="000000" w:themeColor="text1"/>
          <w:lang w:val="es-ES"/>
        </w:rPr>
        <w:t>Mipymes</w:t>
      </w:r>
      <w:proofErr w:type="spellEnd"/>
      <w:r w:rsidRPr="00A4749D">
        <w:rPr>
          <w:rFonts w:ascii="Verdana" w:eastAsia="Arial" w:hAnsi="Verdana" w:cs="Arial"/>
          <w:color w:val="000000" w:themeColor="text1"/>
          <w:lang w:val="es-ES"/>
        </w:rPr>
        <w:t>, al siguiente tenor:</w:t>
      </w:r>
    </w:p>
    <w:p w14:paraId="30C3E396" w14:textId="77777777" w:rsidR="00E214AF" w:rsidRDefault="00E214AF" w:rsidP="00E214AF">
      <w:pPr>
        <w:spacing w:after="0"/>
        <w:ind w:left="709" w:right="709"/>
        <w:jc w:val="both"/>
        <w:rPr>
          <w:rFonts w:ascii="Verdana" w:hAnsi="Verdana" w:cs="Arial"/>
          <w:sz w:val="20"/>
          <w:szCs w:val="20"/>
          <w:shd w:val="clear" w:color="auto" w:fill="FFFFFF"/>
        </w:rPr>
      </w:pPr>
    </w:p>
    <w:p w14:paraId="65FECD21" w14:textId="77777777" w:rsidR="00E214AF" w:rsidRDefault="00E214AF" w:rsidP="00E214AF">
      <w:pPr>
        <w:spacing w:after="0"/>
        <w:ind w:left="709" w:right="709"/>
        <w:jc w:val="both"/>
        <w:rPr>
          <w:rFonts w:ascii="Verdana" w:hAnsi="Verdana" w:cs="Arial"/>
          <w:sz w:val="20"/>
          <w:szCs w:val="20"/>
          <w:shd w:val="clear" w:color="auto" w:fill="FFFFFF"/>
        </w:rPr>
      </w:pPr>
      <w:r w:rsidRPr="00A4749D">
        <w:rPr>
          <w:rFonts w:ascii="Verdana" w:hAnsi="Verdana" w:cs="Arial"/>
          <w:sz w:val="20"/>
          <w:szCs w:val="20"/>
          <w:shd w:val="clear" w:color="auto" w:fill="FFFFFF"/>
        </w:rPr>
        <w:t xml:space="preserve">Para efectos de la limitación a MiPymes,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w:t>
      </w:r>
      <w:r w:rsidRPr="00A4749D">
        <w:rPr>
          <w:rFonts w:ascii="Verdana" w:hAnsi="Verdana" w:cs="Arial"/>
          <w:i/>
          <w:sz w:val="20"/>
          <w:szCs w:val="20"/>
          <w:shd w:val="clear" w:color="auto" w:fill="FFFFFF"/>
        </w:rPr>
        <w:t>para solicitar la convocatoria limitada</w:t>
      </w:r>
      <w:r w:rsidRPr="00A4749D">
        <w:rPr>
          <w:rFonts w:ascii="Verdana" w:hAnsi="Verdana" w:cs="Arial"/>
          <w:sz w:val="20"/>
          <w:szCs w:val="20"/>
          <w:shd w:val="clear" w:color="auto" w:fill="FFFFFF"/>
        </w:rPr>
        <w:t>. (Cursivas fuera del texto).</w:t>
      </w:r>
    </w:p>
    <w:p w14:paraId="7B104A72" w14:textId="77777777" w:rsidR="00E214AF" w:rsidRDefault="00E214AF" w:rsidP="00E214AF">
      <w:pPr>
        <w:spacing w:after="0" w:line="276" w:lineRule="auto"/>
        <w:ind w:firstLine="709"/>
        <w:jc w:val="both"/>
        <w:rPr>
          <w:rFonts w:ascii="Verdana" w:eastAsia="Calibri" w:hAnsi="Verdana" w:cs="Arial"/>
          <w:lang w:val="es-ES"/>
        </w:rPr>
      </w:pPr>
    </w:p>
    <w:p w14:paraId="3B04E0FD" w14:textId="77777777" w:rsidR="00E214AF" w:rsidRPr="005A75AB" w:rsidRDefault="00E214AF" w:rsidP="00E214AF">
      <w:pPr>
        <w:spacing w:after="120" w:line="276" w:lineRule="auto"/>
        <w:ind w:firstLine="708"/>
        <w:jc w:val="both"/>
        <w:rPr>
          <w:rFonts w:ascii="Verdana" w:eastAsia="Calibri" w:hAnsi="Verdana" w:cs="Arial"/>
          <w:lang w:val="es-ES"/>
        </w:rPr>
      </w:pPr>
      <w:r w:rsidRPr="005A75AB">
        <w:rPr>
          <w:rFonts w:ascii="Verdana" w:eastAsia="Calibri" w:hAnsi="Verdana" w:cs="Arial"/>
          <w:lang w:val="es-ES"/>
        </w:rPr>
        <w:t xml:space="preserve">Con todo, respecto del objeto de la consulta es preciso advertir que, el ejercicio de la facultad discrecional en orden de aplicar la limitación territorial en favor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de lo regulado por el artículo 2.2.1.2.4.2.3 </w:t>
      </w:r>
      <w:proofErr w:type="spellStart"/>
      <w:r w:rsidRPr="005A75AB">
        <w:rPr>
          <w:rFonts w:ascii="Verdana" w:eastAsia="Calibri" w:hAnsi="Verdana" w:cs="Arial"/>
          <w:i/>
          <w:iCs/>
          <w:lang w:val="es-ES"/>
        </w:rPr>
        <w:t>ejusdem</w:t>
      </w:r>
      <w:proofErr w:type="spellEnd"/>
      <w:r w:rsidRPr="005A75AB">
        <w:rPr>
          <w:rFonts w:ascii="Verdana" w:eastAsia="Calibri" w:hAnsi="Verdana" w:cs="Arial"/>
          <w:lang w:val="es-ES"/>
        </w:rPr>
        <w:t xml:space="preserve">, el cual establece como presupuesto que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tengan su domicilio en el lugar en donde se va a ejecutar el contrato. Esto </w:t>
      </w:r>
      <w:r w:rsidRPr="005A75AB">
        <w:rPr>
          <w:rFonts w:ascii="Verdana" w:eastAsia="Calibri" w:hAnsi="Verdana" w:cs="Arial"/>
          <w:lang w:val="es-ES"/>
        </w:rPr>
        <w:lastRenderedPageBreak/>
        <w:t xml:space="preserve">significa que, en el marco de estas convocatorias, la exigibilidad de que el domicilio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se ubique en un único municipio en particular o en alguno de los municipios que conforman un departamento en concreto, está ligada al ámbito territorial en el que se va a desarrollar el objeto contractual. </w:t>
      </w:r>
    </w:p>
    <w:p w14:paraId="45382134" w14:textId="77777777" w:rsidR="00E214AF" w:rsidRPr="005A75AB" w:rsidRDefault="00E214AF" w:rsidP="00E214AF">
      <w:pPr>
        <w:spacing w:after="120" w:line="276" w:lineRule="auto"/>
        <w:ind w:firstLine="708"/>
        <w:jc w:val="both"/>
        <w:rPr>
          <w:rFonts w:ascii="Verdana" w:eastAsia="Calibri" w:hAnsi="Verdana" w:cs="Arial"/>
          <w:lang w:val="es-ES"/>
        </w:rPr>
      </w:pPr>
      <w:r w:rsidRPr="005A75AB">
        <w:rPr>
          <w:rFonts w:ascii="Verdana" w:eastAsia="Calibri" w:hAnsi="Verdana" w:cs="Arial"/>
          <w:lang w:val="es-ES"/>
        </w:rPr>
        <w:t xml:space="preserve">De este modo, en el caso de un contrato que se va a ejecutar en su totalidad dentro del territorio de un municipio, la limitación territorial debe aplicarse en favor de las </w:t>
      </w:r>
      <w:proofErr w:type="spellStart"/>
      <w:r w:rsidRPr="005A75AB">
        <w:rPr>
          <w:rFonts w:ascii="Verdana" w:eastAsia="Calibri" w:hAnsi="Verdana" w:cs="Arial"/>
          <w:lang w:val="es-ES"/>
        </w:rPr>
        <w:t>Mipyme</w:t>
      </w:r>
      <w:proofErr w:type="spellEnd"/>
      <w:r w:rsidRPr="005A75AB">
        <w:rPr>
          <w:rFonts w:ascii="Verdana" w:eastAsia="Calibri" w:hAnsi="Verdana" w:cs="Arial"/>
          <w:lang w:val="es-ES"/>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155E92D2" w14:textId="77777777" w:rsidR="00E214AF" w:rsidRDefault="00E214AF" w:rsidP="00E214AF">
      <w:pPr>
        <w:spacing w:after="120" w:line="276" w:lineRule="auto"/>
        <w:ind w:firstLine="708"/>
        <w:jc w:val="both"/>
        <w:rPr>
          <w:rFonts w:ascii="Verdana" w:eastAsia="Calibri" w:hAnsi="Verdana" w:cs="Arial"/>
        </w:rPr>
      </w:pPr>
      <w:r>
        <w:rPr>
          <w:rFonts w:ascii="Verdana" w:eastAsia="Calibri" w:hAnsi="Verdana" w:cs="Arial"/>
          <w:lang w:val="es-MX"/>
        </w:rPr>
        <w:t xml:space="preserve">Así las cosas, </w:t>
      </w:r>
      <w:r w:rsidRPr="001261BC">
        <w:rPr>
          <w:rFonts w:ascii="Verdana" w:eastAsia="Calibri" w:hAnsi="Verdana" w:cs="Arial"/>
          <w:lang w:val="es-MX"/>
        </w:rPr>
        <w:t>e</w:t>
      </w:r>
      <w:proofErr w:type="spellStart"/>
      <w:r w:rsidRPr="001261BC">
        <w:rPr>
          <w:rFonts w:ascii="Verdana" w:eastAsia="Calibri" w:hAnsi="Verdana" w:cs="Arial"/>
        </w:rPr>
        <w:t>sta</w:t>
      </w:r>
      <w:proofErr w:type="spellEnd"/>
      <w:r w:rsidRPr="001261BC">
        <w:rPr>
          <w:rFonts w:ascii="Verdana" w:eastAsia="Calibri" w:hAnsi="Verdana" w:cs="Arial"/>
        </w:rPr>
        <w:t xml:space="preserve"> Agencia considera que lo recomendable es que las entidades establezcan </w:t>
      </w:r>
      <w:r w:rsidRPr="001261BC">
        <w:rPr>
          <w:rFonts w:ascii="Verdana" w:eastAsia="Calibri" w:hAnsi="Verdana" w:cs="Arial"/>
          <w:i/>
          <w:iCs/>
        </w:rPr>
        <w:t>ex ante</w:t>
      </w:r>
      <w:r w:rsidRPr="001261BC">
        <w:rPr>
          <w:rFonts w:ascii="Verdana" w:eastAsia="Calibri" w:hAnsi="Verdana" w:cs="Arial"/>
        </w:rPr>
        <w:t xml:space="preserve"> las condiciones en las que, eventualmente, harían la </w:t>
      </w:r>
      <w:r>
        <w:rPr>
          <w:rFonts w:ascii="Verdana" w:eastAsia="Calibri" w:hAnsi="Verdana" w:cs="Arial"/>
        </w:rPr>
        <w:t>“</w:t>
      </w:r>
      <w:r w:rsidRPr="001261BC">
        <w:rPr>
          <w:rFonts w:ascii="Verdana" w:eastAsia="Calibri" w:hAnsi="Verdana" w:cs="Arial"/>
        </w:rPr>
        <w:t>limitación territorial</w:t>
      </w:r>
      <w:r>
        <w:rPr>
          <w:rFonts w:ascii="Verdana" w:eastAsia="Calibri" w:hAnsi="Verdana" w:cs="Arial"/>
        </w:rPr>
        <w:t>”</w:t>
      </w:r>
      <w:r w:rsidRPr="001261BC">
        <w:rPr>
          <w:rFonts w:ascii="Verdana" w:eastAsia="Calibri" w:hAnsi="Verdana" w:cs="Arial"/>
        </w:rPr>
        <w:t xml:space="preserve">. Para tales fines, en </w:t>
      </w:r>
      <w:r>
        <w:rPr>
          <w:rFonts w:ascii="Verdana" w:eastAsia="Calibri" w:hAnsi="Verdana" w:cs="Arial"/>
        </w:rPr>
        <w:t xml:space="preserve">los documentos del proceso </w:t>
      </w:r>
      <w:r w:rsidRPr="001261BC">
        <w:rPr>
          <w:rFonts w:ascii="Verdana" w:eastAsia="Calibri" w:hAnsi="Verdana" w:cs="Arial"/>
        </w:rPr>
        <w:t xml:space="preserve">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E56231">
        <w:rPr>
          <w:rFonts w:ascii="Verdana" w:eastAsia="Calibri" w:hAnsi="Verdana" w:cs="Arial"/>
        </w:rPr>
        <w:t>Mipymes</w:t>
      </w:r>
      <w:proofErr w:type="spellEnd"/>
      <w:r w:rsidRPr="001261BC">
        <w:rPr>
          <w:rFonts w:ascii="Verdana" w:eastAsia="Calibri" w:hAnsi="Verdana" w:cs="Arial"/>
        </w:rPr>
        <w:t>, por ejemplo, en relación con cuál o cuáles municipios o departamentos harían la limitación territorial de que trata el artículo 2.2.1.2.4.2.3. del Decreto 1082 de 2015.</w:t>
      </w:r>
    </w:p>
    <w:p w14:paraId="68334E57" w14:textId="77777777" w:rsidR="00E214AF" w:rsidRPr="000D7AB3" w:rsidRDefault="00E214AF" w:rsidP="00E214AF">
      <w:pPr>
        <w:spacing w:after="120" w:line="276" w:lineRule="auto"/>
        <w:ind w:firstLine="708"/>
        <w:jc w:val="both"/>
        <w:rPr>
          <w:rFonts w:ascii="Verdana" w:eastAsia="Calibri" w:hAnsi="Verdana" w:cs="Arial"/>
        </w:rPr>
      </w:pPr>
      <w:r>
        <w:rPr>
          <w:rFonts w:ascii="Verdana" w:eastAsia="Calibri" w:hAnsi="Verdana" w:cs="Arial"/>
        </w:rPr>
        <w:t xml:space="preserve">Lo </w:t>
      </w:r>
      <w:r w:rsidRPr="000D7AB3">
        <w:rPr>
          <w:rFonts w:ascii="Verdana" w:eastAsia="Calibri" w:hAnsi="Verdana" w:cs="Arial"/>
        </w:rPr>
        <w:t xml:space="preserve">anterior por cuanto </w:t>
      </w:r>
      <w:r>
        <w:rPr>
          <w:rFonts w:ascii="Verdana" w:eastAsia="Calibri" w:hAnsi="Verdana" w:cs="Arial"/>
        </w:rPr>
        <w:t>e</w:t>
      </w:r>
      <w:r w:rsidRPr="000D7AB3">
        <w:rPr>
          <w:rFonts w:ascii="Verdana" w:eastAsia="Calibri" w:hAnsi="Verdana" w:cs="Arial"/>
        </w:rPr>
        <w:t xml:space="preserve">l enfoque actual del marco normativo busca que las Entidades Estatales incorporen prácticas activas de planeación participativa e inclusiva que fortalezcan la participación de las </w:t>
      </w:r>
      <w:proofErr w:type="spellStart"/>
      <w:r w:rsidRPr="000D7AB3">
        <w:rPr>
          <w:rFonts w:ascii="Verdana" w:eastAsia="Calibri" w:hAnsi="Verdana" w:cs="Arial"/>
        </w:rPr>
        <w:t>Mipymes</w:t>
      </w:r>
      <w:proofErr w:type="spellEnd"/>
      <w:r w:rsidRPr="000D7AB3">
        <w:rPr>
          <w:rFonts w:ascii="Verdana" w:eastAsia="Calibri" w:hAnsi="Verdana" w:cs="Arial"/>
        </w:rPr>
        <w:t xml:space="preserve"> y de otras unidades económicas de menor escala.</w:t>
      </w:r>
      <w:r>
        <w:rPr>
          <w:rFonts w:ascii="Verdana" w:eastAsia="Calibri" w:hAnsi="Verdana" w:cs="Arial"/>
        </w:rPr>
        <w:t xml:space="preserve"> </w:t>
      </w:r>
      <w:r w:rsidRPr="000D7AB3">
        <w:rPr>
          <w:rFonts w:ascii="Verdana" w:eastAsia="Calibri" w:hAnsi="Verdana" w:cs="Arial"/>
        </w:rPr>
        <w:t xml:space="preserve">En efecto, el Decreto 142 de 2023 dispone que, durante la etapa de planeación contractual, las Entidades deben desarrollar Ferias de Negocios Inclusivas como parte del análisis del sector, con el propósito de identificar los posibles obstáculos que limiten la participación de </w:t>
      </w:r>
      <w:proofErr w:type="spellStart"/>
      <w:r w:rsidRPr="000D7AB3">
        <w:rPr>
          <w:rFonts w:ascii="Verdana" w:eastAsia="Calibri" w:hAnsi="Verdana" w:cs="Arial"/>
        </w:rPr>
        <w:t>Mipymes</w:t>
      </w:r>
      <w:proofErr w:type="spellEnd"/>
      <w:r w:rsidRPr="000D7AB3">
        <w:rPr>
          <w:rFonts w:ascii="Verdana" w:eastAsia="Calibri" w:hAnsi="Verdana" w:cs="Arial"/>
        </w:rPr>
        <w:t xml:space="preserve"> y de reconocer potenciales proveedores</w:t>
      </w:r>
      <w:r>
        <w:rPr>
          <w:rStyle w:val="Refdenotaalpie"/>
          <w:rFonts w:ascii="Verdana" w:eastAsia="Calibri" w:hAnsi="Verdana" w:cs="Arial"/>
        </w:rPr>
        <w:footnoteReference w:id="5"/>
      </w:r>
      <w:r w:rsidRPr="000D7AB3">
        <w:rPr>
          <w:rFonts w:ascii="Verdana" w:eastAsia="Calibri" w:hAnsi="Verdana" w:cs="Arial"/>
        </w:rPr>
        <w:t xml:space="preserve">. Esta información constituye un insumo </w:t>
      </w:r>
      <w:r w:rsidRPr="000D7AB3">
        <w:rPr>
          <w:rFonts w:ascii="Verdana" w:eastAsia="Calibri" w:hAnsi="Verdana" w:cs="Arial"/>
        </w:rPr>
        <w:lastRenderedPageBreak/>
        <w:t>valioso para fundamentar la decisión de aplicar limitaciones territoriales en los procesos contractuales.</w:t>
      </w:r>
    </w:p>
    <w:p w14:paraId="13514776" w14:textId="77777777" w:rsidR="00E214AF" w:rsidRPr="000D7AB3" w:rsidRDefault="00E214AF" w:rsidP="00E214AF">
      <w:pPr>
        <w:spacing w:after="120" w:line="276" w:lineRule="auto"/>
        <w:ind w:firstLine="708"/>
        <w:jc w:val="both"/>
        <w:rPr>
          <w:rFonts w:ascii="Verdana" w:eastAsia="Calibri" w:hAnsi="Verdana" w:cs="Arial"/>
        </w:rPr>
      </w:pPr>
      <w:r w:rsidRPr="000D7AB3">
        <w:rPr>
          <w:rFonts w:ascii="Verdana" w:eastAsia="Calibri" w:hAnsi="Verdana" w:cs="Arial"/>
        </w:rPr>
        <w:t>Por su parte, la Ley 2294 de 2023 —Plan Nacional de Desarrollo— y el Decreto 874 de 2024 introducen la noción de Economía Popular y Comunitaria, reconociendo como parte del tejido productivo nacional a las unidades económicas de baja escala, micronegocios y microempresas. Este marco refuerza el mandato de que las Entidades Estatales orienten sus estrategias de contratación hacia el fortalecimiento de la economía local y regional, procurando que las oportunidades de contratación pública promuevan el desarrollo territorial.</w:t>
      </w:r>
    </w:p>
    <w:p w14:paraId="302F23E7" w14:textId="77777777" w:rsidR="00E214AF" w:rsidRDefault="00E214AF" w:rsidP="00E214AF">
      <w:pPr>
        <w:spacing w:after="120" w:line="276" w:lineRule="auto"/>
        <w:ind w:firstLine="708"/>
        <w:jc w:val="both"/>
        <w:rPr>
          <w:rFonts w:ascii="Verdana" w:eastAsia="Calibri" w:hAnsi="Verdana" w:cs="Arial"/>
        </w:rPr>
      </w:pPr>
      <w:r w:rsidRPr="000D7AB3">
        <w:rPr>
          <w:rFonts w:ascii="Verdana" w:eastAsia="Calibri" w:hAnsi="Verdana" w:cs="Arial"/>
        </w:rPr>
        <w:t xml:space="preserve">Así, la limitación territorial se erige como una herramienta complementaria dentro de este ecosistema normativo, destinada a fomentar la vinculación de </w:t>
      </w:r>
      <w:proofErr w:type="spellStart"/>
      <w:r w:rsidRPr="000D7AB3">
        <w:rPr>
          <w:rFonts w:ascii="Verdana" w:eastAsia="Calibri" w:hAnsi="Verdana" w:cs="Arial"/>
        </w:rPr>
        <w:t>Mipymes</w:t>
      </w:r>
      <w:proofErr w:type="spellEnd"/>
      <w:r w:rsidRPr="000D7AB3">
        <w:rPr>
          <w:rFonts w:ascii="Verdana" w:eastAsia="Calibri" w:hAnsi="Verdana" w:cs="Arial"/>
        </w:rPr>
        <w:t xml:space="preserve"> domiciliadas en los territorios donde se ejecutan los contratos, generando encadenamientos productivos y fortalecimiento regional.</w:t>
      </w:r>
      <w:r>
        <w:rPr>
          <w:rFonts w:ascii="Verdana" w:eastAsia="Calibri" w:hAnsi="Verdana" w:cs="Arial"/>
        </w:rPr>
        <w:t xml:space="preserve"> </w:t>
      </w:r>
      <w:r w:rsidRPr="000D7AB3">
        <w:rPr>
          <w:rFonts w:ascii="Verdana" w:eastAsia="Calibri" w:hAnsi="Verdana" w:cs="Arial"/>
        </w:rPr>
        <w:t>En este contexto, la decisión de aplicar una limitación territorial debe basarse en criterios técnicos que demuestren que tal medida contribuye efectivamente a los fines de promoción empresarial y desarrollo regional previstos en las normas citadas.</w:t>
      </w:r>
    </w:p>
    <w:p w14:paraId="1B812AF0" w14:textId="77777777" w:rsidR="00E214AF" w:rsidRDefault="00E214AF" w:rsidP="00E214AF">
      <w:pPr>
        <w:spacing w:after="120" w:line="276" w:lineRule="auto"/>
        <w:ind w:firstLine="708"/>
        <w:jc w:val="both"/>
        <w:rPr>
          <w:rFonts w:ascii="Verdana" w:eastAsia="Calibri" w:hAnsi="Verdana" w:cs="Arial"/>
        </w:rPr>
      </w:pPr>
      <w:r w:rsidRPr="00317680">
        <w:rPr>
          <w:rFonts w:ascii="Verdana" w:eastAsia="Calibri" w:hAnsi="Verdana" w:cs="Arial"/>
        </w:rPr>
        <w:t xml:space="preserve">En síntesis, la limitación territorial prevista en el artículo 2.2.1.2.4.2.3 del Decreto 1082 de 2015, modificado por el Decreto 1860 de 2021, constituye una facultad discrecional de la Entidad Estatal, cuyo ejercicio debe estar precedido por la verificación de los requisitos que habilitan la limitación general a </w:t>
      </w:r>
      <w:proofErr w:type="spellStart"/>
      <w:r w:rsidRPr="00317680">
        <w:rPr>
          <w:rFonts w:ascii="Verdana" w:eastAsia="Calibri" w:hAnsi="Verdana" w:cs="Arial"/>
        </w:rPr>
        <w:t>Mipymes</w:t>
      </w:r>
      <w:proofErr w:type="spellEnd"/>
      <w:r w:rsidRPr="00317680">
        <w:rPr>
          <w:rFonts w:ascii="Verdana" w:eastAsia="Calibri" w:hAnsi="Verdana" w:cs="Arial"/>
        </w:rPr>
        <w:t xml:space="preserve"> y sustentarse en una justificación técnica contenida en los estudios del sector. Esta medida no opera de pleno derecho, ni depende del número de solicitudes presentadas por </w:t>
      </w:r>
      <w:proofErr w:type="spellStart"/>
      <w:r w:rsidRPr="00317680">
        <w:rPr>
          <w:rFonts w:ascii="Verdana" w:eastAsia="Calibri" w:hAnsi="Verdana" w:cs="Arial"/>
        </w:rPr>
        <w:t>Mipymes</w:t>
      </w:r>
      <w:proofErr w:type="spellEnd"/>
      <w:r w:rsidRPr="00317680">
        <w:rPr>
          <w:rFonts w:ascii="Verdana" w:eastAsia="Calibri" w:hAnsi="Verdana" w:cs="Arial"/>
        </w:rPr>
        <w:t xml:space="preserve"> de distintos ámbitos, sino de la conveniencia y coherencia que guarde con el lugar o lugares de ejecución del contrato. En ese sentido, cuando la ejecución contractual se circunscribe a un único municipio, la limitación podrá aplicarse respecto de las </w:t>
      </w:r>
      <w:proofErr w:type="spellStart"/>
      <w:r w:rsidRPr="00317680">
        <w:rPr>
          <w:rFonts w:ascii="Verdana" w:eastAsia="Calibri" w:hAnsi="Verdana" w:cs="Arial"/>
        </w:rPr>
        <w:t>Mipymes</w:t>
      </w:r>
      <w:proofErr w:type="spellEnd"/>
      <w:r w:rsidRPr="00317680">
        <w:rPr>
          <w:rFonts w:ascii="Verdana" w:eastAsia="Calibri" w:hAnsi="Verdana" w:cs="Arial"/>
        </w:rPr>
        <w:t xml:space="preserve"> con domicilio principal en esa entidad territorial, mientras que, si la ejecución abarca varios municipios pertenecientes a un mismo departamento, la entidad podrá extender la </w:t>
      </w:r>
      <w:r w:rsidRPr="00317680">
        <w:rPr>
          <w:rFonts w:ascii="Verdana" w:eastAsia="Calibri" w:hAnsi="Verdana" w:cs="Arial"/>
        </w:rPr>
        <w:lastRenderedPageBreak/>
        <w:t xml:space="preserve">limitación a las </w:t>
      </w:r>
      <w:proofErr w:type="spellStart"/>
      <w:r w:rsidRPr="00317680">
        <w:rPr>
          <w:rFonts w:ascii="Verdana" w:eastAsia="Calibri" w:hAnsi="Verdana" w:cs="Arial"/>
        </w:rPr>
        <w:t>Mipymes</w:t>
      </w:r>
      <w:proofErr w:type="spellEnd"/>
      <w:r w:rsidRPr="00317680">
        <w:rPr>
          <w:rFonts w:ascii="Verdana" w:eastAsia="Calibri" w:hAnsi="Verdana" w:cs="Arial"/>
        </w:rPr>
        <w:t xml:space="preserve"> con domicilio en cualquiera de ellos, dentro del ámbito departamental correspondiente. </w:t>
      </w:r>
    </w:p>
    <w:p w14:paraId="455900BE" w14:textId="77777777" w:rsidR="00E214AF" w:rsidRDefault="00E214AF" w:rsidP="00E214AF">
      <w:pPr>
        <w:spacing w:line="276" w:lineRule="auto"/>
        <w:ind w:firstLine="709"/>
        <w:jc w:val="both"/>
        <w:rPr>
          <w:rFonts w:ascii="Verdana" w:eastAsia="Calibri" w:hAnsi="Verdana" w:cs="Arial"/>
        </w:rPr>
      </w:pPr>
      <w:r w:rsidRPr="00317680">
        <w:rPr>
          <w:rFonts w:ascii="Verdana" w:eastAsia="Calibri" w:hAnsi="Verdana" w:cs="Arial"/>
        </w:rPr>
        <w:t xml:space="preserve">No es jurídicamente procedente configurar circunscripciones diferentes a las expresamente contempladas por la norma —esto es, municipal o departamental—, pues el reglamento delimita con precisión el alcance territorial de la medida. En todo caso, la decisión debe obedecer a criterios de razonabilidad y proporcionalidad, orientados a garantizar que la medida contribuya efectivamente al propósito de la Ley 2069 de 2020 y del conjunto normativo de fomento empresarial y desarrollo regional (Ley 590 de 2000, Decreto 142 de 2023, Ley 2294 de 2023 y Decreto 874 de 2024), que buscan promover la participación de las </w:t>
      </w:r>
      <w:proofErr w:type="spellStart"/>
      <w:r w:rsidRPr="00317680">
        <w:rPr>
          <w:rFonts w:ascii="Verdana" w:eastAsia="Calibri" w:hAnsi="Verdana" w:cs="Arial"/>
        </w:rPr>
        <w:t>Mipymes</w:t>
      </w:r>
      <w:proofErr w:type="spellEnd"/>
      <w:r w:rsidRPr="00317680">
        <w:rPr>
          <w:rFonts w:ascii="Verdana" w:eastAsia="Calibri" w:hAnsi="Verdana" w:cs="Arial"/>
        </w:rPr>
        <w:t xml:space="preserve"> y unidades económicas de menor escala en el mercado de compras públicas, fortaleciendo el tejido productivo y el desarrollo económico local.</w:t>
      </w:r>
    </w:p>
    <w:p w14:paraId="027E64C6" w14:textId="77777777" w:rsidR="00E214AF" w:rsidRDefault="00E214AF" w:rsidP="00E214AF">
      <w:pPr>
        <w:spacing w:after="120" w:line="276" w:lineRule="auto"/>
        <w:jc w:val="both"/>
        <w:rPr>
          <w:rFonts w:ascii="Verdana" w:hAnsi="Verdana" w:cs="Arial"/>
        </w:rPr>
      </w:pPr>
      <w:proofErr w:type="spellStart"/>
      <w:r w:rsidRPr="00B86FC7">
        <w:rPr>
          <w:rFonts w:ascii="Verdana" w:eastAsia="Calibri" w:hAnsi="Verdana" w:cs="Arial"/>
          <w:b/>
          <w:bCs/>
        </w:rPr>
        <w:t>ii</w:t>
      </w:r>
      <w:proofErr w:type="spellEnd"/>
      <w:r w:rsidRPr="00B86FC7">
        <w:rPr>
          <w:rFonts w:ascii="Verdana" w:eastAsia="Calibri" w:hAnsi="Verdana" w:cs="Arial"/>
          <w:b/>
          <w:bCs/>
        </w:rPr>
        <w:t xml:space="preserve">). </w:t>
      </w:r>
      <w:r w:rsidRPr="00AE0E4F">
        <w:rPr>
          <w:rFonts w:ascii="Verdana" w:hAnsi="Verdana" w:cs="Arial"/>
        </w:rPr>
        <w:t xml:space="preserve">De conformidad con lo previsto en el artículo 6 de la Ley 80 de 1993, modificado por la Ley 2160 de 2021, pueden celebrar contratos con las entidades estatales las personas naturales y jurídicas legalmente capaces, así como los </w:t>
      </w:r>
      <w:r w:rsidRPr="00332232">
        <w:rPr>
          <w:rFonts w:ascii="Verdana" w:hAnsi="Verdana" w:cs="Arial"/>
          <w:i/>
          <w:iCs/>
        </w:rPr>
        <w:t>consorcios</w:t>
      </w:r>
      <w:r w:rsidRPr="00AE0E4F">
        <w:rPr>
          <w:rFonts w:ascii="Verdana" w:hAnsi="Verdana" w:cs="Arial"/>
        </w:rPr>
        <w:t xml:space="preserve"> y </w:t>
      </w:r>
      <w:r w:rsidRPr="00332232">
        <w:rPr>
          <w:rFonts w:ascii="Verdana" w:hAnsi="Verdana" w:cs="Arial"/>
          <w:i/>
          <w:iCs/>
        </w:rPr>
        <w:t>uniones temporales</w:t>
      </w:r>
      <w:r w:rsidRPr="00AE0E4F">
        <w:rPr>
          <w:rFonts w:ascii="Verdana" w:hAnsi="Verdana" w:cs="Arial"/>
        </w:rPr>
        <w:t xml:space="preserve">. Estas figuras, definidas por el artículo 7 </w:t>
      </w:r>
      <w:r w:rsidRPr="00103121">
        <w:rPr>
          <w:rFonts w:ascii="Verdana" w:hAnsi="Verdana" w:cs="Arial"/>
          <w:i/>
          <w:iCs/>
        </w:rPr>
        <w:t>ibidem</w:t>
      </w:r>
      <w:r w:rsidRPr="00AE0E4F">
        <w:rPr>
          <w:rFonts w:ascii="Verdana" w:hAnsi="Verdana" w:cs="Arial"/>
        </w:rPr>
        <w:t xml:space="preserve">, constituyen modalidades de colaboración empresarial mediante las cuales dos o más personas, naturales o jurídicas, presentan una misma propuesta para la adjudicación, celebración y ejecución de un contrato estatal. Aunque los consorcios y uniones temporales no son personas jurídicas, la ley les reconoce capacidad para contratar con el Estado, ejercer los derechos y cumplir las obligaciones derivadas del contrato, así como comparecer ante las autoridades administrativas o judiciales por intermedio del representante designado en el acuerdo de constitución. </w:t>
      </w:r>
    </w:p>
    <w:p w14:paraId="45ECBB0C" w14:textId="77777777" w:rsidR="00E214AF" w:rsidRDefault="00E214AF" w:rsidP="00E214AF">
      <w:pPr>
        <w:spacing w:after="120" w:line="276" w:lineRule="auto"/>
        <w:ind w:firstLine="708"/>
        <w:jc w:val="both"/>
        <w:rPr>
          <w:rFonts w:ascii="Verdana" w:eastAsia="Calibri" w:hAnsi="Verdana" w:cs="Arial"/>
          <w:b/>
          <w:bCs/>
        </w:rPr>
      </w:pPr>
      <w:r w:rsidRPr="00AE0E4F">
        <w:rPr>
          <w:rFonts w:ascii="Verdana" w:hAnsi="Verdana" w:cs="Arial"/>
        </w:rPr>
        <w:t>En el ámbito del derecho público, estas figuras se entienden como sujetos con capacidad contractual y procesal, en tanto actúan por medio de un representante común debidamente facultado para todos los efectos del proceso de selección y ejecución contractual.</w:t>
      </w:r>
    </w:p>
    <w:p w14:paraId="25D0A144" w14:textId="77777777" w:rsidR="00E214AF" w:rsidRDefault="00E214AF" w:rsidP="00E214AF">
      <w:pPr>
        <w:spacing w:after="120" w:line="276" w:lineRule="auto"/>
        <w:ind w:firstLine="708"/>
        <w:jc w:val="both"/>
        <w:rPr>
          <w:rFonts w:ascii="Verdana" w:hAnsi="Verdana" w:cs="Arial"/>
        </w:rPr>
      </w:pPr>
      <w:r>
        <w:rPr>
          <w:rFonts w:ascii="Verdana" w:hAnsi="Verdana" w:cs="Arial"/>
        </w:rPr>
        <w:t>Por otro lado, como se estudió en el numeral anterior, e</w:t>
      </w:r>
      <w:r w:rsidRPr="00DA5EC4">
        <w:rPr>
          <w:rFonts w:ascii="Verdana" w:hAnsi="Verdana" w:cs="Arial"/>
        </w:rPr>
        <w:t xml:space="preserve">n desarrollo de lo dispuesto en el artículo 12 de la Ley 1150 de 2007, el Decreto 1082 de 2015, modificado por el Decreto 1860 de 2021, regula las convocatorias limitadas a </w:t>
      </w:r>
      <w:proofErr w:type="spellStart"/>
      <w:r w:rsidRPr="00DA5EC4">
        <w:rPr>
          <w:rFonts w:ascii="Verdana" w:hAnsi="Verdana" w:cs="Arial"/>
        </w:rPr>
        <w:t>Mipyme</w:t>
      </w:r>
      <w:proofErr w:type="spellEnd"/>
      <w:r w:rsidRPr="00DA5EC4">
        <w:rPr>
          <w:rFonts w:ascii="Verdana" w:hAnsi="Verdana" w:cs="Arial"/>
        </w:rPr>
        <w:t xml:space="preserve">, estableciendo en su artículo 2.2.1.2.4.2.2 que las entidades estatales deberán limitar la convocatoria de los procesos de contratación con pluralidad de oferentes a las </w:t>
      </w:r>
      <w:proofErr w:type="spellStart"/>
      <w:r w:rsidRPr="00DA5EC4">
        <w:rPr>
          <w:rFonts w:ascii="Verdana" w:hAnsi="Verdana" w:cs="Arial"/>
        </w:rPr>
        <w:t>Mipyme</w:t>
      </w:r>
      <w:proofErr w:type="spellEnd"/>
      <w:r w:rsidRPr="00DA5EC4">
        <w:rPr>
          <w:rFonts w:ascii="Verdana" w:hAnsi="Verdana" w:cs="Arial"/>
        </w:rPr>
        <w:t xml:space="preserve"> colombianas con mínimo un (1) año de existencia, siempre que se cumplan los requisitos de valor y de número mínimo de </w:t>
      </w:r>
      <w:r w:rsidRPr="00DA5EC4">
        <w:rPr>
          <w:rFonts w:ascii="Verdana" w:hAnsi="Verdana" w:cs="Arial"/>
        </w:rPr>
        <w:lastRenderedPageBreak/>
        <w:t xml:space="preserve">solicitudes de </w:t>
      </w:r>
      <w:proofErr w:type="spellStart"/>
      <w:r w:rsidRPr="00DA5EC4">
        <w:rPr>
          <w:rFonts w:ascii="Verdana" w:hAnsi="Verdana" w:cs="Arial"/>
        </w:rPr>
        <w:t>Mipyme</w:t>
      </w:r>
      <w:proofErr w:type="spellEnd"/>
      <w:r w:rsidRPr="00DA5EC4">
        <w:rPr>
          <w:rFonts w:ascii="Verdana" w:hAnsi="Verdana" w:cs="Arial"/>
        </w:rPr>
        <w:t xml:space="preserve"> interesadas. Así mismo, el parágrafo 3 del artículo 2.2.1.2.4.2.4 prevé expresamente que en dichas convocatorias las entidades solo deberán aceptar las ofertas de </w:t>
      </w:r>
      <w:proofErr w:type="spellStart"/>
      <w:r w:rsidRPr="006215F0">
        <w:rPr>
          <w:rFonts w:ascii="Verdana" w:hAnsi="Verdana" w:cs="Arial"/>
          <w:i/>
          <w:iCs/>
        </w:rPr>
        <w:t>Mipyme</w:t>
      </w:r>
      <w:proofErr w:type="spellEnd"/>
      <w:r w:rsidRPr="00DA5EC4">
        <w:rPr>
          <w:rFonts w:ascii="Verdana" w:hAnsi="Verdana" w:cs="Arial"/>
        </w:rPr>
        <w:t xml:space="preserve"> o de </w:t>
      </w:r>
      <w:r w:rsidRPr="006215F0">
        <w:rPr>
          <w:rFonts w:ascii="Verdana" w:hAnsi="Verdana" w:cs="Arial"/>
          <w:i/>
          <w:iCs/>
        </w:rPr>
        <w:t xml:space="preserve">proponentes plurales integrados únicamente por </w:t>
      </w:r>
      <w:proofErr w:type="spellStart"/>
      <w:r w:rsidRPr="006215F0">
        <w:rPr>
          <w:rFonts w:ascii="Verdana" w:hAnsi="Verdana" w:cs="Arial"/>
          <w:i/>
          <w:iCs/>
        </w:rPr>
        <w:t>Mipyme</w:t>
      </w:r>
      <w:proofErr w:type="spellEnd"/>
      <w:r w:rsidRPr="00DA5EC4">
        <w:rPr>
          <w:rFonts w:ascii="Verdana" w:hAnsi="Verdana" w:cs="Arial"/>
        </w:rPr>
        <w:t>.</w:t>
      </w:r>
    </w:p>
    <w:p w14:paraId="4FC77961" w14:textId="77777777" w:rsidR="00E214AF" w:rsidRDefault="00E214AF" w:rsidP="00E214AF">
      <w:pPr>
        <w:widowControl w:val="0"/>
        <w:autoSpaceDE w:val="0"/>
        <w:autoSpaceDN w:val="0"/>
        <w:spacing w:after="120" w:line="276" w:lineRule="auto"/>
        <w:ind w:firstLine="708"/>
        <w:jc w:val="both"/>
        <w:rPr>
          <w:rFonts w:ascii="Verdana" w:hAnsi="Verdana" w:cs="Arial"/>
        </w:rPr>
      </w:pPr>
      <w:r w:rsidRPr="006215F0">
        <w:rPr>
          <w:rFonts w:ascii="Verdana" w:hAnsi="Verdana" w:cs="Arial"/>
        </w:rPr>
        <w:t xml:space="preserve">De esta disposición se desprende que la restricción de participación no se extiende a cualquier proponente plural, sino exclusivamente a aquellos integrados en su totalidad por </w:t>
      </w:r>
      <w:proofErr w:type="spellStart"/>
      <w:r w:rsidRPr="006215F0">
        <w:rPr>
          <w:rFonts w:ascii="Verdana" w:hAnsi="Verdana" w:cs="Arial"/>
        </w:rPr>
        <w:t>Mipyme</w:t>
      </w:r>
      <w:proofErr w:type="spellEnd"/>
      <w:r w:rsidRPr="006215F0">
        <w:rPr>
          <w:rFonts w:ascii="Verdana" w:hAnsi="Verdana" w:cs="Arial"/>
        </w:rPr>
        <w:t xml:space="preserve"> que cumplan individualmente con las condiciones exigidas por la norma, incluida la existencia mínima de un año y la correspondencia del objeto social con el del proceso de contratación. En ese sentido, la solicitud de limitación presentada por un proponente plural solo será procedente si todos sus miembros acreditan la condición de </w:t>
      </w:r>
      <w:proofErr w:type="spellStart"/>
      <w:r w:rsidRPr="006215F0">
        <w:rPr>
          <w:rFonts w:ascii="Verdana" w:hAnsi="Verdana" w:cs="Arial"/>
        </w:rPr>
        <w:t>Mipyme</w:t>
      </w:r>
      <w:proofErr w:type="spellEnd"/>
      <w:r w:rsidRPr="006215F0">
        <w:rPr>
          <w:rFonts w:ascii="Verdana" w:hAnsi="Verdana" w:cs="Arial"/>
        </w:rPr>
        <w:t>, pues la calidad empresarial no se predica del consorcio o de la unión temporal como ente colectivo —ya que carecen de personería jurídica propia—, sino de cada uno de los integrantes que lo conforman.</w:t>
      </w:r>
    </w:p>
    <w:p w14:paraId="3288699D" w14:textId="77777777" w:rsidR="00E214AF" w:rsidRDefault="00E214AF" w:rsidP="00E214AF">
      <w:pPr>
        <w:spacing w:after="120" w:line="276" w:lineRule="auto"/>
        <w:ind w:firstLine="708"/>
        <w:jc w:val="both"/>
        <w:rPr>
          <w:rFonts w:ascii="Verdana" w:hAnsi="Verdana" w:cs="Arial"/>
        </w:rPr>
      </w:pPr>
      <w:r w:rsidRPr="004C0C9E">
        <w:rPr>
          <w:rFonts w:ascii="Verdana" w:hAnsi="Verdana" w:cs="Arial"/>
        </w:rPr>
        <w:t xml:space="preserve">Así, la verificación de la condición de </w:t>
      </w:r>
      <w:proofErr w:type="spellStart"/>
      <w:r w:rsidRPr="004C0C9E">
        <w:rPr>
          <w:rFonts w:ascii="Verdana" w:hAnsi="Verdana" w:cs="Arial"/>
        </w:rPr>
        <w:t>Mipyme</w:t>
      </w:r>
      <w:proofErr w:type="spellEnd"/>
      <w:r w:rsidRPr="004C0C9E">
        <w:rPr>
          <w:rFonts w:ascii="Verdana" w:hAnsi="Verdana" w:cs="Arial"/>
        </w:rPr>
        <w:t xml:space="preserve"> debe realizarse respecto de cada miembro del proponente plural, conforme a la definición contenida en la Ley 590 de 2000 y sus normas reglamentarias, teniendo en cuenta los parámetros de número de empleados y activos totales definidos por el Ministerio de Comercio, Industria y Turismo. En consecuencia, si alguno de los integrantes no acredita la calidad de </w:t>
      </w:r>
      <w:proofErr w:type="spellStart"/>
      <w:r w:rsidRPr="004C0C9E">
        <w:rPr>
          <w:rFonts w:ascii="Verdana" w:hAnsi="Verdana" w:cs="Arial"/>
        </w:rPr>
        <w:t>Mipyme</w:t>
      </w:r>
      <w:proofErr w:type="spellEnd"/>
      <w:r w:rsidRPr="004C0C9E">
        <w:rPr>
          <w:rFonts w:ascii="Verdana" w:hAnsi="Verdana" w:cs="Arial"/>
        </w:rPr>
        <w:t>, el proponente plural en su conjunto no podrá solicitar ni participar en la convocatoria limitada, por cuanto dejaría de cumplir la exigencia del parágrafo 3 del artículo 2.2.1.2.4.2.4 del Decreto 1082 de 2015.</w:t>
      </w:r>
    </w:p>
    <w:p w14:paraId="36486AAD" w14:textId="77777777" w:rsidR="00E214AF" w:rsidRDefault="00E214AF" w:rsidP="00E214AF">
      <w:pPr>
        <w:spacing w:after="120" w:line="276" w:lineRule="auto"/>
        <w:ind w:firstLine="708"/>
        <w:jc w:val="both"/>
        <w:rPr>
          <w:rFonts w:ascii="Verdana" w:hAnsi="Verdana" w:cs="Arial"/>
        </w:rPr>
      </w:pPr>
      <w:r w:rsidRPr="003E30DA">
        <w:rPr>
          <w:rFonts w:ascii="Verdana" w:hAnsi="Verdana" w:cs="Arial"/>
        </w:rPr>
        <w:t xml:space="preserve">En ese contexto, cuando un consorcio o unión temporal integrado exclusivamente por </w:t>
      </w:r>
      <w:proofErr w:type="spellStart"/>
      <w:r w:rsidRPr="003E30DA">
        <w:rPr>
          <w:rFonts w:ascii="Verdana" w:hAnsi="Verdana" w:cs="Arial"/>
        </w:rPr>
        <w:t>Mipyme</w:t>
      </w:r>
      <w:proofErr w:type="spellEnd"/>
      <w:r w:rsidRPr="003E30DA">
        <w:rPr>
          <w:rFonts w:ascii="Verdana" w:hAnsi="Verdana" w:cs="Arial"/>
        </w:rPr>
        <w:t xml:space="preserve"> presenta la solicitud de limitación, esta puede considerarse válida en los términos del artículo 2.2.1.2.4.2.2, siempre que la solicitud sea presentada por su representante común, con fundamento en el acuerdo de constitución que le otorga facultades expresas para actuar en nombre del grupo plural. La entidad estatal, al evaluar la procedencia de la limitación y la posterior admisión de la oferta, deberá verificar que todos los integrantes cumplan con las condiciones de </w:t>
      </w:r>
      <w:proofErr w:type="spellStart"/>
      <w:r w:rsidRPr="003E30DA">
        <w:rPr>
          <w:rFonts w:ascii="Verdana" w:hAnsi="Verdana" w:cs="Arial"/>
        </w:rPr>
        <w:t>Mipyme</w:t>
      </w:r>
      <w:proofErr w:type="spellEnd"/>
      <w:r w:rsidRPr="003E30DA">
        <w:rPr>
          <w:rFonts w:ascii="Verdana" w:hAnsi="Verdana" w:cs="Arial"/>
        </w:rPr>
        <w:t xml:space="preserve"> y que la sumatoria de su experiencia y capacidad contractual se ajuste a las reglas generales de </w:t>
      </w:r>
      <w:proofErr w:type="gramStart"/>
      <w:r w:rsidRPr="003E30DA">
        <w:rPr>
          <w:rFonts w:ascii="Verdana" w:hAnsi="Verdana" w:cs="Arial"/>
        </w:rPr>
        <w:t>los proponentes plurales establecidas</w:t>
      </w:r>
      <w:proofErr w:type="gramEnd"/>
      <w:r w:rsidRPr="003E30DA">
        <w:rPr>
          <w:rFonts w:ascii="Verdana" w:hAnsi="Verdana" w:cs="Arial"/>
        </w:rPr>
        <w:t xml:space="preserve"> en la Ley 80 de 1993.</w:t>
      </w:r>
    </w:p>
    <w:p w14:paraId="133142FF" w14:textId="77777777" w:rsidR="00E214AF" w:rsidRDefault="00E214AF" w:rsidP="00E214AF">
      <w:pPr>
        <w:widowControl w:val="0"/>
        <w:autoSpaceDE w:val="0"/>
        <w:autoSpaceDN w:val="0"/>
        <w:spacing w:after="0" w:line="276" w:lineRule="auto"/>
        <w:ind w:firstLine="708"/>
        <w:jc w:val="both"/>
        <w:rPr>
          <w:rFonts w:ascii="Verdana" w:hAnsi="Verdana" w:cs="Arial"/>
        </w:rPr>
      </w:pPr>
      <w:r w:rsidRPr="003E30DA">
        <w:rPr>
          <w:rFonts w:ascii="Verdana" w:hAnsi="Verdana" w:cs="Arial"/>
        </w:rPr>
        <w:t xml:space="preserve">En conclusión, los consorcios y uniones temporales pueden solicitar la limitación de una convocatoria a </w:t>
      </w:r>
      <w:proofErr w:type="spellStart"/>
      <w:r w:rsidRPr="003E30DA">
        <w:rPr>
          <w:rFonts w:ascii="Verdana" w:hAnsi="Verdana" w:cs="Arial"/>
        </w:rPr>
        <w:t>Mipyme</w:t>
      </w:r>
      <w:proofErr w:type="spellEnd"/>
      <w:r w:rsidRPr="003E30DA">
        <w:rPr>
          <w:rFonts w:ascii="Verdana" w:hAnsi="Verdana" w:cs="Arial"/>
        </w:rPr>
        <w:t xml:space="preserve"> y participar en ella, siempre que todos sus integrantes sean </w:t>
      </w:r>
      <w:proofErr w:type="spellStart"/>
      <w:r w:rsidRPr="003E30DA">
        <w:rPr>
          <w:rFonts w:ascii="Verdana" w:hAnsi="Verdana" w:cs="Arial"/>
        </w:rPr>
        <w:t>Mipyme</w:t>
      </w:r>
      <w:proofErr w:type="spellEnd"/>
      <w:r w:rsidRPr="003E30DA">
        <w:rPr>
          <w:rFonts w:ascii="Verdana" w:hAnsi="Verdana" w:cs="Arial"/>
        </w:rPr>
        <w:t xml:space="preserve"> colombianas con al menos un (1) año de existencia y que la solicitud sea presentada por su representante común debidamente facultado. La calidad de </w:t>
      </w:r>
      <w:proofErr w:type="spellStart"/>
      <w:r w:rsidRPr="003E30DA">
        <w:rPr>
          <w:rFonts w:ascii="Verdana" w:hAnsi="Verdana" w:cs="Arial"/>
        </w:rPr>
        <w:t>Mipyme</w:t>
      </w:r>
      <w:proofErr w:type="spellEnd"/>
      <w:r w:rsidRPr="003E30DA">
        <w:rPr>
          <w:rFonts w:ascii="Verdana" w:hAnsi="Verdana" w:cs="Arial"/>
        </w:rPr>
        <w:t xml:space="preserve"> no se predica del grupo plural como tal, sino de </w:t>
      </w:r>
      <w:r w:rsidRPr="003E30DA">
        <w:rPr>
          <w:rFonts w:ascii="Verdana" w:hAnsi="Verdana" w:cs="Arial"/>
        </w:rPr>
        <w:lastRenderedPageBreak/>
        <w:t xml:space="preserve">cada uno de sus miembros; por tanto, la participación de un integrante que no ostente dicha condición impide que el proponente plural sea admitido en procesos limitados. Esta interpretación armoniza con el objetivo de la medida afirmativa, orientada a favorecer la participación efectiva de las </w:t>
      </w:r>
      <w:proofErr w:type="spellStart"/>
      <w:r w:rsidRPr="003E30DA">
        <w:rPr>
          <w:rFonts w:ascii="Verdana" w:hAnsi="Verdana" w:cs="Arial"/>
        </w:rPr>
        <w:t>Mipyme</w:t>
      </w:r>
      <w:proofErr w:type="spellEnd"/>
      <w:r w:rsidRPr="003E30DA">
        <w:rPr>
          <w:rFonts w:ascii="Verdana" w:hAnsi="Verdana" w:cs="Arial"/>
        </w:rPr>
        <w:t xml:space="preserve"> en el mercado de compras públicas, bajo criterios de transparencia, igualdad de oportunidades y fortalecimiento empresarial.</w:t>
      </w:r>
    </w:p>
    <w:p w14:paraId="63E3E370" w14:textId="77777777" w:rsidR="00E214AF" w:rsidRPr="0089768F" w:rsidRDefault="00E214AF" w:rsidP="00E214AF">
      <w:pPr>
        <w:widowControl w:val="0"/>
        <w:autoSpaceDE w:val="0"/>
        <w:autoSpaceDN w:val="0"/>
        <w:spacing w:after="0" w:line="276" w:lineRule="auto"/>
        <w:ind w:firstLine="708"/>
        <w:jc w:val="both"/>
        <w:rPr>
          <w:rFonts w:ascii="Verdana" w:hAnsi="Verdana"/>
        </w:rPr>
      </w:pPr>
    </w:p>
    <w:p w14:paraId="38991F5F" w14:textId="77777777" w:rsidR="00E214AF" w:rsidRPr="00593914" w:rsidRDefault="00E214AF" w:rsidP="00E214A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Referencias normativas, jurisprudenciales y otras fuentes:</w:t>
      </w:r>
    </w:p>
    <w:p w14:paraId="655557A0" w14:textId="77777777" w:rsidR="00E214AF" w:rsidRPr="003E3E88" w:rsidRDefault="00E214AF" w:rsidP="00E214AF">
      <w:pPr>
        <w:spacing w:after="0"/>
        <w:jc w:val="both"/>
        <w:rPr>
          <w:rFonts w:ascii="Verdana" w:hAnsi="Verdana"/>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214AF" w:rsidRPr="0022587E" w14:paraId="1E8B514D" w14:textId="77777777" w:rsidTr="00B519F3">
        <w:trPr>
          <w:trHeight w:val="870"/>
        </w:trPr>
        <w:tc>
          <w:tcPr>
            <w:tcW w:w="8647" w:type="dxa"/>
          </w:tcPr>
          <w:p w14:paraId="160F8658"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Ley 2069 de 2020</w:t>
            </w:r>
            <w:r>
              <w:rPr>
                <w:rFonts w:ascii="Verdana" w:hAnsi="Verdana" w:cs="Arial"/>
                <w:bCs/>
                <w:lang w:val="es-ES_tradnl" w:eastAsia="es-ES"/>
              </w:rPr>
              <w:t xml:space="preserve">, </w:t>
            </w:r>
            <w:r w:rsidRPr="00445399">
              <w:rPr>
                <w:rFonts w:ascii="Verdana" w:hAnsi="Verdana" w:cs="Arial"/>
                <w:bCs/>
                <w:lang w:val="es-ES_tradnl" w:eastAsia="es-ES"/>
              </w:rPr>
              <w:t xml:space="preserve">artículo </w:t>
            </w:r>
            <w:r>
              <w:rPr>
                <w:rFonts w:ascii="Verdana" w:hAnsi="Verdana" w:cs="Arial"/>
                <w:bCs/>
                <w:lang w:val="es-ES_tradnl" w:eastAsia="es-ES"/>
              </w:rPr>
              <w:t xml:space="preserve">33 y </w:t>
            </w:r>
            <w:r w:rsidRPr="00445399">
              <w:rPr>
                <w:rFonts w:ascii="Verdana" w:hAnsi="Verdana" w:cs="Arial"/>
                <w:bCs/>
                <w:lang w:val="es-ES_tradnl" w:eastAsia="es-ES"/>
              </w:rPr>
              <w:t>34</w:t>
            </w:r>
          </w:p>
          <w:p w14:paraId="6CA1A30D"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Decreto 1860 de 2021</w:t>
            </w:r>
          </w:p>
          <w:p w14:paraId="0FF915B3"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Decreto 1082 de 2015</w:t>
            </w:r>
            <w:r>
              <w:rPr>
                <w:rFonts w:ascii="Verdana" w:hAnsi="Verdana" w:cs="Arial"/>
                <w:bCs/>
                <w:lang w:val="es-ES_tradnl" w:eastAsia="es-ES"/>
              </w:rPr>
              <w:t xml:space="preserve">, </w:t>
            </w:r>
            <w:r w:rsidRPr="00445399">
              <w:rPr>
                <w:rFonts w:ascii="Verdana" w:hAnsi="Verdana" w:cs="Arial"/>
                <w:bCs/>
                <w:lang w:val="es-ES_tradnl" w:eastAsia="es-ES"/>
              </w:rPr>
              <w:t xml:space="preserve">artículos 2.2.1.2.4.2.2., 2.2.1.2.4.2.3. y 2.2.1.2.4.2.4. </w:t>
            </w:r>
          </w:p>
          <w:p w14:paraId="61C21DC3"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 xml:space="preserve">Ministerio de Comercio Industria y Turismo, disponible en el siguiente enlace: </w:t>
            </w:r>
            <w:hyperlink r:id="rId12" w:history="1">
              <w:r w:rsidRPr="008616C6">
                <w:rPr>
                  <w:rStyle w:val="Hipervnculo"/>
                  <w:rFonts w:ascii="Verdana" w:hAnsi="Verdana" w:cs="Arial"/>
                  <w:bCs/>
                  <w:lang w:val="es-ES_tradnl" w:eastAsia="es-ES"/>
                </w:rPr>
                <w:t>https://www.colombiacompra.gov.co/sites/cce_public/files/files_2020/vf_umbrales_actualizaciones_2022_-_2023_1.pdf</w:t>
              </w:r>
            </w:hyperlink>
            <w:r>
              <w:rPr>
                <w:rFonts w:ascii="Verdana" w:hAnsi="Verdana" w:cs="Arial"/>
                <w:bCs/>
                <w:lang w:val="es-ES_tradnl" w:eastAsia="es-ES"/>
              </w:rPr>
              <w:t xml:space="preserve"> </w:t>
            </w:r>
          </w:p>
          <w:p w14:paraId="6EFCA258"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Código de Comercio</w:t>
            </w:r>
            <w:r>
              <w:rPr>
                <w:rFonts w:ascii="Verdana" w:hAnsi="Verdana" w:cs="Arial"/>
                <w:bCs/>
                <w:lang w:val="es-ES_tradnl" w:eastAsia="es-ES"/>
              </w:rPr>
              <w:t xml:space="preserve">, </w:t>
            </w:r>
            <w:r w:rsidRPr="00445399">
              <w:rPr>
                <w:rFonts w:ascii="Verdana" w:hAnsi="Verdana" w:cs="Arial"/>
                <w:bCs/>
                <w:lang w:val="es-ES_tradnl" w:eastAsia="es-ES"/>
              </w:rPr>
              <w:t>artículos 110</w:t>
            </w:r>
            <w:r>
              <w:rPr>
                <w:rFonts w:ascii="Verdana" w:hAnsi="Verdana" w:cs="Arial"/>
                <w:bCs/>
                <w:lang w:val="es-ES_tradnl" w:eastAsia="es-ES"/>
              </w:rPr>
              <w:t>,</w:t>
            </w:r>
            <w:r w:rsidRPr="00445399">
              <w:rPr>
                <w:rFonts w:ascii="Verdana" w:hAnsi="Verdana" w:cs="Arial"/>
                <w:bCs/>
                <w:lang w:val="es-ES_tradnl" w:eastAsia="es-ES"/>
              </w:rPr>
              <w:t xml:space="preserve"> 111</w:t>
            </w:r>
            <w:r>
              <w:rPr>
                <w:rFonts w:ascii="Verdana" w:hAnsi="Verdana" w:cs="Arial"/>
                <w:bCs/>
                <w:lang w:val="es-ES_tradnl" w:eastAsia="es-ES"/>
              </w:rPr>
              <w:t xml:space="preserve"> y</w:t>
            </w:r>
            <w:r w:rsidRPr="00445399">
              <w:rPr>
                <w:rFonts w:ascii="Verdana" w:hAnsi="Verdana" w:cs="Arial"/>
                <w:bCs/>
                <w:lang w:val="es-ES_tradnl" w:eastAsia="es-ES"/>
              </w:rPr>
              <w:t xml:space="preserve"> 263 del Código de Comercio</w:t>
            </w:r>
          </w:p>
          <w:p w14:paraId="6CED085F"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Ley 1150 de 2007. Artículo 6 y 12</w:t>
            </w:r>
          </w:p>
          <w:p w14:paraId="5C670ED5"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Concepto emitido en el radicado 4201913000005674, dictado el 27 de septiembre de 2019</w:t>
            </w:r>
          </w:p>
          <w:p w14:paraId="78B0F7FD"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Decreto 142 de 2023 artículo 3</w:t>
            </w:r>
          </w:p>
          <w:p w14:paraId="3826935B" w14:textId="77777777" w:rsidR="00E214AF" w:rsidRPr="00445399" w:rsidRDefault="00E214AF" w:rsidP="00E214AF">
            <w:pPr>
              <w:pStyle w:val="Prrafodelista"/>
              <w:numPr>
                <w:ilvl w:val="0"/>
                <w:numId w:val="3"/>
              </w:numPr>
              <w:jc w:val="both"/>
              <w:rPr>
                <w:rFonts w:ascii="Verdana" w:hAnsi="Verdana" w:cs="Arial"/>
                <w:bCs/>
                <w:lang w:val="es-ES_tradnl" w:eastAsia="es-ES"/>
              </w:rPr>
            </w:pPr>
            <w:r w:rsidRPr="00445399">
              <w:rPr>
                <w:rFonts w:ascii="Verdana" w:hAnsi="Verdana" w:cs="Arial"/>
                <w:bCs/>
                <w:lang w:val="es-ES_tradnl" w:eastAsia="es-ES"/>
              </w:rPr>
              <w:t>Ley 2294 de 2023 —Plan Nacional de Desarrollo—</w:t>
            </w:r>
          </w:p>
          <w:p w14:paraId="3AEFDA02" w14:textId="77777777" w:rsidR="00E214AF" w:rsidRPr="007D1216" w:rsidRDefault="00E214AF" w:rsidP="00E214AF">
            <w:pPr>
              <w:numPr>
                <w:ilvl w:val="0"/>
                <w:numId w:val="3"/>
              </w:numPr>
              <w:spacing w:after="120" w:line="276" w:lineRule="auto"/>
              <w:jc w:val="both"/>
              <w:rPr>
                <w:rFonts w:ascii="Verdana" w:hAnsi="Verdana"/>
                <w:lang w:val="es-ES"/>
              </w:rPr>
            </w:pPr>
            <w:r w:rsidRPr="00445399">
              <w:rPr>
                <w:rFonts w:ascii="Verdana" w:hAnsi="Verdana" w:cs="Arial"/>
                <w:bCs/>
                <w:lang w:val="es-ES_tradnl" w:eastAsia="es-ES"/>
              </w:rPr>
              <w:t>Decreto 874 de 2024</w:t>
            </w:r>
          </w:p>
        </w:tc>
      </w:tr>
    </w:tbl>
    <w:p w14:paraId="61BAB0E4" w14:textId="77777777" w:rsidR="00E214AF" w:rsidRPr="00606FF7" w:rsidRDefault="00E214AF" w:rsidP="00E214AF">
      <w:pPr>
        <w:spacing w:after="0" w:line="276" w:lineRule="auto"/>
        <w:jc w:val="both"/>
        <w:rPr>
          <w:rFonts w:ascii="Verdana" w:hAnsi="Verdana" w:cs="Arial"/>
          <w:color w:val="000000"/>
          <w:lang w:eastAsia="es-ES"/>
        </w:rPr>
      </w:pPr>
    </w:p>
    <w:p w14:paraId="52210454" w14:textId="77777777" w:rsidR="00E214AF" w:rsidRPr="00593914" w:rsidRDefault="00E214AF" w:rsidP="00E214A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57AFDAC3" w14:textId="77777777" w:rsidR="00E214AF" w:rsidRPr="00606FF7" w:rsidRDefault="00E214AF" w:rsidP="00E214AF">
      <w:pPr>
        <w:widowControl w:val="0"/>
        <w:autoSpaceDE w:val="0"/>
        <w:autoSpaceDN w:val="0"/>
        <w:spacing w:after="0" w:line="276" w:lineRule="auto"/>
        <w:jc w:val="both"/>
        <w:rPr>
          <w:rFonts w:ascii="Verdana" w:hAnsi="Verdana" w:cs="Arial"/>
        </w:rPr>
      </w:pPr>
    </w:p>
    <w:p w14:paraId="1068594A" w14:textId="77777777" w:rsidR="00E214AF" w:rsidRDefault="00E214AF" w:rsidP="00E214AF">
      <w:pPr>
        <w:widowControl w:val="0"/>
        <w:autoSpaceDE w:val="0"/>
        <w:autoSpaceDN w:val="0"/>
        <w:spacing w:after="0" w:line="276" w:lineRule="auto"/>
        <w:jc w:val="both"/>
        <w:rPr>
          <w:rFonts w:ascii="Verdana" w:hAnsi="Verdana"/>
        </w:rPr>
      </w:pPr>
      <w:r w:rsidRPr="00606FF7">
        <w:rPr>
          <w:rFonts w:ascii="Verdana" w:hAnsi="Verdana"/>
        </w:rPr>
        <w:t xml:space="preserve">En lo relacionado con el ámbito de la consulta, esta Subdirección se ha pronunciado </w:t>
      </w:r>
      <w:r w:rsidRPr="00606FF7">
        <w:rPr>
          <w:rFonts w:ascii="Verdana" w:hAnsi="Verdana" w:cs="Arial"/>
        </w:rPr>
        <w:t>sobre las convocatorias limitadas a MiPymes, sus requisitos y características, en los Conceptos Nro. C − 366 del 8 de</w:t>
      </w:r>
      <w:r w:rsidRPr="00606FF7">
        <w:rPr>
          <w:rFonts w:ascii="Verdana" w:hAnsi="Verdana"/>
        </w:rPr>
        <w:t xml:space="preserve"> septiembre de 2023 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 C-829 del 03 de diciembre del 2024, C-100 del 25 de febrero de 2025, C -263 del 7 de abril de 2025 y el C -542 del 16 de junio 2025, C-559 del 18 de junio de 2025, C-590 del 25 de junio de 2025, </w:t>
      </w:r>
      <w:r>
        <w:rPr>
          <w:rFonts w:ascii="Verdana" w:hAnsi="Verdana"/>
        </w:rPr>
        <w:t xml:space="preserve">C-715 del 14 de julio de 2025, </w:t>
      </w:r>
      <w:r w:rsidRPr="00606FF7">
        <w:rPr>
          <w:rFonts w:ascii="Verdana" w:hAnsi="Verdana"/>
        </w:rPr>
        <w:t xml:space="preserve">entre otros. </w:t>
      </w:r>
      <w:r w:rsidRPr="00606FF7">
        <w:rPr>
          <w:rStyle w:val="normaltextrun"/>
          <w:rFonts w:ascii="Verdana" w:hAnsi="Verdana" w:cs="Arial"/>
          <w:shd w:val="clear" w:color="auto" w:fill="FFFFFF"/>
          <w:lang w:val="es-ES"/>
        </w:rPr>
        <w:t>Es</w:t>
      </w:r>
      <w:r w:rsidRPr="00606FF7">
        <w:rPr>
          <w:rFonts w:ascii="Verdana" w:hAnsi="Verdana"/>
        </w:rPr>
        <w:t>tos y otros conceptos se encuentran disponibles para consulta en el Sistema de relatoría de la Agencia, al cual se puede acceder a través del siguiente enlace:</w:t>
      </w:r>
    </w:p>
    <w:p w14:paraId="0E361552" w14:textId="77777777" w:rsidR="00E214AF" w:rsidRDefault="00E214AF" w:rsidP="00E214AF">
      <w:pPr>
        <w:widowControl w:val="0"/>
        <w:autoSpaceDE w:val="0"/>
        <w:autoSpaceDN w:val="0"/>
        <w:spacing w:after="0" w:line="276" w:lineRule="auto"/>
        <w:jc w:val="both"/>
        <w:rPr>
          <w:rFonts w:ascii="Verdana" w:hAnsi="Verdana"/>
        </w:rPr>
      </w:pPr>
    </w:p>
    <w:p w14:paraId="4BDCAF6C" w14:textId="77777777" w:rsidR="00E214AF" w:rsidRPr="00606FF7" w:rsidRDefault="00E214AF" w:rsidP="00E214AF">
      <w:pPr>
        <w:widowControl w:val="0"/>
        <w:autoSpaceDE w:val="0"/>
        <w:autoSpaceDN w:val="0"/>
        <w:spacing w:after="0" w:line="276" w:lineRule="auto"/>
        <w:jc w:val="both"/>
        <w:rPr>
          <w:rStyle w:val="normaltextrun"/>
          <w:rFonts w:ascii="Verdana" w:hAnsi="Verdana" w:cs="Arial"/>
          <w:color w:val="FF0000"/>
          <w:shd w:val="clear" w:color="auto" w:fill="FFFFFF"/>
          <w:lang w:val="es-ES"/>
        </w:rPr>
      </w:pPr>
      <w:hyperlink r:id="rId13" w:history="1">
        <w:r w:rsidRPr="00606FF7">
          <w:rPr>
            <w:rStyle w:val="Hipervnculo"/>
            <w:rFonts w:ascii="Verdana" w:hAnsi="Verdana" w:cs="Arial"/>
            <w:shd w:val="clear" w:color="auto" w:fill="FFFFFF"/>
            <w:lang w:val="es-ES"/>
          </w:rPr>
          <w:t>https://relatoria.colombiacompra.gov.co/busqueda/conceptos</w:t>
        </w:r>
      </w:hyperlink>
    </w:p>
    <w:p w14:paraId="6C42AAC2" w14:textId="77777777" w:rsidR="00E214AF" w:rsidRPr="00606FF7" w:rsidRDefault="00E214AF" w:rsidP="00E214AF">
      <w:pPr>
        <w:spacing w:after="0" w:line="276" w:lineRule="auto"/>
        <w:jc w:val="both"/>
        <w:rPr>
          <w:rFonts w:ascii="Verdana" w:hAnsi="Verdana"/>
        </w:rPr>
      </w:pPr>
    </w:p>
    <w:p w14:paraId="549DBD3A" w14:textId="77777777" w:rsidR="00E214AF" w:rsidRPr="00E3533A" w:rsidRDefault="00E214AF" w:rsidP="00E214AF">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42713183" w14:textId="77777777" w:rsidR="00E214AF" w:rsidRDefault="00E214AF" w:rsidP="00E214AF">
      <w:pPr>
        <w:widowControl w:val="0"/>
        <w:autoSpaceDE w:val="0"/>
        <w:autoSpaceDN w:val="0"/>
        <w:spacing w:after="0" w:line="276" w:lineRule="auto"/>
        <w:jc w:val="both"/>
        <w:rPr>
          <w:rFonts w:ascii="Verdana" w:hAnsi="Verdana" w:cs="Arial"/>
        </w:rPr>
      </w:pPr>
    </w:p>
    <w:p w14:paraId="0B854775" w14:textId="77777777" w:rsidR="00E214AF" w:rsidRPr="00116940" w:rsidRDefault="00E214AF" w:rsidP="00E214A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3131751" w14:textId="77777777" w:rsidR="00E214AF" w:rsidRPr="00116940" w:rsidRDefault="00E214AF" w:rsidP="00E214AF">
      <w:pPr>
        <w:spacing w:after="0"/>
        <w:jc w:val="both"/>
        <w:rPr>
          <w:rFonts w:ascii="Verdana" w:hAnsi="Verdana"/>
        </w:rPr>
      </w:pPr>
    </w:p>
    <w:p w14:paraId="5E7240A9" w14:textId="77777777" w:rsidR="00E214AF" w:rsidRPr="00116940" w:rsidRDefault="00E214AF" w:rsidP="00E214AF">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027831C" w14:textId="77777777" w:rsidR="00E214AF" w:rsidRPr="00116940" w:rsidRDefault="00E214AF" w:rsidP="00E214AF">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6DDC2B4" w14:textId="77777777" w:rsidR="00E214AF" w:rsidRPr="00116940" w:rsidRDefault="00E214AF" w:rsidP="00E214AF">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6483650E" w14:textId="77777777" w:rsidR="00E214AF" w:rsidRPr="00116940" w:rsidRDefault="00E214AF" w:rsidP="00E214AF">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FC8B8FB" w14:textId="77777777" w:rsidR="00E214AF" w:rsidRPr="00116940" w:rsidRDefault="00E214AF" w:rsidP="00E214AF">
      <w:pPr>
        <w:spacing w:after="0" w:line="240" w:lineRule="auto"/>
        <w:ind w:left="720"/>
        <w:jc w:val="both"/>
        <w:rPr>
          <w:rFonts w:ascii="Verdana" w:hAnsi="Verdana"/>
        </w:rPr>
      </w:pPr>
    </w:p>
    <w:p w14:paraId="726D486D" w14:textId="77777777" w:rsidR="00E214AF" w:rsidRPr="00116940" w:rsidRDefault="00E214AF" w:rsidP="00E214AF">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580763B" w14:textId="77777777" w:rsidR="00E214AF" w:rsidRPr="00116940" w:rsidRDefault="00E214AF" w:rsidP="00E214AF">
      <w:pPr>
        <w:spacing w:after="0" w:line="240" w:lineRule="auto"/>
        <w:rPr>
          <w:rFonts w:ascii="Verdana" w:hAnsi="Verdana"/>
        </w:rPr>
      </w:pPr>
    </w:p>
    <w:p w14:paraId="0C44A05C" w14:textId="77777777" w:rsidR="00E214AF" w:rsidRPr="00116940" w:rsidRDefault="00E214AF" w:rsidP="00E214A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FC8A49E" w14:textId="77777777" w:rsidR="00E214AF" w:rsidRPr="00116940" w:rsidRDefault="00E214AF" w:rsidP="00E214AF">
      <w:pPr>
        <w:spacing w:after="0" w:line="240" w:lineRule="auto"/>
        <w:jc w:val="both"/>
        <w:rPr>
          <w:rFonts w:ascii="Verdana" w:hAnsi="Verdana"/>
        </w:rPr>
      </w:pPr>
    </w:p>
    <w:p w14:paraId="0F6007E9" w14:textId="77777777" w:rsidR="00E214AF" w:rsidRPr="00116940" w:rsidRDefault="00E214AF" w:rsidP="00E214A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21C2632" w14:textId="77777777" w:rsidR="00E214AF" w:rsidRPr="00116940" w:rsidRDefault="00E214AF" w:rsidP="00E214A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CF240FA" w14:textId="77777777" w:rsidR="00E214AF" w:rsidRPr="00116940" w:rsidRDefault="00E214AF" w:rsidP="00E214A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4B3978E" w14:textId="77777777" w:rsidR="00E214AF" w:rsidRPr="00116940" w:rsidRDefault="00E214AF" w:rsidP="00E214AF">
      <w:pPr>
        <w:spacing w:after="0" w:line="240" w:lineRule="auto"/>
        <w:jc w:val="both"/>
        <w:rPr>
          <w:rFonts w:ascii="Verdana" w:hAnsi="Verdana"/>
        </w:rPr>
      </w:pPr>
    </w:p>
    <w:p w14:paraId="68C9E92B" w14:textId="77777777" w:rsidR="00E214AF" w:rsidRPr="00593A5F" w:rsidRDefault="00E214AF" w:rsidP="00E214A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502F482" w14:textId="77777777" w:rsidR="00E214AF" w:rsidRPr="00606FF7" w:rsidRDefault="00E214AF" w:rsidP="00E214AF">
      <w:pPr>
        <w:spacing w:after="0" w:line="276" w:lineRule="auto"/>
        <w:jc w:val="both"/>
        <w:rPr>
          <w:rFonts w:ascii="Verdana" w:hAnsi="Verdana"/>
          <w:lang w:val="es-ES_tradnl"/>
        </w:rPr>
      </w:pPr>
    </w:p>
    <w:p w14:paraId="7D6AE98D" w14:textId="77777777" w:rsidR="00E214AF" w:rsidRPr="00606FF7" w:rsidRDefault="00E214AF" w:rsidP="00E214AF">
      <w:pPr>
        <w:spacing w:after="0" w:line="276" w:lineRule="auto"/>
        <w:jc w:val="both"/>
        <w:rPr>
          <w:rFonts w:ascii="Verdana" w:hAnsi="Verdana"/>
          <w:lang w:val="es-MX"/>
        </w:rPr>
      </w:pPr>
      <w:r w:rsidRPr="00606FF7">
        <w:rPr>
          <w:rFonts w:ascii="Verdana" w:hAnsi="Verdana"/>
          <w:lang w:val="es-MX"/>
        </w:rPr>
        <w:t>Cordialmente,</w:t>
      </w:r>
    </w:p>
    <w:p w14:paraId="098ECD9F" w14:textId="77777777" w:rsidR="00E214AF" w:rsidRDefault="00E214AF" w:rsidP="00E214AF">
      <w:pPr>
        <w:spacing w:after="0" w:line="240" w:lineRule="auto"/>
        <w:jc w:val="center"/>
        <w:rPr>
          <w:rFonts w:ascii="Verdana" w:hAnsi="Verdana"/>
          <w:b/>
          <w:bCs/>
          <w:lang w:val="es-MX"/>
        </w:rPr>
      </w:pPr>
    </w:p>
    <w:p w14:paraId="467308EE" w14:textId="16E7D038" w:rsidR="00E214AF" w:rsidRDefault="00E830F0" w:rsidP="00E214AF">
      <w:pPr>
        <w:spacing w:after="0" w:line="240" w:lineRule="auto"/>
        <w:jc w:val="center"/>
        <w:rPr>
          <w:noProof/>
          <w:lang w:val="en-US"/>
        </w:rPr>
      </w:pPr>
      <w:r w:rsidRPr="004D5C25">
        <w:rPr>
          <w:rFonts w:ascii="Century Gothic" w:hAnsi="Century Gothic"/>
          <w:noProof/>
        </w:rPr>
        <w:drawing>
          <wp:inline distT="0" distB="0" distL="0" distR="0" wp14:anchorId="562BB1A2" wp14:editId="654A8404">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214AF" w:rsidRPr="00E3533A" w14:paraId="4851A24D" w14:textId="77777777" w:rsidTr="00B519F3">
        <w:trPr>
          <w:trHeight w:val="315"/>
        </w:trPr>
        <w:tc>
          <w:tcPr>
            <w:tcW w:w="893" w:type="dxa"/>
            <w:vAlign w:val="center"/>
            <w:hideMark/>
          </w:tcPr>
          <w:p w14:paraId="462A66D5" w14:textId="77777777" w:rsidR="00E214AF" w:rsidRPr="00E3533A" w:rsidRDefault="00E214AF" w:rsidP="00B519F3">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3B7C115" w14:textId="77777777" w:rsidR="00E214AF" w:rsidRPr="00E3533A" w:rsidRDefault="00E214AF" w:rsidP="00B519F3">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1B773C51" w14:textId="77777777" w:rsidR="00E214AF" w:rsidRPr="00E3533A" w:rsidRDefault="00E214AF" w:rsidP="00B519F3">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E214AF" w:rsidRPr="00E3533A" w14:paraId="46E16348" w14:textId="77777777" w:rsidTr="00B519F3">
        <w:trPr>
          <w:trHeight w:val="330"/>
        </w:trPr>
        <w:tc>
          <w:tcPr>
            <w:tcW w:w="893" w:type="dxa"/>
            <w:vAlign w:val="center"/>
            <w:hideMark/>
          </w:tcPr>
          <w:p w14:paraId="7ECC4A9F" w14:textId="77777777" w:rsidR="00E214AF" w:rsidRPr="00E3533A" w:rsidRDefault="00E214AF" w:rsidP="00B519F3">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57B01E" w14:textId="77777777" w:rsidR="00E214AF" w:rsidRPr="002B5C7D" w:rsidRDefault="00E214AF" w:rsidP="00B519F3">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050C6092" w14:textId="77777777" w:rsidR="00E214AF" w:rsidRPr="00E3533A" w:rsidRDefault="00E214AF" w:rsidP="00B519F3">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E214AF" w:rsidRPr="00E3533A" w14:paraId="72440B97" w14:textId="77777777" w:rsidTr="00B519F3">
        <w:trPr>
          <w:trHeight w:val="300"/>
        </w:trPr>
        <w:tc>
          <w:tcPr>
            <w:tcW w:w="893" w:type="dxa"/>
            <w:vAlign w:val="center"/>
          </w:tcPr>
          <w:p w14:paraId="4FAA9B5F" w14:textId="77777777" w:rsidR="00E214AF" w:rsidRPr="00E3533A" w:rsidRDefault="00E214AF" w:rsidP="00B519F3">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1759A9" w14:textId="77777777" w:rsidR="00E214AF" w:rsidRPr="00E3533A" w:rsidRDefault="00E214AF" w:rsidP="00B519F3">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Carolina Quintero Gacharná</w:t>
            </w:r>
          </w:p>
          <w:p w14:paraId="1DD7938B" w14:textId="77777777" w:rsidR="00E214AF" w:rsidRPr="00E3533A" w:rsidRDefault="00E214AF" w:rsidP="00B519F3">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377DA6BA" w14:textId="77777777" w:rsidR="00E214AF" w:rsidRPr="00E3533A" w:rsidRDefault="00E214AF" w:rsidP="00E214AF">
      <w:pPr>
        <w:spacing w:after="0"/>
        <w:rPr>
          <w:rFonts w:ascii="Verdana" w:hAnsi="Verdana"/>
        </w:rPr>
      </w:pPr>
    </w:p>
    <w:p w14:paraId="6A72059C" w14:textId="77777777" w:rsidR="00E214AF" w:rsidRPr="00FB7971" w:rsidRDefault="00E214AF" w:rsidP="00E214AF"/>
    <w:bookmarkEnd w:id="0"/>
    <w:p w14:paraId="17CD7A50" w14:textId="77777777" w:rsidR="00E214AF" w:rsidRPr="008C14B2" w:rsidRDefault="00E214AF" w:rsidP="00E214AF"/>
    <w:p w14:paraId="3CF78F98" w14:textId="77777777" w:rsidR="00C24FFE" w:rsidRDefault="00C24FFE"/>
    <w:sectPr w:rsidR="00C24FFE" w:rsidSect="00E214A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1E59B" w14:textId="77777777" w:rsidR="00AD734A" w:rsidRDefault="00AD734A" w:rsidP="00E214AF">
      <w:pPr>
        <w:spacing w:after="0" w:line="240" w:lineRule="auto"/>
      </w:pPr>
      <w:r>
        <w:separator/>
      </w:r>
    </w:p>
  </w:endnote>
  <w:endnote w:type="continuationSeparator" w:id="0">
    <w:p w14:paraId="0BB6237B" w14:textId="77777777" w:rsidR="00AD734A" w:rsidRDefault="00AD734A" w:rsidP="00E214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00C15" w14:textId="77777777" w:rsidR="00E214AF" w:rsidRDefault="00E214AF">
    <w:pPr>
      <w:pStyle w:val="Piedepgina"/>
    </w:pPr>
  </w:p>
  <w:p w14:paraId="035C4DC3" w14:textId="77777777" w:rsidR="00E214AF" w:rsidRPr="00174B77" w:rsidRDefault="00E214A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71FD3F0" w14:textId="77777777" w:rsidR="00E214AF" w:rsidRDefault="00E214A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B124419" w14:textId="77777777" w:rsidR="00E214AF" w:rsidRPr="00E41027" w:rsidRDefault="00E214AF" w:rsidP="00D520D8">
    <w:pPr>
      <w:spacing w:after="0"/>
      <w:jc w:val="both"/>
      <w:rPr>
        <w:rFonts w:ascii="Verdana" w:hAnsi="Verdana"/>
        <w:sz w:val="18"/>
        <w:szCs w:val="18"/>
      </w:rPr>
    </w:pPr>
    <w:r w:rsidRPr="00E41027">
      <w:rPr>
        <w:rFonts w:ascii="Verdana" w:hAnsi="Verdana"/>
        <w:sz w:val="18"/>
        <w:szCs w:val="18"/>
      </w:rPr>
      <w:t>Mesa de servicio: (+57) 601 7456788</w:t>
    </w:r>
  </w:p>
  <w:p w14:paraId="36CB6FD7" w14:textId="77777777" w:rsidR="00E214AF" w:rsidRPr="001E2827" w:rsidRDefault="00E214AF" w:rsidP="356CEDFD">
    <w:pPr>
      <w:pBdr>
        <w:top w:val="nil"/>
        <w:left w:val="nil"/>
        <w:bottom w:val="nil"/>
        <w:right w:val="nil"/>
        <w:between w:val="nil"/>
      </w:pBdr>
      <w:tabs>
        <w:tab w:val="center" w:pos="4419"/>
        <w:tab w:val="right" w:pos="8838"/>
        <w:tab w:val="center" w:pos="5400"/>
      </w:tabs>
      <w:spacing w:after="0"/>
      <w:jc w:val="right"/>
      <w:rPr>
        <w:lang w:val="pt-BR"/>
      </w:rPr>
    </w:pPr>
    <w:r w:rsidRPr="001E2827">
      <w:rPr>
        <w:rFonts w:ascii="Century Gothic" w:eastAsia="Geo" w:hAnsi="Century Gothic" w:cs="Geo"/>
        <w:b/>
        <w:bCs/>
        <w:color w:val="000000" w:themeColor="text1"/>
        <w:sz w:val="16"/>
        <w:szCs w:val="16"/>
        <w:lang w:val="pt-BR" w:eastAsia="es-CO"/>
      </w:rPr>
      <w:t xml:space="preserve">Código: </w:t>
    </w:r>
    <w:r w:rsidRPr="001E2827">
      <w:rPr>
        <w:rFonts w:ascii="Century Gothic" w:eastAsia="Geo" w:hAnsi="Century Gothic" w:cs="Geo"/>
        <w:color w:val="000000" w:themeColor="text1"/>
        <w:sz w:val="16"/>
        <w:szCs w:val="16"/>
        <w:lang w:val="pt-BR" w:eastAsia="es-CO"/>
      </w:rPr>
      <w:t xml:space="preserve">CCE-REC-FM-17 </w:t>
    </w:r>
    <w:r w:rsidRPr="001E2827">
      <w:rPr>
        <w:rFonts w:ascii="Century Gothic" w:eastAsia="Geo" w:hAnsi="Century Gothic" w:cs="Geo"/>
        <w:b/>
        <w:bCs/>
        <w:color w:val="000000" w:themeColor="text1"/>
        <w:sz w:val="16"/>
        <w:szCs w:val="16"/>
        <w:lang w:val="pt-BR" w:eastAsia="es-CO"/>
      </w:rPr>
      <w:t>V</w:t>
    </w:r>
    <w:r w:rsidRPr="001E2827">
      <w:rPr>
        <w:rFonts w:ascii="Century Gothic" w:eastAsia="Arial Nova" w:hAnsi="Century Gothic" w:cs="Arial Nova"/>
        <w:b/>
        <w:bCs/>
        <w:color w:val="000000" w:themeColor="text1"/>
        <w:sz w:val="16"/>
        <w:szCs w:val="16"/>
        <w:lang w:val="pt-BR" w:eastAsia="es-CO"/>
      </w:rPr>
      <w:t xml:space="preserve">: </w:t>
    </w:r>
    <w:r w:rsidRPr="001E2827">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43CD9" w14:textId="77777777" w:rsidR="00AD734A" w:rsidRDefault="00AD734A" w:rsidP="00E214AF">
      <w:pPr>
        <w:spacing w:after="0" w:line="240" w:lineRule="auto"/>
      </w:pPr>
      <w:r>
        <w:separator/>
      </w:r>
    </w:p>
  </w:footnote>
  <w:footnote w:type="continuationSeparator" w:id="0">
    <w:p w14:paraId="2BB3E166" w14:textId="77777777" w:rsidR="00AD734A" w:rsidRDefault="00AD734A" w:rsidP="00E214AF">
      <w:pPr>
        <w:spacing w:after="0" w:line="240" w:lineRule="auto"/>
      </w:pPr>
      <w:r>
        <w:continuationSeparator/>
      </w:r>
    </w:p>
  </w:footnote>
  <w:footnote w:id="1">
    <w:p w14:paraId="004880EB" w14:textId="77777777" w:rsidR="00E214AF" w:rsidRPr="00415B3A" w:rsidRDefault="00E214AF" w:rsidP="00E214AF">
      <w:pPr>
        <w:pStyle w:val="Textonotapie"/>
        <w:ind w:firstLine="708"/>
        <w:jc w:val="both"/>
        <w:rPr>
          <w:rFonts w:ascii="Verdana" w:hAnsi="Verdana" w:cs="Arial"/>
          <w:sz w:val="14"/>
          <w:szCs w:val="14"/>
        </w:rPr>
      </w:pPr>
      <w:r w:rsidRPr="00415B3A">
        <w:rPr>
          <w:rStyle w:val="Refdenotaalpie"/>
          <w:rFonts w:ascii="Verdana" w:hAnsi="Verdana" w:cs="Arial"/>
          <w:sz w:val="14"/>
          <w:szCs w:val="14"/>
        </w:rPr>
        <w:footnoteRef/>
      </w:r>
      <w:r w:rsidRPr="00415B3A">
        <w:rPr>
          <w:rFonts w:ascii="Verdana" w:hAnsi="Verdana" w:cs="Arial"/>
          <w:sz w:val="14"/>
          <w:szCs w:val="14"/>
        </w:rPr>
        <w:t xml:space="preserve"> Este monto fue publicado por la Agencia Nacional de Contratación Pública – Colombia Compra Eficiente, de acuerdo con la información remitida por el Ministerio de Comercio Industria y Turismo, disponible en el siguiente enlace: </w:t>
      </w:r>
      <w:hyperlink r:id="rId1" w:history="1">
        <w:r w:rsidRPr="008616C6">
          <w:rPr>
            <w:rStyle w:val="Hipervnculo"/>
            <w:rFonts w:ascii="Verdana" w:hAnsi="Verdana" w:cs="Arial"/>
            <w:sz w:val="14"/>
            <w:szCs w:val="14"/>
          </w:rPr>
          <w:t>https://www.colombiacompra.gov.co/sites/cce_public/files/files_2020/vf_umbrales_actualizaciones_2022_-_2023_1.pd</w:t>
        </w:r>
        <w:r w:rsidRPr="008616C6">
          <w:rPr>
            <w:rStyle w:val="Hipervnculo"/>
            <w:rFonts w:ascii="Verdana" w:hAnsi="Verdana"/>
            <w:sz w:val="14"/>
            <w:szCs w:val="14"/>
          </w:rPr>
          <w:t>f</w:t>
        </w:r>
      </w:hyperlink>
      <w:r>
        <w:rPr>
          <w:rFonts w:ascii="Verdana" w:hAnsi="Verdana"/>
          <w:sz w:val="14"/>
          <w:szCs w:val="14"/>
        </w:rPr>
        <w:t xml:space="preserve"> </w:t>
      </w:r>
      <w:r>
        <w:rPr>
          <w:rFonts w:ascii="Verdana" w:hAnsi="Verdana" w:cs="Arial"/>
          <w:color w:val="000000" w:themeColor="text1"/>
          <w:sz w:val="14"/>
          <w:szCs w:val="14"/>
        </w:rPr>
        <w:t xml:space="preserve"> </w:t>
      </w:r>
      <w:r w:rsidRPr="00415B3A">
        <w:rPr>
          <w:rFonts w:ascii="Verdana" w:hAnsi="Verdana" w:cs="Arial"/>
          <w:color w:val="000000" w:themeColor="text1"/>
          <w:sz w:val="14"/>
          <w:szCs w:val="14"/>
        </w:rPr>
        <w:t xml:space="preserve"> </w:t>
      </w:r>
    </w:p>
  </w:footnote>
  <w:footnote w:id="2">
    <w:p w14:paraId="788656C3" w14:textId="77777777" w:rsidR="00E214AF" w:rsidRPr="00415B3A" w:rsidRDefault="00E214AF" w:rsidP="00E214AF">
      <w:pPr>
        <w:pStyle w:val="Textonotapie"/>
        <w:ind w:firstLine="709"/>
        <w:jc w:val="both"/>
        <w:rPr>
          <w:rFonts w:ascii="Verdana" w:hAnsi="Verdana" w:cs="Arial"/>
          <w:sz w:val="14"/>
          <w:szCs w:val="14"/>
        </w:rPr>
      </w:pPr>
      <w:r w:rsidRPr="00415B3A">
        <w:rPr>
          <w:rStyle w:val="Refdenotaalpie"/>
          <w:rFonts w:ascii="Verdana" w:hAnsi="Verdana" w:cs="Arial"/>
          <w:sz w:val="14"/>
          <w:szCs w:val="14"/>
        </w:rPr>
        <w:footnoteRef/>
      </w:r>
      <w:r w:rsidRPr="00415B3A">
        <w:rPr>
          <w:rFonts w:ascii="Verdana" w:hAnsi="Verdana" w:cs="Arial"/>
          <w:sz w:val="14"/>
          <w:szCs w:val="14"/>
        </w:rPr>
        <w:t xml:space="preserve"> 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54BB7B2A" w14:textId="77777777" w:rsidR="00E214AF" w:rsidRPr="00415B3A" w:rsidRDefault="00E214AF" w:rsidP="00E214AF">
      <w:pPr>
        <w:pStyle w:val="Textonotapie"/>
        <w:ind w:firstLine="709"/>
        <w:jc w:val="both"/>
        <w:rPr>
          <w:rFonts w:ascii="Verdana" w:hAnsi="Verdana" w:cs="Arial"/>
          <w:sz w:val="14"/>
          <w:szCs w:val="14"/>
        </w:rPr>
      </w:pPr>
      <w:r w:rsidRPr="00415B3A">
        <w:rPr>
          <w:rFonts w:ascii="Verdana" w:hAnsi="Verdana" w:cs="Arial"/>
          <w:sz w:val="14"/>
          <w:szCs w:val="14"/>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3770D9F1" w14:textId="77777777" w:rsidR="00E214AF" w:rsidRPr="00415B3A" w:rsidRDefault="00E214AF" w:rsidP="00E214AF">
      <w:pPr>
        <w:pStyle w:val="Textonotapie"/>
        <w:ind w:firstLine="709"/>
        <w:jc w:val="both"/>
        <w:rPr>
          <w:rFonts w:ascii="Verdana" w:hAnsi="Verdana" w:cs="Arial"/>
          <w:sz w:val="14"/>
          <w:szCs w:val="14"/>
        </w:rPr>
      </w:pPr>
      <w:r w:rsidRPr="00415B3A">
        <w:rPr>
          <w:rFonts w:ascii="Verdana" w:hAnsi="Verdana" w:cs="Arial"/>
          <w:sz w:val="14"/>
          <w:szCs w:val="14"/>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7F65CAAA" w14:textId="77777777" w:rsidR="00E214AF" w:rsidRPr="00415B3A" w:rsidRDefault="00E214AF" w:rsidP="00E214AF">
      <w:pPr>
        <w:pStyle w:val="Textonotapie"/>
        <w:ind w:firstLine="709"/>
        <w:jc w:val="both"/>
        <w:rPr>
          <w:rFonts w:ascii="Verdana" w:hAnsi="Verdana" w:cs="Arial"/>
          <w:sz w:val="14"/>
          <w:szCs w:val="14"/>
        </w:rPr>
      </w:pPr>
      <w:r w:rsidRPr="00415B3A">
        <w:rPr>
          <w:rFonts w:ascii="Verdana" w:hAnsi="Verdana" w:cs="Arial"/>
          <w:sz w:val="14"/>
          <w:szCs w:val="14"/>
        </w:rPr>
        <w:t xml:space="preserve">Tratándose de personas jurídicas, las solicitudes solo las podrán realizar Mipyme, cuyo objeto social les permita ejecutar el contrato relacionado con el proceso contractual. </w:t>
      </w:r>
    </w:p>
    <w:p w14:paraId="7F1CCCF9" w14:textId="77777777" w:rsidR="00E214AF" w:rsidRPr="00415B3A" w:rsidRDefault="00E214AF" w:rsidP="00E214AF">
      <w:pPr>
        <w:pStyle w:val="Textonotapie"/>
        <w:ind w:firstLine="709"/>
        <w:jc w:val="both"/>
        <w:rPr>
          <w:rFonts w:ascii="Verdana" w:hAnsi="Verdana" w:cs="Arial"/>
          <w:sz w:val="14"/>
          <w:szCs w:val="14"/>
        </w:rPr>
      </w:pPr>
      <w:r w:rsidRPr="00415B3A">
        <w:rPr>
          <w:rFonts w:ascii="Verdana" w:hAnsi="Verdana" w:cs="Arial"/>
          <w:sz w:val="14"/>
          <w:szCs w:val="14"/>
        </w:rPr>
        <w:t>PARÁGRAFO. Las cooperativas y dem</w:t>
      </w:r>
      <w:r w:rsidRPr="00415B3A">
        <w:rPr>
          <w:rFonts w:ascii="Verdana" w:hAnsi="Verdana" w:cs="Century Gothic"/>
          <w:sz w:val="14"/>
          <w:szCs w:val="14"/>
        </w:rPr>
        <w:t>á</w:t>
      </w:r>
      <w:r w:rsidRPr="00415B3A">
        <w:rPr>
          <w:rFonts w:ascii="Verdana" w:hAnsi="Verdana" w:cs="Arial"/>
          <w:sz w:val="14"/>
          <w:szCs w:val="14"/>
        </w:rPr>
        <w:t>s entidades de econom</w:t>
      </w:r>
      <w:r w:rsidRPr="00415B3A">
        <w:rPr>
          <w:rFonts w:ascii="Verdana" w:hAnsi="Verdana" w:cs="Century Gothic"/>
          <w:sz w:val="14"/>
          <w:szCs w:val="14"/>
        </w:rPr>
        <w:t>í</w:t>
      </w:r>
      <w:r w:rsidRPr="00415B3A">
        <w:rPr>
          <w:rFonts w:ascii="Verdana" w:hAnsi="Verdana" w:cs="Arial"/>
          <w:sz w:val="14"/>
          <w:szCs w:val="14"/>
        </w:rPr>
        <w:t>a solidaria, siempre que tengan la calidad de M</w:t>
      </w:r>
      <w:r w:rsidRPr="00415B3A">
        <w:rPr>
          <w:rFonts w:ascii="Verdana" w:hAnsi="Verdana" w:cs="Century Gothic"/>
          <w:sz w:val="14"/>
          <w:szCs w:val="14"/>
        </w:rPr>
        <w:t>í</w:t>
      </w:r>
      <w:r w:rsidRPr="00415B3A">
        <w:rPr>
          <w:rFonts w:ascii="Verdana" w:hAnsi="Verdana" w:cs="Arial"/>
          <w:sz w:val="14"/>
          <w:szCs w:val="14"/>
        </w:rPr>
        <w:t>pyme, podr</w:t>
      </w:r>
      <w:r w:rsidRPr="00415B3A">
        <w:rPr>
          <w:rFonts w:ascii="Verdana" w:hAnsi="Verdana" w:cs="Century Gothic"/>
          <w:sz w:val="14"/>
          <w:szCs w:val="14"/>
        </w:rPr>
        <w:t>á</w:t>
      </w:r>
      <w:r w:rsidRPr="00415B3A">
        <w:rPr>
          <w:rFonts w:ascii="Verdana" w:hAnsi="Verdana" w:cs="Arial"/>
          <w:sz w:val="14"/>
          <w:szCs w:val="14"/>
        </w:rPr>
        <w:t>n solicitar y participar en las convocatorias limitadas en las mismas condiciones dispuestas en el presente artículo.</w:t>
      </w:r>
    </w:p>
  </w:footnote>
  <w:footnote w:id="3">
    <w:p w14:paraId="0EF057FC" w14:textId="77777777" w:rsidR="00E214AF" w:rsidRPr="00415B3A" w:rsidRDefault="00E214AF" w:rsidP="00E214AF">
      <w:pPr>
        <w:pStyle w:val="Textonotapie"/>
        <w:jc w:val="both"/>
        <w:rPr>
          <w:rFonts w:ascii="Verdana" w:hAnsi="Verdana" w:cs="Arial"/>
          <w:color w:val="000000" w:themeColor="text1"/>
          <w:sz w:val="14"/>
          <w:szCs w:val="14"/>
        </w:rPr>
      </w:pPr>
    </w:p>
    <w:p w14:paraId="356C04D6" w14:textId="77777777" w:rsidR="00E214AF" w:rsidRPr="00415B3A" w:rsidRDefault="00E214AF" w:rsidP="00E214AF">
      <w:pPr>
        <w:pStyle w:val="Textonotapie"/>
        <w:ind w:firstLine="708"/>
        <w:jc w:val="both"/>
        <w:rPr>
          <w:rFonts w:ascii="Verdana" w:hAnsi="Verdana" w:cs="Arial"/>
          <w:color w:val="000000" w:themeColor="text1"/>
          <w:sz w:val="14"/>
          <w:szCs w:val="14"/>
        </w:rPr>
      </w:pPr>
      <w:r w:rsidRPr="00415B3A">
        <w:rPr>
          <w:rStyle w:val="Refdenotaalpie"/>
          <w:rFonts w:ascii="Verdana" w:hAnsi="Verdana" w:cs="Arial"/>
          <w:color w:val="000000" w:themeColor="text1"/>
          <w:sz w:val="14"/>
          <w:szCs w:val="14"/>
        </w:rPr>
        <w:footnoteRef/>
      </w:r>
      <w:r w:rsidRPr="00415B3A">
        <w:rPr>
          <w:rFonts w:ascii="Verdana" w:hAnsi="Verdana" w:cs="Arial"/>
          <w:color w:val="000000" w:themeColor="text1"/>
          <w:sz w:val="14"/>
          <w:szCs w:val="14"/>
        </w:rPr>
        <w:t>Ley 1150 de 2007. Artículo 12 modificado por el artículo 34 de la Ley 2069 de 2020.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0C02589E" w14:textId="77777777" w:rsidR="00E214AF" w:rsidRPr="00415B3A" w:rsidRDefault="00E214AF" w:rsidP="00E214AF">
      <w:pPr>
        <w:pStyle w:val="Textonotapie"/>
        <w:ind w:firstLine="708"/>
        <w:jc w:val="both"/>
        <w:rPr>
          <w:rFonts w:ascii="Verdana" w:hAnsi="Verdana" w:cs="Arial"/>
          <w:color w:val="000000" w:themeColor="text1"/>
          <w:sz w:val="14"/>
          <w:szCs w:val="14"/>
        </w:rPr>
      </w:pPr>
    </w:p>
  </w:footnote>
  <w:footnote w:id="4">
    <w:p w14:paraId="510E54D4" w14:textId="77777777" w:rsidR="00E214AF" w:rsidRPr="00415B3A" w:rsidRDefault="00E214AF" w:rsidP="00E214AF">
      <w:pPr>
        <w:pStyle w:val="Textonotapie"/>
        <w:ind w:firstLine="708"/>
        <w:jc w:val="both"/>
        <w:rPr>
          <w:rFonts w:ascii="Verdana" w:hAnsi="Verdana" w:cs="Arial"/>
          <w:color w:val="000000" w:themeColor="text1"/>
          <w:sz w:val="14"/>
          <w:szCs w:val="14"/>
        </w:rPr>
      </w:pPr>
      <w:r w:rsidRPr="00415B3A">
        <w:rPr>
          <w:rStyle w:val="Refdenotaalpie"/>
          <w:rFonts w:ascii="Verdana" w:hAnsi="Verdana" w:cs="Arial"/>
          <w:color w:val="000000" w:themeColor="text1"/>
          <w:sz w:val="14"/>
          <w:szCs w:val="14"/>
        </w:rPr>
        <w:footnoteRef/>
      </w:r>
      <w:r w:rsidRPr="00415B3A">
        <w:rPr>
          <w:rFonts w:ascii="Verdana" w:hAnsi="Verdana" w:cs="Arial"/>
          <w:color w:val="000000" w:themeColor="text1"/>
          <w:sz w:val="14"/>
          <w:szCs w:val="14"/>
        </w:rPr>
        <w:t xml:space="preserve"> Cfr. Concepto emitido en el radicado 4201913000005674, dictado el 27 de septiembre de 2019.</w:t>
      </w:r>
    </w:p>
    <w:p w14:paraId="2DD92208" w14:textId="77777777" w:rsidR="00E214AF" w:rsidRPr="00415B3A" w:rsidRDefault="00E214AF" w:rsidP="00E214AF">
      <w:pPr>
        <w:pStyle w:val="Textonotapie"/>
        <w:ind w:firstLine="708"/>
        <w:jc w:val="both"/>
        <w:rPr>
          <w:rFonts w:ascii="Verdana" w:hAnsi="Verdana" w:cs="Arial"/>
          <w:color w:val="000000" w:themeColor="text1"/>
          <w:sz w:val="14"/>
          <w:szCs w:val="14"/>
          <w:lang w:val="es-ES"/>
        </w:rPr>
      </w:pPr>
    </w:p>
  </w:footnote>
  <w:footnote w:id="5">
    <w:p w14:paraId="7DFB5EA6" w14:textId="77777777" w:rsidR="00E214AF" w:rsidRPr="00F6362B" w:rsidRDefault="00E214AF" w:rsidP="00E214AF">
      <w:pPr>
        <w:pStyle w:val="Textonotapie"/>
        <w:ind w:firstLine="708"/>
        <w:jc w:val="both"/>
        <w:rPr>
          <w:rFonts w:ascii="Verdana" w:hAnsi="Verdana"/>
          <w:sz w:val="14"/>
          <w:szCs w:val="14"/>
          <w:lang w:val="es-CO"/>
        </w:rPr>
      </w:pPr>
      <w:r>
        <w:rPr>
          <w:rStyle w:val="Refdenotaalpie"/>
        </w:rPr>
        <w:footnoteRef/>
      </w:r>
      <w:r>
        <w:t xml:space="preserve"> </w:t>
      </w:r>
      <w:r w:rsidRPr="00F6362B">
        <w:rPr>
          <w:rFonts w:ascii="Verdana" w:hAnsi="Verdana"/>
          <w:sz w:val="14"/>
          <w:szCs w:val="14"/>
          <w:lang w:val="es-CO"/>
        </w:rPr>
        <w:t>Artículo 3°. </w:t>
      </w:r>
      <w:r w:rsidRPr="00F6362B">
        <w:rPr>
          <w:rFonts w:ascii="Verdana" w:hAnsi="Verdana"/>
          <w:i/>
          <w:iCs/>
          <w:sz w:val="14"/>
          <w:szCs w:val="14"/>
          <w:lang w:val="es-CO"/>
        </w:rPr>
        <w:t>Adiciónense el artículo 2.2.1.1.1.6.8. a la Subsección 6 de la Sección 1 del Capítulo 1 del Título 1 de la Parte 2 del Libro 2 del Decreto número 1082 de 2015. </w:t>
      </w:r>
      <w:r w:rsidRPr="00F6362B">
        <w:rPr>
          <w:rFonts w:ascii="Verdana" w:hAnsi="Verdana"/>
          <w:sz w:val="14"/>
          <w:szCs w:val="14"/>
          <w:lang w:val="es-CO"/>
        </w:rPr>
        <w:t>Adiciónense el artículo 2.2.1.1.1.6.8. a la Subsección 6 de la Sección 1 del Capítulo 1 del Título 1 de la Parte 2 del Libro 2 del Decreto número 1082 de 2015, el cual quedará así:   </w:t>
      </w:r>
    </w:p>
    <w:p w14:paraId="2F6B0D07" w14:textId="77777777" w:rsidR="00E214AF" w:rsidRPr="00F6362B" w:rsidRDefault="00E214AF" w:rsidP="00E214AF">
      <w:pPr>
        <w:pStyle w:val="Textonotapie"/>
        <w:ind w:firstLine="708"/>
        <w:jc w:val="both"/>
        <w:rPr>
          <w:rFonts w:ascii="Verdana" w:hAnsi="Verdana"/>
          <w:sz w:val="14"/>
          <w:szCs w:val="14"/>
          <w:lang w:val="es-CO"/>
        </w:rPr>
      </w:pPr>
      <w:r w:rsidRPr="00F6362B">
        <w:rPr>
          <w:rFonts w:ascii="Verdana" w:hAnsi="Verdana"/>
          <w:sz w:val="14"/>
          <w:szCs w:val="14"/>
          <w:lang w:val="es-CO"/>
        </w:rPr>
        <w:t>“Artículo 2.2.1.1.1.6.8. </w:t>
      </w:r>
      <w:r w:rsidRPr="00F6362B">
        <w:rPr>
          <w:rFonts w:ascii="Verdana" w:hAnsi="Verdana"/>
          <w:i/>
          <w:iCs/>
          <w:sz w:val="14"/>
          <w:szCs w:val="14"/>
          <w:lang w:val="es-CO"/>
        </w:rPr>
        <w:t>Ferias de Negocios Inclusivas. </w:t>
      </w:r>
      <w:r w:rsidRPr="00F6362B">
        <w:rPr>
          <w:rFonts w:ascii="Verdana" w:hAnsi="Verdana"/>
          <w:sz w:val="14"/>
          <w:szCs w:val="14"/>
          <w:lang w:val="es-CO"/>
        </w:rPr>
        <w:t>En el marco de la planeación contractual, a efectos de generar insumos para el análisis del sector económico relativo al objeto del proceso de contratación, las entidades estatales podrán realizar consultas al mercado desarrollando Ferias de Negocios Inclusivas. La información recolectada en el marco de estas Ferias de Negocios Inclusivas podrá ser utilizada por las entidades estatales para identificar los eventuales obstáculos que pudieran limitar la participación en los procesos de contratación de las Mipymes.   </w:t>
      </w:r>
    </w:p>
    <w:p w14:paraId="38DF8FCC" w14:textId="77777777" w:rsidR="00E214AF" w:rsidRPr="00F6362B" w:rsidRDefault="00E214AF" w:rsidP="00E214AF">
      <w:pPr>
        <w:pStyle w:val="Textonotapie"/>
        <w:ind w:firstLine="708"/>
        <w:jc w:val="both"/>
        <w:rPr>
          <w:rFonts w:ascii="Verdana" w:hAnsi="Verdana"/>
          <w:sz w:val="14"/>
          <w:szCs w:val="14"/>
          <w:lang w:val="es-CO"/>
        </w:rPr>
      </w:pPr>
      <w:r w:rsidRPr="00F6362B">
        <w:rPr>
          <w:rFonts w:ascii="Verdana" w:hAnsi="Verdana"/>
          <w:sz w:val="14"/>
          <w:szCs w:val="14"/>
          <w:lang w:val="es-CO"/>
        </w:rPr>
        <w:t>Dentro de estas Mipymes se encuentran entre otras, las cooperativas de acuerdo con los requisitos del artículo 23 de la Ley 2069 de 2020 o las que se constituyan como entidades de economía solidaria de acuerdo con los requisitos del artículo 6° de la Ley 454 de 1998 o la norma que las modifique o sustituya.   </w:t>
      </w:r>
    </w:p>
    <w:p w14:paraId="739C5F2C" w14:textId="77777777" w:rsidR="00E214AF" w:rsidRPr="00F6362B" w:rsidRDefault="00E214AF" w:rsidP="00E214AF">
      <w:pPr>
        <w:pStyle w:val="Textonotapie"/>
        <w:ind w:firstLine="708"/>
        <w:jc w:val="both"/>
        <w:rPr>
          <w:rFonts w:ascii="Verdana" w:hAnsi="Verdana"/>
          <w:sz w:val="14"/>
          <w:szCs w:val="14"/>
          <w:lang w:val="es-CO"/>
        </w:rPr>
      </w:pPr>
      <w:r w:rsidRPr="00F6362B">
        <w:rPr>
          <w:rFonts w:ascii="Verdana" w:hAnsi="Verdana"/>
          <w:sz w:val="14"/>
          <w:szCs w:val="14"/>
          <w:lang w:val="es-CO"/>
        </w:rPr>
        <w:t>Las asociaciones conformadas por sujetos de especial protección constitucional, asociaciones de pequeños productores locales y productores locales agropecuarios cuyos sistemas productivos pertenezcan a la Agricultura Campesina, Familiar y Comunitaria podrán ser clasificadas como Mipymes en los términos previstos en el artículo 23 de la Ley 2069 de 2020, el artículo 2° de la Ley 590 de 2000 y por el Decreto número 957 de 2019 o las normas que los modifiquen. </w:t>
      </w:r>
    </w:p>
    <w:p w14:paraId="50FC018F" w14:textId="77777777" w:rsidR="00E214AF" w:rsidRPr="00F6362B" w:rsidRDefault="00E214AF" w:rsidP="00E214AF">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4BE69" w14:textId="77777777" w:rsidR="00E214AF" w:rsidRDefault="00E214AF"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A724513" wp14:editId="1CD0C2E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FD2831F" wp14:editId="19FCF64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299BED3" w14:textId="77777777" w:rsidR="00E214AF" w:rsidRDefault="00E214AF">
    <w:pPr>
      <w:pStyle w:val="Encabezado"/>
    </w:pPr>
  </w:p>
  <w:p w14:paraId="0F3A8816" w14:textId="77777777" w:rsidR="00E214AF" w:rsidRPr="004A305D" w:rsidRDefault="00E214AF" w:rsidP="00B01B1A">
    <w:pPr>
      <w:spacing w:after="0" w:line="120" w:lineRule="auto"/>
      <w:rPr>
        <w:rFonts w:ascii="Century Gothic" w:eastAsia="Geo" w:hAnsi="Century Gothic" w:cs="Geo"/>
        <w:sz w:val="16"/>
        <w:szCs w:val="16"/>
        <w:lang w:eastAsia="es-CO"/>
      </w:rPr>
    </w:pPr>
  </w:p>
  <w:p w14:paraId="538368F7" w14:textId="77777777" w:rsidR="00E214AF" w:rsidRDefault="00E214AF" w:rsidP="00844AE9">
    <w:pPr>
      <w:spacing w:after="0" w:line="240" w:lineRule="auto"/>
      <w:rPr>
        <w:rFonts w:ascii="Verdana" w:hAnsi="Verdana"/>
        <w:sz w:val="24"/>
        <w:szCs w:val="24"/>
      </w:rPr>
    </w:pPr>
  </w:p>
  <w:p w14:paraId="735EB5AD" w14:textId="77777777" w:rsidR="00E214AF" w:rsidRPr="00C925AC" w:rsidRDefault="00E214AF"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4AF"/>
    <w:rsid w:val="001338AA"/>
    <w:rsid w:val="00474DF4"/>
    <w:rsid w:val="00485D25"/>
    <w:rsid w:val="004F471F"/>
    <w:rsid w:val="006B7064"/>
    <w:rsid w:val="0086602D"/>
    <w:rsid w:val="008E2BB1"/>
    <w:rsid w:val="00AD734A"/>
    <w:rsid w:val="00C24FFE"/>
    <w:rsid w:val="00E214AF"/>
    <w:rsid w:val="00E45184"/>
    <w:rsid w:val="00E65444"/>
    <w:rsid w:val="00E830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DC293"/>
  <w15:chartTrackingRefBased/>
  <w15:docId w15:val="{597ACAB3-5DB0-459D-A9C9-2BA3A42CC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4AF"/>
    <w:rPr>
      <w:kern w:val="0"/>
      <w14:ligatures w14:val="none"/>
    </w:rPr>
  </w:style>
  <w:style w:type="paragraph" w:styleId="Ttulo1">
    <w:name w:val="heading 1"/>
    <w:basedOn w:val="Normal"/>
    <w:next w:val="Normal"/>
    <w:link w:val="Ttulo1Car"/>
    <w:uiPriority w:val="9"/>
    <w:qFormat/>
    <w:rsid w:val="00E214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214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214A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214A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214A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214A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214A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214A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214A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14A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214A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214A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214A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214A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214A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214A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214A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214AF"/>
    <w:rPr>
      <w:rFonts w:eastAsiaTheme="majorEastAsia" w:cstheme="majorBidi"/>
      <w:color w:val="272727" w:themeColor="text1" w:themeTint="D8"/>
    </w:rPr>
  </w:style>
  <w:style w:type="paragraph" w:styleId="Ttulo">
    <w:name w:val="Title"/>
    <w:basedOn w:val="Normal"/>
    <w:next w:val="Normal"/>
    <w:link w:val="TtuloCar"/>
    <w:uiPriority w:val="10"/>
    <w:qFormat/>
    <w:rsid w:val="00E214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214A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214A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214A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214AF"/>
    <w:pPr>
      <w:spacing w:before="160"/>
      <w:jc w:val="center"/>
    </w:pPr>
    <w:rPr>
      <w:i/>
      <w:iCs/>
      <w:color w:val="404040" w:themeColor="text1" w:themeTint="BF"/>
    </w:rPr>
  </w:style>
  <w:style w:type="character" w:customStyle="1" w:styleId="CitaCar">
    <w:name w:val="Cita Car"/>
    <w:basedOn w:val="Fuentedeprrafopredeter"/>
    <w:link w:val="Cita"/>
    <w:uiPriority w:val="29"/>
    <w:rsid w:val="00E214AF"/>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214AF"/>
    <w:pPr>
      <w:ind w:left="720"/>
      <w:contextualSpacing/>
    </w:pPr>
  </w:style>
  <w:style w:type="character" w:styleId="nfasisintenso">
    <w:name w:val="Intense Emphasis"/>
    <w:basedOn w:val="Fuentedeprrafopredeter"/>
    <w:uiPriority w:val="21"/>
    <w:qFormat/>
    <w:rsid w:val="00E214AF"/>
    <w:rPr>
      <w:i/>
      <w:iCs/>
      <w:color w:val="2F5496" w:themeColor="accent1" w:themeShade="BF"/>
    </w:rPr>
  </w:style>
  <w:style w:type="paragraph" w:styleId="Citadestacada">
    <w:name w:val="Intense Quote"/>
    <w:basedOn w:val="Normal"/>
    <w:next w:val="Normal"/>
    <w:link w:val="CitadestacadaCar"/>
    <w:uiPriority w:val="30"/>
    <w:qFormat/>
    <w:rsid w:val="00E214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214AF"/>
    <w:rPr>
      <w:i/>
      <w:iCs/>
      <w:color w:val="2F5496" w:themeColor="accent1" w:themeShade="BF"/>
    </w:rPr>
  </w:style>
  <w:style w:type="character" w:styleId="Referenciaintensa">
    <w:name w:val="Intense Reference"/>
    <w:basedOn w:val="Fuentedeprrafopredeter"/>
    <w:uiPriority w:val="32"/>
    <w:qFormat/>
    <w:rsid w:val="00E214AF"/>
    <w:rPr>
      <w:b/>
      <w:bCs/>
      <w:smallCaps/>
      <w:color w:val="2F5496" w:themeColor="accent1" w:themeShade="BF"/>
      <w:spacing w:val="5"/>
    </w:rPr>
  </w:style>
  <w:style w:type="paragraph" w:styleId="Encabezado">
    <w:name w:val="header"/>
    <w:basedOn w:val="Normal"/>
    <w:link w:val="EncabezadoCar"/>
    <w:uiPriority w:val="99"/>
    <w:unhideWhenUsed/>
    <w:rsid w:val="00E214A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214AF"/>
    <w:rPr>
      <w:kern w:val="0"/>
      <w14:ligatures w14:val="none"/>
    </w:rPr>
  </w:style>
  <w:style w:type="paragraph" w:styleId="Piedepgina">
    <w:name w:val="footer"/>
    <w:basedOn w:val="Normal"/>
    <w:link w:val="PiedepginaCar"/>
    <w:uiPriority w:val="99"/>
    <w:unhideWhenUsed/>
    <w:rsid w:val="00E214A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214A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214A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214A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214A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214AF"/>
    <w:rPr>
      <w:vertAlign w:val="superscript"/>
    </w:rPr>
  </w:style>
  <w:style w:type="character" w:customStyle="1" w:styleId="normaltextrun">
    <w:name w:val="normaltextrun"/>
    <w:basedOn w:val="Fuentedeprrafopredeter"/>
    <w:rsid w:val="00E214AF"/>
  </w:style>
  <w:style w:type="table" w:styleId="Tablaconcuadrcula">
    <w:name w:val="Table Grid"/>
    <w:basedOn w:val="Tablanormal"/>
    <w:uiPriority w:val="39"/>
    <w:qFormat/>
    <w:rsid w:val="00E214A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214AF"/>
    <w:rPr>
      <w:color w:val="0000FF"/>
      <w:u w:val="single"/>
    </w:rPr>
  </w:style>
  <w:style w:type="paragraph" w:customStyle="1" w:styleId="paragraph">
    <w:name w:val="paragraph"/>
    <w:basedOn w:val="Normal"/>
    <w:rsid w:val="00E214AF"/>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E214AF"/>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214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sites/cce_public/files/files_2020/vf_umbrales_actualizaciones_2022_-_2023_1.pdf"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gresarcs@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files_2020/vf_umbrales_actualizaciones_2022_-_2023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6905DF-7736-42FA-BC9C-3BBDCD03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B442B0-B52C-4076-A40B-86AE0337320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DA2734D-FAB4-4924-AEC7-D95E2C4B18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793</TotalTime>
  <Pages>22</Pages>
  <Words>8215</Words>
  <Characters>45183</Characters>
  <Application>Microsoft Office Word</Application>
  <DocSecurity>0</DocSecurity>
  <Lines>376</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5</cp:revision>
  <dcterms:created xsi:type="dcterms:W3CDTF">2025-11-12T19:42:00Z</dcterms:created>
  <dcterms:modified xsi:type="dcterms:W3CDTF">2025-11-19T18:20:00Z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