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A7BA7" w14:textId="77777777" w:rsidR="000B3649" w:rsidRDefault="000B3649" w:rsidP="000B3649">
      <w:pPr>
        <w:contextualSpacing/>
        <w:jc w:val="both"/>
        <w:rPr>
          <w:rFonts w:ascii="Verdana" w:eastAsia="Calibri" w:hAnsi="Verdana" w:cs="Arial"/>
          <w:b/>
          <w:bCs/>
          <w:color w:val="000000"/>
          <w:kern w:val="2"/>
          <w14:ligatures w14:val="standardContextual"/>
        </w:rPr>
      </w:pPr>
      <w:bookmarkStart w:id="0" w:name="_Hlk186494164"/>
      <w:r w:rsidRPr="00B962C8">
        <w:rPr>
          <w:rFonts w:ascii="Verdana" w:eastAsia="Calibri" w:hAnsi="Verdana" w:cs="Arial"/>
          <w:b/>
          <w:bCs/>
          <w:color w:val="000000"/>
          <w:kern w:val="2"/>
          <w14:ligatures w14:val="standardContextual"/>
        </w:rPr>
        <w:t xml:space="preserve">INHABILIDADES E INCOMPATIBILIDADES – Concepto </w:t>
      </w:r>
    </w:p>
    <w:p w14:paraId="27E6A8AF" w14:textId="77777777" w:rsidR="000B3649" w:rsidRPr="00B962C8" w:rsidRDefault="000B3649" w:rsidP="000B3649">
      <w:pPr>
        <w:spacing w:after="0" w:line="240" w:lineRule="auto"/>
        <w:contextualSpacing/>
        <w:jc w:val="both"/>
        <w:rPr>
          <w:rFonts w:ascii="Verdana" w:eastAsia="Calibri" w:hAnsi="Verdana" w:cs="Arial"/>
          <w:b/>
          <w:bCs/>
          <w:color w:val="000000"/>
          <w:kern w:val="2"/>
          <w14:ligatures w14:val="standardContextual"/>
        </w:rPr>
      </w:pPr>
    </w:p>
    <w:p w14:paraId="56E21472" w14:textId="77777777" w:rsidR="000B3649" w:rsidRDefault="000B3649" w:rsidP="000B3649">
      <w:pPr>
        <w:spacing w:after="0" w:line="240" w:lineRule="auto"/>
        <w:contextualSpacing/>
        <w:jc w:val="both"/>
        <w:rPr>
          <w:rFonts w:ascii="Verdana" w:eastAsia="Calibri" w:hAnsi="Verdana" w:cs="Arial"/>
          <w:color w:val="000000"/>
          <w:kern w:val="2"/>
          <w:sz w:val="20"/>
          <w:szCs w:val="20"/>
          <w:lang w:val="es-ES_tradnl"/>
          <w14:ligatures w14:val="standardContextual"/>
        </w:rPr>
      </w:pPr>
      <w:r>
        <w:rPr>
          <w:rFonts w:ascii="Verdana" w:eastAsia="Calibri" w:hAnsi="Verdana" w:cs="Arial"/>
          <w:color w:val="000000"/>
          <w:kern w:val="2"/>
          <w:sz w:val="20"/>
          <w:szCs w:val="20"/>
          <w:lang w:val="es-ES_tradnl"/>
          <w14:ligatures w14:val="standardContextual"/>
        </w:rPr>
        <w:t xml:space="preserve">[…] </w:t>
      </w:r>
      <w:r w:rsidRPr="00693453">
        <w:rPr>
          <w:rFonts w:ascii="Verdana" w:eastAsia="Calibri" w:hAnsi="Verdana" w:cs="Arial"/>
          <w:color w:val="000000"/>
          <w:kern w:val="2"/>
          <w:sz w:val="20"/>
          <w:szCs w:val="20"/>
          <w:lang w:val="es-ES_tradnl"/>
          <w14:ligatures w14:val="standardContextual"/>
        </w:rPr>
        <w:t>se destaca el régimen de inhabilidades e incompatibilidades como un conjunto de enunciados normativos que imponen restricciones para los sujetos que, eventualmente, pretendan participar en los procedimientos de selección o celebrar contratos con las entidades estatales.</w:t>
      </w:r>
    </w:p>
    <w:p w14:paraId="3A372F35" w14:textId="77777777" w:rsidR="000B3649" w:rsidRPr="00B962C8" w:rsidRDefault="000B3649" w:rsidP="000B3649">
      <w:pPr>
        <w:spacing w:after="0" w:line="240" w:lineRule="auto"/>
        <w:contextualSpacing/>
        <w:jc w:val="both"/>
        <w:rPr>
          <w:rFonts w:ascii="Verdana" w:eastAsia="Calibri" w:hAnsi="Verdana" w:cs="Arial"/>
          <w:b/>
          <w:bCs/>
          <w:color w:val="000000"/>
          <w:kern w:val="2"/>
          <w14:ligatures w14:val="standardContextual"/>
        </w:rPr>
      </w:pPr>
    </w:p>
    <w:p w14:paraId="721ADD44" w14:textId="77777777" w:rsidR="000B3649" w:rsidRDefault="000B3649" w:rsidP="000B3649">
      <w:pPr>
        <w:contextualSpacing/>
        <w:jc w:val="both"/>
        <w:rPr>
          <w:rFonts w:ascii="Verdana" w:eastAsia="Calibri" w:hAnsi="Verdana" w:cs="Arial"/>
          <w:b/>
          <w:bCs/>
          <w:color w:val="000000"/>
          <w:kern w:val="2"/>
          <w14:ligatures w14:val="standardContextual"/>
        </w:rPr>
      </w:pPr>
      <w:r w:rsidRPr="00B962C8">
        <w:rPr>
          <w:rFonts w:ascii="Verdana" w:eastAsia="Calibri" w:hAnsi="Verdana" w:cs="Arial"/>
          <w:b/>
          <w:bCs/>
          <w:color w:val="000000"/>
          <w:kern w:val="2"/>
          <w14:ligatures w14:val="standardContextual"/>
        </w:rPr>
        <w:t xml:space="preserve">INHABILIDADES E INCOMPATIBILIDADES – Régimen – Interpretación restrictiva </w:t>
      </w:r>
    </w:p>
    <w:p w14:paraId="0BA771D1" w14:textId="77777777" w:rsidR="000B3649" w:rsidRPr="00B962C8" w:rsidRDefault="000B3649" w:rsidP="000B3649">
      <w:pPr>
        <w:spacing w:after="0" w:line="240" w:lineRule="auto"/>
        <w:contextualSpacing/>
        <w:jc w:val="both"/>
        <w:rPr>
          <w:rFonts w:ascii="Verdana" w:eastAsia="Calibri" w:hAnsi="Verdana" w:cs="Arial"/>
          <w:b/>
          <w:bCs/>
          <w:color w:val="000000"/>
          <w:kern w:val="2"/>
          <w14:ligatures w14:val="standardContextual"/>
        </w:rPr>
      </w:pPr>
    </w:p>
    <w:p w14:paraId="31C618FF" w14:textId="77777777" w:rsidR="000B3649" w:rsidRPr="00074B3E" w:rsidRDefault="000B3649" w:rsidP="000B3649">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E65780">
        <w:rPr>
          <w:rFonts w:ascii="Verdana" w:eastAsia="Calibri" w:hAnsi="Verdana" w:cs="Arial"/>
          <w:color w:val="000000"/>
          <w:kern w:val="2"/>
          <w:sz w:val="20"/>
          <w:szCs w:val="20"/>
          <w:lang w:val="es-ES_tradnl"/>
          <w14:ligatures w14:val="standardContextual"/>
        </w:rPr>
        <w:t>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17B9BFB6" w14:textId="77777777" w:rsidR="000B3649" w:rsidRPr="00B962C8" w:rsidRDefault="000B3649" w:rsidP="000B3649">
      <w:pPr>
        <w:spacing w:after="0" w:line="240" w:lineRule="auto"/>
        <w:contextualSpacing/>
        <w:jc w:val="both"/>
        <w:rPr>
          <w:rFonts w:ascii="Verdana" w:eastAsia="Calibri" w:hAnsi="Verdana" w:cs="Arial"/>
          <w:b/>
          <w:bCs/>
          <w:color w:val="000000"/>
          <w:kern w:val="2"/>
          <w14:ligatures w14:val="standardContextual"/>
        </w:rPr>
      </w:pPr>
    </w:p>
    <w:p w14:paraId="4BFC711F" w14:textId="77777777" w:rsidR="000B3649" w:rsidRDefault="000B3649" w:rsidP="000B3649">
      <w:pPr>
        <w:contextualSpacing/>
        <w:jc w:val="both"/>
        <w:rPr>
          <w:rFonts w:ascii="Verdana" w:eastAsia="Calibri" w:hAnsi="Verdana" w:cs="Arial"/>
          <w:b/>
          <w:bCs/>
          <w:color w:val="000000"/>
          <w:kern w:val="2"/>
          <w14:ligatures w14:val="standardContextual"/>
        </w:rPr>
      </w:pPr>
      <w:r w:rsidRPr="00B962C8">
        <w:rPr>
          <w:rFonts w:ascii="Verdana" w:eastAsia="Calibri" w:hAnsi="Verdana" w:cs="Arial"/>
          <w:b/>
          <w:bCs/>
          <w:color w:val="000000"/>
          <w:kern w:val="2"/>
          <w14:ligatures w14:val="standardContextual"/>
        </w:rPr>
        <w:t xml:space="preserve">CONTRATO DE PRESTACION DE SERVICIOS – Simultaneidad – Ausencia de Inhabilidad e incompatibilidad </w:t>
      </w:r>
    </w:p>
    <w:p w14:paraId="2E8CA175" w14:textId="77777777" w:rsidR="000B3649" w:rsidRPr="00B962C8" w:rsidRDefault="000B3649" w:rsidP="000B3649">
      <w:pPr>
        <w:spacing w:after="0" w:line="240" w:lineRule="auto"/>
        <w:contextualSpacing/>
        <w:jc w:val="both"/>
        <w:rPr>
          <w:rFonts w:ascii="Verdana" w:eastAsia="Calibri" w:hAnsi="Verdana" w:cs="Arial"/>
          <w:b/>
          <w:bCs/>
          <w:color w:val="000000"/>
          <w:kern w:val="2"/>
          <w14:ligatures w14:val="standardContextual"/>
        </w:rPr>
      </w:pPr>
    </w:p>
    <w:p w14:paraId="641ACE42" w14:textId="77777777" w:rsidR="000B3649" w:rsidRPr="00D62505" w:rsidRDefault="000B3649" w:rsidP="000B3649">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D62505">
        <w:rPr>
          <w:rFonts w:ascii="Verdana" w:eastAsia="Calibri" w:hAnsi="Verdana" w:cs="Arial"/>
          <w:color w:val="000000"/>
          <w:kern w:val="2"/>
          <w:sz w:val="20"/>
          <w:szCs w:val="20"/>
          <w:lang w:val="es-ES_tradnl"/>
          <w14:ligatures w14:val="standardContextual"/>
        </w:rPr>
        <w:t>En esa misma línea, debe recordarse que las inhabilidades e incompatibilidades, por constituir restricciones a la capacidad contractual y, por tanto, limitar derechos como la libre concurrencia y la libertad en el ejercicio de la profesión u oficio, deben ser interpretadas de manera estricta. En cuanto enunciados normativos de carácter gravoso, no admiten interpretaciones extensivas, amplias o analógicas. Así, al revisar las causales previstas en la Constitución Política, en el artículo 8 de la Ley 80 de 1993 y en normas complementarias, no se evidencia prohibición que impida que una persona natural preste sus servicios profesionales simultáneamente a la Alcaldía Municipal y al Concejo Municipal mediante contratos distintos y concomitantes, aun cuando ambos hagan parte del mismo ente territorial y ejerzan funciones que pueden resultar relacionadas o complementarias.</w:t>
      </w:r>
    </w:p>
    <w:p w14:paraId="7367A220" w14:textId="77777777" w:rsidR="000B3649" w:rsidRPr="00B962C8" w:rsidRDefault="000B3649" w:rsidP="000B3649">
      <w:pPr>
        <w:spacing w:after="0" w:line="240" w:lineRule="auto"/>
        <w:contextualSpacing/>
        <w:jc w:val="both"/>
        <w:rPr>
          <w:rFonts w:ascii="Verdana" w:eastAsia="Calibri" w:hAnsi="Verdana" w:cs="Arial"/>
          <w:b/>
          <w:bCs/>
          <w:color w:val="000000"/>
          <w:kern w:val="2"/>
          <w14:ligatures w14:val="standardContextual"/>
        </w:rPr>
      </w:pPr>
    </w:p>
    <w:p w14:paraId="69C391E5" w14:textId="77777777" w:rsidR="000B3649" w:rsidRPr="00B962C8" w:rsidRDefault="000B3649" w:rsidP="000B3649">
      <w:pPr>
        <w:spacing w:after="0" w:line="240" w:lineRule="auto"/>
        <w:contextualSpacing/>
        <w:jc w:val="both"/>
        <w:rPr>
          <w:rFonts w:ascii="Verdana" w:eastAsia="Calibri" w:hAnsi="Verdana" w:cs="Arial"/>
          <w:b/>
          <w:bCs/>
          <w:lang w:val="es-ES_tradnl"/>
        </w:rPr>
      </w:pPr>
      <w:r w:rsidRPr="00B962C8">
        <w:rPr>
          <w:rFonts w:ascii="Verdana" w:eastAsia="Calibri" w:hAnsi="Verdana" w:cs="Arial"/>
          <w:b/>
          <w:bCs/>
          <w:color w:val="000000"/>
          <w:kern w:val="2"/>
          <w14:ligatures w14:val="standardContextual"/>
        </w:rPr>
        <w:t xml:space="preserve">CONCLICTO DE INTERÉS – Verificación – Tipicidad </w:t>
      </w:r>
    </w:p>
    <w:p w14:paraId="0EC0EA2B" w14:textId="77777777" w:rsidR="000B3649" w:rsidRDefault="000B3649" w:rsidP="000B3649">
      <w:pPr>
        <w:spacing w:after="0" w:line="240" w:lineRule="auto"/>
        <w:contextualSpacing/>
        <w:rPr>
          <w:rFonts w:ascii="Verdana" w:eastAsia="Geomanist Light" w:hAnsi="Verdana" w:cs="Arial"/>
          <w:color w:val="000000" w:themeColor="text1"/>
          <w:lang w:val="es-MX"/>
        </w:rPr>
      </w:pPr>
    </w:p>
    <w:p w14:paraId="19E41D49" w14:textId="77777777" w:rsidR="000B3649" w:rsidRPr="00D62505" w:rsidRDefault="000B3649" w:rsidP="000B3649">
      <w:pPr>
        <w:widowControl w:val="0"/>
        <w:autoSpaceDE w:val="0"/>
        <w:autoSpaceDN w:val="0"/>
        <w:spacing w:after="0" w:line="240" w:lineRule="auto"/>
        <w:contextualSpacing/>
        <w:jc w:val="both"/>
        <w:rPr>
          <w:rFonts w:ascii="Verdana" w:hAnsi="Verdana" w:cs="Arial"/>
          <w:color w:val="000000" w:themeColor="text1"/>
          <w:sz w:val="20"/>
          <w:szCs w:val="20"/>
          <w:lang w:val="es-ES_tradnl"/>
        </w:rPr>
      </w:pPr>
      <w:r w:rsidRPr="00D62505">
        <w:rPr>
          <w:rFonts w:ascii="Verdana" w:eastAsia="Arial MT" w:hAnsi="Verdana" w:cs="Arial"/>
          <w:sz w:val="20"/>
          <w:szCs w:val="20"/>
          <w:lang w:eastAsia="es-ES" w:bidi="es-ES"/>
        </w:rPr>
        <w:t xml:space="preserve">Es importante señalar que </w:t>
      </w:r>
      <w:r w:rsidRPr="00D62505">
        <w:rPr>
          <w:rFonts w:ascii="Verdana" w:hAnsi="Verdana" w:cs="Arial"/>
          <w:color w:val="000000" w:themeColor="text1"/>
          <w:sz w:val="20"/>
          <w:szCs w:val="20"/>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D62505">
        <w:rPr>
          <w:rFonts w:ascii="Verdana" w:hAnsi="Verdana" w:cs="Arial"/>
          <w:i/>
          <w:iCs/>
          <w:color w:val="000000" w:themeColor="text1"/>
          <w:sz w:val="20"/>
          <w:szCs w:val="20"/>
          <w:lang w:val="es-ES_tradnl"/>
        </w:rPr>
        <w:t>conflictos de interés</w:t>
      </w:r>
      <w:r w:rsidRPr="00D62505">
        <w:rPr>
          <w:rFonts w:ascii="Verdana" w:hAnsi="Verdana" w:cs="Arial"/>
          <w:color w:val="000000" w:themeColor="text1"/>
          <w:sz w:val="20"/>
          <w:szCs w:val="20"/>
          <w:lang w:val="es-ES_tradnl"/>
        </w:rPr>
        <w:t xml:space="preserve"> tiene como objetivo la prevalencia del bien común sobre el particular, razón por la cual se configuran cuando los servidores públicos actúan influenciados por consideraciones personales que </w:t>
      </w:r>
      <w:r w:rsidRPr="00D62505">
        <w:rPr>
          <w:rFonts w:ascii="Verdana" w:hAnsi="Verdana" w:cs="Arial"/>
          <w:color w:val="000000" w:themeColor="text1"/>
          <w:sz w:val="20"/>
          <w:szCs w:val="20"/>
          <w:lang w:val="es-ES_tradnl"/>
        </w:rPr>
        <w:lastRenderedPageBreak/>
        <w:t>colisionan con el deber de preservar su independencia e imparcialidad.</w:t>
      </w:r>
    </w:p>
    <w:p w14:paraId="5F442CB2" w14:textId="77777777" w:rsidR="000B3649" w:rsidRPr="00D62505" w:rsidRDefault="000B3649" w:rsidP="000B3649">
      <w:pPr>
        <w:spacing w:after="0" w:line="240" w:lineRule="auto"/>
        <w:rPr>
          <w:rFonts w:ascii="Verdana" w:eastAsia="Geomanist Light" w:hAnsi="Verdana" w:cs="Arial"/>
          <w:color w:val="000000" w:themeColor="text1"/>
          <w:sz w:val="20"/>
          <w:szCs w:val="20"/>
          <w:lang w:val="es-MX"/>
        </w:rPr>
      </w:pPr>
    </w:p>
    <w:p w14:paraId="557384D3" w14:textId="77777777" w:rsidR="000B3649" w:rsidRDefault="000B3649" w:rsidP="000B3649">
      <w:pPr>
        <w:spacing w:after="0" w:line="240" w:lineRule="auto"/>
        <w:rPr>
          <w:rFonts w:ascii="Verdana" w:eastAsia="Geomanist Light" w:hAnsi="Verdana" w:cs="Arial"/>
          <w:color w:val="000000" w:themeColor="text1"/>
          <w:lang w:val="es-MX"/>
        </w:rPr>
      </w:pPr>
    </w:p>
    <w:p w14:paraId="4BBB7C87" w14:textId="77777777" w:rsidR="000B3649" w:rsidRDefault="000B3649" w:rsidP="000B3649">
      <w:pPr>
        <w:spacing w:after="0" w:line="240" w:lineRule="auto"/>
        <w:rPr>
          <w:rFonts w:ascii="Verdana" w:eastAsia="Geomanist Light" w:hAnsi="Verdana" w:cs="Arial"/>
          <w:color w:val="000000" w:themeColor="text1"/>
          <w:lang w:val="es-MX"/>
        </w:rPr>
      </w:pPr>
    </w:p>
    <w:p w14:paraId="72A513C4" w14:textId="77777777" w:rsidR="000B3649" w:rsidRDefault="000B3649" w:rsidP="000B3649">
      <w:pPr>
        <w:spacing w:after="0" w:line="240" w:lineRule="auto"/>
        <w:rPr>
          <w:rFonts w:ascii="Verdana" w:eastAsia="Geomanist Light" w:hAnsi="Verdana" w:cs="Arial"/>
          <w:color w:val="000000" w:themeColor="text1"/>
          <w:lang w:val="es-MX"/>
        </w:rPr>
      </w:pPr>
    </w:p>
    <w:p w14:paraId="41F44668" w14:textId="77777777" w:rsidR="000B3649" w:rsidRDefault="000B3649" w:rsidP="000B3649">
      <w:pPr>
        <w:spacing w:after="0" w:line="240" w:lineRule="auto"/>
        <w:rPr>
          <w:rFonts w:ascii="Verdana" w:eastAsia="Geomanist Light" w:hAnsi="Verdana" w:cs="Arial"/>
          <w:color w:val="000000" w:themeColor="text1"/>
          <w:lang w:val="es-MX"/>
        </w:rPr>
      </w:pPr>
    </w:p>
    <w:p w14:paraId="533DD587" w14:textId="77777777" w:rsidR="000B3649" w:rsidRDefault="000B3649" w:rsidP="000B3649">
      <w:pPr>
        <w:spacing w:after="0" w:line="240" w:lineRule="auto"/>
        <w:rPr>
          <w:rFonts w:ascii="Verdana" w:eastAsia="Geomanist Light" w:hAnsi="Verdana" w:cs="Arial"/>
          <w:color w:val="000000" w:themeColor="text1"/>
          <w:lang w:val="es-MX"/>
        </w:rPr>
      </w:pPr>
    </w:p>
    <w:p w14:paraId="06357C68" w14:textId="77777777" w:rsidR="000B3649" w:rsidRDefault="000B3649" w:rsidP="000B3649">
      <w:pPr>
        <w:spacing w:after="0" w:line="240" w:lineRule="auto"/>
        <w:rPr>
          <w:rFonts w:ascii="Verdana" w:eastAsia="Geomanist Light" w:hAnsi="Verdana" w:cs="Arial"/>
          <w:color w:val="000000" w:themeColor="text1"/>
          <w:lang w:val="es-MX"/>
        </w:rPr>
      </w:pPr>
    </w:p>
    <w:p w14:paraId="4CF24586" w14:textId="77777777" w:rsidR="000B3649" w:rsidRDefault="000B3649" w:rsidP="000B3649">
      <w:pPr>
        <w:spacing w:after="0" w:line="240" w:lineRule="auto"/>
        <w:rPr>
          <w:rFonts w:ascii="Verdana" w:eastAsia="Geomanist Light" w:hAnsi="Verdana" w:cs="Arial"/>
          <w:color w:val="000000" w:themeColor="text1"/>
          <w:lang w:val="es-MX"/>
        </w:rPr>
      </w:pPr>
    </w:p>
    <w:p w14:paraId="0561F1D0" w14:textId="77777777" w:rsidR="000B3649" w:rsidRDefault="000B3649" w:rsidP="000B3649">
      <w:pPr>
        <w:spacing w:after="0" w:line="240" w:lineRule="auto"/>
        <w:rPr>
          <w:rFonts w:ascii="Verdana" w:eastAsia="Geomanist Light" w:hAnsi="Verdana" w:cs="Arial"/>
          <w:color w:val="000000" w:themeColor="text1"/>
          <w:lang w:val="es-MX"/>
        </w:rPr>
      </w:pPr>
    </w:p>
    <w:p w14:paraId="19865AA8" w14:textId="77777777" w:rsidR="000B3649" w:rsidRDefault="000B3649" w:rsidP="000B3649">
      <w:pPr>
        <w:spacing w:after="0" w:line="240" w:lineRule="auto"/>
        <w:rPr>
          <w:rFonts w:ascii="Verdana" w:eastAsia="Geomanist Light" w:hAnsi="Verdana" w:cs="Arial"/>
          <w:color w:val="000000" w:themeColor="text1"/>
          <w:lang w:val="es-MX"/>
        </w:rPr>
      </w:pPr>
    </w:p>
    <w:p w14:paraId="5250AB4F" w14:textId="77777777" w:rsidR="000B3649" w:rsidRDefault="000B3649" w:rsidP="000B3649">
      <w:pPr>
        <w:spacing w:after="0" w:line="240" w:lineRule="auto"/>
        <w:rPr>
          <w:rFonts w:ascii="Verdana" w:eastAsia="Geomanist Light" w:hAnsi="Verdana" w:cs="Arial"/>
          <w:color w:val="000000" w:themeColor="text1"/>
          <w:lang w:val="es-MX"/>
        </w:rPr>
      </w:pPr>
    </w:p>
    <w:p w14:paraId="7BC8CC17" w14:textId="77777777" w:rsidR="000B3649" w:rsidRDefault="000B3649" w:rsidP="000B3649">
      <w:pPr>
        <w:spacing w:after="0" w:line="240" w:lineRule="auto"/>
        <w:rPr>
          <w:rFonts w:ascii="Verdana" w:eastAsia="Geomanist Light" w:hAnsi="Verdana" w:cs="Arial"/>
          <w:color w:val="000000" w:themeColor="text1"/>
          <w:lang w:val="es-MX"/>
        </w:rPr>
      </w:pPr>
    </w:p>
    <w:p w14:paraId="614A78C0" w14:textId="77777777" w:rsidR="000B3649" w:rsidRDefault="000B3649" w:rsidP="000B3649">
      <w:pPr>
        <w:spacing w:after="0" w:line="240" w:lineRule="auto"/>
        <w:rPr>
          <w:rFonts w:ascii="Verdana" w:eastAsia="Geomanist Light" w:hAnsi="Verdana" w:cs="Arial"/>
          <w:color w:val="000000" w:themeColor="text1"/>
          <w:lang w:val="es-MX"/>
        </w:rPr>
      </w:pPr>
    </w:p>
    <w:p w14:paraId="01075B42" w14:textId="77777777" w:rsidR="000B3649" w:rsidRDefault="000B3649" w:rsidP="000B3649">
      <w:pPr>
        <w:spacing w:after="0" w:line="240" w:lineRule="auto"/>
        <w:rPr>
          <w:rFonts w:ascii="Verdana" w:eastAsia="Geomanist Light" w:hAnsi="Verdana" w:cs="Arial"/>
          <w:color w:val="000000" w:themeColor="text1"/>
          <w:lang w:val="es-MX"/>
        </w:rPr>
      </w:pPr>
    </w:p>
    <w:p w14:paraId="1244AFF9" w14:textId="77777777" w:rsidR="000B3649" w:rsidRDefault="000B3649" w:rsidP="000B3649">
      <w:pPr>
        <w:spacing w:after="0" w:line="240" w:lineRule="auto"/>
        <w:rPr>
          <w:rFonts w:ascii="Verdana" w:eastAsia="Geomanist Light" w:hAnsi="Verdana" w:cs="Arial"/>
          <w:color w:val="000000" w:themeColor="text1"/>
          <w:lang w:val="es-MX"/>
        </w:rPr>
      </w:pPr>
    </w:p>
    <w:p w14:paraId="701F9163" w14:textId="77777777" w:rsidR="000B3649" w:rsidRDefault="000B3649" w:rsidP="000B3649">
      <w:pPr>
        <w:spacing w:after="0" w:line="240" w:lineRule="auto"/>
        <w:rPr>
          <w:rFonts w:ascii="Verdana" w:eastAsia="Geomanist Light" w:hAnsi="Verdana" w:cs="Arial"/>
          <w:color w:val="000000" w:themeColor="text1"/>
          <w:lang w:val="es-MX"/>
        </w:rPr>
      </w:pPr>
    </w:p>
    <w:p w14:paraId="06197592" w14:textId="77777777" w:rsidR="000B3649" w:rsidRDefault="000B3649" w:rsidP="000B3649">
      <w:pPr>
        <w:spacing w:after="0" w:line="240" w:lineRule="auto"/>
        <w:rPr>
          <w:rFonts w:ascii="Verdana" w:eastAsia="Geomanist Light" w:hAnsi="Verdana" w:cs="Arial"/>
          <w:color w:val="000000" w:themeColor="text1"/>
          <w:lang w:val="es-MX"/>
        </w:rPr>
      </w:pPr>
    </w:p>
    <w:p w14:paraId="19C021CE" w14:textId="77777777" w:rsidR="000B3649" w:rsidRDefault="000B3649" w:rsidP="000B3649">
      <w:pPr>
        <w:spacing w:after="0" w:line="240" w:lineRule="auto"/>
        <w:rPr>
          <w:rFonts w:ascii="Verdana" w:eastAsia="Geomanist Light" w:hAnsi="Verdana" w:cs="Arial"/>
          <w:color w:val="000000" w:themeColor="text1"/>
          <w:lang w:val="es-MX"/>
        </w:rPr>
      </w:pPr>
    </w:p>
    <w:p w14:paraId="7ADDA56A" w14:textId="77777777" w:rsidR="000B3649" w:rsidRDefault="000B3649" w:rsidP="000B3649">
      <w:pPr>
        <w:spacing w:after="0" w:line="240" w:lineRule="auto"/>
        <w:rPr>
          <w:rFonts w:ascii="Verdana" w:eastAsia="Geomanist Light" w:hAnsi="Verdana" w:cs="Arial"/>
          <w:color w:val="000000" w:themeColor="text1"/>
          <w:lang w:val="es-MX"/>
        </w:rPr>
      </w:pPr>
    </w:p>
    <w:p w14:paraId="241FBB96" w14:textId="77777777" w:rsidR="000B3649" w:rsidRDefault="000B3649" w:rsidP="000B3649">
      <w:pPr>
        <w:spacing w:after="0" w:line="240" w:lineRule="auto"/>
        <w:rPr>
          <w:rFonts w:ascii="Verdana" w:eastAsia="Geomanist Light" w:hAnsi="Verdana" w:cs="Arial"/>
          <w:color w:val="000000" w:themeColor="text1"/>
          <w:lang w:val="es-MX"/>
        </w:rPr>
      </w:pPr>
    </w:p>
    <w:p w14:paraId="706C2881" w14:textId="77777777" w:rsidR="000B3649" w:rsidRDefault="000B3649" w:rsidP="000B3649">
      <w:pPr>
        <w:spacing w:after="0" w:line="240" w:lineRule="auto"/>
        <w:rPr>
          <w:rFonts w:ascii="Verdana" w:eastAsia="Geomanist Light" w:hAnsi="Verdana" w:cs="Arial"/>
          <w:color w:val="000000" w:themeColor="text1"/>
          <w:lang w:val="es-MX"/>
        </w:rPr>
      </w:pPr>
    </w:p>
    <w:p w14:paraId="005AD3DB" w14:textId="77777777" w:rsidR="000B3649" w:rsidRDefault="000B3649" w:rsidP="000B3649">
      <w:pPr>
        <w:spacing w:after="0" w:line="240" w:lineRule="auto"/>
        <w:rPr>
          <w:rFonts w:ascii="Verdana" w:eastAsia="Geomanist Light" w:hAnsi="Verdana" w:cs="Arial"/>
          <w:color w:val="000000" w:themeColor="text1"/>
          <w:lang w:val="es-MX"/>
        </w:rPr>
      </w:pPr>
    </w:p>
    <w:p w14:paraId="377E16C1" w14:textId="77777777" w:rsidR="000B3649" w:rsidRDefault="000B3649" w:rsidP="000B3649">
      <w:pPr>
        <w:spacing w:after="0" w:line="240" w:lineRule="auto"/>
        <w:rPr>
          <w:rFonts w:ascii="Verdana" w:eastAsia="Geomanist Light" w:hAnsi="Verdana" w:cs="Arial"/>
          <w:color w:val="000000" w:themeColor="text1"/>
          <w:lang w:val="es-MX"/>
        </w:rPr>
      </w:pPr>
    </w:p>
    <w:p w14:paraId="7B3BCBAB" w14:textId="77777777" w:rsidR="000B3649" w:rsidRDefault="000B3649" w:rsidP="000B3649">
      <w:pPr>
        <w:spacing w:after="0" w:line="240" w:lineRule="auto"/>
        <w:rPr>
          <w:rFonts w:ascii="Verdana" w:eastAsia="Geomanist Light" w:hAnsi="Verdana" w:cs="Arial"/>
          <w:color w:val="000000" w:themeColor="text1"/>
          <w:lang w:val="es-MX"/>
        </w:rPr>
      </w:pPr>
    </w:p>
    <w:p w14:paraId="40015A61" w14:textId="77777777" w:rsidR="000B3649" w:rsidRDefault="000B3649" w:rsidP="000B3649">
      <w:pPr>
        <w:spacing w:after="0" w:line="240" w:lineRule="auto"/>
        <w:rPr>
          <w:rFonts w:ascii="Verdana" w:eastAsia="Geomanist Light" w:hAnsi="Verdana" w:cs="Arial"/>
          <w:color w:val="000000" w:themeColor="text1"/>
          <w:lang w:val="es-MX"/>
        </w:rPr>
      </w:pPr>
    </w:p>
    <w:p w14:paraId="0EF50D70" w14:textId="77777777" w:rsidR="000B3649" w:rsidRDefault="000B3649" w:rsidP="000B3649">
      <w:pPr>
        <w:spacing w:after="0" w:line="240" w:lineRule="auto"/>
        <w:rPr>
          <w:rFonts w:ascii="Verdana" w:eastAsia="Geomanist Light" w:hAnsi="Verdana" w:cs="Arial"/>
          <w:color w:val="000000" w:themeColor="text1"/>
          <w:lang w:val="es-MX"/>
        </w:rPr>
      </w:pPr>
    </w:p>
    <w:p w14:paraId="6A113F20" w14:textId="77777777" w:rsidR="000B3649" w:rsidRDefault="000B3649" w:rsidP="000B3649">
      <w:pPr>
        <w:spacing w:after="0" w:line="240" w:lineRule="auto"/>
        <w:rPr>
          <w:rFonts w:ascii="Verdana" w:eastAsia="Geomanist Light" w:hAnsi="Verdana" w:cs="Arial"/>
          <w:color w:val="000000" w:themeColor="text1"/>
          <w:lang w:val="es-MX"/>
        </w:rPr>
      </w:pPr>
    </w:p>
    <w:p w14:paraId="32AFACBB" w14:textId="77777777" w:rsidR="000B3649" w:rsidRDefault="000B3649" w:rsidP="000B3649">
      <w:pPr>
        <w:spacing w:after="0" w:line="240" w:lineRule="auto"/>
        <w:rPr>
          <w:rFonts w:ascii="Verdana" w:eastAsia="Geomanist Light" w:hAnsi="Verdana" w:cs="Arial"/>
          <w:color w:val="000000" w:themeColor="text1"/>
          <w:lang w:val="es-MX"/>
        </w:rPr>
      </w:pPr>
    </w:p>
    <w:p w14:paraId="18825050" w14:textId="77777777" w:rsidR="000B3649" w:rsidRDefault="000B3649" w:rsidP="000B3649">
      <w:pPr>
        <w:spacing w:after="0" w:line="240" w:lineRule="auto"/>
        <w:rPr>
          <w:rFonts w:ascii="Verdana" w:eastAsia="Geomanist Light" w:hAnsi="Verdana" w:cs="Arial"/>
          <w:color w:val="000000" w:themeColor="text1"/>
          <w:lang w:val="es-MX"/>
        </w:rPr>
      </w:pPr>
    </w:p>
    <w:p w14:paraId="5A4FC063" w14:textId="77777777" w:rsidR="000B3649" w:rsidRDefault="000B3649" w:rsidP="000B3649">
      <w:pPr>
        <w:spacing w:after="0" w:line="240" w:lineRule="auto"/>
        <w:rPr>
          <w:rFonts w:ascii="Verdana" w:eastAsia="Geomanist Light" w:hAnsi="Verdana" w:cs="Arial"/>
          <w:color w:val="000000" w:themeColor="text1"/>
          <w:lang w:val="es-MX"/>
        </w:rPr>
      </w:pPr>
    </w:p>
    <w:p w14:paraId="40948010" w14:textId="77777777" w:rsidR="000B3649" w:rsidRDefault="000B3649" w:rsidP="000B3649">
      <w:pPr>
        <w:spacing w:after="0" w:line="240" w:lineRule="auto"/>
        <w:rPr>
          <w:rFonts w:ascii="Verdana" w:eastAsia="Geomanist Light" w:hAnsi="Verdana" w:cs="Arial"/>
          <w:color w:val="000000" w:themeColor="text1"/>
          <w:lang w:val="es-MX"/>
        </w:rPr>
      </w:pPr>
    </w:p>
    <w:p w14:paraId="1C01C772" w14:textId="77777777" w:rsidR="000B3649" w:rsidRDefault="000B3649" w:rsidP="000B3649">
      <w:pPr>
        <w:spacing w:after="0" w:line="240" w:lineRule="auto"/>
        <w:rPr>
          <w:rFonts w:ascii="Verdana" w:eastAsia="Geomanist Light" w:hAnsi="Verdana" w:cs="Arial"/>
          <w:color w:val="000000" w:themeColor="text1"/>
          <w:lang w:val="es-MX"/>
        </w:rPr>
      </w:pPr>
    </w:p>
    <w:p w14:paraId="0B4D2DE5" w14:textId="77777777" w:rsidR="000B3649" w:rsidRDefault="000B3649" w:rsidP="000B3649">
      <w:pPr>
        <w:spacing w:after="0" w:line="240" w:lineRule="auto"/>
        <w:rPr>
          <w:rFonts w:ascii="Verdana" w:eastAsia="Geomanist Light" w:hAnsi="Verdana" w:cs="Arial"/>
          <w:color w:val="000000" w:themeColor="text1"/>
          <w:lang w:val="es-MX"/>
        </w:rPr>
      </w:pPr>
    </w:p>
    <w:p w14:paraId="2AE656A0" w14:textId="77777777" w:rsidR="000B3649" w:rsidRDefault="000B3649" w:rsidP="000B3649">
      <w:pPr>
        <w:spacing w:after="0" w:line="240" w:lineRule="auto"/>
        <w:rPr>
          <w:rFonts w:ascii="Verdana" w:eastAsia="Geomanist Light" w:hAnsi="Verdana" w:cs="Arial"/>
          <w:color w:val="000000" w:themeColor="text1"/>
          <w:lang w:val="es-MX"/>
        </w:rPr>
      </w:pPr>
    </w:p>
    <w:p w14:paraId="619606F3" w14:textId="77777777" w:rsidR="000B3649" w:rsidRDefault="000B3649" w:rsidP="000B3649">
      <w:pPr>
        <w:spacing w:after="0" w:line="240" w:lineRule="auto"/>
        <w:rPr>
          <w:rFonts w:ascii="Verdana" w:eastAsia="Geomanist Light" w:hAnsi="Verdana" w:cs="Arial"/>
          <w:color w:val="000000" w:themeColor="text1"/>
          <w:lang w:val="es-MX"/>
        </w:rPr>
      </w:pPr>
    </w:p>
    <w:p w14:paraId="5395756A" w14:textId="77777777" w:rsidR="000B3649" w:rsidRDefault="000B3649" w:rsidP="000B3649">
      <w:pPr>
        <w:spacing w:after="0" w:line="240" w:lineRule="auto"/>
        <w:rPr>
          <w:rFonts w:ascii="Verdana" w:eastAsia="Geomanist Light" w:hAnsi="Verdana" w:cs="Arial"/>
          <w:color w:val="000000" w:themeColor="text1"/>
          <w:lang w:val="es-MX"/>
        </w:rPr>
      </w:pPr>
    </w:p>
    <w:p w14:paraId="27C634E2" w14:textId="77777777" w:rsidR="000B3649" w:rsidRDefault="000B3649" w:rsidP="000B3649">
      <w:pPr>
        <w:spacing w:after="0" w:line="240" w:lineRule="auto"/>
        <w:rPr>
          <w:rFonts w:ascii="Verdana" w:eastAsia="Geomanist Light" w:hAnsi="Verdana" w:cs="Arial"/>
          <w:color w:val="000000" w:themeColor="text1"/>
          <w:lang w:val="es-MX"/>
        </w:rPr>
      </w:pPr>
    </w:p>
    <w:p w14:paraId="79E77F9D" w14:textId="77777777" w:rsidR="000B3649" w:rsidRDefault="000B3649" w:rsidP="000B3649">
      <w:pPr>
        <w:spacing w:after="0" w:line="240" w:lineRule="auto"/>
        <w:contextualSpacing/>
        <w:rPr>
          <w:rFonts w:ascii="Verdana" w:eastAsia="Times New Roman" w:hAnsi="Verdana" w:cs="Arial"/>
          <w:lang w:eastAsia="es-ES_tradnl"/>
        </w:rPr>
      </w:pPr>
    </w:p>
    <w:p w14:paraId="4117AF1C" w14:textId="77777777" w:rsidR="000B3649" w:rsidRDefault="000B3649" w:rsidP="000B3649">
      <w:pPr>
        <w:spacing w:after="0" w:line="240" w:lineRule="auto"/>
        <w:contextualSpacing/>
        <w:rPr>
          <w:rFonts w:ascii="Verdana" w:eastAsia="Times New Roman" w:hAnsi="Verdana" w:cs="Arial"/>
          <w:lang w:eastAsia="es-ES_tradnl"/>
        </w:rPr>
      </w:pPr>
    </w:p>
    <w:p w14:paraId="44A58F6D" w14:textId="77777777" w:rsidR="000B3649" w:rsidRDefault="000B3649" w:rsidP="000B3649">
      <w:pPr>
        <w:spacing w:after="0" w:line="240" w:lineRule="auto"/>
        <w:contextualSpacing/>
        <w:rPr>
          <w:rFonts w:ascii="Verdana" w:eastAsia="Times New Roman" w:hAnsi="Verdana" w:cs="Arial"/>
          <w:lang w:eastAsia="es-ES_tradnl"/>
        </w:rPr>
      </w:pPr>
    </w:p>
    <w:p w14:paraId="1E7C22AA" w14:textId="77777777" w:rsidR="000B3649" w:rsidRDefault="000B3649" w:rsidP="000B3649">
      <w:pPr>
        <w:spacing w:after="0" w:line="240" w:lineRule="auto"/>
        <w:contextualSpacing/>
        <w:rPr>
          <w:rFonts w:ascii="Verdana" w:eastAsia="Times New Roman" w:hAnsi="Verdana" w:cs="Arial"/>
          <w:lang w:eastAsia="es-ES_tradnl"/>
        </w:rPr>
      </w:pPr>
    </w:p>
    <w:p w14:paraId="1B4A93F9" w14:textId="77777777" w:rsidR="000B3649" w:rsidRDefault="000B3649" w:rsidP="000B3649">
      <w:pPr>
        <w:spacing w:after="0" w:line="240" w:lineRule="auto"/>
        <w:contextualSpacing/>
        <w:rPr>
          <w:rFonts w:ascii="Verdana" w:eastAsia="Times New Roman" w:hAnsi="Verdana" w:cs="Arial"/>
          <w:lang w:eastAsia="es-ES_tradnl"/>
        </w:rPr>
      </w:pPr>
    </w:p>
    <w:p w14:paraId="171B847C" w14:textId="77777777" w:rsidR="000B3649" w:rsidRDefault="000B3649" w:rsidP="000B3649">
      <w:pPr>
        <w:spacing w:after="0" w:line="240" w:lineRule="auto"/>
        <w:contextualSpacing/>
        <w:rPr>
          <w:rFonts w:ascii="Verdana" w:eastAsia="Times New Roman" w:hAnsi="Verdana" w:cs="Arial"/>
          <w:lang w:eastAsia="es-ES_tradnl"/>
        </w:rPr>
      </w:pPr>
    </w:p>
    <w:p w14:paraId="15B65866" w14:textId="4FB4E99B" w:rsidR="000B3649" w:rsidRPr="006A09D6" w:rsidRDefault="000B3649" w:rsidP="000B3649">
      <w:pPr>
        <w:spacing w:after="0" w:line="240" w:lineRule="auto"/>
        <w:contextualSpacing/>
        <w:rPr>
          <w:rFonts w:ascii="Verdana" w:eastAsia="Times New Roman" w:hAnsi="Verdana" w:cs="Arial"/>
          <w:lang w:eastAsia="es-ES_tradnl"/>
        </w:rPr>
      </w:pPr>
      <w:r w:rsidRPr="006A09D6">
        <w:rPr>
          <w:rFonts w:ascii="Verdana" w:eastAsia="Times New Roman" w:hAnsi="Verdana" w:cs="Arial"/>
          <w:lang w:eastAsia="es-ES_tradnl"/>
        </w:rPr>
        <w:lastRenderedPageBreak/>
        <w:t>Bogotá D.C., </w:t>
      </w:r>
      <w:r w:rsidR="00943FFE">
        <w:rPr>
          <w:rFonts w:ascii="Verdana" w:eastAsia="Times New Roman" w:hAnsi="Verdana" w:cs="Arial"/>
          <w:lang w:eastAsia="es-ES_tradnl"/>
        </w:rPr>
        <w:t>14 de noviembre de 2025</w:t>
      </w:r>
      <w:r w:rsidRPr="006A09D6">
        <w:rPr>
          <w:rFonts w:ascii="Verdana" w:eastAsia="Times New Roman" w:hAnsi="Verdana" w:cs="Arial"/>
          <w:lang w:eastAsia="es-ES_tradnl"/>
        </w:rPr>
        <w:t> </w:t>
      </w:r>
    </w:p>
    <w:p w14:paraId="0F6A023F" w14:textId="77777777" w:rsidR="000B3649" w:rsidRPr="00973959" w:rsidRDefault="000B3649" w:rsidP="000B3649">
      <w:pPr>
        <w:spacing w:after="0" w:line="240" w:lineRule="auto"/>
        <w:jc w:val="both"/>
        <w:rPr>
          <w:rFonts w:ascii="Verdana" w:eastAsia="Calibri" w:hAnsi="Verdana" w:cs="Arial"/>
          <w:color w:val="000000"/>
        </w:rPr>
      </w:pPr>
    </w:p>
    <w:p w14:paraId="70E4DF69" w14:textId="1423ABDB" w:rsidR="000B3649" w:rsidRPr="00C45C5D" w:rsidRDefault="00943FFE" w:rsidP="000B3649">
      <w:pPr>
        <w:spacing w:after="0" w:line="240" w:lineRule="auto"/>
        <w:jc w:val="right"/>
        <w:rPr>
          <w:rFonts w:ascii="Verdana" w:eastAsia="Calibri" w:hAnsi="Verdana" w:cs="Arial"/>
          <w:color w:val="000000"/>
          <w:lang w:val="es-ES"/>
        </w:rPr>
      </w:pPr>
      <w:r w:rsidRPr="00943FFE">
        <w:rPr>
          <w:rFonts w:ascii="Verdana" w:eastAsia="Calibri" w:hAnsi="Verdana" w:cs="Arial"/>
          <w:color w:val="000000"/>
          <w:lang w:val="es-ES"/>
        </w:rPr>
        <w:drawing>
          <wp:inline distT="0" distB="0" distL="0" distR="0" wp14:anchorId="3784AA67" wp14:editId="0A43E3BC">
            <wp:extent cx="3799964" cy="1009540"/>
            <wp:effectExtent l="0" t="0" r="0" b="635"/>
            <wp:docPr id="7466828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682840" name="Imagen 1" descr="Texto&#10;&#10;El contenido generado por IA puede ser incorrecto."/>
                    <pic:cNvPicPr/>
                  </pic:nvPicPr>
                  <pic:blipFill>
                    <a:blip r:embed="rId7"/>
                    <a:stretch>
                      <a:fillRect/>
                    </a:stretch>
                  </pic:blipFill>
                  <pic:spPr>
                    <a:xfrm>
                      <a:off x="0" y="0"/>
                      <a:ext cx="3828281" cy="1017063"/>
                    </a:xfrm>
                    <a:prstGeom prst="rect">
                      <a:avLst/>
                    </a:prstGeom>
                  </pic:spPr>
                </pic:pic>
              </a:graphicData>
            </a:graphic>
          </wp:inline>
        </w:drawing>
      </w:r>
    </w:p>
    <w:p w14:paraId="175BA5A6" w14:textId="77777777" w:rsidR="000B3649" w:rsidRPr="00C45C5D" w:rsidRDefault="000B3649" w:rsidP="000B3649">
      <w:pPr>
        <w:spacing w:after="0" w:line="240" w:lineRule="auto"/>
        <w:jc w:val="both"/>
        <w:rPr>
          <w:rFonts w:ascii="Verdana" w:eastAsia="Calibri" w:hAnsi="Verdana" w:cs="Arial"/>
          <w:color w:val="000000"/>
          <w:lang w:val="es-ES"/>
        </w:rPr>
      </w:pPr>
    </w:p>
    <w:p w14:paraId="31EE975D" w14:textId="77777777" w:rsidR="000B3649" w:rsidRPr="00AC5844" w:rsidRDefault="000B3649" w:rsidP="000B3649">
      <w:pPr>
        <w:spacing w:after="0" w:line="240" w:lineRule="auto"/>
        <w:jc w:val="both"/>
        <w:rPr>
          <w:rFonts w:ascii="Verdana" w:eastAsia="Calibri" w:hAnsi="Verdana" w:cs="Arial"/>
          <w:lang w:eastAsia="es-ES"/>
        </w:rPr>
      </w:pPr>
      <w:r w:rsidRPr="00AC5844">
        <w:rPr>
          <w:rFonts w:ascii="Verdana" w:eastAsia="Calibri" w:hAnsi="Verdana" w:cs="Arial"/>
          <w:lang w:eastAsia="es-ES"/>
        </w:rPr>
        <w:t>Señor</w:t>
      </w:r>
    </w:p>
    <w:p w14:paraId="29319E42" w14:textId="77777777" w:rsidR="000B3649" w:rsidRPr="000B3649" w:rsidRDefault="000B3649" w:rsidP="000B3649">
      <w:pPr>
        <w:spacing w:after="0" w:line="240" w:lineRule="auto"/>
        <w:jc w:val="both"/>
        <w:rPr>
          <w:rFonts w:ascii="Verdana" w:eastAsia="Calibri" w:hAnsi="Verdana" w:cs="Arial"/>
          <w:b/>
          <w:bCs/>
          <w:lang w:eastAsia="es-ES"/>
        </w:rPr>
      </w:pPr>
      <w:r w:rsidRPr="000B3649">
        <w:rPr>
          <w:rFonts w:ascii="Verdana" w:eastAsia="Calibri" w:hAnsi="Verdana" w:cs="Arial"/>
          <w:b/>
          <w:bCs/>
          <w:lang w:eastAsia="es-ES"/>
        </w:rPr>
        <w:t>Christian Javier Andrade Soriano</w:t>
      </w:r>
    </w:p>
    <w:p w14:paraId="6F910AC9" w14:textId="77777777" w:rsidR="000B3649" w:rsidRPr="002505FB" w:rsidRDefault="000B3649" w:rsidP="000B3649">
      <w:pPr>
        <w:spacing w:after="0" w:line="240" w:lineRule="auto"/>
        <w:rPr>
          <w:rFonts w:ascii="Verdana" w:eastAsia="Calibri" w:hAnsi="Verdana" w:cs="Arial"/>
          <w:lang w:val="es-ES" w:eastAsia="es-ES"/>
        </w:rPr>
      </w:pPr>
      <w:hyperlink r:id="rId8" w:history="1">
        <w:r w:rsidRPr="0046047A">
          <w:rPr>
            <w:rStyle w:val="Hipervnculo"/>
            <w:rFonts w:ascii="Verdana" w:eastAsia="Calibri" w:hAnsi="Verdana" w:cs="Arial"/>
            <w:lang w:val="es-ES" w:eastAsia="es-ES"/>
          </w:rPr>
          <w:t>personeria@baraya-huila.gov.co</w:t>
        </w:r>
      </w:hyperlink>
      <w:r>
        <w:rPr>
          <w:rFonts w:ascii="Verdana" w:eastAsia="Calibri" w:hAnsi="Verdana" w:cs="Arial"/>
          <w:lang w:val="es-ES" w:eastAsia="es-ES"/>
        </w:rPr>
        <w:t xml:space="preserve"> </w:t>
      </w:r>
      <w:r w:rsidRPr="002505FB">
        <w:rPr>
          <w:rFonts w:ascii="Verdana" w:eastAsia="Calibri" w:hAnsi="Verdana" w:cs="Arial"/>
          <w:lang w:val="es-ES" w:eastAsia="es-ES"/>
        </w:rPr>
        <w:t xml:space="preserve"> </w:t>
      </w:r>
    </w:p>
    <w:p w14:paraId="2A57C5CB" w14:textId="77777777" w:rsidR="000B3649" w:rsidRPr="00C45C5D" w:rsidRDefault="000B3649" w:rsidP="000B3649">
      <w:pPr>
        <w:spacing w:after="0" w:line="240" w:lineRule="auto"/>
        <w:rPr>
          <w:rFonts w:ascii="Verdana" w:eastAsia="Calibri" w:hAnsi="Verdana" w:cs="Arial"/>
          <w:lang w:val="es-ES" w:eastAsia="es-ES"/>
        </w:rPr>
      </w:pPr>
      <w:r>
        <w:rPr>
          <w:rFonts w:ascii="Verdana" w:eastAsia="Calibri" w:hAnsi="Verdana" w:cs="Arial"/>
          <w:lang w:val="es-ES" w:eastAsia="es-ES"/>
        </w:rPr>
        <w:t>Baraya, Huila</w:t>
      </w:r>
    </w:p>
    <w:p w14:paraId="044BD17E" w14:textId="77777777" w:rsidR="000B3649" w:rsidRPr="00C45C5D" w:rsidRDefault="000B3649" w:rsidP="000B364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B3649" w:rsidRPr="00C45C5D" w14:paraId="30AA4ED1" w14:textId="77777777" w:rsidTr="0084327A">
        <w:trPr>
          <w:trHeight w:val="630"/>
        </w:trPr>
        <w:tc>
          <w:tcPr>
            <w:tcW w:w="2689" w:type="dxa"/>
          </w:tcPr>
          <w:p w14:paraId="6BB092F5" w14:textId="77777777" w:rsidR="000B3649" w:rsidRPr="00C45C5D" w:rsidRDefault="000B3649" w:rsidP="0084327A">
            <w:pPr>
              <w:jc w:val="both"/>
              <w:rPr>
                <w:rFonts w:ascii="Verdana" w:eastAsia="Calibri" w:hAnsi="Verdana" w:cs="Arial"/>
                <w:b/>
                <w:bCs/>
                <w:color w:val="7030A0"/>
                <w:lang w:val="es-ES_tradnl" w:eastAsia="es-ES_tradnl"/>
              </w:rPr>
            </w:pPr>
          </w:p>
        </w:tc>
        <w:tc>
          <w:tcPr>
            <w:tcW w:w="6100" w:type="dxa"/>
          </w:tcPr>
          <w:p w14:paraId="7002A614" w14:textId="77777777" w:rsidR="000B3649" w:rsidRPr="00C45C5D" w:rsidRDefault="000B3649" w:rsidP="0084327A">
            <w:pPr>
              <w:jc w:val="both"/>
              <w:rPr>
                <w:rFonts w:ascii="Verdana" w:eastAsia="Calibri" w:hAnsi="Verdana" w:cs="Arial"/>
                <w:b/>
                <w:bCs/>
                <w:lang w:val="es-ES" w:eastAsia="es-ES"/>
              </w:rPr>
            </w:pPr>
            <w:r w:rsidRPr="00C45C5D">
              <w:rPr>
                <w:rFonts w:ascii="Verdana" w:eastAsia="Calibri" w:hAnsi="Verdana" w:cs="Arial"/>
                <w:b/>
                <w:bCs/>
                <w:lang w:val="es-ES" w:eastAsia="es-ES"/>
              </w:rPr>
              <w:t>Concepto C–</w:t>
            </w:r>
            <w:r>
              <w:rPr>
                <w:rFonts w:ascii="Verdana" w:eastAsia="Calibri" w:hAnsi="Verdana" w:cs="Arial"/>
                <w:b/>
                <w:bCs/>
                <w:lang w:val="es-ES" w:eastAsia="es-ES"/>
              </w:rPr>
              <w:t>1451</w:t>
            </w:r>
            <w:r w:rsidRPr="00C45C5D">
              <w:rPr>
                <w:rFonts w:ascii="Verdana" w:eastAsia="Calibri" w:hAnsi="Verdana" w:cs="Arial"/>
                <w:b/>
                <w:bCs/>
                <w:lang w:val="es-ES" w:eastAsia="es-ES"/>
              </w:rPr>
              <w:t xml:space="preserve"> de 2025</w:t>
            </w:r>
          </w:p>
        </w:tc>
      </w:tr>
      <w:tr w:rsidR="000B3649" w:rsidRPr="00C45C5D" w14:paraId="06244A84" w14:textId="77777777" w:rsidTr="0084327A">
        <w:trPr>
          <w:trHeight w:val="884"/>
        </w:trPr>
        <w:tc>
          <w:tcPr>
            <w:tcW w:w="2689" w:type="dxa"/>
          </w:tcPr>
          <w:p w14:paraId="109E8404" w14:textId="77777777" w:rsidR="000B3649" w:rsidRPr="00C45C5D" w:rsidRDefault="000B3649" w:rsidP="0084327A">
            <w:pPr>
              <w:jc w:val="both"/>
              <w:rPr>
                <w:rFonts w:ascii="Verdana" w:eastAsia="Calibri" w:hAnsi="Verdana" w:cs="Arial"/>
                <w:color w:val="000000"/>
                <w:lang w:val="es-ES_tradnl" w:eastAsia="es-ES_tradnl"/>
              </w:rPr>
            </w:pPr>
            <w:r w:rsidRPr="00C45C5D">
              <w:rPr>
                <w:rFonts w:ascii="Verdana" w:eastAsia="Calibri" w:hAnsi="Verdana" w:cs="Arial"/>
                <w:b/>
                <w:color w:val="000000"/>
                <w:lang w:val="es-ES_tradnl" w:eastAsia="es-ES_tradnl"/>
              </w:rPr>
              <w:t>Temas:</w:t>
            </w:r>
            <w:r w:rsidRPr="00C45C5D">
              <w:rPr>
                <w:rFonts w:ascii="Verdana" w:eastAsia="Calibri" w:hAnsi="Verdana" w:cs="Arial"/>
                <w:color w:val="000000"/>
                <w:lang w:val="es-ES_tradnl" w:eastAsia="es-ES_tradnl"/>
              </w:rPr>
              <w:t xml:space="preserve">                   </w:t>
            </w:r>
          </w:p>
        </w:tc>
        <w:tc>
          <w:tcPr>
            <w:tcW w:w="6100" w:type="dxa"/>
          </w:tcPr>
          <w:p w14:paraId="2C3B49FF" w14:textId="77777777" w:rsidR="000B3649" w:rsidRPr="00C45C5D" w:rsidRDefault="000B3649" w:rsidP="0084327A">
            <w:pPr>
              <w:jc w:val="both"/>
              <w:rPr>
                <w:rFonts w:ascii="Verdana" w:eastAsia="Calibri" w:hAnsi="Verdana" w:cs="Arial"/>
                <w:bCs/>
                <w:lang w:val="es-ES_tradnl"/>
              </w:rPr>
            </w:pPr>
            <w:bookmarkStart w:id="1" w:name="_Hlk192055781"/>
            <w:r w:rsidRPr="006E3AFE">
              <w:rPr>
                <w:rFonts w:ascii="Verdana" w:eastAsia="Calibri" w:hAnsi="Verdana" w:cs="Arial"/>
                <w:color w:val="000000"/>
                <w:kern w:val="2"/>
                <w14:ligatures w14:val="standardContextual"/>
              </w:rPr>
              <w:t>INHABILIDADES E INCOMPATIBILIDADES – Concepto</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INHABILIDADES E INCOMPATIBILIDADES – Régimen – Interpretación restrictiva</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CONTRATO DE PRESTACION DE SERVICIOS</w:t>
            </w:r>
            <w:r>
              <w:rPr>
                <w:rFonts w:ascii="Verdana" w:eastAsia="Calibri" w:hAnsi="Verdana" w:cs="Arial"/>
                <w:color w:val="000000"/>
                <w:kern w:val="2"/>
                <w14:ligatures w14:val="standardContextual"/>
              </w:rPr>
              <w:t xml:space="preserve"> </w:t>
            </w:r>
            <w:r w:rsidRPr="006E3AFE">
              <w:rPr>
                <w:rFonts w:ascii="Verdana" w:eastAsia="Calibri" w:hAnsi="Verdana" w:cs="Arial"/>
                <w:color w:val="000000"/>
                <w:kern w:val="2"/>
                <w14:ligatures w14:val="standardContextual"/>
              </w:rPr>
              <w:t>– Simultaneidad</w:t>
            </w:r>
            <w:r>
              <w:rPr>
                <w:rFonts w:ascii="Verdana" w:eastAsia="Calibri" w:hAnsi="Verdana" w:cs="Arial"/>
                <w:color w:val="000000"/>
                <w:kern w:val="2"/>
                <w14:ligatures w14:val="standardContextual"/>
              </w:rPr>
              <w:t xml:space="preserve"> </w:t>
            </w:r>
            <w:r w:rsidRPr="006E3AFE">
              <w:rPr>
                <w:rFonts w:ascii="Verdana" w:eastAsia="Calibri" w:hAnsi="Verdana" w:cs="Arial"/>
                <w:color w:val="000000"/>
                <w:kern w:val="2"/>
                <w14:ligatures w14:val="standardContextual"/>
              </w:rPr>
              <w:t xml:space="preserve">– Ausencia </w:t>
            </w:r>
            <w:r>
              <w:rPr>
                <w:rFonts w:ascii="Verdana" w:eastAsia="Calibri" w:hAnsi="Verdana" w:cs="Arial"/>
                <w:color w:val="000000"/>
                <w:kern w:val="2"/>
                <w14:ligatures w14:val="standardContextual"/>
              </w:rPr>
              <w:t>de</w:t>
            </w:r>
            <w:r w:rsidRPr="006E3AFE">
              <w:rPr>
                <w:rFonts w:ascii="Verdana" w:eastAsia="Calibri" w:hAnsi="Verdana" w:cs="Arial"/>
                <w:color w:val="000000"/>
                <w:kern w:val="2"/>
                <w14:ligatures w14:val="standardContextual"/>
              </w:rPr>
              <w:t xml:space="preserve"> Inhabilidad e incompatibilidad</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CONCLICTO DE INTERES – Verificación –</w:t>
            </w:r>
            <w:r>
              <w:rPr>
                <w:rFonts w:ascii="Verdana" w:eastAsia="Calibri" w:hAnsi="Verdana" w:cs="Arial"/>
                <w:color w:val="000000"/>
                <w:kern w:val="2"/>
                <w14:ligatures w14:val="standardContextual"/>
              </w:rPr>
              <w:t xml:space="preserve"> Tipicidad </w:t>
            </w:r>
          </w:p>
          <w:bookmarkEnd w:id="1"/>
          <w:p w14:paraId="79928C7B" w14:textId="77777777" w:rsidR="000B3649" w:rsidRPr="00C45C5D" w:rsidRDefault="000B3649" w:rsidP="0084327A">
            <w:pPr>
              <w:jc w:val="both"/>
              <w:rPr>
                <w:rFonts w:ascii="Verdana" w:eastAsia="Calibri" w:hAnsi="Verdana" w:cs="Arial"/>
                <w:lang w:val="es-ES" w:eastAsia="es-ES"/>
              </w:rPr>
            </w:pPr>
          </w:p>
        </w:tc>
      </w:tr>
      <w:tr w:rsidR="000B3649" w:rsidRPr="00C45C5D" w14:paraId="788C4CCC" w14:textId="77777777" w:rsidTr="0084327A">
        <w:tc>
          <w:tcPr>
            <w:tcW w:w="2689" w:type="dxa"/>
          </w:tcPr>
          <w:p w14:paraId="394B58EF" w14:textId="77777777" w:rsidR="000B3649" w:rsidRPr="00C45C5D" w:rsidRDefault="000B3649" w:rsidP="0084327A">
            <w:pPr>
              <w:jc w:val="both"/>
              <w:rPr>
                <w:rFonts w:ascii="Verdana" w:eastAsia="Calibri" w:hAnsi="Verdana" w:cs="Arial"/>
                <w:b/>
                <w:lang w:val="es-ES_tradnl" w:eastAsia="es-ES_tradnl"/>
              </w:rPr>
            </w:pPr>
            <w:r w:rsidRPr="00C45C5D">
              <w:rPr>
                <w:rFonts w:ascii="Verdana" w:eastAsia="Calibri" w:hAnsi="Verdana" w:cs="Arial"/>
                <w:b/>
                <w:lang w:val="es-ES_tradnl" w:eastAsia="es-ES_tradnl"/>
              </w:rPr>
              <w:t>Radicación:</w:t>
            </w:r>
            <w:r w:rsidRPr="00C45C5D">
              <w:rPr>
                <w:rFonts w:ascii="Verdana" w:eastAsia="Calibri" w:hAnsi="Verdana" w:cs="Arial"/>
                <w:lang w:val="es-ES_tradnl" w:eastAsia="es-ES_tradnl"/>
              </w:rPr>
              <w:t xml:space="preserve">               </w:t>
            </w:r>
          </w:p>
        </w:tc>
        <w:tc>
          <w:tcPr>
            <w:tcW w:w="6100" w:type="dxa"/>
          </w:tcPr>
          <w:p w14:paraId="1A9F9E65" w14:textId="77777777" w:rsidR="000B3649" w:rsidRPr="00C45C5D" w:rsidRDefault="000B3649" w:rsidP="0084327A">
            <w:pPr>
              <w:jc w:val="both"/>
              <w:rPr>
                <w:rFonts w:ascii="Verdana" w:eastAsia="Calibri" w:hAnsi="Verdana" w:cs="Arial"/>
                <w:lang w:val="es-ES" w:eastAsia="es-ES"/>
              </w:rPr>
            </w:pPr>
            <w:r w:rsidRPr="60E75DAC">
              <w:rPr>
                <w:rFonts w:ascii="Verdana" w:eastAsia="Calibri" w:hAnsi="Verdana" w:cs="Arial"/>
                <w:lang w:val="es-ES" w:eastAsia="es-ES"/>
              </w:rPr>
              <w:t>Respuesta a la consulta con radicado No.  1_2025_10_06_011132</w:t>
            </w:r>
          </w:p>
        </w:tc>
      </w:tr>
    </w:tbl>
    <w:p w14:paraId="396B3295" w14:textId="77777777" w:rsidR="000B3649" w:rsidRPr="00C45C5D" w:rsidRDefault="000B3649" w:rsidP="000B3649">
      <w:pPr>
        <w:spacing w:after="0" w:line="240" w:lineRule="auto"/>
        <w:jc w:val="both"/>
        <w:rPr>
          <w:rFonts w:ascii="Verdana" w:eastAsia="Calibri" w:hAnsi="Verdana" w:cs="Arial"/>
          <w:color w:val="000000"/>
          <w:lang w:val="es-ES_tradnl" w:eastAsia="es-ES_tradnl"/>
        </w:rPr>
      </w:pPr>
    </w:p>
    <w:p w14:paraId="60805D5C" w14:textId="77777777" w:rsidR="000B3649" w:rsidRPr="00C45C5D" w:rsidRDefault="000B3649" w:rsidP="000B3649">
      <w:pPr>
        <w:spacing w:after="0" w:line="240" w:lineRule="auto"/>
        <w:jc w:val="both"/>
        <w:rPr>
          <w:rFonts w:ascii="Verdana" w:eastAsia="Calibri" w:hAnsi="Verdana" w:cs="Arial"/>
          <w:color w:val="000000"/>
          <w:lang w:val="es-ES_tradnl" w:eastAsia="es-ES_tradnl"/>
        </w:rPr>
      </w:pPr>
    </w:p>
    <w:p w14:paraId="378A8D74" w14:textId="77777777" w:rsidR="000B3649" w:rsidRPr="00C45C5D" w:rsidRDefault="000B3649" w:rsidP="000B3649">
      <w:pPr>
        <w:spacing w:after="0" w:line="276" w:lineRule="auto"/>
        <w:jc w:val="both"/>
        <w:rPr>
          <w:rFonts w:ascii="Verdana" w:eastAsia="Calibri" w:hAnsi="Verdana" w:cs="Arial"/>
          <w:lang w:val="es-ES" w:eastAsia="es-ES"/>
        </w:rPr>
      </w:pPr>
      <w:r w:rsidRPr="00C45C5D">
        <w:rPr>
          <w:rFonts w:ascii="Verdana" w:eastAsia="Calibri" w:hAnsi="Verdana" w:cs="Arial"/>
          <w:lang w:val="es-ES" w:eastAsia="es-ES"/>
        </w:rPr>
        <w:t>Estimad</w:t>
      </w:r>
      <w:r>
        <w:rPr>
          <w:rFonts w:ascii="Verdana" w:eastAsia="Calibri" w:hAnsi="Verdana" w:cs="Arial"/>
          <w:lang w:val="es-ES" w:eastAsia="es-ES"/>
        </w:rPr>
        <w:t>o</w:t>
      </w:r>
      <w:r w:rsidRPr="00C45C5D">
        <w:rPr>
          <w:rFonts w:ascii="Verdana" w:eastAsia="Calibri" w:hAnsi="Verdana" w:cs="Arial"/>
          <w:lang w:val="es-ES" w:eastAsia="es-ES"/>
        </w:rPr>
        <w:t xml:space="preserve"> señor </w:t>
      </w:r>
      <w:r w:rsidRPr="00943FFE">
        <w:rPr>
          <w:rFonts w:ascii="Verdana" w:eastAsia="Calibri" w:hAnsi="Verdana" w:cs="Arial"/>
          <w:lang w:eastAsia="es-ES"/>
        </w:rPr>
        <w:t>Andrade Soriano</w:t>
      </w:r>
      <w:r w:rsidRPr="00C45C5D">
        <w:rPr>
          <w:rFonts w:ascii="Verdana" w:eastAsia="Calibri" w:hAnsi="Verdana" w:cs="Arial"/>
          <w:lang w:val="es-ES" w:eastAsia="es-ES"/>
        </w:rPr>
        <w:t xml:space="preserve">: </w:t>
      </w:r>
    </w:p>
    <w:p w14:paraId="59617EB8" w14:textId="77777777" w:rsidR="000B3649" w:rsidRPr="00C45C5D" w:rsidRDefault="000B3649" w:rsidP="000B3649">
      <w:pPr>
        <w:tabs>
          <w:tab w:val="left" w:pos="3768"/>
        </w:tabs>
        <w:spacing w:after="0" w:line="276" w:lineRule="auto"/>
        <w:jc w:val="both"/>
        <w:rPr>
          <w:rFonts w:ascii="Verdana" w:eastAsia="Calibri" w:hAnsi="Verdana" w:cs="Arial"/>
          <w:color w:val="000000" w:themeColor="text1"/>
          <w:lang w:val="es-ES" w:eastAsia="es-ES"/>
        </w:rPr>
      </w:pPr>
      <w:r w:rsidRPr="00C45C5D">
        <w:rPr>
          <w:rFonts w:ascii="Verdana" w:eastAsia="Calibri" w:hAnsi="Verdana" w:cs="Arial"/>
          <w:color w:val="000000" w:themeColor="text1"/>
          <w:lang w:val="es-ES" w:eastAsia="es-ES"/>
        </w:rPr>
        <w:tab/>
      </w:r>
    </w:p>
    <w:p w14:paraId="0C47420C" w14:textId="77777777" w:rsidR="000B3649" w:rsidRDefault="000B3649" w:rsidP="000B3649">
      <w:pPr>
        <w:spacing w:after="0" w:line="276" w:lineRule="auto"/>
        <w:jc w:val="both"/>
        <w:rPr>
          <w:rFonts w:ascii="Verdana" w:eastAsia="Calibri" w:hAnsi="Verdana" w:cs="Arial"/>
          <w:lang w:val="es-ES" w:eastAsia="es-ES"/>
        </w:rPr>
      </w:pPr>
      <w:r w:rsidRPr="00C45C5D">
        <w:rPr>
          <w:rFonts w:ascii="Verdana" w:eastAsia="Calibri" w:hAnsi="Verdana" w:cs="Arial"/>
          <w:color w:val="000000" w:themeColor="text1"/>
          <w:lang w:val="es-ES" w:eastAsia="es-ES"/>
        </w:rPr>
        <w:t>En ejercicio de la competencia otorgada por los artículos 3, numeral 5º, y 11, numeral 8º, del Decreto Ley 4170 de 2011,</w:t>
      </w:r>
      <w:r w:rsidRPr="00C45C5D">
        <w:rPr>
          <w:rFonts w:ascii="Verdana" w:eastAsia="Arial MT" w:hAnsi="Verdana" w:cs="Arial MT"/>
          <w:lang w:val="es-ES" w:eastAsia="es-ES"/>
        </w:rPr>
        <w:t xml:space="preserve"> </w:t>
      </w:r>
      <w:r w:rsidRPr="00C45C5D">
        <w:rPr>
          <w:rFonts w:ascii="Verdana" w:hAnsi="Verdana" w:cs="Arial"/>
        </w:rPr>
        <w:t xml:space="preserve">así como lo establecido en el artículo 4 de la Resolución 1707 de 2018 expedida por esta Entidad, </w:t>
      </w:r>
      <w:r w:rsidRPr="00C45C5D">
        <w:rPr>
          <w:rFonts w:ascii="Verdana" w:eastAsia="Calibri" w:hAnsi="Verdana" w:cs="Arial"/>
          <w:color w:val="000000" w:themeColor="text1"/>
          <w:lang w:val="es-ES" w:eastAsia="es-ES"/>
        </w:rPr>
        <w:t xml:space="preserve">la Agencia Nacional de Contratación Pública – Colombia Compra Eficiente responde su solicitud </w:t>
      </w:r>
      <w:r>
        <w:rPr>
          <w:rFonts w:ascii="Verdana" w:eastAsia="Calibri" w:hAnsi="Verdana" w:cs="Arial"/>
          <w:color w:val="000000" w:themeColor="text1"/>
          <w:lang w:val="es-ES" w:eastAsia="es-ES"/>
        </w:rPr>
        <w:t xml:space="preserve">remitida por el Departamento Administrativo de la Función Pública – DAFP </w:t>
      </w:r>
      <w:r w:rsidRPr="00C45C5D">
        <w:rPr>
          <w:rFonts w:ascii="Verdana" w:eastAsia="Calibri" w:hAnsi="Verdana" w:cs="Arial"/>
          <w:color w:val="000000" w:themeColor="text1"/>
          <w:lang w:val="es-ES" w:eastAsia="es-ES"/>
        </w:rPr>
        <w:t xml:space="preserve">el </w:t>
      </w:r>
      <w:r>
        <w:rPr>
          <w:rFonts w:ascii="Verdana" w:eastAsia="Calibri" w:hAnsi="Verdana" w:cs="Arial"/>
          <w:color w:val="000000" w:themeColor="text1"/>
          <w:lang w:val="es-ES" w:eastAsia="es-ES"/>
        </w:rPr>
        <w:t>4</w:t>
      </w:r>
      <w:r w:rsidRPr="00C45C5D">
        <w:rPr>
          <w:rFonts w:ascii="Verdana" w:eastAsia="Calibri" w:hAnsi="Verdana" w:cs="Arial"/>
          <w:lang w:val="es-ES" w:eastAsia="es-ES"/>
        </w:rPr>
        <w:t xml:space="preserve"> de </w:t>
      </w:r>
      <w:r>
        <w:rPr>
          <w:rFonts w:ascii="Verdana" w:eastAsia="Calibri" w:hAnsi="Verdana" w:cs="Arial"/>
          <w:lang w:val="es-ES" w:eastAsia="es-ES"/>
        </w:rPr>
        <w:t>octubre</w:t>
      </w:r>
      <w:r w:rsidRPr="00C45C5D">
        <w:rPr>
          <w:rFonts w:ascii="Verdana" w:eastAsia="Calibri" w:hAnsi="Verdana" w:cs="Arial"/>
          <w:lang w:val="es-ES" w:eastAsia="es-ES"/>
        </w:rPr>
        <w:t xml:space="preserve"> de 2025, en la cual consulta: </w:t>
      </w:r>
      <w:bookmarkStart w:id="2" w:name="_Hlk95313578"/>
    </w:p>
    <w:p w14:paraId="24BD7ABC" w14:textId="77777777" w:rsidR="000B3649" w:rsidRDefault="000B3649" w:rsidP="000B3649">
      <w:pPr>
        <w:spacing w:after="0" w:line="276" w:lineRule="auto"/>
        <w:jc w:val="both"/>
        <w:rPr>
          <w:rFonts w:ascii="Verdana" w:eastAsia="Calibri" w:hAnsi="Verdana" w:cs="Arial"/>
          <w:lang w:val="es-ES" w:eastAsia="es-ES"/>
        </w:rPr>
      </w:pPr>
    </w:p>
    <w:p w14:paraId="141A56DD" w14:textId="77777777" w:rsidR="000B3649" w:rsidRDefault="000B3649" w:rsidP="000B3649">
      <w:pPr>
        <w:spacing w:after="0" w:line="276" w:lineRule="auto"/>
        <w:ind w:left="709" w:right="618"/>
        <w:jc w:val="both"/>
        <w:rPr>
          <w:rFonts w:ascii="Verdana" w:eastAsia="Calibri" w:hAnsi="Verdana" w:cs="Arial"/>
          <w:i/>
          <w:iCs/>
          <w:sz w:val="20"/>
          <w:szCs w:val="20"/>
          <w:lang w:val="es-ES" w:eastAsia="es-ES"/>
        </w:rPr>
      </w:pPr>
      <w:r w:rsidRPr="003B3EB0">
        <w:rPr>
          <w:rFonts w:ascii="Verdana" w:eastAsia="Calibri" w:hAnsi="Verdana" w:cs="Arial"/>
          <w:i/>
          <w:iCs/>
          <w:sz w:val="20"/>
          <w:szCs w:val="20"/>
          <w:lang w:val="es-ES" w:eastAsia="es-ES"/>
        </w:rPr>
        <w:t>“</w:t>
      </w:r>
      <w:bookmarkEnd w:id="2"/>
      <w:r>
        <w:rPr>
          <w:rFonts w:ascii="Verdana" w:eastAsia="Calibri" w:hAnsi="Verdana" w:cs="Arial"/>
          <w:i/>
          <w:iCs/>
          <w:sz w:val="20"/>
          <w:szCs w:val="20"/>
          <w:lang w:val="es-ES" w:eastAsia="es-ES"/>
        </w:rPr>
        <w:t>[…]</w:t>
      </w:r>
    </w:p>
    <w:p w14:paraId="51832A96" w14:textId="77777777" w:rsidR="000B3649" w:rsidRDefault="000B3649" w:rsidP="000B3649">
      <w:pPr>
        <w:spacing w:after="0" w:line="276" w:lineRule="auto"/>
        <w:ind w:left="709" w:right="618"/>
        <w:jc w:val="both"/>
        <w:rPr>
          <w:rFonts w:ascii="Verdana" w:eastAsia="Calibri" w:hAnsi="Verdana" w:cs="Arial"/>
          <w:i/>
          <w:iCs/>
          <w:sz w:val="20"/>
          <w:szCs w:val="20"/>
          <w:lang w:val="es-ES" w:eastAsia="es-ES"/>
        </w:rPr>
      </w:pPr>
    </w:p>
    <w:p w14:paraId="30058F37" w14:textId="77777777" w:rsidR="000B3649" w:rsidRDefault="000B3649" w:rsidP="000B3649">
      <w:pPr>
        <w:spacing w:after="0" w:line="276" w:lineRule="auto"/>
        <w:ind w:left="709" w:right="618"/>
        <w:jc w:val="both"/>
        <w:rPr>
          <w:rFonts w:ascii="Verdana" w:eastAsia="Calibri" w:hAnsi="Verdana" w:cs="Arial"/>
          <w:i/>
          <w:iCs/>
          <w:sz w:val="20"/>
          <w:szCs w:val="20"/>
          <w:lang w:eastAsia="es-ES"/>
        </w:rPr>
      </w:pPr>
      <w:r w:rsidRPr="00296CD1">
        <w:rPr>
          <w:rFonts w:ascii="Verdana" w:eastAsia="Calibri" w:hAnsi="Verdana" w:cs="Arial"/>
          <w:i/>
          <w:iCs/>
          <w:sz w:val="20"/>
          <w:szCs w:val="20"/>
          <w:lang w:eastAsia="es-ES"/>
        </w:rPr>
        <w:t xml:space="preserve">¿Es jurídicamente procedente que un abogado sea contratado mediante contrato de prestación de servicios profesionales por la Administración Municipal (Alcaldía) y, de manera paralela y simultánea, por el Concejo Municipal del mismo municipio para prestar servicios profesionales? </w:t>
      </w:r>
    </w:p>
    <w:p w14:paraId="6053F8D6" w14:textId="77777777" w:rsidR="000B3649" w:rsidRDefault="000B3649" w:rsidP="000B3649">
      <w:pPr>
        <w:spacing w:after="0" w:line="276" w:lineRule="auto"/>
        <w:ind w:left="709" w:right="618"/>
        <w:jc w:val="both"/>
        <w:rPr>
          <w:rFonts w:ascii="Verdana" w:eastAsia="Calibri" w:hAnsi="Verdana" w:cs="Arial"/>
          <w:i/>
          <w:iCs/>
          <w:sz w:val="20"/>
          <w:szCs w:val="20"/>
          <w:lang w:eastAsia="es-ES"/>
        </w:rPr>
      </w:pPr>
    </w:p>
    <w:p w14:paraId="107E0B01" w14:textId="77777777" w:rsidR="000B3649" w:rsidRDefault="000B3649" w:rsidP="000B3649">
      <w:pPr>
        <w:spacing w:after="0" w:line="276" w:lineRule="auto"/>
        <w:ind w:left="709" w:right="618"/>
        <w:jc w:val="both"/>
        <w:rPr>
          <w:rFonts w:ascii="Verdana" w:eastAsia="Calibri" w:hAnsi="Verdana" w:cs="Arial"/>
          <w:i/>
          <w:iCs/>
          <w:sz w:val="20"/>
          <w:szCs w:val="20"/>
          <w:lang w:eastAsia="es-ES"/>
        </w:rPr>
      </w:pPr>
      <w:r w:rsidRPr="00296CD1">
        <w:rPr>
          <w:rFonts w:ascii="Verdana" w:eastAsia="Calibri" w:hAnsi="Verdana" w:cs="Arial"/>
          <w:i/>
          <w:iCs/>
          <w:sz w:val="20"/>
          <w:szCs w:val="20"/>
          <w:lang w:eastAsia="es-ES"/>
        </w:rPr>
        <w:t xml:space="preserve">En caso afirmativo, se solicita precisar: Los requisitos o condiciones que deben cumplirse para garantizar la legalidad de dicha doble contratación. Si existe algún tipo de inhabilidad, incompatibilidad o restricción aplicable a este tipo de vinculación contractual. </w:t>
      </w:r>
    </w:p>
    <w:p w14:paraId="4E78CFFF" w14:textId="77777777" w:rsidR="000B3649" w:rsidRDefault="000B3649" w:rsidP="000B3649">
      <w:pPr>
        <w:spacing w:after="0" w:line="276" w:lineRule="auto"/>
        <w:ind w:left="709" w:right="618"/>
        <w:jc w:val="both"/>
        <w:rPr>
          <w:rFonts w:ascii="Verdana" w:eastAsia="Calibri" w:hAnsi="Verdana" w:cs="Arial"/>
          <w:i/>
          <w:iCs/>
          <w:sz w:val="20"/>
          <w:szCs w:val="20"/>
          <w:lang w:eastAsia="es-ES"/>
        </w:rPr>
      </w:pPr>
      <w:r w:rsidRPr="00296CD1">
        <w:rPr>
          <w:rFonts w:ascii="Verdana" w:eastAsia="Calibri" w:hAnsi="Verdana" w:cs="Arial"/>
          <w:i/>
          <w:iCs/>
          <w:sz w:val="20"/>
          <w:szCs w:val="20"/>
          <w:lang w:eastAsia="es-ES"/>
        </w:rPr>
        <w:t>En caso negativo, se solicita indicar las disposiciones legales, reglamentarias o conceptuales que fundamentan la imposibilidad de este tipo de contratación, así como las alternativas que se podrían implementar para garantizar la asesoría jurídica tanto a la administración municipal como al concejo municipal sin incurrir en irregularidades.</w:t>
      </w:r>
      <w:r>
        <w:rPr>
          <w:rFonts w:ascii="Verdana" w:eastAsia="Calibri" w:hAnsi="Verdana" w:cs="Arial"/>
          <w:i/>
          <w:iCs/>
          <w:sz w:val="20"/>
          <w:szCs w:val="20"/>
          <w:lang w:val="es-ES" w:eastAsia="es-ES"/>
        </w:rPr>
        <w:t>”</w:t>
      </w:r>
    </w:p>
    <w:p w14:paraId="0BD0510B" w14:textId="77777777" w:rsidR="000B3649" w:rsidRPr="003B3EB0" w:rsidRDefault="000B3649" w:rsidP="000B3649">
      <w:pPr>
        <w:spacing w:after="0" w:line="276" w:lineRule="auto"/>
        <w:ind w:left="709" w:right="618"/>
        <w:jc w:val="both"/>
        <w:rPr>
          <w:rFonts w:ascii="Verdana" w:eastAsia="Calibri" w:hAnsi="Verdana" w:cs="Arial"/>
          <w:sz w:val="20"/>
          <w:szCs w:val="20"/>
          <w:lang w:val="es-ES" w:eastAsia="es-ES"/>
        </w:rPr>
      </w:pPr>
    </w:p>
    <w:p w14:paraId="51C1B995" w14:textId="77777777" w:rsidR="000B3649" w:rsidRPr="00C45C5D" w:rsidRDefault="000B3649" w:rsidP="000B3649">
      <w:pPr>
        <w:spacing w:after="12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45C5D">
        <w:rPr>
          <w:rFonts w:ascii="Verdana" w:eastAsia="Calibri" w:hAnsi="Verdana" w:cs="Arial"/>
          <w:color w:val="000000"/>
          <w:szCs w:val="24"/>
          <w:lang w:val="es-ES_tradnl" w:eastAsia="es-ES_tradnl"/>
        </w:rPr>
        <w:tab/>
      </w:r>
    </w:p>
    <w:p w14:paraId="0FF977E0" w14:textId="77777777" w:rsidR="000B3649" w:rsidRPr="00C45C5D" w:rsidRDefault="000B3649" w:rsidP="000B3649">
      <w:pPr>
        <w:spacing w:after="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problema</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jurídico</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 xml:space="preserve">de su consulta. </w:t>
      </w:r>
    </w:p>
    <w:p w14:paraId="707891AE" w14:textId="77777777" w:rsidR="000B3649" w:rsidRPr="00C45C5D" w:rsidRDefault="000B3649" w:rsidP="000B3649">
      <w:pPr>
        <w:spacing w:after="0" w:line="276" w:lineRule="auto"/>
        <w:ind w:firstLine="709"/>
        <w:jc w:val="both"/>
        <w:rPr>
          <w:rFonts w:ascii="Verdana" w:eastAsia="Calibri" w:hAnsi="Verdana" w:cs="Arial"/>
          <w:color w:val="000000"/>
          <w:lang w:val="es-ES" w:eastAsia="es-ES"/>
        </w:rPr>
      </w:pPr>
    </w:p>
    <w:p w14:paraId="5C79C116" w14:textId="77777777" w:rsidR="000B3649" w:rsidRPr="00C45C5D" w:rsidRDefault="000B3649" w:rsidP="000B3649">
      <w:pPr>
        <w:numPr>
          <w:ilvl w:val="0"/>
          <w:numId w:val="2"/>
        </w:numPr>
        <w:tabs>
          <w:tab w:val="left" w:pos="142"/>
          <w:tab w:val="left" w:pos="284"/>
        </w:tabs>
        <w:spacing w:after="0" w:line="276" w:lineRule="auto"/>
        <w:contextualSpacing/>
        <w:jc w:val="both"/>
        <w:rPr>
          <w:rFonts w:ascii="Verdana" w:eastAsia="Century Gothic" w:hAnsi="Verdana" w:cs="Century Gothic"/>
          <w:b/>
          <w:bCs/>
          <w:lang w:val="es-ES"/>
        </w:rPr>
      </w:pPr>
      <w:r w:rsidRPr="00C45C5D">
        <w:rPr>
          <w:rFonts w:ascii="Verdana" w:eastAsia="Century Gothic" w:hAnsi="Verdana" w:cs="Century Gothic"/>
          <w:b/>
          <w:bCs/>
          <w:lang w:val="es-ES"/>
        </w:rPr>
        <w:t>Problemas planteados:</w:t>
      </w:r>
    </w:p>
    <w:p w14:paraId="45F15304" w14:textId="77777777" w:rsidR="000B3649" w:rsidRPr="00C45C5D" w:rsidRDefault="000B3649" w:rsidP="000B3649">
      <w:pPr>
        <w:tabs>
          <w:tab w:val="left" w:pos="426"/>
        </w:tabs>
        <w:spacing w:after="0" w:line="276" w:lineRule="auto"/>
        <w:jc w:val="both"/>
        <w:rPr>
          <w:rFonts w:ascii="Verdana" w:eastAsia="Century Gothic" w:hAnsi="Verdana" w:cs="Century Gothic"/>
          <w:lang w:val="es-ES"/>
        </w:rPr>
      </w:pPr>
    </w:p>
    <w:p w14:paraId="560A9B1E" w14:textId="77777777" w:rsidR="000B3649" w:rsidRDefault="000B3649" w:rsidP="000B3649">
      <w:pPr>
        <w:spacing w:after="0" w:line="276" w:lineRule="auto"/>
        <w:jc w:val="both"/>
        <w:rPr>
          <w:rFonts w:ascii="Verdana" w:hAnsi="Verdana"/>
        </w:rPr>
      </w:pPr>
      <w:r w:rsidRPr="00C45C5D">
        <w:rPr>
          <w:rFonts w:ascii="Verdana" w:eastAsia="Century Gothic" w:hAnsi="Verdana" w:cs="Century Gothic"/>
        </w:rPr>
        <w:t xml:space="preserve">De acuerdo con el contenido de su solicitud, esta Agencia resolverá el siguiente problema jurídico: </w:t>
      </w:r>
      <w:r>
        <w:rPr>
          <w:rFonts w:ascii="Verdana" w:hAnsi="Verdana"/>
        </w:rPr>
        <w:t xml:space="preserve">¿Se configura alguna causal de inhabilidad e incompatibilidad, o conflicto de intereses que impida la coexistencia y simultaneidad de contratos de prestación de servicios </w:t>
      </w:r>
      <w:r w:rsidRPr="00817FAC">
        <w:rPr>
          <w:rFonts w:ascii="Verdana" w:hAnsi="Verdana"/>
        </w:rPr>
        <w:t>con dos órganos del mismo ente territorial —la Alcaldía y el Concejo Municipal—</w:t>
      </w:r>
      <w:r>
        <w:rPr>
          <w:rFonts w:ascii="Verdana" w:hAnsi="Verdana"/>
        </w:rPr>
        <w:t>?</w:t>
      </w:r>
    </w:p>
    <w:p w14:paraId="6FED9F7E" w14:textId="77777777" w:rsidR="000B3649" w:rsidRPr="00C45C5D" w:rsidRDefault="000B3649" w:rsidP="000B3649">
      <w:pPr>
        <w:spacing w:after="0" w:line="276" w:lineRule="auto"/>
        <w:jc w:val="both"/>
        <w:rPr>
          <w:rFonts w:ascii="Verdana" w:eastAsia="Calibri" w:hAnsi="Verdana" w:cs="Arial"/>
          <w:color w:val="7030A0"/>
        </w:rPr>
      </w:pPr>
    </w:p>
    <w:p w14:paraId="0A0C9D90" w14:textId="77777777" w:rsidR="000B3649" w:rsidRPr="00C45C5D" w:rsidRDefault="000B3649" w:rsidP="000B3649">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Respuestas:</w:t>
      </w:r>
    </w:p>
    <w:p w14:paraId="2105494C" w14:textId="77777777" w:rsidR="000B3649" w:rsidRPr="00C45C5D" w:rsidRDefault="000B3649" w:rsidP="000B364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3649" w:rsidRPr="00C45C5D" w14:paraId="41F5F55E" w14:textId="77777777" w:rsidTr="0084327A">
        <w:trPr>
          <w:jc w:val="center"/>
        </w:trPr>
        <w:tc>
          <w:tcPr>
            <w:tcW w:w="8828" w:type="dxa"/>
          </w:tcPr>
          <w:p w14:paraId="62D9B3FC" w14:textId="77777777" w:rsidR="000B3649" w:rsidRDefault="000B3649" w:rsidP="0084327A">
            <w:pPr>
              <w:spacing w:after="120" w:line="276" w:lineRule="auto"/>
              <w:jc w:val="both"/>
              <w:rPr>
                <w:rFonts w:ascii="Verdana" w:eastAsia="Arial MT" w:hAnsi="Verdana" w:cs="Arial"/>
                <w:lang w:eastAsia="es-ES" w:bidi="es-ES"/>
              </w:rPr>
            </w:pPr>
            <w:bookmarkStart w:id="3" w:name="_Hlk171694685"/>
            <w:r w:rsidRPr="00E15E22">
              <w:rPr>
                <w:rFonts w:ascii="Verdana" w:eastAsia="Arial MT" w:hAnsi="Verdana" w:cs="Arial"/>
                <w:lang w:eastAsia="es-ES" w:bidi="es-ES"/>
              </w:rPr>
              <w:t>No existe restricción de orden legal o reglamentario, ni causal de inhabilidad o incompatibilidad que prohíba que un mismo profesional celebre contratos de prestación de servicios de manera simultánea con la Alcaldía Municipal y con el Concejo Municipal, ni se limita su capacidad jurídica por ejecutar servicios en ambos órganos a través de contratos distintos y concomitantes, aun cuando entre ellos exista una relación funcional o administrativa derivada de su pertenencia al mismo ente territorial.</w:t>
            </w:r>
          </w:p>
          <w:p w14:paraId="54DAC068" w14:textId="77777777" w:rsidR="000B3649" w:rsidRDefault="000B3649" w:rsidP="0084327A">
            <w:pPr>
              <w:spacing w:after="120" w:line="276" w:lineRule="auto"/>
              <w:ind w:firstLine="743"/>
              <w:jc w:val="both"/>
              <w:rPr>
                <w:rFonts w:ascii="Verdana" w:eastAsia="Arial MT" w:hAnsi="Verdana" w:cs="Arial"/>
                <w:lang w:eastAsia="es-ES" w:bidi="es-ES"/>
              </w:rPr>
            </w:pPr>
            <w:r w:rsidRPr="00A711E0">
              <w:rPr>
                <w:rFonts w:ascii="Verdana" w:eastAsia="Arial MT" w:hAnsi="Verdana" w:cs="Arial"/>
                <w:lang w:eastAsia="es-ES" w:bidi="es-ES"/>
              </w:rPr>
              <w:t>Sin embargo, la entidad contratante deberá identificar cualquier conducta que pueda llegar a tener la connotación de un conflicto de interés, derivado de la concurrencia de intereses antagónicos en el contratista que presta sus servicios en una y otra entidad, y que afecten la transparencia de las decisiones que le competen o lo lleven a adoptar determinaciones orientadas al aprovechamiento personal, familiar o particular, en detrimento del interés público.</w:t>
            </w:r>
          </w:p>
          <w:p w14:paraId="67144B44" w14:textId="77777777" w:rsidR="000B3649" w:rsidRDefault="000B3649" w:rsidP="0084327A">
            <w:pPr>
              <w:spacing w:after="120" w:line="276" w:lineRule="auto"/>
              <w:ind w:firstLine="743"/>
              <w:jc w:val="both"/>
              <w:rPr>
                <w:rFonts w:ascii="Verdana" w:eastAsia="Arial MT" w:hAnsi="Verdana" w:cs="Arial"/>
                <w:lang w:eastAsia="es-ES" w:bidi="es-ES"/>
              </w:rPr>
            </w:pPr>
            <w:r w:rsidRPr="00A711E0">
              <w:rPr>
                <w:rFonts w:ascii="Verdana" w:eastAsia="Arial MT" w:hAnsi="Verdana" w:cs="Arial"/>
                <w:lang w:eastAsia="es-ES" w:bidi="es-ES"/>
              </w:rPr>
              <w:t>Tales situaciones de conflicto de intereses suelen expresarse en prohibiciones, de manera similar a lo que ocurre con las inhabilidades e incompatibilidades. Por ello, su consagración —en el caso de los procesos competitivos, a través del pliego de condiciones y de la minuta contractual— debe ser expresa, y su interpretación necesariamente restrictiva. En consecuencia, su deducción y aplicación debe ajustarse a los presupuestos establecidos por el constituyente o el legislador (para las inhabilidades e incompatibilidades) y por la entidad contratante (para los conflictos de intereses), razón por la cual no es posible una aplicación extensiva o analógica.</w:t>
            </w:r>
            <w:r>
              <w:rPr>
                <w:rFonts w:ascii="Verdana" w:eastAsia="Arial MT" w:hAnsi="Verdana" w:cs="Arial"/>
                <w:lang w:eastAsia="es-ES" w:bidi="es-ES"/>
              </w:rPr>
              <w:t xml:space="preserve"> </w:t>
            </w:r>
          </w:p>
          <w:p w14:paraId="109868B7" w14:textId="77777777" w:rsidR="000B3649" w:rsidRPr="00A70EA6" w:rsidRDefault="000B3649" w:rsidP="0084327A">
            <w:pPr>
              <w:spacing w:after="120" w:line="276" w:lineRule="auto"/>
              <w:ind w:firstLine="743"/>
              <w:jc w:val="both"/>
              <w:rPr>
                <w:rFonts w:ascii="Verdana" w:eastAsia="Arial MT" w:hAnsi="Verdana" w:cs="Arial"/>
                <w:lang w:eastAsia="es-ES" w:bidi="es-ES"/>
              </w:rPr>
            </w:pPr>
            <w:r w:rsidRPr="00DF123D">
              <w:rPr>
                <w:rFonts w:ascii="Verdana" w:eastAsia="Calibri" w:hAnsi="Verdana" w:cs="Arial"/>
              </w:rPr>
              <w:t>En ese sentido, únicamente es posible aplicar las causales de conflicto de interés que se encuentren tipificadas y que hayan sido expresamente establecidas en los estudios previos, en el pliego de condiciones o en el contrato. Por tanto, corresponde a cada entidad estatal —en este caso, tanto a la Alcaldía como al Concejo Municipal— verificar en el caso concreto si la naturaleza de las funciones asignadas al contratista en ambos contratos configura alguno de los conflictos de interés definidos en sus propios instrumentos contractuales.</w:t>
            </w:r>
            <w:r>
              <w:rPr>
                <w:rFonts w:ascii="Verdana" w:eastAsia="Century Gothic" w:hAnsi="Verdana" w:cs="Century Gothic"/>
                <w:bCs/>
              </w:rPr>
              <w:t xml:space="preserve"> </w:t>
            </w:r>
          </w:p>
        </w:tc>
      </w:tr>
    </w:tbl>
    <w:p w14:paraId="13D2FC88" w14:textId="77777777" w:rsidR="000B3649" w:rsidRPr="00C45C5D" w:rsidRDefault="000B3649" w:rsidP="000B3649">
      <w:pPr>
        <w:tabs>
          <w:tab w:val="left" w:pos="142"/>
          <w:tab w:val="left" w:pos="284"/>
        </w:tabs>
        <w:spacing w:after="0" w:line="276" w:lineRule="auto"/>
        <w:jc w:val="both"/>
        <w:rPr>
          <w:rFonts w:ascii="Verdana" w:eastAsia="Century Gothic" w:hAnsi="Verdana" w:cs="Century Gothic"/>
          <w:b/>
          <w:bCs/>
          <w:lang w:val="es-ES"/>
        </w:rPr>
      </w:pPr>
    </w:p>
    <w:bookmarkEnd w:id="3"/>
    <w:p w14:paraId="202E97AB" w14:textId="77777777" w:rsidR="000B3649" w:rsidRPr="00C45C5D" w:rsidRDefault="000B3649" w:rsidP="000B3649">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Razones de las respuestas:</w:t>
      </w:r>
    </w:p>
    <w:p w14:paraId="367D3FAE" w14:textId="77777777" w:rsidR="000B3649" w:rsidRPr="00C45C5D" w:rsidRDefault="000B3649" w:rsidP="000B3649">
      <w:pPr>
        <w:spacing w:after="0" w:line="276" w:lineRule="auto"/>
        <w:jc w:val="both"/>
        <w:rPr>
          <w:rFonts w:ascii="Verdana" w:eastAsia="Calibri" w:hAnsi="Verdana" w:cs="Arial"/>
          <w:color w:val="7030A0"/>
          <w:lang w:val="es-ES"/>
        </w:rPr>
      </w:pPr>
    </w:p>
    <w:p w14:paraId="7E00D7C4" w14:textId="77777777" w:rsidR="000B3649" w:rsidRDefault="000B3649" w:rsidP="000B3649">
      <w:pPr>
        <w:spacing w:after="0" w:line="276" w:lineRule="auto"/>
        <w:jc w:val="both"/>
        <w:rPr>
          <w:rFonts w:ascii="Verdana" w:eastAsia="Calibri" w:hAnsi="Verdana" w:cs="Arial"/>
          <w:lang w:val="es-ES"/>
        </w:rPr>
      </w:pPr>
      <w:r w:rsidRPr="00C45C5D">
        <w:rPr>
          <w:rFonts w:ascii="Verdana" w:eastAsia="Calibri" w:hAnsi="Verdana" w:cs="Arial"/>
          <w:lang w:val="es-ES"/>
        </w:rPr>
        <w:t>Lo anterior se sustenta en las siguientes consideraciones:</w:t>
      </w:r>
    </w:p>
    <w:p w14:paraId="01626714" w14:textId="77777777" w:rsidR="000B3649" w:rsidRDefault="000B3649" w:rsidP="000B3649">
      <w:pPr>
        <w:spacing w:after="0" w:line="276" w:lineRule="auto"/>
        <w:jc w:val="both"/>
        <w:rPr>
          <w:rFonts w:ascii="Verdana" w:eastAsia="Calibri" w:hAnsi="Verdana" w:cs="Arial"/>
          <w:lang w:val="es-ES"/>
        </w:rPr>
      </w:pPr>
    </w:p>
    <w:p w14:paraId="37191AE5" w14:textId="77777777" w:rsidR="000B3649" w:rsidRPr="006530B9" w:rsidRDefault="000B3649" w:rsidP="000B3649">
      <w:pPr>
        <w:spacing w:after="120" w:line="276" w:lineRule="auto"/>
        <w:jc w:val="both"/>
        <w:rPr>
          <w:rFonts w:ascii="Verdana" w:eastAsia="Calibri" w:hAnsi="Verdana" w:cs="Arial"/>
          <w:color w:val="000000" w:themeColor="text1"/>
        </w:rPr>
      </w:pPr>
      <w:r w:rsidRPr="00135CB1">
        <w:rPr>
          <w:rFonts w:ascii="Verdana" w:eastAsia="Calibri" w:hAnsi="Verdana" w:cs="Arial"/>
          <w:color w:val="000000" w:themeColor="text1"/>
          <w:lang w:val="es-ES_tradnl"/>
        </w:rPr>
        <w:t xml:space="preserve">En la contratación estatal, la </w:t>
      </w:r>
      <w:r w:rsidRPr="00135CB1">
        <w:rPr>
          <w:rFonts w:ascii="Verdana" w:eastAsia="Calibri" w:hAnsi="Verdana" w:cs="Arial"/>
          <w:i/>
          <w:iCs/>
          <w:color w:val="000000" w:themeColor="text1"/>
          <w:lang w:val="es-ES_tradnl"/>
        </w:rPr>
        <w:t>capacidad</w:t>
      </w:r>
      <w:r w:rsidRPr="00135CB1">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135CB1">
        <w:rPr>
          <w:rFonts w:ascii="Verdana" w:eastAsia="Calibri" w:hAnsi="Verdana" w:cs="Arial"/>
          <w:color w:val="000000" w:themeColor="text1"/>
          <w:vertAlign w:val="superscript"/>
          <w:lang w:val="es-ES_tradnl"/>
        </w:rPr>
        <w:footnoteReference w:id="1"/>
      </w:r>
      <w:r w:rsidRPr="00135CB1">
        <w:rPr>
          <w:rFonts w:ascii="Verdana" w:eastAsia="Calibri" w:hAnsi="Verdana" w:cs="Arial"/>
          <w:color w:val="000000" w:themeColor="text1"/>
          <w:lang w:val="es-ES_tradnl"/>
        </w:rPr>
        <w:t xml:space="preserve"> como en el de las entidades exceptuadas de aquel</w:t>
      </w:r>
      <w:r w:rsidRPr="00135CB1">
        <w:rPr>
          <w:rFonts w:ascii="Verdana" w:eastAsia="Calibri" w:hAnsi="Verdana" w:cs="Arial"/>
          <w:color w:val="000000" w:themeColor="text1"/>
          <w:vertAlign w:val="superscript"/>
          <w:lang w:val="es-ES_tradnl"/>
        </w:rPr>
        <w:footnoteReference w:id="2"/>
      </w:r>
      <w:r w:rsidRPr="00135CB1">
        <w:rPr>
          <w:rFonts w:ascii="Verdana" w:eastAsia="Calibri" w:hAnsi="Verdana" w:cs="Arial"/>
          <w:color w:val="000000" w:themeColor="text1"/>
          <w:lang w:val="es-ES_tradnl"/>
        </w:rPr>
        <w:t xml:space="preserve">. </w:t>
      </w: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vertAlign w:val="superscript"/>
          <w:lang w:val="es-ES_tradnl"/>
        </w:rPr>
        <w:footnoteReference w:id="3"/>
      </w:r>
      <w:r w:rsidRPr="00135CB1">
        <w:rPr>
          <w:rFonts w:ascii="Verdana" w:eastAsia="Calibri" w:hAnsi="Verdana" w:cs="Arial"/>
          <w:color w:val="000000" w:themeColor="text1"/>
          <w:lang w:val="es-ES_tradnl"/>
        </w:rPr>
        <w:t>.</w:t>
      </w:r>
    </w:p>
    <w:p w14:paraId="5929989C" w14:textId="77777777" w:rsidR="000B3649" w:rsidRPr="00135CB1" w:rsidRDefault="000B3649" w:rsidP="000B3649">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135CB1">
        <w:rPr>
          <w:rFonts w:ascii="Verdana" w:eastAsia="Calibri" w:hAnsi="Verdana" w:cs="Arial"/>
          <w:color w:val="000000" w:themeColor="text1"/>
          <w:vertAlign w:val="superscript"/>
          <w:lang w:val="es-ES"/>
        </w:rPr>
        <w:footnoteReference w:id="4"/>
      </w:r>
      <w:r w:rsidRPr="00135CB1">
        <w:rPr>
          <w:rFonts w:ascii="Verdana" w:eastAsia="Calibri" w:hAnsi="Verdana" w:cs="Arial"/>
          <w:color w:val="000000" w:themeColor="text1"/>
          <w:lang w:val="es-ES"/>
        </w:rPr>
        <w:t xml:space="preserve">, ii) de </w:t>
      </w:r>
      <w:r w:rsidRPr="00135CB1">
        <w:rPr>
          <w:rFonts w:ascii="Verdana" w:eastAsia="Calibri" w:hAnsi="Verdana" w:cs="Arial"/>
          <w:color w:val="000000" w:themeColor="text1"/>
          <w:lang w:val="es-ES"/>
        </w:rPr>
        <w:lastRenderedPageBreak/>
        <w:t>vínculos personales relativos al parentesco o al estado civil</w:t>
      </w:r>
      <w:r w:rsidRPr="00135CB1">
        <w:rPr>
          <w:rFonts w:ascii="Verdana" w:eastAsia="Calibri" w:hAnsi="Verdana" w:cs="Arial"/>
          <w:color w:val="000000" w:themeColor="text1"/>
          <w:vertAlign w:val="superscript"/>
          <w:lang w:val="es-ES"/>
        </w:rPr>
        <w:footnoteReference w:id="5"/>
      </w:r>
      <w:r w:rsidRPr="00135CB1">
        <w:rPr>
          <w:rFonts w:ascii="Verdana" w:eastAsia="Calibri" w:hAnsi="Verdana" w:cs="Arial"/>
          <w:color w:val="000000" w:themeColor="text1"/>
          <w:lang w:val="es-ES"/>
        </w:rPr>
        <w:t xml:space="preserve"> o iii) de una actividad u oficio que se desempeñó en el pasado</w:t>
      </w:r>
      <w:r w:rsidRPr="00135CB1">
        <w:rPr>
          <w:rFonts w:ascii="Verdana" w:eastAsia="Calibri" w:hAnsi="Verdana" w:cs="Arial"/>
          <w:color w:val="000000" w:themeColor="text1"/>
          <w:vertAlign w:val="superscript"/>
          <w:lang w:val="es-ES"/>
        </w:rPr>
        <w:footnoteReference w:id="6"/>
      </w:r>
      <w:r w:rsidRPr="00135CB1">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7"/>
      </w:r>
      <w:r w:rsidRPr="00135CB1">
        <w:rPr>
          <w:rFonts w:ascii="Verdana" w:eastAsia="Calibri" w:hAnsi="Verdana" w:cs="Arial"/>
          <w:color w:val="000000" w:themeColor="text1"/>
          <w:lang w:val="es-ES"/>
        </w:rPr>
        <w:t xml:space="preserve">. </w:t>
      </w:r>
    </w:p>
    <w:p w14:paraId="2BD080AD" w14:textId="77777777" w:rsidR="000B3649" w:rsidRPr="00135CB1" w:rsidRDefault="000B3649" w:rsidP="000B3649">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lastRenderedPageBreak/>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que,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t>“</w:t>
      </w:r>
      <w:r w:rsidRPr="00135CB1">
        <w:rPr>
          <w:rFonts w:ascii="Verdana" w:eastAsia="Calibri" w:hAnsi="Verdana" w:cs="Arial"/>
          <w:color w:val="000000" w:themeColor="text1"/>
          <w:lang w:val="es-ES"/>
        </w:rPr>
        <w:t>neopunitivo</w:t>
      </w:r>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8"/>
      </w:r>
      <w:r w:rsidRPr="00135CB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78E524D1" w14:textId="77777777" w:rsidR="000B3649" w:rsidRPr="00135CB1" w:rsidRDefault="000B3649" w:rsidP="000B3649">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9"/>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09C25A11" w14:textId="77777777" w:rsidR="000B3649" w:rsidRDefault="000B3649" w:rsidP="000B3649">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w:t>
      </w:r>
      <w:r>
        <w:rPr>
          <w:rFonts w:ascii="Verdana" w:eastAsia="Calibri" w:hAnsi="Verdana" w:cs="Arial"/>
          <w:color w:val="000000" w:themeColor="text1"/>
          <w:lang w:val="es-ES_tradnl"/>
        </w:rPr>
        <w:t xml:space="preserve"> o</w:t>
      </w:r>
      <w:r w:rsidRPr="00135CB1">
        <w:rPr>
          <w:rFonts w:ascii="Verdana" w:eastAsia="Calibri" w:hAnsi="Verdana" w:cs="Arial"/>
          <w:color w:val="000000" w:themeColor="text1"/>
          <w:lang w:val="es-ES_tradnl"/>
        </w:rPr>
        <w:t xml:space="preserve"> la interpretación </w:t>
      </w:r>
      <w:r w:rsidRPr="00135CB1">
        <w:rPr>
          <w:rFonts w:ascii="Verdana" w:eastAsia="Calibri" w:hAnsi="Verdana" w:cs="Arial"/>
          <w:color w:val="000000" w:themeColor="text1"/>
          <w:lang w:val="es-ES_tradnl"/>
        </w:rPr>
        <w:lastRenderedPageBreak/>
        <w:t>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0"/>
      </w:r>
      <w:r w:rsidRPr="00135CB1">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1"/>
      </w:r>
      <w:r w:rsidRPr="00135CB1">
        <w:rPr>
          <w:rFonts w:ascii="Verdana" w:eastAsia="Calibri" w:hAnsi="Verdana" w:cs="Arial"/>
          <w:color w:val="000000" w:themeColor="text1"/>
          <w:lang w:val="es-ES_tradnl"/>
        </w:rPr>
        <w:t>. En tal sentido, la Sección Tercera ha señalado que:</w:t>
      </w:r>
    </w:p>
    <w:p w14:paraId="000606A3" w14:textId="77777777" w:rsidR="000B3649" w:rsidRPr="00135CB1" w:rsidRDefault="000B3649" w:rsidP="000B3649">
      <w:pPr>
        <w:spacing w:after="0" w:line="276" w:lineRule="auto"/>
        <w:ind w:firstLine="709"/>
        <w:rPr>
          <w:rFonts w:ascii="Verdana" w:eastAsia="Calibri" w:hAnsi="Verdana" w:cs="Arial"/>
          <w:color w:val="000000" w:themeColor="text1"/>
          <w:lang w:val="es-ES_tradnl"/>
        </w:rPr>
      </w:pPr>
    </w:p>
    <w:p w14:paraId="02394122" w14:textId="77777777" w:rsidR="000B3649" w:rsidRDefault="000B3649" w:rsidP="000B3649">
      <w:pPr>
        <w:spacing w:after="0"/>
        <w:ind w:left="709" w:right="709"/>
        <w:jc w:val="both"/>
        <w:rPr>
          <w:rFonts w:ascii="Verdana" w:hAnsi="Verdana" w:cs="Arial"/>
          <w:color w:val="000000" w:themeColor="text1"/>
          <w:sz w:val="21"/>
          <w:szCs w:val="21"/>
          <w:lang w:val="es-ES_tradnl"/>
        </w:rPr>
      </w:pPr>
      <w:r w:rsidRPr="00135CB1">
        <w:rPr>
          <w:rFonts w:ascii="Verdana" w:hAnsi="Verdana" w:cs="Arial"/>
          <w:color w:val="000000" w:themeColor="text1"/>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35CB1">
        <w:rPr>
          <w:rFonts w:ascii="Verdana" w:hAnsi="Verdana" w:cs="Arial"/>
          <w:color w:val="000000" w:themeColor="text1"/>
          <w:sz w:val="21"/>
          <w:szCs w:val="21"/>
          <w:vertAlign w:val="superscript"/>
          <w:lang w:val="es-ES_tradnl"/>
        </w:rPr>
        <w:footnoteReference w:id="12"/>
      </w:r>
      <w:r w:rsidRPr="00135CB1">
        <w:rPr>
          <w:rFonts w:ascii="Verdana" w:hAnsi="Verdana" w:cs="Arial"/>
          <w:color w:val="000000" w:themeColor="text1"/>
          <w:sz w:val="21"/>
          <w:szCs w:val="21"/>
          <w:lang w:val="es-ES_tradnl"/>
        </w:rPr>
        <w:t>.</w:t>
      </w:r>
    </w:p>
    <w:p w14:paraId="69846561" w14:textId="77777777" w:rsidR="000B3649" w:rsidRPr="00135CB1" w:rsidRDefault="000B3649" w:rsidP="000B3649">
      <w:pPr>
        <w:spacing w:after="0"/>
        <w:ind w:left="709" w:right="709"/>
        <w:jc w:val="both"/>
        <w:rPr>
          <w:rFonts w:ascii="Verdana" w:hAnsi="Verdana" w:cs="Arial"/>
          <w:bCs/>
          <w:color w:val="000000" w:themeColor="text1"/>
          <w:sz w:val="21"/>
          <w:szCs w:val="21"/>
          <w:lang w:val="es-ES_tradnl"/>
        </w:rPr>
      </w:pPr>
    </w:p>
    <w:p w14:paraId="1732324C" w14:textId="77777777" w:rsidR="000B3649" w:rsidRPr="00135CB1" w:rsidRDefault="000B3649" w:rsidP="000B3649">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También ha dicho que:</w:t>
      </w:r>
    </w:p>
    <w:p w14:paraId="7BC038C4" w14:textId="77777777" w:rsidR="000B3649" w:rsidRPr="00135CB1" w:rsidRDefault="000B3649" w:rsidP="000B3649">
      <w:pPr>
        <w:spacing w:after="0"/>
        <w:ind w:firstLine="709"/>
        <w:jc w:val="both"/>
        <w:rPr>
          <w:rFonts w:ascii="Verdana" w:eastAsia="Calibri" w:hAnsi="Verdana" w:cs="Arial"/>
          <w:color w:val="000000" w:themeColor="text1"/>
          <w:sz w:val="21"/>
          <w:szCs w:val="21"/>
          <w:lang w:val="es-ES_tradnl"/>
        </w:rPr>
      </w:pPr>
    </w:p>
    <w:p w14:paraId="184EA906" w14:textId="77777777" w:rsidR="000B3649" w:rsidRPr="00135CB1" w:rsidRDefault="000B3649" w:rsidP="000B3649">
      <w:pPr>
        <w:spacing w:after="0"/>
        <w:ind w:left="709" w:right="709"/>
        <w:jc w:val="both"/>
        <w:rPr>
          <w:rFonts w:ascii="Verdana" w:hAnsi="Verdana" w:cs="Arial"/>
          <w:color w:val="000000" w:themeColor="text1"/>
          <w:sz w:val="21"/>
          <w:szCs w:val="21"/>
          <w:lang w:val="es-ES"/>
        </w:rPr>
      </w:pPr>
      <w:r w:rsidRPr="00135CB1">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135CB1">
        <w:rPr>
          <w:rFonts w:ascii="Verdana" w:hAnsi="Verdana" w:cs="Arial"/>
          <w:i/>
          <w:iCs/>
          <w:color w:val="000000" w:themeColor="text1"/>
          <w:sz w:val="21"/>
          <w:szCs w:val="21"/>
          <w:lang w:val="es-ES"/>
        </w:rPr>
        <w:t>pro libertate</w:t>
      </w:r>
      <w:r w:rsidRPr="00135CB1">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135CB1">
        <w:rPr>
          <w:rFonts w:ascii="Verdana" w:hAnsi="Verdana" w:cs="Arial"/>
          <w:color w:val="000000" w:themeColor="text1"/>
          <w:sz w:val="21"/>
          <w:szCs w:val="21"/>
          <w:vertAlign w:val="superscript"/>
          <w:lang w:val="es-ES"/>
        </w:rPr>
        <w:footnoteReference w:id="13"/>
      </w:r>
      <w:r w:rsidRPr="00135CB1">
        <w:rPr>
          <w:rFonts w:ascii="Verdana" w:hAnsi="Verdana" w:cs="Arial"/>
          <w:color w:val="000000" w:themeColor="text1"/>
          <w:sz w:val="21"/>
          <w:szCs w:val="21"/>
          <w:lang w:val="es-ES"/>
        </w:rPr>
        <w:t>.</w:t>
      </w:r>
    </w:p>
    <w:p w14:paraId="1CB6FB5C" w14:textId="77777777" w:rsidR="000B3649" w:rsidRPr="00135CB1" w:rsidRDefault="000B3649" w:rsidP="000B3649">
      <w:pPr>
        <w:spacing w:after="0" w:line="276" w:lineRule="auto"/>
        <w:ind w:left="709" w:right="709"/>
        <w:jc w:val="both"/>
        <w:rPr>
          <w:rFonts w:ascii="Verdana" w:hAnsi="Verdana" w:cs="Arial"/>
          <w:color w:val="000000" w:themeColor="text1"/>
          <w:sz w:val="21"/>
          <w:szCs w:val="21"/>
          <w:lang w:val="es-ES_tradnl"/>
        </w:rPr>
      </w:pPr>
    </w:p>
    <w:p w14:paraId="32D5CA65" w14:textId="77777777" w:rsidR="000B3649" w:rsidRDefault="000B3649" w:rsidP="000B3649">
      <w:pPr>
        <w:spacing w:after="120" w:line="276" w:lineRule="auto"/>
        <w:ind w:firstLine="709"/>
        <w:jc w:val="both"/>
        <w:rPr>
          <w:rFonts w:ascii="Verdana" w:eastAsia="Calibri" w:hAnsi="Verdana" w:cs="Arial"/>
          <w:color w:val="000000" w:themeColor="text1"/>
          <w:lang w:val="es-ES"/>
        </w:rPr>
      </w:pPr>
      <w:r w:rsidRPr="6EF52751">
        <w:rPr>
          <w:rFonts w:ascii="Verdana" w:eastAsia="Calibri" w:hAnsi="Verdana" w:cs="Arial"/>
          <w:color w:val="000000" w:themeColor="text1"/>
          <w:lang w:val="es-ES"/>
        </w:rPr>
        <w:lastRenderedPageBreak/>
        <w:t xml:space="preserve">Como se aprecia, el principio </w:t>
      </w:r>
      <w:r w:rsidRPr="6EF52751">
        <w:rPr>
          <w:rFonts w:ascii="Verdana" w:eastAsia="Calibri" w:hAnsi="Verdana" w:cs="Arial"/>
          <w:i/>
          <w:iCs/>
          <w:color w:val="000000" w:themeColor="text1"/>
          <w:lang w:val="es-ES"/>
        </w:rPr>
        <w:t>pro libertate</w:t>
      </w:r>
      <w:r w:rsidRPr="6EF52751">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4EC25397" w14:textId="77777777" w:rsidR="000B3649" w:rsidRPr="00423B2E" w:rsidRDefault="000B3649" w:rsidP="000B3649">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w:t>
      </w:r>
      <w:r w:rsidRPr="00764EAD">
        <w:rPr>
          <w:rFonts w:ascii="Verdana" w:hAnsi="Verdana" w:cs="Arial"/>
          <w:color w:val="000000" w:themeColor="text1"/>
        </w:rPr>
        <w:t>que impida que un contratista de la Alcaldía Municipal celebre y ejecute simultáneamente un contrato de prestación de servicios con el Concejo Municipal, o viceversa.</w:t>
      </w:r>
      <w:r>
        <w:rPr>
          <w:rFonts w:ascii="Verdana" w:hAnsi="Verdana" w:cs="Arial"/>
          <w:color w:val="000000" w:themeColor="text1"/>
        </w:rPr>
        <w:t xml:space="preserve"> </w:t>
      </w:r>
      <w:r w:rsidRPr="007D6FA3">
        <w:rPr>
          <w:rFonts w:ascii="Verdana" w:eastAsia="Arial MT" w:hAnsi="Verdana" w:cs="Arial"/>
          <w:lang w:eastAsia="es-ES" w:bidi="es-ES"/>
        </w:rPr>
        <w:t>La coexistencia de tales contratos no se subsume en ninguno de los supuestos previstos en el artículo 8 de la Ley 80 de 1993 ni en las demás disposiciones que regulan las limitaciones a la capacidad contractual, aun cuando exista entre dichos órganos una relación de tipo funcional dentro del mismo ente territorial.</w:t>
      </w:r>
    </w:p>
    <w:p w14:paraId="100DABF7" w14:textId="77777777" w:rsidR="000B3649" w:rsidRPr="00CA3CC2" w:rsidRDefault="000B3649" w:rsidP="000B3649">
      <w:pPr>
        <w:spacing w:after="120" w:line="276" w:lineRule="auto"/>
        <w:ind w:firstLine="709"/>
        <w:jc w:val="both"/>
        <w:rPr>
          <w:rFonts w:ascii="Verdana" w:hAnsi="Verdana" w:cs="Arial"/>
          <w:color w:val="000000" w:themeColor="text1"/>
          <w:lang w:val="es-ES"/>
        </w:rPr>
      </w:pPr>
      <w:bookmarkStart w:id="4" w:name="_Hlk192056119"/>
      <w:r w:rsidRPr="008C3435">
        <w:rPr>
          <w:rFonts w:ascii="Verdana" w:hAnsi="Verdana" w:cs="Arial"/>
          <w:color w:val="000000" w:themeColor="text1"/>
        </w:rPr>
        <w:t>En esa misma línea, debe recordarse que las inhabilidades e incompatibilidades, por constituir restricciones a la capacidad contractual y, por tanto, limitar derechos como la libre concurrencia y la libertad en el ejercicio de la profesión u oficio, deben ser interpretadas de manera estricta. En cuanto enunciados normativos de carácter gravoso, no admiten interpretaciones extensivas, amplias o analógicas. Así, al revisar las causales previstas en la Constitución Política, en el artículo 8 de la Ley 80 de 1993 y en normas complementarias, no se evidencia prohibición que impida que una persona natural preste sus servicios profesionales simultáneamente a la Alcaldía Municipal y al Concejo Municipal mediante contratos distintos y concomitantes, aun cuando ambos hagan parte del mismo ente territorial y ejerzan funciones que pueden resultar relacionadas o complementarias.</w:t>
      </w:r>
      <w:r>
        <w:rPr>
          <w:rFonts w:ascii="Verdana" w:hAnsi="Verdana" w:cs="Arial"/>
          <w:color w:val="000000" w:themeColor="text1"/>
          <w:lang w:val="es-ES"/>
        </w:rPr>
        <w:t xml:space="preserve"> </w:t>
      </w:r>
    </w:p>
    <w:bookmarkEnd w:id="4"/>
    <w:p w14:paraId="778AC99D" w14:textId="77777777" w:rsidR="000B3649" w:rsidRPr="00CA3CC2" w:rsidRDefault="000B3649" w:rsidP="000B3649">
      <w:pPr>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w:t>
      </w:r>
      <w:r>
        <w:rPr>
          <w:rFonts w:ascii="Verdana" w:hAnsi="Verdana" w:cs="Arial"/>
          <w:color w:val="000000" w:themeColor="text1"/>
          <w:lang w:val="es-ES"/>
        </w:rPr>
        <w:t xml:space="preserve">propios del contrato de prestación de servicios </w:t>
      </w:r>
      <w:r w:rsidRPr="00CA3CC2">
        <w:rPr>
          <w:rFonts w:ascii="Verdana" w:hAnsi="Verdana" w:cs="Arial"/>
          <w:color w:val="000000" w:themeColor="text1"/>
          <w:lang w:val="es-ES"/>
        </w:rPr>
        <w:t>pues se recuerda que la celebración d</w:t>
      </w:r>
      <w:r>
        <w:rPr>
          <w:rFonts w:ascii="Verdana" w:hAnsi="Verdana" w:cs="Arial"/>
          <w:color w:val="000000" w:themeColor="text1"/>
          <w:lang w:val="es-ES"/>
        </w:rPr>
        <w:t xml:space="preserve">e estos contratos </w:t>
      </w:r>
      <w:r w:rsidRPr="00CA3CC2">
        <w:rPr>
          <w:rFonts w:ascii="Verdana" w:hAnsi="Verdana" w:cs="Arial"/>
          <w:color w:val="000000" w:themeColor="text1"/>
          <w:lang w:val="es-ES"/>
        </w:rPr>
        <w:t xml:space="preserve">con una persona natural es </w:t>
      </w:r>
      <w:r w:rsidRPr="00CA3CC2">
        <w:rPr>
          <w:rFonts w:ascii="Verdana" w:hAnsi="Verdana" w:cs="Arial"/>
          <w:i/>
          <w:iCs/>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w:t>
      </w:r>
      <w:r w:rsidRPr="00CA3CC2">
        <w:rPr>
          <w:rFonts w:ascii="Verdana" w:hAnsi="Verdana" w:cs="Arial"/>
          <w:color w:val="000000" w:themeColor="text1"/>
          <w:lang w:val="es-ES"/>
        </w:rPr>
        <w:lastRenderedPageBreak/>
        <w:t xml:space="preserve">satisfactoriamente en los estudios previos. Además, dicho contrato debe ser </w:t>
      </w:r>
      <w:r w:rsidRPr="00CA3CC2">
        <w:rPr>
          <w:rFonts w:ascii="Verdana" w:hAnsi="Verdana" w:cs="Arial"/>
          <w:i/>
          <w:iCs/>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sidRPr="00CA3CC2">
        <w:rPr>
          <w:rStyle w:val="Refdenotaalpie"/>
          <w:rFonts w:ascii="Verdana" w:hAnsi="Verdana" w:cs="Arial"/>
          <w:color w:val="000000" w:themeColor="text1"/>
          <w:lang w:val="es-ES"/>
        </w:rPr>
        <w:footnoteReference w:id="14"/>
      </w:r>
      <w:r w:rsidRPr="00CA3CC2">
        <w:rPr>
          <w:rFonts w:ascii="Verdana" w:hAnsi="Verdana" w:cs="Arial"/>
          <w:color w:val="000000" w:themeColor="text1"/>
          <w:lang w:val="es-ES"/>
        </w:rPr>
        <w:t xml:space="preserve">. </w:t>
      </w:r>
    </w:p>
    <w:p w14:paraId="226596A8" w14:textId="77777777" w:rsidR="000B3649" w:rsidRDefault="000B3649" w:rsidP="000B3649">
      <w:pPr>
        <w:spacing w:after="120" w:line="276" w:lineRule="auto"/>
        <w:ind w:firstLine="709"/>
        <w:jc w:val="both"/>
        <w:rPr>
          <w:rFonts w:ascii="Verdana" w:hAnsi="Verdana" w:cs="Arial"/>
          <w:color w:val="000000" w:themeColor="text1"/>
          <w:lang w:val="es-ES_tradnl"/>
        </w:rPr>
      </w:pPr>
      <w:r w:rsidRPr="00CA3CC2">
        <w:rPr>
          <w:rFonts w:ascii="Verdana" w:hAnsi="Verdana" w:cs="Arial"/>
          <w:color w:val="000000" w:themeColor="text1"/>
          <w:lang w:val="es-ES_tradnl"/>
        </w:rPr>
        <w:t xml:space="preserve">Adicionalmente, las entidades estatales deben ser diligentes en el análisis de las condiciones de ejecución del contrato de prestación de servicios profesionales, midiendo la complejidad y al alcance de las labores encomendadas al contratista, pues solo de esta manera pueden determinar razonablemente si el mismo contratista tiene la capacidad, no solo jurídica sino también técnica y económica, para celebrar otro contrato de prestación de servicios. Si tales factores no se tienen en cuenta, existe el riesgo de que el contratista termine incumpliendo sus obligaciones, por la sobrecarga de actividades.   </w:t>
      </w:r>
    </w:p>
    <w:p w14:paraId="2E516002" w14:textId="77777777" w:rsidR="000B3649" w:rsidRDefault="000B3649" w:rsidP="000B3649">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Aunado a lo anterior</w:t>
      </w:r>
      <w:r>
        <w:rPr>
          <w:rFonts w:ascii="Verdana" w:eastAsia="Arial MT" w:hAnsi="Verdana" w:cs="Arial"/>
          <w:lang w:eastAsia="es-ES" w:bidi="es-ES"/>
        </w:rPr>
        <w:t xml:space="preserve">, 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los servicios en una y otra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Style w:val="Refdenotaalpie"/>
          <w:rFonts w:ascii="Verdana" w:eastAsia="Arial MT" w:hAnsi="Verdana" w:cs="Arial"/>
          <w:lang w:eastAsia="es-ES" w:bidi="es-ES"/>
        </w:rPr>
        <w:footnoteReference w:id="15"/>
      </w:r>
      <w:r>
        <w:rPr>
          <w:rFonts w:ascii="Verdana" w:eastAsia="Arial MT" w:hAnsi="Verdana" w:cs="Arial"/>
          <w:lang w:eastAsia="es-ES" w:bidi="es-ES"/>
        </w:rPr>
        <w:t xml:space="preserve">. </w:t>
      </w:r>
    </w:p>
    <w:p w14:paraId="02DCF051" w14:textId="77777777" w:rsidR="000B3649" w:rsidRDefault="000B3649" w:rsidP="000B3649">
      <w:pPr>
        <w:widowControl w:val="0"/>
        <w:autoSpaceDE w:val="0"/>
        <w:autoSpaceDN w:val="0"/>
        <w:spacing w:after="120" w:line="276" w:lineRule="auto"/>
        <w:ind w:firstLine="708"/>
        <w:jc w:val="both"/>
        <w:rPr>
          <w:rFonts w:ascii="Verdana" w:hAnsi="Verdana" w:cs="Arial"/>
          <w:color w:val="000000" w:themeColor="text1"/>
          <w:lang w:val="es-ES_tradnl"/>
        </w:rPr>
      </w:pPr>
      <w:r>
        <w:rPr>
          <w:rFonts w:ascii="Verdana" w:eastAsia="Arial MT" w:hAnsi="Verdana" w:cs="Arial"/>
          <w:lang w:eastAsia="es-ES" w:bidi="es-ES"/>
        </w:rPr>
        <w:t xml:space="preserve">Al respecto, </w:t>
      </w:r>
      <w:bookmarkStart w:id="5" w:name="_Hlk192056166"/>
      <w:r>
        <w:rPr>
          <w:rFonts w:ascii="Verdana" w:eastAsia="Arial MT" w:hAnsi="Verdana" w:cs="Arial"/>
          <w:lang w:eastAsia="es-ES" w:bidi="es-ES"/>
        </w:rPr>
        <w:t xml:space="preserve">es importante señalar que </w:t>
      </w:r>
      <w:r w:rsidRPr="002A4195">
        <w:rPr>
          <w:rFonts w:ascii="Verdana" w:hAnsi="Verdana" w:cs="Arial"/>
          <w:color w:val="000000" w:themeColor="text1"/>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6" w:name="_Hlk36672204"/>
      <w:r w:rsidRPr="002A4195">
        <w:rPr>
          <w:rFonts w:ascii="Verdana" w:hAnsi="Verdana" w:cs="Arial"/>
          <w:color w:val="000000" w:themeColor="text1"/>
          <w:lang w:val="es-ES_tradnl"/>
        </w:rPr>
        <w:t xml:space="preserve">el régimen de los </w:t>
      </w:r>
      <w:r w:rsidRPr="002A4195">
        <w:rPr>
          <w:rFonts w:ascii="Verdana" w:hAnsi="Verdana" w:cs="Arial"/>
          <w:i/>
          <w:iCs/>
          <w:color w:val="000000" w:themeColor="text1"/>
          <w:lang w:val="es-ES_tradnl"/>
        </w:rPr>
        <w:t>conflictos de interés</w:t>
      </w:r>
      <w:r w:rsidRPr="002A4195">
        <w:rPr>
          <w:rFonts w:ascii="Verdana"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w:t>
      </w:r>
      <w:bookmarkEnd w:id="6"/>
    </w:p>
    <w:bookmarkEnd w:id="5"/>
    <w:p w14:paraId="70FC00C1" w14:textId="77777777" w:rsidR="000B3649" w:rsidRDefault="000B3649" w:rsidP="000B3649">
      <w:pPr>
        <w:widowControl w:val="0"/>
        <w:autoSpaceDE w:val="0"/>
        <w:autoSpaceDN w:val="0"/>
        <w:spacing w:after="120" w:line="276" w:lineRule="auto"/>
        <w:ind w:firstLine="708"/>
        <w:jc w:val="both"/>
        <w:rPr>
          <w:rFonts w:ascii="Verdana" w:hAnsi="Verdana" w:cs="Arial"/>
          <w:color w:val="000000" w:themeColor="text1"/>
          <w:lang w:val="es-ES_tradnl"/>
        </w:rPr>
      </w:pPr>
      <w:r w:rsidRPr="002A4195">
        <w:rPr>
          <w:rFonts w:ascii="Verdana" w:hAnsi="Verdana" w:cs="Arial"/>
          <w:color w:val="000000" w:themeColor="text1"/>
          <w:lang w:val="es-ES"/>
        </w:rPr>
        <w:t xml:space="preserve">La institución jurídica de los conflictos de interés no está definida con carácter general en el ordenamiento jurídico y tampoco de forma precisa en las </w:t>
      </w:r>
      <w:r w:rsidRPr="002A4195">
        <w:rPr>
          <w:rFonts w:ascii="Verdana" w:hAnsi="Verdana" w:cs="Arial"/>
          <w:color w:val="000000" w:themeColor="text1"/>
          <w:lang w:val="es-ES"/>
        </w:rPr>
        <w:lastRenderedPageBreak/>
        <w:t xml:space="preserve">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0EB5E833" w14:textId="77777777" w:rsidR="000B3649" w:rsidRDefault="000B3649" w:rsidP="000B3649">
      <w:pPr>
        <w:widowControl w:val="0"/>
        <w:autoSpaceDE w:val="0"/>
        <w:autoSpaceDN w:val="0"/>
        <w:spacing w:after="120" w:line="276" w:lineRule="auto"/>
        <w:ind w:firstLine="708"/>
        <w:jc w:val="both"/>
        <w:rPr>
          <w:rFonts w:ascii="Verdana" w:hAnsi="Verdana" w:cs="Arial"/>
        </w:rPr>
      </w:pPr>
      <w:r>
        <w:rPr>
          <w:rFonts w:ascii="Verdana" w:eastAsia="Arial MT" w:hAnsi="Verdana" w:cs="Arial"/>
          <w:lang w:eastAsia="es-ES" w:bidi="es-ES"/>
        </w:rPr>
        <w:t xml:space="preserve">Tales situaciones de conflicto de intereses suelen expresarse en prohibiciones, similar a lo que ocurre con las inhabilidades e incompatibilidades, por lo que su consagración </w:t>
      </w:r>
      <w:r w:rsidRPr="002A4195">
        <w:rPr>
          <w:rFonts w:ascii="Verdana" w:hAnsi="Verdana" w:cs="Arial"/>
          <w:color w:val="000000" w:themeColor="text1"/>
          <w:lang w:val="es-ES_tradnl"/>
        </w:rPr>
        <w:t>–</w:t>
      </w:r>
      <w:r>
        <w:rPr>
          <w:rFonts w:ascii="Verdana" w:eastAsia="Arial MT" w:hAnsi="Verdana" w:cs="Arial"/>
          <w:lang w:eastAsia="es-ES" w:bidi="es-ES"/>
        </w:rPr>
        <w:t>para los procesos competitivos tal consagración se materializa en el pliego de condiciones y en la minuta del contrato</w:t>
      </w:r>
      <w:r w:rsidRPr="002A4195">
        <w:rPr>
          <w:rFonts w:ascii="Verdana" w:hAnsi="Verdana" w:cs="Arial"/>
          <w:color w:val="000000" w:themeColor="text1"/>
          <w:lang w:val="es-ES_tradnl"/>
        </w:rPr>
        <w:t>–</w:t>
      </w:r>
      <w:r>
        <w:rPr>
          <w:rFonts w:ascii="Verdana" w:eastAsia="Arial MT" w:hAnsi="Verdana" w:cs="Arial"/>
          <w:lang w:eastAsia="es-ES" w:bidi="es-ES"/>
        </w:rPr>
        <w:t xml:space="preserve"> también debe ser expresa y su interpretación restrictiva, de manera que su deducción y aplicación siempre debe </w:t>
      </w:r>
      <w:r w:rsidRPr="003C349B">
        <w:rPr>
          <w:rFonts w:ascii="Verdana" w:eastAsia="Arial MT" w:hAnsi="Verdana" w:cs="Arial"/>
          <w:lang w:eastAsia="es-ES" w:bidi="es-ES"/>
        </w:rPr>
        <w:t>estar ajustada a los presupuestos que para cada causal haya señalado el constituyente o el legislador</w:t>
      </w:r>
      <w:r>
        <w:rPr>
          <w:rFonts w:ascii="Verdana" w:eastAsia="Arial MT" w:hAnsi="Verdana" w:cs="Arial"/>
          <w:lang w:eastAsia="es-ES" w:bidi="es-ES"/>
        </w:rPr>
        <w:t xml:space="preserve"> </w:t>
      </w:r>
      <w:r w:rsidRPr="002A4195">
        <w:rPr>
          <w:rFonts w:ascii="Verdana" w:hAnsi="Verdana" w:cs="Arial"/>
          <w:color w:val="000000" w:themeColor="text1"/>
          <w:lang w:val="es-ES_tradnl"/>
        </w:rPr>
        <w:t>–</w:t>
      </w:r>
      <w:r>
        <w:rPr>
          <w:rFonts w:ascii="Verdana" w:eastAsia="Arial MT" w:hAnsi="Verdana" w:cs="Arial"/>
          <w:lang w:eastAsia="es-ES" w:bidi="es-ES"/>
        </w:rPr>
        <w:t>en el caso de las inhabilidades e incompatibilidades</w:t>
      </w:r>
      <w:r w:rsidRPr="002A4195">
        <w:rPr>
          <w:rFonts w:ascii="Verdana" w:hAnsi="Verdana" w:cs="Arial"/>
          <w:color w:val="000000" w:themeColor="text1"/>
          <w:lang w:val="es-ES_tradnl"/>
        </w:rPr>
        <w:t>–</w:t>
      </w:r>
      <w:r>
        <w:rPr>
          <w:rFonts w:ascii="Verdana" w:eastAsia="Arial MT" w:hAnsi="Verdana" w:cs="Arial"/>
          <w:lang w:eastAsia="es-ES" w:bidi="es-ES"/>
        </w:rPr>
        <w:t xml:space="preserve"> y la entidad contratante </w:t>
      </w:r>
      <w:r w:rsidRPr="002A4195">
        <w:rPr>
          <w:rFonts w:ascii="Verdana" w:hAnsi="Verdana" w:cs="Arial"/>
          <w:color w:val="000000" w:themeColor="text1"/>
          <w:lang w:val="es-ES_tradnl"/>
        </w:rPr>
        <w:t>–</w:t>
      </w:r>
      <w:r>
        <w:rPr>
          <w:rFonts w:ascii="Verdana" w:eastAsia="Arial MT" w:hAnsi="Verdana" w:cs="Arial"/>
          <w:lang w:eastAsia="es-ES" w:bidi="es-ES"/>
        </w:rPr>
        <w:t>en el caso de los conflictos de intereses</w:t>
      </w:r>
      <w:r w:rsidRPr="002A4195">
        <w:rPr>
          <w:rFonts w:ascii="Verdana" w:hAnsi="Verdana" w:cs="Arial"/>
          <w:color w:val="000000" w:themeColor="text1"/>
          <w:lang w:val="es-ES_tradnl"/>
        </w:rPr>
        <w:t>–</w:t>
      </w:r>
      <w:r w:rsidRPr="003C349B">
        <w:rPr>
          <w:rFonts w:ascii="Verdana" w:eastAsia="Arial MT" w:hAnsi="Verdana" w:cs="Arial"/>
          <w:lang w:eastAsia="es-ES" w:bidi="es-ES"/>
        </w:rPr>
        <w:t>, dado que no es posible su aplicación extensiva o analógica</w:t>
      </w:r>
      <w:r>
        <w:rPr>
          <w:rFonts w:ascii="Verdana" w:eastAsia="Arial MT" w:hAnsi="Verdana" w:cs="Arial"/>
          <w:lang w:eastAsia="es-ES" w:bidi="es-ES"/>
        </w:rPr>
        <w:t>.</w:t>
      </w:r>
      <w:r>
        <w:rPr>
          <w:rFonts w:ascii="Verdana" w:hAnsi="Verdana" w:cs="Arial"/>
        </w:rPr>
        <w:t xml:space="preserve"> </w:t>
      </w:r>
    </w:p>
    <w:p w14:paraId="7399AF49" w14:textId="77777777" w:rsidR="000B3649" w:rsidRPr="00F21CBC" w:rsidRDefault="000B3649" w:rsidP="000B3649">
      <w:pPr>
        <w:widowControl w:val="0"/>
        <w:autoSpaceDE w:val="0"/>
        <w:autoSpaceDN w:val="0"/>
        <w:spacing w:after="120" w:line="276" w:lineRule="auto"/>
        <w:jc w:val="both"/>
        <w:rPr>
          <w:rFonts w:ascii="Verdana" w:eastAsia="Calibri" w:hAnsi="Verdana" w:cs="Arial"/>
        </w:rPr>
      </w:pPr>
      <w:r>
        <w:rPr>
          <w:rFonts w:ascii="Arial" w:eastAsia="Calibri" w:hAnsi="Arial" w:cs="Arial"/>
        </w:rPr>
        <w:tab/>
      </w:r>
      <w:r w:rsidRPr="00F21CBC">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F21CBC">
        <w:rPr>
          <w:rFonts w:ascii="Verdana" w:eastAsia="Calibri" w:hAnsi="Verdana" w:cs="Arial"/>
          <w:i/>
          <w:iCs/>
        </w:rPr>
        <w:t xml:space="preserve">tipicidad </w:t>
      </w:r>
      <w:r w:rsidRPr="00F21CBC">
        <w:rPr>
          <w:rFonts w:ascii="Verdana" w:eastAsia="Calibri" w:hAnsi="Verdana" w:cs="Arial"/>
        </w:rPr>
        <w:t xml:space="preserve">y </w:t>
      </w:r>
      <w:r w:rsidRPr="00F21CBC">
        <w:rPr>
          <w:rFonts w:ascii="Verdana" w:eastAsia="Calibri" w:hAnsi="Verdana" w:cs="Arial"/>
          <w:i/>
          <w:iCs/>
        </w:rPr>
        <w:t xml:space="preserve">objetividad. </w:t>
      </w:r>
      <w:r w:rsidRPr="00F21CBC">
        <w:rPr>
          <w:rFonts w:ascii="Verdana" w:eastAsia="Calibri" w:hAnsi="Verdana" w:cs="Arial"/>
        </w:rPr>
        <w:t xml:space="preserve">Por la relevancia de las consideraciones de dicho concepto, estas se transcriben </w:t>
      </w:r>
      <w:r w:rsidRPr="00F21CBC">
        <w:rPr>
          <w:rFonts w:ascii="Verdana" w:eastAsia="Calibri" w:hAnsi="Verdana" w:cs="Arial"/>
          <w:i/>
          <w:iCs/>
        </w:rPr>
        <w:t>in extenso:</w:t>
      </w:r>
    </w:p>
    <w:p w14:paraId="69E67DA7" w14:textId="77777777" w:rsidR="000B3649" w:rsidRPr="00F21CBC" w:rsidRDefault="000B3649" w:rsidP="000B3649">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Para efectos del concepto que ahora se rinde, la Sala resalta dos elementos contenidos en el texto transcrito, a saber: </w:t>
      </w:r>
      <w:r w:rsidRPr="00F21CBC">
        <w:rPr>
          <w:rFonts w:ascii="Verdana" w:eastAsia="Calibri" w:hAnsi="Verdana" w:cs="Arial"/>
          <w:i/>
          <w:iCs/>
          <w:sz w:val="20"/>
          <w:szCs w:val="20"/>
        </w:rPr>
        <w:t>la «tipicidad» y la «objetividad»,</w:t>
      </w:r>
      <w:r w:rsidRPr="00F21CBC">
        <w:rPr>
          <w:rFonts w:ascii="Verdana" w:eastAsia="Calibri" w:hAnsi="Verdana" w:cs="Arial"/>
          <w:sz w:val="20"/>
          <w:szCs w:val="20"/>
        </w:rPr>
        <w:t xml:space="preserve"> que deben predicarse de las causales que se establezcan en cada caso particular, para preservar y hacer eficaz la selección objetiva del contratista, como se explica a continuación.</w:t>
      </w:r>
    </w:p>
    <w:p w14:paraId="4A6F4C81" w14:textId="77777777" w:rsidR="000B3649" w:rsidRPr="00F21CBC" w:rsidRDefault="000B3649" w:rsidP="000B3649">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La «identificación de actividades incompatibles» con las obligaciones del contratista, significa jurídicamente, </w:t>
      </w:r>
      <w:r w:rsidRPr="00F21CBC">
        <w:rPr>
          <w:rFonts w:ascii="Verdana" w:eastAsia="Calibri" w:hAnsi="Verdana" w:cs="Arial"/>
          <w:i/>
          <w:iCs/>
          <w:sz w:val="20"/>
          <w:szCs w:val="20"/>
        </w:rPr>
        <w:t>«tipificarlas», esto es, definirlas de manera concreta para derivar de ellas una consecuencia que, en el caso en estudio, tiene una naturaleza restrictiva, prohibitiva o sancionatoria</w:t>
      </w:r>
      <w:r w:rsidRPr="00F21CBC">
        <w:rPr>
          <w:rFonts w:ascii="Verdana" w:eastAsia="Calibri" w:hAnsi="Verdana" w:cs="Arial"/>
          <w:sz w:val="20"/>
          <w:szCs w:val="20"/>
        </w:rPr>
        <w:t>.</w:t>
      </w:r>
    </w:p>
    <w:p w14:paraId="2AD6CCBA" w14:textId="77777777" w:rsidR="000B3649" w:rsidRPr="00F21CBC" w:rsidRDefault="000B3649" w:rsidP="000B3649">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La «evaluación estrictamente objetiva» que debe garantizarse con las causales que se definan en un proceso contractual dado, exige, por </w:t>
      </w:r>
      <w:r w:rsidRPr="00F21CBC">
        <w:rPr>
          <w:rFonts w:ascii="Verdana" w:eastAsia="Calibri" w:hAnsi="Verdana" w:cs="Arial"/>
          <w:sz w:val="20"/>
          <w:szCs w:val="20"/>
        </w:rPr>
        <w:lastRenderedPageBreak/>
        <w:t>supuesto, la «objetividad» en la determinación de las causales que se adopten.</w:t>
      </w:r>
    </w:p>
    <w:p w14:paraId="0D78C993" w14:textId="77777777" w:rsidR="000B3649" w:rsidRPr="00F21CBC" w:rsidRDefault="000B3649" w:rsidP="000B3649">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7" w:name="_ftnref18"/>
      <w:r w:rsidRPr="00F21CBC">
        <w:rPr>
          <w:rFonts w:ascii="Verdana" w:eastAsia="Calibri" w:hAnsi="Verdana" w:cs="Arial"/>
          <w:sz w:val="20"/>
          <w:szCs w:val="20"/>
        </w:rPr>
        <w:t>»</w:t>
      </w:r>
      <w:bookmarkEnd w:id="7"/>
      <w:r w:rsidRPr="00F21CBC">
        <w:rPr>
          <w:rFonts w:ascii="Verdana" w:eastAsia="Calibri" w:hAnsi="Verdana" w:cs="Arial"/>
          <w:sz w:val="20"/>
          <w:szCs w:val="20"/>
        </w:rPr>
        <w:t xml:space="preserve"> </w:t>
      </w:r>
    </w:p>
    <w:p w14:paraId="6DD9C33F" w14:textId="77777777" w:rsidR="000B3649" w:rsidRPr="00F21CBC" w:rsidRDefault="000B3649" w:rsidP="000B3649">
      <w:pPr>
        <w:widowControl w:val="0"/>
        <w:autoSpaceDE w:val="0"/>
        <w:autoSpaceDN w:val="0"/>
        <w:spacing w:after="120"/>
        <w:ind w:left="709" w:right="709"/>
        <w:jc w:val="both"/>
        <w:rPr>
          <w:rFonts w:ascii="Verdana" w:eastAsia="Calibri" w:hAnsi="Verdana" w:cs="Arial"/>
          <w:i/>
          <w:iCs/>
          <w:sz w:val="20"/>
          <w:szCs w:val="20"/>
        </w:rPr>
      </w:pPr>
      <w:r w:rsidRPr="00F21CBC">
        <w:rPr>
          <w:rFonts w:ascii="Verdana" w:eastAsia="Calibri" w:hAnsi="Verdana" w:cs="Arial"/>
          <w:sz w:val="20"/>
          <w:szCs w:val="20"/>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F21CBC">
        <w:rPr>
          <w:rFonts w:ascii="Verdana" w:eastAsia="Calibri" w:hAnsi="Verdana" w:cs="Arial"/>
          <w:i/>
          <w:iCs/>
          <w:sz w:val="20"/>
          <w:szCs w:val="20"/>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56244697" w14:textId="77777777" w:rsidR="000B3649" w:rsidRPr="00F21CBC" w:rsidRDefault="000B3649" w:rsidP="000B3649">
      <w:pPr>
        <w:widowControl w:val="0"/>
        <w:autoSpaceDE w:val="0"/>
        <w:autoSpaceDN w:val="0"/>
        <w:ind w:left="709" w:right="709"/>
        <w:jc w:val="both"/>
        <w:rPr>
          <w:rFonts w:ascii="Verdana" w:eastAsia="Calibri" w:hAnsi="Verdana" w:cs="Arial"/>
          <w:sz w:val="20"/>
          <w:szCs w:val="20"/>
        </w:rPr>
      </w:pPr>
      <w:r w:rsidRPr="00F21CBC">
        <w:rPr>
          <w:rFonts w:ascii="Verdana" w:eastAsia="Calibri" w:hAnsi="Verdana" w:cs="Arial"/>
          <w:sz w:val="20"/>
          <w:szCs w:val="20"/>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F21CBC">
        <w:rPr>
          <w:rFonts w:ascii="Verdana" w:eastAsia="Calibri" w:hAnsi="Verdana" w:cs="Arial"/>
          <w:i/>
          <w:iCs/>
          <w:sz w:val="20"/>
          <w:szCs w:val="20"/>
        </w:rPr>
        <w:t>que el conflicto de intereses no puede cimentarse en definiciones ambiguas, abstractas o que permitan un margen de subjetividad en su examen</w:t>
      </w:r>
      <w:r w:rsidRPr="00F21CBC">
        <w:rPr>
          <w:rStyle w:val="Refdenotaalpie"/>
          <w:rFonts w:ascii="Verdana" w:eastAsia="Calibri" w:hAnsi="Verdana" w:cs="Arial"/>
          <w:i/>
          <w:iCs/>
          <w:sz w:val="20"/>
          <w:szCs w:val="20"/>
        </w:rPr>
        <w:footnoteReference w:id="16"/>
      </w:r>
      <w:r w:rsidRPr="00F21CBC">
        <w:rPr>
          <w:rFonts w:ascii="Verdana" w:eastAsia="Calibri" w:hAnsi="Verdana" w:cs="Arial"/>
          <w:sz w:val="20"/>
          <w:szCs w:val="20"/>
        </w:rPr>
        <w:t xml:space="preserve">. </w:t>
      </w:r>
      <w:r>
        <w:rPr>
          <w:rFonts w:ascii="Verdana" w:eastAsia="Calibri" w:hAnsi="Verdana" w:cs="Arial"/>
          <w:sz w:val="20"/>
          <w:szCs w:val="20"/>
        </w:rPr>
        <w:t>[</w:t>
      </w:r>
      <w:r w:rsidRPr="00F21CBC">
        <w:rPr>
          <w:rFonts w:ascii="Verdana" w:eastAsia="Calibri" w:hAnsi="Verdana" w:cs="Arial"/>
          <w:sz w:val="20"/>
          <w:szCs w:val="20"/>
        </w:rPr>
        <w:t>Cursiva fuera del original</w:t>
      </w:r>
      <w:r>
        <w:rPr>
          <w:rFonts w:ascii="Verdana" w:eastAsia="Calibri" w:hAnsi="Verdana" w:cs="Arial"/>
          <w:sz w:val="20"/>
          <w:szCs w:val="20"/>
        </w:rPr>
        <w:t>]</w:t>
      </w:r>
      <w:r w:rsidRPr="00F21CBC">
        <w:rPr>
          <w:rFonts w:ascii="Verdana" w:eastAsia="Calibri" w:hAnsi="Verdana" w:cs="Arial"/>
          <w:sz w:val="20"/>
          <w:szCs w:val="20"/>
        </w:rPr>
        <w:t>.</w:t>
      </w:r>
    </w:p>
    <w:p w14:paraId="48B4EEB0" w14:textId="77777777" w:rsidR="000B3649" w:rsidRPr="00A3149F" w:rsidRDefault="000B3649" w:rsidP="000B3649">
      <w:pPr>
        <w:widowControl w:val="0"/>
        <w:autoSpaceDE w:val="0"/>
        <w:autoSpaceDN w:val="0"/>
        <w:spacing w:after="120" w:line="276" w:lineRule="auto"/>
        <w:ind w:firstLine="709"/>
        <w:jc w:val="both"/>
        <w:rPr>
          <w:rFonts w:ascii="Verdana" w:eastAsia="Calibri" w:hAnsi="Verdana" w:cs="Arial"/>
        </w:rPr>
      </w:pPr>
      <w:r w:rsidRPr="00F21CBC">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F21CBC">
        <w:rPr>
          <w:rFonts w:ascii="Verdana" w:eastAsia="Calibri" w:hAnsi="Verdana" w:cs="Arial"/>
          <w:i/>
          <w:iCs/>
        </w:rPr>
        <w:t>tipificarse</w:t>
      </w:r>
      <w:r w:rsidRPr="00F21CBC">
        <w:rPr>
          <w:rFonts w:ascii="Verdana" w:eastAsia="Calibri" w:hAnsi="Verdana" w:cs="Arial"/>
        </w:rPr>
        <w:t xml:space="preserve">, esto es, establecerse de forma expresa y concreta en los pliegos de condiciones; iii) las causales deben ser </w:t>
      </w:r>
      <w:r w:rsidRPr="00F21CBC">
        <w:rPr>
          <w:rFonts w:ascii="Verdana" w:eastAsia="Calibri" w:hAnsi="Verdana" w:cs="Arial"/>
          <w:i/>
          <w:iCs/>
        </w:rPr>
        <w:t>objetivas</w:t>
      </w:r>
      <w:r w:rsidRPr="00F21CBC">
        <w:rPr>
          <w:rFonts w:ascii="Verdana" w:eastAsia="Calibri" w:hAnsi="Verdana" w:cs="Arial"/>
        </w:rPr>
        <w:t xml:space="preserve">,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w:t>
      </w:r>
      <w:r w:rsidRPr="00F21CBC">
        <w:rPr>
          <w:rFonts w:ascii="Verdana" w:eastAsia="Calibri" w:hAnsi="Verdana" w:cs="Arial"/>
        </w:rPr>
        <w:lastRenderedPageBreak/>
        <w:t xml:space="preserve">v) su interpretación, al igual que las causales de inhabilidad o incompatibilidad, debe ser estricta o restrictiva; vi) solo se pueden aplicar los conflictos de interés tipificados en el pliego de condiciones, en la Constitución o en la ley, de manera que </w:t>
      </w:r>
      <w:r w:rsidRPr="00A3149F">
        <w:rPr>
          <w:rFonts w:ascii="Verdana" w:eastAsia="Calibri" w:hAnsi="Verdana" w:cs="Arial"/>
        </w:rPr>
        <w:t>su ausencia da lugar a que se parta del principio general de la capacidad contractual del proponente o contratista, de manera que la entidad no puede crear o aplicar causales que no incluyó en el pliego de condiciones</w:t>
      </w:r>
      <w:r w:rsidRPr="00A3149F">
        <w:rPr>
          <w:rStyle w:val="Refdenotaalpie"/>
          <w:rFonts w:ascii="Verdana" w:eastAsia="Calibri" w:hAnsi="Verdana" w:cs="Arial"/>
        </w:rPr>
        <w:footnoteReference w:id="17"/>
      </w:r>
      <w:r w:rsidRPr="00A3149F">
        <w:rPr>
          <w:rFonts w:ascii="Verdana" w:eastAsia="Calibri" w:hAnsi="Verdana" w:cs="Arial"/>
        </w:rPr>
        <w:t>.</w:t>
      </w:r>
    </w:p>
    <w:p w14:paraId="6035BBFD" w14:textId="77777777" w:rsidR="000B3649" w:rsidRDefault="000B3649" w:rsidP="000B3649">
      <w:pPr>
        <w:widowControl w:val="0"/>
        <w:autoSpaceDE w:val="0"/>
        <w:autoSpaceDN w:val="0"/>
        <w:spacing w:after="120" w:line="276" w:lineRule="auto"/>
        <w:ind w:firstLine="709"/>
        <w:jc w:val="both"/>
        <w:rPr>
          <w:rFonts w:ascii="Verdana" w:eastAsia="Century Gothic" w:hAnsi="Verdana" w:cs="Century Gothic"/>
          <w:bCs/>
        </w:rPr>
      </w:pPr>
      <w:r w:rsidRPr="00A3149F">
        <w:rPr>
          <w:rFonts w:ascii="Verdana" w:eastAsia="Calibri" w:hAnsi="Verdana" w:cs="Arial"/>
        </w:rPr>
        <w:t>En este sentido,</w:t>
      </w:r>
      <w:r w:rsidRPr="00A3149F">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pliego de condiciones o estudios previos. De esta manera, </w:t>
      </w:r>
      <w:r w:rsidRPr="00A3149F">
        <w:rPr>
          <w:rFonts w:ascii="Verdana" w:eastAsia="Century Gothic" w:hAnsi="Verdana" w:cs="Century Gothic"/>
          <w:bCs/>
        </w:rPr>
        <w:t>corresponde a las Entidades Estatales, al verificar la capacidad</w:t>
      </w:r>
      <w:r w:rsidRPr="00E0405E">
        <w:rPr>
          <w:rFonts w:ascii="Verdana" w:eastAsia="Century Gothic" w:hAnsi="Verdana" w:cs="Century Gothic"/>
          <w:bCs/>
        </w:rPr>
        <w:t xml:space="preserve"> jurídica de las personas con quienes pretenden suscribir contratos, determinar en cada caso concreto si se configura algún conflicto de interés</w:t>
      </w:r>
      <w:r>
        <w:rPr>
          <w:rFonts w:ascii="Verdana" w:eastAsia="Century Gothic" w:hAnsi="Verdana" w:cs="Century Gothic"/>
          <w:bCs/>
        </w:rPr>
        <w:t xml:space="preserve"> de acuerdo con las causales que haya tipificado en el pliego de condiciones o en el contrato</w:t>
      </w:r>
      <w:r w:rsidRPr="00E0405E">
        <w:rPr>
          <w:rFonts w:ascii="Verdana" w:eastAsia="Century Gothic" w:hAnsi="Verdana" w:cs="Century Gothic"/>
          <w:bCs/>
        </w:rPr>
        <w:t xml:space="preserve">. </w:t>
      </w:r>
      <w:r>
        <w:rPr>
          <w:rFonts w:ascii="Verdana" w:eastAsia="Century Gothic" w:hAnsi="Verdana" w:cs="Century Gothic"/>
          <w:bCs/>
        </w:rPr>
        <w:t>Por tanto</w:t>
      </w:r>
      <w:r w:rsidRPr="00E0405E">
        <w:rPr>
          <w:rFonts w:ascii="Verdana" w:eastAsia="Century Gothic" w:hAnsi="Verdana" w:cs="Century Gothic"/>
          <w:bCs/>
        </w:rPr>
        <w:t xml:space="preserve">, la conclusión aquí expuesta no remplaza el deber de verificación de las Entidades Estatales, ni puede ser tomada como un juicio de valor sobre alguna situación de orden particular. </w:t>
      </w:r>
    </w:p>
    <w:p w14:paraId="0879C1E3" w14:textId="77777777" w:rsidR="000B3649" w:rsidRDefault="000B3649" w:rsidP="000B3649">
      <w:pPr>
        <w:spacing w:after="0" w:line="276" w:lineRule="auto"/>
        <w:ind w:firstLine="708"/>
        <w:jc w:val="both"/>
        <w:rPr>
          <w:rFonts w:ascii="Verdana" w:eastAsia="Arial MT" w:hAnsi="Verdana" w:cs="Arial"/>
          <w:lang w:eastAsia="es-ES" w:bidi="es-ES"/>
        </w:rPr>
      </w:pPr>
      <w:r w:rsidRPr="00D764A1">
        <w:rPr>
          <w:rFonts w:ascii="Verdana" w:eastAsia="Arial MT" w:hAnsi="Verdana" w:cs="Arial"/>
          <w:lang w:eastAsia="es-ES" w:bidi="es-ES"/>
        </w:rPr>
        <w:t>En conclusión, no existe causal de inhabilidad o incompatibilidad que prohíba que un mismo profesional suscriba contratos de prestación de servicios de manera simultánea con la Alcaldía Municipal y con el Concejo Municipal, ni se restringe su capacidad jurídica por el hecho de que las actividades desarrolladas para uno de estos órganos se relacionen funcional o jurídicamente con las atribuciones del otro. No obstante, cada entidad contratante debe verificar si, en el marco concreto de las funciones asignadas al contratista en ambos contratos, pudiera configurarse una conducta que revista la connotación de conflicto de interés, derivada de la existencia de intereses contrapuestos que comprometan la transparencia, independencia o rectitud de las actuaciones a su cargo, o que lo puedan llevar a adoptar decisiones orientadas al beneficio personal, familiar o particular en detrimento del interés público. En tales eventos, el eventual conflicto de interés debe analizarse bajo los criterios de tipicidad y objetividad que exige la doctrina y la jurisprudencia en la materia.</w:t>
      </w:r>
    </w:p>
    <w:p w14:paraId="420FE74C" w14:textId="77777777" w:rsidR="000B3649" w:rsidRPr="00C45C5D" w:rsidRDefault="000B3649" w:rsidP="000B3649">
      <w:pPr>
        <w:spacing w:after="0" w:line="276" w:lineRule="auto"/>
        <w:jc w:val="both"/>
        <w:rPr>
          <w:rFonts w:ascii="Verdana" w:eastAsia="Calibri" w:hAnsi="Verdana" w:cs="Arial"/>
          <w:color w:val="000000" w:themeColor="text1"/>
        </w:rPr>
      </w:pPr>
    </w:p>
    <w:p w14:paraId="77293389" w14:textId="77777777" w:rsidR="000B3649" w:rsidRPr="00C45C5D" w:rsidRDefault="000B3649" w:rsidP="000B3649">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Referencias normativas y jurisprudenciales:</w:t>
      </w:r>
    </w:p>
    <w:p w14:paraId="02AB0250" w14:textId="77777777" w:rsidR="000B3649" w:rsidRPr="00C45C5D" w:rsidRDefault="000B3649" w:rsidP="000B364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B3649" w:rsidRPr="00C45C5D" w14:paraId="1EB704FE" w14:textId="77777777" w:rsidTr="0084327A">
        <w:trPr>
          <w:trHeight w:val="3254"/>
          <w:jc w:val="center"/>
        </w:trPr>
        <w:tc>
          <w:tcPr>
            <w:tcW w:w="8647" w:type="dxa"/>
          </w:tcPr>
          <w:p w14:paraId="75846E22" w14:textId="77777777" w:rsidR="000B3649" w:rsidRPr="00DC7C22" w:rsidRDefault="000B3649" w:rsidP="000B3649">
            <w:pPr>
              <w:numPr>
                <w:ilvl w:val="0"/>
                <w:numId w:val="3"/>
              </w:numPr>
              <w:spacing w:line="256" w:lineRule="auto"/>
              <w:contextualSpacing/>
              <w:jc w:val="both"/>
              <w:rPr>
                <w:rFonts w:ascii="Verdana" w:hAnsi="Verdana" w:cs="Arial"/>
                <w:lang w:val="es-ES_tradnl"/>
              </w:rPr>
            </w:pPr>
            <w:r w:rsidRPr="00DC7C22">
              <w:rPr>
                <w:rFonts w:ascii="Verdana" w:hAnsi="Verdana" w:cs="Arial"/>
                <w:lang w:val="es-ES_tradnl"/>
              </w:rPr>
              <w:lastRenderedPageBreak/>
              <w:t xml:space="preserve">Ley 80 de 1993, artículos </w:t>
            </w:r>
            <w:r>
              <w:rPr>
                <w:rFonts w:ascii="Verdana" w:hAnsi="Verdana" w:cs="Arial"/>
                <w:lang w:val="es-ES_tradnl"/>
              </w:rPr>
              <w:t xml:space="preserve">3, </w:t>
            </w:r>
            <w:r w:rsidRPr="00DC7C22">
              <w:rPr>
                <w:rFonts w:ascii="Verdana" w:hAnsi="Verdana" w:cs="Arial"/>
                <w:lang w:val="es-ES_tradnl"/>
              </w:rPr>
              <w:t>6</w:t>
            </w:r>
            <w:r>
              <w:rPr>
                <w:rFonts w:ascii="Verdana" w:hAnsi="Verdana" w:cs="Arial"/>
                <w:lang w:val="es-ES_tradnl"/>
              </w:rPr>
              <w:t xml:space="preserve"> y </w:t>
            </w:r>
            <w:r w:rsidRPr="00DC7C22">
              <w:rPr>
                <w:rFonts w:ascii="Verdana" w:hAnsi="Verdana" w:cs="Arial"/>
                <w:lang w:val="es-ES_tradnl"/>
              </w:rPr>
              <w:t>8</w:t>
            </w:r>
          </w:p>
          <w:p w14:paraId="7481FB99" w14:textId="77777777" w:rsidR="000B3649" w:rsidRPr="00DC7C22" w:rsidRDefault="000B3649" w:rsidP="000B3649">
            <w:pPr>
              <w:numPr>
                <w:ilvl w:val="0"/>
                <w:numId w:val="3"/>
              </w:numPr>
              <w:spacing w:line="256" w:lineRule="auto"/>
              <w:contextualSpacing/>
              <w:jc w:val="both"/>
              <w:rPr>
                <w:rFonts w:ascii="Verdana" w:hAnsi="Verdana" w:cs="Arial"/>
                <w:lang w:val="es-ES_tradnl"/>
              </w:rPr>
            </w:pPr>
            <w:r w:rsidRPr="00DC7C22">
              <w:rPr>
                <w:rFonts w:ascii="Verdana" w:hAnsi="Verdana" w:cs="Arial"/>
                <w:lang w:val="es-ES_tradnl"/>
              </w:rPr>
              <w:t>Código Civil, artículo 150</w:t>
            </w:r>
            <w:r>
              <w:rPr>
                <w:rFonts w:ascii="Verdana" w:hAnsi="Verdana" w:cs="Arial"/>
                <w:lang w:val="es-ES_tradnl"/>
              </w:rPr>
              <w:t>2</w:t>
            </w:r>
          </w:p>
          <w:p w14:paraId="399E070E" w14:textId="77777777" w:rsidR="000B3649" w:rsidRPr="00DC7C22" w:rsidRDefault="000B3649" w:rsidP="000B3649">
            <w:pPr>
              <w:numPr>
                <w:ilvl w:val="0"/>
                <w:numId w:val="3"/>
              </w:numPr>
              <w:spacing w:line="256" w:lineRule="auto"/>
              <w:contextualSpacing/>
              <w:jc w:val="both"/>
              <w:rPr>
                <w:rFonts w:ascii="Verdana" w:hAnsi="Verdana" w:cs="Arial"/>
                <w:lang w:val="es-ES_tradnl"/>
              </w:rPr>
            </w:pPr>
            <w:r w:rsidRPr="00DC7C22">
              <w:rPr>
                <w:rFonts w:ascii="Verdana" w:hAnsi="Verdana" w:cs="Arial"/>
                <w:lang w:val="es-ES_tradnl"/>
              </w:rPr>
              <w:t>Corte Constitucional. Sentencia T-1039 de 2006 Magistrado Ponente: Humberto Sierra Porto</w:t>
            </w:r>
          </w:p>
          <w:p w14:paraId="7E818244" w14:textId="77777777" w:rsidR="000B3649" w:rsidRPr="00DC7C22" w:rsidRDefault="000B3649" w:rsidP="000B3649">
            <w:pPr>
              <w:numPr>
                <w:ilvl w:val="0"/>
                <w:numId w:val="3"/>
              </w:numPr>
              <w:spacing w:line="256" w:lineRule="auto"/>
              <w:contextualSpacing/>
              <w:jc w:val="both"/>
              <w:rPr>
                <w:rFonts w:ascii="Verdana" w:hAnsi="Verdana" w:cs="Arial"/>
                <w:lang w:val="es-ES"/>
              </w:rPr>
            </w:pPr>
            <w:r w:rsidRPr="6EF52751">
              <w:rPr>
                <w:rFonts w:ascii="Verdana" w:hAnsi="Verdana" w:cs="Arial"/>
                <w:lang w:val="es-ES"/>
              </w:rPr>
              <w:t>Consejo de Estado. Sala de Consulta y Servicio Civil. Concepto del 30 de abril de 2015. Expediente: 2251. Consejero Ponente: Álvaro Namén Vargas</w:t>
            </w:r>
          </w:p>
          <w:p w14:paraId="496F7745" w14:textId="77777777" w:rsidR="000B3649" w:rsidRPr="00DC7C22" w:rsidRDefault="000B3649" w:rsidP="000B3649">
            <w:pPr>
              <w:numPr>
                <w:ilvl w:val="0"/>
                <w:numId w:val="3"/>
              </w:numPr>
              <w:spacing w:line="256" w:lineRule="auto"/>
              <w:contextualSpacing/>
              <w:jc w:val="both"/>
              <w:rPr>
                <w:rFonts w:ascii="Verdana" w:hAnsi="Verdana" w:cs="Arial"/>
                <w:lang w:val="es-ES"/>
              </w:rPr>
            </w:pPr>
            <w:r w:rsidRPr="6EF52751">
              <w:rPr>
                <w:rFonts w:ascii="Verdana" w:hAnsi="Verdana" w:cs="Arial"/>
                <w:lang w:val="es-ES"/>
              </w:rPr>
              <w:t>Consejo de Estado. Sección Tercera. Subsección A. Sentencia del 24 de junio de 2015. Exp. 40.635. Consejero Ponente: Hernán Andrade Rincón (E).</w:t>
            </w:r>
          </w:p>
          <w:p w14:paraId="543F629D" w14:textId="77777777" w:rsidR="000B3649" w:rsidRPr="00187F2B" w:rsidRDefault="000B3649" w:rsidP="000B3649">
            <w:pPr>
              <w:numPr>
                <w:ilvl w:val="0"/>
                <w:numId w:val="3"/>
              </w:numPr>
              <w:spacing w:line="256" w:lineRule="auto"/>
              <w:contextualSpacing/>
              <w:jc w:val="both"/>
              <w:rPr>
                <w:rFonts w:ascii="Verdana" w:hAnsi="Verdana" w:cs="Arial"/>
                <w:lang w:val="es-ES"/>
              </w:rPr>
            </w:pPr>
            <w:r w:rsidRPr="6EF52751">
              <w:rPr>
                <w:rFonts w:ascii="Verdana" w:hAnsi="Verdana" w:cs="Arial"/>
                <w:lang w:val="es-ES"/>
              </w:rPr>
              <w:t>Consejo de Estado. Sección Tercera. Subsección C. Sentencia del 22 de mayo de 2013. Exp. 24.057. Consejera Ponente: Olga Melida Valle De De La Hoz.</w:t>
            </w:r>
          </w:p>
        </w:tc>
      </w:tr>
    </w:tbl>
    <w:p w14:paraId="6E474396" w14:textId="77777777" w:rsidR="000B3649" w:rsidRPr="00C45C5D" w:rsidRDefault="000B3649" w:rsidP="000B3649">
      <w:pPr>
        <w:widowControl w:val="0"/>
        <w:autoSpaceDE w:val="0"/>
        <w:autoSpaceDN w:val="0"/>
        <w:spacing w:after="0" w:line="276" w:lineRule="auto"/>
        <w:jc w:val="both"/>
        <w:rPr>
          <w:rFonts w:ascii="Verdana" w:hAnsi="Verdana" w:cs="Arial"/>
        </w:rPr>
      </w:pPr>
    </w:p>
    <w:p w14:paraId="3EF8BDFD" w14:textId="77777777" w:rsidR="000B3649" w:rsidRPr="00C45C5D" w:rsidRDefault="000B3649" w:rsidP="000B3649">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Doctrina de la Agencia Nacional de Contratación Pública:</w:t>
      </w:r>
    </w:p>
    <w:p w14:paraId="679D6D59" w14:textId="77777777" w:rsidR="000B3649" w:rsidRPr="00C45C5D" w:rsidRDefault="000B3649" w:rsidP="000B3649">
      <w:pPr>
        <w:widowControl w:val="0"/>
        <w:autoSpaceDE w:val="0"/>
        <w:autoSpaceDN w:val="0"/>
        <w:spacing w:after="0" w:line="276" w:lineRule="auto"/>
        <w:jc w:val="both"/>
        <w:rPr>
          <w:rFonts w:ascii="Verdana" w:hAnsi="Verdana" w:cs="Arial"/>
        </w:rPr>
      </w:pPr>
    </w:p>
    <w:p w14:paraId="1D78D264" w14:textId="77777777" w:rsidR="000B3649" w:rsidRDefault="000B3649" w:rsidP="000B3649">
      <w:pPr>
        <w:widowControl w:val="0"/>
        <w:autoSpaceDE w:val="0"/>
        <w:autoSpaceDN w:val="0"/>
        <w:spacing w:after="120" w:line="276" w:lineRule="auto"/>
        <w:jc w:val="both"/>
        <w:rPr>
          <w:rFonts w:ascii="Verdana" w:hAnsi="Verdana"/>
        </w:rPr>
      </w:pPr>
      <w:r w:rsidRPr="0053731C">
        <w:rPr>
          <w:rFonts w:ascii="Verdana" w:eastAsia="Calibri" w:hAnsi="Verdana" w:cs="Arial"/>
          <w:lang w:val="es-ES_tradnl" w:eastAsia="es-ES_tradnl"/>
        </w:rPr>
        <w:t xml:space="preserve">Sobre el régimen de inhabilidades e incompatibilidades se pronunció esta Subdirección en los conceptos </w:t>
      </w:r>
      <w:r w:rsidRPr="0053731C">
        <w:rPr>
          <w:rFonts w:ascii="Verdana" w:eastAsia="Calibri" w:hAnsi="Verdana" w:cs="Arial"/>
          <w:lang w:val="es-MX"/>
        </w:rPr>
        <w:t>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53731C">
        <w:rPr>
          <w:rFonts w:ascii="Verdana" w:hAnsi="Verdana" w:cs="Arial"/>
        </w:rPr>
        <w:t xml:space="preserve">. También se ha pronunciado sobre </w:t>
      </w:r>
      <w:r>
        <w:rPr>
          <w:rFonts w:ascii="Verdana" w:hAnsi="Verdana" w:cs="Arial"/>
        </w:rPr>
        <w:t>el conflicto de interés</w:t>
      </w:r>
      <w:r w:rsidRPr="0053731C">
        <w:rPr>
          <w:rFonts w:ascii="Verdana" w:hAnsi="Verdana" w:cs="Arial"/>
        </w:rPr>
        <w:t xml:space="preserve"> en los conceptos </w:t>
      </w:r>
      <w:r w:rsidRPr="007440AE">
        <w:rPr>
          <w:rFonts w:ascii="Verdana" w:hAnsi="Verdana" w:cs="Arial"/>
        </w:rPr>
        <w:t>C-229 del 16 de abril de 2020, C-815 del 18 de febrero de 2021</w:t>
      </w:r>
      <w:r>
        <w:rPr>
          <w:rFonts w:ascii="Verdana" w:hAnsi="Verdana" w:cs="Arial"/>
        </w:rPr>
        <w:t>,</w:t>
      </w:r>
      <w:r w:rsidRPr="007440AE">
        <w:rPr>
          <w:rFonts w:ascii="Verdana" w:hAnsi="Verdana" w:cs="Arial"/>
        </w:rPr>
        <w:t xml:space="preserve"> C-449 del 31 de agosto de 2021</w:t>
      </w:r>
      <w:r>
        <w:rPr>
          <w:rFonts w:ascii="Verdana" w:hAnsi="Verdana" w:cs="Arial"/>
        </w:rPr>
        <w:t>,</w:t>
      </w:r>
      <w:r w:rsidRPr="0053731C">
        <w:rPr>
          <w:rFonts w:ascii="Verdana" w:hAnsi="Verdana" w:cs="Arial"/>
        </w:rPr>
        <w:t xml:space="preserve"> C-</w:t>
      </w:r>
      <w:r>
        <w:rPr>
          <w:rFonts w:ascii="Verdana" w:hAnsi="Verdana" w:cs="Arial"/>
        </w:rPr>
        <w:t>288</w:t>
      </w:r>
      <w:r w:rsidRPr="0053731C">
        <w:rPr>
          <w:rFonts w:ascii="Verdana" w:hAnsi="Verdana" w:cs="Arial"/>
        </w:rPr>
        <w:t xml:space="preserve"> del </w:t>
      </w:r>
      <w:r>
        <w:rPr>
          <w:rFonts w:ascii="Verdana" w:hAnsi="Verdana" w:cs="Arial"/>
        </w:rPr>
        <w:t>14</w:t>
      </w:r>
      <w:r w:rsidRPr="0053731C">
        <w:rPr>
          <w:rFonts w:ascii="Verdana" w:hAnsi="Verdana" w:cs="Arial"/>
        </w:rPr>
        <w:t xml:space="preserve"> de</w:t>
      </w:r>
      <w:r>
        <w:rPr>
          <w:rFonts w:ascii="Verdana" w:hAnsi="Verdana" w:cs="Arial"/>
        </w:rPr>
        <w:t xml:space="preserve"> julio </w:t>
      </w:r>
      <w:r w:rsidRPr="0053731C">
        <w:rPr>
          <w:rFonts w:ascii="Verdana" w:hAnsi="Verdana" w:cs="Arial"/>
        </w:rPr>
        <w:t>de 202</w:t>
      </w:r>
      <w:r>
        <w:rPr>
          <w:rFonts w:ascii="Verdana" w:hAnsi="Verdana" w:cs="Arial"/>
        </w:rPr>
        <w:t>3, C-651 del 22 de octubre de 2024, C-680 del 15 de noviembre de 2024, C-693 del 19 de noviembre de 2024 y C-839 del 13 de diciembre de 2024</w:t>
      </w:r>
      <w:r w:rsidRPr="00C45C5D">
        <w:rPr>
          <w:rFonts w:ascii="Verdana" w:hAnsi="Verdana" w:cs="Arial"/>
          <w:shd w:val="clear" w:color="auto" w:fill="FFFFFF"/>
          <w:lang w:val="es-ES"/>
        </w:rPr>
        <w:t>. Es</w:t>
      </w:r>
      <w:r w:rsidRPr="00C45C5D">
        <w:rPr>
          <w:rFonts w:ascii="Verdana" w:hAnsi="Verdana"/>
        </w:rPr>
        <w:t>tos y otros conceptos se encuentran disponibles para consulta en el Sistema de relatoría de la Agencia, al cual se puede acceder a través del siguiente enlace:</w:t>
      </w:r>
    </w:p>
    <w:p w14:paraId="3F2BFEC0" w14:textId="77777777" w:rsidR="000B3649" w:rsidRPr="00062436" w:rsidRDefault="000B3649" w:rsidP="000B3649">
      <w:pPr>
        <w:widowControl w:val="0"/>
        <w:autoSpaceDE w:val="0"/>
        <w:autoSpaceDN w:val="0"/>
        <w:spacing w:after="120" w:line="276" w:lineRule="auto"/>
        <w:jc w:val="both"/>
        <w:rPr>
          <w:rFonts w:ascii="Verdana" w:hAnsi="Verdana" w:cs="Arial"/>
        </w:rPr>
      </w:pPr>
      <w:hyperlink r:id="rId9" w:history="1">
        <w:r w:rsidRPr="00C45C5D">
          <w:rPr>
            <w:rFonts w:ascii="Verdana" w:hAnsi="Verdana" w:cs="Arial"/>
            <w:color w:val="0563C1" w:themeColor="hyperlink"/>
            <w:u w:val="single"/>
            <w:shd w:val="clear" w:color="auto" w:fill="FFFFFF"/>
            <w:lang w:val="es-ES"/>
          </w:rPr>
          <w:t>https://relatoria.colombiacompra.gov.co/busqueda/conceptos</w:t>
        </w:r>
      </w:hyperlink>
      <w:r w:rsidRPr="00C45C5D">
        <w:rPr>
          <w:rFonts w:ascii="Verdana" w:hAnsi="Verdana" w:cs="Arial"/>
          <w:shd w:val="clear" w:color="auto" w:fill="FFFFFF"/>
          <w:lang w:val="es-ES"/>
        </w:rPr>
        <w:t>.</w:t>
      </w:r>
      <w:r w:rsidRPr="00C45C5D">
        <w:rPr>
          <w:rFonts w:ascii="Verdana" w:hAnsi="Verdana" w:cs="Arial"/>
          <w:color w:val="FF0000"/>
          <w:shd w:val="clear" w:color="auto" w:fill="FFFFFF"/>
          <w:lang w:val="es-ES"/>
        </w:rPr>
        <w:t xml:space="preserve"> </w:t>
      </w:r>
      <w:r w:rsidRPr="00C45C5D">
        <w:rPr>
          <w:rFonts w:ascii="Verdana" w:hAnsi="Verdana" w:cs="Arial"/>
          <w:color w:val="000000" w:themeColor="text1"/>
          <w:shd w:val="clear" w:color="auto" w:fill="FFFFFF"/>
        </w:rPr>
        <w:t>  </w:t>
      </w:r>
    </w:p>
    <w:p w14:paraId="15D8DCFA" w14:textId="77777777" w:rsidR="000B3649" w:rsidRPr="00E3533A" w:rsidRDefault="000B3649" w:rsidP="000B3649">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3BA21266" w14:textId="77777777" w:rsidR="000B3649" w:rsidRDefault="000B3649" w:rsidP="000B3649">
      <w:pPr>
        <w:widowControl w:val="0"/>
        <w:autoSpaceDE w:val="0"/>
        <w:autoSpaceDN w:val="0"/>
        <w:spacing w:after="0" w:line="276" w:lineRule="auto"/>
        <w:jc w:val="both"/>
        <w:rPr>
          <w:rFonts w:ascii="Verdana" w:hAnsi="Verdana" w:cs="Arial"/>
        </w:rPr>
      </w:pPr>
    </w:p>
    <w:p w14:paraId="53A8BA01" w14:textId="77777777" w:rsidR="000B3649" w:rsidRPr="00116940" w:rsidRDefault="000B3649" w:rsidP="000B364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AF4A83C" w14:textId="77777777" w:rsidR="000B3649" w:rsidRPr="00116940" w:rsidRDefault="000B3649" w:rsidP="000B3649">
      <w:pPr>
        <w:spacing w:after="0"/>
        <w:jc w:val="both"/>
        <w:rPr>
          <w:rFonts w:ascii="Verdana" w:hAnsi="Verdana"/>
        </w:rPr>
      </w:pPr>
    </w:p>
    <w:p w14:paraId="66E6C08A" w14:textId="77777777" w:rsidR="000B3649" w:rsidRPr="00116940" w:rsidRDefault="000B3649" w:rsidP="000B3649">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D75578F" w14:textId="77777777" w:rsidR="000B3649" w:rsidRPr="00116940" w:rsidRDefault="000B3649" w:rsidP="000B3649">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59ACD23A" w14:textId="77777777" w:rsidR="000B3649" w:rsidRPr="00116940" w:rsidRDefault="000B3649" w:rsidP="000B364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0">
        <w:r w:rsidRPr="00116940">
          <w:rPr>
            <w:rStyle w:val="Hipervnculo"/>
            <w:rFonts w:ascii="Verdana" w:eastAsia="Verdana" w:hAnsi="Verdana" w:cs="Verdana"/>
            <w:lang w:val="es-MX"/>
          </w:rPr>
          <w:t>ventanilladeradicacion@colombiacompra.gov.co</w:t>
        </w:r>
      </w:hyperlink>
    </w:p>
    <w:p w14:paraId="5609EDA2" w14:textId="77777777" w:rsidR="000B3649" w:rsidRPr="00116940" w:rsidRDefault="000B3649" w:rsidP="000B364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1">
        <w:r w:rsidRPr="00116940">
          <w:rPr>
            <w:rStyle w:val="Hipervnculo"/>
            <w:rFonts w:ascii="Verdana" w:eastAsia="Verdana" w:hAnsi="Verdana" w:cs="Verdana"/>
            <w:lang w:val="es-MX"/>
          </w:rPr>
          <w:t>https://www.colombiacompra.gov.co/pqrsd/informacion-importante-antes-de-formular-una-pqrsd</w:t>
        </w:r>
      </w:hyperlink>
    </w:p>
    <w:p w14:paraId="55EE55A3" w14:textId="77777777" w:rsidR="000B3649" w:rsidRPr="00116940" w:rsidRDefault="000B3649" w:rsidP="000B3649">
      <w:pPr>
        <w:spacing w:after="0" w:line="240" w:lineRule="auto"/>
        <w:ind w:left="720"/>
        <w:jc w:val="both"/>
        <w:rPr>
          <w:rFonts w:ascii="Verdana" w:hAnsi="Verdana"/>
        </w:rPr>
      </w:pPr>
    </w:p>
    <w:p w14:paraId="33583CBC" w14:textId="77777777" w:rsidR="000B3649" w:rsidRPr="00116940" w:rsidRDefault="000B3649" w:rsidP="000B364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2"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B1ECF10" w14:textId="77777777" w:rsidR="000B3649" w:rsidRPr="00116940" w:rsidRDefault="000B3649" w:rsidP="000B3649">
      <w:pPr>
        <w:spacing w:after="0" w:line="240" w:lineRule="auto"/>
        <w:rPr>
          <w:rFonts w:ascii="Verdana" w:hAnsi="Verdana"/>
        </w:rPr>
      </w:pPr>
    </w:p>
    <w:p w14:paraId="47FA7FB0" w14:textId="77777777" w:rsidR="000B3649" w:rsidRPr="00116940" w:rsidRDefault="000B3649" w:rsidP="000B364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0016BD6" w14:textId="77777777" w:rsidR="000B3649" w:rsidRPr="00116940" w:rsidRDefault="000B3649" w:rsidP="000B3649">
      <w:pPr>
        <w:spacing w:after="0" w:line="240" w:lineRule="auto"/>
        <w:jc w:val="both"/>
        <w:rPr>
          <w:rFonts w:ascii="Verdana" w:hAnsi="Verdana"/>
        </w:rPr>
      </w:pPr>
    </w:p>
    <w:p w14:paraId="0192D5F9" w14:textId="77777777" w:rsidR="000B3649" w:rsidRPr="00116940" w:rsidRDefault="000B3649" w:rsidP="000B364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9277437" w14:textId="77777777" w:rsidR="000B3649" w:rsidRPr="00116940" w:rsidRDefault="000B3649" w:rsidP="000B3649">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79A25C1D" w14:textId="77777777" w:rsidR="000B3649" w:rsidRPr="00116940" w:rsidRDefault="000B3649" w:rsidP="000B364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4B4ACC2" w14:textId="77777777" w:rsidR="000B3649" w:rsidRPr="00116940" w:rsidRDefault="000B3649" w:rsidP="000B3649">
      <w:pPr>
        <w:spacing w:after="0" w:line="240" w:lineRule="auto"/>
        <w:jc w:val="both"/>
        <w:rPr>
          <w:rFonts w:ascii="Verdana" w:hAnsi="Verdana"/>
        </w:rPr>
      </w:pPr>
    </w:p>
    <w:p w14:paraId="025481CC" w14:textId="77777777" w:rsidR="000B3649" w:rsidRPr="00593A5F" w:rsidRDefault="000B3649" w:rsidP="000B364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F041120" w14:textId="77777777" w:rsidR="000B3649" w:rsidRPr="00606FF7" w:rsidRDefault="000B3649" w:rsidP="000B3649">
      <w:pPr>
        <w:spacing w:after="0" w:line="276" w:lineRule="auto"/>
        <w:jc w:val="both"/>
        <w:rPr>
          <w:rFonts w:ascii="Verdana" w:hAnsi="Verdana"/>
          <w:lang w:val="es-ES_tradnl"/>
        </w:rPr>
      </w:pPr>
    </w:p>
    <w:p w14:paraId="5A11E44C" w14:textId="77777777" w:rsidR="000B3649" w:rsidRPr="00606FF7" w:rsidRDefault="000B3649" w:rsidP="000B3649">
      <w:pPr>
        <w:spacing w:after="0" w:line="276" w:lineRule="auto"/>
        <w:jc w:val="both"/>
        <w:rPr>
          <w:rFonts w:ascii="Verdana" w:hAnsi="Verdana"/>
          <w:lang w:val="es-MX"/>
        </w:rPr>
      </w:pPr>
      <w:r w:rsidRPr="00606FF7">
        <w:rPr>
          <w:rFonts w:ascii="Verdana" w:hAnsi="Verdana"/>
          <w:lang w:val="es-MX"/>
        </w:rPr>
        <w:t>Cordialmente,</w:t>
      </w:r>
    </w:p>
    <w:p w14:paraId="7B70291F" w14:textId="270D53D9" w:rsidR="000B3649" w:rsidRPr="00C45C5D" w:rsidRDefault="00FF6958" w:rsidP="000B364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455679C2" wp14:editId="2189DDB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B3649" w:rsidRPr="00E3533A" w14:paraId="38CE7EF8" w14:textId="77777777" w:rsidTr="0084327A">
        <w:trPr>
          <w:trHeight w:val="315"/>
        </w:trPr>
        <w:tc>
          <w:tcPr>
            <w:tcW w:w="893" w:type="dxa"/>
            <w:vAlign w:val="center"/>
            <w:hideMark/>
          </w:tcPr>
          <w:p w14:paraId="18E69196" w14:textId="77777777" w:rsidR="000B3649" w:rsidRPr="00E3533A" w:rsidRDefault="000B3649" w:rsidP="0084327A">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06BDCC4" w14:textId="77777777" w:rsidR="000B3649" w:rsidRPr="00E3533A" w:rsidRDefault="000B3649" w:rsidP="0084327A">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25012AAA" w14:textId="77777777" w:rsidR="000B3649" w:rsidRPr="00E3533A" w:rsidRDefault="000B3649" w:rsidP="0084327A">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0B3649" w:rsidRPr="00E3533A" w14:paraId="250EEE53" w14:textId="77777777" w:rsidTr="0084327A">
        <w:trPr>
          <w:trHeight w:val="330"/>
        </w:trPr>
        <w:tc>
          <w:tcPr>
            <w:tcW w:w="893" w:type="dxa"/>
            <w:vAlign w:val="center"/>
            <w:hideMark/>
          </w:tcPr>
          <w:p w14:paraId="64E9C74F" w14:textId="77777777" w:rsidR="000B3649" w:rsidRPr="00E3533A" w:rsidRDefault="000B3649" w:rsidP="0084327A">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900C05" w14:textId="77777777" w:rsidR="000B3649" w:rsidRPr="002B5C7D" w:rsidRDefault="000B3649" w:rsidP="0084327A">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6C2A125A" w14:textId="77777777" w:rsidR="000B3649" w:rsidRPr="00E3533A" w:rsidRDefault="000B3649" w:rsidP="0084327A">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0B3649" w:rsidRPr="00E3533A" w14:paraId="5257D9A5" w14:textId="77777777" w:rsidTr="0084327A">
        <w:trPr>
          <w:trHeight w:val="300"/>
        </w:trPr>
        <w:tc>
          <w:tcPr>
            <w:tcW w:w="893" w:type="dxa"/>
            <w:vAlign w:val="center"/>
          </w:tcPr>
          <w:p w14:paraId="48D9A1B8" w14:textId="77777777" w:rsidR="000B3649" w:rsidRPr="00E3533A" w:rsidRDefault="000B3649" w:rsidP="0084327A">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01DF931" w14:textId="77777777" w:rsidR="000B3649" w:rsidRPr="00E3533A" w:rsidRDefault="000B3649" w:rsidP="0084327A">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Carolina Quintero Gacharná</w:t>
            </w:r>
          </w:p>
          <w:p w14:paraId="78EDB579" w14:textId="77777777" w:rsidR="000B3649" w:rsidRPr="00E3533A" w:rsidRDefault="000B3649" w:rsidP="0084327A">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0F455DFE" w14:textId="77777777" w:rsidR="000B3649" w:rsidRPr="00C45C5D" w:rsidRDefault="000B3649" w:rsidP="000B3649"/>
    <w:p w14:paraId="7333A4F3" w14:textId="77777777" w:rsidR="000B3649" w:rsidRPr="00C45C5D" w:rsidRDefault="000B3649" w:rsidP="000B3649">
      <w:pPr>
        <w:spacing w:after="0" w:line="240" w:lineRule="auto"/>
        <w:rPr>
          <w:rFonts w:ascii="Verdana" w:hAnsi="Verdana" w:cs="Arial"/>
          <w:b/>
          <w:color w:val="000000" w:themeColor="text1"/>
          <w:sz w:val="20"/>
          <w:szCs w:val="20"/>
        </w:rPr>
      </w:pPr>
    </w:p>
    <w:bookmarkEnd w:id="0"/>
    <w:p w14:paraId="1F4BE9A7" w14:textId="77777777" w:rsidR="000B3649" w:rsidRPr="00C45C5D" w:rsidRDefault="000B3649" w:rsidP="000B3649">
      <w:pPr>
        <w:spacing w:after="0" w:line="240" w:lineRule="auto"/>
        <w:rPr>
          <w:rFonts w:ascii="Verdana" w:hAnsi="Verdana" w:cs="Arial"/>
          <w:b/>
          <w:color w:val="000000" w:themeColor="text1"/>
          <w:sz w:val="20"/>
          <w:szCs w:val="20"/>
        </w:rPr>
      </w:pPr>
    </w:p>
    <w:p w14:paraId="3E4F6A62" w14:textId="77777777" w:rsidR="000B3649" w:rsidRPr="00C45C5D" w:rsidRDefault="000B3649" w:rsidP="000B3649"/>
    <w:p w14:paraId="07B10CB8" w14:textId="77777777" w:rsidR="000B3649" w:rsidRPr="00C45C5D" w:rsidRDefault="000B3649" w:rsidP="000B3649"/>
    <w:p w14:paraId="2E419D87" w14:textId="77777777" w:rsidR="000B3649" w:rsidRPr="00A278E4" w:rsidRDefault="000B3649" w:rsidP="000B3649"/>
    <w:p w14:paraId="2644FDBD" w14:textId="77777777" w:rsidR="000B3649" w:rsidRPr="00337DF3" w:rsidRDefault="000B3649" w:rsidP="000B3649"/>
    <w:p w14:paraId="3FC71041" w14:textId="77777777" w:rsidR="000B3649" w:rsidRPr="006D2C49" w:rsidRDefault="000B3649" w:rsidP="000B3649"/>
    <w:p w14:paraId="52B3EA09" w14:textId="77777777" w:rsidR="00274079" w:rsidRDefault="00274079"/>
    <w:sectPr w:rsidR="00274079" w:rsidSect="000B3649">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1DCCB" w14:textId="77777777" w:rsidR="000B3649" w:rsidRDefault="000B3649" w:rsidP="000B3649">
      <w:pPr>
        <w:spacing w:after="0" w:line="240" w:lineRule="auto"/>
      </w:pPr>
      <w:r>
        <w:separator/>
      </w:r>
    </w:p>
  </w:endnote>
  <w:endnote w:type="continuationSeparator" w:id="0">
    <w:p w14:paraId="4A50145F" w14:textId="77777777" w:rsidR="000B3649" w:rsidRDefault="000B3649" w:rsidP="000B36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B80C7" w14:textId="77777777" w:rsidR="000B3649" w:rsidRDefault="000B3649">
    <w:pPr>
      <w:pStyle w:val="Piedepgina"/>
    </w:pPr>
  </w:p>
  <w:p w14:paraId="2E280745" w14:textId="77777777" w:rsidR="000B3649" w:rsidRPr="00174B77" w:rsidRDefault="000B364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0ABA5A7" w14:textId="77777777" w:rsidR="000B3649" w:rsidRDefault="000B364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3FECB5C" w14:textId="77777777" w:rsidR="000B3649" w:rsidRPr="00E41027" w:rsidRDefault="000B3649" w:rsidP="00D520D8">
    <w:pPr>
      <w:spacing w:after="0"/>
      <w:jc w:val="both"/>
      <w:rPr>
        <w:rFonts w:ascii="Verdana" w:hAnsi="Verdana"/>
        <w:sz w:val="18"/>
        <w:szCs w:val="18"/>
      </w:rPr>
    </w:pPr>
    <w:r w:rsidRPr="00E41027">
      <w:rPr>
        <w:rFonts w:ascii="Verdana" w:hAnsi="Verdana"/>
        <w:sz w:val="18"/>
        <w:szCs w:val="18"/>
      </w:rPr>
      <w:t>Mesa de servicio: (+57) 601 7456788</w:t>
    </w:r>
  </w:p>
  <w:p w14:paraId="40CC8481" w14:textId="77777777" w:rsidR="000B3649" w:rsidRPr="006D2C49" w:rsidRDefault="000B3649" w:rsidP="356CEDFD">
    <w:pPr>
      <w:pBdr>
        <w:top w:val="nil"/>
        <w:left w:val="nil"/>
        <w:bottom w:val="nil"/>
        <w:right w:val="nil"/>
        <w:between w:val="nil"/>
      </w:pBdr>
      <w:tabs>
        <w:tab w:val="center" w:pos="4419"/>
        <w:tab w:val="right" w:pos="8838"/>
        <w:tab w:val="center" w:pos="5400"/>
      </w:tabs>
      <w:spacing w:after="0"/>
      <w:jc w:val="right"/>
      <w:rPr>
        <w:lang w:val="pt-BR"/>
      </w:rPr>
    </w:pPr>
    <w:r w:rsidRPr="006D2C49">
      <w:rPr>
        <w:rFonts w:ascii="Century Gothic" w:eastAsia="Geo" w:hAnsi="Century Gothic" w:cs="Geo"/>
        <w:b/>
        <w:bCs/>
        <w:color w:val="000000" w:themeColor="text1"/>
        <w:sz w:val="16"/>
        <w:szCs w:val="16"/>
        <w:lang w:val="pt-BR" w:eastAsia="es-CO"/>
      </w:rPr>
      <w:t xml:space="preserve">Código: </w:t>
    </w:r>
    <w:r w:rsidRPr="006D2C49">
      <w:rPr>
        <w:rFonts w:ascii="Century Gothic" w:eastAsia="Geo" w:hAnsi="Century Gothic" w:cs="Geo"/>
        <w:color w:val="000000" w:themeColor="text1"/>
        <w:sz w:val="16"/>
        <w:szCs w:val="16"/>
        <w:lang w:val="pt-BR" w:eastAsia="es-CO"/>
      </w:rPr>
      <w:t xml:space="preserve">CCE-REC-FM-17 </w:t>
    </w:r>
    <w:r w:rsidRPr="006D2C49">
      <w:rPr>
        <w:rFonts w:ascii="Century Gothic" w:eastAsia="Geo" w:hAnsi="Century Gothic" w:cs="Geo"/>
        <w:b/>
        <w:bCs/>
        <w:color w:val="000000" w:themeColor="text1"/>
        <w:sz w:val="16"/>
        <w:szCs w:val="16"/>
        <w:lang w:val="pt-BR" w:eastAsia="es-CO"/>
      </w:rPr>
      <w:t>V</w:t>
    </w:r>
    <w:r w:rsidRPr="006D2C49">
      <w:rPr>
        <w:rFonts w:ascii="Century Gothic" w:eastAsia="Arial Nova" w:hAnsi="Century Gothic" w:cs="Arial Nova"/>
        <w:b/>
        <w:bCs/>
        <w:color w:val="000000" w:themeColor="text1"/>
        <w:sz w:val="16"/>
        <w:szCs w:val="16"/>
        <w:lang w:val="pt-BR" w:eastAsia="es-CO"/>
      </w:rPr>
      <w:t xml:space="preserve">: </w:t>
    </w:r>
    <w:r w:rsidRPr="006D2C49">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79DF9" w14:textId="77777777" w:rsidR="000B3649" w:rsidRDefault="000B3649" w:rsidP="000B3649">
      <w:pPr>
        <w:spacing w:after="0" w:line="240" w:lineRule="auto"/>
      </w:pPr>
      <w:r>
        <w:separator/>
      </w:r>
    </w:p>
  </w:footnote>
  <w:footnote w:type="continuationSeparator" w:id="0">
    <w:p w14:paraId="47AF86F6" w14:textId="77777777" w:rsidR="000B3649" w:rsidRDefault="000B3649" w:rsidP="000B3649">
      <w:pPr>
        <w:spacing w:after="0" w:line="240" w:lineRule="auto"/>
      </w:pPr>
      <w:r>
        <w:continuationSeparator/>
      </w:r>
    </w:p>
  </w:footnote>
  <w:footnote w:id="1">
    <w:p w14:paraId="6F7EB8E7"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6B88785E"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6D7E9120" w14:textId="77777777" w:rsidR="000B3649" w:rsidRPr="001A625A" w:rsidRDefault="000B3649" w:rsidP="000B3649">
      <w:pPr>
        <w:pStyle w:val="Textonotapie"/>
        <w:ind w:firstLine="709"/>
        <w:jc w:val="both"/>
        <w:rPr>
          <w:rFonts w:ascii="Verdana" w:hAnsi="Verdana" w:cs="Arial"/>
          <w:color w:val="000000" w:themeColor="text1"/>
          <w:sz w:val="16"/>
          <w:szCs w:val="16"/>
        </w:rPr>
      </w:pPr>
    </w:p>
  </w:footnote>
  <w:footnote w:id="2">
    <w:p w14:paraId="2B9276E1"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2CE77220"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1o.) que sea legalmente capaz.</w:t>
      </w:r>
    </w:p>
    <w:p w14:paraId="46120E0A"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w:t>
      </w:r>
    </w:p>
    <w:p w14:paraId="3DB17C5C"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 capacidad legal de una persona consiste en poderse obligar por sí misma, sin el ministerio o la autorización de otra”.</w:t>
      </w:r>
    </w:p>
    <w:p w14:paraId="5CFCB062" w14:textId="77777777" w:rsidR="000B3649" w:rsidRPr="001A625A" w:rsidRDefault="000B3649" w:rsidP="000B3649">
      <w:pPr>
        <w:pStyle w:val="Textonotapie"/>
        <w:ind w:firstLine="709"/>
        <w:jc w:val="both"/>
        <w:rPr>
          <w:rFonts w:ascii="Verdana" w:hAnsi="Verdana" w:cs="Arial"/>
          <w:color w:val="000000" w:themeColor="text1"/>
          <w:sz w:val="16"/>
          <w:szCs w:val="16"/>
          <w:lang w:val="es-CO"/>
        </w:rPr>
      </w:pPr>
    </w:p>
  </w:footnote>
  <w:footnote w:id="3">
    <w:p w14:paraId="65078D12" w14:textId="77777777" w:rsidR="000B3649" w:rsidRPr="001A625A" w:rsidRDefault="000B3649" w:rsidP="000B3649">
      <w:pPr>
        <w:pStyle w:val="Textonotapie"/>
        <w:jc w:val="both"/>
        <w:rPr>
          <w:rFonts w:ascii="Verdana" w:hAnsi="Verdana" w:cs="Arial"/>
          <w:color w:val="000000" w:themeColor="text1"/>
          <w:sz w:val="16"/>
          <w:szCs w:val="16"/>
          <w:lang w:val="es-ES"/>
        </w:rPr>
      </w:pPr>
    </w:p>
  </w:footnote>
  <w:footnote w:id="4">
    <w:p w14:paraId="6DBBD3D6" w14:textId="77777777" w:rsidR="000B3649" w:rsidRPr="001A625A" w:rsidRDefault="000B3649" w:rsidP="000B364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59BAB2F3" w14:textId="77777777" w:rsidR="000B3649" w:rsidRPr="001A625A" w:rsidRDefault="000B3649" w:rsidP="000B3649">
      <w:pPr>
        <w:spacing w:after="0" w:line="240" w:lineRule="auto"/>
        <w:ind w:firstLine="709"/>
        <w:jc w:val="both"/>
        <w:rPr>
          <w:rFonts w:ascii="Verdana" w:hAnsi="Verdana" w:cs="Arial"/>
          <w:color w:val="000000" w:themeColor="text1"/>
          <w:sz w:val="16"/>
          <w:szCs w:val="16"/>
          <w:lang w:val="es-ES"/>
        </w:rPr>
      </w:pPr>
    </w:p>
  </w:footnote>
  <w:footnote w:id="5">
    <w:p w14:paraId="6A6FF801"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648A357F" w14:textId="77777777" w:rsidR="000B3649" w:rsidRPr="001A625A" w:rsidRDefault="000B3649" w:rsidP="000B3649">
      <w:pPr>
        <w:pStyle w:val="Textonotapie"/>
        <w:ind w:firstLine="709"/>
        <w:jc w:val="both"/>
        <w:rPr>
          <w:rFonts w:ascii="Verdana" w:hAnsi="Verdana" w:cs="Arial"/>
          <w:color w:val="000000" w:themeColor="text1"/>
          <w:sz w:val="16"/>
          <w:szCs w:val="16"/>
          <w:lang w:val="es-CO"/>
        </w:rPr>
      </w:pPr>
    </w:p>
  </w:footnote>
  <w:footnote w:id="6">
    <w:p w14:paraId="253341FF"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3A77ACF4" w14:textId="77777777" w:rsidR="000B3649" w:rsidRPr="001A625A" w:rsidRDefault="000B3649" w:rsidP="000B3649">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7">
    <w:p w14:paraId="1C32D3E6" w14:textId="77777777" w:rsidR="000B3649" w:rsidRPr="001A625A" w:rsidRDefault="000B3649" w:rsidP="000B364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64F7EE6D" w14:textId="77777777" w:rsidR="000B3649" w:rsidRPr="001A625A" w:rsidRDefault="000B3649" w:rsidP="000B3649">
      <w:pPr>
        <w:spacing w:after="0" w:line="240" w:lineRule="auto"/>
        <w:ind w:firstLine="709"/>
        <w:jc w:val="both"/>
        <w:rPr>
          <w:rFonts w:ascii="Verdana" w:hAnsi="Verdana" w:cs="Arial"/>
          <w:color w:val="000000" w:themeColor="text1"/>
          <w:sz w:val="16"/>
          <w:szCs w:val="16"/>
          <w:lang w:val="es-ES"/>
        </w:rPr>
      </w:pPr>
    </w:p>
  </w:footnote>
  <w:footnote w:id="8">
    <w:p w14:paraId="1682BD91"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30AF21B8"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p>
  </w:footnote>
  <w:footnote w:id="9">
    <w:p w14:paraId="49AD529B"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Ibíd., p. 69.</w:t>
      </w:r>
    </w:p>
    <w:p w14:paraId="1946D815"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p>
  </w:footnote>
  <w:footnote w:id="10">
    <w:p w14:paraId="4DDC53F4"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188D8592"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p>
  </w:footnote>
  <w:footnote w:id="11">
    <w:p w14:paraId="0849E1EC"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p w14:paraId="156CD0D6"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p>
  </w:footnote>
  <w:footnote w:id="12">
    <w:p w14:paraId="0A945AC4"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p w14:paraId="786ACD71"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p>
  </w:footnote>
  <w:footnote w:id="13">
    <w:p w14:paraId="345869C1" w14:textId="77777777" w:rsidR="000B3649" w:rsidRPr="001A625A" w:rsidRDefault="000B3649" w:rsidP="000B3649">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p w14:paraId="3EDDD4C6"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p>
  </w:footnote>
  <w:footnote w:id="14">
    <w:p w14:paraId="5F388A97" w14:textId="77777777" w:rsidR="000B3649" w:rsidRPr="001A625A" w:rsidRDefault="000B3649" w:rsidP="000B364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Así lo ha reconocido la doctrina: “Por otra parte, la reglamentación de la prestación de servicios comprende una paleta normativa que busca limitar la tergiversación de este tipo de contratos en beneficio de las </w:t>
      </w:r>
      <w:r w:rsidRPr="001A625A">
        <w:rPr>
          <w:rFonts w:ascii="Verdana" w:hAnsi="Verdana" w:cs="Arial"/>
          <w:i/>
          <w:color w:val="000000" w:themeColor="text1"/>
          <w:sz w:val="16"/>
          <w:szCs w:val="16"/>
          <w:lang w:val="es-ES"/>
        </w:rPr>
        <w:t>nóminas paralelas</w:t>
      </w:r>
      <w:r w:rsidRPr="001A625A">
        <w:rPr>
          <w:rFonts w:ascii="Verdana" w:hAnsi="Verdana" w:cs="Arial"/>
          <w:color w:val="000000" w:themeColor="text1"/>
          <w:sz w:val="16"/>
          <w:szCs w:val="16"/>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footnote>
  <w:footnote w:id="15">
    <w:p w14:paraId="1729BAD2" w14:textId="77777777" w:rsidR="000B3649" w:rsidRPr="001A625A" w:rsidRDefault="000B3649" w:rsidP="000B3649">
      <w:pPr>
        <w:pStyle w:val="Textonotapie"/>
        <w:ind w:firstLine="709"/>
        <w:rPr>
          <w:rFonts w:ascii="Verdana" w:hAnsi="Verdana"/>
          <w:sz w:val="16"/>
          <w:szCs w:val="16"/>
          <w:lang w:val="es-CO"/>
        </w:rPr>
      </w:pPr>
      <w:r w:rsidRPr="001A625A">
        <w:rPr>
          <w:rStyle w:val="Refdenotaalpie"/>
          <w:rFonts w:ascii="Verdana" w:hAnsi="Verdana"/>
          <w:sz w:val="16"/>
          <w:szCs w:val="16"/>
        </w:rPr>
        <w:footnoteRef/>
      </w:r>
      <w:r w:rsidRPr="001A625A">
        <w:rPr>
          <w:rFonts w:ascii="Verdana" w:hAnsi="Verdana"/>
          <w:sz w:val="16"/>
          <w:szCs w:val="16"/>
        </w:rPr>
        <w:t xml:space="preserve"> </w:t>
      </w:r>
      <w:r w:rsidRPr="001A625A">
        <w:rPr>
          <w:rFonts w:ascii="Verdana" w:hAnsi="Verdana" w:cs="Arial"/>
          <w:color w:val="000000"/>
          <w:sz w:val="16"/>
          <w:szCs w:val="16"/>
        </w:rPr>
        <w:t>Consejo de Estado. Sala de Consulta y de Servicio Civil. Concepto del 23 de marzo de 2011. Rad. 2.045. C.P. Enrique José Arboleda Perdomo.</w:t>
      </w:r>
    </w:p>
  </w:footnote>
  <w:footnote w:id="16">
    <w:p w14:paraId="36F0B659" w14:textId="77777777" w:rsidR="000B3649" w:rsidRPr="001A625A" w:rsidRDefault="000B3649" w:rsidP="000B3649">
      <w:pPr>
        <w:pStyle w:val="Textonotapie"/>
        <w:ind w:firstLine="708"/>
        <w:jc w:val="both"/>
        <w:rPr>
          <w:rFonts w:ascii="Verdana" w:hAnsi="Verdana" w:cs="Arial"/>
          <w:color w:val="000000" w:themeColor="text1"/>
          <w:sz w:val="16"/>
          <w:szCs w:val="16"/>
        </w:rPr>
      </w:pPr>
      <w:r w:rsidRPr="001A625A">
        <w:rPr>
          <w:rStyle w:val="Refdenotaalpie"/>
          <w:rFonts w:ascii="Verdana" w:hAnsi="Verdana" w:cs="Arial"/>
          <w:sz w:val="16"/>
          <w:szCs w:val="16"/>
        </w:rPr>
        <w:footnoteRef/>
      </w:r>
      <w:r w:rsidRPr="001A625A">
        <w:rPr>
          <w:rFonts w:ascii="Verdana" w:hAnsi="Verdana" w:cs="Arial"/>
          <w:sz w:val="16"/>
          <w:szCs w:val="16"/>
        </w:rPr>
        <w:t xml:space="preserve"> CONSEJO DE ESTADO. Sala de Consulta y Servicio Civil. Concepto del </w:t>
      </w:r>
      <w:r w:rsidRPr="001A625A">
        <w:rPr>
          <w:rFonts w:ascii="Verdana" w:hAnsi="Verdana" w:cs="Arial"/>
          <w:color w:val="000000" w:themeColor="text1"/>
          <w:sz w:val="16"/>
          <w:szCs w:val="16"/>
        </w:rPr>
        <w:t>10 de agosto de 2006. Exp. 1.767. C.P. Luis Fernando Álvarez Jaramillo.</w:t>
      </w:r>
    </w:p>
    <w:p w14:paraId="4B9046AE" w14:textId="77777777" w:rsidR="000B3649" w:rsidRPr="001A625A" w:rsidRDefault="000B3649" w:rsidP="000B3649">
      <w:pPr>
        <w:pStyle w:val="Textonotapie"/>
        <w:ind w:firstLine="708"/>
        <w:jc w:val="both"/>
        <w:rPr>
          <w:rFonts w:ascii="Verdana" w:hAnsi="Verdana" w:cs="Arial"/>
          <w:sz w:val="16"/>
          <w:szCs w:val="16"/>
          <w:lang w:val="es-CO"/>
        </w:rPr>
      </w:pPr>
    </w:p>
  </w:footnote>
  <w:footnote w:id="17">
    <w:p w14:paraId="78F44C96" w14:textId="77777777" w:rsidR="000B3649" w:rsidRPr="001A625A" w:rsidRDefault="000B3649" w:rsidP="000B3649">
      <w:pPr>
        <w:pStyle w:val="Textonotapie"/>
        <w:ind w:firstLine="708"/>
        <w:jc w:val="both"/>
        <w:rPr>
          <w:rFonts w:ascii="Verdana" w:eastAsia="Calibri" w:hAnsi="Verdana" w:cs="Arial"/>
          <w:sz w:val="16"/>
          <w:szCs w:val="16"/>
          <w:lang w:val="es-CO"/>
        </w:rPr>
      </w:pPr>
      <w:r w:rsidRPr="001A625A">
        <w:rPr>
          <w:rStyle w:val="Refdenotaalpie"/>
          <w:rFonts w:ascii="Verdana" w:hAnsi="Verdana" w:cs="Arial"/>
          <w:sz w:val="16"/>
          <w:szCs w:val="16"/>
        </w:rPr>
        <w:footnoteRef/>
      </w:r>
      <w:r w:rsidRPr="001A625A">
        <w:rPr>
          <w:rFonts w:ascii="Verdana" w:hAnsi="Verdana" w:cs="Arial"/>
          <w:sz w:val="16"/>
          <w:szCs w:val="16"/>
        </w:rPr>
        <w:t xml:space="preserve"> Como expresa DÁVILA: «[…] </w:t>
      </w:r>
      <w:r w:rsidRPr="001A625A">
        <w:rPr>
          <w:rFonts w:ascii="Verdana" w:eastAsia="Calibri" w:hAnsi="Verdana" w:cs="Arial"/>
          <w:sz w:val="16"/>
          <w:szCs w:val="16"/>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4F2B0C5B" w14:textId="77777777" w:rsidR="000B3649" w:rsidRPr="001A625A" w:rsidRDefault="000B3649" w:rsidP="000B3649">
      <w:pPr>
        <w:pStyle w:val="Textonotapie"/>
        <w:ind w:firstLine="708"/>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5CE42" w14:textId="77777777" w:rsidR="000B3649" w:rsidRDefault="000B364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5893284" wp14:editId="4B63AB93">
          <wp:simplePos x="0" y="0"/>
          <wp:positionH relativeFrom="margin">
            <wp:align>center</wp:align>
          </wp:positionH>
          <wp:positionV relativeFrom="paragraph">
            <wp:posOffset>-256388</wp:posOffset>
          </wp:positionV>
          <wp:extent cx="1924050" cy="856004"/>
          <wp:effectExtent l="0" t="0" r="0" b="1270"/>
          <wp:wrapNone/>
          <wp:docPr id="1309089902" name="Imagen 130908990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9B9FF87" wp14:editId="7F8CCD6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5469397" w14:textId="77777777" w:rsidR="000B3649" w:rsidRDefault="000B3649">
    <w:pPr>
      <w:pStyle w:val="Encabezado"/>
    </w:pPr>
  </w:p>
  <w:p w14:paraId="3F98EAFC" w14:textId="77777777" w:rsidR="000B3649" w:rsidRPr="004A305D" w:rsidRDefault="000B3649" w:rsidP="00B01B1A">
    <w:pPr>
      <w:spacing w:after="0" w:line="120" w:lineRule="auto"/>
      <w:rPr>
        <w:rFonts w:ascii="Century Gothic" w:eastAsia="Geo" w:hAnsi="Century Gothic" w:cs="Geo"/>
        <w:sz w:val="16"/>
        <w:szCs w:val="16"/>
        <w:lang w:eastAsia="es-CO"/>
      </w:rPr>
    </w:pPr>
  </w:p>
  <w:p w14:paraId="687BAB4C" w14:textId="77777777" w:rsidR="000B3649" w:rsidRDefault="000B3649" w:rsidP="00844AE9">
    <w:pPr>
      <w:spacing w:after="0" w:line="240" w:lineRule="auto"/>
      <w:rPr>
        <w:rFonts w:ascii="Verdana" w:hAnsi="Verdana"/>
        <w:sz w:val="24"/>
        <w:szCs w:val="24"/>
      </w:rPr>
    </w:pPr>
  </w:p>
  <w:p w14:paraId="6B677612" w14:textId="77777777" w:rsidR="000B3649" w:rsidRPr="00C925AC" w:rsidRDefault="000B3649"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649"/>
    <w:rsid w:val="000B3649"/>
    <w:rsid w:val="00274079"/>
    <w:rsid w:val="00943FFE"/>
    <w:rsid w:val="00E65444"/>
    <w:rsid w:val="00FB5745"/>
    <w:rsid w:val="00FF69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13D99"/>
  <w15:chartTrackingRefBased/>
  <w15:docId w15:val="{EF8BF2C4-38A5-48AC-AFE4-A4231FCEC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649"/>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36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649"/>
    <w:rPr>
      <w:kern w:val="0"/>
      <w14:ligatures w14:val="none"/>
    </w:rPr>
  </w:style>
  <w:style w:type="paragraph" w:styleId="Piedepgina">
    <w:name w:val="footer"/>
    <w:basedOn w:val="Normal"/>
    <w:link w:val="PiedepginaCar"/>
    <w:uiPriority w:val="99"/>
    <w:unhideWhenUsed/>
    <w:rsid w:val="000B364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364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0B364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0B364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B364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B3649"/>
    <w:rPr>
      <w:vertAlign w:val="superscript"/>
    </w:rPr>
  </w:style>
  <w:style w:type="table" w:styleId="Tablaconcuadrcula">
    <w:name w:val="Table Grid"/>
    <w:basedOn w:val="Tablanormal"/>
    <w:uiPriority w:val="39"/>
    <w:qFormat/>
    <w:rsid w:val="000B364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0B3649"/>
    <w:pPr>
      <w:ind w:left="720"/>
      <w:contextualSpacing/>
    </w:pPr>
    <w:rPr>
      <w:rFonts w:ascii="Geomanist Light" w:hAnsi="Geomanist Light"/>
      <w:lang w:val="es-ES"/>
    </w:rPr>
  </w:style>
  <w:style w:type="character" w:styleId="Hipervnculo">
    <w:name w:val="Hyperlink"/>
    <w:basedOn w:val="Fuentedeprrafopredeter"/>
    <w:uiPriority w:val="99"/>
    <w:unhideWhenUsed/>
    <w:rsid w:val="000B3649"/>
    <w:rPr>
      <w:color w:val="0000FF"/>
      <w:u w:val="single"/>
    </w:rPr>
  </w:style>
  <w:style w:type="paragraph" w:customStyle="1" w:styleId="paragraph">
    <w:name w:val="paragraph"/>
    <w:basedOn w:val="Normal"/>
    <w:rsid w:val="000B364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0B364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3649"/>
    <w:rPr>
      <w:rFonts w:ascii="Geomanist Light" w:hAnsi="Geomanist Light"/>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rsoneria@baraya-huila.gov.co"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forms.office.com/r/pPHyWVs2SZ"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pqrsd/informacion-importante-antes-de-formular-una-pqrsd"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ventanilladeradicacion@colombiacompra.gov.co"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1F37D3F-CFA4-453D-B4E2-C6F6A1B351F4}"/>
</file>

<file path=customXml/itemProps2.xml><?xml version="1.0" encoding="utf-8"?>
<ds:datastoreItem xmlns:ds="http://schemas.openxmlformats.org/officeDocument/2006/customXml" ds:itemID="{907AA6FB-A8C2-4C70-97CC-F91DAE689CEF}"/>
</file>

<file path=customXml/itemProps3.xml><?xml version="1.0" encoding="utf-8"?>
<ds:datastoreItem xmlns:ds="http://schemas.openxmlformats.org/officeDocument/2006/customXml" ds:itemID="{EFDF19FC-F404-47B2-9ADA-C81E9A49510C}"/>
</file>

<file path=docProps/app.xml><?xml version="1.0" encoding="utf-8"?>
<Properties xmlns="http://schemas.openxmlformats.org/officeDocument/2006/extended-properties" xmlns:vt="http://schemas.openxmlformats.org/officeDocument/2006/docPropsVTypes">
  <Template>Normal</Template>
  <TotalTime>1</TotalTime>
  <Pages>17</Pages>
  <Words>5006</Words>
  <Characters>27183</Characters>
  <Application>Microsoft Office Word</Application>
  <DocSecurity>0</DocSecurity>
  <Lines>554</Lines>
  <Paragraphs>100</Paragraphs>
  <ScaleCrop>false</ScaleCrop>
  <Company/>
  <LinksUpToDate>false</LinksUpToDate>
  <CharactersWithSpaces>32089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4</cp:revision>
  <dcterms:created xsi:type="dcterms:W3CDTF">2025-11-14T19:35:00Z</dcterms:created>
  <dcterms:modified xsi:type="dcterms:W3CDTF">2025-11-18T19:28:00Z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