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15DCF" w14:textId="77777777" w:rsidR="008E5C8D" w:rsidRPr="009C3748" w:rsidRDefault="008E5C8D" w:rsidP="008E5C8D">
      <w:pPr>
        <w:spacing w:after="0" w:line="240" w:lineRule="auto"/>
        <w:jc w:val="both"/>
        <w:rPr>
          <w:rFonts w:ascii="Verdana" w:eastAsia="Calibri" w:hAnsi="Verdana" w:cs="Arial"/>
          <w:b/>
          <w:lang w:eastAsia="es-ES"/>
        </w:rPr>
      </w:pPr>
      <w:bookmarkStart w:id="0" w:name="_Hlk143780582"/>
      <w:r w:rsidRPr="009C3748">
        <w:rPr>
          <w:rFonts w:ascii="Verdana" w:eastAsia="Calibri" w:hAnsi="Verdana" w:cs="Arial"/>
          <w:b/>
          <w:lang w:eastAsia="es-ES"/>
        </w:rPr>
        <w:t>LIQUIDACIÓN DEL CONTRATO – Concepto – Naturaleza jurídica – Finalidad</w:t>
      </w:r>
    </w:p>
    <w:p w14:paraId="4648B992" w14:textId="77777777" w:rsidR="008E5C8D" w:rsidRPr="00132CCC" w:rsidRDefault="008E5C8D" w:rsidP="008E5C8D">
      <w:pPr>
        <w:spacing w:after="0" w:line="240" w:lineRule="auto"/>
        <w:jc w:val="both"/>
        <w:rPr>
          <w:rFonts w:ascii="Verdana" w:eastAsia="Calibri" w:hAnsi="Verdana" w:cs="Arial"/>
          <w:b/>
          <w:sz w:val="20"/>
          <w:szCs w:val="20"/>
          <w:lang w:eastAsia="es-ES"/>
        </w:rPr>
      </w:pPr>
    </w:p>
    <w:p w14:paraId="6F03FB0A" w14:textId="77777777" w:rsidR="008E5C8D" w:rsidRPr="00132CCC" w:rsidRDefault="008E5C8D" w:rsidP="008E5C8D">
      <w:pPr>
        <w:spacing w:after="0" w:line="240" w:lineRule="auto"/>
        <w:jc w:val="both"/>
        <w:rPr>
          <w:rFonts w:ascii="Verdana" w:eastAsia="Calibri" w:hAnsi="Verdana" w:cs="Arial"/>
          <w:sz w:val="20"/>
          <w:szCs w:val="20"/>
          <w:lang w:val="es-ES" w:eastAsia="es-ES"/>
        </w:rPr>
      </w:pPr>
      <w:r>
        <w:rPr>
          <w:rFonts w:ascii="Verdana" w:eastAsia="Calibri" w:hAnsi="Verdana" w:cs="Arial"/>
          <w:bCs/>
          <w:sz w:val="20"/>
          <w:szCs w:val="20"/>
          <w:lang w:val="es-ES_tradnl" w:eastAsia="es-ES"/>
        </w:rPr>
        <w:t xml:space="preserve">[…] </w:t>
      </w:r>
      <w:r w:rsidRPr="00015FF3">
        <w:rPr>
          <w:rFonts w:ascii="Verdana" w:eastAsia="Calibri" w:hAnsi="Verdana" w:cs="Arial"/>
          <w:bCs/>
          <w:sz w:val="20"/>
          <w:szCs w:val="20"/>
          <w:lang w:val="es-ES_tradnl" w:eastAsia="es-ES"/>
        </w:rPr>
        <w:t>la liquidación del contrato estatal es el ajuste de cuentas en el cual se realiza un balance económico, técnico y jurídico del negocio. Así lo manifestó el Consejo de Estado en la sentencia del 20 de octubre de 2014, en la que consideró, por un lado, que liquidar supone un ajuste en relación con las cuentas y el estado de cumplimiento del contrato estatal y, por otro, que la liquidación debe incluir el análisis de las condiciones de calidad y oportunidad en la entrega de los bienes, obras o servicios, así como el balance económico y el comportamiento financiero del negocio</w:t>
      </w:r>
      <w:r w:rsidRPr="00132CCC">
        <w:rPr>
          <w:rFonts w:ascii="Verdana" w:eastAsia="Calibri" w:hAnsi="Verdana" w:cs="Arial"/>
          <w:sz w:val="20"/>
          <w:szCs w:val="20"/>
          <w:lang w:eastAsia="es-ES"/>
        </w:rPr>
        <w:t>.</w:t>
      </w:r>
    </w:p>
    <w:p w14:paraId="06C2A925" w14:textId="77777777" w:rsidR="008E5C8D" w:rsidRPr="00132CCC" w:rsidRDefault="008E5C8D" w:rsidP="008E5C8D">
      <w:pPr>
        <w:spacing w:after="0" w:line="240" w:lineRule="auto"/>
        <w:jc w:val="both"/>
        <w:rPr>
          <w:rFonts w:ascii="Verdana" w:eastAsia="Calibri" w:hAnsi="Verdana" w:cs="Arial"/>
          <w:sz w:val="20"/>
          <w:szCs w:val="20"/>
          <w:lang w:val="es-ES" w:eastAsia="es-ES"/>
        </w:rPr>
      </w:pPr>
    </w:p>
    <w:p w14:paraId="74DFA351" w14:textId="77777777" w:rsidR="008E5C8D" w:rsidRDefault="008E5C8D" w:rsidP="008E5C8D">
      <w:pPr>
        <w:spacing w:after="0" w:line="240" w:lineRule="auto"/>
        <w:jc w:val="both"/>
        <w:rPr>
          <w:rFonts w:ascii="Verdana" w:eastAsia="Calibri" w:hAnsi="Verdana" w:cs="Arial"/>
          <w:b/>
          <w:lang w:eastAsia="es-ES"/>
        </w:rPr>
      </w:pPr>
      <w:r w:rsidRPr="009C3748">
        <w:rPr>
          <w:rFonts w:ascii="Verdana" w:eastAsia="Calibri" w:hAnsi="Verdana" w:cs="Arial"/>
          <w:b/>
          <w:lang w:eastAsia="es-ES"/>
        </w:rPr>
        <w:t>LIQUIDACIÓN DEL CONTRATO – Tipos de liquidación – Bilateral, unilateral y liquidación judicial</w:t>
      </w:r>
    </w:p>
    <w:p w14:paraId="42894114" w14:textId="77777777" w:rsidR="008E5C8D" w:rsidRPr="00132CCC" w:rsidRDefault="008E5C8D" w:rsidP="008E5C8D">
      <w:pPr>
        <w:spacing w:after="0" w:line="240" w:lineRule="auto"/>
        <w:rPr>
          <w:rFonts w:ascii="Verdana" w:eastAsia="Calibri" w:hAnsi="Verdana" w:cs="Arial"/>
          <w:sz w:val="20"/>
          <w:szCs w:val="20"/>
          <w:lang w:eastAsia="es-ES"/>
        </w:rPr>
      </w:pPr>
    </w:p>
    <w:p w14:paraId="26927069" w14:textId="77777777" w:rsidR="008E5C8D" w:rsidRPr="00132CCC" w:rsidRDefault="008E5C8D" w:rsidP="008E5C8D">
      <w:pPr>
        <w:spacing w:after="0" w:line="240" w:lineRule="auto"/>
        <w:jc w:val="both"/>
        <w:rPr>
          <w:rFonts w:ascii="Verdana" w:eastAsia="Calibri" w:hAnsi="Verdana" w:cs="Arial"/>
          <w:sz w:val="20"/>
          <w:szCs w:val="20"/>
          <w:lang w:eastAsia="es-ES"/>
        </w:rPr>
      </w:pPr>
      <w:r w:rsidRPr="000A792D">
        <w:rPr>
          <w:rFonts w:ascii="Verdana" w:eastAsia="Calibri" w:hAnsi="Verdana" w:cs="Arial"/>
          <w:bCs/>
          <w:sz w:val="20"/>
          <w:szCs w:val="20"/>
          <w:lang w:val="es-ES_tradnl" w:eastAsia="es-ES"/>
        </w:rPr>
        <w:t xml:space="preserve">En suma, de acuerdo con el artículo 11 de la Ley 1150 de 2007, existen tres (3) tipos de liquidación: i) bilateral, </w:t>
      </w:r>
      <w:proofErr w:type="spellStart"/>
      <w:r w:rsidRPr="000A792D">
        <w:rPr>
          <w:rFonts w:ascii="Verdana" w:eastAsia="Calibri" w:hAnsi="Verdana" w:cs="Arial"/>
          <w:bCs/>
          <w:sz w:val="20"/>
          <w:szCs w:val="20"/>
          <w:lang w:val="es-ES_tradnl" w:eastAsia="es-ES"/>
        </w:rPr>
        <w:t>ii</w:t>
      </w:r>
      <w:proofErr w:type="spellEnd"/>
      <w:r w:rsidRPr="000A792D">
        <w:rPr>
          <w:rFonts w:ascii="Verdana" w:eastAsia="Calibri" w:hAnsi="Verdana" w:cs="Arial"/>
          <w:bCs/>
          <w:sz w:val="20"/>
          <w:szCs w:val="20"/>
          <w:lang w:val="es-ES_tradnl" w:eastAsia="es-ES"/>
        </w:rPr>
        <w:t xml:space="preserve">) unilateral y </w:t>
      </w:r>
      <w:proofErr w:type="spellStart"/>
      <w:r w:rsidRPr="000A792D">
        <w:rPr>
          <w:rFonts w:ascii="Verdana" w:eastAsia="Calibri" w:hAnsi="Verdana" w:cs="Arial"/>
          <w:bCs/>
          <w:sz w:val="20"/>
          <w:szCs w:val="20"/>
          <w:lang w:val="es-ES_tradnl" w:eastAsia="es-ES"/>
        </w:rPr>
        <w:t>iii</w:t>
      </w:r>
      <w:proofErr w:type="spellEnd"/>
      <w:r w:rsidRPr="000A792D">
        <w:rPr>
          <w:rFonts w:ascii="Verdana" w:eastAsia="Calibri" w:hAnsi="Verdana" w:cs="Arial"/>
          <w:bCs/>
          <w:sz w:val="20"/>
          <w:szCs w:val="20"/>
          <w:lang w:val="es-ES_tradnl"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p>
    <w:p w14:paraId="5AEF454F" w14:textId="77777777" w:rsidR="008E5C8D" w:rsidRPr="00132CCC" w:rsidRDefault="008E5C8D" w:rsidP="008E5C8D">
      <w:pPr>
        <w:spacing w:after="0" w:line="240" w:lineRule="auto"/>
        <w:rPr>
          <w:rFonts w:ascii="Verdana" w:eastAsia="Calibri" w:hAnsi="Verdana" w:cs="Arial"/>
          <w:sz w:val="20"/>
          <w:szCs w:val="20"/>
          <w:lang w:eastAsia="es-ES"/>
        </w:rPr>
      </w:pPr>
    </w:p>
    <w:p w14:paraId="2842C762" w14:textId="77777777" w:rsidR="008E5C8D" w:rsidRDefault="008E5C8D" w:rsidP="008E5C8D">
      <w:pPr>
        <w:spacing w:after="0" w:line="240" w:lineRule="auto"/>
        <w:jc w:val="both"/>
        <w:rPr>
          <w:rFonts w:ascii="Verdana" w:eastAsia="Calibri" w:hAnsi="Verdana" w:cs="Arial"/>
          <w:b/>
          <w:lang w:eastAsia="es-ES"/>
        </w:rPr>
      </w:pPr>
      <w:r w:rsidRPr="00C81D26">
        <w:rPr>
          <w:rFonts w:ascii="Verdana" w:eastAsia="Calibri" w:hAnsi="Verdana" w:cs="Arial"/>
          <w:b/>
          <w:lang w:eastAsia="es-ES"/>
        </w:rPr>
        <w:t>GARANTÍA ÚNICA DE CUMPLIMIENTO – Amparos – Definición – Coberturas – Vigencia mínima</w:t>
      </w:r>
    </w:p>
    <w:p w14:paraId="24E7D2B8" w14:textId="77777777" w:rsidR="008E5C8D" w:rsidRPr="00132CCC" w:rsidRDefault="008E5C8D" w:rsidP="008E5C8D">
      <w:pPr>
        <w:spacing w:after="0" w:line="240" w:lineRule="auto"/>
        <w:jc w:val="both"/>
        <w:rPr>
          <w:rFonts w:ascii="Verdana" w:eastAsia="Calibri" w:hAnsi="Verdana" w:cs="Arial"/>
          <w:sz w:val="20"/>
          <w:szCs w:val="20"/>
          <w:lang w:eastAsia="es-ES"/>
        </w:rPr>
      </w:pPr>
    </w:p>
    <w:p w14:paraId="6C8BA7B2" w14:textId="77777777" w:rsidR="008E5C8D" w:rsidRPr="00092C3E" w:rsidRDefault="008E5C8D" w:rsidP="008E5C8D">
      <w:pPr>
        <w:spacing w:after="0" w:line="240" w:lineRule="auto"/>
        <w:jc w:val="both"/>
        <w:rPr>
          <w:rFonts w:ascii="Verdana" w:eastAsia="Calibri" w:hAnsi="Verdana" w:cs="Arial"/>
          <w:sz w:val="20"/>
          <w:szCs w:val="20"/>
          <w:lang w:eastAsia="es-ES"/>
        </w:rPr>
      </w:pPr>
      <w:r w:rsidRPr="000A792D">
        <w:rPr>
          <w:rFonts w:ascii="Verdana" w:eastAsia="Calibri" w:hAnsi="Verdana" w:cs="Arial"/>
          <w:sz w:val="20"/>
          <w:szCs w:val="20"/>
          <w:lang w:eastAsia="es-ES"/>
        </w:rPr>
        <w:t>Ahora bien, la suficiencia de la garantía de cumplimiento, sobre la que se consulta, debe entenderse a la luz de este marco temporal. El artículo 2.2.1.2.3.1.12 del Decreto 1082 de 2015 establece que el amparo de cumplimiento “deberá tener una vigencia mínima hasta la liquidación del contrato”. Conforme la norma citada, el amparo cubre tanto el plazo de ejecución como el plazo de vigencia del contrato. Al respecto, la jurisprudencia define el plazo de ejecución como el establecido para la realización de las prestaciones contractuales y, de igual forma, considera que el plazo de vigencia de este no ha finalizado mientras subsista la obligación para las partes de liquidar el contrato</w:t>
      </w:r>
      <w:r w:rsidRPr="00092C3E">
        <w:rPr>
          <w:rFonts w:ascii="Verdana" w:eastAsia="Calibri" w:hAnsi="Verdana" w:cs="Arial"/>
          <w:sz w:val="20"/>
          <w:szCs w:val="20"/>
          <w:lang w:eastAsia="es-ES"/>
        </w:rPr>
        <w:t>.</w:t>
      </w:r>
    </w:p>
    <w:p w14:paraId="44AD431C" w14:textId="77777777" w:rsidR="008E5C8D" w:rsidRPr="00132CCC" w:rsidRDefault="008E5C8D" w:rsidP="008E5C8D">
      <w:pPr>
        <w:spacing w:after="0" w:line="240" w:lineRule="auto"/>
        <w:jc w:val="both"/>
        <w:rPr>
          <w:rFonts w:ascii="Verdana" w:eastAsia="Calibri" w:hAnsi="Verdana" w:cs="Arial"/>
          <w:sz w:val="20"/>
          <w:szCs w:val="20"/>
          <w:lang w:eastAsia="es-ES"/>
        </w:rPr>
      </w:pPr>
    </w:p>
    <w:p w14:paraId="45F4754B" w14:textId="77777777" w:rsidR="008E5C8D" w:rsidRDefault="008E5C8D" w:rsidP="008E5C8D">
      <w:pPr>
        <w:spacing w:after="0" w:line="240" w:lineRule="auto"/>
        <w:jc w:val="both"/>
        <w:rPr>
          <w:rFonts w:ascii="Verdana" w:eastAsia="Calibri" w:hAnsi="Verdana" w:cs="Arial"/>
          <w:b/>
          <w:lang w:eastAsia="es-ES"/>
        </w:rPr>
      </w:pPr>
      <w:r w:rsidRPr="005217EF">
        <w:rPr>
          <w:rFonts w:ascii="Verdana" w:eastAsia="Calibri" w:hAnsi="Verdana" w:cs="Arial"/>
          <w:b/>
          <w:lang w:eastAsia="es-ES"/>
        </w:rPr>
        <w:t>AMPARO DE CALIDAD O CORRECTO FUNCIONAMIENTO – Finalidad – Riesgos posteriores a la ejecución</w:t>
      </w:r>
    </w:p>
    <w:p w14:paraId="4E449C35" w14:textId="77777777" w:rsidR="008E5C8D" w:rsidRPr="00132CCC" w:rsidRDefault="008E5C8D" w:rsidP="008E5C8D">
      <w:pPr>
        <w:spacing w:after="0" w:line="240" w:lineRule="auto"/>
        <w:jc w:val="both"/>
        <w:rPr>
          <w:rFonts w:ascii="Verdana" w:eastAsia="Calibri" w:hAnsi="Verdana" w:cs="Arial"/>
          <w:sz w:val="20"/>
          <w:szCs w:val="20"/>
          <w:lang w:eastAsia="es-ES"/>
        </w:rPr>
      </w:pPr>
    </w:p>
    <w:p w14:paraId="39296E8D" w14:textId="77777777" w:rsidR="008E5C8D" w:rsidRDefault="008E5C8D" w:rsidP="008E5C8D">
      <w:pPr>
        <w:spacing w:after="0" w:line="240" w:lineRule="auto"/>
        <w:jc w:val="both"/>
        <w:rPr>
          <w:rFonts w:ascii="Verdana" w:eastAsia="Calibri" w:hAnsi="Verdana" w:cs="Arial"/>
          <w:sz w:val="20"/>
          <w:szCs w:val="20"/>
          <w:lang w:eastAsia="es-ES"/>
        </w:rPr>
      </w:pPr>
      <w:r w:rsidRPr="0059401F">
        <w:rPr>
          <w:rFonts w:ascii="Verdana" w:eastAsia="Calibri" w:hAnsi="Verdana" w:cs="Arial"/>
          <w:sz w:val="20"/>
          <w:szCs w:val="20"/>
          <w:lang w:eastAsia="es-ES"/>
        </w:rPr>
        <w:t xml:space="preserve">En cuanto a los amparos específicos consultados, el amparo de calidad del servicio, regulado en el artículo 2.2.1.2.3.1.15 del Decreto 1082 de 2015, cubre los riesgos derivados del incumplimiento de las obligaciones relacionadas con la adecuada prestación del servicio y “tendrá una vigencia no inferior a la establecida en el contrato”. </w:t>
      </w:r>
      <w:r w:rsidRPr="0059401F">
        <w:rPr>
          <w:rFonts w:ascii="Verdana" w:eastAsia="Calibri" w:hAnsi="Verdana" w:cs="Arial"/>
          <w:sz w:val="20"/>
          <w:szCs w:val="20"/>
          <w:lang w:eastAsia="es-ES"/>
        </w:rPr>
        <w:lastRenderedPageBreak/>
        <w:t>Esta disposición remite expresamente a la determinación contractual del plazo, lo cual significa que su vigencia no es uniforme y depende del análisis del riesgo asociado al objeto contractual. La norma no establece un plazo fijo adicional a la ejecución; únicamente exige que la vigencia no sea inferior a la del contrato. De esta remisión se deriva que, si la vigencia contractual se prolonga hasta la liquidación —como es la regla general—, la garantía también debe cubrir este período. Sin embargo, los riesgos de calidad en servicios, particularmente cuando el objeto es intangible o cuando su evaluación requiere un período posterior de verificación, pueden justificar una vigencia mayor, siempre que tal término se derive de un análisis técnico de riesgos.</w:t>
      </w:r>
    </w:p>
    <w:p w14:paraId="0582F423" w14:textId="77777777" w:rsidR="008E5C8D" w:rsidRPr="0059401F" w:rsidRDefault="008E5C8D" w:rsidP="008E5C8D">
      <w:pPr>
        <w:spacing w:after="0" w:line="240" w:lineRule="auto"/>
        <w:jc w:val="both"/>
        <w:rPr>
          <w:rFonts w:ascii="Verdana" w:eastAsia="Calibri" w:hAnsi="Verdana" w:cs="Arial"/>
          <w:sz w:val="20"/>
          <w:szCs w:val="20"/>
          <w:lang w:eastAsia="es-ES"/>
        </w:rPr>
      </w:pPr>
    </w:p>
    <w:p w14:paraId="0BDC9F2F" w14:textId="77777777" w:rsidR="008E5C8D" w:rsidRPr="00132CCC" w:rsidRDefault="008E5C8D" w:rsidP="008E5C8D">
      <w:pPr>
        <w:spacing w:after="0" w:line="240" w:lineRule="auto"/>
        <w:jc w:val="both"/>
        <w:rPr>
          <w:rFonts w:ascii="Verdana" w:eastAsia="Calibri" w:hAnsi="Verdana" w:cs="Arial"/>
          <w:sz w:val="20"/>
          <w:szCs w:val="20"/>
          <w:lang w:eastAsia="es-ES"/>
        </w:rPr>
      </w:pPr>
      <w:r w:rsidRPr="0059401F">
        <w:rPr>
          <w:rFonts w:ascii="Verdana" w:eastAsia="Calibri" w:hAnsi="Verdana" w:cs="Arial"/>
          <w:sz w:val="20"/>
          <w:szCs w:val="20"/>
          <w:lang w:eastAsia="es-ES"/>
        </w:rPr>
        <w:t>Por su parte, el amparo de calidad y correcto funcionamiento de los bienes, regulado en el artículo 2.2.1.2.3.1.16 del Decreto 1082 de 2015, garantiza que los bienes suministrados funcionen en condiciones óptimas y conforme a las especificaciones técnicas. Su vigencia debe ser la prevista en el contrato o en los documentos del proceso, lo cual nuevamente remite a la determinación técnica del plazo necesario para que la entidad pueda detectar defectos, fallas, vicios ocultos o cualquier incumplimiento asociado al funcionamiento de los bienes. Este amparo tiene una naturaleza distinta al de cumplimiento: mientras el primero protege el adecuado comportamiento funcional del bien, el segundo protege el cumplimiento general del contrato. La vigencia de los amparos de calidad debe adecuarse a la duración real de los riesgos y no puede limitarse automáticamente al plazo de ejecución contractual o a un término fijo como treinta meses, salvo que tal plazo corresponda al análisis técnico del riesgo contenido en los documentos del proceso.</w:t>
      </w:r>
    </w:p>
    <w:p w14:paraId="29D397F5" w14:textId="77777777" w:rsidR="008E5C8D" w:rsidRPr="00132CCC" w:rsidRDefault="008E5C8D" w:rsidP="008E5C8D">
      <w:pPr>
        <w:spacing w:after="0" w:line="240" w:lineRule="auto"/>
        <w:rPr>
          <w:rFonts w:ascii="Verdana" w:eastAsia="Calibri" w:hAnsi="Verdana" w:cs="Arial"/>
          <w:sz w:val="20"/>
          <w:szCs w:val="20"/>
          <w:lang w:eastAsia="es-ES"/>
        </w:rPr>
      </w:pPr>
    </w:p>
    <w:p w14:paraId="3579493A" w14:textId="77777777" w:rsidR="008E5C8D" w:rsidRDefault="008E5C8D" w:rsidP="008E5C8D">
      <w:pPr>
        <w:spacing w:after="0" w:line="240" w:lineRule="auto"/>
        <w:jc w:val="both"/>
        <w:rPr>
          <w:rFonts w:ascii="Verdana" w:eastAsia="Calibri" w:hAnsi="Verdana" w:cs="Arial"/>
          <w:b/>
          <w:lang w:eastAsia="es-ES"/>
        </w:rPr>
      </w:pPr>
      <w:r w:rsidRPr="00015FF3">
        <w:rPr>
          <w:rFonts w:ascii="Verdana" w:eastAsia="Calibri" w:hAnsi="Verdana" w:cs="Arial"/>
          <w:b/>
          <w:lang w:eastAsia="es-ES"/>
        </w:rPr>
        <w:t>DECRETO 1082 DE 2015 – Régimen de garantías – Definición de amparos – Reglas sobre suficiencia y vigencia</w:t>
      </w:r>
    </w:p>
    <w:p w14:paraId="08FB0AE5" w14:textId="77777777" w:rsidR="008E5C8D" w:rsidRPr="00132CCC" w:rsidRDefault="008E5C8D" w:rsidP="008E5C8D">
      <w:pPr>
        <w:spacing w:after="0" w:line="240" w:lineRule="auto"/>
        <w:jc w:val="both"/>
        <w:rPr>
          <w:rFonts w:ascii="Verdana" w:eastAsia="Calibri" w:hAnsi="Verdana" w:cs="Arial"/>
          <w:sz w:val="20"/>
          <w:szCs w:val="20"/>
          <w:lang w:eastAsia="es-ES"/>
        </w:rPr>
      </w:pPr>
    </w:p>
    <w:p w14:paraId="21DD97FC" w14:textId="77777777" w:rsidR="008E5C8D" w:rsidRDefault="008E5C8D" w:rsidP="008E5C8D">
      <w:pPr>
        <w:spacing w:after="0" w:line="240" w:lineRule="auto"/>
        <w:jc w:val="both"/>
        <w:rPr>
          <w:rFonts w:ascii="Verdana" w:eastAsia="Calibri" w:hAnsi="Verdana" w:cs="Arial"/>
          <w:sz w:val="20"/>
          <w:szCs w:val="20"/>
          <w:lang w:eastAsia="es-ES"/>
        </w:rPr>
      </w:pPr>
      <w:r w:rsidRPr="0059401F">
        <w:rPr>
          <w:rFonts w:ascii="Verdana" w:eastAsia="Calibri" w:hAnsi="Verdana" w:cs="Arial"/>
          <w:sz w:val="20"/>
          <w:szCs w:val="20"/>
          <w:lang w:eastAsia="es-ES"/>
        </w:rPr>
        <w:t>En ese orden, no existe una regla legal que imponga, para los amparos de calidad del servicio o de calidad y correcto funcionamiento de los bienes, un plazo uniforme equivalente al período de ejecución más treinta meses. Ese plazo solo sería admisible si corresponde a una determinación contractual soportada en un estudio de riesgos que así lo justifique. Tampoco existe fundamento legal para aplicar de manera general la regla utilizada en algunos Acuerdos Marco de “plazo de la orden más seis meses”, pues esa fórmula corresponde exclusivamente a las decisiones regulatorias para ese instrumento contractual y no se proyecta automáticamente sobre los procesos de selección ordinarios. Los amparos deben responder a la naturaleza específica del riesgo y a la duración temporal del mismo.</w:t>
      </w:r>
    </w:p>
    <w:p w14:paraId="4D1C5924" w14:textId="77777777" w:rsidR="008E5C8D" w:rsidRDefault="008E5C8D" w:rsidP="008E5C8D">
      <w:pPr>
        <w:spacing w:after="0" w:line="240" w:lineRule="auto"/>
        <w:rPr>
          <w:rFonts w:ascii="Verdana" w:eastAsia="Calibri" w:hAnsi="Verdana" w:cs="Arial"/>
          <w:sz w:val="20"/>
          <w:szCs w:val="20"/>
          <w:lang w:eastAsia="es-ES"/>
        </w:rPr>
      </w:pPr>
    </w:p>
    <w:p w14:paraId="53949591" w14:textId="77777777" w:rsidR="008E5C8D" w:rsidRDefault="008E5C8D" w:rsidP="008E5C8D">
      <w:pPr>
        <w:spacing w:after="0" w:line="240" w:lineRule="auto"/>
        <w:rPr>
          <w:rFonts w:ascii="Verdana" w:eastAsia="Calibri" w:hAnsi="Verdana" w:cs="Arial"/>
          <w:sz w:val="20"/>
          <w:szCs w:val="20"/>
          <w:lang w:eastAsia="es-ES"/>
        </w:rPr>
      </w:pPr>
      <w:r>
        <w:rPr>
          <w:rFonts w:ascii="Verdana" w:eastAsia="Calibri" w:hAnsi="Verdana" w:cs="Arial"/>
          <w:sz w:val="20"/>
          <w:szCs w:val="20"/>
          <w:lang w:eastAsia="es-ES"/>
        </w:rPr>
        <w:t>[…]</w:t>
      </w:r>
    </w:p>
    <w:p w14:paraId="063AAD34" w14:textId="77777777" w:rsidR="008E5C8D" w:rsidRDefault="008E5C8D" w:rsidP="008E5C8D">
      <w:pPr>
        <w:spacing w:after="0" w:line="240" w:lineRule="auto"/>
        <w:rPr>
          <w:rFonts w:ascii="Verdana" w:eastAsia="Calibri" w:hAnsi="Verdana" w:cs="Arial"/>
          <w:sz w:val="20"/>
          <w:szCs w:val="20"/>
          <w:lang w:eastAsia="es-ES"/>
        </w:rPr>
      </w:pPr>
    </w:p>
    <w:p w14:paraId="141348FC" w14:textId="77777777" w:rsidR="008E5C8D" w:rsidRDefault="008E5C8D" w:rsidP="008E5C8D">
      <w:pPr>
        <w:spacing w:after="0" w:line="240" w:lineRule="auto"/>
        <w:jc w:val="both"/>
        <w:rPr>
          <w:rFonts w:ascii="Verdana" w:eastAsia="Calibri" w:hAnsi="Verdana" w:cs="Arial"/>
          <w:sz w:val="20"/>
          <w:szCs w:val="20"/>
          <w:lang w:eastAsia="es-ES"/>
        </w:rPr>
      </w:pPr>
      <w:r w:rsidRPr="0059401F">
        <w:rPr>
          <w:rFonts w:ascii="Verdana" w:eastAsia="Calibri" w:hAnsi="Verdana" w:cs="Arial"/>
          <w:sz w:val="20"/>
          <w:szCs w:val="20"/>
          <w:lang w:eastAsia="es-ES"/>
        </w:rPr>
        <w:t xml:space="preserve">En consecuencia, al integrar las reglas legales sobre la liquidación de los contratos estatales, la jurisprudencia reiterada del Consejo de Estado sobre la competencia de la administración durante dicha etapa, y el contenido de los artículos 2.2.1.2.3.1.12, 2.2.1.2.3.1.15 y 2.2.1.2.3.1.16 del Decreto 1082 de 2015, se evidencia que la determinación de la vigencia de los amparos de la garantía única de cumplimiento no puede desvincularse del período en que el contrato permanece jurídicamente abierto, ni de la duración real de los riesgos que cada amparo está llamado a cubrir. La vigencia de los amparos debe extenderse, como mínimo, hasta el cierre integral de la relación </w:t>
      </w:r>
      <w:r w:rsidRPr="0059401F">
        <w:rPr>
          <w:rFonts w:ascii="Verdana" w:eastAsia="Calibri" w:hAnsi="Verdana" w:cs="Arial"/>
          <w:sz w:val="20"/>
          <w:szCs w:val="20"/>
          <w:lang w:eastAsia="es-ES"/>
        </w:rPr>
        <w:lastRenderedPageBreak/>
        <w:t>contractual, el cual solo se consolida con la liquidación en cualquiera de sus modalidades. Y en el caso de los amparos de calidad del servicio y de calidad y correcto funcionamiento de los bienes, la extensión adicional de su vigencia debe corresponder al análisis técnico del riesgo y no a la aplicación automática de plazos uniformes no previstos en la ley. Toda determinación que restrinja la vigencia a la mera ejecución, o que establezca un término fijo sin justificación en el estudio de riesgos, desconocería la competencia de la administración para declarar incumplimientos durante la liquidación y comprometería la suficiencia de la garantía.</w:t>
      </w:r>
    </w:p>
    <w:p w14:paraId="42E39BA7" w14:textId="77777777" w:rsidR="008E5C8D" w:rsidRDefault="008E5C8D" w:rsidP="008E5C8D">
      <w:pPr>
        <w:spacing w:after="0" w:line="240" w:lineRule="auto"/>
        <w:rPr>
          <w:rFonts w:ascii="Verdana" w:eastAsia="Calibri" w:hAnsi="Verdana" w:cs="Arial"/>
          <w:lang w:eastAsia="es-ES"/>
        </w:rPr>
      </w:pPr>
    </w:p>
    <w:p w14:paraId="30D720AC" w14:textId="77777777" w:rsidR="008E5C8D" w:rsidRDefault="008E5C8D" w:rsidP="008E5C8D">
      <w:pPr>
        <w:spacing w:after="0" w:line="240" w:lineRule="auto"/>
        <w:rPr>
          <w:rFonts w:ascii="Verdana" w:eastAsia="Calibri" w:hAnsi="Verdana" w:cs="Arial"/>
          <w:lang w:eastAsia="es-ES"/>
        </w:rPr>
      </w:pPr>
    </w:p>
    <w:p w14:paraId="480D3981" w14:textId="77777777" w:rsidR="008E5C8D" w:rsidRDefault="008E5C8D" w:rsidP="008E5C8D">
      <w:pPr>
        <w:spacing w:after="0" w:line="240" w:lineRule="auto"/>
        <w:rPr>
          <w:rFonts w:ascii="Verdana" w:eastAsia="Calibri" w:hAnsi="Verdana" w:cs="Arial"/>
          <w:lang w:eastAsia="es-ES"/>
        </w:rPr>
      </w:pPr>
    </w:p>
    <w:p w14:paraId="3E63ED98" w14:textId="77777777" w:rsidR="008E5C8D" w:rsidRDefault="008E5C8D" w:rsidP="008E5C8D">
      <w:pPr>
        <w:spacing w:after="0" w:line="240" w:lineRule="auto"/>
        <w:rPr>
          <w:rFonts w:ascii="Verdana" w:eastAsia="Calibri" w:hAnsi="Verdana" w:cs="Arial"/>
          <w:lang w:eastAsia="es-ES"/>
        </w:rPr>
      </w:pPr>
    </w:p>
    <w:p w14:paraId="1A9EB0FE" w14:textId="77777777" w:rsidR="008E5C8D" w:rsidRDefault="008E5C8D" w:rsidP="008E5C8D">
      <w:pPr>
        <w:spacing w:after="0" w:line="240" w:lineRule="auto"/>
        <w:rPr>
          <w:rFonts w:ascii="Verdana" w:eastAsia="Calibri" w:hAnsi="Verdana" w:cs="Arial"/>
          <w:lang w:eastAsia="es-ES"/>
        </w:rPr>
      </w:pPr>
    </w:p>
    <w:p w14:paraId="54F8D2C5" w14:textId="77777777" w:rsidR="008E5C8D" w:rsidRDefault="008E5C8D" w:rsidP="008E5C8D">
      <w:pPr>
        <w:spacing w:after="0" w:line="240" w:lineRule="auto"/>
        <w:contextualSpacing/>
        <w:rPr>
          <w:rFonts w:ascii="Verdana" w:eastAsia="Times New Roman" w:hAnsi="Verdana" w:cs="Arial"/>
          <w:lang w:eastAsia="es-ES_tradnl"/>
        </w:rPr>
      </w:pPr>
    </w:p>
    <w:p w14:paraId="68BAA8E1" w14:textId="77777777" w:rsidR="008E5C8D" w:rsidRDefault="008E5C8D" w:rsidP="008E5C8D">
      <w:pPr>
        <w:spacing w:after="0" w:line="240" w:lineRule="auto"/>
        <w:contextualSpacing/>
        <w:rPr>
          <w:rFonts w:ascii="Verdana" w:eastAsia="Times New Roman" w:hAnsi="Verdana" w:cs="Arial"/>
          <w:lang w:eastAsia="es-ES_tradnl"/>
        </w:rPr>
      </w:pPr>
    </w:p>
    <w:p w14:paraId="5BEDAD5B" w14:textId="77777777" w:rsidR="008E5C8D" w:rsidRDefault="008E5C8D" w:rsidP="008E5C8D">
      <w:pPr>
        <w:spacing w:after="0" w:line="240" w:lineRule="auto"/>
        <w:contextualSpacing/>
        <w:rPr>
          <w:rFonts w:ascii="Verdana" w:eastAsia="Times New Roman" w:hAnsi="Verdana" w:cs="Arial"/>
          <w:lang w:eastAsia="es-ES_tradnl"/>
        </w:rPr>
      </w:pPr>
    </w:p>
    <w:p w14:paraId="4820724C" w14:textId="77777777" w:rsidR="008E5C8D" w:rsidRDefault="008E5C8D" w:rsidP="008E5C8D">
      <w:pPr>
        <w:spacing w:after="0" w:line="240" w:lineRule="auto"/>
        <w:contextualSpacing/>
        <w:rPr>
          <w:rFonts w:ascii="Verdana" w:eastAsia="Times New Roman" w:hAnsi="Verdana" w:cs="Arial"/>
          <w:lang w:eastAsia="es-ES_tradnl"/>
        </w:rPr>
      </w:pPr>
    </w:p>
    <w:p w14:paraId="1FCD9937" w14:textId="77777777" w:rsidR="008E5C8D" w:rsidRDefault="008E5C8D" w:rsidP="008E5C8D">
      <w:pPr>
        <w:spacing w:after="0" w:line="240" w:lineRule="auto"/>
        <w:contextualSpacing/>
        <w:rPr>
          <w:rFonts w:ascii="Verdana" w:eastAsia="Times New Roman" w:hAnsi="Verdana" w:cs="Arial"/>
          <w:lang w:eastAsia="es-ES_tradnl"/>
        </w:rPr>
      </w:pPr>
    </w:p>
    <w:p w14:paraId="2D7B9106" w14:textId="77777777" w:rsidR="008E5C8D" w:rsidRDefault="008E5C8D" w:rsidP="008E5C8D">
      <w:pPr>
        <w:spacing w:after="0" w:line="240" w:lineRule="auto"/>
        <w:contextualSpacing/>
        <w:rPr>
          <w:rFonts w:ascii="Verdana" w:eastAsia="Times New Roman" w:hAnsi="Verdana" w:cs="Arial"/>
          <w:lang w:eastAsia="es-ES_tradnl"/>
        </w:rPr>
      </w:pPr>
    </w:p>
    <w:p w14:paraId="787755F0" w14:textId="77777777" w:rsidR="008E5C8D" w:rsidRDefault="008E5C8D" w:rsidP="008E5C8D">
      <w:pPr>
        <w:spacing w:after="0" w:line="240" w:lineRule="auto"/>
        <w:contextualSpacing/>
        <w:rPr>
          <w:rFonts w:ascii="Verdana" w:eastAsia="Times New Roman" w:hAnsi="Verdana" w:cs="Arial"/>
          <w:lang w:eastAsia="es-ES_tradnl"/>
        </w:rPr>
      </w:pPr>
    </w:p>
    <w:p w14:paraId="1528D253" w14:textId="77777777" w:rsidR="008E5C8D" w:rsidRDefault="008E5C8D" w:rsidP="008E5C8D">
      <w:pPr>
        <w:spacing w:after="0" w:line="240" w:lineRule="auto"/>
        <w:contextualSpacing/>
        <w:rPr>
          <w:rFonts w:ascii="Verdana" w:eastAsia="Times New Roman" w:hAnsi="Verdana" w:cs="Arial"/>
          <w:lang w:eastAsia="es-ES_tradnl"/>
        </w:rPr>
      </w:pPr>
    </w:p>
    <w:p w14:paraId="5A1970A0" w14:textId="77777777" w:rsidR="008E5C8D" w:rsidRDefault="008E5C8D" w:rsidP="008E5C8D">
      <w:pPr>
        <w:spacing w:after="0" w:line="240" w:lineRule="auto"/>
        <w:contextualSpacing/>
        <w:rPr>
          <w:rFonts w:ascii="Verdana" w:eastAsia="Times New Roman" w:hAnsi="Verdana" w:cs="Arial"/>
          <w:lang w:eastAsia="es-ES_tradnl"/>
        </w:rPr>
      </w:pPr>
    </w:p>
    <w:p w14:paraId="1D0285FD" w14:textId="77777777" w:rsidR="008E5C8D" w:rsidRDefault="008E5C8D" w:rsidP="008E5C8D">
      <w:pPr>
        <w:spacing w:after="0" w:line="240" w:lineRule="auto"/>
        <w:contextualSpacing/>
        <w:rPr>
          <w:rFonts w:ascii="Verdana" w:eastAsia="Times New Roman" w:hAnsi="Verdana" w:cs="Arial"/>
          <w:lang w:eastAsia="es-ES_tradnl"/>
        </w:rPr>
      </w:pPr>
    </w:p>
    <w:p w14:paraId="04DB08EA" w14:textId="77777777" w:rsidR="008E5C8D" w:rsidRDefault="008E5C8D" w:rsidP="008E5C8D">
      <w:pPr>
        <w:spacing w:after="0" w:line="240" w:lineRule="auto"/>
        <w:contextualSpacing/>
        <w:rPr>
          <w:rFonts w:ascii="Verdana" w:eastAsia="Times New Roman" w:hAnsi="Verdana" w:cs="Arial"/>
          <w:lang w:eastAsia="es-ES_tradnl"/>
        </w:rPr>
      </w:pPr>
    </w:p>
    <w:p w14:paraId="61F1AFDB" w14:textId="77777777" w:rsidR="008E5C8D" w:rsidRDefault="008E5C8D" w:rsidP="008E5C8D">
      <w:pPr>
        <w:spacing w:after="0" w:line="240" w:lineRule="auto"/>
        <w:contextualSpacing/>
        <w:rPr>
          <w:rFonts w:ascii="Verdana" w:eastAsia="Times New Roman" w:hAnsi="Verdana" w:cs="Arial"/>
          <w:lang w:eastAsia="es-ES_tradnl"/>
        </w:rPr>
      </w:pPr>
    </w:p>
    <w:p w14:paraId="0FF43CE7" w14:textId="77777777" w:rsidR="008E5C8D" w:rsidRDefault="008E5C8D" w:rsidP="008E5C8D">
      <w:pPr>
        <w:spacing w:after="0" w:line="240" w:lineRule="auto"/>
        <w:contextualSpacing/>
        <w:rPr>
          <w:rFonts w:ascii="Verdana" w:eastAsia="Times New Roman" w:hAnsi="Verdana" w:cs="Arial"/>
          <w:lang w:eastAsia="es-ES_tradnl"/>
        </w:rPr>
      </w:pPr>
    </w:p>
    <w:p w14:paraId="27D12351" w14:textId="77777777" w:rsidR="008E5C8D" w:rsidRDefault="008E5C8D" w:rsidP="008E5C8D">
      <w:pPr>
        <w:spacing w:after="0" w:line="240" w:lineRule="auto"/>
        <w:contextualSpacing/>
        <w:rPr>
          <w:rFonts w:ascii="Verdana" w:eastAsia="Times New Roman" w:hAnsi="Verdana" w:cs="Arial"/>
          <w:lang w:eastAsia="es-ES_tradnl"/>
        </w:rPr>
      </w:pPr>
    </w:p>
    <w:p w14:paraId="1D449326" w14:textId="77777777" w:rsidR="008E5C8D" w:rsidRDefault="008E5C8D" w:rsidP="008E5C8D">
      <w:pPr>
        <w:spacing w:after="0" w:line="240" w:lineRule="auto"/>
        <w:contextualSpacing/>
        <w:rPr>
          <w:rFonts w:ascii="Verdana" w:eastAsia="Times New Roman" w:hAnsi="Verdana" w:cs="Arial"/>
          <w:lang w:eastAsia="es-ES_tradnl"/>
        </w:rPr>
      </w:pPr>
    </w:p>
    <w:p w14:paraId="6ACDDF89" w14:textId="77777777" w:rsidR="008E5C8D" w:rsidRDefault="008E5C8D" w:rsidP="008E5C8D">
      <w:pPr>
        <w:spacing w:after="0" w:line="240" w:lineRule="auto"/>
        <w:contextualSpacing/>
        <w:rPr>
          <w:rFonts w:ascii="Verdana" w:eastAsia="Times New Roman" w:hAnsi="Verdana" w:cs="Arial"/>
          <w:lang w:eastAsia="es-ES_tradnl"/>
        </w:rPr>
      </w:pPr>
    </w:p>
    <w:p w14:paraId="77057697" w14:textId="77777777" w:rsidR="008E5C8D" w:rsidRDefault="008E5C8D" w:rsidP="008E5C8D">
      <w:pPr>
        <w:spacing w:after="0" w:line="240" w:lineRule="auto"/>
        <w:contextualSpacing/>
        <w:rPr>
          <w:rFonts w:ascii="Verdana" w:eastAsia="Times New Roman" w:hAnsi="Verdana" w:cs="Arial"/>
          <w:lang w:eastAsia="es-ES_tradnl"/>
        </w:rPr>
      </w:pPr>
    </w:p>
    <w:p w14:paraId="27A36762" w14:textId="77777777" w:rsidR="008E5C8D" w:rsidRDefault="008E5C8D" w:rsidP="008E5C8D">
      <w:pPr>
        <w:spacing w:after="0" w:line="240" w:lineRule="auto"/>
        <w:contextualSpacing/>
        <w:rPr>
          <w:rFonts w:ascii="Verdana" w:eastAsia="Times New Roman" w:hAnsi="Verdana" w:cs="Arial"/>
          <w:lang w:eastAsia="es-ES_tradnl"/>
        </w:rPr>
      </w:pPr>
    </w:p>
    <w:p w14:paraId="42C1DD10" w14:textId="77777777" w:rsidR="008E5C8D" w:rsidRDefault="008E5C8D" w:rsidP="008E5C8D">
      <w:pPr>
        <w:spacing w:after="0" w:line="240" w:lineRule="auto"/>
        <w:contextualSpacing/>
        <w:rPr>
          <w:rFonts w:ascii="Verdana" w:eastAsia="Times New Roman" w:hAnsi="Verdana" w:cs="Arial"/>
          <w:lang w:eastAsia="es-ES_tradnl"/>
        </w:rPr>
      </w:pPr>
    </w:p>
    <w:p w14:paraId="224A8D13" w14:textId="77777777" w:rsidR="008E5C8D" w:rsidRDefault="008E5C8D" w:rsidP="008E5C8D">
      <w:pPr>
        <w:spacing w:after="0" w:line="240" w:lineRule="auto"/>
        <w:contextualSpacing/>
        <w:rPr>
          <w:rFonts w:ascii="Verdana" w:eastAsia="Times New Roman" w:hAnsi="Verdana" w:cs="Arial"/>
          <w:lang w:eastAsia="es-ES_tradnl"/>
        </w:rPr>
      </w:pPr>
    </w:p>
    <w:p w14:paraId="2112D8B6" w14:textId="77777777" w:rsidR="008E5C8D" w:rsidRDefault="008E5C8D" w:rsidP="008E5C8D">
      <w:pPr>
        <w:spacing w:after="0" w:line="240" w:lineRule="auto"/>
        <w:contextualSpacing/>
        <w:rPr>
          <w:rFonts w:ascii="Verdana" w:eastAsia="Times New Roman" w:hAnsi="Verdana" w:cs="Arial"/>
          <w:lang w:eastAsia="es-ES_tradnl"/>
        </w:rPr>
      </w:pPr>
    </w:p>
    <w:p w14:paraId="6B108A8B" w14:textId="77777777" w:rsidR="008E5C8D" w:rsidRDefault="008E5C8D" w:rsidP="008E5C8D">
      <w:pPr>
        <w:spacing w:after="0" w:line="240" w:lineRule="auto"/>
        <w:contextualSpacing/>
        <w:rPr>
          <w:rFonts w:ascii="Verdana" w:eastAsia="Times New Roman" w:hAnsi="Verdana" w:cs="Arial"/>
          <w:lang w:eastAsia="es-ES_tradnl"/>
        </w:rPr>
      </w:pPr>
    </w:p>
    <w:p w14:paraId="749FDAD2" w14:textId="77777777" w:rsidR="008E5C8D" w:rsidRDefault="008E5C8D" w:rsidP="008E5C8D">
      <w:pPr>
        <w:spacing w:after="0" w:line="240" w:lineRule="auto"/>
        <w:contextualSpacing/>
        <w:rPr>
          <w:rFonts w:ascii="Verdana" w:eastAsia="Times New Roman" w:hAnsi="Verdana" w:cs="Arial"/>
          <w:lang w:eastAsia="es-ES_tradnl"/>
        </w:rPr>
      </w:pPr>
    </w:p>
    <w:p w14:paraId="339AB2E2" w14:textId="77777777" w:rsidR="008E5C8D" w:rsidRDefault="008E5C8D" w:rsidP="008E5C8D">
      <w:pPr>
        <w:spacing w:after="0" w:line="240" w:lineRule="auto"/>
        <w:contextualSpacing/>
        <w:rPr>
          <w:rFonts w:ascii="Verdana" w:eastAsia="Times New Roman" w:hAnsi="Verdana" w:cs="Arial"/>
          <w:lang w:eastAsia="es-ES_tradnl"/>
        </w:rPr>
      </w:pPr>
    </w:p>
    <w:p w14:paraId="50CD6709" w14:textId="77777777" w:rsidR="008E5C8D" w:rsidRDefault="008E5C8D" w:rsidP="008E5C8D">
      <w:pPr>
        <w:spacing w:after="0" w:line="240" w:lineRule="auto"/>
        <w:contextualSpacing/>
        <w:rPr>
          <w:rFonts w:ascii="Verdana" w:eastAsia="Times New Roman" w:hAnsi="Verdana" w:cs="Arial"/>
          <w:lang w:eastAsia="es-ES_tradnl"/>
        </w:rPr>
      </w:pPr>
    </w:p>
    <w:p w14:paraId="72F6A36D" w14:textId="77777777" w:rsidR="008E5C8D" w:rsidRDefault="008E5C8D" w:rsidP="008E5C8D">
      <w:pPr>
        <w:spacing w:after="0" w:line="240" w:lineRule="auto"/>
        <w:contextualSpacing/>
        <w:rPr>
          <w:rFonts w:ascii="Verdana" w:eastAsia="Times New Roman" w:hAnsi="Verdana" w:cs="Arial"/>
          <w:lang w:eastAsia="es-ES_tradnl"/>
        </w:rPr>
      </w:pPr>
    </w:p>
    <w:p w14:paraId="7AE880A9" w14:textId="77777777" w:rsidR="008E5C8D" w:rsidRDefault="008E5C8D" w:rsidP="008E5C8D">
      <w:pPr>
        <w:spacing w:after="0" w:line="240" w:lineRule="auto"/>
        <w:contextualSpacing/>
        <w:rPr>
          <w:rFonts w:ascii="Verdana" w:eastAsia="Times New Roman" w:hAnsi="Verdana" w:cs="Arial"/>
          <w:lang w:eastAsia="es-ES_tradnl"/>
        </w:rPr>
      </w:pPr>
    </w:p>
    <w:p w14:paraId="449CBB2C" w14:textId="77777777" w:rsidR="008E5C8D" w:rsidRDefault="008E5C8D" w:rsidP="008E5C8D">
      <w:pPr>
        <w:spacing w:after="0" w:line="240" w:lineRule="auto"/>
        <w:contextualSpacing/>
        <w:rPr>
          <w:rFonts w:ascii="Verdana" w:eastAsia="Times New Roman" w:hAnsi="Verdana" w:cs="Arial"/>
          <w:lang w:eastAsia="es-ES_tradnl"/>
        </w:rPr>
      </w:pPr>
    </w:p>
    <w:p w14:paraId="4BC5507D" w14:textId="77777777" w:rsidR="008E5C8D" w:rsidRDefault="008E5C8D" w:rsidP="008E5C8D">
      <w:pPr>
        <w:spacing w:after="0" w:line="240" w:lineRule="auto"/>
        <w:contextualSpacing/>
        <w:rPr>
          <w:rFonts w:ascii="Verdana" w:eastAsia="Times New Roman" w:hAnsi="Verdana" w:cs="Arial"/>
          <w:lang w:eastAsia="es-ES_tradnl"/>
        </w:rPr>
      </w:pPr>
    </w:p>
    <w:p w14:paraId="6BADAC84" w14:textId="77777777" w:rsidR="008E5C8D" w:rsidRDefault="008E5C8D" w:rsidP="008E5C8D">
      <w:pPr>
        <w:spacing w:after="0" w:line="240" w:lineRule="auto"/>
        <w:contextualSpacing/>
        <w:rPr>
          <w:rFonts w:ascii="Verdana" w:eastAsia="Times New Roman" w:hAnsi="Verdana" w:cs="Arial"/>
          <w:lang w:eastAsia="es-ES_tradnl"/>
        </w:rPr>
      </w:pPr>
    </w:p>
    <w:p w14:paraId="00C02D62" w14:textId="77777777" w:rsidR="008E5C8D" w:rsidRDefault="008E5C8D" w:rsidP="008E5C8D">
      <w:pPr>
        <w:spacing w:after="0" w:line="240" w:lineRule="auto"/>
        <w:contextualSpacing/>
        <w:rPr>
          <w:rFonts w:ascii="Verdana" w:eastAsia="Times New Roman" w:hAnsi="Verdana" w:cs="Arial"/>
          <w:lang w:eastAsia="es-ES_tradnl"/>
        </w:rPr>
      </w:pPr>
    </w:p>
    <w:p w14:paraId="36268CB5" w14:textId="77777777" w:rsidR="009F5614" w:rsidRDefault="003C4EF9" w:rsidP="003C4EF9">
      <w:pPr>
        <w:spacing w:after="0" w:line="240" w:lineRule="auto"/>
        <w:contextualSpacing/>
        <w:jc w:val="both"/>
        <w:rPr>
          <w:rFonts w:ascii="Verdana" w:eastAsia="Times New Roman" w:hAnsi="Verdana" w:cs="Arial"/>
          <w:lang w:eastAsia="es-ES"/>
        </w:rPr>
      </w:pPr>
      <w:r w:rsidRPr="0CC24A32">
        <w:rPr>
          <w:rFonts w:ascii="Verdana" w:eastAsia="Times New Roman" w:hAnsi="Verdana" w:cs="Arial"/>
          <w:lang w:eastAsia="es-ES"/>
        </w:rPr>
        <w:lastRenderedPageBreak/>
        <w:t>Bogotá D.C., </w:t>
      </w:r>
      <w:r w:rsidR="009F5614">
        <w:rPr>
          <w:rFonts w:ascii="Verdana" w:eastAsia="Times New Roman" w:hAnsi="Verdana" w:cs="Arial"/>
          <w:lang w:eastAsia="es-ES"/>
        </w:rPr>
        <w:t>20 de noviembre de 2025</w:t>
      </w:r>
    </w:p>
    <w:p w14:paraId="515F4682" w14:textId="77777777" w:rsidR="009F5614" w:rsidRDefault="009F5614" w:rsidP="003C4EF9">
      <w:pPr>
        <w:spacing w:after="0" w:line="240" w:lineRule="auto"/>
        <w:contextualSpacing/>
        <w:jc w:val="both"/>
        <w:rPr>
          <w:rFonts w:ascii="Verdana" w:eastAsia="Times New Roman" w:hAnsi="Verdana" w:cs="Arial"/>
          <w:lang w:eastAsia="es-ES"/>
        </w:rPr>
      </w:pPr>
    </w:p>
    <w:p w14:paraId="175D26CC" w14:textId="2E9CF46C" w:rsidR="003C4EF9" w:rsidRPr="0080349C" w:rsidRDefault="000F274B" w:rsidP="000F274B">
      <w:pPr>
        <w:spacing w:after="0" w:line="240" w:lineRule="auto"/>
        <w:contextualSpacing/>
        <w:jc w:val="right"/>
        <w:rPr>
          <w:rFonts w:ascii="Verdana" w:eastAsia="Calibri" w:hAnsi="Verdana" w:cs="Arial"/>
          <w:color w:val="000000"/>
        </w:rPr>
      </w:pPr>
      <w:r w:rsidRPr="000F274B">
        <w:rPr>
          <w:rFonts w:ascii="Verdana" w:eastAsia="Times New Roman" w:hAnsi="Verdana" w:cs="Arial"/>
          <w:noProof/>
          <w:lang w:eastAsia="es-ES"/>
        </w:rPr>
        <w:drawing>
          <wp:anchor distT="0" distB="0" distL="114300" distR="114300" simplePos="0" relativeHeight="251658240" behindDoc="1" locked="0" layoutInCell="1" allowOverlap="1" wp14:anchorId="5659A102" wp14:editId="4FC510D1">
            <wp:simplePos x="0" y="0"/>
            <wp:positionH relativeFrom="column">
              <wp:posOffset>3196590</wp:posOffset>
            </wp:positionH>
            <wp:positionV relativeFrom="paragraph">
              <wp:posOffset>-1905</wp:posOffset>
            </wp:positionV>
            <wp:extent cx="2361510" cy="667999"/>
            <wp:effectExtent l="0" t="0" r="1270" b="0"/>
            <wp:wrapNone/>
            <wp:docPr id="1053562196"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562196" name="Imagen 1" descr="Interfaz de usuario gráfica, 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61510" cy="667999"/>
                    </a:xfrm>
                    <a:prstGeom prst="rect">
                      <a:avLst/>
                    </a:prstGeom>
                  </pic:spPr>
                </pic:pic>
              </a:graphicData>
            </a:graphic>
          </wp:anchor>
        </w:drawing>
      </w:r>
      <w:r w:rsidR="003C4EF9" w:rsidRPr="0CC24A32">
        <w:rPr>
          <w:rFonts w:ascii="Verdana" w:eastAsia="Times New Roman" w:hAnsi="Verdana" w:cs="Arial"/>
          <w:lang w:eastAsia="es-ES"/>
        </w:rPr>
        <w:t> </w:t>
      </w:r>
    </w:p>
    <w:p w14:paraId="15BDB179" w14:textId="77777777" w:rsidR="003C4EF9" w:rsidRDefault="003C4EF9" w:rsidP="003C4EF9">
      <w:pPr>
        <w:spacing w:after="0" w:line="240" w:lineRule="auto"/>
        <w:jc w:val="both"/>
        <w:rPr>
          <w:rFonts w:ascii="Verdana" w:eastAsia="Calibri" w:hAnsi="Verdana" w:cs="Arial"/>
          <w:lang w:val="es-ES" w:eastAsia="es-ES"/>
        </w:rPr>
      </w:pPr>
    </w:p>
    <w:p w14:paraId="294E1938" w14:textId="77777777" w:rsidR="003C4EF9" w:rsidRPr="00474910" w:rsidRDefault="003C4EF9" w:rsidP="003C4EF9">
      <w:pPr>
        <w:spacing w:after="0" w:line="240" w:lineRule="auto"/>
        <w:jc w:val="both"/>
        <w:rPr>
          <w:rFonts w:ascii="Verdana" w:eastAsia="Calibri" w:hAnsi="Verdana" w:cs="Arial"/>
          <w:lang w:val="es-ES" w:eastAsia="es-ES"/>
        </w:rPr>
      </w:pPr>
      <w:r w:rsidRPr="00474910">
        <w:rPr>
          <w:rFonts w:ascii="Verdana" w:eastAsia="Calibri" w:hAnsi="Verdana" w:cs="Arial"/>
          <w:lang w:val="es-ES" w:eastAsia="es-ES"/>
        </w:rPr>
        <w:t>Señor</w:t>
      </w:r>
      <w:r>
        <w:rPr>
          <w:rFonts w:ascii="Verdana" w:eastAsia="Calibri" w:hAnsi="Verdana" w:cs="Arial"/>
          <w:lang w:val="es-ES" w:eastAsia="es-ES"/>
        </w:rPr>
        <w:t>a</w:t>
      </w:r>
    </w:p>
    <w:p w14:paraId="342A3DE7" w14:textId="77777777" w:rsidR="003C4EF9" w:rsidRPr="00F419BD" w:rsidRDefault="003C4EF9" w:rsidP="003C4EF9">
      <w:pPr>
        <w:spacing w:after="0" w:line="240" w:lineRule="auto"/>
        <w:rPr>
          <w:rFonts w:ascii="Verdana" w:eastAsia="Calibri" w:hAnsi="Verdana" w:cs="Arial"/>
          <w:b/>
          <w:lang w:eastAsia="es-ES_tradnl"/>
        </w:rPr>
      </w:pPr>
      <w:proofErr w:type="spellStart"/>
      <w:r w:rsidRPr="00F419BD">
        <w:rPr>
          <w:rFonts w:ascii="Verdana" w:eastAsia="Calibri" w:hAnsi="Verdana" w:cs="Arial"/>
          <w:b/>
          <w:lang w:eastAsia="es-ES_tradnl"/>
        </w:rPr>
        <w:t>Erlendy</w:t>
      </w:r>
      <w:proofErr w:type="spellEnd"/>
      <w:r w:rsidRPr="00F419BD">
        <w:rPr>
          <w:rFonts w:ascii="Verdana" w:eastAsia="Calibri" w:hAnsi="Verdana" w:cs="Arial"/>
          <w:b/>
          <w:lang w:eastAsia="es-ES_tradnl"/>
        </w:rPr>
        <w:t xml:space="preserve"> </w:t>
      </w:r>
      <w:proofErr w:type="spellStart"/>
      <w:r w:rsidRPr="00F419BD">
        <w:rPr>
          <w:rFonts w:ascii="Verdana" w:eastAsia="Calibri" w:hAnsi="Verdana" w:cs="Arial"/>
          <w:b/>
          <w:lang w:eastAsia="es-ES_tradnl"/>
        </w:rPr>
        <w:t>Monserrath</w:t>
      </w:r>
      <w:proofErr w:type="spellEnd"/>
      <w:r w:rsidRPr="00F419BD">
        <w:rPr>
          <w:rFonts w:ascii="Verdana" w:eastAsia="Calibri" w:hAnsi="Verdana" w:cs="Arial"/>
          <w:b/>
          <w:lang w:eastAsia="es-ES_tradnl"/>
        </w:rPr>
        <w:t xml:space="preserve"> Riveros Sierra</w:t>
      </w:r>
    </w:p>
    <w:p w14:paraId="5395A879" w14:textId="77777777" w:rsidR="003C4EF9" w:rsidRPr="002A122F" w:rsidRDefault="003C4EF9" w:rsidP="003C4EF9">
      <w:pPr>
        <w:spacing w:after="0" w:line="240" w:lineRule="auto"/>
        <w:rPr>
          <w:rFonts w:ascii="Verdana" w:eastAsia="Calibri" w:hAnsi="Verdana" w:cs="Arial"/>
          <w:lang w:eastAsia="es-ES"/>
        </w:rPr>
      </w:pPr>
      <w:hyperlink r:id="rId11" w:history="1">
        <w:r w:rsidRPr="002A122F">
          <w:rPr>
            <w:rStyle w:val="Hipervnculo"/>
            <w:rFonts w:ascii="Verdana" w:eastAsia="Calibri" w:hAnsi="Verdana" w:cs="Arial"/>
            <w:lang w:eastAsia="es-ES"/>
          </w:rPr>
          <w:t>monserrathriveros@hotmail.com</w:t>
        </w:r>
      </w:hyperlink>
      <w:r w:rsidRPr="002A122F">
        <w:rPr>
          <w:rFonts w:ascii="Verdana" w:eastAsia="Calibri" w:hAnsi="Verdana" w:cs="Arial"/>
          <w:lang w:eastAsia="es-ES"/>
        </w:rPr>
        <w:t xml:space="preserve"> </w:t>
      </w:r>
    </w:p>
    <w:p w14:paraId="2F6D16D4" w14:textId="77777777" w:rsidR="003C4EF9" w:rsidRPr="00474910" w:rsidRDefault="003C4EF9" w:rsidP="003C4EF9">
      <w:pPr>
        <w:spacing w:after="0" w:line="240" w:lineRule="auto"/>
        <w:rPr>
          <w:rFonts w:ascii="Verdana" w:eastAsia="Calibri" w:hAnsi="Verdana" w:cs="Arial"/>
          <w:lang w:val="es-ES" w:eastAsia="es-ES"/>
        </w:rPr>
      </w:pPr>
      <w:r>
        <w:rPr>
          <w:rFonts w:ascii="Verdana" w:eastAsia="Calibri" w:hAnsi="Verdana" w:cs="Arial"/>
          <w:lang w:val="es-ES" w:eastAsia="es-ES"/>
        </w:rPr>
        <w:t>Circasia</w:t>
      </w:r>
      <w:r w:rsidRPr="00474910">
        <w:rPr>
          <w:rFonts w:ascii="Verdana" w:eastAsia="Calibri" w:hAnsi="Verdana" w:cs="Arial"/>
          <w:lang w:val="es-ES" w:eastAsia="es-ES"/>
        </w:rPr>
        <w:t xml:space="preserve">, </w:t>
      </w:r>
      <w:r>
        <w:rPr>
          <w:rFonts w:ascii="Verdana" w:eastAsia="Calibri" w:hAnsi="Verdana" w:cs="Arial"/>
          <w:lang w:val="es-ES" w:eastAsia="es-ES"/>
        </w:rPr>
        <w:t>Quindío</w:t>
      </w:r>
      <w:r w:rsidRPr="00474910">
        <w:rPr>
          <w:rFonts w:ascii="Verdana" w:eastAsia="Calibri" w:hAnsi="Verdana" w:cs="Arial"/>
          <w:lang w:val="es-ES" w:eastAsia="es-ES"/>
        </w:rPr>
        <w:t xml:space="preserve"> </w:t>
      </w:r>
    </w:p>
    <w:p w14:paraId="071199F0" w14:textId="77777777" w:rsidR="003C4EF9" w:rsidRPr="00DD5587" w:rsidRDefault="003C4EF9" w:rsidP="003C4EF9">
      <w:pPr>
        <w:spacing w:after="0" w:line="240" w:lineRule="auto"/>
        <w:rPr>
          <w:rFonts w:ascii="Verdana" w:eastAsia="Calibri" w:hAnsi="Verdana" w:cs="Arial"/>
          <w:b/>
          <w:bCs/>
          <w:color w:val="000000"/>
          <w:lang w:val="es-ES" w:eastAsia="es-ES_tradnl"/>
        </w:rPr>
      </w:pPr>
    </w:p>
    <w:p w14:paraId="494B3446" w14:textId="77777777" w:rsidR="003C4EF9" w:rsidRPr="00474910" w:rsidRDefault="003C4EF9" w:rsidP="003C4EF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C4EF9" w:rsidRPr="00474910" w14:paraId="0820CE67" w14:textId="77777777" w:rsidTr="005B6068">
        <w:trPr>
          <w:trHeight w:val="194"/>
        </w:trPr>
        <w:tc>
          <w:tcPr>
            <w:tcW w:w="2689" w:type="dxa"/>
          </w:tcPr>
          <w:p w14:paraId="65214216" w14:textId="77777777" w:rsidR="003C4EF9" w:rsidRPr="00474910" w:rsidRDefault="003C4EF9" w:rsidP="005B6068">
            <w:pPr>
              <w:jc w:val="both"/>
              <w:rPr>
                <w:rFonts w:ascii="Verdana" w:eastAsia="Calibri" w:hAnsi="Verdana" w:cs="Arial"/>
                <w:b/>
                <w:bCs/>
                <w:color w:val="7030A0"/>
                <w:lang w:val="es-ES_tradnl" w:eastAsia="es-ES_tradnl"/>
              </w:rPr>
            </w:pPr>
          </w:p>
        </w:tc>
        <w:tc>
          <w:tcPr>
            <w:tcW w:w="6100" w:type="dxa"/>
          </w:tcPr>
          <w:p w14:paraId="47F12BF8" w14:textId="77777777" w:rsidR="003C4EF9" w:rsidRPr="00446EAA" w:rsidRDefault="003C4EF9" w:rsidP="005B6068">
            <w:pPr>
              <w:jc w:val="both"/>
              <w:rPr>
                <w:rFonts w:ascii="Verdana" w:eastAsia="Calibri" w:hAnsi="Verdana" w:cs="Arial"/>
                <w:b/>
                <w:bCs/>
                <w:lang w:val="es-ES" w:eastAsia="es-ES"/>
              </w:rPr>
            </w:pPr>
            <w:r w:rsidRPr="00474910">
              <w:rPr>
                <w:rFonts w:ascii="Verdana" w:eastAsia="Calibri" w:hAnsi="Verdana" w:cs="Arial"/>
                <w:b/>
                <w:bCs/>
                <w:lang w:val="es-ES" w:eastAsia="es-ES"/>
              </w:rPr>
              <w:t>Concepto C–</w:t>
            </w:r>
            <w:r>
              <w:rPr>
                <w:rFonts w:ascii="Verdana" w:eastAsia="Calibri" w:hAnsi="Verdana" w:cs="Arial"/>
                <w:b/>
                <w:bCs/>
                <w:lang w:val="es-ES" w:eastAsia="es-ES"/>
              </w:rPr>
              <w:t>1464</w:t>
            </w:r>
            <w:r w:rsidRPr="00474910">
              <w:rPr>
                <w:rFonts w:ascii="Verdana" w:eastAsia="Calibri" w:hAnsi="Verdana" w:cs="Arial"/>
                <w:b/>
                <w:bCs/>
                <w:lang w:val="es-ES" w:eastAsia="es-ES"/>
              </w:rPr>
              <w:t xml:space="preserve"> de 2025</w:t>
            </w:r>
          </w:p>
          <w:p w14:paraId="0A30AB1B" w14:textId="77777777" w:rsidR="003C4EF9" w:rsidRPr="00474910" w:rsidRDefault="003C4EF9" w:rsidP="005B6068">
            <w:pPr>
              <w:jc w:val="both"/>
              <w:rPr>
                <w:rFonts w:ascii="Verdana" w:eastAsia="Calibri" w:hAnsi="Verdana" w:cs="Arial"/>
                <w:b/>
                <w:bCs/>
                <w:color w:val="7030A0"/>
                <w:lang w:val="es-ES" w:eastAsia="es-ES"/>
              </w:rPr>
            </w:pPr>
          </w:p>
        </w:tc>
      </w:tr>
      <w:tr w:rsidR="003C4EF9" w:rsidRPr="00474910" w14:paraId="1373301E" w14:textId="77777777" w:rsidTr="005B6068">
        <w:trPr>
          <w:trHeight w:val="884"/>
        </w:trPr>
        <w:tc>
          <w:tcPr>
            <w:tcW w:w="2689" w:type="dxa"/>
          </w:tcPr>
          <w:p w14:paraId="6D9B039B" w14:textId="77777777" w:rsidR="003C4EF9" w:rsidRPr="00474910" w:rsidRDefault="003C4EF9" w:rsidP="005B6068">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6EE6485E" w14:textId="77777777" w:rsidR="003C4EF9" w:rsidRPr="00132CCC" w:rsidRDefault="003C4EF9" w:rsidP="005B6068">
            <w:pPr>
              <w:jc w:val="both"/>
              <w:rPr>
                <w:rFonts w:ascii="Verdana" w:eastAsia="Calibri" w:hAnsi="Verdana" w:cs="Arial"/>
                <w:highlight w:val="yellow"/>
                <w:lang w:eastAsia="es-ES"/>
              </w:rPr>
            </w:pPr>
            <w:r w:rsidRPr="00AB3F20">
              <w:rPr>
                <w:rFonts w:ascii="Verdana" w:eastAsia="Calibri" w:hAnsi="Verdana" w:cs="Arial"/>
                <w:lang w:eastAsia="es-ES"/>
              </w:rPr>
              <w:t>LIQUIDACIÓN DEL CONTRATO – Concepto – Naturaleza jurídica – Finalidad</w:t>
            </w:r>
            <w:r>
              <w:rPr>
                <w:rFonts w:ascii="Verdana" w:eastAsia="Calibri" w:hAnsi="Verdana" w:cs="Arial"/>
                <w:lang w:eastAsia="es-ES"/>
              </w:rPr>
              <w:t xml:space="preserve"> / </w:t>
            </w:r>
            <w:r w:rsidRPr="00AB3F20">
              <w:rPr>
                <w:rFonts w:ascii="Verdana" w:eastAsia="Calibri" w:hAnsi="Verdana" w:cs="Arial"/>
                <w:lang w:eastAsia="es-ES"/>
              </w:rPr>
              <w:t>LIQUIDACIÓN DEL CONTRATO – Tipos de liquidación – Bilateral, unilateral y liquidación judicial</w:t>
            </w:r>
            <w:r>
              <w:rPr>
                <w:rFonts w:ascii="Verdana" w:eastAsia="Calibri" w:hAnsi="Verdana" w:cs="Arial"/>
                <w:lang w:eastAsia="es-ES"/>
              </w:rPr>
              <w:t xml:space="preserve"> / </w:t>
            </w:r>
            <w:r w:rsidRPr="00AB3F20">
              <w:rPr>
                <w:rFonts w:ascii="Verdana" w:eastAsia="Calibri" w:hAnsi="Verdana" w:cs="Arial"/>
                <w:lang w:eastAsia="es-ES"/>
              </w:rPr>
              <w:t>GARANTÍA ÚNICA DE CUMPLIMIENTO – Amparos – Definición – Coberturas – Vigencia mínima</w:t>
            </w:r>
            <w:r>
              <w:rPr>
                <w:rFonts w:ascii="Verdana" w:eastAsia="Calibri" w:hAnsi="Verdana" w:cs="Arial"/>
                <w:lang w:eastAsia="es-ES"/>
              </w:rPr>
              <w:t xml:space="preserve"> / </w:t>
            </w:r>
            <w:r w:rsidRPr="00AB3F20">
              <w:rPr>
                <w:rFonts w:ascii="Verdana" w:eastAsia="Calibri" w:hAnsi="Verdana" w:cs="Arial"/>
                <w:lang w:eastAsia="es-ES"/>
              </w:rPr>
              <w:t>AMPARO DE CALIDAD O CORRECTO FUNCIONAMIENTO – Finalidad – Riesgos posteriores a la ejecución</w:t>
            </w:r>
            <w:r>
              <w:rPr>
                <w:rFonts w:ascii="Verdana" w:eastAsia="Calibri" w:hAnsi="Verdana" w:cs="Arial"/>
                <w:lang w:eastAsia="es-ES"/>
              </w:rPr>
              <w:t xml:space="preserve"> / </w:t>
            </w:r>
            <w:r w:rsidRPr="00AB3F20">
              <w:rPr>
                <w:rFonts w:ascii="Verdana" w:eastAsia="Calibri" w:hAnsi="Verdana" w:cs="Arial"/>
                <w:lang w:eastAsia="es-ES"/>
              </w:rPr>
              <w:t>DECRETO 1082 DE 2015 – Régimen de garantías – Definición de amparos – Reglas sobre suficiencia y vigencia</w:t>
            </w:r>
          </w:p>
        </w:tc>
      </w:tr>
      <w:tr w:rsidR="003C4EF9" w:rsidRPr="00474910" w14:paraId="57F4A6B9" w14:textId="77777777" w:rsidTr="005B6068">
        <w:tc>
          <w:tcPr>
            <w:tcW w:w="2689" w:type="dxa"/>
          </w:tcPr>
          <w:p w14:paraId="4509AD04" w14:textId="77777777" w:rsidR="003C4EF9" w:rsidRPr="00474910" w:rsidRDefault="003C4EF9" w:rsidP="005B6068">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1F3F3C2F" w14:textId="77777777" w:rsidR="003C4EF9" w:rsidRPr="00474910" w:rsidRDefault="003C4EF9" w:rsidP="005B6068">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905463">
              <w:rPr>
                <w:rFonts w:ascii="Verdana" w:eastAsia="Calibri" w:hAnsi="Verdana" w:cs="Arial"/>
                <w:lang w:eastAsia="es-ES_tradnl"/>
              </w:rPr>
              <w:t>1_2025_10_07_011236</w:t>
            </w:r>
          </w:p>
        </w:tc>
      </w:tr>
    </w:tbl>
    <w:p w14:paraId="5FACE444" w14:textId="77777777" w:rsidR="003C4EF9" w:rsidRPr="00474910" w:rsidRDefault="003C4EF9" w:rsidP="003C4EF9">
      <w:pPr>
        <w:spacing w:after="0" w:line="276" w:lineRule="auto"/>
        <w:jc w:val="both"/>
        <w:rPr>
          <w:rFonts w:ascii="Verdana" w:eastAsia="Calibri" w:hAnsi="Verdana" w:cs="Arial"/>
          <w:color w:val="000000"/>
          <w:lang w:val="es-ES_tradnl" w:eastAsia="es-ES_tradnl"/>
        </w:rPr>
      </w:pPr>
    </w:p>
    <w:p w14:paraId="06BDF579" w14:textId="77777777" w:rsidR="003C4EF9" w:rsidRPr="00474910" w:rsidRDefault="003C4EF9" w:rsidP="003C4EF9">
      <w:pPr>
        <w:spacing w:after="0" w:line="276" w:lineRule="auto"/>
        <w:jc w:val="both"/>
        <w:rPr>
          <w:rFonts w:ascii="Verdana" w:eastAsia="Calibri" w:hAnsi="Verdana" w:cs="Arial"/>
          <w:color w:val="000000"/>
          <w:lang w:val="es-ES_tradnl" w:eastAsia="es-ES_tradnl"/>
        </w:rPr>
      </w:pPr>
    </w:p>
    <w:p w14:paraId="407EE498" w14:textId="77777777" w:rsidR="003C4EF9" w:rsidRPr="008E6AD9" w:rsidRDefault="003C4EF9" w:rsidP="003C4EF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905463">
        <w:rPr>
          <w:rFonts w:ascii="Verdana" w:eastAsia="Calibri" w:hAnsi="Verdana" w:cs="Arial"/>
          <w:lang w:val="es-ES" w:eastAsia="es-ES"/>
        </w:rPr>
        <w:t>Riveros Sierra</w:t>
      </w:r>
      <w:r w:rsidRPr="008E6AD9">
        <w:rPr>
          <w:rFonts w:ascii="Verdana" w:eastAsia="Calibri" w:hAnsi="Verdana" w:cs="Arial"/>
          <w:lang w:val="es-ES" w:eastAsia="es-ES"/>
        </w:rPr>
        <w:t xml:space="preserve">: </w:t>
      </w:r>
    </w:p>
    <w:p w14:paraId="5F14798D" w14:textId="77777777" w:rsidR="003C4EF9" w:rsidRDefault="003C4EF9" w:rsidP="003C4EF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880A5D" w14:textId="77777777" w:rsidR="003C4EF9" w:rsidRPr="006730E9" w:rsidRDefault="003C4EF9" w:rsidP="003C4EF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 xml:space="preserve">y de conformidad con las modalidades del derecho de petición contempladas en la Ley 1755 de 2015, así como lo establecido en la </w:t>
      </w:r>
      <w:r>
        <w:rPr>
          <w:rFonts w:ascii="Verdana" w:eastAsia="Calibri" w:hAnsi="Verdana" w:cs="Arial"/>
          <w:color w:val="000000" w:themeColor="text1"/>
          <w:lang w:eastAsia="es-ES"/>
        </w:rPr>
        <w:t>R</w:t>
      </w:r>
      <w:r w:rsidRPr="00152C0F">
        <w:rPr>
          <w:rFonts w:ascii="Verdana" w:eastAsia="Calibri" w:hAnsi="Verdana" w:cs="Arial"/>
          <w:color w:val="000000" w:themeColor="text1"/>
          <w:lang w:eastAsia="es-ES"/>
        </w:rPr>
        <w:t>esolución </w:t>
      </w:r>
      <w:proofErr w:type="spellStart"/>
      <w:r w:rsidRPr="00152C0F">
        <w:rPr>
          <w:rFonts w:ascii="Verdana" w:eastAsia="Calibri" w:hAnsi="Verdana" w:cs="Arial"/>
          <w:color w:val="000000" w:themeColor="text1"/>
          <w:lang w:eastAsia="es-ES"/>
        </w:rPr>
        <w:t>N°</w:t>
      </w:r>
      <w:proofErr w:type="spellEnd"/>
      <w:r w:rsidRPr="00152C0F">
        <w:rPr>
          <w:rFonts w:ascii="Verdana" w:eastAsia="Calibri" w:hAnsi="Verdana" w:cs="Arial"/>
          <w:color w:val="000000" w:themeColor="text1"/>
          <w:lang w:eastAsia="es-ES"/>
        </w:rPr>
        <w:t xml:space="preserve"> 469 del 2025 expedida por esta Agencia, damos respuesta a su </w:t>
      </w:r>
      <w:r>
        <w:rPr>
          <w:rFonts w:ascii="Verdana" w:eastAsia="Calibri" w:hAnsi="Verdana" w:cs="Arial"/>
          <w:color w:val="000000" w:themeColor="text1"/>
          <w:lang w:eastAsia="es-ES"/>
        </w:rPr>
        <w:t>c</w:t>
      </w:r>
      <w:r w:rsidRPr="00152C0F">
        <w:rPr>
          <w:rFonts w:ascii="Verdana" w:eastAsia="Calibri" w:hAnsi="Verdana" w:cs="Arial"/>
          <w:color w:val="000000" w:themeColor="text1"/>
          <w:lang w:eastAsia="es-ES"/>
        </w:rPr>
        <w:t xml:space="preserve">onsulta </w:t>
      </w:r>
      <w:r>
        <w:rPr>
          <w:rFonts w:ascii="Verdana" w:eastAsia="Calibri" w:hAnsi="Verdana" w:cs="Arial"/>
          <w:color w:val="000000" w:themeColor="text1"/>
          <w:lang w:eastAsia="es-ES"/>
        </w:rPr>
        <w:t>radicada el</w:t>
      </w:r>
      <w:r w:rsidRPr="00152C0F">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7</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11025A18" w14:textId="77777777" w:rsidR="003C4EF9" w:rsidRPr="00272A7B" w:rsidRDefault="003C4EF9" w:rsidP="003C4EF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2470910" w14:textId="77777777" w:rsidR="003C4EF9" w:rsidRPr="00F43830" w:rsidRDefault="003C4EF9" w:rsidP="003C4EF9">
      <w:pPr>
        <w:pStyle w:val="Prrafodelista"/>
        <w:spacing w:after="0" w:line="240" w:lineRule="auto"/>
        <w:ind w:left="709" w:right="709"/>
        <w:contextualSpacing w:val="0"/>
        <w:jc w:val="both"/>
        <w:rPr>
          <w:rFonts w:ascii="Verdana" w:eastAsia="Century Gothic" w:hAnsi="Verdana" w:cs="Century Gothic"/>
          <w:sz w:val="20"/>
          <w:szCs w:val="20"/>
        </w:rPr>
      </w:pPr>
      <w:r w:rsidRPr="00F43830">
        <w:rPr>
          <w:rFonts w:ascii="Verdana" w:eastAsia="Century Gothic" w:hAnsi="Verdana" w:cs="Century Gothic"/>
          <w:sz w:val="20"/>
          <w:szCs w:val="20"/>
        </w:rPr>
        <w:t xml:space="preserve">“[…] cordial saludo </w:t>
      </w:r>
      <w:proofErr w:type="gramStart"/>
      <w:r w:rsidRPr="00F43830">
        <w:rPr>
          <w:rFonts w:ascii="Verdana" w:eastAsia="Century Gothic" w:hAnsi="Verdana" w:cs="Century Gothic"/>
          <w:sz w:val="20"/>
          <w:szCs w:val="20"/>
        </w:rPr>
        <w:t>de acuerdo al</w:t>
      </w:r>
      <w:proofErr w:type="gramEnd"/>
      <w:r w:rsidRPr="00F43830">
        <w:rPr>
          <w:rFonts w:ascii="Verdana" w:eastAsia="Century Gothic" w:hAnsi="Verdana" w:cs="Century Gothic"/>
          <w:sz w:val="20"/>
          <w:szCs w:val="20"/>
        </w:rPr>
        <w:t xml:space="preserve"> concepto C-452 -2025, emitido por ustedes las entidades en las garantías de cumplimiento, calidad del servicio. calidad y correcto funcionamiento de los bienes deben solicitar las vigencias por el plazo de ejecución y 30 meses más? o deben tener en cuenta el plazo de (liquidación) de la vigencia del contrato establecida en los documentos previos y el contrato, toda vez que resulta confuso para la vigencia de los amparos si se debe tener todo el tiempo de liquidación con el que cuenta la entidad hasta no perder competencia de acuerdo a la </w:t>
      </w:r>
      <w:r w:rsidRPr="00F43830">
        <w:rPr>
          <w:rFonts w:ascii="Verdana" w:eastAsia="Century Gothic" w:hAnsi="Verdana" w:cs="Century Gothic"/>
          <w:sz w:val="20"/>
          <w:szCs w:val="20"/>
        </w:rPr>
        <w:lastRenderedPageBreak/>
        <w:t>norma o si es viable tener en cuenta plazo de ejecución y seis meses más, lo anterior siguiendo el ejemplo como se solicitan en los acuerdos marcos las garantías a favor de las entidades los cuales determinan plazo de la orden de compra y seis meses más, es correcto entonces solicitar estos amparos por plazo de ejecución y seis meses más?”</w:t>
      </w:r>
    </w:p>
    <w:p w14:paraId="1A336316" w14:textId="77777777" w:rsidR="003C4EF9" w:rsidRPr="008E6AD9" w:rsidRDefault="003C4EF9" w:rsidP="003C4EF9">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rPr>
      </w:pPr>
    </w:p>
    <w:p w14:paraId="406D0647" w14:textId="77777777" w:rsidR="003C4EF9" w:rsidRPr="00A652FF" w:rsidRDefault="003C4EF9" w:rsidP="003C4EF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196AFFB" w14:textId="77777777" w:rsidR="003C4EF9" w:rsidRDefault="003C4EF9" w:rsidP="003C4EF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CE9F005" w14:textId="77777777" w:rsidR="003C4EF9" w:rsidRPr="00593A5F" w:rsidRDefault="003C4EF9" w:rsidP="003C4EF9">
      <w:pPr>
        <w:spacing w:after="0" w:line="276" w:lineRule="auto"/>
        <w:jc w:val="both"/>
        <w:rPr>
          <w:rFonts w:ascii="Verdana" w:eastAsia="Calibri" w:hAnsi="Verdana" w:cs="Arial"/>
          <w:color w:val="000000"/>
          <w:lang w:val="es-ES" w:eastAsia="es-ES"/>
        </w:rPr>
      </w:pPr>
    </w:p>
    <w:p w14:paraId="35A9E6BB" w14:textId="77777777" w:rsidR="003C4EF9" w:rsidRPr="00593A5F" w:rsidRDefault="003C4EF9" w:rsidP="003C4EF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52055199" w14:textId="77777777" w:rsidR="003C4EF9" w:rsidRPr="00593A5F" w:rsidRDefault="003C4EF9" w:rsidP="003C4EF9">
      <w:pPr>
        <w:tabs>
          <w:tab w:val="left" w:pos="426"/>
        </w:tabs>
        <w:spacing w:after="0" w:line="276" w:lineRule="auto"/>
        <w:jc w:val="both"/>
        <w:rPr>
          <w:rFonts w:ascii="Verdana" w:eastAsia="Century Gothic" w:hAnsi="Verdana" w:cs="Century Gothic"/>
          <w:lang w:val="es-ES"/>
        </w:rPr>
      </w:pPr>
    </w:p>
    <w:p w14:paraId="3118473B" w14:textId="77777777" w:rsidR="003C4EF9" w:rsidRDefault="003C4EF9" w:rsidP="003C4EF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 xml:space="preserve">su solicitud, esta Agencia resolverá </w:t>
      </w:r>
      <w:r>
        <w:rPr>
          <w:rFonts w:ascii="Verdana" w:eastAsia="Century Gothic" w:hAnsi="Verdana" w:cs="Century Gothic"/>
        </w:rPr>
        <w:t>el</w:t>
      </w:r>
      <w:r w:rsidRPr="00B47324">
        <w:rPr>
          <w:rFonts w:ascii="Verdana" w:eastAsia="Century Gothic" w:hAnsi="Verdana" w:cs="Century Gothic"/>
        </w:rPr>
        <w:t xml:space="preserve"> siguiente problema jurídico: </w:t>
      </w:r>
    </w:p>
    <w:p w14:paraId="0B716473" w14:textId="77777777" w:rsidR="003C4EF9" w:rsidRDefault="003C4EF9" w:rsidP="003C4EF9">
      <w:pPr>
        <w:spacing w:after="0" w:line="276" w:lineRule="auto"/>
        <w:jc w:val="both"/>
        <w:rPr>
          <w:rFonts w:ascii="Verdana" w:eastAsia="Century Gothic" w:hAnsi="Verdana" w:cs="Century Gothic"/>
        </w:rPr>
      </w:pPr>
    </w:p>
    <w:p w14:paraId="1827443B" w14:textId="77777777" w:rsidR="003C4EF9" w:rsidRDefault="003C4EF9" w:rsidP="003C4EF9">
      <w:pPr>
        <w:spacing w:after="0" w:line="276" w:lineRule="auto"/>
        <w:jc w:val="both"/>
        <w:rPr>
          <w:rFonts w:ascii="Verdana" w:eastAsia="Century Gothic" w:hAnsi="Verdana" w:cs="Century Gothic"/>
        </w:rPr>
      </w:pPr>
      <w:r w:rsidRPr="0023434E">
        <w:rPr>
          <w:rFonts w:ascii="Verdana" w:eastAsia="Century Gothic" w:hAnsi="Verdana" w:cs="Century Gothic"/>
        </w:rPr>
        <w:t xml:space="preserve">¿Deben las Entidades Estatales exigir que los amparos de la garantía única de cumplimiento —en particular, los amparos de calidad del servicio y de calidad y correcto funcionamiento de los bienes— tengan una vigencia equivalente al plazo de ejecución del contrato más treinta (30) meses, o si, por el contrario, su vigencia debe extenderse únicamente hasta el plazo previsto para la liquidación del contrato estatal —sea esta i) bilateral, </w:t>
      </w:r>
      <w:proofErr w:type="spellStart"/>
      <w:r w:rsidRPr="0023434E">
        <w:rPr>
          <w:rFonts w:ascii="Verdana" w:eastAsia="Century Gothic" w:hAnsi="Verdana" w:cs="Century Gothic"/>
        </w:rPr>
        <w:t>ii</w:t>
      </w:r>
      <w:proofErr w:type="spellEnd"/>
      <w:r w:rsidRPr="0023434E">
        <w:rPr>
          <w:rFonts w:ascii="Verdana" w:eastAsia="Century Gothic" w:hAnsi="Verdana" w:cs="Century Gothic"/>
        </w:rPr>
        <w:t xml:space="preserve">) unilateral o </w:t>
      </w:r>
      <w:proofErr w:type="spellStart"/>
      <w:r w:rsidRPr="0023434E">
        <w:rPr>
          <w:rFonts w:ascii="Verdana" w:eastAsia="Century Gothic" w:hAnsi="Verdana" w:cs="Century Gothic"/>
        </w:rPr>
        <w:t>iii</w:t>
      </w:r>
      <w:proofErr w:type="spellEnd"/>
      <w:r w:rsidRPr="0023434E">
        <w:rPr>
          <w:rFonts w:ascii="Verdana" w:eastAsia="Century Gothic" w:hAnsi="Verdana" w:cs="Century Gothic"/>
        </w:rPr>
        <w:t>) judicial— de conformidad con las reglas legales y reglamentarias aplicables?</w:t>
      </w:r>
    </w:p>
    <w:p w14:paraId="3571449B" w14:textId="77777777" w:rsidR="003C4EF9" w:rsidRPr="004B140F" w:rsidRDefault="003C4EF9" w:rsidP="003C4EF9">
      <w:pPr>
        <w:spacing w:after="0" w:line="276" w:lineRule="auto"/>
        <w:jc w:val="both"/>
        <w:rPr>
          <w:rFonts w:ascii="Verdana" w:eastAsia="Calibri" w:hAnsi="Verdana" w:cs="Arial"/>
          <w:color w:val="7030A0"/>
        </w:rPr>
      </w:pPr>
    </w:p>
    <w:p w14:paraId="5561B87D" w14:textId="77777777" w:rsidR="003C4EF9" w:rsidRPr="00593A5F" w:rsidRDefault="003C4EF9" w:rsidP="003C4EF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20EF6682" w14:textId="77777777" w:rsidR="003C4EF9" w:rsidRPr="00593A5F" w:rsidRDefault="003C4EF9" w:rsidP="003C4EF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C4EF9" w:rsidRPr="00593A5F" w14:paraId="3CD1537E" w14:textId="77777777" w:rsidTr="005B6068">
        <w:trPr>
          <w:jc w:val="center"/>
        </w:trPr>
        <w:tc>
          <w:tcPr>
            <w:tcW w:w="8828" w:type="dxa"/>
          </w:tcPr>
          <w:p w14:paraId="1B3C4D90" w14:textId="77777777" w:rsidR="003C4EF9" w:rsidRPr="00F320D3" w:rsidRDefault="003C4EF9" w:rsidP="005B6068">
            <w:pPr>
              <w:spacing w:after="120" w:line="276" w:lineRule="auto"/>
              <w:jc w:val="both"/>
              <w:rPr>
                <w:rFonts w:ascii="Verdana" w:eastAsia="Verdana" w:hAnsi="Verdana" w:cs="Verdana"/>
              </w:rPr>
            </w:pPr>
            <w:bookmarkStart w:id="1" w:name="_Hlk171694685"/>
            <w:r w:rsidRPr="00F320D3">
              <w:rPr>
                <w:rFonts w:ascii="Verdana" w:eastAsia="Verdana" w:hAnsi="Verdana" w:cs="Verdana"/>
              </w:rPr>
              <w:lastRenderedPageBreak/>
              <w:t>A la luz del marco normativo vigente, la jurisprudencia del Consejo de Estado y la doctrina administrativa aplicable, esta Subdirección considera que las Entidades Estatales no deben exigir de manera automática que los amparos de calidad del servicio y de calidad y correcto funcionamiento de los bienes tengan una vigencia equivalente al plazo de ejecución más treinta (30) meses, toda vez que dicho término no se encuentra previsto en la ley y solo sería válido si se deriva del estudio de riesgos que soporta el proceso de selección. La regla jurídicamente obligatoria consiste en que la vigencia de los amparos no puede ser inferior al período en que la administración conserva competencia para exigir responsabilidades contractuales, lo cual incluye, de manera necesaria, la etapa de ejecución y el tiempo de liquidación del contrato, sea esta bilateral, unilateral o judicial, conforme a las previsiones del artículo 11 de la Ley 1150 de 2007.</w:t>
            </w:r>
          </w:p>
          <w:p w14:paraId="737859F6" w14:textId="77777777" w:rsidR="003C4EF9" w:rsidRPr="00F320D3" w:rsidRDefault="003C4EF9" w:rsidP="005B6068">
            <w:pPr>
              <w:spacing w:before="120" w:after="120" w:line="276" w:lineRule="auto"/>
              <w:ind w:firstLine="708"/>
              <w:jc w:val="both"/>
              <w:rPr>
                <w:rFonts w:ascii="Verdana" w:eastAsia="Verdana" w:hAnsi="Verdana" w:cs="Verdana"/>
              </w:rPr>
            </w:pPr>
            <w:r w:rsidRPr="00F320D3">
              <w:rPr>
                <w:rFonts w:ascii="Verdana" w:eastAsia="Verdana" w:hAnsi="Verdana" w:cs="Verdana"/>
              </w:rPr>
              <w:t>En relación con el amparo de cumplimiento, el artículo 2.2.1.2.3.1.12 del Decreto 1082 de 2015 establece expresamente que su vigencia mínima debe extenderse hasta la liquidación del contrato, lo cual implica cubrir el término pactado para la liquidación bilateral o, en su defecto, el término supletivo de cuatro meses, los dos meses para la liquidación unilateral y el plazo de dos años para la liquidación judicial o bilateral tardía, según corresponda. Ninguna entidad puede limitar este amparo a la mera ejecución contractual ni reducir su vigencia a plazos inferiores a la duración efectiva de la competencia administrativa.</w:t>
            </w:r>
          </w:p>
          <w:p w14:paraId="6B202B99" w14:textId="77777777" w:rsidR="003C4EF9" w:rsidRPr="00F320D3" w:rsidRDefault="003C4EF9" w:rsidP="005B6068">
            <w:pPr>
              <w:spacing w:before="120" w:after="120" w:line="276" w:lineRule="auto"/>
              <w:ind w:firstLine="708"/>
              <w:jc w:val="both"/>
              <w:rPr>
                <w:rFonts w:ascii="Verdana" w:eastAsia="Verdana" w:hAnsi="Verdana" w:cs="Verdana"/>
              </w:rPr>
            </w:pPr>
            <w:r w:rsidRPr="00F320D3">
              <w:rPr>
                <w:rFonts w:ascii="Verdana" w:eastAsia="Verdana" w:hAnsi="Verdana" w:cs="Verdana"/>
              </w:rPr>
              <w:t>Respecto de los amparos de calidad del servicio y de calidad y correcto funcionamiento de los bienes, los artículos 2.2.1.2.3.1.15 y 2.2.1.2.3.1.16 del Decreto 1082 de 2015 disponen que su vigencia será la fijada en el contrato o en los documentos del proceso, lo que implica que debe derivar de un análisis técnico de la duración del riesgo y no de la imposición de términos uniformes sin respaldo legal. En ningún caso puede exigirse automáticamente un término de treinta (30) meses adicionales ni puede adoptarse, sin sustento normativo, la fórmula utilizada en algunos Acuerdos Marco de “plazo de la orden más seis meses”.</w:t>
            </w:r>
          </w:p>
          <w:p w14:paraId="4C3588E3" w14:textId="77777777" w:rsidR="003C4EF9" w:rsidRPr="003E3E88" w:rsidRDefault="003C4EF9" w:rsidP="005B6068">
            <w:pPr>
              <w:spacing w:before="120" w:after="120" w:line="276" w:lineRule="auto"/>
              <w:ind w:firstLine="708"/>
              <w:jc w:val="both"/>
              <w:rPr>
                <w:rFonts w:ascii="Verdana" w:hAnsi="Verdana"/>
                <w:lang w:val="es-ES"/>
              </w:rPr>
            </w:pPr>
            <w:r w:rsidRPr="00F320D3">
              <w:rPr>
                <w:rFonts w:ascii="Verdana" w:eastAsia="Verdana" w:hAnsi="Verdana" w:cs="Verdana"/>
              </w:rPr>
              <w:t xml:space="preserve">Por lo tanto, las Entidades Estatales deben exigir que los amparos permanezcan vigentes durante todo el período en que puedan presentarse incumplimientos y durante todo el tiempo en que la administración mantenga competencia para declararlos, lo cual incluye la ejecución, la liquidación del contrato y el lapso técnicamente indispensable para verificar defectos o fallas propias del riesgo asegurado. La determinación concreta de la vigencia de los </w:t>
            </w:r>
            <w:r w:rsidRPr="00F320D3">
              <w:rPr>
                <w:rFonts w:ascii="Verdana" w:eastAsia="Verdana" w:hAnsi="Verdana" w:cs="Verdana"/>
              </w:rPr>
              <w:lastRenderedPageBreak/>
              <w:t>amparos de calidad deberá derivarse del análisis del riesgo incorporado en los documentos del proceso y no de la aplicación mecánica de plazos fijos que no encuentra soporte en la normativa vigente.</w:t>
            </w:r>
            <w:r>
              <w:rPr>
                <w:rFonts w:ascii="Verdana" w:hAnsi="Verdana"/>
              </w:rPr>
              <w:t xml:space="preserve"> </w:t>
            </w:r>
          </w:p>
        </w:tc>
      </w:tr>
    </w:tbl>
    <w:p w14:paraId="457CD93F" w14:textId="77777777" w:rsidR="003C4EF9" w:rsidRPr="00593A5F" w:rsidRDefault="003C4EF9" w:rsidP="003C4EF9">
      <w:pPr>
        <w:tabs>
          <w:tab w:val="left" w:pos="142"/>
          <w:tab w:val="left" w:pos="284"/>
        </w:tabs>
        <w:spacing w:after="0" w:line="276" w:lineRule="auto"/>
        <w:jc w:val="both"/>
        <w:rPr>
          <w:rFonts w:ascii="Verdana" w:eastAsia="Century Gothic" w:hAnsi="Verdana" w:cs="Century Gothic"/>
          <w:b/>
          <w:bCs/>
          <w:lang w:val="es-ES"/>
        </w:rPr>
      </w:pPr>
    </w:p>
    <w:bookmarkEnd w:id="1"/>
    <w:p w14:paraId="61A722DF" w14:textId="77777777" w:rsidR="003C4EF9" w:rsidRPr="00593A5F" w:rsidRDefault="003C4EF9" w:rsidP="003C4EF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63F1AECF" w14:textId="77777777" w:rsidR="003C4EF9" w:rsidRDefault="003C4EF9" w:rsidP="003C4EF9">
      <w:pPr>
        <w:spacing w:after="0" w:line="276" w:lineRule="auto"/>
        <w:jc w:val="both"/>
        <w:rPr>
          <w:rFonts w:ascii="Verdana" w:eastAsia="Calibri" w:hAnsi="Verdana" w:cs="Arial"/>
          <w:lang w:val="es-ES"/>
        </w:rPr>
      </w:pPr>
    </w:p>
    <w:p w14:paraId="49CC2752" w14:textId="77777777" w:rsidR="003C4EF9" w:rsidRDefault="003C4EF9" w:rsidP="003C4EF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80D52C0" w14:textId="77777777" w:rsidR="003C4EF9" w:rsidRDefault="003C4EF9" w:rsidP="003C4EF9">
      <w:pPr>
        <w:spacing w:after="0" w:line="276" w:lineRule="auto"/>
        <w:jc w:val="both"/>
        <w:rPr>
          <w:rFonts w:ascii="Verdana" w:eastAsia="Calibri" w:hAnsi="Verdana" w:cs="Arial"/>
          <w:lang w:val="es-ES"/>
        </w:rPr>
      </w:pPr>
    </w:p>
    <w:p w14:paraId="722C610B" w14:textId="77777777" w:rsidR="003C4EF9" w:rsidRPr="00E87EA6" w:rsidRDefault="003C4EF9" w:rsidP="003C4EF9">
      <w:pPr>
        <w:spacing w:after="120" w:line="276" w:lineRule="auto"/>
        <w:ind w:right="-68"/>
        <w:jc w:val="both"/>
        <w:rPr>
          <w:rFonts w:ascii="Verdana" w:eastAsia="Times New Roman" w:hAnsi="Verdana" w:cs="Arial"/>
          <w:lang w:eastAsia="es-CO"/>
        </w:rPr>
      </w:pPr>
      <w:r w:rsidRPr="004D26E6">
        <w:rPr>
          <w:rFonts w:ascii="Verdana" w:eastAsia="Times New Roman" w:hAnsi="Verdana" w:cs="Arial"/>
          <w:lang w:eastAsia="es-CO"/>
        </w:rPr>
        <w:t>Para abordar el problema jurídico planteado, debe comenzarse por el examen del régimen de liquidación de los contratos estatales, pues es esta etapa —y su duración legal— la que determina el momento final en que la administración conserva competencia para evaluar el cumplimiento contractual y, por consiguiente, el plazo dentro del cual puede declarar el siniestro de la garantía. Este análisis inicial resulta determinante, dado que la vigencia de los amparos nunca puede ser inferior al período en que la administración conserva la facultad de controlar, verificar y sancionar incumplimientos, ya sea durante la ejecución o durante la liquidación del contrato.</w:t>
      </w:r>
    </w:p>
    <w:p w14:paraId="2B93E646" w14:textId="77777777" w:rsidR="003C4EF9" w:rsidRDefault="003C4EF9" w:rsidP="003C4EF9">
      <w:pPr>
        <w:spacing w:after="0" w:line="276" w:lineRule="auto"/>
        <w:ind w:right="-68" w:firstLine="708"/>
        <w:jc w:val="both"/>
        <w:rPr>
          <w:rFonts w:ascii="Verdana" w:eastAsia="Calibri" w:hAnsi="Verdana" w:cs="Arial"/>
          <w:lang w:val="es-ES"/>
        </w:rPr>
      </w:pPr>
      <w:r>
        <w:rPr>
          <w:rFonts w:ascii="Verdana" w:eastAsia="Calibri" w:hAnsi="Verdana" w:cs="Arial"/>
          <w:lang w:val="es-ES"/>
        </w:rPr>
        <w:t xml:space="preserve">En varios pronunciamientos </w:t>
      </w:r>
      <w:r w:rsidRPr="000D6BDC">
        <w:rPr>
          <w:rFonts w:ascii="Verdana" w:eastAsia="Calibri" w:hAnsi="Verdana" w:cs="Arial"/>
        </w:rPr>
        <w:t>—</w:t>
      </w:r>
      <w:r>
        <w:rPr>
          <w:rFonts w:ascii="Verdana" w:eastAsia="Calibri" w:hAnsi="Verdana" w:cs="Arial"/>
        </w:rPr>
        <w:t>entre ellos el Concepto C-452 del 15 de mayo de 2025</w:t>
      </w:r>
      <w:r w:rsidRPr="0068497E">
        <w:rPr>
          <w:rFonts w:ascii="Verdana" w:eastAsia="Calibri" w:hAnsi="Verdana" w:cs="Arial"/>
        </w:rPr>
        <w:t>—</w:t>
      </w:r>
      <w:r>
        <w:rPr>
          <w:rFonts w:ascii="Verdana" w:eastAsia="Calibri" w:hAnsi="Verdana" w:cs="Arial"/>
          <w:lang w:val="es-ES"/>
        </w:rPr>
        <w:t xml:space="preserve"> esta Subdirección ha indicado que l</w:t>
      </w:r>
      <w:r w:rsidRPr="00E87EA6">
        <w:rPr>
          <w:rFonts w:ascii="Verdana" w:eastAsia="Calibri" w:hAnsi="Verdana" w:cs="Arial"/>
          <w:lang w:val="es-ES"/>
        </w:rPr>
        <w:t xml:space="preserve">a liquidación del contrato estatal es el ajuste de cuentas en el cual se realiza un balance económico, técnico y jurídico del negocio. Así lo manifestó el Consejo de Estado en la sentencia del 20 de octubre de 2014, en la que consideró, por un lado, que </w:t>
      </w:r>
      <w:r w:rsidRPr="00E87EA6">
        <w:rPr>
          <w:rFonts w:ascii="Verdana" w:eastAsia="Calibri" w:hAnsi="Verdana" w:cs="Arial"/>
          <w:i/>
          <w:lang w:val="es-ES"/>
        </w:rPr>
        <w:t>liquidar</w:t>
      </w:r>
      <w:r w:rsidRPr="00E87EA6">
        <w:rPr>
          <w:rFonts w:ascii="Verdana" w:eastAsia="Calibri" w:hAnsi="Verdana" w:cs="Arial"/>
          <w:lang w:val="es-ES"/>
        </w:rPr>
        <w:t xml:space="preserve"> supone un ajuste en relación con las cuentas y el estado de cumplimiento del contrato estatal y, por otro, que la </w:t>
      </w:r>
      <w:r w:rsidRPr="00E87EA6">
        <w:rPr>
          <w:rFonts w:ascii="Verdana" w:eastAsia="Calibri" w:hAnsi="Verdana" w:cs="Arial"/>
          <w:i/>
          <w:lang w:val="es-ES"/>
        </w:rPr>
        <w:t>liquidación</w:t>
      </w:r>
      <w:r w:rsidRPr="00E87EA6">
        <w:rPr>
          <w:rFonts w:ascii="Verdana" w:eastAsia="Calibri" w:hAnsi="Verdana" w:cs="Arial"/>
          <w:lang w:val="es-ES"/>
        </w:rPr>
        <w:t xml:space="preserve"> debe incluir el análisis de las condiciones de calidad y oportunidad en la entrega de los bienes, obras o servicios, así como el balance económico y el comportamiento financiero del negocio</w:t>
      </w:r>
      <w:r w:rsidRPr="00E87EA6">
        <w:rPr>
          <w:rFonts w:ascii="Verdana" w:eastAsia="Calibri" w:hAnsi="Verdana" w:cs="Arial"/>
          <w:vertAlign w:val="superscript"/>
          <w:lang w:val="es-ES"/>
        </w:rPr>
        <w:footnoteReference w:id="1"/>
      </w:r>
      <w:r w:rsidRPr="00E87EA6">
        <w:rPr>
          <w:rFonts w:ascii="Verdana" w:eastAsia="Calibri" w:hAnsi="Verdana" w:cs="Arial"/>
          <w:lang w:val="es-ES"/>
        </w:rPr>
        <w:t>. En tal sentido, explica:</w:t>
      </w:r>
    </w:p>
    <w:p w14:paraId="63F5C7E5" w14:textId="77777777" w:rsidR="003C4EF9" w:rsidRPr="00E87EA6" w:rsidRDefault="003C4EF9" w:rsidP="003C4EF9">
      <w:pPr>
        <w:spacing w:after="0" w:line="276" w:lineRule="auto"/>
        <w:ind w:right="-68" w:firstLine="708"/>
        <w:jc w:val="both"/>
        <w:rPr>
          <w:rFonts w:ascii="Verdana" w:eastAsia="Calibri" w:hAnsi="Verdana" w:cs="Arial"/>
          <w:lang w:val="es-ES_tradnl"/>
        </w:rPr>
      </w:pPr>
    </w:p>
    <w:p w14:paraId="67028C6F" w14:textId="77777777" w:rsidR="003C4EF9" w:rsidRPr="00E87EA6" w:rsidRDefault="003C4EF9" w:rsidP="003C4EF9">
      <w:pPr>
        <w:spacing w:after="0" w:line="276" w:lineRule="auto"/>
        <w:ind w:left="709" w:right="709"/>
        <w:jc w:val="both"/>
        <w:rPr>
          <w:rFonts w:ascii="Verdana" w:eastAsia="Calibri" w:hAnsi="Verdana" w:cs="Arial"/>
          <w:sz w:val="20"/>
          <w:szCs w:val="20"/>
          <w:lang w:val="es-ES_tradnl"/>
        </w:rPr>
      </w:pPr>
      <w:r w:rsidRPr="00E87EA6">
        <w:rPr>
          <w:rFonts w:ascii="Verdana" w:eastAsia="Calibri" w:hAnsi="Verdana" w:cs="Arial"/>
          <w:sz w:val="20"/>
          <w:szCs w:val="20"/>
          <w:lang w:val="es-ES_tradnl"/>
        </w:rPr>
        <w:t xml:space="preserve">“[…]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w:t>
      </w:r>
      <w:r w:rsidRPr="00E87EA6">
        <w:rPr>
          <w:rFonts w:ascii="Verdana" w:eastAsia="Calibri" w:hAnsi="Verdana" w:cs="Arial"/>
          <w:sz w:val="20"/>
          <w:szCs w:val="20"/>
          <w:lang w:val="es-ES_tradnl"/>
        </w:rPr>
        <w:lastRenderedPageBreak/>
        <w:t>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E87EA6">
        <w:rPr>
          <w:rFonts w:ascii="Verdana" w:eastAsia="Calibri" w:hAnsi="Verdana" w:cs="Arial"/>
          <w:sz w:val="20"/>
          <w:szCs w:val="20"/>
          <w:vertAlign w:val="superscript"/>
          <w:lang w:val="es-ES_tradnl"/>
        </w:rPr>
        <w:footnoteReference w:id="2"/>
      </w:r>
      <w:r w:rsidRPr="00E87EA6">
        <w:rPr>
          <w:rFonts w:ascii="Verdana" w:eastAsia="Calibri" w:hAnsi="Verdana" w:cs="Arial"/>
          <w:sz w:val="20"/>
          <w:szCs w:val="20"/>
          <w:lang w:val="es-ES_tradnl"/>
        </w:rPr>
        <w:t>.</w:t>
      </w:r>
    </w:p>
    <w:p w14:paraId="67D25BE8" w14:textId="77777777" w:rsidR="003C4EF9" w:rsidRPr="00E87EA6" w:rsidRDefault="003C4EF9" w:rsidP="003C4EF9">
      <w:pPr>
        <w:spacing w:after="0" w:line="276" w:lineRule="auto"/>
        <w:ind w:left="709" w:right="709"/>
        <w:jc w:val="both"/>
        <w:rPr>
          <w:rFonts w:ascii="Verdana" w:eastAsia="Calibri" w:hAnsi="Verdana" w:cs="Arial"/>
          <w:lang w:val="es-ES_tradnl"/>
        </w:rPr>
      </w:pPr>
    </w:p>
    <w:p w14:paraId="0C1CCE78" w14:textId="77777777" w:rsidR="003C4EF9" w:rsidRPr="00E87EA6" w:rsidRDefault="003C4EF9" w:rsidP="003C4EF9">
      <w:pPr>
        <w:spacing w:after="120" w:line="276" w:lineRule="auto"/>
        <w:ind w:right="-68" w:firstLine="708"/>
        <w:jc w:val="both"/>
        <w:rPr>
          <w:rFonts w:ascii="Verdana" w:eastAsia="Times New Roman" w:hAnsi="Verdana" w:cs="Arial"/>
          <w:lang w:val="es-ES_tradnl" w:eastAsia="es-ES"/>
        </w:rPr>
      </w:pPr>
      <w:r w:rsidRPr="00E87EA6">
        <w:rPr>
          <w:rFonts w:ascii="Verdana" w:eastAsia="Times New Roman" w:hAnsi="Verdana" w:cs="Arial"/>
          <w:lang w:val="es-ES_tradnl"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w:t>
      </w:r>
      <w:r w:rsidRPr="00E87EA6">
        <w:rPr>
          <w:rFonts w:ascii="Verdana" w:eastAsia="Times New Roman" w:hAnsi="Verdana" w:cs="Arial"/>
          <w:vertAlign w:val="superscript"/>
          <w:lang w:val="es-ES_tradnl" w:eastAsia="es-ES"/>
        </w:rPr>
        <w:footnoteReference w:id="3"/>
      </w:r>
      <w:r w:rsidRPr="00E87EA6">
        <w:rPr>
          <w:rFonts w:ascii="Verdana" w:eastAsia="Times New Roman" w:hAnsi="Verdana" w:cs="Arial"/>
          <w:lang w:val="es-ES_tradnl" w:eastAsia="es-ES"/>
        </w:rPr>
        <w:t xml:space="preserve"> contiene las reglas de tipo procedimental para liquidar los contratos estatales, que se pasan a explicar</w:t>
      </w:r>
      <w:r>
        <w:rPr>
          <w:rFonts w:ascii="Verdana" w:eastAsia="Times New Roman" w:hAnsi="Verdana" w:cs="Arial"/>
          <w:lang w:val="es-ES_tradnl" w:eastAsia="es-ES"/>
        </w:rPr>
        <w:t>:</w:t>
      </w:r>
    </w:p>
    <w:p w14:paraId="48297662" w14:textId="77777777" w:rsidR="003C4EF9" w:rsidRPr="00E87EA6" w:rsidRDefault="003C4EF9" w:rsidP="003C4EF9">
      <w:pPr>
        <w:spacing w:after="120" w:line="276" w:lineRule="auto"/>
        <w:ind w:firstLine="709"/>
        <w:jc w:val="both"/>
        <w:rPr>
          <w:rFonts w:ascii="Verdana" w:eastAsia="Calibri" w:hAnsi="Verdana" w:cs="Arial"/>
          <w:lang w:val="es-ES"/>
        </w:rPr>
      </w:pPr>
      <w:r w:rsidRPr="00E87EA6">
        <w:rPr>
          <w:rFonts w:ascii="Verdana" w:eastAsia="Calibri" w:hAnsi="Verdana" w:cs="Arial"/>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w:t>
      </w:r>
      <w:r w:rsidRPr="00E87EA6">
        <w:rPr>
          <w:rFonts w:ascii="Verdana" w:eastAsia="Calibri" w:hAnsi="Verdana" w:cs="Arial"/>
          <w:lang w:val="es-ES"/>
        </w:rPr>
        <w:lastRenderedPageBreak/>
        <w:t xml:space="preserve">prevean de común acuerdo un plazo para la liquidación bilateral, el cual, en principio, debe estar recogido en el contrato, al ser este el acto jurídico bilateral en el que se consigna originalmente la voluntad de las partes. </w:t>
      </w:r>
    </w:p>
    <w:p w14:paraId="79AF6E8E" w14:textId="77777777" w:rsidR="003C4EF9" w:rsidRPr="00E87EA6" w:rsidRDefault="003C4EF9" w:rsidP="003C4EF9">
      <w:pPr>
        <w:spacing w:after="0" w:line="276" w:lineRule="auto"/>
        <w:ind w:firstLine="709"/>
        <w:jc w:val="both"/>
        <w:rPr>
          <w:rFonts w:ascii="Verdana" w:eastAsia="Calibri" w:hAnsi="Verdana" w:cs="Arial"/>
          <w:lang w:val="es-ES"/>
        </w:rPr>
      </w:pPr>
      <w:r w:rsidRPr="00E87EA6">
        <w:rPr>
          <w:rFonts w:ascii="Verdana" w:eastAsia="Calibri"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la expedición del acto administrativo que ordene la terminación del contrato o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la fecha del acuerdo que disponga la terminación del contrato.  Ahora bien, el término</w:t>
      </w:r>
      <w:r>
        <w:rPr>
          <w:rFonts w:ascii="Verdana" w:eastAsia="Calibri" w:hAnsi="Verdana" w:cs="Arial"/>
          <w:lang w:val="es-ES"/>
        </w:rPr>
        <w:t xml:space="preserve"> previsto</w:t>
      </w:r>
      <w:r w:rsidRPr="00E87EA6">
        <w:rPr>
          <w:rFonts w:ascii="Verdana" w:eastAsia="Calibri" w:hAnsi="Verdana" w:cs="Arial"/>
          <w:lang w:val="es-ES"/>
        </w:rPr>
        <w:t xml:space="preserve"> de cuatro (4) meses en el artículo 11 de la Ley 1150 de 2007, dado su carácter supletivo, solo resulta aplicable ante la ausencia de regulación </w:t>
      </w:r>
      <w:proofErr w:type="gramStart"/>
      <w:r w:rsidRPr="00E87EA6">
        <w:rPr>
          <w:rFonts w:ascii="Verdana" w:eastAsia="Calibri" w:hAnsi="Verdana" w:cs="Arial"/>
          <w:lang w:val="es-ES"/>
        </w:rPr>
        <w:t>del mismo</w:t>
      </w:r>
      <w:proofErr w:type="gramEnd"/>
      <w:r w:rsidRPr="00E87EA6">
        <w:rPr>
          <w:rFonts w:ascii="Verdana" w:eastAsia="Calibri" w:hAnsi="Verdana" w:cs="Arial"/>
          <w:lang w:val="es-ES"/>
        </w:rPr>
        <w:t xml:space="preserve"> en el pliego de condiciones –documento equivalente– y ante la falta de acuerdo entre las partes en torno al plazo de liquidación bilateral. Durante este término el contratista puede solicitar que se adelante el trámite de liquidación. Sin embargo, es responsabilidad de la entidad estatal convocarlo para adelantar la liquidación de común acuerdo o notificarlo para que se presente a la liquidación</w:t>
      </w:r>
      <w:r w:rsidRPr="00E87EA6">
        <w:rPr>
          <w:rFonts w:ascii="Verdana" w:eastAsia="Calibri" w:hAnsi="Verdana" w:cs="Arial"/>
          <w:vertAlign w:val="superscript"/>
          <w:lang w:val="es-ES"/>
        </w:rPr>
        <w:footnoteReference w:id="4"/>
      </w:r>
      <w:r w:rsidRPr="00E87EA6">
        <w:rPr>
          <w:rFonts w:ascii="Verdana" w:eastAsia="Calibri" w:hAnsi="Verdana" w:cs="Arial"/>
          <w:lang w:val="es-ES"/>
        </w:rPr>
        <w:t>, de manera que el contrato pueda ser liquidado bilateralmente, bien sea en el plazo previsto en el pliego de condiciones, el acordado por las partes, o en los cuatro meses señalados en la Ley, según corresponda. Esta liquidación bilateral puede ser total o parcial</w:t>
      </w:r>
      <w:r w:rsidRPr="00E87EA6">
        <w:rPr>
          <w:rFonts w:ascii="Verdana" w:eastAsia="Calibri" w:hAnsi="Verdana" w:cs="Arial"/>
          <w:vertAlign w:val="superscript"/>
          <w:lang w:val="es-ES"/>
        </w:rPr>
        <w:footnoteReference w:id="5"/>
      </w:r>
      <w:r w:rsidRPr="00E87EA6">
        <w:rPr>
          <w:rFonts w:ascii="Verdana" w:eastAsia="Calibri" w:hAnsi="Verdana" w:cs="Arial"/>
          <w:lang w:val="es-ES"/>
        </w:rPr>
        <w:t>. Si no es posible efectuar la liquidación de manera bilateral en los términos anteriormente explicados, el ordenamiento jurídico prevé una habilitación competencial, de carácter subsidiario, para que la entidad estatal realice la liquidación unilateralmente. Sobre el punto, el Consejo de Estado ha señalado:</w:t>
      </w:r>
    </w:p>
    <w:p w14:paraId="5A313F6F" w14:textId="77777777" w:rsidR="003C4EF9" w:rsidRPr="00E87EA6" w:rsidRDefault="003C4EF9" w:rsidP="003C4EF9">
      <w:pPr>
        <w:spacing w:after="0" w:line="276" w:lineRule="auto"/>
        <w:ind w:left="709" w:right="760"/>
        <w:jc w:val="both"/>
        <w:rPr>
          <w:rFonts w:ascii="Verdana" w:eastAsia="Times New Roman" w:hAnsi="Verdana" w:cs="Arial"/>
          <w:lang w:val="es-ES_tradnl" w:eastAsia="es-ES"/>
        </w:rPr>
      </w:pPr>
    </w:p>
    <w:p w14:paraId="2E5B7D49" w14:textId="77777777" w:rsidR="003C4EF9" w:rsidRPr="00E87EA6" w:rsidRDefault="003C4EF9" w:rsidP="003C4EF9">
      <w:pPr>
        <w:spacing w:after="0" w:line="276" w:lineRule="auto"/>
        <w:ind w:left="709" w:right="709"/>
        <w:jc w:val="both"/>
        <w:rPr>
          <w:rFonts w:ascii="Verdana" w:eastAsia="Times New Roman" w:hAnsi="Verdana" w:cs="Arial"/>
          <w:sz w:val="20"/>
          <w:szCs w:val="20"/>
          <w:lang w:val="es-ES_tradnl" w:eastAsia="es-ES"/>
        </w:rPr>
      </w:pPr>
      <w:r w:rsidRPr="00E87EA6">
        <w:rPr>
          <w:rFonts w:ascii="Verdana" w:eastAsia="Times New Roman" w:hAnsi="Verdana" w:cs="Arial"/>
          <w:sz w:val="20"/>
          <w:szCs w:val="20"/>
          <w:lang w:val="es-ES_tradnl" w:eastAsia="es-ES"/>
        </w:rPr>
        <w:t xml:space="preserve">“Al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w:t>
      </w:r>
      <w:r w:rsidRPr="00E87EA6">
        <w:rPr>
          <w:rFonts w:ascii="Verdana" w:eastAsia="Times New Roman" w:hAnsi="Verdana" w:cs="Arial"/>
          <w:sz w:val="20"/>
          <w:szCs w:val="20"/>
          <w:lang w:val="es-ES_tradnl" w:eastAsia="es-ES"/>
        </w:rPr>
        <w:lastRenderedPageBreak/>
        <w:t>debido proceso y sus corolarios de defensa y contradicción y, además, configuraría un abuso de poder”</w:t>
      </w:r>
      <w:r w:rsidRPr="00E87EA6">
        <w:rPr>
          <w:rFonts w:ascii="Verdana" w:eastAsia="Times New Roman" w:hAnsi="Verdana" w:cs="Arial"/>
          <w:sz w:val="20"/>
          <w:szCs w:val="20"/>
          <w:vertAlign w:val="superscript"/>
          <w:lang w:val="es-ES_tradnl" w:eastAsia="es-ES"/>
        </w:rPr>
        <w:footnoteReference w:id="6"/>
      </w:r>
      <w:r w:rsidRPr="00E87EA6">
        <w:rPr>
          <w:rFonts w:ascii="Verdana" w:eastAsia="Times New Roman" w:hAnsi="Verdana" w:cs="Arial"/>
          <w:sz w:val="20"/>
          <w:szCs w:val="20"/>
          <w:lang w:val="es-ES_tradnl" w:eastAsia="es-ES"/>
        </w:rPr>
        <w:t xml:space="preserve">. </w:t>
      </w:r>
    </w:p>
    <w:p w14:paraId="06E22BF2" w14:textId="77777777" w:rsidR="003C4EF9" w:rsidRPr="00E87EA6" w:rsidRDefault="003C4EF9" w:rsidP="003C4EF9">
      <w:pPr>
        <w:spacing w:after="0" w:line="276" w:lineRule="auto"/>
        <w:ind w:left="709" w:right="760"/>
        <w:jc w:val="both"/>
        <w:rPr>
          <w:rFonts w:ascii="Verdana" w:eastAsia="Times New Roman" w:hAnsi="Verdana" w:cs="Arial"/>
          <w:lang w:val="es-ES_tradnl" w:eastAsia="es-ES"/>
        </w:rPr>
      </w:pPr>
    </w:p>
    <w:p w14:paraId="2DBC8EE6" w14:textId="77777777" w:rsidR="003C4EF9" w:rsidRPr="00E87EA6" w:rsidRDefault="003C4EF9" w:rsidP="003C4EF9">
      <w:pPr>
        <w:spacing w:after="0" w:line="276" w:lineRule="auto"/>
        <w:ind w:right="-68" w:firstLine="709"/>
        <w:jc w:val="both"/>
        <w:rPr>
          <w:rFonts w:ascii="Verdana" w:eastAsia="Times New Roman" w:hAnsi="Verdana" w:cs="Arial"/>
          <w:lang w:val="es-ES" w:eastAsia="es-ES"/>
        </w:rPr>
      </w:pPr>
      <w:r w:rsidRPr="00E87EA6">
        <w:rPr>
          <w:rFonts w:ascii="Verdana" w:eastAsia="Times New Roman" w:hAnsi="Verdana" w:cs="Arial"/>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w:t>
      </w:r>
      <w:r w:rsidRPr="00E87EA6">
        <w:rPr>
          <w:rFonts w:ascii="Verdana" w:eastAsia="Times New Roman" w:hAnsi="Verdana" w:cs="Arial"/>
          <w:vertAlign w:val="superscript"/>
          <w:lang w:val="es-ES" w:eastAsia="es-ES"/>
        </w:rPr>
        <w:footnoteReference w:id="7"/>
      </w:r>
      <w:r w:rsidRPr="00E87EA6">
        <w:rPr>
          <w:rFonts w:ascii="Verdana" w:eastAsia="Times New Roman" w:hAnsi="Verdana" w:cs="Arial"/>
          <w:lang w:val="es-ES" w:eastAsia="es-ES"/>
        </w:rPr>
        <w:t xml:space="preserve">.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judicialmente. En este sentido, en decisión de unificación, el Consejo de Estado dijo: </w:t>
      </w:r>
    </w:p>
    <w:p w14:paraId="35C2D8EF" w14:textId="77777777" w:rsidR="003C4EF9" w:rsidRPr="00E87EA6" w:rsidRDefault="003C4EF9" w:rsidP="003C4EF9">
      <w:pPr>
        <w:spacing w:after="0" w:line="276" w:lineRule="auto"/>
        <w:ind w:left="709" w:right="760"/>
        <w:jc w:val="both"/>
        <w:rPr>
          <w:rFonts w:ascii="Verdana" w:eastAsia="Times New Roman" w:hAnsi="Verdana" w:cs="Arial"/>
          <w:sz w:val="20"/>
          <w:szCs w:val="20"/>
          <w:lang w:val="es-ES_tradnl" w:eastAsia="es-ES"/>
        </w:rPr>
      </w:pPr>
    </w:p>
    <w:p w14:paraId="0F091854" w14:textId="77777777" w:rsidR="003C4EF9" w:rsidRPr="00E87EA6" w:rsidRDefault="003C4EF9" w:rsidP="003C4EF9">
      <w:pPr>
        <w:spacing w:after="0" w:line="276" w:lineRule="auto"/>
        <w:ind w:left="709" w:right="709"/>
        <w:jc w:val="both"/>
        <w:rPr>
          <w:rFonts w:ascii="Verdana" w:eastAsia="Times New Roman" w:hAnsi="Verdana" w:cs="Arial"/>
          <w:sz w:val="20"/>
          <w:szCs w:val="20"/>
          <w:lang w:val="es-ES" w:eastAsia="es-ES"/>
        </w:rPr>
      </w:pPr>
      <w:r w:rsidRPr="00E87EA6">
        <w:rPr>
          <w:rFonts w:ascii="Verdana" w:eastAsia="Times New Roman" w:hAnsi="Verdana" w:cs="Arial"/>
          <w:sz w:val="20"/>
          <w:szCs w:val="20"/>
          <w:lang w:val="es-ES" w:eastAsia="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E87EA6">
        <w:rPr>
          <w:rFonts w:ascii="Verdana" w:eastAsia="Times New Roman" w:hAnsi="Verdana" w:cs="Arial"/>
          <w:sz w:val="20"/>
          <w:szCs w:val="20"/>
          <w:lang w:val="es-ES" w:eastAsia="es-ES"/>
        </w:rPr>
        <w:t>liquidatorio</w:t>
      </w:r>
      <w:proofErr w:type="spellEnd"/>
      <w:r w:rsidRPr="00E87EA6">
        <w:rPr>
          <w:rFonts w:ascii="Verdana" w:eastAsia="Times New Roman" w:hAnsi="Verdana" w:cs="Arial"/>
          <w:sz w:val="20"/>
          <w:szCs w:val="20"/>
          <w:lang w:val="es-ES" w:eastAsia="es-ES"/>
        </w:rPr>
        <w:t xml:space="preserve"> se logre dentro del lapso de dos años contados a partir del vencimiento del término legalmente conocido para la liquidación unilateral, pues ese es el lapso que el ordenamiento ha fijado para el ejercicio oportuno de la acción”</w:t>
      </w:r>
      <w:r w:rsidRPr="00E87EA6">
        <w:rPr>
          <w:rFonts w:ascii="Verdana" w:eastAsia="Times New Roman" w:hAnsi="Verdana" w:cs="Arial"/>
          <w:sz w:val="20"/>
          <w:szCs w:val="20"/>
          <w:vertAlign w:val="superscript"/>
          <w:lang w:val="es-ES" w:eastAsia="es-ES"/>
        </w:rPr>
        <w:footnoteReference w:id="8"/>
      </w:r>
      <w:r w:rsidRPr="00E87EA6">
        <w:rPr>
          <w:rFonts w:ascii="Verdana" w:eastAsia="Times New Roman" w:hAnsi="Verdana" w:cs="Arial"/>
          <w:sz w:val="20"/>
          <w:szCs w:val="20"/>
          <w:lang w:val="es-ES" w:eastAsia="es-ES"/>
        </w:rPr>
        <w:t>.</w:t>
      </w:r>
    </w:p>
    <w:p w14:paraId="6AF6F746" w14:textId="77777777" w:rsidR="003C4EF9" w:rsidRPr="00E87EA6" w:rsidRDefault="003C4EF9" w:rsidP="003C4EF9">
      <w:pPr>
        <w:spacing w:after="0" w:line="276" w:lineRule="auto"/>
        <w:ind w:left="709" w:right="760"/>
        <w:jc w:val="both"/>
        <w:rPr>
          <w:rFonts w:ascii="Verdana" w:eastAsia="Times New Roman" w:hAnsi="Verdana" w:cs="Arial"/>
          <w:lang w:val="es-ES_tradnl" w:eastAsia="es-ES"/>
        </w:rPr>
      </w:pPr>
    </w:p>
    <w:p w14:paraId="1F793171" w14:textId="77777777" w:rsidR="003C4EF9" w:rsidRPr="00E87EA6" w:rsidRDefault="003C4EF9" w:rsidP="003C4EF9">
      <w:pPr>
        <w:spacing w:after="120" w:line="276" w:lineRule="auto"/>
        <w:jc w:val="both"/>
        <w:rPr>
          <w:rFonts w:ascii="Verdana" w:eastAsia="Calibri" w:hAnsi="Verdana" w:cs="Arial"/>
          <w:lang w:val="es-ES_tradnl"/>
        </w:rPr>
      </w:pPr>
      <w:r w:rsidRPr="00E87EA6">
        <w:rPr>
          <w:rFonts w:ascii="Verdana" w:eastAsia="Calibri" w:hAnsi="Verdana" w:cs="Arial"/>
          <w:lang w:val="es-ES_tradnl"/>
        </w:rPr>
        <w:tab/>
        <w:t>Así las cosas,</w:t>
      </w:r>
      <w:r>
        <w:rPr>
          <w:rFonts w:ascii="Verdana" w:eastAsia="Calibri" w:hAnsi="Verdana" w:cs="Arial"/>
          <w:lang w:val="es-ES_tradnl"/>
        </w:rPr>
        <w:t xml:space="preserve"> </w:t>
      </w:r>
      <w:r w:rsidRPr="00E87EA6">
        <w:rPr>
          <w:rFonts w:ascii="Verdana" w:eastAsia="Calibri" w:hAnsi="Verdana" w:cs="Arial"/>
          <w:lang w:val="es-ES_tradnl"/>
        </w:rPr>
        <w:t xml:space="preserve">es claro que el ordenamiento jurídico vigente permite la liquidación unilateral o bilateral, una vez vencido el plazo de dos meses para la liquidación unilateral de que trata el inciso segundo del artículo 11 de la Ley 1150 de 2007, siempre y cuando la liquidación se realice dentro del plazo de dos años “a partir del vencimiento del término legalmente conocido para la </w:t>
      </w:r>
      <w:r w:rsidRPr="00E87EA6">
        <w:rPr>
          <w:rFonts w:ascii="Verdana" w:eastAsia="Calibri" w:hAnsi="Verdana" w:cs="Arial"/>
          <w:lang w:val="es-ES_tradnl"/>
        </w:rPr>
        <w:lastRenderedPageBreak/>
        <w:t>liquidación unilateral, pues este es el lapso que el ordenamiento ha fijado para el ejercicio oportuno de la acción”</w:t>
      </w:r>
      <w:r w:rsidRPr="00E87EA6">
        <w:rPr>
          <w:rFonts w:ascii="Verdana" w:eastAsia="Calibri" w:hAnsi="Verdana" w:cs="Arial"/>
          <w:vertAlign w:val="superscript"/>
          <w:lang w:val="es-ES_tradnl"/>
        </w:rPr>
        <w:footnoteReference w:id="9"/>
      </w:r>
      <w:r w:rsidRPr="00E87EA6">
        <w:rPr>
          <w:rFonts w:ascii="Verdana" w:eastAsia="Calibri" w:hAnsi="Verdana" w:cs="Arial"/>
          <w:lang w:val="es-ES_tradnl"/>
        </w:rPr>
        <w:t xml:space="preserve">. </w:t>
      </w:r>
    </w:p>
    <w:p w14:paraId="076A7D04" w14:textId="77777777" w:rsidR="003C4EF9" w:rsidRDefault="003C4EF9" w:rsidP="003C4EF9">
      <w:pPr>
        <w:spacing w:line="276" w:lineRule="auto"/>
        <w:ind w:firstLine="709"/>
        <w:jc w:val="both"/>
        <w:rPr>
          <w:rFonts w:ascii="Verdana" w:eastAsia="Calibri" w:hAnsi="Verdana" w:cs="Arial"/>
          <w:lang w:val="es-ES"/>
        </w:rPr>
      </w:pPr>
      <w:r w:rsidRPr="00E87EA6">
        <w:rPr>
          <w:rFonts w:ascii="Verdana" w:eastAsia="Calibri" w:hAnsi="Verdana" w:cs="Arial"/>
          <w:lang w:val="es-ES"/>
        </w:rPr>
        <w:t xml:space="preserve">En suma, de acuerdo con el artículo 11 de la Ley 1150 de 2007, existen tres (3) tipos de liquidación: i) bilateral, </w:t>
      </w:r>
      <w:proofErr w:type="spellStart"/>
      <w:r w:rsidRPr="00E87EA6">
        <w:rPr>
          <w:rFonts w:ascii="Verdana" w:eastAsia="Calibri" w:hAnsi="Verdana" w:cs="Arial"/>
          <w:lang w:val="es-ES"/>
        </w:rPr>
        <w:t>ii</w:t>
      </w:r>
      <w:proofErr w:type="spellEnd"/>
      <w:r w:rsidRPr="00E87EA6">
        <w:rPr>
          <w:rFonts w:ascii="Verdana" w:eastAsia="Calibri" w:hAnsi="Verdana" w:cs="Arial"/>
          <w:lang w:val="es-ES"/>
        </w:rPr>
        <w:t xml:space="preserve">) unilateral y </w:t>
      </w:r>
      <w:proofErr w:type="spellStart"/>
      <w:r w:rsidRPr="00E87EA6">
        <w:rPr>
          <w:rFonts w:ascii="Verdana" w:eastAsia="Calibri" w:hAnsi="Verdana" w:cs="Arial"/>
          <w:lang w:val="es-ES"/>
        </w:rPr>
        <w:t>iii</w:t>
      </w:r>
      <w:proofErr w:type="spellEnd"/>
      <w:r w:rsidRPr="00E87EA6">
        <w:rPr>
          <w:rFonts w:ascii="Verdana" w:eastAsia="Calibri" w:hAnsi="Verdana" w:cs="Arial"/>
          <w:lang w:val="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p>
    <w:p w14:paraId="1B4AC870" w14:textId="77777777" w:rsidR="003C4EF9" w:rsidRDefault="003C4EF9" w:rsidP="003C4EF9">
      <w:pPr>
        <w:spacing w:line="276" w:lineRule="auto"/>
        <w:ind w:firstLine="709"/>
        <w:jc w:val="both"/>
        <w:rPr>
          <w:rFonts w:ascii="Verdana" w:eastAsia="Calibri" w:hAnsi="Verdana" w:cs="Arial"/>
        </w:rPr>
      </w:pPr>
      <w:r>
        <w:rPr>
          <w:rFonts w:ascii="Verdana" w:eastAsia="Calibri" w:hAnsi="Verdana" w:cs="Arial"/>
        </w:rPr>
        <w:t xml:space="preserve">Con estas precisiones permiten </w:t>
      </w:r>
      <w:r w:rsidRPr="002A0E18">
        <w:rPr>
          <w:rFonts w:ascii="Verdana" w:eastAsia="Calibri" w:hAnsi="Verdana" w:cs="Arial"/>
        </w:rPr>
        <w:t>explica</w:t>
      </w:r>
      <w:r>
        <w:rPr>
          <w:rFonts w:ascii="Verdana" w:eastAsia="Calibri" w:hAnsi="Verdana" w:cs="Arial"/>
        </w:rPr>
        <w:t>r</w:t>
      </w:r>
      <w:r w:rsidRPr="002A0E18">
        <w:rPr>
          <w:rFonts w:ascii="Verdana" w:eastAsia="Calibri" w:hAnsi="Verdana" w:cs="Arial"/>
        </w:rPr>
        <w:t xml:space="preserve"> por qué la liquidación es jurídicamente relevante para determinar la vigencia de la garantía: mientras la relación jurídica no esté cerrada, y la entidad conserve competencia para establecer incumplimientos, la garantía debe permanecer vigente.</w:t>
      </w:r>
    </w:p>
    <w:p w14:paraId="1EF83D31" w14:textId="77777777" w:rsidR="003C4EF9" w:rsidRPr="00E87EA6" w:rsidRDefault="003C4EF9" w:rsidP="003C4EF9">
      <w:pPr>
        <w:spacing w:before="120" w:after="0" w:line="276" w:lineRule="auto"/>
        <w:ind w:firstLine="708"/>
        <w:jc w:val="both"/>
        <w:rPr>
          <w:rFonts w:ascii="Verdana" w:eastAsia="Calibri" w:hAnsi="Verdana" w:cs="Arial"/>
        </w:rPr>
      </w:pPr>
      <w:bookmarkStart w:id="2" w:name="_Hlk214450513"/>
      <w:r>
        <w:rPr>
          <w:rFonts w:ascii="Verdana" w:eastAsia="Calibri" w:hAnsi="Verdana" w:cs="Arial"/>
        </w:rPr>
        <w:t>Ahora bien, l</w:t>
      </w:r>
      <w:r w:rsidRPr="009C7B89">
        <w:rPr>
          <w:rFonts w:ascii="Verdana" w:eastAsia="Calibri" w:hAnsi="Verdana" w:cs="Arial"/>
        </w:rPr>
        <w:t>a suficiencia de la garantía de cumplimiento</w:t>
      </w:r>
      <w:r>
        <w:rPr>
          <w:rFonts w:ascii="Verdana" w:eastAsia="Calibri" w:hAnsi="Verdana" w:cs="Arial"/>
        </w:rPr>
        <w:t>,</w:t>
      </w:r>
      <w:r w:rsidRPr="009C7B89">
        <w:rPr>
          <w:rFonts w:ascii="Verdana" w:eastAsia="Calibri" w:hAnsi="Verdana" w:cs="Arial"/>
        </w:rPr>
        <w:t xml:space="preserve"> </w:t>
      </w:r>
      <w:r>
        <w:rPr>
          <w:rFonts w:ascii="Verdana" w:eastAsia="Calibri" w:hAnsi="Verdana" w:cs="Arial"/>
        </w:rPr>
        <w:t xml:space="preserve">sobre la que se consulta, </w:t>
      </w:r>
      <w:r w:rsidRPr="009C7B89">
        <w:rPr>
          <w:rFonts w:ascii="Verdana" w:eastAsia="Calibri" w:hAnsi="Verdana" w:cs="Arial"/>
        </w:rPr>
        <w:t>debe entenderse a la luz de este marco temporal. El artículo 2.2.1.2.3.1.12 del Decreto 1082 de 2015 establece que el amparo de cumplimiento “deberá tener una vigencia mínima hasta la liquidación del contrato”.</w:t>
      </w:r>
      <w:r w:rsidRPr="00285397">
        <w:rPr>
          <w:rFonts w:ascii="Verdana" w:eastAsia="Times New Roman" w:hAnsi="Verdana" w:cs="Arial"/>
          <w:lang w:eastAsia="es-CO"/>
        </w:rPr>
        <w:t xml:space="preserve"> </w:t>
      </w:r>
      <w:r w:rsidRPr="00E87EA6">
        <w:rPr>
          <w:rFonts w:ascii="Verdana" w:eastAsia="Times New Roman" w:hAnsi="Verdana" w:cs="Arial"/>
          <w:lang w:eastAsia="es-CO"/>
        </w:rPr>
        <w:t xml:space="preserve">Conforme la norma citada, el amparo cubre tanto el </w:t>
      </w:r>
      <w:r w:rsidRPr="00E87EA6">
        <w:rPr>
          <w:rFonts w:ascii="Verdana" w:eastAsia="Times New Roman" w:hAnsi="Verdana" w:cs="Arial"/>
          <w:i/>
          <w:iCs/>
          <w:lang w:eastAsia="es-CO"/>
        </w:rPr>
        <w:t>plazo de ejecución</w:t>
      </w:r>
      <w:r w:rsidRPr="00E87EA6">
        <w:rPr>
          <w:rFonts w:ascii="Verdana" w:eastAsia="Times New Roman" w:hAnsi="Verdana" w:cs="Arial"/>
          <w:lang w:eastAsia="es-CO"/>
        </w:rPr>
        <w:t xml:space="preserve"> como el </w:t>
      </w:r>
      <w:r w:rsidRPr="00E87EA6">
        <w:rPr>
          <w:rFonts w:ascii="Verdana" w:eastAsia="Times New Roman" w:hAnsi="Verdana" w:cs="Arial"/>
          <w:i/>
          <w:iCs/>
          <w:lang w:eastAsia="es-CO"/>
        </w:rPr>
        <w:t>plazo de vigencia</w:t>
      </w:r>
      <w:r w:rsidRPr="00E87EA6">
        <w:rPr>
          <w:rFonts w:ascii="Verdana" w:eastAsia="Times New Roman" w:hAnsi="Verdana" w:cs="Arial"/>
          <w:lang w:eastAsia="es-CO"/>
        </w:rPr>
        <w:t xml:space="preserve"> del contrato. </w:t>
      </w:r>
      <w:r w:rsidRPr="00E87EA6">
        <w:rPr>
          <w:rFonts w:ascii="Verdana" w:eastAsia="Calibri" w:hAnsi="Verdana" w:cs="Arial"/>
        </w:rPr>
        <w:t xml:space="preserve">Al respecto, la jurisprudencia define el </w:t>
      </w:r>
      <w:r w:rsidRPr="00E87EA6">
        <w:rPr>
          <w:rFonts w:ascii="Verdana" w:eastAsia="Calibri" w:hAnsi="Verdana" w:cs="Arial"/>
          <w:i/>
          <w:iCs/>
        </w:rPr>
        <w:t>plazo de ejecución</w:t>
      </w:r>
      <w:r w:rsidRPr="00E87EA6">
        <w:rPr>
          <w:rFonts w:ascii="Verdana" w:eastAsia="Calibri" w:hAnsi="Verdana" w:cs="Arial"/>
        </w:rPr>
        <w:t xml:space="preserve"> como el establecido para la realización de las prestaciones contractuales y, de igual forma, considera que el </w:t>
      </w:r>
      <w:r w:rsidRPr="00E87EA6">
        <w:rPr>
          <w:rFonts w:ascii="Verdana" w:eastAsia="Calibri" w:hAnsi="Verdana" w:cs="Arial"/>
          <w:i/>
          <w:iCs/>
        </w:rPr>
        <w:t>plazo de vigencia</w:t>
      </w:r>
      <w:r w:rsidRPr="00E87EA6">
        <w:rPr>
          <w:rFonts w:ascii="Verdana" w:eastAsia="Calibri" w:hAnsi="Verdana" w:cs="Arial"/>
        </w:rPr>
        <w:t xml:space="preserve"> de este no ha finalizado mientras subsista la obligación para las partes de liquidar el contrato</w:t>
      </w:r>
      <w:bookmarkEnd w:id="2"/>
      <w:r w:rsidRPr="00E87EA6">
        <w:rPr>
          <w:rFonts w:ascii="Verdana" w:eastAsia="Calibri" w:hAnsi="Verdana" w:cs="Arial"/>
          <w:vertAlign w:val="superscript"/>
        </w:rPr>
        <w:footnoteReference w:id="10"/>
      </w:r>
      <w:r w:rsidRPr="00E87EA6">
        <w:rPr>
          <w:rFonts w:ascii="Verdana" w:eastAsia="Calibri" w:hAnsi="Verdana" w:cs="Arial"/>
        </w:rPr>
        <w:t>. Por ello, explica lo siguiente:</w:t>
      </w:r>
    </w:p>
    <w:p w14:paraId="345045BC" w14:textId="77777777" w:rsidR="003C4EF9" w:rsidRPr="00E87EA6" w:rsidRDefault="003C4EF9" w:rsidP="003C4EF9">
      <w:pPr>
        <w:spacing w:after="0" w:line="276" w:lineRule="auto"/>
        <w:ind w:firstLine="708"/>
        <w:jc w:val="both"/>
        <w:rPr>
          <w:rFonts w:ascii="Verdana" w:eastAsia="Calibri" w:hAnsi="Verdana" w:cs="Arial"/>
        </w:rPr>
      </w:pPr>
    </w:p>
    <w:p w14:paraId="06901B56" w14:textId="77777777" w:rsidR="003C4EF9" w:rsidRDefault="003C4EF9" w:rsidP="003C4EF9">
      <w:pPr>
        <w:spacing w:after="0" w:line="276" w:lineRule="auto"/>
        <w:ind w:left="709" w:right="709"/>
        <w:jc w:val="both"/>
        <w:rPr>
          <w:rFonts w:ascii="Verdana" w:eastAsia="Times New Roman" w:hAnsi="Verdana" w:cs="Arial"/>
          <w:sz w:val="20"/>
          <w:szCs w:val="20"/>
          <w:lang w:eastAsia="es-CO"/>
        </w:rPr>
      </w:pPr>
      <w:r w:rsidRPr="00E87EA6">
        <w:rPr>
          <w:rFonts w:ascii="Verdana" w:eastAsia="Times New Roman" w:hAnsi="Verdana" w:cs="Arial"/>
          <w:sz w:val="20"/>
          <w:szCs w:val="20"/>
          <w:lang w:eastAsia="es-CO"/>
        </w:rPr>
        <w:t xml:space="preserve">“[…] si bien es cierto en la mayoría de los casos el plazo del contrato coincide con el de ejecución de la obra, con la entrega del suministro, con la prestación del servicio, también lo es, que este plazo no constituye </w:t>
      </w:r>
      <w:r w:rsidRPr="00E87EA6">
        <w:rPr>
          <w:rFonts w:ascii="Verdana" w:eastAsia="Times New Roman" w:hAnsi="Verdana" w:cs="Arial"/>
          <w:sz w:val="20"/>
          <w:szCs w:val="20"/>
          <w:lang w:eastAsia="es-CO"/>
        </w:rPr>
        <w:lastRenderedPageBreak/>
        <w:t>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r w:rsidRPr="00E87EA6">
        <w:rPr>
          <w:rFonts w:ascii="Verdana" w:eastAsia="Times New Roman" w:hAnsi="Verdana" w:cs="Arial"/>
          <w:sz w:val="20"/>
          <w:szCs w:val="20"/>
          <w:vertAlign w:val="superscript"/>
          <w:lang w:eastAsia="es-CO"/>
        </w:rPr>
        <w:footnoteReference w:id="11"/>
      </w:r>
      <w:r w:rsidRPr="00E87EA6">
        <w:rPr>
          <w:rFonts w:ascii="Verdana" w:eastAsia="Times New Roman" w:hAnsi="Verdana" w:cs="Arial"/>
          <w:sz w:val="20"/>
          <w:szCs w:val="20"/>
          <w:lang w:eastAsia="es-CO"/>
        </w:rPr>
        <w:t>.</w:t>
      </w:r>
    </w:p>
    <w:p w14:paraId="61756425" w14:textId="77777777" w:rsidR="003C4EF9" w:rsidRDefault="003C4EF9" w:rsidP="003C4EF9">
      <w:pPr>
        <w:spacing w:after="0" w:line="276" w:lineRule="auto"/>
        <w:ind w:left="709" w:right="709"/>
        <w:jc w:val="both"/>
        <w:rPr>
          <w:rFonts w:ascii="Verdana" w:eastAsia="Calibri" w:hAnsi="Verdana" w:cs="Arial"/>
        </w:rPr>
      </w:pPr>
      <w:r w:rsidRPr="009C7B89">
        <w:rPr>
          <w:rFonts w:ascii="Verdana" w:eastAsia="Calibri" w:hAnsi="Verdana" w:cs="Arial"/>
        </w:rPr>
        <w:t xml:space="preserve"> </w:t>
      </w:r>
    </w:p>
    <w:p w14:paraId="6F8FB83B" w14:textId="77777777" w:rsidR="003C4EF9" w:rsidRDefault="003C4EF9" w:rsidP="003C4EF9">
      <w:pPr>
        <w:spacing w:line="276" w:lineRule="auto"/>
        <w:ind w:firstLine="709"/>
        <w:jc w:val="both"/>
        <w:rPr>
          <w:rFonts w:ascii="Verdana" w:eastAsia="Calibri" w:hAnsi="Verdana" w:cs="Arial"/>
        </w:rPr>
      </w:pPr>
      <w:r>
        <w:rPr>
          <w:rFonts w:ascii="Verdana" w:eastAsia="Calibri" w:hAnsi="Verdana" w:cs="Arial"/>
        </w:rPr>
        <w:t xml:space="preserve">En ese sentido, el </w:t>
      </w:r>
      <w:r w:rsidRPr="009C7B89">
        <w:rPr>
          <w:rFonts w:ascii="Verdana" w:eastAsia="Calibri" w:hAnsi="Verdana" w:cs="Arial"/>
        </w:rPr>
        <w:t>artículo 2.2.1.2.3.1.12 no deja margen para interpretaciones que limiten su vigencia al período de ejecución. La regla es clara: la garantía debe permanecer vigente hasta que el contrato sea liquidado en cualquiera de sus modalidades.</w:t>
      </w:r>
    </w:p>
    <w:p w14:paraId="779B92A3" w14:textId="77777777" w:rsidR="003C4EF9" w:rsidRPr="009C7B89" w:rsidRDefault="003C4EF9" w:rsidP="003C4EF9">
      <w:pPr>
        <w:spacing w:line="276" w:lineRule="auto"/>
        <w:ind w:firstLine="709"/>
        <w:jc w:val="both"/>
        <w:rPr>
          <w:rFonts w:ascii="Verdana" w:eastAsia="Calibri" w:hAnsi="Verdana" w:cs="Arial"/>
        </w:rPr>
      </w:pPr>
      <w:r w:rsidRPr="009C7B89">
        <w:rPr>
          <w:rFonts w:ascii="Verdana" w:eastAsia="Calibri" w:hAnsi="Verdana" w:cs="Arial"/>
        </w:rPr>
        <w:t>La doctrina administrativa coincide en que el contratista debe otorgar la garantía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w:t>
      </w:r>
      <w:r w:rsidRPr="00E87EA6">
        <w:rPr>
          <w:rFonts w:ascii="Verdana" w:eastAsia="Times New Roman" w:hAnsi="Verdana" w:cs="Arial"/>
          <w:vertAlign w:val="superscript"/>
          <w:lang w:eastAsia="es-CO"/>
        </w:rPr>
        <w:footnoteReference w:id="12"/>
      </w:r>
      <w:r w:rsidRPr="009C7B89">
        <w:rPr>
          <w:rFonts w:ascii="Verdana" w:eastAsia="Calibri" w:hAnsi="Verdana" w:cs="Arial"/>
        </w:rPr>
        <w:t>”, es decir, hasta agotar los plazos previstos en la Ley 1150 de 2007. Esto implica que la vigencia mínima incluye el período de ejecución, el término pactado para la liquidación bilateral, el plazo supletivo de cuatro meses si no hubo pacto, los dos meses para la liquidación unilateral y los dos años para la liquidación judicial o bilateral tardía, según corresponda.</w:t>
      </w:r>
    </w:p>
    <w:p w14:paraId="265563F0" w14:textId="77777777" w:rsidR="003C4EF9" w:rsidRPr="009C7B89" w:rsidRDefault="003C4EF9" w:rsidP="003C4EF9">
      <w:pPr>
        <w:spacing w:line="276" w:lineRule="auto"/>
        <w:ind w:firstLine="709"/>
        <w:jc w:val="both"/>
        <w:rPr>
          <w:rFonts w:ascii="Verdana" w:eastAsia="Calibri" w:hAnsi="Verdana" w:cs="Arial"/>
        </w:rPr>
      </w:pPr>
      <w:r w:rsidRPr="009C7B89">
        <w:rPr>
          <w:rFonts w:ascii="Verdana" w:eastAsia="Calibri" w:hAnsi="Verdana" w:cs="Arial"/>
        </w:rPr>
        <w:t>La necesidad de que el amparo cubra toda la vigencia contractual reforzada —incluyendo el tiempo de liquidación— se explica porque la administración conserva competencia para declarar incumplimientos durante ese lapso. La declaración de un siniestro por incumplimiento del contratista solo puede efectuarse mientras el contrato se encuentra vigente para efectos de control. Si la garantía expirara antes de concluirse la liquidación, la administración perdería la herramienta para hacer efectivo el riesgo asegurado en el tiempo en que todavía está facultada para verificar incumplimientos y ajustar cuentas contractuales.</w:t>
      </w:r>
    </w:p>
    <w:p w14:paraId="34E7B73E" w14:textId="77777777" w:rsidR="003C4EF9" w:rsidRPr="009C7B89" w:rsidRDefault="003C4EF9" w:rsidP="003C4EF9">
      <w:pPr>
        <w:spacing w:line="276" w:lineRule="auto"/>
        <w:ind w:firstLine="709"/>
        <w:jc w:val="both"/>
        <w:rPr>
          <w:rFonts w:ascii="Verdana" w:eastAsia="Calibri" w:hAnsi="Verdana" w:cs="Arial"/>
        </w:rPr>
      </w:pPr>
      <w:r w:rsidRPr="009C7B89">
        <w:rPr>
          <w:rFonts w:ascii="Verdana" w:eastAsia="Calibri" w:hAnsi="Verdana" w:cs="Arial"/>
        </w:rPr>
        <w:t xml:space="preserve">En cuanto a los amparos específicos consultados, el </w:t>
      </w:r>
      <w:r w:rsidRPr="009C7B89">
        <w:rPr>
          <w:rFonts w:ascii="Verdana" w:eastAsia="Calibri" w:hAnsi="Verdana" w:cs="Arial"/>
          <w:i/>
          <w:iCs/>
        </w:rPr>
        <w:t>amparo de calidad del servicio</w:t>
      </w:r>
      <w:r w:rsidRPr="009C7B89">
        <w:rPr>
          <w:rFonts w:ascii="Verdana" w:eastAsia="Calibri" w:hAnsi="Verdana" w:cs="Arial"/>
        </w:rPr>
        <w:t xml:space="preserve">, regulado en el artículo 2.2.1.2.3.1.15 del Decreto 1082 de 2015, cubre </w:t>
      </w:r>
      <w:r w:rsidRPr="009C7B89">
        <w:rPr>
          <w:rFonts w:ascii="Verdana" w:eastAsia="Calibri" w:hAnsi="Verdana" w:cs="Arial"/>
        </w:rPr>
        <w:lastRenderedPageBreak/>
        <w:t>los riesgos derivados del incumplimiento de las obligaciones relacionadas con la adecuada prestación del servicio y “tendrá una vigencia no inferior a la establecida en el contrato”. Esta disposición remite expresamente a la determinación contractual del plazo, lo cual significa que su vigencia no es uniforme y depende del análisis del riesgo asociado al objeto contractual. La norma no establece un plazo fijo adicional a la ejecución; únicamente exige que la vigencia no sea inferior a la del contrato. De esta remisión se deriva que, si la vigencia contractual se prolonga hasta la liquidación —como es la regla general—, la garantía también debe cubrir este período. Sin embargo, los riesgos de calidad en servicios, particularmente cuando el objeto es intangible o cuando su evaluación requiere un período posterior de verificación, pueden justificar una vigencia mayor, siempre que tal término se derive de un análisis técnico de riesgos.</w:t>
      </w:r>
    </w:p>
    <w:p w14:paraId="386DA32F" w14:textId="77777777" w:rsidR="003C4EF9" w:rsidRPr="009C7B89" w:rsidRDefault="003C4EF9" w:rsidP="003C4EF9">
      <w:pPr>
        <w:spacing w:line="276" w:lineRule="auto"/>
        <w:ind w:firstLine="709"/>
        <w:jc w:val="both"/>
        <w:rPr>
          <w:rFonts w:ascii="Verdana" w:eastAsia="Calibri" w:hAnsi="Verdana" w:cs="Arial"/>
        </w:rPr>
      </w:pPr>
      <w:r w:rsidRPr="009C7B89">
        <w:rPr>
          <w:rFonts w:ascii="Verdana" w:eastAsia="Calibri" w:hAnsi="Verdana" w:cs="Arial"/>
        </w:rPr>
        <w:t xml:space="preserve">Por su parte, el </w:t>
      </w:r>
      <w:r w:rsidRPr="009C7B89">
        <w:rPr>
          <w:rFonts w:ascii="Verdana" w:eastAsia="Calibri" w:hAnsi="Verdana" w:cs="Arial"/>
          <w:i/>
          <w:iCs/>
        </w:rPr>
        <w:t>amparo de calidad y correcto funcionamiento de los bienes</w:t>
      </w:r>
      <w:r w:rsidRPr="009C7B89">
        <w:rPr>
          <w:rFonts w:ascii="Verdana" w:eastAsia="Calibri" w:hAnsi="Verdana" w:cs="Arial"/>
        </w:rPr>
        <w:t>, regulado en el artículo 2.2.1.2.3.1.16 del Decreto 1082 de 2015, garantiza que los bienes suministrados funcionen en condiciones óptimas y conforme a las especificaciones técnicas. Su vigencia debe ser la prevista en el contrato o en los documentos del proceso, lo cual nuevamente remite a la determinación técnica del plazo necesario para que la entidad pueda detectar defectos, fallas, vicios ocultos o cualquier incumplimiento asociado al funcionamiento de los bienes. Este amparo tiene una naturaleza distinta al de cumplimiento: mientras el primero protege el adecuado comportamiento funcional del bien, el segundo protege el cumplimiento general del contrato. La vigencia de los amparos de calidad debe adecuarse a la duración real de los riesgos y no puede limitarse automáticamente al plazo de ejecución contractual o a un término fijo como treinta meses, salvo que tal plazo corresponda al análisis técnico del riesgo contenido en los documentos del proceso.</w:t>
      </w:r>
    </w:p>
    <w:p w14:paraId="611A1DDC" w14:textId="77777777" w:rsidR="003C4EF9" w:rsidRPr="009C7B89" w:rsidRDefault="003C4EF9" w:rsidP="003C4EF9">
      <w:pPr>
        <w:spacing w:line="276" w:lineRule="auto"/>
        <w:ind w:firstLine="709"/>
        <w:jc w:val="both"/>
        <w:rPr>
          <w:rFonts w:ascii="Verdana" w:eastAsia="Calibri" w:hAnsi="Verdana" w:cs="Arial"/>
        </w:rPr>
      </w:pPr>
      <w:r>
        <w:rPr>
          <w:rFonts w:ascii="Verdana" w:eastAsia="Calibri" w:hAnsi="Verdana" w:cs="Arial"/>
        </w:rPr>
        <w:t>En ese orden,</w:t>
      </w:r>
      <w:r w:rsidRPr="009C7B89">
        <w:rPr>
          <w:rFonts w:ascii="Verdana" w:eastAsia="Calibri" w:hAnsi="Verdana" w:cs="Arial"/>
        </w:rPr>
        <w:t xml:space="preserve"> no existe una regla legal que imponga, para los amparos de calidad del servicio o de calidad y correcto funcionamiento de los bienes, un plazo uniforme equivalente al período de ejecución más treinta meses. Ese plazo solo sería admisible si corresponde a una determinación contractual soportada en un estudio de riesgos que así lo justifique. Tampoco existe fundamento legal para aplicar de manera general la regla utilizada en algunos Acuerdos Marco de “plazo de la orden más seis meses”, pues esa fórmula corresponde exclusivamente a las decisiones regulatorias para ese instrumento contractual y no se proyecta automáticamente sobre los procesos de selección ordinarios. Los </w:t>
      </w:r>
      <w:r w:rsidRPr="009C7B89">
        <w:rPr>
          <w:rFonts w:ascii="Verdana" w:eastAsia="Calibri" w:hAnsi="Verdana" w:cs="Arial"/>
        </w:rPr>
        <w:lastRenderedPageBreak/>
        <w:t>amparos deben responder a la naturaleza específica del riesgo y a la duración temporal del mismo.</w:t>
      </w:r>
    </w:p>
    <w:p w14:paraId="41F86E51" w14:textId="77777777" w:rsidR="003C4EF9" w:rsidRDefault="003C4EF9" w:rsidP="003C4EF9">
      <w:pPr>
        <w:spacing w:line="276" w:lineRule="auto"/>
        <w:ind w:firstLine="709"/>
        <w:jc w:val="both"/>
        <w:rPr>
          <w:rFonts w:ascii="Verdana" w:eastAsia="Calibri" w:hAnsi="Verdana" w:cs="Arial"/>
        </w:rPr>
      </w:pPr>
      <w:r w:rsidRPr="009C7B89">
        <w:rPr>
          <w:rFonts w:ascii="Verdana" w:eastAsia="Calibri" w:hAnsi="Verdana" w:cs="Arial"/>
        </w:rPr>
        <w:t>La vigencia exigible de la garantía debe cubrir siempre la ejecución, el período de liquidación del contrato y el plazo técnico que permita a la administración evaluar defectos o incumplimientos que puedan surgir con posterioridad a la entrega del bien o la prestación del servicio. La entidad consultante deberá, por tanto, analizar la naturaleza del objeto contractual y determinar la duración temporal real del riesgo de calidad, de modo que la garantía permanezca vigente durante todo el período en el cual puedan manifestarse fallas y durante todo el tiempo en que la administración conserve competencia para hacer efectivas las responsabilidades contractuales y declarar siniestros.</w:t>
      </w:r>
    </w:p>
    <w:p w14:paraId="72ACFAC1" w14:textId="77777777" w:rsidR="003C4EF9" w:rsidRDefault="003C4EF9" w:rsidP="003C4EF9">
      <w:pPr>
        <w:spacing w:after="0" w:line="276" w:lineRule="auto"/>
        <w:ind w:firstLine="709"/>
        <w:jc w:val="both"/>
        <w:rPr>
          <w:rFonts w:ascii="Verdana" w:eastAsia="Calibri" w:hAnsi="Verdana" w:cs="Arial"/>
        </w:rPr>
      </w:pPr>
      <w:bookmarkStart w:id="3" w:name="_Hlk214450631"/>
      <w:r w:rsidRPr="006B29B9">
        <w:rPr>
          <w:rFonts w:ascii="Verdana" w:eastAsia="Calibri" w:hAnsi="Verdana" w:cs="Arial"/>
        </w:rPr>
        <w:t>En consecuencia, al integrar las reglas legales sobre la liquidación de los contratos estatales, la jurisprudencia reiterada del Consejo de Estado sobre la competencia de la administración durante dicha etapa, y el contenido de los artículos 2.2.1.2.3.1.12, 2.2.1.2.3.1.15 y 2.2.1.2.3.1.16 del Decreto 1082 de 2015, se evidencia que la determinación de la vigencia de los amparos de la garantía única de cumplimiento no puede desvincularse del período en que el contrato permanece jurídicamente abierto, ni de la duración real de los riesgos que cada amparo está llamado a cubrir. La vigencia de los amparos debe extenderse, como mínimo, hasta el cierre integral de la relación contractual, el cual solo se consolida con la liquidación en cualquiera de sus modalidades. Y en el caso de los amparos de calidad del servicio y de calidad y correcto funcionamiento de los bienes, la extensión adicional de su vigencia debe corresponder al análisis técnico del riesgo y no a la aplicación automática de plazos uniformes no previstos en la ley. Toda determinación que restrinja la vigencia a la mera ejecución, o que establezca un término fijo sin justificación en el estudio de riesgos, desconocería la competencia de la administración para declarar incumplimientos durante la liquidación y comprometería la suficiencia de la garantía.</w:t>
      </w:r>
    </w:p>
    <w:bookmarkEnd w:id="3"/>
    <w:p w14:paraId="711CBC71" w14:textId="77777777" w:rsidR="003C4EF9" w:rsidRPr="0089768F" w:rsidRDefault="003C4EF9" w:rsidP="003C4EF9">
      <w:pPr>
        <w:spacing w:after="0" w:line="276" w:lineRule="auto"/>
        <w:ind w:firstLine="709"/>
        <w:jc w:val="both"/>
        <w:rPr>
          <w:rFonts w:ascii="Verdana" w:hAnsi="Verdana"/>
        </w:rPr>
      </w:pPr>
    </w:p>
    <w:p w14:paraId="76761E7A" w14:textId="77777777" w:rsidR="003C4EF9" w:rsidRPr="00593914" w:rsidRDefault="003C4EF9" w:rsidP="003C4EF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Referencias normativas, jurisprudenciales y otras fuentes:</w:t>
      </w:r>
    </w:p>
    <w:p w14:paraId="2C7C3006" w14:textId="77777777" w:rsidR="003C4EF9" w:rsidRPr="003E3E88" w:rsidRDefault="003C4EF9" w:rsidP="003C4EF9">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C4EF9" w:rsidRPr="0022587E" w14:paraId="0D8E9B7C" w14:textId="77777777" w:rsidTr="005B6068">
        <w:trPr>
          <w:trHeight w:val="870"/>
        </w:trPr>
        <w:tc>
          <w:tcPr>
            <w:tcW w:w="8647" w:type="dxa"/>
          </w:tcPr>
          <w:p w14:paraId="334B19D7" w14:textId="77777777" w:rsidR="003C4EF9" w:rsidRPr="00FE3408" w:rsidRDefault="003C4EF9" w:rsidP="003C4EF9">
            <w:pPr>
              <w:pStyle w:val="Prrafodelista"/>
              <w:numPr>
                <w:ilvl w:val="0"/>
                <w:numId w:val="3"/>
              </w:numPr>
              <w:jc w:val="both"/>
              <w:rPr>
                <w:rFonts w:ascii="Verdana" w:hAnsi="Verdana" w:cs="Arial"/>
                <w:bCs/>
                <w:lang w:val="es-ES_tradnl" w:eastAsia="es-ES"/>
              </w:rPr>
            </w:pPr>
            <w:r w:rsidRPr="00FE3408">
              <w:rPr>
                <w:rFonts w:ascii="Verdana" w:hAnsi="Verdana" w:cs="Arial"/>
                <w:bCs/>
                <w:lang w:val="es-ES_tradnl" w:eastAsia="es-ES"/>
              </w:rPr>
              <w:t>Ley 80 de 1993, artículo 60</w:t>
            </w:r>
          </w:p>
          <w:p w14:paraId="632B27C4" w14:textId="77777777" w:rsidR="003C4EF9" w:rsidRPr="00FE3408" w:rsidRDefault="003C4EF9" w:rsidP="003C4EF9">
            <w:pPr>
              <w:pStyle w:val="Prrafodelista"/>
              <w:numPr>
                <w:ilvl w:val="0"/>
                <w:numId w:val="3"/>
              </w:numPr>
              <w:jc w:val="both"/>
              <w:rPr>
                <w:rFonts w:ascii="Verdana" w:hAnsi="Verdana" w:cs="Arial"/>
                <w:bCs/>
                <w:lang w:val="es-ES_tradnl" w:eastAsia="es-ES"/>
              </w:rPr>
            </w:pPr>
            <w:r w:rsidRPr="00FE3408">
              <w:rPr>
                <w:rFonts w:ascii="Verdana" w:hAnsi="Verdana" w:cs="Arial"/>
                <w:bCs/>
                <w:lang w:val="es-ES_tradnl" w:eastAsia="es-ES"/>
              </w:rPr>
              <w:t>Ley 1150 de 2007, artículo 11</w:t>
            </w:r>
          </w:p>
          <w:p w14:paraId="09A1822B" w14:textId="77777777" w:rsidR="003C4EF9" w:rsidRPr="00FE3408" w:rsidRDefault="003C4EF9" w:rsidP="003C4EF9">
            <w:pPr>
              <w:pStyle w:val="Prrafodelista"/>
              <w:numPr>
                <w:ilvl w:val="0"/>
                <w:numId w:val="3"/>
              </w:numPr>
              <w:jc w:val="both"/>
              <w:rPr>
                <w:rFonts w:ascii="Verdana" w:hAnsi="Verdana" w:cs="Arial"/>
                <w:bCs/>
                <w:lang w:val="es-ES_tradnl" w:eastAsia="es-ES"/>
              </w:rPr>
            </w:pPr>
            <w:r w:rsidRPr="00FE3408">
              <w:rPr>
                <w:rFonts w:ascii="Verdana" w:hAnsi="Verdana" w:cs="Arial"/>
                <w:bCs/>
                <w:lang w:val="es-ES_tradnl" w:eastAsia="es-ES"/>
              </w:rPr>
              <w:t>Decreto 019 de 2012, artículo 217 — Modificador del artículo 60 de la Ley 80 de 1993.</w:t>
            </w:r>
          </w:p>
          <w:p w14:paraId="140B57AF" w14:textId="77777777" w:rsidR="003C4EF9" w:rsidRPr="00164E5C" w:rsidRDefault="003C4EF9" w:rsidP="003C4EF9">
            <w:pPr>
              <w:pStyle w:val="Prrafodelista"/>
              <w:numPr>
                <w:ilvl w:val="0"/>
                <w:numId w:val="3"/>
              </w:numPr>
              <w:jc w:val="both"/>
              <w:rPr>
                <w:rFonts w:ascii="Verdana" w:hAnsi="Verdana" w:cs="Arial"/>
                <w:bCs/>
                <w:lang w:val="es-ES_tradnl" w:eastAsia="es-ES"/>
              </w:rPr>
            </w:pPr>
            <w:r w:rsidRPr="00164E5C">
              <w:rPr>
                <w:rFonts w:ascii="Verdana" w:hAnsi="Verdana" w:cs="Arial"/>
                <w:bCs/>
                <w:lang w:val="es-ES_tradnl" w:eastAsia="es-ES"/>
              </w:rPr>
              <w:lastRenderedPageBreak/>
              <w:t>Decreto 1082 de 2015, artículos: 2.2.1.2.3.1.12, 2.2.1.2.3.1.15 y</w:t>
            </w:r>
            <w:r>
              <w:rPr>
                <w:rFonts w:ascii="Verdana" w:hAnsi="Verdana" w:cs="Arial"/>
                <w:bCs/>
                <w:lang w:val="es-ES_tradnl" w:eastAsia="es-ES"/>
              </w:rPr>
              <w:t xml:space="preserve"> </w:t>
            </w:r>
            <w:r w:rsidRPr="00164E5C">
              <w:rPr>
                <w:rFonts w:ascii="Verdana" w:hAnsi="Verdana" w:cs="Arial"/>
                <w:bCs/>
                <w:lang w:val="es-ES_tradnl" w:eastAsia="es-ES"/>
              </w:rPr>
              <w:t>2.2.1.2.3.1.16</w:t>
            </w:r>
          </w:p>
          <w:p w14:paraId="122F808F" w14:textId="77777777" w:rsidR="003C4EF9" w:rsidRDefault="003C4EF9" w:rsidP="003C4EF9">
            <w:pPr>
              <w:pStyle w:val="Prrafodelista"/>
              <w:numPr>
                <w:ilvl w:val="0"/>
                <w:numId w:val="3"/>
              </w:numPr>
              <w:jc w:val="both"/>
              <w:rPr>
                <w:rFonts w:ascii="Verdana" w:hAnsi="Verdana" w:cs="Arial"/>
                <w:lang w:eastAsia="es-ES"/>
              </w:rPr>
            </w:pPr>
            <w:r w:rsidRPr="22F60D21">
              <w:rPr>
                <w:rFonts w:ascii="Verdana" w:hAnsi="Verdana" w:cs="Arial"/>
                <w:lang w:eastAsia="es-ES"/>
              </w:rPr>
              <w:t xml:space="preserve">CONSEJO DE ESTADO. Sección Tercera. Subsección A. Sentencia del 12 de febrero de 2015. </w:t>
            </w:r>
            <w:proofErr w:type="spellStart"/>
            <w:r w:rsidRPr="22F60D21">
              <w:rPr>
                <w:rFonts w:ascii="Verdana" w:hAnsi="Verdana" w:cs="Arial"/>
                <w:lang w:eastAsia="es-ES"/>
              </w:rPr>
              <w:t>Exp</w:t>
            </w:r>
            <w:proofErr w:type="spellEnd"/>
            <w:r w:rsidRPr="22F60D21">
              <w:rPr>
                <w:rFonts w:ascii="Verdana" w:hAnsi="Verdana" w:cs="Arial"/>
                <w:lang w:eastAsia="es-ES"/>
              </w:rPr>
              <w:t>. 28278. C.P. Carlos Alberto Zambrano Barrera. Disponible:</w:t>
            </w:r>
          </w:p>
          <w:p w14:paraId="4363B954" w14:textId="77777777" w:rsidR="003C4EF9" w:rsidRPr="00211C02" w:rsidRDefault="003C4EF9" w:rsidP="005B6068">
            <w:pPr>
              <w:pStyle w:val="Prrafodelista"/>
              <w:jc w:val="both"/>
              <w:rPr>
                <w:rFonts w:ascii="Verdana" w:hAnsi="Verdana" w:cs="Arial"/>
                <w:bCs/>
                <w:lang w:val="es-ES_tradnl" w:eastAsia="es-ES"/>
              </w:rPr>
            </w:pPr>
            <w:hyperlink r:id="rId12" w:history="1">
              <w:r w:rsidRPr="00211C02">
                <w:rPr>
                  <w:rStyle w:val="Hipervnculo"/>
                  <w:rFonts w:ascii="Verdana" w:hAnsi="Verdana" w:cs="Arial"/>
                  <w:bCs/>
                  <w:lang w:val="es-ES_tradnl" w:eastAsia="es-ES"/>
                </w:rPr>
                <w:t>https://relatoria.colombiacompra.gov.co/providencias/25000-23-26-000-2003-00874-01_28278/</w:t>
              </w:r>
            </w:hyperlink>
            <w:r w:rsidRPr="00211C02">
              <w:rPr>
                <w:rFonts w:ascii="Verdana" w:hAnsi="Verdana" w:cs="Arial"/>
                <w:bCs/>
                <w:lang w:val="es-ES_tradnl" w:eastAsia="es-ES"/>
              </w:rPr>
              <w:t xml:space="preserve"> </w:t>
            </w:r>
          </w:p>
          <w:p w14:paraId="63C99B03" w14:textId="77777777" w:rsidR="003C4EF9" w:rsidRDefault="003C4EF9" w:rsidP="003C4EF9">
            <w:pPr>
              <w:pStyle w:val="Prrafodelista"/>
              <w:numPr>
                <w:ilvl w:val="0"/>
                <w:numId w:val="3"/>
              </w:numPr>
              <w:jc w:val="both"/>
              <w:rPr>
                <w:rFonts w:ascii="Verdana" w:hAnsi="Verdana" w:cs="Arial"/>
                <w:lang w:eastAsia="es-ES"/>
              </w:rPr>
            </w:pPr>
            <w:r w:rsidRPr="22F60D21">
              <w:rPr>
                <w:rFonts w:ascii="Verdana" w:hAnsi="Verdana" w:cs="Arial"/>
                <w:lang w:eastAsia="es-ES"/>
              </w:rPr>
              <w:t xml:space="preserve">CONSEJO DE ESTADO. Sección Tercera. Sentencia del 29 de julio de 2015. </w:t>
            </w:r>
            <w:proofErr w:type="spellStart"/>
            <w:r w:rsidRPr="22F60D21">
              <w:rPr>
                <w:rFonts w:ascii="Verdana" w:hAnsi="Verdana" w:cs="Arial"/>
                <w:lang w:eastAsia="es-ES"/>
              </w:rPr>
              <w:t>Exp</w:t>
            </w:r>
            <w:proofErr w:type="spellEnd"/>
            <w:r w:rsidRPr="22F60D21">
              <w:rPr>
                <w:rFonts w:ascii="Verdana" w:hAnsi="Verdana" w:cs="Arial"/>
                <w:lang w:eastAsia="es-ES"/>
              </w:rPr>
              <w:t>. 42.494. C.P. Jaime Orlando Santofimio Gamboa. Disponible en:</w:t>
            </w:r>
          </w:p>
          <w:p w14:paraId="484CB794" w14:textId="77777777" w:rsidR="003C4EF9" w:rsidRPr="00211C02" w:rsidRDefault="003C4EF9" w:rsidP="005B6068">
            <w:pPr>
              <w:pStyle w:val="Prrafodelista"/>
              <w:jc w:val="both"/>
              <w:rPr>
                <w:rFonts w:ascii="Verdana" w:hAnsi="Verdana" w:cs="Arial"/>
                <w:bCs/>
                <w:lang w:val="es-ES_tradnl" w:eastAsia="es-ES"/>
              </w:rPr>
            </w:pPr>
            <w:hyperlink r:id="rId13" w:history="1">
              <w:r w:rsidRPr="00E30ED2">
                <w:rPr>
                  <w:rStyle w:val="Hipervnculo"/>
                  <w:rFonts w:ascii="Verdana" w:hAnsi="Verdana" w:cs="Arial"/>
                  <w:bCs/>
                  <w:lang w:val="es-ES_tradnl" w:eastAsia="es-ES"/>
                </w:rPr>
                <w:t>https://relatoria.colombiacompra.gov.co/providencias/25000-23-26-000-2007-00108-01_42494/</w:t>
              </w:r>
            </w:hyperlink>
            <w:r>
              <w:rPr>
                <w:rFonts w:ascii="Verdana" w:hAnsi="Verdana" w:cs="Arial"/>
                <w:bCs/>
                <w:lang w:val="es-ES_tradnl" w:eastAsia="es-ES"/>
              </w:rPr>
              <w:t xml:space="preserve"> </w:t>
            </w:r>
          </w:p>
          <w:p w14:paraId="422B7B69" w14:textId="77777777" w:rsidR="003C4EF9" w:rsidRPr="002E0D9B" w:rsidRDefault="003C4EF9" w:rsidP="003C4EF9">
            <w:pPr>
              <w:pStyle w:val="Prrafodelista"/>
              <w:numPr>
                <w:ilvl w:val="0"/>
                <w:numId w:val="3"/>
              </w:numPr>
              <w:jc w:val="both"/>
              <w:rPr>
                <w:rFonts w:ascii="Verdana" w:hAnsi="Verdana" w:cs="Arial"/>
                <w:bCs/>
                <w:lang w:val="es-ES_tradnl" w:eastAsia="es-ES"/>
              </w:rPr>
            </w:pPr>
            <w:r w:rsidRPr="00211C02">
              <w:rPr>
                <w:rFonts w:ascii="Verdana" w:hAnsi="Verdana" w:cs="Arial"/>
                <w:bCs/>
                <w:lang w:val="es-ES_tradnl" w:eastAsia="es-ES"/>
              </w:rPr>
              <w:t>CONSEJO DE ESTADO. Sección Tercera. Subsección C. Radicado No. 05001-23-31-000-1998-00038-01. Número Interno 27.777. M.P.</w:t>
            </w:r>
            <w:r>
              <w:rPr>
                <w:rFonts w:ascii="Verdana" w:hAnsi="Verdana" w:cs="Arial"/>
                <w:bCs/>
                <w:lang w:val="es-ES_tradnl" w:eastAsia="es-ES"/>
              </w:rPr>
              <w:t xml:space="preserve"> </w:t>
            </w:r>
            <w:r w:rsidRPr="002E0D9B">
              <w:rPr>
                <w:rFonts w:ascii="Verdana" w:hAnsi="Verdana" w:cs="Arial"/>
                <w:bCs/>
                <w:lang w:val="es-ES_tradnl" w:eastAsia="es-ES"/>
              </w:rPr>
              <w:t>Enrique Gil Botero</w:t>
            </w:r>
          </w:p>
          <w:p w14:paraId="192A5266" w14:textId="77777777" w:rsidR="003C4EF9" w:rsidRPr="0031219D" w:rsidRDefault="003C4EF9" w:rsidP="003C4EF9">
            <w:pPr>
              <w:pStyle w:val="Prrafodelista"/>
              <w:numPr>
                <w:ilvl w:val="0"/>
                <w:numId w:val="3"/>
              </w:numPr>
              <w:jc w:val="both"/>
              <w:rPr>
                <w:rFonts w:ascii="Verdana" w:hAnsi="Verdana" w:cs="Arial"/>
                <w:lang w:eastAsia="es-ES"/>
              </w:rPr>
            </w:pPr>
            <w:r w:rsidRPr="22F60D21">
              <w:rPr>
                <w:rFonts w:ascii="Verdana" w:hAnsi="Verdana" w:cs="Arial"/>
                <w:lang w:eastAsia="es-ES"/>
              </w:rPr>
              <w:t xml:space="preserve">CONSEJO DE ESTADO. Sección Tercera. Sentencia del 13 de septiembre de 1999. </w:t>
            </w:r>
            <w:proofErr w:type="spellStart"/>
            <w:r w:rsidRPr="22F60D21">
              <w:rPr>
                <w:rFonts w:ascii="Verdana" w:hAnsi="Verdana" w:cs="Arial"/>
                <w:lang w:eastAsia="es-ES"/>
              </w:rPr>
              <w:t>Exp</w:t>
            </w:r>
            <w:proofErr w:type="spellEnd"/>
            <w:r w:rsidRPr="22F60D21">
              <w:rPr>
                <w:rFonts w:ascii="Verdana" w:hAnsi="Verdana" w:cs="Arial"/>
                <w:lang w:eastAsia="es-ES"/>
              </w:rPr>
              <w:t>. 10.264. C.P. Ricardo Hoyos Duque.</w:t>
            </w:r>
          </w:p>
          <w:p w14:paraId="07A7D213" w14:textId="77777777" w:rsidR="003C4EF9" w:rsidRPr="00211C02" w:rsidRDefault="003C4EF9" w:rsidP="003C4EF9">
            <w:pPr>
              <w:pStyle w:val="Prrafodelista"/>
              <w:numPr>
                <w:ilvl w:val="0"/>
                <w:numId w:val="3"/>
              </w:numPr>
              <w:jc w:val="both"/>
              <w:rPr>
                <w:rFonts w:ascii="Verdana" w:hAnsi="Verdana" w:cs="Arial"/>
                <w:lang w:eastAsia="es-ES"/>
              </w:rPr>
            </w:pPr>
            <w:r w:rsidRPr="22F60D21">
              <w:rPr>
                <w:rFonts w:ascii="Verdana" w:hAnsi="Verdana" w:cs="Arial"/>
                <w:lang w:eastAsia="es-ES"/>
              </w:rPr>
              <w:t xml:space="preserve">CONSEJO DE ESTADO. Sala de Consulta y Servicio Civil. Concepto de 28 de junio de 2016. Radicación: 2253. C.P. Álvaro </w:t>
            </w:r>
            <w:proofErr w:type="spellStart"/>
            <w:r w:rsidRPr="22F60D21">
              <w:rPr>
                <w:rFonts w:ascii="Verdana" w:hAnsi="Verdana" w:cs="Arial"/>
                <w:lang w:eastAsia="es-ES"/>
              </w:rPr>
              <w:t>Namén</w:t>
            </w:r>
            <w:proofErr w:type="spellEnd"/>
            <w:r w:rsidRPr="22F60D21">
              <w:rPr>
                <w:rFonts w:ascii="Verdana" w:hAnsi="Verdana" w:cs="Arial"/>
                <w:lang w:eastAsia="es-ES"/>
              </w:rPr>
              <w:t xml:space="preserve"> Vargas</w:t>
            </w:r>
          </w:p>
          <w:p w14:paraId="4C32CD29" w14:textId="77777777" w:rsidR="003C4EF9" w:rsidRDefault="003C4EF9" w:rsidP="003C4EF9">
            <w:pPr>
              <w:pStyle w:val="Prrafodelista"/>
              <w:numPr>
                <w:ilvl w:val="0"/>
                <w:numId w:val="3"/>
              </w:numPr>
              <w:jc w:val="both"/>
              <w:rPr>
                <w:rFonts w:ascii="Verdana" w:hAnsi="Verdana" w:cs="Arial"/>
                <w:bCs/>
                <w:lang w:val="es-ES_tradnl" w:eastAsia="es-ES"/>
              </w:rPr>
            </w:pPr>
            <w:r w:rsidRPr="00211C02">
              <w:rPr>
                <w:rFonts w:ascii="Verdana" w:hAnsi="Verdana" w:cs="Arial"/>
                <w:bCs/>
                <w:lang w:val="es-ES_tradnl" w:eastAsia="es-ES"/>
              </w:rPr>
              <w:t xml:space="preserve">CONSEJO DE ESTADO. Sección Tercera. </w:t>
            </w:r>
            <w:r w:rsidRPr="00211C02">
              <w:rPr>
                <w:rFonts w:ascii="Verdana" w:hAnsi="Verdana" w:cs="Arial"/>
                <w:bCs/>
                <w:lang w:val="pt-BR" w:eastAsia="es-ES"/>
              </w:rPr>
              <w:t xml:space="preserve">Sala Plena. Auto de 1 de agosto de 2019. </w:t>
            </w:r>
            <w:proofErr w:type="spellStart"/>
            <w:r w:rsidRPr="00211C02">
              <w:rPr>
                <w:rFonts w:ascii="Verdana" w:hAnsi="Verdana" w:cs="Arial"/>
                <w:bCs/>
                <w:lang w:val="es-ES_tradnl" w:eastAsia="es-ES"/>
              </w:rPr>
              <w:t>Exp</w:t>
            </w:r>
            <w:proofErr w:type="spellEnd"/>
            <w:r w:rsidRPr="00211C02">
              <w:rPr>
                <w:rFonts w:ascii="Verdana" w:hAnsi="Verdana" w:cs="Arial"/>
                <w:bCs/>
                <w:lang w:val="es-ES_tradnl" w:eastAsia="es-ES"/>
              </w:rPr>
              <w:t>. 62009. C.P. Jaime Enrique Rodríguez Navas.</w:t>
            </w:r>
          </w:p>
          <w:p w14:paraId="53F588D1" w14:textId="77777777" w:rsidR="003C4EF9" w:rsidRPr="007D1216" w:rsidRDefault="003C4EF9" w:rsidP="003C4EF9">
            <w:pPr>
              <w:pStyle w:val="Prrafodelista"/>
              <w:numPr>
                <w:ilvl w:val="0"/>
                <w:numId w:val="3"/>
              </w:numPr>
              <w:jc w:val="both"/>
              <w:rPr>
                <w:rFonts w:ascii="Verdana" w:hAnsi="Verdana"/>
              </w:rPr>
            </w:pPr>
            <w:r w:rsidRPr="002E0D9B">
              <w:rPr>
                <w:rFonts w:ascii="Verdana" w:hAnsi="Verdana" w:cs="Arial"/>
                <w:bCs/>
                <w:lang w:val="es-ES_tradnl" w:eastAsia="es-ES"/>
              </w:rPr>
              <w:t>Concepto C-452 de 2025 Colombia Compra Eficiente</w:t>
            </w:r>
          </w:p>
        </w:tc>
      </w:tr>
    </w:tbl>
    <w:p w14:paraId="32EFAA8E" w14:textId="77777777" w:rsidR="003C4EF9" w:rsidRPr="00606FF7" w:rsidRDefault="003C4EF9" w:rsidP="003C4EF9">
      <w:pPr>
        <w:spacing w:after="0" w:line="276" w:lineRule="auto"/>
        <w:jc w:val="both"/>
        <w:rPr>
          <w:rFonts w:ascii="Verdana" w:hAnsi="Verdana" w:cs="Arial"/>
          <w:color w:val="000000"/>
          <w:lang w:eastAsia="es-ES"/>
        </w:rPr>
      </w:pPr>
    </w:p>
    <w:p w14:paraId="2F6EE081" w14:textId="77777777" w:rsidR="003C4EF9" w:rsidRPr="00593914" w:rsidRDefault="003C4EF9" w:rsidP="003C4EF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4BA78350" w14:textId="77777777" w:rsidR="003C4EF9" w:rsidRPr="00606FF7" w:rsidRDefault="003C4EF9" w:rsidP="003C4EF9">
      <w:pPr>
        <w:widowControl w:val="0"/>
        <w:autoSpaceDE w:val="0"/>
        <w:autoSpaceDN w:val="0"/>
        <w:spacing w:after="0" w:line="276" w:lineRule="auto"/>
        <w:jc w:val="both"/>
        <w:rPr>
          <w:rFonts w:ascii="Verdana" w:hAnsi="Verdana" w:cs="Arial"/>
        </w:rPr>
      </w:pPr>
    </w:p>
    <w:p w14:paraId="746574B8" w14:textId="77777777" w:rsidR="003C4EF9" w:rsidRDefault="003C4EF9" w:rsidP="003C4EF9">
      <w:pPr>
        <w:widowControl w:val="0"/>
        <w:autoSpaceDE w:val="0"/>
        <w:autoSpaceDN w:val="0"/>
        <w:spacing w:after="0" w:line="276" w:lineRule="auto"/>
        <w:jc w:val="both"/>
        <w:rPr>
          <w:rFonts w:ascii="Verdana" w:hAnsi="Verdana"/>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obre las garantías en la contratación estatal en los conceptos 2201913000009075 del 9 de diciembre de 2019, C-080 del 8 de abril de 2021, C-525 del 24 de septiembre de 2021, C-584 del 26 de septiembre de 2022 y C-066 del 21 de abril de 2024, entre otros. También se ha pronunciado sobre la liquidación de los contratos estatales en los conceptos 4201912000004908 del 27 de septiembre de 2019, CU-028 de 25 de febrero de 2020, C-221 de 21 de abril de 2020, C-078 del 17 de marzo de 2021, C-220 del 18 de mayo de 2021, C-548 del 5 de octubre de 2021 y C-739 del 29 de noviembre de 2022, C-144 del 9 de julio de 2024 y C-129 del 29 de julio de 2024, C-335 del 26 de agosto de 2024</w:t>
      </w:r>
      <w:r w:rsidRPr="00E87EA6">
        <w:rPr>
          <w:rFonts w:ascii="Verdana" w:eastAsia="Calibri" w:hAnsi="Verdana" w:cs="Arial"/>
          <w:shd w:val="clear" w:color="auto" w:fill="FFFFFF"/>
          <w:lang w:val="es-ES_tradnl"/>
        </w:rPr>
        <w:t>,</w:t>
      </w:r>
      <w:r>
        <w:rPr>
          <w:rFonts w:ascii="Verdana" w:eastAsia="Calibri" w:hAnsi="Verdana" w:cs="Arial"/>
          <w:shd w:val="clear" w:color="auto" w:fill="FFFFFF"/>
          <w:lang w:val="es-ES_tradnl"/>
        </w:rPr>
        <w:t xml:space="preserve"> Concepto C-078 de 2025, C-330 del 24 de abril de 2025,</w:t>
      </w:r>
      <w:r w:rsidRPr="00E87EA6">
        <w:rPr>
          <w:rFonts w:ascii="Verdana" w:eastAsia="Calibri" w:hAnsi="Verdana" w:cs="Arial"/>
          <w:shd w:val="clear" w:color="auto" w:fill="FFFFFF"/>
          <w:lang w:val="es-ES_tradnl"/>
        </w:rPr>
        <w:t xml:space="preserve"> </w:t>
      </w:r>
      <w:r w:rsidRPr="00E87EA6">
        <w:rPr>
          <w:rFonts w:ascii="Verdana" w:eastAsia="Calibri" w:hAnsi="Verdana" w:cs="Arial"/>
          <w:shd w:val="clear" w:color="auto" w:fill="FFFFFF"/>
          <w:lang w:val="es-ES"/>
        </w:rPr>
        <w:t>entre otros</w:t>
      </w:r>
      <w:r w:rsidRPr="00E87EA6">
        <w:rPr>
          <w:rFonts w:ascii="Verdana" w:eastAsia="Calibri" w:hAnsi="Verdana" w:cs="Arial"/>
          <w:lang w:val="es-ES" w:eastAsia="es-ES_tradnl"/>
        </w:rPr>
        <w:t>.</w:t>
      </w:r>
      <w:r w:rsidRPr="00E87EA6">
        <w:rPr>
          <w:rFonts w:ascii="Verdana" w:eastAsia="Calibri" w:hAnsi="Verdana" w:cs="Arial"/>
          <w:lang w:eastAsia="es-ES_tradnl"/>
        </w:rPr>
        <w:t xml:space="preserve"> </w:t>
      </w:r>
      <w:r w:rsidRPr="00606FF7">
        <w:rPr>
          <w:rStyle w:val="normaltextrun"/>
          <w:rFonts w:ascii="Verdana" w:hAnsi="Verdana" w:cs="Arial"/>
          <w:shd w:val="clear" w:color="auto" w:fill="FFFFFF"/>
          <w:lang w:val="es-ES"/>
        </w:rPr>
        <w:t>Es</w:t>
      </w:r>
      <w:r w:rsidRPr="00606FF7">
        <w:rPr>
          <w:rFonts w:ascii="Verdana" w:hAnsi="Verdana"/>
        </w:rPr>
        <w:t>tos y otros conceptos se encuentran disponibles para consulta en el Sistema de relatoría de la Agencia, al cual se puede acceder a través del siguiente enlace:</w:t>
      </w:r>
    </w:p>
    <w:p w14:paraId="733B9CD2" w14:textId="77777777" w:rsidR="003C4EF9" w:rsidRDefault="003C4EF9" w:rsidP="003C4EF9">
      <w:pPr>
        <w:widowControl w:val="0"/>
        <w:autoSpaceDE w:val="0"/>
        <w:autoSpaceDN w:val="0"/>
        <w:spacing w:after="0" w:line="276" w:lineRule="auto"/>
        <w:jc w:val="both"/>
        <w:rPr>
          <w:rFonts w:ascii="Verdana" w:hAnsi="Verdana"/>
        </w:rPr>
      </w:pPr>
    </w:p>
    <w:p w14:paraId="50FC065F" w14:textId="77777777" w:rsidR="003C4EF9" w:rsidRPr="00606FF7" w:rsidRDefault="003C4EF9" w:rsidP="003C4EF9">
      <w:pPr>
        <w:widowControl w:val="0"/>
        <w:autoSpaceDE w:val="0"/>
        <w:autoSpaceDN w:val="0"/>
        <w:spacing w:after="0" w:line="276" w:lineRule="auto"/>
        <w:jc w:val="both"/>
        <w:rPr>
          <w:rStyle w:val="normaltextrun"/>
          <w:rFonts w:ascii="Verdana" w:hAnsi="Verdana" w:cs="Arial"/>
          <w:color w:val="FF0000"/>
          <w:shd w:val="clear" w:color="auto" w:fill="FFFFFF"/>
          <w:lang w:val="es-ES"/>
        </w:rPr>
      </w:pPr>
      <w:hyperlink r:id="rId14" w:history="1">
        <w:r w:rsidRPr="00606FF7">
          <w:rPr>
            <w:rStyle w:val="Hipervnculo"/>
            <w:rFonts w:ascii="Verdana" w:hAnsi="Verdana" w:cs="Arial"/>
            <w:shd w:val="clear" w:color="auto" w:fill="FFFFFF"/>
            <w:lang w:val="es-ES"/>
          </w:rPr>
          <w:t>https://relatoria.colombiacompra.gov.co/busqueda/conceptos</w:t>
        </w:r>
      </w:hyperlink>
    </w:p>
    <w:p w14:paraId="6F8D3B82" w14:textId="77777777" w:rsidR="003C4EF9" w:rsidRPr="00606FF7" w:rsidRDefault="003C4EF9" w:rsidP="003C4EF9">
      <w:pPr>
        <w:spacing w:after="0" w:line="276" w:lineRule="auto"/>
        <w:jc w:val="both"/>
        <w:rPr>
          <w:rFonts w:ascii="Verdana" w:hAnsi="Verdana"/>
        </w:rPr>
      </w:pPr>
    </w:p>
    <w:p w14:paraId="1830D1A1" w14:textId="77777777" w:rsidR="003C4EF9" w:rsidRPr="00E3533A" w:rsidRDefault="003C4EF9" w:rsidP="003C4EF9">
      <w:pPr>
        <w:spacing w:after="0" w:line="256" w:lineRule="auto"/>
        <w:jc w:val="both"/>
        <w:rPr>
          <w:rFonts w:ascii="Verdana" w:eastAsia="Calibri" w:hAnsi="Verdana" w:cs="Times New Roman"/>
        </w:rPr>
      </w:pPr>
      <w:r w:rsidRPr="00E3533A">
        <w:rPr>
          <w:rFonts w:ascii="Verdana" w:eastAsia="Calibri" w:hAnsi="Verdana" w:cs="Times New Roman"/>
        </w:rPr>
        <w:lastRenderedPageBreak/>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3E6DA71" w14:textId="77777777" w:rsidR="003C4EF9" w:rsidRDefault="003C4EF9" w:rsidP="003C4EF9">
      <w:pPr>
        <w:widowControl w:val="0"/>
        <w:autoSpaceDE w:val="0"/>
        <w:autoSpaceDN w:val="0"/>
        <w:spacing w:after="0" w:line="276" w:lineRule="auto"/>
        <w:jc w:val="both"/>
        <w:rPr>
          <w:rFonts w:ascii="Verdana" w:hAnsi="Verdana" w:cs="Arial"/>
        </w:rPr>
      </w:pPr>
    </w:p>
    <w:p w14:paraId="6A56E96E" w14:textId="77777777" w:rsidR="003C4EF9" w:rsidRPr="00116940" w:rsidRDefault="003C4EF9" w:rsidP="003C4EF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3460CA3" w14:textId="77777777" w:rsidR="003C4EF9" w:rsidRPr="00116940" w:rsidRDefault="003C4EF9" w:rsidP="003C4EF9">
      <w:pPr>
        <w:spacing w:after="0"/>
        <w:jc w:val="both"/>
        <w:rPr>
          <w:rFonts w:ascii="Verdana" w:hAnsi="Verdana"/>
        </w:rPr>
      </w:pPr>
    </w:p>
    <w:p w14:paraId="515F7D5D" w14:textId="77777777" w:rsidR="003C4EF9" w:rsidRPr="00116940" w:rsidRDefault="003C4EF9" w:rsidP="003C4EF9">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75942CF" w14:textId="77777777" w:rsidR="003C4EF9" w:rsidRPr="00116940" w:rsidRDefault="003C4EF9" w:rsidP="003C4EF9">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664D9DE" w14:textId="77777777" w:rsidR="003C4EF9" w:rsidRPr="00116940" w:rsidRDefault="003C4EF9" w:rsidP="003C4EF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3606C4E2" w14:textId="77777777" w:rsidR="003C4EF9" w:rsidRPr="00116940" w:rsidRDefault="003C4EF9" w:rsidP="003C4EF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3CBBE486" w14:textId="77777777" w:rsidR="003C4EF9" w:rsidRPr="00116940" w:rsidRDefault="003C4EF9" w:rsidP="003C4EF9">
      <w:pPr>
        <w:spacing w:after="0" w:line="240" w:lineRule="auto"/>
        <w:ind w:left="720"/>
        <w:jc w:val="both"/>
        <w:rPr>
          <w:rFonts w:ascii="Verdana" w:hAnsi="Verdana"/>
        </w:rPr>
      </w:pPr>
    </w:p>
    <w:p w14:paraId="0F3ABB07" w14:textId="77777777" w:rsidR="003C4EF9" w:rsidRPr="00116940" w:rsidRDefault="003C4EF9" w:rsidP="003C4EF9">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B25C6EB" w14:textId="77777777" w:rsidR="003C4EF9" w:rsidRPr="00116940" w:rsidRDefault="003C4EF9" w:rsidP="003C4EF9">
      <w:pPr>
        <w:spacing w:after="0" w:line="240" w:lineRule="auto"/>
        <w:rPr>
          <w:rFonts w:ascii="Verdana" w:hAnsi="Verdana"/>
        </w:rPr>
      </w:pPr>
    </w:p>
    <w:p w14:paraId="534D1B3C" w14:textId="77777777" w:rsidR="003C4EF9" w:rsidRPr="00116940" w:rsidRDefault="003C4EF9" w:rsidP="003C4EF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01A9BEC" w14:textId="77777777" w:rsidR="003C4EF9" w:rsidRPr="00116940" w:rsidRDefault="003C4EF9" w:rsidP="003C4EF9">
      <w:pPr>
        <w:spacing w:after="0" w:line="240" w:lineRule="auto"/>
        <w:jc w:val="both"/>
        <w:rPr>
          <w:rFonts w:ascii="Verdana" w:hAnsi="Verdana"/>
        </w:rPr>
      </w:pPr>
    </w:p>
    <w:p w14:paraId="27DC7F62" w14:textId="77777777" w:rsidR="003C4EF9" w:rsidRPr="00116940" w:rsidRDefault="003C4EF9" w:rsidP="003C4EF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10F937D" w14:textId="77777777" w:rsidR="003C4EF9" w:rsidRPr="00116940" w:rsidRDefault="003C4EF9" w:rsidP="003C4EF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D9A07C9" w14:textId="77777777" w:rsidR="003C4EF9" w:rsidRPr="00116940" w:rsidRDefault="003C4EF9" w:rsidP="003C4EF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929A101" w14:textId="77777777" w:rsidR="003C4EF9" w:rsidRPr="00116940" w:rsidRDefault="003C4EF9" w:rsidP="003C4EF9">
      <w:pPr>
        <w:spacing w:after="0" w:line="240" w:lineRule="auto"/>
        <w:jc w:val="both"/>
        <w:rPr>
          <w:rFonts w:ascii="Verdana" w:hAnsi="Verdana"/>
        </w:rPr>
      </w:pPr>
    </w:p>
    <w:p w14:paraId="4D128E49" w14:textId="77777777" w:rsidR="003C4EF9" w:rsidRPr="00593A5F" w:rsidRDefault="003C4EF9" w:rsidP="003C4EF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expresiones aquí utilizadas con mayúscula inicial deben ser entendidas con el </w:t>
      </w:r>
      <w:r w:rsidRPr="00593A5F">
        <w:rPr>
          <w:rFonts w:ascii="Verdana" w:hAnsi="Verdana" w:cs="Arial"/>
          <w:lang w:val="es-ES_tradnl"/>
        </w:rPr>
        <w:lastRenderedPageBreak/>
        <w:t>significado que les otorga el artículo 2.2.1.1.1.3.1. del Decreto 1082 de 2015.</w:t>
      </w:r>
    </w:p>
    <w:p w14:paraId="5BE96826" w14:textId="77777777" w:rsidR="003C4EF9" w:rsidRPr="00606FF7" w:rsidRDefault="003C4EF9" w:rsidP="003C4EF9">
      <w:pPr>
        <w:spacing w:after="0" w:line="276" w:lineRule="auto"/>
        <w:jc w:val="both"/>
        <w:rPr>
          <w:rFonts w:ascii="Verdana" w:hAnsi="Verdana"/>
          <w:lang w:val="es-ES_tradnl"/>
        </w:rPr>
      </w:pPr>
    </w:p>
    <w:p w14:paraId="244D6DA5" w14:textId="77777777" w:rsidR="003C4EF9" w:rsidRPr="00606FF7" w:rsidRDefault="003C4EF9" w:rsidP="003C4EF9">
      <w:pPr>
        <w:spacing w:after="0" w:line="276" w:lineRule="auto"/>
        <w:jc w:val="both"/>
        <w:rPr>
          <w:rFonts w:ascii="Verdana" w:hAnsi="Verdana"/>
          <w:lang w:val="es-MX"/>
        </w:rPr>
      </w:pPr>
      <w:r w:rsidRPr="00606FF7">
        <w:rPr>
          <w:rFonts w:ascii="Verdana" w:hAnsi="Verdana"/>
          <w:lang w:val="es-MX"/>
        </w:rPr>
        <w:t>Cordialmente,</w:t>
      </w:r>
    </w:p>
    <w:p w14:paraId="497425BD" w14:textId="77777777" w:rsidR="003C4EF9" w:rsidRDefault="003C4EF9" w:rsidP="003C4EF9">
      <w:pPr>
        <w:spacing w:after="0" w:line="240" w:lineRule="auto"/>
        <w:jc w:val="center"/>
        <w:rPr>
          <w:rFonts w:ascii="Verdana" w:hAnsi="Verdana"/>
          <w:b/>
          <w:lang w:val="es-MX"/>
        </w:rPr>
      </w:pPr>
    </w:p>
    <w:p w14:paraId="07D8927D" w14:textId="4D10FE18" w:rsidR="003C4EF9" w:rsidRDefault="003C4EF9" w:rsidP="003C4EF9">
      <w:pPr>
        <w:spacing w:after="0" w:line="240" w:lineRule="auto"/>
        <w:rPr>
          <w:noProof/>
        </w:rPr>
      </w:pPr>
    </w:p>
    <w:p w14:paraId="2B1D7CF4" w14:textId="248B35E0" w:rsidR="00B9192B" w:rsidRDefault="0020477E" w:rsidP="003C4EF9">
      <w:pPr>
        <w:spacing w:after="0" w:line="240" w:lineRule="auto"/>
        <w:rPr>
          <w:noProof/>
        </w:rPr>
      </w:pPr>
      <w:r w:rsidRPr="0020477E">
        <w:rPr>
          <w:noProof/>
        </w:rPr>
        <w:drawing>
          <wp:inline distT="0" distB="0" distL="0" distR="0" wp14:anchorId="0F52BA17" wp14:editId="13146F56">
            <wp:extent cx="3451491" cy="1293040"/>
            <wp:effectExtent l="0" t="0" r="0" b="2540"/>
            <wp:docPr id="1599884751"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884751" name="Imagen 2" descr="Texto, Carta&#10;&#10;El contenido generado por IA puede ser incorrec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62917" cy="129732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4EF9" w:rsidRPr="00E3533A" w14:paraId="512FB8F4" w14:textId="77777777" w:rsidTr="005B6068">
        <w:trPr>
          <w:trHeight w:val="315"/>
        </w:trPr>
        <w:tc>
          <w:tcPr>
            <w:tcW w:w="893" w:type="dxa"/>
            <w:vAlign w:val="center"/>
            <w:hideMark/>
          </w:tcPr>
          <w:p w14:paraId="1A787C2F" w14:textId="77777777" w:rsidR="003C4EF9" w:rsidRPr="00E3533A" w:rsidRDefault="003C4EF9" w:rsidP="005B6068">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B40E873" w14:textId="77777777" w:rsidR="003C4EF9" w:rsidRPr="00E3533A" w:rsidRDefault="003C4EF9" w:rsidP="005B6068">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2422414C" w14:textId="77777777" w:rsidR="003C4EF9" w:rsidRPr="00E3533A" w:rsidRDefault="003C4EF9" w:rsidP="005B6068">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3C4EF9" w:rsidRPr="00E3533A" w14:paraId="6651DDA4" w14:textId="77777777" w:rsidTr="005B6068">
        <w:trPr>
          <w:trHeight w:val="330"/>
        </w:trPr>
        <w:tc>
          <w:tcPr>
            <w:tcW w:w="893" w:type="dxa"/>
            <w:vAlign w:val="center"/>
            <w:hideMark/>
          </w:tcPr>
          <w:p w14:paraId="2ED75942" w14:textId="77777777" w:rsidR="003C4EF9" w:rsidRPr="00E3533A" w:rsidRDefault="003C4EF9" w:rsidP="005B6068">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88130B" w14:textId="77777777" w:rsidR="003C4EF9" w:rsidRPr="002B5C7D" w:rsidRDefault="003C4EF9" w:rsidP="005B6068">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7D4F4D35" w14:textId="77777777" w:rsidR="003C4EF9" w:rsidRPr="00E3533A" w:rsidRDefault="003C4EF9" w:rsidP="005B6068">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3C4EF9" w:rsidRPr="00E3533A" w14:paraId="5024121A" w14:textId="77777777" w:rsidTr="005B6068">
        <w:trPr>
          <w:trHeight w:val="300"/>
        </w:trPr>
        <w:tc>
          <w:tcPr>
            <w:tcW w:w="893" w:type="dxa"/>
            <w:vAlign w:val="center"/>
          </w:tcPr>
          <w:p w14:paraId="6DB0D24A" w14:textId="77777777" w:rsidR="003C4EF9" w:rsidRPr="00E3533A" w:rsidRDefault="003C4EF9" w:rsidP="005B6068">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80486F" w14:textId="77777777" w:rsidR="003C4EF9" w:rsidRPr="00E3533A" w:rsidRDefault="003C4EF9" w:rsidP="005B6068">
            <w:pPr>
              <w:contextualSpacing/>
              <w:rPr>
                <w:rFonts w:ascii="Verdana" w:eastAsia="Calibri" w:hAnsi="Verdana" w:cs="Arial"/>
                <w:sz w:val="16"/>
                <w:szCs w:val="16"/>
                <w:lang w:eastAsia="es-ES"/>
              </w:rPr>
            </w:pPr>
            <w:r>
              <w:rPr>
                <w:rFonts w:ascii="Verdana" w:eastAsia="Calibri" w:hAnsi="Verdana" w:cs="Arial"/>
                <w:sz w:val="16"/>
                <w:szCs w:val="16"/>
                <w:lang w:eastAsia="es-ES"/>
              </w:rPr>
              <w:t>Ana María Tolosa Rico</w:t>
            </w:r>
          </w:p>
          <w:p w14:paraId="5B67A55C" w14:textId="77777777" w:rsidR="003C4EF9" w:rsidRDefault="003C4EF9" w:rsidP="005B6068">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Secretaria General </w:t>
            </w:r>
            <w:r w:rsidRPr="00E3533A">
              <w:rPr>
                <w:rFonts w:ascii="Verdana" w:eastAsia="Calibri" w:hAnsi="Verdana" w:cs="Arial"/>
                <w:sz w:val="16"/>
                <w:szCs w:val="16"/>
                <w:lang w:eastAsia="es-ES"/>
              </w:rPr>
              <w:t>ANCP – CCE</w:t>
            </w:r>
          </w:p>
          <w:p w14:paraId="323FAEDD" w14:textId="77777777" w:rsidR="003C4EF9" w:rsidRPr="00E3533A" w:rsidRDefault="003C4EF9" w:rsidP="005B6068">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r>
              <w:rPr>
                <w:rFonts w:ascii="Verdana" w:eastAsia="Calibri" w:hAnsi="Verdana" w:cs="Arial"/>
                <w:sz w:val="16"/>
                <w:szCs w:val="16"/>
                <w:lang w:eastAsia="es-ES"/>
              </w:rPr>
              <w:t xml:space="preserve"> [EE]</w:t>
            </w:r>
          </w:p>
        </w:tc>
      </w:tr>
    </w:tbl>
    <w:p w14:paraId="12D743AB" w14:textId="77777777" w:rsidR="003C4EF9" w:rsidRPr="00E3533A" w:rsidRDefault="003C4EF9" w:rsidP="003C4EF9">
      <w:pPr>
        <w:spacing w:after="0"/>
        <w:rPr>
          <w:rFonts w:ascii="Verdana" w:hAnsi="Verdana"/>
        </w:rPr>
      </w:pPr>
    </w:p>
    <w:p w14:paraId="674BB0E4" w14:textId="77777777" w:rsidR="003C4EF9" w:rsidRPr="00FB7971" w:rsidRDefault="003C4EF9" w:rsidP="003C4EF9"/>
    <w:p w14:paraId="5DCDF664" w14:textId="77777777" w:rsidR="003C4EF9" w:rsidRPr="00214248" w:rsidRDefault="003C4EF9" w:rsidP="003C4EF9"/>
    <w:p w14:paraId="417232D2" w14:textId="77777777" w:rsidR="003C4EF9" w:rsidRPr="0044528D" w:rsidRDefault="003C4EF9" w:rsidP="003C4EF9">
      <w:pPr>
        <w:spacing w:after="0"/>
        <w:jc w:val="both"/>
        <w:rPr>
          <w:rStyle w:val="Hipervnculo"/>
          <w:rFonts w:ascii="Verdana" w:hAnsi="Verdana"/>
        </w:rPr>
      </w:pPr>
    </w:p>
    <w:p w14:paraId="5514699F" w14:textId="77777777" w:rsidR="003C4EF9" w:rsidRPr="0044528D" w:rsidRDefault="003C4EF9" w:rsidP="003C4EF9">
      <w:pPr>
        <w:spacing w:after="0"/>
        <w:jc w:val="both"/>
        <w:rPr>
          <w:rStyle w:val="Hipervnculo"/>
          <w:rFonts w:ascii="Verdana" w:hAnsi="Verdana"/>
        </w:rPr>
      </w:pPr>
    </w:p>
    <w:p w14:paraId="0B24CF9B" w14:textId="77777777" w:rsidR="003C4EF9" w:rsidRPr="0044528D" w:rsidRDefault="003C4EF9" w:rsidP="003C4EF9">
      <w:pPr>
        <w:spacing w:after="0"/>
        <w:jc w:val="both"/>
        <w:rPr>
          <w:rStyle w:val="Hipervnculo"/>
          <w:rFonts w:ascii="Verdana" w:hAnsi="Verdana"/>
        </w:rPr>
      </w:pPr>
    </w:p>
    <w:p w14:paraId="1E3D34CB" w14:textId="77777777" w:rsidR="003C4EF9" w:rsidRPr="0044528D" w:rsidRDefault="003C4EF9" w:rsidP="003C4EF9">
      <w:pPr>
        <w:spacing w:after="0"/>
        <w:jc w:val="both"/>
        <w:rPr>
          <w:rStyle w:val="Hipervnculo"/>
          <w:rFonts w:ascii="Verdana" w:hAnsi="Verdana"/>
        </w:rPr>
      </w:pPr>
    </w:p>
    <w:bookmarkEnd w:id="0"/>
    <w:p w14:paraId="2D1F0E2A" w14:textId="77777777" w:rsidR="003C4EF9" w:rsidRPr="0044528D" w:rsidRDefault="003C4EF9" w:rsidP="003C4EF9">
      <w:pPr>
        <w:spacing w:after="0" w:line="240" w:lineRule="auto"/>
        <w:textAlignment w:val="baseline"/>
        <w:rPr>
          <w:rFonts w:ascii="Verdana" w:eastAsia="Times New Roman" w:hAnsi="Verdana" w:cs="Segoe UI"/>
          <w:b/>
          <w:bCs/>
          <w:color w:val="46589C"/>
          <w:lang w:val="es-ES" w:eastAsia="es-CO"/>
        </w:rPr>
      </w:pPr>
    </w:p>
    <w:p w14:paraId="1B6F2080" w14:textId="77777777" w:rsidR="003C4EF9" w:rsidRPr="0085664B" w:rsidRDefault="003C4EF9" w:rsidP="003C4EF9">
      <w:pPr>
        <w:rPr>
          <w:rStyle w:val="Hipervnculo"/>
          <w:lang w:val="es-ES"/>
        </w:rPr>
      </w:pPr>
    </w:p>
    <w:p w14:paraId="113E8DAB" w14:textId="77777777" w:rsidR="003C4EF9" w:rsidRPr="008C14B2" w:rsidRDefault="003C4EF9" w:rsidP="003C4EF9"/>
    <w:p w14:paraId="27CD9152" w14:textId="77777777" w:rsidR="003C4EF9" w:rsidRPr="00CB26C5" w:rsidRDefault="003C4EF9" w:rsidP="003C4EF9"/>
    <w:p w14:paraId="73DDEFBE" w14:textId="77777777" w:rsidR="00C24FFE" w:rsidRPr="003C4EF9" w:rsidRDefault="00C24FFE" w:rsidP="003C4EF9"/>
    <w:sectPr w:rsidR="00C24FFE" w:rsidRPr="003C4EF9" w:rsidSect="003C4EF9">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6367E" w14:textId="77777777" w:rsidR="003246FA" w:rsidRDefault="003246FA" w:rsidP="003C4EF9">
      <w:pPr>
        <w:spacing w:after="0" w:line="240" w:lineRule="auto"/>
      </w:pPr>
      <w:r>
        <w:separator/>
      </w:r>
    </w:p>
  </w:endnote>
  <w:endnote w:type="continuationSeparator" w:id="0">
    <w:p w14:paraId="311008DE" w14:textId="77777777" w:rsidR="003246FA" w:rsidRDefault="003246FA" w:rsidP="003C4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A6EA5" w14:textId="77777777" w:rsidR="003C4EF9" w:rsidRDefault="003C4EF9">
    <w:pPr>
      <w:pStyle w:val="Piedepgina"/>
    </w:pPr>
  </w:p>
  <w:p w14:paraId="61437A91" w14:textId="77777777" w:rsidR="003C4EF9" w:rsidRPr="00174B77" w:rsidRDefault="003C4EF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4C20994" w14:textId="77777777" w:rsidR="003C4EF9" w:rsidRDefault="003C4EF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2F66B1A" w14:textId="77777777" w:rsidR="003C4EF9" w:rsidRPr="00E41027" w:rsidRDefault="003C4EF9" w:rsidP="00D520D8">
    <w:pPr>
      <w:spacing w:after="0"/>
      <w:jc w:val="both"/>
      <w:rPr>
        <w:rFonts w:ascii="Verdana" w:hAnsi="Verdana"/>
        <w:sz w:val="18"/>
        <w:szCs w:val="18"/>
      </w:rPr>
    </w:pPr>
    <w:r w:rsidRPr="00E41027">
      <w:rPr>
        <w:rFonts w:ascii="Verdana" w:hAnsi="Verdana"/>
        <w:sz w:val="18"/>
        <w:szCs w:val="18"/>
      </w:rPr>
      <w:t>Mesa de servicio: (+57) 601 7456788</w:t>
    </w:r>
  </w:p>
  <w:p w14:paraId="5277937E" w14:textId="77777777" w:rsidR="003C4EF9" w:rsidRPr="00ED3306" w:rsidRDefault="003C4EF9" w:rsidP="356CEDFD">
    <w:pPr>
      <w:pBdr>
        <w:top w:val="nil"/>
        <w:left w:val="nil"/>
        <w:bottom w:val="nil"/>
        <w:right w:val="nil"/>
        <w:between w:val="nil"/>
      </w:pBdr>
      <w:tabs>
        <w:tab w:val="center" w:pos="4419"/>
        <w:tab w:val="right" w:pos="8838"/>
        <w:tab w:val="center" w:pos="5400"/>
      </w:tabs>
      <w:spacing w:after="0"/>
      <w:jc w:val="right"/>
      <w:rPr>
        <w:lang w:val="pt-BR"/>
      </w:rPr>
    </w:pPr>
    <w:r w:rsidRPr="00ED3306">
      <w:rPr>
        <w:rFonts w:ascii="Century Gothic" w:eastAsia="Geo" w:hAnsi="Century Gothic" w:cs="Geo"/>
        <w:b/>
        <w:bCs/>
        <w:color w:val="000000" w:themeColor="text1"/>
        <w:sz w:val="16"/>
        <w:szCs w:val="16"/>
        <w:lang w:val="pt-BR" w:eastAsia="es-CO"/>
      </w:rPr>
      <w:t xml:space="preserve">Código: </w:t>
    </w:r>
    <w:r w:rsidRPr="00ED3306">
      <w:rPr>
        <w:rFonts w:ascii="Century Gothic" w:eastAsia="Geo" w:hAnsi="Century Gothic" w:cs="Geo"/>
        <w:color w:val="000000" w:themeColor="text1"/>
        <w:sz w:val="16"/>
        <w:szCs w:val="16"/>
        <w:lang w:val="pt-BR" w:eastAsia="es-CO"/>
      </w:rPr>
      <w:t xml:space="preserve">CCE-REC-FM-17 </w:t>
    </w:r>
    <w:r w:rsidRPr="00ED3306">
      <w:rPr>
        <w:rFonts w:ascii="Century Gothic" w:eastAsia="Geo" w:hAnsi="Century Gothic" w:cs="Geo"/>
        <w:b/>
        <w:bCs/>
        <w:color w:val="000000" w:themeColor="text1"/>
        <w:sz w:val="16"/>
        <w:szCs w:val="16"/>
        <w:lang w:val="pt-BR" w:eastAsia="es-CO"/>
      </w:rPr>
      <w:t>V</w:t>
    </w:r>
    <w:r w:rsidRPr="00ED3306">
      <w:rPr>
        <w:rFonts w:ascii="Century Gothic" w:eastAsia="Arial Nova" w:hAnsi="Century Gothic" w:cs="Arial Nova"/>
        <w:b/>
        <w:bCs/>
        <w:color w:val="000000" w:themeColor="text1"/>
        <w:sz w:val="16"/>
        <w:szCs w:val="16"/>
        <w:lang w:val="pt-BR" w:eastAsia="es-CO"/>
      </w:rPr>
      <w:t xml:space="preserve">: </w:t>
    </w:r>
    <w:r w:rsidRPr="00ED3306">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8EF64" w14:textId="77777777" w:rsidR="003246FA" w:rsidRDefault="003246FA" w:rsidP="003C4EF9">
      <w:pPr>
        <w:spacing w:after="0" w:line="240" w:lineRule="auto"/>
      </w:pPr>
      <w:r>
        <w:separator/>
      </w:r>
    </w:p>
  </w:footnote>
  <w:footnote w:type="continuationSeparator" w:id="0">
    <w:p w14:paraId="07BF6F48" w14:textId="77777777" w:rsidR="003246FA" w:rsidRDefault="003246FA" w:rsidP="003C4EF9">
      <w:pPr>
        <w:spacing w:after="0" w:line="240" w:lineRule="auto"/>
      </w:pPr>
      <w:r>
        <w:continuationSeparator/>
      </w:r>
    </w:p>
  </w:footnote>
  <w:footnote w:id="1">
    <w:p w14:paraId="10EB3F5E" w14:textId="77777777" w:rsidR="003C4EF9" w:rsidRPr="00C04B54" w:rsidRDefault="003C4EF9" w:rsidP="003C4EF9">
      <w:pPr>
        <w:spacing w:after="0" w:line="240" w:lineRule="auto"/>
        <w:ind w:firstLine="709"/>
        <w:jc w:val="both"/>
        <w:rPr>
          <w:rFonts w:ascii="Verdana" w:hAnsi="Verdana" w:cs="Arial"/>
          <w:color w:val="000000"/>
          <w:sz w:val="14"/>
          <w:szCs w:val="14"/>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2BEAA6DB" w14:textId="77777777" w:rsidR="003C4EF9" w:rsidRPr="00C04B54" w:rsidRDefault="003C4EF9" w:rsidP="003C4EF9">
      <w:pPr>
        <w:spacing w:after="0" w:line="240" w:lineRule="auto"/>
        <w:ind w:firstLine="709"/>
        <w:jc w:val="both"/>
        <w:rPr>
          <w:rFonts w:ascii="Verdana" w:hAnsi="Verdana" w:cs="Arial"/>
          <w:color w:val="000000"/>
          <w:sz w:val="14"/>
          <w:szCs w:val="14"/>
        </w:rPr>
      </w:pPr>
    </w:p>
  </w:footnote>
  <w:footnote w:id="2">
    <w:p w14:paraId="640FF1C1" w14:textId="77777777" w:rsidR="003C4EF9" w:rsidRPr="00C04B54" w:rsidRDefault="003C4EF9" w:rsidP="003C4EF9">
      <w:pPr>
        <w:pStyle w:val="Textonotapie"/>
        <w:ind w:firstLine="709"/>
        <w:jc w:val="both"/>
        <w:rPr>
          <w:rFonts w:ascii="Verdana" w:hAnsi="Verdana" w:cs="Arial"/>
          <w:color w:val="000000"/>
          <w:sz w:val="14"/>
          <w:szCs w:val="14"/>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w:t>
      </w:r>
      <w:r w:rsidRPr="00C04B54">
        <w:rPr>
          <w:rFonts w:ascii="Verdana" w:hAnsi="Verdana" w:cs="Arial"/>
          <w:i/>
          <w:iCs/>
          <w:color w:val="000000"/>
          <w:sz w:val="14"/>
          <w:szCs w:val="14"/>
        </w:rPr>
        <w:t>Ibidem</w:t>
      </w:r>
      <w:r w:rsidRPr="00C04B54">
        <w:rPr>
          <w:rFonts w:ascii="Verdana" w:hAnsi="Verdana" w:cs="Arial"/>
          <w:color w:val="000000"/>
          <w:sz w:val="14"/>
          <w:szCs w:val="14"/>
        </w:rPr>
        <w:t>.</w:t>
      </w:r>
    </w:p>
    <w:p w14:paraId="52BA5CEB" w14:textId="77777777" w:rsidR="003C4EF9" w:rsidRPr="00C04B54" w:rsidRDefault="003C4EF9" w:rsidP="003C4EF9">
      <w:pPr>
        <w:pStyle w:val="Textonotapie"/>
        <w:ind w:firstLine="709"/>
        <w:jc w:val="both"/>
        <w:rPr>
          <w:rFonts w:ascii="Verdana" w:hAnsi="Verdana" w:cs="Arial"/>
          <w:color w:val="000000"/>
          <w:sz w:val="14"/>
          <w:szCs w:val="14"/>
        </w:rPr>
      </w:pPr>
    </w:p>
  </w:footnote>
  <w:footnote w:id="3">
    <w:p w14:paraId="528B7B1C" w14:textId="77777777" w:rsidR="003C4EF9" w:rsidRPr="00C04B54" w:rsidRDefault="003C4EF9" w:rsidP="003C4EF9">
      <w:pPr>
        <w:pStyle w:val="Textonotapie"/>
        <w:ind w:firstLine="709"/>
        <w:jc w:val="both"/>
        <w:rPr>
          <w:rFonts w:ascii="Verdana" w:hAnsi="Verdana" w:cs="Arial"/>
          <w:color w:val="000000"/>
          <w:sz w:val="14"/>
          <w:szCs w:val="14"/>
          <w:lang w:val="es-ES"/>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w:t>
      </w:r>
      <w:r w:rsidRPr="00C04B54">
        <w:rPr>
          <w:rFonts w:ascii="Verdana" w:hAnsi="Verdana" w:cs="Arial"/>
          <w:color w:val="000000"/>
          <w:sz w:val="14"/>
          <w:szCs w:val="14"/>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BFED5E9" w14:textId="77777777" w:rsidR="003C4EF9" w:rsidRPr="00C04B54" w:rsidRDefault="003C4EF9" w:rsidP="003C4EF9">
      <w:pPr>
        <w:pStyle w:val="Textonotapie"/>
        <w:ind w:firstLine="709"/>
        <w:jc w:val="both"/>
        <w:rPr>
          <w:rFonts w:ascii="Verdana" w:hAnsi="Verdana" w:cs="Arial"/>
          <w:color w:val="000000"/>
          <w:sz w:val="14"/>
          <w:szCs w:val="14"/>
          <w:lang w:val="es-ES"/>
        </w:rPr>
      </w:pPr>
      <w:r w:rsidRPr="00C04B54">
        <w:rPr>
          <w:rFonts w:ascii="Verdana" w:hAnsi="Verdana" w:cs="Arial"/>
          <w:color w:val="000000"/>
          <w:sz w:val="14"/>
          <w:szCs w:val="14"/>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0A612556" w14:textId="77777777" w:rsidR="003C4EF9" w:rsidRPr="00C04B54" w:rsidRDefault="003C4EF9" w:rsidP="003C4EF9">
      <w:pPr>
        <w:pStyle w:val="Textonotapie"/>
        <w:ind w:firstLine="709"/>
        <w:jc w:val="both"/>
        <w:rPr>
          <w:rFonts w:ascii="Verdana" w:hAnsi="Verdana" w:cs="Arial"/>
          <w:color w:val="000000"/>
          <w:sz w:val="14"/>
          <w:szCs w:val="14"/>
          <w:lang w:val="es-ES"/>
        </w:rPr>
      </w:pPr>
      <w:r w:rsidRPr="00C04B54">
        <w:rPr>
          <w:rFonts w:ascii="Verdana" w:hAnsi="Verdana" w:cs="Arial"/>
          <w:color w:val="000000"/>
          <w:sz w:val="14"/>
          <w:szCs w:val="14"/>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4BE217FA" w14:textId="77777777" w:rsidR="003C4EF9" w:rsidRPr="00C04B54" w:rsidRDefault="003C4EF9" w:rsidP="003C4EF9">
      <w:pPr>
        <w:pStyle w:val="Textonotapie"/>
        <w:ind w:firstLine="709"/>
        <w:jc w:val="both"/>
        <w:rPr>
          <w:rFonts w:ascii="Verdana" w:hAnsi="Verdana" w:cs="Arial"/>
          <w:color w:val="000000"/>
          <w:sz w:val="14"/>
          <w:szCs w:val="14"/>
          <w:lang w:val="es-ES"/>
        </w:rPr>
      </w:pPr>
      <w:r w:rsidRPr="00C04B54">
        <w:rPr>
          <w:rFonts w:ascii="Verdana" w:hAnsi="Verdana" w:cs="Arial"/>
          <w:color w:val="000000"/>
          <w:sz w:val="14"/>
          <w:szCs w:val="14"/>
          <w:lang w:val="es-ES"/>
        </w:rPr>
        <w:t>Los contratistas tendrán derecho a efectuar salvedades a la liquidación por mutuo acuerdo, y en este evento la liquidación unilateral solo procederá en relación con los aspectos que no hayan sido objeto de acuerdo”.</w:t>
      </w:r>
    </w:p>
  </w:footnote>
  <w:footnote w:id="4">
    <w:p w14:paraId="3BBEB374" w14:textId="77777777" w:rsidR="003C4EF9" w:rsidRPr="00C04B54" w:rsidRDefault="003C4EF9" w:rsidP="003C4EF9">
      <w:pPr>
        <w:pStyle w:val="Textonotapie"/>
        <w:ind w:firstLine="709"/>
        <w:jc w:val="both"/>
        <w:rPr>
          <w:rFonts w:ascii="Verdana" w:hAnsi="Verdana"/>
          <w:sz w:val="14"/>
          <w:szCs w:val="14"/>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COLOMBIA COMPRA EFICIENTE. Guía para la Liquidación de los Procesos de Contratación. página 5, disponible en: </w:t>
      </w:r>
      <w:hyperlink r:id="rId1" w:history="1">
        <w:r w:rsidRPr="00C04B54">
          <w:rPr>
            <w:rStyle w:val="Hipervnculo"/>
            <w:rFonts w:ascii="Verdana" w:hAnsi="Verdana" w:cs="Arial"/>
            <w:color w:val="000000"/>
            <w:sz w:val="14"/>
            <w:szCs w:val="14"/>
          </w:rPr>
          <w:t>https://www.colombiacompra.gov.co/sites/cce_public/files/cce_documents/cce_guia_liquidacion_procesos.pdf</w:t>
        </w:r>
      </w:hyperlink>
      <w:r w:rsidRPr="00C04B54">
        <w:rPr>
          <w:rFonts w:ascii="Verdana" w:hAnsi="Verdana"/>
          <w:sz w:val="14"/>
          <w:szCs w:val="14"/>
        </w:rPr>
        <w:t xml:space="preserve"> </w:t>
      </w:r>
    </w:p>
    <w:p w14:paraId="1DF7369E" w14:textId="77777777" w:rsidR="003C4EF9" w:rsidRPr="00C04B54" w:rsidRDefault="003C4EF9" w:rsidP="003C4EF9">
      <w:pPr>
        <w:pStyle w:val="Textonotapie"/>
        <w:ind w:firstLine="709"/>
        <w:jc w:val="both"/>
        <w:rPr>
          <w:rFonts w:ascii="Verdana" w:hAnsi="Verdana" w:cs="Arial"/>
          <w:color w:val="000000"/>
          <w:sz w:val="14"/>
          <w:szCs w:val="14"/>
          <w:lang w:val="es-ES"/>
        </w:rPr>
      </w:pPr>
      <w:r w:rsidRPr="00C04B54">
        <w:rPr>
          <w:rFonts w:ascii="Verdana" w:hAnsi="Verdana" w:cs="Arial"/>
          <w:color w:val="000000"/>
          <w:sz w:val="14"/>
          <w:szCs w:val="14"/>
        </w:rPr>
        <w:t xml:space="preserve"> </w:t>
      </w:r>
    </w:p>
  </w:footnote>
  <w:footnote w:id="5">
    <w:p w14:paraId="2FF71E32" w14:textId="77777777" w:rsidR="003C4EF9" w:rsidRPr="00C04B54" w:rsidRDefault="003C4EF9" w:rsidP="003C4EF9">
      <w:pPr>
        <w:pStyle w:val="Textonotapie"/>
        <w:ind w:firstLine="709"/>
        <w:jc w:val="both"/>
        <w:rPr>
          <w:rFonts w:ascii="Verdana" w:hAnsi="Verdana" w:cs="Arial"/>
          <w:color w:val="000000"/>
          <w:sz w:val="14"/>
          <w:szCs w:val="14"/>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6">
    <w:p w14:paraId="364E32FD" w14:textId="77777777" w:rsidR="003C4EF9" w:rsidRPr="00C04B54" w:rsidRDefault="003C4EF9" w:rsidP="003C4EF9">
      <w:pPr>
        <w:pStyle w:val="Textonotapie"/>
        <w:ind w:firstLine="709"/>
        <w:jc w:val="both"/>
        <w:rPr>
          <w:rFonts w:ascii="Verdana" w:hAnsi="Verdana" w:cs="Arial"/>
          <w:color w:val="000000"/>
          <w:sz w:val="14"/>
          <w:szCs w:val="14"/>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CONSEJO DE ESTADO. Sala de Consulta y Servicio Civil. Concepto de 28 de junio de 2016. Radicación: 2253. C.P. Álvaro Namén Vargas. </w:t>
      </w:r>
    </w:p>
    <w:p w14:paraId="7106F10B" w14:textId="77777777" w:rsidR="003C4EF9" w:rsidRPr="00C04B54" w:rsidRDefault="003C4EF9" w:rsidP="003C4EF9">
      <w:pPr>
        <w:pStyle w:val="Textonotapie"/>
        <w:ind w:firstLine="709"/>
        <w:jc w:val="both"/>
        <w:rPr>
          <w:rFonts w:ascii="Verdana" w:hAnsi="Verdana" w:cs="Arial"/>
          <w:color w:val="000000"/>
          <w:sz w:val="14"/>
          <w:szCs w:val="14"/>
        </w:rPr>
      </w:pPr>
    </w:p>
  </w:footnote>
  <w:footnote w:id="7">
    <w:p w14:paraId="325A2ABC" w14:textId="77777777" w:rsidR="003C4EF9" w:rsidRPr="00C04B54" w:rsidRDefault="003C4EF9" w:rsidP="003C4EF9">
      <w:pPr>
        <w:pStyle w:val="Textonotapie"/>
        <w:ind w:firstLine="709"/>
        <w:jc w:val="both"/>
        <w:rPr>
          <w:rFonts w:ascii="Verdana" w:hAnsi="Verdana" w:cs="Arial"/>
          <w:color w:val="000000"/>
          <w:sz w:val="14"/>
          <w:szCs w:val="14"/>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p w14:paraId="48262BF6" w14:textId="77777777" w:rsidR="003C4EF9" w:rsidRPr="00C04B54" w:rsidRDefault="003C4EF9" w:rsidP="003C4EF9">
      <w:pPr>
        <w:pStyle w:val="Textonotapie"/>
        <w:ind w:firstLine="709"/>
        <w:jc w:val="both"/>
        <w:rPr>
          <w:rFonts w:ascii="Verdana" w:hAnsi="Verdana" w:cs="Arial"/>
          <w:color w:val="000000"/>
          <w:sz w:val="14"/>
          <w:szCs w:val="14"/>
        </w:rPr>
      </w:pPr>
    </w:p>
  </w:footnote>
  <w:footnote w:id="8">
    <w:p w14:paraId="7B716903" w14:textId="77777777" w:rsidR="003C4EF9" w:rsidRPr="00F43830" w:rsidRDefault="003C4EF9" w:rsidP="003C4EF9">
      <w:pPr>
        <w:pStyle w:val="Textonotapie"/>
        <w:ind w:firstLine="709"/>
        <w:jc w:val="both"/>
        <w:rPr>
          <w:rFonts w:ascii="Verdana" w:hAnsi="Verdana" w:cs="Arial"/>
          <w:color w:val="000000"/>
          <w:sz w:val="14"/>
          <w:szCs w:val="14"/>
          <w:lang w:val="pt-BR"/>
        </w:rPr>
      </w:pPr>
      <w:r w:rsidRPr="00C04B54">
        <w:rPr>
          <w:rStyle w:val="Refdenotaalpie"/>
          <w:rFonts w:ascii="Verdana" w:hAnsi="Verdana" w:cs="Arial"/>
          <w:color w:val="000000"/>
          <w:sz w:val="14"/>
          <w:szCs w:val="14"/>
        </w:rPr>
        <w:footnoteRef/>
      </w:r>
      <w:r w:rsidRPr="00C04B54">
        <w:rPr>
          <w:rFonts w:ascii="Verdana" w:hAnsi="Verdana" w:cs="Arial"/>
          <w:color w:val="000000"/>
          <w:sz w:val="14"/>
          <w:szCs w:val="14"/>
        </w:rPr>
        <w:t xml:space="preserve"> CONSEJO DE ESTADO. Sección Tercera. </w:t>
      </w:r>
      <w:r w:rsidRPr="00C04B54">
        <w:rPr>
          <w:rFonts w:ascii="Verdana" w:hAnsi="Verdana" w:cs="Arial"/>
          <w:color w:val="000000"/>
          <w:sz w:val="14"/>
          <w:szCs w:val="14"/>
          <w:lang w:val="pt-BR"/>
        </w:rPr>
        <w:t xml:space="preserve">Sala Plena. Auto de 1 de agosto de 2019. </w:t>
      </w:r>
      <w:r w:rsidRPr="00F43830">
        <w:rPr>
          <w:rFonts w:ascii="Verdana" w:hAnsi="Verdana" w:cs="Arial"/>
          <w:color w:val="000000"/>
          <w:sz w:val="14"/>
          <w:szCs w:val="14"/>
          <w:lang w:val="pt-BR"/>
        </w:rPr>
        <w:t xml:space="preserve">Exp. 62009. C.P. Jaime Enrique Rodríguez Navas. </w:t>
      </w:r>
    </w:p>
  </w:footnote>
  <w:footnote w:id="9">
    <w:p w14:paraId="48D68077" w14:textId="77777777" w:rsidR="003C4EF9" w:rsidRPr="00F43830" w:rsidRDefault="003C4EF9" w:rsidP="003C4EF9">
      <w:pPr>
        <w:pStyle w:val="Textonotapie"/>
        <w:ind w:firstLine="709"/>
        <w:jc w:val="both"/>
        <w:rPr>
          <w:rFonts w:ascii="Verdana" w:hAnsi="Verdana" w:cs="Arial"/>
          <w:sz w:val="14"/>
          <w:szCs w:val="14"/>
          <w:lang w:val="pt-BR"/>
        </w:rPr>
      </w:pPr>
      <w:r w:rsidRPr="00C04B54">
        <w:rPr>
          <w:rStyle w:val="Refdenotaalpie"/>
          <w:rFonts w:ascii="Verdana" w:hAnsi="Verdana" w:cs="Arial"/>
          <w:sz w:val="14"/>
          <w:szCs w:val="14"/>
        </w:rPr>
        <w:footnoteRef/>
      </w:r>
      <w:r w:rsidRPr="00F43830">
        <w:rPr>
          <w:rFonts w:ascii="Verdana" w:hAnsi="Verdana" w:cs="Arial"/>
          <w:sz w:val="14"/>
          <w:szCs w:val="14"/>
          <w:lang w:val="pt-BR"/>
        </w:rPr>
        <w:t xml:space="preserve"> Ibidem.</w:t>
      </w:r>
    </w:p>
    <w:p w14:paraId="680B301E" w14:textId="77777777" w:rsidR="003C4EF9" w:rsidRPr="00F43830" w:rsidRDefault="003C4EF9" w:rsidP="003C4EF9">
      <w:pPr>
        <w:pStyle w:val="Textonotapie"/>
        <w:ind w:firstLine="709"/>
        <w:jc w:val="both"/>
        <w:rPr>
          <w:rFonts w:ascii="Verdana" w:hAnsi="Verdana" w:cs="Arial"/>
          <w:sz w:val="14"/>
          <w:szCs w:val="14"/>
          <w:lang w:val="pt-BR"/>
        </w:rPr>
      </w:pPr>
    </w:p>
  </w:footnote>
  <w:footnote w:id="10">
    <w:p w14:paraId="1041D567" w14:textId="77777777" w:rsidR="003C4EF9" w:rsidRPr="00C04B54" w:rsidRDefault="003C4EF9" w:rsidP="003C4EF9">
      <w:pPr>
        <w:pStyle w:val="Textonotapie"/>
        <w:ind w:firstLine="709"/>
        <w:jc w:val="both"/>
        <w:rPr>
          <w:rFonts w:ascii="Verdana" w:hAnsi="Verdana" w:cs="Arial"/>
          <w:sz w:val="14"/>
          <w:szCs w:val="14"/>
          <w:lang w:val="pt-BR"/>
        </w:rPr>
      </w:pPr>
      <w:r w:rsidRPr="00C04B54">
        <w:rPr>
          <w:rStyle w:val="Refdenotaalpie"/>
          <w:rFonts w:ascii="Verdana" w:hAnsi="Verdana" w:cs="Arial"/>
          <w:sz w:val="14"/>
          <w:szCs w:val="14"/>
        </w:rPr>
        <w:footnoteRef/>
      </w:r>
      <w:r w:rsidRPr="00F43830">
        <w:rPr>
          <w:rFonts w:ascii="Verdana" w:hAnsi="Verdana" w:cs="Arial"/>
          <w:sz w:val="14"/>
          <w:szCs w:val="14"/>
          <w:lang w:val="pt-BR"/>
        </w:rPr>
        <w:t xml:space="preserve"> CONSEJO DE ESTADO. Sección Tercera. Sentencia del 29 de julio de 2015. </w:t>
      </w:r>
      <w:r w:rsidRPr="00C04B54">
        <w:rPr>
          <w:rFonts w:ascii="Verdana" w:hAnsi="Verdana" w:cs="Arial"/>
          <w:sz w:val="14"/>
          <w:szCs w:val="14"/>
          <w:lang w:val="pt-BR"/>
        </w:rPr>
        <w:t>Exp. 42.494. C.P. Jaime Orlando Santofimio Gamboa.</w:t>
      </w:r>
    </w:p>
  </w:footnote>
  <w:footnote w:id="11">
    <w:p w14:paraId="48A4967A" w14:textId="77777777" w:rsidR="003C4EF9" w:rsidRPr="00C04B54" w:rsidRDefault="003C4EF9" w:rsidP="003C4EF9">
      <w:pPr>
        <w:pStyle w:val="Textonotapie"/>
        <w:ind w:firstLine="708"/>
        <w:jc w:val="both"/>
        <w:rPr>
          <w:rFonts w:ascii="Verdana" w:hAnsi="Verdana" w:cs="Arial"/>
          <w:sz w:val="14"/>
          <w:szCs w:val="14"/>
        </w:rPr>
      </w:pPr>
      <w:r w:rsidRPr="00C04B54">
        <w:rPr>
          <w:rStyle w:val="Refdenotaalpie"/>
          <w:rFonts w:ascii="Verdana" w:hAnsi="Verdana" w:cs="Arial"/>
          <w:sz w:val="14"/>
          <w:szCs w:val="14"/>
        </w:rPr>
        <w:footnoteRef/>
      </w:r>
      <w:r w:rsidRPr="00F43830">
        <w:rPr>
          <w:rFonts w:ascii="Verdana" w:hAnsi="Verdana" w:cs="Arial"/>
          <w:sz w:val="14"/>
          <w:szCs w:val="14"/>
          <w:lang w:val="es-CO"/>
        </w:rPr>
        <w:t xml:space="preserve"> CONSEJO DE ESTADO. </w:t>
      </w:r>
      <w:r w:rsidRPr="00C04B54">
        <w:rPr>
          <w:rFonts w:ascii="Verdana" w:hAnsi="Verdana" w:cs="Arial"/>
          <w:sz w:val="14"/>
          <w:szCs w:val="14"/>
        </w:rPr>
        <w:t>Sección Tercera. Sentencia del 13 de septiembre de 1999. Exp. 10.264. C.P. Ricardo Hoyos Duque.</w:t>
      </w:r>
    </w:p>
    <w:p w14:paraId="6D2D99CA" w14:textId="77777777" w:rsidR="003C4EF9" w:rsidRPr="00C04B54" w:rsidRDefault="003C4EF9" w:rsidP="003C4EF9">
      <w:pPr>
        <w:pStyle w:val="Textonotapie"/>
        <w:ind w:firstLine="708"/>
        <w:jc w:val="both"/>
        <w:rPr>
          <w:rFonts w:ascii="Verdana" w:hAnsi="Verdana" w:cs="Arial"/>
          <w:sz w:val="14"/>
          <w:szCs w:val="14"/>
        </w:rPr>
      </w:pPr>
    </w:p>
  </w:footnote>
  <w:footnote w:id="12">
    <w:p w14:paraId="0971C190" w14:textId="77777777" w:rsidR="003C4EF9" w:rsidRPr="00C04B54" w:rsidRDefault="003C4EF9" w:rsidP="003C4EF9">
      <w:pPr>
        <w:pStyle w:val="Textonotapie"/>
        <w:ind w:firstLine="708"/>
        <w:jc w:val="both"/>
        <w:rPr>
          <w:rFonts w:ascii="Verdana" w:hAnsi="Verdana" w:cs="Arial"/>
          <w:sz w:val="14"/>
          <w:szCs w:val="14"/>
          <w:lang w:val="es-ES"/>
        </w:rPr>
      </w:pPr>
      <w:r w:rsidRPr="00C04B54">
        <w:rPr>
          <w:rStyle w:val="Refdenotaalpie"/>
          <w:rFonts w:ascii="Verdana" w:hAnsi="Verdana" w:cs="Arial"/>
          <w:sz w:val="14"/>
          <w:szCs w:val="14"/>
        </w:rPr>
        <w:footnoteRef/>
      </w:r>
      <w:r w:rsidRPr="00C04B54">
        <w:rPr>
          <w:rFonts w:ascii="Verdana" w:hAnsi="Verdana" w:cs="Arial"/>
          <w:sz w:val="14"/>
          <w:szCs w:val="14"/>
        </w:rPr>
        <w:t xml:space="preserve"> PALACIO HINCAPIÉ, Juan Ángel. La contratación de las entidades estatales. Octava edición. Medellín: Librería Jurídica Sánchez R. SAS, 2020. p. 659.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73C65" w14:textId="77777777" w:rsidR="003C4EF9" w:rsidRDefault="003C4EF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0C49176" wp14:editId="400D5E8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BF0CBF1" wp14:editId="3FCCC76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124DCE9" w14:textId="77777777" w:rsidR="003C4EF9" w:rsidRDefault="003C4EF9">
    <w:pPr>
      <w:pStyle w:val="Encabezado"/>
    </w:pPr>
  </w:p>
  <w:p w14:paraId="3E3BB7E7" w14:textId="77777777" w:rsidR="003C4EF9" w:rsidRPr="004A305D" w:rsidRDefault="003C4EF9" w:rsidP="00B01B1A">
    <w:pPr>
      <w:spacing w:after="0" w:line="120" w:lineRule="auto"/>
      <w:rPr>
        <w:rFonts w:ascii="Century Gothic" w:eastAsia="Geo" w:hAnsi="Century Gothic" w:cs="Geo"/>
        <w:sz w:val="16"/>
        <w:szCs w:val="16"/>
        <w:lang w:eastAsia="es-CO"/>
      </w:rPr>
    </w:pPr>
  </w:p>
  <w:p w14:paraId="140AE9EB" w14:textId="77777777" w:rsidR="003C4EF9" w:rsidRDefault="003C4EF9" w:rsidP="00844AE9">
    <w:pPr>
      <w:spacing w:after="0" w:line="240" w:lineRule="auto"/>
      <w:rPr>
        <w:rFonts w:ascii="Verdana" w:hAnsi="Verdana"/>
        <w:sz w:val="24"/>
        <w:szCs w:val="24"/>
      </w:rPr>
    </w:pPr>
  </w:p>
  <w:p w14:paraId="01BC9D6A" w14:textId="77777777" w:rsidR="003C4EF9" w:rsidRPr="00C925AC" w:rsidRDefault="003C4EF9"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EF9"/>
    <w:rsid w:val="000F274B"/>
    <w:rsid w:val="00185BCC"/>
    <w:rsid w:val="0020477E"/>
    <w:rsid w:val="003246FA"/>
    <w:rsid w:val="0039215C"/>
    <w:rsid w:val="003A69A4"/>
    <w:rsid w:val="003C4EF9"/>
    <w:rsid w:val="00474DF4"/>
    <w:rsid w:val="00485D25"/>
    <w:rsid w:val="004F471F"/>
    <w:rsid w:val="005732B4"/>
    <w:rsid w:val="008E5C8D"/>
    <w:rsid w:val="009F5614"/>
    <w:rsid w:val="00B9192B"/>
    <w:rsid w:val="00C24FFE"/>
    <w:rsid w:val="00C342BC"/>
    <w:rsid w:val="00EC50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78281"/>
  <w15:chartTrackingRefBased/>
  <w15:docId w15:val="{DEDA2F4D-0C87-4218-BA8C-8895718ED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EF9"/>
    <w:rPr>
      <w:kern w:val="0"/>
      <w14:ligatures w14:val="none"/>
    </w:rPr>
  </w:style>
  <w:style w:type="paragraph" w:styleId="Ttulo1">
    <w:name w:val="heading 1"/>
    <w:basedOn w:val="Normal"/>
    <w:next w:val="Normal"/>
    <w:link w:val="Ttulo1Car"/>
    <w:uiPriority w:val="9"/>
    <w:qFormat/>
    <w:rsid w:val="003C4E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C4E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C4EF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C4EF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C4EF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C4EF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C4EF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C4EF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C4EF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C4EF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C4EF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C4EF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C4EF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C4EF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C4E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C4E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C4E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C4EF9"/>
    <w:rPr>
      <w:rFonts w:eastAsiaTheme="majorEastAsia" w:cstheme="majorBidi"/>
      <w:color w:val="272727" w:themeColor="text1" w:themeTint="D8"/>
    </w:rPr>
  </w:style>
  <w:style w:type="paragraph" w:styleId="Ttulo">
    <w:name w:val="Title"/>
    <w:basedOn w:val="Normal"/>
    <w:next w:val="Normal"/>
    <w:link w:val="TtuloCar"/>
    <w:uiPriority w:val="10"/>
    <w:qFormat/>
    <w:rsid w:val="003C4E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C4E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C4EF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C4E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C4EF9"/>
    <w:pPr>
      <w:spacing w:before="160"/>
      <w:jc w:val="center"/>
    </w:pPr>
    <w:rPr>
      <w:i/>
      <w:iCs/>
      <w:color w:val="404040" w:themeColor="text1" w:themeTint="BF"/>
    </w:rPr>
  </w:style>
  <w:style w:type="character" w:customStyle="1" w:styleId="CitaCar">
    <w:name w:val="Cita Car"/>
    <w:basedOn w:val="Fuentedeprrafopredeter"/>
    <w:link w:val="Cita"/>
    <w:uiPriority w:val="29"/>
    <w:rsid w:val="003C4EF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3C4EF9"/>
    <w:pPr>
      <w:ind w:left="720"/>
      <w:contextualSpacing/>
    </w:pPr>
  </w:style>
  <w:style w:type="character" w:styleId="nfasisintenso">
    <w:name w:val="Intense Emphasis"/>
    <w:basedOn w:val="Fuentedeprrafopredeter"/>
    <w:uiPriority w:val="21"/>
    <w:qFormat/>
    <w:rsid w:val="003C4EF9"/>
    <w:rPr>
      <w:i/>
      <w:iCs/>
      <w:color w:val="2F5496" w:themeColor="accent1" w:themeShade="BF"/>
    </w:rPr>
  </w:style>
  <w:style w:type="paragraph" w:styleId="Citadestacada">
    <w:name w:val="Intense Quote"/>
    <w:basedOn w:val="Normal"/>
    <w:next w:val="Normal"/>
    <w:link w:val="CitadestacadaCar"/>
    <w:uiPriority w:val="30"/>
    <w:qFormat/>
    <w:rsid w:val="003C4E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C4EF9"/>
    <w:rPr>
      <w:i/>
      <w:iCs/>
      <w:color w:val="2F5496" w:themeColor="accent1" w:themeShade="BF"/>
    </w:rPr>
  </w:style>
  <w:style w:type="character" w:styleId="Referenciaintensa">
    <w:name w:val="Intense Reference"/>
    <w:basedOn w:val="Fuentedeprrafopredeter"/>
    <w:uiPriority w:val="32"/>
    <w:qFormat/>
    <w:rsid w:val="003C4EF9"/>
    <w:rPr>
      <w:b/>
      <w:bCs/>
      <w:smallCaps/>
      <w:color w:val="2F5496" w:themeColor="accent1" w:themeShade="BF"/>
      <w:spacing w:val="5"/>
    </w:rPr>
  </w:style>
  <w:style w:type="paragraph" w:styleId="Encabezado">
    <w:name w:val="header"/>
    <w:basedOn w:val="Normal"/>
    <w:link w:val="EncabezadoCar"/>
    <w:uiPriority w:val="99"/>
    <w:unhideWhenUsed/>
    <w:rsid w:val="003C4E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C4EF9"/>
    <w:rPr>
      <w:kern w:val="0"/>
      <w14:ligatures w14:val="none"/>
    </w:rPr>
  </w:style>
  <w:style w:type="paragraph" w:styleId="Piedepgina">
    <w:name w:val="footer"/>
    <w:basedOn w:val="Normal"/>
    <w:link w:val="PiedepginaCar"/>
    <w:uiPriority w:val="99"/>
    <w:unhideWhenUsed/>
    <w:rsid w:val="003C4E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C4EF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C4EF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3C4EF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C4EF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C4EF9"/>
    <w:rPr>
      <w:vertAlign w:val="superscript"/>
    </w:rPr>
  </w:style>
  <w:style w:type="character" w:customStyle="1" w:styleId="normaltextrun">
    <w:name w:val="normaltextrun"/>
    <w:basedOn w:val="Fuentedeprrafopredeter"/>
    <w:rsid w:val="003C4EF9"/>
  </w:style>
  <w:style w:type="table" w:styleId="Tablaconcuadrcula">
    <w:name w:val="Table Grid"/>
    <w:basedOn w:val="Tablanormal"/>
    <w:uiPriority w:val="39"/>
    <w:qFormat/>
    <w:rsid w:val="003C4EF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C4EF9"/>
    <w:rPr>
      <w:color w:val="0000FF"/>
      <w:u w:val="single"/>
    </w:rPr>
  </w:style>
  <w:style w:type="paragraph" w:customStyle="1" w:styleId="paragraph">
    <w:name w:val="paragraph"/>
    <w:basedOn w:val="Normal"/>
    <w:rsid w:val="003C4EF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3C4EF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C4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providencias/25000-23-26-000-2007-00108-01_42494/"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providencias/25000-23-26-000-2003-00874-01_2827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onserrathriveros@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1EDDE8-AD1A-49BF-9919-4125BEE1AC4D}">
  <ds:schemaRefs>
    <ds:schemaRef ds:uri="http://schemas.microsoft.com/sharepoint/v3/contenttype/forms"/>
  </ds:schemaRefs>
</ds:datastoreItem>
</file>

<file path=customXml/itemProps2.xml><?xml version="1.0" encoding="utf-8"?>
<ds:datastoreItem xmlns:ds="http://schemas.openxmlformats.org/officeDocument/2006/customXml" ds:itemID="{4564FD8B-D924-4D81-B257-B20F9837D3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C7911A-04DA-4B93-93CF-65C8F2EF7A9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17</Pages>
  <Words>5949</Words>
  <Characters>31532</Characters>
  <Application>Microsoft Office Word</Application>
  <DocSecurity>0</DocSecurity>
  <Lines>1370</Lines>
  <Paragraphs>814</Paragraphs>
  <ScaleCrop>false</ScaleCrop>
  <Company/>
  <LinksUpToDate>false</LinksUpToDate>
  <CharactersWithSpaces>36667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9</cp:revision>
  <dcterms:created xsi:type="dcterms:W3CDTF">2025-11-20T20:56:00Z</dcterms:created>
  <dcterms:modified xsi:type="dcterms:W3CDTF">2025-11-27T16:14:00Z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