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733467" w14:textId="77777777" w:rsidR="00ED4151" w:rsidRPr="00D86CA8" w:rsidRDefault="00ED4151" w:rsidP="00ED4151">
      <w:pPr>
        <w:spacing w:after="0" w:line="240" w:lineRule="auto"/>
        <w:rPr>
          <w:rFonts w:ascii="Verdana" w:eastAsia="Calibri" w:hAnsi="Verdana" w:cs="Arial"/>
          <w:b/>
          <w:lang w:val="es-ES_tradnl" w:eastAsia="es-ES_tradnl"/>
        </w:rPr>
      </w:pPr>
      <w:r w:rsidRPr="00D86CA8">
        <w:rPr>
          <w:rFonts w:ascii="Verdana" w:eastAsia="Calibri" w:hAnsi="Verdana" w:cs="Arial"/>
          <w:b/>
          <w:lang w:val="es-ES_tradnl" w:eastAsia="es-ES_tradnl"/>
        </w:rPr>
        <w:t xml:space="preserve">CESIÓN DEL CONTRATO ESTATAL – Noción </w:t>
      </w:r>
    </w:p>
    <w:p w14:paraId="0DAE4C35" w14:textId="77777777" w:rsidR="00ED4151" w:rsidRPr="00D86CA8" w:rsidRDefault="00ED4151" w:rsidP="00ED4151">
      <w:pPr>
        <w:spacing w:after="0" w:line="240" w:lineRule="auto"/>
        <w:rPr>
          <w:rFonts w:ascii="Verdana" w:eastAsia="Calibri" w:hAnsi="Verdana" w:cs="Arial"/>
          <w:bCs/>
          <w:sz w:val="20"/>
          <w:szCs w:val="20"/>
          <w:lang w:val="es-ES_tradnl" w:eastAsia="es-ES_tradnl"/>
        </w:rPr>
      </w:pPr>
    </w:p>
    <w:p w14:paraId="72AE393C" w14:textId="77777777" w:rsidR="00ED4151" w:rsidRPr="00D86CA8" w:rsidRDefault="00ED4151" w:rsidP="00ED4151">
      <w:pPr>
        <w:spacing w:after="0" w:line="240" w:lineRule="auto"/>
        <w:jc w:val="both"/>
        <w:rPr>
          <w:rFonts w:ascii="Verdana" w:eastAsia="Calibri" w:hAnsi="Verdana" w:cs="Arial"/>
          <w:color w:val="000000" w:themeColor="text1"/>
          <w:sz w:val="20"/>
          <w:szCs w:val="20"/>
        </w:rPr>
      </w:pPr>
      <w:r w:rsidRPr="00D86CA8">
        <w:rPr>
          <w:rFonts w:ascii="Verdana" w:eastAsia="Calibri" w:hAnsi="Verdana" w:cs="Arial"/>
          <w:color w:val="000000" w:themeColor="text1"/>
          <w:sz w:val="20"/>
          <w:szCs w:val="20"/>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D86CA8">
        <w:rPr>
          <w:rFonts w:ascii="Verdana" w:eastAsia="Calibri" w:hAnsi="Verdana" w:cs="Arial"/>
          <w:color w:val="000000" w:themeColor="text1"/>
          <w:sz w:val="20"/>
          <w:szCs w:val="20"/>
        </w:rPr>
        <w:t>subentra</w:t>
      </w:r>
      <w:proofErr w:type="spellEnd"/>
      <w:r w:rsidRPr="00D86CA8">
        <w:rPr>
          <w:rFonts w:ascii="Verdana" w:eastAsia="Calibri" w:hAnsi="Verdana" w:cs="Arial"/>
          <w:color w:val="000000" w:themeColor="text1"/>
          <w:sz w:val="20"/>
          <w:szCs w:val="20"/>
        </w:rPr>
        <w:t xml:space="preserve"> en la relación con el cedido […]”. Por otro, “[…] es la transferencia de la posición contractual de un contratante a otro sujeto, que le </w:t>
      </w:r>
      <w:proofErr w:type="spellStart"/>
      <w:r w:rsidRPr="00D86CA8">
        <w:rPr>
          <w:rFonts w:ascii="Verdana" w:eastAsia="Calibri" w:hAnsi="Verdana" w:cs="Arial"/>
          <w:color w:val="000000" w:themeColor="text1"/>
          <w:sz w:val="20"/>
          <w:szCs w:val="20"/>
        </w:rPr>
        <w:t>subentra</w:t>
      </w:r>
      <w:proofErr w:type="spellEnd"/>
      <w:r w:rsidRPr="00D86CA8">
        <w:rPr>
          <w:rFonts w:ascii="Verdana" w:eastAsia="Calibri" w:hAnsi="Verdana" w:cs="Arial"/>
          <w:color w:val="000000" w:themeColor="text1"/>
          <w:sz w:val="20"/>
          <w:szCs w:val="20"/>
        </w:rPr>
        <w:t xml:space="preserve"> en la relación con la contraparte […]”. De esta manera, </w:t>
      </w:r>
      <w:r w:rsidRPr="00D86CA8">
        <w:rPr>
          <w:rFonts w:ascii="Verdana" w:hAnsi="Verdana" w:cs="Arial"/>
          <w:color w:val="000000" w:themeColor="text1"/>
          <w:sz w:val="20"/>
          <w:szCs w:val="20"/>
        </w:rPr>
        <w:t xml:space="preserve">concurren tres (3) sujetos: i) el cedente, esto es, el contratista inicial; </w:t>
      </w:r>
      <w:proofErr w:type="spellStart"/>
      <w:r w:rsidRPr="00D86CA8">
        <w:rPr>
          <w:rFonts w:ascii="Verdana" w:hAnsi="Verdana" w:cs="Arial"/>
          <w:color w:val="000000" w:themeColor="text1"/>
          <w:sz w:val="20"/>
          <w:szCs w:val="20"/>
        </w:rPr>
        <w:t>ii</w:t>
      </w:r>
      <w:proofErr w:type="spellEnd"/>
      <w:r w:rsidRPr="00D86CA8">
        <w:rPr>
          <w:rFonts w:ascii="Verdana" w:hAnsi="Verdana" w:cs="Arial"/>
          <w:color w:val="000000" w:themeColor="text1"/>
          <w:sz w:val="20"/>
          <w:szCs w:val="20"/>
        </w:rPr>
        <w:t xml:space="preserve">) el cesionario, es decir, quien asume total o parcialmente los derechos y obligaciones de este último; y </w:t>
      </w:r>
      <w:proofErr w:type="spellStart"/>
      <w:r w:rsidRPr="00D86CA8">
        <w:rPr>
          <w:rFonts w:ascii="Verdana" w:hAnsi="Verdana" w:cs="Arial"/>
          <w:color w:val="000000" w:themeColor="text1"/>
          <w:sz w:val="20"/>
          <w:szCs w:val="20"/>
        </w:rPr>
        <w:t>iii</w:t>
      </w:r>
      <w:proofErr w:type="spellEnd"/>
      <w:r w:rsidRPr="00D86CA8">
        <w:rPr>
          <w:rFonts w:ascii="Verdana" w:hAnsi="Verdana" w:cs="Arial"/>
          <w:color w:val="000000" w:themeColor="text1"/>
          <w:sz w:val="20"/>
          <w:szCs w:val="20"/>
        </w:rPr>
        <w:t xml:space="preserve">) el cedido que, en el caso de los contratos estatales, sería la entidad que suscribió el contrato. </w:t>
      </w:r>
      <w:r w:rsidRPr="00D86CA8">
        <w:rPr>
          <w:rFonts w:ascii="Verdana" w:eastAsia="Calibri" w:hAnsi="Verdana" w:cs="Arial"/>
          <w:color w:val="000000" w:themeColor="text1"/>
          <w:sz w:val="20"/>
          <w:szCs w:val="20"/>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20D6A48A" w14:textId="77777777" w:rsidR="00ED4151" w:rsidRPr="00D86CA8" w:rsidRDefault="00ED4151" w:rsidP="00ED4151">
      <w:pPr>
        <w:spacing w:after="0" w:line="240" w:lineRule="auto"/>
        <w:jc w:val="both"/>
        <w:rPr>
          <w:rFonts w:ascii="Verdana" w:eastAsia="Calibri" w:hAnsi="Verdana" w:cs="Arial"/>
          <w:color w:val="000000" w:themeColor="text1"/>
          <w:sz w:val="20"/>
          <w:szCs w:val="20"/>
        </w:rPr>
      </w:pPr>
    </w:p>
    <w:p w14:paraId="38F7B3E3" w14:textId="77777777" w:rsidR="00ED4151" w:rsidRPr="00DE2AC7" w:rsidRDefault="00ED4151" w:rsidP="00ED4151">
      <w:pPr>
        <w:spacing w:after="0" w:line="240" w:lineRule="auto"/>
        <w:jc w:val="both"/>
        <w:rPr>
          <w:rFonts w:ascii="Verdana" w:eastAsia="Calibri" w:hAnsi="Verdana" w:cs="Arial"/>
          <w:color w:val="000000" w:themeColor="text1"/>
          <w:sz w:val="20"/>
          <w:szCs w:val="20"/>
        </w:rPr>
      </w:pPr>
    </w:p>
    <w:p w14:paraId="11BCE9CD" w14:textId="77777777" w:rsidR="00ED4151" w:rsidRPr="00AF1555" w:rsidRDefault="00ED4151" w:rsidP="00ED4151">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CESIÓN DE CRÉDITO</w:t>
      </w:r>
      <w:r w:rsidRPr="00E95799">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 xml:space="preserve">O DE DERECHOS ECONÓMICOS </w:t>
      </w:r>
      <w:r w:rsidRPr="00E95799">
        <w:rPr>
          <w:rFonts w:ascii="Verdana" w:eastAsia="Calibri" w:hAnsi="Verdana" w:cs="Arial"/>
          <w:b/>
          <w:color w:val="000000" w:themeColor="text1"/>
          <w:lang w:val="es-ES"/>
        </w:rPr>
        <w:t xml:space="preserve">– </w:t>
      </w:r>
      <w:r>
        <w:rPr>
          <w:rFonts w:ascii="Verdana" w:eastAsia="Calibri" w:hAnsi="Verdana" w:cs="Arial"/>
          <w:b/>
          <w:color w:val="000000" w:themeColor="text1"/>
          <w:lang w:val="es-ES"/>
        </w:rPr>
        <w:t>Requisitos</w:t>
      </w:r>
      <w:r w:rsidRPr="00AF1555">
        <w:rPr>
          <w:rFonts w:ascii="Verdana" w:eastAsia="Calibri" w:hAnsi="Verdana" w:cs="Arial"/>
          <w:b/>
          <w:color w:val="000000" w:themeColor="text1"/>
          <w:lang w:val="es-ES"/>
        </w:rPr>
        <w:t xml:space="preserve"> </w:t>
      </w:r>
    </w:p>
    <w:p w14:paraId="17622B40" w14:textId="77777777" w:rsidR="00ED4151" w:rsidRPr="00AF1555" w:rsidRDefault="00ED4151" w:rsidP="00ED4151">
      <w:pPr>
        <w:spacing w:after="0" w:line="240" w:lineRule="auto"/>
        <w:jc w:val="both"/>
        <w:rPr>
          <w:rFonts w:ascii="Verdana" w:eastAsia="Calibri" w:hAnsi="Verdana" w:cs="Arial"/>
          <w:bCs/>
          <w:color w:val="000000" w:themeColor="text1"/>
          <w:sz w:val="20"/>
          <w:szCs w:val="20"/>
          <w:lang w:val="es-ES"/>
        </w:rPr>
      </w:pPr>
    </w:p>
    <w:p w14:paraId="2C21FE8F" w14:textId="77777777" w:rsidR="00ED4151" w:rsidRDefault="00ED4151" w:rsidP="00ED4151">
      <w:pPr>
        <w:spacing w:after="0" w:line="240" w:lineRule="auto"/>
        <w:jc w:val="both"/>
        <w:rPr>
          <w:rFonts w:ascii="Verdana" w:eastAsia="Calibri" w:hAnsi="Verdana" w:cs="Arial"/>
          <w:bCs/>
          <w:color w:val="000000" w:themeColor="text1"/>
          <w:sz w:val="20"/>
          <w:szCs w:val="20"/>
          <w:lang w:eastAsia="es-ES_tradnl"/>
        </w:rPr>
      </w:pPr>
      <w:r w:rsidRPr="00A34B7E">
        <w:rPr>
          <w:rFonts w:ascii="Verdana" w:eastAsia="Calibri" w:hAnsi="Verdana" w:cs="Arial"/>
          <w:bCs/>
          <w:color w:val="000000" w:themeColor="text1"/>
          <w:sz w:val="20"/>
          <w:szCs w:val="20"/>
          <w:lang w:eastAsia="es-ES_tradnl"/>
        </w:rPr>
        <w:t xml:space="preserve">Los requisitos para hacer efectiva la </w:t>
      </w:r>
      <w:r w:rsidRPr="00A34B7E">
        <w:rPr>
          <w:rFonts w:ascii="Verdana" w:eastAsia="Calibri" w:hAnsi="Verdana" w:cs="Arial"/>
          <w:bCs/>
          <w:i/>
          <w:iCs/>
          <w:color w:val="000000" w:themeColor="text1"/>
          <w:sz w:val="20"/>
          <w:szCs w:val="20"/>
          <w:lang w:eastAsia="es-ES_tradnl"/>
        </w:rPr>
        <w:t>cesión de créditos</w:t>
      </w:r>
      <w:r w:rsidRPr="00A34B7E">
        <w:rPr>
          <w:rFonts w:ascii="Verdana" w:eastAsia="Calibri" w:hAnsi="Verdana" w:cs="Arial"/>
          <w:bCs/>
          <w:color w:val="000000" w:themeColor="text1"/>
          <w:sz w:val="20"/>
          <w:szCs w:val="20"/>
          <w:lang w:eastAsia="es-ES_tradnl"/>
        </w:rPr>
        <w:t xml:space="preserve"> están previstos en la regulación de esta figura contenida en los artículos 1959 a 1966 del Código Civil. En síntesis, los requisitos principales de la cesión son los siguientes: i) la cesión de créditos opera, a cualquier título que se haga, con la entrega del título; </w:t>
      </w:r>
      <w:proofErr w:type="spellStart"/>
      <w:r w:rsidRPr="00A34B7E">
        <w:rPr>
          <w:rFonts w:ascii="Verdana" w:eastAsia="Calibri" w:hAnsi="Verdana" w:cs="Arial"/>
          <w:bCs/>
          <w:color w:val="000000" w:themeColor="text1"/>
          <w:sz w:val="20"/>
          <w:szCs w:val="20"/>
          <w:lang w:eastAsia="es-ES_tradnl"/>
        </w:rPr>
        <w:t>ii</w:t>
      </w:r>
      <w:proofErr w:type="spellEnd"/>
      <w:r w:rsidRPr="00A34B7E">
        <w:rPr>
          <w:rFonts w:ascii="Verdana" w:eastAsia="Calibri" w:hAnsi="Verdana" w:cs="Arial"/>
          <w:bCs/>
          <w:color w:val="000000" w:themeColor="text1"/>
          <w:sz w:val="20"/>
          <w:szCs w:val="20"/>
          <w:lang w:eastAsia="es-ES_tradnl"/>
        </w:rPr>
        <w:t xml:space="preserve">) si el crédito no consta en un documento, el cedente deberá hacer uno y entregarlo al cesionario; </w:t>
      </w:r>
      <w:proofErr w:type="spellStart"/>
      <w:r w:rsidRPr="00A34B7E">
        <w:rPr>
          <w:rFonts w:ascii="Verdana" w:eastAsia="Calibri" w:hAnsi="Verdana" w:cs="Arial"/>
          <w:bCs/>
          <w:color w:val="000000" w:themeColor="text1"/>
          <w:sz w:val="20"/>
          <w:szCs w:val="20"/>
          <w:lang w:eastAsia="es-ES_tradnl"/>
        </w:rPr>
        <w:t>iii</w:t>
      </w:r>
      <w:proofErr w:type="spellEnd"/>
      <w:r w:rsidRPr="00A34B7E">
        <w:rPr>
          <w:rFonts w:ascii="Verdana" w:eastAsia="Calibri" w:hAnsi="Verdana" w:cs="Arial"/>
          <w:bCs/>
          <w:color w:val="000000" w:themeColor="text1"/>
          <w:sz w:val="20"/>
          <w:szCs w:val="20"/>
          <w:lang w:eastAsia="es-ES_tradnl"/>
        </w:rPr>
        <w:t xml:space="preserve">) la cesión produce efectos para el deudor y terceros luego de que el cesionario la notifica al deudor o es aceptada por éste; </w:t>
      </w:r>
      <w:proofErr w:type="spellStart"/>
      <w:r w:rsidRPr="00A34B7E">
        <w:rPr>
          <w:rFonts w:ascii="Verdana" w:eastAsia="Calibri" w:hAnsi="Verdana" w:cs="Arial"/>
          <w:bCs/>
          <w:color w:val="000000" w:themeColor="text1"/>
          <w:sz w:val="20"/>
          <w:szCs w:val="20"/>
          <w:lang w:eastAsia="es-ES_tradnl"/>
        </w:rPr>
        <w:t>iv</w:t>
      </w:r>
      <w:proofErr w:type="spellEnd"/>
      <w:r w:rsidRPr="00A34B7E">
        <w:rPr>
          <w:rFonts w:ascii="Verdana" w:eastAsia="Calibri" w:hAnsi="Verdana" w:cs="Arial"/>
          <w:bCs/>
          <w:color w:val="000000" w:themeColor="text1"/>
          <w:sz w:val="20"/>
          <w:szCs w:val="20"/>
          <w:lang w:eastAsia="es-ES_tradnl"/>
        </w:rPr>
        <w:t xml:space="preserve">)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responsable de la existencia del crédito al tiempo de la cesión, pero no de la solvencia del deudor. El cedente a título gratuito no responderá por ninguna de las anteriores circunstancias; </w:t>
      </w:r>
      <w:proofErr w:type="spellStart"/>
      <w:r w:rsidRPr="00A34B7E">
        <w:rPr>
          <w:rFonts w:ascii="Verdana" w:eastAsia="Calibri" w:hAnsi="Verdana" w:cs="Arial"/>
          <w:bCs/>
          <w:color w:val="000000" w:themeColor="text1"/>
          <w:sz w:val="20"/>
          <w:szCs w:val="20"/>
          <w:lang w:eastAsia="es-ES_tradnl"/>
        </w:rPr>
        <w:t>vii</w:t>
      </w:r>
      <w:proofErr w:type="spellEnd"/>
      <w:r w:rsidRPr="00A34B7E">
        <w:rPr>
          <w:rFonts w:ascii="Verdana" w:eastAsia="Calibri" w:hAnsi="Verdana" w:cs="Arial"/>
          <w:bCs/>
          <w:color w:val="000000" w:themeColor="text1"/>
          <w:sz w:val="20"/>
          <w:szCs w:val="20"/>
          <w:lang w:eastAsia="es-ES_tradnl"/>
        </w:rPr>
        <w:t xml:space="preserve">) las reglas de la cesión de créditos no se aplican a títulos valores regidos por las normas de transmisión del Código de Comercio. </w:t>
      </w:r>
    </w:p>
    <w:p w14:paraId="2F2F724A" w14:textId="77777777" w:rsidR="00ED4151" w:rsidRPr="00A34B7E" w:rsidRDefault="00ED4151" w:rsidP="00ED4151">
      <w:pPr>
        <w:spacing w:after="0" w:line="240" w:lineRule="auto"/>
        <w:jc w:val="both"/>
        <w:rPr>
          <w:rFonts w:ascii="Verdana" w:eastAsia="Calibri" w:hAnsi="Verdana" w:cs="Arial"/>
          <w:bCs/>
          <w:color w:val="000000" w:themeColor="text1"/>
          <w:sz w:val="20"/>
          <w:szCs w:val="20"/>
          <w:lang w:eastAsia="es-ES_tradnl"/>
        </w:rPr>
      </w:pPr>
    </w:p>
    <w:p w14:paraId="4A405F84" w14:textId="77777777" w:rsidR="00ED4151" w:rsidRPr="00EB0B5F" w:rsidRDefault="00ED4151" w:rsidP="00ED4151">
      <w:pPr>
        <w:spacing w:after="0" w:line="240" w:lineRule="auto"/>
        <w:jc w:val="both"/>
        <w:rPr>
          <w:rFonts w:ascii="Verdana" w:eastAsia="Calibri" w:hAnsi="Verdana" w:cs="Arial"/>
          <w:iCs/>
          <w:color w:val="000000" w:themeColor="text1"/>
          <w:sz w:val="20"/>
          <w:szCs w:val="20"/>
          <w:lang w:eastAsia="es-ES_tradnl"/>
        </w:rPr>
      </w:pPr>
      <w:r w:rsidRPr="00A34B7E">
        <w:rPr>
          <w:rFonts w:ascii="Verdana" w:eastAsia="Calibri" w:hAnsi="Verdana" w:cs="Arial"/>
          <w:bCs/>
          <w:color w:val="000000" w:themeColor="text1"/>
          <w:sz w:val="20"/>
          <w:szCs w:val="20"/>
          <w:lang w:eastAsia="es-ES_tradnl"/>
        </w:rPr>
        <w:t xml:space="preserve">En el contexto expuesto, un crédito puede ser cedido, cumpliendo con las previsiones legales que hacen oponible la transmisión del derecho a una tercera persona, caso en el cual podrá pagarse válidamente la prestación que debe al cesionario. Como explica la doctrina, la </w:t>
      </w:r>
      <w:r w:rsidRPr="00A34B7E">
        <w:rPr>
          <w:rFonts w:ascii="Verdana" w:eastAsia="Calibri" w:hAnsi="Verdana" w:cs="Arial"/>
          <w:bCs/>
          <w:i/>
          <w:iCs/>
          <w:color w:val="000000" w:themeColor="text1"/>
          <w:sz w:val="20"/>
          <w:szCs w:val="20"/>
          <w:lang w:eastAsia="es-ES_tradnl"/>
        </w:rPr>
        <w:t>cesión de crédito</w:t>
      </w:r>
      <w:r w:rsidRPr="00A34B7E">
        <w:rPr>
          <w:rFonts w:ascii="Verdana" w:eastAsia="Calibri" w:hAnsi="Verdana" w:cs="Arial"/>
          <w:bCs/>
          <w:color w:val="000000" w:themeColor="text1"/>
          <w:sz w:val="20"/>
          <w:szCs w:val="20"/>
          <w:lang w:eastAsia="es-ES_tradnl"/>
        </w:rPr>
        <w:t xml:space="preserve"> concierne al acreedor cedente y al tercero cesionario, de manera que el deudor cedido –aunque deba notificarse– juega un rol pasivo en el negocio celebrado</w:t>
      </w:r>
      <w:r w:rsidRPr="00AF1555">
        <w:rPr>
          <w:rFonts w:ascii="Verdana" w:eastAsia="Calibri" w:hAnsi="Verdana" w:cs="Arial"/>
          <w:color w:val="000000" w:themeColor="text1"/>
          <w:sz w:val="20"/>
          <w:szCs w:val="20"/>
          <w:lang w:val="es-ES_tradnl"/>
        </w:rPr>
        <w:t>.</w:t>
      </w:r>
    </w:p>
    <w:p w14:paraId="229D349B" w14:textId="77777777" w:rsidR="00ED4151" w:rsidRDefault="00ED4151" w:rsidP="00ED4151">
      <w:pPr>
        <w:spacing w:after="0" w:line="240" w:lineRule="auto"/>
        <w:rPr>
          <w:rFonts w:ascii="Verdana" w:eastAsia="Geomanist Light" w:hAnsi="Verdana" w:cs="Arial"/>
          <w:color w:val="000000" w:themeColor="text1"/>
          <w:sz w:val="20"/>
          <w:szCs w:val="20"/>
          <w:lang w:val="es-ES_tradnl"/>
        </w:rPr>
      </w:pPr>
    </w:p>
    <w:p w14:paraId="0B8AF5F1" w14:textId="77777777" w:rsidR="00F24AF3" w:rsidRDefault="00F24AF3" w:rsidP="00ED4151">
      <w:pPr>
        <w:spacing w:after="0" w:line="240" w:lineRule="auto"/>
        <w:rPr>
          <w:rFonts w:ascii="Verdana" w:eastAsia="Geomanist Light" w:hAnsi="Verdana" w:cs="Arial"/>
          <w:color w:val="000000" w:themeColor="text1"/>
          <w:sz w:val="20"/>
          <w:szCs w:val="20"/>
          <w:lang w:val="es-ES_tradnl"/>
        </w:rPr>
      </w:pPr>
    </w:p>
    <w:p w14:paraId="2E2418B2" w14:textId="77777777" w:rsidR="00F24AF3" w:rsidRPr="00AF1555" w:rsidRDefault="00F24AF3" w:rsidP="00ED4151">
      <w:pPr>
        <w:spacing w:after="0" w:line="240" w:lineRule="auto"/>
        <w:rPr>
          <w:rFonts w:ascii="Verdana" w:eastAsia="Geomanist Light" w:hAnsi="Verdana" w:cs="Arial"/>
          <w:color w:val="000000" w:themeColor="text1"/>
          <w:sz w:val="20"/>
          <w:szCs w:val="20"/>
          <w:lang w:val="es-ES_tradnl"/>
        </w:rPr>
      </w:pPr>
    </w:p>
    <w:p w14:paraId="03F7D622" w14:textId="77777777" w:rsidR="00ED4151" w:rsidRDefault="00ED4151" w:rsidP="00ED4151">
      <w:pPr>
        <w:spacing w:after="0"/>
        <w:rPr>
          <w:rFonts w:ascii="Verdana" w:hAnsi="Verdana"/>
        </w:rPr>
      </w:pPr>
    </w:p>
    <w:p w14:paraId="55DE9631" w14:textId="77777777" w:rsidR="00ED4151" w:rsidRPr="008F1283" w:rsidRDefault="00ED4151" w:rsidP="00ED4151">
      <w:pPr>
        <w:spacing w:after="0" w:line="240" w:lineRule="auto"/>
        <w:rPr>
          <w:rFonts w:ascii="Verdana" w:eastAsia="Geomanist Light" w:hAnsi="Verdana" w:cs="Arial"/>
          <w:color w:val="000000" w:themeColor="text1"/>
        </w:rPr>
      </w:pPr>
    </w:p>
    <w:p w14:paraId="0699EEAE" w14:textId="77777777" w:rsidR="00ED4151" w:rsidRPr="00D86CA8" w:rsidRDefault="00ED4151" w:rsidP="00ED4151">
      <w:pPr>
        <w:spacing w:after="0" w:line="240" w:lineRule="auto"/>
        <w:rPr>
          <w:rFonts w:ascii="Verdana" w:eastAsia="Geomanist Light" w:hAnsi="Verdana" w:cs="Arial"/>
          <w:color w:val="000000" w:themeColor="text1"/>
          <w:lang w:val="es-MX"/>
        </w:rPr>
      </w:pPr>
    </w:p>
    <w:p w14:paraId="6A191659" w14:textId="0845F6F2" w:rsidR="00ED4151" w:rsidRPr="00D86CA8" w:rsidRDefault="00ED4151" w:rsidP="00ED4151">
      <w:pPr>
        <w:spacing w:after="0" w:line="240" w:lineRule="auto"/>
        <w:rPr>
          <w:rFonts w:ascii="Verdana" w:eastAsia="Geomanist Light" w:hAnsi="Verdana" w:cs="Arial"/>
          <w:color w:val="201F1E"/>
          <w:lang w:val="es-MX"/>
        </w:rPr>
      </w:pPr>
      <w:r w:rsidRPr="00D86CA8">
        <w:rPr>
          <w:rFonts w:ascii="Verdana" w:eastAsia="Geomanist Light" w:hAnsi="Verdana" w:cs="Arial"/>
          <w:color w:val="000000" w:themeColor="text1"/>
          <w:lang w:val="es-MX"/>
        </w:rPr>
        <w:t>Bogotá D.C., </w:t>
      </w:r>
      <w:r w:rsidRPr="00D86CA8">
        <w:rPr>
          <w:rFonts w:ascii="Verdana" w:hAnsi="Verdana" w:cs="Verdana"/>
          <w:color w:val="000000"/>
          <w:lang w:val="es-MX"/>
        </w:rPr>
        <w:t>1</w:t>
      </w:r>
      <w:r w:rsidR="00166D1D">
        <w:rPr>
          <w:rFonts w:ascii="Verdana" w:hAnsi="Verdana" w:cs="Verdana"/>
          <w:color w:val="000000"/>
          <w:lang w:val="es-MX"/>
        </w:rPr>
        <w:t>2</w:t>
      </w:r>
      <w:r w:rsidRPr="00D86CA8">
        <w:rPr>
          <w:rFonts w:ascii="Verdana" w:hAnsi="Verdana" w:cs="Verdana"/>
          <w:color w:val="000000"/>
          <w:lang w:val="es-MX"/>
        </w:rPr>
        <w:t xml:space="preserve"> de </w:t>
      </w:r>
      <w:r w:rsidR="00F97A95">
        <w:rPr>
          <w:rFonts w:ascii="Verdana" w:hAnsi="Verdana" w:cs="Verdana"/>
          <w:color w:val="000000"/>
          <w:lang w:val="es-MX"/>
        </w:rPr>
        <w:t>noviembre</w:t>
      </w:r>
      <w:r w:rsidRPr="00D86CA8">
        <w:rPr>
          <w:rFonts w:ascii="Verdana" w:hAnsi="Verdana" w:cs="Verdana"/>
          <w:color w:val="000000"/>
          <w:lang w:val="es-MX"/>
        </w:rPr>
        <w:t xml:space="preserve"> de 2025</w:t>
      </w:r>
    </w:p>
    <w:p w14:paraId="16226314" w14:textId="77777777" w:rsidR="00ED4151" w:rsidRDefault="00ED4151" w:rsidP="00ED4151">
      <w:pPr>
        <w:spacing w:after="0" w:line="240" w:lineRule="auto"/>
        <w:jc w:val="both"/>
        <w:rPr>
          <w:rFonts w:ascii="Verdana" w:eastAsia="Calibri" w:hAnsi="Verdana" w:cs="Arial"/>
          <w:color w:val="000000"/>
          <w:lang w:val="es-ES"/>
        </w:rPr>
      </w:pPr>
    </w:p>
    <w:p w14:paraId="00D66245" w14:textId="25F5BFD3" w:rsidR="00F24AF3" w:rsidRPr="00D86CA8" w:rsidRDefault="00F24AF3" w:rsidP="00F24AF3">
      <w:pPr>
        <w:spacing w:after="0" w:line="240" w:lineRule="auto"/>
        <w:ind w:left="4956"/>
        <w:jc w:val="both"/>
        <w:rPr>
          <w:rFonts w:ascii="Verdana" w:eastAsia="Calibri" w:hAnsi="Verdana" w:cs="Arial"/>
          <w:color w:val="000000"/>
          <w:lang w:val="es-ES"/>
        </w:rPr>
      </w:pPr>
      <w:r>
        <w:rPr>
          <w:noProof/>
        </w:rPr>
        <w:drawing>
          <wp:inline distT="0" distB="0" distL="0" distR="0" wp14:anchorId="5FCCC1B7" wp14:editId="4D306EEF">
            <wp:extent cx="2657475" cy="733425"/>
            <wp:effectExtent l="0" t="0" r="9525" b="9525"/>
            <wp:docPr id="18050308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5030885" name=""/>
                    <pic:cNvPicPr/>
                  </pic:nvPicPr>
                  <pic:blipFill>
                    <a:blip r:embed="rId11"/>
                    <a:stretch>
                      <a:fillRect/>
                    </a:stretch>
                  </pic:blipFill>
                  <pic:spPr>
                    <a:xfrm>
                      <a:off x="0" y="0"/>
                      <a:ext cx="2657475" cy="733425"/>
                    </a:xfrm>
                    <a:prstGeom prst="rect">
                      <a:avLst/>
                    </a:prstGeom>
                  </pic:spPr>
                </pic:pic>
              </a:graphicData>
            </a:graphic>
          </wp:inline>
        </w:drawing>
      </w:r>
    </w:p>
    <w:p w14:paraId="403FB342" w14:textId="77777777" w:rsidR="00ED4151" w:rsidRPr="00D86CA8" w:rsidRDefault="00ED4151" w:rsidP="00ED4151">
      <w:pPr>
        <w:spacing w:after="0" w:line="240" w:lineRule="auto"/>
        <w:jc w:val="both"/>
        <w:rPr>
          <w:rFonts w:ascii="Verdana" w:eastAsia="Calibri" w:hAnsi="Verdana" w:cs="Arial"/>
          <w:lang w:val="es-ES" w:eastAsia="es-ES"/>
        </w:rPr>
      </w:pPr>
      <w:r w:rsidRPr="00D86CA8">
        <w:rPr>
          <w:rFonts w:ascii="Verdana" w:eastAsia="Calibri" w:hAnsi="Verdana" w:cs="Arial"/>
          <w:lang w:val="es-ES" w:eastAsia="es-ES"/>
        </w:rPr>
        <w:t>Señor</w:t>
      </w:r>
    </w:p>
    <w:p w14:paraId="66CCBF45" w14:textId="77777777" w:rsidR="00ED4151" w:rsidRPr="00D86CA8" w:rsidRDefault="00ED4151" w:rsidP="00ED4151">
      <w:pPr>
        <w:spacing w:after="0" w:line="240" w:lineRule="auto"/>
        <w:rPr>
          <w:rFonts w:ascii="Verdana" w:eastAsia="Calibri" w:hAnsi="Verdana" w:cs="Arial"/>
          <w:b/>
          <w:lang w:val="es-ES_tradnl" w:eastAsia="es-ES_tradnl"/>
        </w:rPr>
      </w:pPr>
      <w:r w:rsidRPr="00D86CA8">
        <w:rPr>
          <w:rFonts w:ascii="Verdana" w:eastAsia="Calibri" w:hAnsi="Verdana" w:cs="Arial"/>
          <w:b/>
          <w:lang w:val="es-ES_tradnl" w:eastAsia="es-ES_tradnl"/>
        </w:rPr>
        <w:t xml:space="preserve">Juan Camilo Jiménez Bermúdez </w:t>
      </w:r>
    </w:p>
    <w:p w14:paraId="57D2A12B" w14:textId="77777777" w:rsidR="00ED4151" w:rsidRPr="00D86CA8" w:rsidRDefault="00ED4151" w:rsidP="00ED4151">
      <w:pPr>
        <w:spacing w:after="0" w:line="240" w:lineRule="auto"/>
        <w:rPr>
          <w:rFonts w:ascii="Verdana" w:hAnsi="Verdana"/>
        </w:rPr>
      </w:pPr>
      <w:r w:rsidRPr="00D86CA8">
        <w:rPr>
          <w:rFonts w:ascii="Verdana" w:hAnsi="Verdana"/>
        </w:rPr>
        <w:t>legalex.notificaciones@gmail.com</w:t>
      </w:r>
    </w:p>
    <w:p w14:paraId="467DC610" w14:textId="77777777" w:rsidR="00ED4151" w:rsidRPr="00D86CA8" w:rsidRDefault="00ED4151" w:rsidP="00ED4151">
      <w:pPr>
        <w:spacing w:after="0" w:line="240" w:lineRule="auto"/>
        <w:rPr>
          <w:rFonts w:ascii="Verdana" w:eastAsia="Calibri" w:hAnsi="Verdana" w:cs="Arial"/>
          <w:lang w:val="es-ES" w:eastAsia="es-ES"/>
        </w:rPr>
      </w:pPr>
      <w:r w:rsidRPr="00D86CA8">
        <w:rPr>
          <w:rFonts w:ascii="Verdana" w:eastAsia="Calibri" w:hAnsi="Verdana" w:cs="Arial"/>
          <w:lang w:val="es-ES" w:eastAsia="es-ES"/>
        </w:rPr>
        <w:t>Zipaquirá, Cundinamarca</w:t>
      </w:r>
    </w:p>
    <w:p w14:paraId="62242CAD" w14:textId="77777777" w:rsidR="00ED4151" w:rsidRPr="00D86CA8" w:rsidRDefault="00ED4151" w:rsidP="00ED4151">
      <w:pPr>
        <w:spacing w:after="0" w:line="240" w:lineRule="auto"/>
        <w:rPr>
          <w:rFonts w:ascii="Verdana" w:eastAsia="Calibri" w:hAnsi="Verdana" w:cs="Arial"/>
          <w:b/>
          <w:bCs/>
          <w:color w:val="000000"/>
          <w:lang w:val="es-ES_tradnl" w:eastAsia="es-ES_tradnl"/>
        </w:rPr>
      </w:pPr>
    </w:p>
    <w:p w14:paraId="20D2D306" w14:textId="77777777" w:rsidR="00ED4151" w:rsidRPr="00D86CA8" w:rsidRDefault="00ED4151" w:rsidP="00ED415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D4151" w:rsidRPr="00D86CA8" w14:paraId="2870D53E" w14:textId="77777777" w:rsidTr="0084588D">
        <w:trPr>
          <w:trHeight w:val="884"/>
        </w:trPr>
        <w:tc>
          <w:tcPr>
            <w:tcW w:w="2689" w:type="dxa"/>
          </w:tcPr>
          <w:p w14:paraId="52F64F6A" w14:textId="77777777" w:rsidR="00ED4151" w:rsidRPr="00D86CA8" w:rsidRDefault="00ED4151" w:rsidP="00565C08">
            <w:pPr>
              <w:jc w:val="both"/>
              <w:rPr>
                <w:rFonts w:ascii="Verdana" w:eastAsia="Calibri" w:hAnsi="Verdana" w:cs="Arial"/>
                <w:b/>
                <w:bCs/>
                <w:color w:val="7030A0"/>
                <w:lang w:val="es-ES_tradnl" w:eastAsia="es-ES_tradnl"/>
              </w:rPr>
            </w:pPr>
          </w:p>
        </w:tc>
        <w:tc>
          <w:tcPr>
            <w:tcW w:w="6100" w:type="dxa"/>
          </w:tcPr>
          <w:p w14:paraId="4E51853A" w14:textId="77777777" w:rsidR="00ED4151" w:rsidRPr="00D86CA8" w:rsidRDefault="00ED4151" w:rsidP="00565C08">
            <w:pPr>
              <w:jc w:val="both"/>
              <w:rPr>
                <w:rFonts w:ascii="Verdana" w:eastAsia="Calibri" w:hAnsi="Verdana" w:cs="Arial"/>
                <w:b/>
                <w:bCs/>
                <w:color w:val="7030A0"/>
                <w:lang w:val="es-ES" w:eastAsia="es-ES"/>
              </w:rPr>
            </w:pPr>
            <w:r w:rsidRPr="00D86CA8">
              <w:rPr>
                <w:rFonts w:ascii="Verdana" w:eastAsia="Calibri" w:hAnsi="Verdana" w:cs="Arial"/>
                <w:b/>
                <w:bCs/>
                <w:lang w:val="es-ES" w:eastAsia="es-ES"/>
              </w:rPr>
              <w:t>Concepto C – 1418 de 2025</w:t>
            </w:r>
          </w:p>
        </w:tc>
      </w:tr>
      <w:tr w:rsidR="00ED4151" w:rsidRPr="00D86CA8" w14:paraId="08A7B715" w14:textId="77777777" w:rsidTr="0084588D">
        <w:trPr>
          <w:trHeight w:val="884"/>
        </w:trPr>
        <w:tc>
          <w:tcPr>
            <w:tcW w:w="2689" w:type="dxa"/>
          </w:tcPr>
          <w:p w14:paraId="0BB176D4" w14:textId="77777777" w:rsidR="00ED4151" w:rsidRPr="00D86CA8" w:rsidRDefault="00ED4151" w:rsidP="00565C08">
            <w:pPr>
              <w:jc w:val="both"/>
              <w:rPr>
                <w:rFonts w:ascii="Verdana" w:eastAsia="Calibri" w:hAnsi="Verdana" w:cs="Arial"/>
                <w:color w:val="000000"/>
                <w:lang w:val="es-ES_tradnl" w:eastAsia="es-ES_tradnl"/>
              </w:rPr>
            </w:pPr>
            <w:r w:rsidRPr="00D86CA8">
              <w:rPr>
                <w:rFonts w:ascii="Verdana" w:eastAsia="Calibri" w:hAnsi="Verdana" w:cs="Arial"/>
                <w:b/>
                <w:color w:val="000000"/>
                <w:lang w:val="es-ES_tradnl" w:eastAsia="es-ES_tradnl"/>
              </w:rPr>
              <w:t>Temas:</w:t>
            </w:r>
            <w:r w:rsidRPr="00D86CA8">
              <w:rPr>
                <w:rFonts w:ascii="Verdana" w:eastAsia="Calibri" w:hAnsi="Verdana" w:cs="Arial"/>
                <w:color w:val="000000"/>
                <w:lang w:val="es-ES_tradnl" w:eastAsia="es-ES_tradnl"/>
              </w:rPr>
              <w:t xml:space="preserve">                   </w:t>
            </w:r>
          </w:p>
        </w:tc>
        <w:tc>
          <w:tcPr>
            <w:tcW w:w="6100" w:type="dxa"/>
          </w:tcPr>
          <w:p w14:paraId="32286B8C" w14:textId="77777777" w:rsidR="00ED4151" w:rsidRPr="00D86CA8" w:rsidRDefault="00ED4151" w:rsidP="00565C08">
            <w:pPr>
              <w:spacing w:line="276" w:lineRule="auto"/>
              <w:jc w:val="both"/>
              <w:rPr>
                <w:rFonts w:ascii="Verdana" w:eastAsia="Calibri" w:hAnsi="Verdana" w:cs="Arial"/>
                <w:lang w:val="es-ES" w:eastAsia="es-ES"/>
              </w:rPr>
            </w:pPr>
            <w:r w:rsidRPr="00D86CA8">
              <w:rPr>
                <w:rFonts w:ascii="Verdana" w:eastAsia="Calibri" w:hAnsi="Verdana" w:cs="Arial"/>
                <w:lang w:val="es-ES" w:eastAsia="es-ES"/>
              </w:rPr>
              <w:t xml:space="preserve">CESIÓN DEL CONTRATO ESTATAL – Noción / CESIÓN DEL CONTRATO ESTATAL – Régimen jurídico aplicable – EGCAP – Código de comercio / CESIÓN DEL CONTRATO ESTATAL – Requisitos – Restricciones                     </w:t>
            </w:r>
          </w:p>
          <w:p w14:paraId="53B2AD1B" w14:textId="77777777" w:rsidR="00ED4151" w:rsidRPr="00D86CA8" w:rsidRDefault="00ED4151" w:rsidP="00565C08">
            <w:pPr>
              <w:spacing w:line="276" w:lineRule="auto"/>
              <w:jc w:val="both"/>
              <w:rPr>
                <w:rFonts w:ascii="Verdana" w:eastAsia="Calibri" w:hAnsi="Verdana" w:cs="Arial"/>
                <w:lang w:val="es-ES" w:eastAsia="es-ES"/>
              </w:rPr>
            </w:pPr>
            <w:r w:rsidRPr="00D86CA8">
              <w:rPr>
                <w:rFonts w:ascii="Verdana" w:eastAsia="Calibri" w:hAnsi="Verdana" w:cs="Arial"/>
                <w:lang w:val="es-ES" w:eastAsia="es-ES"/>
              </w:rPr>
              <w:t xml:space="preserve">  </w:t>
            </w:r>
          </w:p>
        </w:tc>
      </w:tr>
      <w:tr w:rsidR="00ED4151" w:rsidRPr="00D86CA8" w14:paraId="2C1C005D" w14:textId="77777777" w:rsidTr="0084588D">
        <w:tc>
          <w:tcPr>
            <w:tcW w:w="2689" w:type="dxa"/>
          </w:tcPr>
          <w:p w14:paraId="2527650A" w14:textId="77777777" w:rsidR="00ED4151" w:rsidRPr="00D86CA8" w:rsidRDefault="00ED4151" w:rsidP="00565C08">
            <w:pPr>
              <w:jc w:val="both"/>
              <w:rPr>
                <w:rFonts w:ascii="Verdana" w:eastAsia="Calibri" w:hAnsi="Verdana" w:cs="Arial"/>
                <w:b/>
                <w:lang w:val="es-ES_tradnl" w:eastAsia="es-ES_tradnl"/>
              </w:rPr>
            </w:pPr>
            <w:r w:rsidRPr="00D86CA8">
              <w:rPr>
                <w:rFonts w:ascii="Verdana" w:eastAsia="Calibri" w:hAnsi="Verdana" w:cs="Arial"/>
                <w:b/>
                <w:lang w:val="es-ES_tradnl" w:eastAsia="es-ES_tradnl"/>
              </w:rPr>
              <w:t>Radicación:</w:t>
            </w:r>
            <w:r w:rsidRPr="00D86CA8">
              <w:rPr>
                <w:rFonts w:ascii="Verdana" w:eastAsia="Calibri" w:hAnsi="Verdana" w:cs="Arial"/>
                <w:lang w:val="es-ES_tradnl" w:eastAsia="es-ES_tradnl"/>
              </w:rPr>
              <w:t xml:space="preserve">               </w:t>
            </w:r>
          </w:p>
        </w:tc>
        <w:tc>
          <w:tcPr>
            <w:tcW w:w="6100" w:type="dxa"/>
          </w:tcPr>
          <w:p w14:paraId="735C0440" w14:textId="77777777" w:rsidR="00ED4151" w:rsidRPr="00D86CA8" w:rsidRDefault="00ED4151" w:rsidP="00565C08">
            <w:pPr>
              <w:spacing w:line="276" w:lineRule="auto"/>
              <w:jc w:val="both"/>
              <w:rPr>
                <w:rFonts w:ascii="Verdana" w:eastAsia="Calibri" w:hAnsi="Verdana" w:cs="Arial"/>
                <w:lang w:val="es-ES_tradnl" w:eastAsia="es-ES_tradnl"/>
              </w:rPr>
            </w:pPr>
            <w:r w:rsidRPr="00D86CA8">
              <w:rPr>
                <w:rFonts w:ascii="Verdana" w:eastAsia="Calibri" w:hAnsi="Verdana" w:cs="Arial"/>
                <w:lang w:val="es-ES_tradnl" w:eastAsia="es-ES_tradnl"/>
              </w:rPr>
              <w:t xml:space="preserve">Respuesta a la consulta con radicado No. 1_2025_10_01_010930                                     </w:t>
            </w:r>
          </w:p>
        </w:tc>
      </w:tr>
    </w:tbl>
    <w:p w14:paraId="4946C607" w14:textId="77777777" w:rsidR="00ED4151" w:rsidRPr="00D86CA8" w:rsidRDefault="00ED4151" w:rsidP="00ED4151">
      <w:pPr>
        <w:spacing w:after="0" w:line="240" w:lineRule="auto"/>
        <w:jc w:val="both"/>
        <w:rPr>
          <w:rFonts w:ascii="Verdana" w:eastAsia="Calibri" w:hAnsi="Verdana" w:cs="Arial"/>
          <w:color w:val="000000"/>
          <w:lang w:val="es-ES_tradnl" w:eastAsia="es-ES_tradnl"/>
        </w:rPr>
      </w:pPr>
    </w:p>
    <w:p w14:paraId="3B27D701" w14:textId="77777777" w:rsidR="00ED4151" w:rsidRPr="00D86CA8" w:rsidRDefault="00ED4151" w:rsidP="00ED4151">
      <w:pPr>
        <w:spacing w:after="0" w:line="240" w:lineRule="auto"/>
        <w:jc w:val="both"/>
        <w:rPr>
          <w:rFonts w:ascii="Verdana" w:eastAsia="Calibri" w:hAnsi="Verdana" w:cs="Arial"/>
          <w:color w:val="000000"/>
          <w:lang w:val="es-ES_tradnl" w:eastAsia="es-ES_tradnl"/>
        </w:rPr>
      </w:pPr>
    </w:p>
    <w:p w14:paraId="027020C0" w14:textId="77777777" w:rsidR="00ED4151" w:rsidRPr="00D86CA8" w:rsidRDefault="00ED4151" w:rsidP="00ED4151">
      <w:pPr>
        <w:spacing w:after="0" w:line="276" w:lineRule="auto"/>
        <w:jc w:val="both"/>
        <w:rPr>
          <w:rFonts w:ascii="Verdana" w:eastAsia="Calibri" w:hAnsi="Verdana" w:cs="Arial"/>
          <w:lang w:val="es-ES" w:eastAsia="es-ES"/>
        </w:rPr>
      </w:pPr>
      <w:r w:rsidRPr="00D86CA8">
        <w:rPr>
          <w:rFonts w:ascii="Verdana" w:eastAsia="Calibri" w:hAnsi="Verdana" w:cs="Arial"/>
          <w:lang w:val="es-ES" w:eastAsia="es-ES"/>
        </w:rPr>
        <w:t xml:space="preserve">Estimado señor Jiménez Bermúdez: </w:t>
      </w:r>
    </w:p>
    <w:p w14:paraId="22A521FF" w14:textId="77777777" w:rsidR="00ED4151" w:rsidRPr="00D86CA8" w:rsidRDefault="00ED4151" w:rsidP="00ED4151">
      <w:pPr>
        <w:tabs>
          <w:tab w:val="left" w:pos="3768"/>
        </w:tabs>
        <w:spacing w:after="0" w:line="276" w:lineRule="auto"/>
        <w:jc w:val="both"/>
        <w:rPr>
          <w:rFonts w:ascii="Verdana" w:eastAsia="Calibri" w:hAnsi="Verdana" w:cs="Arial"/>
          <w:color w:val="000000" w:themeColor="text1"/>
          <w:lang w:val="es-ES" w:eastAsia="es-ES"/>
        </w:rPr>
      </w:pPr>
      <w:r w:rsidRPr="00D86CA8">
        <w:rPr>
          <w:rFonts w:ascii="Verdana" w:eastAsia="Calibri" w:hAnsi="Verdana" w:cs="Arial"/>
          <w:color w:val="000000" w:themeColor="text1"/>
          <w:lang w:val="es-ES" w:eastAsia="es-ES"/>
        </w:rPr>
        <w:tab/>
      </w:r>
    </w:p>
    <w:p w14:paraId="3415E89D" w14:textId="77777777" w:rsidR="00ED4151" w:rsidRPr="00D86CA8" w:rsidRDefault="00ED4151" w:rsidP="00ED4151">
      <w:pPr>
        <w:spacing w:after="0" w:line="276" w:lineRule="auto"/>
        <w:jc w:val="both"/>
        <w:rPr>
          <w:rFonts w:ascii="Verdana" w:eastAsia="Calibri" w:hAnsi="Verdana" w:cs="Arial"/>
          <w:color w:val="7030A0"/>
          <w:lang w:val="es-ES" w:eastAsia="es-ES"/>
        </w:rPr>
      </w:pPr>
      <w:r w:rsidRPr="00D86CA8">
        <w:rPr>
          <w:rFonts w:ascii="Verdana" w:eastAsia="Calibri" w:hAnsi="Verdana" w:cs="Arial"/>
          <w:color w:val="000000" w:themeColor="text1"/>
          <w:lang w:val="es-ES" w:eastAsia="es-ES"/>
        </w:rPr>
        <w:t>En ejercicio de la competencia otorgada por los artículos 3, numeral 5º, y 11, numeral 8º, del Decreto Ley 4170 de 2011,</w:t>
      </w:r>
      <w:r w:rsidRPr="00D86CA8">
        <w:rPr>
          <w:rFonts w:ascii="Verdana" w:eastAsia="Arial MT" w:hAnsi="Verdana" w:cs="Arial MT"/>
          <w:lang w:val="es-ES" w:eastAsia="es-ES"/>
        </w:rPr>
        <w:t xml:space="preserve"> </w:t>
      </w:r>
      <w:r w:rsidRPr="00D86CA8">
        <w:rPr>
          <w:rFonts w:ascii="Verdana" w:hAnsi="Verdana" w:cs="Arial"/>
        </w:rPr>
        <w:t xml:space="preserve">así como lo establecido en el artículo 4 de la Resolución 1707 de 2018 expedida por esta Entidad, </w:t>
      </w:r>
      <w:r w:rsidRPr="00D86CA8">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D86CA8">
        <w:rPr>
          <w:rFonts w:ascii="Verdana" w:eastAsia="Calibri" w:hAnsi="Verdana" w:cs="Arial"/>
          <w:lang w:val="es-ES" w:eastAsia="es-ES"/>
        </w:rPr>
        <w:t xml:space="preserve">fecha 01 de octubre de 2025, en la cual manifiesta lo siguiente: </w:t>
      </w:r>
    </w:p>
    <w:p w14:paraId="4789A9A0" w14:textId="77777777" w:rsidR="00ED4151" w:rsidRPr="00D86CA8" w:rsidRDefault="00ED4151" w:rsidP="00ED4151">
      <w:pPr>
        <w:pStyle w:val="Prrafodelista"/>
        <w:tabs>
          <w:tab w:val="left" w:pos="142"/>
          <w:tab w:val="left" w:pos="284"/>
        </w:tabs>
        <w:spacing w:after="0" w:line="276" w:lineRule="auto"/>
        <w:ind w:left="0"/>
        <w:jc w:val="both"/>
        <w:rPr>
          <w:rFonts w:ascii="Verdana" w:eastAsia="Century Gothic" w:hAnsi="Verdana" w:cs="Century Gothic"/>
          <w:b/>
          <w:bCs/>
        </w:rPr>
      </w:pPr>
    </w:p>
    <w:p w14:paraId="073D29C2" w14:textId="77777777" w:rsidR="00ED4151" w:rsidRPr="00D86CA8" w:rsidRDefault="00ED4151" w:rsidP="00ED4151">
      <w:pPr>
        <w:spacing w:after="120" w:line="240" w:lineRule="auto"/>
        <w:ind w:left="709" w:right="709"/>
        <w:jc w:val="both"/>
        <w:rPr>
          <w:rFonts w:ascii="Verdana" w:eastAsia="Century Gothic" w:hAnsi="Verdana" w:cs="Century Gothic"/>
          <w:sz w:val="21"/>
          <w:szCs w:val="21"/>
          <w:lang w:val="es-ES"/>
        </w:rPr>
      </w:pPr>
      <w:bookmarkStart w:id="0" w:name="_Hlk95313578"/>
      <w:r w:rsidRPr="00D86CA8">
        <w:rPr>
          <w:rFonts w:ascii="Verdana" w:eastAsia="Century Gothic" w:hAnsi="Verdana" w:cs="Century Gothic"/>
          <w:sz w:val="21"/>
          <w:szCs w:val="21"/>
          <w:lang w:val="es-ES"/>
        </w:rPr>
        <w:t>“</w:t>
      </w:r>
      <w:bookmarkEnd w:id="0"/>
      <w:r w:rsidRPr="00D86CA8">
        <w:rPr>
          <w:rFonts w:ascii="Verdana" w:eastAsia="Century Gothic" w:hAnsi="Verdana" w:cs="Century Gothic"/>
          <w:sz w:val="21"/>
          <w:szCs w:val="21"/>
          <w:lang w:val="es-ES"/>
        </w:rPr>
        <w:t>¿La legislación de contratación pública permite ceder únicamente los efectos patrimoniales de un contrato, sin transferir la ejecución ni las obligaciones contractuales?</w:t>
      </w:r>
    </w:p>
    <w:p w14:paraId="5077A7A8" w14:textId="77777777" w:rsidR="00ED4151" w:rsidRPr="00D86CA8" w:rsidRDefault="00ED4151" w:rsidP="00ED4151">
      <w:pPr>
        <w:spacing w:after="120" w:line="240" w:lineRule="auto"/>
        <w:ind w:left="709" w:right="709"/>
        <w:jc w:val="both"/>
        <w:rPr>
          <w:rFonts w:ascii="Verdana" w:eastAsia="Century Gothic" w:hAnsi="Verdana" w:cs="Century Gothic"/>
          <w:sz w:val="21"/>
          <w:szCs w:val="21"/>
          <w:lang w:val="es-ES"/>
        </w:rPr>
      </w:pPr>
      <w:r w:rsidRPr="00D86CA8">
        <w:rPr>
          <w:rFonts w:ascii="Verdana" w:eastAsia="Century Gothic" w:hAnsi="Verdana" w:cs="Century Gothic"/>
          <w:sz w:val="21"/>
          <w:szCs w:val="21"/>
          <w:lang w:val="es-ES"/>
        </w:rPr>
        <w:t>¿Se requiere autorización expresa de la entidad estatal para ceder los efectos patrimoniales, o basta con una notificación?</w:t>
      </w:r>
    </w:p>
    <w:p w14:paraId="1967AA01" w14:textId="77777777" w:rsidR="00ED4151" w:rsidRPr="00D86CA8" w:rsidRDefault="00ED4151" w:rsidP="00ED4151">
      <w:pPr>
        <w:spacing w:after="120" w:line="240" w:lineRule="auto"/>
        <w:ind w:left="709" w:right="709"/>
        <w:jc w:val="both"/>
        <w:rPr>
          <w:rFonts w:ascii="Verdana" w:eastAsia="Century Gothic" w:hAnsi="Verdana" w:cs="Century Gothic"/>
          <w:sz w:val="21"/>
          <w:szCs w:val="21"/>
          <w:lang w:val="es-ES"/>
        </w:rPr>
      </w:pPr>
      <w:r w:rsidRPr="00D86CA8">
        <w:rPr>
          <w:rFonts w:ascii="Verdana" w:eastAsia="Century Gothic" w:hAnsi="Verdana" w:cs="Century Gothic"/>
          <w:sz w:val="21"/>
          <w:szCs w:val="21"/>
          <w:lang w:val="es-ES"/>
        </w:rPr>
        <w:lastRenderedPageBreak/>
        <w:t>¿Existen restricciones legales que impidan que un tercero reciba directamente los pagos de la entidad contratante?” (sic)</w:t>
      </w:r>
    </w:p>
    <w:p w14:paraId="38F1B743" w14:textId="77777777" w:rsidR="00ED4151" w:rsidRPr="00D86CA8" w:rsidRDefault="00ED4151" w:rsidP="00ED4151">
      <w:pPr>
        <w:spacing w:after="120" w:line="276" w:lineRule="auto"/>
        <w:ind w:firstLine="709"/>
        <w:jc w:val="both"/>
        <w:rPr>
          <w:rFonts w:ascii="Verdana" w:eastAsia="Calibri" w:hAnsi="Verdana" w:cs="Arial"/>
          <w:color w:val="000000"/>
          <w:lang w:val="es-ES" w:eastAsia="es-ES"/>
        </w:rPr>
      </w:pPr>
      <w:r w:rsidRPr="00D86CA8">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D86CA8">
        <w:rPr>
          <w:rFonts w:ascii="Verdana" w:eastAsia="Calibri" w:hAnsi="Verdana" w:cs="Arial"/>
          <w:color w:val="000000"/>
          <w:szCs w:val="24"/>
          <w:lang w:val="es-ES_tradnl" w:eastAsia="es-ES_tradnl"/>
        </w:rPr>
        <w:tab/>
      </w:r>
    </w:p>
    <w:p w14:paraId="2C106972" w14:textId="77777777" w:rsidR="00ED4151" w:rsidRPr="00D86CA8" w:rsidRDefault="00ED4151" w:rsidP="00ED4151">
      <w:pPr>
        <w:spacing w:after="0" w:line="276" w:lineRule="auto"/>
        <w:ind w:firstLine="709"/>
        <w:jc w:val="both"/>
        <w:rPr>
          <w:rFonts w:ascii="Verdana" w:eastAsia="Calibri" w:hAnsi="Verdana" w:cs="Arial"/>
          <w:color w:val="000000"/>
          <w:lang w:val="es-ES" w:eastAsia="es-ES"/>
        </w:rPr>
      </w:pPr>
      <w:r w:rsidRPr="00D86CA8">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específicas que la hayan motivado, pero haciendo unas consideraciones sobre las normas generales relacionadas con el</w:t>
      </w:r>
      <w:r w:rsidRPr="00D86CA8">
        <w:rPr>
          <w:rFonts w:ascii="Verdana" w:eastAsia="Calibri" w:hAnsi="Verdana" w:cs="Arial"/>
          <w:color w:val="7030A0"/>
          <w:lang w:val="es-ES" w:eastAsia="es-ES"/>
        </w:rPr>
        <w:t xml:space="preserve"> </w:t>
      </w:r>
      <w:r w:rsidRPr="00D86CA8">
        <w:rPr>
          <w:rFonts w:ascii="Verdana" w:eastAsia="Calibri" w:hAnsi="Verdana" w:cs="Arial"/>
          <w:color w:val="000000"/>
          <w:lang w:val="es-ES" w:eastAsia="es-ES"/>
        </w:rPr>
        <w:t>problema</w:t>
      </w:r>
      <w:r w:rsidRPr="00D86CA8">
        <w:rPr>
          <w:rFonts w:ascii="Verdana" w:eastAsia="Calibri" w:hAnsi="Verdana" w:cs="Arial"/>
          <w:color w:val="7030A0"/>
          <w:lang w:val="es-ES" w:eastAsia="es-ES"/>
        </w:rPr>
        <w:t xml:space="preserve"> </w:t>
      </w:r>
      <w:r w:rsidRPr="00D86CA8">
        <w:rPr>
          <w:rFonts w:ascii="Verdana" w:eastAsia="Calibri" w:hAnsi="Verdana" w:cs="Arial"/>
          <w:color w:val="000000"/>
          <w:lang w:val="es-ES" w:eastAsia="es-ES"/>
        </w:rPr>
        <w:t>jurídico</w:t>
      </w:r>
      <w:r w:rsidRPr="00D86CA8">
        <w:rPr>
          <w:rFonts w:ascii="Verdana" w:eastAsia="Calibri" w:hAnsi="Verdana" w:cs="Arial"/>
          <w:color w:val="7030A0"/>
          <w:lang w:val="es-ES" w:eastAsia="es-ES"/>
        </w:rPr>
        <w:t xml:space="preserve"> </w:t>
      </w:r>
      <w:r w:rsidRPr="00D86CA8">
        <w:rPr>
          <w:rFonts w:ascii="Verdana" w:eastAsia="Calibri" w:hAnsi="Verdana" w:cs="Arial"/>
          <w:color w:val="000000"/>
          <w:lang w:val="es-ES" w:eastAsia="es-ES"/>
        </w:rPr>
        <w:t xml:space="preserve">de su consulta.  </w:t>
      </w:r>
    </w:p>
    <w:p w14:paraId="0CAA07AB" w14:textId="77777777" w:rsidR="00ED4151" w:rsidRPr="00D86CA8" w:rsidRDefault="00ED4151" w:rsidP="00ED4151">
      <w:pPr>
        <w:spacing w:after="0" w:line="276" w:lineRule="auto"/>
        <w:ind w:firstLine="709"/>
        <w:jc w:val="both"/>
        <w:rPr>
          <w:rFonts w:ascii="Verdana" w:eastAsia="Calibri" w:hAnsi="Verdana" w:cs="Arial"/>
          <w:color w:val="000000"/>
          <w:lang w:val="es-ES" w:eastAsia="es-ES"/>
        </w:rPr>
      </w:pPr>
    </w:p>
    <w:p w14:paraId="71F4E902" w14:textId="77777777" w:rsidR="00ED4151" w:rsidRPr="00D86CA8" w:rsidRDefault="00ED4151" w:rsidP="00ED415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86CA8">
        <w:rPr>
          <w:rFonts w:ascii="Verdana" w:eastAsia="Century Gothic" w:hAnsi="Verdana" w:cs="Century Gothic"/>
          <w:b/>
          <w:bCs/>
        </w:rPr>
        <w:t>Problema planteado:</w:t>
      </w:r>
    </w:p>
    <w:p w14:paraId="5B9BF347" w14:textId="77777777" w:rsidR="00ED4151" w:rsidRPr="00D86CA8" w:rsidRDefault="00ED4151" w:rsidP="00ED4151">
      <w:pPr>
        <w:tabs>
          <w:tab w:val="left" w:pos="426"/>
        </w:tabs>
        <w:spacing w:after="0" w:line="276" w:lineRule="auto"/>
        <w:jc w:val="both"/>
        <w:rPr>
          <w:rFonts w:ascii="Verdana" w:eastAsia="Century Gothic" w:hAnsi="Verdana" w:cs="Century Gothic"/>
          <w:lang w:val="es-ES"/>
        </w:rPr>
      </w:pPr>
    </w:p>
    <w:p w14:paraId="08D0C6E2" w14:textId="4DF6C87D" w:rsidR="00ED4151" w:rsidRPr="00D86CA8" w:rsidRDefault="00ED4151" w:rsidP="00ED4151">
      <w:pPr>
        <w:spacing w:after="0" w:line="276" w:lineRule="auto"/>
        <w:jc w:val="both"/>
        <w:rPr>
          <w:rFonts w:ascii="Verdana" w:eastAsia="Century Gothic" w:hAnsi="Verdana" w:cs="Century Gothic"/>
        </w:rPr>
      </w:pPr>
      <w:r w:rsidRPr="00D86CA8">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w:t>
      </w:r>
      <w:r w:rsidRPr="0EF05198">
        <w:rPr>
          <w:rFonts w:ascii="Verdana" w:eastAsia="Century Gothic" w:hAnsi="Verdana" w:cs="Century Gothic"/>
        </w:rPr>
        <w:t>Cómo</w:t>
      </w:r>
      <w:r w:rsidRPr="0077789B">
        <w:rPr>
          <w:rFonts w:ascii="Verdana" w:eastAsia="Century Gothic" w:hAnsi="Verdana" w:cs="Century Gothic"/>
        </w:rPr>
        <w:t xml:space="preserve"> se encuentra regulada en la legislación colombiana la cesión de </w:t>
      </w:r>
      <w:r w:rsidR="6A394F4F" w:rsidRPr="0EF05198">
        <w:rPr>
          <w:rFonts w:ascii="Verdana" w:eastAsia="Century Gothic" w:hAnsi="Verdana" w:cs="Century Gothic"/>
        </w:rPr>
        <w:t xml:space="preserve">contratos y la </w:t>
      </w:r>
      <w:r w:rsidR="6A394F4F" w:rsidRPr="31518304">
        <w:rPr>
          <w:rFonts w:ascii="Verdana" w:eastAsia="Century Gothic" w:hAnsi="Verdana" w:cs="Century Gothic"/>
        </w:rPr>
        <w:t xml:space="preserve">cesión </w:t>
      </w:r>
      <w:r w:rsidRPr="0077789B">
        <w:rPr>
          <w:rFonts w:ascii="Verdana" w:eastAsia="Century Gothic" w:hAnsi="Verdana" w:cs="Century Gothic"/>
        </w:rPr>
        <w:t xml:space="preserve">derechos económicos derivados de contratos estatales, </w:t>
      </w:r>
      <w:proofErr w:type="gramStart"/>
      <w:r w:rsidRPr="0077789B">
        <w:rPr>
          <w:rFonts w:ascii="Verdana" w:eastAsia="Century Gothic" w:hAnsi="Verdana" w:cs="Century Gothic"/>
        </w:rPr>
        <w:t>cuáles son los requisitos legales exigidos para su validez y procedencia</w:t>
      </w:r>
      <w:r w:rsidRPr="00D86CA8">
        <w:rPr>
          <w:rFonts w:ascii="Verdana" w:eastAsia="Century Gothic" w:hAnsi="Verdana" w:cs="Century Gothic"/>
        </w:rPr>
        <w:t>?</w:t>
      </w:r>
      <w:proofErr w:type="gramEnd"/>
      <w:r w:rsidRPr="00D86CA8">
        <w:rPr>
          <w:rFonts w:ascii="Verdana" w:eastAsia="Century Gothic" w:hAnsi="Verdana" w:cs="Century Gothic"/>
        </w:rPr>
        <w:t xml:space="preserve">               </w:t>
      </w:r>
      <w:r w:rsidRPr="00D86CA8">
        <w:rPr>
          <w:rFonts w:ascii="Verdana" w:eastAsia="Century Gothic" w:hAnsi="Verdana" w:cs="Century Gothic"/>
          <w:color w:val="7030A0"/>
        </w:rPr>
        <w:t xml:space="preserve"> </w:t>
      </w:r>
    </w:p>
    <w:p w14:paraId="4C6A88A5" w14:textId="77777777" w:rsidR="00ED4151" w:rsidRPr="00D86CA8" w:rsidRDefault="00ED4151" w:rsidP="00ED4151">
      <w:pPr>
        <w:spacing w:after="0" w:line="276" w:lineRule="auto"/>
        <w:jc w:val="both"/>
        <w:rPr>
          <w:rFonts w:ascii="Verdana" w:eastAsia="Calibri" w:hAnsi="Verdana" w:cs="Arial"/>
          <w:color w:val="7030A0"/>
        </w:rPr>
      </w:pPr>
    </w:p>
    <w:p w14:paraId="2E08F2CA" w14:textId="0D7E4127" w:rsidR="00ED4151" w:rsidRPr="00D86CA8" w:rsidRDefault="00ED4151" w:rsidP="3151830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D86CA8">
        <w:rPr>
          <w:rFonts w:ascii="Verdana" w:eastAsia="Century Gothic" w:hAnsi="Verdana" w:cs="Century Gothic"/>
          <w:b/>
          <w:bCs/>
        </w:rPr>
        <w:t>Respuesta:</w:t>
      </w:r>
    </w:p>
    <w:p w14:paraId="285708D9" w14:textId="77777777" w:rsidR="00ED4151" w:rsidRPr="00D86CA8" w:rsidRDefault="00ED4151" w:rsidP="00ED415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D4151" w:rsidRPr="00D86CA8" w14:paraId="0E949064" w14:textId="77777777" w:rsidTr="447320B9">
        <w:trPr>
          <w:jc w:val="center"/>
        </w:trPr>
        <w:tc>
          <w:tcPr>
            <w:tcW w:w="8828" w:type="dxa"/>
          </w:tcPr>
          <w:p w14:paraId="3BB9B391" w14:textId="28FC0037" w:rsidR="00FB1758" w:rsidRPr="00F24AF3" w:rsidRDefault="00ED4151" w:rsidP="00F24AF3">
            <w:pPr>
              <w:spacing w:after="120" w:line="276" w:lineRule="auto"/>
              <w:ind w:right="51" w:firstLine="737"/>
              <w:jc w:val="both"/>
              <w:rPr>
                <w:rFonts w:ascii="Verdana" w:eastAsia="Calibri" w:hAnsi="Verdana" w:cs="Arial"/>
                <w:color w:val="000000" w:themeColor="text1"/>
              </w:rPr>
            </w:pPr>
            <w:bookmarkStart w:id="1" w:name="_Hlk171694685"/>
            <w:r w:rsidRPr="00D86CA8">
              <w:rPr>
                <w:rFonts w:ascii="Verdana" w:eastAsia="Calibri" w:hAnsi="Verdana" w:cs="Arial"/>
                <w:color w:val="000000" w:themeColor="text1"/>
              </w:rPr>
              <w:t xml:space="preserve">En relación con los requisitos para la autorización de la cesión del contrato estatal, el Consejo de Estado  ha precisado los siguientes: i) debe recaer en un tercero; </w:t>
            </w:r>
            <w:proofErr w:type="spellStart"/>
            <w:r w:rsidRPr="00D86CA8">
              <w:rPr>
                <w:rFonts w:ascii="Verdana" w:eastAsia="Calibri" w:hAnsi="Verdana" w:cs="Arial"/>
                <w:color w:val="000000" w:themeColor="text1"/>
              </w:rPr>
              <w:t>ii</w:t>
            </w:r>
            <w:proofErr w:type="spellEnd"/>
            <w:r w:rsidRPr="00D86CA8">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D86CA8">
              <w:rPr>
                <w:rFonts w:ascii="Verdana" w:eastAsia="Calibri" w:hAnsi="Verdana" w:cs="Arial"/>
                <w:color w:val="000000" w:themeColor="text1"/>
              </w:rPr>
              <w:t>iii</w:t>
            </w:r>
            <w:proofErr w:type="spellEnd"/>
            <w:r w:rsidRPr="00D86CA8">
              <w:rPr>
                <w:rFonts w:ascii="Verdana" w:eastAsia="Calibri" w:hAnsi="Verdana" w:cs="Arial"/>
                <w:color w:val="000000" w:themeColor="text1"/>
              </w:rPr>
              <w:t>) el cesionario debe contar con capacidad técnica, económica y financiera suficientes para el cumplimiento de las obligaciones emanadas del contrato cedido.</w:t>
            </w:r>
            <w:r w:rsidR="092030E8" w:rsidRPr="31518304">
              <w:rPr>
                <w:rFonts w:ascii="Verdana" w:eastAsia="Calibri" w:hAnsi="Verdana" w:cs="Arial"/>
                <w:color w:val="000000" w:themeColor="text1"/>
              </w:rPr>
              <w:t xml:space="preserve"> Debe tenerse </w:t>
            </w:r>
            <w:r w:rsidR="092030E8" w:rsidRPr="31518304">
              <w:rPr>
                <w:rFonts w:ascii="Verdana" w:eastAsia="Calibri" w:hAnsi="Verdana" w:cs="Arial"/>
                <w:color w:val="000000" w:themeColor="text1"/>
              </w:rPr>
              <w:lastRenderedPageBreak/>
              <w:t xml:space="preserve">en cuenta que la cesión de la posición contractual </w:t>
            </w:r>
            <w:r w:rsidR="0CCCE43A" w:rsidRPr="31518304">
              <w:rPr>
                <w:rFonts w:ascii="Verdana" w:eastAsia="Calibri" w:hAnsi="Verdana" w:cs="Arial"/>
                <w:color w:val="000000" w:themeColor="text1"/>
              </w:rPr>
              <w:t xml:space="preserve">es viable </w:t>
            </w:r>
            <w:r w:rsidR="092030E8" w:rsidRPr="31518304">
              <w:rPr>
                <w:rFonts w:ascii="Verdana" w:eastAsia="Calibri" w:hAnsi="Verdana" w:cs="Arial"/>
                <w:color w:val="000000" w:themeColor="text1"/>
              </w:rPr>
              <w:t>siempre que exista autorización previa escrita de la entidad contratante.</w:t>
            </w:r>
          </w:p>
          <w:p w14:paraId="12CC467D" w14:textId="5933C6C4" w:rsidR="002E3A84" w:rsidRDefault="004C5DFE" w:rsidP="002E3A84">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 xml:space="preserve">Ahora bien, en relación al problema jurídico planteado, </w:t>
            </w:r>
            <w:r w:rsidR="003F493B">
              <w:rPr>
                <w:rFonts w:ascii="Verdana" w:eastAsia="Calibri" w:hAnsi="Verdana" w:cs="Arial"/>
                <w:color w:val="000000" w:themeColor="text1"/>
              </w:rPr>
              <w:t>e</w:t>
            </w:r>
            <w:r w:rsidRPr="002E3A84">
              <w:rPr>
                <w:rFonts w:ascii="Verdana" w:eastAsia="Calibri" w:hAnsi="Verdana" w:cs="Arial"/>
                <w:color w:val="000000" w:themeColor="text1"/>
              </w:rPr>
              <w:t xml:space="preserve">l contrato estatal, como contrato bilateral y oneroso que es, genera obligaciones correlativas tanto para la entidad estatal contratante como para el contratista, que resultan equivalentes y comportan la ecuación financiera del contrato. Cuando el contratista cumple con las obligaciones de dar, hacer o no hacer, esto es, ejecuta las prestaciones a su cargo, surge para la entidad estatal la correlativa obligación de pagar la contraprestación, remuneración o precio pactado en favor del contratista. En derecho, pago es la ejecución de la prestación debida por el deudor, cualquiera que sea el objeto de </w:t>
            </w:r>
            <w:r w:rsidR="003F493B" w:rsidRPr="002E3A84">
              <w:rPr>
                <w:rFonts w:ascii="Verdana" w:eastAsia="Calibri" w:hAnsi="Verdana" w:cs="Arial"/>
                <w:color w:val="000000" w:themeColor="text1"/>
              </w:rPr>
              <w:t>ella.</w:t>
            </w:r>
          </w:p>
          <w:p w14:paraId="3D0587C5" w14:textId="77777777" w:rsidR="003F493B" w:rsidRPr="002E3A84" w:rsidRDefault="003F493B" w:rsidP="002E3A84">
            <w:pPr>
              <w:spacing w:line="276" w:lineRule="auto"/>
              <w:ind w:firstLine="709"/>
              <w:jc w:val="both"/>
              <w:rPr>
                <w:rFonts w:ascii="Verdana" w:eastAsia="Calibri" w:hAnsi="Verdana" w:cs="Arial"/>
                <w:color w:val="000000" w:themeColor="text1"/>
              </w:rPr>
            </w:pPr>
          </w:p>
          <w:p w14:paraId="6CAB3A60" w14:textId="0CB5531C" w:rsidR="002E3A84" w:rsidRPr="002E3A84" w:rsidRDefault="004C5DFE" w:rsidP="002E3A84">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 xml:space="preserve">El pago de la contraprestación a cargo de la entidad estatal, de conformidad con lo dispuesto por los artículos 1626 y siguientes del Código Civil, debe cumplirse, por regla general, en los términos de la obligación pactada, y debe hacerse al acreedor mismo o la persona que la ley o el juez autoricen a recibir por él, o a la persona diputada por el acreedor para recibir el cobro. Solo de esa manera el pago se reputa válido, y libera al deudor del cumplimiento de su </w:t>
            </w:r>
            <w:proofErr w:type="gramStart"/>
            <w:r w:rsidRPr="002E3A84">
              <w:rPr>
                <w:rFonts w:ascii="Verdana" w:eastAsia="Calibri" w:hAnsi="Verdana" w:cs="Arial"/>
                <w:color w:val="000000" w:themeColor="text1"/>
              </w:rPr>
              <w:t>obligación .</w:t>
            </w:r>
            <w:proofErr w:type="gramEnd"/>
            <w:r w:rsidRPr="002E3A84">
              <w:rPr>
                <w:rFonts w:ascii="Verdana" w:eastAsia="Calibri" w:hAnsi="Verdana" w:cs="Arial"/>
                <w:color w:val="000000" w:themeColor="text1"/>
              </w:rPr>
              <w:t xml:space="preserve"> Sin perjuicio de lo anterior, la ley también tiene por pago válido el que se hace a persona distinta del acreedor, cuando éste lo ratifica de modo expreso o tácito o cuando se paga a un representante o un mandatario del acreedor, siempre que lo anterior sea de conocimiento del </w:t>
            </w:r>
            <w:proofErr w:type="gramStart"/>
            <w:r w:rsidRPr="002E3A84">
              <w:rPr>
                <w:rFonts w:ascii="Verdana" w:eastAsia="Calibri" w:hAnsi="Verdana" w:cs="Arial"/>
                <w:color w:val="000000" w:themeColor="text1"/>
              </w:rPr>
              <w:t>deudor .</w:t>
            </w:r>
            <w:proofErr w:type="gramEnd"/>
          </w:p>
          <w:p w14:paraId="4241F1D1" w14:textId="482B870B" w:rsidR="004C5DFE" w:rsidRDefault="7F721D35" w:rsidP="004C5DFE">
            <w:pPr>
              <w:spacing w:line="276" w:lineRule="auto"/>
              <w:ind w:firstLine="709"/>
              <w:jc w:val="both"/>
              <w:rPr>
                <w:rFonts w:ascii="Verdana" w:eastAsia="Calibri" w:hAnsi="Verdana" w:cs="Arial"/>
                <w:color w:val="000000" w:themeColor="text1"/>
              </w:rPr>
            </w:pPr>
            <w:r w:rsidRPr="447320B9">
              <w:rPr>
                <w:rFonts w:ascii="Verdana" w:eastAsia="Calibri" w:hAnsi="Verdana" w:cs="Arial"/>
                <w:color w:val="000000" w:themeColor="text1"/>
              </w:rPr>
              <w:t>Lo anterior permite afirmar que, tratándose de un contrato celebrado entre una entidad estatal y un</w:t>
            </w:r>
            <w:r w:rsidR="1B9F1E77" w:rsidRPr="447320B9">
              <w:rPr>
                <w:rFonts w:ascii="Verdana" w:eastAsia="Calibri" w:hAnsi="Verdana" w:cs="Arial"/>
                <w:color w:val="000000" w:themeColor="text1"/>
              </w:rPr>
              <w:t xml:space="preserve">a persona natural, </w:t>
            </w:r>
            <w:proofErr w:type="spellStart"/>
            <w:r w:rsidR="1B9F1E77" w:rsidRPr="447320B9">
              <w:rPr>
                <w:rFonts w:ascii="Verdana" w:eastAsia="Calibri" w:hAnsi="Verdana" w:cs="Arial"/>
                <w:color w:val="000000" w:themeColor="text1"/>
              </w:rPr>
              <w:t>juridica</w:t>
            </w:r>
            <w:proofErr w:type="spellEnd"/>
            <w:r w:rsidR="1B9F1E77" w:rsidRPr="447320B9">
              <w:rPr>
                <w:rFonts w:ascii="Verdana" w:eastAsia="Calibri" w:hAnsi="Verdana" w:cs="Arial"/>
                <w:color w:val="000000" w:themeColor="text1"/>
              </w:rPr>
              <w:t>,</w:t>
            </w:r>
            <w:r w:rsidRPr="447320B9">
              <w:rPr>
                <w:rFonts w:ascii="Verdana" w:eastAsia="Calibri" w:hAnsi="Verdana" w:cs="Arial"/>
                <w:color w:val="000000" w:themeColor="text1"/>
              </w:rPr>
              <w:t xml:space="preserve"> consorcio o unión temporal, en principio la contraprestación a cargo de la entidad debe pagarse válidamente al representante designado, siempre y cuando la facultad de recibir sea conocida por la entidad contratante, ya sea porque así se dispuso en el contrato consorcial o porque el poder o mandato medie en otro instrumento de forma expresa o tácita.</w:t>
            </w:r>
          </w:p>
          <w:p w14:paraId="62E4579D" w14:textId="77777777" w:rsidR="00996DC7" w:rsidRPr="002E3A84" w:rsidRDefault="00996DC7" w:rsidP="004C5DFE">
            <w:pPr>
              <w:spacing w:line="276" w:lineRule="auto"/>
              <w:ind w:firstLine="709"/>
              <w:jc w:val="both"/>
              <w:rPr>
                <w:rFonts w:ascii="Verdana" w:eastAsia="Calibri" w:hAnsi="Verdana" w:cs="Arial"/>
                <w:color w:val="000000" w:themeColor="text1"/>
              </w:rPr>
            </w:pPr>
          </w:p>
          <w:p w14:paraId="76E6B5D7" w14:textId="77777777" w:rsidR="004C5DFE" w:rsidRDefault="004C5DFE" w:rsidP="004C5DFE">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Sin perjuicio de lo anterior, también debe tenerse en cuenta que la obligación de pago comporta un crédito en favor del acreedor beneficiario, que constituye un derecho personal, de contenido económico, cuya definición está prevista en el artículo 666 del Código Civil de la siguiente manera:</w:t>
            </w:r>
          </w:p>
          <w:p w14:paraId="6688E719" w14:textId="77777777" w:rsidR="002E3A84" w:rsidRPr="002E3A84" w:rsidRDefault="002E3A84" w:rsidP="004C5DFE">
            <w:pPr>
              <w:spacing w:line="276" w:lineRule="auto"/>
              <w:ind w:firstLine="709"/>
              <w:jc w:val="both"/>
              <w:rPr>
                <w:rFonts w:ascii="Verdana" w:eastAsia="Calibri" w:hAnsi="Verdana" w:cs="Arial"/>
                <w:color w:val="000000" w:themeColor="text1"/>
              </w:rPr>
            </w:pPr>
          </w:p>
          <w:p w14:paraId="0BDAEDEC" w14:textId="77777777" w:rsidR="004C5DFE" w:rsidRDefault="004C5DFE" w:rsidP="004C5DFE">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lastRenderedPageBreak/>
              <w:t>“Artículo 666. &lt;Derechos personales o créditos &gt;. Derechos personales o créditos son los que sólo pueden reclamarse de ciertas personas que, por un hecho suyo o la sola disposición de la ley, han contraído las obligaciones correlativas; como el que tiene el prestamista contra su deudor por el dinero prestado, o el hijo contra el padre por alimentos. De estos derechos nacen las acciones personales.”</w:t>
            </w:r>
          </w:p>
          <w:p w14:paraId="1F0425D0" w14:textId="77777777" w:rsidR="00F24AF3" w:rsidRPr="002E3A84" w:rsidRDefault="00F24AF3" w:rsidP="004C5DFE">
            <w:pPr>
              <w:spacing w:line="276" w:lineRule="auto"/>
              <w:ind w:firstLine="709"/>
              <w:jc w:val="both"/>
              <w:rPr>
                <w:rFonts w:ascii="Verdana" w:eastAsia="Calibri" w:hAnsi="Verdana" w:cs="Arial"/>
                <w:color w:val="000000" w:themeColor="text1"/>
              </w:rPr>
            </w:pPr>
          </w:p>
          <w:p w14:paraId="68E6311A" w14:textId="77777777" w:rsidR="004C5DFE" w:rsidRDefault="004C5DFE" w:rsidP="004C5DFE">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 xml:space="preserve">El titular de un crédito, contenido o no en un documento que sirva de título, puede disponer de el por cualquier causa: venta, permuta, donación, aporte en sociedad, etc., es decir, onerosa o gratuitamente, por constituir un activo </w:t>
            </w:r>
            <w:proofErr w:type="gramStart"/>
            <w:r w:rsidRPr="002E3A84">
              <w:rPr>
                <w:rFonts w:ascii="Verdana" w:eastAsia="Calibri" w:hAnsi="Verdana" w:cs="Arial"/>
                <w:color w:val="000000" w:themeColor="text1"/>
              </w:rPr>
              <w:t>patrimonial .</w:t>
            </w:r>
            <w:proofErr w:type="gramEnd"/>
            <w:r w:rsidRPr="002E3A84">
              <w:rPr>
                <w:rFonts w:ascii="Verdana" w:eastAsia="Calibri" w:hAnsi="Verdana" w:cs="Arial"/>
                <w:color w:val="000000" w:themeColor="text1"/>
              </w:rPr>
              <w:t xml:space="preserve"> Otra de las formas de disponer de un crédito es mediante la cesión. Sobre el particular la </w:t>
            </w:r>
            <w:proofErr w:type="gramStart"/>
            <w:r w:rsidRPr="002E3A84">
              <w:rPr>
                <w:rFonts w:ascii="Verdana" w:eastAsia="Calibri" w:hAnsi="Verdana" w:cs="Arial"/>
                <w:color w:val="000000" w:themeColor="text1"/>
              </w:rPr>
              <w:t>doctrina  considera</w:t>
            </w:r>
            <w:proofErr w:type="gramEnd"/>
            <w:r w:rsidRPr="002E3A84">
              <w:rPr>
                <w:rFonts w:ascii="Verdana" w:eastAsia="Calibri" w:hAnsi="Verdana" w:cs="Arial"/>
                <w:color w:val="000000" w:themeColor="text1"/>
              </w:rPr>
              <w:t xml:space="preserve"> lo siguiente:</w:t>
            </w:r>
          </w:p>
          <w:p w14:paraId="248BF4D1" w14:textId="77777777" w:rsidR="002E3A84" w:rsidRPr="002E3A84" w:rsidRDefault="002E3A84" w:rsidP="004C5DFE">
            <w:pPr>
              <w:spacing w:line="276" w:lineRule="auto"/>
              <w:ind w:firstLine="709"/>
              <w:jc w:val="both"/>
              <w:rPr>
                <w:rFonts w:ascii="Verdana" w:eastAsia="Calibri" w:hAnsi="Verdana" w:cs="Arial"/>
                <w:color w:val="000000" w:themeColor="text1"/>
              </w:rPr>
            </w:pPr>
          </w:p>
          <w:p w14:paraId="61F69F64" w14:textId="77777777" w:rsidR="004C5DFE" w:rsidRPr="002E3A84" w:rsidRDefault="004C5DFE" w:rsidP="004C5DFE">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w:t>
            </w:r>
            <w:r w:rsidRPr="002E3A84">
              <w:rPr>
                <w:rFonts w:ascii="Verdana" w:eastAsia="Calibri" w:hAnsi="Verdana" w:cs="Arial"/>
                <w:color w:val="000000" w:themeColor="text1"/>
                <w:u w:val="single"/>
              </w:rPr>
              <w:t>Consideramos que la cesión de créditos, tal como está regulada en el Código Civil, encierra un negocio jurídico participante de la causa o del título que se haga. Es decir: que si se hace a título de venta intervendrá la noción de este contrato, si se cambia; el de permuta y así sucesivamente. Mas, por imposición expresa del artículo 33 de la Ley 57 de 1887, la cesión no tendrá efecto alguno entre el que transmite el derecho, cedente, y el que se encarga de este crédito, cesionario, sino en virtud de la entrega del título contentivo del derecho personal traspasado o mediante el otorgamiento de un documento del cedente al cesionario en el evento en que no conste, en un título, ese crédito. Con la entrega se hace la tradición</w:t>
            </w:r>
            <w:r w:rsidRPr="002E3A84">
              <w:rPr>
                <w:rFonts w:ascii="Verdana" w:eastAsia="Calibri" w:hAnsi="Verdana" w:cs="Arial"/>
                <w:color w:val="000000" w:themeColor="text1"/>
              </w:rPr>
              <w:t>”.</w:t>
            </w:r>
          </w:p>
          <w:p w14:paraId="18D323DD" w14:textId="77777777" w:rsidR="00882D01" w:rsidRPr="002E3A84" w:rsidRDefault="00882D01" w:rsidP="004C5DFE">
            <w:pPr>
              <w:spacing w:line="276" w:lineRule="auto"/>
              <w:ind w:firstLine="709"/>
              <w:jc w:val="both"/>
              <w:rPr>
                <w:rFonts w:ascii="Verdana" w:eastAsia="Calibri" w:hAnsi="Verdana" w:cs="Arial"/>
                <w:color w:val="000000" w:themeColor="text1"/>
              </w:rPr>
            </w:pPr>
          </w:p>
          <w:p w14:paraId="75BAD12C" w14:textId="324C78C8" w:rsidR="00882D01" w:rsidRPr="002E3A84" w:rsidRDefault="002E3A84" w:rsidP="002E3A84">
            <w:pPr>
              <w:spacing w:line="276" w:lineRule="auto"/>
              <w:ind w:firstLine="709"/>
              <w:jc w:val="both"/>
              <w:rPr>
                <w:rFonts w:ascii="Verdana" w:eastAsia="Calibri" w:hAnsi="Verdana" w:cs="Arial"/>
                <w:color w:val="000000" w:themeColor="text1"/>
              </w:rPr>
            </w:pPr>
            <w:r>
              <w:rPr>
                <w:rFonts w:ascii="Verdana" w:eastAsia="Calibri" w:hAnsi="Verdana" w:cs="Arial"/>
                <w:color w:val="000000" w:themeColor="text1"/>
                <w:u w:val="single"/>
              </w:rPr>
              <w:t>Como se atañó al inicio, l</w:t>
            </w:r>
            <w:r w:rsidR="004C5DFE" w:rsidRPr="002E3A84">
              <w:rPr>
                <w:rFonts w:ascii="Verdana" w:eastAsia="Calibri" w:hAnsi="Verdana" w:cs="Arial"/>
                <w:color w:val="000000" w:themeColor="text1"/>
                <w:u w:val="single"/>
              </w:rPr>
              <w:t>os requisitos para hacer efectiva la cesión de créditos están previstos en la regulación de esta figura contenida en los artículos 1959 a 1966 del Código Civil</w:t>
            </w:r>
            <w:r w:rsidR="004C5DFE" w:rsidRPr="002E3A84">
              <w:rPr>
                <w:rFonts w:ascii="Verdana" w:eastAsia="Calibri" w:hAnsi="Verdana" w:cs="Arial"/>
                <w:color w:val="000000" w:themeColor="text1"/>
              </w:rPr>
              <w:t xml:space="preserve">. En síntesis, los requisitos principales de la cesión son los siguientes: i) la cesión de créditos opera, a cualquier título que se haga, con la entrega del título; </w:t>
            </w:r>
            <w:proofErr w:type="spellStart"/>
            <w:r w:rsidR="004C5DFE" w:rsidRPr="002E3A84">
              <w:rPr>
                <w:rFonts w:ascii="Verdana" w:eastAsia="Calibri" w:hAnsi="Verdana" w:cs="Arial"/>
                <w:color w:val="000000" w:themeColor="text1"/>
              </w:rPr>
              <w:t>ii</w:t>
            </w:r>
            <w:proofErr w:type="spellEnd"/>
            <w:r w:rsidR="004C5DFE" w:rsidRPr="002E3A84">
              <w:rPr>
                <w:rFonts w:ascii="Verdana" w:eastAsia="Calibri" w:hAnsi="Verdana" w:cs="Arial"/>
                <w:color w:val="000000" w:themeColor="text1"/>
              </w:rPr>
              <w:t xml:space="preserve">) si el crédito no consta en un documento, el cedente deberá hacer uno y entregarlo al cesionario; </w:t>
            </w:r>
            <w:proofErr w:type="spellStart"/>
            <w:r w:rsidR="004C5DFE" w:rsidRPr="002E3A84">
              <w:rPr>
                <w:rFonts w:ascii="Verdana" w:eastAsia="Calibri" w:hAnsi="Verdana" w:cs="Arial"/>
                <w:color w:val="000000" w:themeColor="text1"/>
              </w:rPr>
              <w:t>iii</w:t>
            </w:r>
            <w:proofErr w:type="spellEnd"/>
            <w:r w:rsidR="004C5DFE" w:rsidRPr="002E3A84">
              <w:rPr>
                <w:rFonts w:ascii="Verdana" w:eastAsia="Calibri" w:hAnsi="Verdana" w:cs="Arial"/>
                <w:color w:val="000000" w:themeColor="text1"/>
              </w:rPr>
              <w:t xml:space="preserve">) la cesión produce  efectos para el deudor y terceros luego de que el cesionario la notifica al deudor o es aceptada por éste; </w:t>
            </w:r>
            <w:proofErr w:type="spellStart"/>
            <w:r w:rsidR="004C5DFE" w:rsidRPr="002E3A84">
              <w:rPr>
                <w:rFonts w:ascii="Verdana" w:eastAsia="Calibri" w:hAnsi="Verdana" w:cs="Arial"/>
                <w:color w:val="000000" w:themeColor="text1"/>
              </w:rPr>
              <w:t>iv</w:t>
            </w:r>
            <w:proofErr w:type="spellEnd"/>
            <w:r w:rsidR="004C5DFE" w:rsidRPr="002E3A84">
              <w:rPr>
                <w:rFonts w:ascii="Verdana" w:eastAsia="Calibri" w:hAnsi="Verdana" w:cs="Arial"/>
                <w:color w:val="000000" w:themeColor="text1"/>
              </w:rPr>
              <w:t xml:space="preserve">) la notificación se hace con exhibición del título o documento creado para el efecto, para lo cual, el título o documento deberá llevar anotado el traspaso del derecho, el cesionario designado y la firma del cedente; v) la falta de notificación de la cesión hace que el deudor pueda pagar válidamente al cedente o que terceros acreedores de éste puedan perseguir el crédito cedido; vi) el cedente a título oneroso será </w:t>
            </w:r>
            <w:r w:rsidR="004C5DFE" w:rsidRPr="002E3A84">
              <w:rPr>
                <w:rFonts w:ascii="Verdana" w:eastAsia="Calibri" w:hAnsi="Verdana" w:cs="Arial"/>
                <w:color w:val="000000" w:themeColor="text1"/>
              </w:rPr>
              <w:lastRenderedPageBreak/>
              <w:t xml:space="preserve">responsable de la existencia del crédito al tiempo de la cesión, pero no de la solvencia del deudor. El cedente a título gratuito no responderá por ninguna de las anteriores circunstancias; </w:t>
            </w:r>
            <w:proofErr w:type="spellStart"/>
            <w:r w:rsidR="004C5DFE" w:rsidRPr="002E3A84">
              <w:rPr>
                <w:rFonts w:ascii="Verdana" w:eastAsia="Calibri" w:hAnsi="Verdana" w:cs="Arial"/>
                <w:color w:val="000000" w:themeColor="text1"/>
              </w:rPr>
              <w:t>vii</w:t>
            </w:r>
            <w:proofErr w:type="spellEnd"/>
            <w:r w:rsidR="004C5DFE" w:rsidRPr="002E3A84">
              <w:rPr>
                <w:rFonts w:ascii="Verdana" w:eastAsia="Calibri" w:hAnsi="Verdana" w:cs="Arial"/>
                <w:color w:val="000000" w:themeColor="text1"/>
              </w:rPr>
              <w:t>) las reglas de la cesión de créditos no se aplican a títulos valores regidos por las normas de transmisión del Código de Comercio;</w:t>
            </w:r>
          </w:p>
          <w:p w14:paraId="421A651B" w14:textId="4E9B1A77" w:rsidR="00FB1758" w:rsidRDefault="7F721D35" w:rsidP="002E3A84">
            <w:pPr>
              <w:spacing w:line="276" w:lineRule="auto"/>
              <w:ind w:firstLine="709"/>
              <w:jc w:val="both"/>
              <w:rPr>
                <w:rFonts w:ascii="Verdana" w:eastAsia="Calibri" w:hAnsi="Verdana" w:cs="Arial"/>
                <w:color w:val="000000" w:themeColor="text1"/>
              </w:rPr>
            </w:pPr>
            <w:r w:rsidRPr="447320B9">
              <w:rPr>
                <w:rFonts w:ascii="Verdana" w:eastAsia="Calibri" w:hAnsi="Verdana" w:cs="Arial"/>
                <w:color w:val="000000" w:themeColor="text1"/>
                <w:u w:val="single"/>
              </w:rPr>
              <w:t>En el contexto expuesto, un crédito a favor del contratista de un contrato estatal puede ser cedido, cumpliendo con las previsiones legales</w:t>
            </w:r>
            <w:r w:rsidR="5BCF3B2D" w:rsidRPr="447320B9">
              <w:rPr>
                <w:rFonts w:ascii="Verdana" w:eastAsia="Calibri" w:hAnsi="Verdana" w:cs="Arial"/>
                <w:color w:val="000000" w:themeColor="text1"/>
                <w:u w:val="single"/>
              </w:rPr>
              <w:t>,</w:t>
            </w:r>
            <w:r w:rsidRPr="447320B9">
              <w:rPr>
                <w:rFonts w:ascii="Verdana" w:eastAsia="Calibri" w:hAnsi="Verdana" w:cs="Arial"/>
                <w:color w:val="000000" w:themeColor="text1"/>
                <w:u w:val="single"/>
              </w:rPr>
              <w:t xml:space="preserve"> </w:t>
            </w:r>
            <w:r w:rsidR="5182CBC1" w:rsidRPr="447320B9">
              <w:rPr>
                <w:rFonts w:ascii="Verdana" w:eastAsia="Calibri" w:hAnsi="Verdana" w:cs="Arial"/>
                <w:color w:val="000000" w:themeColor="text1"/>
                <w:u w:val="single"/>
              </w:rPr>
              <w:t>así</w:t>
            </w:r>
            <w:r w:rsidR="71795005" w:rsidRPr="447320B9">
              <w:rPr>
                <w:rFonts w:ascii="Verdana" w:eastAsia="Calibri" w:hAnsi="Verdana" w:cs="Arial"/>
                <w:color w:val="000000" w:themeColor="text1"/>
                <w:u w:val="single"/>
              </w:rPr>
              <w:t xml:space="preserve"> como las estipulaciones que las partes hayan previsto en cada relación </w:t>
            </w:r>
            <w:proofErr w:type="spellStart"/>
            <w:r w:rsidR="71795005" w:rsidRPr="447320B9">
              <w:rPr>
                <w:rFonts w:ascii="Verdana" w:eastAsia="Calibri" w:hAnsi="Verdana" w:cs="Arial"/>
                <w:color w:val="000000" w:themeColor="text1"/>
                <w:u w:val="single"/>
              </w:rPr>
              <w:t>juridico</w:t>
            </w:r>
            <w:proofErr w:type="spellEnd"/>
            <w:r w:rsidR="71795005" w:rsidRPr="447320B9">
              <w:rPr>
                <w:rFonts w:ascii="Verdana" w:eastAsia="Calibri" w:hAnsi="Verdana" w:cs="Arial"/>
                <w:color w:val="000000" w:themeColor="text1"/>
                <w:u w:val="single"/>
              </w:rPr>
              <w:t xml:space="preserve"> nego</w:t>
            </w:r>
            <w:r w:rsidR="68D21E7A" w:rsidRPr="447320B9">
              <w:rPr>
                <w:rFonts w:ascii="Verdana" w:eastAsia="Calibri" w:hAnsi="Verdana" w:cs="Arial"/>
                <w:color w:val="000000" w:themeColor="text1"/>
                <w:u w:val="single"/>
              </w:rPr>
              <w:t>c</w:t>
            </w:r>
            <w:r w:rsidR="71795005" w:rsidRPr="447320B9">
              <w:rPr>
                <w:rFonts w:ascii="Verdana" w:eastAsia="Calibri" w:hAnsi="Verdana" w:cs="Arial"/>
                <w:color w:val="000000" w:themeColor="text1"/>
                <w:u w:val="single"/>
              </w:rPr>
              <w:t>ial</w:t>
            </w:r>
            <w:r w:rsidR="4032042F" w:rsidRPr="447320B9">
              <w:rPr>
                <w:rFonts w:ascii="Verdana" w:eastAsia="Calibri" w:hAnsi="Verdana" w:cs="Arial"/>
                <w:color w:val="000000" w:themeColor="text1"/>
                <w:u w:val="single"/>
              </w:rPr>
              <w:t xml:space="preserve">, </w:t>
            </w:r>
            <w:r w:rsidR="71795005" w:rsidRPr="447320B9">
              <w:rPr>
                <w:rFonts w:ascii="Verdana" w:eastAsia="Calibri" w:hAnsi="Verdana" w:cs="Arial"/>
                <w:color w:val="000000" w:themeColor="text1"/>
                <w:u w:val="single"/>
              </w:rPr>
              <w:t>en los pliegos de c</w:t>
            </w:r>
            <w:r w:rsidR="12CE310B" w:rsidRPr="447320B9">
              <w:rPr>
                <w:rFonts w:ascii="Verdana" w:eastAsia="Calibri" w:hAnsi="Verdana" w:cs="Arial"/>
                <w:color w:val="000000" w:themeColor="text1"/>
                <w:u w:val="single"/>
              </w:rPr>
              <w:t>o</w:t>
            </w:r>
            <w:r w:rsidR="71795005" w:rsidRPr="447320B9">
              <w:rPr>
                <w:rFonts w:ascii="Verdana" w:eastAsia="Calibri" w:hAnsi="Verdana" w:cs="Arial"/>
                <w:color w:val="000000" w:themeColor="text1"/>
                <w:u w:val="single"/>
              </w:rPr>
              <w:t xml:space="preserve">ndiciones y/o </w:t>
            </w:r>
            <w:r w:rsidR="7C981494" w:rsidRPr="447320B9">
              <w:rPr>
                <w:rFonts w:ascii="Verdana" w:eastAsia="Calibri" w:hAnsi="Verdana" w:cs="Arial"/>
                <w:color w:val="000000" w:themeColor="text1"/>
                <w:u w:val="single"/>
              </w:rPr>
              <w:t xml:space="preserve">en el </w:t>
            </w:r>
            <w:r w:rsidR="71795005" w:rsidRPr="447320B9">
              <w:rPr>
                <w:rFonts w:ascii="Verdana" w:eastAsia="Calibri" w:hAnsi="Verdana" w:cs="Arial"/>
                <w:color w:val="000000" w:themeColor="text1"/>
                <w:u w:val="single"/>
              </w:rPr>
              <w:t>manual de contratación que  se ado</w:t>
            </w:r>
            <w:r w:rsidR="4C4566EE" w:rsidRPr="447320B9">
              <w:rPr>
                <w:rFonts w:ascii="Verdana" w:eastAsia="Calibri" w:hAnsi="Verdana" w:cs="Arial"/>
                <w:color w:val="000000" w:themeColor="text1"/>
                <w:u w:val="single"/>
              </w:rPr>
              <w:t>p</w:t>
            </w:r>
            <w:r w:rsidR="71795005" w:rsidRPr="447320B9">
              <w:rPr>
                <w:rFonts w:ascii="Verdana" w:eastAsia="Calibri" w:hAnsi="Verdana" w:cs="Arial"/>
                <w:color w:val="000000" w:themeColor="text1"/>
                <w:u w:val="single"/>
              </w:rPr>
              <w:t>te po</w:t>
            </w:r>
            <w:r w:rsidR="32A12F84" w:rsidRPr="447320B9">
              <w:rPr>
                <w:rFonts w:ascii="Verdana" w:eastAsia="Calibri" w:hAnsi="Verdana" w:cs="Arial"/>
                <w:color w:val="000000" w:themeColor="text1"/>
                <w:u w:val="single"/>
              </w:rPr>
              <w:t>r</w:t>
            </w:r>
            <w:r w:rsidR="71795005" w:rsidRPr="447320B9">
              <w:rPr>
                <w:rFonts w:ascii="Verdana" w:eastAsia="Calibri" w:hAnsi="Verdana" w:cs="Arial"/>
                <w:color w:val="000000" w:themeColor="text1"/>
                <w:u w:val="single"/>
              </w:rPr>
              <w:t xml:space="preserve"> parte de cada entidad,</w:t>
            </w:r>
            <w:r w:rsidR="6F34AF97" w:rsidRPr="447320B9">
              <w:rPr>
                <w:rFonts w:ascii="Verdana" w:eastAsia="Calibri" w:hAnsi="Verdana" w:cs="Arial"/>
                <w:color w:val="000000" w:themeColor="text1"/>
                <w:u w:val="single"/>
              </w:rPr>
              <w:t xml:space="preserve"> de tal manera que debe revisarse en cada caso particular las circunstancias</w:t>
            </w:r>
            <w:r w:rsidR="71795005" w:rsidRPr="447320B9">
              <w:rPr>
                <w:rFonts w:ascii="Verdana" w:eastAsia="Calibri" w:hAnsi="Verdana" w:cs="Arial"/>
                <w:color w:val="000000" w:themeColor="text1"/>
                <w:u w:val="single"/>
              </w:rPr>
              <w:t xml:space="preserve"> </w:t>
            </w:r>
            <w:r w:rsidRPr="447320B9">
              <w:rPr>
                <w:rFonts w:ascii="Verdana" w:eastAsia="Calibri" w:hAnsi="Verdana" w:cs="Arial"/>
                <w:color w:val="000000" w:themeColor="text1"/>
                <w:u w:val="single"/>
              </w:rPr>
              <w:t>que hacen oponible la transmisión del derecho a una tercera persona</w:t>
            </w:r>
            <w:r w:rsidR="171839FB" w:rsidRPr="447320B9">
              <w:rPr>
                <w:rFonts w:ascii="Verdana" w:eastAsia="Calibri" w:hAnsi="Verdana" w:cs="Arial"/>
                <w:color w:val="000000" w:themeColor="text1"/>
                <w:u w:val="single"/>
              </w:rPr>
              <w:t xml:space="preserve"> y verificar si la </w:t>
            </w:r>
            <w:r w:rsidRPr="447320B9">
              <w:rPr>
                <w:rFonts w:ascii="Verdana" w:eastAsia="Calibri" w:hAnsi="Verdana" w:cs="Arial"/>
                <w:color w:val="000000" w:themeColor="text1"/>
                <w:u w:val="single"/>
              </w:rPr>
              <w:t xml:space="preserve"> </w:t>
            </w:r>
            <w:proofErr w:type="spellStart"/>
            <w:r w:rsidRPr="447320B9">
              <w:rPr>
                <w:rFonts w:ascii="Verdana" w:eastAsia="Calibri" w:hAnsi="Verdana" w:cs="Arial"/>
                <w:color w:val="000000" w:themeColor="text1"/>
                <w:u w:val="single"/>
              </w:rPr>
              <w:t>la</w:t>
            </w:r>
            <w:proofErr w:type="spellEnd"/>
            <w:r w:rsidRPr="447320B9">
              <w:rPr>
                <w:rFonts w:ascii="Verdana" w:eastAsia="Calibri" w:hAnsi="Verdana" w:cs="Arial"/>
                <w:color w:val="000000" w:themeColor="text1"/>
                <w:u w:val="single"/>
              </w:rPr>
              <w:t xml:space="preserve"> entidad contratante podrá pagar válidamente la contraprestación que debe al cesionario</w:t>
            </w:r>
            <w:r w:rsidRPr="447320B9">
              <w:rPr>
                <w:rFonts w:ascii="Verdana" w:eastAsia="Calibri" w:hAnsi="Verdana" w:cs="Arial"/>
                <w:color w:val="000000" w:themeColor="text1"/>
              </w:rPr>
              <w:t xml:space="preserve">. </w:t>
            </w:r>
          </w:p>
          <w:p w14:paraId="4CFC0662" w14:textId="77777777" w:rsidR="00F24AF3" w:rsidRPr="002E3A84" w:rsidRDefault="00F24AF3" w:rsidP="002E3A84">
            <w:pPr>
              <w:spacing w:line="276" w:lineRule="auto"/>
              <w:ind w:firstLine="709"/>
              <w:jc w:val="both"/>
              <w:rPr>
                <w:rFonts w:ascii="Verdana" w:eastAsia="Calibri" w:hAnsi="Verdana" w:cs="Arial"/>
                <w:color w:val="000000" w:themeColor="text1"/>
              </w:rPr>
            </w:pPr>
          </w:p>
          <w:p w14:paraId="1B20CE2D" w14:textId="36AA6611" w:rsidR="00ED4151" w:rsidRDefault="00ED4151" w:rsidP="00565C08">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390D9F41" w14:textId="77777777" w:rsidR="00F24AF3" w:rsidRPr="002E3A84" w:rsidRDefault="00F24AF3" w:rsidP="00565C08">
            <w:pPr>
              <w:spacing w:line="276" w:lineRule="auto"/>
              <w:ind w:firstLine="709"/>
              <w:jc w:val="both"/>
              <w:rPr>
                <w:rFonts w:ascii="Verdana" w:eastAsia="Calibri" w:hAnsi="Verdana" w:cs="Arial"/>
                <w:color w:val="000000" w:themeColor="text1"/>
              </w:rPr>
            </w:pPr>
          </w:p>
          <w:p w14:paraId="549260B3" w14:textId="77777777" w:rsidR="00ED4151" w:rsidRPr="002E3A84" w:rsidRDefault="00ED4151" w:rsidP="00565C08">
            <w:pPr>
              <w:spacing w:line="276" w:lineRule="auto"/>
              <w:ind w:firstLine="709"/>
              <w:jc w:val="both"/>
              <w:rPr>
                <w:rFonts w:ascii="Verdana" w:eastAsia="Calibri" w:hAnsi="Verdana" w:cs="Arial"/>
                <w:color w:val="000000" w:themeColor="text1"/>
              </w:rPr>
            </w:pPr>
            <w:r w:rsidRPr="002E3A84">
              <w:rPr>
                <w:rFonts w:ascii="Verdana" w:eastAsia="Calibri"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4740C3D" w14:textId="77777777" w:rsidR="00ED4151" w:rsidRPr="00D86CA8" w:rsidRDefault="00ED4151" w:rsidP="00ED4151">
      <w:pPr>
        <w:tabs>
          <w:tab w:val="left" w:pos="142"/>
          <w:tab w:val="left" w:pos="284"/>
        </w:tabs>
        <w:spacing w:after="0" w:line="276" w:lineRule="auto"/>
        <w:jc w:val="both"/>
        <w:rPr>
          <w:rFonts w:ascii="Verdana" w:eastAsia="Century Gothic" w:hAnsi="Verdana" w:cs="Century Gothic"/>
          <w:b/>
          <w:bCs/>
          <w:lang w:val="es-ES"/>
        </w:rPr>
      </w:pPr>
    </w:p>
    <w:bookmarkEnd w:id="1"/>
    <w:p w14:paraId="23067E0B" w14:textId="77777777" w:rsidR="00ED4151" w:rsidRPr="00D86CA8" w:rsidRDefault="00ED4151" w:rsidP="00ED415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86CA8">
        <w:rPr>
          <w:rFonts w:ascii="Verdana" w:eastAsia="Century Gothic" w:hAnsi="Verdana" w:cs="Century Gothic"/>
          <w:b/>
          <w:bCs/>
        </w:rPr>
        <w:t>Razones de la respuesta:</w:t>
      </w:r>
    </w:p>
    <w:p w14:paraId="4B1E2577" w14:textId="77777777" w:rsidR="00ED4151" w:rsidRPr="00D86CA8" w:rsidRDefault="00ED4151" w:rsidP="00ED4151">
      <w:pPr>
        <w:spacing w:after="0" w:line="276" w:lineRule="auto"/>
        <w:jc w:val="both"/>
        <w:rPr>
          <w:rFonts w:ascii="Verdana" w:eastAsia="Calibri" w:hAnsi="Verdana" w:cs="Arial"/>
          <w:color w:val="7030A0"/>
          <w:lang w:val="es-ES"/>
        </w:rPr>
      </w:pPr>
    </w:p>
    <w:p w14:paraId="5BFFAF21" w14:textId="5AA35E92" w:rsidR="00ED4151" w:rsidRDefault="00ED4151" w:rsidP="00ED4151">
      <w:pPr>
        <w:spacing w:after="0" w:line="276" w:lineRule="auto"/>
        <w:jc w:val="both"/>
        <w:rPr>
          <w:rFonts w:ascii="Verdana" w:eastAsia="Calibri" w:hAnsi="Verdana" w:cs="Arial"/>
          <w:lang w:val="es-ES"/>
        </w:rPr>
      </w:pPr>
      <w:r w:rsidRPr="00D86CA8">
        <w:rPr>
          <w:rFonts w:ascii="Verdana" w:eastAsia="Calibri" w:hAnsi="Verdana" w:cs="Arial"/>
          <w:lang w:val="es-ES"/>
        </w:rPr>
        <w:lastRenderedPageBreak/>
        <w:t>Lo anterior se sustenta en las siguientes consideraciones:</w:t>
      </w:r>
    </w:p>
    <w:p w14:paraId="03FA86AB" w14:textId="77777777" w:rsidR="00F24AF3" w:rsidRPr="00D86CA8" w:rsidRDefault="00F24AF3" w:rsidP="00ED4151">
      <w:pPr>
        <w:spacing w:after="0" w:line="276" w:lineRule="auto"/>
        <w:jc w:val="both"/>
        <w:rPr>
          <w:rFonts w:ascii="Verdana" w:eastAsia="Calibri" w:hAnsi="Verdana" w:cs="Arial"/>
          <w:lang w:val="es-ES"/>
        </w:rPr>
      </w:pPr>
    </w:p>
    <w:p w14:paraId="7AEE712E" w14:textId="77777777" w:rsidR="00ED4151" w:rsidRPr="00D86CA8" w:rsidRDefault="00ED4151" w:rsidP="00ED4151">
      <w:pPr>
        <w:spacing w:after="0" w:line="276" w:lineRule="auto"/>
        <w:jc w:val="both"/>
        <w:rPr>
          <w:rFonts w:ascii="Verdana" w:hAnsi="Verdana" w:cs="Arial"/>
        </w:rPr>
      </w:pPr>
      <w:r w:rsidRPr="00D86CA8">
        <w:rPr>
          <w:rFonts w:ascii="Verdana" w:eastAsia="Calibri" w:hAnsi="Verdana" w:cs="Arial"/>
          <w:bCs/>
          <w:color w:val="000000" w:themeColor="text1"/>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D86CA8">
        <w:rPr>
          <w:rStyle w:val="Refdenotaalpie"/>
          <w:rFonts w:ascii="Verdana" w:eastAsia="Calibri" w:hAnsi="Verdana" w:cs="Arial"/>
          <w:bCs/>
          <w:color w:val="000000" w:themeColor="text1"/>
        </w:rPr>
        <w:footnoteReference w:id="2"/>
      </w:r>
      <w:r w:rsidRPr="00D86CA8">
        <w:rPr>
          <w:rFonts w:ascii="Verdana" w:eastAsia="Calibri" w:hAnsi="Verdana" w:cs="Arial"/>
          <w:bCs/>
          <w:color w:val="000000" w:themeColor="text1"/>
        </w:rPr>
        <w:t>.</w:t>
      </w:r>
      <w:r w:rsidRPr="00D86CA8">
        <w:rPr>
          <w:rFonts w:ascii="Verdana" w:eastAsia="Calibri" w:hAnsi="Verdana" w:cs="Arial"/>
          <w:color w:val="000000" w:themeColor="text1"/>
        </w:rPr>
        <w:t xml:space="preserve"> </w:t>
      </w:r>
      <w:r w:rsidRPr="00D86CA8">
        <w:rPr>
          <w:rFonts w:ascii="Verdana" w:hAnsi="Verdana" w:cs="Arial"/>
        </w:rPr>
        <w:t>Para la doctrina:</w:t>
      </w:r>
    </w:p>
    <w:p w14:paraId="2878FD01" w14:textId="77777777" w:rsidR="00ED4151" w:rsidRPr="00D86CA8" w:rsidRDefault="00ED4151" w:rsidP="00ED4151">
      <w:pPr>
        <w:spacing w:after="0" w:line="276" w:lineRule="auto"/>
        <w:ind w:firstLine="708"/>
        <w:jc w:val="both"/>
        <w:rPr>
          <w:rFonts w:ascii="Verdana" w:hAnsi="Verdana" w:cs="Arial"/>
        </w:rPr>
      </w:pPr>
    </w:p>
    <w:p w14:paraId="448EDC9D" w14:textId="77777777" w:rsidR="00ED4151" w:rsidRPr="00D86CA8" w:rsidRDefault="00ED4151" w:rsidP="00ED4151">
      <w:pPr>
        <w:spacing w:after="120" w:line="240" w:lineRule="auto"/>
        <w:ind w:left="709" w:right="709"/>
        <w:jc w:val="both"/>
        <w:rPr>
          <w:rFonts w:ascii="Verdana" w:eastAsia="Calibri" w:hAnsi="Verdana" w:cs="Arial"/>
          <w:color w:val="000000" w:themeColor="text1"/>
          <w:sz w:val="21"/>
          <w:szCs w:val="21"/>
        </w:rPr>
      </w:pPr>
      <w:r w:rsidRPr="00D86CA8">
        <w:rPr>
          <w:rFonts w:ascii="Verdana" w:hAnsi="Verdana" w:cs="Arial"/>
          <w:sz w:val="21"/>
          <w:szCs w:val="21"/>
        </w:rPr>
        <w:t xml:space="preserve">“La cesión de contrato (presupuesto éste último como </w:t>
      </w:r>
      <w:r w:rsidRPr="00D86CA8">
        <w:rPr>
          <w:rFonts w:ascii="Verdana" w:hAnsi="Verdana" w:cs="Arial"/>
          <w:i/>
          <w:iCs/>
          <w:sz w:val="21"/>
          <w:szCs w:val="21"/>
        </w:rPr>
        <w:t>bilateral</w:t>
      </w:r>
      <w:r w:rsidRPr="00D86CA8">
        <w:rPr>
          <w:rFonts w:ascii="Verdana" w:hAnsi="Verdana" w:cs="Arial"/>
          <w:sz w:val="21"/>
          <w:szCs w:val="21"/>
        </w:rPr>
        <w:t xml:space="preserve">, al menos en la configuración típica de la institución) es el instrumento que permite realizar la llamada </w:t>
      </w:r>
      <w:r w:rsidRPr="00D86CA8">
        <w:rPr>
          <w:rFonts w:ascii="Verdana" w:hAnsi="Verdana" w:cs="Arial"/>
          <w:i/>
          <w:iCs/>
          <w:sz w:val="21"/>
          <w:szCs w:val="21"/>
        </w:rPr>
        <w:t>circulación del contrato</w:t>
      </w:r>
      <w:r w:rsidRPr="00D86CA8">
        <w:rPr>
          <w:rFonts w:ascii="Verdana" w:hAnsi="Verdana" w:cs="Arial"/>
          <w:sz w:val="21"/>
          <w:szCs w:val="21"/>
        </w:rPr>
        <w:t xml:space="preserve">, es decir, la transferencia negocial a un tercero (llamado </w:t>
      </w:r>
      <w:r w:rsidRPr="00D86CA8">
        <w:rPr>
          <w:rFonts w:ascii="Verdana" w:hAnsi="Verdana" w:cs="Arial"/>
          <w:i/>
          <w:iCs/>
          <w:sz w:val="21"/>
          <w:szCs w:val="21"/>
        </w:rPr>
        <w:t>cesionario</w:t>
      </w:r>
      <w:r w:rsidRPr="00D86CA8">
        <w:rPr>
          <w:rFonts w:ascii="Verdana" w:hAnsi="Verdana" w:cs="Arial"/>
          <w:sz w:val="21"/>
          <w:szCs w:val="21"/>
        </w:rPr>
        <w:t xml:space="preserve">) del conjunto de posiciones contractuales (entendido como resultante unitario de derechos y obligaciones orgánicamente interdependientes), constituida en la persona de uno de los originarios contratantes (llamado </w:t>
      </w:r>
      <w:r w:rsidRPr="00D86CA8">
        <w:rPr>
          <w:rFonts w:ascii="Verdana" w:hAnsi="Verdana" w:cs="Arial"/>
          <w:i/>
          <w:iCs/>
          <w:sz w:val="21"/>
          <w:szCs w:val="21"/>
        </w:rPr>
        <w:t>cedente</w:t>
      </w:r>
      <w:r w:rsidRPr="00D86CA8">
        <w:rPr>
          <w:rFonts w:ascii="Verdana" w:hAnsi="Verdana" w:cs="Arial"/>
          <w:sz w:val="21"/>
          <w:szCs w:val="21"/>
        </w:rPr>
        <w:t xml:space="preserve">); de tal forma que, a través de esa sustitución </w:t>
      </w:r>
      <w:r w:rsidRPr="00D86CA8">
        <w:rPr>
          <w:rFonts w:ascii="Verdana" w:hAnsi="Verdana" w:cs="Arial"/>
          <w:i/>
          <w:iCs/>
          <w:sz w:val="21"/>
          <w:szCs w:val="21"/>
        </w:rPr>
        <w:t>negocial</w:t>
      </w:r>
      <w:r w:rsidRPr="00D86CA8">
        <w:rPr>
          <w:rFonts w:ascii="Verdana" w:hAnsi="Verdana" w:cs="Arial"/>
          <w:sz w:val="21"/>
          <w:szCs w:val="21"/>
        </w:rPr>
        <w:t xml:space="preserve"> del tercero en la posición de ‘parte’ del contrato, en lugar del cedente, dicho tercero </w:t>
      </w:r>
      <w:proofErr w:type="spellStart"/>
      <w:r w:rsidRPr="00D86CA8">
        <w:rPr>
          <w:rFonts w:ascii="Verdana" w:hAnsi="Verdana" w:cs="Arial"/>
          <w:sz w:val="21"/>
          <w:szCs w:val="21"/>
        </w:rPr>
        <w:t>subentra</w:t>
      </w:r>
      <w:proofErr w:type="spellEnd"/>
      <w:r w:rsidRPr="00D86CA8">
        <w:rPr>
          <w:rFonts w:ascii="Verdana" w:hAnsi="Verdana" w:cs="Arial"/>
          <w:sz w:val="21"/>
          <w:szCs w:val="21"/>
        </w:rPr>
        <w:t xml:space="preserve"> en la totalidad de los derechos y obligaciones que en su orgánica interdependencia se derivan del contrato estipulado por el cedente.</w:t>
      </w:r>
    </w:p>
    <w:p w14:paraId="37B2574A" w14:textId="77777777" w:rsidR="00ED4151" w:rsidRPr="00D86CA8" w:rsidRDefault="00ED4151" w:rsidP="00ED4151">
      <w:pPr>
        <w:spacing w:after="0" w:line="240" w:lineRule="auto"/>
        <w:ind w:left="709" w:right="709"/>
        <w:jc w:val="both"/>
        <w:rPr>
          <w:rFonts w:ascii="Verdana" w:hAnsi="Verdana" w:cs="Arial"/>
          <w:sz w:val="21"/>
          <w:szCs w:val="21"/>
        </w:rPr>
      </w:pPr>
      <w:r w:rsidRPr="00D86CA8">
        <w:rPr>
          <w:rFonts w:ascii="Verdana" w:hAnsi="Verdana" w:cs="Arial"/>
          <w:sz w:val="21"/>
          <w:szCs w:val="21"/>
        </w:rPr>
        <w:t xml:space="preserve">A este respecto justamente se ha notado que el tráfico considera aquí los contratos sobre todo como </w:t>
      </w:r>
      <w:r w:rsidRPr="00D86CA8">
        <w:rPr>
          <w:rFonts w:ascii="Verdana" w:hAnsi="Verdana" w:cs="Arial"/>
          <w:i/>
          <w:iCs/>
          <w:sz w:val="21"/>
          <w:szCs w:val="21"/>
        </w:rPr>
        <w:t>valores económicos</w:t>
      </w:r>
      <w:r w:rsidRPr="00D86CA8">
        <w:rPr>
          <w:rFonts w:ascii="Verdana" w:hAnsi="Verdana" w:cs="Arial"/>
          <w:sz w:val="21"/>
          <w:szCs w:val="21"/>
        </w:rPr>
        <w:t xml:space="preserve">, idóneos como tales para una determinada forma de circulación: en consideración a la utilidad futura a que el contrato está encaminado a procurar, la práctica atribuye al mismo contrato un valor económico actual, considerándolo, por tanto, como un bien capaz de circular. Ahora bien; el Derecho apresta, precisamente, el instrumento para tal circulación en cuanto admite que uno de los originarios contratantes pueda transferir a un tercero, con el consentimiento imprescindible del otro </w:t>
      </w:r>
      <w:r w:rsidRPr="00D86CA8">
        <w:rPr>
          <w:rFonts w:ascii="Verdana" w:hAnsi="Verdana" w:cs="Arial"/>
          <w:sz w:val="21"/>
          <w:szCs w:val="21"/>
        </w:rPr>
        <w:lastRenderedPageBreak/>
        <w:t xml:space="preserve">contratante original (llamado </w:t>
      </w:r>
      <w:r w:rsidRPr="00D86CA8">
        <w:rPr>
          <w:rFonts w:ascii="Verdana" w:hAnsi="Verdana" w:cs="Arial"/>
          <w:i/>
          <w:iCs/>
          <w:sz w:val="21"/>
          <w:szCs w:val="21"/>
        </w:rPr>
        <w:t>contratante cedido</w:t>
      </w:r>
      <w:r w:rsidRPr="00D86CA8">
        <w:rPr>
          <w:rFonts w:ascii="Verdana" w:hAnsi="Verdana" w:cs="Arial"/>
          <w:sz w:val="21"/>
          <w:szCs w:val="21"/>
        </w:rPr>
        <w:t>), la relación contractual entera, como conjunto de derecho y obligaciones, como única resultante de elementos activos y pasivos […]”</w:t>
      </w:r>
      <w:r w:rsidRPr="00D86CA8">
        <w:rPr>
          <w:rStyle w:val="Refdenotaalpie"/>
          <w:rFonts w:ascii="Verdana" w:hAnsi="Verdana" w:cs="Arial"/>
          <w:color w:val="000000" w:themeColor="text1"/>
          <w:sz w:val="21"/>
          <w:szCs w:val="21"/>
        </w:rPr>
        <w:footnoteReference w:id="3"/>
      </w:r>
      <w:r w:rsidRPr="00D86CA8">
        <w:rPr>
          <w:rFonts w:ascii="Verdana" w:hAnsi="Verdana" w:cs="Arial"/>
          <w:sz w:val="21"/>
          <w:szCs w:val="21"/>
        </w:rPr>
        <w:t>.</w:t>
      </w:r>
    </w:p>
    <w:p w14:paraId="4FCB8D12" w14:textId="77777777" w:rsidR="00ED4151" w:rsidRPr="00D86CA8" w:rsidRDefault="00ED4151" w:rsidP="00ED4151">
      <w:pPr>
        <w:spacing w:after="0" w:line="276" w:lineRule="auto"/>
        <w:ind w:left="709" w:right="709"/>
        <w:jc w:val="both"/>
        <w:rPr>
          <w:rFonts w:ascii="Verdana" w:eastAsia="Calibri" w:hAnsi="Verdana" w:cs="Arial"/>
          <w:color w:val="000000" w:themeColor="text1"/>
        </w:rPr>
      </w:pPr>
    </w:p>
    <w:p w14:paraId="4EEFC78D" w14:textId="77777777" w:rsidR="00ED4151" w:rsidRPr="00D86CA8" w:rsidRDefault="00ED4151" w:rsidP="00ED4151">
      <w:pPr>
        <w:spacing w:after="0" w:line="276" w:lineRule="auto"/>
        <w:ind w:firstLine="708"/>
        <w:jc w:val="both"/>
        <w:rPr>
          <w:rFonts w:ascii="Verdana" w:eastAsia="Calibri" w:hAnsi="Verdana" w:cs="Arial"/>
          <w:color w:val="000000" w:themeColor="text1"/>
        </w:rPr>
      </w:pPr>
      <w:r w:rsidRPr="00D86CA8">
        <w:rPr>
          <w:rFonts w:ascii="Verdana" w:eastAsia="Calibri" w:hAnsi="Verdana" w:cs="Arial"/>
          <w:color w:val="000000" w:themeColor="text1"/>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D86CA8">
        <w:rPr>
          <w:rFonts w:ascii="Verdana" w:eastAsia="Calibri" w:hAnsi="Verdana" w:cs="Arial"/>
          <w:color w:val="000000" w:themeColor="text1"/>
        </w:rPr>
        <w:t>subentra</w:t>
      </w:r>
      <w:proofErr w:type="spellEnd"/>
      <w:r w:rsidRPr="00D86CA8">
        <w:rPr>
          <w:rFonts w:ascii="Verdana" w:eastAsia="Calibri" w:hAnsi="Verdana" w:cs="Arial"/>
          <w:color w:val="000000" w:themeColor="text1"/>
        </w:rPr>
        <w:t xml:space="preserve"> en la relación con el cedido […]”</w:t>
      </w:r>
      <w:r w:rsidRPr="00D86CA8">
        <w:rPr>
          <w:rStyle w:val="Refdenotaalpie"/>
          <w:rFonts w:ascii="Verdana" w:eastAsia="Calibri" w:hAnsi="Verdana" w:cs="Arial"/>
          <w:color w:val="000000" w:themeColor="text1"/>
        </w:rPr>
        <w:footnoteReference w:id="4"/>
      </w:r>
      <w:r w:rsidRPr="00D86CA8">
        <w:rPr>
          <w:rFonts w:ascii="Verdana" w:eastAsia="Calibri" w:hAnsi="Verdana" w:cs="Arial"/>
          <w:color w:val="000000" w:themeColor="text1"/>
        </w:rPr>
        <w:t xml:space="preserve">. Por otro, “[…] es la transferencia de la posición contractual de un contratante a otro sujeto, que le </w:t>
      </w:r>
      <w:proofErr w:type="spellStart"/>
      <w:r w:rsidRPr="00D86CA8">
        <w:rPr>
          <w:rFonts w:ascii="Verdana" w:eastAsia="Calibri" w:hAnsi="Verdana" w:cs="Arial"/>
          <w:color w:val="000000" w:themeColor="text1"/>
        </w:rPr>
        <w:t>subentra</w:t>
      </w:r>
      <w:proofErr w:type="spellEnd"/>
      <w:r w:rsidRPr="00D86CA8">
        <w:rPr>
          <w:rFonts w:ascii="Verdana" w:eastAsia="Calibri" w:hAnsi="Verdana" w:cs="Arial"/>
          <w:color w:val="000000" w:themeColor="text1"/>
        </w:rPr>
        <w:t xml:space="preserve"> en la relación con la contraparte […]”</w:t>
      </w:r>
      <w:r w:rsidRPr="00D86CA8">
        <w:rPr>
          <w:rStyle w:val="Refdenotaalpie"/>
          <w:rFonts w:ascii="Verdana" w:eastAsia="Calibri" w:hAnsi="Verdana" w:cs="Arial"/>
          <w:color w:val="000000" w:themeColor="text1"/>
        </w:rPr>
        <w:footnoteReference w:id="5"/>
      </w:r>
      <w:r w:rsidRPr="00D86CA8">
        <w:rPr>
          <w:rFonts w:ascii="Verdana" w:eastAsia="Calibri" w:hAnsi="Verdana" w:cs="Arial"/>
          <w:color w:val="000000" w:themeColor="text1"/>
        </w:rPr>
        <w:t xml:space="preserve">. De esta manera, </w:t>
      </w:r>
      <w:r w:rsidRPr="00D86CA8">
        <w:rPr>
          <w:rFonts w:ascii="Verdana" w:hAnsi="Verdana" w:cs="Arial"/>
          <w:color w:val="000000" w:themeColor="text1"/>
        </w:rPr>
        <w:t xml:space="preserve">concurren tres (3) sujetos: i) el cedente, esto es, el contratista inicial; </w:t>
      </w:r>
      <w:proofErr w:type="spellStart"/>
      <w:r w:rsidRPr="00D86CA8">
        <w:rPr>
          <w:rFonts w:ascii="Verdana" w:hAnsi="Verdana" w:cs="Arial"/>
          <w:color w:val="000000" w:themeColor="text1"/>
        </w:rPr>
        <w:t>ii</w:t>
      </w:r>
      <w:proofErr w:type="spellEnd"/>
      <w:r w:rsidRPr="00D86CA8">
        <w:rPr>
          <w:rFonts w:ascii="Verdana" w:hAnsi="Verdana" w:cs="Arial"/>
          <w:color w:val="000000" w:themeColor="text1"/>
        </w:rPr>
        <w:t xml:space="preserve">) el cesionario, es decir, quien asume total o parcialmente los derechos y obligaciones de este último; y </w:t>
      </w:r>
      <w:proofErr w:type="spellStart"/>
      <w:r w:rsidRPr="00D86CA8">
        <w:rPr>
          <w:rFonts w:ascii="Verdana" w:hAnsi="Verdana" w:cs="Arial"/>
          <w:color w:val="000000" w:themeColor="text1"/>
        </w:rPr>
        <w:t>iii</w:t>
      </w:r>
      <w:proofErr w:type="spellEnd"/>
      <w:r w:rsidRPr="00D86CA8">
        <w:rPr>
          <w:rFonts w:ascii="Verdana" w:hAnsi="Verdana" w:cs="Arial"/>
          <w:color w:val="000000" w:themeColor="text1"/>
        </w:rPr>
        <w:t xml:space="preserve">) el cedido que, en el caso de los contratos estatales, sería la entidad que suscribió el contrato. </w:t>
      </w:r>
      <w:r w:rsidRPr="00D86CA8">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5FC74828" w14:textId="77777777" w:rsidR="00ED4151" w:rsidRPr="00D86CA8" w:rsidRDefault="00ED4151" w:rsidP="00ED4151">
      <w:pPr>
        <w:spacing w:after="0" w:line="276" w:lineRule="auto"/>
        <w:ind w:firstLine="708"/>
        <w:jc w:val="both"/>
        <w:rPr>
          <w:rFonts w:ascii="Verdana" w:hAnsi="Verdana" w:cs="Arial"/>
          <w:color w:val="000000" w:themeColor="text1"/>
        </w:rPr>
      </w:pPr>
    </w:p>
    <w:p w14:paraId="7B2821DC" w14:textId="77777777" w:rsidR="00ED4151" w:rsidRPr="00D86CA8" w:rsidRDefault="00ED4151" w:rsidP="00ED4151">
      <w:pPr>
        <w:tabs>
          <w:tab w:val="left" w:pos="709"/>
        </w:tabs>
        <w:spacing w:after="0" w:line="240" w:lineRule="auto"/>
        <w:ind w:left="709" w:right="709"/>
        <w:jc w:val="both"/>
        <w:rPr>
          <w:rFonts w:ascii="Verdana" w:eastAsia="Calibri" w:hAnsi="Verdana" w:cs="Arial"/>
          <w:color w:val="000000" w:themeColor="text1"/>
          <w:sz w:val="21"/>
          <w:szCs w:val="21"/>
        </w:rPr>
      </w:pPr>
      <w:r w:rsidRPr="00D86CA8">
        <w:rPr>
          <w:rFonts w:ascii="Verdana" w:eastAsia="Calibri" w:hAnsi="Verdana" w:cs="Arial"/>
          <w:color w:val="000000" w:themeColor="text1"/>
          <w:sz w:val="21"/>
          <w:szCs w:val="21"/>
        </w:rPr>
        <w:t>“[…]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relación contractual, cuyo resultado es la sustitución de una de las partes (acreedora-deudora) […]”</w:t>
      </w:r>
      <w:r w:rsidRPr="00D86CA8">
        <w:rPr>
          <w:rStyle w:val="Refdenotaalpie"/>
          <w:rFonts w:ascii="Verdana" w:eastAsia="Calibri" w:hAnsi="Verdana" w:cs="Arial"/>
          <w:color w:val="000000" w:themeColor="text1"/>
          <w:sz w:val="21"/>
          <w:szCs w:val="21"/>
        </w:rPr>
        <w:footnoteReference w:id="6"/>
      </w:r>
      <w:r w:rsidRPr="00D86CA8">
        <w:rPr>
          <w:rFonts w:ascii="Verdana" w:eastAsia="Calibri" w:hAnsi="Verdana" w:cs="Arial"/>
          <w:color w:val="000000" w:themeColor="text1"/>
          <w:sz w:val="21"/>
          <w:szCs w:val="21"/>
        </w:rPr>
        <w:t>.</w:t>
      </w:r>
    </w:p>
    <w:p w14:paraId="4DA7F460" w14:textId="77777777" w:rsidR="00ED4151" w:rsidRPr="00D86CA8" w:rsidRDefault="00ED4151" w:rsidP="00ED4151">
      <w:pPr>
        <w:tabs>
          <w:tab w:val="left" w:pos="709"/>
        </w:tabs>
        <w:spacing w:after="0" w:line="276" w:lineRule="auto"/>
        <w:ind w:left="709" w:right="709"/>
        <w:jc w:val="both"/>
        <w:rPr>
          <w:rFonts w:ascii="Verdana" w:eastAsia="Calibri" w:hAnsi="Verdana" w:cs="Arial"/>
          <w:color w:val="000000" w:themeColor="text1"/>
        </w:rPr>
      </w:pPr>
    </w:p>
    <w:p w14:paraId="3F56DFAA" w14:textId="77777777" w:rsidR="00ED4151" w:rsidRPr="00D86CA8" w:rsidRDefault="00ED4151" w:rsidP="00ED4151">
      <w:pPr>
        <w:spacing w:after="120" w:line="276" w:lineRule="auto"/>
        <w:ind w:firstLine="708"/>
        <w:jc w:val="both"/>
        <w:rPr>
          <w:rFonts w:ascii="Verdana" w:eastAsia="Calibri" w:hAnsi="Verdana" w:cs="Arial"/>
          <w:color w:val="000000" w:themeColor="text1"/>
        </w:rPr>
      </w:pPr>
      <w:r w:rsidRPr="00D86CA8">
        <w:rPr>
          <w:rFonts w:ascii="Verdana" w:eastAsia="Calibri" w:hAnsi="Verdana" w:cs="Arial"/>
          <w:color w:val="000000" w:themeColor="text1"/>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D86CA8">
        <w:rPr>
          <w:rFonts w:ascii="Verdana" w:eastAsia="Calibri" w:hAnsi="Verdana" w:cs="Arial"/>
          <w:color w:val="000000" w:themeColor="text1"/>
        </w:rPr>
        <w:t>ii</w:t>
      </w:r>
      <w:proofErr w:type="spellEnd"/>
      <w:r w:rsidRPr="00D86CA8">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D86CA8">
        <w:rPr>
          <w:rFonts w:ascii="Verdana" w:eastAsia="Calibri" w:hAnsi="Verdana" w:cs="Arial"/>
          <w:i/>
          <w:iCs/>
          <w:color w:val="000000" w:themeColor="text1"/>
        </w:rPr>
        <w:t>ibidem</w:t>
      </w:r>
      <w:r w:rsidRPr="00D86CA8">
        <w:rPr>
          <w:rFonts w:ascii="Verdana" w:eastAsia="Calibri" w:hAnsi="Verdana" w:cs="Arial"/>
          <w:color w:val="000000" w:themeColor="text1"/>
        </w:rPr>
        <w:t xml:space="preserve">; y </w:t>
      </w:r>
      <w:proofErr w:type="spellStart"/>
      <w:r w:rsidRPr="00D86CA8">
        <w:rPr>
          <w:rFonts w:ascii="Verdana" w:eastAsia="Calibri" w:hAnsi="Verdana" w:cs="Arial"/>
          <w:color w:val="000000" w:themeColor="text1"/>
        </w:rPr>
        <w:t>iii</w:t>
      </w:r>
      <w:proofErr w:type="spellEnd"/>
      <w:r w:rsidRPr="00D86CA8">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D86CA8">
        <w:rPr>
          <w:rFonts w:ascii="Verdana" w:eastAsia="Calibri" w:hAnsi="Verdana" w:cs="Arial"/>
          <w:i/>
          <w:iCs/>
          <w:color w:val="000000" w:themeColor="text1"/>
        </w:rPr>
        <w:t>ibidem</w:t>
      </w:r>
      <w:r w:rsidRPr="00D86CA8">
        <w:rPr>
          <w:rFonts w:ascii="Verdana" w:eastAsia="Calibri" w:hAnsi="Verdana" w:cs="Arial"/>
          <w:color w:val="000000" w:themeColor="text1"/>
        </w:rPr>
        <w:t xml:space="preserve">. </w:t>
      </w:r>
    </w:p>
    <w:p w14:paraId="02CF5FF8" w14:textId="77777777" w:rsidR="00ED4151" w:rsidRPr="00D86CA8" w:rsidRDefault="00ED4151" w:rsidP="00ED4151">
      <w:pPr>
        <w:spacing w:after="120" w:line="276" w:lineRule="auto"/>
        <w:ind w:firstLine="708"/>
        <w:jc w:val="both"/>
        <w:rPr>
          <w:rFonts w:ascii="Verdana" w:eastAsia="Calibri" w:hAnsi="Verdana" w:cs="Arial"/>
          <w:color w:val="000000" w:themeColor="text1"/>
        </w:rPr>
      </w:pPr>
      <w:r w:rsidRPr="00D86CA8">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68A14D16" w14:textId="77777777" w:rsidR="00ED4151" w:rsidRPr="00D86CA8" w:rsidRDefault="00ED4151" w:rsidP="00ED4151">
      <w:pPr>
        <w:tabs>
          <w:tab w:val="left" w:pos="709"/>
        </w:tabs>
        <w:spacing w:after="120" w:line="276" w:lineRule="auto"/>
        <w:jc w:val="both"/>
        <w:rPr>
          <w:rFonts w:ascii="Verdana" w:eastAsia="Calibri" w:hAnsi="Verdana" w:cs="Arial"/>
          <w:color w:val="000000" w:themeColor="text1"/>
        </w:rPr>
      </w:pPr>
      <w:r w:rsidRPr="00D86CA8">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D86CA8">
        <w:rPr>
          <w:rStyle w:val="Refdenotaalpie"/>
          <w:rFonts w:ascii="Verdana" w:eastAsia="Calibri" w:hAnsi="Verdana" w:cs="Arial"/>
          <w:color w:val="000000" w:themeColor="text1"/>
        </w:rPr>
        <w:footnoteReference w:id="7"/>
      </w:r>
      <w:r w:rsidRPr="00D86CA8">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D86CA8">
        <w:rPr>
          <w:rStyle w:val="Refdenotaalpie"/>
          <w:rFonts w:ascii="Verdana" w:eastAsia="Calibri" w:hAnsi="Verdana" w:cs="Arial"/>
          <w:color w:val="000000" w:themeColor="text1"/>
        </w:rPr>
        <w:footnoteReference w:id="8"/>
      </w:r>
      <w:r w:rsidRPr="00D86CA8">
        <w:rPr>
          <w:rFonts w:ascii="Verdana" w:eastAsia="Calibri" w:hAnsi="Verdana" w:cs="Arial"/>
          <w:color w:val="000000" w:themeColor="text1"/>
        </w:rPr>
        <w:t xml:space="preserve">. Asimismo, los artículos 895 y 896 disponen que la cesión de un contrato implica </w:t>
      </w:r>
      <w:r w:rsidRPr="00D86CA8">
        <w:rPr>
          <w:rFonts w:ascii="Verdana" w:eastAsia="Calibri" w:hAnsi="Verdana" w:cs="Arial"/>
          <w:color w:val="000000" w:themeColor="text1"/>
        </w:rPr>
        <w:lastRenderedPageBreak/>
        <w:t>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sidRPr="00D86CA8">
        <w:rPr>
          <w:rStyle w:val="Refdenotaalpie"/>
          <w:rFonts w:ascii="Verdana" w:eastAsia="Calibri" w:hAnsi="Verdana" w:cs="Arial"/>
          <w:color w:val="000000" w:themeColor="text1"/>
        </w:rPr>
        <w:footnoteReference w:id="9"/>
      </w:r>
      <w:r w:rsidRPr="00D86CA8">
        <w:rPr>
          <w:rFonts w:ascii="Verdana" w:eastAsia="Calibri" w:hAnsi="Verdana" w:cs="Arial"/>
          <w:color w:val="000000" w:themeColor="text1"/>
        </w:rPr>
        <w:t xml:space="preserve">. </w:t>
      </w:r>
    </w:p>
    <w:p w14:paraId="083FB4F1" w14:textId="4D712185" w:rsidR="00ED4151" w:rsidRPr="00166D1D" w:rsidRDefault="00ED4151" w:rsidP="00ED4151">
      <w:pPr>
        <w:tabs>
          <w:tab w:val="left" w:pos="709"/>
        </w:tabs>
        <w:spacing w:after="120" w:line="276" w:lineRule="auto"/>
        <w:jc w:val="both"/>
        <w:rPr>
          <w:rFonts w:ascii="Verdana" w:eastAsia="Calibri" w:hAnsi="Verdana" w:cs="Arial"/>
          <w:color w:val="000000" w:themeColor="text1"/>
        </w:rPr>
      </w:pPr>
      <w:r w:rsidRPr="00D86CA8">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2" w:name="_Hlk79822251"/>
      <w:r w:rsidRPr="00D86CA8">
        <w:rPr>
          <w:rFonts w:ascii="Verdana" w:eastAsia="Calibri" w:hAnsi="Verdana" w:cs="Arial"/>
          <w:color w:val="000000" w:themeColor="text1"/>
        </w:rPr>
        <w:t>el artículo 41, inciso tercero</w:t>
      </w:r>
      <w:bookmarkEnd w:id="2"/>
      <w:r w:rsidRPr="00D86CA8">
        <w:rPr>
          <w:rFonts w:ascii="Verdana" w:eastAsia="Calibri" w:hAnsi="Verdana" w:cs="Arial"/>
          <w:color w:val="000000" w:themeColor="text1"/>
        </w:rPr>
        <w:t xml:space="preserve">, del EGCAP prescribe que “Los contratos estatales son </w:t>
      </w:r>
      <w:r w:rsidRPr="00D86CA8">
        <w:rPr>
          <w:rFonts w:ascii="Verdana" w:eastAsia="Calibri" w:hAnsi="Verdana" w:cs="Arial"/>
          <w:i/>
          <w:iCs/>
          <w:color w:val="000000" w:themeColor="text1"/>
        </w:rPr>
        <w:t xml:space="preserve">intuito </w:t>
      </w:r>
      <w:proofErr w:type="spellStart"/>
      <w:r w:rsidRPr="00D86CA8">
        <w:rPr>
          <w:rFonts w:ascii="Verdana" w:eastAsia="Calibri" w:hAnsi="Verdana" w:cs="Arial"/>
          <w:i/>
          <w:iCs/>
          <w:color w:val="000000" w:themeColor="text1"/>
        </w:rPr>
        <w:t>personae</w:t>
      </w:r>
      <w:proofErr w:type="spellEnd"/>
      <w:r w:rsidRPr="00D86CA8">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D86CA8">
        <w:rPr>
          <w:rFonts w:ascii="Verdana" w:eastAsia="Calibri" w:hAnsi="Verdana" w:cs="Arial"/>
          <w:i/>
          <w:iCs/>
          <w:color w:val="000000" w:themeColor="text1"/>
        </w:rPr>
        <w:t>faceta negativa</w:t>
      </w:r>
      <w:r w:rsidRPr="00D86CA8">
        <w:rPr>
          <w:rFonts w:ascii="Verdana" w:eastAsia="Calibri" w:hAnsi="Verdana" w:cs="Arial"/>
          <w:color w:val="000000" w:themeColor="text1"/>
        </w:rPr>
        <w:t>– y una autorización excepcional –</w:t>
      </w:r>
      <w:r w:rsidRPr="00D86CA8">
        <w:rPr>
          <w:rFonts w:ascii="Verdana" w:eastAsia="Calibri" w:hAnsi="Verdana" w:cs="Arial"/>
          <w:i/>
          <w:iCs/>
          <w:color w:val="000000" w:themeColor="text1"/>
        </w:rPr>
        <w:t>faceta positiva</w:t>
      </w:r>
      <w:r w:rsidRPr="00D86CA8">
        <w:rPr>
          <w:rFonts w:ascii="Verdana" w:eastAsia="Calibri" w:hAnsi="Verdana" w:cs="Arial"/>
          <w:color w:val="000000" w:themeColor="text1"/>
        </w:rPr>
        <w:t>–.</w:t>
      </w:r>
      <w:r w:rsidRPr="00D86CA8">
        <w:rPr>
          <w:rFonts w:ascii="Verdana" w:eastAsia="Calibri" w:hAnsi="Verdana" w:cs="Arial"/>
          <w:bCs/>
          <w:color w:val="000000" w:themeColor="text1"/>
        </w:rPr>
        <w:t xml:space="preserve"> </w:t>
      </w:r>
    </w:p>
    <w:p w14:paraId="0F0D3208" w14:textId="77777777" w:rsidR="00ED4151" w:rsidRPr="00D86CA8" w:rsidRDefault="00ED4151" w:rsidP="00ED4151">
      <w:pPr>
        <w:spacing w:after="0" w:line="276" w:lineRule="auto"/>
        <w:ind w:firstLine="708"/>
        <w:jc w:val="both"/>
        <w:rPr>
          <w:rFonts w:ascii="Verdana" w:eastAsia="Calibri" w:hAnsi="Verdana" w:cs="Arial"/>
          <w:bCs/>
          <w:color w:val="000000" w:themeColor="text1"/>
        </w:rPr>
      </w:pPr>
      <w:r w:rsidRPr="00D86CA8">
        <w:rPr>
          <w:rFonts w:ascii="Verdana" w:eastAsia="Calibri" w:hAnsi="Verdana" w:cs="Arial"/>
          <w:bCs/>
          <w:color w:val="000000" w:themeColor="text1"/>
        </w:rPr>
        <w:t xml:space="preserve">En su </w:t>
      </w:r>
      <w:r w:rsidRPr="00D86CA8">
        <w:rPr>
          <w:rFonts w:ascii="Verdana" w:eastAsia="Calibri" w:hAnsi="Verdana" w:cs="Arial"/>
          <w:bCs/>
          <w:i/>
          <w:iCs/>
          <w:color w:val="000000" w:themeColor="text1"/>
        </w:rPr>
        <w:t>faceta positiva</w:t>
      </w:r>
      <w:r w:rsidRPr="00D86CA8">
        <w:rPr>
          <w:rFonts w:ascii="Verdana" w:eastAsia="Calibri" w:hAnsi="Verdana" w:cs="Arial"/>
          <w:bCs/>
          <w:color w:val="000000" w:themeColor="text1"/>
        </w:rPr>
        <w:t xml:space="preserve">, la Ley 80 de 1993 permite excepcionalmente la cesión del contrato estatal siempre que exista autorización previa escrita de la entidad contratante. Por ello, “[…] El cocontratante que </w:t>
      </w:r>
      <w:r w:rsidRPr="00D86CA8">
        <w:rPr>
          <w:rFonts w:ascii="Verdana" w:eastAsia="Calibri" w:hAnsi="Verdana" w:cs="Arial"/>
          <w:bCs/>
          <w:color w:val="000000" w:themeColor="text1"/>
          <w:sz w:val="24"/>
          <w:szCs w:val="24"/>
        </w:rPr>
        <w:t>‘</w:t>
      </w:r>
      <w:r w:rsidRPr="00D86CA8">
        <w:rPr>
          <w:rFonts w:ascii="Verdana" w:eastAsia="Calibri" w:hAnsi="Verdana" w:cs="Arial"/>
          <w:bCs/>
          <w:i/>
          <w:iCs/>
          <w:color w:val="000000" w:themeColor="text1"/>
        </w:rPr>
        <w:t>ceda</w:t>
      </w:r>
      <w:r w:rsidRPr="00D86CA8">
        <w:rPr>
          <w:rFonts w:ascii="Verdana" w:eastAsia="Calibri" w:hAnsi="Verdana" w:cs="Arial"/>
          <w:bCs/>
          <w:color w:val="000000" w:themeColor="text1"/>
        </w:rPr>
        <w:t>’ el contrato sin estar autorizado para ello incurre en grave responsabilidad: su actitud implica ‘</w:t>
      </w:r>
      <w:r w:rsidRPr="00D86CA8">
        <w:rPr>
          <w:rFonts w:ascii="Verdana" w:eastAsia="Calibri" w:hAnsi="Verdana" w:cs="Arial"/>
          <w:bCs/>
          <w:i/>
          <w:iCs/>
          <w:color w:val="000000" w:themeColor="text1"/>
        </w:rPr>
        <w:t>incumplimiento</w:t>
      </w:r>
      <w:r w:rsidRPr="00D86CA8">
        <w:rPr>
          <w:rFonts w:ascii="Verdana" w:eastAsia="Calibri" w:hAnsi="Verdana" w:cs="Arial"/>
          <w:bCs/>
          <w:color w:val="000000" w:themeColor="text1"/>
        </w:rPr>
        <w:t>’ del contrato; de ahí que esa cesión ilícita no resulte oponible a la Administración Pública […]”</w:t>
      </w:r>
      <w:r w:rsidRPr="00D86CA8">
        <w:rPr>
          <w:rStyle w:val="Refdenotaalpie"/>
          <w:rFonts w:ascii="Verdana" w:eastAsia="Calibri" w:hAnsi="Verdana" w:cs="Arial"/>
          <w:bCs/>
          <w:color w:val="000000" w:themeColor="text1"/>
        </w:rPr>
        <w:footnoteReference w:id="10"/>
      </w:r>
      <w:r w:rsidRPr="00D86CA8">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D86CA8">
        <w:rPr>
          <w:rFonts w:ascii="Verdana" w:eastAsia="Calibri" w:hAnsi="Verdana" w:cs="Arial"/>
          <w:color w:val="000000" w:themeColor="text1"/>
        </w:rPr>
        <w:t>En relación con lo anterior la doctrina define la cesión en los contratos estatales de la siguiente manera:</w:t>
      </w:r>
    </w:p>
    <w:p w14:paraId="08452464" w14:textId="77777777" w:rsidR="00ED4151" w:rsidRPr="00D86CA8" w:rsidRDefault="00ED4151" w:rsidP="00ED4151">
      <w:pPr>
        <w:spacing w:after="0" w:line="276" w:lineRule="auto"/>
        <w:ind w:firstLine="708"/>
        <w:jc w:val="both"/>
        <w:rPr>
          <w:rFonts w:ascii="Verdana" w:eastAsia="Calibri" w:hAnsi="Verdana" w:cs="Arial"/>
          <w:color w:val="000000" w:themeColor="text1"/>
        </w:rPr>
      </w:pPr>
      <w:r w:rsidRPr="00D86CA8">
        <w:rPr>
          <w:rFonts w:ascii="Verdana" w:eastAsia="Calibri" w:hAnsi="Verdana" w:cs="Arial"/>
          <w:color w:val="000000" w:themeColor="text1"/>
        </w:rPr>
        <w:t xml:space="preserve"> </w:t>
      </w:r>
    </w:p>
    <w:p w14:paraId="5F91CEBE" w14:textId="77777777" w:rsidR="00ED4151" w:rsidRPr="00D86CA8" w:rsidRDefault="00ED4151" w:rsidP="00ED4151">
      <w:pPr>
        <w:spacing w:after="0" w:line="240" w:lineRule="auto"/>
        <w:ind w:left="709" w:right="709"/>
        <w:jc w:val="both"/>
        <w:rPr>
          <w:rFonts w:ascii="Verdana" w:eastAsia="Calibri" w:hAnsi="Verdana" w:cs="Arial"/>
          <w:color w:val="000000" w:themeColor="text1"/>
          <w:sz w:val="21"/>
          <w:szCs w:val="21"/>
        </w:rPr>
      </w:pPr>
      <w:r w:rsidRPr="00D86CA8">
        <w:rPr>
          <w:rFonts w:ascii="Verdana" w:eastAsia="Calibri" w:hAnsi="Verdana" w:cs="Arial"/>
          <w:color w:val="000000" w:themeColor="text1"/>
          <w:sz w:val="21"/>
          <w:szCs w:val="21"/>
        </w:rPr>
        <w:t xml:space="preserve">“La cesión en la contratación estatal supone, previa autorización de la entidad contratante, la sustitución </w:t>
      </w:r>
      <w:r w:rsidRPr="00D86CA8">
        <w:rPr>
          <w:rFonts w:ascii="Verdana" w:eastAsia="Calibri" w:hAnsi="Verdana" w:cs="Arial"/>
          <w:i/>
          <w:iCs/>
          <w:color w:val="000000" w:themeColor="text1"/>
          <w:sz w:val="21"/>
          <w:szCs w:val="21"/>
        </w:rPr>
        <w:t>in genere</w:t>
      </w:r>
      <w:r w:rsidRPr="00D86CA8">
        <w:rPr>
          <w:rFonts w:ascii="Verdana" w:eastAsia="Calibri" w:hAnsi="Verdana" w:cs="Arial"/>
          <w:color w:val="000000" w:themeColor="text1"/>
          <w:sz w:val="21"/>
          <w:szCs w:val="21"/>
        </w:rPr>
        <w:t xml:space="preserve">,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w:t>
      </w:r>
      <w:r w:rsidRPr="00D86CA8">
        <w:rPr>
          <w:rFonts w:ascii="Verdana" w:eastAsia="Calibri" w:hAnsi="Verdana" w:cs="Arial"/>
          <w:color w:val="000000" w:themeColor="text1"/>
          <w:sz w:val="21"/>
          <w:szCs w:val="21"/>
        </w:rPr>
        <w:lastRenderedPageBreak/>
        <w:t>contractual originaria, sin que sea precisa la transferencia individual de cuantos derechos y obligaciones conforman la universalidad jurídica a ceder […]”</w:t>
      </w:r>
      <w:r w:rsidRPr="00D86CA8">
        <w:rPr>
          <w:rStyle w:val="Refdenotaalpie"/>
          <w:rFonts w:ascii="Verdana" w:hAnsi="Verdana" w:cs="Arial"/>
          <w:color w:val="000000" w:themeColor="text1"/>
          <w:sz w:val="21"/>
          <w:szCs w:val="21"/>
        </w:rPr>
        <w:footnoteReference w:id="11"/>
      </w:r>
      <w:r w:rsidRPr="00D86CA8">
        <w:rPr>
          <w:rFonts w:ascii="Verdana" w:eastAsia="Calibri" w:hAnsi="Verdana" w:cs="Arial"/>
          <w:color w:val="000000" w:themeColor="text1"/>
          <w:sz w:val="21"/>
          <w:szCs w:val="21"/>
        </w:rPr>
        <w:t>.</w:t>
      </w:r>
    </w:p>
    <w:p w14:paraId="77B534A0" w14:textId="77777777" w:rsidR="00ED4151" w:rsidRPr="00D86CA8" w:rsidRDefault="00ED4151" w:rsidP="00ED4151">
      <w:pPr>
        <w:spacing w:after="0" w:line="276" w:lineRule="auto"/>
        <w:jc w:val="both"/>
        <w:rPr>
          <w:rFonts w:ascii="Verdana" w:eastAsia="Calibri" w:hAnsi="Verdana" w:cs="Arial"/>
          <w:color w:val="000000" w:themeColor="text1"/>
        </w:rPr>
      </w:pPr>
    </w:p>
    <w:p w14:paraId="7DB0C3A6" w14:textId="77777777" w:rsidR="00ED4151" w:rsidRPr="00D86CA8" w:rsidRDefault="00ED4151" w:rsidP="00ED4151">
      <w:pPr>
        <w:spacing w:after="120" w:line="276" w:lineRule="auto"/>
        <w:ind w:firstLine="709"/>
        <w:jc w:val="both"/>
        <w:rPr>
          <w:rFonts w:ascii="Verdana" w:eastAsia="Calibri" w:hAnsi="Verdana" w:cs="Arial"/>
          <w:bCs/>
          <w:color w:val="000000" w:themeColor="text1"/>
        </w:rPr>
      </w:pPr>
      <w:r w:rsidRPr="00D86CA8">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D86CA8">
        <w:rPr>
          <w:rFonts w:ascii="Verdana" w:hAnsi="Verdana"/>
        </w:rPr>
        <w:t xml:space="preserve"> </w:t>
      </w:r>
      <w:r w:rsidRPr="00D86CA8">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D86CA8">
        <w:rPr>
          <w:rFonts w:ascii="Verdana" w:eastAsia="Calibri" w:hAnsi="Verdana" w:cs="Arial"/>
          <w:color w:val="000000" w:themeColor="text1"/>
        </w:rPr>
        <w:t xml:space="preserve">. </w:t>
      </w:r>
    </w:p>
    <w:p w14:paraId="014EBC4E" w14:textId="78F3A84D" w:rsidR="00ED4151" w:rsidRPr="00D86CA8" w:rsidRDefault="00ED4151" w:rsidP="00ED4151">
      <w:pPr>
        <w:tabs>
          <w:tab w:val="left" w:pos="709"/>
        </w:tabs>
        <w:spacing w:after="120" w:line="276" w:lineRule="auto"/>
        <w:jc w:val="both"/>
        <w:rPr>
          <w:rFonts w:ascii="Verdana" w:eastAsia="Calibri" w:hAnsi="Verdana" w:cs="Arial"/>
          <w:color w:val="000000" w:themeColor="text1"/>
        </w:rPr>
      </w:pPr>
      <w:bookmarkStart w:id="3" w:name="_Hlk80369799"/>
      <w:r w:rsidRPr="00D86CA8">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D86CA8">
        <w:rPr>
          <w:rFonts w:ascii="Verdana" w:eastAsia="Calibri" w:hAnsi="Verdana" w:cs="Arial"/>
          <w:color w:val="000000" w:themeColor="text1"/>
        </w:rPr>
        <w:t>ii</w:t>
      </w:r>
      <w:proofErr w:type="spellEnd"/>
      <w:r w:rsidRPr="00D86CA8">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D86CA8">
        <w:rPr>
          <w:rFonts w:ascii="Verdana" w:eastAsia="Calibri" w:hAnsi="Verdana" w:cs="Arial"/>
          <w:color w:val="000000" w:themeColor="text1"/>
        </w:rPr>
        <w:t>iii</w:t>
      </w:r>
      <w:proofErr w:type="spellEnd"/>
      <w:r w:rsidRPr="00D86CA8">
        <w:rPr>
          <w:rFonts w:ascii="Verdana" w:eastAsia="Calibri" w:hAnsi="Verdana" w:cs="Arial"/>
          <w:color w:val="000000" w:themeColor="text1"/>
        </w:rPr>
        <w:t xml:space="preserve">) el cesionario debe contar con capacidad técnica, económica y financiera suficientes para el cumplimiento de las obligaciones emanadas del contrato cedido. </w:t>
      </w:r>
      <w:r w:rsidR="67A72223" w:rsidRPr="31518304">
        <w:rPr>
          <w:rFonts w:ascii="Verdana" w:eastAsia="Calibri" w:hAnsi="Verdana" w:cs="Arial"/>
          <w:color w:val="000000" w:themeColor="text1"/>
        </w:rPr>
        <w:t xml:space="preserve">Lo anterior es viable siempre que exista autorización previa escrita de la entidad contratante. </w:t>
      </w:r>
      <w:r w:rsidRPr="00D86CA8">
        <w:rPr>
          <w:rFonts w:ascii="Verdana" w:eastAsia="Calibri" w:hAnsi="Verdana" w:cs="Arial"/>
          <w:color w:val="000000" w:themeColor="text1"/>
        </w:rPr>
        <w:t>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4" w:name="_Hlk80369829"/>
      <w:bookmarkEnd w:id="3"/>
      <w:r w:rsidRPr="00D86CA8">
        <w:rPr>
          <w:rFonts w:ascii="Verdana" w:eastAsia="Calibri" w:hAnsi="Verdana" w:cs="Arial"/>
          <w:color w:val="000000" w:themeColor="text1"/>
        </w:rPr>
        <w:t>,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4"/>
      <w:r w:rsidRPr="00D86CA8">
        <w:rPr>
          <w:rFonts w:ascii="Verdana" w:eastAsia="Calibri" w:hAnsi="Verdana" w:cs="Arial"/>
          <w:color w:val="000000" w:themeColor="text1"/>
        </w:rPr>
        <w:t>”</w:t>
      </w:r>
      <w:r w:rsidRPr="00D86CA8">
        <w:rPr>
          <w:rStyle w:val="Refdenotaalpie"/>
          <w:rFonts w:ascii="Verdana" w:eastAsia="Calibri" w:hAnsi="Verdana" w:cs="Arial"/>
          <w:color w:val="000000" w:themeColor="text1"/>
        </w:rPr>
        <w:footnoteReference w:id="12"/>
      </w:r>
      <w:r w:rsidRPr="00D86CA8">
        <w:rPr>
          <w:rFonts w:ascii="Verdana" w:eastAsia="Calibri" w:hAnsi="Verdana" w:cs="Arial"/>
          <w:color w:val="000000" w:themeColor="text1"/>
        </w:rPr>
        <w:t>.</w:t>
      </w:r>
    </w:p>
    <w:p w14:paraId="449ABFB2" w14:textId="77777777" w:rsidR="00ED4151" w:rsidRPr="00D86CA8" w:rsidRDefault="00ED4151" w:rsidP="00ED4151">
      <w:pPr>
        <w:tabs>
          <w:tab w:val="left" w:pos="709"/>
        </w:tabs>
        <w:spacing w:after="120" w:line="276" w:lineRule="auto"/>
        <w:ind w:firstLine="709"/>
        <w:jc w:val="both"/>
        <w:rPr>
          <w:rFonts w:ascii="Verdana" w:eastAsia="Calibri" w:hAnsi="Verdana" w:cs="Arial"/>
          <w:color w:val="000000" w:themeColor="text1"/>
        </w:rPr>
      </w:pPr>
      <w:bookmarkStart w:id="5" w:name="_Hlk80369857"/>
      <w:r w:rsidRPr="00D86CA8">
        <w:rPr>
          <w:rFonts w:ascii="Verdana" w:eastAsia="Calibri" w:hAnsi="Verdana" w:cs="Arial"/>
          <w:color w:val="000000" w:themeColor="text1"/>
        </w:rPr>
        <w:lastRenderedPageBreak/>
        <w:t>Por lo tanto, la entidad estatal en el trámite de autorización de una cesión de posición contractual está obligada a respetar y dar cabal cumplimiento a los principios y normas rectoras de la contratación pública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5"/>
    <w:p w14:paraId="7FB8F4D1" w14:textId="77777777" w:rsidR="00ED4151" w:rsidRPr="00D86CA8" w:rsidRDefault="00ED4151" w:rsidP="00ED4151">
      <w:pPr>
        <w:tabs>
          <w:tab w:val="left" w:pos="709"/>
        </w:tabs>
        <w:spacing w:after="0" w:line="276" w:lineRule="auto"/>
        <w:ind w:firstLine="709"/>
        <w:jc w:val="both"/>
        <w:rPr>
          <w:rFonts w:ascii="Verdana" w:eastAsia="Calibri" w:hAnsi="Verdana" w:cs="Arial"/>
          <w:color w:val="000000" w:themeColor="text1"/>
        </w:rPr>
      </w:pPr>
      <w:r w:rsidRPr="00D86CA8">
        <w:rPr>
          <w:rFonts w:ascii="Verdana" w:eastAsia="Calibri" w:hAnsi="Verdana" w:cs="Arial"/>
          <w:color w:val="000000" w:themeColor="text1"/>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 En esta última hipótesis, para la doctrina no existe un tercero como requisito de la cesión, y agrega lo siguiente:</w:t>
      </w:r>
    </w:p>
    <w:p w14:paraId="7594E378" w14:textId="77777777" w:rsidR="00ED4151" w:rsidRPr="00D86CA8" w:rsidRDefault="00ED4151" w:rsidP="00ED4151">
      <w:pPr>
        <w:tabs>
          <w:tab w:val="left" w:pos="709"/>
        </w:tabs>
        <w:spacing w:after="0" w:line="276" w:lineRule="auto"/>
        <w:jc w:val="both"/>
        <w:rPr>
          <w:rFonts w:ascii="Verdana" w:eastAsia="Calibri" w:hAnsi="Verdana" w:cs="Arial"/>
          <w:color w:val="000000" w:themeColor="text1"/>
        </w:rPr>
      </w:pPr>
    </w:p>
    <w:p w14:paraId="6BE76203" w14:textId="77777777" w:rsidR="00ED4151" w:rsidRPr="00D86CA8" w:rsidRDefault="00ED4151" w:rsidP="00ED4151">
      <w:pPr>
        <w:tabs>
          <w:tab w:val="left" w:pos="709"/>
        </w:tabs>
        <w:spacing w:after="0" w:line="240" w:lineRule="auto"/>
        <w:ind w:left="709" w:right="709"/>
        <w:jc w:val="both"/>
        <w:rPr>
          <w:rFonts w:ascii="Verdana" w:eastAsia="Calibri" w:hAnsi="Verdana" w:cs="Arial"/>
          <w:color w:val="000000" w:themeColor="text1"/>
          <w:sz w:val="21"/>
          <w:szCs w:val="21"/>
        </w:rPr>
      </w:pPr>
      <w:r w:rsidRPr="00D86CA8">
        <w:rPr>
          <w:rFonts w:ascii="Verdana" w:eastAsia="Calibri" w:hAnsi="Verdana" w:cs="Arial"/>
          <w:color w:val="000000" w:themeColor="text1"/>
          <w:sz w:val="21"/>
          <w:szCs w:val="21"/>
        </w:rPr>
        <w:t>“[…] supóngase que no existiera la restricción aludida; en este caso tampoco es válida la cesión en un integrante de un consorcio o unión temporal dado que los consorcios o uniones temporales no tienen personalidad jurídica, sino solo capacidad para celebrar contratos estatales, en virtud de la habilitación contenida en el artículo 6 de la Ley 80 de 1993. En estos casos se está en presencia, por tanto, de un contratista plural; esto es, la calidad de contratista se predica de cada uno de los integrantes del consorcio o unión temporal, de allí que […] no es válida la cesión en el propio contratista”</w:t>
      </w:r>
      <w:r w:rsidRPr="00D86CA8">
        <w:rPr>
          <w:rStyle w:val="Refdenotaalpie"/>
          <w:rFonts w:ascii="Verdana" w:eastAsia="Calibri" w:hAnsi="Verdana" w:cs="Arial"/>
          <w:color w:val="000000" w:themeColor="text1"/>
          <w:sz w:val="21"/>
          <w:szCs w:val="21"/>
        </w:rPr>
        <w:footnoteReference w:id="13"/>
      </w:r>
      <w:r w:rsidRPr="00D86CA8">
        <w:rPr>
          <w:rFonts w:ascii="Verdana" w:eastAsia="Calibri" w:hAnsi="Verdana" w:cs="Arial"/>
          <w:color w:val="000000" w:themeColor="text1"/>
          <w:sz w:val="21"/>
          <w:szCs w:val="21"/>
        </w:rPr>
        <w:t xml:space="preserve">.   </w:t>
      </w:r>
    </w:p>
    <w:p w14:paraId="26A7EAD4" w14:textId="77777777" w:rsidR="00ED4151" w:rsidRPr="00D86CA8" w:rsidRDefault="00ED4151" w:rsidP="00ED4151">
      <w:pPr>
        <w:tabs>
          <w:tab w:val="left" w:pos="709"/>
        </w:tabs>
        <w:spacing w:after="0" w:line="276" w:lineRule="auto"/>
        <w:ind w:firstLine="709"/>
        <w:jc w:val="both"/>
        <w:rPr>
          <w:rFonts w:ascii="Verdana" w:eastAsia="Calibri" w:hAnsi="Verdana" w:cs="Arial"/>
          <w:color w:val="000000" w:themeColor="text1"/>
        </w:rPr>
      </w:pPr>
    </w:p>
    <w:p w14:paraId="12E8837C" w14:textId="77777777" w:rsidR="00ED4151" w:rsidRPr="00D86CA8" w:rsidRDefault="00ED4151" w:rsidP="00ED4151">
      <w:pPr>
        <w:spacing w:line="276" w:lineRule="auto"/>
        <w:ind w:right="51" w:firstLine="709"/>
        <w:jc w:val="both"/>
        <w:rPr>
          <w:rFonts w:ascii="Verdana" w:eastAsia="Calibri" w:hAnsi="Verdana" w:cs="Arial"/>
          <w:color w:val="000000" w:themeColor="text1"/>
        </w:rPr>
      </w:pPr>
      <w:bookmarkStart w:id="6" w:name="_Hlk79797430"/>
      <w:r w:rsidRPr="00D86CA8">
        <w:rPr>
          <w:rFonts w:ascii="Verdana" w:eastAsia="Calibri" w:hAnsi="Verdana" w:cs="Arial"/>
          <w:color w:val="000000" w:themeColor="text1"/>
        </w:rPr>
        <w:t xml:space="preserve">De esta manera, si está prohibida la cesión entre quienes integren el proponente plural, significa que está permitida la cesión de sus integrantes a un tercero distinto a los miembros del consorcio o la unión temporal. Esto no es más que la aplicación del argumento </w:t>
      </w:r>
      <w:r w:rsidRPr="00D86CA8">
        <w:rPr>
          <w:rFonts w:ascii="Verdana" w:eastAsia="Calibri" w:hAnsi="Verdana" w:cs="Arial"/>
          <w:i/>
          <w:iCs/>
          <w:color w:val="000000" w:themeColor="text1"/>
        </w:rPr>
        <w:t>a contrario</w:t>
      </w:r>
      <w:r w:rsidRPr="00D86CA8">
        <w:rPr>
          <w:rFonts w:ascii="Verdana" w:eastAsia="Calibri" w:hAnsi="Verdana" w:cs="Arial"/>
          <w:color w:val="000000" w:themeColor="text1"/>
        </w:rPr>
        <w:t xml:space="preserve">, criterio hermenéutico por el cual “[…] dado un enunciado normativo que predica una cualificación normativa respecto a un término en él incluido que está por un sujeto o una clase de sujetos, debe evitarse extender el significado de ese término de modo tal que </w:t>
      </w:r>
      <w:r w:rsidRPr="00D86CA8">
        <w:rPr>
          <w:rFonts w:ascii="Verdana" w:eastAsia="Calibri" w:hAnsi="Verdana" w:cs="Arial"/>
          <w:color w:val="000000" w:themeColor="text1"/>
        </w:rPr>
        <w:lastRenderedPageBreak/>
        <w:t>llegue a comprender a sujetos o clases de sujetos no estricta y literalmente incluidos en él de conformidad con el primer enunciado normativo”</w:t>
      </w:r>
      <w:r w:rsidRPr="00D86CA8">
        <w:rPr>
          <w:rStyle w:val="Refdenotaalpie"/>
          <w:rFonts w:ascii="Verdana" w:eastAsia="Calibri" w:hAnsi="Verdana" w:cs="Arial"/>
          <w:color w:val="000000" w:themeColor="text1"/>
        </w:rPr>
        <w:footnoteReference w:id="14"/>
      </w:r>
      <w:r w:rsidRPr="00D86CA8">
        <w:rPr>
          <w:rFonts w:ascii="Verdana" w:eastAsia="Calibri" w:hAnsi="Verdana" w:cs="Arial"/>
          <w:color w:val="000000" w:themeColor="text1"/>
        </w:rPr>
        <w:t xml:space="preserve">. </w:t>
      </w:r>
    </w:p>
    <w:p w14:paraId="7D08F5EC" w14:textId="77777777" w:rsidR="00ED4151" w:rsidRPr="00D86CA8" w:rsidRDefault="00ED4151" w:rsidP="00ED4151">
      <w:pPr>
        <w:spacing w:line="276" w:lineRule="auto"/>
        <w:ind w:right="51" w:firstLine="709"/>
        <w:jc w:val="both"/>
        <w:rPr>
          <w:rFonts w:ascii="Verdana" w:eastAsia="Calibri" w:hAnsi="Verdana" w:cs="Arial"/>
          <w:color w:val="000000" w:themeColor="text1"/>
          <w:sz w:val="20"/>
          <w:szCs w:val="20"/>
        </w:rPr>
      </w:pPr>
      <w:r w:rsidRPr="00D86CA8">
        <w:rPr>
          <w:rFonts w:ascii="Verdana" w:eastAsia="Calibri" w:hAnsi="Verdana" w:cs="Arial"/>
          <w:color w:val="000000" w:themeColor="text1"/>
        </w:rPr>
        <w:t>Por tanto, si dicho tercero cumple los requisitos de capacidad jurídica, no está incurso en causales de inhabilidad o incompatibilidad y, de acuerdo con los criterios previstos en el pliego de condiciones, es idóneo desde el punto de vista técnico, económico y financiero para cumplir con las obligaciones, la entidad podrá analizar la posibilidad de autorizar la cesión. Siempre que se cumpla este criterio mínimo, la entidad podrá valorar si el tercero cesionario debe tener las mismas o mayores aptitudes que el contratista cedente, pues la autorización para ceder es una potestad de naturaleza discrecional</w:t>
      </w:r>
      <w:r w:rsidRPr="00D86CA8">
        <w:rPr>
          <w:rStyle w:val="Refdenotaalpie"/>
          <w:rFonts w:ascii="Verdana" w:eastAsia="Calibri" w:hAnsi="Verdana" w:cs="Arial"/>
          <w:color w:val="000000" w:themeColor="text1"/>
        </w:rPr>
        <w:footnoteReference w:id="15"/>
      </w:r>
      <w:r w:rsidRPr="00D86CA8">
        <w:rPr>
          <w:rFonts w:ascii="Verdana" w:eastAsia="Calibri" w:hAnsi="Verdana" w:cs="Arial"/>
          <w:color w:val="000000" w:themeColor="text1"/>
        </w:rPr>
        <w:t xml:space="preserve">.   </w:t>
      </w:r>
    </w:p>
    <w:p w14:paraId="5BCF62AF" w14:textId="77777777" w:rsidR="00ED4151" w:rsidRPr="00D86CA8" w:rsidRDefault="00ED4151" w:rsidP="00ED4151">
      <w:pPr>
        <w:spacing w:line="276" w:lineRule="auto"/>
        <w:ind w:right="51" w:firstLine="709"/>
        <w:jc w:val="both"/>
        <w:rPr>
          <w:rFonts w:ascii="Verdana" w:eastAsia="Calibri" w:hAnsi="Verdana" w:cs="Arial"/>
          <w:color w:val="000000" w:themeColor="text1"/>
        </w:rPr>
      </w:pPr>
      <w:r w:rsidRPr="00D86CA8">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7" w:name="_Hlk79799730"/>
      <w:r w:rsidRPr="00D86CA8">
        <w:rPr>
          <w:rFonts w:ascii="Verdana" w:eastAsia="Calibri" w:hAnsi="Verdana" w:cs="Arial"/>
          <w:color w:val="000000" w:themeColor="text1"/>
        </w:rPr>
        <w:t xml:space="preserve">los artículos 887 a 896 </w:t>
      </w:r>
      <w:bookmarkEnd w:id="7"/>
      <w:r w:rsidRPr="00D86CA8">
        <w:rPr>
          <w:rFonts w:ascii="Verdana" w:eastAsia="Calibri" w:hAnsi="Verdana" w:cs="Arial"/>
          <w:color w:val="000000" w:themeColor="text1"/>
        </w:rPr>
        <w:t>del Código de Comercio definen la cesión del contrato. Por consiguiente, resultan aplicables las normas del derecho civil y comercial pertinentes, sobre cesión del crédito y cesión de contratos respectivamente, salvo en las materias particularmente reguladas por el Estatuto General de Contratación de la Administración Pública, como lo señala el artículo 13 de la Ley 80 de 1993.</w:t>
      </w:r>
      <w:r w:rsidRPr="00D86CA8">
        <w:rPr>
          <w:rFonts w:ascii="Verdana" w:hAnsi="Verdana" w:cs="Arial"/>
          <w:color w:val="000000" w:themeColor="text1"/>
        </w:rPr>
        <w:t xml:space="preserve"> </w:t>
      </w:r>
    </w:p>
    <w:bookmarkEnd w:id="6"/>
    <w:p w14:paraId="3E09A878" w14:textId="77777777" w:rsidR="00ED4151" w:rsidRPr="00D86CA8" w:rsidRDefault="00ED4151" w:rsidP="00ED4151">
      <w:pPr>
        <w:spacing w:after="120" w:line="276" w:lineRule="auto"/>
        <w:ind w:firstLine="708"/>
        <w:jc w:val="both"/>
        <w:rPr>
          <w:rFonts w:ascii="Verdana" w:eastAsia="Calibri" w:hAnsi="Verdana" w:cs="Arial"/>
          <w:color w:val="000000" w:themeColor="text1"/>
        </w:rPr>
      </w:pPr>
      <w:r w:rsidRPr="00D86CA8">
        <w:rPr>
          <w:rFonts w:ascii="Verdana" w:eastAsia="Calibri" w:hAnsi="Verdana" w:cs="Arial"/>
          <w:color w:val="000000" w:themeColor="text1"/>
        </w:rPr>
        <w:t xml:space="preserve">De conformidad con los requisitos y las restricciones explicadas </w:t>
      </w:r>
      <w:r w:rsidRPr="00D86CA8">
        <w:rPr>
          <w:rFonts w:ascii="Verdana" w:eastAsia="Calibri" w:hAnsi="Verdana" w:cs="Arial"/>
          <w:i/>
          <w:iCs/>
          <w:color w:val="000000" w:themeColor="text1"/>
        </w:rPr>
        <w:t>ut supra</w:t>
      </w:r>
      <w:r w:rsidRPr="00D86CA8">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D86CA8">
        <w:rPr>
          <w:rFonts w:ascii="Verdana" w:hAnsi="Verdana" w:cs="Arial"/>
          <w:color w:val="000000" w:themeColor="text1"/>
        </w:rPr>
        <w:t xml:space="preserve"> Es una de las posibilidades en las cuales existe una modificación de uno de los extremos 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1390D5B8" w14:textId="77777777" w:rsidR="00ED4151" w:rsidRPr="00D86CA8" w:rsidRDefault="00ED4151" w:rsidP="00ED4151">
      <w:pPr>
        <w:spacing w:after="120" w:line="276" w:lineRule="auto"/>
        <w:ind w:firstLine="708"/>
        <w:jc w:val="both"/>
        <w:rPr>
          <w:rFonts w:ascii="Verdana" w:eastAsia="Calibri" w:hAnsi="Verdana" w:cs="Arial"/>
          <w:bCs/>
          <w:color w:val="000000" w:themeColor="text1"/>
        </w:rPr>
      </w:pPr>
      <w:r w:rsidRPr="00D86CA8">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w:t>
      </w:r>
      <w:r w:rsidRPr="00D86CA8">
        <w:rPr>
          <w:rFonts w:ascii="Verdana" w:eastAsia="Calibri" w:hAnsi="Verdana" w:cs="Arial"/>
          <w:bCs/>
          <w:color w:val="000000" w:themeColor="text1"/>
        </w:rPr>
        <w:lastRenderedPageBreak/>
        <w:t>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663AA51" w14:textId="77777777" w:rsidR="00ED4151" w:rsidRPr="00D86CA8" w:rsidRDefault="00ED4151" w:rsidP="00ED4151">
      <w:pPr>
        <w:spacing w:after="0" w:line="276" w:lineRule="auto"/>
        <w:ind w:firstLine="708"/>
        <w:jc w:val="both"/>
        <w:rPr>
          <w:rFonts w:ascii="Verdana" w:eastAsia="Calibri" w:hAnsi="Verdana" w:cs="Arial"/>
          <w:bCs/>
          <w:color w:val="000000" w:themeColor="text1"/>
        </w:rPr>
      </w:pPr>
      <w:r w:rsidRPr="00D86CA8">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889C14A" w14:textId="77777777" w:rsidR="00ED4151" w:rsidRPr="00D86CA8" w:rsidRDefault="00ED4151" w:rsidP="00ED4151">
      <w:pPr>
        <w:tabs>
          <w:tab w:val="left" w:pos="709"/>
        </w:tabs>
        <w:spacing w:after="0" w:line="276" w:lineRule="auto"/>
        <w:jc w:val="both"/>
        <w:rPr>
          <w:rFonts w:ascii="Verdana" w:eastAsia="Calibri" w:hAnsi="Verdana" w:cs="Arial"/>
          <w:color w:val="000000" w:themeColor="text1"/>
        </w:rPr>
      </w:pPr>
    </w:p>
    <w:p w14:paraId="47C901E2" w14:textId="77777777" w:rsidR="00ED4151" w:rsidRPr="00D86CA8" w:rsidRDefault="00ED4151" w:rsidP="00ED415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86CA8">
        <w:rPr>
          <w:rFonts w:ascii="Verdana" w:eastAsia="Century Gothic" w:hAnsi="Verdana" w:cs="Century Gothic"/>
          <w:b/>
          <w:bCs/>
        </w:rPr>
        <w:t>Referencias normativas:</w:t>
      </w:r>
    </w:p>
    <w:p w14:paraId="055A1851" w14:textId="77777777" w:rsidR="00ED4151" w:rsidRPr="00D86CA8" w:rsidRDefault="00ED4151" w:rsidP="00ED415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D4151" w:rsidRPr="00D86CA8" w14:paraId="1637F9CD" w14:textId="77777777" w:rsidTr="00565C08">
        <w:trPr>
          <w:trHeight w:val="870"/>
          <w:jc w:val="center"/>
        </w:trPr>
        <w:tc>
          <w:tcPr>
            <w:tcW w:w="8647" w:type="dxa"/>
          </w:tcPr>
          <w:p w14:paraId="6C638D67" w14:textId="77777777" w:rsidR="00ED4151" w:rsidRPr="00D86CA8" w:rsidRDefault="00ED4151" w:rsidP="00565C0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D86CA8">
              <w:rPr>
                <w:rFonts w:ascii="Verdana" w:hAnsi="Verdana" w:cs="Arial"/>
              </w:rPr>
              <w:t>Ley 80 de 1993, artículos 13, 32, 40 y 41.</w:t>
            </w:r>
          </w:p>
          <w:p w14:paraId="4234882D" w14:textId="77777777" w:rsidR="00ED4151" w:rsidRPr="00D86CA8" w:rsidRDefault="00ED4151" w:rsidP="00565C0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sidRPr="00D86CA8">
              <w:rPr>
                <w:rFonts w:ascii="Verdana" w:hAnsi="Verdana" w:cs="Arial"/>
              </w:rPr>
              <w:t>Código Civil, artículos 1501, 1959 y ss.</w:t>
            </w:r>
          </w:p>
          <w:p w14:paraId="74590594" w14:textId="77777777" w:rsidR="00ED4151" w:rsidRPr="00D86CA8" w:rsidRDefault="00ED4151" w:rsidP="00565C08">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sidRPr="00D86CA8">
              <w:rPr>
                <w:rFonts w:ascii="Verdana" w:hAnsi="Verdana" w:cs="Arial"/>
                <w:color w:val="000000" w:themeColor="text1"/>
                <w:lang w:val="es-ES_tradnl"/>
              </w:rPr>
              <w:t>Código de Comercio, artículos 887 y ss.</w:t>
            </w:r>
          </w:p>
        </w:tc>
      </w:tr>
    </w:tbl>
    <w:p w14:paraId="7C76EAD6" w14:textId="77777777" w:rsidR="00ED4151" w:rsidRPr="00D86CA8" w:rsidRDefault="00ED4151" w:rsidP="00ED4151">
      <w:pPr>
        <w:widowControl w:val="0"/>
        <w:autoSpaceDE w:val="0"/>
        <w:autoSpaceDN w:val="0"/>
        <w:spacing w:after="0" w:line="276" w:lineRule="auto"/>
        <w:jc w:val="both"/>
        <w:rPr>
          <w:rFonts w:ascii="Verdana" w:hAnsi="Verdana" w:cs="Arial"/>
        </w:rPr>
      </w:pPr>
    </w:p>
    <w:p w14:paraId="791C0AE0" w14:textId="77777777" w:rsidR="00ED4151" w:rsidRPr="00D86CA8" w:rsidRDefault="00ED4151" w:rsidP="00ED415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86CA8">
        <w:rPr>
          <w:rFonts w:ascii="Verdana" w:eastAsia="Century Gothic" w:hAnsi="Verdana" w:cs="Century Gothic"/>
          <w:b/>
          <w:bCs/>
        </w:rPr>
        <w:t>Doctrina de la Agencia Nacional de Contratación Pública:</w:t>
      </w:r>
    </w:p>
    <w:p w14:paraId="43DA2C62" w14:textId="77777777" w:rsidR="00ED4151" w:rsidRPr="00D86CA8" w:rsidRDefault="00ED4151" w:rsidP="00ED4151">
      <w:pPr>
        <w:widowControl w:val="0"/>
        <w:autoSpaceDE w:val="0"/>
        <w:autoSpaceDN w:val="0"/>
        <w:spacing w:after="0" w:line="276" w:lineRule="auto"/>
        <w:jc w:val="both"/>
        <w:rPr>
          <w:rFonts w:ascii="Verdana" w:hAnsi="Verdana" w:cs="Arial"/>
        </w:rPr>
      </w:pPr>
    </w:p>
    <w:p w14:paraId="23E592EE" w14:textId="77777777" w:rsidR="00ED4151" w:rsidRPr="00D86CA8" w:rsidRDefault="00ED4151" w:rsidP="00ED4151">
      <w:pPr>
        <w:widowControl w:val="0"/>
        <w:autoSpaceDE w:val="0"/>
        <w:autoSpaceDN w:val="0"/>
        <w:spacing w:after="0" w:line="276" w:lineRule="auto"/>
        <w:jc w:val="both"/>
        <w:rPr>
          <w:rStyle w:val="normaltextrun"/>
          <w:rFonts w:ascii="Verdana" w:hAnsi="Verdana" w:cs="Arial"/>
          <w:shd w:val="clear" w:color="auto" w:fill="FFFFFF"/>
        </w:rPr>
      </w:pPr>
      <w:r w:rsidRPr="00D86CA8">
        <w:rPr>
          <w:rFonts w:ascii="Verdana" w:hAnsi="Verdana" w:cs="Arial"/>
          <w:shd w:val="clear" w:color="auto" w:fill="FFFFFF"/>
        </w:rPr>
        <w:t>Esta Subdirección se ha pronunciado sobre la cesión de contratos en los Conceptos 4201913000007643 y 4201913000007669 del 26 de diciembre de 2019, así como en los Conceptos C-551 del 24 de septiembre de 2020, C-572 del 27 de agosto de 2020, C-582 del 28 de agosto de 2020, C-385 del 20 de agosto de 2021, C-069 del 24 de abril de 2023, C-868 del 20 de diciembre de 2024, C-880 del 30 de diciembre de 2024, C-214 del 25 de marzo de 2025 y C-675 del 4 de junio de 2025</w:t>
      </w:r>
      <w:r w:rsidRPr="00D86CA8">
        <w:rPr>
          <w:rFonts w:ascii="Verdana" w:hAnsi="Verdana"/>
        </w:rPr>
        <w:t>.</w:t>
      </w:r>
      <w:r w:rsidRPr="00D86CA8">
        <w:rPr>
          <w:rFonts w:ascii="Verdana" w:hAnsi="Verdana" w:cs="Arial"/>
          <w:shd w:val="clear" w:color="auto" w:fill="FFFFFF"/>
        </w:rPr>
        <w:t xml:space="preserve"> Estos y otros </w:t>
      </w:r>
      <w:r w:rsidRPr="00D86CA8">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D86CA8">
          <w:rPr>
            <w:rStyle w:val="Hipervnculo"/>
            <w:rFonts w:ascii="Verdana" w:hAnsi="Verdana" w:cs="Arial"/>
            <w:shd w:val="clear" w:color="auto" w:fill="FFFFFF"/>
          </w:rPr>
          <w:t>https://relatoria.colombiacompra.gov.co/busqueda/conceptos</w:t>
        </w:r>
      </w:hyperlink>
      <w:r w:rsidRPr="00D86CA8">
        <w:rPr>
          <w:rStyle w:val="normaltextrun"/>
          <w:rFonts w:ascii="Verdana" w:hAnsi="Verdana" w:cs="Arial"/>
          <w:shd w:val="clear" w:color="auto" w:fill="FFFFFF"/>
        </w:rPr>
        <w:t xml:space="preserve">. </w:t>
      </w:r>
      <w:r w:rsidRPr="00D86CA8">
        <w:rPr>
          <w:rStyle w:val="normaltextrun"/>
          <w:rFonts w:ascii="Verdana" w:hAnsi="Verdana" w:cs="Arial"/>
          <w:color w:val="FF0000"/>
          <w:shd w:val="clear" w:color="auto" w:fill="FFFFFF"/>
          <w:lang w:val="es-ES"/>
        </w:rPr>
        <w:t xml:space="preserve"> </w:t>
      </w:r>
    </w:p>
    <w:p w14:paraId="39427A72" w14:textId="77777777" w:rsidR="00ED4151" w:rsidRPr="00D86CA8" w:rsidRDefault="00ED4151" w:rsidP="00ED4151">
      <w:pPr>
        <w:widowControl w:val="0"/>
        <w:autoSpaceDE w:val="0"/>
        <w:autoSpaceDN w:val="0"/>
        <w:spacing w:after="0" w:line="276" w:lineRule="auto"/>
        <w:jc w:val="both"/>
        <w:rPr>
          <w:rFonts w:ascii="Verdana" w:hAnsi="Verdana" w:cs="Arial"/>
          <w:color w:val="000000" w:themeColor="text1"/>
          <w:shd w:val="clear" w:color="auto" w:fill="FFFFFF"/>
        </w:rPr>
      </w:pPr>
    </w:p>
    <w:p w14:paraId="466033EA" w14:textId="77777777" w:rsidR="00ED4151" w:rsidRPr="00D86CA8" w:rsidRDefault="00ED4151" w:rsidP="00ED4151">
      <w:pPr>
        <w:shd w:val="clear" w:color="auto" w:fill="FFFFFF"/>
        <w:spacing w:after="0" w:line="276" w:lineRule="auto"/>
        <w:jc w:val="both"/>
        <w:rPr>
          <w:rFonts w:ascii="Verdana" w:hAnsi="Verdana"/>
          <w:color w:val="467886"/>
          <w:u w:val="single"/>
        </w:rPr>
      </w:pPr>
      <w:r w:rsidRPr="00D86CA8">
        <w:rPr>
          <w:rFonts w:ascii="Verdana" w:hAnsi="Verdana"/>
          <w:color w:val="000000"/>
        </w:rPr>
        <w:lastRenderedPageBreak/>
        <w:t>Te informamos que ya se encuentra disponible la </w:t>
      </w:r>
      <w:r w:rsidRPr="00D86CA8">
        <w:rPr>
          <w:rFonts w:ascii="Verdana" w:hAnsi="Verdana"/>
          <w:b/>
          <w:bCs/>
          <w:color w:val="000000"/>
        </w:rPr>
        <w:t>Guía de lineamientos de transparencia y selección objetiva para el departamento de La Guajira – Objetivo sexto constitucional de la Sentencia T-302 del 2017. </w:t>
      </w:r>
      <w:r w:rsidRPr="00D86CA8">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86CA8">
        <w:rPr>
          <w:rFonts w:ascii="Verdana" w:hAnsi="Verdana"/>
          <w:color w:val="000000"/>
        </w:rPr>
        <w:t>Wayúu</w:t>
      </w:r>
      <w:proofErr w:type="spellEnd"/>
      <w:r w:rsidRPr="00D86CA8">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D86CA8">
          <w:rPr>
            <w:rStyle w:val="Hipervnculo"/>
            <w:rFonts w:ascii="Verdana" w:hAnsi="Verdana"/>
          </w:rPr>
          <w:t>Guía de lineamientos de transparencia y selección objetiva para el departamento de La Guajira – Objetivo sexto constitucional de la Sentencia T-302 del 2017</w:t>
        </w:r>
      </w:hyperlink>
      <w:r w:rsidRPr="00D86CA8">
        <w:rPr>
          <w:rFonts w:ascii="Verdana" w:hAnsi="Verdana"/>
          <w:color w:val="000000"/>
          <w:u w:val="single"/>
        </w:rPr>
        <w:t>.</w:t>
      </w:r>
    </w:p>
    <w:p w14:paraId="73B4834D" w14:textId="77777777" w:rsidR="00ED4151" w:rsidRPr="00D86CA8" w:rsidRDefault="00ED4151" w:rsidP="00ED4151">
      <w:pPr>
        <w:widowControl w:val="0"/>
        <w:autoSpaceDE w:val="0"/>
        <w:autoSpaceDN w:val="0"/>
        <w:spacing w:after="0" w:line="276" w:lineRule="auto"/>
        <w:jc w:val="both"/>
        <w:rPr>
          <w:rFonts w:ascii="Verdana" w:hAnsi="Verdana" w:cs="Arial"/>
          <w:color w:val="FF0000"/>
          <w:shd w:val="clear" w:color="auto" w:fill="FFFFFF"/>
          <w:lang w:val="es-ES_tradnl"/>
        </w:rPr>
      </w:pPr>
      <w:r w:rsidRPr="00D86CA8">
        <w:rPr>
          <w:rFonts w:ascii="Verdana" w:hAnsi="Verdana" w:cs="Arial"/>
          <w:color w:val="000000" w:themeColor="text1"/>
          <w:shd w:val="clear" w:color="auto" w:fill="FFFFFF"/>
          <w:lang w:val="es-ES_tradnl"/>
        </w:rPr>
        <w:t xml:space="preserve"> </w:t>
      </w:r>
      <w:r w:rsidRPr="00D86CA8">
        <w:rPr>
          <w:rStyle w:val="normaltextrun"/>
          <w:rFonts w:ascii="Verdana" w:hAnsi="Verdana" w:cs="Arial"/>
          <w:color w:val="FF0000"/>
          <w:shd w:val="clear" w:color="auto" w:fill="FFFFFF"/>
          <w:lang w:val="es-ES_tradnl"/>
        </w:rPr>
        <w:t xml:space="preserve">        </w:t>
      </w:r>
    </w:p>
    <w:p w14:paraId="6F1E255E" w14:textId="77777777" w:rsidR="00ED4151" w:rsidRPr="00D86CA8" w:rsidRDefault="00ED4151" w:rsidP="00ED4151">
      <w:pPr>
        <w:widowControl w:val="0"/>
        <w:autoSpaceDE w:val="0"/>
        <w:autoSpaceDN w:val="0"/>
        <w:spacing w:after="0" w:line="276" w:lineRule="auto"/>
        <w:jc w:val="both"/>
        <w:rPr>
          <w:rFonts w:ascii="Verdana" w:hAnsi="Verdana" w:cs="Arial"/>
          <w:lang w:val="es-ES_tradnl"/>
        </w:rPr>
      </w:pPr>
      <w:r w:rsidRPr="00D86CA8">
        <w:rPr>
          <w:rFonts w:ascii="Verdana" w:hAnsi="Verdana" w:cs="Arial"/>
        </w:rPr>
        <w:t xml:space="preserve">Este concepto tiene el alcance previsto en el artículo 28 del Código de Procedimiento Administrativo y de lo Contencioso Administrativo </w:t>
      </w:r>
      <w:r w:rsidRPr="00D86CA8">
        <w:rPr>
          <w:rFonts w:ascii="Verdana" w:hAnsi="Verdana" w:cs="Arial"/>
          <w:lang w:val="es-ES_tradnl"/>
        </w:rPr>
        <w:t>y las expresiones aquí utilizadas con mayúscula inicial deben ser entendidas con el significado que les otorga el artículo 2.2.1.1.1.3.1. del Decreto 1082 de 2015.</w:t>
      </w:r>
    </w:p>
    <w:p w14:paraId="728C85D9" w14:textId="77777777" w:rsidR="00ED4151" w:rsidRPr="00D86CA8" w:rsidRDefault="00ED4151" w:rsidP="00ED4151">
      <w:pPr>
        <w:widowControl w:val="0"/>
        <w:autoSpaceDE w:val="0"/>
        <w:autoSpaceDN w:val="0"/>
        <w:spacing w:after="0" w:line="276" w:lineRule="auto"/>
        <w:jc w:val="both"/>
        <w:rPr>
          <w:rFonts w:ascii="Verdana" w:hAnsi="Verdana" w:cs="Arial"/>
        </w:rPr>
      </w:pPr>
    </w:p>
    <w:p w14:paraId="13F7DC08" w14:textId="77777777" w:rsidR="00ED4151" w:rsidRPr="00D86CA8" w:rsidRDefault="00ED4151" w:rsidP="00ED4151">
      <w:pPr>
        <w:spacing w:after="0" w:line="240" w:lineRule="auto"/>
        <w:rPr>
          <w:rFonts w:ascii="Verdana" w:hAnsi="Verdana" w:cs="Arial"/>
          <w:lang w:eastAsia="es-CO"/>
        </w:rPr>
      </w:pPr>
      <w:r w:rsidRPr="00D86CA8">
        <w:rPr>
          <w:rFonts w:ascii="Verdana" w:eastAsia="Times New Roman" w:hAnsi="Verdana" w:cs="Arial"/>
          <w:lang w:eastAsia="es-CO"/>
        </w:rPr>
        <w:t>Atentamente,</w:t>
      </w:r>
      <w:r w:rsidRPr="00D86CA8">
        <w:rPr>
          <w:rFonts w:ascii="Verdana" w:hAnsi="Verdana" w:cs="Arial"/>
          <w:lang w:eastAsia="es-CO"/>
        </w:rPr>
        <w:t xml:space="preserve"> </w:t>
      </w:r>
    </w:p>
    <w:p w14:paraId="26C0DEAC" w14:textId="47D35847" w:rsidR="00ED4151" w:rsidRDefault="00F24AF3" w:rsidP="00ED4151">
      <w:pPr>
        <w:spacing w:line="276" w:lineRule="auto"/>
        <w:jc w:val="center"/>
        <w:rPr>
          <w:rFonts w:ascii="Verdana" w:hAnsi="Verdana" w:cs="Arial"/>
          <w:color w:val="000000"/>
          <w:lang w:val="es-ES_tradnl" w:eastAsia="es-CO"/>
        </w:rPr>
      </w:pPr>
      <w:r>
        <w:rPr>
          <w:rFonts w:ascii="Verdana" w:hAnsi="Verdana" w:cs="Arial"/>
          <w:noProof/>
          <w:color w:val="000000"/>
          <w:lang w:val="es-ES_tradnl" w:eastAsia="es-CO"/>
        </w:rPr>
        <w:drawing>
          <wp:inline distT="0" distB="0" distL="0" distR="0" wp14:anchorId="11EE7A5B" wp14:editId="1A6ED55D">
            <wp:extent cx="3468458" cy="1491303"/>
            <wp:effectExtent l="0" t="0" r="0" b="0"/>
            <wp:docPr id="18711046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104674" name="Imagen 1871104674"/>
                    <pic:cNvPicPr/>
                  </pic:nvPicPr>
                  <pic:blipFill>
                    <a:blip r:embed="rId14">
                      <a:extLst>
                        <a:ext uri="{28A0092B-C50C-407E-A947-70E740481C1C}">
                          <a14:useLocalDpi xmlns:a14="http://schemas.microsoft.com/office/drawing/2010/main" val="0"/>
                        </a:ext>
                      </a:extLst>
                    </a:blip>
                    <a:stretch>
                      <a:fillRect/>
                    </a:stretch>
                  </pic:blipFill>
                  <pic:spPr>
                    <a:xfrm>
                      <a:off x="0" y="0"/>
                      <a:ext cx="3485205" cy="1498504"/>
                    </a:xfrm>
                    <a:prstGeom prst="rect">
                      <a:avLst/>
                    </a:prstGeom>
                  </pic:spPr>
                </pic:pic>
              </a:graphicData>
            </a:graphic>
          </wp:inline>
        </w:drawing>
      </w:r>
    </w:p>
    <w:p w14:paraId="502B3610" w14:textId="77777777" w:rsidR="00ED4151" w:rsidRPr="00D86CA8" w:rsidRDefault="00ED4151" w:rsidP="00ED4151">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D4151" w:rsidRPr="00D86CA8" w14:paraId="1A7D8E64" w14:textId="77777777" w:rsidTr="00565C08">
        <w:trPr>
          <w:trHeight w:val="315"/>
        </w:trPr>
        <w:tc>
          <w:tcPr>
            <w:tcW w:w="893" w:type="dxa"/>
            <w:vAlign w:val="center"/>
            <w:hideMark/>
          </w:tcPr>
          <w:p w14:paraId="24C5EBE4" w14:textId="77777777" w:rsidR="00ED4151" w:rsidRPr="00D86CA8" w:rsidRDefault="00ED4151" w:rsidP="00565C08">
            <w:pPr>
              <w:contextualSpacing/>
              <w:rPr>
                <w:rFonts w:ascii="Verdana" w:hAnsi="Verdana" w:cs="Arial"/>
                <w:sz w:val="16"/>
                <w:szCs w:val="16"/>
                <w:lang w:val="es-ES" w:eastAsia="es-ES"/>
              </w:rPr>
            </w:pPr>
            <w:r w:rsidRPr="00D86CA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7F748C4" w14:textId="77777777" w:rsidR="00ED4151" w:rsidRPr="00D86CA8" w:rsidRDefault="00ED4151" w:rsidP="00565C08">
            <w:pPr>
              <w:contextualSpacing/>
              <w:rPr>
                <w:rStyle w:val="normaltextrun"/>
                <w:rFonts w:ascii="Verdana" w:hAnsi="Verdana"/>
                <w:sz w:val="16"/>
                <w:szCs w:val="16"/>
              </w:rPr>
            </w:pPr>
            <w:proofErr w:type="spellStart"/>
            <w:r>
              <w:rPr>
                <w:rStyle w:val="normaltextrun"/>
                <w:rFonts w:ascii="Verdana" w:hAnsi="Verdana"/>
                <w:sz w:val="16"/>
                <w:szCs w:val="16"/>
              </w:rPr>
              <w:t>Karol</w:t>
            </w:r>
            <w:proofErr w:type="spellEnd"/>
            <w:r>
              <w:rPr>
                <w:rStyle w:val="normaltextrun"/>
                <w:rFonts w:ascii="Verdana" w:hAnsi="Verdana"/>
                <w:sz w:val="16"/>
                <w:szCs w:val="16"/>
              </w:rPr>
              <w:t xml:space="preserve"> Andrea </w:t>
            </w:r>
            <w:proofErr w:type="spellStart"/>
            <w:r>
              <w:rPr>
                <w:rStyle w:val="normaltextrun"/>
                <w:rFonts w:ascii="Verdana" w:hAnsi="Verdana"/>
                <w:sz w:val="16"/>
                <w:szCs w:val="16"/>
              </w:rPr>
              <w:t>Gonzalez</w:t>
            </w:r>
            <w:proofErr w:type="spellEnd"/>
            <w:r>
              <w:rPr>
                <w:rStyle w:val="normaltextrun"/>
                <w:rFonts w:ascii="Verdana" w:hAnsi="Verdana"/>
                <w:sz w:val="16"/>
                <w:szCs w:val="16"/>
              </w:rPr>
              <w:t xml:space="preserve"> </w:t>
            </w:r>
            <w:proofErr w:type="spellStart"/>
            <w:r>
              <w:rPr>
                <w:rStyle w:val="normaltextrun"/>
                <w:rFonts w:ascii="Verdana" w:hAnsi="Verdana"/>
                <w:sz w:val="16"/>
                <w:szCs w:val="16"/>
              </w:rPr>
              <w:t>Marin</w:t>
            </w:r>
            <w:proofErr w:type="spellEnd"/>
          </w:p>
          <w:p w14:paraId="44AF7739" w14:textId="77777777" w:rsidR="00ED4151" w:rsidRPr="00D86CA8" w:rsidRDefault="00ED4151" w:rsidP="00565C08">
            <w:pPr>
              <w:contextualSpacing/>
              <w:rPr>
                <w:rFonts w:ascii="Verdana" w:eastAsia="Arial" w:hAnsi="Verdana" w:cs="Arial"/>
                <w:sz w:val="16"/>
                <w:szCs w:val="16"/>
              </w:rPr>
            </w:pPr>
            <w:r w:rsidRPr="00D86CA8">
              <w:rPr>
                <w:rStyle w:val="normaltextrun"/>
                <w:rFonts w:ascii="Verdana" w:hAnsi="Verdana"/>
                <w:sz w:val="16"/>
                <w:szCs w:val="16"/>
              </w:rPr>
              <w:t>Contratista de la Subdirección de Gestión Contractual</w:t>
            </w:r>
          </w:p>
        </w:tc>
      </w:tr>
      <w:tr w:rsidR="00ED4151" w:rsidRPr="00D86CA8" w14:paraId="1C66FAE7" w14:textId="77777777" w:rsidTr="00565C08">
        <w:trPr>
          <w:trHeight w:val="330"/>
        </w:trPr>
        <w:tc>
          <w:tcPr>
            <w:tcW w:w="893" w:type="dxa"/>
            <w:vAlign w:val="center"/>
            <w:hideMark/>
          </w:tcPr>
          <w:p w14:paraId="5DCC4D25" w14:textId="77777777" w:rsidR="00ED4151" w:rsidRPr="00D86CA8" w:rsidRDefault="00ED4151" w:rsidP="00565C08">
            <w:pPr>
              <w:contextualSpacing/>
              <w:rPr>
                <w:rFonts w:ascii="Verdana" w:hAnsi="Verdana" w:cs="Arial"/>
                <w:sz w:val="16"/>
                <w:szCs w:val="16"/>
                <w:lang w:val="es-ES" w:eastAsia="es-ES"/>
              </w:rPr>
            </w:pPr>
            <w:r w:rsidRPr="00D86CA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6342591" w14:textId="77777777" w:rsidR="00F24AF3" w:rsidRDefault="00ED4151" w:rsidP="00565C08">
            <w:pPr>
              <w:pStyle w:val="paragraph"/>
              <w:spacing w:before="0" w:beforeAutospacing="0" w:after="0" w:afterAutospacing="0"/>
              <w:contextualSpacing/>
              <w:textAlignment w:val="baseline"/>
              <w:rPr>
                <w:rStyle w:val="normaltextrun"/>
                <w:rFonts w:ascii="Verdana" w:hAnsi="Verdana" w:cs="Arial"/>
                <w:sz w:val="16"/>
                <w:szCs w:val="16"/>
                <w:lang w:val="es-ES_tradnl"/>
              </w:rPr>
            </w:pPr>
            <w:r w:rsidRPr="00A8481B">
              <w:rPr>
                <w:rStyle w:val="normaltextrun"/>
                <w:rFonts w:ascii="Verdana" w:hAnsi="Verdana" w:cs="Arial"/>
                <w:sz w:val="16"/>
                <w:szCs w:val="16"/>
                <w:lang w:val="es-ES_tradnl"/>
              </w:rPr>
              <w:t xml:space="preserve">Juan Carlos </w:t>
            </w:r>
            <w:proofErr w:type="spellStart"/>
            <w:r w:rsidRPr="00A8481B">
              <w:rPr>
                <w:rStyle w:val="normaltextrun"/>
                <w:rFonts w:ascii="Verdana" w:hAnsi="Verdana" w:cs="Arial"/>
                <w:sz w:val="16"/>
                <w:szCs w:val="16"/>
                <w:lang w:val="es-ES_tradnl"/>
              </w:rPr>
              <w:t>Gonzalez</w:t>
            </w:r>
            <w:proofErr w:type="spellEnd"/>
            <w:r w:rsidRPr="00A8481B">
              <w:rPr>
                <w:rStyle w:val="normaltextrun"/>
                <w:rFonts w:ascii="Verdana" w:hAnsi="Verdana" w:cs="Arial"/>
                <w:sz w:val="16"/>
                <w:szCs w:val="16"/>
                <w:lang w:val="es-ES_tradnl"/>
              </w:rPr>
              <w:t xml:space="preserve"> </w:t>
            </w:r>
            <w:proofErr w:type="spellStart"/>
            <w:r w:rsidRPr="00A8481B">
              <w:rPr>
                <w:rStyle w:val="normaltextrun"/>
                <w:rFonts w:ascii="Verdana" w:hAnsi="Verdana" w:cs="Arial"/>
                <w:sz w:val="16"/>
                <w:szCs w:val="16"/>
                <w:lang w:val="es-ES_tradnl"/>
              </w:rPr>
              <w:t>Vasquez</w:t>
            </w:r>
            <w:proofErr w:type="spellEnd"/>
            <w:r w:rsidRPr="00A8481B">
              <w:rPr>
                <w:rStyle w:val="normaltextrun"/>
                <w:rFonts w:ascii="Verdana" w:hAnsi="Verdana" w:cs="Arial"/>
                <w:sz w:val="16"/>
                <w:szCs w:val="16"/>
                <w:lang w:val="es-ES_tradnl"/>
              </w:rPr>
              <w:t xml:space="preserve"> </w:t>
            </w:r>
          </w:p>
          <w:p w14:paraId="01B874D7" w14:textId="3D0CFC34" w:rsidR="00ED4151" w:rsidRPr="00D86CA8" w:rsidRDefault="00ED4151" w:rsidP="00565C08">
            <w:pPr>
              <w:pStyle w:val="paragraph"/>
              <w:spacing w:before="0" w:beforeAutospacing="0" w:after="0" w:afterAutospacing="0"/>
              <w:contextualSpacing/>
              <w:textAlignment w:val="baseline"/>
              <w:rPr>
                <w:rFonts w:ascii="Verdana" w:hAnsi="Verdana" w:cs="Segoe UI"/>
                <w:sz w:val="16"/>
                <w:szCs w:val="16"/>
              </w:rPr>
            </w:pPr>
            <w:r w:rsidRPr="00D86CA8">
              <w:rPr>
                <w:rStyle w:val="normaltextrun"/>
                <w:rFonts w:ascii="Verdana" w:hAnsi="Verdana"/>
                <w:sz w:val="16"/>
                <w:szCs w:val="16"/>
              </w:rPr>
              <w:t>Contratista de la Subdirección de Gestión Contractual</w:t>
            </w:r>
          </w:p>
        </w:tc>
      </w:tr>
      <w:tr w:rsidR="00ED4151" w:rsidRPr="00593A5F" w14:paraId="15E5C4F0" w14:textId="77777777" w:rsidTr="00565C08">
        <w:trPr>
          <w:trHeight w:val="300"/>
        </w:trPr>
        <w:tc>
          <w:tcPr>
            <w:tcW w:w="893" w:type="dxa"/>
            <w:vAlign w:val="center"/>
          </w:tcPr>
          <w:p w14:paraId="35B43C7F" w14:textId="77777777" w:rsidR="00ED4151" w:rsidRPr="00D86CA8" w:rsidRDefault="00ED4151" w:rsidP="00565C08">
            <w:pPr>
              <w:contextualSpacing/>
              <w:rPr>
                <w:rFonts w:ascii="Verdana" w:hAnsi="Verdana" w:cs="Arial"/>
                <w:sz w:val="16"/>
                <w:szCs w:val="16"/>
                <w:lang w:val="es-ES" w:eastAsia="es-ES"/>
              </w:rPr>
            </w:pPr>
            <w:r w:rsidRPr="00D86CA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E81B70A" w14:textId="77777777" w:rsidR="00ED4151" w:rsidRPr="00D86CA8" w:rsidRDefault="00ED4151" w:rsidP="00565C08">
            <w:pPr>
              <w:contextualSpacing/>
              <w:rPr>
                <w:rFonts w:ascii="Verdana" w:eastAsia="Calibri" w:hAnsi="Verdana" w:cs="Arial"/>
                <w:sz w:val="16"/>
                <w:szCs w:val="16"/>
                <w:lang w:val="pt-BR" w:eastAsia="es-ES"/>
              </w:rPr>
            </w:pPr>
            <w:r w:rsidRPr="00D86CA8">
              <w:rPr>
                <w:rFonts w:ascii="Verdana" w:eastAsia="Calibri" w:hAnsi="Verdana" w:cs="Arial"/>
                <w:sz w:val="16"/>
                <w:szCs w:val="16"/>
                <w:lang w:val="pt-BR" w:eastAsia="es-ES"/>
              </w:rPr>
              <w:t xml:space="preserve">Carolina Quintero </w:t>
            </w:r>
            <w:proofErr w:type="spellStart"/>
            <w:r w:rsidRPr="00D86CA8">
              <w:rPr>
                <w:rFonts w:ascii="Verdana" w:eastAsia="Calibri" w:hAnsi="Verdana" w:cs="Arial"/>
                <w:sz w:val="16"/>
                <w:szCs w:val="16"/>
                <w:lang w:val="pt-BR" w:eastAsia="es-ES"/>
              </w:rPr>
              <w:t>Gacharná</w:t>
            </w:r>
            <w:proofErr w:type="spellEnd"/>
          </w:p>
          <w:p w14:paraId="3157F1D8" w14:textId="77777777" w:rsidR="00ED4151" w:rsidRPr="003751C7" w:rsidRDefault="00ED4151" w:rsidP="00565C08">
            <w:pPr>
              <w:contextualSpacing/>
              <w:rPr>
                <w:rFonts w:ascii="Verdana" w:eastAsia="Calibri" w:hAnsi="Verdana" w:cs="Arial"/>
                <w:sz w:val="16"/>
                <w:szCs w:val="16"/>
                <w:lang w:val="pt-BR" w:eastAsia="es-ES"/>
              </w:rPr>
            </w:pPr>
            <w:r w:rsidRPr="00D86CA8">
              <w:rPr>
                <w:rFonts w:ascii="Verdana" w:eastAsia="Calibri" w:hAnsi="Verdana" w:cs="Arial"/>
                <w:sz w:val="16"/>
                <w:szCs w:val="16"/>
                <w:lang w:eastAsia="es-ES"/>
              </w:rPr>
              <w:t>Subdirectora</w:t>
            </w:r>
            <w:r w:rsidRPr="00D86CA8">
              <w:rPr>
                <w:rFonts w:ascii="Verdana" w:eastAsia="Calibri" w:hAnsi="Verdana" w:cs="Arial"/>
                <w:sz w:val="16"/>
                <w:szCs w:val="16"/>
                <w:lang w:val="pt-BR" w:eastAsia="es-ES"/>
              </w:rPr>
              <w:t xml:space="preserve"> de </w:t>
            </w:r>
            <w:proofErr w:type="spellStart"/>
            <w:r w:rsidRPr="00D86CA8">
              <w:rPr>
                <w:rFonts w:ascii="Verdana" w:eastAsia="Calibri" w:hAnsi="Verdana" w:cs="Arial"/>
                <w:sz w:val="16"/>
                <w:szCs w:val="16"/>
                <w:lang w:val="pt-BR" w:eastAsia="es-ES"/>
              </w:rPr>
              <w:t>Gestión</w:t>
            </w:r>
            <w:proofErr w:type="spellEnd"/>
            <w:r w:rsidRPr="00D86CA8">
              <w:rPr>
                <w:rFonts w:ascii="Verdana" w:eastAsia="Calibri" w:hAnsi="Verdana" w:cs="Arial"/>
                <w:sz w:val="16"/>
                <w:szCs w:val="16"/>
                <w:lang w:val="pt-BR" w:eastAsia="es-ES"/>
              </w:rPr>
              <w:t xml:space="preserve"> </w:t>
            </w:r>
            <w:proofErr w:type="spellStart"/>
            <w:r w:rsidRPr="00D86CA8">
              <w:rPr>
                <w:rFonts w:ascii="Verdana" w:eastAsia="Calibri" w:hAnsi="Verdana" w:cs="Arial"/>
                <w:sz w:val="16"/>
                <w:szCs w:val="16"/>
                <w:lang w:val="pt-BR" w:eastAsia="es-ES"/>
              </w:rPr>
              <w:t>Contractual</w:t>
            </w:r>
            <w:proofErr w:type="spellEnd"/>
            <w:r w:rsidRPr="00D86CA8">
              <w:rPr>
                <w:rFonts w:ascii="Verdana" w:eastAsia="Calibri" w:hAnsi="Verdana" w:cs="Arial"/>
                <w:sz w:val="16"/>
                <w:szCs w:val="16"/>
                <w:lang w:val="pt-BR" w:eastAsia="es-ES"/>
              </w:rPr>
              <w:t xml:space="preserve"> ANCP – CCE</w:t>
            </w:r>
          </w:p>
        </w:tc>
      </w:tr>
    </w:tbl>
    <w:p w14:paraId="2AC0DA05" w14:textId="77777777" w:rsidR="00ED4151" w:rsidRPr="00543BFE" w:rsidRDefault="00ED4151" w:rsidP="00ED4151"/>
    <w:p w14:paraId="4378B973" w14:textId="77777777" w:rsidR="00ED4151" w:rsidRPr="00781ECA" w:rsidRDefault="00ED4151" w:rsidP="00ED4151"/>
    <w:p w14:paraId="0F293BF4" w14:textId="1C058126" w:rsidR="00127233" w:rsidRPr="00ED4151" w:rsidRDefault="00127233" w:rsidP="00ED4151"/>
    <w:sectPr w:rsidR="00127233" w:rsidRPr="00ED415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66B7AE" w14:textId="77777777" w:rsidR="00C62B2A" w:rsidRDefault="00C62B2A" w:rsidP="004A1847">
      <w:pPr>
        <w:spacing w:after="0" w:line="240" w:lineRule="auto"/>
      </w:pPr>
      <w:r>
        <w:separator/>
      </w:r>
    </w:p>
  </w:endnote>
  <w:endnote w:type="continuationSeparator" w:id="0">
    <w:p w14:paraId="3C133881" w14:textId="77777777" w:rsidR="00C62B2A" w:rsidRDefault="00C62B2A" w:rsidP="004A1847">
      <w:pPr>
        <w:spacing w:after="0" w:line="240" w:lineRule="auto"/>
      </w:pPr>
      <w:r>
        <w:continuationSeparator/>
      </w:r>
    </w:p>
  </w:endnote>
  <w:endnote w:type="continuationNotice" w:id="1">
    <w:p w14:paraId="61ED241C" w14:textId="77777777" w:rsidR="00C62B2A" w:rsidRDefault="00C62B2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ED4151"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ED4151">
      <w:rPr>
        <w:rFonts w:ascii="Century Gothic" w:eastAsia="Geo" w:hAnsi="Century Gothic" w:cs="Geo"/>
        <w:b/>
        <w:bCs/>
        <w:color w:val="000000" w:themeColor="text1"/>
        <w:sz w:val="16"/>
        <w:szCs w:val="16"/>
        <w:lang w:val="pt-PT" w:eastAsia="es-CO"/>
      </w:rPr>
      <w:t xml:space="preserve">Código: </w:t>
    </w:r>
    <w:r w:rsidRPr="00ED4151">
      <w:rPr>
        <w:rFonts w:ascii="Century Gothic" w:eastAsia="Geo" w:hAnsi="Century Gothic" w:cs="Geo"/>
        <w:color w:val="000000" w:themeColor="text1"/>
        <w:sz w:val="16"/>
        <w:szCs w:val="16"/>
        <w:lang w:val="pt-PT" w:eastAsia="es-CO"/>
      </w:rPr>
      <w:t xml:space="preserve">CCE-REC-FM-17 </w:t>
    </w:r>
    <w:r w:rsidRPr="00ED4151">
      <w:rPr>
        <w:rFonts w:ascii="Century Gothic" w:eastAsia="Geo" w:hAnsi="Century Gothic" w:cs="Geo"/>
        <w:b/>
        <w:bCs/>
        <w:color w:val="000000" w:themeColor="text1"/>
        <w:sz w:val="16"/>
        <w:szCs w:val="16"/>
        <w:lang w:val="pt-PT" w:eastAsia="es-CO"/>
      </w:rPr>
      <w:t>V</w:t>
    </w:r>
    <w:r w:rsidRPr="00ED4151">
      <w:rPr>
        <w:rFonts w:ascii="Century Gothic" w:eastAsia="Arial Nova" w:hAnsi="Century Gothic" w:cs="Arial Nova"/>
        <w:b/>
        <w:bCs/>
        <w:color w:val="000000" w:themeColor="text1"/>
        <w:sz w:val="16"/>
        <w:szCs w:val="16"/>
        <w:lang w:val="pt-PT" w:eastAsia="es-CO"/>
      </w:rPr>
      <w:t xml:space="preserve">: </w:t>
    </w:r>
    <w:r w:rsidRPr="00ED4151">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FC2D8" w14:textId="77777777" w:rsidR="00C62B2A" w:rsidRDefault="00C62B2A" w:rsidP="004A1847">
      <w:pPr>
        <w:spacing w:after="0" w:line="240" w:lineRule="auto"/>
      </w:pPr>
      <w:r>
        <w:separator/>
      </w:r>
    </w:p>
  </w:footnote>
  <w:footnote w:type="continuationSeparator" w:id="0">
    <w:p w14:paraId="3509AD96" w14:textId="77777777" w:rsidR="00C62B2A" w:rsidRDefault="00C62B2A" w:rsidP="004A1847">
      <w:pPr>
        <w:spacing w:after="0" w:line="240" w:lineRule="auto"/>
      </w:pPr>
      <w:r>
        <w:continuationSeparator/>
      </w:r>
    </w:p>
  </w:footnote>
  <w:footnote w:type="continuationNotice" w:id="1">
    <w:p w14:paraId="11CD06A6" w14:textId="77777777" w:rsidR="00C62B2A" w:rsidRDefault="00C62B2A">
      <w:pPr>
        <w:spacing w:after="0" w:line="240" w:lineRule="auto"/>
      </w:pPr>
    </w:p>
  </w:footnote>
  <w:footnote w:id="2">
    <w:p w14:paraId="20AC549D" w14:textId="77777777" w:rsidR="00ED4151" w:rsidRPr="004C544B" w:rsidRDefault="00ED4151" w:rsidP="00ED4151">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0E36BC31" w14:textId="77777777" w:rsidR="00ED4151" w:rsidRPr="004C544B" w:rsidRDefault="00ED4151" w:rsidP="00ED4151">
      <w:pPr>
        <w:pStyle w:val="Textonotapie"/>
        <w:ind w:firstLine="708"/>
        <w:jc w:val="both"/>
        <w:rPr>
          <w:rFonts w:ascii="Verdana" w:hAnsi="Verdana" w:cs="Arial"/>
          <w:sz w:val="16"/>
          <w:szCs w:val="16"/>
        </w:rPr>
      </w:pPr>
      <w:r w:rsidRPr="004C544B">
        <w:rPr>
          <w:rFonts w:ascii="Verdana" w:hAnsi="Verdana" w:cs="Arial"/>
          <w:sz w:val="16"/>
          <w:szCs w:val="16"/>
        </w:rPr>
        <w:t xml:space="preserve">La misma sustitución podrá hacerse en los contratos mercantiles de ejecución instantánea que aún no hayan sido cumplidos en todo o en parte, y en los celebrados </w:t>
      </w:r>
      <w:proofErr w:type="spellStart"/>
      <w:r w:rsidRPr="004C544B">
        <w:rPr>
          <w:rFonts w:ascii="Verdana" w:hAnsi="Verdana" w:cs="Arial"/>
          <w:i/>
          <w:iCs/>
          <w:sz w:val="16"/>
          <w:szCs w:val="16"/>
        </w:rPr>
        <w:t>intuitu</w:t>
      </w:r>
      <w:proofErr w:type="spellEnd"/>
      <w:r w:rsidRPr="004C544B">
        <w:rPr>
          <w:rFonts w:ascii="Verdana" w:hAnsi="Verdana" w:cs="Arial"/>
          <w:i/>
          <w:iCs/>
          <w:sz w:val="16"/>
          <w:szCs w:val="16"/>
        </w:rPr>
        <w:t xml:space="preserve"> </w:t>
      </w:r>
      <w:proofErr w:type="spellStart"/>
      <w:r w:rsidRPr="004C544B">
        <w:rPr>
          <w:rFonts w:ascii="Verdana" w:hAnsi="Verdana" w:cs="Arial"/>
          <w:i/>
          <w:iCs/>
          <w:sz w:val="16"/>
          <w:szCs w:val="16"/>
        </w:rPr>
        <w:t>personae</w:t>
      </w:r>
      <w:proofErr w:type="spellEnd"/>
      <w:r w:rsidRPr="004C544B">
        <w:rPr>
          <w:rFonts w:ascii="Verdana" w:hAnsi="Verdana" w:cs="Arial"/>
          <w:sz w:val="16"/>
          <w:szCs w:val="16"/>
        </w:rPr>
        <w:t>, pero en estos casos será necesaria la aceptación del contratante cedido”.</w:t>
      </w:r>
    </w:p>
    <w:p w14:paraId="64DE5D45" w14:textId="77777777" w:rsidR="00ED4151" w:rsidRPr="004C544B" w:rsidRDefault="00ED4151" w:rsidP="00ED4151">
      <w:pPr>
        <w:pStyle w:val="Textonotapie"/>
        <w:ind w:firstLine="708"/>
        <w:jc w:val="both"/>
        <w:rPr>
          <w:rFonts w:ascii="Verdana" w:hAnsi="Verdana" w:cs="Arial"/>
          <w:sz w:val="16"/>
          <w:szCs w:val="16"/>
        </w:rPr>
      </w:pPr>
      <w:r w:rsidRPr="004C544B">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3">
    <w:p w14:paraId="41AD061E" w14:textId="77777777" w:rsidR="00ED4151" w:rsidRPr="004C544B" w:rsidRDefault="00ED4151" w:rsidP="00ED4151">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ANDREOLI, </w:t>
      </w:r>
      <w:proofErr w:type="spellStart"/>
      <w:r w:rsidRPr="004C544B">
        <w:rPr>
          <w:rFonts w:ascii="Verdana" w:hAnsi="Verdana" w:cs="Arial"/>
          <w:sz w:val="16"/>
          <w:szCs w:val="16"/>
        </w:rPr>
        <w:t>Marcello</w:t>
      </w:r>
      <w:proofErr w:type="spellEnd"/>
      <w:r w:rsidRPr="004C544B">
        <w:rPr>
          <w:rFonts w:ascii="Verdana" w:hAnsi="Verdana" w:cs="Arial"/>
          <w:sz w:val="16"/>
          <w:szCs w:val="16"/>
        </w:rPr>
        <w:t xml:space="preserve">. La cesión del contrato. Santiago: Ediciones </w:t>
      </w:r>
      <w:proofErr w:type="spellStart"/>
      <w:r w:rsidRPr="004C544B">
        <w:rPr>
          <w:rFonts w:ascii="Verdana" w:hAnsi="Verdana" w:cs="Arial"/>
          <w:sz w:val="16"/>
          <w:szCs w:val="16"/>
        </w:rPr>
        <w:t>Olejnik</w:t>
      </w:r>
      <w:proofErr w:type="spellEnd"/>
      <w:r w:rsidRPr="004C544B">
        <w:rPr>
          <w:rFonts w:ascii="Verdana" w:hAnsi="Verdana" w:cs="Arial"/>
          <w:sz w:val="16"/>
          <w:szCs w:val="16"/>
        </w:rPr>
        <w:t xml:space="preserve">, 2019. p. 12. Énfasis dentro del texto. En este contexto, “La cesión del contrato sirve para hacer posible la </w:t>
      </w:r>
      <w:r w:rsidRPr="004C544B">
        <w:rPr>
          <w:rFonts w:ascii="Verdana" w:hAnsi="Verdana" w:cs="Arial"/>
          <w:i/>
          <w:iCs/>
          <w:sz w:val="16"/>
          <w:szCs w:val="16"/>
        </w:rPr>
        <w:t>circulación del contrato en su integridad</w:t>
      </w:r>
      <w:r w:rsidRPr="004C544B">
        <w:rPr>
          <w:rFonts w:ascii="Verdana" w:hAnsi="Verdana" w:cs="Arial"/>
          <w:sz w:val="16"/>
          <w:szCs w:val="16"/>
        </w:rPr>
        <w:t xml:space="preserve">, es decir, para hacer </w:t>
      </w:r>
      <w:r w:rsidRPr="004C544B">
        <w:rPr>
          <w:rFonts w:ascii="Verdana" w:hAnsi="Verdana" w:cs="Arial"/>
          <w:i/>
          <w:iCs/>
          <w:sz w:val="16"/>
          <w:szCs w:val="16"/>
        </w:rPr>
        <w:t>subintrar</w:t>
      </w:r>
      <w:r w:rsidRPr="004C544B">
        <w:rPr>
          <w:rFonts w:ascii="Verdana" w:hAnsi="Verdana" w:cs="Arial"/>
          <w:sz w:val="16"/>
          <w:szCs w:val="16"/>
        </w:rPr>
        <w:t xml:space="preserve"> un extraño en la categoría de </w:t>
      </w:r>
      <w:r w:rsidRPr="004C544B">
        <w:rPr>
          <w:rFonts w:ascii="Verdana" w:hAnsi="Verdana" w:cs="Arial"/>
          <w:i/>
          <w:iCs/>
          <w:sz w:val="16"/>
          <w:szCs w:val="16"/>
        </w:rPr>
        <w:t>parte</w:t>
      </w:r>
      <w:r w:rsidRPr="004C544B">
        <w:rPr>
          <w:rFonts w:ascii="Verdana" w:hAnsi="Verdana" w:cs="Arial"/>
          <w:sz w:val="16"/>
          <w:szCs w:val="16"/>
        </w:rPr>
        <w:t xml:space="preserve"> contractual, </w:t>
      </w:r>
      <w:r w:rsidRPr="004C544B">
        <w:rPr>
          <w:rFonts w:ascii="Verdana" w:hAnsi="Verdana" w:cs="Arial"/>
          <w:i/>
          <w:iCs/>
          <w:sz w:val="16"/>
          <w:szCs w:val="16"/>
        </w:rPr>
        <w:t>en lugar</w:t>
      </w:r>
      <w:r w:rsidRPr="004C544B">
        <w:rPr>
          <w:rFonts w:ascii="Verdana" w:hAnsi="Verdana" w:cs="Arial"/>
          <w:sz w:val="16"/>
          <w:szCs w:val="16"/>
        </w:rPr>
        <w:t xml:space="preserve"> de uno de los contratantes originarios” (MESSINEO, Francesco. Doctrina general del contrato. Santiago: </w:t>
      </w:r>
      <w:proofErr w:type="spellStart"/>
      <w:r w:rsidRPr="004C544B">
        <w:rPr>
          <w:rFonts w:ascii="Verdana" w:hAnsi="Verdana" w:cs="Arial"/>
          <w:sz w:val="16"/>
          <w:szCs w:val="16"/>
        </w:rPr>
        <w:t>Olejnik</w:t>
      </w:r>
      <w:proofErr w:type="spellEnd"/>
      <w:r w:rsidRPr="004C544B">
        <w:rPr>
          <w:rFonts w:ascii="Verdana" w:hAnsi="Verdana" w:cs="Arial"/>
          <w:sz w:val="16"/>
          <w:szCs w:val="16"/>
        </w:rPr>
        <w:t>, 2018. p. 633. Énfasis dentro del texto).</w:t>
      </w:r>
    </w:p>
  </w:footnote>
  <w:footnote w:id="4">
    <w:p w14:paraId="25D095E0" w14:textId="77777777" w:rsidR="00ED4151" w:rsidRPr="004C544B" w:rsidRDefault="00ED4151" w:rsidP="00ED4151">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ROPPO, </w:t>
      </w:r>
      <w:proofErr w:type="spellStart"/>
      <w:r w:rsidRPr="004C544B">
        <w:rPr>
          <w:rFonts w:ascii="Verdana" w:hAnsi="Verdana" w:cs="Arial"/>
          <w:sz w:val="16"/>
          <w:szCs w:val="16"/>
        </w:rPr>
        <w:t>Vincenzo</w:t>
      </w:r>
      <w:proofErr w:type="spellEnd"/>
      <w:r w:rsidRPr="004C544B">
        <w:rPr>
          <w:rFonts w:ascii="Verdana" w:hAnsi="Verdana" w:cs="Arial"/>
          <w:sz w:val="16"/>
          <w:szCs w:val="16"/>
        </w:rPr>
        <w:t>. El contrato. Lima: Gaceta Jurídica, 2009. p. 547.</w:t>
      </w:r>
    </w:p>
  </w:footnote>
  <w:footnote w:id="5">
    <w:p w14:paraId="4E127835" w14:textId="77777777" w:rsidR="00ED4151" w:rsidRPr="004C544B" w:rsidRDefault="00ED4151" w:rsidP="00ED4151">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i/>
          <w:iCs/>
          <w:sz w:val="16"/>
          <w:szCs w:val="16"/>
        </w:rPr>
        <w:t>Ibidem</w:t>
      </w:r>
      <w:r w:rsidRPr="004C544B">
        <w:rPr>
          <w:rFonts w:ascii="Verdana" w:hAnsi="Verdana" w:cs="Arial"/>
          <w:sz w:val="16"/>
          <w:szCs w:val="16"/>
        </w:rPr>
        <w:t>.</w:t>
      </w:r>
    </w:p>
  </w:footnote>
  <w:footnote w:id="6">
    <w:p w14:paraId="359A6E2F" w14:textId="77777777" w:rsidR="00ED4151" w:rsidRPr="004C544B" w:rsidRDefault="00ED4151" w:rsidP="00ED4151">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footnote>
  <w:footnote w:id="7">
    <w:p w14:paraId="0081CE41" w14:textId="77777777" w:rsidR="00ED4151" w:rsidRPr="004C544B" w:rsidRDefault="00ED4151" w:rsidP="00ED4151">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890. El que cede un contrato se obliga a responder de la existencia y validez del mismo y de sus garantías, pero, salvo estipulación expresa en contrario, no responderá de su cumplimiento por parte del otro contratante y de los garantes”.</w:t>
      </w:r>
    </w:p>
  </w:footnote>
  <w:footnote w:id="8">
    <w:p w14:paraId="0ED24A8A" w14:textId="77777777" w:rsidR="00ED4151" w:rsidRPr="004C544B" w:rsidRDefault="00ED4151" w:rsidP="00ED4151">
      <w:pPr>
        <w:pStyle w:val="Textonotapie"/>
        <w:ind w:firstLine="709"/>
        <w:jc w:val="both"/>
        <w:rPr>
          <w:rFonts w:ascii="Verdana" w:hAnsi="Verdana" w:cs="Arial"/>
          <w:sz w:val="16"/>
          <w:szCs w:val="16"/>
          <w:lang w:val="es-CO"/>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footnote>
  <w:footnote w:id="9">
    <w:p w14:paraId="34824915" w14:textId="77777777" w:rsidR="00ED4151" w:rsidRPr="004C544B" w:rsidRDefault="00ED4151" w:rsidP="00ED4151">
      <w:pPr>
        <w:pStyle w:val="Textonotapie"/>
        <w:ind w:firstLine="709"/>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053A6B69" w14:textId="77777777" w:rsidR="00ED4151" w:rsidRPr="004C544B" w:rsidRDefault="00ED4151" w:rsidP="00ED4151">
      <w:pPr>
        <w:pStyle w:val="Textonotapie"/>
        <w:ind w:firstLine="709"/>
        <w:jc w:val="both"/>
        <w:rPr>
          <w:rFonts w:ascii="Verdana" w:hAnsi="Verdana" w:cs="Arial"/>
          <w:sz w:val="16"/>
          <w:szCs w:val="16"/>
        </w:rPr>
      </w:pPr>
      <w:r w:rsidRPr="004C544B">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10">
    <w:p w14:paraId="6780C61E" w14:textId="77777777" w:rsidR="00ED4151" w:rsidRPr="004C544B" w:rsidRDefault="00ED4151" w:rsidP="00ED4151">
      <w:pPr>
        <w:pStyle w:val="Textonotapie"/>
        <w:ind w:firstLine="708"/>
        <w:jc w:val="both"/>
        <w:rPr>
          <w:rFonts w:ascii="Verdana" w:hAnsi="Verdana" w:cs="Arial"/>
          <w:sz w:val="16"/>
          <w:szCs w:val="16"/>
          <w:lang w:val="es-ES"/>
        </w:rPr>
      </w:pPr>
      <w:r w:rsidRPr="004C544B">
        <w:rPr>
          <w:rStyle w:val="Refdenotaalpie"/>
          <w:rFonts w:ascii="Verdana" w:hAnsi="Verdana" w:cs="Arial"/>
          <w:sz w:val="16"/>
          <w:szCs w:val="16"/>
        </w:rPr>
        <w:footnoteRef/>
      </w:r>
      <w:r w:rsidRPr="00166D1D">
        <w:rPr>
          <w:rFonts w:ascii="Verdana" w:hAnsi="Verdana" w:cs="Arial"/>
          <w:sz w:val="16"/>
          <w:szCs w:val="16"/>
          <w:lang w:val="pt-PT"/>
        </w:rPr>
        <w:t xml:space="preserve"> </w:t>
      </w:r>
      <w:r w:rsidRPr="00166D1D">
        <w:rPr>
          <w:rFonts w:ascii="Verdana" w:hAnsi="Verdana" w:cs="Arial"/>
          <w:sz w:val="16"/>
          <w:szCs w:val="16"/>
          <w:lang w:val="pt-PT"/>
        </w:rPr>
        <w:t xml:space="preserve">MARIENHOFF, Miguel S. Tratado de derecho administrativo. </w:t>
      </w:r>
      <w:r w:rsidRPr="004C544B">
        <w:rPr>
          <w:rFonts w:ascii="Verdana" w:hAnsi="Verdana" w:cs="Arial"/>
          <w:sz w:val="16"/>
          <w:szCs w:val="16"/>
        </w:rPr>
        <w:t>Tomo IIIA. Cuarta Edición. Buenos Aires: Abeledo Perrot, 1998. p. 318. Énfasis dentro del texto.</w:t>
      </w:r>
    </w:p>
  </w:footnote>
  <w:footnote w:id="11">
    <w:p w14:paraId="523D53B3" w14:textId="77777777" w:rsidR="00ED4151" w:rsidRPr="004C544B" w:rsidRDefault="00ED4151" w:rsidP="00ED4151">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footnote>
  <w:footnote w:id="12">
    <w:p w14:paraId="15C0DBF6" w14:textId="77777777" w:rsidR="00ED4151" w:rsidRPr="004C544B" w:rsidRDefault="00ED4151" w:rsidP="00ED4151">
      <w:pPr>
        <w:pStyle w:val="Textonotapie"/>
        <w:ind w:firstLine="709"/>
        <w:jc w:val="both"/>
        <w:rPr>
          <w:rFonts w:ascii="Verdana" w:hAnsi="Verdana" w:cs="Arial"/>
          <w:sz w:val="16"/>
          <w:szCs w:val="16"/>
          <w:lang w:val="es-ES"/>
        </w:rPr>
      </w:pPr>
      <w:r w:rsidRPr="004C544B">
        <w:rPr>
          <w:rStyle w:val="Refdenotaalpie"/>
          <w:rFonts w:ascii="Verdana" w:hAnsi="Verdana" w:cs="Arial"/>
          <w:sz w:val="16"/>
          <w:szCs w:val="16"/>
        </w:rPr>
        <w:footnoteRef/>
      </w:r>
      <w:r w:rsidRPr="004C544B">
        <w:rPr>
          <w:rFonts w:ascii="Verdana" w:hAnsi="Verdana" w:cs="Arial"/>
          <w:sz w:val="16"/>
          <w:szCs w:val="16"/>
        </w:rPr>
        <w:t xml:space="preserve"> </w:t>
      </w:r>
      <w:r w:rsidRPr="004C544B">
        <w:rPr>
          <w:rFonts w:ascii="Verdana" w:hAnsi="Verdana" w:cs="Arial"/>
          <w:sz w:val="16"/>
          <w:szCs w:val="16"/>
          <w:lang w:val="es-ES"/>
        </w:rPr>
        <w:t>CONSEJO DE ESTADO</w:t>
      </w:r>
      <w:r>
        <w:rPr>
          <w:rFonts w:ascii="Verdana" w:hAnsi="Verdana" w:cs="Arial"/>
          <w:sz w:val="16"/>
          <w:szCs w:val="16"/>
          <w:lang w:val="es-ES"/>
        </w:rPr>
        <w:t>.</w:t>
      </w:r>
      <w:r w:rsidRPr="004C544B">
        <w:rPr>
          <w:rFonts w:ascii="Verdana" w:hAnsi="Verdana" w:cs="Arial"/>
          <w:sz w:val="16"/>
          <w:szCs w:val="16"/>
          <w:lang w:val="es-ES"/>
        </w:rPr>
        <w:t xml:space="preserve"> Sección Tercera</w:t>
      </w:r>
      <w:r>
        <w:rPr>
          <w:rFonts w:ascii="Verdana" w:hAnsi="Verdana" w:cs="Arial"/>
          <w:sz w:val="16"/>
          <w:szCs w:val="16"/>
          <w:lang w:val="es-ES"/>
        </w:rPr>
        <w:t>.</w:t>
      </w:r>
      <w:r w:rsidRPr="004C544B">
        <w:rPr>
          <w:rFonts w:ascii="Verdana" w:hAnsi="Verdana" w:cs="Arial"/>
          <w:sz w:val="16"/>
          <w:szCs w:val="16"/>
          <w:lang w:val="es-ES"/>
        </w:rPr>
        <w:t xml:space="preserve"> Sentencia del 16 de marzo de 2015</w:t>
      </w:r>
      <w:r>
        <w:rPr>
          <w:rFonts w:ascii="Verdana" w:hAnsi="Verdana" w:cs="Arial"/>
          <w:sz w:val="16"/>
          <w:szCs w:val="16"/>
          <w:lang w:val="es-ES"/>
        </w:rPr>
        <w:t>.</w:t>
      </w:r>
      <w:r w:rsidRPr="004C544B">
        <w:rPr>
          <w:rFonts w:ascii="Verdana" w:hAnsi="Verdana" w:cs="Arial"/>
          <w:sz w:val="16"/>
          <w:szCs w:val="16"/>
          <w:lang w:val="es-ES"/>
        </w:rPr>
        <w:t xml:space="preserve"> Rad. 1999-03028, M.P. Jaime Orlando Santofimio Gamboa.</w:t>
      </w:r>
    </w:p>
  </w:footnote>
  <w:footnote w:id="13">
    <w:p w14:paraId="22C32F5B" w14:textId="77777777" w:rsidR="00ED4151" w:rsidRPr="004C544B" w:rsidRDefault="00ED4151" w:rsidP="00ED4151">
      <w:pPr>
        <w:pStyle w:val="Textonotapie"/>
        <w:ind w:firstLine="708"/>
        <w:jc w:val="both"/>
        <w:rPr>
          <w:rFonts w:ascii="Verdana" w:hAnsi="Verdana" w:cs="Arial"/>
          <w:sz w:val="16"/>
          <w:szCs w:val="16"/>
        </w:rPr>
      </w:pPr>
      <w:r w:rsidRPr="004C544B">
        <w:rPr>
          <w:rStyle w:val="Refdenotaalpie"/>
          <w:rFonts w:ascii="Verdana" w:hAnsi="Verdana" w:cs="Arial"/>
          <w:sz w:val="16"/>
          <w:szCs w:val="16"/>
        </w:rPr>
        <w:footnoteRef/>
      </w:r>
      <w:r w:rsidRPr="004C544B">
        <w:rPr>
          <w:rFonts w:ascii="Verdana" w:hAnsi="Verdana" w:cs="Arial"/>
          <w:sz w:val="16"/>
          <w:szCs w:val="16"/>
        </w:rPr>
        <w:t xml:space="preserve"> RAMÍREZ GRISALES, La cesión… </w:t>
      </w:r>
      <w:proofErr w:type="spellStart"/>
      <w:r w:rsidRPr="004C544B">
        <w:rPr>
          <w:rFonts w:ascii="Verdana" w:hAnsi="Verdana" w:cs="Arial"/>
          <w:sz w:val="16"/>
          <w:szCs w:val="16"/>
        </w:rPr>
        <w:t>Op</w:t>
      </w:r>
      <w:proofErr w:type="spellEnd"/>
      <w:r w:rsidRPr="004C544B">
        <w:rPr>
          <w:rFonts w:ascii="Verdana" w:hAnsi="Verdana" w:cs="Arial"/>
          <w:sz w:val="16"/>
          <w:szCs w:val="16"/>
        </w:rPr>
        <w:t xml:space="preserve">. cit., pp.162-163. </w:t>
      </w:r>
    </w:p>
  </w:footnote>
  <w:footnote w:id="14">
    <w:p w14:paraId="34FC785F" w14:textId="77777777" w:rsidR="00ED4151" w:rsidRPr="003A34AF" w:rsidRDefault="00ED4151" w:rsidP="00ED4151">
      <w:pPr>
        <w:pStyle w:val="Textonotapie"/>
        <w:ind w:firstLine="708"/>
        <w:jc w:val="both"/>
        <w:rPr>
          <w:rFonts w:ascii="Verdana" w:hAnsi="Verdana"/>
          <w:sz w:val="16"/>
          <w:szCs w:val="16"/>
          <w:lang w:val="es-CO"/>
        </w:rPr>
      </w:pPr>
      <w:r w:rsidRPr="003A34AF">
        <w:rPr>
          <w:rStyle w:val="Refdenotaalpie"/>
          <w:rFonts w:ascii="Verdana" w:hAnsi="Verdana"/>
          <w:sz w:val="16"/>
          <w:szCs w:val="16"/>
        </w:rPr>
        <w:footnoteRef/>
      </w:r>
      <w:r w:rsidRPr="003A34AF">
        <w:rPr>
          <w:rFonts w:ascii="Verdana" w:hAnsi="Verdana"/>
          <w:sz w:val="16"/>
          <w:szCs w:val="16"/>
        </w:rPr>
        <w:t xml:space="preserve"> </w:t>
      </w:r>
      <w:r>
        <w:rPr>
          <w:rFonts w:ascii="Verdana" w:hAnsi="Verdana"/>
          <w:sz w:val="16"/>
          <w:szCs w:val="16"/>
        </w:rPr>
        <w:t xml:space="preserve">TARELLO, </w:t>
      </w:r>
      <w:proofErr w:type="spellStart"/>
      <w:r>
        <w:rPr>
          <w:rFonts w:ascii="Verdana" w:hAnsi="Verdana"/>
          <w:sz w:val="16"/>
          <w:szCs w:val="16"/>
        </w:rPr>
        <w:t>Govanni</w:t>
      </w:r>
      <w:proofErr w:type="spellEnd"/>
      <w:r>
        <w:rPr>
          <w:rFonts w:ascii="Verdana" w:hAnsi="Verdana"/>
          <w:sz w:val="16"/>
          <w:szCs w:val="16"/>
        </w:rPr>
        <w:t>. La interpretación de la ley. Lima: Palestra Editores, 2013. p. 313.</w:t>
      </w:r>
    </w:p>
  </w:footnote>
  <w:footnote w:id="15">
    <w:p w14:paraId="54A2A4D5" w14:textId="77777777" w:rsidR="00ED4151" w:rsidRPr="00796439" w:rsidRDefault="00ED4151" w:rsidP="00ED4151">
      <w:pPr>
        <w:pStyle w:val="Textonotapie"/>
        <w:ind w:firstLine="708"/>
        <w:jc w:val="both"/>
        <w:rPr>
          <w:rFonts w:ascii="Verdana" w:hAnsi="Verdana"/>
          <w:sz w:val="16"/>
          <w:szCs w:val="16"/>
          <w:lang w:val="es-CO"/>
        </w:rPr>
      </w:pPr>
      <w:r w:rsidRPr="009C68A8">
        <w:rPr>
          <w:rStyle w:val="Refdenotaalpie"/>
          <w:rFonts w:ascii="Verdana" w:hAnsi="Verdana"/>
          <w:sz w:val="16"/>
          <w:szCs w:val="16"/>
        </w:rPr>
        <w:footnoteRef/>
      </w:r>
      <w:r w:rsidRPr="009C68A8">
        <w:rPr>
          <w:rFonts w:ascii="Verdana" w:hAnsi="Verdana"/>
          <w:sz w:val="16"/>
          <w:szCs w:val="16"/>
        </w:rPr>
        <w:t xml:space="preserve"> </w:t>
      </w:r>
      <w:r w:rsidRPr="00796439">
        <w:rPr>
          <w:rFonts w:ascii="Verdana" w:hAnsi="Verdana"/>
          <w:sz w:val="16"/>
          <w:szCs w:val="16"/>
        </w:rPr>
        <w:t>RAMÍREZ GRISALES,</w:t>
      </w:r>
      <w:r w:rsidRPr="004C544B">
        <w:rPr>
          <w:rFonts w:ascii="Verdana" w:hAnsi="Verdana" w:cs="Arial"/>
          <w:sz w:val="16"/>
          <w:szCs w:val="16"/>
        </w:rPr>
        <w:t xml:space="preserve"> La cesión… </w:t>
      </w:r>
      <w:proofErr w:type="spellStart"/>
      <w:r w:rsidRPr="00796439">
        <w:rPr>
          <w:rFonts w:ascii="Verdana" w:hAnsi="Verdana"/>
          <w:sz w:val="16"/>
          <w:szCs w:val="16"/>
        </w:rPr>
        <w:t>Op</w:t>
      </w:r>
      <w:proofErr w:type="spellEnd"/>
      <w:r w:rsidRPr="00796439">
        <w:rPr>
          <w:rFonts w:ascii="Verdana" w:hAnsi="Verdana"/>
          <w:sz w:val="16"/>
          <w:szCs w:val="16"/>
        </w:rPr>
        <w:t xml:space="preserve"> cit., p. 146.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1FD1C243" w14:textId="496F26D6"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2pt;height:12.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0D0E"/>
    <w:rsid w:val="00082362"/>
    <w:rsid w:val="000A683E"/>
    <w:rsid w:val="000B19B9"/>
    <w:rsid w:val="000D0334"/>
    <w:rsid w:val="000D5DA7"/>
    <w:rsid w:val="000F6486"/>
    <w:rsid w:val="001121EA"/>
    <w:rsid w:val="00116940"/>
    <w:rsid w:val="00125105"/>
    <w:rsid w:val="00127233"/>
    <w:rsid w:val="001377F0"/>
    <w:rsid w:val="0015699B"/>
    <w:rsid w:val="00166D1D"/>
    <w:rsid w:val="001A33BF"/>
    <w:rsid w:val="001E4177"/>
    <w:rsid w:val="001F0B24"/>
    <w:rsid w:val="001F7DC6"/>
    <w:rsid w:val="002125CB"/>
    <w:rsid w:val="0022400B"/>
    <w:rsid w:val="002421BB"/>
    <w:rsid w:val="0025796E"/>
    <w:rsid w:val="002707A2"/>
    <w:rsid w:val="002951A0"/>
    <w:rsid w:val="002962BC"/>
    <w:rsid w:val="002A093D"/>
    <w:rsid w:val="002A0DD0"/>
    <w:rsid w:val="002A49AC"/>
    <w:rsid w:val="002A64FD"/>
    <w:rsid w:val="002C02A3"/>
    <w:rsid w:val="002C7A84"/>
    <w:rsid w:val="002E2BF8"/>
    <w:rsid w:val="002E3A84"/>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493B"/>
    <w:rsid w:val="00406575"/>
    <w:rsid w:val="00414C74"/>
    <w:rsid w:val="0042722E"/>
    <w:rsid w:val="0044528D"/>
    <w:rsid w:val="00466E39"/>
    <w:rsid w:val="004A1847"/>
    <w:rsid w:val="004A305D"/>
    <w:rsid w:val="004C5DFE"/>
    <w:rsid w:val="004F21C4"/>
    <w:rsid w:val="004F685F"/>
    <w:rsid w:val="005566E8"/>
    <w:rsid w:val="00574867"/>
    <w:rsid w:val="00591460"/>
    <w:rsid w:val="005A65E0"/>
    <w:rsid w:val="005C3777"/>
    <w:rsid w:val="005C5CDC"/>
    <w:rsid w:val="005D476C"/>
    <w:rsid w:val="006200BF"/>
    <w:rsid w:val="006219F8"/>
    <w:rsid w:val="006302F7"/>
    <w:rsid w:val="00646B9F"/>
    <w:rsid w:val="00651EAC"/>
    <w:rsid w:val="00663D7A"/>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4588D"/>
    <w:rsid w:val="00867F95"/>
    <w:rsid w:val="00882D01"/>
    <w:rsid w:val="008843B6"/>
    <w:rsid w:val="00891928"/>
    <w:rsid w:val="008A446D"/>
    <w:rsid w:val="008B25F1"/>
    <w:rsid w:val="008D180B"/>
    <w:rsid w:val="008F0EA7"/>
    <w:rsid w:val="00923EEF"/>
    <w:rsid w:val="009419F9"/>
    <w:rsid w:val="0095685E"/>
    <w:rsid w:val="00961B09"/>
    <w:rsid w:val="00965334"/>
    <w:rsid w:val="0097093E"/>
    <w:rsid w:val="00996DC7"/>
    <w:rsid w:val="009A0DFA"/>
    <w:rsid w:val="009A1C6F"/>
    <w:rsid w:val="009A6128"/>
    <w:rsid w:val="009B2D26"/>
    <w:rsid w:val="009C71FA"/>
    <w:rsid w:val="009C72E7"/>
    <w:rsid w:val="009C7F7E"/>
    <w:rsid w:val="009D3058"/>
    <w:rsid w:val="009F3A13"/>
    <w:rsid w:val="00A001DE"/>
    <w:rsid w:val="00A122D3"/>
    <w:rsid w:val="00A14468"/>
    <w:rsid w:val="00A17F13"/>
    <w:rsid w:val="00A20739"/>
    <w:rsid w:val="00A23AF9"/>
    <w:rsid w:val="00A33C78"/>
    <w:rsid w:val="00A50F06"/>
    <w:rsid w:val="00A65A39"/>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62B2A"/>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054B3"/>
    <w:rsid w:val="00E16408"/>
    <w:rsid w:val="00E20894"/>
    <w:rsid w:val="00E245AB"/>
    <w:rsid w:val="00E2764C"/>
    <w:rsid w:val="00E27F2E"/>
    <w:rsid w:val="00E50AFE"/>
    <w:rsid w:val="00E75C92"/>
    <w:rsid w:val="00E771DC"/>
    <w:rsid w:val="00E8772A"/>
    <w:rsid w:val="00E90F6B"/>
    <w:rsid w:val="00E92C27"/>
    <w:rsid w:val="00EA0E3D"/>
    <w:rsid w:val="00EC38A7"/>
    <w:rsid w:val="00ED4151"/>
    <w:rsid w:val="00EE1AA8"/>
    <w:rsid w:val="00F23FEA"/>
    <w:rsid w:val="00F24AF3"/>
    <w:rsid w:val="00F31EDC"/>
    <w:rsid w:val="00F462B3"/>
    <w:rsid w:val="00F5664F"/>
    <w:rsid w:val="00F666C4"/>
    <w:rsid w:val="00F76AFC"/>
    <w:rsid w:val="00F97A95"/>
    <w:rsid w:val="00FA47C0"/>
    <w:rsid w:val="00FB1758"/>
    <w:rsid w:val="00FB5DD1"/>
    <w:rsid w:val="00FC2B5D"/>
    <w:rsid w:val="00FF1449"/>
    <w:rsid w:val="00FF7963"/>
    <w:rsid w:val="06DFA623"/>
    <w:rsid w:val="092030E8"/>
    <w:rsid w:val="09908A09"/>
    <w:rsid w:val="0CCCE43A"/>
    <w:rsid w:val="0CEA9E8F"/>
    <w:rsid w:val="0EF05198"/>
    <w:rsid w:val="100C34FA"/>
    <w:rsid w:val="12CE310B"/>
    <w:rsid w:val="13CFC91B"/>
    <w:rsid w:val="171839FB"/>
    <w:rsid w:val="19A2EC2C"/>
    <w:rsid w:val="1B9F1E77"/>
    <w:rsid w:val="272BA5ED"/>
    <w:rsid w:val="2859CA1B"/>
    <w:rsid w:val="31518304"/>
    <w:rsid w:val="32A12F84"/>
    <w:rsid w:val="32A4F9CF"/>
    <w:rsid w:val="356CEDFD"/>
    <w:rsid w:val="3842BDF5"/>
    <w:rsid w:val="3BA13E4B"/>
    <w:rsid w:val="4032042F"/>
    <w:rsid w:val="447320B9"/>
    <w:rsid w:val="4C4566EE"/>
    <w:rsid w:val="4D8DB893"/>
    <w:rsid w:val="4F8F4E3E"/>
    <w:rsid w:val="5182CBC1"/>
    <w:rsid w:val="5BCF3B2D"/>
    <w:rsid w:val="5E755134"/>
    <w:rsid w:val="6388211F"/>
    <w:rsid w:val="642C63ED"/>
    <w:rsid w:val="67A72223"/>
    <w:rsid w:val="68D21E7A"/>
    <w:rsid w:val="69614A15"/>
    <w:rsid w:val="6A394F4F"/>
    <w:rsid w:val="6AB0D4AA"/>
    <w:rsid w:val="6F34AF97"/>
    <w:rsid w:val="71795005"/>
    <w:rsid w:val="7949B370"/>
    <w:rsid w:val="7BB183BC"/>
    <w:rsid w:val="7C981494"/>
    <w:rsid w:val="7F721D3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D415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ED4151"/>
    <w:rPr>
      <w:rFonts w:ascii="Geomanist Light" w:hAnsi="Geomanist Light"/>
      <w:lang w:val="es-ES"/>
    </w:rPr>
  </w:style>
  <w:style w:type="character" w:customStyle="1" w:styleId="s15">
    <w:name w:val="s15"/>
    <w:basedOn w:val="Fuentedeprrafopredeter"/>
    <w:rsid w:val="00ED4151"/>
  </w:style>
  <w:style w:type="character" w:customStyle="1" w:styleId="apple-converted-space">
    <w:name w:val="apple-converted-space"/>
    <w:basedOn w:val="Fuentedeprrafopredeter"/>
    <w:rsid w:val="00ED4151"/>
  </w:style>
  <w:style w:type="paragraph" w:styleId="Textocomentario">
    <w:name w:val="annotation text"/>
    <w:basedOn w:val="Normal"/>
    <w:link w:val="TextocomentarioCar"/>
    <w:uiPriority w:val="99"/>
    <w:semiHidden/>
    <w:unhideWhenUsed/>
    <w:rsid w:val="001121E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121EA"/>
    <w:rPr>
      <w:sz w:val="20"/>
      <w:szCs w:val="20"/>
    </w:rPr>
  </w:style>
  <w:style w:type="character" w:styleId="Refdecomentario">
    <w:name w:val="annotation reference"/>
    <w:basedOn w:val="Fuentedeprrafopredeter"/>
    <w:uiPriority w:val="99"/>
    <w:semiHidden/>
    <w:unhideWhenUsed/>
    <w:rsid w:val="001121E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C77370-E530-455B-87F3-DF94A09858B7}">
  <ds:schemaRefs>
    <ds:schemaRef ds:uri="http://schemas.openxmlformats.org/officeDocument/2006/bibliography"/>
  </ds:schemaRefs>
</ds:datastoreItem>
</file>

<file path=customXml/itemProps2.xml><?xml version="1.0" encoding="utf-8"?>
<ds:datastoreItem xmlns:ds="http://schemas.openxmlformats.org/officeDocument/2006/customXml" ds:itemID="{48432009-457D-498B-AAE2-9E60EC43F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purl.org/dc/dcmitype/"/>
    <ds:schemaRef ds:uri="http://purl.org/dc/terms/"/>
    <ds:schemaRef ds:uri="http://schemas.microsoft.com/office/2006/metadata/properties"/>
    <ds:schemaRef ds:uri="http://schemas.microsoft.com/office/infopath/2007/PartnerControls"/>
    <ds:schemaRef ds:uri="http://purl.org/dc/elements/1.1/"/>
    <ds:schemaRef ds:uri="http://schemas.microsoft.com/office/2006/documentManagement/types"/>
    <ds:schemaRef ds:uri="http://www.w3.org/XML/1998/namespace"/>
    <ds:schemaRef ds:uri="http://schemas.openxmlformats.org/package/2006/metadata/core-properties"/>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15</Pages>
  <Words>5140</Words>
  <Characters>28273</Characters>
  <Application>Microsoft Office Word</Application>
  <DocSecurity>0</DocSecurity>
  <Lines>235</Lines>
  <Paragraphs>66</Paragraphs>
  <ScaleCrop>false</ScaleCrop>
  <Company/>
  <LinksUpToDate>false</LinksUpToDate>
  <CharactersWithSpaces>33347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2025-11-14T00:58:00Z</dcterms:created>
  <dcterms:modified xsi:type="dcterms:W3CDTF">2025-11-14T00:58:00Z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