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DF4E2"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b/>
          <w:bCs/>
          <w:lang w:eastAsia="es-MX"/>
        </w:rPr>
      </w:pPr>
      <w:r w:rsidRPr="00A47E64">
        <w:rPr>
          <w:rFonts w:ascii="Verdana" w:eastAsia="Times New Roman" w:hAnsi="Verdana" w:cs="Times New Roman"/>
          <w:b/>
          <w:bCs/>
          <w:lang w:eastAsia="es-MX"/>
        </w:rPr>
        <w:t>LEY DE GARANTÍAS ELECTORALES – Restricciones contractuales – Comicios aplicables - Destinatarios</w:t>
      </w:r>
    </w:p>
    <w:p w14:paraId="09685F77"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el artículo 33 de la Ley 996 de 2005 prohíbe “[…] la contratación directa por parte de todos los entes del Estado” durante los cuatro (4) meses anteriores a las elecciones presidenciales ,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0E3D222"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3BB108D6" w14:textId="63BE26CF" w:rsidR="00A47E64" w:rsidRPr="00A47E64" w:rsidRDefault="00A47E64" w:rsidP="00A47E64">
      <w:pPr>
        <w:spacing w:before="100" w:beforeAutospacing="1" w:after="100" w:afterAutospacing="1" w:line="240" w:lineRule="auto"/>
        <w:jc w:val="both"/>
        <w:rPr>
          <w:rFonts w:ascii="Verdana" w:eastAsia="Times New Roman" w:hAnsi="Verdana" w:cs="Times New Roman"/>
          <w:b/>
          <w:bCs/>
          <w:lang w:eastAsia="es-MX"/>
        </w:rPr>
      </w:pPr>
      <w:r w:rsidRPr="00A47E64">
        <w:rPr>
          <w:rFonts w:ascii="Verdana" w:eastAsia="Times New Roman" w:hAnsi="Verdana" w:cs="Times New Roman"/>
          <w:b/>
          <w:bCs/>
          <w:lang w:eastAsia="es-MX"/>
        </w:rPr>
        <w:t>LEY DE GARANTÍAS ELECTORALES – PERSONERÍAS MUNICIPALES – ÓRGANOS DE CONTROL – APLICABILIDAD DE RESTRICCIONES</w:t>
      </w:r>
    </w:p>
    <w:p w14:paraId="11ACDFCC"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xml:space="preserve">[…] "Las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cualquier entidad que maneje recursos públicos pueda usarlos para inclinar la balanza política." "En este sentido, la Ley 996 de 2005, establece dos prohibiciones i) de un lado, la prohibición del artículo 33, donde se prohíbe la contratación directa (salvo sus excepciones), durante los cuatro meses previos a la elección presidencial . Esta restricción aplica a ""todas las entidades del Estado"". La Personería Municipal, al ser una entidad estatal y un órgano autónomo de control, está sujeta a esta restricción. </w:t>
      </w:r>
      <w:proofErr w:type="spellStart"/>
      <w:r w:rsidRPr="00A47E64">
        <w:rPr>
          <w:rFonts w:ascii="Verdana" w:eastAsia="Times New Roman" w:hAnsi="Verdana" w:cs="Times New Roman"/>
          <w:lang w:eastAsia="es-MX"/>
        </w:rPr>
        <w:t>ii</w:t>
      </w:r>
      <w:proofErr w:type="spellEnd"/>
      <w:r w:rsidRPr="00A47E64">
        <w:rPr>
          <w:rFonts w:ascii="Verdana" w:eastAsia="Times New Roman" w:hAnsi="Verdana" w:cs="Times New Roman"/>
          <w:lang w:eastAsia="es-MX"/>
        </w:rPr>
        <w:t xml:space="preserve">) y de otro lado, se encuentra la prohibición del Parágrafo del Artículo 38, allí se prohíbe la celebración de convenios interadministrativos que ejecuten recursos públicos </w:t>
      </w:r>
      <w:r w:rsidRPr="00A47E64">
        <w:rPr>
          <w:rFonts w:ascii="Verdana" w:eastAsia="Times New Roman" w:hAnsi="Verdana" w:cs="Times New Roman"/>
          <w:lang w:eastAsia="es-MX"/>
        </w:rPr>
        <w:lastRenderedPageBreak/>
        <w:t xml:space="preserve">durante los cuatro meses previos a cualquier tipo de elección nacional o territorial." "Esta prohibición se dirige explícitamente a ""Gobernadores, Alcaldes Municipales y/o Distritales, Secretarios, Gerentes y directores de Entidades Descentralizadas"". Aunque el Personero no está en esa lista taxativa, la prohibición recae en dicho cargo al ser el director , haciendo jurídicamente inviable que la Personería suscriba dichos convenios con ellas durante el periodo restrictivo." "En conclusión, la autonomía de la Personería Municipal frente a la Alcaldía no la exime del cumplimiento de la Ley de Garantías Electorales. Como entidad estatal que maneja recursos públicos y posee la naturaleza de ""órgano autónomo"", la Personería está plenamente cobijada por las prohibiciones de los artículos 33 (en lo referente a contratación directa en elecciones presidenciales, y la restricción del artículo 38, en lo referente a convenios interadministrativos en toda elección, de la Ley 996 de 2005." </w:t>
      </w:r>
    </w:p>
    <w:p w14:paraId="301257B9" w14:textId="0F010A4B" w:rsidR="00A47E64" w:rsidRPr="00A47E64" w:rsidRDefault="00A47E64" w:rsidP="00A47E64">
      <w:pPr>
        <w:spacing w:after="0" w:line="240" w:lineRule="auto"/>
        <w:rPr>
          <w:rFonts w:ascii="Times New Roman" w:eastAsia="Times New Roman" w:hAnsi="Times New Roman" w:cs="Times New Roman"/>
          <w:sz w:val="24"/>
          <w:szCs w:val="24"/>
          <w:lang w:eastAsia="es-MX"/>
        </w:rPr>
      </w:pPr>
    </w:p>
    <w:p w14:paraId="1AC06380" w14:textId="77777777" w:rsidR="00A47E64" w:rsidRPr="00A47E64" w:rsidRDefault="00A47E64" w:rsidP="009E35F8">
      <w:pPr>
        <w:spacing w:after="0" w:line="240" w:lineRule="auto"/>
        <w:rPr>
          <w:rFonts w:ascii="Verdana" w:eastAsia="Geomanist Light" w:hAnsi="Verdana" w:cs="Arial"/>
          <w:color w:val="000000" w:themeColor="text1"/>
        </w:rPr>
      </w:pPr>
    </w:p>
    <w:p w14:paraId="1BF7F677" w14:textId="77777777" w:rsidR="00A47E64" w:rsidRDefault="00A47E64" w:rsidP="009E35F8">
      <w:pPr>
        <w:spacing w:after="0" w:line="240" w:lineRule="auto"/>
        <w:rPr>
          <w:rFonts w:ascii="Verdana" w:eastAsia="Geomanist Light" w:hAnsi="Verdana" w:cs="Arial"/>
          <w:color w:val="000000" w:themeColor="text1"/>
          <w:lang w:val="es-MX"/>
        </w:rPr>
      </w:pPr>
    </w:p>
    <w:p w14:paraId="0E2D9A63" w14:textId="77777777" w:rsidR="00A47E64" w:rsidRDefault="00A47E64" w:rsidP="009E35F8">
      <w:pPr>
        <w:spacing w:after="0" w:line="240" w:lineRule="auto"/>
        <w:rPr>
          <w:rFonts w:ascii="Verdana" w:eastAsia="Geomanist Light" w:hAnsi="Verdana" w:cs="Arial"/>
          <w:color w:val="000000" w:themeColor="text1"/>
          <w:lang w:val="es-MX"/>
        </w:rPr>
      </w:pPr>
    </w:p>
    <w:p w14:paraId="3BCC5D0B" w14:textId="77777777" w:rsidR="00A47E64" w:rsidRDefault="00A47E64" w:rsidP="009E35F8">
      <w:pPr>
        <w:spacing w:after="0" w:line="240" w:lineRule="auto"/>
        <w:rPr>
          <w:rFonts w:ascii="Verdana" w:eastAsia="Geomanist Light" w:hAnsi="Verdana" w:cs="Arial"/>
          <w:color w:val="000000" w:themeColor="text1"/>
          <w:lang w:val="es-MX"/>
        </w:rPr>
      </w:pPr>
    </w:p>
    <w:p w14:paraId="4DB6A7EC" w14:textId="77777777" w:rsidR="00A47E64" w:rsidRDefault="00A47E64" w:rsidP="009E35F8">
      <w:pPr>
        <w:spacing w:after="0" w:line="240" w:lineRule="auto"/>
        <w:rPr>
          <w:rFonts w:ascii="Verdana" w:eastAsia="Geomanist Light" w:hAnsi="Verdana" w:cs="Arial"/>
          <w:color w:val="000000" w:themeColor="text1"/>
          <w:lang w:val="es-MX"/>
        </w:rPr>
      </w:pPr>
    </w:p>
    <w:p w14:paraId="1B064D42" w14:textId="77777777" w:rsidR="00A47E64" w:rsidRDefault="00A47E64" w:rsidP="009E35F8">
      <w:pPr>
        <w:spacing w:after="0" w:line="240" w:lineRule="auto"/>
        <w:rPr>
          <w:rFonts w:ascii="Verdana" w:eastAsia="Geomanist Light" w:hAnsi="Verdana" w:cs="Arial"/>
          <w:color w:val="000000" w:themeColor="text1"/>
          <w:lang w:val="es-MX"/>
        </w:rPr>
      </w:pPr>
    </w:p>
    <w:p w14:paraId="1F6E7978" w14:textId="77777777" w:rsidR="00A47E64" w:rsidRDefault="00A47E64" w:rsidP="009E35F8">
      <w:pPr>
        <w:spacing w:after="0" w:line="240" w:lineRule="auto"/>
        <w:rPr>
          <w:rFonts w:ascii="Verdana" w:eastAsia="Geomanist Light" w:hAnsi="Verdana" w:cs="Arial"/>
          <w:color w:val="000000" w:themeColor="text1"/>
          <w:lang w:val="es-MX"/>
        </w:rPr>
      </w:pPr>
    </w:p>
    <w:p w14:paraId="0985BE17" w14:textId="77777777" w:rsidR="00A47E64" w:rsidRDefault="00A47E64" w:rsidP="009E35F8">
      <w:pPr>
        <w:spacing w:after="0" w:line="240" w:lineRule="auto"/>
        <w:rPr>
          <w:rFonts w:ascii="Verdana" w:eastAsia="Geomanist Light" w:hAnsi="Verdana" w:cs="Arial"/>
          <w:color w:val="000000" w:themeColor="text1"/>
          <w:lang w:val="es-MX"/>
        </w:rPr>
      </w:pPr>
    </w:p>
    <w:p w14:paraId="5079C8E9" w14:textId="77777777" w:rsidR="00A47E64" w:rsidRDefault="00A47E64" w:rsidP="009E35F8">
      <w:pPr>
        <w:spacing w:after="0" w:line="240" w:lineRule="auto"/>
        <w:rPr>
          <w:rFonts w:ascii="Verdana" w:eastAsia="Geomanist Light" w:hAnsi="Verdana" w:cs="Arial"/>
          <w:color w:val="000000" w:themeColor="text1"/>
          <w:lang w:val="es-MX"/>
        </w:rPr>
      </w:pPr>
    </w:p>
    <w:p w14:paraId="635BDCC5" w14:textId="77777777" w:rsidR="00A47E64" w:rsidRDefault="00A47E64" w:rsidP="009E35F8">
      <w:pPr>
        <w:spacing w:after="0" w:line="240" w:lineRule="auto"/>
        <w:rPr>
          <w:rFonts w:ascii="Verdana" w:eastAsia="Geomanist Light" w:hAnsi="Verdana" w:cs="Arial"/>
          <w:color w:val="000000" w:themeColor="text1"/>
          <w:lang w:val="es-MX"/>
        </w:rPr>
      </w:pPr>
    </w:p>
    <w:p w14:paraId="3C6BA35A" w14:textId="77777777" w:rsidR="00A47E64" w:rsidRDefault="00A47E64" w:rsidP="009E35F8">
      <w:pPr>
        <w:spacing w:after="0" w:line="240" w:lineRule="auto"/>
        <w:rPr>
          <w:rFonts w:ascii="Verdana" w:eastAsia="Geomanist Light" w:hAnsi="Verdana" w:cs="Arial"/>
          <w:color w:val="000000" w:themeColor="text1"/>
          <w:lang w:val="es-MX"/>
        </w:rPr>
      </w:pPr>
    </w:p>
    <w:p w14:paraId="5DEC797F" w14:textId="77777777" w:rsidR="00A47E64" w:rsidRDefault="00A47E64" w:rsidP="009E35F8">
      <w:pPr>
        <w:spacing w:after="0" w:line="240" w:lineRule="auto"/>
        <w:rPr>
          <w:rFonts w:ascii="Verdana" w:eastAsia="Geomanist Light" w:hAnsi="Verdana" w:cs="Arial"/>
          <w:color w:val="000000" w:themeColor="text1"/>
          <w:lang w:val="es-MX"/>
        </w:rPr>
      </w:pPr>
    </w:p>
    <w:p w14:paraId="4EA56A0A" w14:textId="77777777" w:rsidR="00A47E64" w:rsidRDefault="00A47E64" w:rsidP="009E35F8">
      <w:pPr>
        <w:spacing w:after="0" w:line="240" w:lineRule="auto"/>
        <w:rPr>
          <w:rFonts w:ascii="Verdana" w:eastAsia="Geomanist Light" w:hAnsi="Verdana" w:cs="Arial"/>
          <w:color w:val="000000" w:themeColor="text1"/>
          <w:lang w:val="es-MX"/>
        </w:rPr>
      </w:pPr>
    </w:p>
    <w:p w14:paraId="07B8AB18" w14:textId="77777777" w:rsidR="00A47E64" w:rsidRDefault="00A47E64" w:rsidP="009E35F8">
      <w:pPr>
        <w:spacing w:after="0" w:line="240" w:lineRule="auto"/>
        <w:rPr>
          <w:rFonts w:ascii="Verdana" w:eastAsia="Geomanist Light" w:hAnsi="Verdana" w:cs="Arial"/>
          <w:color w:val="000000" w:themeColor="text1"/>
          <w:lang w:val="es-MX"/>
        </w:rPr>
      </w:pPr>
    </w:p>
    <w:p w14:paraId="590911DE" w14:textId="77777777" w:rsidR="00A47E64" w:rsidRDefault="00A47E64" w:rsidP="009E35F8">
      <w:pPr>
        <w:spacing w:after="0" w:line="240" w:lineRule="auto"/>
        <w:rPr>
          <w:rFonts w:ascii="Verdana" w:eastAsia="Geomanist Light" w:hAnsi="Verdana" w:cs="Arial"/>
          <w:color w:val="000000" w:themeColor="text1"/>
          <w:lang w:val="es-MX"/>
        </w:rPr>
      </w:pPr>
    </w:p>
    <w:p w14:paraId="1B929100" w14:textId="77777777" w:rsidR="00A47E64" w:rsidRDefault="00A47E64" w:rsidP="009E35F8">
      <w:pPr>
        <w:spacing w:after="0" w:line="240" w:lineRule="auto"/>
        <w:rPr>
          <w:rFonts w:ascii="Verdana" w:eastAsia="Geomanist Light" w:hAnsi="Verdana" w:cs="Arial"/>
          <w:color w:val="000000" w:themeColor="text1"/>
          <w:lang w:val="es-MX"/>
        </w:rPr>
      </w:pPr>
    </w:p>
    <w:p w14:paraId="5BD67556" w14:textId="77777777" w:rsidR="00A47E64" w:rsidRDefault="00A47E64" w:rsidP="009E35F8">
      <w:pPr>
        <w:spacing w:after="0" w:line="240" w:lineRule="auto"/>
        <w:rPr>
          <w:rFonts w:ascii="Verdana" w:eastAsia="Geomanist Light" w:hAnsi="Verdana" w:cs="Arial"/>
          <w:color w:val="000000" w:themeColor="text1"/>
          <w:lang w:val="es-MX"/>
        </w:rPr>
      </w:pPr>
    </w:p>
    <w:p w14:paraId="00ECB549" w14:textId="77777777" w:rsidR="00A47E64" w:rsidRDefault="00A47E64" w:rsidP="009E35F8">
      <w:pPr>
        <w:spacing w:after="0" w:line="240" w:lineRule="auto"/>
        <w:rPr>
          <w:rFonts w:ascii="Verdana" w:eastAsia="Geomanist Light" w:hAnsi="Verdana" w:cs="Arial"/>
          <w:color w:val="000000" w:themeColor="text1"/>
          <w:lang w:val="es-MX"/>
        </w:rPr>
      </w:pPr>
    </w:p>
    <w:p w14:paraId="7D594694" w14:textId="77777777" w:rsidR="00A47E64" w:rsidRDefault="00A47E64" w:rsidP="009E35F8">
      <w:pPr>
        <w:spacing w:after="0" w:line="240" w:lineRule="auto"/>
        <w:rPr>
          <w:rFonts w:ascii="Verdana" w:eastAsia="Geomanist Light" w:hAnsi="Verdana" w:cs="Arial"/>
          <w:color w:val="000000" w:themeColor="text1"/>
          <w:lang w:val="es-MX"/>
        </w:rPr>
      </w:pPr>
    </w:p>
    <w:p w14:paraId="3ED04AC2" w14:textId="77777777" w:rsidR="00A47E64" w:rsidRDefault="00A47E64" w:rsidP="009E35F8">
      <w:pPr>
        <w:spacing w:after="0" w:line="240" w:lineRule="auto"/>
        <w:rPr>
          <w:rFonts w:ascii="Verdana" w:eastAsia="Geomanist Light" w:hAnsi="Verdana" w:cs="Arial"/>
          <w:color w:val="000000" w:themeColor="text1"/>
          <w:lang w:val="es-MX"/>
        </w:rPr>
      </w:pPr>
    </w:p>
    <w:p w14:paraId="7E688389" w14:textId="77777777" w:rsidR="00A47E64" w:rsidRDefault="00A47E64" w:rsidP="009E35F8">
      <w:pPr>
        <w:spacing w:after="0" w:line="240" w:lineRule="auto"/>
        <w:rPr>
          <w:rFonts w:ascii="Verdana" w:eastAsia="Geomanist Light" w:hAnsi="Verdana" w:cs="Arial"/>
          <w:color w:val="000000" w:themeColor="text1"/>
          <w:lang w:val="es-MX"/>
        </w:rPr>
      </w:pPr>
    </w:p>
    <w:p w14:paraId="17DC54DD" w14:textId="77777777" w:rsidR="00A47E64" w:rsidRDefault="00A47E64" w:rsidP="009E35F8">
      <w:pPr>
        <w:spacing w:after="0" w:line="240" w:lineRule="auto"/>
        <w:rPr>
          <w:rFonts w:ascii="Verdana" w:eastAsia="Geomanist Light" w:hAnsi="Verdana" w:cs="Arial"/>
          <w:color w:val="000000" w:themeColor="text1"/>
          <w:lang w:val="es-MX"/>
        </w:rPr>
      </w:pPr>
    </w:p>
    <w:p w14:paraId="59BD0CAD" w14:textId="77777777" w:rsidR="00A47E64" w:rsidRDefault="00A47E64" w:rsidP="009E35F8">
      <w:pPr>
        <w:spacing w:after="0" w:line="240" w:lineRule="auto"/>
        <w:rPr>
          <w:rFonts w:ascii="Verdana" w:eastAsia="Geomanist Light" w:hAnsi="Verdana" w:cs="Arial"/>
          <w:color w:val="000000" w:themeColor="text1"/>
          <w:lang w:val="es-MX"/>
        </w:rPr>
      </w:pPr>
    </w:p>
    <w:p w14:paraId="34AC4E75" w14:textId="77777777" w:rsidR="00A47E64" w:rsidRDefault="00A47E64" w:rsidP="009E35F8">
      <w:pPr>
        <w:spacing w:after="0" w:line="240" w:lineRule="auto"/>
        <w:rPr>
          <w:rFonts w:ascii="Verdana" w:eastAsia="Geomanist Light" w:hAnsi="Verdana" w:cs="Arial"/>
          <w:color w:val="000000" w:themeColor="text1"/>
          <w:lang w:val="es-MX"/>
        </w:rPr>
      </w:pPr>
    </w:p>
    <w:p w14:paraId="337B40A4" w14:textId="77777777" w:rsidR="00A47E64" w:rsidRPr="00A47E64" w:rsidRDefault="00A47E64" w:rsidP="00A47E64">
      <w:pPr>
        <w:pStyle w:val="Textoindependiente"/>
        <w:spacing w:before="168"/>
        <w:rPr>
          <w:rFonts w:ascii="Verdana" w:hAnsi="Verdana"/>
        </w:rPr>
      </w:pPr>
      <w:r w:rsidRPr="00A47E64">
        <w:rPr>
          <w:rFonts w:ascii="Verdana" w:hAnsi="Verdana"/>
          <w:noProof/>
        </w:rPr>
        <w:lastRenderedPageBreak/>
        <w:drawing>
          <wp:anchor distT="0" distB="0" distL="0" distR="0" simplePos="0" relativeHeight="251659264" behindDoc="0" locked="0" layoutInCell="1" allowOverlap="1" wp14:anchorId="2FCED4B5" wp14:editId="2CC2FBDF">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A47E64">
        <w:rPr>
          <w:rFonts w:ascii="Verdana" w:hAnsi="Verdana"/>
        </w:rPr>
        <w:t>Bogotá</w:t>
      </w:r>
      <w:r w:rsidRPr="00A47E64">
        <w:rPr>
          <w:rFonts w:ascii="Verdana" w:hAnsi="Verdana"/>
          <w:spacing w:val="-6"/>
        </w:rPr>
        <w:t xml:space="preserve"> </w:t>
      </w:r>
      <w:r w:rsidRPr="00A47E64">
        <w:rPr>
          <w:rFonts w:ascii="Verdana" w:hAnsi="Verdana"/>
        </w:rPr>
        <w:t>D.C.,</w:t>
      </w:r>
      <w:r w:rsidRPr="00A47E64">
        <w:rPr>
          <w:rFonts w:ascii="Verdana" w:hAnsi="Verdana"/>
          <w:spacing w:val="-4"/>
        </w:rPr>
        <w:t xml:space="preserve"> </w:t>
      </w:r>
      <w:r w:rsidRPr="00A47E64">
        <w:rPr>
          <w:rFonts w:ascii="Verdana" w:hAnsi="Verdana"/>
        </w:rPr>
        <w:t>27</w:t>
      </w:r>
      <w:r w:rsidRPr="00A47E64">
        <w:rPr>
          <w:rFonts w:ascii="Verdana" w:hAnsi="Verdana"/>
          <w:spacing w:val="-3"/>
        </w:rPr>
        <w:t xml:space="preserve"> </w:t>
      </w:r>
      <w:r w:rsidRPr="00A47E64">
        <w:rPr>
          <w:rFonts w:ascii="Verdana" w:hAnsi="Verdana"/>
        </w:rPr>
        <w:t>Octubre</w:t>
      </w:r>
      <w:r w:rsidRPr="00A47E64">
        <w:rPr>
          <w:rFonts w:ascii="Verdana" w:hAnsi="Verdana"/>
          <w:spacing w:val="-2"/>
        </w:rPr>
        <w:t xml:space="preserve"> </w:t>
      </w:r>
      <w:r w:rsidRPr="00A47E64">
        <w:rPr>
          <w:rFonts w:ascii="Verdana" w:hAnsi="Verdana"/>
          <w:spacing w:val="-4"/>
        </w:rPr>
        <w:t>2025</w:t>
      </w:r>
    </w:p>
    <w:p w14:paraId="1A6BACBF" w14:textId="77777777" w:rsidR="00A47E64" w:rsidRDefault="00A47E64" w:rsidP="00A47E64">
      <w:pPr>
        <w:pStyle w:val="Textoindependiente"/>
        <w:spacing w:before="36"/>
      </w:pPr>
    </w:p>
    <w:p w14:paraId="253ED330" w14:textId="78325511" w:rsidR="00871B59" w:rsidRPr="009E35F8" w:rsidRDefault="009E35F8" w:rsidP="009E35F8">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t>S</w:t>
      </w:r>
      <w:proofErr w:type="spellStart"/>
      <w:r w:rsidR="00871B59" w:rsidRPr="00B96799">
        <w:rPr>
          <w:rFonts w:ascii="Verdana" w:eastAsia="Calibri" w:hAnsi="Verdana" w:cs="Arial"/>
          <w:lang w:val="es-ES" w:eastAsia="es-ES"/>
        </w:rPr>
        <w:t>eñor</w:t>
      </w:r>
      <w:proofErr w:type="spellEnd"/>
    </w:p>
    <w:p w14:paraId="76388F48" w14:textId="3E47146C" w:rsidR="00871B59" w:rsidRPr="00B96799" w:rsidRDefault="005720B6"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Oscar Alejandro García Trujillo </w:t>
      </w:r>
    </w:p>
    <w:p w14:paraId="7C6D6DDA" w14:textId="1BD1BA8D" w:rsidR="005720B6" w:rsidRDefault="005720B6" w:rsidP="00871B59">
      <w:pPr>
        <w:spacing w:after="0" w:line="240" w:lineRule="auto"/>
        <w:rPr>
          <w:rFonts w:ascii="Verdana" w:eastAsia="Calibri" w:hAnsi="Verdana" w:cs="Arial"/>
          <w:lang w:val="es-ES" w:eastAsia="es-ES"/>
        </w:rPr>
      </w:pPr>
      <w:hyperlink r:id="rId12" w:history="1">
        <w:r w:rsidRPr="00052EB4">
          <w:rPr>
            <w:rStyle w:val="Hipervnculo"/>
            <w:rFonts w:ascii="Verdana" w:eastAsia="Calibri" w:hAnsi="Verdana" w:cs="Arial"/>
            <w:lang w:val="es-ES" w:eastAsia="es-ES"/>
          </w:rPr>
          <w:t>personeria@personeriatulua.gov.co</w:t>
        </w:r>
      </w:hyperlink>
      <w:r>
        <w:rPr>
          <w:rFonts w:ascii="Verdana" w:eastAsia="Calibri" w:hAnsi="Verdana" w:cs="Arial"/>
          <w:lang w:val="es-ES" w:eastAsia="es-ES"/>
        </w:rPr>
        <w:t xml:space="preserve"> </w:t>
      </w:r>
      <w:r w:rsidRPr="005720B6">
        <w:rPr>
          <w:rFonts w:ascii="Verdana" w:eastAsia="Calibri" w:hAnsi="Verdana" w:cs="Arial"/>
          <w:lang w:val="es-ES" w:eastAsia="es-ES"/>
        </w:rPr>
        <w:t xml:space="preserve"> </w:t>
      </w:r>
    </w:p>
    <w:p w14:paraId="3F7CC6C1" w14:textId="1E5EA377" w:rsidR="00871B59" w:rsidRPr="00B96799" w:rsidRDefault="005720B6"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Tuluá</w:t>
      </w:r>
      <w:r w:rsidR="00871B59" w:rsidRPr="00B96799">
        <w:rPr>
          <w:rFonts w:ascii="Verdana" w:eastAsia="Calibri" w:hAnsi="Verdana" w:cs="Arial"/>
          <w:lang w:val="es-ES" w:eastAsia="es-ES"/>
        </w:rPr>
        <w:t xml:space="preserve">, </w:t>
      </w:r>
      <w:r>
        <w:rPr>
          <w:rFonts w:ascii="Verdana" w:eastAsia="Calibri" w:hAnsi="Verdana" w:cs="Arial"/>
          <w:lang w:val="es-ES" w:eastAsia="es-ES"/>
        </w:rPr>
        <w:t>Valle del Cauca</w:t>
      </w:r>
    </w:p>
    <w:p w14:paraId="30E1C03E"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5F98D41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F895D6A" w14:textId="77777777" w:rsidTr="002607A7">
        <w:trPr>
          <w:trHeight w:val="884"/>
        </w:trPr>
        <w:tc>
          <w:tcPr>
            <w:tcW w:w="2689" w:type="dxa"/>
          </w:tcPr>
          <w:p w14:paraId="050DD186"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7E2BC09E" w14:textId="14272DBC"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5720B6">
              <w:rPr>
                <w:rFonts w:ascii="Verdana" w:eastAsia="Calibri" w:hAnsi="Verdana" w:cs="Arial"/>
                <w:b/>
                <w:bCs/>
                <w:lang w:val="es-ES" w:eastAsia="es-ES"/>
              </w:rPr>
              <w:t>1323</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005720B6">
              <w:rPr>
                <w:rFonts w:ascii="Verdana" w:eastAsia="Calibri" w:hAnsi="Verdana" w:cs="Arial"/>
                <w:b/>
                <w:bCs/>
                <w:lang w:val="es-ES" w:eastAsia="es-ES"/>
              </w:rPr>
              <w:t xml:space="preserve"> 2025</w:t>
            </w:r>
          </w:p>
        </w:tc>
      </w:tr>
      <w:tr w:rsidR="00871B59" w:rsidRPr="00593A5F" w14:paraId="44BCC1D1" w14:textId="77777777" w:rsidTr="002607A7">
        <w:trPr>
          <w:trHeight w:val="884"/>
        </w:trPr>
        <w:tc>
          <w:tcPr>
            <w:tcW w:w="2689" w:type="dxa"/>
          </w:tcPr>
          <w:p w14:paraId="03D19AA1"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B25D45A" w14:textId="0B8CAB15" w:rsidR="00871B59" w:rsidRPr="009E35F8" w:rsidRDefault="009E35F8" w:rsidP="002607A7">
            <w:pPr>
              <w:spacing w:line="276" w:lineRule="auto"/>
              <w:jc w:val="both"/>
              <w:rPr>
                <w:rFonts w:ascii="Verdana" w:eastAsia="Calibri" w:hAnsi="Verdana" w:cs="Arial"/>
                <w:color w:val="7030A0"/>
                <w:lang w:val="es-ES" w:eastAsia="es-ES"/>
              </w:rPr>
            </w:pPr>
            <w:bookmarkStart w:id="0" w:name="OLE_LINK2"/>
            <w:r w:rsidRPr="009E35F8">
              <w:rPr>
                <w:rFonts w:ascii="Verdana" w:eastAsia="Calibri" w:hAnsi="Verdana" w:cs="Arial"/>
                <w:lang w:val="es-ES" w:eastAsia="es-ES"/>
              </w:rPr>
              <w:t xml:space="preserve">LEY DE GARANTÍAS ELECTORALES ‒ Tipos de restricciones ‒ Ámbito temporal / LEY DE GARANTÍAS ELECTORALES ─ Prohibición ‒ Contratación directa ‒ Alcance – </w:t>
            </w:r>
            <w:bookmarkEnd w:id="0"/>
            <w:r w:rsidRPr="009E35F8">
              <w:rPr>
                <w:rFonts w:ascii="Verdana" w:hAnsi="Verdana"/>
              </w:rPr>
              <w:t>PERSONERÍAS MUNICIPALES</w:t>
            </w:r>
            <w:r>
              <w:rPr>
                <w:rFonts w:ascii="Verdana" w:hAnsi="Verdana"/>
              </w:rPr>
              <w:t>.</w:t>
            </w:r>
          </w:p>
          <w:p w14:paraId="15504D93" w14:textId="77777777" w:rsidR="00871B59" w:rsidRPr="009E35F8" w:rsidRDefault="00871B59" w:rsidP="002607A7">
            <w:pPr>
              <w:spacing w:line="276" w:lineRule="auto"/>
              <w:jc w:val="both"/>
              <w:rPr>
                <w:rFonts w:ascii="Verdana" w:eastAsia="Calibri" w:hAnsi="Verdana" w:cs="Arial"/>
                <w:lang w:val="es-ES" w:eastAsia="es-ES"/>
              </w:rPr>
            </w:pPr>
          </w:p>
        </w:tc>
      </w:tr>
      <w:tr w:rsidR="00871B59" w:rsidRPr="00593A5F" w14:paraId="4E49CCB5" w14:textId="77777777" w:rsidTr="002607A7">
        <w:tc>
          <w:tcPr>
            <w:tcW w:w="2689" w:type="dxa"/>
          </w:tcPr>
          <w:p w14:paraId="1864385C" w14:textId="77777777" w:rsidR="00871B59" w:rsidRPr="005720B6" w:rsidRDefault="00871B59" w:rsidP="002607A7">
            <w:pPr>
              <w:jc w:val="both"/>
              <w:rPr>
                <w:rFonts w:ascii="Verdana" w:eastAsia="Calibri" w:hAnsi="Verdana" w:cs="Arial"/>
                <w:b/>
                <w:color w:val="000000" w:themeColor="text1"/>
                <w:lang w:val="es-ES_tradnl" w:eastAsia="es-ES_tradnl"/>
              </w:rPr>
            </w:pPr>
            <w:r w:rsidRPr="005720B6">
              <w:rPr>
                <w:rFonts w:ascii="Verdana" w:eastAsia="Calibri" w:hAnsi="Verdana" w:cs="Arial"/>
                <w:b/>
                <w:color w:val="000000" w:themeColor="text1"/>
                <w:lang w:val="es-ES_tradnl" w:eastAsia="es-ES_tradnl"/>
              </w:rPr>
              <w:t>Radicación:</w:t>
            </w:r>
            <w:r w:rsidRPr="005720B6">
              <w:rPr>
                <w:rFonts w:ascii="Verdana" w:eastAsia="Calibri" w:hAnsi="Verdana" w:cs="Arial"/>
                <w:color w:val="000000" w:themeColor="text1"/>
                <w:lang w:val="es-ES_tradnl" w:eastAsia="es-ES_tradnl"/>
              </w:rPr>
              <w:t xml:space="preserve">               </w:t>
            </w:r>
          </w:p>
        </w:tc>
        <w:tc>
          <w:tcPr>
            <w:tcW w:w="6100" w:type="dxa"/>
          </w:tcPr>
          <w:p w14:paraId="1C957DCA" w14:textId="2953937A" w:rsidR="005720B6" w:rsidRPr="005720B6" w:rsidRDefault="00871B59" w:rsidP="005720B6">
            <w:pPr>
              <w:jc w:val="both"/>
              <w:rPr>
                <w:rFonts w:ascii="Verdana" w:eastAsia="Calibri" w:hAnsi="Verdana" w:cs="Arial"/>
                <w:color w:val="000000" w:themeColor="text1"/>
                <w:lang w:val="es-ES_tradnl" w:eastAsia="es-ES_tradnl"/>
              </w:rPr>
            </w:pPr>
            <w:r w:rsidRPr="005720B6">
              <w:rPr>
                <w:rFonts w:ascii="Verdana" w:eastAsia="Calibri" w:hAnsi="Verdana" w:cs="Arial"/>
                <w:color w:val="000000" w:themeColor="text1"/>
                <w:lang w:val="es-ES_tradnl" w:eastAsia="es-ES_tradnl"/>
              </w:rPr>
              <w:t xml:space="preserve">Respuesta a consulta con radicado No. </w:t>
            </w:r>
            <w:r w:rsidR="005720B6" w:rsidRPr="005720B6">
              <w:rPr>
                <w:rFonts w:ascii="Verdana" w:hAnsi="Verdana" w:cs="Calibri"/>
                <w:color w:val="000000" w:themeColor="text1"/>
              </w:rPr>
              <w:t>1_2025_09_16_010120</w:t>
            </w:r>
          </w:p>
          <w:p w14:paraId="57D2D532" w14:textId="0A155B1C" w:rsidR="00871B59" w:rsidRPr="005720B6" w:rsidRDefault="00871B59" w:rsidP="002607A7">
            <w:pPr>
              <w:jc w:val="both"/>
              <w:rPr>
                <w:rFonts w:ascii="Verdana" w:eastAsia="Calibri" w:hAnsi="Verdana" w:cs="Arial"/>
                <w:color w:val="000000" w:themeColor="text1"/>
                <w:lang w:val="es-ES_tradnl" w:eastAsia="es-ES_tradnl"/>
              </w:rPr>
            </w:pPr>
          </w:p>
        </w:tc>
      </w:tr>
    </w:tbl>
    <w:p w14:paraId="003F2B0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126254E8"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616005F2" w14:textId="0F2780B2" w:rsidR="00871B59" w:rsidRDefault="00871B59" w:rsidP="00871B59">
      <w:pPr>
        <w:spacing w:after="0" w:line="276" w:lineRule="auto"/>
        <w:jc w:val="both"/>
        <w:rPr>
          <w:rFonts w:ascii="Verdana" w:eastAsia="Calibri" w:hAnsi="Verdana" w:cs="Arial"/>
          <w:color w:val="000000" w:themeColor="text1"/>
          <w:lang w:val="es-ES" w:eastAsia="es-ES"/>
        </w:rPr>
      </w:pPr>
      <w:r w:rsidRPr="005720B6">
        <w:rPr>
          <w:rFonts w:ascii="Verdana" w:eastAsia="Calibri" w:hAnsi="Verdana" w:cs="Arial"/>
          <w:color w:val="000000" w:themeColor="text1"/>
          <w:lang w:val="es-ES" w:eastAsia="es-ES"/>
        </w:rPr>
        <w:t>Estimado señor</w:t>
      </w:r>
      <w:r w:rsidR="005720B6" w:rsidRPr="005720B6">
        <w:rPr>
          <w:rFonts w:ascii="Verdana" w:eastAsia="Calibri" w:hAnsi="Verdana" w:cs="Arial"/>
          <w:color w:val="000000" w:themeColor="text1"/>
          <w:lang w:val="es-ES" w:eastAsia="es-ES"/>
        </w:rPr>
        <w:t xml:space="preserve"> García:</w:t>
      </w:r>
      <w:r w:rsidRPr="005720B6">
        <w:rPr>
          <w:rFonts w:ascii="Verdana" w:eastAsia="Calibri" w:hAnsi="Verdana" w:cs="Arial"/>
          <w:color w:val="000000" w:themeColor="text1"/>
          <w:lang w:val="es-ES" w:eastAsia="es-ES"/>
        </w:rPr>
        <w:t xml:space="preserve"> </w:t>
      </w:r>
    </w:p>
    <w:p w14:paraId="3BD10FEE"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E5CE28B" w14:textId="116AC5E2"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5720B6">
        <w:rPr>
          <w:rFonts w:ascii="Verdana" w:eastAsia="Calibri" w:hAnsi="Verdana" w:cs="Arial"/>
          <w:color w:val="000000" w:themeColor="text1"/>
          <w:lang w:val="es-ES" w:eastAsia="es-ES"/>
        </w:rPr>
        <w:t>consulta de fecha</w:t>
      </w:r>
      <w:r w:rsidR="005720B6" w:rsidRPr="005720B6">
        <w:rPr>
          <w:rFonts w:ascii="Verdana" w:eastAsia="Calibri" w:hAnsi="Verdana" w:cs="Arial"/>
          <w:color w:val="000000" w:themeColor="text1"/>
          <w:lang w:val="es-ES" w:eastAsia="es-ES"/>
        </w:rPr>
        <w:t xml:space="preserve"> 16</w:t>
      </w:r>
      <w:r w:rsidRPr="005720B6">
        <w:rPr>
          <w:rFonts w:ascii="Verdana" w:eastAsia="Calibri" w:hAnsi="Verdana" w:cs="Arial"/>
          <w:color w:val="000000" w:themeColor="text1"/>
          <w:lang w:val="es-ES" w:eastAsia="es-ES"/>
        </w:rPr>
        <w:t xml:space="preserve"> de </w:t>
      </w:r>
      <w:r w:rsidR="005720B6" w:rsidRPr="005720B6">
        <w:rPr>
          <w:rFonts w:ascii="Verdana" w:eastAsia="Calibri" w:hAnsi="Verdana" w:cs="Arial"/>
          <w:color w:val="000000" w:themeColor="text1"/>
          <w:lang w:val="es-ES" w:eastAsia="es-ES"/>
        </w:rPr>
        <w:t>septiembre</w:t>
      </w:r>
      <w:r w:rsidRPr="005720B6">
        <w:rPr>
          <w:rFonts w:ascii="Verdana" w:eastAsia="Calibri" w:hAnsi="Verdana" w:cs="Arial"/>
          <w:color w:val="000000" w:themeColor="text1"/>
          <w:lang w:val="es-ES" w:eastAsia="es-ES"/>
        </w:rPr>
        <w:t xml:space="preserve"> de 20</w:t>
      </w:r>
      <w:r w:rsidR="005720B6" w:rsidRPr="005720B6">
        <w:rPr>
          <w:rFonts w:ascii="Verdana" w:eastAsia="Calibri" w:hAnsi="Verdana" w:cs="Arial"/>
          <w:color w:val="000000" w:themeColor="text1"/>
          <w:lang w:val="es-ES" w:eastAsia="es-ES"/>
        </w:rPr>
        <w:t>25</w:t>
      </w:r>
      <w:r w:rsidRPr="005720B6">
        <w:rPr>
          <w:rFonts w:ascii="Verdana" w:eastAsia="Calibri" w:hAnsi="Verdana" w:cs="Arial"/>
          <w:color w:val="000000" w:themeColor="text1"/>
          <w:lang w:val="es-ES" w:eastAsia="es-ES"/>
        </w:rPr>
        <w:t>, en la cual manifiesta lo siguiente:</w:t>
      </w:r>
      <w:r w:rsidR="005720B6" w:rsidRPr="005720B6">
        <w:rPr>
          <w:rFonts w:ascii="Verdana" w:eastAsia="Calibri" w:hAnsi="Verdana" w:cs="Arial"/>
          <w:color w:val="000000" w:themeColor="text1"/>
          <w:lang w:val="es-ES" w:eastAsia="es-ES"/>
        </w:rPr>
        <w:t xml:space="preserve"> </w:t>
      </w:r>
    </w:p>
    <w:p w14:paraId="2C6BDA78"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E166FF0" w14:textId="3836CB8B" w:rsidR="00871B59" w:rsidRPr="005720B6" w:rsidRDefault="00871B59" w:rsidP="005720B6">
      <w:pPr>
        <w:ind w:left="709" w:right="709"/>
        <w:jc w:val="both"/>
        <w:rPr>
          <w:rFonts w:ascii="Verdana" w:eastAsia="Times New Roman" w:hAnsi="Verdana" w:cs="Calibri"/>
          <w:color w:val="000000"/>
          <w:lang w:eastAsia="es-MX"/>
        </w:rPr>
      </w:pPr>
      <w:bookmarkStart w:id="1" w:name="_Hlk95313578"/>
      <w:r w:rsidRPr="005720B6">
        <w:rPr>
          <w:rFonts w:ascii="Verdana" w:eastAsia="Century Gothic" w:hAnsi="Verdana" w:cs="Century Gothic"/>
          <w:color w:val="7030A0"/>
          <w:lang w:val="es-ES"/>
        </w:rPr>
        <w:t>“</w:t>
      </w:r>
      <w:bookmarkEnd w:id="1"/>
      <w:r w:rsidR="005720B6" w:rsidRPr="005720B6">
        <w:rPr>
          <w:rFonts w:ascii="Verdana" w:hAnsi="Verdana"/>
        </w:rPr>
        <w:t xml:space="preserve">La presente solicitud se fundamenta en la necesidad de determinar si las Personerías Municipales, en su calidad de órganos de control autónomos e independientes que no hacen parte de la administración municipal, deben acogerse a las restricciones establecidas en la Ley de Garantías Electorales (Ley 996 de 2005), especialmente en lo que respecta a la contratación directa y a la </w:t>
      </w:r>
      <w:r w:rsidR="005720B6" w:rsidRPr="005720B6">
        <w:rPr>
          <w:rFonts w:ascii="Verdana" w:hAnsi="Verdana"/>
        </w:rPr>
        <w:lastRenderedPageBreak/>
        <w:t>celebración de convenios interadministrativos durante los periodos de elecciones”.</w:t>
      </w:r>
    </w:p>
    <w:p w14:paraId="2DD1265A"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BB90E35" w14:textId="16203594"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5720B6">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5720B6">
        <w:rPr>
          <w:rFonts w:ascii="Verdana" w:eastAsia="Calibri" w:hAnsi="Verdana" w:cs="Arial"/>
          <w:color w:val="000000"/>
          <w:lang w:val="es-ES" w:eastAsia="es-ES"/>
        </w:rPr>
        <w:t xml:space="preserve"> </w:t>
      </w:r>
    </w:p>
    <w:p w14:paraId="1562D3FC"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0B6B1E07"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276B9DDA"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66938D95" w14:textId="76B6E1A2" w:rsidR="00871B59" w:rsidRPr="009E35F8" w:rsidRDefault="00871B59" w:rsidP="1F9252E4">
      <w:pPr>
        <w:spacing w:after="0" w:line="276" w:lineRule="auto"/>
        <w:jc w:val="both"/>
        <w:rPr>
          <w:rFonts w:ascii="Verdana" w:eastAsia="Century Gothic" w:hAnsi="Verdana" w:cs="Century Gothic"/>
          <w:color w:val="000000" w:themeColor="text1"/>
        </w:rPr>
      </w:pPr>
      <w:r w:rsidRPr="1F9252E4">
        <w:rPr>
          <w:rFonts w:ascii="Verdana" w:eastAsia="Century Gothic" w:hAnsi="Verdana" w:cs="Century Gothic"/>
        </w:rPr>
        <w:t xml:space="preserve">De acuerdo con el contenido de su solicitud, esta Agencia resolverá el siguiente problema jurídico: </w:t>
      </w:r>
      <w:r w:rsidRPr="009E35F8">
        <w:rPr>
          <w:rFonts w:ascii="Verdana" w:eastAsia="Century Gothic" w:hAnsi="Verdana" w:cs="Century Gothic"/>
          <w:color w:val="000000" w:themeColor="text1"/>
        </w:rPr>
        <w:t>¿</w:t>
      </w:r>
      <w:r w:rsidR="009E35F8" w:rsidRPr="009E35F8">
        <w:rPr>
          <w:rFonts w:ascii="Verdana" w:hAnsi="Verdana"/>
          <w:color w:val="000000" w:themeColor="text1"/>
        </w:rPr>
        <w:t>Deben las Personerías Municipales, en su calidad de órganos de control, acogerse a las prohibiciones de contratación directa y celebración de convenios interadministrativos contenidas en la Ley de Garantías Electorales?</w:t>
      </w:r>
    </w:p>
    <w:p w14:paraId="45AB81B8" w14:textId="77777777" w:rsidR="00871B59" w:rsidRPr="00593A5F" w:rsidRDefault="00871B59" w:rsidP="00871B59">
      <w:pPr>
        <w:spacing w:after="0" w:line="276" w:lineRule="auto"/>
        <w:jc w:val="both"/>
        <w:rPr>
          <w:rFonts w:ascii="Verdana" w:eastAsia="Calibri" w:hAnsi="Verdana" w:cs="Arial"/>
          <w:color w:val="7030A0"/>
          <w:lang w:val="es-ES"/>
        </w:rPr>
      </w:pPr>
    </w:p>
    <w:p w14:paraId="5F9C3B9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07A72890"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50FD7DE6" w14:textId="77777777" w:rsidTr="002607A7">
        <w:tc>
          <w:tcPr>
            <w:tcW w:w="8828" w:type="dxa"/>
          </w:tcPr>
          <w:p w14:paraId="7993F387" w14:textId="7DD1AFEE" w:rsidR="009816B6" w:rsidRPr="00B23ECB" w:rsidRDefault="009816B6" w:rsidP="009816B6">
            <w:pPr>
              <w:spacing w:before="120" w:after="120" w:line="276" w:lineRule="auto"/>
              <w:jc w:val="both"/>
              <w:rPr>
                <w:rFonts w:ascii="Verdana" w:eastAsia="Times New Roman" w:hAnsi="Verdana" w:cs="Arial"/>
                <w:lang w:eastAsia="x-none"/>
              </w:rPr>
            </w:pPr>
            <w:r w:rsidRPr="00B23ECB">
              <w:rPr>
                <w:rFonts w:ascii="Verdana" w:eastAsia="Times New Roman" w:hAnsi="Verdana" w:cs="Times New Roman"/>
                <w:lang w:val="es-ES" w:eastAsia="es-MX"/>
              </w:rPr>
              <w:t>L</w:t>
            </w:r>
            <w:r w:rsidRPr="00B23ECB">
              <w:rPr>
                <w:rFonts w:ascii="Verdana" w:eastAsia="Times New Roman" w:hAnsi="Verdana" w:cs="Times New Roman"/>
                <w:lang w:eastAsia="es-MX"/>
              </w:rPr>
              <w:t xml:space="preserve">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w:t>
            </w:r>
            <w:r w:rsidRPr="00B23ECB">
              <w:rPr>
                <w:rFonts w:ascii="Verdana" w:eastAsia="Times New Roman" w:hAnsi="Verdana" w:cs="Times New Roman"/>
                <w:lang w:eastAsia="es-MX"/>
              </w:rPr>
              <w:lastRenderedPageBreak/>
              <w:t xml:space="preserve">diseñada para garantizar la transparencia y la igualdad en la contienda electoral, evitando que </w:t>
            </w:r>
            <w:r w:rsidRPr="00B23ECB">
              <w:rPr>
                <w:rFonts w:ascii="Verdana" w:eastAsia="Times New Roman" w:hAnsi="Verdana" w:cs="Times New Roman"/>
                <w:i/>
                <w:iCs/>
                <w:lang w:eastAsia="es-MX"/>
              </w:rPr>
              <w:t>cualquier</w:t>
            </w:r>
            <w:r w:rsidRPr="00B23ECB">
              <w:rPr>
                <w:rFonts w:ascii="Verdana" w:eastAsia="Times New Roman" w:hAnsi="Verdana" w:cs="Times New Roman"/>
                <w:lang w:eastAsia="es-MX"/>
              </w:rPr>
              <w:t xml:space="preserve"> entidad que maneje recursos públicos pueda usarlos para inclinar la balanza política.</w:t>
            </w:r>
          </w:p>
          <w:p w14:paraId="0BC1A370" w14:textId="77777777" w:rsidR="00B23ECB" w:rsidRPr="00B23ECB" w:rsidRDefault="009816B6" w:rsidP="00B23ECB">
            <w:pPr>
              <w:spacing w:before="120" w:after="120" w:line="276" w:lineRule="auto"/>
              <w:jc w:val="both"/>
              <w:rPr>
                <w:rFonts w:ascii="Verdana" w:eastAsia="Times New Roman" w:hAnsi="Verdana" w:cs="Times New Roman"/>
                <w:lang w:eastAsia="es-MX"/>
              </w:rPr>
            </w:pPr>
            <w:r w:rsidRPr="00B23ECB">
              <w:rPr>
                <w:rFonts w:ascii="Verdana" w:eastAsia="Times New Roman" w:hAnsi="Verdana" w:cs="Times New Roman"/>
                <w:lang w:eastAsia="es-MX"/>
              </w:rPr>
              <w:t>En este sentido, la Ley 996 de 2005, establece dos prohibiciones</w:t>
            </w:r>
            <w:r w:rsidR="00B23ECB" w:rsidRPr="00B23ECB">
              <w:rPr>
                <w:rFonts w:ascii="Verdana" w:eastAsia="Times New Roman" w:hAnsi="Verdana" w:cs="Times New Roman"/>
                <w:lang w:eastAsia="es-MX"/>
              </w:rPr>
              <w:t>:</w:t>
            </w:r>
          </w:p>
          <w:p w14:paraId="7305AC20" w14:textId="77777777" w:rsidR="00B23ECB" w:rsidRPr="00B23ECB" w:rsidRDefault="009816B6" w:rsidP="00B23ECB">
            <w:pPr>
              <w:pStyle w:val="Prrafodelista"/>
              <w:numPr>
                <w:ilvl w:val="0"/>
                <w:numId w:val="13"/>
              </w:numPr>
              <w:spacing w:before="120" w:after="120" w:line="276" w:lineRule="auto"/>
              <w:jc w:val="both"/>
              <w:rPr>
                <w:rFonts w:ascii="Verdana" w:eastAsia="Times New Roman" w:hAnsi="Verdana" w:cs="Times New Roman"/>
                <w:lang w:eastAsia="es-MX"/>
              </w:rPr>
            </w:pPr>
            <w:r w:rsidRPr="00B23ECB">
              <w:rPr>
                <w:rFonts w:ascii="Verdana" w:eastAsia="Times New Roman" w:hAnsi="Verdana" w:cs="Times New Roman"/>
                <w:lang w:eastAsia="es-MX"/>
              </w:rPr>
              <w:t xml:space="preserve">de un lado, </w:t>
            </w:r>
            <w:r w:rsidR="00B23ECB" w:rsidRPr="00B23ECB">
              <w:rPr>
                <w:rFonts w:ascii="Verdana" w:hAnsi="Verdana"/>
              </w:rPr>
              <w:t xml:space="preserve">de un lado, la prohibición del artículo 33, donde se prohíbe la contratación directa (salvo sus excepciones), durante los cuatro meses previos a la elección presidencial. Esta restricción aplica a "todos los entes del Estado". La Personería Municipal, al ser un órgano autónomo de control se entiende incorporada en el vocablo “Entes del Estado”, por tanto, está sujeta a esta restricción. </w:t>
            </w:r>
          </w:p>
          <w:p w14:paraId="204C7E0E" w14:textId="02F431BE" w:rsidR="00B23ECB" w:rsidRPr="00B23ECB" w:rsidRDefault="00B23ECB" w:rsidP="00B23ECB">
            <w:pPr>
              <w:pStyle w:val="Prrafodelista"/>
              <w:numPr>
                <w:ilvl w:val="0"/>
                <w:numId w:val="13"/>
              </w:numPr>
              <w:spacing w:before="120" w:after="120" w:line="276" w:lineRule="auto"/>
              <w:jc w:val="both"/>
              <w:rPr>
                <w:rFonts w:ascii="Verdana" w:eastAsia="Times New Roman" w:hAnsi="Verdana" w:cs="Times New Roman"/>
                <w:lang w:eastAsia="es-MX"/>
              </w:rPr>
            </w:pPr>
            <w:r w:rsidRPr="00B23ECB">
              <w:rPr>
                <w:rFonts w:ascii="Verdana" w:hAnsi="Verdana"/>
              </w:rPr>
              <w:t xml:space="preserve"> De otro lado, se encuentra la prohibición del Parágrafo del Artículo 38, allí se prohíbe la celebración de convenios interadministrativos que ejecuten recursos públicos durante los cuatro meses previos a cualquier tipo de elección nacional o territorial. Esta prohibición se dirige explícitamente a "Gobernadores, Alcaldes Municipales y/o Distritales, Secretarios, Gerentes y directores de Entidades Descentralizadas". Se observa que los personeros no se encuentran incluidos en esta lista taxativa, por lo que dicha prohibición no recae en el cargo objeto de la consulta. No obstante, en cada caso deberá determinarse la otra parte del convenio, pues si no se podrá celebrar convenios con los sujetos a los cuales se le aplica la restricción.</w:t>
            </w:r>
          </w:p>
          <w:p w14:paraId="32CBD6D5" w14:textId="7461FCBC" w:rsidR="00871B59" w:rsidRPr="009E35F8" w:rsidRDefault="009816B6" w:rsidP="009E35F8">
            <w:pPr>
              <w:spacing w:before="120" w:after="120" w:line="276" w:lineRule="auto"/>
              <w:ind w:firstLine="708"/>
              <w:jc w:val="both"/>
              <w:rPr>
                <w:rFonts w:ascii="Verdana" w:eastAsia="Times New Roman" w:hAnsi="Verdana" w:cs="Arial"/>
                <w:lang w:eastAsia="x-none"/>
              </w:rPr>
            </w:pPr>
            <w:proofErr w:type="spellStart"/>
            <w:r w:rsidRPr="00B23ECB">
              <w:rPr>
                <w:rFonts w:ascii="Verdana" w:eastAsia="Calibri" w:hAnsi="Verdana" w:cs="Arial"/>
                <w:lang w:eastAsia="es-ES"/>
              </w:rPr>
              <w:t>nalmente</w:t>
            </w:r>
            <w:proofErr w:type="spellEnd"/>
            <w:r w:rsidRPr="00B23ECB">
              <w:rPr>
                <w:rFonts w:ascii="Verdana" w:eastAsia="Calibri" w:hAnsi="Verdana" w:cs="Times New Roman"/>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B23ECB">
              <w:rPr>
                <w:rFonts w:ascii="Verdana" w:hAnsi="Verdana"/>
              </w:rPr>
              <w:t xml:space="preserve"> </w:t>
            </w:r>
          </w:p>
        </w:tc>
      </w:tr>
    </w:tbl>
    <w:p w14:paraId="27D3B633"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00018D9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56A24D4C" w14:textId="77777777" w:rsidR="00871B59" w:rsidRPr="00593A5F" w:rsidRDefault="00871B59" w:rsidP="00871B59">
      <w:pPr>
        <w:spacing w:after="0" w:line="276" w:lineRule="auto"/>
        <w:jc w:val="both"/>
        <w:rPr>
          <w:rFonts w:ascii="Verdana" w:eastAsia="Calibri" w:hAnsi="Verdana" w:cs="Arial"/>
          <w:color w:val="7030A0"/>
          <w:lang w:val="es-ES"/>
        </w:rPr>
      </w:pPr>
    </w:p>
    <w:p w14:paraId="2B7C3C39"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81F0F5A" w14:textId="77777777" w:rsidR="00983695" w:rsidRDefault="00983695" w:rsidP="00983695">
      <w:pPr>
        <w:spacing w:after="0" w:line="276" w:lineRule="auto"/>
        <w:jc w:val="both"/>
        <w:rPr>
          <w:rFonts w:ascii="Verdana" w:eastAsia="Calibri" w:hAnsi="Verdana" w:cs="Arial"/>
          <w:color w:val="7030A0"/>
          <w:lang w:val="es-ES"/>
        </w:rPr>
      </w:pPr>
    </w:p>
    <w:p w14:paraId="55C86E8F" w14:textId="638A3396" w:rsidR="00916B6A" w:rsidRPr="00F10E52" w:rsidRDefault="009816B6" w:rsidP="00916B6A">
      <w:pPr>
        <w:tabs>
          <w:tab w:val="left" w:pos="426"/>
        </w:tabs>
        <w:spacing w:after="120" w:line="276" w:lineRule="auto"/>
        <w:jc w:val="both"/>
        <w:rPr>
          <w:rFonts w:ascii="Verdana" w:eastAsia="Times New Roman" w:hAnsi="Verdana" w:cs="Arial"/>
          <w:bCs/>
          <w:lang w:eastAsia="es-CO"/>
        </w:rPr>
      </w:pPr>
      <w:r>
        <w:rPr>
          <w:rFonts w:ascii="Verdana" w:eastAsia="Calibri" w:hAnsi="Verdana" w:cs="Arial"/>
          <w:bCs/>
        </w:rPr>
        <w:t>En primer lugar, e</w:t>
      </w:r>
      <w:r w:rsidR="00916B6A" w:rsidRPr="00F10E52">
        <w:rPr>
          <w:rFonts w:ascii="Verdana" w:eastAsia="Calibri" w:hAnsi="Verdana" w:cs="Arial"/>
          <w:bCs/>
        </w:rPr>
        <w:t>l ordenamiento jurídico colombiano contempla previsiones claras para evitar la obtención de beneficios personales en asuntos propios de la administración pública</w:t>
      </w:r>
      <w:r w:rsidR="00916B6A" w:rsidRPr="00F10E52">
        <w:rPr>
          <w:rFonts w:ascii="Verdana" w:eastAsia="Calibri" w:hAnsi="Verdana" w:cs="Arial"/>
          <w:bCs/>
          <w:i/>
          <w:iCs/>
        </w:rPr>
        <w:t xml:space="preserve">. </w:t>
      </w:r>
      <w:r w:rsidR="00916B6A"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00916B6A" w:rsidRPr="00F10E52">
        <w:rPr>
          <w:rStyle w:val="Refdenotaalpie"/>
          <w:rFonts w:ascii="Verdana" w:eastAsia="Calibri" w:hAnsi="Verdana" w:cs="Arial"/>
          <w:bCs/>
        </w:rPr>
        <w:footnoteReference w:id="2"/>
      </w:r>
      <w:r w:rsidR="00916B6A" w:rsidRPr="00F10E52">
        <w:rPr>
          <w:rFonts w:ascii="Verdana" w:eastAsia="Calibri" w:hAnsi="Verdana" w:cs="Arial"/>
          <w:bCs/>
        </w:rPr>
        <w:t xml:space="preserve">. </w:t>
      </w:r>
    </w:p>
    <w:p w14:paraId="0546540C" w14:textId="77777777" w:rsidR="00916B6A" w:rsidRPr="00F10E52" w:rsidRDefault="00916B6A" w:rsidP="00916B6A">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612F9A4" w14:textId="77777777" w:rsidR="00916B6A" w:rsidRPr="00F10E52" w:rsidRDefault="00916B6A" w:rsidP="00916B6A">
      <w:pPr>
        <w:tabs>
          <w:tab w:val="left" w:pos="426"/>
        </w:tabs>
        <w:spacing w:after="0" w:line="276" w:lineRule="auto"/>
        <w:ind w:firstLine="709"/>
        <w:jc w:val="both"/>
        <w:rPr>
          <w:rFonts w:ascii="Verdana" w:eastAsia="Times New Roman" w:hAnsi="Verdana" w:cs="Arial"/>
          <w:bCs/>
          <w:lang w:eastAsia="es-CO"/>
        </w:rPr>
      </w:pPr>
    </w:p>
    <w:p w14:paraId="51000C00" w14:textId="77777777" w:rsidR="00916B6A" w:rsidRPr="00363352" w:rsidRDefault="00916B6A" w:rsidP="00916B6A">
      <w:pPr>
        <w:spacing w:after="0" w:line="240" w:lineRule="auto"/>
        <w:ind w:left="709" w:right="709"/>
        <w:jc w:val="both"/>
        <w:rPr>
          <w:rFonts w:ascii="Verdana" w:eastAsia="Times New Roman" w:hAnsi="Verdana" w:cs="Arial"/>
          <w:sz w:val="20"/>
          <w:szCs w:val="20"/>
          <w:lang w:val="es-ES" w:eastAsia="es-CO"/>
        </w:rPr>
      </w:pPr>
      <w:r w:rsidRPr="00363352">
        <w:rPr>
          <w:rFonts w:ascii="Verdana" w:eastAsia="Times New Roman" w:hAnsi="Verdana" w:cs="Arial"/>
          <w:sz w:val="20"/>
          <w:szCs w:val="20"/>
          <w:lang w:val="es-ES" w:eastAsia="es-CO"/>
        </w:rPr>
        <w:t xml:space="preserve">[…] </w:t>
      </w:r>
    </w:p>
    <w:p w14:paraId="09D94CC5"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definición de reglas claras que permitan acceder a los canales de expresión democrática de manera efectiva e igualitaria. El objetivo de una ley de garantías es definir esas reglas.</w:t>
      </w:r>
    </w:p>
    <w:p w14:paraId="7062E333" w14:textId="77777777" w:rsidR="00916B6A" w:rsidRPr="006507E4" w:rsidRDefault="00916B6A" w:rsidP="00916B6A">
      <w:pPr>
        <w:spacing w:after="0" w:line="240" w:lineRule="auto"/>
        <w:ind w:left="709" w:right="709"/>
        <w:jc w:val="both"/>
        <w:rPr>
          <w:rFonts w:ascii="Verdana" w:eastAsia="Times New Roman" w:hAnsi="Verdana" w:cs="Arial"/>
          <w:bCs/>
          <w:sz w:val="20"/>
          <w:szCs w:val="20"/>
          <w:lang w:eastAsia="es-CO"/>
        </w:rPr>
      </w:pPr>
    </w:p>
    <w:p w14:paraId="1CB3203A" w14:textId="77777777" w:rsidR="00916B6A" w:rsidRDefault="00916B6A" w:rsidP="00916B6A">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63352">
        <w:rPr>
          <w:rFonts w:ascii="Verdana" w:eastAsia="Times New Roman" w:hAnsi="Verdana" w:cs="Arial"/>
          <w:sz w:val="20"/>
          <w:szCs w:val="20"/>
          <w:lang w:eastAsia="es-CO"/>
        </w:rPr>
        <w:t xml:space="preserve">[…] </w:t>
      </w:r>
    </w:p>
    <w:p w14:paraId="1EE81EEC" w14:textId="77777777" w:rsidR="00916B6A" w:rsidRPr="006507E4" w:rsidRDefault="00916B6A" w:rsidP="00916B6A">
      <w:pPr>
        <w:spacing w:after="0" w:line="276" w:lineRule="auto"/>
        <w:ind w:left="709" w:right="709"/>
        <w:jc w:val="both"/>
        <w:rPr>
          <w:rFonts w:ascii="Verdana" w:eastAsia="Times New Roman" w:hAnsi="Verdana" w:cs="Arial"/>
          <w:bCs/>
          <w:lang w:eastAsia="es-CO"/>
        </w:rPr>
      </w:pPr>
    </w:p>
    <w:p w14:paraId="49F71302" w14:textId="77777777" w:rsidR="00916B6A" w:rsidRPr="00F10E52" w:rsidRDefault="00916B6A" w:rsidP="00916B6A">
      <w:pPr>
        <w:spacing w:after="0" w:line="276" w:lineRule="auto"/>
        <w:ind w:firstLine="709"/>
        <w:jc w:val="both"/>
        <w:rPr>
          <w:rFonts w:ascii="Verdana" w:eastAsia="Times New Roman" w:hAnsi="Verdana" w:cs="Arial"/>
          <w:bCs/>
          <w:lang w:eastAsia="es-CO"/>
        </w:rPr>
      </w:pPr>
      <w:bookmarkStart w:id="2"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26A11450" w14:textId="77777777" w:rsidR="00916B6A" w:rsidRPr="00F10E52" w:rsidRDefault="00916B6A" w:rsidP="00916B6A">
      <w:pPr>
        <w:spacing w:after="0" w:line="276" w:lineRule="auto"/>
        <w:ind w:firstLine="709"/>
        <w:jc w:val="both"/>
        <w:rPr>
          <w:rFonts w:ascii="Verdana" w:eastAsia="Times New Roman" w:hAnsi="Verdana" w:cs="Arial"/>
          <w:bCs/>
          <w:lang w:eastAsia="es-CO"/>
        </w:rPr>
      </w:pPr>
    </w:p>
    <w:p w14:paraId="0C94F9B6"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A3C7AE2"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p>
    <w:p w14:paraId="0D42F9AF"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5D717049" w14:textId="77777777" w:rsidR="00916B6A" w:rsidRPr="00363352" w:rsidRDefault="00916B6A" w:rsidP="00916B6A">
      <w:pPr>
        <w:spacing w:after="0" w:line="276" w:lineRule="auto"/>
        <w:ind w:left="709" w:right="709"/>
        <w:jc w:val="both"/>
        <w:rPr>
          <w:rFonts w:ascii="Verdana" w:eastAsia="Times New Roman" w:hAnsi="Verdana" w:cs="Arial"/>
          <w:bCs/>
          <w:lang w:eastAsia="es-CO"/>
        </w:rPr>
      </w:pPr>
    </w:p>
    <w:p w14:paraId="63ED85D2" w14:textId="77777777" w:rsidR="00916B6A" w:rsidRPr="00F10E52" w:rsidRDefault="00916B6A" w:rsidP="00916B6A">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2A33B94F" w14:textId="77777777" w:rsidR="00916B6A" w:rsidRPr="00F10E52" w:rsidRDefault="00916B6A" w:rsidP="00916B6A">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w:t>
      </w:r>
      <w:r w:rsidRPr="00F10E52">
        <w:rPr>
          <w:rFonts w:ascii="Verdana" w:eastAsia="Calibri" w:hAnsi="Verdana" w:cs="Aria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p>
    <w:p w14:paraId="1D58D462" w14:textId="77777777" w:rsidR="00916B6A" w:rsidRPr="00F10E52" w:rsidRDefault="00916B6A" w:rsidP="00916B6A">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9"/>
      </w:r>
      <w:r w:rsidRPr="00F10E52">
        <w:rPr>
          <w:rFonts w:ascii="Verdana" w:eastAsia="Calibri" w:hAnsi="Verdana" w:cs="Arial"/>
        </w:rPr>
        <w:t>.</w:t>
      </w:r>
      <w:r w:rsidRPr="00F10E52">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73D86E6B" w14:textId="77777777" w:rsidR="00916B6A" w:rsidRPr="00F10E52" w:rsidRDefault="00916B6A" w:rsidP="00916B6A">
      <w:pPr>
        <w:widowControl w:val="0"/>
        <w:autoSpaceDE w:val="0"/>
        <w:autoSpaceDN w:val="0"/>
        <w:spacing w:after="0" w:line="276" w:lineRule="auto"/>
        <w:ind w:right="113" w:firstLine="708"/>
        <w:jc w:val="both"/>
        <w:rPr>
          <w:rFonts w:ascii="Verdana" w:eastAsia="Arial" w:hAnsi="Verdana" w:cs="Arial"/>
          <w:lang w:val="es-ES" w:eastAsia="es-ES" w:bidi="es-ES"/>
        </w:rPr>
      </w:pPr>
    </w:p>
    <w:p w14:paraId="5110EF43" w14:textId="77777777" w:rsidR="00916B6A" w:rsidRPr="009B20C5" w:rsidRDefault="00916B6A" w:rsidP="00916B6A">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w:t>
      </w:r>
      <w:r w:rsidRPr="009B20C5">
        <w:rPr>
          <w:rFonts w:ascii="Verdana" w:eastAsia="Arial" w:hAnsi="Verdana" w:cs="Arial"/>
          <w:sz w:val="20"/>
          <w:szCs w:val="20"/>
          <w:lang w:val="es-ES" w:eastAsia="es-ES" w:bidi="es-ES"/>
        </w:rPr>
        <w:lastRenderedPageBreak/>
        <w:t xml:space="preserve">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sidRPr="009B20C5">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0"/>
      </w:r>
    </w:p>
    <w:p w14:paraId="11B7C8DD" w14:textId="77777777" w:rsidR="00916B6A" w:rsidRDefault="00916B6A" w:rsidP="00916B6A">
      <w:pPr>
        <w:spacing w:after="0" w:line="276" w:lineRule="auto"/>
        <w:ind w:firstLine="709"/>
        <w:jc w:val="both"/>
        <w:rPr>
          <w:rFonts w:ascii="Verdana" w:eastAsia="Arial" w:hAnsi="Verdana" w:cs="Arial"/>
          <w:lang w:val="es-ES" w:eastAsia="es-ES" w:bidi="es-ES"/>
        </w:rPr>
      </w:pPr>
    </w:p>
    <w:p w14:paraId="52A192DC" w14:textId="77777777" w:rsidR="00916B6A" w:rsidRPr="00F10E52" w:rsidRDefault="00916B6A" w:rsidP="00916B6A">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1B8BF431" w14:textId="77777777" w:rsidR="00916B6A" w:rsidRPr="00F10E52" w:rsidRDefault="00916B6A" w:rsidP="00916B6A">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lastRenderedPageBreak/>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6323AF5A" w14:textId="77777777" w:rsidR="00916B6A" w:rsidRPr="00F10E52" w:rsidRDefault="00916B6A" w:rsidP="00916B6A">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Pr>
          <w:rFonts w:ascii="Verdana" w:eastAsia="Arial" w:hAnsi="Verdana" w:cs="Arial"/>
          <w:lang w:val="es-ES" w:eastAsia="es-ES" w:bidi="es-ES"/>
        </w:rPr>
        <w:t>(6)</w:t>
      </w:r>
      <w:r w:rsidRPr="00F10E52">
        <w:rPr>
          <w:rFonts w:ascii="Verdana" w:eastAsia="Arial" w:hAnsi="Verdana" w:cs="Arial"/>
          <w:lang w:val="es-ES" w:eastAsia="es-ES" w:bidi="es-ES"/>
        </w:rPr>
        <w:t xml:space="preserve">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B0AE855" w14:textId="77777777" w:rsidR="00916B6A" w:rsidRPr="00DC56D3" w:rsidRDefault="00916B6A" w:rsidP="00916B6A">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Por otra parte, e</w:t>
      </w:r>
      <w:r w:rsidRPr="00F10E52">
        <w:rPr>
          <w:rFonts w:ascii="Verdana" w:eastAsia="Times New Roman" w:hAnsi="Verdana" w:cs="Arial"/>
          <w:bCs/>
          <w:lang w:eastAsia="x-none"/>
        </w:rPr>
        <w:t xml:space="preserve">l ámbito material de la prohibición contenida </w:t>
      </w:r>
      <w:bookmarkStart w:id="11" w:name="_Hlk75628761"/>
      <w:r w:rsidRPr="00F10E52">
        <w:rPr>
          <w:rFonts w:ascii="Verdana" w:eastAsia="Times New Roman" w:hAnsi="Verdana" w:cs="Arial"/>
          <w:bCs/>
          <w:lang w:eastAsia="x-none"/>
        </w:rPr>
        <w:t xml:space="preserve">en el artículo 33 de la ley 996 de 2005 </w:t>
      </w:r>
      <w:bookmarkEnd w:id="11"/>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1C800083" w14:textId="77777777" w:rsidR="00916B6A" w:rsidRPr="00DC56D3" w:rsidRDefault="00916B6A" w:rsidP="00916B6A">
      <w:pPr>
        <w:spacing w:after="0" w:line="276" w:lineRule="auto"/>
        <w:ind w:firstLine="708"/>
        <w:jc w:val="both"/>
        <w:rPr>
          <w:rFonts w:ascii="Verdana" w:eastAsia="Times New Roman" w:hAnsi="Verdana" w:cs="Arial"/>
          <w:bCs/>
          <w:lang w:eastAsia="es-CO"/>
        </w:rPr>
      </w:pPr>
    </w:p>
    <w:p w14:paraId="75A07030" w14:textId="77777777" w:rsidR="00916B6A" w:rsidRPr="009B20C5" w:rsidRDefault="00916B6A" w:rsidP="00916B6A">
      <w:pPr>
        <w:spacing w:after="0" w:line="240" w:lineRule="auto"/>
        <w:ind w:left="709" w:right="709"/>
        <w:jc w:val="both"/>
        <w:rPr>
          <w:rFonts w:ascii="Verdana" w:hAnsi="Verdana" w:cs="Arial"/>
          <w:sz w:val="20"/>
          <w:szCs w:val="20"/>
        </w:rPr>
      </w:pP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w:t>
      </w:r>
    </w:p>
    <w:p w14:paraId="26FCD009" w14:textId="77777777" w:rsidR="00916B6A" w:rsidRPr="009B20C5" w:rsidRDefault="00916B6A" w:rsidP="00916B6A">
      <w:pPr>
        <w:spacing w:after="0" w:line="240" w:lineRule="auto"/>
        <w:ind w:left="709" w:right="709"/>
        <w:jc w:val="both"/>
        <w:rPr>
          <w:rFonts w:ascii="Verdana" w:hAnsi="Verdana" w:cs="Arial"/>
          <w:sz w:val="20"/>
          <w:szCs w:val="20"/>
        </w:rPr>
      </w:pPr>
    </w:p>
    <w:p w14:paraId="4BC5A0A4" w14:textId="77777777" w:rsidR="00916B6A" w:rsidRPr="009B20C5" w:rsidRDefault="00916B6A" w:rsidP="00916B6A">
      <w:pPr>
        <w:spacing w:after="0" w:line="240" w:lineRule="auto"/>
        <w:ind w:left="708" w:right="709"/>
        <w:jc w:val="both"/>
        <w:rPr>
          <w:rFonts w:ascii="Verdana" w:hAnsi="Verdana" w:cs="Arial"/>
          <w:sz w:val="20"/>
          <w:szCs w:val="20"/>
        </w:rPr>
      </w:pPr>
      <w:r w:rsidRPr="009B20C5">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9B20C5">
        <w:rPr>
          <w:rFonts w:ascii="Verdana" w:hAnsi="Verdana" w:cs="Arial"/>
          <w:sz w:val="20"/>
          <w:szCs w:val="20"/>
        </w:rPr>
        <w:t xml:space="preserve">de cualquier sistema que no implique convocatoria pública y posibilidad de pluralidad de oferentes, </w:t>
      </w:r>
      <w:bookmarkEnd w:id="12"/>
      <w:r w:rsidRPr="009B20C5">
        <w:rPr>
          <w:rFonts w:ascii="Verdana" w:hAnsi="Verdana" w:cs="Arial"/>
          <w:sz w:val="20"/>
          <w:szCs w:val="20"/>
        </w:rPr>
        <w:t xml:space="preserve">y que, además, no necesariamente hace referencia al </w:t>
      </w:r>
      <w:r w:rsidRPr="009B20C5">
        <w:rPr>
          <w:rFonts w:ascii="Verdana" w:hAnsi="Verdana" w:cs="Arial"/>
          <w:sz w:val="20"/>
          <w:szCs w:val="20"/>
        </w:rPr>
        <w:lastRenderedPageBreak/>
        <w:t>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2"/>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B20C5">
        <w:rPr>
          <w:rFonts w:ascii="Verdana" w:eastAsia="Times New Roman" w:hAnsi="Verdana" w:cs="Arial"/>
          <w:sz w:val="20"/>
          <w:szCs w:val="20"/>
          <w:vertAlign w:val="superscript"/>
          <w:lang w:eastAsia="es-CO"/>
        </w:rPr>
        <w:footnoteReference w:id="13"/>
      </w:r>
      <w:r w:rsidRPr="009B20C5">
        <w:rPr>
          <w:rFonts w:ascii="Verdana" w:hAnsi="Verdana" w:cs="Arial"/>
          <w:sz w:val="20"/>
          <w:szCs w:val="20"/>
        </w:rPr>
        <w:t xml:space="preserve"> .</w:t>
      </w:r>
    </w:p>
    <w:p w14:paraId="77B09655" w14:textId="77777777" w:rsidR="00916B6A" w:rsidRPr="00363352" w:rsidRDefault="00916B6A" w:rsidP="00916B6A">
      <w:pPr>
        <w:spacing w:after="0" w:line="276" w:lineRule="auto"/>
        <w:ind w:left="708" w:right="709"/>
        <w:jc w:val="both"/>
        <w:rPr>
          <w:rFonts w:ascii="Verdana" w:hAnsi="Verdana" w:cs="Arial"/>
        </w:rPr>
      </w:pPr>
    </w:p>
    <w:p w14:paraId="4C842427" w14:textId="77777777" w:rsidR="00916B6A" w:rsidRPr="00F10E52" w:rsidRDefault="00916B6A" w:rsidP="00916B6A">
      <w:pPr>
        <w:spacing w:after="120" w:line="276" w:lineRule="auto"/>
        <w:ind w:firstLine="709"/>
        <w:jc w:val="both"/>
        <w:rPr>
          <w:rFonts w:ascii="Verdana" w:eastAsia="Times New Roman" w:hAnsi="Verdana" w:cs="Arial"/>
          <w:bCs/>
          <w:lang w:eastAsia="x-none"/>
        </w:rPr>
      </w:pPr>
      <w:bookmarkStart w:id="14" w:name="_Hlk94521748"/>
      <w:r w:rsidRPr="00F10E52">
        <w:rPr>
          <w:rFonts w:ascii="Verdana" w:eastAsia="Times New Roman" w:hAnsi="Verdana" w:cs="Arial"/>
          <w:lang w:eastAsia="x-none"/>
        </w:rPr>
        <w:t xml:space="preserve">De conformidad con el citado concepto, </w:t>
      </w:r>
      <w:bookmarkStart w:id="15" w:name="_Hlk78818702"/>
      <w:r w:rsidRPr="00F10E52">
        <w:rPr>
          <w:rFonts w:ascii="Verdana" w:eastAsia="Times New Roman" w:hAnsi="Verdana" w:cs="Arial"/>
          <w:lang w:eastAsia="x-none"/>
        </w:rPr>
        <w:t xml:space="preserve">la prohibición del artículo 33 de la Ley de Garantías Electorales se refiere a </w:t>
      </w:r>
      <w:bookmarkStart w:id="16" w:name="_Hlk74294635"/>
      <w:r>
        <w:rPr>
          <w:rFonts w:ascii="Verdana" w:eastAsia="Times New Roman" w:hAnsi="Verdana" w:cs="Arial"/>
          <w:lang w:eastAsia="en-GB"/>
        </w:rPr>
        <w:t>“</w:t>
      </w:r>
      <w:bookmarkEnd w:id="16"/>
      <w:r w:rsidRPr="00F10E52">
        <w:rPr>
          <w:rFonts w:ascii="Verdana" w:eastAsia="Times New Roman" w:hAnsi="Verdana" w:cs="Arial"/>
          <w:lang w:eastAsia="x-none"/>
        </w:rPr>
        <w:t>cualquier sistema que no implique convocatoria pública y posibilidad de pluralidad de oferentes</w:t>
      </w:r>
      <w:bookmarkStart w:id="17" w:name="_Hlk74404754"/>
      <w:r>
        <w:rPr>
          <w:rFonts w:ascii="Verdana" w:eastAsia="Times New Roman" w:hAnsi="Verdana" w:cs="Arial"/>
          <w:lang w:eastAsia="en-GB"/>
        </w:rPr>
        <w:t>”</w:t>
      </w:r>
      <w:bookmarkEnd w:id="17"/>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4"/>
      <w:bookmarkEnd w:id="15"/>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5"/>
      </w:r>
      <w:r w:rsidRPr="00F10E52">
        <w:rPr>
          <w:rFonts w:ascii="Verdana" w:eastAsia="Times New Roman" w:hAnsi="Verdana" w:cs="Arial"/>
          <w:lang w:eastAsia="x-none"/>
        </w:rPr>
        <w:t xml:space="preserve">. </w:t>
      </w:r>
    </w:p>
    <w:p w14:paraId="046BCDF4" w14:textId="77777777" w:rsidR="00916B6A" w:rsidRPr="00F10E52" w:rsidRDefault="00916B6A" w:rsidP="00916B6A">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6"/>
      </w:r>
      <w:r w:rsidRPr="00F10E52">
        <w:rPr>
          <w:rFonts w:ascii="Verdana" w:eastAsia="Times New Roman" w:hAnsi="Verdana" w:cs="Arial"/>
          <w:lang w:eastAsia="x-none"/>
        </w:rPr>
        <w:t xml:space="preserve">, han establecido sistemas de </w:t>
      </w:r>
      <w:r w:rsidRPr="00F10E52">
        <w:rPr>
          <w:rFonts w:ascii="Verdana" w:eastAsia="Times New Roman" w:hAnsi="Verdana" w:cs="Arial"/>
          <w:lang w:eastAsia="x-none"/>
        </w:rPr>
        <w:lastRenderedPageBreak/>
        <w:t>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36C8BEB1" w14:textId="77777777" w:rsidR="00916B6A" w:rsidRPr="00F10E52" w:rsidRDefault="00916B6A" w:rsidP="00916B6A">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9"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9"/>
      <w:r w:rsidRPr="00F10E52">
        <w:rPr>
          <w:rFonts w:ascii="Verdana" w:eastAsia="Times New Roman" w:hAnsi="Verdana" w:cs="Arial"/>
          <w:vertAlign w:val="superscript"/>
          <w:lang w:eastAsia="x-none"/>
        </w:rPr>
        <w:footnoteReference w:id="17"/>
      </w:r>
      <w:r w:rsidRPr="00F10E52">
        <w:rPr>
          <w:rFonts w:ascii="Verdana" w:eastAsia="Times New Roman" w:hAnsi="Verdana" w:cs="Arial"/>
          <w:lang w:eastAsia="x-none"/>
        </w:rPr>
        <w:t xml:space="preserve">. </w:t>
      </w:r>
    </w:p>
    <w:p w14:paraId="4E4856DB" w14:textId="77777777" w:rsidR="00916B6A" w:rsidRPr="00F10E52" w:rsidRDefault="00916B6A" w:rsidP="00916B6A">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4838DF22" w14:textId="77777777" w:rsidR="00916B6A" w:rsidRPr="00F10E52" w:rsidRDefault="00916B6A" w:rsidP="00916B6A">
      <w:pPr>
        <w:spacing w:after="120" w:line="276" w:lineRule="auto"/>
        <w:ind w:firstLine="709"/>
        <w:jc w:val="both"/>
        <w:rPr>
          <w:rFonts w:ascii="Verdana" w:eastAsia="Times New Roman" w:hAnsi="Verdana" w:cs="Arial"/>
          <w:bCs/>
          <w:lang w:eastAsia="x-none"/>
        </w:rPr>
      </w:pPr>
      <w:bookmarkStart w:id="20" w:name="_Hlk78818796"/>
      <w:r w:rsidRPr="00F10E52">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8"/>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20"/>
    <w:p w14:paraId="48D4F172" w14:textId="77777777" w:rsidR="00916B6A" w:rsidRPr="00F10E52" w:rsidRDefault="00916B6A" w:rsidP="00916B6A">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w:t>
      </w:r>
      <w:r w:rsidRPr="00F10E52">
        <w:rPr>
          <w:rFonts w:ascii="Verdana" w:eastAsia="Times New Roman" w:hAnsi="Verdana" w:cs="Arial"/>
          <w:lang w:eastAsia="x-none"/>
        </w:rPr>
        <w:lastRenderedPageBreak/>
        <w:t>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C3F70F1" w14:textId="77777777" w:rsidR="00916B6A" w:rsidRPr="00F10E52" w:rsidRDefault="00916B6A" w:rsidP="00916B6A">
      <w:pPr>
        <w:spacing w:after="120" w:line="276" w:lineRule="auto"/>
        <w:ind w:firstLine="709"/>
        <w:jc w:val="both"/>
        <w:rPr>
          <w:rFonts w:ascii="Verdana" w:eastAsia="Times New Roman" w:hAnsi="Verdana" w:cs="Arial"/>
          <w:bCs/>
          <w:lang w:eastAsia="x-none"/>
        </w:rPr>
      </w:pPr>
      <w:bookmarkStart w:id="21" w:name="_Hlk77237094"/>
      <w:r w:rsidRPr="00F10E52">
        <w:rPr>
          <w:rFonts w:ascii="Verdana" w:eastAsia="Times New Roman" w:hAnsi="Verdana" w:cs="Arial"/>
          <w:bCs/>
          <w:lang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21"/>
    </w:p>
    <w:p w14:paraId="18DC8ED1" w14:textId="77777777" w:rsidR="00916B6A" w:rsidRPr="00F10E52" w:rsidRDefault="00916B6A" w:rsidP="00916B6A">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De otro lado, las excepciones a la restricción prevista en la Ley de Garantías</w:t>
      </w:r>
      <w:r>
        <w:rPr>
          <w:rFonts w:ascii="Verdana" w:eastAsia="Times New Roman" w:hAnsi="Verdana" w:cs="Arial"/>
          <w:bCs/>
          <w:lang w:eastAsia="x-none"/>
        </w:rPr>
        <w:t xml:space="preserve"> Electorales</w:t>
      </w:r>
      <w:r w:rsidRPr="00F10E52">
        <w:rPr>
          <w:rFonts w:ascii="Verdana" w:eastAsia="Times New Roman" w:hAnsi="Verdana" w:cs="Arial"/>
          <w:bCs/>
          <w:lang w:eastAsia="x-none"/>
        </w:rPr>
        <w:t>,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w:t>
      </w:r>
      <w:r>
        <w:rPr>
          <w:rFonts w:ascii="Verdana" w:eastAsia="Times New Roman" w:hAnsi="Verdana" w:cs="Arial"/>
          <w:bCs/>
          <w:lang w:eastAsia="x-none"/>
        </w:rPr>
        <w:t>:</w:t>
      </w:r>
      <w:r w:rsidRPr="00F10E52">
        <w:rPr>
          <w:rFonts w:ascii="Verdana" w:eastAsia="Times New Roman" w:hAnsi="Verdana" w:cs="Arial"/>
          <w:bCs/>
          <w:lang w:eastAsia="x-none"/>
        </w:rPr>
        <w:t xml:space="preserve">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emergencias educativas,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05FA36B" w14:textId="77777777" w:rsidR="00916B6A" w:rsidRPr="00F10E52" w:rsidRDefault="00916B6A" w:rsidP="00916B6A">
      <w:pPr>
        <w:spacing w:after="120" w:line="276" w:lineRule="auto"/>
        <w:ind w:firstLine="709"/>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22" w:name="_Hlk74309042"/>
      <w:r w:rsidRPr="00F10E52">
        <w:rPr>
          <w:rFonts w:ascii="Verdana" w:eastAsia="Times New Roman" w:hAnsi="Verdana" w:cs="Arial"/>
          <w:bCs/>
          <w:lang w:eastAsia="x-none"/>
        </w:rPr>
        <w:t xml:space="preserve">que </w:t>
      </w:r>
      <w:bookmarkEnd w:id="22"/>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23" w:name="_Hlk75768308"/>
      <w:r w:rsidRPr="00F10E52">
        <w:rPr>
          <w:rFonts w:ascii="Verdana" w:eastAsia="Times New Roman" w:hAnsi="Verdana" w:cs="Arial"/>
          <w:bCs/>
          <w:lang w:eastAsia="x-none"/>
        </w:rPr>
        <w:t xml:space="preserve">no termine yendo en detrimento de intereses públicos, cuya garantía está en cabeza del ejecutivo, como son los inmersos en </w:t>
      </w:r>
      <w:r w:rsidRPr="00F10E52">
        <w:rPr>
          <w:rFonts w:ascii="Verdana" w:eastAsia="Times New Roman" w:hAnsi="Verdana" w:cs="Arial"/>
          <w:bCs/>
          <w:lang w:eastAsia="x-none"/>
        </w:rPr>
        <w:lastRenderedPageBreak/>
        <w:t>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9"/>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4" w:name="_Hlk75783800"/>
      <w:bookmarkEnd w:id="23"/>
    </w:p>
    <w:p w14:paraId="7ABC813F" w14:textId="02795B52" w:rsidR="00805B33" w:rsidRDefault="00916B6A" w:rsidP="00805B33">
      <w:pPr>
        <w:spacing w:before="120" w:after="120" w:line="276" w:lineRule="auto"/>
        <w:ind w:firstLine="708"/>
        <w:jc w:val="both"/>
        <w:rPr>
          <w:rFonts w:ascii="Verdana" w:eastAsia="Times New Roman" w:hAnsi="Verdana" w:cs="Arial"/>
          <w:bCs/>
          <w:lang w:eastAsia="x-none"/>
        </w:rPr>
      </w:pPr>
      <w:bookmarkStart w:id="25"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4"/>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5"/>
    </w:p>
    <w:p w14:paraId="58053964" w14:textId="77777777" w:rsidR="00916B6A" w:rsidRDefault="00916B6A" w:rsidP="00916B6A">
      <w:pPr>
        <w:spacing w:after="120" w:line="276" w:lineRule="auto"/>
        <w:ind w:firstLine="707"/>
        <w:jc w:val="both"/>
        <w:rPr>
          <w:rFonts w:ascii="Verdana" w:eastAsia="Calibri" w:hAnsi="Verdana" w:cs="Arial"/>
          <w:lang w:val="es-MX"/>
        </w:rPr>
      </w:pPr>
      <w:r>
        <w:rPr>
          <w:rFonts w:ascii="Verdana" w:eastAsia="Calibri" w:hAnsi="Verdana" w:cs="Arial"/>
          <w:lang w:val="es-MX"/>
        </w:rPr>
        <w:t>En segundo lugar, e</w:t>
      </w:r>
      <w:r w:rsidRPr="00A60F9C">
        <w:rPr>
          <w:rFonts w:ascii="Verdana" w:eastAsia="Calibri" w:hAnsi="Verdana" w:cs="Arial"/>
          <w:lang w:val="es-MX"/>
        </w:rPr>
        <w:t xml:space="preserve">n cuanto a las </w:t>
      </w:r>
      <w:r>
        <w:rPr>
          <w:rFonts w:ascii="Verdana" w:eastAsia="Times New Roman" w:hAnsi="Verdana" w:cs="Arial"/>
          <w:lang w:val="es-MX" w:eastAsia="es-CO"/>
        </w:rPr>
        <w:t>r</w:t>
      </w:r>
      <w:r w:rsidRPr="00A60F9C">
        <w:rPr>
          <w:rFonts w:ascii="Verdana" w:eastAsia="Times New Roman" w:hAnsi="Verdana" w:cs="Arial"/>
          <w:lang w:val="es-MX" w:eastAsia="es-CO"/>
        </w:rPr>
        <w:t xml:space="preserve">estricciones </w:t>
      </w:r>
      <w:bookmarkStart w:id="26" w:name="_Hlk75643279"/>
      <w:r w:rsidRPr="00A60F9C">
        <w:rPr>
          <w:rFonts w:ascii="Verdana" w:eastAsia="Times New Roman" w:hAnsi="Verdana" w:cs="Arial"/>
          <w:lang w:val="es-MX" w:eastAsia="es-CO"/>
        </w:rPr>
        <w:t>para la celebración de contratos y convenios interadministrativos en los comicios para cargos de elección popular</w:t>
      </w:r>
      <w:bookmarkStart w:id="27" w:name="_Hlk88210558"/>
      <w:bookmarkEnd w:id="26"/>
      <w:r>
        <w:rPr>
          <w:rFonts w:ascii="Verdana" w:eastAsia="Times New Roman" w:hAnsi="Verdana" w:cs="Arial"/>
          <w:lang w:val="es-MX" w:eastAsia="es-CO"/>
        </w:rPr>
        <w:t xml:space="preserve">, </w:t>
      </w:r>
      <w:r>
        <w:rPr>
          <w:rFonts w:ascii="Verdana" w:eastAsia="Calibri" w:hAnsi="Verdana" w:cs="Arial"/>
          <w:bCs/>
        </w:rPr>
        <w:t>e</w:t>
      </w:r>
      <w:r w:rsidRPr="00896CCA">
        <w:rPr>
          <w:rFonts w:ascii="Verdana" w:eastAsia="Calibri" w:hAnsi="Verdana" w:cs="Arial"/>
          <w:bCs/>
        </w:rPr>
        <w:t>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896CCA">
        <w:rPr>
          <w:rFonts w:ascii="Verdana" w:eastAsia="Times New Roman" w:hAnsi="Verdana" w:cs="Arial"/>
          <w:bCs/>
          <w:iCs/>
          <w:lang w:val="es-MX" w:eastAsia="x-none"/>
        </w:rPr>
        <w:t xml:space="preserve"> </w:t>
      </w:r>
      <w:bookmarkStart w:id="28" w:name="_Hlk99578153"/>
      <w:bookmarkEnd w:id="27"/>
      <w:r w:rsidRPr="00896CCA">
        <w:rPr>
          <w:rFonts w:ascii="Verdana" w:eastAsia="Times New Roman" w:hAnsi="Verdana" w:cs="Arial"/>
          <w:bCs/>
          <w:iCs/>
          <w:lang w:val="es-MX" w:eastAsia="x-none"/>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28"/>
      <w:r w:rsidRPr="00896CCA">
        <w:rPr>
          <w:rFonts w:ascii="Verdana" w:eastAsia="Times New Roman" w:hAnsi="Verdana" w:cs="Arial"/>
          <w:bCs/>
          <w:iCs/>
          <w:vertAlign w:val="superscript"/>
          <w:lang w:val="es-MX" w:eastAsia="x-none"/>
        </w:rPr>
        <w:footnoteReference w:id="20"/>
      </w:r>
      <w:r w:rsidRPr="00896CCA">
        <w:rPr>
          <w:rFonts w:ascii="Verdana" w:eastAsia="Times New Roman" w:hAnsi="Verdana" w:cs="Arial"/>
          <w:bCs/>
          <w:iCs/>
          <w:lang w:val="es-MX" w:eastAsia="x-none"/>
        </w:rPr>
        <w:t>.</w:t>
      </w:r>
      <w:r w:rsidRPr="00896CCA">
        <w:rPr>
          <w:rFonts w:ascii="Verdana" w:eastAsia="Calibri" w:hAnsi="Verdana" w:cs="Arial"/>
          <w:lang w:val="es-MX"/>
        </w:rPr>
        <w:t xml:space="preserve"> </w:t>
      </w:r>
    </w:p>
    <w:p w14:paraId="5B77841F" w14:textId="77777777" w:rsidR="00916B6A" w:rsidRPr="00896CCA" w:rsidRDefault="00916B6A" w:rsidP="00916B6A">
      <w:pPr>
        <w:widowControl w:val="0"/>
        <w:autoSpaceDE w:val="0"/>
        <w:autoSpaceDN w:val="0"/>
        <w:spacing w:after="120" w:line="276" w:lineRule="auto"/>
        <w:ind w:firstLine="707"/>
        <w:jc w:val="both"/>
        <w:rPr>
          <w:rFonts w:ascii="Verdana" w:eastAsia="Arial" w:hAnsi="Verdana" w:cs="Arial"/>
          <w:lang w:val="es-ES" w:eastAsia="es-ES" w:bidi="es-ES"/>
        </w:rPr>
      </w:pPr>
      <w:r w:rsidRPr="00896CCA">
        <w:rPr>
          <w:rFonts w:ascii="Verdana" w:eastAsia="Calibri" w:hAnsi="Verdana" w:cs="Arial"/>
          <w:bCs/>
          <w:lang w:eastAsia="es-ES" w:bidi="es-ES"/>
        </w:rPr>
        <w:t xml:space="preserve">Ahora bien, </w:t>
      </w:r>
      <w:bookmarkStart w:id="29" w:name="_Hlk78820161"/>
      <w:r w:rsidRPr="00896CCA">
        <w:rPr>
          <w:rFonts w:ascii="Verdana" w:eastAsia="Calibri" w:hAnsi="Verdana" w:cs="Arial"/>
          <w:bCs/>
          <w:lang w:eastAsia="es-ES" w:bidi="es-ES"/>
        </w:rPr>
        <w:t xml:space="preserve">para determinar el alcance de la prohibición consagrada por </w:t>
      </w:r>
      <w:r w:rsidRPr="00896CCA">
        <w:rPr>
          <w:rFonts w:ascii="Verdana" w:eastAsia="Calibri" w:hAnsi="Verdana" w:cs="Arial"/>
          <w:bCs/>
          <w:lang w:eastAsia="es-ES" w:bidi="es-ES"/>
        </w:rPr>
        <w:lastRenderedPageBreak/>
        <w:t xml:space="preserve">la Ley de Garantías Electorales, conviene precisar la tipología de convenios o contratos interadministrativos. </w:t>
      </w:r>
      <w:r w:rsidRPr="00896CCA">
        <w:rPr>
          <w:rFonts w:ascii="Verdana" w:eastAsia="Arial" w:hAnsi="Verdana" w:cs="Arial"/>
          <w:lang w:val="es-ES" w:eastAsia="es-ES" w:bidi="es-ES"/>
        </w:rPr>
        <w:t>Aunque la ley no la definió ni desarrolló, el Decreto 1082 de 2015 califica a los convenios o contratos interadministrativos como aquella contratación entre entidades estatales</w:t>
      </w:r>
      <w:r w:rsidRPr="00896CCA">
        <w:rPr>
          <w:rFonts w:ascii="Verdana" w:eastAsia="Arial" w:hAnsi="Verdana" w:cs="Arial"/>
          <w:vertAlign w:val="superscript"/>
          <w:lang w:val="es-ES" w:eastAsia="es-ES" w:bidi="es-ES"/>
        </w:rPr>
        <w:footnoteReference w:id="21"/>
      </w:r>
      <w:r w:rsidRPr="00896CCA">
        <w:rPr>
          <w:rFonts w:ascii="Verdana" w:eastAsia="Arial" w:hAnsi="Verdana" w:cs="Arial"/>
          <w:lang w:val="es-ES" w:eastAsia="es-ES" w:bidi="es-ES"/>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896CCA">
        <w:rPr>
          <w:rFonts w:ascii="Verdana" w:eastAsia="Arial" w:hAnsi="Verdana" w:cs="Arial"/>
          <w:spacing w:val="-6"/>
          <w:lang w:val="es-ES" w:eastAsia="es-ES" w:bidi="es-ES"/>
        </w:rPr>
        <w:t xml:space="preserve"> </w:t>
      </w:r>
      <w:r w:rsidRPr="00896CCA">
        <w:rPr>
          <w:rFonts w:ascii="Verdana" w:eastAsia="Arial" w:hAnsi="Verdana" w:cs="Arial"/>
          <w:lang w:val="es-ES" w:eastAsia="es-ES" w:bidi="es-ES"/>
        </w:rPr>
        <w:t>estatales.</w:t>
      </w:r>
    </w:p>
    <w:p w14:paraId="13148E74" w14:textId="77777777" w:rsidR="00916B6A" w:rsidRPr="00896CCA" w:rsidRDefault="00916B6A" w:rsidP="00916B6A">
      <w:pPr>
        <w:widowControl w:val="0"/>
        <w:autoSpaceDE w:val="0"/>
        <w:autoSpaceDN w:val="0"/>
        <w:spacing w:after="120" w:line="276" w:lineRule="auto"/>
        <w:ind w:firstLine="707"/>
        <w:jc w:val="both"/>
        <w:rPr>
          <w:rFonts w:ascii="Verdana" w:eastAsia="Calibri" w:hAnsi="Verdana" w:cs="Arial"/>
          <w:bCs/>
          <w:lang w:val="es-ES"/>
        </w:rPr>
      </w:pPr>
      <w:bookmarkStart w:id="30" w:name="_Hlk78820654"/>
      <w:bookmarkEnd w:id="29"/>
      <w:r w:rsidRPr="00896CCA">
        <w:rPr>
          <w:rFonts w:ascii="Verdana" w:eastAsia="Arial" w:hAnsi="Verdana" w:cs="Arial"/>
          <w:lang w:val="es-ES" w:eastAsia="es-ES" w:bidi="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De esta manera, sin perjuicio de lo dispuesto en el artículo 56 de la Ley 2195 de 2022, el literal c) del artículo 2.4 de la Ley 1150 de 2007 dispone que “</w:t>
      </w:r>
      <w:r w:rsidRPr="00896CCA">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16A9AEEB" w14:textId="77777777" w:rsidR="00916B6A" w:rsidRPr="00896CCA" w:rsidRDefault="00916B6A" w:rsidP="00916B6A">
      <w:pPr>
        <w:widowControl w:val="0"/>
        <w:autoSpaceDE w:val="0"/>
        <w:autoSpaceDN w:val="0"/>
        <w:spacing w:after="120" w:line="276" w:lineRule="auto"/>
        <w:ind w:firstLine="707"/>
        <w:jc w:val="both"/>
        <w:rPr>
          <w:rFonts w:ascii="Verdana" w:eastAsia="Arial" w:hAnsi="Verdana" w:cs="Arial"/>
          <w:lang w:val="es-ES" w:eastAsia="es-ES" w:bidi="es-ES"/>
        </w:rPr>
      </w:pPr>
      <w:bookmarkStart w:id="31" w:name="_Hlk99578261"/>
      <w:bookmarkEnd w:id="30"/>
      <w:r w:rsidRPr="00896CCA">
        <w:rPr>
          <w:rFonts w:ascii="Verdana" w:eastAsia="Arial" w:hAnsi="Verdana" w:cs="Arial"/>
          <w:lang w:val="es-ES" w:eastAsia="es-ES" w:bidi="es-ES"/>
        </w:rPr>
        <w:t xml:space="preserve">Adicionalmente,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w:t>
      </w:r>
      <w:r w:rsidRPr="00896CCA">
        <w:rPr>
          <w:rFonts w:ascii="Verdana" w:eastAsia="Arial" w:hAnsi="Verdana" w:cs="Arial"/>
          <w:lang w:val="es-ES" w:eastAsia="es-ES" w:bidi="es-ES"/>
        </w:rPr>
        <w:lastRenderedPageBreak/>
        <w:t>entidad ejecutora, señalado en la ley o en sus reglamentos, a menos que, según las excepciones previstas en dicha ley, deba adelantarse un procedimiento con pluralidad de oferentes</w:t>
      </w:r>
      <w:r w:rsidRPr="00896CCA">
        <w:rPr>
          <w:rFonts w:ascii="Verdana" w:eastAsia="Arial" w:hAnsi="Verdana" w:cs="Arial"/>
          <w:vertAlign w:val="superscript"/>
          <w:lang w:val="es-ES" w:eastAsia="es-ES" w:bidi="es-ES"/>
        </w:rPr>
        <w:footnoteReference w:id="22"/>
      </w:r>
      <w:r w:rsidRPr="00896CCA">
        <w:rPr>
          <w:rFonts w:ascii="Verdana" w:eastAsia="Arial" w:hAnsi="Verdana" w:cs="Arial"/>
          <w:lang w:val="es-ES" w:eastAsia="es-ES" w:bidi="es-ES"/>
        </w:rPr>
        <w:t>. Nótese que, en este caso, lo que cambia es la modalidad de selección y no la naturaleza de contrato</w:t>
      </w:r>
      <w:r w:rsidRPr="00896CCA">
        <w:rPr>
          <w:rFonts w:ascii="Verdana" w:eastAsia="Arial" w:hAnsi="Verdana" w:cs="Arial"/>
          <w:spacing w:val="-18"/>
          <w:lang w:val="es-ES" w:eastAsia="es-ES" w:bidi="es-ES"/>
        </w:rPr>
        <w:t xml:space="preserve"> </w:t>
      </w:r>
      <w:r w:rsidRPr="00896CCA">
        <w:rPr>
          <w:rFonts w:ascii="Verdana" w:eastAsia="Arial" w:hAnsi="Verdana" w:cs="Arial"/>
          <w:lang w:val="es-ES" w:eastAsia="es-ES" w:bidi="es-ES"/>
        </w:rPr>
        <w:t>interadministrativo.</w:t>
      </w:r>
    </w:p>
    <w:bookmarkEnd w:id="31"/>
    <w:p w14:paraId="06A81862" w14:textId="77777777" w:rsidR="00916B6A" w:rsidRDefault="00916B6A" w:rsidP="00916B6A">
      <w:pPr>
        <w:tabs>
          <w:tab w:val="left" w:pos="426"/>
        </w:tabs>
        <w:spacing w:after="120" w:line="276" w:lineRule="auto"/>
        <w:ind w:firstLine="709"/>
        <w:jc w:val="both"/>
        <w:rPr>
          <w:rFonts w:ascii="Verdana" w:eastAsia="Times New Roman" w:hAnsi="Verdana" w:cs="Arial"/>
          <w:bCs/>
          <w:lang w:val="es-MX" w:eastAsia="es-CO"/>
        </w:rPr>
      </w:pPr>
      <w:r w:rsidRPr="00896CCA">
        <w:rPr>
          <w:rFonts w:ascii="Verdana" w:eastAsia="Times New Roman" w:hAnsi="Verdana" w:cs="Arial"/>
          <w:bCs/>
          <w:lang w:eastAsia="es-CO"/>
        </w:rPr>
        <w:t xml:space="preserve">Se observa entonces que </w:t>
      </w:r>
      <w:r w:rsidRPr="00896CCA">
        <w:rPr>
          <w:rFonts w:ascii="Verdana" w:eastAsia="Times New Roman" w:hAnsi="Verdana" w:cs="Arial"/>
          <w:bCs/>
          <w:lang w:val="es-MX"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896CCA">
        <w:rPr>
          <w:rFonts w:ascii="Verdana" w:eastAsia="Times New Roman" w:hAnsi="Verdana" w:cs="Arial"/>
          <w:bCs/>
          <w:i/>
          <w:iCs/>
          <w:lang w:val="es-MX" w:eastAsia="es-CO"/>
        </w:rPr>
        <w:t>ibidem</w:t>
      </w:r>
      <w:r w:rsidRPr="00896CCA">
        <w:rPr>
          <w:rFonts w:ascii="Verdana" w:eastAsia="Times New Roman" w:hAnsi="Verdana" w:cs="Arial"/>
          <w:bCs/>
          <w:lang w:val="es-MX" w:eastAsia="es-CO"/>
        </w:rPr>
        <w:t>,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Pr="00896CCA">
        <w:rPr>
          <w:rFonts w:ascii="Verdana" w:eastAsia="Calibri" w:hAnsi="Verdana" w:cs="Arial"/>
          <w:bCs/>
          <w:vertAlign w:val="superscript"/>
          <w:lang w:val="es-MX" w:eastAsia="es-CO"/>
        </w:rPr>
        <w:footnoteReference w:id="23"/>
      </w:r>
      <w:r w:rsidRPr="00896CCA">
        <w:rPr>
          <w:rFonts w:ascii="Verdana" w:eastAsia="Times New Roman" w:hAnsi="Verdana" w:cs="Arial"/>
          <w:bCs/>
          <w:lang w:val="es-MX" w:eastAsia="es-CO"/>
        </w:rPr>
        <w:t xml:space="preserve">. </w:t>
      </w:r>
    </w:p>
    <w:p w14:paraId="79BC251D" w14:textId="77777777" w:rsidR="00916B6A" w:rsidRPr="00E2397D" w:rsidRDefault="00916B6A" w:rsidP="00916B6A">
      <w:pPr>
        <w:spacing w:after="120" w:line="276" w:lineRule="auto"/>
        <w:ind w:firstLine="709"/>
        <w:jc w:val="both"/>
        <w:rPr>
          <w:rFonts w:ascii="Verdana" w:eastAsia="Calibri" w:hAnsi="Verdana" w:cs="Arial"/>
          <w:lang w:bidi="es-ES"/>
        </w:rPr>
      </w:pPr>
      <w:r>
        <w:rPr>
          <w:rFonts w:ascii="Verdana" w:eastAsia="Times New Roman" w:hAnsi="Verdana" w:cs="Arial"/>
          <w:lang w:val="es-MX" w:eastAsia="x-none"/>
        </w:rPr>
        <w:t>E</w:t>
      </w:r>
      <w:r w:rsidRPr="00E2397D">
        <w:rPr>
          <w:rFonts w:ascii="Verdana" w:eastAsia="Times New Roman" w:hAnsi="Verdana" w:cs="Arial"/>
          <w:lang w:val="es-MX" w:eastAsia="x-none"/>
        </w:rPr>
        <w:t xml:space="preserv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w:t>
      </w:r>
      <w:r w:rsidRPr="00E2397D">
        <w:rPr>
          <w:rFonts w:ascii="Verdana" w:eastAsia="Calibri" w:hAnsi="Verdana" w:cs="Arial"/>
          <w:lang w:bidi="es-ES"/>
        </w:rPr>
        <w:lastRenderedPageBreak/>
        <w:t xml:space="preserve">de creación les permita cumplirlas, con el objetivo común de materializar los fines del Estado. </w:t>
      </w:r>
    </w:p>
    <w:p w14:paraId="41E8CE9C" w14:textId="77777777" w:rsidR="00916B6A" w:rsidRPr="00E2397D" w:rsidRDefault="00916B6A" w:rsidP="00916B6A">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4"/>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5"/>
      </w:r>
      <w:r w:rsidRPr="00E2397D">
        <w:rPr>
          <w:rFonts w:ascii="Verdana" w:eastAsia="Arial" w:hAnsi="Verdana" w:cs="Arial"/>
          <w:lang w:val="es-ES" w:eastAsia="es-ES" w:bidi="es-ES"/>
        </w:rPr>
        <w:t>.</w:t>
      </w:r>
    </w:p>
    <w:p w14:paraId="1B4B00EE" w14:textId="77777777" w:rsidR="00916B6A" w:rsidRPr="00E2397D" w:rsidRDefault="00916B6A" w:rsidP="00916B6A">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276F5E2A" w14:textId="77777777" w:rsidR="00916B6A" w:rsidRPr="00E2397D" w:rsidRDefault="00916B6A" w:rsidP="00916B6A">
      <w:pPr>
        <w:widowControl w:val="0"/>
        <w:autoSpaceDE w:val="0"/>
        <w:autoSpaceDN w:val="0"/>
        <w:spacing w:after="0" w:line="276" w:lineRule="auto"/>
        <w:contextualSpacing/>
        <w:jc w:val="both"/>
        <w:rPr>
          <w:rFonts w:ascii="Verdana" w:eastAsia="Arial" w:hAnsi="Verdana" w:cs="Arial"/>
          <w:lang w:val="es-ES" w:eastAsia="es-ES" w:bidi="es-ES"/>
        </w:rPr>
      </w:pPr>
    </w:p>
    <w:p w14:paraId="767C3178"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 xml:space="preserve">para tal fin, se entenderán en el mismo sentido. Es así como el Decreto 1082 de 2015 trata indistintamente a los convenios y contratos interadministrativos, al establecer la contratación directa como la </w:t>
      </w:r>
      <w:r w:rsidRPr="00E2397D">
        <w:rPr>
          <w:rFonts w:ascii="Verdana" w:eastAsia="Calibri" w:hAnsi="Verdana" w:cs="Arial"/>
          <w:sz w:val="20"/>
          <w:szCs w:val="20"/>
          <w:lang w:val="es-MX"/>
        </w:rPr>
        <w:lastRenderedPageBreak/>
        <w:t>modalidad de selección para la contratación entre entidades públicas a través de estas dos figuras jurídicas.</w:t>
      </w:r>
    </w:p>
    <w:p w14:paraId="1582BBFC"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p>
    <w:p w14:paraId="537281E5"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6AEE15BD"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p>
    <w:p w14:paraId="4AC4F4E9"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0F4753A" w14:textId="77777777" w:rsidR="00916B6A" w:rsidRPr="00E2397D" w:rsidRDefault="00916B6A" w:rsidP="00916B6A">
      <w:pPr>
        <w:widowControl w:val="0"/>
        <w:autoSpaceDE w:val="0"/>
        <w:autoSpaceDN w:val="0"/>
        <w:spacing w:after="0" w:line="276" w:lineRule="auto"/>
        <w:contextualSpacing/>
        <w:jc w:val="both"/>
        <w:rPr>
          <w:rFonts w:ascii="Verdana" w:eastAsia="Arial" w:hAnsi="Verdana" w:cs="Arial"/>
          <w:lang w:val="es-ES" w:eastAsia="es-ES" w:bidi="es-ES"/>
        </w:rPr>
      </w:pPr>
    </w:p>
    <w:p w14:paraId="3D41D8BC" w14:textId="77777777" w:rsidR="00916B6A" w:rsidRPr="00E2397D" w:rsidRDefault="00916B6A" w:rsidP="00916B6A">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222473A6" w14:textId="77777777" w:rsidR="00916B6A" w:rsidRPr="00E2397D" w:rsidRDefault="00916B6A" w:rsidP="00916B6A">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 xml:space="preserve">numeral 16.2 de la Circular Externa Única de 2022 </w:t>
      </w:r>
      <w:r w:rsidRPr="00E2397D">
        <w:rPr>
          <w:rFonts w:ascii="Verdana" w:hAnsi="Verdana"/>
        </w:rPr>
        <w:lastRenderedPageBreak/>
        <w:t>expedida por la Agencia Nacional de Contratación Pública -Colombia Compra Eficiente-, concretamente, respecto de los siguientes apartes normativos</w:t>
      </w:r>
      <w:r w:rsidRPr="00E2397D">
        <w:rPr>
          <w:rFonts w:ascii="Verdana" w:hAnsi="Verdana"/>
          <w:vertAlign w:val="superscript"/>
        </w:rPr>
        <w:footnoteReference w:id="26"/>
      </w:r>
      <w:r w:rsidRPr="00E2397D">
        <w:rPr>
          <w:rFonts w:ascii="Verdana" w:hAnsi="Verdana"/>
        </w:rPr>
        <w:t>:</w:t>
      </w:r>
      <w:r w:rsidRPr="00E2397D">
        <w:t xml:space="preserve"> </w:t>
      </w:r>
    </w:p>
    <w:p w14:paraId="6B7573F4" w14:textId="77777777" w:rsidR="00916B6A" w:rsidRPr="00E2397D" w:rsidRDefault="00916B6A" w:rsidP="00916B6A">
      <w:pPr>
        <w:spacing w:after="0" w:line="276" w:lineRule="auto"/>
        <w:ind w:firstLine="709"/>
        <w:jc w:val="both"/>
      </w:pPr>
    </w:p>
    <w:p w14:paraId="13EE50E1" w14:textId="77777777" w:rsidR="00916B6A" w:rsidRPr="00E2397D" w:rsidRDefault="00916B6A" w:rsidP="00916B6A">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8A1772B" w14:textId="77777777" w:rsidR="00916B6A" w:rsidRPr="00E2397D" w:rsidRDefault="00916B6A" w:rsidP="00916B6A">
      <w:pPr>
        <w:spacing w:after="0" w:line="240" w:lineRule="auto"/>
        <w:ind w:left="709" w:right="709"/>
        <w:jc w:val="both"/>
        <w:rPr>
          <w:rFonts w:ascii="Verdana" w:eastAsia="Calibri" w:hAnsi="Verdana" w:cs="Arial"/>
          <w:sz w:val="20"/>
          <w:szCs w:val="20"/>
        </w:rPr>
      </w:pPr>
    </w:p>
    <w:p w14:paraId="256585A3" w14:textId="77777777" w:rsidR="00916B6A" w:rsidRPr="00E2397D" w:rsidRDefault="00916B6A" w:rsidP="00916B6A">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2C48FF6" w14:textId="77777777" w:rsidR="00916B6A" w:rsidRPr="00E2397D" w:rsidRDefault="00916B6A" w:rsidP="00916B6A">
      <w:pPr>
        <w:spacing w:after="0" w:line="276" w:lineRule="auto"/>
        <w:ind w:left="709" w:right="709"/>
        <w:jc w:val="both"/>
        <w:rPr>
          <w:rFonts w:ascii="Verdana" w:hAnsi="Verdana"/>
        </w:rPr>
      </w:pPr>
    </w:p>
    <w:p w14:paraId="09D3B0BB" w14:textId="77777777" w:rsidR="00916B6A" w:rsidRPr="00E2397D" w:rsidRDefault="00916B6A" w:rsidP="00916B6A">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E2397D">
        <w:rPr>
          <w:rFonts w:ascii="Verdana" w:eastAsia="Arial" w:hAnsi="Verdana" w:cs="Arial"/>
          <w:i/>
          <w:iCs/>
          <w:lang w:eastAsia="es-ES" w:bidi="es-ES"/>
        </w:rPr>
        <w:lastRenderedPageBreak/>
        <w:t xml:space="preserve">incorporó en la prohibición una categoría que no quedó comprendida expresa e inequívocamente en la ley”. </w:t>
      </w:r>
    </w:p>
    <w:p w14:paraId="192F99AD" w14:textId="77777777" w:rsidR="00916B6A" w:rsidRPr="00E2397D" w:rsidRDefault="00916B6A" w:rsidP="00916B6A">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52274DF9" w14:textId="77777777" w:rsidR="00916B6A" w:rsidRPr="00E2397D" w:rsidRDefault="00916B6A" w:rsidP="00916B6A">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48E73847" w14:textId="77777777" w:rsidR="00916B6A" w:rsidRDefault="00916B6A" w:rsidP="00916B6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w:t>
      </w:r>
      <w:r w:rsidRPr="00E2397D">
        <w:rPr>
          <w:rFonts w:ascii="Verdana" w:eastAsia="Times New Roman" w:hAnsi="Verdana" w:cs="Arial"/>
          <w:lang w:val="es-MX" w:eastAsia="es-CO"/>
        </w:rPr>
        <w:lastRenderedPageBreak/>
        <w:t>expuso anteriormente, para esta Agencia tal restricción también cobijaría a los contratos interadmin</w:t>
      </w:r>
      <w:r>
        <w:rPr>
          <w:rFonts w:ascii="Verdana" w:eastAsia="Times New Roman" w:hAnsi="Verdana" w:cs="Arial"/>
          <w:lang w:val="es-MX" w:eastAsia="es-CO"/>
        </w:rPr>
        <w:t xml:space="preserve">istrativos. </w:t>
      </w:r>
    </w:p>
    <w:p w14:paraId="6966C811" w14:textId="77777777" w:rsidR="00916B6A" w:rsidRDefault="00916B6A" w:rsidP="00916B6A">
      <w:pPr>
        <w:widowControl w:val="0"/>
        <w:autoSpaceDE w:val="0"/>
        <w:autoSpaceDN w:val="0"/>
        <w:spacing w:after="120" w:line="276" w:lineRule="auto"/>
        <w:ind w:firstLine="709"/>
        <w:jc w:val="both"/>
        <w:rPr>
          <w:rFonts w:ascii="Verdana" w:eastAsia="Calibri" w:hAnsi="Verdana" w:cs="Arial"/>
          <w:lang w:eastAsia="es-ES" w:bidi="es-ES"/>
        </w:rPr>
      </w:pPr>
      <w:bookmarkStart w:id="32" w:name="_Hlk77154098"/>
      <w:r w:rsidRPr="00896CCA">
        <w:rPr>
          <w:rFonts w:ascii="Verdana" w:eastAsia="Times New Roman" w:hAnsi="Verdana" w:cs="Arial"/>
          <w:bCs/>
          <w:lang w:val="es-ES" w:eastAsia="es-CO" w:bidi="es-ES"/>
        </w:rPr>
        <w:t>En todo caso</w:t>
      </w:r>
      <w:r w:rsidRPr="00896CCA">
        <w:rPr>
          <w:rFonts w:ascii="Verdana" w:eastAsia="Arial" w:hAnsi="Verdana" w:cs="Arial"/>
          <w:lang w:val="es-ES" w:eastAsia="es-ES" w:bidi="es-ES"/>
        </w:rPr>
        <w:t xml:space="preserve">, es importante resaltar que la Sala de Consulta y Servicio Civil del Consejo de Estado se ha pronunciado en el sentido de que </w:t>
      </w:r>
      <w:bookmarkStart w:id="33" w:name="_Hlk78820889"/>
      <w:r w:rsidRPr="00896CCA">
        <w:rPr>
          <w:rFonts w:ascii="Verdana" w:eastAsia="Arial" w:hAnsi="Verdana" w:cs="Arial"/>
          <w:lang w:val="es-ES" w:eastAsia="es-ES" w:bidi="es-ES"/>
        </w:rPr>
        <w:t>no se les aplica la restricción contemplada en el artículo 38 de la Ley de Garantías a los 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33"/>
      <w:r w:rsidRPr="00896CCA">
        <w:rPr>
          <w:rFonts w:ascii="Verdana" w:eastAsia="Arial" w:hAnsi="Verdana" w:cs="Arial"/>
          <w:vertAlign w:val="superscript"/>
          <w:lang w:val="es-ES" w:eastAsia="es-ES" w:bidi="es-ES"/>
        </w:rPr>
        <w:footnoteReference w:id="27"/>
      </w:r>
      <w:r w:rsidRPr="00896CCA">
        <w:rPr>
          <w:rFonts w:ascii="Verdana" w:eastAsia="Calibri" w:hAnsi="Verdana" w:cs="Arial"/>
          <w:lang w:eastAsia="es-ES" w:bidi="es-ES"/>
        </w:rPr>
        <w:t>.</w:t>
      </w:r>
      <w:bookmarkEnd w:id="32"/>
    </w:p>
    <w:p w14:paraId="182CF2BE" w14:textId="6212BAE3" w:rsidR="009816B6" w:rsidRDefault="00805B33" w:rsidP="009816B6">
      <w:pPr>
        <w:spacing w:before="120" w:after="120" w:line="276" w:lineRule="auto"/>
        <w:ind w:firstLine="708"/>
        <w:jc w:val="both"/>
        <w:rPr>
          <w:rFonts w:ascii="Verdana" w:eastAsia="Times New Roman" w:hAnsi="Verdana" w:cs="Times New Roman"/>
          <w:lang w:eastAsia="es-MX"/>
        </w:rPr>
      </w:pPr>
      <w:r w:rsidRPr="00805B33">
        <w:rPr>
          <w:rFonts w:ascii="Verdana" w:eastAsia="Times New Roman" w:hAnsi="Verdana" w:cs="Times New Roman"/>
          <w:lang w:eastAsia="es-MX"/>
        </w:rPr>
        <w:t>Finalmente y con el propósito de absolver</w:t>
      </w:r>
      <w:r w:rsidR="009816B6">
        <w:rPr>
          <w:rFonts w:ascii="Verdana" w:eastAsia="Times New Roman" w:hAnsi="Verdana" w:cs="Times New Roman"/>
          <w:lang w:eastAsia="es-MX"/>
        </w:rPr>
        <w:t xml:space="preserve"> sobre el particular de </w:t>
      </w:r>
      <w:r w:rsidRPr="00805B33">
        <w:rPr>
          <w:rFonts w:ascii="Verdana" w:eastAsia="Times New Roman" w:hAnsi="Verdana" w:cs="Times New Roman"/>
          <w:lang w:eastAsia="es-MX"/>
        </w:rPr>
        <w:t xml:space="preserve">la consulta, se debe partir de que las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entidad que maneje recursos públicos pueda usarlos para inclinar la balanza política.</w:t>
      </w:r>
    </w:p>
    <w:p w14:paraId="0B286BD7" w14:textId="77777777" w:rsidR="00B23ECB" w:rsidRPr="00B23ECB" w:rsidRDefault="00B23ECB" w:rsidP="00B23ECB">
      <w:pPr>
        <w:spacing w:before="120" w:after="120" w:line="276" w:lineRule="auto"/>
        <w:jc w:val="both"/>
        <w:rPr>
          <w:rFonts w:ascii="Verdana" w:eastAsia="Times New Roman" w:hAnsi="Verdana" w:cs="Arial"/>
          <w:lang w:eastAsia="x-none"/>
        </w:rPr>
      </w:pPr>
      <w:r w:rsidRPr="00B23ECB">
        <w:rPr>
          <w:rFonts w:ascii="Verdana" w:eastAsia="Times New Roman" w:hAnsi="Verdana" w:cs="Times New Roman"/>
          <w:lang w:val="es-ES" w:eastAsia="es-MX"/>
        </w:rPr>
        <w:t>L</w:t>
      </w:r>
      <w:r w:rsidRPr="00B23ECB">
        <w:rPr>
          <w:rFonts w:ascii="Verdana" w:eastAsia="Times New Roman" w:hAnsi="Verdana" w:cs="Times New Roman"/>
          <w:lang w:eastAsia="es-MX"/>
        </w:rPr>
        <w:t xml:space="preserve">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w:t>
      </w:r>
      <w:r w:rsidRPr="00B23ECB">
        <w:rPr>
          <w:rFonts w:ascii="Verdana" w:eastAsia="Times New Roman" w:hAnsi="Verdana" w:cs="Times New Roman"/>
          <w:i/>
          <w:iCs/>
          <w:lang w:eastAsia="es-MX"/>
        </w:rPr>
        <w:t>cualquier</w:t>
      </w:r>
      <w:r w:rsidRPr="00B23ECB">
        <w:rPr>
          <w:rFonts w:ascii="Verdana" w:eastAsia="Times New Roman" w:hAnsi="Verdana" w:cs="Times New Roman"/>
          <w:lang w:eastAsia="es-MX"/>
        </w:rPr>
        <w:t xml:space="preserve"> entidad que maneje recursos públicos pueda usarlos para inclinar la balanza política.</w:t>
      </w:r>
    </w:p>
    <w:p w14:paraId="28BDDAD8" w14:textId="77777777" w:rsidR="00B23ECB" w:rsidRPr="00B23ECB" w:rsidRDefault="00B23ECB" w:rsidP="00B23ECB">
      <w:pPr>
        <w:spacing w:before="120" w:after="120" w:line="276" w:lineRule="auto"/>
        <w:jc w:val="both"/>
        <w:rPr>
          <w:rFonts w:ascii="Verdana" w:eastAsia="Times New Roman" w:hAnsi="Verdana" w:cs="Times New Roman"/>
          <w:lang w:eastAsia="es-MX"/>
        </w:rPr>
      </w:pPr>
      <w:r w:rsidRPr="00B23ECB">
        <w:rPr>
          <w:rFonts w:ascii="Verdana" w:eastAsia="Times New Roman" w:hAnsi="Verdana" w:cs="Times New Roman"/>
          <w:lang w:eastAsia="es-MX"/>
        </w:rPr>
        <w:t>En este sentido, la Ley 996 de 2005, establece dos prohibiciones:</w:t>
      </w:r>
    </w:p>
    <w:p w14:paraId="16814BBD" w14:textId="77777777" w:rsidR="00B23ECB" w:rsidRPr="00B23ECB" w:rsidRDefault="00B23ECB" w:rsidP="00B23ECB">
      <w:pPr>
        <w:pStyle w:val="Prrafodelista"/>
        <w:numPr>
          <w:ilvl w:val="0"/>
          <w:numId w:val="14"/>
        </w:numPr>
        <w:spacing w:before="120" w:after="120" w:line="276" w:lineRule="auto"/>
        <w:jc w:val="both"/>
        <w:rPr>
          <w:rFonts w:ascii="Verdana" w:eastAsia="Times New Roman" w:hAnsi="Verdana" w:cs="Times New Roman"/>
          <w:lang w:eastAsia="es-MX"/>
        </w:rPr>
      </w:pPr>
      <w:r w:rsidRPr="00B23ECB">
        <w:rPr>
          <w:rFonts w:ascii="Verdana" w:eastAsia="Times New Roman" w:hAnsi="Verdana" w:cs="Times New Roman"/>
          <w:lang w:eastAsia="es-MX"/>
        </w:rPr>
        <w:t xml:space="preserve">de un lado, </w:t>
      </w:r>
      <w:r w:rsidRPr="00B23ECB">
        <w:rPr>
          <w:rFonts w:ascii="Verdana" w:hAnsi="Verdana"/>
        </w:rPr>
        <w:t xml:space="preserve">de un lado, la prohibición del artículo 33, donde se prohíbe la contratación directa (salvo sus excepciones), durante los cuatro meses </w:t>
      </w:r>
      <w:r w:rsidRPr="00B23ECB">
        <w:rPr>
          <w:rFonts w:ascii="Verdana" w:hAnsi="Verdana"/>
        </w:rPr>
        <w:lastRenderedPageBreak/>
        <w:t xml:space="preserve">previos a la elección presidencial. Esta restricción aplica a "todos los entes del Estado". La Personería Municipal, al ser un órgano autónomo de control se entiende incorporada en el vocablo “Entes del Estado”, por tanto, está sujeta a esta restricción. </w:t>
      </w:r>
    </w:p>
    <w:p w14:paraId="79435F22" w14:textId="77777777" w:rsidR="00B23ECB" w:rsidRPr="00B23ECB" w:rsidRDefault="00B23ECB" w:rsidP="00B23ECB">
      <w:pPr>
        <w:pStyle w:val="Prrafodelista"/>
        <w:numPr>
          <w:ilvl w:val="0"/>
          <w:numId w:val="14"/>
        </w:numPr>
        <w:spacing w:before="120" w:after="120" w:line="276" w:lineRule="auto"/>
        <w:jc w:val="both"/>
        <w:rPr>
          <w:rFonts w:ascii="Verdana" w:eastAsia="Times New Roman" w:hAnsi="Verdana" w:cs="Times New Roman"/>
          <w:lang w:eastAsia="es-MX"/>
        </w:rPr>
      </w:pPr>
      <w:r w:rsidRPr="00B23ECB">
        <w:rPr>
          <w:rFonts w:ascii="Verdana" w:hAnsi="Verdana"/>
        </w:rPr>
        <w:t xml:space="preserve"> De otro lado, se encuentra la prohibición del Parágrafo del Artículo 38, allí se prohíbe la celebración de convenios interadministrativos que ejecuten recursos públicos durante los cuatro meses previos a cualquier tipo de elección nacional o territorial. Esta prohibición se dirige explícitamente a "Gobernadores, Alcaldes Municipales y/o Distritales, Secretarios, Gerentes y directores de Entidades Descentralizadas". Se observa que los personeros no se encuentran incluidos en esta lista taxativa, por lo que dicha prohibición no recae en el cargo objeto de la consulta. No obstante, en cada caso deberá determinarse la otra parte del convenio, pues si no se podrá celebrar convenios con los sujetos a los cuales se le aplica la restricción.</w:t>
      </w:r>
    </w:p>
    <w:p w14:paraId="5CF3AC5E" w14:textId="09B1077D" w:rsidR="00B23ECB" w:rsidRDefault="00B23ECB" w:rsidP="00B23ECB">
      <w:pPr>
        <w:spacing w:before="120" w:after="120" w:line="276" w:lineRule="auto"/>
        <w:ind w:firstLine="708"/>
        <w:jc w:val="both"/>
        <w:rPr>
          <w:rFonts w:ascii="Verdana" w:eastAsia="Times New Roman" w:hAnsi="Verdana" w:cs="Arial"/>
          <w:lang w:eastAsia="x-none"/>
        </w:rPr>
      </w:pPr>
      <w:r>
        <w:rPr>
          <w:rFonts w:ascii="Verdana" w:eastAsia="Calibri" w:hAnsi="Verdana" w:cs="Arial"/>
          <w:lang w:eastAsia="es-ES"/>
        </w:rPr>
        <w:t>Fi</w:t>
      </w:r>
      <w:r w:rsidRPr="00B23ECB">
        <w:rPr>
          <w:rFonts w:ascii="Verdana" w:eastAsia="Calibri" w:hAnsi="Verdana" w:cs="Arial"/>
          <w:lang w:eastAsia="es-ES"/>
        </w:rPr>
        <w:t>nalmente</w:t>
      </w:r>
      <w:r w:rsidRPr="00B23ECB">
        <w:rPr>
          <w:rFonts w:ascii="Verdana" w:eastAsia="Calibri" w:hAnsi="Verdana" w:cs="Times New Roman"/>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688C408" w14:textId="61A026CB" w:rsidR="00871B59" w:rsidRPr="009816B6" w:rsidRDefault="00916B6A" w:rsidP="009816B6">
      <w:pPr>
        <w:spacing w:before="120" w:after="120" w:line="276" w:lineRule="auto"/>
        <w:ind w:firstLine="708"/>
        <w:jc w:val="both"/>
        <w:rPr>
          <w:rFonts w:ascii="Verdana" w:eastAsia="Times New Roman" w:hAnsi="Verdana" w:cs="Arial"/>
          <w:lang w:eastAsia="x-none"/>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7D5526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DC8298B"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0ADA1ADE" w14:textId="77777777" w:rsidTr="002607A7">
        <w:trPr>
          <w:trHeight w:val="870"/>
        </w:trPr>
        <w:tc>
          <w:tcPr>
            <w:tcW w:w="8647" w:type="dxa"/>
          </w:tcPr>
          <w:p w14:paraId="211C9473" w14:textId="77777777" w:rsidR="009E35F8" w:rsidRPr="00377B05" w:rsidRDefault="009E35F8" w:rsidP="009E35F8">
            <w:pPr>
              <w:widowControl w:val="0"/>
              <w:numPr>
                <w:ilvl w:val="0"/>
                <w:numId w:val="8"/>
              </w:numPr>
              <w:autoSpaceDE w:val="0"/>
              <w:autoSpaceDN w:val="0"/>
              <w:spacing w:line="276" w:lineRule="auto"/>
              <w:jc w:val="both"/>
              <w:rPr>
                <w:rFonts w:ascii="Verdana" w:hAnsi="Verdana" w:cs="Arial"/>
                <w:lang w:val="es-ES"/>
              </w:rPr>
            </w:pPr>
            <w:r w:rsidRPr="00377B05">
              <w:rPr>
                <w:rFonts w:ascii="Verdana" w:hAnsi="Verdana" w:cs="Arial"/>
                <w:lang w:val="es-ES"/>
              </w:rPr>
              <w:lastRenderedPageBreak/>
              <w:t>Ley 996 de 2005: artículos 33 y 38 parágrafo.</w:t>
            </w:r>
          </w:p>
          <w:p w14:paraId="6077CC94" w14:textId="77777777" w:rsidR="009E35F8" w:rsidRDefault="009E35F8" w:rsidP="009E35F8">
            <w:pPr>
              <w:widowControl w:val="0"/>
              <w:numPr>
                <w:ilvl w:val="0"/>
                <w:numId w:val="8"/>
              </w:numPr>
              <w:autoSpaceDE w:val="0"/>
              <w:autoSpaceDN w:val="0"/>
              <w:spacing w:line="276" w:lineRule="auto"/>
              <w:jc w:val="both"/>
              <w:rPr>
                <w:rFonts w:ascii="Verdana" w:hAnsi="Verdana" w:cs="Arial"/>
                <w:lang w:val="es-ES"/>
              </w:rPr>
            </w:pPr>
            <w:r w:rsidRPr="00377B05">
              <w:rPr>
                <w:rFonts w:ascii="Verdana" w:hAnsi="Verdana" w:cs="Arial"/>
                <w:lang w:val="es-ES"/>
              </w:rPr>
              <w:t xml:space="preserve">Ley 1150 de 2007, Artículo 2, numeral 4. </w:t>
            </w:r>
          </w:p>
          <w:p w14:paraId="6EF02A92"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C-233 de 4 de abril de 2002, </w:t>
            </w:r>
            <w:proofErr w:type="spellStart"/>
            <w:r w:rsidRPr="0092765E">
              <w:rPr>
                <w:rFonts w:ascii="Verdana" w:hAnsi="Verdana" w:cs="Arial"/>
                <w:lang w:val="es-ES"/>
              </w:rPr>
              <w:t>Exp</w:t>
            </w:r>
            <w:proofErr w:type="spellEnd"/>
            <w:r w:rsidRPr="0092765E">
              <w:rPr>
                <w:rFonts w:ascii="Verdana" w:hAnsi="Verdana" w:cs="Arial"/>
                <w:lang w:val="es-ES"/>
              </w:rPr>
              <w:t>. D-3704.</w:t>
            </w:r>
          </w:p>
          <w:p w14:paraId="0E9E16F5"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61E3687A"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6C2C085A"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CRF-001 de 9 de julio de 2003.</w:t>
            </w:r>
          </w:p>
          <w:p w14:paraId="70496472"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4A9F5E14"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5EE8F80F"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Corte Constitucional, Sentencia C-1153 de 11 de noviembre de 2005, M.P. Marco Gerardo Monroy Cabra.</w:t>
            </w:r>
          </w:p>
          <w:p w14:paraId="0942DC12" w14:textId="6DA13962" w:rsidR="009E35F8" w:rsidRPr="00AE10E4" w:rsidRDefault="009E35F8" w:rsidP="00AE10E4">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r w:rsidR="00AE10E4">
              <w:rPr>
                <w:rFonts w:ascii="Verdana" w:hAnsi="Verdana" w:cs="Arial"/>
                <w:lang w:val="es-ES"/>
              </w:rPr>
              <w:t xml:space="preserve"> </w:t>
            </w:r>
            <w:proofErr w:type="spellStart"/>
            <w:r w:rsidR="00AE10E4">
              <w:rPr>
                <w:rFonts w:ascii="Verdana" w:hAnsi="Verdana" w:cs="Arial"/>
                <w:lang w:val="es-ES"/>
              </w:rPr>
              <w:t>Comunicació</w:t>
            </w:r>
            <w:proofErr w:type="spellEnd"/>
          </w:p>
          <w:p w14:paraId="003563CD"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1B42535E"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5A84F0D9"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3 de diciembre de 2007, </w:t>
            </w:r>
            <w:proofErr w:type="spellStart"/>
            <w:r w:rsidRPr="0092765E">
              <w:rPr>
                <w:rFonts w:ascii="Verdana" w:hAnsi="Verdana" w:cs="Arial"/>
                <w:lang w:val="es-ES"/>
              </w:rPr>
              <w:t>Exp</w:t>
            </w:r>
            <w:proofErr w:type="spellEnd"/>
            <w:r w:rsidRPr="0092765E">
              <w:rPr>
                <w:rFonts w:ascii="Verdana" w:hAnsi="Verdana" w:cs="Arial"/>
                <w:lang w:val="es-ES"/>
              </w:rPr>
              <w:t>. 24.715, 25.206, 25.409, 24.524, 27.834, 25.410, 26.105, 28.244, 31.447 (acumulados).</w:t>
            </w:r>
          </w:p>
          <w:p w14:paraId="3918A9CC"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24 de julio de 2013, Rad. 2166, C.P. Álvaro Namén Vargas.</w:t>
            </w:r>
          </w:p>
          <w:p w14:paraId="0236BF58"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septiembre de 2013, Rad. 2168, C.P. Álvaro Namén Vargas.</w:t>
            </w:r>
          </w:p>
          <w:p w14:paraId="40E53CF3"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17 de febrero de 2015, Rad. 2269, C.P. William Zambrano Cetina.</w:t>
            </w:r>
          </w:p>
          <w:p w14:paraId="3D449377" w14:textId="356019EF" w:rsidR="00871B59" w:rsidRPr="00AC742F" w:rsidRDefault="009E35F8" w:rsidP="009E35F8">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92765E">
              <w:rPr>
                <w:rFonts w:ascii="Verdana" w:hAnsi="Verdana" w:cs="Arial"/>
                <w:lang w:val="es-ES"/>
              </w:rPr>
              <w:t xml:space="preserve">Consejo de Estado, Sala de Consulta y Servicio Civil, Concepto de 8 </w:t>
            </w:r>
            <w:r w:rsidRPr="0092765E">
              <w:rPr>
                <w:rFonts w:ascii="Verdana" w:hAnsi="Verdana" w:cs="Arial"/>
                <w:lang w:val="es-ES"/>
              </w:rPr>
              <w:lastRenderedPageBreak/>
              <w:t>de mayo de 2018, Rad. 2382, C.P. Álvaro Namén Vargas.</w:t>
            </w:r>
          </w:p>
        </w:tc>
      </w:tr>
    </w:tbl>
    <w:p w14:paraId="6C4579EF"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63A402"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58DE972C" w14:textId="0E599B92" w:rsidR="009E35F8" w:rsidRPr="009E35F8" w:rsidRDefault="009E35F8" w:rsidP="009E35F8">
      <w:pPr>
        <w:widowControl w:val="0"/>
        <w:autoSpaceDE w:val="0"/>
        <w:autoSpaceDN w:val="0"/>
        <w:spacing w:after="0" w:line="276" w:lineRule="auto"/>
        <w:jc w:val="both"/>
        <w:rPr>
          <w:rFonts w:ascii="Verdana" w:hAnsi="Verdana" w:cs="Arial"/>
          <w:color w:val="000000" w:themeColor="text1"/>
          <w:shd w:val="clear" w:color="auto" w:fill="FFFFFF"/>
          <w:lang w:val="es-ES"/>
        </w:rPr>
      </w:pPr>
      <w:r w:rsidRPr="009E35F8">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C-163 del 29 de marzo de 2022, C-180 del 21 de marzo de 2025, C-317 del 25 de abril de 2025, C-510 del 4 de junio de 2025, C -635 del 27 de junio de 2025 y C–750 de 17 de julio 2025, </w:t>
      </w:r>
      <w:r>
        <w:rPr>
          <w:rFonts w:ascii="Verdana" w:hAnsi="Verdana" w:cs="Arial"/>
          <w:shd w:val="clear" w:color="auto" w:fill="FFFFFF"/>
        </w:rPr>
        <w:t xml:space="preserve">C-1185 de 2025, </w:t>
      </w:r>
      <w:r w:rsidRPr="009E35F8">
        <w:rPr>
          <w:rFonts w:ascii="Verdana" w:eastAsia="Aptos" w:hAnsi="Verdana" w:cs="Arial"/>
          <w:shd w:val="clear" w:color="auto" w:fill="FFFFFF"/>
          <w:lang w:val="es-ES"/>
        </w:rPr>
        <w:t xml:space="preserve">entre otros. </w:t>
      </w:r>
      <w:r w:rsidRPr="009E35F8">
        <w:rPr>
          <w:rFonts w:ascii="Verdana" w:eastAsia="Calibri" w:hAnsi="Verdana" w:cs="Arial"/>
          <w:lang w:val="es-ES" w:eastAsia="es-ES_tradnl"/>
        </w:rPr>
        <w:t>Estos</w:t>
      </w:r>
      <w:r w:rsidRPr="009E35F8">
        <w:rPr>
          <w:rFonts w:ascii="Verdana" w:hAnsi="Verdana"/>
        </w:rPr>
        <w:t xml:space="preserve"> y otros conceptos se encuentran disponibles para consulta en el Sistema de relatoría de la Agencia, al cual se puede acceder a través del siguiente enlace:</w:t>
      </w:r>
      <w:r w:rsidRPr="009E35F8">
        <w:rPr>
          <w:rFonts w:ascii="Verdana" w:hAnsi="Verdana" w:cs="Arial"/>
          <w:shd w:val="clear" w:color="auto" w:fill="FFFFFF"/>
          <w:lang w:val="es-ES"/>
        </w:rPr>
        <w:t xml:space="preserve"> </w:t>
      </w:r>
      <w:r w:rsidRPr="009E35F8">
        <w:rPr>
          <w:rFonts w:ascii="Verdana" w:hAnsi="Verdana" w:cs="Arial"/>
          <w:color w:val="0563C1" w:themeColor="hyperlink"/>
          <w:u w:val="single"/>
          <w:shd w:val="clear" w:color="auto" w:fill="FFFFFF"/>
          <w:lang w:val="es-ES"/>
        </w:rPr>
        <w:t>https://relatoria.colombiacompra.gov.co /</w:t>
      </w:r>
      <w:proofErr w:type="spellStart"/>
      <w:r w:rsidRPr="009E35F8">
        <w:rPr>
          <w:rFonts w:ascii="Verdana" w:hAnsi="Verdana" w:cs="Arial"/>
          <w:color w:val="0563C1" w:themeColor="hyperlink"/>
          <w:u w:val="single"/>
          <w:shd w:val="clear" w:color="auto" w:fill="FFFFFF"/>
          <w:lang w:val="es-ES"/>
        </w:rPr>
        <w:t>busqueda</w:t>
      </w:r>
      <w:proofErr w:type="spellEnd"/>
      <w:r w:rsidRPr="009E35F8">
        <w:rPr>
          <w:rFonts w:ascii="Verdana" w:hAnsi="Verdana" w:cs="Arial"/>
          <w:color w:val="0563C1" w:themeColor="hyperlink"/>
          <w:u w:val="single"/>
          <w:shd w:val="clear" w:color="auto" w:fill="FFFFFF"/>
          <w:lang w:val="es-ES"/>
        </w:rPr>
        <w:t>/conceptos</w:t>
      </w:r>
    </w:p>
    <w:p w14:paraId="6E5A5B48" w14:textId="77777777" w:rsidR="009E35F8" w:rsidRPr="009E35F8" w:rsidRDefault="009E35F8" w:rsidP="009E35F8">
      <w:pPr>
        <w:pStyle w:val="Prrafodelista"/>
        <w:widowControl w:val="0"/>
        <w:autoSpaceDE w:val="0"/>
        <w:autoSpaceDN w:val="0"/>
        <w:spacing w:after="0" w:line="276" w:lineRule="auto"/>
        <w:ind w:left="6601"/>
        <w:jc w:val="both"/>
        <w:rPr>
          <w:rFonts w:ascii="Verdana" w:hAnsi="Verdana" w:cs="Arial"/>
          <w:color w:val="000000" w:themeColor="text1"/>
          <w:shd w:val="clear" w:color="auto" w:fill="FFFFFF"/>
        </w:rPr>
      </w:pPr>
    </w:p>
    <w:p w14:paraId="1B6CD35E" w14:textId="77777777" w:rsidR="009E35F8" w:rsidRPr="009E35F8" w:rsidRDefault="009E35F8" w:rsidP="009E35F8">
      <w:pPr>
        <w:widowControl w:val="0"/>
        <w:autoSpaceDE w:val="0"/>
        <w:autoSpaceDN w:val="0"/>
        <w:spacing w:after="0" w:line="276" w:lineRule="auto"/>
        <w:jc w:val="both"/>
        <w:rPr>
          <w:rFonts w:ascii="Verdana" w:hAnsi="Verdana"/>
        </w:rPr>
      </w:pPr>
      <w:r w:rsidRPr="009E35F8">
        <w:rPr>
          <w:rFonts w:ascii="Verdana" w:hAnsi="Verdana" w:cs="Arial"/>
          <w:color w:val="000000" w:themeColor="text1"/>
          <w:shd w:val="clear" w:color="auto" w:fill="FFFFFF"/>
        </w:rPr>
        <w:t xml:space="preserve">También, te contamos que ya publicamos la nueva </w:t>
      </w:r>
      <w:r w:rsidRPr="009E35F8">
        <w:rPr>
          <w:rFonts w:ascii="Verdana" w:hAnsi="Verdana" w:cs="Arial"/>
          <w:b/>
          <w:bCs/>
          <w:color w:val="000000" w:themeColor="text1"/>
          <w:shd w:val="clear" w:color="auto" w:fill="FFFFFF"/>
        </w:rPr>
        <w:t>Guía de Contratación Pública Sostenible y Socialmente Responsable</w:t>
      </w:r>
      <w:r w:rsidRPr="009E35F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9E35F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9E35F8">
        <w:rPr>
          <w:rFonts w:ascii="Verdana" w:hAnsi="Verdana"/>
        </w:rPr>
        <w:t>.</w:t>
      </w:r>
    </w:p>
    <w:p w14:paraId="38F57A84" w14:textId="77777777" w:rsidR="009E35F8" w:rsidRPr="009E35F8" w:rsidRDefault="009E35F8" w:rsidP="009E35F8">
      <w:pPr>
        <w:widowControl w:val="0"/>
        <w:autoSpaceDE w:val="0"/>
        <w:autoSpaceDN w:val="0"/>
        <w:spacing w:after="0" w:line="276" w:lineRule="auto"/>
        <w:jc w:val="both"/>
        <w:rPr>
          <w:rFonts w:ascii="Verdana" w:hAnsi="Verdana"/>
        </w:rPr>
      </w:pPr>
    </w:p>
    <w:p w14:paraId="3C69EABA" w14:textId="77777777" w:rsidR="009E35F8" w:rsidRPr="009E35F8" w:rsidRDefault="009E35F8" w:rsidP="009E35F8">
      <w:pPr>
        <w:widowControl w:val="0"/>
        <w:autoSpaceDE w:val="0"/>
        <w:autoSpaceDN w:val="0"/>
        <w:spacing w:after="0" w:line="276" w:lineRule="auto"/>
        <w:jc w:val="both"/>
        <w:rPr>
          <w:rFonts w:ascii="Verdana" w:hAnsi="Verdana" w:cs="Arial"/>
          <w:lang w:val="es-ES_tradnl"/>
        </w:rPr>
      </w:pPr>
      <w:r w:rsidRPr="009E35F8">
        <w:rPr>
          <w:rFonts w:ascii="Verdana" w:hAnsi="Verdana" w:cs="Arial"/>
        </w:rPr>
        <w:lastRenderedPageBreak/>
        <w:t xml:space="preserve">Este concepto tiene el alcance previsto en el artículo 28 del Código de Procedimiento Administrativo y de lo Contencioso Administrativo </w:t>
      </w:r>
      <w:r w:rsidRPr="009E35F8">
        <w:rPr>
          <w:rFonts w:ascii="Verdana" w:hAnsi="Verdana" w:cs="Arial"/>
          <w:lang w:val="es-ES_tradnl"/>
        </w:rPr>
        <w:t>y las expresiones aquí utilizadas con mayúscula inicial deben ser entendidas con el significado que les otorga el artículo 2.2.1.1.1.3.1. del Decreto 1082 de 2015.</w:t>
      </w:r>
    </w:p>
    <w:p w14:paraId="465EB411" w14:textId="77777777" w:rsidR="009E35F8" w:rsidRPr="009E35F8" w:rsidRDefault="009E35F8" w:rsidP="009E35F8">
      <w:pPr>
        <w:pStyle w:val="Prrafodelista"/>
        <w:spacing w:after="0" w:line="276" w:lineRule="auto"/>
        <w:ind w:left="6601"/>
        <w:rPr>
          <w:rFonts w:ascii="Verdana" w:eastAsia="Times New Roman" w:hAnsi="Verdana" w:cs="Arial"/>
          <w:lang w:eastAsia="es-CO"/>
        </w:rPr>
      </w:pPr>
    </w:p>
    <w:p w14:paraId="3A2EC97E" w14:textId="77777777" w:rsidR="009E35F8" w:rsidRPr="009E35F8" w:rsidRDefault="009E35F8" w:rsidP="009E35F8">
      <w:pPr>
        <w:spacing w:after="0" w:line="276" w:lineRule="auto"/>
        <w:rPr>
          <w:rFonts w:ascii="Verdana" w:hAnsi="Verdana"/>
          <w:noProof/>
        </w:rPr>
      </w:pPr>
      <w:r w:rsidRPr="009E35F8">
        <w:rPr>
          <w:rFonts w:ascii="Verdana" w:eastAsia="Times New Roman" w:hAnsi="Verdana" w:cs="Arial"/>
          <w:lang w:eastAsia="es-CO"/>
        </w:rPr>
        <w:t>Atentamente,</w:t>
      </w:r>
      <w:r w:rsidRPr="009E35F8">
        <w:rPr>
          <w:rFonts w:ascii="Verdana" w:hAnsi="Verdana" w:cs="Arial"/>
          <w:lang w:eastAsia="es-CO"/>
        </w:rPr>
        <w:t xml:space="preserve"> </w:t>
      </w:r>
    </w:p>
    <w:p w14:paraId="2C5BCD45" w14:textId="77777777" w:rsidR="009E35F8" w:rsidRDefault="009E35F8" w:rsidP="009E35F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1552B358" w14:textId="77777777" w:rsidR="009E35F8" w:rsidRPr="00593A5F" w:rsidRDefault="009E35F8" w:rsidP="009E35F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4997C70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3454CE2F" w14:textId="7A8C0AEC" w:rsidR="00871B59" w:rsidRPr="00593A5F" w:rsidRDefault="00A47E64" w:rsidP="00871B59">
      <w:pPr>
        <w:spacing w:line="276" w:lineRule="auto"/>
        <w:jc w:val="center"/>
        <w:rPr>
          <w:rFonts w:ascii="Verdana" w:hAnsi="Verdana" w:cs="Arial"/>
          <w:color w:val="000000"/>
          <w:lang w:val="es-ES_tradnl" w:eastAsia="es-CO"/>
        </w:rPr>
      </w:pPr>
      <w:r>
        <w:rPr>
          <w:noProof/>
        </w:rPr>
        <w:drawing>
          <wp:inline distT="0" distB="0" distL="0" distR="0" wp14:anchorId="698BFB24" wp14:editId="3A2E7436">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p w14:paraId="726E1A0F" w14:textId="77777777" w:rsidR="00871B59" w:rsidRPr="00593A5F" w:rsidRDefault="00871B59" w:rsidP="00871B59">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9E35F8" w:rsidRPr="00F3272B" w14:paraId="2913D350" w14:textId="77777777" w:rsidTr="00FB1A13">
        <w:trPr>
          <w:trHeight w:val="315"/>
        </w:trPr>
        <w:tc>
          <w:tcPr>
            <w:tcW w:w="893" w:type="dxa"/>
            <w:vAlign w:val="center"/>
            <w:hideMark/>
          </w:tcPr>
          <w:p w14:paraId="5A46FECB" w14:textId="77777777" w:rsidR="009E35F8" w:rsidRPr="00F3272B" w:rsidRDefault="009E35F8" w:rsidP="00FB1A13">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70A99985" w14:textId="77777777" w:rsidR="009E35F8" w:rsidRPr="00F3272B" w:rsidRDefault="009E35F8" w:rsidP="00FB1A13">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3573731C" w14:textId="77777777" w:rsidR="009E35F8" w:rsidRPr="00F3272B" w:rsidRDefault="009E35F8" w:rsidP="00FB1A13">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9E35F8" w:rsidRPr="00F3272B" w14:paraId="67D00691" w14:textId="77777777" w:rsidTr="00FB1A13">
        <w:trPr>
          <w:trHeight w:val="330"/>
        </w:trPr>
        <w:tc>
          <w:tcPr>
            <w:tcW w:w="893" w:type="dxa"/>
            <w:vAlign w:val="center"/>
            <w:hideMark/>
          </w:tcPr>
          <w:p w14:paraId="789E6B3E" w14:textId="77777777" w:rsidR="009E35F8" w:rsidRPr="00F3272B" w:rsidRDefault="009E35F8" w:rsidP="00FB1A13">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8518CA" w14:textId="77777777" w:rsidR="009E35F8" w:rsidRPr="00F3272B" w:rsidRDefault="009E35F8" w:rsidP="00FB1A13">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3D14F38C" w14:textId="77777777" w:rsidR="009E35F8" w:rsidRPr="00F3272B" w:rsidRDefault="009E35F8" w:rsidP="00FB1A13">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9E35F8" w:rsidRPr="00F3272B" w14:paraId="6712B2C7" w14:textId="77777777" w:rsidTr="00FB1A13">
        <w:trPr>
          <w:trHeight w:val="300"/>
        </w:trPr>
        <w:tc>
          <w:tcPr>
            <w:tcW w:w="893" w:type="dxa"/>
            <w:vAlign w:val="center"/>
          </w:tcPr>
          <w:p w14:paraId="3298D82C" w14:textId="77777777" w:rsidR="009E35F8" w:rsidRPr="00F3272B" w:rsidRDefault="009E35F8" w:rsidP="00FB1A13">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A9CE40" w14:textId="77777777" w:rsidR="009E35F8" w:rsidRPr="00F3272B" w:rsidRDefault="009E35F8" w:rsidP="00FB1A13">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095A44EB" w14:textId="77777777" w:rsidR="009E35F8" w:rsidRPr="00F3272B" w:rsidRDefault="009E35F8" w:rsidP="00FB1A13">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04EAA777" w14:textId="77777777" w:rsidR="5D8505AD" w:rsidRPr="00871B59" w:rsidRDefault="5D8505AD" w:rsidP="00871B59"/>
    <w:sectPr w:rsidR="5D8505AD" w:rsidRPr="00871B59" w:rsidSect="00E45F4B">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12CD0" w14:textId="77777777" w:rsidR="00C419AC" w:rsidRDefault="00C419AC" w:rsidP="00B30448">
      <w:pPr>
        <w:spacing w:after="0" w:line="240" w:lineRule="auto"/>
      </w:pPr>
      <w:r>
        <w:separator/>
      </w:r>
    </w:p>
  </w:endnote>
  <w:endnote w:type="continuationSeparator" w:id="0">
    <w:p w14:paraId="7ADF682D" w14:textId="77777777" w:rsidR="00C419AC" w:rsidRDefault="00C419AC" w:rsidP="00B30448">
      <w:pPr>
        <w:spacing w:after="0" w:line="240" w:lineRule="auto"/>
      </w:pPr>
      <w:r>
        <w:continuationSeparator/>
      </w:r>
    </w:p>
  </w:endnote>
  <w:endnote w:type="continuationNotice" w:id="1">
    <w:p w14:paraId="5D0F4ADF" w14:textId="77777777" w:rsidR="00C419AC" w:rsidRDefault="00C419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F1ADC" w14:textId="77777777" w:rsidR="000849D5" w:rsidRDefault="000849D5" w:rsidP="000849D5">
    <w:pPr>
      <w:spacing w:after="0"/>
      <w:rPr>
        <w:rFonts w:ascii="Verdana" w:hAnsi="Verdana"/>
        <w:b/>
        <w:bCs/>
        <w:sz w:val="20"/>
        <w:szCs w:val="20"/>
      </w:rPr>
    </w:pPr>
  </w:p>
  <w:p w14:paraId="6DD648B4"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0B018FA"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0EBB04C4"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37B293CB"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8DC9C40" w14:textId="77777777" w:rsidR="000849D5" w:rsidRPr="007D04B2" w:rsidRDefault="000849D5" w:rsidP="000849D5">
    <w:pPr>
      <w:pStyle w:val="Piedepgina"/>
    </w:pPr>
  </w:p>
  <w:p w14:paraId="2263245C"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C83E1" w14:textId="77777777" w:rsidR="00C419AC" w:rsidRDefault="00C419AC" w:rsidP="00B30448">
      <w:pPr>
        <w:spacing w:after="0" w:line="240" w:lineRule="auto"/>
      </w:pPr>
      <w:r>
        <w:separator/>
      </w:r>
    </w:p>
  </w:footnote>
  <w:footnote w:type="continuationSeparator" w:id="0">
    <w:p w14:paraId="7F3372AF" w14:textId="77777777" w:rsidR="00C419AC" w:rsidRDefault="00C419AC" w:rsidP="00B30448">
      <w:pPr>
        <w:spacing w:after="0" w:line="240" w:lineRule="auto"/>
      </w:pPr>
      <w:r>
        <w:continuationSeparator/>
      </w:r>
    </w:p>
  </w:footnote>
  <w:footnote w:type="continuationNotice" w:id="1">
    <w:p w14:paraId="355A6500" w14:textId="77777777" w:rsidR="00C419AC" w:rsidRDefault="00C419AC">
      <w:pPr>
        <w:spacing w:after="0" w:line="240" w:lineRule="auto"/>
      </w:pPr>
    </w:p>
  </w:footnote>
  <w:footnote w:id="2">
    <w:p w14:paraId="22E7DE0C"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343E424F" w14:textId="77777777" w:rsidR="00916B6A" w:rsidRDefault="00916B6A" w:rsidP="00916B6A">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9B20C5">
        <w:rPr>
          <w:rFonts w:ascii="Verdana" w:hAnsi="Verdana" w:cs="Arial"/>
          <w:sz w:val="16"/>
          <w:szCs w:val="16"/>
        </w:rPr>
        <w:t>.</w:t>
      </w:r>
    </w:p>
    <w:p w14:paraId="5382A345" w14:textId="77777777" w:rsidR="00916B6A" w:rsidRPr="009B20C5" w:rsidRDefault="00916B6A" w:rsidP="00916B6A">
      <w:pPr>
        <w:pStyle w:val="Textonotapie"/>
        <w:ind w:firstLine="709"/>
        <w:jc w:val="both"/>
        <w:rPr>
          <w:rFonts w:ascii="Verdana" w:hAnsi="Verdana" w:cs="Arial"/>
          <w:sz w:val="16"/>
          <w:szCs w:val="16"/>
        </w:rPr>
      </w:pPr>
    </w:p>
  </w:footnote>
  <w:footnote w:id="3">
    <w:p w14:paraId="55BE6E59"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059C35D6" w14:textId="77777777" w:rsidR="00916B6A" w:rsidRPr="009B20C5" w:rsidRDefault="00916B6A" w:rsidP="00916B6A">
      <w:pPr>
        <w:pStyle w:val="Textonotapie"/>
        <w:ind w:firstLine="709"/>
        <w:jc w:val="both"/>
        <w:rPr>
          <w:rFonts w:ascii="Verdana" w:hAnsi="Verdana" w:cs="Arial"/>
          <w:sz w:val="16"/>
          <w:szCs w:val="16"/>
        </w:rPr>
      </w:pPr>
    </w:p>
  </w:footnote>
  <w:footnote w:id="4">
    <w:p w14:paraId="54C9FCA0"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63ED7491" w14:textId="77777777" w:rsidR="00916B6A" w:rsidRPr="009B20C5" w:rsidRDefault="00916B6A" w:rsidP="00916B6A">
      <w:pPr>
        <w:pStyle w:val="Textonotapie"/>
        <w:ind w:firstLine="709"/>
        <w:jc w:val="both"/>
        <w:rPr>
          <w:rFonts w:ascii="Verdana" w:hAnsi="Verdana" w:cs="Arial"/>
          <w:sz w:val="16"/>
          <w:szCs w:val="16"/>
        </w:rPr>
      </w:pPr>
    </w:p>
  </w:footnote>
  <w:footnote w:id="5">
    <w:p w14:paraId="279DD4D7"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6CFB00BD" w14:textId="77777777" w:rsidR="00916B6A" w:rsidRPr="009B20C5" w:rsidRDefault="00916B6A" w:rsidP="00916B6A">
      <w:pPr>
        <w:pStyle w:val="Textonotapie"/>
        <w:ind w:firstLine="709"/>
        <w:jc w:val="both"/>
        <w:rPr>
          <w:rFonts w:ascii="Verdana" w:hAnsi="Verdana" w:cs="Arial"/>
          <w:sz w:val="16"/>
          <w:szCs w:val="16"/>
        </w:rPr>
      </w:pPr>
    </w:p>
  </w:footnote>
  <w:footnote w:id="6">
    <w:p w14:paraId="74583B2F" w14:textId="77777777" w:rsidR="00916B6A" w:rsidRDefault="00916B6A" w:rsidP="00916B6A">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7E362E5" w14:textId="77777777" w:rsidR="00916B6A" w:rsidRPr="009B20C5" w:rsidRDefault="00916B6A" w:rsidP="00916B6A">
      <w:pPr>
        <w:pStyle w:val="Textonotapie"/>
        <w:ind w:firstLine="709"/>
        <w:jc w:val="both"/>
        <w:rPr>
          <w:rFonts w:ascii="Verdana" w:hAnsi="Verdana" w:cs="Arial"/>
          <w:sz w:val="16"/>
          <w:szCs w:val="16"/>
          <w:lang w:val="es-CO"/>
        </w:rPr>
      </w:pPr>
    </w:p>
  </w:footnote>
  <w:footnote w:id="7">
    <w:p w14:paraId="6955EFE3"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20E0CBAE" w14:textId="77777777" w:rsidR="00916B6A" w:rsidRPr="009B20C5" w:rsidRDefault="00916B6A" w:rsidP="00916B6A">
      <w:pPr>
        <w:pStyle w:val="Textonotapie"/>
        <w:ind w:firstLine="709"/>
        <w:jc w:val="both"/>
        <w:rPr>
          <w:rFonts w:ascii="Verdana" w:hAnsi="Verdana" w:cs="Arial"/>
          <w:sz w:val="16"/>
          <w:szCs w:val="16"/>
        </w:rPr>
      </w:pPr>
    </w:p>
  </w:footnote>
  <w:footnote w:id="8">
    <w:p w14:paraId="6AF2A17C" w14:textId="77777777" w:rsidR="00916B6A" w:rsidRPr="009B20C5" w:rsidRDefault="00916B6A" w:rsidP="00916B6A">
      <w:pPr>
        <w:spacing w:after="0" w:line="240" w:lineRule="auto"/>
        <w:ind w:firstLine="709"/>
        <w:jc w:val="both"/>
        <w:rPr>
          <w:rFonts w:ascii="Verdana" w:eastAsia="Times New Roman"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4" w:name="33"/>
      <w:r>
        <w:rPr>
          <w:rFonts w:ascii="Verdana" w:eastAsia="Calibri" w:hAnsi="Verdana" w:cs="Arial"/>
          <w:bCs/>
          <w:color w:val="000000"/>
          <w:sz w:val="16"/>
          <w:szCs w:val="16"/>
        </w:rPr>
        <w:t>“</w:t>
      </w:r>
      <w:r w:rsidRPr="009B20C5">
        <w:rPr>
          <w:rFonts w:ascii="Verdana" w:eastAsia="Times New Roman" w:hAnsi="Verdana" w:cs="Arial"/>
          <w:sz w:val="16"/>
          <w:szCs w:val="16"/>
        </w:rPr>
        <w:t>Artículo 33. Restricciones a la contratación pública.</w:t>
      </w:r>
      <w:bookmarkEnd w:id="4"/>
      <w:r w:rsidRPr="009B20C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929F2A0" w14:textId="77777777" w:rsidR="00916B6A" w:rsidRPr="009B20C5" w:rsidRDefault="00916B6A" w:rsidP="00916B6A">
      <w:pPr>
        <w:spacing w:after="0" w:line="240" w:lineRule="auto"/>
        <w:ind w:firstLine="709"/>
        <w:jc w:val="both"/>
        <w:rPr>
          <w:rFonts w:ascii="Verdana" w:eastAsia="Times New Roman" w:hAnsi="Verdana" w:cs="Arial"/>
          <w:sz w:val="16"/>
          <w:szCs w:val="16"/>
        </w:rPr>
      </w:pPr>
      <w:r w:rsidRPr="009B20C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color w:val="000000"/>
          <w:sz w:val="16"/>
          <w:szCs w:val="16"/>
        </w:rPr>
        <w:t>”</w:t>
      </w:r>
      <w:r w:rsidRPr="009B20C5">
        <w:rPr>
          <w:rFonts w:ascii="Verdana" w:eastAsia="Times New Roman" w:hAnsi="Verdana" w:cs="Arial"/>
          <w:sz w:val="16"/>
          <w:szCs w:val="16"/>
        </w:rPr>
        <w:t>.</w:t>
      </w:r>
    </w:p>
  </w:footnote>
  <w:footnote w:id="9">
    <w:p w14:paraId="594DE992" w14:textId="77777777" w:rsidR="00916B6A" w:rsidRDefault="00916B6A" w:rsidP="00916B6A">
      <w:pPr>
        <w:pStyle w:val="NormalWeb"/>
        <w:spacing w:after="0"/>
        <w:ind w:firstLine="709"/>
        <w:jc w:val="both"/>
        <w:rPr>
          <w:rFonts w:ascii="Verdana" w:hAnsi="Verdana" w:cs="Arial"/>
          <w:sz w:val="16"/>
          <w:szCs w:val="16"/>
        </w:rPr>
      </w:pPr>
    </w:p>
    <w:p w14:paraId="1D067336" w14:textId="77777777" w:rsidR="00916B6A" w:rsidRPr="009B20C5" w:rsidRDefault="00916B6A" w:rsidP="00916B6A">
      <w:pPr>
        <w:pStyle w:val="NormalWeb"/>
        <w:spacing w:after="0"/>
        <w:ind w:firstLine="709"/>
        <w:jc w:val="both"/>
        <w:rPr>
          <w:rFonts w:ascii="Verdana" w:hAnsi="Verdana" w:cs="Arial"/>
          <w:sz w:val="16"/>
          <w:szCs w:val="16"/>
          <w:lang w:val="es-MX"/>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Pr>
          <w:rFonts w:ascii="Verdana" w:eastAsia="Calibri" w:hAnsi="Verdana" w:cs="Arial"/>
          <w:bCs/>
          <w:color w:val="000000"/>
          <w:sz w:val="16"/>
          <w:szCs w:val="16"/>
        </w:rPr>
        <w:t>“</w:t>
      </w:r>
      <w:bookmarkStart w:id="5" w:name="38"/>
      <w:r w:rsidRPr="009B20C5">
        <w:rPr>
          <w:rFonts w:ascii="Verdana" w:hAnsi="Verdana" w:cs="Arial"/>
          <w:sz w:val="16"/>
          <w:szCs w:val="16"/>
          <w:lang w:val="es-MX"/>
        </w:rPr>
        <w:t>Artículo 38. Prohibiciones para los servidores públicos. A los empleados del Estado les está prohibido:</w:t>
      </w:r>
      <w:bookmarkEnd w:id="5"/>
    </w:p>
    <w:p w14:paraId="1B7EAB0C" w14:textId="77777777" w:rsidR="00916B6A" w:rsidRPr="009B20C5" w:rsidRDefault="00916B6A" w:rsidP="00916B6A">
      <w:pPr>
        <w:pStyle w:val="NormalWeb"/>
        <w:spacing w:after="0"/>
        <w:ind w:firstLine="709"/>
        <w:jc w:val="both"/>
        <w:rPr>
          <w:rFonts w:ascii="Verdana" w:hAnsi="Verdana" w:cs="Arial"/>
          <w:sz w:val="16"/>
          <w:szCs w:val="16"/>
          <w:lang w:val="es-MX"/>
        </w:rPr>
      </w:pPr>
      <w:r w:rsidRPr="009B20C5">
        <w:rPr>
          <w:rFonts w:ascii="Verdana" w:hAnsi="Verdana" w:cs="Arial"/>
          <w:sz w:val="16"/>
          <w:szCs w:val="16"/>
          <w:lang w:val="es-MX"/>
        </w:rPr>
        <w:t>[…]</w:t>
      </w:r>
    </w:p>
    <w:p w14:paraId="6574A953" w14:textId="77777777" w:rsidR="00916B6A" w:rsidRDefault="00916B6A" w:rsidP="00916B6A">
      <w:pPr>
        <w:pStyle w:val="NormalWeb"/>
        <w:spacing w:after="0"/>
        <w:ind w:firstLine="709"/>
        <w:jc w:val="both"/>
        <w:rPr>
          <w:rFonts w:ascii="Verdana" w:hAnsi="Verdana" w:cs="Arial"/>
          <w:sz w:val="16"/>
          <w:szCs w:val="16"/>
          <w:lang w:val="es-MX"/>
        </w:rPr>
      </w:pPr>
      <w:r w:rsidRPr="009B20C5">
        <w:rPr>
          <w:rStyle w:val="baj"/>
          <w:rFonts w:ascii="Verdana" w:hAnsi="Verdana" w:cs="Arial"/>
          <w:sz w:val="16"/>
          <w:szCs w:val="16"/>
          <w:lang w:val="es-MX"/>
        </w:rPr>
        <w:t>Parágrafo.</w:t>
      </w:r>
      <w:r w:rsidRPr="009B20C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color w:val="000000"/>
          <w:sz w:val="16"/>
          <w:szCs w:val="16"/>
        </w:rPr>
        <w:t>”</w:t>
      </w:r>
      <w:r w:rsidRPr="009B20C5">
        <w:rPr>
          <w:rFonts w:ascii="Verdana" w:hAnsi="Verdana" w:cs="Arial"/>
          <w:sz w:val="16"/>
          <w:szCs w:val="16"/>
          <w:lang w:val="es-MX"/>
        </w:rPr>
        <w:t>.</w:t>
      </w:r>
    </w:p>
    <w:p w14:paraId="4790B74F" w14:textId="77777777" w:rsidR="00916B6A" w:rsidRPr="009B20C5" w:rsidRDefault="00916B6A" w:rsidP="00916B6A">
      <w:pPr>
        <w:pStyle w:val="NormalWeb"/>
        <w:spacing w:after="0"/>
        <w:ind w:firstLine="709"/>
        <w:jc w:val="both"/>
        <w:rPr>
          <w:rFonts w:ascii="Verdana" w:hAnsi="Verdana" w:cs="Arial"/>
          <w:sz w:val="16"/>
          <w:szCs w:val="16"/>
          <w:lang w:val="es-MX"/>
        </w:rPr>
      </w:pPr>
    </w:p>
  </w:footnote>
  <w:footnote w:id="10">
    <w:p w14:paraId="15D52998" w14:textId="77777777" w:rsidR="00916B6A" w:rsidRDefault="00916B6A" w:rsidP="00916B6A">
      <w:pPr>
        <w:spacing w:after="0" w:line="240" w:lineRule="auto"/>
        <w:ind w:left="100" w:right="244"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2DA9622B" w14:textId="77777777" w:rsidR="00916B6A" w:rsidRPr="009B20C5" w:rsidRDefault="00916B6A" w:rsidP="00916B6A">
      <w:pPr>
        <w:spacing w:after="0" w:line="240" w:lineRule="auto"/>
        <w:ind w:left="100" w:right="244" w:firstLine="709"/>
        <w:jc w:val="both"/>
        <w:rPr>
          <w:rFonts w:ascii="Verdana" w:hAnsi="Verdana" w:cs="Arial"/>
          <w:sz w:val="16"/>
          <w:szCs w:val="16"/>
          <w:lang w:val="es-ES"/>
        </w:rPr>
      </w:pPr>
    </w:p>
  </w:footnote>
  <w:footnote w:id="11">
    <w:p w14:paraId="5627DD11" w14:textId="77777777" w:rsidR="00916B6A" w:rsidRDefault="00916B6A" w:rsidP="00916B6A">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p>
    <w:p w14:paraId="5258C006" w14:textId="77777777" w:rsidR="00916B6A" w:rsidRPr="009B20C5" w:rsidRDefault="00916B6A" w:rsidP="00916B6A">
      <w:pPr>
        <w:pStyle w:val="Textonotapie"/>
        <w:ind w:right="51" w:firstLine="709"/>
        <w:jc w:val="both"/>
        <w:rPr>
          <w:rFonts w:ascii="Verdana" w:hAnsi="Verdana" w:cs="Arial"/>
          <w:sz w:val="16"/>
          <w:szCs w:val="16"/>
        </w:rPr>
      </w:pPr>
    </w:p>
  </w:footnote>
  <w:footnote w:id="12">
    <w:p w14:paraId="31CB80C5" w14:textId="77777777" w:rsidR="00916B6A" w:rsidRDefault="00916B6A" w:rsidP="00916B6A">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3" w:name="_Hlk74294506"/>
      <w:r w:rsidRPr="009B20C5">
        <w:rPr>
          <w:rFonts w:ascii="Verdana" w:hAnsi="Verdana" w:cs="Arial"/>
          <w:sz w:val="16"/>
          <w:szCs w:val="16"/>
          <w:lang w:val="es-ES"/>
        </w:rPr>
        <w:t xml:space="preserve">[26] </w:t>
      </w:r>
      <w:bookmarkEnd w:id="13"/>
      <w:r w:rsidRPr="009B20C5">
        <w:rPr>
          <w:rFonts w:ascii="Verdana" w:hAnsi="Verdana" w:cs="Arial"/>
          <w:sz w:val="16"/>
          <w:szCs w:val="16"/>
        </w:rPr>
        <w:t>Al respecto ver el concepto 1712 de 2 de febrero de 2006. Consejo de Estado Sala de Consulta y Servicio Civil.</w:t>
      </w:r>
    </w:p>
    <w:p w14:paraId="6717D031" w14:textId="77777777" w:rsidR="00916B6A" w:rsidRPr="009B20C5" w:rsidRDefault="00916B6A" w:rsidP="00916B6A">
      <w:pPr>
        <w:pStyle w:val="Textonotapie"/>
        <w:ind w:right="51" w:firstLine="709"/>
        <w:jc w:val="both"/>
        <w:rPr>
          <w:rFonts w:ascii="Verdana" w:hAnsi="Verdana" w:cs="Arial"/>
          <w:sz w:val="16"/>
          <w:szCs w:val="16"/>
        </w:rPr>
      </w:pPr>
    </w:p>
  </w:footnote>
  <w:footnote w:id="13">
    <w:p w14:paraId="179AE4B6"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2C44C5BA" w14:textId="77777777" w:rsidR="00916B6A" w:rsidRDefault="00916B6A" w:rsidP="00916B6A">
      <w:pPr>
        <w:pStyle w:val="Textonotapie"/>
        <w:ind w:firstLine="709"/>
        <w:jc w:val="both"/>
        <w:rPr>
          <w:rFonts w:ascii="Verdana" w:hAnsi="Verdana" w:cs="Arial"/>
          <w:sz w:val="16"/>
          <w:szCs w:val="16"/>
        </w:rPr>
      </w:pPr>
    </w:p>
    <w:p w14:paraId="65623F78" w14:textId="77777777" w:rsidR="00916B6A" w:rsidRPr="009B20C5" w:rsidRDefault="00916B6A" w:rsidP="00916B6A">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5">
    <w:p w14:paraId="0529C2B4" w14:textId="77777777" w:rsidR="00916B6A" w:rsidRDefault="00916B6A" w:rsidP="00916B6A">
      <w:pPr>
        <w:pStyle w:val="Textonotapie"/>
        <w:ind w:firstLine="709"/>
        <w:jc w:val="both"/>
        <w:rPr>
          <w:rFonts w:ascii="Verdana" w:hAnsi="Verdana" w:cs="Arial"/>
          <w:sz w:val="16"/>
          <w:szCs w:val="16"/>
        </w:rPr>
      </w:pPr>
    </w:p>
    <w:p w14:paraId="2E1F1A48" w14:textId="77777777" w:rsidR="00916B6A" w:rsidRDefault="00916B6A" w:rsidP="00916B6A">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p w14:paraId="7A3FFA0B" w14:textId="77777777" w:rsidR="00916B6A" w:rsidRPr="009B20C5" w:rsidRDefault="00916B6A" w:rsidP="00916B6A">
      <w:pPr>
        <w:pStyle w:val="Textonotapie"/>
        <w:ind w:firstLine="709"/>
        <w:jc w:val="both"/>
        <w:rPr>
          <w:rFonts w:ascii="Verdana" w:hAnsi="Verdana" w:cs="Arial"/>
          <w:sz w:val="16"/>
          <w:szCs w:val="16"/>
          <w:lang w:val="es-ES"/>
        </w:rPr>
      </w:pPr>
    </w:p>
  </w:footnote>
  <w:footnote w:id="16">
    <w:p w14:paraId="0368798D" w14:textId="77777777" w:rsidR="00916B6A" w:rsidRPr="009B20C5" w:rsidRDefault="00916B6A" w:rsidP="00916B6A">
      <w:pPr>
        <w:pStyle w:val="Textonotapie"/>
        <w:jc w:val="both"/>
        <w:rPr>
          <w:rFonts w:ascii="Verdana" w:hAnsi="Verdana" w:cs="Arial"/>
          <w:sz w:val="16"/>
          <w:szCs w:val="16"/>
        </w:rPr>
      </w:pPr>
    </w:p>
    <w:p w14:paraId="5A0BCBF2" w14:textId="77777777" w:rsidR="00916B6A" w:rsidRDefault="00916B6A" w:rsidP="00916B6A">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bookmarkStart w:id="18" w:name="_Hlk74297130"/>
      <w:r>
        <w:rPr>
          <w:rFonts w:ascii="Verdana" w:hAnsi="Verdana" w:cs="Arial"/>
          <w:sz w:val="16"/>
          <w:szCs w:val="16"/>
          <w:lang w:val="es-ES"/>
        </w:rPr>
        <w:t>“</w:t>
      </w:r>
      <w:bookmarkEnd w:id="18"/>
      <w:r w:rsidRPr="009B20C5">
        <w:rPr>
          <w:rFonts w:ascii="Verdana" w:hAnsi="Verdana" w:cs="Arial"/>
          <w:sz w:val="16"/>
          <w:szCs w:val="16"/>
          <w:lang w:val="es-ES"/>
        </w:rPr>
        <w:t>[…] A este respecto, cabe recordar que el artículo 860 del Código de Comercio regula la licitación en el derecho privado</w:t>
      </w:r>
      <w:r>
        <w:rPr>
          <w:rFonts w:ascii="Verdana" w:hAnsi="Verdana" w:cs="Arial"/>
          <w:sz w:val="16"/>
          <w:szCs w:val="16"/>
          <w:lang w:val="es-ES"/>
        </w:rPr>
        <w:t>”</w:t>
      </w:r>
      <w:r w:rsidRPr="009B20C5">
        <w:rPr>
          <w:rFonts w:ascii="Verdana" w:hAnsi="Verdana" w:cs="Arial"/>
          <w:sz w:val="16"/>
          <w:szCs w:val="16"/>
          <w:lang w:val="es-ES"/>
        </w:rPr>
        <w:t>.</w:t>
      </w:r>
    </w:p>
    <w:p w14:paraId="119BE5D3" w14:textId="77777777" w:rsidR="00916B6A" w:rsidRPr="009B20C5" w:rsidRDefault="00916B6A" w:rsidP="00916B6A">
      <w:pPr>
        <w:pStyle w:val="Textonotapie"/>
        <w:ind w:firstLine="709"/>
        <w:jc w:val="both"/>
        <w:rPr>
          <w:rFonts w:ascii="Verdana" w:hAnsi="Verdana" w:cs="Arial"/>
          <w:sz w:val="16"/>
          <w:szCs w:val="16"/>
          <w:lang w:val="es-ES"/>
        </w:rPr>
      </w:pPr>
      <w:r w:rsidRPr="009B20C5">
        <w:rPr>
          <w:rFonts w:ascii="Verdana" w:hAnsi="Verdana" w:cs="Arial"/>
          <w:sz w:val="16"/>
          <w:szCs w:val="16"/>
          <w:lang w:val="es-ES"/>
        </w:rPr>
        <w:t xml:space="preserve"> </w:t>
      </w:r>
    </w:p>
  </w:footnote>
  <w:footnote w:id="17">
    <w:p w14:paraId="24CC7A24" w14:textId="77777777" w:rsidR="00916B6A" w:rsidRPr="009B20C5" w:rsidRDefault="00916B6A" w:rsidP="00916B6A">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53766A2E" w14:textId="77777777" w:rsidR="00916B6A" w:rsidRDefault="00916B6A" w:rsidP="00916B6A">
      <w:pPr>
        <w:pStyle w:val="Textonotapie"/>
        <w:ind w:firstLine="709"/>
        <w:jc w:val="both"/>
        <w:rPr>
          <w:rFonts w:ascii="Verdana" w:hAnsi="Verdana" w:cs="Arial"/>
          <w:sz w:val="16"/>
          <w:szCs w:val="16"/>
        </w:rPr>
      </w:pPr>
    </w:p>
    <w:p w14:paraId="00D43BE9"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690AFAE9" w14:textId="77777777" w:rsidR="00916B6A" w:rsidRPr="009B20C5" w:rsidRDefault="00916B6A" w:rsidP="00916B6A">
      <w:pPr>
        <w:pStyle w:val="Textonotapie"/>
        <w:ind w:firstLine="709"/>
        <w:jc w:val="both"/>
        <w:rPr>
          <w:rFonts w:ascii="Verdana" w:hAnsi="Verdana" w:cs="Arial"/>
          <w:sz w:val="16"/>
          <w:szCs w:val="16"/>
        </w:rPr>
      </w:pPr>
    </w:p>
  </w:footnote>
  <w:footnote w:id="19">
    <w:p w14:paraId="6548AF5C"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12C4A02C"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 20 de febrero de2006. Radicación 11001-03-06-000-2006-00023-00(1724). Consejero Ponente: Flavio Augusto Rodríguez Arce.</w:t>
      </w:r>
    </w:p>
    <w:p w14:paraId="1C4165EB" w14:textId="77777777" w:rsidR="00916B6A" w:rsidRPr="00306ECD" w:rsidRDefault="00916B6A" w:rsidP="00916B6A">
      <w:pPr>
        <w:pStyle w:val="Textonotapie"/>
        <w:ind w:firstLine="709"/>
        <w:jc w:val="both"/>
        <w:rPr>
          <w:rFonts w:ascii="Verdana" w:hAnsi="Verdana" w:cs="Arial"/>
          <w:sz w:val="14"/>
          <w:szCs w:val="14"/>
        </w:rPr>
      </w:pPr>
    </w:p>
  </w:footnote>
  <w:footnote w:id="21">
    <w:p w14:paraId="13EFA91D" w14:textId="77777777" w:rsidR="00916B6A" w:rsidRPr="00306ECD" w:rsidRDefault="00916B6A" w:rsidP="00916B6A">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C376E9C" w14:textId="77777777" w:rsidR="00916B6A" w:rsidRPr="00306ECD" w:rsidRDefault="00916B6A" w:rsidP="00916B6A">
      <w:pPr>
        <w:spacing w:after="0" w:line="240" w:lineRule="auto"/>
        <w:ind w:firstLine="709"/>
        <w:jc w:val="both"/>
        <w:rPr>
          <w:rFonts w:ascii="Verdana" w:hAnsi="Verdana" w:cs="Arial"/>
          <w:sz w:val="14"/>
          <w:szCs w:val="14"/>
        </w:rPr>
      </w:pPr>
      <w:r w:rsidRPr="00306ECD">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306ECD">
        <w:rPr>
          <w:rFonts w:ascii="Verdana" w:hAnsi="Verdana" w:cs="Arial"/>
          <w:spacing w:val="-1"/>
          <w:sz w:val="14"/>
          <w:szCs w:val="14"/>
        </w:rPr>
        <w:t xml:space="preserve"> </w:t>
      </w:r>
      <w:r w:rsidRPr="00306ECD">
        <w:rPr>
          <w:rFonts w:ascii="Verdana" w:hAnsi="Verdana" w:cs="Arial"/>
          <w:sz w:val="14"/>
          <w:szCs w:val="14"/>
        </w:rPr>
        <w:t>Estatales”.</w:t>
      </w:r>
    </w:p>
    <w:p w14:paraId="259B55E7" w14:textId="77777777" w:rsidR="00916B6A" w:rsidRPr="00306ECD" w:rsidRDefault="00916B6A" w:rsidP="00916B6A">
      <w:pPr>
        <w:spacing w:after="0" w:line="240" w:lineRule="auto"/>
        <w:ind w:firstLine="709"/>
        <w:jc w:val="both"/>
        <w:rPr>
          <w:rFonts w:ascii="Verdana" w:hAnsi="Verdana" w:cs="Arial"/>
          <w:sz w:val="14"/>
          <w:szCs w:val="14"/>
        </w:rPr>
      </w:pPr>
    </w:p>
  </w:footnote>
  <w:footnote w:id="22">
    <w:p w14:paraId="533B42BA" w14:textId="77777777" w:rsidR="00916B6A" w:rsidRPr="00306ECD" w:rsidRDefault="00916B6A" w:rsidP="00916B6A">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306ECD">
        <w:rPr>
          <w:rFonts w:ascii="Verdana" w:hAnsi="Verdana" w:cs="Arial"/>
          <w:spacing w:val="-6"/>
          <w:sz w:val="14"/>
          <w:szCs w:val="14"/>
        </w:rPr>
        <w:t xml:space="preserve"> </w:t>
      </w:r>
      <w:r w:rsidRPr="00306ECD">
        <w:rPr>
          <w:rFonts w:ascii="Verdana" w:hAnsi="Verdana" w:cs="Arial"/>
          <w:sz w:val="14"/>
          <w:szCs w:val="14"/>
        </w:rPr>
        <w:t>artículo”.</w:t>
      </w:r>
    </w:p>
    <w:p w14:paraId="237BC22C" w14:textId="77777777" w:rsidR="00916B6A" w:rsidRPr="00306ECD" w:rsidRDefault="00916B6A" w:rsidP="00916B6A">
      <w:pPr>
        <w:spacing w:after="0" w:line="240" w:lineRule="auto"/>
        <w:ind w:firstLine="709"/>
        <w:jc w:val="both"/>
        <w:rPr>
          <w:rFonts w:ascii="Verdana" w:hAnsi="Verdana" w:cs="Arial"/>
          <w:sz w:val="14"/>
          <w:szCs w:val="14"/>
        </w:rPr>
      </w:pPr>
    </w:p>
  </w:footnote>
  <w:footnote w:id="23">
    <w:p w14:paraId="5DD4DB56"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Lo anterior, salvo que se traten de organismos internacionales que se rijan por normas internacionales y se financien con cargo a recursos de esos organismos (Cfr. Colombia Compra Eficiente. Concepto C-559 del 31 de agosto de 2021). </w:t>
      </w:r>
    </w:p>
    <w:p w14:paraId="49EF6BC7" w14:textId="77777777" w:rsidR="00916B6A" w:rsidRPr="00306ECD" w:rsidRDefault="00916B6A" w:rsidP="00916B6A">
      <w:pPr>
        <w:pStyle w:val="Textonotapie"/>
        <w:ind w:firstLine="709"/>
        <w:jc w:val="both"/>
        <w:rPr>
          <w:rFonts w:ascii="Verdana" w:hAnsi="Verdana" w:cs="Arial"/>
          <w:sz w:val="14"/>
          <w:szCs w:val="14"/>
        </w:rPr>
      </w:pPr>
    </w:p>
  </w:footnote>
  <w:footnote w:id="24">
    <w:p w14:paraId="01067C9A"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Es lo que sucede, por ejemplo, con el Decreto 092 de 2017, que en su desarrollo hace referencia tanto a los “contratos” como a los “convenios”. </w:t>
      </w:r>
    </w:p>
    <w:p w14:paraId="70E6C21C" w14:textId="77777777" w:rsidR="00916B6A" w:rsidRPr="00306ECD" w:rsidRDefault="00916B6A" w:rsidP="00916B6A">
      <w:pPr>
        <w:pStyle w:val="Textonotapie"/>
        <w:ind w:firstLine="709"/>
        <w:jc w:val="both"/>
        <w:rPr>
          <w:rFonts w:ascii="Verdana" w:hAnsi="Verdana" w:cs="Arial"/>
          <w:sz w:val="14"/>
          <w:szCs w:val="14"/>
        </w:rPr>
      </w:pPr>
    </w:p>
  </w:footnote>
  <w:footnote w:id="25">
    <w:p w14:paraId="5FB1A5C8" w14:textId="77777777" w:rsidR="00916B6A" w:rsidRPr="00306ECD" w:rsidRDefault="00916B6A" w:rsidP="00916B6A">
      <w:pPr>
        <w:pStyle w:val="Textonotapie"/>
        <w:ind w:firstLine="709"/>
        <w:jc w:val="both"/>
        <w:rPr>
          <w:rFonts w:ascii="Verdana" w:hAnsi="Verdana" w:cs="Arial"/>
          <w:sz w:val="14"/>
          <w:szCs w:val="14"/>
          <w:lang w:val="pt-BR"/>
        </w:rPr>
      </w:pPr>
      <w:r w:rsidRPr="00306ECD">
        <w:rPr>
          <w:rStyle w:val="Refdenotaalpie"/>
          <w:rFonts w:ascii="Verdana" w:hAnsi="Verdana" w:cs="Arial"/>
          <w:sz w:val="14"/>
          <w:szCs w:val="14"/>
        </w:rPr>
        <w:footnoteRef/>
      </w:r>
      <w:r w:rsidRPr="00306ECD">
        <w:rPr>
          <w:rFonts w:ascii="Verdana" w:hAnsi="Verdana" w:cs="Arial"/>
          <w:sz w:val="14"/>
          <w:szCs w:val="14"/>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306ECD">
        <w:rPr>
          <w:rFonts w:ascii="Verdana" w:hAnsi="Verdana" w:cs="Arial"/>
          <w:sz w:val="14"/>
          <w:szCs w:val="14"/>
          <w:lang w:val="pt-BR"/>
        </w:rPr>
        <w:t>(Corte Constitucional. Sentencia C-671 de 2015. M.P. Alberto Rojas Ríos).</w:t>
      </w:r>
    </w:p>
    <w:p w14:paraId="3D31C764" w14:textId="77777777" w:rsidR="00916B6A" w:rsidRPr="00306ECD" w:rsidRDefault="00916B6A" w:rsidP="00916B6A">
      <w:pPr>
        <w:pStyle w:val="Textonotapie"/>
        <w:ind w:firstLine="709"/>
        <w:jc w:val="both"/>
        <w:rPr>
          <w:rFonts w:ascii="Verdana" w:hAnsi="Verdana" w:cs="Arial"/>
          <w:sz w:val="14"/>
          <w:szCs w:val="14"/>
          <w:lang w:val="pt-BR"/>
        </w:rPr>
      </w:pPr>
    </w:p>
  </w:footnote>
  <w:footnote w:id="26">
    <w:p w14:paraId="39BB2A16" w14:textId="77777777" w:rsidR="00916B6A" w:rsidRPr="00306ECD" w:rsidRDefault="00916B6A" w:rsidP="00916B6A">
      <w:pPr>
        <w:pStyle w:val="Textonotapie"/>
        <w:ind w:firstLine="709"/>
        <w:jc w:val="both"/>
        <w:rPr>
          <w:rFonts w:ascii="Verdana" w:hAnsi="Verdana" w:cs="Arial"/>
          <w:sz w:val="14"/>
          <w:szCs w:val="14"/>
          <w:lang w:val="es-CO"/>
        </w:rPr>
      </w:pPr>
      <w:r w:rsidRPr="00306ECD">
        <w:rPr>
          <w:rStyle w:val="Refdenotaalpie"/>
          <w:rFonts w:ascii="Verdana" w:hAnsi="Verdana"/>
          <w:sz w:val="14"/>
          <w:szCs w:val="14"/>
        </w:rPr>
        <w:footnoteRef/>
      </w:r>
      <w:r w:rsidRPr="00306ECD">
        <w:rPr>
          <w:rFonts w:ascii="Verdana" w:hAnsi="Verdana"/>
          <w:sz w:val="14"/>
          <w:szCs w:val="14"/>
          <w:lang w:val="es-CO"/>
        </w:rPr>
        <w:t xml:space="preserve"> </w:t>
      </w:r>
      <w:r w:rsidRPr="00306ECD">
        <w:rPr>
          <w:rFonts w:ascii="Verdana" w:hAnsi="Verdana" w:cs="Arial"/>
          <w:sz w:val="14"/>
          <w:szCs w:val="14"/>
          <w:lang w:val="es-CO"/>
        </w:rPr>
        <w:t>Consejo de Estado, Sección Tercera. Auto del 4 de octubre de 2024. Exp. 70.313. C.P: Fredy Ibarra Martínez</w:t>
      </w:r>
    </w:p>
    <w:p w14:paraId="5C4A50E7" w14:textId="77777777" w:rsidR="00916B6A" w:rsidRPr="00306ECD" w:rsidRDefault="00916B6A" w:rsidP="00916B6A">
      <w:pPr>
        <w:pStyle w:val="Textonotapie"/>
        <w:ind w:firstLine="709"/>
        <w:jc w:val="both"/>
        <w:rPr>
          <w:rFonts w:ascii="Verdana" w:hAnsi="Verdana"/>
          <w:sz w:val="14"/>
          <w:szCs w:val="14"/>
          <w:lang w:val="es-CO"/>
        </w:rPr>
      </w:pPr>
    </w:p>
  </w:footnote>
  <w:footnote w:id="27">
    <w:p w14:paraId="2A0E8FA0"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del 15 de noviembre de 2007. Expediente número 1863. Consejero Ponente: Luis Fernando Álvarez Jaramillo.</w:t>
      </w:r>
    </w:p>
    <w:p w14:paraId="0BA8C193" w14:textId="77777777" w:rsidR="00916B6A" w:rsidRPr="00306ECD" w:rsidRDefault="00916B6A" w:rsidP="00916B6A">
      <w:pPr>
        <w:pStyle w:val="Textonotapie"/>
        <w:ind w:firstLine="709"/>
        <w:jc w:val="both"/>
        <w:rPr>
          <w:rFonts w:ascii="Verdana" w:hAnsi="Verdana" w:cs="Arial"/>
          <w:sz w:val="14"/>
          <w:szCs w:val="14"/>
        </w:rPr>
      </w:pPr>
    </w:p>
    <w:p w14:paraId="6416CCB6" w14:textId="77777777" w:rsidR="00916B6A" w:rsidRPr="00306ECD" w:rsidRDefault="00916B6A" w:rsidP="00916B6A">
      <w:pPr>
        <w:pStyle w:val="Textonotapie"/>
        <w:ind w:firstLine="709"/>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8E49A"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3EB628B8" wp14:editId="6D44EA5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07DF0119" wp14:editId="1139C8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2F6BCFD" w14:textId="77777777" w:rsidR="00515FB5" w:rsidRDefault="00515FB5" w:rsidP="00515FB5">
    <w:pPr>
      <w:pStyle w:val="Encabezado"/>
    </w:pPr>
  </w:p>
  <w:p w14:paraId="3EBD15F8" w14:textId="77777777" w:rsidR="00515FB5" w:rsidRDefault="00515FB5" w:rsidP="00515FB5">
    <w:pPr>
      <w:pStyle w:val="Encabezado"/>
    </w:pPr>
  </w:p>
  <w:p w14:paraId="77009FAF" w14:textId="77777777" w:rsidR="00515FB5" w:rsidRDefault="00515FB5" w:rsidP="00515FB5">
    <w:pPr>
      <w:pStyle w:val="Encabezado"/>
    </w:pPr>
  </w:p>
  <w:p w14:paraId="6DFAFF8C" w14:textId="77777777" w:rsidR="00515FB5" w:rsidRPr="00AB7B56" w:rsidRDefault="00515FB5" w:rsidP="00515FB5">
    <w:pPr>
      <w:pStyle w:val="Encabezado"/>
    </w:pPr>
  </w:p>
  <w:p w14:paraId="512A8B2E"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9126B28"/>
    <w:multiLevelType w:val="multilevel"/>
    <w:tmpl w:val="5EB4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26D198B"/>
    <w:multiLevelType w:val="hybridMultilevel"/>
    <w:tmpl w:val="18CED620"/>
    <w:lvl w:ilvl="0" w:tplc="FFFFFFFF">
      <w:start w:val="1"/>
      <w:numFmt w:val="lowerRoman"/>
      <w:lvlText w:val="%1)"/>
      <w:lvlJc w:val="left"/>
      <w:pPr>
        <w:ind w:left="720" w:hanging="720"/>
      </w:pPr>
      <w:rPr>
        <w:rFonts w:hint="default"/>
        <w:i/>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4E7528FC"/>
    <w:multiLevelType w:val="multilevel"/>
    <w:tmpl w:val="17A45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B7C3129"/>
    <w:multiLevelType w:val="hybridMultilevel"/>
    <w:tmpl w:val="18CED620"/>
    <w:lvl w:ilvl="0" w:tplc="C7A6D796">
      <w:start w:val="1"/>
      <w:numFmt w:val="lowerRoman"/>
      <w:lvlText w:val="%1)"/>
      <w:lvlJc w:val="left"/>
      <w:pPr>
        <w:ind w:left="1508" w:hanging="720"/>
      </w:pPr>
      <w:rPr>
        <w:rFonts w:hint="default"/>
        <w:i/>
      </w:rPr>
    </w:lvl>
    <w:lvl w:ilvl="1" w:tplc="080A0019" w:tentative="1">
      <w:start w:val="1"/>
      <w:numFmt w:val="lowerLetter"/>
      <w:lvlText w:val="%2."/>
      <w:lvlJc w:val="left"/>
      <w:pPr>
        <w:ind w:left="1868" w:hanging="360"/>
      </w:pPr>
    </w:lvl>
    <w:lvl w:ilvl="2" w:tplc="080A001B" w:tentative="1">
      <w:start w:val="1"/>
      <w:numFmt w:val="lowerRoman"/>
      <w:lvlText w:val="%3."/>
      <w:lvlJc w:val="right"/>
      <w:pPr>
        <w:ind w:left="2588" w:hanging="180"/>
      </w:pPr>
    </w:lvl>
    <w:lvl w:ilvl="3" w:tplc="080A000F" w:tentative="1">
      <w:start w:val="1"/>
      <w:numFmt w:val="decimal"/>
      <w:lvlText w:val="%4."/>
      <w:lvlJc w:val="left"/>
      <w:pPr>
        <w:ind w:left="3308" w:hanging="360"/>
      </w:pPr>
    </w:lvl>
    <w:lvl w:ilvl="4" w:tplc="080A0019" w:tentative="1">
      <w:start w:val="1"/>
      <w:numFmt w:val="lowerLetter"/>
      <w:lvlText w:val="%5."/>
      <w:lvlJc w:val="left"/>
      <w:pPr>
        <w:ind w:left="4028" w:hanging="360"/>
      </w:pPr>
    </w:lvl>
    <w:lvl w:ilvl="5" w:tplc="080A001B" w:tentative="1">
      <w:start w:val="1"/>
      <w:numFmt w:val="lowerRoman"/>
      <w:lvlText w:val="%6."/>
      <w:lvlJc w:val="right"/>
      <w:pPr>
        <w:ind w:left="4748" w:hanging="180"/>
      </w:pPr>
    </w:lvl>
    <w:lvl w:ilvl="6" w:tplc="080A000F" w:tentative="1">
      <w:start w:val="1"/>
      <w:numFmt w:val="decimal"/>
      <w:lvlText w:val="%7."/>
      <w:lvlJc w:val="left"/>
      <w:pPr>
        <w:ind w:left="5468" w:hanging="360"/>
      </w:pPr>
    </w:lvl>
    <w:lvl w:ilvl="7" w:tplc="080A0019" w:tentative="1">
      <w:start w:val="1"/>
      <w:numFmt w:val="lowerLetter"/>
      <w:lvlText w:val="%8."/>
      <w:lvlJc w:val="left"/>
      <w:pPr>
        <w:ind w:left="6188" w:hanging="360"/>
      </w:pPr>
    </w:lvl>
    <w:lvl w:ilvl="8" w:tplc="080A001B" w:tentative="1">
      <w:start w:val="1"/>
      <w:numFmt w:val="lowerRoman"/>
      <w:lvlText w:val="%9."/>
      <w:lvlJc w:val="right"/>
      <w:pPr>
        <w:ind w:left="6908" w:hanging="18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41079283">
    <w:abstractNumId w:val="6"/>
  </w:num>
  <w:num w:numId="2" w16cid:durableId="628701882">
    <w:abstractNumId w:val="2"/>
  </w:num>
  <w:num w:numId="3" w16cid:durableId="1681422988">
    <w:abstractNumId w:val="3"/>
  </w:num>
  <w:num w:numId="4" w16cid:durableId="899563072">
    <w:abstractNumId w:val="0"/>
  </w:num>
  <w:num w:numId="5" w16cid:durableId="460078679">
    <w:abstractNumId w:val="10"/>
  </w:num>
  <w:num w:numId="6" w16cid:durableId="480539769">
    <w:abstractNumId w:val="1"/>
  </w:num>
  <w:num w:numId="7" w16cid:durableId="1550261084">
    <w:abstractNumId w:val="5"/>
  </w:num>
  <w:num w:numId="8" w16cid:durableId="1529297486">
    <w:abstractNumId w:val="7"/>
  </w:num>
  <w:num w:numId="9" w16cid:durableId="1201279553">
    <w:abstractNumId w:val="4"/>
  </w:num>
  <w:num w:numId="10" w16cid:durableId="1547520081">
    <w:abstractNumId w:val="11"/>
  </w:num>
  <w:num w:numId="11" w16cid:durableId="55705887">
    <w:abstractNumId w:val="8"/>
  </w:num>
  <w:num w:numId="12" w16cid:durableId="1542329150">
    <w:abstractNumId w:val="13"/>
  </w:num>
  <w:num w:numId="13" w16cid:durableId="1127162490">
    <w:abstractNumId w:val="12"/>
  </w:num>
  <w:num w:numId="14" w16cid:durableId="7379410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0B6"/>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6EE9"/>
    <w:rsid w:val="000A6E0C"/>
    <w:rsid w:val="000A7A56"/>
    <w:rsid w:val="000B1FF7"/>
    <w:rsid w:val="000B2513"/>
    <w:rsid w:val="000B4024"/>
    <w:rsid w:val="000C3C51"/>
    <w:rsid w:val="000C7262"/>
    <w:rsid w:val="000D2A7F"/>
    <w:rsid w:val="000D4FCE"/>
    <w:rsid w:val="000F40D2"/>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3A6C"/>
    <w:rsid w:val="0046741E"/>
    <w:rsid w:val="00472CC6"/>
    <w:rsid w:val="0048026E"/>
    <w:rsid w:val="004807A9"/>
    <w:rsid w:val="004813EE"/>
    <w:rsid w:val="00493278"/>
    <w:rsid w:val="004943D9"/>
    <w:rsid w:val="00497BBE"/>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24D7"/>
    <w:rsid w:val="0056322C"/>
    <w:rsid w:val="005720B6"/>
    <w:rsid w:val="005729C3"/>
    <w:rsid w:val="0058743A"/>
    <w:rsid w:val="005A4DB0"/>
    <w:rsid w:val="005A7B8E"/>
    <w:rsid w:val="005B012B"/>
    <w:rsid w:val="005B0C87"/>
    <w:rsid w:val="005D23F6"/>
    <w:rsid w:val="005D2FA8"/>
    <w:rsid w:val="005E2281"/>
    <w:rsid w:val="005E667C"/>
    <w:rsid w:val="005F077C"/>
    <w:rsid w:val="005F63D0"/>
    <w:rsid w:val="005F663F"/>
    <w:rsid w:val="005F7973"/>
    <w:rsid w:val="0061029B"/>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D2B3C"/>
    <w:rsid w:val="006E7F37"/>
    <w:rsid w:val="006F3B81"/>
    <w:rsid w:val="006F4F79"/>
    <w:rsid w:val="00705B37"/>
    <w:rsid w:val="00711448"/>
    <w:rsid w:val="00711FD9"/>
    <w:rsid w:val="00735062"/>
    <w:rsid w:val="00746BA5"/>
    <w:rsid w:val="00751D23"/>
    <w:rsid w:val="00770577"/>
    <w:rsid w:val="00777666"/>
    <w:rsid w:val="0078159B"/>
    <w:rsid w:val="00782E10"/>
    <w:rsid w:val="0078706B"/>
    <w:rsid w:val="00790836"/>
    <w:rsid w:val="00797131"/>
    <w:rsid w:val="007A3C1D"/>
    <w:rsid w:val="007B0C28"/>
    <w:rsid w:val="007B285D"/>
    <w:rsid w:val="007C6BC6"/>
    <w:rsid w:val="00801DCA"/>
    <w:rsid w:val="00805B33"/>
    <w:rsid w:val="00807D79"/>
    <w:rsid w:val="00813634"/>
    <w:rsid w:val="00822821"/>
    <w:rsid w:val="00831C29"/>
    <w:rsid w:val="00842FEF"/>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D7267"/>
    <w:rsid w:val="008F5CC8"/>
    <w:rsid w:val="009061B8"/>
    <w:rsid w:val="0091008B"/>
    <w:rsid w:val="00911EA2"/>
    <w:rsid w:val="00916B6A"/>
    <w:rsid w:val="00916C7D"/>
    <w:rsid w:val="0092575D"/>
    <w:rsid w:val="009341DA"/>
    <w:rsid w:val="009430F9"/>
    <w:rsid w:val="009442E8"/>
    <w:rsid w:val="00946BD0"/>
    <w:rsid w:val="0095426C"/>
    <w:rsid w:val="00970087"/>
    <w:rsid w:val="00971074"/>
    <w:rsid w:val="009816B6"/>
    <w:rsid w:val="00983695"/>
    <w:rsid w:val="00995D86"/>
    <w:rsid w:val="009A5453"/>
    <w:rsid w:val="009B4D94"/>
    <w:rsid w:val="009C2871"/>
    <w:rsid w:val="009D3C33"/>
    <w:rsid w:val="009D7F3A"/>
    <w:rsid w:val="009E295D"/>
    <w:rsid w:val="009E35F8"/>
    <w:rsid w:val="009E4885"/>
    <w:rsid w:val="00A07DB6"/>
    <w:rsid w:val="00A10A73"/>
    <w:rsid w:val="00A170B3"/>
    <w:rsid w:val="00A223D5"/>
    <w:rsid w:val="00A37D1C"/>
    <w:rsid w:val="00A47E64"/>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AE10E4"/>
    <w:rsid w:val="00B02FE0"/>
    <w:rsid w:val="00B057B6"/>
    <w:rsid w:val="00B23ECB"/>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260C"/>
    <w:rsid w:val="00BE73FA"/>
    <w:rsid w:val="00BF389B"/>
    <w:rsid w:val="00BF6B4B"/>
    <w:rsid w:val="00C0174E"/>
    <w:rsid w:val="00C0511C"/>
    <w:rsid w:val="00C20ACF"/>
    <w:rsid w:val="00C22307"/>
    <w:rsid w:val="00C23469"/>
    <w:rsid w:val="00C30C62"/>
    <w:rsid w:val="00C371DF"/>
    <w:rsid w:val="00C419AC"/>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212C"/>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5ADFB6"/>
  <w15:docId w15:val="{2C677D90-2761-CC49-8040-53F2B846A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paragraph" w:styleId="Ttulo3">
    <w:name w:val="heading 3"/>
    <w:basedOn w:val="Normal"/>
    <w:link w:val="Ttulo3Car"/>
    <w:uiPriority w:val="9"/>
    <w:qFormat/>
    <w:rsid w:val="00916B6A"/>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locked/>
    <w:rsid w:val="00916B6A"/>
    <w:rPr>
      <w:rFonts w:ascii="Times New Roman" w:hAnsi="Times New Roman" w:cs="Times New Roman"/>
      <w:sz w:val="24"/>
      <w:szCs w:val="24"/>
    </w:rPr>
  </w:style>
  <w:style w:type="character" w:customStyle="1" w:styleId="baj">
    <w:name w:val="b_aj"/>
    <w:basedOn w:val="Fuentedeprrafopredeter"/>
    <w:rsid w:val="00916B6A"/>
  </w:style>
  <w:style w:type="character" w:customStyle="1" w:styleId="Ttulo3Car">
    <w:name w:val="Título 3 Car"/>
    <w:basedOn w:val="Fuentedeprrafopredeter"/>
    <w:link w:val="Ttulo3"/>
    <w:uiPriority w:val="9"/>
    <w:rsid w:val="00916B6A"/>
    <w:rPr>
      <w:rFonts w:ascii="Times New Roman" w:eastAsia="Times New Roman" w:hAnsi="Times New Roman" w:cs="Times New Roman"/>
      <w:b/>
      <w:bCs/>
      <w:sz w:val="27"/>
      <w:szCs w:val="27"/>
      <w:lang w:eastAsia="es-MX"/>
    </w:rPr>
  </w:style>
  <w:style w:type="character" w:customStyle="1" w:styleId="citation-91">
    <w:name w:val="citation-91"/>
    <w:basedOn w:val="Fuentedeprrafopredeter"/>
    <w:rsid w:val="00805B33"/>
  </w:style>
  <w:style w:type="character" w:customStyle="1" w:styleId="citation-90">
    <w:name w:val="citation-90"/>
    <w:basedOn w:val="Fuentedeprrafopredeter"/>
    <w:rsid w:val="00805B33"/>
  </w:style>
  <w:style w:type="character" w:customStyle="1" w:styleId="citation-89">
    <w:name w:val="citation-89"/>
    <w:basedOn w:val="Fuentedeprrafopredeter"/>
    <w:rsid w:val="00805B33"/>
  </w:style>
  <w:style w:type="character" w:customStyle="1" w:styleId="citation-88">
    <w:name w:val="citation-88"/>
    <w:basedOn w:val="Fuentedeprrafopredeter"/>
    <w:rsid w:val="00805B33"/>
  </w:style>
  <w:style w:type="character" w:customStyle="1" w:styleId="citation-87">
    <w:name w:val="citation-87"/>
    <w:basedOn w:val="Fuentedeprrafopredeter"/>
    <w:rsid w:val="00805B33"/>
  </w:style>
  <w:style w:type="character" w:customStyle="1" w:styleId="citation-86">
    <w:name w:val="citation-86"/>
    <w:basedOn w:val="Fuentedeprrafopredeter"/>
    <w:rsid w:val="00805B33"/>
  </w:style>
  <w:style w:type="character" w:customStyle="1" w:styleId="citation-85">
    <w:name w:val="citation-85"/>
    <w:basedOn w:val="Fuentedeprrafopredeter"/>
    <w:rsid w:val="00805B33"/>
  </w:style>
  <w:style w:type="character" w:customStyle="1" w:styleId="citation-84">
    <w:name w:val="citation-84"/>
    <w:basedOn w:val="Fuentedeprrafopredeter"/>
    <w:rsid w:val="00805B33"/>
  </w:style>
  <w:style w:type="character" w:customStyle="1" w:styleId="citation-83">
    <w:name w:val="citation-83"/>
    <w:basedOn w:val="Fuentedeprrafopredeter"/>
    <w:rsid w:val="00805B33"/>
  </w:style>
  <w:style w:type="character" w:customStyle="1" w:styleId="citation-82">
    <w:name w:val="citation-82"/>
    <w:basedOn w:val="Fuentedeprrafopredeter"/>
    <w:rsid w:val="00805B33"/>
  </w:style>
  <w:style w:type="character" w:customStyle="1" w:styleId="citation-81">
    <w:name w:val="citation-81"/>
    <w:basedOn w:val="Fuentedeprrafopredeter"/>
    <w:rsid w:val="00805B33"/>
  </w:style>
  <w:style w:type="character" w:customStyle="1" w:styleId="citation-80">
    <w:name w:val="citation-80"/>
    <w:basedOn w:val="Fuentedeprrafopredeter"/>
    <w:rsid w:val="00805B33"/>
  </w:style>
  <w:style w:type="character" w:customStyle="1" w:styleId="citation-79">
    <w:name w:val="citation-79"/>
    <w:basedOn w:val="Fuentedeprrafopredeter"/>
    <w:rsid w:val="00805B33"/>
  </w:style>
  <w:style w:type="character" w:customStyle="1" w:styleId="citation-78">
    <w:name w:val="citation-78"/>
    <w:basedOn w:val="Fuentedeprrafopredeter"/>
    <w:rsid w:val="00805B33"/>
  </w:style>
  <w:style w:type="character" w:customStyle="1" w:styleId="citation-122">
    <w:name w:val="citation-122"/>
    <w:basedOn w:val="Fuentedeprrafopredeter"/>
    <w:rsid w:val="00A47E64"/>
  </w:style>
  <w:style w:type="character" w:customStyle="1" w:styleId="citation-121">
    <w:name w:val="citation-121"/>
    <w:basedOn w:val="Fuentedeprrafopredeter"/>
    <w:rsid w:val="00A47E64"/>
  </w:style>
  <w:style w:type="character" w:customStyle="1" w:styleId="citation-120">
    <w:name w:val="citation-120"/>
    <w:basedOn w:val="Fuentedeprrafopredeter"/>
    <w:rsid w:val="00A47E64"/>
  </w:style>
  <w:style w:type="character" w:customStyle="1" w:styleId="citation-119">
    <w:name w:val="citation-119"/>
    <w:basedOn w:val="Fuentedeprrafopredeter"/>
    <w:rsid w:val="00A47E64"/>
  </w:style>
  <w:style w:type="character" w:customStyle="1" w:styleId="citation-118">
    <w:name w:val="citation-118"/>
    <w:basedOn w:val="Fuentedeprrafopredeter"/>
    <w:rsid w:val="00A47E64"/>
  </w:style>
  <w:style w:type="character" w:customStyle="1" w:styleId="citation-117">
    <w:name w:val="citation-117"/>
    <w:basedOn w:val="Fuentedeprrafopredeter"/>
    <w:rsid w:val="00A47E64"/>
  </w:style>
  <w:style w:type="character" w:customStyle="1" w:styleId="citation-116">
    <w:name w:val="citation-116"/>
    <w:basedOn w:val="Fuentedeprrafopredeter"/>
    <w:rsid w:val="00A47E64"/>
  </w:style>
  <w:style w:type="character" w:customStyle="1" w:styleId="citation-115">
    <w:name w:val="citation-115"/>
    <w:basedOn w:val="Fuentedeprrafopredeter"/>
    <w:rsid w:val="00A47E64"/>
  </w:style>
  <w:style w:type="character" w:customStyle="1" w:styleId="citation-114">
    <w:name w:val="citation-114"/>
    <w:basedOn w:val="Fuentedeprrafopredeter"/>
    <w:rsid w:val="00A47E64"/>
  </w:style>
  <w:style w:type="character" w:customStyle="1" w:styleId="citation-113">
    <w:name w:val="citation-113"/>
    <w:basedOn w:val="Fuentedeprrafopredeter"/>
    <w:rsid w:val="00A47E64"/>
  </w:style>
  <w:style w:type="character" w:customStyle="1" w:styleId="citation-112">
    <w:name w:val="citation-112"/>
    <w:basedOn w:val="Fuentedeprrafopredeter"/>
    <w:rsid w:val="00A47E64"/>
  </w:style>
  <w:style w:type="character" w:customStyle="1" w:styleId="citation-111">
    <w:name w:val="citation-111"/>
    <w:basedOn w:val="Fuentedeprrafopredeter"/>
    <w:rsid w:val="00A47E64"/>
  </w:style>
  <w:style w:type="character" w:customStyle="1" w:styleId="citation-110">
    <w:name w:val="citation-110"/>
    <w:basedOn w:val="Fuentedeprrafopredeter"/>
    <w:rsid w:val="00A47E64"/>
  </w:style>
  <w:style w:type="character" w:customStyle="1" w:styleId="citation-109">
    <w:name w:val="citation-109"/>
    <w:basedOn w:val="Fuentedeprrafopredeter"/>
    <w:rsid w:val="00A47E64"/>
  </w:style>
  <w:style w:type="character" w:customStyle="1" w:styleId="citation-108">
    <w:name w:val="citation-108"/>
    <w:basedOn w:val="Fuentedeprrafopredeter"/>
    <w:rsid w:val="00A47E64"/>
  </w:style>
  <w:style w:type="character" w:customStyle="1" w:styleId="citation-107">
    <w:name w:val="citation-107"/>
    <w:basedOn w:val="Fuentedeprrafopredeter"/>
    <w:rsid w:val="00A47E64"/>
  </w:style>
  <w:style w:type="character" w:customStyle="1" w:styleId="citation-106">
    <w:name w:val="citation-106"/>
    <w:basedOn w:val="Fuentedeprrafopredeter"/>
    <w:rsid w:val="00A47E64"/>
  </w:style>
  <w:style w:type="character" w:customStyle="1" w:styleId="citation-105">
    <w:name w:val="citation-105"/>
    <w:basedOn w:val="Fuentedeprrafopredeter"/>
    <w:rsid w:val="00A47E64"/>
  </w:style>
  <w:style w:type="character" w:customStyle="1" w:styleId="citation-104">
    <w:name w:val="citation-104"/>
    <w:basedOn w:val="Fuentedeprrafopredeter"/>
    <w:rsid w:val="00A47E64"/>
  </w:style>
  <w:style w:type="character" w:customStyle="1" w:styleId="citation-103">
    <w:name w:val="citation-103"/>
    <w:basedOn w:val="Fuentedeprrafopredeter"/>
    <w:rsid w:val="00A47E64"/>
  </w:style>
  <w:style w:type="character" w:customStyle="1" w:styleId="citation-102">
    <w:name w:val="citation-102"/>
    <w:basedOn w:val="Fuentedeprrafopredeter"/>
    <w:rsid w:val="00A47E64"/>
  </w:style>
  <w:style w:type="character" w:customStyle="1" w:styleId="citation-101">
    <w:name w:val="citation-101"/>
    <w:basedOn w:val="Fuentedeprrafopredeter"/>
    <w:rsid w:val="00A47E64"/>
  </w:style>
  <w:style w:type="character" w:customStyle="1" w:styleId="citation-100">
    <w:name w:val="citation-100"/>
    <w:basedOn w:val="Fuentedeprrafopredeter"/>
    <w:rsid w:val="00A47E64"/>
  </w:style>
  <w:style w:type="character" w:customStyle="1" w:styleId="citation-99">
    <w:name w:val="citation-99"/>
    <w:basedOn w:val="Fuentedeprrafopredeter"/>
    <w:rsid w:val="00A47E64"/>
  </w:style>
  <w:style w:type="character" w:customStyle="1" w:styleId="citation-98">
    <w:name w:val="citation-98"/>
    <w:basedOn w:val="Fuentedeprrafopredeter"/>
    <w:rsid w:val="00A47E64"/>
  </w:style>
  <w:style w:type="character" w:customStyle="1" w:styleId="citation-97">
    <w:name w:val="citation-97"/>
    <w:basedOn w:val="Fuentedeprrafopredeter"/>
    <w:rsid w:val="00A47E64"/>
  </w:style>
  <w:style w:type="character" w:customStyle="1" w:styleId="citation-96">
    <w:name w:val="citation-96"/>
    <w:basedOn w:val="Fuentedeprrafopredeter"/>
    <w:rsid w:val="00A47E64"/>
  </w:style>
  <w:style w:type="character" w:customStyle="1" w:styleId="citation-95">
    <w:name w:val="citation-95"/>
    <w:basedOn w:val="Fuentedeprrafopredeter"/>
    <w:rsid w:val="00A47E64"/>
  </w:style>
  <w:style w:type="character" w:customStyle="1" w:styleId="citation-94">
    <w:name w:val="citation-94"/>
    <w:basedOn w:val="Fuentedeprrafopredeter"/>
    <w:rsid w:val="00A47E64"/>
  </w:style>
  <w:style w:type="character" w:customStyle="1" w:styleId="citation-93">
    <w:name w:val="citation-93"/>
    <w:basedOn w:val="Fuentedeprrafopredeter"/>
    <w:rsid w:val="00A47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ersoneria@personeriatulu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D726F2-082F-454A-B16C-FE60883F1C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7950</Words>
  <Characters>43014</Characters>
  <Application>Microsoft Office Word</Application>
  <DocSecurity>0</DocSecurity>
  <Lines>811</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Andreina Cerpa Muñoz</cp:lastModifiedBy>
  <cp:revision>6</cp:revision>
  <dcterms:created xsi:type="dcterms:W3CDTF">2026-03-04T03:59:00Z</dcterms:created>
  <dcterms:modified xsi:type="dcterms:W3CDTF">2026-03-06T16:49:00Z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