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51ECD" w14:textId="77777777" w:rsidR="00911185" w:rsidRPr="00547A08" w:rsidRDefault="00911185" w:rsidP="00911185">
      <w:pPr>
        <w:spacing w:line="276" w:lineRule="auto"/>
        <w:jc w:val="both"/>
        <w:rPr>
          <w:rFonts w:ascii="Verdana" w:eastAsia="Calibri" w:hAnsi="Verdana" w:cs="Arial"/>
          <w:b/>
          <w:lang w:val="es-ES"/>
        </w:rPr>
      </w:pPr>
      <w:bookmarkStart w:id="0" w:name="_Hlk181166130"/>
      <w:bookmarkStart w:id="1" w:name="_Hlk209714638"/>
      <w:r w:rsidRPr="00547A08">
        <w:rPr>
          <w:rFonts w:ascii="Verdana" w:eastAsia="Calibri" w:hAnsi="Verdana" w:cs="Arial"/>
          <w:b/>
          <w:lang w:val="es-ES"/>
        </w:rPr>
        <w:t xml:space="preserve">SUBSANABILIDAD – Concepto – Límites </w:t>
      </w:r>
    </w:p>
    <w:p w14:paraId="432B723E" w14:textId="77777777" w:rsidR="00911185" w:rsidRPr="00547A08" w:rsidRDefault="00911185" w:rsidP="00911185">
      <w:pPr>
        <w:spacing w:after="200"/>
        <w:jc w:val="both"/>
        <w:rPr>
          <w:rFonts w:ascii="Verdana" w:eastAsia="Calibri" w:hAnsi="Verdana" w:cs="Arial"/>
          <w:bCs/>
          <w:sz w:val="20"/>
          <w:szCs w:val="20"/>
          <w:lang w:val="es-ES"/>
        </w:rPr>
      </w:pPr>
      <w:r w:rsidRPr="00547A08">
        <w:rPr>
          <w:rFonts w:ascii="Verdana" w:eastAsia="Calibri" w:hAnsi="Verdana" w:cs="Arial"/>
          <w:bCs/>
          <w:sz w:val="20"/>
          <w:szCs w:val="20"/>
          <w:lang w:val="es-ES"/>
        </w:rPr>
        <w:t>La subsanabilidad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w:t>
      </w:r>
    </w:p>
    <w:p w14:paraId="74CA9135"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 Esta norma [Ley 1882 de 2018]: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tres (3) aspectos que se analizarán a continuación:</w:t>
      </w:r>
    </w:p>
    <w:p w14:paraId="1A31928C"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p>
    <w:p w14:paraId="7ACFB4BC"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De otro lado, el segundo cambio importante de la Ley 1882 de 2018 es el correspondiente a la garantía de seriedad. El parágrafo 3 del artículo 5 de la Ley 1150 de 2007, adicionado por el artículo 5 de la Ley 1882 de 2018 dispone que la falta de entrega de la garantía de seriedad es insubsanable. Al respecto, la norma prescribe lo siguiente: «PARÁGRAFO 3o. La no entrega de la garantía de seriedad junto con la propuesta no será subsanable y será causal de rechazo de la misma».</w:t>
      </w:r>
    </w:p>
    <w:p w14:paraId="0D559320" w14:textId="77777777" w:rsidR="00911185" w:rsidRPr="00547A08" w:rsidRDefault="00911185" w:rsidP="00911185">
      <w:pPr>
        <w:jc w:val="both"/>
        <w:rPr>
          <w:rFonts w:ascii="Verdana" w:eastAsia="Calibri" w:hAnsi="Verdana" w:cs="Arial"/>
          <w:bCs/>
          <w:sz w:val="20"/>
          <w:szCs w:val="20"/>
          <w:lang w:val="es-ES"/>
        </w:rPr>
      </w:pPr>
      <w:r w:rsidRPr="00547A08">
        <w:rPr>
          <w:rFonts w:ascii="Verdana" w:eastAsia="Calibri" w:hAnsi="Verdana" w:cs="Arial"/>
          <w:bCs/>
          <w:sz w:val="20"/>
          <w:szCs w:val="20"/>
          <w:lang w:val="es-ES"/>
        </w:rPr>
        <w:t xml:space="preserve">Finalmente, el último cambio importante de la Ley 1882 de 2018 fue la introducción de un criterio material, directamente relacionado con los aspectos subsanables: «los proponentes no podrán acreditar circunstancias ocurridas con posterioridad al cierre del proceso». Esta regla tiene una finalidad particular, y es que, al momento de presentar la oferta, el proponente la deberá hacerlo de forma íntegra y así evitar que a lo largo del procedimiento contractual complete o adicione su propuesta, conforme mejora su situación particular. </w:t>
      </w:r>
    </w:p>
    <w:p w14:paraId="26F9EBCC" w14:textId="77777777" w:rsidR="00911185" w:rsidRDefault="00911185" w:rsidP="00911185">
      <w:pPr>
        <w:spacing w:after="0" w:line="240" w:lineRule="auto"/>
        <w:jc w:val="both"/>
        <w:rPr>
          <w:rFonts w:ascii="Verdana" w:eastAsia="Aptos" w:hAnsi="Verdana" w:cs="Times New Roman"/>
          <w:sz w:val="20"/>
          <w:szCs w:val="20"/>
        </w:rPr>
      </w:pPr>
    </w:p>
    <w:p w14:paraId="5CD7BB49" w14:textId="77777777" w:rsidR="00911185" w:rsidRPr="003A604C" w:rsidRDefault="00911185" w:rsidP="00911185">
      <w:pPr>
        <w:contextualSpacing/>
        <w:jc w:val="both"/>
        <w:rPr>
          <w:rFonts w:ascii="Verdana" w:hAnsi="Verdana" w:cs="Arial"/>
          <w:b/>
          <w:bdr w:val="none" w:sz="0" w:space="0" w:color="auto" w:frame="1"/>
          <w:lang w:eastAsia="es-CO"/>
        </w:rPr>
      </w:pPr>
      <w:r w:rsidRPr="003A604C">
        <w:rPr>
          <w:rFonts w:ascii="Verdana" w:hAnsi="Verdana" w:cs="Arial"/>
          <w:b/>
          <w:bdr w:val="none" w:sz="0" w:space="0" w:color="auto" w:frame="1"/>
          <w:lang w:eastAsia="es-CO"/>
        </w:rPr>
        <w:t>SUBSANACIÓN – Requisitos Habilitantes – Reglas</w:t>
      </w:r>
    </w:p>
    <w:p w14:paraId="5B38D8FA" w14:textId="77777777" w:rsidR="00911185" w:rsidRDefault="00911185" w:rsidP="00911185">
      <w:pPr>
        <w:spacing w:before="240"/>
        <w:contextualSpacing/>
        <w:jc w:val="both"/>
        <w:rPr>
          <w:rFonts w:ascii="Century Gothic" w:hAnsi="Century Gothic"/>
          <w:sz w:val="20"/>
          <w:szCs w:val="20"/>
        </w:rPr>
      </w:pPr>
    </w:p>
    <w:p w14:paraId="2EE8D985" w14:textId="77777777" w:rsidR="00911185" w:rsidRPr="003A604C" w:rsidRDefault="00911185" w:rsidP="00911185">
      <w:pPr>
        <w:contextualSpacing/>
        <w:jc w:val="both"/>
        <w:rPr>
          <w:rFonts w:ascii="Verdana" w:eastAsia="Calibri" w:hAnsi="Verdana" w:cs="Arial"/>
          <w:color w:val="000000" w:themeColor="text1"/>
          <w:sz w:val="20"/>
          <w:szCs w:val="20"/>
          <w:lang w:val="es-ES"/>
        </w:rPr>
      </w:pPr>
      <w:r w:rsidRPr="003A604C">
        <w:rPr>
          <w:rFonts w:ascii="Verdana" w:eastAsia="Calibri" w:hAnsi="Verdana" w:cs="Arial"/>
          <w:color w:val="000000" w:themeColor="text1"/>
          <w:sz w:val="20"/>
          <w:szCs w:val="20"/>
          <w:lang w:val="es-ES"/>
        </w:rPr>
        <w:t xml:space="preserve">En consecuencia, una vez verificada la ausencia de requisitos y/o documentos de la oferta, para efectos de saber si se pueden subsanar, la Entidad Estatal se debe preguntar, en primer lugar, si lo que hace falta o debe corregirse es un documento que afecte la asignación de puntaje o no y, en segundo lugar, si el cumplimiento del requisito constituye una circunstancia ocurrida con anterioridad o con posterioridad al cierre del proceso. Para arribar a la conclusión de que lo omitido puede subsanarse, la respuesta </w:t>
      </w:r>
      <w:r w:rsidRPr="003A604C">
        <w:rPr>
          <w:rFonts w:ascii="Verdana" w:eastAsia="Calibri" w:hAnsi="Verdana" w:cs="Arial"/>
          <w:color w:val="000000" w:themeColor="text1"/>
          <w:sz w:val="20"/>
          <w:szCs w:val="20"/>
          <w:lang w:val="es-ES"/>
        </w:rPr>
        <w:lastRenderedPageBreak/>
        <w:t>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35ED8FF8" w14:textId="77777777" w:rsidR="00911185" w:rsidRDefault="00911185" w:rsidP="00911185">
      <w:pPr>
        <w:spacing w:after="0" w:line="240" w:lineRule="auto"/>
        <w:jc w:val="both"/>
        <w:rPr>
          <w:rFonts w:ascii="Verdana" w:eastAsia="Aptos" w:hAnsi="Verdana" w:cs="Times New Roman"/>
          <w:sz w:val="20"/>
          <w:szCs w:val="20"/>
        </w:rPr>
      </w:pPr>
    </w:p>
    <w:p w14:paraId="75B8EFF6" w14:textId="77777777" w:rsidR="00911185" w:rsidRDefault="00911185" w:rsidP="00911185">
      <w:pPr>
        <w:spacing w:after="0" w:line="240" w:lineRule="auto"/>
        <w:jc w:val="both"/>
        <w:rPr>
          <w:rFonts w:ascii="Verdana" w:eastAsia="Aptos" w:hAnsi="Verdana" w:cs="Times New Roman"/>
          <w:sz w:val="20"/>
          <w:szCs w:val="20"/>
        </w:rPr>
      </w:pPr>
    </w:p>
    <w:p w14:paraId="52DAAC86" w14:textId="77777777" w:rsidR="00911185" w:rsidRPr="00142702" w:rsidRDefault="00911185" w:rsidP="00911185">
      <w:pPr>
        <w:spacing w:after="0" w:line="240" w:lineRule="auto"/>
        <w:jc w:val="both"/>
        <w:rPr>
          <w:rFonts w:ascii="Verdana" w:eastAsia="Aptos" w:hAnsi="Verdana" w:cs="Times New Roman"/>
          <w:b/>
          <w:bCs/>
          <w:sz w:val="20"/>
          <w:szCs w:val="20"/>
        </w:rPr>
      </w:pPr>
      <w:r w:rsidRPr="00142702">
        <w:rPr>
          <w:rFonts w:ascii="Verdana" w:eastAsia="Calibri" w:hAnsi="Verdana" w:cs="Arial"/>
          <w:b/>
          <w:bCs/>
        </w:rPr>
        <w:t>Manual para determinar y verificar los requisitos habilitantes en los Procesos de Contratación</w:t>
      </w:r>
      <w:r>
        <w:rPr>
          <w:rFonts w:ascii="Verdana" w:eastAsia="Calibri" w:hAnsi="Verdana" w:cs="Arial"/>
          <w:b/>
          <w:bCs/>
        </w:rPr>
        <w:t xml:space="preserve"> – consulta-</w:t>
      </w:r>
    </w:p>
    <w:p w14:paraId="2A1969C5" w14:textId="77777777" w:rsidR="00911185" w:rsidRDefault="00911185" w:rsidP="00911185">
      <w:pPr>
        <w:spacing w:after="0" w:line="240" w:lineRule="auto"/>
        <w:jc w:val="both"/>
        <w:rPr>
          <w:rFonts w:ascii="Verdana" w:eastAsia="Aptos" w:hAnsi="Verdana" w:cs="Times New Roman"/>
          <w:sz w:val="20"/>
          <w:szCs w:val="20"/>
        </w:rPr>
      </w:pPr>
    </w:p>
    <w:p w14:paraId="2BFB8348" w14:textId="77777777" w:rsidR="00911185" w:rsidRPr="00142702" w:rsidRDefault="00911185" w:rsidP="00911185">
      <w:pPr>
        <w:spacing w:line="276" w:lineRule="auto"/>
        <w:jc w:val="both"/>
        <w:rPr>
          <w:rFonts w:ascii="Verdana" w:eastAsia="Calibri" w:hAnsi="Verdana" w:cs="Arial"/>
          <w:bCs/>
          <w:color w:val="000000" w:themeColor="text1"/>
          <w:sz w:val="20"/>
          <w:szCs w:val="20"/>
        </w:rPr>
      </w:pPr>
      <w:r>
        <w:rPr>
          <w:rFonts w:ascii="Verdana" w:eastAsia="Calibri" w:hAnsi="Verdana" w:cs="Arial"/>
          <w:sz w:val="20"/>
          <w:szCs w:val="20"/>
        </w:rPr>
        <w:t>E</w:t>
      </w:r>
      <w:r w:rsidRPr="00142702">
        <w:rPr>
          <w:rFonts w:ascii="Verdana" w:eastAsia="Calibri" w:hAnsi="Verdana" w:cs="Arial"/>
          <w:sz w:val="20"/>
          <w:szCs w:val="20"/>
        </w:rPr>
        <w:t>l Manual para determinar y verificar los requisitos habilitantes en los Procesos de Contratación, elaborado por Colombia Compra Eficiente</w:t>
      </w:r>
      <w:r w:rsidRPr="00142702">
        <w:rPr>
          <w:rStyle w:val="Refdenotaalpie"/>
          <w:rFonts w:ascii="Verdana" w:eastAsia="Calibri" w:hAnsi="Verdana" w:cs="Arial"/>
          <w:sz w:val="20"/>
          <w:szCs w:val="20"/>
        </w:rPr>
        <w:footnoteReference w:id="1"/>
      </w:r>
      <w:r w:rsidRPr="00142702">
        <w:rPr>
          <w:rFonts w:ascii="Verdana" w:eastAsia="Calibri" w:hAnsi="Verdana" w:cs="Arial"/>
          <w:sz w:val="20"/>
          <w:szCs w:val="20"/>
        </w:rPr>
        <w:t>,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w:t>
      </w:r>
      <w:r>
        <w:rPr>
          <w:rFonts w:ascii="Verdana" w:eastAsia="Calibri" w:hAnsi="Verdana" w:cs="Arial"/>
          <w:sz w:val="20"/>
          <w:szCs w:val="20"/>
        </w:rPr>
        <w:t>.</w:t>
      </w:r>
    </w:p>
    <w:p w14:paraId="6AE83D64" w14:textId="77777777" w:rsidR="00911185" w:rsidRDefault="00911185" w:rsidP="00911185">
      <w:pPr>
        <w:spacing w:after="0" w:line="240" w:lineRule="auto"/>
        <w:jc w:val="both"/>
        <w:rPr>
          <w:rFonts w:ascii="Verdana" w:eastAsia="Aptos" w:hAnsi="Verdana" w:cs="Times New Roman"/>
          <w:sz w:val="20"/>
          <w:szCs w:val="20"/>
        </w:rPr>
      </w:pPr>
    </w:p>
    <w:p w14:paraId="6A88162B" w14:textId="77777777" w:rsidR="00911185" w:rsidRDefault="00911185" w:rsidP="00911185">
      <w:pPr>
        <w:spacing w:after="0" w:line="240" w:lineRule="auto"/>
        <w:jc w:val="both"/>
        <w:rPr>
          <w:rFonts w:ascii="Verdana" w:eastAsia="Aptos" w:hAnsi="Verdana" w:cs="Times New Roman"/>
          <w:sz w:val="20"/>
          <w:szCs w:val="20"/>
        </w:rPr>
      </w:pPr>
    </w:p>
    <w:p w14:paraId="01C75EBE" w14:textId="77777777" w:rsidR="00911185" w:rsidRDefault="00911185" w:rsidP="00911185">
      <w:pPr>
        <w:spacing w:after="0" w:line="240" w:lineRule="auto"/>
        <w:jc w:val="both"/>
        <w:rPr>
          <w:rFonts w:ascii="Verdana" w:eastAsia="Aptos" w:hAnsi="Verdana" w:cs="Times New Roman"/>
          <w:sz w:val="20"/>
          <w:szCs w:val="20"/>
        </w:rPr>
      </w:pPr>
    </w:p>
    <w:p w14:paraId="6253CAA2" w14:textId="77777777" w:rsidR="00EC5C8D" w:rsidRDefault="00EC5C8D" w:rsidP="00103B90">
      <w:pPr>
        <w:spacing w:after="0" w:line="240" w:lineRule="auto"/>
        <w:rPr>
          <w:rFonts w:ascii="Verdana" w:hAnsi="Verdana"/>
        </w:rPr>
      </w:pPr>
    </w:p>
    <w:p w14:paraId="4454A3AD" w14:textId="77777777" w:rsidR="00EC5C8D" w:rsidRDefault="00EC5C8D" w:rsidP="00103B90">
      <w:pPr>
        <w:spacing w:after="0" w:line="240" w:lineRule="auto"/>
        <w:rPr>
          <w:rFonts w:ascii="Verdana" w:hAnsi="Verdana"/>
        </w:rPr>
      </w:pPr>
    </w:p>
    <w:p w14:paraId="76BA39A5" w14:textId="77777777" w:rsidR="00EC5C8D" w:rsidRDefault="00EC5C8D" w:rsidP="00103B90">
      <w:pPr>
        <w:spacing w:after="0" w:line="240" w:lineRule="auto"/>
        <w:rPr>
          <w:rFonts w:ascii="Verdana" w:hAnsi="Verdana"/>
        </w:rPr>
      </w:pPr>
    </w:p>
    <w:p w14:paraId="4B613F31" w14:textId="77777777" w:rsidR="00EC5C8D" w:rsidRDefault="00EC5C8D" w:rsidP="00103B90">
      <w:pPr>
        <w:spacing w:after="0" w:line="240" w:lineRule="auto"/>
        <w:rPr>
          <w:rFonts w:ascii="Verdana" w:hAnsi="Verdana"/>
        </w:rPr>
      </w:pPr>
    </w:p>
    <w:p w14:paraId="6A7F61B1" w14:textId="77777777" w:rsidR="00EC5C8D" w:rsidRDefault="00EC5C8D" w:rsidP="00103B90">
      <w:pPr>
        <w:spacing w:after="0" w:line="240" w:lineRule="auto"/>
        <w:rPr>
          <w:rFonts w:ascii="Verdana" w:hAnsi="Verdana"/>
        </w:rPr>
      </w:pPr>
    </w:p>
    <w:p w14:paraId="59EF6C5A" w14:textId="77777777" w:rsidR="00EC5C8D" w:rsidRDefault="00EC5C8D" w:rsidP="00103B90">
      <w:pPr>
        <w:spacing w:after="0" w:line="240" w:lineRule="auto"/>
        <w:rPr>
          <w:rFonts w:ascii="Verdana" w:hAnsi="Verdana"/>
        </w:rPr>
      </w:pPr>
    </w:p>
    <w:p w14:paraId="7E58A460" w14:textId="77777777" w:rsidR="00911185" w:rsidRDefault="00911185" w:rsidP="00103B90">
      <w:pPr>
        <w:spacing w:after="0" w:line="240" w:lineRule="auto"/>
        <w:rPr>
          <w:rFonts w:ascii="Verdana" w:hAnsi="Verdana"/>
        </w:rPr>
      </w:pPr>
    </w:p>
    <w:p w14:paraId="04E03D4D" w14:textId="77777777" w:rsidR="00911185" w:rsidRDefault="00911185" w:rsidP="00103B90">
      <w:pPr>
        <w:spacing w:after="0" w:line="240" w:lineRule="auto"/>
        <w:rPr>
          <w:rFonts w:ascii="Verdana" w:hAnsi="Verdana"/>
        </w:rPr>
      </w:pPr>
    </w:p>
    <w:p w14:paraId="6EE54907" w14:textId="77777777" w:rsidR="00911185" w:rsidRDefault="00911185" w:rsidP="00103B90">
      <w:pPr>
        <w:spacing w:after="0" w:line="240" w:lineRule="auto"/>
        <w:rPr>
          <w:rFonts w:ascii="Verdana" w:hAnsi="Verdana"/>
        </w:rPr>
      </w:pPr>
    </w:p>
    <w:p w14:paraId="50C12E8E" w14:textId="77777777" w:rsidR="00911185" w:rsidRDefault="00911185" w:rsidP="00103B90">
      <w:pPr>
        <w:spacing w:after="0" w:line="240" w:lineRule="auto"/>
        <w:rPr>
          <w:rFonts w:ascii="Verdana" w:hAnsi="Verdana"/>
        </w:rPr>
      </w:pPr>
    </w:p>
    <w:p w14:paraId="619EB02A" w14:textId="77777777" w:rsidR="00911185" w:rsidRDefault="00911185" w:rsidP="00103B90">
      <w:pPr>
        <w:spacing w:after="0" w:line="240" w:lineRule="auto"/>
        <w:rPr>
          <w:rFonts w:ascii="Verdana" w:hAnsi="Verdana"/>
        </w:rPr>
      </w:pPr>
    </w:p>
    <w:p w14:paraId="65C0751D" w14:textId="77777777" w:rsidR="00911185" w:rsidRDefault="00911185" w:rsidP="00103B90">
      <w:pPr>
        <w:spacing w:after="0" w:line="240" w:lineRule="auto"/>
        <w:rPr>
          <w:rFonts w:ascii="Verdana" w:hAnsi="Verdana"/>
        </w:rPr>
      </w:pPr>
    </w:p>
    <w:p w14:paraId="47C107D1" w14:textId="77777777" w:rsidR="00911185" w:rsidRDefault="00911185" w:rsidP="00103B90">
      <w:pPr>
        <w:spacing w:after="0" w:line="240" w:lineRule="auto"/>
        <w:rPr>
          <w:rFonts w:ascii="Verdana" w:hAnsi="Verdana"/>
        </w:rPr>
      </w:pPr>
    </w:p>
    <w:p w14:paraId="1A6E0D96" w14:textId="77777777" w:rsidR="00911185" w:rsidRDefault="00911185" w:rsidP="00103B90">
      <w:pPr>
        <w:spacing w:after="0" w:line="240" w:lineRule="auto"/>
        <w:rPr>
          <w:rFonts w:ascii="Verdana" w:hAnsi="Verdana"/>
        </w:rPr>
      </w:pPr>
    </w:p>
    <w:p w14:paraId="622A0F74" w14:textId="77777777" w:rsidR="00911185" w:rsidRDefault="00911185" w:rsidP="00103B90">
      <w:pPr>
        <w:spacing w:after="0" w:line="240" w:lineRule="auto"/>
        <w:rPr>
          <w:rFonts w:ascii="Verdana" w:hAnsi="Verdana"/>
        </w:rPr>
      </w:pPr>
    </w:p>
    <w:p w14:paraId="4F766BB8" w14:textId="77777777" w:rsidR="00EC5C8D" w:rsidRDefault="00EC5C8D" w:rsidP="00103B90">
      <w:pPr>
        <w:spacing w:after="0" w:line="240" w:lineRule="auto"/>
        <w:rPr>
          <w:rFonts w:ascii="Verdana" w:hAnsi="Verdana"/>
        </w:rPr>
      </w:pPr>
    </w:p>
    <w:p w14:paraId="1E0E134D" w14:textId="77777777" w:rsidR="00EC5C8D" w:rsidRDefault="00EC5C8D" w:rsidP="00103B90">
      <w:pPr>
        <w:spacing w:after="0" w:line="240" w:lineRule="auto"/>
        <w:rPr>
          <w:rFonts w:ascii="Verdana" w:hAnsi="Verdana"/>
        </w:rPr>
      </w:pPr>
    </w:p>
    <w:p w14:paraId="38F97FD3" w14:textId="77777777" w:rsidR="00EC5C8D" w:rsidRDefault="00EC5C8D" w:rsidP="00103B90">
      <w:pPr>
        <w:spacing w:after="0" w:line="240" w:lineRule="auto"/>
        <w:rPr>
          <w:rFonts w:ascii="Verdana" w:hAnsi="Verdana"/>
        </w:rPr>
      </w:pPr>
    </w:p>
    <w:p w14:paraId="44153E91" w14:textId="77777777" w:rsidR="00EC5C8D" w:rsidRDefault="00EC5C8D" w:rsidP="00103B90">
      <w:pPr>
        <w:spacing w:after="0" w:line="240" w:lineRule="auto"/>
        <w:rPr>
          <w:rFonts w:ascii="Verdana" w:hAnsi="Verdana"/>
        </w:rPr>
      </w:pPr>
    </w:p>
    <w:p w14:paraId="753A3578" w14:textId="77777777" w:rsidR="006B2C02" w:rsidRDefault="006B2C02" w:rsidP="00103B90">
      <w:pPr>
        <w:spacing w:after="0" w:line="240" w:lineRule="auto"/>
        <w:rPr>
          <w:rFonts w:ascii="Verdana" w:hAnsi="Verdana"/>
        </w:rPr>
      </w:pPr>
    </w:p>
    <w:p w14:paraId="734BF481" w14:textId="7001741D" w:rsidR="00A64017" w:rsidRDefault="00A800B4" w:rsidP="00103B90">
      <w:pPr>
        <w:spacing w:after="0" w:line="240" w:lineRule="auto"/>
        <w:rPr>
          <w:rFonts w:ascii="Verdana" w:hAnsi="Verdana"/>
        </w:rPr>
      </w:pPr>
      <w:r>
        <w:rPr>
          <w:rFonts w:ascii="Verdana" w:hAnsi="Verdana"/>
        </w:rPr>
        <w:lastRenderedPageBreak/>
        <w:t>B</w:t>
      </w:r>
      <w:r w:rsidR="00A64017" w:rsidRPr="0044528D">
        <w:rPr>
          <w:rFonts w:ascii="Verdana" w:hAnsi="Verdana"/>
        </w:rPr>
        <w:t xml:space="preserve">ogotá D.C., </w:t>
      </w:r>
      <w:r w:rsidR="00D60F6C">
        <w:rPr>
          <w:rFonts w:ascii="Verdana" w:hAnsi="Verdana"/>
        </w:rPr>
        <w:t>30</w:t>
      </w:r>
      <w:r w:rsidR="00332320">
        <w:rPr>
          <w:rFonts w:ascii="Verdana" w:hAnsi="Verdana"/>
        </w:rPr>
        <w:t xml:space="preserve"> </w:t>
      </w:r>
      <w:r w:rsidR="00324E0B">
        <w:rPr>
          <w:rFonts w:ascii="Verdana" w:hAnsi="Verdana"/>
        </w:rPr>
        <w:t xml:space="preserve"> </w:t>
      </w:r>
      <w:r w:rsidR="00763E4A">
        <w:rPr>
          <w:rFonts w:ascii="Verdana" w:hAnsi="Verdana"/>
        </w:rPr>
        <w:t xml:space="preserve">de </w:t>
      </w:r>
      <w:r w:rsidR="00CE32D1">
        <w:rPr>
          <w:rFonts w:ascii="Verdana" w:hAnsi="Verdana"/>
        </w:rPr>
        <w:t>octubre</w:t>
      </w:r>
      <w:r w:rsidR="00763E4A">
        <w:rPr>
          <w:rFonts w:ascii="Verdana" w:hAnsi="Verdana"/>
        </w:rPr>
        <w:t xml:space="preserve"> de </w:t>
      </w:r>
      <w:r w:rsidR="00331CD0">
        <w:rPr>
          <w:rFonts w:ascii="Verdana" w:hAnsi="Verdana"/>
        </w:rPr>
        <w:t>2025</w:t>
      </w:r>
      <w:r w:rsidR="00763E4A">
        <w:rPr>
          <w:rFonts w:ascii="Verdana" w:hAnsi="Verdana"/>
        </w:rPr>
        <w:t>.</w:t>
      </w:r>
    </w:p>
    <w:bookmarkEnd w:id="0"/>
    <w:p w14:paraId="43EFFE03" w14:textId="77777777" w:rsidR="00A64017" w:rsidRDefault="00A64017" w:rsidP="00103B90">
      <w:pPr>
        <w:spacing w:after="0" w:line="240" w:lineRule="auto"/>
        <w:rPr>
          <w:rFonts w:ascii="Verdana" w:hAnsi="Verdana"/>
        </w:rPr>
      </w:pPr>
    </w:p>
    <w:p w14:paraId="24B08334" w14:textId="40BD4241" w:rsidR="00331CD0" w:rsidRDefault="00D60F6C" w:rsidP="00331CD0">
      <w:pPr>
        <w:spacing w:after="0" w:line="240" w:lineRule="auto"/>
        <w:jc w:val="right"/>
        <w:rPr>
          <w:rFonts w:ascii="Verdana" w:hAnsi="Verdana"/>
        </w:rPr>
      </w:pPr>
      <w:r>
        <w:rPr>
          <w:rFonts w:ascii="Verdana" w:hAnsi="Verdana"/>
          <w:noProof/>
        </w:rPr>
        <w:drawing>
          <wp:inline distT="0" distB="0" distL="0" distR="0" wp14:anchorId="23D16AFF" wp14:editId="674442A3">
            <wp:extent cx="2505075" cy="733425"/>
            <wp:effectExtent l="0" t="0" r="9525" b="9525"/>
            <wp:docPr id="6592787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5075" cy="733425"/>
                    </a:xfrm>
                    <a:prstGeom prst="rect">
                      <a:avLst/>
                    </a:prstGeom>
                    <a:noFill/>
                    <a:ln>
                      <a:noFill/>
                    </a:ln>
                  </pic:spPr>
                </pic:pic>
              </a:graphicData>
            </a:graphic>
          </wp:inline>
        </w:drawing>
      </w:r>
    </w:p>
    <w:p w14:paraId="32625BB2" w14:textId="47E88957" w:rsidR="00CE32D1" w:rsidRDefault="00CE32D1" w:rsidP="00331CD0">
      <w:pPr>
        <w:spacing w:after="0" w:line="240" w:lineRule="auto"/>
        <w:jc w:val="right"/>
        <w:rPr>
          <w:rFonts w:ascii="Verdana" w:hAnsi="Verdana"/>
        </w:rPr>
      </w:pPr>
    </w:p>
    <w:p w14:paraId="6EF9D4E0" w14:textId="4B9E9A24" w:rsidR="00A64017" w:rsidRPr="00631045" w:rsidRDefault="00A64017" w:rsidP="00A64017">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sidRPr="00631045">
        <w:rPr>
          <w:rFonts w:ascii="Verdana" w:eastAsia="Calibri" w:hAnsi="Verdana" w:cs="Arial"/>
          <w:lang w:eastAsia="es-ES"/>
        </w:rPr>
        <w:tab/>
      </w:r>
    </w:p>
    <w:p w14:paraId="200679A4" w14:textId="68F5C2C3" w:rsidR="00FA3CFE" w:rsidRDefault="00911185" w:rsidP="00A64017">
      <w:pPr>
        <w:spacing w:after="0" w:line="240" w:lineRule="auto"/>
        <w:rPr>
          <w:rFonts w:ascii="Verdana" w:eastAsia="Calibri" w:hAnsi="Verdana" w:cs="Arial"/>
          <w:b/>
          <w:bCs/>
          <w:lang w:eastAsia="es-ES"/>
        </w:rPr>
      </w:pPr>
      <w:r w:rsidRPr="00911185">
        <w:rPr>
          <w:rFonts w:ascii="Verdana" w:eastAsia="Calibri" w:hAnsi="Verdana" w:cs="Arial"/>
          <w:b/>
          <w:bCs/>
          <w:lang w:eastAsia="es-ES"/>
        </w:rPr>
        <w:t>JHON ALEXANDER BARRIOS LASSO</w:t>
      </w:r>
    </w:p>
    <w:p w14:paraId="1FD85336" w14:textId="0521D622" w:rsidR="00A64017" w:rsidRPr="00911185" w:rsidRDefault="00911185" w:rsidP="00A64017">
      <w:pPr>
        <w:spacing w:after="0" w:line="240" w:lineRule="auto"/>
        <w:rPr>
          <w:rFonts w:ascii="Verdana" w:hAnsi="Verdana"/>
        </w:rPr>
      </w:pPr>
      <w:hyperlink r:id="rId12" w:history="1">
        <w:r w:rsidRPr="00911185">
          <w:rPr>
            <w:rStyle w:val="Hipervnculo"/>
            <w:rFonts w:ascii="Verdana" w:hAnsi="Verdana"/>
          </w:rPr>
          <w:t>jbarrioslasso@yahoo.es</w:t>
        </w:r>
      </w:hyperlink>
      <w:r w:rsidRPr="00911185">
        <w:rPr>
          <w:rFonts w:ascii="Verdana" w:hAnsi="Verdana"/>
        </w:rPr>
        <w:t xml:space="preserve"> </w:t>
      </w:r>
      <w:r w:rsidR="0057166B" w:rsidRPr="00911185">
        <w:rPr>
          <w:rFonts w:ascii="Verdana" w:hAnsi="Verdana"/>
        </w:rPr>
        <w:t xml:space="preserve"> </w:t>
      </w:r>
      <w:r w:rsidR="00631045" w:rsidRPr="00911185">
        <w:rPr>
          <w:rFonts w:ascii="Verdana" w:hAnsi="Verdana"/>
        </w:rPr>
        <w:t xml:space="preserve"> </w:t>
      </w:r>
    </w:p>
    <w:p w14:paraId="48FCFCCF" w14:textId="275C99B1" w:rsidR="00A64017" w:rsidRDefault="00911185" w:rsidP="00A64017">
      <w:pPr>
        <w:spacing w:after="0" w:line="240" w:lineRule="auto"/>
        <w:rPr>
          <w:rFonts w:ascii="Verdana" w:hAnsi="Verdana"/>
        </w:rPr>
      </w:pPr>
      <w:r>
        <w:rPr>
          <w:rFonts w:ascii="Verdana" w:hAnsi="Verdana"/>
        </w:rPr>
        <w:t xml:space="preserve">Bogotá D.C. </w:t>
      </w:r>
    </w:p>
    <w:p w14:paraId="2C7B6D66" w14:textId="77777777" w:rsidR="00A64017" w:rsidRPr="00FE3DEC" w:rsidRDefault="00A64017"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593A5F" w14:paraId="01D86018" w14:textId="77777777" w:rsidTr="00A15B1F">
        <w:trPr>
          <w:trHeight w:val="273"/>
        </w:trPr>
        <w:tc>
          <w:tcPr>
            <w:tcW w:w="2295" w:type="dxa"/>
          </w:tcPr>
          <w:p w14:paraId="1620BC45" w14:textId="77777777" w:rsidR="00A64017" w:rsidRPr="00E5644F"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08CBD94C" w:rsidR="00A64017" w:rsidRDefault="00A64017" w:rsidP="00A15B1F">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sidR="00911185">
              <w:rPr>
                <w:rFonts w:ascii="Verdana" w:eastAsia="Calibri" w:hAnsi="Verdana" w:cs="Arial"/>
                <w:b/>
                <w:bCs/>
                <w:lang w:val="es-ES" w:eastAsia="es-ES"/>
              </w:rPr>
              <w:t>1363</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307B3621" w14:textId="77777777" w:rsidR="00A64017" w:rsidRPr="00E5644F"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7AEAD5DA" w14:textId="77777777" w:rsidR="00911185" w:rsidRPr="003A604C" w:rsidRDefault="00911185" w:rsidP="00911185">
            <w:pPr>
              <w:contextualSpacing/>
              <w:jc w:val="both"/>
              <w:rPr>
                <w:rFonts w:ascii="Verdana" w:hAnsi="Verdana" w:cs="Arial"/>
                <w:b/>
                <w:bdr w:val="none" w:sz="0" w:space="0" w:color="auto" w:frame="1"/>
                <w:lang w:eastAsia="es-CO"/>
              </w:rPr>
            </w:pPr>
            <w:r w:rsidRPr="00142702">
              <w:rPr>
                <w:rFonts w:ascii="Verdana" w:eastAsia="Calibri" w:hAnsi="Verdana" w:cs="Arial"/>
                <w:bCs/>
                <w:lang w:val="es-ES"/>
              </w:rPr>
              <w:t xml:space="preserve">SUBSANABILIDAD – Concepto – Límites </w:t>
            </w:r>
            <w:r>
              <w:rPr>
                <w:rFonts w:ascii="Verdana" w:eastAsia="Calibri" w:hAnsi="Verdana" w:cs="Arial"/>
                <w:bCs/>
                <w:lang w:val="es-ES"/>
              </w:rPr>
              <w:t>-</w:t>
            </w:r>
            <w:r w:rsidRPr="00142702">
              <w:rPr>
                <w:rFonts w:ascii="Verdana" w:eastAsia="Calibri" w:hAnsi="Verdana" w:cs="Arial"/>
                <w:bCs/>
                <w:lang w:val="es-ES"/>
              </w:rPr>
              <w:t xml:space="preserve"> </w:t>
            </w:r>
            <w:r w:rsidRPr="00142702">
              <w:rPr>
                <w:rFonts w:ascii="Verdana" w:hAnsi="Verdana" w:cs="Arial"/>
                <w:bCs/>
                <w:bdr w:val="none" w:sz="0" w:space="0" w:color="auto" w:frame="1"/>
                <w:lang w:eastAsia="es-CO"/>
              </w:rPr>
              <w:t>SUBSANACIÓN – Requisitos Habilitantes – Reglas</w:t>
            </w:r>
            <w:r>
              <w:rPr>
                <w:rFonts w:ascii="Verdana" w:hAnsi="Verdana" w:cs="Arial"/>
                <w:bCs/>
                <w:bdr w:val="none" w:sz="0" w:space="0" w:color="auto" w:frame="1"/>
                <w:lang w:eastAsia="es-CO"/>
              </w:rPr>
              <w:t xml:space="preserve"> - </w:t>
            </w:r>
            <w:r w:rsidRPr="00142702">
              <w:rPr>
                <w:rFonts w:ascii="Verdana" w:hAnsi="Verdana" w:cs="Arial"/>
                <w:bCs/>
                <w:bdr w:val="none" w:sz="0" w:space="0" w:color="auto" w:frame="1"/>
                <w:lang w:eastAsia="es-CO"/>
              </w:rPr>
              <w:t>Manual para determinar y verificar los requisitos habilitantes en los Procesos de Contratación – consulta</w:t>
            </w:r>
            <w:r>
              <w:rPr>
                <w:rFonts w:ascii="Verdana" w:hAnsi="Verdana" w:cs="Arial"/>
                <w:bCs/>
                <w:bdr w:val="none" w:sz="0" w:space="0" w:color="auto" w:frame="1"/>
                <w:lang w:eastAsia="es-CO"/>
              </w:rPr>
              <w:t>.</w:t>
            </w:r>
          </w:p>
          <w:p w14:paraId="5DDDE71B" w14:textId="2CE34107" w:rsidR="002A22D8" w:rsidRPr="00905A2C" w:rsidRDefault="002A22D8" w:rsidP="002A22D8">
            <w:pPr>
              <w:jc w:val="both"/>
              <w:rPr>
                <w:rFonts w:ascii="Verdana" w:hAnsi="Verdana" w:cs="Arial"/>
                <w:lang w:val="es-ES_tradnl" w:eastAsia="es-ES"/>
              </w:rPr>
            </w:pPr>
          </w:p>
          <w:p w14:paraId="2A049EB1" w14:textId="7974BC7C" w:rsidR="00C91AF4" w:rsidRPr="00280D79" w:rsidRDefault="00C91AF4" w:rsidP="00103B90">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73BD2F7D"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911185" w:rsidRPr="00911185">
              <w:rPr>
                <w:rFonts w:ascii="Verdana" w:eastAsia="Calibri" w:hAnsi="Verdana" w:cs="Arial"/>
                <w:lang w:val="es-ES_tradnl" w:eastAsia="es-ES_tradnl"/>
              </w:rPr>
              <w:t>1_2025_09_23_010450</w:t>
            </w:r>
            <w:r w:rsidR="00CE32D1">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5E24FA2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911185">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911185">
        <w:rPr>
          <w:rFonts w:ascii="Verdana" w:eastAsia="Calibri" w:hAnsi="Verdana" w:cs="Arial"/>
          <w:lang w:val="es-ES" w:eastAsia="es-ES"/>
        </w:rPr>
        <w:t>Barrios</w:t>
      </w:r>
      <w:r>
        <w:rPr>
          <w:rFonts w:ascii="Verdana" w:eastAsia="Calibri" w:hAnsi="Verdana" w:cs="Arial"/>
          <w:lang w:val="es-ES" w:eastAsia="es-ES"/>
        </w:rPr>
        <w:t>;</w:t>
      </w:r>
    </w:p>
    <w:p w14:paraId="6683B019" w14:textId="77777777" w:rsidR="00A64017" w:rsidRDefault="00A64017"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507A697" w14:textId="4EA2DFC3"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0057166B">
        <w:rPr>
          <w:rFonts w:ascii="Verdana" w:eastAsia="Calibri" w:hAnsi="Verdana" w:cs="Arial"/>
          <w:lang w:val="es-ES" w:eastAsia="es-ES"/>
        </w:rPr>
        <w:t xml:space="preserve">trasladada por el Departamento Administrativo de la Función Pública y radicada en esta entidad </w:t>
      </w:r>
      <w:r w:rsidRPr="00E5644F">
        <w:rPr>
          <w:rFonts w:ascii="Verdana" w:eastAsia="Calibri" w:hAnsi="Verdana" w:cs="Arial"/>
          <w:lang w:val="es-ES" w:eastAsia="es-ES"/>
        </w:rPr>
        <w:t xml:space="preserve">el </w:t>
      </w:r>
      <w:r w:rsidR="0057166B">
        <w:rPr>
          <w:rFonts w:ascii="Verdana" w:eastAsia="Calibri" w:hAnsi="Verdana" w:cs="Arial"/>
          <w:lang w:val="es-ES" w:eastAsia="es-ES"/>
        </w:rPr>
        <w:t>26</w:t>
      </w:r>
      <w:r w:rsidR="00CA01D8">
        <w:rPr>
          <w:rFonts w:ascii="Verdana" w:eastAsia="Calibri" w:hAnsi="Verdana" w:cs="Arial"/>
          <w:lang w:val="es-ES" w:eastAsia="es-ES"/>
        </w:rPr>
        <w:t xml:space="preserve"> </w:t>
      </w:r>
      <w:r w:rsidRPr="00E5644F">
        <w:rPr>
          <w:rFonts w:ascii="Verdana" w:eastAsia="Calibri" w:hAnsi="Verdana" w:cs="Arial"/>
          <w:lang w:val="es-ES" w:eastAsia="es-ES"/>
        </w:rPr>
        <w:t xml:space="preserve">de </w:t>
      </w:r>
      <w:r w:rsidR="00631045">
        <w:rPr>
          <w:rFonts w:ascii="Verdana" w:eastAsia="Calibri" w:hAnsi="Verdana" w:cs="Arial"/>
          <w:lang w:val="es-ES" w:eastAsia="es-ES"/>
        </w:rPr>
        <w:t>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11D516E0" w14:textId="1BA20C2B" w:rsidR="00A64017" w:rsidRDefault="00A64017"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r w:rsidRPr="00B350FE">
        <w:rPr>
          <w:rFonts w:ascii="Verdana" w:eastAsia="Century Gothic" w:hAnsi="Verdana" w:cs="Century Gothic"/>
          <w:i/>
          <w:iCs/>
          <w:sz w:val="20"/>
          <w:szCs w:val="20"/>
        </w:rPr>
        <w:t xml:space="preserve">“(…) </w:t>
      </w:r>
    </w:p>
    <w:p w14:paraId="64401E59" w14:textId="77777777" w:rsidR="00B350FE" w:rsidRPr="00B350FE" w:rsidRDefault="00B350FE" w:rsidP="00103B90">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19A0E60" w14:textId="77777777" w:rsidR="00FF5454" w:rsidRDefault="00FF5454" w:rsidP="00FF5454">
      <w:pPr>
        <w:tabs>
          <w:tab w:val="left" w:pos="142"/>
          <w:tab w:val="left" w:pos="567"/>
        </w:tabs>
        <w:spacing w:after="0" w:line="240" w:lineRule="auto"/>
        <w:ind w:left="709" w:right="709"/>
        <w:jc w:val="both"/>
        <w:rPr>
          <w:rFonts w:ascii="Verdana" w:eastAsia="Century Gothic" w:hAnsi="Verdana" w:cs="Century Gothic"/>
          <w:i/>
          <w:iCs/>
          <w:sz w:val="20"/>
          <w:szCs w:val="20"/>
        </w:rPr>
      </w:pPr>
      <w:r w:rsidRPr="00FF5454">
        <w:rPr>
          <w:rFonts w:ascii="Verdana" w:eastAsia="Century Gothic" w:hAnsi="Verdana" w:cs="Century Gothic"/>
          <w:i/>
          <w:iCs/>
          <w:sz w:val="20"/>
          <w:szCs w:val="20"/>
        </w:rPr>
        <w:t xml:space="preserve">Con base en el radicado </w:t>
      </w:r>
      <w:r w:rsidRPr="00FF5454">
        <w:rPr>
          <w:rFonts w:ascii="Verdana" w:eastAsia="Century Gothic" w:hAnsi="Verdana" w:cs="Century Gothic"/>
          <w:b/>
          <w:bCs/>
          <w:i/>
          <w:iCs/>
          <w:sz w:val="20"/>
          <w:szCs w:val="20"/>
        </w:rPr>
        <w:t>1_2025_09_16_010170</w:t>
      </w:r>
      <w:r w:rsidRPr="00FF5454">
        <w:rPr>
          <w:rFonts w:ascii="Verdana" w:eastAsia="Century Gothic" w:hAnsi="Verdana" w:cs="Century Gothic"/>
          <w:i/>
          <w:iCs/>
          <w:sz w:val="20"/>
          <w:szCs w:val="20"/>
        </w:rPr>
        <w:t xml:space="preserve"> y en la respuesta parcial emitida mediante el radicado </w:t>
      </w:r>
      <w:r w:rsidRPr="00FF5454">
        <w:rPr>
          <w:rFonts w:ascii="Verdana" w:eastAsia="Century Gothic" w:hAnsi="Verdana" w:cs="Century Gothic"/>
          <w:b/>
          <w:bCs/>
          <w:i/>
          <w:iCs/>
          <w:sz w:val="20"/>
          <w:szCs w:val="20"/>
        </w:rPr>
        <w:t>2_2025_09_19_009909</w:t>
      </w:r>
      <w:r w:rsidRPr="00FF5454">
        <w:rPr>
          <w:rFonts w:ascii="Verdana" w:eastAsia="Century Gothic" w:hAnsi="Verdana" w:cs="Century Gothic"/>
          <w:i/>
          <w:iCs/>
          <w:sz w:val="20"/>
          <w:szCs w:val="20"/>
        </w:rPr>
        <w:t xml:space="preserve">, en la que se solicita aclaración a la consulta, lo que se pretende precisar es si, en el proceso de selección de </w:t>
      </w:r>
      <w:r w:rsidRPr="00FF5454">
        <w:rPr>
          <w:rFonts w:ascii="Verdana" w:eastAsia="Century Gothic" w:hAnsi="Verdana" w:cs="Century Gothic"/>
          <w:b/>
          <w:bCs/>
          <w:i/>
          <w:iCs/>
          <w:sz w:val="20"/>
          <w:szCs w:val="20"/>
        </w:rPr>
        <w:t>mínima cuantía</w:t>
      </w:r>
      <w:r w:rsidRPr="00FF5454">
        <w:rPr>
          <w:rFonts w:ascii="Verdana" w:eastAsia="Century Gothic" w:hAnsi="Verdana" w:cs="Century Gothic"/>
          <w:i/>
          <w:iCs/>
          <w:sz w:val="20"/>
          <w:szCs w:val="20"/>
        </w:rPr>
        <w:t xml:space="preserve">, la entidad puede adjudicar el contrato el </w:t>
      </w:r>
      <w:r w:rsidRPr="00FF5454">
        <w:rPr>
          <w:rFonts w:ascii="Verdana" w:eastAsia="Century Gothic" w:hAnsi="Verdana" w:cs="Century Gothic"/>
          <w:b/>
          <w:bCs/>
          <w:i/>
          <w:iCs/>
          <w:sz w:val="20"/>
          <w:szCs w:val="20"/>
        </w:rPr>
        <w:t>11 de septiembre de 2024</w:t>
      </w:r>
      <w:r w:rsidRPr="00FF5454">
        <w:rPr>
          <w:rFonts w:ascii="Verdana" w:eastAsia="Century Gothic" w:hAnsi="Verdana" w:cs="Century Gothic"/>
          <w:i/>
          <w:iCs/>
          <w:sz w:val="20"/>
          <w:szCs w:val="20"/>
        </w:rPr>
        <w:t xml:space="preserve">, o, en su defecto, cuál es el plazo establecido para la </w:t>
      </w:r>
      <w:r w:rsidRPr="00FF5454">
        <w:rPr>
          <w:rFonts w:ascii="Verdana" w:eastAsia="Century Gothic" w:hAnsi="Verdana" w:cs="Century Gothic"/>
          <w:b/>
          <w:bCs/>
          <w:i/>
          <w:iCs/>
          <w:sz w:val="20"/>
          <w:szCs w:val="20"/>
        </w:rPr>
        <w:t>subsanación de las ofertas</w:t>
      </w:r>
      <w:r w:rsidRPr="00FF5454">
        <w:rPr>
          <w:rFonts w:ascii="Verdana" w:eastAsia="Century Gothic" w:hAnsi="Verdana" w:cs="Century Gothic"/>
          <w:i/>
          <w:iCs/>
          <w:sz w:val="20"/>
          <w:szCs w:val="20"/>
        </w:rPr>
        <w:t xml:space="preserve"> dentro de dicho proceso de contratación.</w:t>
      </w:r>
    </w:p>
    <w:p w14:paraId="0DF6CB72" w14:textId="77777777" w:rsidR="00FF5454" w:rsidRDefault="00FF5454" w:rsidP="00FF545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20FB396" w14:textId="2AB987B5" w:rsidR="00FF5454" w:rsidRDefault="00FF5454" w:rsidP="00FF5454">
      <w:pPr>
        <w:tabs>
          <w:tab w:val="left" w:pos="142"/>
          <w:tab w:val="left" w:pos="567"/>
        </w:tabs>
        <w:spacing w:after="0" w:line="240" w:lineRule="auto"/>
        <w:ind w:right="49"/>
        <w:jc w:val="both"/>
        <w:rPr>
          <w:rFonts w:ascii="Verdana" w:eastAsia="Century Gothic" w:hAnsi="Verdana" w:cs="Century Gothic"/>
          <w:sz w:val="20"/>
          <w:szCs w:val="20"/>
        </w:rPr>
      </w:pPr>
      <w:r w:rsidRPr="00FF5454">
        <w:rPr>
          <w:rFonts w:ascii="Verdana" w:eastAsia="Century Gothic" w:hAnsi="Verdana" w:cs="Century Gothic"/>
          <w:sz w:val="20"/>
          <w:szCs w:val="20"/>
        </w:rPr>
        <w:lastRenderedPageBreak/>
        <w:t>Es de precisarse que en el radicado 1_2025_09_16_010170 se solicitaba lo siguiente:</w:t>
      </w:r>
    </w:p>
    <w:p w14:paraId="24261634" w14:textId="77777777" w:rsidR="00FF5454" w:rsidRDefault="00FF5454" w:rsidP="00FF5454">
      <w:pPr>
        <w:tabs>
          <w:tab w:val="left" w:pos="142"/>
          <w:tab w:val="left" w:pos="567"/>
        </w:tabs>
        <w:spacing w:after="0" w:line="240" w:lineRule="auto"/>
        <w:ind w:left="709" w:right="709"/>
        <w:jc w:val="both"/>
        <w:rPr>
          <w:rFonts w:ascii="Verdana" w:eastAsia="Century Gothic" w:hAnsi="Verdana" w:cs="Century Gothic"/>
          <w:sz w:val="20"/>
          <w:szCs w:val="20"/>
        </w:rPr>
      </w:pPr>
    </w:p>
    <w:p w14:paraId="2CDDC996" w14:textId="26DAB603" w:rsidR="00A64017" w:rsidRPr="00B350FE" w:rsidRDefault="00FF5454" w:rsidP="00CA01D8">
      <w:pPr>
        <w:tabs>
          <w:tab w:val="left" w:pos="142"/>
          <w:tab w:val="left" w:pos="567"/>
        </w:tabs>
        <w:spacing w:after="0" w:line="240" w:lineRule="auto"/>
        <w:ind w:left="709" w:right="709"/>
        <w:jc w:val="both"/>
        <w:rPr>
          <w:rFonts w:ascii="Verdana" w:eastAsia="Century Gothic" w:hAnsi="Verdana" w:cs="Century Gothic"/>
          <w:i/>
          <w:iCs/>
          <w:sz w:val="20"/>
          <w:szCs w:val="20"/>
        </w:rPr>
      </w:pPr>
      <w:r w:rsidRPr="00FF5454">
        <w:rPr>
          <w:rFonts w:ascii="Verdana" w:eastAsia="Century Gothic" w:hAnsi="Verdana" w:cs="Century Gothic"/>
          <w:i/>
          <w:iCs/>
          <w:sz w:val="20"/>
          <w:szCs w:val="20"/>
        </w:rPr>
        <w:t>“En un proceso de selección de contratación de mínima cuantía, la Entidad publicó el informe de evaluación el día 09 de septiembre de 2024, fijando como plazo para la presentación de observaciones al informe de verificación o evaluación hasta el 10 de septiembre de 2024, y estableciendo como fecha para la aceptación de la oferta el 11 de septiembre de 2024. En este contexto, el oferente habilitado allegó documentos de subsanación el día 11 de septiembre de 2024. Surge entonces el interrogante respecto de si resulta válida la aceptación de la oferta cuando los documentos de subsanación fueron aportados en esta fecha. Cabe precisar que, conforme al artículo 5 de la Ley 1150 de 2007 y a lo previsto en el Decreto 1082 de 2015, la subsanación de requisitos habilitantes debe efectuarse dentro del término expresamente señalado por la Entidad en la invitación o, en su defecto, hasta antes de la finalización del traslado del informe de evaluación. Si el plazo otorgado por la Entidad venció el 10 de septiembre, cualquier documento presentado con posterioridad a esta fecha no tendría validez para efectos de subsanar la oferta. En consecuencia, si el oferente allegó la documentación el 11 de septiembre, es decir, por fuera del término habilitado, la Entidad no estaría facultada para valorar dicha subsanación. Por lo tanto, la aceptación de la oferta en esas condiciones podría carecer de validez, al configurarse una actuación contraria al marco normativo que regula los procesos de selección de mínima cuantía. por lo anterior se solicita una respuesta a esta inquietud anteriormente descripta</w:t>
      </w:r>
      <w:r>
        <w:rPr>
          <w:rFonts w:ascii="Verdana" w:eastAsia="Century Gothic" w:hAnsi="Verdana" w:cs="Century Gothic"/>
          <w:i/>
          <w:iCs/>
          <w:sz w:val="20"/>
          <w:szCs w:val="20"/>
        </w:rPr>
        <w:t xml:space="preserve"> </w:t>
      </w:r>
      <w:r w:rsidR="00A64017" w:rsidRPr="00B350FE">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Pr="00AA3B9F" w:rsidRDefault="00A64017" w:rsidP="00A64017">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 xml:space="preserve">unas consideraciones </w:t>
      </w:r>
      <w:r w:rsidRPr="00AA3B9F">
        <w:rPr>
          <w:rFonts w:ascii="Verdana" w:eastAsia="Calibri" w:hAnsi="Verdana" w:cs="Arial"/>
          <w:lang w:val="es-ES" w:eastAsia="es-ES"/>
        </w:rPr>
        <w:lastRenderedPageBreak/>
        <w:t>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28985346" w14:textId="2BD2990B" w:rsidR="00D3590B" w:rsidRPr="00D3590B" w:rsidRDefault="00A64017" w:rsidP="00D3590B">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D3590B">
        <w:rPr>
          <w:rFonts w:ascii="Verdana" w:eastAsia="Calibri" w:hAnsi="Verdana" w:cs="Arial"/>
          <w:lang w:eastAsia="es-ES"/>
        </w:rPr>
        <w:t xml:space="preserve">el </w:t>
      </w:r>
      <w:r w:rsidRPr="00E21BD1">
        <w:rPr>
          <w:rFonts w:ascii="Verdana" w:eastAsia="Calibri" w:hAnsi="Verdana" w:cs="Arial"/>
          <w:lang w:eastAsia="es-ES"/>
        </w:rPr>
        <w:t>siguiente problema jurídico:</w:t>
      </w:r>
      <w:bookmarkStart w:id="3" w:name="_Hlk196737317"/>
      <w:r>
        <w:rPr>
          <w:rFonts w:ascii="Verdana" w:eastAsia="Calibri" w:hAnsi="Verdana" w:cs="Arial"/>
          <w:lang w:eastAsia="es-ES"/>
        </w:rPr>
        <w:t xml:space="preserve"> </w:t>
      </w:r>
      <w:r w:rsidR="006905C0" w:rsidRPr="006905C0">
        <w:rPr>
          <w:rFonts w:ascii="Verdana" w:eastAsia="Century Gothic" w:hAnsi="Verdana" w:cs="Century Gothic"/>
        </w:rPr>
        <w:t>¿</w:t>
      </w:r>
      <w:r w:rsidR="00637E77" w:rsidRPr="00637E77">
        <w:t xml:space="preserve"> </w:t>
      </w:r>
      <w:r w:rsidR="00637E77" w:rsidRPr="00637E77">
        <w:rPr>
          <w:rFonts w:ascii="Verdana" w:eastAsia="Century Gothic" w:hAnsi="Verdana" w:cs="Century Gothic"/>
        </w:rPr>
        <w:t xml:space="preserve">Puede una entidad estatal adjudicar un contrato en mínima cuantía teniendo en cuenta documentos de subsanación presentados por el oferente fuera del plazo establecido, y cuál es el plazo legal para subsanar cuando la entidad no lo fija </w:t>
      </w:r>
      <w:r w:rsidR="000645D4" w:rsidRPr="00637E77">
        <w:rPr>
          <w:rFonts w:ascii="Verdana" w:eastAsia="Century Gothic" w:hAnsi="Verdana" w:cs="Century Gothic"/>
        </w:rPr>
        <w:t>expresamente</w:t>
      </w:r>
      <w:r w:rsidR="000645D4" w:rsidRPr="006905C0">
        <w:rPr>
          <w:rFonts w:ascii="Verdana" w:eastAsia="Century Gothic" w:hAnsi="Verdana" w:cs="Century Gothic"/>
        </w:rPr>
        <w:t>?</w:t>
      </w:r>
    </w:p>
    <w:p w14:paraId="76BF5ECC" w14:textId="77777777" w:rsidR="00D3590B" w:rsidRPr="00D3590B" w:rsidRDefault="00D3590B" w:rsidP="00D3590B">
      <w:pPr>
        <w:spacing w:after="0" w:line="276" w:lineRule="auto"/>
        <w:jc w:val="both"/>
        <w:rPr>
          <w:rFonts w:ascii="Verdana" w:eastAsia="Century Gothic" w:hAnsi="Verdana" w:cs="Century Gothic"/>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0B8E7540" w14:textId="77777777" w:rsidR="000645D4" w:rsidRDefault="009C3869" w:rsidP="000A1E72">
            <w:pPr>
              <w:spacing w:line="276" w:lineRule="auto"/>
              <w:jc w:val="both"/>
              <w:rPr>
                <w:rFonts w:ascii="Verdana" w:eastAsia="Calibri" w:hAnsi="Verdana" w:cs="Arial"/>
              </w:rPr>
            </w:pPr>
            <w:r>
              <w:rPr>
                <w:rFonts w:ascii="Verdana" w:eastAsia="Calibri" w:hAnsi="Verdana" w:cs="Arial"/>
                <w:lang w:val="es-ES_tradnl" w:eastAsia="es-ES"/>
              </w:rPr>
              <w:t xml:space="preserve">          </w:t>
            </w:r>
            <w:r w:rsidR="0046700D">
              <w:rPr>
                <w:rFonts w:ascii="Verdana" w:hAnsi="Verdana"/>
              </w:rPr>
              <w:t>De manera preliminar es pertinente indicar que e</w:t>
            </w:r>
            <w:r w:rsidR="0046700D" w:rsidRPr="004C6846">
              <w:rPr>
                <w:rFonts w:ascii="Verdana" w:eastAsia="Calibri" w:hAnsi="Verdana" w:cs="Arial"/>
              </w:rPr>
              <w:t xml:space="preserve">n torno a la subsanabilidad de las ofertas </w:t>
            </w:r>
            <w:r w:rsidR="0046700D">
              <w:rPr>
                <w:rFonts w:ascii="Verdana" w:eastAsia="Calibri" w:hAnsi="Verdana" w:cs="Arial"/>
              </w:rPr>
              <w:t>se debe dar aplicación a</w:t>
            </w:r>
            <w:r w:rsidR="0046700D" w:rsidRPr="004C6846">
              <w:rPr>
                <w:rFonts w:ascii="Verdana" w:eastAsia="Calibri" w:hAnsi="Verdana" w:cs="Arial"/>
              </w:rPr>
              <w:t xml:space="preserve"> las reglas </w:t>
            </w:r>
            <w:r w:rsidR="0046700D">
              <w:rPr>
                <w:rFonts w:ascii="Verdana" w:eastAsia="Calibri" w:hAnsi="Verdana" w:cs="Arial"/>
              </w:rPr>
              <w:t>previstas</w:t>
            </w:r>
            <w:r w:rsidR="0046700D" w:rsidRPr="004C6846">
              <w:rPr>
                <w:rFonts w:ascii="Verdana" w:eastAsia="Calibri" w:hAnsi="Verdana" w:cs="Arial"/>
              </w:rPr>
              <w:t xml:space="preserve"> en la Ley 1882 de 2018</w:t>
            </w:r>
            <w:r w:rsidR="0046700D">
              <w:rPr>
                <w:rFonts w:ascii="Verdana" w:eastAsia="Calibri" w:hAnsi="Verdana" w:cs="Arial"/>
              </w:rPr>
              <w:t>, las cuales mantienen</w:t>
            </w:r>
            <w:r w:rsidR="0046700D" w:rsidRPr="004C6846">
              <w:rPr>
                <w:rFonts w:ascii="Verdana" w:eastAsia="Calibri" w:hAnsi="Verdana" w:cs="Arial"/>
              </w:rPr>
              <w:t xml:space="preserve"> </w:t>
            </w:r>
            <w:r w:rsidR="0046700D">
              <w:rPr>
                <w:rFonts w:ascii="Verdana" w:eastAsia="Calibri" w:hAnsi="Verdana" w:cs="Arial"/>
              </w:rPr>
              <w:t>e</w:t>
            </w:r>
            <w:r w:rsidR="0046700D" w:rsidRPr="004C6846">
              <w:rPr>
                <w:rFonts w:ascii="Verdana" w:eastAsia="Calibri" w:hAnsi="Verdana" w:cs="Arial"/>
              </w:rPr>
              <w:t>l criterio de la Ley 80 de 1993</w:t>
            </w:r>
            <w:r w:rsidR="0046700D">
              <w:rPr>
                <w:rFonts w:ascii="Verdana" w:eastAsia="Calibri" w:hAnsi="Verdana" w:cs="Arial"/>
              </w:rPr>
              <w:t xml:space="preserve"> mediante el cual </w:t>
            </w:r>
            <w:r w:rsidR="0046700D" w:rsidRPr="004C6846">
              <w:rPr>
                <w:rFonts w:ascii="Verdana" w:eastAsia="Calibri" w:hAnsi="Verdana" w:cs="Arial"/>
              </w:rPr>
              <w:t>todo lo que no sea necesario para la comparación de propuestas no es argumento suficiente para su rechazo</w:t>
            </w:r>
            <w:r w:rsidR="0046700D">
              <w:rPr>
                <w:rFonts w:ascii="Verdana" w:eastAsia="Calibri" w:hAnsi="Verdana" w:cs="Arial"/>
              </w:rPr>
              <w:t>.</w:t>
            </w:r>
            <w:r w:rsidR="000645D4">
              <w:rPr>
                <w:rFonts w:ascii="Verdana" w:eastAsia="Calibri" w:hAnsi="Verdana" w:cs="Arial"/>
              </w:rPr>
              <w:t xml:space="preserve"> D</w:t>
            </w:r>
            <w:r w:rsidR="0046700D">
              <w:rPr>
                <w:rFonts w:ascii="Verdana" w:eastAsia="Calibri" w:hAnsi="Verdana" w:cs="Arial"/>
              </w:rPr>
              <w:t xml:space="preserve">e esta manera, </w:t>
            </w:r>
            <w:r w:rsidR="0046700D" w:rsidRPr="00B75683">
              <w:rPr>
                <w:rFonts w:ascii="Verdana" w:eastAsia="Calibri" w:hAnsi="Verdana" w:cs="Arial"/>
              </w:rPr>
              <w:t xml:space="preserve">los requisitos habilitantes que no afectan la asignación de puntaje pueden ser subsanados, siempre que la información subsanada corresponda a hechos ocurridos antes del cierre del proceso de selección. </w:t>
            </w:r>
          </w:p>
          <w:p w14:paraId="4E8EECAD" w14:textId="77777777" w:rsidR="000645D4" w:rsidRDefault="000645D4" w:rsidP="000A1E72">
            <w:pPr>
              <w:spacing w:line="276" w:lineRule="auto"/>
              <w:jc w:val="both"/>
              <w:rPr>
                <w:rFonts w:ascii="Verdana" w:eastAsia="Calibri" w:hAnsi="Verdana" w:cs="Arial"/>
                <w:lang w:eastAsia="es-ES"/>
              </w:rPr>
            </w:pPr>
          </w:p>
          <w:p w14:paraId="5D75F735" w14:textId="081472DD" w:rsidR="000A1E72" w:rsidRPr="000645D4" w:rsidRDefault="000645D4" w:rsidP="000A1E72">
            <w:pPr>
              <w:spacing w:line="276" w:lineRule="auto"/>
              <w:jc w:val="both"/>
              <w:rPr>
                <w:rFonts w:ascii="Verdana" w:eastAsia="Calibri" w:hAnsi="Verdana" w:cs="Arial"/>
              </w:rPr>
            </w:pPr>
            <w:r>
              <w:rPr>
                <w:rFonts w:ascii="Verdana" w:eastAsia="Calibri" w:hAnsi="Verdana" w:cs="Arial"/>
                <w:lang w:eastAsia="es-ES"/>
              </w:rPr>
              <w:t xml:space="preserve">        </w:t>
            </w:r>
            <w:r w:rsidR="000A1E72" w:rsidRPr="000A1E72">
              <w:rPr>
                <w:rFonts w:ascii="Verdana" w:eastAsia="Calibri" w:hAnsi="Verdana" w:cs="Arial"/>
                <w:lang w:eastAsia="es-ES"/>
              </w:rPr>
              <w:t xml:space="preserve">Ahora bien, el análisis de la subsanación en cada caso concreto debe realizarse atendiendo, además, a lo previsto en el cronograma del proceso y en los estudios previos, toda vez que estos documentos hacen parte integral del procedimiento de selección y materializan el principio de planeación contractual. Por ello, si la entidad fija expresamente en el cronograma el término para la presentación de documentos de subsanación, dicho término se torna preclusivo y obligatorio tanto para la entidad como para los oferentes. En </w:t>
            </w:r>
            <w:r>
              <w:rPr>
                <w:rFonts w:ascii="Verdana" w:eastAsia="Calibri" w:hAnsi="Verdana" w:cs="Arial"/>
                <w:lang w:eastAsia="es-ES"/>
              </w:rPr>
              <w:t>consecuencia, corresponde a</w:t>
            </w:r>
            <w:r w:rsidR="000A1E72" w:rsidRPr="000A1E72">
              <w:rPr>
                <w:rFonts w:ascii="Verdana" w:eastAsia="Calibri" w:hAnsi="Verdana" w:cs="Arial"/>
                <w:lang w:eastAsia="es-ES"/>
              </w:rPr>
              <w:t xml:space="preserve"> la entidad </w:t>
            </w:r>
            <w:r>
              <w:rPr>
                <w:rFonts w:ascii="Verdana" w:eastAsia="Calibri" w:hAnsi="Verdana" w:cs="Arial"/>
                <w:lang w:eastAsia="es-ES"/>
              </w:rPr>
              <w:t xml:space="preserve">estatal </w:t>
            </w:r>
            <w:r w:rsidR="000A1E72" w:rsidRPr="000A1E72">
              <w:rPr>
                <w:rFonts w:ascii="Verdana" w:eastAsia="Calibri" w:hAnsi="Verdana" w:cs="Arial"/>
                <w:lang w:eastAsia="es-ES"/>
              </w:rPr>
              <w:t>valor</w:t>
            </w:r>
            <w:r>
              <w:rPr>
                <w:rFonts w:ascii="Verdana" w:eastAsia="Calibri" w:hAnsi="Verdana" w:cs="Arial"/>
                <w:lang w:eastAsia="es-ES"/>
              </w:rPr>
              <w:t>ar los</w:t>
            </w:r>
            <w:r w:rsidR="000A1E72" w:rsidRPr="000A1E72">
              <w:rPr>
                <w:rFonts w:ascii="Verdana" w:eastAsia="Calibri" w:hAnsi="Verdana" w:cs="Arial"/>
                <w:lang w:eastAsia="es-ES"/>
              </w:rPr>
              <w:t xml:space="preserve"> documentos presentados por fuera del término previsto en el cronograma</w:t>
            </w:r>
            <w:r>
              <w:rPr>
                <w:rFonts w:ascii="Verdana" w:eastAsia="Calibri" w:hAnsi="Verdana" w:cs="Arial"/>
                <w:lang w:eastAsia="es-ES"/>
              </w:rPr>
              <w:t xml:space="preserve"> a la luz de</w:t>
            </w:r>
            <w:r w:rsidR="000A1E72" w:rsidRPr="000A1E72">
              <w:rPr>
                <w:rFonts w:ascii="Verdana" w:eastAsia="Calibri" w:hAnsi="Verdana" w:cs="Arial"/>
                <w:lang w:eastAsia="es-ES"/>
              </w:rPr>
              <w:t xml:space="preserve"> los principios de transparencia, igualdad entre oferentes y selección objetiva, así como la regla de publicidad que rige la actuación contractual.</w:t>
            </w:r>
          </w:p>
          <w:p w14:paraId="01177066" w14:textId="77777777" w:rsidR="000645D4" w:rsidRDefault="000A1E72" w:rsidP="000A1E72">
            <w:pPr>
              <w:pStyle w:val="Prrafodelista"/>
              <w:spacing w:before="120" w:after="120" w:line="276" w:lineRule="auto"/>
              <w:ind w:left="0" w:firstLine="708"/>
              <w:jc w:val="both"/>
              <w:rPr>
                <w:rFonts w:ascii="Verdana" w:eastAsia="Calibri" w:hAnsi="Verdana" w:cs="Arial"/>
                <w:lang w:eastAsia="es-ES"/>
              </w:rPr>
            </w:pPr>
            <w:r>
              <w:rPr>
                <w:rFonts w:ascii="Verdana" w:eastAsia="Calibri" w:hAnsi="Verdana" w:cs="Arial"/>
                <w:lang w:eastAsia="es-ES"/>
              </w:rPr>
              <w:t>Asi las cosas</w:t>
            </w:r>
            <w:r w:rsidRPr="000A1E72">
              <w:rPr>
                <w:rFonts w:ascii="Verdana" w:eastAsia="Calibri" w:hAnsi="Verdana" w:cs="Arial"/>
                <w:lang w:eastAsia="es-ES"/>
              </w:rPr>
              <w:t xml:space="preserve">, en atención al problema jurídico planteado, en la modalidad de selección de mínima cuantía, si la entidad estatal, de forma excepcional e incorrecta (pues la norma exige que se establezca un término preclusivo), no señala un término expreso para la subsanación en la invitación, la regla supletoria aplicable es que los proponentes podrán subsanar sus </w:t>
            </w:r>
            <w:r w:rsidRPr="000A1E72">
              <w:rPr>
                <w:rFonts w:ascii="Verdana" w:eastAsia="Calibri" w:hAnsi="Verdana" w:cs="Arial"/>
                <w:lang w:eastAsia="es-ES"/>
              </w:rPr>
              <w:lastRenderedPageBreak/>
              <w:t>ofertas hasta antes de que finalice el traslado del informe de evaluación (Decreto 1082 de 2015, Art. 2.2.1.2.1.5.2, num. 6, modificado por el Decreto 1860 de 2021). Sin embargo, este derecho está estrictamente limitado por lo dispuesto en el artículo 5 de la Ley 1150 de 2007, cuyo parágrafo 1º establece que solo son subsanables los requisitos que no afecten la asignación de puntaje ni la comparación de las propuestas. Adicionalmente, la subsanación no permite acreditar hechos o requisitos ocurridos con posterioridad al cierre del proceso, sino únicamente aportar las pruebas de que el requisito ya se cumplía al momento del cierre (Ley 1150 de 2007, Art. 5, parágrafo 2º).</w:t>
            </w:r>
          </w:p>
          <w:p w14:paraId="56713C11" w14:textId="77777777" w:rsidR="000645D4" w:rsidRDefault="000645D4" w:rsidP="000A1E72">
            <w:pPr>
              <w:pStyle w:val="Prrafodelista"/>
              <w:spacing w:before="120" w:after="120" w:line="276" w:lineRule="auto"/>
              <w:ind w:left="0" w:firstLine="708"/>
              <w:jc w:val="both"/>
              <w:rPr>
                <w:rFonts w:ascii="Verdana" w:eastAsia="Calibri" w:hAnsi="Verdana" w:cs="Arial"/>
                <w:lang w:eastAsia="es-ES"/>
              </w:rPr>
            </w:pPr>
          </w:p>
          <w:p w14:paraId="595A2AB3" w14:textId="71123906" w:rsidR="00637E77" w:rsidRDefault="000645D4" w:rsidP="000A1E72">
            <w:pPr>
              <w:pStyle w:val="Prrafodelista"/>
              <w:spacing w:before="120" w:after="120" w:line="276" w:lineRule="auto"/>
              <w:ind w:left="0" w:firstLine="708"/>
              <w:jc w:val="both"/>
              <w:rPr>
                <w:rFonts w:ascii="Verdana" w:eastAsia="Calibri" w:hAnsi="Verdana" w:cs="Arial"/>
                <w:lang w:eastAsia="es-ES"/>
              </w:rPr>
            </w:pPr>
            <w:r>
              <w:rPr>
                <w:rFonts w:ascii="Verdana" w:eastAsia="Calibri" w:hAnsi="Verdana" w:cs="Arial"/>
              </w:rPr>
              <w:t>Por último,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2"/>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Por lo tanto, se recomienda su consulta </w:t>
            </w:r>
            <w:r>
              <w:rPr>
                <w:rFonts w:ascii="Verdana" w:eastAsia="Calibri" w:hAnsi="Verdana" w:cs="Arial"/>
              </w:rPr>
              <w:t xml:space="preserve">en el sitio web: </w:t>
            </w:r>
            <w:hyperlink r:id="rId13"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r w:rsidR="000A1E72">
              <w:rPr>
                <w:rFonts w:ascii="Verdana" w:eastAsia="Calibri" w:hAnsi="Verdana" w:cs="Arial"/>
                <w:lang w:eastAsia="es-ES"/>
              </w:rPr>
              <w:t xml:space="preserve">  </w:t>
            </w:r>
          </w:p>
          <w:p w14:paraId="196DFED4" w14:textId="77777777" w:rsidR="000A1E72" w:rsidRDefault="000A1E72" w:rsidP="000A1E72">
            <w:pPr>
              <w:pStyle w:val="Prrafodelista"/>
              <w:spacing w:before="120" w:after="120" w:line="276" w:lineRule="auto"/>
              <w:ind w:left="0" w:firstLine="708"/>
              <w:jc w:val="both"/>
              <w:rPr>
                <w:rFonts w:ascii="Verdana" w:eastAsia="Calibri" w:hAnsi="Verdana" w:cs="Arial"/>
                <w:lang w:eastAsia="es-ES"/>
              </w:rPr>
            </w:pPr>
          </w:p>
          <w:p w14:paraId="4FED5380" w14:textId="65B03C89" w:rsidR="00A64017" w:rsidRPr="00C71956" w:rsidRDefault="00A64017" w:rsidP="00A15B1F">
            <w:pPr>
              <w:pStyle w:val="Prrafodelista"/>
              <w:spacing w:before="120" w:after="120" w:line="276" w:lineRule="auto"/>
              <w:ind w:left="0" w:firstLine="708"/>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01394EC" w14:textId="77777777" w:rsidR="00A64017" w:rsidRDefault="00A64017" w:rsidP="00A15B1F">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00C84124">
              <w:rPr>
                <w:rFonts w:ascii="Verdana" w:eastAsia="Calibri" w:hAnsi="Verdana" w:cs="Times New Roman"/>
                <w:lang w:val="es-ES"/>
              </w:rPr>
              <w:t xml:space="preserve">  </w:t>
            </w: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w:t>
            </w:r>
            <w:r w:rsidRPr="00DB4737">
              <w:rPr>
                <w:rFonts w:ascii="Verdana" w:eastAsia="Calibri" w:hAnsi="Verdana" w:cs="Times New Roman"/>
                <w:lang w:val="es-ES"/>
              </w:rPr>
              <w:lastRenderedPageBreak/>
              <w:t>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A94571" w14:textId="11FC2CB2" w:rsidR="00A51CB5" w:rsidRPr="00E529C2" w:rsidRDefault="00A51CB5" w:rsidP="00A15B1F">
            <w:pPr>
              <w:spacing w:line="276" w:lineRule="auto"/>
              <w:jc w:val="both"/>
              <w:rPr>
                <w:rFonts w:ascii="Verdana" w:eastAsia="Calibri" w:hAnsi="Verdana" w:cs="Times New Roman"/>
                <w:lang w:val="es-ES"/>
              </w:rPr>
            </w:pP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Pr="00593A5F"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EEC6B3" w14:textId="77777777" w:rsidR="000645D4" w:rsidRDefault="000645D4" w:rsidP="000645D4">
      <w:pPr>
        <w:spacing w:line="276" w:lineRule="auto"/>
        <w:jc w:val="both"/>
        <w:rPr>
          <w:rFonts w:ascii="Verdana" w:eastAsia="Calibri" w:hAnsi="Verdana" w:cs="Arial"/>
          <w:color w:val="000000" w:themeColor="text1"/>
        </w:rPr>
      </w:pPr>
      <w:bookmarkStart w:id="4" w:name="_Hlk108519028"/>
    </w:p>
    <w:p w14:paraId="3DCB86C6" w14:textId="16F9D861" w:rsidR="000645D4" w:rsidRPr="00C543FB" w:rsidRDefault="000645D4" w:rsidP="000645D4">
      <w:pPr>
        <w:spacing w:line="276" w:lineRule="auto"/>
        <w:ind w:firstLine="708"/>
        <w:jc w:val="both"/>
        <w:rPr>
          <w:rFonts w:ascii="Verdana" w:eastAsia="Calibri" w:hAnsi="Verdana" w:cs="Arial"/>
          <w:color w:val="000000"/>
          <w:lang w:val="es-ES" w:eastAsia="es-MX"/>
        </w:rPr>
      </w:pPr>
      <w:r w:rsidRPr="00C543FB">
        <w:rPr>
          <w:rFonts w:ascii="Verdana" w:eastAsia="Calibri" w:hAnsi="Verdana" w:cs="Arial"/>
          <w:color w:val="000000"/>
          <w:lang w:val="es-ES" w:eastAsia="es-MX"/>
        </w:rPr>
        <w:t xml:space="preserve">La subsanabilidad es un mecanismo previsto en los procedimientos regulados por el Estatuto de Contratación Estatal de Colombia. Esta regla, prevista en el artículo 5 de la Ley 1150 de 2007, permite que los proponentes puedan enmendar, corregir o modificar los errores en los documentos de la oferta respecto a los requisitos habilitantes. Además, la posibilidad de subsanar estos documentos tiene como propósito: </w:t>
      </w:r>
    </w:p>
    <w:p w14:paraId="43FE2276" w14:textId="77777777" w:rsidR="000645D4" w:rsidRPr="007D1D8C" w:rsidRDefault="000645D4" w:rsidP="000645D4">
      <w:pPr>
        <w:ind w:left="709" w:right="709"/>
        <w:jc w:val="both"/>
        <w:rPr>
          <w:rFonts w:ascii="Verdana" w:eastAsia="Calibri" w:hAnsi="Verdana" w:cs="Arial"/>
          <w:color w:val="000000"/>
          <w:sz w:val="20"/>
          <w:szCs w:val="20"/>
          <w:lang w:val="es-ES" w:eastAsia="es-MX"/>
        </w:rPr>
      </w:pPr>
      <w:r w:rsidRPr="007D1D8C">
        <w:rPr>
          <w:rFonts w:ascii="Verdana" w:eastAsia="Calibri" w:hAnsi="Verdana" w:cs="Arial"/>
          <w:color w:val="000000"/>
          <w:sz w:val="20"/>
          <w:szCs w:val="20"/>
          <w:lang w:val="es-ES" w:eastAsia="es-MX"/>
        </w:rPr>
        <w:t>[…] materializar un principio general de primacía de lo sustancial sobre lo formal, adoptando medidas de saneamiento del proceso de selección tendientes a que los meros defectos formales, que no afecten sustancialmente la oferta, referidos a la documentación o instrumentalización de la misma, priven a la administración de considerar una oferta por causa de tales falencias</w:t>
      </w:r>
      <w:r w:rsidRPr="007D1D8C">
        <w:rPr>
          <w:rFonts w:ascii="Verdana" w:eastAsia="Calibri" w:hAnsi="Verdana" w:cs="Arial"/>
          <w:color w:val="000000"/>
          <w:sz w:val="20"/>
          <w:szCs w:val="20"/>
          <w:vertAlign w:val="superscript"/>
          <w:lang w:val="es-ES" w:eastAsia="es-MX"/>
        </w:rPr>
        <w:footnoteReference w:id="3"/>
      </w:r>
      <w:r w:rsidRPr="007D1D8C">
        <w:rPr>
          <w:rFonts w:ascii="Verdana" w:eastAsia="Calibri" w:hAnsi="Verdana" w:cs="Arial"/>
          <w:color w:val="000000"/>
          <w:sz w:val="20"/>
          <w:szCs w:val="20"/>
          <w:lang w:val="es-ES" w:eastAsia="es-MX"/>
        </w:rPr>
        <w:t>.</w:t>
      </w:r>
    </w:p>
    <w:p w14:paraId="077CDC1E" w14:textId="77777777" w:rsidR="000645D4" w:rsidRPr="00C543FB" w:rsidRDefault="000645D4" w:rsidP="000645D4">
      <w:pPr>
        <w:spacing w:after="120" w:line="276" w:lineRule="auto"/>
        <w:ind w:firstLine="708"/>
        <w:jc w:val="both"/>
        <w:rPr>
          <w:rFonts w:ascii="Verdana" w:eastAsia="Times New Roman" w:hAnsi="Verdana" w:cs="Arial"/>
          <w:color w:val="000000"/>
          <w:lang w:val="es-ES" w:eastAsia="es-MX"/>
        </w:rPr>
      </w:pPr>
      <w:r w:rsidRPr="00C543FB">
        <w:rPr>
          <w:rFonts w:ascii="Verdana" w:eastAsia="Calibri" w:hAnsi="Verdana" w:cs="Arial"/>
          <w:color w:val="000000"/>
          <w:lang w:val="es-ES" w:eastAsia="es-MX"/>
        </w:rPr>
        <w:t xml:space="preserve">A raíz de lo anterior, no podrán rechazarse las propuestas por ausencia de requisitos o falta de documentos que verifiquen las condiciones habilitantes del proponente, y que, a su vez, estos no se constituyan como factores de comparación entre propuestas. </w:t>
      </w:r>
      <w:r w:rsidRPr="00C543FB">
        <w:rPr>
          <w:rFonts w:ascii="Verdana" w:eastAsia="Times New Roman" w:hAnsi="Verdana" w:cs="Arial"/>
          <w:color w:val="000000"/>
          <w:lang w:val="es-ES" w:eastAsia="es-MX"/>
        </w:rPr>
        <w:t xml:space="preserve">Ahora bien, la posibilidad de subsanar los documentos contentivos de la oferta es un tema que ha tenido diferentes momentos o etapas en el ordenamiento jurídico colombiano. </w:t>
      </w:r>
    </w:p>
    <w:p w14:paraId="5C1516CE"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primer momento</w:t>
      </w:r>
      <w:r w:rsidRPr="00C543FB">
        <w:rPr>
          <w:rFonts w:ascii="Verdana" w:eastAsia="Times New Roman" w:hAnsi="Verdana" w:cs="Arial"/>
          <w:color w:val="000000"/>
          <w:lang w:val="es-ES" w:eastAsia="es-MX"/>
        </w:rPr>
        <w:t xml:space="preserve">, antes de la entrada en vigor de la Constitución Política de 1991, el régimen jurídico de la subsanabilidad de las ofertas estaba compuesto por el Decreto Ley 150 de 1976 y el Decreto Ley 222 de 1983. Bajo el imperio de estas normas, la posibilidad de subsanar errores era prácticamente inexistente, debido al excesivo formalismo procedimental que irradiaba la </w:t>
      </w:r>
      <w:r w:rsidRPr="00C543FB">
        <w:rPr>
          <w:rFonts w:ascii="Verdana" w:eastAsia="Times New Roman" w:hAnsi="Verdana" w:cs="Arial"/>
          <w:color w:val="000000"/>
          <w:lang w:val="es-ES" w:eastAsia="es-MX"/>
        </w:rPr>
        <w:lastRenderedPageBreak/>
        <w:t xml:space="preserve">actuación administrativa. En este contexto, por ejemplo, no era extraordinario que una oferta fuera rechazada por no aportar una copia de esta. </w:t>
      </w:r>
    </w:p>
    <w:p w14:paraId="3018C79C" w14:textId="77777777" w:rsidR="000645D4" w:rsidRPr="00C543FB" w:rsidRDefault="000645D4" w:rsidP="000645D4">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segundo momento</w:t>
      </w:r>
      <w:r w:rsidRPr="00C543FB">
        <w:rPr>
          <w:rFonts w:ascii="Verdana" w:eastAsia="Times New Roman" w:hAnsi="Verdana" w:cs="Arial"/>
          <w:color w:val="000000"/>
          <w:lang w:val="es-ES" w:eastAsia="es-MX"/>
        </w:rPr>
        <w:t xml:space="preserve"> se expidió la Ley 80 de 1993, bajo el nuevo paradigma que supuso la Constitución de 1991, particularmente en la forma como se relaciona lo formal y lo sustancial en las actuaciones judiciales y administrativas. Este cambio ideológico quedó consignado en el artículo 228, que introdujo un principio de supremacía o prevalencia del derecho sustancial sobre lo procedimental. En este nuevo escenario constitucional, el artículo 25.15 de la Ley 80 de 1993 dispuso lo siguiente: </w:t>
      </w:r>
    </w:p>
    <w:p w14:paraId="41AE7F4B" w14:textId="77777777" w:rsidR="000645D4" w:rsidRPr="007D1D8C" w:rsidRDefault="000645D4" w:rsidP="000645D4">
      <w:pPr>
        <w:spacing w:after="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5E562EFF" w14:textId="77777777" w:rsidR="000645D4" w:rsidRPr="007D1D8C" w:rsidRDefault="000645D4" w:rsidP="000645D4">
      <w:pPr>
        <w:spacing w:before="120"/>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 xml:space="preserve">La ausencia de requisitos o la falta de documentos referentes a la futura contratación o al proponente, no necesarios para la comparación de propuestas, no servirá de título suficiente para el rechazo de los ofrecimientos hechos. </w:t>
      </w:r>
    </w:p>
    <w:p w14:paraId="141F2E55" w14:textId="77777777" w:rsidR="000645D4" w:rsidRPr="00C543FB" w:rsidRDefault="000645D4" w:rsidP="000645D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Bajo el amparo de esta norma, el régimen jurídico de subsanabilidad de las ofertas sufre un cambio fundamental, pues ya no era posible rechazar las ofertas por falta de requisitos o documentos que no fueran </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necesarios para la comparación de propuestas</w:t>
      </w:r>
      <w:r>
        <w:rPr>
          <w:rFonts w:ascii="Verdana" w:eastAsia="Times New Roman" w:hAnsi="Verdana" w:cs="Arial"/>
          <w:color w:val="000000"/>
          <w:lang w:val="es-ES" w:eastAsia="es-MX"/>
        </w:rPr>
        <w:t>”</w:t>
      </w:r>
      <w:r w:rsidRPr="00C543FB">
        <w:rPr>
          <w:rFonts w:ascii="Verdana" w:eastAsia="Times New Roman" w:hAnsi="Verdana" w:cs="Arial"/>
          <w:color w:val="000000"/>
          <w:lang w:val="es-ES" w:eastAsia="es-MX"/>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0B413006"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Esta norma debía leerse en conjunto con otras de la Ley 80 de 1993, particularmente con el artículo 30.7, que ordena a la entidad señalar un plazo razonable para evaluar las propuestas y para pedir a los proponentes, de ser necesario, que aclaren o expliquen aspectos que ofrezcan dudas y resulten indispensables para llevar a cabo la evaluación</w:t>
      </w:r>
      <w:r w:rsidRPr="00C543FB">
        <w:rPr>
          <w:rFonts w:ascii="Verdana" w:eastAsia="Times New Roman" w:hAnsi="Verdana" w:cs="Arial"/>
          <w:color w:val="000000"/>
          <w:vertAlign w:val="superscript"/>
          <w:lang w:val="es-ES" w:eastAsia="es-MX"/>
        </w:rPr>
        <w:footnoteReference w:id="4"/>
      </w:r>
      <w:r w:rsidRPr="00C543FB">
        <w:rPr>
          <w:rFonts w:ascii="Verdana" w:eastAsia="Times New Roman" w:hAnsi="Verdana" w:cs="Arial"/>
          <w:color w:val="000000"/>
          <w:lang w:val="es-ES" w:eastAsia="es-MX"/>
        </w:rPr>
        <w:t xml:space="preserve">; y con el artículo 30.8, que consagró el término de 5 días hábiles para que los oferentes presenten </w:t>
      </w:r>
      <w:r w:rsidRPr="00C543FB">
        <w:rPr>
          <w:rFonts w:ascii="Verdana" w:eastAsia="Times New Roman" w:hAnsi="Verdana" w:cs="Arial"/>
          <w:color w:val="000000"/>
          <w:lang w:val="es-ES" w:eastAsia="es-MX"/>
        </w:rPr>
        <w:lastRenderedPageBreak/>
        <w:t>observaciones al informe de evaluación de las propuestas, sin que sea posible completar, adicionar, modificar o mejorar su oferta</w:t>
      </w:r>
      <w:r w:rsidRPr="00C543FB">
        <w:rPr>
          <w:rFonts w:ascii="Verdana" w:eastAsia="Times New Roman" w:hAnsi="Verdana" w:cs="Arial"/>
          <w:color w:val="000000"/>
          <w:vertAlign w:val="superscript"/>
          <w:lang w:val="es-ES" w:eastAsia="es-MX"/>
        </w:rPr>
        <w:footnoteReference w:id="5"/>
      </w:r>
      <w:r w:rsidRPr="00C543FB">
        <w:rPr>
          <w:rFonts w:ascii="Verdana" w:eastAsia="Times New Roman" w:hAnsi="Verdana" w:cs="Arial"/>
          <w:color w:val="000000"/>
          <w:lang w:val="es-ES" w:eastAsia="es-MX"/>
        </w:rPr>
        <w:t xml:space="preserve">.  </w:t>
      </w:r>
    </w:p>
    <w:p w14:paraId="5EDC120C"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3BAD3538" w14:textId="77777777" w:rsidR="000645D4" w:rsidRPr="00C543FB" w:rsidRDefault="000645D4" w:rsidP="000645D4">
      <w:pPr>
        <w:spacing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En un </w:t>
      </w:r>
      <w:r w:rsidRPr="00C543FB">
        <w:rPr>
          <w:rFonts w:ascii="Verdana" w:eastAsia="Times New Roman" w:hAnsi="Verdana" w:cs="Arial"/>
          <w:i/>
          <w:color w:val="000000"/>
          <w:lang w:val="es-ES" w:eastAsia="es-MX"/>
        </w:rPr>
        <w:t>tercer momento</w:t>
      </w:r>
      <w:r w:rsidRPr="00C543FB">
        <w:rPr>
          <w:rFonts w:ascii="Verdana" w:eastAsia="Times New Roman" w:hAnsi="Verdana" w:cs="Arial"/>
          <w:color w:val="000000"/>
          <w:lang w:val="es-ES" w:eastAsia="es-MX"/>
        </w:rPr>
        <w:t xml:space="preserve">, siguiendo la línea trazada por la Ley 80 de 1993, el legislador expidió la Ley 1150 de 2007, que en el parágrafo 1º del artículo 5, determinó lo siguiente: </w:t>
      </w:r>
    </w:p>
    <w:p w14:paraId="7EDF7D88" w14:textId="77777777" w:rsidR="000645D4" w:rsidRPr="007D1D8C" w:rsidRDefault="000645D4" w:rsidP="000645D4">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Parágrafo 1°. La ausencia de requisitos o la falta de documentos referentes a la futura contratación o al proponente, no necesarios para la comparación de las propuestas no servirán de título suficiente para el rechazo de los ofrecimientos hechos. En consecuencia</w:t>
      </w:r>
      <w:r w:rsidRPr="007D1D8C">
        <w:rPr>
          <w:rFonts w:ascii="Verdana" w:eastAsia="Times New Roman" w:hAnsi="Verdana" w:cs="Arial"/>
          <w:b/>
          <w:color w:val="000000"/>
          <w:sz w:val="20"/>
          <w:szCs w:val="20"/>
          <w:lang w:val="es-ES" w:eastAsia="es-MX"/>
        </w:rPr>
        <w:t xml:space="preserve">, </w:t>
      </w:r>
      <w:r w:rsidRPr="007D1D8C">
        <w:rPr>
          <w:rFonts w:ascii="Verdana" w:eastAsia="Times New Roman" w:hAnsi="Verdana" w:cs="Arial"/>
          <w:color w:val="000000"/>
          <w:sz w:val="20"/>
          <w:szCs w:val="20"/>
          <w:lang w:val="es-ES" w:eastAsia="es-MX"/>
        </w:rPr>
        <w:t xml:space="preserve">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 </w:t>
      </w:r>
    </w:p>
    <w:p w14:paraId="5EDFC297" w14:textId="77777777" w:rsidR="000645D4" w:rsidRPr="00C543FB" w:rsidRDefault="000645D4" w:rsidP="000645D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4939022E" w14:textId="77777777" w:rsidR="000645D4" w:rsidRPr="00C543FB" w:rsidRDefault="000645D4" w:rsidP="000645D4">
      <w:pPr>
        <w:spacing w:before="120"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otorga puntaje, no es posible subsanarlo; pero, si lo omitido no otorga puntaje, la Administración debe requerir al proponente para que lo subsane.  </w:t>
      </w:r>
    </w:p>
    <w:p w14:paraId="2B158B0F" w14:textId="77777777" w:rsidR="000645D4" w:rsidRPr="00C543FB" w:rsidRDefault="000645D4" w:rsidP="000645D4">
      <w:pPr>
        <w:spacing w:before="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 xml:space="preserve">El artículo 5 de la Ley 1150 de 2007, además de consagrar un criterio más claro, y, de paso, reducir la discrecionalidad de la Administración, fijó un ámbito </w:t>
      </w:r>
      <w:r w:rsidRPr="00C543FB">
        <w:rPr>
          <w:rFonts w:ascii="Verdana" w:eastAsia="Times New Roman" w:hAnsi="Verdana" w:cs="Arial"/>
          <w:color w:val="000000"/>
          <w:lang w:val="es-ES" w:eastAsia="es-MX"/>
        </w:rPr>
        <w:lastRenderedPageBreak/>
        <w:t xml:space="preserve">temporal para la subsanación de las ofertas: «en cualquier momento, hasta la adjudicación». El Consejo de Estado concluyó que a partir del parágrafo 1º del artículo 5 de la Ley 1150, la definición de lo que es subsanable y lo que no lo es surge a partir del planteamiento de la pregunta sobre si el defecto asigna puntaje o no, en estos términos: </w:t>
      </w:r>
    </w:p>
    <w:p w14:paraId="1BD37794" w14:textId="77777777" w:rsidR="000645D4" w:rsidRPr="007D1D8C" w:rsidRDefault="000645D4" w:rsidP="000645D4">
      <w:pPr>
        <w:ind w:left="709" w:right="709"/>
        <w:jc w:val="both"/>
        <w:rPr>
          <w:rFonts w:ascii="Verdana" w:eastAsia="Times New Roman" w:hAnsi="Verdana" w:cs="Arial"/>
          <w:color w:val="000000"/>
          <w:sz w:val="20"/>
          <w:szCs w:val="20"/>
          <w:lang w:val="es-ES" w:eastAsia="es-MX"/>
        </w:rPr>
      </w:pPr>
      <w:r w:rsidRPr="007D1D8C">
        <w:rPr>
          <w:rFonts w:ascii="Verdana" w:eastAsia="Times New Roman" w:hAnsi="Verdana" w:cs="Arial"/>
          <w:color w:val="000000"/>
          <w:sz w:val="20"/>
          <w:szCs w:val="20"/>
          <w:lang w:val="es-ES" w:eastAsia="es-MX"/>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las ofertas, con la condición de que cuando le pidan la acreditación la satisfaga suficientemente</w:t>
      </w:r>
      <w:r w:rsidRPr="007D1D8C">
        <w:rPr>
          <w:rFonts w:ascii="Verdana" w:eastAsia="Times New Roman" w:hAnsi="Verdana" w:cs="Arial"/>
          <w:color w:val="000000"/>
          <w:sz w:val="20"/>
          <w:szCs w:val="20"/>
          <w:vertAlign w:val="superscript"/>
          <w:lang w:val="es-ES" w:eastAsia="es-MX"/>
        </w:rPr>
        <w:footnoteReference w:id="6"/>
      </w:r>
      <w:r w:rsidRPr="007D1D8C">
        <w:rPr>
          <w:rFonts w:ascii="Verdana" w:eastAsia="Times New Roman" w:hAnsi="Verdana" w:cs="Arial"/>
          <w:color w:val="000000"/>
          <w:sz w:val="20"/>
          <w:szCs w:val="20"/>
          <w:lang w:val="es-ES" w:eastAsia="es-MX"/>
        </w:rPr>
        <w:t>.</w:t>
      </w:r>
    </w:p>
    <w:p w14:paraId="1A9F2071" w14:textId="77777777" w:rsidR="000645D4" w:rsidRPr="00C543FB" w:rsidRDefault="000645D4" w:rsidP="000645D4">
      <w:pPr>
        <w:tabs>
          <w:tab w:val="left" w:pos="284"/>
        </w:tabs>
        <w:spacing w:after="120" w:line="276" w:lineRule="auto"/>
        <w:ind w:firstLine="709"/>
        <w:jc w:val="both"/>
        <w:rPr>
          <w:rFonts w:ascii="Verdana" w:eastAsia="Calibri" w:hAnsi="Verdana" w:cs="Arial"/>
          <w:color w:val="000000"/>
          <w:lang w:val="es-ES"/>
        </w:rPr>
      </w:pPr>
      <w:r w:rsidRPr="00C543FB">
        <w:rPr>
          <w:rFonts w:ascii="Verdana" w:eastAsia="Calibri" w:hAnsi="Verdana" w:cs="Arial"/>
          <w:color w:val="000000"/>
          <w:lang w:val="es-ES"/>
        </w:rPr>
        <w:t xml:space="preserve">Esa interpretación fue compartida por la </w:t>
      </w:r>
      <w:r w:rsidRPr="00C543FB">
        <w:rPr>
          <w:rFonts w:ascii="Verdana" w:eastAsia="MS Mincho" w:hAnsi="Verdana" w:cs="Arial"/>
          <w:color w:val="000000"/>
          <w:lang w:val="es-ES" w:eastAsia="es-CO"/>
        </w:rPr>
        <w:t>Agencia Nacional de Contratación Pública – Colombia Compra Eficiente</w:t>
      </w:r>
      <w:r w:rsidRPr="00C543FB">
        <w:rPr>
          <w:rFonts w:ascii="Verdana" w:eastAsia="Calibri" w:hAnsi="Verdana" w:cs="Arial"/>
          <w:color w:val="000000"/>
          <w:lang w:val="es-ES"/>
        </w:rPr>
        <w:t>, pues en la Circular Externa Única se precisó que si durante un proceso de contratación hay proponentes que no acreditaron en sus ofertas requisitos que no afectan la asignación de puntaje o la comparación de las mismas, la entidad estatal deberá indicarlo en el informe de evaluación y advertir que la correspondiente oferta no será evaluada hasta que se subsane.</w:t>
      </w:r>
    </w:p>
    <w:p w14:paraId="65AC40F3" w14:textId="77777777" w:rsidR="000645D4" w:rsidRPr="00C543FB" w:rsidRDefault="000645D4" w:rsidP="000645D4">
      <w:pPr>
        <w:tabs>
          <w:tab w:val="left" w:pos="284"/>
        </w:tabs>
        <w:spacing w:before="120" w:line="276" w:lineRule="auto"/>
        <w:ind w:firstLine="709"/>
        <w:jc w:val="both"/>
        <w:rPr>
          <w:rFonts w:ascii="Verdana" w:eastAsia="MS Mincho" w:hAnsi="Verdana" w:cs="Arial"/>
          <w:color w:val="000000"/>
          <w:lang w:val="es-ES"/>
        </w:rPr>
      </w:pPr>
      <w:r w:rsidRPr="00C543FB">
        <w:rPr>
          <w:rFonts w:ascii="Verdana" w:eastAsia="MS Mincho" w:hAnsi="Verdana" w:cs="Arial"/>
          <w:color w:val="000000"/>
          <w:lang w:val="es-ES" w:eastAsia="es-CO"/>
        </w:rPr>
        <w:t xml:space="preserve">En un </w:t>
      </w:r>
      <w:r w:rsidRPr="00C543FB">
        <w:rPr>
          <w:rFonts w:ascii="Verdana" w:eastAsia="MS Mincho" w:hAnsi="Verdana" w:cs="Arial"/>
          <w:i/>
          <w:iCs/>
          <w:color w:val="000000"/>
          <w:lang w:val="es-ES" w:eastAsia="es-CO"/>
        </w:rPr>
        <w:t>cuarto momento</w:t>
      </w:r>
      <w:r w:rsidRPr="00C543FB">
        <w:rPr>
          <w:rFonts w:ascii="Verdana" w:eastAsia="MS Mincho" w:hAnsi="Verdana" w:cs="Arial"/>
          <w:color w:val="000000"/>
          <w:lang w:val="es-ES" w:eastAsia="es-CO"/>
        </w:rPr>
        <w:t xml:space="preserve">, el legislador expidió la Ley 1882 de 2018, con la finalidad de introducir cambios y ajustes para fortalecer la contratación pública. El artículo 5 modificó el parágrafo 1º y adicionó algunos otros, entre ellos el 4° del artículo 5 de la Ley 1150 de 2007: </w:t>
      </w:r>
    </w:p>
    <w:p w14:paraId="1C44A96F" w14:textId="77777777" w:rsidR="000645D4" w:rsidRPr="00547A08" w:rsidRDefault="000645D4" w:rsidP="000645D4">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Artículo 5°. De la selección objetiva. </w:t>
      </w:r>
    </w:p>
    <w:p w14:paraId="1124C42B" w14:textId="77777777" w:rsidR="000645D4" w:rsidRPr="00547A08" w:rsidRDefault="000645D4" w:rsidP="000645D4">
      <w:pPr>
        <w:spacing w:after="120"/>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w:t>
      </w:r>
    </w:p>
    <w:p w14:paraId="4A866BFA" w14:textId="77777777" w:rsidR="000645D4" w:rsidRPr="00547A08" w:rsidRDefault="000645D4" w:rsidP="000645D4">
      <w:pPr>
        <w:ind w:left="709" w:right="709"/>
        <w:jc w:val="both"/>
        <w:rPr>
          <w:rFonts w:ascii="Verdana" w:eastAsia="Times New Roman" w:hAnsi="Verdana" w:cs="Arial"/>
          <w:color w:val="000000"/>
          <w:sz w:val="20"/>
          <w:szCs w:val="20"/>
          <w:lang w:val="es-ES" w:eastAsia="es-MX"/>
        </w:rPr>
      </w:pPr>
      <w:r w:rsidRPr="00547A08">
        <w:rPr>
          <w:rFonts w:ascii="Verdana" w:eastAsia="Times New Roman" w:hAnsi="Verdana" w:cs="Arial"/>
          <w:color w:val="000000"/>
          <w:sz w:val="20"/>
          <w:szCs w:val="20"/>
          <w:lang w:val="es-ES" w:eastAsia="es-MX"/>
        </w:rPr>
        <w:t xml:space="preserve">Parágrafo 1º. La ausencia de requisitos o la falta de documentos referentes a la futura contratación o al proponente, no necesarios para la </w:t>
      </w:r>
      <w:bookmarkStart w:id="5" w:name="_Hlk71479674"/>
      <w:r w:rsidRPr="00547A08">
        <w:rPr>
          <w:rFonts w:ascii="Verdana" w:eastAsia="Times New Roman" w:hAnsi="Verdana" w:cs="Arial"/>
          <w:color w:val="000000"/>
          <w:sz w:val="20"/>
          <w:szCs w:val="20"/>
          <w:lang w:val="es-ES" w:eastAsia="es-MX"/>
        </w:rPr>
        <w:t>comparación de las propuestas</w:t>
      </w:r>
      <w:bookmarkEnd w:id="5"/>
      <w:r w:rsidRPr="00547A08">
        <w:rPr>
          <w:rFonts w:ascii="Verdana" w:eastAsia="Times New Roman" w:hAnsi="Verdana" w:cs="Arial"/>
          <w:color w:val="000000"/>
          <w:sz w:val="20"/>
          <w:szCs w:val="20"/>
          <w:lang w:val="es-ES" w:eastAsia="es-MX"/>
        </w:rPr>
        <w:t xml:space="preserve">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w:t>
      </w:r>
      <w:r w:rsidRPr="00547A08">
        <w:rPr>
          <w:rFonts w:ascii="Verdana" w:eastAsia="Times New Roman" w:hAnsi="Verdana" w:cs="Arial"/>
          <w:color w:val="000000"/>
          <w:sz w:val="20"/>
          <w:szCs w:val="20"/>
          <w:lang w:val="es-ES" w:eastAsia="es-MX"/>
        </w:rPr>
        <w:lastRenderedPageBreak/>
        <w:t xml:space="preserve">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 </w:t>
      </w:r>
    </w:p>
    <w:p w14:paraId="21E9452A" w14:textId="77777777" w:rsidR="000645D4" w:rsidRPr="00C543FB" w:rsidRDefault="000645D4" w:rsidP="000645D4">
      <w:pPr>
        <w:spacing w:after="120" w:line="276" w:lineRule="auto"/>
        <w:ind w:firstLine="709"/>
        <w:jc w:val="both"/>
        <w:rPr>
          <w:rFonts w:ascii="Verdana" w:eastAsia="Times New Roman" w:hAnsi="Verdana" w:cs="Arial"/>
          <w:color w:val="000000"/>
          <w:lang w:val="es-ES" w:eastAsia="es-MX"/>
        </w:rPr>
      </w:pPr>
      <w:r w:rsidRPr="00C543FB">
        <w:rPr>
          <w:rFonts w:ascii="Verdana" w:eastAsia="Times New Roman" w:hAnsi="Verdana" w:cs="Arial"/>
          <w:color w:val="000000"/>
          <w:lang w:val="es-ES" w:eastAsia="es-MX"/>
        </w:rPr>
        <w:t>Esta norma: i) mantiene el criterio de la Ley 80 de 1993, relativo a que todo lo que no sea necesario para la comparación de propuestas no es título suficiente para su rechazo; ii) mantiene el criterio aclaratorio de la Ley 1150 de 2007, según el cual todo lo que no afecte la asignación de puntaje puede subsanarse y, iii) introduce modificaciones en relación con tres (3) aspectos que se analizarán a continuación:</w:t>
      </w:r>
    </w:p>
    <w:p w14:paraId="0D0F32F4" w14:textId="77777777" w:rsidR="000645D4" w:rsidRPr="00C543FB" w:rsidRDefault="000645D4" w:rsidP="000645D4">
      <w:pPr>
        <w:spacing w:after="120" w:line="276" w:lineRule="auto"/>
        <w:ind w:firstLine="709"/>
        <w:jc w:val="both"/>
        <w:rPr>
          <w:rFonts w:ascii="Verdana" w:eastAsia="Arial" w:hAnsi="Verdana" w:cs="Arial"/>
          <w:color w:val="000000"/>
          <w:lang w:val="es-ES" w:eastAsia="es-MX"/>
        </w:rPr>
      </w:pPr>
      <w:r w:rsidRPr="00C543FB">
        <w:rPr>
          <w:rFonts w:ascii="Verdana" w:eastAsia="Arial" w:hAnsi="Verdana" w:cs="Arial"/>
          <w:color w:val="000000"/>
          <w:lang w:val="es-ES" w:eastAsia="es-MX"/>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r w:rsidRPr="00C543FB">
        <w:rPr>
          <w:rFonts w:ascii="Verdana" w:eastAsia="Arial" w:hAnsi="Verdana" w:cs="Arial"/>
          <w:color w:val="000000"/>
          <w:vertAlign w:val="superscript"/>
          <w:lang w:val="es-ES" w:eastAsia="es-MX"/>
        </w:rPr>
        <w:footnoteReference w:id="7"/>
      </w:r>
      <w:r w:rsidRPr="00C543FB">
        <w:rPr>
          <w:rFonts w:ascii="Verdana" w:eastAsia="Arial" w:hAnsi="Verdana" w:cs="Arial"/>
          <w:color w:val="000000"/>
          <w:lang w:val="es-ES" w:eastAsia="es-MX"/>
        </w:rPr>
        <w:t>.</w:t>
      </w:r>
    </w:p>
    <w:p w14:paraId="1B227430" w14:textId="77777777" w:rsidR="000645D4" w:rsidRPr="00C543FB" w:rsidRDefault="000645D4" w:rsidP="000645D4">
      <w:pPr>
        <w:spacing w:after="120" w:line="276" w:lineRule="auto"/>
        <w:ind w:firstLine="709"/>
        <w:jc w:val="both"/>
        <w:rPr>
          <w:rFonts w:ascii="Verdana" w:eastAsia="Arial" w:hAnsi="Verdana" w:cs="Arial"/>
          <w:color w:val="000000"/>
          <w:lang w:val="es-ES" w:eastAsia="es-MX"/>
        </w:rPr>
      </w:pPr>
      <w:r w:rsidRPr="00C543FB">
        <w:rPr>
          <w:rFonts w:ascii="Verdana" w:eastAsia="Times New Roman" w:hAnsi="Verdana" w:cs="Arial"/>
          <w:color w:val="000000"/>
          <w:shd w:val="clear" w:color="auto" w:fill="FFFFFF"/>
          <w:lang w:val="es-ES" w:eastAsia="es-MX"/>
        </w:rPr>
        <w:t>Frente a la regla general, como se explica en el Concepto CU-060 del 24 de febrero de 2020,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p>
    <w:p w14:paraId="13D01C19" w14:textId="77777777" w:rsidR="000645D4" w:rsidRPr="00C543FB" w:rsidRDefault="000645D4" w:rsidP="000645D4">
      <w:pPr>
        <w:spacing w:after="120" w:line="276" w:lineRule="auto"/>
        <w:ind w:firstLine="720"/>
        <w:jc w:val="both"/>
        <w:rPr>
          <w:rFonts w:ascii="Verdana" w:eastAsia="Calibri" w:hAnsi="Verdana" w:cs="Arial"/>
          <w:color w:val="000000"/>
          <w:lang w:val="es-ES" w:eastAsia="es-MX"/>
        </w:rPr>
      </w:pPr>
      <w:r w:rsidRPr="00C543FB">
        <w:rPr>
          <w:rFonts w:ascii="Verdana" w:eastAsia="Arial" w:hAnsi="Verdana" w:cs="Arial"/>
          <w:color w:val="000000"/>
          <w:lang w:val="es-ES" w:eastAsia="es-MX"/>
        </w:rPr>
        <w:t xml:space="preserve">De otro lado, el segundo cambio importante de la Ley 1882 de 2018 </w:t>
      </w:r>
      <w:r w:rsidRPr="00C543FB">
        <w:rPr>
          <w:rFonts w:ascii="Verdana" w:eastAsia="Calibri" w:hAnsi="Verdana" w:cs="Arial"/>
          <w:color w:val="000000"/>
          <w:lang w:val="es-ES" w:eastAsia="es-MX"/>
        </w:rPr>
        <w:t xml:space="preserve">es el correspondiente a la garantía de seriedad. El parágrafo 3 del artículo 5 de la Ley 1150 de 2007, adicionado por el artículo 5 de la Ley 1882 de 2018 dispone que la falta de entrega de la garantía de seriedad es insubsanable. Al respecto, la norma prescribe lo siguiente: </w:t>
      </w:r>
      <w:r>
        <w:rPr>
          <w:rFonts w:ascii="Verdana" w:eastAsia="Calibri" w:hAnsi="Verdana" w:cs="Arial"/>
          <w:color w:val="000000"/>
          <w:lang w:val="es-ES" w:eastAsia="es-MX"/>
        </w:rPr>
        <w:t>“</w:t>
      </w:r>
      <w:r w:rsidRPr="00C543FB">
        <w:rPr>
          <w:rFonts w:ascii="Verdana" w:eastAsia="Calibri" w:hAnsi="Verdana" w:cs="Arial"/>
          <w:color w:val="000000"/>
          <w:lang w:val="es-ES" w:eastAsia="es-MX"/>
        </w:rPr>
        <w:t xml:space="preserve">PARÁGRAFO 3o. La no entrega de la garantía de </w:t>
      </w:r>
      <w:r w:rsidRPr="00C543FB">
        <w:rPr>
          <w:rFonts w:ascii="Verdana" w:eastAsia="Calibri" w:hAnsi="Verdana" w:cs="Arial"/>
          <w:color w:val="000000"/>
          <w:lang w:val="es-ES" w:eastAsia="es-MX"/>
        </w:rPr>
        <w:lastRenderedPageBreak/>
        <w:t>seriedad junto con la propuesta no será subsanable y será causal de rechazo de la misma</w:t>
      </w:r>
      <w:r>
        <w:rPr>
          <w:rFonts w:ascii="Verdana" w:eastAsia="Calibri" w:hAnsi="Verdana" w:cs="Arial"/>
          <w:color w:val="000000"/>
          <w:lang w:val="es-ES" w:eastAsia="es-MX"/>
        </w:rPr>
        <w:t>”</w:t>
      </w:r>
      <w:r w:rsidRPr="00C543FB">
        <w:rPr>
          <w:rFonts w:ascii="Verdana" w:eastAsia="Calibri" w:hAnsi="Verdana" w:cs="Arial"/>
          <w:color w:val="000000"/>
          <w:lang w:val="es-ES" w:eastAsia="es-MX"/>
        </w:rPr>
        <w:t>.</w:t>
      </w:r>
    </w:p>
    <w:p w14:paraId="31D2A993" w14:textId="77777777" w:rsidR="000645D4" w:rsidRPr="00C543FB" w:rsidRDefault="000645D4" w:rsidP="000645D4">
      <w:pPr>
        <w:spacing w:line="276" w:lineRule="auto"/>
        <w:ind w:firstLine="709"/>
        <w:jc w:val="both"/>
        <w:rPr>
          <w:rFonts w:ascii="Verdana" w:eastAsia="Times New Roman" w:hAnsi="Verdana" w:cs="Arial"/>
          <w:bdr w:val="none" w:sz="0" w:space="0" w:color="auto" w:frame="1"/>
          <w:lang w:val="es-ES" w:eastAsia="es-MX"/>
        </w:rPr>
      </w:pPr>
      <w:r>
        <w:rPr>
          <w:rFonts w:ascii="Verdana" w:eastAsia="Arial" w:hAnsi="Verdana" w:cs="Arial"/>
          <w:color w:val="000000"/>
          <w:lang w:val="es-ES" w:eastAsia="es-MX"/>
        </w:rPr>
        <w:t>E</w:t>
      </w:r>
      <w:r w:rsidRPr="00C543FB">
        <w:rPr>
          <w:rFonts w:ascii="Verdana" w:eastAsia="Arial" w:hAnsi="Verdana" w:cs="Arial"/>
          <w:color w:val="000000"/>
          <w:lang w:val="es-ES" w:eastAsia="es-MX"/>
        </w:rPr>
        <w:t xml:space="preserve">l último cambio importante de la Ley 1882 de 2018 fue la introducción de un criterio material, directamente relacionado con los aspectos subsanables: </w:t>
      </w:r>
      <w:r>
        <w:rPr>
          <w:rFonts w:ascii="Verdana" w:eastAsia="Arial" w:hAnsi="Verdana" w:cs="Arial"/>
          <w:i/>
          <w:iCs/>
          <w:color w:val="000000"/>
          <w:lang w:val="es-ES" w:eastAsia="es-MX"/>
        </w:rPr>
        <w:t>“</w:t>
      </w:r>
      <w:r w:rsidRPr="00C543FB">
        <w:rPr>
          <w:rFonts w:ascii="Verdana" w:eastAsia="Arial" w:hAnsi="Verdana" w:cs="Arial"/>
          <w:color w:val="000000"/>
          <w:lang w:val="es-ES" w:eastAsia="es-MX"/>
        </w:rPr>
        <w:t>los proponentes no podrán acreditar circunstancias ocurridas con posterioridad al cierre del proceso</w:t>
      </w:r>
      <w:r>
        <w:rPr>
          <w:rFonts w:ascii="Verdana" w:eastAsia="Arial" w:hAnsi="Verdana" w:cs="Arial"/>
          <w:color w:val="000000"/>
          <w:lang w:val="es-ES" w:eastAsia="es-MX"/>
        </w:rPr>
        <w:t>”</w:t>
      </w:r>
      <w:r w:rsidRPr="00C543FB">
        <w:rPr>
          <w:rFonts w:ascii="Verdana" w:eastAsia="Arial" w:hAnsi="Verdana" w:cs="Arial"/>
          <w:b/>
          <w:bCs/>
          <w:color w:val="000000"/>
          <w:lang w:val="es-ES" w:eastAsia="es-MX"/>
        </w:rPr>
        <w:t>.</w:t>
      </w:r>
      <w:r w:rsidRPr="00C543FB">
        <w:rPr>
          <w:rFonts w:ascii="Verdana" w:eastAsia="Times New Roman" w:hAnsi="Verdana" w:cs="Arial"/>
          <w:bdr w:val="none" w:sz="0" w:space="0" w:color="auto" w:frame="1"/>
          <w:lang w:val="es-ES" w:eastAsia="es-MX"/>
        </w:rPr>
        <w:t xml:space="preserve"> Esta regla tiene una finalidad particular, y es que, al momento de presentar la oferta, el proponente la deberá hacerlo de forma íntegra y así evitar que a lo largo del procedimiento contractual complete o adicione su propuesta, conforme mejora su situación particular. En términos del Consejo de Estado:</w:t>
      </w:r>
    </w:p>
    <w:p w14:paraId="79C0329B" w14:textId="77777777" w:rsidR="000645D4" w:rsidRPr="00547A08" w:rsidRDefault="000645D4" w:rsidP="000645D4">
      <w:pPr>
        <w:tabs>
          <w:tab w:val="left" w:pos="426"/>
        </w:tabs>
        <w:ind w:left="709" w:right="709"/>
        <w:jc w:val="both"/>
        <w:rPr>
          <w:rFonts w:ascii="Verdana" w:eastAsia="Arial" w:hAnsi="Verdana" w:cs="Arial"/>
          <w:color w:val="000000"/>
          <w:sz w:val="20"/>
          <w:szCs w:val="20"/>
          <w:lang w:val="es-ES" w:eastAsia="es-MX"/>
        </w:rPr>
      </w:pPr>
      <w:r w:rsidRPr="00547A08">
        <w:rPr>
          <w:rFonts w:ascii="Verdana" w:eastAsia="Arial" w:hAnsi="Verdana" w:cs="Arial"/>
          <w:color w:val="000000"/>
          <w:sz w:val="20"/>
          <w:szCs w:val="20"/>
          <w:lang w:val="es-ES" w:eastAsia="es-MX"/>
        </w:rPr>
        <w:t>[…] no es posible que el oferente vaya mejorando, completando, adicionando, modificando o estructurando su propuesta a lo largo del proceso contractual según vaya evolucionando su situación particular en el mismo, pues como se establece en el numeral 6º del artículo 30 de la Ley 80 de 1993, “las propuestas deben referirse y sujetarse a todos y cada uno de los puntos contenidos en el pliego de condiciones”, es decir, todos los elementos del negocio jurídico exigidos en los pliegos de condiciones. Dicho de otra forma, el oferente tiene la carga de presentar su oferta en forma íntegra, esto es, respondiendo todos los puntos del pliego de condiciones y adjuntando todos los documentos de soporte o prueba de las condiciones habilitantes y de los elementos de su oferta, de manera que la entidad licitante pueda, con economía de medios, evaluarla lo más eficientemente posible, y sólo si hace falta algún requisito o un documento, la administración puede requerirlo del oferente.</w:t>
      </w:r>
      <w:r w:rsidRPr="00547A08">
        <w:rPr>
          <w:rFonts w:ascii="Verdana" w:eastAsia="Arial" w:hAnsi="Verdana" w:cs="Arial"/>
          <w:color w:val="000000"/>
          <w:sz w:val="20"/>
          <w:szCs w:val="20"/>
          <w:vertAlign w:val="superscript"/>
          <w:lang w:val="es-ES" w:eastAsia="es-MX"/>
        </w:rPr>
        <w:footnoteReference w:id="8"/>
      </w:r>
    </w:p>
    <w:p w14:paraId="30D08B47" w14:textId="77777777" w:rsidR="000645D4" w:rsidRDefault="000645D4" w:rsidP="000645D4">
      <w:pPr>
        <w:spacing w:line="276" w:lineRule="auto"/>
        <w:ind w:firstLine="708"/>
        <w:jc w:val="both"/>
        <w:rPr>
          <w:rFonts w:ascii="Verdana" w:eastAsia="Calibri" w:hAnsi="Verdana" w:cs="Arial"/>
        </w:rPr>
      </w:pPr>
      <w:r>
        <w:rPr>
          <w:rFonts w:ascii="Verdana" w:eastAsia="Calibri" w:hAnsi="Verdana" w:cs="Arial"/>
        </w:rPr>
        <w:t xml:space="preserve">De esta manera, </w:t>
      </w:r>
      <w:r w:rsidRPr="00B75683">
        <w:rPr>
          <w:rFonts w:ascii="Verdana" w:eastAsia="Calibri" w:hAnsi="Verdana" w:cs="Arial"/>
        </w:rPr>
        <w:t>los requisitos habilitantes que no afectan la asignación de puntaje pueden ser subsanados, siempre que la información subsanada corresponda a hechos ocurridos antes del cierre del proceso de selección.</w:t>
      </w:r>
    </w:p>
    <w:p w14:paraId="2424AEDD" w14:textId="77777777" w:rsidR="000645D4" w:rsidRPr="000645D4" w:rsidRDefault="000645D4" w:rsidP="000645D4">
      <w:pPr>
        <w:spacing w:after="0" w:line="276" w:lineRule="auto"/>
        <w:jc w:val="both"/>
        <w:rPr>
          <w:rFonts w:ascii="Verdana" w:eastAsia="Calibri" w:hAnsi="Verdana" w:cs="Arial"/>
        </w:rPr>
      </w:pPr>
      <w:r>
        <w:rPr>
          <w:rFonts w:ascii="Verdana" w:eastAsia="Calibri" w:hAnsi="Verdana" w:cs="Arial"/>
          <w:lang w:eastAsia="es-ES"/>
        </w:rPr>
        <w:t xml:space="preserve">        </w:t>
      </w:r>
      <w:r w:rsidRPr="000A1E72">
        <w:rPr>
          <w:rFonts w:ascii="Verdana" w:eastAsia="Calibri" w:hAnsi="Verdana" w:cs="Arial"/>
          <w:lang w:eastAsia="es-ES"/>
        </w:rPr>
        <w:t xml:space="preserve">Ahora bien, el análisis de la subsanación en cada caso concreto debe realizarse atendiendo, además, a lo previsto en el cronograma del proceso y en los estudios previos, toda vez que estos documentos hacen parte integral del procedimiento de selección y materializan el principio de planeación contractual. Por ello, si la entidad fija expresamente en el cronograma el término para la presentación de documentos de subsanación, dicho término se torna preclusivo y obligatorio tanto para la entidad como para los oferentes. En </w:t>
      </w:r>
      <w:r>
        <w:rPr>
          <w:rFonts w:ascii="Verdana" w:eastAsia="Calibri" w:hAnsi="Verdana" w:cs="Arial"/>
          <w:lang w:eastAsia="es-ES"/>
        </w:rPr>
        <w:t>consecuencia, corresponde a</w:t>
      </w:r>
      <w:r w:rsidRPr="000A1E72">
        <w:rPr>
          <w:rFonts w:ascii="Verdana" w:eastAsia="Calibri" w:hAnsi="Verdana" w:cs="Arial"/>
          <w:lang w:eastAsia="es-ES"/>
        </w:rPr>
        <w:t xml:space="preserve"> la entidad </w:t>
      </w:r>
      <w:r>
        <w:rPr>
          <w:rFonts w:ascii="Verdana" w:eastAsia="Calibri" w:hAnsi="Verdana" w:cs="Arial"/>
          <w:lang w:eastAsia="es-ES"/>
        </w:rPr>
        <w:t xml:space="preserve">estatal </w:t>
      </w:r>
      <w:r w:rsidRPr="000A1E72">
        <w:rPr>
          <w:rFonts w:ascii="Verdana" w:eastAsia="Calibri" w:hAnsi="Verdana" w:cs="Arial"/>
          <w:lang w:eastAsia="es-ES"/>
        </w:rPr>
        <w:t>valor</w:t>
      </w:r>
      <w:r>
        <w:rPr>
          <w:rFonts w:ascii="Verdana" w:eastAsia="Calibri" w:hAnsi="Verdana" w:cs="Arial"/>
          <w:lang w:eastAsia="es-ES"/>
        </w:rPr>
        <w:t>ar los</w:t>
      </w:r>
      <w:r w:rsidRPr="000A1E72">
        <w:rPr>
          <w:rFonts w:ascii="Verdana" w:eastAsia="Calibri" w:hAnsi="Verdana" w:cs="Arial"/>
          <w:lang w:eastAsia="es-ES"/>
        </w:rPr>
        <w:t xml:space="preserve"> documentos presentados por fuera </w:t>
      </w:r>
      <w:r w:rsidRPr="000A1E72">
        <w:rPr>
          <w:rFonts w:ascii="Verdana" w:eastAsia="Calibri" w:hAnsi="Verdana" w:cs="Arial"/>
          <w:lang w:eastAsia="es-ES"/>
        </w:rPr>
        <w:lastRenderedPageBreak/>
        <w:t>del término previsto en el cronograma</w:t>
      </w:r>
      <w:r>
        <w:rPr>
          <w:rFonts w:ascii="Verdana" w:eastAsia="Calibri" w:hAnsi="Verdana" w:cs="Arial"/>
          <w:lang w:eastAsia="es-ES"/>
        </w:rPr>
        <w:t xml:space="preserve"> a la luz de</w:t>
      </w:r>
      <w:r w:rsidRPr="000A1E72">
        <w:rPr>
          <w:rFonts w:ascii="Verdana" w:eastAsia="Calibri" w:hAnsi="Verdana" w:cs="Arial"/>
          <w:lang w:eastAsia="es-ES"/>
        </w:rPr>
        <w:t xml:space="preserve"> los principios de transparencia, igualdad entre oferentes y selección objetiva, así como la regla de publicidad que rige la actuación contractual.</w:t>
      </w:r>
    </w:p>
    <w:p w14:paraId="2E551600" w14:textId="77777777" w:rsidR="000645D4" w:rsidRDefault="000645D4" w:rsidP="000645D4">
      <w:pPr>
        <w:pStyle w:val="Prrafodelista"/>
        <w:spacing w:before="120" w:after="120" w:line="276" w:lineRule="auto"/>
        <w:ind w:left="0" w:firstLine="708"/>
        <w:jc w:val="both"/>
        <w:rPr>
          <w:rFonts w:ascii="Verdana" w:eastAsia="Calibri" w:hAnsi="Verdana" w:cs="Arial"/>
          <w:lang w:eastAsia="es-ES"/>
        </w:rPr>
      </w:pPr>
      <w:r>
        <w:rPr>
          <w:rFonts w:ascii="Verdana" w:eastAsia="Calibri" w:hAnsi="Verdana" w:cs="Arial"/>
          <w:lang w:eastAsia="es-ES"/>
        </w:rPr>
        <w:t>Asi las cosas</w:t>
      </w:r>
      <w:r w:rsidRPr="000A1E72">
        <w:rPr>
          <w:rFonts w:ascii="Verdana" w:eastAsia="Calibri" w:hAnsi="Verdana" w:cs="Arial"/>
          <w:lang w:eastAsia="es-ES"/>
        </w:rPr>
        <w:t>, en atención al problema jurídico planteado, en la modalidad de selección de mínima cuantía, si la entidad estatal, de forma excepcional e incorrecta (pues la norma exige que se establezca un término preclusivo), no señala un término expreso para la subsanación en la invitación, la regla supletoria aplicable es que los proponentes podrán subsanar sus ofertas hasta antes de que finalice el traslado del informe de evaluación (Decreto 1082 de 2015, Art. 2.2.1.2.1.5.2, num. 6, modificado por el Decreto 1860 de 2021). Sin embargo, este derecho está estrictamente limitado por lo dispuesto en el artículo 5 de la Ley 1150 de 2007, cuyo parágrafo 1º establece que solo son subsanables los requisitos que no afecten la asignación de puntaje ni la comparación de las propuestas. Adicionalmente, la subsanación no permite acreditar hechos o requisitos ocurridos con posterioridad al cierre del proceso, sino únicamente aportar las pruebas de que el requisito ya se cumplía al momento del cierre (Ley 1150 de 2007, Art. 5, parágrafo 2º).</w:t>
      </w:r>
    </w:p>
    <w:p w14:paraId="3CC6A987" w14:textId="0AD64573" w:rsidR="00853C28" w:rsidRDefault="000645D4" w:rsidP="000645D4">
      <w:pPr>
        <w:spacing w:line="276" w:lineRule="auto"/>
        <w:ind w:firstLine="708"/>
        <w:jc w:val="both"/>
        <w:rPr>
          <w:rFonts w:ascii="Verdana" w:eastAsia="Calibri" w:hAnsi="Verdana" w:cs="Arial"/>
          <w:lang w:eastAsia="es-ES"/>
        </w:rPr>
      </w:pPr>
      <w:r>
        <w:rPr>
          <w:rFonts w:ascii="Verdana" w:eastAsia="Calibri" w:hAnsi="Verdana" w:cs="Arial"/>
        </w:rPr>
        <w:t>Ahora bien, e</w:t>
      </w:r>
      <w:r w:rsidRPr="00E85A8F">
        <w:rPr>
          <w:rFonts w:ascii="Verdana" w:eastAsia="Calibri" w:hAnsi="Verdana" w:cs="Arial"/>
        </w:rPr>
        <w:t>l Manual para determinar y verificar los requisitos habilitantes en los Procesos de Contratación, elaborado por Colombia Compra Eficiente</w:t>
      </w:r>
      <w:r>
        <w:rPr>
          <w:rStyle w:val="Refdenotaalpie"/>
          <w:rFonts w:ascii="Verdana" w:eastAsia="Calibri" w:hAnsi="Verdana" w:cs="Arial"/>
        </w:rPr>
        <w:footnoteReference w:id="9"/>
      </w:r>
      <w:r w:rsidRPr="00E85A8F">
        <w:rPr>
          <w:rFonts w:ascii="Verdana" w:eastAsia="Calibri" w:hAnsi="Verdana" w:cs="Arial"/>
        </w:rPr>
        <w:t xml:space="preserve">, constituye una herramienta técnica fundamental para las entidades estatales y los proponentes, ya que establece criterios claros y uniformes sobre cómo definir, exigir y verificar los requisitos habilitantes en los distintos procesos de selección. Este manual orienta a las entidades para que dichos requisitos respondan a la naturaleza del objeto contractual, se ajusten al principio de proporcionalidad y no constituyan barreras injustificadas al acceso. Además, delimita con precisión cuáles documentos pueden ser objeto de subsanación, brindando seguridad jurídica en la evaluación de ofertas. Por lo tanto, se recomienda su consulta </w:t>
      </w:r>
      <w:r>
        <w:rPr>
          <w:rFonts w:ascii="Verdana" w:eastAsia="Calibri" w:hAnsi="Verdana" w:cs="Arial"/>
        </w:rPr>
        <w:t xml:space="preserve">en el sitio web: </w:t>
      </w:r>
      <w:hyperlink r:id="rId14" w:history="1">
        <w:r w:rsidRPr="00B47936">
          <w:rPr>
            <w:rStyle w:val="Hipervnculo"/>
            <w:rFonts w:ascii="Verdana" w:eastAsia="Calibri" w:hAnsi="Verdana" w:cs="Arial"/>
            <w:color w:val="227ACB"/>
          </w:rPr>
          <w:t>https://www.colombiacompra</w:t>
        </w:r>
      </w:hyperlink>
      <w:r w:rsidRPr="00B47936">
        <w:rPr>
          <w:rFonts w:ascii="Verdana" w:eastAsia="Calibri" w:hAnsi="Verdana" w:cs="Arial"/>
          <w:color w:val="227ACB"/>
          <w:u w:val="single"/>
        </w:rPr>
        <w:t>. gov.co/archivos/manual/manual-para-determinar-y-verificar-los-requisitos-habilitantes-en-los-procesos-de-contratacion.</w:t>
      </w:r>
    </w:p>
    <w:bookmarkEnd w:id="4"/>
    <w:p w14:paraId="1569DA98" w14:textId="77777777" w:rsidR="00A64017" w:rsidRPr="004F7B86" w:rsidRDefault="00A64017" w:rsidP="00103B90">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w:t>
      </w:r>
      <w:r w:rsidRPr="00DB4737">
        <w:rPr>
          <w:rFonts w:ascii="Verdana" w:eastAsia="Calibri" w:hAnsi="Verdana" w:cs="Times New Roman"/>
          <w:lang w:val="es-ES"/>
        </w:rPr>
        <w:lastRenderedPageBreak/>
        <w:t>concepto de sus asesores, la solución de situaciones particulares corresponderá a los interesados de adoptar la decisión y, en caso de conflicto, a las autoridades judiciales, fiscales y disciplinarias.</w:t>
      </w:r>
    </w:p>
    <w:p w14:paraId="5746398F" w14:textId="77777777" w:rsidR="00A64017" w:rsidRDefault="00A64017" w:rsidP="008E2432">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4388CDF6" w14:textId="77777777" w:rsidR="008E2432" w:rsidRPr="008E2432" w:rsidRDefault="008E2432" w:rsidP="00103B90">
      <w:pPr>
        <w:spacing w:after="0" w:line="276" w:lineRule="auto"/>
        <w:ind w:firstLine="708"/>
        <w:jc w:val="both"/>
        <w:rPr>
          <w:rFonts w:ascii="Verdana" w:eastAsia="Calibri" w:hAnsi="Verdana" w:cs="Times New Roman"/>
          <w:lang w:val="es-ES"/>
        </w:rPr>
      </w:pPr>
    </w:p>
    <w:p w14:paraId="3C1B09FA" w14:textId="77777777" w:rsidR="00A64017" w:rsidRPr="0060676F" w:rsidRDefault="00A64017" w:rsidP="00103B90">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6742EB9C" w14:textId="77777777" w:rsidR="00C91AF4" w:rsidRDefault="00C91AF4" w:rsidP="00C91AF4">
            <w:pPr>
              <w:pStyle w:val="Prrafodelista"/>
              <w:widowControl w:val="0"/>
              <w:autoSpaceDE w:val="0"/>
              <w:autoSpaceDN w:val="0"/>
              <w:ind w:left="714"/>
              <w:jc w:val="both"/>
              <w:rPr>
                <w:rFonts w:ascii="Verdana" w:hAnsi="Verdana" w:cs="Arial"/>
              </w:rPr>
            </w:pPr>
          </w:p>
          <w:p w14:paraId="52BF3874" w14:textId="77777777" w:rsidR="00D66FF5" w:rsidRPr="00905A2C" w:rsidRDefault="00D66FF5" w:rsidP="00D66FF5">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 xml:space="preserve">Constitución Política de Colombia: Artículos 6 y 121. </w:t>
            </w:r>
          </w:p>
          <w:p w14:paraId="0CE5A3DE" w14:textId="77777777" w:rsidR="00D66FF5" w:rsidRPr="00905A2C" w:rsidRDefault="00D66FF5" w:rsidP="00D66FF5">
            <w:pPr>
              <w:pStyle w:val="Sinespaciado"/>
              <w:spacing w:line="276" w:lineRule="auto"/>
              <w:jc w:val="both"/>
              <w:rPr>
                <w:rFonts w:ascii="Verdana" w:eastAsia="Calibri" w:hAnsi="Verdana" w:cs="Arial"/>
                <w:sz w:val="22"/>
                <w:lang w:val="es-ES_tradnl"/>
              </w:rPr>
            </w:pPr>
          </w:p>
          <w:p w14:paraId="60CC3A70" w14:textId="77777777" w:rsidR="00D66FF5" w:rsidRPr="00905A2C" w:rsidRDefault="00D66FF5" w:rsidP="00D66FF5">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Ley 80 de 1993: Artículos 3 y 60.</w:t>
            </w:r>
          </w:p>
          <w:p w14:paraId="15EABCC6" w14:textId="77777777" w:rsidR="00D66FF5" w:rsidRPr="00905A2C" w:rsidRDefault="00D66FF5" w:rsidP="00D66FF5">
            <w:pPr>
              <w:pStyle w:val="Sinespaciado"/>
              <w:spacing w:line="276" w:lineRule="auto"/>
              <w:jc w:val="both"/>
              <w:rPr>
                <w:rFonts w:ascii="Verdana" w:eastAsia="Calibri" w:hAnsi="Verdana" w:cs="Arial"/>
                <w:sz w:val="22"/>
                <w:lang w:val="es-ES_tradnl"/>
              </w:rPr>
            </w:pPr>
          </w:p>
          <w:p w14:paraId="6958A27D" w14:textId="77777777" w:rsidR="00D66FF5" w:rsidRPr="00905A2C" w:rsidRDefault="00D66FF5" w:rsidP="00D66FF5">
            <w:pPr>
              <w:pStyle w:val="Sinespaciado"/>
              <w:numPr>
                <w:ilvl w:val="0"/>
                <w:numId w:val="20"/>
              </w:numPr>
              <w:spacing w:line="276" w:lineRule="auto"/>
              <w:ind w:left="360"/>
              <w:jc w:val="both"/>
              <w:rPr>
                <w:rFonts w:ascii="Verdana" w:eastAsia="Calibri" w:hAnsi="Verdana" w:cs="Arial"/>
                <w:sz w:val="22"/>
                <w:lang w:val="es-ES_tradnl"/>
              </w:rPr>
            </w:pPr>
            <w:r w:rsidRPr="00905A2C">
              <w:rPr>
                <w:rFonts w:ascii="Verdana" w:eastAsia="Calibri" w:hAnsi="Verdana" w:cs="Arial"/>
                <w:sz w:val="22"/>
                <w:lang w:val="es-ES_tradnl"/>
              </w:rPr>
              <w:t xml:space="preserve">Ley 1150 de 2007: Artículo 11. </w:t>
            </w:r>
          </w:p>
          <w:p w14:paraId="085E75D9" w14:textId="77777777" w:rsidR="00D66FF5" w:rsidRPr="00905A2C" w:rsidRDefault="00D66FF5" w:rsidP="00D66FF5">
            <w:pPr>
              <w:spacing w:line="276" w:lineRule="auto"/>
              <w:rPr>
                <w:rFonts w:ascii="Verdana" w:hAnsi="Verdana" w:cs="Arial"/>
                <w:color w:val="000000" w:themeColor="text1"/>
              </w:rPr>
            </w:pPr>
          </w:p>
          <w:p w14:paraId="2ADBB08B" w14:textId="77777777" w:rsidR="00D66FF5" w:rsidRPr="00905A2C" w:rsidRDefault="00D66FF5" w:rsidP="00D66FF5">
            <w:pPr>
              <w:pStyle w:val="Prrafodelista"/>
              <w:numPr>
                <w:ilvl w:val="0"/>
                <w:numId w:val="20"/>
              </w:numPr>
              <w:spacing w:line="276" w:lineRule="auto"/>
              <w:ind w:left="360"/>
              <w:rPr>
                <w:rFonts w:ascii="Verdana" w:hAnsi="Verdana" w:cs="Arial"/>
                <w:color w:val="000000" w:themeColor="text1"/>
              </w:rPr>
            </w:pPr>
            <w:r w:rsidRPr="00905A2C">
              <w:rPr>
                <w:rFonts w:ascii="Verdana" w:hAnsi="Verdana" w:cs="Arial"/>
                <w:color w:val="000000" w:themeColor="text1"/>
              </w:rPr>
              <w:t xml:space="preserve">Ley 1474 de 2011: Artículos 83 a 86. </w:t>
            </w:r>
          </w:p>
          <w:p w14:paraId="49108C81" w14:textId="77777777" w:rsidR="00D66FF5" w:rsidRPr="00905A2C" w:rsidRDefault="00D66FF5" w:rsidP="00D66FF5">
            <w:pPr>
              <w:pStyle w:val="Textonotapie"/>
              <w:spacing w:line="276" w:lineRule="auto"/>
              <w:jc w:val="both"/>
              <w:rPr>
                <w:rFonts w:ascii="Verdana" w:hAnsi="Verdana" w:cs="Arial"/>
                <w:iCs/>
                <w:color w:val="1A1A1A" w:themeColor="background1" w:themeShade="1A"/>
                <w:sz w:val="22"/>
                <w:szCs w:val="22"/>
              </w:rPr>
            </w:pPr>
          </w:p>
          <w:p w14:paraId="1AEAF9B2" w14:textId="77777777" w:rsidR="00D66FF5" w:rsidRPr="00905A2C" w:rsidRDefault="00D66FF5" w:rsidP="00D66FF5">
            <w:pPr>
              <w:pStyle w:val="Textonotapie"/>
              <w:numPr>
                <w:ilvl w:val="0"/>
                <w:numId w:val="20"/>
              </w:numPr>
              <w:spacing w:line="276" w:lineRule="auto"/>
              <w:ind w:left="360"/>
              <w:jc w:val="both"/>
              <w:rPr>
                <w:rFonts w:ascii="Verdana" w:hAnsi="Verdana" w:cs="Arial"/>
                <w:sz w:val="22"/>
                <w:szCs w:val="22"/>
              </w:rPr>
            </w:pPr>
            <w:r w:rsidRPr="00905A2C">
              <w:rPr>
                <w:rFonts w:ascii="Verdana" w:hAnsi="Verdana" w:cs="Arial"/>
                <w:sz w:val="22"/>
                <w:szCs w:val="22"/>
              </w:rPr>
              <w:t>Consejo de Estado. Sala de Consulta y Servicio Civil. Radicado No. 1453. Concepto de 6 de agosto de 2003. MP. Augusto Trejos.</w:t>
            </w:r>
          </w:p>
          <w:p w14:paraId="4379EA6B" w14:textId="77777777" w:rsidR="00D66FF5" w:rsidRPr="00905A2C" w:rsidRDefault="00D66FF5" w:rsidP="00D66FF5">
            <w:pPr>
              <w:spacing w:line="276" w:lineRule="auto"/>
              <w:jc w:val="both"/>
              <w:rPr>
                <w:rFonts w:ascii="Verdana" w:hAnsi="Verdana" w:cs="Arial"/>
              </w:rPr>
            </w:pPr>
          </w:p>
          <w:p w14:paraId="3722F306" w14:textId="77777777" w:rsidR="00D66FF5" w:rsidRPr="00905A2C" w:rsidRDefault="00D66FF5" w:rsidP="00D66FF5">
            <w:pPr>
              <w:pStyle w:val="Prrafodelista"/>
              <w:numPr>
                <w:ilvl w:val="0"/>
                <w:numId w:val="20"/>
              </w:numPr>
              <w:spacing w:line="276" w:lineRule="auto"/>
              <w:ind w:left="360"/>
              <w:jc w:val="both"/>
              <w:rPr>
                <w:rFonts w:ascii="Verdana" w:hAnsi="Verdana" w:cs="Arial"/>
              </w:rPr>
            </w:pPr>
            <w:r w:rsidRPr="00905A2C">
              <w:rPr>
                <w:rFonts w:ascii="Verdana" w:hAnsi="Verdana" w:cs="Arial"/>
              </w:rPr>
              <w:t xml:space="preserve">Consejo de Estado. Sección Tercera. Subsección C. 20 de octubre de 2014, M.P: Enrique Gil Botero. Exp. 27.777. </w:t>
            </w:r>
          </w:p>
          <w:p w14:paraId="52D1F316" w14:textId="77777777" w:rsidR="00D66FF5" w:rsidRPr="00905A2C" w:rsidRDefault="00D66FF5" w:rsidP="00D66FF5">
            <w:pPr>
              <w:pStyle w:val="Textonotapie"/>
              <w:spacing w:line="276" w:lineRule="auto"/>
              <w:ind w:left="-360"/>
              <w:jc w:val="both"/>
              <w:rPr>
                <w:rFonts w:ascii="Verdana" w:hAnsi="Verdana" w:cs="Arial"/>
                <w:iCs/>
                <w:color w:val="1A1A1A" w:themeColor="background1" w:themeShade="1A"/>
                <w:sz w:val="22"/>
                <w:szCs w:val="22"/>
              </w:rPr>
            </w:pPr>
          </w:p>
          <w:p w14:paraId="5B677EE3" w14:textId="77777777" w:rsidR="00D66FF5" w:rsidRPr="00905A2C" w:rsidRDefault="00D66FF5" w:rsidP="00D66FF5">
            <w:pPr>
              <w:pStyle w:val="Textonotapie"/>
              <w:numPr>
                <w:ilvl w:val="0"/>
                <w:numId w:val="20"/>
              </w:numPr>
              <w:spacing w:line="276" w:lineRule="auto"/>
              <w:ind w:left="360"/>
              <w:jc w:val="both"/>
              <w:rPr>
                <w:rFonts w:ascii="Verdana" w:hAnsi="Verdana" w:cs="Arial"/>
                <w:iCs/>
                <w:color w:val="000000" w:themeColor="text1"/>
                <w:sz w:val="22"/>
                <w:szCs w:val="22"/>
              </w:rPr>
            </w:pPr>
            <w:r w:rsidRPr="00905A2C">
              <w:rPr>
                <w:rFonts w:ascii="Verdana" w:hAnsi="Verdana" w:cs="Arial"/>
                <w:iCs/>
                <w:color w:val="000000" w:themeColor="text1"/>
                <w:sz w:val="22"/>
                <w:szCs w:val="22"/>
              </w:rPr>
              <w:t>Consejo de Estado. Sección Tercera. Sentencia del 27 de noviembre de 2017. M.P. Jaime Orlando Santofimio. Exp. 51.802.</w:t>
            </w:r>
          </w:p>
          <w:p w14:paraId="2C7BB9E2" w14:textId="77777777" w:rsidR="00D66FF5" w:rsidRPr="00905A2C" w:rsidRDefault="00D66FF5" w:rsidP="00D66FF5">
            <w:pPr>
              <w:pStyle w:val="Textonotapie"/>
              <w:spacing w:line="276" w:lineRule="auto"/>
              <w:jc w:val="both"/>
              <w:rPr>
                <w:rFonts w:ascii="Verdana" w:hAnsi="Verdana" w:cs="Arial"/>
                <w:color w:val="000000" w:themeColor="text1"/>
                <w:sz w:val="22"/>
                <w:szCs w:val="22"/>
              </w:rPr>
            </w:pPr>
          </w:p>
          <w:p w14:paraId="2196F0C4" w14:textId="77777777" w:rsidR="00D66FF5" w:rsidRPr="00905A2C" w:rsidRDefault="00D66FF5" w:rsidP="00D66FF5">
            <w:pPr>
              <w:pStyle w:val="Textonotapie"/>
              <w:numPr>
                <w:ilvl w:val="0"/>
                <w:numId w:val="20"/>
              </w:numPr>
              <w:spacing w:line="276" w:lineRule="auto"/>
              <w:ind w:left="360"/>
              <w:jc w:val="both"/>
              <w:rPr>
                <w:rFonts w:ascii="Verdana" w:hAnsi="Verdana" w:cs="Arial"/>
                <w:iCs/>
                <w:color w:val="000000" w:themeColor="text1"/>
                <w:sz w:val="22"/>
                <w:szCs w:val="22"/>
              </w:rPr>
            </w:pPr>
            <w:r w:rsidRPr="00905A2C">
              <w:rPr>
                <w:rFonts w:ascii="Verdana" w:hAnsi="Verdana" w:cs="Arial"/>
                <w:sz w:val="22"/>
                <w:szCs w:val="22"/>
              </w:rPr>
              <w:t>Agencia Nacional de Contratación Pública – Colombia Compra Eficiente. “Guía para el ejercicio de las funciones de supervisión e interventoría de los contratos suscritos por las Entidades Estatales”.</w:t>
            </w:r>
            <w:r w:rsidRPr="00905A2C">
              <w:rPr>
                <w:rFonts w:ascii="Verdana" w:hAnsi="Verdana" w:cs="Arial"/>
                <w:iCs/>
                <w:color w:val="000000" w:themeColor="text1"/>
                <w:sz w:val="22"/>
                <w:szCs w:val="22"/>
              </w:rPr>
              <w:t xml:space="preserve"> Disponible en: </w:t>
            </w:r>
            <w:hyperlink r:id="rId15" w:history="1">
              <w:r w:rsidRPr="00905A2C">
                <w:rPr>
                  <w:rStyle w:val="Hipervnculo"/>
                  <w:rFonts w:ascii="Verdana" w:hAnsi="Verdana" w:cs="Arial"/>
                  <w:iCs/>
                  <w:sz w:val="22"/>
                  <w:szCs w:val="22"/>
                </w:rPr>
                <w:t>https://www.colombiacompra.gov.co/sites/cce_public/files/cce_documents/cce_guia_supervision_interventoria.pdf</w:t>
              </w:r>
            </w:hyperlink>
          </w:p>
          <w:p w14:paraId="41B92B91" w14:textId="77777777" w:rsidR="00C91AF4" w:rsidRPr="006E65CC" w:rsidRDefault="00C91AF4" w:rsidP="00C91AF4">
            <w:pPr>
              <w:pStyle w:val="Prrafodelista"/>
              <w:widowControl w:val="0"/>
              <w:autoSpaceDE w:val="0"/>
              <w:autoSpaceDN w:val="0"/>
              <w:ind w:left="714"/>
              <w:jc w:val="both"/>
              <w:rPr>
                <w:rFonts w:ascii="Verdana" w:hAnsi="Verdana" w:cs="Arial"/>
              </w:rPr>
            </w:pPr>
          </w:p>
          <w:p w14:paraId="60CC6EC9" w14:textId="7684FF4C" w:rsidR="00A64017" w:rsidRPr="00332677" w:rsidRDefault="00A64017" w:rsidP="002A22D8">
            <w:pPr>
              <w:pStyle w:val="Prrafodelista"/>
              <w:widowControl w:val="0"/>
              <w:autoSpaceDE w:val="0"/>
              <w:autoSpaceDN w:val="0"/>
              <w:jc w:val="both"/>
              <w:rPr>
                <w:rFonts w:ascii="Verdana" w:hAnsi="Verdana" w:cs="Arial"/>
              </w:rPr>
            </w:pP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4DC7A720" w:rsidR="00A64017" w:rsidRPr="002A22D8" w:rsidRDefault="00D66FF5" w:rsidP="00A64017">
      <w:pPr>
        <w:widowControl w:val="0"/>
        <w:autoSpaceDE w:val="0"/>
        <w:autoSpaceDN w:val="0"/>
        <w:spacing w:after="0" w:line="276" w:lineRule="auto"/>
        <w:jc w:val="both"/>
        <w:rPr>
          <w:rFonts w:ascii="Verdana" w:hAnsi="Verdana" w:cs="Arial"/>
          <w:bCs/>
          <w:shd w:val="clear" w:color="auto" w:fill="FFFFFF"/>
        </w:rPr>
      </w:pPr>
      <w:r w:rsidRPr="007B7547">
        <w:rPr>
          <w:rFonts w:ascii="Verdana" w:eastAsia="Calibri" w:hAnsi="Verdana" w:cs="Arial"/>
          <w:lang w:val="es-ES_tradnl" w:eastAsia="es-ES_tradnl"/>
        </w:rPr>
        <w:t>En cuanto a los criterios que deben ser tenidos en cuenta para la subsanabilidad de las propuestas, esta Agencia unificó su criterio mediante el concepto C-060 del 16 de enero de 2020, reiterado por los conceptos C-218 del 2 de febrero de 2020, C-267 del 4 de mayo de 2020, C-283 del 4 de mayo de 2020, C-307 del 21 de mayo de 2020, C-365 del 30 de junio de 2020, C-391 del 10 de agosto de 2020, C-675 del 25 de noviembre de 2020, C-683 del 25 de noviembre de 2020, C-730 del 14 de diciembre de 2020, C-779 de 18 de enero de 2021, C-055 del 10 de marzo de 2021, C-207 del 10 de mayo de 2021, C-332 del 07 de mayo de 2021, C-311 del 10 de junio de 2021</w:t>
      </w:r>
      <w:r w:rsidRPr="0027034B">
        <w:rPr>
          <w:rFonts w:ascii="Verdana" w:eastAsia="Calibri" w:hAnsi="Verdana" w:cs="Arial"/>
          <w:lang w:val="es-ES_tradnl" w:eastAsia="es-ES_tradnl"/>
        </w:rPr>
        <w:t xml:space="preserve">, </w:t>
      </w:r>
      <w:r w:rsidRPr="004C6846">
        <w:rPr>
          <w:rFonts w:ascii="Verdana" w:hAnsi="Verdana" w:cs="Arial"/>
        </w:rPr>
        <w:t>C-233 del 12 de agosto de 2024</w:t>
      </w:r>
      <w:r>
        <w:rPr>
          <w:rFonts w:ascii="Verdana" w:hAnsi="Verdana" w:cs="Arial"/>
        </w:rPr>
        <w:t>,</w:t>
      </w:r>
      <w:r w:rsidRPr="004C6846">
        <w:rPr>
          <w:rFonts w:ascii="Verdana" w:hAnsi="Verdana" w:cs="Arial"/>
        </w:rPr>
        <w:t xml:space="preserve"> C-369 del 09 de septiembre del 2024</w:t>
      </w:r>
      <w:r>
        <w:rPr>
          <w:rFonts w:ascii="Verdana" w:hAnsi="Verdana" w:cs="Arial"/>
          <w:shd w:val="clear" w:color="auto" w:fill="FFFFFF"/>
        </w:rPr>
        <w:t xml:space="preserve">, C-834 del 21 de noviembre de 2024 y C-518 de del 09 de junio de 2025, </w:t>
      </w:r>
      <w:r w:rsidRPr="0027034B">
        <w:rPr>
          <w:rFonts w:ascii="Verdana" w:eastAsia="Calibri" w:hAnsi="Verdana" w:cs="Arial"/>
          <w:lang w:val="es-ES_tradnl" w:eastAsia="es-ES_tradnl"/>
        </w:rPr>
        <w:t>entre otros</w:t>
      </w:r>
      <w:r w:rsidR="001D1756">
        <w:rPr>
          <w:rStyle w:val="normaltextrun"/>
          <w:rFonts w:ascii="Verdana" w:hAnsi="Verdana" w:cs="Arial"/>
          <w:shd w:val="clear" w:color="auto" w:fill="FFFFFF"/>
          <w:lang w:val="es-ES"/>
        </w:rPr>
        <w:t>.</w:t>
      </w:r>
      <w:r w:rsidR="009552F8">
        <w:rPr>
          <w:rFonts w:ascii="Verdana" w:eastAsia="Calibri" w:hAnsi="Verdana" w:cs="Arial"/>
          <w:shd w:val="clear" w:color="auto" w:fill="FFFFFF"/>
        </w:rPr>
        <w:t xml:space="preserve"> </w:t>
      </w:r>
      <w:r w:rsidR="00A64017">
        <w:rPr>
          <w:rFonts w:ascii="Verdana" w:eastAsia="Calibri" w:hAnsi="Verdana" w:cs="Times New Roman"/>
        </w:rPr>
        <w:t xml:space="preserve">Estos </w:t>
      </w:r>
      <w:r w:rsidR="00A64017"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6"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7"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7FC0DC1D" w14:textId="0BEE9200" w:rsidR="00331CD0" w:rsidRDefault="00D60F6C" w:rsidP="00A64017">
      <w:pPr>
        <w:spacing w:line="276" w:lineRule="auto"/>
        <w:jc w:val="center"/>
        <w:rPr>
          <w:noProof/>
        </w:rPr>
      </w:pPr>
      <w:r>
        <w:rPr>
          <w:noProof/>
        </w:rPr>
        <w:lastRenderedPageBreak/>
        <w:drawing>
          <wp:inline distT="0" distB="0" distL="0" distR="0" wp14:anchorId="305FA37F" wp14:editId="627DC9E6">
            <wp:extent cx="4126230" cy="1771319"/>
            <wp:effectExtent l="0" t="0" r="7620" b="635"/>
            <wp:docPr id="66631229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30170" cy="1773010"/>
                    </a:xfrm>
                    <a:prstGeom prst="rect">
                      <a:avLst/>
                    </a:prstGeom>
                    <a:noFill/>
                    <a:ln>
                      <a:noFill/>
                    </a:ln>
                  </pic:spPr>
                </pic:pic>
              </a:graphicData>
            </a:graphic>
          </wp:inline>
        </w:drawing>
      </w:r>
    </w:p>
    <w:p w14:paraId="6ABC9A35" w14:textId="77777777" w:rsidR="00CE32D1" w:rsidRDefault="00CE32D1" w:rsidP="00A64017">
      <w:pPr>
        <w:spacing w:line="276" w:lineRule="auto"/>
        <w:jc w:val="center"/>
        <w:rPr>
          <w:noProof/>
        </w:rPr>
      </w:pPr>
    </w:p>
    <w:p w14:paraId="1B1C15E8" w14:textId="02D08309" w:rsidR="00CE32D1" w:rsidRDefault="00CE32D1"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D9818A" w14:textId="1B6CADDB" w:rsidR="00332320" w:rsidRDefault="00332320" w:rsidP="00A15B1F">
            <w:pPr>
              <w:contextualSpacing/>
              <w:rPr>
                <w:rFonts w:ascii="Verdana" w:hAnsi="Verdana"/>
                <w:sz w:val="16"/>
                <w:szCs w:val="16"/>
              </w:rPr>
            </w:pPr>
            <w:r>
              <w:rPr>
                <w:rFonts w:ascii="Verdana" w:hAnsi="Verdana"/>
                <w:sz w:val="16"/>
                <w:szCs w:val="16"/>
              </w:rPr>
              <w:t xml:space="preserve">Nicolas Andrés Guzman </w:t>
            </w:r>
          </w:p>
          <w:p w14:paraId="33A01C93" w14:textId="30026B42" w:rsidR="00A64017" w:rsidRPr="007911EE" w:rsidRDefault="00332320" w:rsidP="00A15B1F">
            <w:pPr>
              <w:contextualSpacing/>
              <w:rPr>
                <w:rFonts w:ascii="Verdana" w:eastAsia="Arial" w:hAnsi="Verdana" w:cs="Arial"/>
                <w:sz w:val="16"/>
                <w:szCs w:val="16"/>
              </w:rPr>
            </w:pPr>
            <w:r>
              <w:rPr>
                <w:rFonts w:ascii="Verdana" w:hAnsi="Verdana"/>
                <w:sz w:val="16"/>
                <w:szCs w:val="16"/>
              </w:rPr>
              <w:t>C</w:t>
            </w:r>
            <w:r w:rsidR="00A64017" w:rsidRPr="007911EE">
              <w:rPr>
                <w:rFonts w:ascii="Verdana" w:hAnsi="Verdana"/>
                <w:sz w:val="16"/>
                <w:szCs w:val="16"/>
              </w:rPr>
              <w:t>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AC63A0" w14:textId="77777777" w:rsidR="00332320" w:rsidRDefault="00332320" w:rsidP="00332320">
            <w:pPr>
              <w:contextualSpacing/>
              <w:rPr>
                <w:rFonts w:ascii="Verdana" w:hAnsi="Verdana"/>
                <w:sz w:val="16"/>
                <w:szCs w:val="16"/>
              </w:rPr>
            </w:pPr>
            <w:r w:rsidRPr="00332320">
              <w:rPr>
                <w:rFonts w:ascii="Verdana" w:hAnsi="Verdana"/>
                <w:sz w:val="16"/>
                <w:szCs w:val="16"/>
              </w:rPr>
              <w:t>Juan Carlos González</w:t>
            </w:r>
          </w:p>
          <w:p w14:paraId="72046261" w14:textId="77777777"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42F7A" w14:textId="77777777" w:rsidR="00F353DA" w:rsidRDefault="00F353DA" w:rsidP="004A1847">
      <w:pPr>
        <w:spacing w:after="0" w:line="240" w:lineRule="auto"/>
      </w:pPr>
      <w:r>
        <w:separator/>
      </w:r>
    </w:p>
  </w:endnote>
  <w:endnote w:type="continuationSeparator" w:id="0">
    <w:p w14:paraId="1A88D924" w14:textId="77777777" w:rsidR="00F353DA" w:rsidRDefault="00F353D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CAE707" w14:textId="77777777" w:rsidR="00F353DA" w:rsidRDefault="00F353DA" w:rsidP="004A1847">
      <w:pPr>
        <w:spacing w:after="0" w:line="240" w:lineRule="auto"/>
      </w:pPr>
      <w:r>
        <w:separator/>
      </w:r>
    </w:p>
  </w:footnote>
  <w:footnote w:type="continuationSeparator" w:id="0">
    <w:p w14:paraId="62FB5036" w14:textId="77777777" w:rsidR="00F353DA" w:rsidRDefault="00F353DA" w:rsidP="004A1847">
      <w:pPr>
        <w:spacing w:after="0" w:line="240" w:lineRule="auto"/>
      </w:pPr>
      <w:r>
        <w:continuationSeparator/>
      </w:r>
    </w:p>
  </w:footnote>
  <w:footnote w:id="1">
    <w:p w14:paraId="588A60CF" w14:textId="77777777" w:rsidR="00911185" w:rsidRPr="001A0745" w:rsidRDefault="00911185" w:rsidP="00911185">
      <w:pPr>
        <w:pStyle w:val="Textonotapie"/>
        <w:rPr>
          <w:rFonts w:ascii="Verdana" w:hAnsi="Verdana"/>
          <w:sz w:val="16"/>
          <w:szCs w:val="16"/>
          <w:lang w:val="es-ES"/>
        </w:rPr>
      </w:pPr>
      <w:r w:rsidRPr="001A0745">
        <w:rPr>
          <w:rStyle w:val="Refdenotaalpie"/>
          <w:rFonts w:ascii="Verdana" w:hAnsi="Verdana"/>
          <w:sz w:val="16"/>
          <w:szCs w:val="16"/>
        </w:rPr>
        <w:footnoteRef/>
      </w:r>
      <w:r w:rsidRPr="001A0745">
        <w:rPr>
          <w:rFonts w:ascii="Verdana" w:hAnsi="Verdana"/>
          <w:sz w:val="16"/>
          <w:szCs w:val="16"/>
        </w:rPr>
        <w:t xml:space="preserve"> https://www.colombiacompra.gov.co/archivos/manual/manual-para-determinar-y-verificar-los-requisitos-habilitantes-en-los-procesos-de-contratacion</w:t>
      </w:r>
    </w:p>
  </w:footnote>
  <w:footnote w:id="2">
    <w:p w14:paraId="77DD7404" w14:textId="77777777" w:rsidR="000645D4" w:rsidRPr="001A0745" w:rsidRDefault="000645D4" w:rsidP="000645D4">
      <w:pPr>
        <w:pStyle w:val="Textonotapie"/>
        <w:rPr>
          <w:rFonts w:ascii="Verdana" w:hAnsi="Verdana"/>
          <w:sz w:val="16"/>
          <w:szCs w:val="16"/>
          <w:lang w:val="es-ES"/>
        </w:rPr>
      </w:pPr>
      <w:r w:rsidRPr="001A0745">
        <w:rPr>
          <w:rStyle w:val="Refdenotaalpie"/>
          <w:rFonts w:ascii="Verdana" w:hAnsi="Verdana"/>
          <w:sz w:val="16"/>
          <w:szCs w:val="16"/>
        </w:rPr>
        <w:footnoteRef/>
      </w:r>
      <w:r w:rsidRPr="001A0745">
        <w:rPr>
          <w:rFonts w:ascii="Verdana" w:hAnsi="Verdana"/>
          <w:sz w:val="16"/>
          <w:szCs w:val="16"/>
        </w:rPr>
        <w:t xml:space="preserve"> https://www.colombiacompra.gov.co/archivos/manual/manual-para-determinar-y-verificar-los-requisitos-habilitantes-en-los-procesos-de-contratacion</w:t>
      </w:r>
    </w:p>
  </w:footnote>
  <w:footnote w:id="3">
    <w:p w14:paraId="50B42EA3" w14:textId="77777777" w:rsidR="000645D4" w:rsidRPr="000645D4" w:rsidRDefault="000645D4" w:rsidP="000645D4">
      <w:pPr>
        <w:pStyle w:val="Textonotapie"/>
        <w:ind w:firstLine="708"/>
        <w:rPr>
          <w:rFonts w:ascii="Verdana" w:hAnsi="Verdana" w:cs="Arial"/>
          <w:sz w:val="16"/>
          <w:szCs w:val="16"/>
          <w:lang w:val="es-ES"/>
        </w:rPr>
      </w:pPr>
      <w:r w:rsidRPr="000645D4">
        <w:rPr>
          <w:rStyle w:val="Refdenotaalpie"/>
          <w:rFonts w:ascii="Verdana" w:hAnsi="Verdana" w:cs="Arial"/>
          <w:sz w:val="16"/>
          <w:szCs w:val="16"/>
        </w:rPr>
        <w:footnoteRef/>
      </w:r>
      <w:r w:rsidRPr="000645D4">
        <w:rPr>
          <w:rFonts w:ascii="Verdana" w:hAnsi="Verdana" w:cs="Arial"/>
          <w:sz w:val="16"/>
          <w:szCs w:val="16"/>
        </w:rPr>
        <w:t xml:space="preserve"> </w:t>
      </w:r>
      <w:r w:rsidRPr="000645D4">
        <w:rPr>
          <w:rFonts w:ascii="Verdana" w:hAnsi="Verdana" w:cs="Arial"/>
          <w:sz w:val="16"/>
          <w:szCs w:val="16"/>
          <w:lang w:val="es-ES"/>
        </w:rPr>
        <w:t>Consejo de Estado. Sala de Consulta y Servicio Civil. Concepto del 20 de mayo de 2010. No. de Radicado: 11001-03-06-000-2010-00034-00(1992). C.P. Enrique José Arboleda Perdomo.</w:t>
      </w:r>
    </w:p>
  </w:footnote>
  <w:footnote w:id="4">
    <w:p w14:paraId="2B6E0AEB" w14:textId="77777777" w:rsidR="000645D4" w:rsidRPr="000645D4" w:rsidRDefault="000645D4" w:rsidP="000645D4">
      <w:pPr>
        <w:pStyle w:val="Textonotapie"/>
        <w:ind w:firstLine="709"/>
        <w:jc w:val="both"/>
        <w:rPr>
          <w:rFonts w:ascii="Verdana" w:hAnsi="Verdana" w:cs="Arial"/>
          <w:color w:val="000000"/>
          <w:sz w:val="16"/>
          <w:szCs w:val="16"/>
        </w:rPr>
      </w:pPr>
      <w:r w:rsidRPr="000645D4">
        <w:rPr>
          <w:rStyle w:val="Refdenotaalpie"/>
          <w:rFonts w:ascii="Verdana" w:hAnsi="Verdana" w:cs="Arial"/>
          <w:color w:val="000000"/>
          <w:sz w:val="16"/>
          <w:szCs w:val="16"/>
        </w:rPr>
        <w:footnoteRef/>
      </w:r>
      <w:r w:rsidRPr="000645D4">
        <w:rPr>
          <w:rFonts w:ascii="Verdana"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footnote>
  <w:footnote w:id="5">
    <w:p w14:paraId="37A59BD5" w14:textId="77777777" w:rsidR="000645D4" w:rsidRPr="000645D4" w:rsidRDefault="000645D4" w:rsidP="000645D4">
      <w:pPr>
        <w:pStyle w:val="Textonotapie"/>
        <w:ind w:firstLine="709"/>
        <w:jc w:val="both"/>
        <w:rPr>
          <w:rFonts w:ascii="Verdana" w:hAnsi="Verdana" w:cs="Arial"/>
          <w:color w:val="000000"/>
          <w:sz w:val="16"/>
          <w:szCs w:val="16"/>
        </w:rPr>
      </w:pPr>
      <w:r w:rsidRPr="000645D4">
        <w:rPr>
          <w:rStyle w:val="Refdenotaalpie"/>
          <w:rFonts w:ascii="Verdana" w:hAnsi="Verdana" w:cs="Arial"/>
          <w:color w:val="000000"/>
          <w:sz w:val="16"/>
          <w:szCs w:val="16"/>
        </w:rPr>
        <w:footnoteRef/>
      </w:r>
      <w:r w:rsidRPr="000645D4">
        <w:rPr>
          <w:rFonts w:ascii="Verdana"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6">
    <w:p w14:paraId="675818A3" w14:textId="77777777" w:rsidR="000645D4" w:rsidRPr="000645D4" w:rsidRDefault="000645D4" w:rsidP="000645D4">
      <w:pPr>
        <w:pStyle w:val="Textonotapie"/>
        <w:ind w:firstLine="709"/>
        <w:jc w:val="both"/>
        <w:rPr>
          <w:rFonts w:ascii="Verdana" w:hAnsi="Verdana" w:cs="Arial"/>
          <w:color w:val="000000"/>
          <w:sz w:val="16"/>
          <w:szCs w:val="16"/>
        </w:rPr>
      </w:pPr>
      <w:r w:rsidRPr="000645D4">
        <w:rPr>
          <w:rStyle w:val="Refdenotaalpie"/>
          <w:rFonts w:ascii="Verdana" w:hAnsi="Verdana" w:cs="Arial"/>
          <w:color w:val="000000"/>
          <w:sz w:val="16"/>
          <w:szCs w:val="16"/>
        </w:rPr>
        <w:footnoteRef/>
      </w:r>
      <w:r w:rsidRPr="000645D4">
        <w:rPr>
          <w:rFonts w:ascii="Verdana" w:hAnsi="Verdana" w:cs="Arial"/>
          <w:color w:val="000000"/>
          <w:sz w:val="16"/>
          <w:szCs w:val="16"/>
        </w:rPr>
        <w:t xml:space="preserve"> Consejo de Estado. Sección Tercera. Subsección C. Sentencia del 26 de febrero de 2014. Expediente: 25.804. Consejero Ponente: Enrique Gil Botero.</w:t>
      </w:r>
    </w:p>
  </w:footnote>
  <w:footnote w:id="7">
    <w:p w14:paraId="39B61263" w14:textId="77777777" w:rsidR="000645D4" w:rsidRPr="000645D4" w:rsidRDefault="000645D4" w:rsidP="000645D4">
      <w:pPr>
        <w:pBdr>
          <w:top w:val="nil"/>
          <w:left w:val="nil"/>
          <w:bottom w:val="nil"/>
          <w:right w:val="nil"/>
          <w:between w:val="nil"/>
        </w:pBdr>
        <w:ind w:firstLine="709"/>
        <w:jc w:val="both"/>
        <w:rPr>
          <w:rFonts w:ascii="Verdana" w:eastAsia="Arial" w:hAnsi="Verdana" w:cs="Arial"/>
          <w:color w:val="000000"/>
          <w:sz w:val="16"/>
          <w:szCs w:val="16"/>
        </w:rPr>
      </w:pPr>
      <w:r w:rsidRPr="000645D4">
        <w:rPr>
          <w:rFonts w:ascii="Verdana" w:hAnsi="Verdana" w:cs="Arial"/>
          <w:sz w:val="16"/>
          <w:szCs w:val="16"/>
          <w:vertAlign w:val="superscript"/>
        </w:rPr>
        <w:footnoteRef/>
      </w:r>
      <w:r w:rsidRPr="000645D4">
        <w:rPr>
          <w:rFonts w:ascii="Verdana" w:eastAsia="Arial" w:hAnsi="Verdana" w:cs="Arial"/>
          <w:color w:val="000000"/>
          <w:sz w:val="16"/>
          <w:szCs w:val="16"/>
          <w:vertAlign w:val="superscript"/>
        </w:rPr>
        <w:t xml:space="preserve"> </w:t>
      </w:r>
      <w:r w:rsidRPr="000645D4">
        <w:rPr>
          <w:rFonts w:ascii="Verdana" w:eastAsia="Arial"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8">
    <w:p w14:paraId="18EC2C65" w14:textId="77777777" w:rsidR="000645D4" w:rsidRPr="000645D4" w:rsidRDefault="000645D4" w:rsidP="000645D4">
      <w:pPr>
        <w:pStyle w:val="Textonotapie"/>
        <w:ind w:firstLine="708"/>
        <w:rPr>
          <w:rFonts w:ascii="Verdana" w:hAnsi="Verdana" w:cs="Arial"/>
          <w:color w:val="000000"/>
          <w:sz w:val="16"/>
          <w:szCs w:val="16"/>
          <w:lang w:val="es-ES"/>
        </w:rPr>
      </w:pPr>
      <w:r w:rsidRPr="000645D4">
        <w:rPr>
          <w:rFonts w:ascii="Verdana" w:eastAsia="Arial" w:hAnsi="Verdana" w:cs="Arial"/>
          <w:color w:val="000000"/>
          <w:sz w:val="16"/>
          <w:szCs w:val="16"/>
          <w:vertAlign w:val="superscript"/>
        </w:rPr>
        <w:footnoteRef/>
      </w:r>
      <w:r w:rsidRPr="000645D4">
        <w:rPr>
          <w:rFonts w:ascii="Verdana" w:eastAsia="Arial" w:hAnsi="Verdana" w:cs="Arial"/>
          <w:color w:val="000000"/>
          <w:sz w:val="16"/>
          <w:szCs w:val="16"/>
          <w:vertAlign w:val="superscript"/>
          <w:lang w:val="es-ES"/>
        </w:rPr>
        <w:t xml:space="preserve"> </w:t>
      </w:r>
      <w:r w:rsidRPr="000645D4">
        <w:rPr>
          <w:rFonts w:ascii="Verdana" w:eastAsia="Arial" w:hAnsi="Verdana" w:cs="Arial"/>
          <w:color w:val="000000"/>
          <w:sz w:val="16"/>
          <w:szCs w:val="16"/>
          <w:lang w:val="es-ES"/>
        </w:rPr>
        <w:t>Consejo de Estado. Sala de Consulta y Servicio Civil. Concepto del 20 de mayo de 2010. No. de Radicado: 11001-03-06-000-2010-00034-00(1992). C.P. Enrique José Arboleda Perdomo.</w:t>
      </w:r>
    </w:p>
    <w:p w14:paraId="376FDCA8" w14:textId="77777777" w:rsidR="000645D4" w:rsidRPr="000645D4" w:rsidRDefault="000645D4" w:rsidP="000645D4">
      <w:pPr>
        <w:pStyle w:val="Textonotapie"/>
        <w:ind w:firstLine="708"/>
        <w:jc w:val="both"/>
        <w:rPr>
          <w:rFonts w:ascii="Verdana" w:hAnsi="Verdana" w:cs="Arial"/>
          <w:color w:val="000000"/>
          <w:sz w:val="16"/>
          <w:szCs w:val="16"/>
        </w:rPr>
      </w:pPr>
    </w:p>
  </w:footnote>
  <w:footnote w:id="9">
    <w:p w14:paraId="5970FB30" w14:textId="77777777" w:rsidR="000645D4" w:rsidRPr="000645D4" w:rsidRDefault="000645D4" w:rsidP="000645D4">
      <w:pPr>
        <w:pStyle w:val="Textonotapie"/>
        <w:rPr>
          <w:rFonts w:ascii="Verdana" w:hAnsi="Verdana"/>
          <w:sz w:val="16"/>
          <w:szCs w:val="16"/>
          <w:lang w:val="es-ES"/>
        </w:rPr>
      </w:pPr>
      <w:r w:rsidRPr="000645D4">
        <w:rPr>
          <w:rStyle w:val="Refdenotaalpie"/>
          <w:rFonts w:ascii="Verdana" w:hAnsi="Verdana"/>
          <w:sz w:val="16"/>
          <w:szCs w:val="16"/>
        </w:rPr>
        <w:footnoteRef/>
      </w:r>
      <w:r w:rsidRPr="000645D4">
        <w:rPr>
          <w:rFonts w:ascii="Verdana" w:hAnsi="Verdana"/>
          <w:sz w:val="16"/>
          <w:szCs w:val="16"/>
        </w:rPr>
        <w:t xml:space="preserve">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3"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AC70AA2"/>
    <w:multiLevelType w:val="hybridMultilevel"/>
    <w:tmpl w:val="23AE4D7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10"/>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1380713882">
    <w:abstractNumId w:val="0"/>
  </w:num>
  <w:num w:numId="17" w16cid:durableId="691802391">
    <w:abstractNumId w:val="12"/>
  </w:num>
  <w:num w:numId="18" w16cid:durableId="1290623316">
    <w:abstractNumId w:val="3"/>
  </w:num>
  <w:num w:numId="19" w16cid:durableId="562327327">
    <w:abstractNumId w:val="9"/>
  </w:num>
  <w:num w:numId="20" w16cid:durableId="12032056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46945"/>
    <w:rsid w:val="00046C11"/>
    <w:rsid w:val="00061B2A"/>
    <w:rsid w:val="000645D4"/>
    <w:rsid w:val="00082362"/>
    <w:rsid w:val="0008627A"/>
    <w:rsid w:val="000A1E72"/>
    <w:rsid w:val="000A683E"/>
    <w:rsid w:val="000B19B9"/>
    <w:rsid w:val="000B4FA5"/>
    <w:rsid w:val="000B5583"/>
    <w:rsid w:val="000D0334"/>
    <w:rsid w:val="000F2222"/>
    <w:rsid w:val="000F6486"/>
    <w:rsid w:val="00103B90"/>
    <w:rsid w:val="00125105"/>
    <w:rsid w:val="00127233"/>
    <w:rsid w:val="0013630D"/>
    <w:rsid w:val="001511A0"/>
    <w:rsid w:val="00194937"/>
    <w:rsid w:val="001D1756"/>
    <w:rsid w:val="001E4177"/>
    <w:rsid w:val="001F663F"/>
    <w:rsid w:val="001F7DC6"/>
    <w:rsid w:val="00203E0B"/>
    <w:rsid w:val="00205479"/>
    <w:rsid w:val="00215206"/>
    <w:rsid w:val="002421BB"/>
    <w:rsid w:val="00242FED"/>
    <w:rsid w:val="0025796E"/>
    <w:rsid w:val="002707A2"/>
    <w:rsid w:val="002951A0"/>
    <w:rsid w:val="002962BC"/>
    <w:rsid w:val="002A093D"/>
    <w:rsid w:val="002A0DD0"/>
    <w:rsid w:val="002A22D8"/>
    <w:rsid w:val="002A49AC"/>
    <w:rsid w:val="002A64FD"/>
    <w:rsid w:val="002A7DD8"/>
    <w:rsid w:val="002C0393"/>
    <w:rsid w:val="002C7A84"/>
    <w:rsid w:val="002D2639"/>
    <w:rsid w:val="002D6833"/>
    <w:rsid w:val="002E4FD9"/>
    <w:rsid w:val="00302C65"/>
    <w:rsid w:val="00310DA4"/>
    <w:rsid w:val="00322A85"/>
    <w:rsid w:val="00323054"/>
    <w:rsid w:val="00324168"/>
    <w:rsid w:val="00324E0B"/>
    <w:rsid w:val="00331CD0"/>
    <w:rsid w:val="00332320"/>
    <w:rsid w:val="003448F4"/>
    <w:rsid w:val="00361698"/>
    <w:rsid w:val="003639A5"/>
    <w:rsid w:val="003736FD"/>
    <w:rsid w:val="00374F5E"/>
    <w:rsid w:val="00377E3E"/>
    <w:rsid w:val="00380918"/>
    <w:rsid w:val="003A2E2D"/>
    <w:rsid w:val="003A779E"/>
    <w:rsid w:val="003D0F4D"/>
    <w:rsid w:val="003D5B0D"/>
    <w:rsid w:val="003E0499"/>
    <w:rsid w:val="003E2F6B"/>
    <w:rsid w:val="003F3941"/>
    <w:rsid w:val="00406575"/>
    <w:rsid w:val="004138FA"/>
    <w:rsid w:val="00414C74"/>
    <w:rsid w:val="0042722E"/>
    <w:rsid w:val="0044528D"/>
    <w:rsid w:val="0046700D"/>
    <w:rsid w:val="00487F18"/>
    <w:rsid w:val="0049089A"/>
    <w:rsid w:val="00493AF3"/>
    <w:rsid w:val="004A1847"/>
    <w:rsid w:val="004A305D"/>
    <w:rsid w:val="004B50C2"/>
    <w:rsid w:val="004C63BA"/>
    <w:rsid w:val="004D2AAA"/>
    <w:rsid w:val="004F21C4"/>
    <w:rsid w:val="004F685F"/>
    <w:rsid w:val="005566E8"/>
    <w:rsid w:val="00567040"/>
    <w:rsid w:val="0057166B"/>
    <w:rsid w:val="00574867"/>
    <w:rsid w:val="005806A6"/>
    <w:rsid w:val="00591460"/>
    <w:rsid w:val="005B3816"/>
    <w:rsid w:val="005B3FB2"/>
    <w:rsid w:val="005B65F1"/>
    <w:rsid w:val="005C3777"/>
    <w:rsid w:val="005C5CDC"/>
    <w:rsid w:val="005C7DAB"/>
    <w:rsid w:val="005D476C"/>
    <w:rsid w:val="0060690D"/>
    <w:rsid w:val="0061329B"/>
    <w:rsid w:val="006219F8"/>
    <w:rsid w:val="00631045"/>
    <w:rsid w:val="00637BBF"/>
    <w:rsid w:val="00637E77"/>
    <w:rsid w:val="00665D70"/>
    <w:rsid w:val="00675FED"/>
    <w:rsid w:val="006900D9"/>
    <w:rsid w:val="006905C0"/>
    <w:rsid w:val="006B0C29"/>
    <w:rsid w:val="006B2C02"/>
    <w:rsid w:val="006D7121"/>
    <w:rsid w:val="00706C16"/>
    <w:rsid w:val="0072552A"/>
    <w:rsid w:val="0073141C"/>
    <w:rsid w:val="00756841"/>
    <w:rsid w:val="00763E4A"/>
    <w:rsid w:val="007649AB"/>
    <w:rsid w:val="00771D0C"/>
    <w:rsid w:val="007733E9"/>
    <w:rsid w:val="007833AC"/>
    <w:rsid w:val="007B268C"/>
    <w:rsid w:val="007B285D"/>
    <w:rsid w:val="007B7171"/>
    <w:rsid w:val="007C0C0F"/>
    <w:rsid w:val="007C3DC2"/>
    <w:rsid w:val="007E5497"/>
    <w:rsid w:val="007F7470"/>
    <w:rsid w:val="00806F5F"/>
    <w:rsid w:val="00820278"/>
    <w:rsid w:val="00826A46"/>
    <w:rsid w:val="00836334"/>
    <w:rsid w:val="00853C28"/>
    <w:rsid w:val="00862660"/>
    <w:rsid w:val="00867F95"/>
    <w:rsid w:val="008843B6"/>
    <w:rsid w:val="00891928"/>
    <w:rsid w:val="008A30DF"/>
    <w:rsid w:val="008A446D"/>
    <w:rsid w:val="008B22D4"/>
    <w:rsid w:val="008B5BD4"/>
    <w:rsid w:val="008D180B"/>
    <w:rsid w:val="008E2432"/>
    <w:rsid w:val="008F0EA7"/>
    <w:rsid w:val="00911185"/>
    <w:rsid w:val="00916515"/>
    <w:rsid w:val="00923EEF"/>
    <w:rsid w:val="009419F9"/>
    <w:rsid w:val="009552F8"/>
    <w:rsid w:val="0095685E"/>
    <w:rsid w:val="00961B09"/>
    <w:rsid w:val="00965334"/>
    <w:rsid w:val="0097093E"/>
    <w:rsid w:val="00986AC5"/>
    <w:rsid w:val="009A0DFA"/>
    <w:rsid w:val="009A2609"/>
    <w:rsid w:val="009B2D26"/>
    <w:rsid w:val="009C3869"/>
    <w:rsid w:val="009C71FA"/>
    <w:rsid w:val="009C72E7"/>
    <w:rsid w:val="009D0270"/>
    <w:rsid w:val="009D3058"/>
    <w:rsid w:val="009E7558"/>
    <w:rsid w:val="009F3A13"/>
    <w:rsid w:val="00A122D3"/>
    <w:rsid w:val="00A17F13"/>
    <w:rsid w:val="00A20739"/>
    <w:rsid w:val="00A24C35"/>
    <w:rsid w:val="00A33C78"/>
    <w:rsid w:val="00A51CB5"/>
    <w:rsid w:val="00A52834"/>
    <w:rsid w:val="00A64017"/>
    <w:rsid w:val="00A800B4"/>
    <w:rsid w:val="00AA1AB8"/>
    <w:rsid w:val="00AB0ADB"/>
    <w:rsid w:val="00AC19F6"/>
    <w:rsid w:val="00AD1D1F"/>
    <w:rsid w:val="00B00F6D"/>
    <w:rsid w:val="00B01B1A"/>
    <w:rsid w:val="00B023E1"/>
    <w:rsid w:val="00B0429C"/>
    <w:rsid w:val="00B23BA1"/>
    <w:rsid w:val="00B2560E"/>
    <w:rsid w:val="00B350FE"/>
    <w:rsid w:val="00B403F3"/>
    <w:rsid w:val="00B41E30"/>
    <w:rsid w:val="00B45CE8"/>
    <w:rsid w:val="00B66319"/>
    <w:rsid w:val="00B72CD3"/>
    <w:rsid w:val="00B72FFF"/>
    <w:rsid w:val="00B74C13"/>
    <w:rsid w:val="00BA7AA4"/>
    <w:rsid w:val="00BB5A06"/>
    <w:rsid w:val="00BC3D36"/>
    <w:rsid w:val="00BD7F72"/>
    <w:rsid w:val="00BE36F8"/>
    <w:rsid w:val="00C04FB3"/>
    <w:rsid w:val="00C203C3"/>
    <w:rsid w:val="00C330EB"/>
    <w:rsid w:val="00C41061"/>
    <w:rsid w:val="00C63058"/>
    <w:rsid w:val="00C653EC"/>
    <w:rsid w:val="00C754BE"/>
    <w:rsid w:val="00C76B1C"/>
    <w:rsid w:val="00C76C5B"/>
    <w:rsid w:val="00C84124"/>
    <w:rsid w:val="00C8467B"/>
    <w:rsid w:val="00C90C14"/>
    <w:rsid w:val="00C91AF4"/>
    <w:rsid w:val="00C9219A"/>
    <w:rsid w:val="00CA01D8"/>
    <w:rsid w:val="00CB6357"/>
    <w:rsid w:val="00CC1B26"/>
    <w:rsid w:val="00CE32D1"/>
    <w:rsid w:val="00CE429E"/>
    <w:rsid w:val="00CE58F3"/>
    <w:rsid w:val="00D3590B"/>
    <w:rsid w:val="00D423A2"/>
    <w:rsid w:val="00D520D8"/>
    <w:rsid w:val="00D60F6C"/>
    <w:rsid w:val="00D63AC2"/>
    <w:rsid w:val="00D66FF5"/>
    <w:rsid w:val="00D7383B"/>
    <w:rsid w:val="00D73921"/>
    <w:rsid w:val="00D75DA2"/>
    <w:rsid w:val="00DA231B"/>
    <w:rsid w:val="00DC39FC"/>
    <w:rsid w:val="00DF5254"/>
    <w:rsid w:val="00E10F5E"/>
    <w:rsid w:val="00E16408"/>
    <w:rsid w:val="00E20894"/>
    <w:rsid w:val="00E245AB"/>
    <w:rsid w:val="00E25A6A"/>
    <w:rsid w:val="00E2764C"/>
    <w:rsid w:val="00E27F2E"/>
    <w:rsid w:val="00E50AFE"/>
    <w:rsid w:val="00E75C92"/>
    <w:rsid w:val="00E771DC"/>
    <w:rsid w:val="00E8182D"/>
    <w:rsid w:val="00E8772A"/>
    <w:rsid w:val="00E90F6B"/>
    <w:rsid w:val="00E92C27"/>
    <w:rsid w:val="00EA0E3D"/>
    <w:rsid w:val="00EA70F7"/>
    <w:rsid w:val="00EC197C"/>
    <w:rsid w:val="00EC38A7"/>
    <w:rsid w:val="00EC5C8D"/>
    <w:rsid w:val="00ED706A"/>
    <w:rsid w:val="00ED7384"/>
    <w:rsid w:val="00EE1AA8"/>
    <w:rsid w:val="00EF736C"/>
    <w:rsid w:val="00F30C63"/>
    <w:rsid w:val="00F31EDC"/>
    <w:rsid w:val="00F353DA"/>
    <w:rsid w:val="00F462B3"/>
    <w:rsid w:val="00F5664F"/>
    <w:rsid w:val="00F666C4"/>
    <w:rsid w:val="00F76AFC"/>
    <w:rsid w:val="00FA3CFE"/>
    <w:rsid w:val="00FA47C0"/>
    <w:rsid w:val="00FB5DD1"/>
    <w:rsid w:val="00FC13EB"/>
    <w:rsid w:val="00FC2B5D"/>
    <w:rsid w:val="00FC6FA1"/>
    <w:rsid w:val="00FF1449"/>
    <w:rsid w:val="00FF5454"/>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paragraph" w:styleId="Sinespaciado">
    <w:name w:val="No Spacing"/>
    <w:aliases w:val="No Indent"/>
    <w:uiPriority w:val="1"/>
    <w:qFormat/>
    <w:rsid w:val="00C653E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 TargetMode="External"/><Relationship Id="rId18" Type="http://schemas.openxmlformats.org/officeDocument/2006/relationships/image" Target="media/image3.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jbarrioslasso@yahoo.es" TargetMode="External"/><Relationship Id="rId17"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sites/cce_public/files/cce_documents/cce_guia_supervision_interventoria.pdf"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0BDF07-09C2-420D-A32A-B206C5121617}">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02AA582-D015-4202-977B-0AFC4D910634}"/>
</file>

<file path=docProps/app.xml><?xml version="1.0" encoding="utf-8"?>
<Properties xmlns="http://schemas.openxmlformats.org/officeDocument/2006/extended-properties" xmlns:vt="http://schemas.openxmlformats.org/officeDocument/2006/docPropsVTypes">
  <Template>Normal</Template>
  <TotalTime>458</TotalTime>
  <Pages>16</Pages>
  <Words>5471</Words>
  <Characters>29382</Characters>
  <Application>Microsoft Office Word</Application>
  <DocSecurity>0</DocSecurity>
  <Lines>599</Lines>
  <Paragraphs>121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32</cp:revision>
  <cp:lastPrinted>2023-01-10T21:18:00Z</cp:lastPrinted>
  <dcterms:created xsi:type="dcterms:W3CDTF">2025-08-19T14:54:00Z</dcterms:created>
  <dcterms:modified xsi:type="dcterms:W3CDTF">2025-11-04T19:49:00Z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