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ABE6" w14:textId="77777777" w:rsidR="00081802" w:rsidRPr="00153FC2" w:rsidRDefault="00081802" w:rsidP="00081802">
      <w:pPr>
        <w:spacing w:line="276" w:lineRule="auto"/>
        <w:jc w:val="both"/>
        <w:rPr>
          <w:rFonts w:ascii="Verdana" w:eastAsia="Century Gothic" w:hAnsi="Verdana" w:cs="Century Gothic"/>
          <w:b/>
          <w:bCs/>
        </w:rPr>
      </w:pPr>
      <w:bookmarkStart w:id="0" w:name="_Hlk143780582"/>
      <w:r w:rsidRPr="00153FC2">
        <w:rPr>
          <w:rFonts w:ascii="Verdana" w:eastAsia="Century Gothic" w:hAnsi="Verdana" w:cs="Century Gothic"/>
          <w:b/>
          <w:bCs/>
        </w:rPr>
        <w:t xml:space="preserve">REQUISITO HABILITANTE DE EXPERIENCIA – Forma de acreditación </w:t>
      </w:r>
    </w:p>
    <w:p w14:paraId="0F6D4CF5"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entury Gothic" w:hAnsi="Verdana" w:cs="Century Gothic"/>
          <w:sz w:val="20"/>
          <w:szCs w:val="20"/>
        </w:rPr>
        <w:t xml:space="preserve">En efecto, este requisito se acreditará a través del registro único de proponentes en los procesos de selección que así lo exija la norma. </w:t>
      </w:r>
      <w:r w:rsidRPr="00153FC2">
        <w:rPr>
          <w:rFonts w:ascii="Verdana" w:eastAsia="Calibri" w:hAnsi="Verdana" w:cs="Arial"/>
          <w:sz w:val="20"/>
          <w:szCs w:val="20"/>
          <w:lang w:eastAsia="es-CO"/>
        </w:rPr>
        <w:t xml:space="preserve">No obstante, lo anterior,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Lo mismo ocurre en los procesos de selección en los cuales no es exigible el RUP. En ambos escenarios,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6F2E0188"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alibri" w:hAnsi="Verdana" w:cs="Arial"/>
          <w:sz w:val="20"/>
          <w:szCs w:val="20"/>
          <w:lang w:eastAsia="es-CO"/>
        </w:rPr>
        <w:t xml:space="preserve">Las entidades por ejemplo suelen requerir documentos como actas de liquidación, actas de entrega, actas de terminación, o de recibo definitivo, certificaciones expedidas con posterioridad a la fecha de terminación del contrato, entre otros documentos. Estos documentos permiten que la entidad pueda comprobar la experiencia del proponente, como, por ejemplo, el objeto del contrato, las actividades desarrolladas, el valor del contrato o el valor debidamente ejecutado, esto es, cualquier información que le de certeza y seguridad a la entidad estatal en la verificación del requisito de experiencia. </w:t>
      </w:r>
    </w:p>
    <w:p w14:paraId="52FDB6E4"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alibri" w:hAnsi="Verdana" w:cs="Arial"/>
          <w:sz w:val="20"/>
          <w:szCs w:val="20"/>
          <w:lang w:eastAsia="es-CO"/>
        </w:rPr>
        <w:t xml:space="preserve">La Agencia Nacional de Contratación Pública - Colombia Compra Eficiente puso a disposición de los interesados del sistema de compra pública el “Manual para determinar y verificar requisitos habilitantes en los procesos de contratación”, y en este de forma particular, sobre la experiencia se centra en una de sus cualidades; y es su carácter personal, lo cual significa que quien tiene la experiencia lo hace debido a su participación, con anterioridad, en actividades que le permitieron conocer cómo ejecutar el objeto contractual que la entidad pretende satisfacer ahora. </w:t>
      </w:r>
    </w:p>
    <w:p w14:paraId="6A5E25A9"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38D7C69F" w14:textId="77777777" w:rsidR="00081802" w:rsidRPr="00153FC2" w:rsidRDefault="00081802" w:rsidP="00081802">
      <w:pPr>
        <w:snapToGrid w:val="0"/>
        <w:spacing w:after="0" w:line="276" w:lineRule="auto"/>
        <w:jc w:val="both"/>
        <w:rPr>
          <w:rFonts w:ascii="Verdana" w:eastAsia="Calibri" w:hAnsi="Verdana" w:cs="Arial"/>
          <w:b/>
          <w:bCs/>
          <w:kern w:val="2"/>
          <w14:ligatures w14:val="standardContextual"/>
        </w:rPr>
      </w:pPr>
      <w:r w:rsidRPr="00153FC2">
        <w:rPr>
          <w:rFonts w:ascii="Verdana" w:eastAsia="Calibri" w:hAnsi="Verdana" w:cs="Arial"/>
          <w:b/>
          <w:bCs/>
          <w:kern w:val="2"/>
          <w14:ligatures w14:val="standardContextual"/>
        </w:rPr>
        <w:t xml:space="preserve">REQUISITOS PONDERABLES </w:t>
      </w:r>
      <w:r w:rsidRPr="00153FC2">
        <w:rPr>
          <w:rFonts w:ascii="Verdana" w:eastAsia="Calibri" w:hAnsi="Verdana" w:cs="Arial"/>
          <w:b/>
          <w:bCs/>
          <w:lang w:val="es-ES_tradnl" w:eastAsia="es-ES_tradnl"/>
        </w:rPr>
        <w:t xml:space="preserve">– Definición </w:t>
      </w:r>
    </w:p>
    <w:p w14:paraId="48EB8FC3"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0FF7090E"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r w:rsidRPr="00153FC2">
        <w:rPr>
          <w:rFonts w:ascii="Verdana" w:hAnsi="Verdana" w:cs="Arial"/>
          <w:sz w:val="20"/>
          <w:szCs w:val="20"/>
        </w:rPr>
        <w:t>Los factores ponderables en un proceso de selección de concurso de méritos –esto es, los que determinan la escogencia entre los proponentes habilitados–, son la experiencia del interesado y su equipo de trabajo, así como la formación académica.</w:t>
      </w:r>
    </w:p>
    <w:p w14:paraId="13231011"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57BA80CF" w14:textId="77777777" w:rsidR="00081802" w:rsidRDefault="00081802" w:rsidP="00C15139">
      <w:pPr>
        <w:spacing w:after="0"/>
        <w:rPr>
          <w:rFonts w:ascii="Verdana" w:hAnsi="Verdana"/>
        </w:rPr>
      </w:pPr>
    </w:p>
    <w:p w14:paraId="12E96790" w14:textId="77777777" w:rsidR="00081802" w:rsidRDefault="00081802" w:rsidP="00C15139">
      <w:pPr>
        <w:spacing w:after="0"/>
        <w:rPr>
          <w:rFonts w:ascii="Verdana" w:hAnsi="Verdana"/>
        </w:rPr>
      </w:pPr>
    </w:p>
    <w:p w14:paraId="1468C46D" w14:textId="5439A43E" w:rsidR="00C15139" w:rsidRPr="0024624F" w:rsidRDefault="00C15139" w:rsidP="00C15139">
      <w:pPr>
        <w:spacing w:after="0"/>
        <w:rPr>
          <w:rFonts w:ascii="Verdana" w:hAnsi="Verdana"/>
        </w:rPr>
      </w:pPr>
      <w:r w:rsidRPr="0024624F">
        <w:rPr>
          <w:rFonts w:ascii="Verdana" w:hAnsi="Verdana"/>
        </w:rPr>
        <w:lastRenderedPageBreak/>
        <w:t xml:space="preserve">Bogotá D.C., </w:t>
      </w:r>
      <w:r w:rsidR="00081802">
        <w:rPr>
          <w:rFonts w:ascii="Verdana" w:hAnsi="Verdana"/>
        </w:rPr>
        <w:t>4 Noviembre 2025</w:t>
      </w:r>
      <w:r w:rsidRPr="000E2B93">
        <w:rPr>
          <w:rFonts w:ascii="Verdana" w:hAnsi="Verdana"/>
        </w:rPr>
        <w:tab/>
      </w:r>
      <w:r w:rsidRPr="000E2B93">
        <w:rPr>
          <w:rFonts w:ascii="Verdana" w:hAnsi="Verdana"/>
        </w:rPr>
        <w:br/>
      </w:r>
      <w:r w:rsidRPr="0024624F">
        <w:rPr>
          <w:rFonts w:ascii="Verdana" w:hAnsi="Verdana"/>
        </w:rPr>
        <w:tab/>
      </w:r>
    </w:p>
    <w:p w14:paraId="2AF9746B" w14:textId="77777777" w:rsidR="005E17A1" w:rsidRPr="00153FC2" w:rsidRDefault="005E17A1" w:rsidP="005E17A1">
      <w:pPr>
        <w:spacing w:after="0" w:line="240" w:lineRule="auto"/>
        <w:jc w:val="both"/>
        <w:rPr>
          <w:rFonts w:ascii="Verdana" w:eastAsia="Calibri" w:hAnsi="Verdana" w:cs="Arial"/>
          <w:lang w:eastAsia="es-ES"/>
        </w:rPr>
      </w:pPr>
      <w:r w:rsidRPr="00153FC2">
        <w:rPr>
          <w:rFonts w:ascii="Verdana" w:eastAsia="Calibri" w:hAnsi="Verdana" w:cs="Arial"/>
          <w:lang w:eastAsia="es-ES"/>
        </w:rPr>
        <w:t>Señor</w:t>
      </w:r>
    </w:p>
    <w:p w14:paraId="3EF3F195" w14:textId="77777777" w:rsidR="005E17A1" w:rsidRPr="00153FC2" w:rsidRDefault="005E17A1" w:rsidP="005E17A1">
      <w:pPr>
        <w:spacing w:after="0" w:line="240" w:lineRule="auto"/>
        <w:rPr>
          <w:rFonts w:ascii="Verdana" w:eastAsia="Calibri" w:hAnsi="Verdana" w:cs="Arial"/>
          <w:b/>
          <w:bCs/>
          <w:lang w:val="en-US" w:eastAsia="es-ES_tradnl"/>
        </w:rPr>
      </w:pPr>
      <w:r w:rsidRPr="00153FC2">
        <w:rPr>
          <w:rFonts w:ascii="Verdana" w:eastAsia="Calibri" w:hAnsi="Verdana" w:cs="Arial"/>
          <w:b/>
          <w:bCs/>
          <w:lang w:val="en-US" w:eastAsia="es-ES_tradnl"/>
        </w:rPr>
        <w:t>Yoislin Mildred Palacio Conde</w:t>
      </w:r>
    </w:p>
    <w:p w14:paraId="2F87AA43" w14:textId="77777777" w:rsidR="005E17A1" w:rsidRPr="00153FC2" w:rsidRDefault="005E17A1" w:rsidP="005E17A1">
      <w:pPr>
        <w:spacing w:after="0" w:line="240" w:lineRule="auto"/>
        <w:rPr>
          <w:rFonts w:ascii="Verdana" w:eastAsia="Calibri" w:hAnsi="Verdana" w:cs="Arial"/>
          <w:b/>
          <w:bCs/>
          <w:u w:val="single"/>
          <w:lang w:val="en-US" w:eastAsia="es-ES_tradnl"/>
        </w:rPr>
      </w:pPr>
      <w:r w:rsidRPr="00153FC2">
        <w:rPr>
          <w:rFonts w:ascii="Verdana" w:eastAsia="Calibri" w:hAnsi="Verdana" w:cs="Arial"/>
          <w:b/>
          <w:bCs/>
          <w:u w:val="single"/>
          <w:lang w:val="en-US" w:eastAsia="es-ES_tradnl"/>
        </w:rPr>
        <w:t xml:space="preserve">yoislin19@gmail.com </w:t>
      </w:r>
    </w:p>
    <w:p w14:paraId="029B8A9C" w14:textId="77777777" w:rsidR="005E17A1" w:rsidRPr="00153FC2" w:rsidRDefault="005E17A1" w:rsidP="005E17A1">
      <w:pPr>
        <w:spacing w:after="0" w:line="240" w:lineRule="auto"/>
        <w:rPr>
          <w:rFonts w:ascii="Verdana" w:eastAsia="Calibri" w:hAnsi="Verdana" w:cs="Arial"/>
          <w:b/>
          <w:bCs/>
          <w:lang w:val="es-ES" w:eastAsia="es-ES"/>
        </w:rPr>
      </w:pPr>
      <w:r w:rsidRPr="00153FC2">
        <w:rPr>
          <w:rFonts w:ascii="Verdana" w:eastAsia="Calibri" w:hAnsi="Verdana" w:cs="Arial"/>
          <w:lang w:val="es-ES" w:eastAsia="es-ES"/>
        </w:rPr>
        <w:t>Bogotá D.C.</w:t>
      </w:r>
    </w:p>
    <w:p w14:paraId="242133FA" w14:textId="77777777" w:rsidR="005E17A1" w:rsidRDefault="005E17A1" w:rsidP="005E17A1">
      <w:pPr>
        <w:spacing w:after="0" w:line="240" w:lineRule="auto"/>
        <w:rPr>
          <w:rFonts w:ascii="Verdana" w:eastAsia="Calibri" w:hAnsi="Verdana" w:cs="Arial"/>
          <w:b/>
          <w:bCs/>
          <w:color w:val="000000"/>
          <w:lang w:val="es-ES_tradnl" w:eastAsia="es-ES_tradnl"/>
        </w:rPr>
      </w:pPr>
    </w:p>
    <w:p w14:paraId="24AAAE2B" w14:textId="0D330F16" w:rsidR="00081802" w:rsidRPr="00153FC2" w:rsidRDefault="00081802" w:rsidP="00081802">
      <w:pPr>
        <w:spacing w:after="0" w:line="240" w:lineRule="auto"/>
        <w:jc w:val="right"/>
        <w:rPr>
          <w:rFonts w:ascii="Verdana" w:eastAsia="Calibri" w:hAnsi="Verdana" w:cs="Arial"/>
          <w:b/>
          <w:bCs/>
          <w:color w:val="000000"/>
          <w:lang w:val="es-ES_tradnl" w:eastAsia="es-ES_tradnl"/>
        </w:rPr>
      </w:pPr>
      <w:r w:rsidRPr="00081802">
        <w:rPr>
          <w:rFonts w:ascii="Verdana" w:eastAsia="Calibri" w:hAnsi="Verdana" w:cs="Arial"/>
          <w:b/>
          <w:bCs/>
          <w:color w:val="000000"/>
          <w:lang w:val="es-ES_tradnl" w:eastAsia="es-ES_tradnl"/>
        </w:rPr>
        <w:drawing>
          <wp:inline distT="0" distB="0" distL="0" distR="0" wp14:anchorId="7AD66C05" wp14:editId="272528AF">
            <wp:extent cx="2095682" cy="502964"/>
            <wp:effectExtent l="0" t="0" r="0" b="0"/>
            <wp:docPr id="10633205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320513" name="Imagen 1" descr="Texto&#10;&#10;El contenido generado por IA puede ser incorrecto."/>
                    <pic:cNvPicPr/>
                  </pic:nvPicPr>
                  <pic:blipFill>
                    <a:blip r:embed="rId10"/>
                    <a:stretch>
                      <a:fillRect/>
                    </a:stretch>
                  </pic:blipFill>
                  <pic:spPr>
                    <a:xfrm>
                      <a:off x="0" y="0"/>
                      <a:ext cx="2095682" cy="502964"/>
                    </a:xfrm>
                    <a:prstGeom prst="rect">
                      <a:avLst/>
                    </a:prstGeom>
                  </pic:spPr>
                </pic:pic>
              </a:graphicData>
            </a:graphic>
          </wp:inline>
        </w:drawing>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gridCol w:w="89"/>
        <w:gridCol w:w="336"/>
      </w:tblGrid>
      <w:tr w:rsidR="005E17A1" w:rsidRPr="00153FC2" w14:paraId="0A405CC3" w14:textId="77777777" w:rsidTr="00735A6B">
        <w:trPr>
          <w:trHeight w:val="884"/>
        </w:trPr>
        <w:tc>
          <w:tcPr>
            <w:tcW w:w="2410" w:type="dxa"/>
          </w:tcPr>
          <w:p w14:paraId="28D3C53B" w14:textId="77777777" w:rsidR="005E17A1" w:rsidRPr="00153FC2" w:rsidRDefault="005E17A1" w:rsidP="00735A6B">
            <w:pPr>
              <w:jc w:val="both"/>
              <w:rPr>
                <w:rFonts w:ascii="Verdana" w:eastAsia="Calibri" w:hAnsi="Verdana" w:cs="Arial"/>
                <w:b/>
                <w:bCs/>
                <w:color w:val="7030A0"/>
                <w:lang w:val="es-ES_tradnl" w:eastAsia="es-ES_tradnl"/>
              </w:rPr>
            </w:pPr>
          </w:p>
        </w:tc>
        <w:tc>
          <w:tcPr>
            <w:tcW w:w="6804" w:type="dxa"/>
            <w:gridSpan w:val="3"/>
          </w:tcPr>
          <w:p w14:paraId="5F4236E2" w14:textId="77777777" w:rsidR="005E17A1" w:rsidRPr="00153FC2" w:rsidRDefault="005E17A1" w:rsidP="00735A6B">
            <w:pPr>
              <w:jc w:val="both"/>
              <w:rPr>
                <w:rFonts w:ascii="Verdana" w:eastAsia="Calibri" w:hAnsi="Verdana" w:cs="Arial"/>
                <w:b/>
                <w:bCs/>
                <w:color w:val="7030A0"/>
                <w:lang w:val="es-ES" w:eastAsia="es-ES"/>
              </w:rPr>
            </w:pPr>
            <w:r w:rsidRPr="00153FC2">
              <w:rPr>
                <w:rFonts w:ascii="Verdana" w:eastAsia="Calibri" w:hAnsi="Verdana" w:cs="Arial"/>
                <w:b/>
                <w:bCs/>
                <w:lang w:val="es-ES" w:eastAsia="es-ES"/>
              </w:rPr>
              <w:t>Concepto C- 1382 de 2025</w:t>
            </w:r>
          </w:p>
        </w:tc>
      </w:tr>
      <w:tr w:rsidR="005E17A1" w:rsidRPr="00153FC2" w14:paraId="7130499A" w14:textId="77777777" w:rsidTr="00735A6B">
        <w:trPr>
          <w:gridAfter w:val="2"/>
          <w:wAfter w:w="425" w:type="dxa"/>
          <w:trHeight w:val="884"/>
        </w:trPr>
        <w:tc>
          <w:tcPr>
            <w:tcW w:w="2410" w:type="dxa"/>
          </w:tcPr>
          <w:p w14:paraId="62336474" w14:textId="77777777" w:rsidR="005E17A1" w:rsidRPr="00153FC2" w:rsidRDefault="005E17A1" w:rsidP="00735A6B">
            <w:pPr>
              <w:jc w:val="both"/>
              <w:rPr>
                <w:rFonts w:ascii="Verdana" w:eastAsia="Calibri" w:hAnsi="Verdana" w:cs="Arial"/>
                <w:b/>
                <w:bCs/>
                <w:lang w:val="es-ES_tradnl" w:eastAsia="es-ES_tradnl"/>
              </w:rPr>
            </w:pPr>
            <w:r w:rsidRPr="00153FC2">
              <w:rPr>
                <w:rFonts w:ascii="Verdana" w:eastAsia="Calibri" w:hAnsi="Verdana" w:cs="Arial"/>
                <w:b/>
                <w:bCs/>
                <w:lang w:val="es-ES_tradnl" w:eastAsia="es-ES_tradnl"/>
              </w:rPr>
              <w:t xml:space="preserve">Temas:                   </w:t>
            </w:r>
          </w:p>
        </w:tc>
        <w:tc>
          <w:tcPr>
            <w:tcW w:w="6379" w:type="dxa"/>
          </w:tcPr>
          <w:p w14:paraId="68A19825" w14:textId="77777777" w:rsidR="005E17A1" w:rsidRPr="00153FC2" w:rsidRDefault="005E17A1" w:rsidP="00735A6B">
            <w:pPr>
              <w:rPr>
                <w:rFonts w:ascii="Verdana" w:eastAsia="Calibri" w:hAnsi="Verdana" w:cs="Arial"/>
                <w:lang w:val="es-ES_tradnl" w:eastAsia="es-ES_tradnl"/>
              </w:rPr>
            </w:pPr>
          </w:p>
          <w:p w14:paraId="1A56B3C3" w14:textId="77777777" w:rsidR="005E17A1" w:rsidRPr="00153FC2" w:rsidRDefault="005E17A1" w:rsidP="00735A6B">
            <w:pPr>
              <w:spacing w:line="276" w:lineRule="auto"/>
              <w:jc w:val="both"/>
              <w:rPr>
                <w:rFonts w:ascii="Verdana" w:eastAsia="Calibri" w:hAnsi="Verdana" w:cs="Arial"/>
                <w:lang w:val="es-ES_tradnl" w:eastAsia="es-ES_tradnl"/>
              </w:rPr>
            </w:pPr>
            <w:r w:rsidRPr="00153FC2">
              <w:rPr>
                <w:rFonts w:ascii="Verdana" w:eastAsia="Calibri" w:hAnsi="Verdana" w:cs="Arial"/>
                <w:lang w:val="es-ES_tradnl" w:eastAsia="es-ES_tradnl"/>
              </w:rPr>
              <w:t xml:space="preserve">REQUISITO HABILITANTE DE EXPERIENCIA – Forma de acreditación / – Requisitos ponderables / REQUISITOS PONDERABLES – </w:t>
            </w:r>
          </w:p>
          <w:p w14:paraId="0B3AFE09" w14:textId="77777777" w:rsidR="005E17A1" w:rsidRPr="00153FC2" w:rsidRDefault="005E17A1" w:rsidP="00735A6B">
            <w:pPr>
              <w:spacing w:line="276" w:lineRule="auto"/>
              <w:jc w:val="both"/>
              <w:rPr>
                <w:rFonts w:ascii="Verdana" w:eastAsia="Calibri" w:hAnsi="Verdana" w:cs="Arial"/>
                <w:lang w:val="es-ES_tradnl" w:eastAsia="es-ES_tradnl"/>
              </w:rPr>
            </w:pPr>
          </w:p>
        </w:tc>
      </w:tr>
      <w:tr w:rsidR="005E17A1" w:rsidRPr="00153FC2" w14:paraId="61D2D897" w14:textId="77777777" w:rsidTr="00735A6B">
        <w:trPr>
          <w:gridAfter w:val="2"/>
          <w:wAfter w:w="425" w:type="dxa"/>
        </w:trPr>
        <w:tc>
          <w:tcPr>
            <w:tcW w:w="2410" w:type="dxa"/>
          </w:tcPr>
          <w:p w14:paraId="64848AD6" w14:textId="77777777" w:rsidR="005E17A1" w:rsidRPr="00153FC2" w:rsidRDefault="005E17A1" w:rsidP="00735A6B">
            <w:pPr>
              <w:jc w:val="both"/>
              <w:rPr>
                <w:rFonts w:ascii="Verdana" w:eastAsia="Calibri" w:hAnsi="Verdana" w:cs="Arial"/>
                <w:b/>
                <w:lang w:val="es-ES_tradnl" w:eastAsia="es-ES_tradnl"/>
              </w:rPr>
            </w:pPr>
            <w:r w:rsidRPr="00153FC2">
              <w:rPr>
                <w:rFonts w:ascii="Verdana" w:eastAsia="Calibri" w:hAnsi="Verdana" w:cs="Arial"/>
                <w:b/>
                <w:lang w:val="es-ES_tradnl" w:eastAsia="es-ES_tradnl"/>
              </w:rPr>
              <w:t>Radicación:</w:t>
            </w:r>
            <w:r w:rsidRPr="00153FC2">
              <w:rPr>
                <w:rFonts w:ascii="Verdana" w:eastAsia="Calibri" w:hAnsi="Verdana" w:cs="Arial"/>
                <w:lang w:val="es-ES_tradnl" w:eastAsia="es-ES_tradnl"/>
              </w:rPr>
              <w:t xml:space="preserve">               </w:t>
            </w:r>
          </w:p>
        </w:tc>
        <w:tc>
          <w:tcPr>
            <w:tcW w:w="6379" w:type="dxa"/>
          </w:tcPr>
          <w:p w14:paraId="4BCF112D" w14:textId="77777777" w:rsidR="005E17A1" w:rsidRPr="00153FC2" w:rsidRDefault="005E17A1" w:rsidP="00735A6B">
            <w:pPr>
              <w:jc w:val="both"/>
              <w:rPr>
                <w:rFonts w:ascii="Verdana" w:eastAsia="Calibri" w:hAnsi="Verdana" w:cs="Arial"/>
                <w:lang w:val="es-ES_tradnl" w:eastAsia="es-ES_tradnl"/>
              </w:rPr>
            </w:pPr>
            <w:r w:rsidRPr="00153FC2">
              <w:rPr>
                <w:rFonts w:ascii="Verdana" w:eastAsia="Calibri" w:hAnsi="Verdana" w:cs="Arial"/>
                <w:lang w:val="es-ES_tradnl" w:eastAsia="es-ES_tradnl"/>
              </w:rPr>
              <w:t xml:space="preserve">Respuesta a consulta con radicado No. </w:t>
            </w:r>
            <w:r w:rsidRPr="00153FC2">
              <w:rPr>
                <w:rFonts w:ascii="Verdana" w:eastAsia="Calibri" w:hAnsi="Verdana" w:cs="Arial"/>
                <w:lang w:eastAsia="es-ES_tradnl"/>
              </w:rPr>
              <w:t>1_2025_09_25_010593</w:t>
            </w:r>
          </w:p>
        </w:tc>
      </w:tr>
      <w:tr w:rsidR="005E17A1" w:rsidRPr="00153FC2" w14:paraId="5FF2F13E" w14:textId="77777777" w:rsidTr="00735A6B">
        <w:trPr>
          <w:gridAfter w:val="1"/>
          <w:wAfter w:w="336" w:type="dxa"/>
          <w:trHeight w:val="233"/>
        </w:trPr>
        <w:tc>
          <w:tcPr>
            <w:tcW w:w="8878" w:type="dxa"/>
            <w:gridSpan w:val="3"/>
          </w:tcPr>
          <w:p w14:paraId="70CC129C" w14:textId="77777777" w:rsidR="005E17A1" w:rsidRPr="00153FC2" w:rsidRDefault="005E17A1" w:rsidP="00735A6B">
            <w:pPr>
              <w:spacing w:after="120" w:line="276" w:lineRule="auto"/>
              <w:jc w:val="both"/>
              <w:rPr>
                <w:rFonts w:ascii="Verdana" w:eastAsia="Calibri" w:hAnsi="Verdana" w:cs="Arial"/>
                <w:lang w:val="es-ES_tradnl" w:eastAsia="es-ES"/>
              </w:rPr>
            </w:pPr>
          </w:p>
        </w:tc>
      </w:tr>
    </w:tbl>
    <w:p w14:paraId="061DBA0F" w14:textId="77777777" w:rsidR="005E17A1" w:rsidRPr="00153FC2" w:rsidRDefault="005E17A1" w:rsidP="005E17A1">
      <w:pPr>
        <w:spacing w:after="0" w:line="276" w:lineRule="auto"/>
        <w:jc w:val="both"/>
        <w:rPr>
          <w:rFonts w:ascii="Verdana" w:eastAsia="Calibri" w:hAnsi="Verdana" w:cs="Arial"/>
          <w:lang w:val="es-ES" w:eastAsia="es-ES"/>
        </w:rPr>
      </w:pPr>
      <w:r w:rsidRPr="00153FC2">
        <w:rPr>
          <w:rFonts w:ascii="Verdana" w:eastAsia="Calibri" w:hAnsi="Verdana" w:cs="Arial"/>
          <w:lang w:val="es-ES" w:eastAsia="es-ES"/>
        </w:rPr>
        <w:t xml:space="preserve">Estimado señor Palacio; </w:t>
      </w:r>
    </w:p>
    <w:p w14:paraId="3D777F75" w14:textId="77777777" w:rsidR="005E17A1" w:rsidRPr="00153FC2" w:rsidRDefault="005E17A1" w:rsidP="005E17A1">
      <w:pPr>
        <w:tabs>
          <w:tab w:val="left" w:pos="3768"/>
        </w:tabs>
        <w:spacing w:after="0" w:line="276" w:lineRule="auto"/>
        <w:jc w:val="both"/>
        <w:rPr>
          <w:rFonts w:ascii="Verdana" w:eastAsia="Calibri" w:hAnsi="Verdana" w:cs="Arial"/>
          <w:color w:val="000000" w:themeColor="text1"/>
          <w:lang w:val="es-ES" w:eastAsia="es-ES"/>
        </w:rPr>
      </w:pPr>
      <w:r w:rsidRPr="00153FC2">
        <w:rPr>
          <w:rFonts w:ascii="Verdana" w:eastAsia="Calibri" w:hAnsi="Verdana" w:cs="Arial"/>
          <w:color w:val="000000" w:themeColor="text1"/>
          <w:lang w:val="es-ES" w:eastAsia="es-ES"/>
        </w:rPr>
        <w:tab/>
      </w:r>
    </w:p>
    <w:p w14:paraId="2C617336" w14:textId="77777777" w:rsidR="005E17A1" w:rsidRPr="00153FC2" w:rsidRDefault="005E17A1" w:rsidP="005E17A1">
      <w:pPr>
        <w:spacing w:after="0" w:line="276" w:lineRule="auto"/>
        <w:jc w:val="both"/>
        <w:rPr>
          <w:rFonts w:ascii="Verdana" w:eastAsia="Calibri" w:hAnsi="Verdana" w:cs="Arial"/>
          <w:lang w:val="es-ES" w:eastAsia="es-ES"/>
        </w:rPr>
      </w:pPr>
      <w:r w:rsidRPr="00153FC2">
        <w:rPr>
          <w:rFonts w:ascii="Verdana" w:eastAsia="Calibri" w:hAnsi="Verdana" w:cs="Arial"/>
          <w:lang w:val="es-ES" w:eastAsia="es-ES"/>
        </w:rPr>
        <w:t>En ejercicio de la competencia otorgada por los artículos 3, numeral 5º, y 11, numeral 8º, del Decreto Ley 4170 de 2011,</w:t>
      </w:r>
      <w:r w:rsidRPr="00153FC2">
        <w:rPr>
          <w:rFonts w:ascii="Verdana" w:eastAsia="Arial MT" w:hAnsi="Verdana" w:cs="Arial MT"/>
          <w:lang w:val="es-ES" w:eastAsia="es-ES"/>
        </w:rPr>
        <w:t xml:space="preserve"> </w:t>
      </w:r>
      <w:r w:rsidRPr="00153FC2">
        <w:rPr>
          <w:rFonts w:ascii="Verdana" w:hAnsi="Verdana" w:cs="Arial"/>
        </w:rPr>
        <w:t xml:space="preserve">así como lo establecido en el artículo 4 de la Resolución 1707 de 2018 expedida por esta Entidad, </w:t>
      </w:r>
      <w:r w:rsidRPr="00153FC2">
        <w:rPr>
          <w:rFonts w:ascii="Verdana" w:eastAsia="Calibri" w:hAnsi="Verdana" w:cs="Arial"/>
          <w:lang w:val="es-ES" w:eastAsia="es-ES"/>
        </w:rPr>
        <w:t xml:space="preserve">la Agencia Nacional de Contratación Pública – Colombia Compra Eficiente– responde su solicitud y radicada en esta entidad el 25 de septiembre de 2025, en la cual manifiesta lo siguiente: </w:t>
      </w:r>
    </w:p>
    <w:p w14:paraId="318DB1F0" w14:textId="77777777" w:rsidR="005E17A1" w:rsidRPr="00153FC2" w:rsidRDefault="005E17A1" w:rsidP="005E17A1">
      <w:pPr>
        <w:spacing w:after="0" w:line="240" w:lineRule="auto"/>
        <w:ind w:left="709" w:right="709"/>
        <w:jc w:val="both"/>
        <w:rPr>
          <w:rFonts w:ascii="Verdana" w:hAnsi="Verdana" w:cs="Arial"/>
          <w:sz w:val="20"/>
          <w:szCs w:val="20"/>
          <w:shd w:val="clear" w:color="auto" w:fill="FFFFFF"/>
        </w:rPr>
      </w:pPr>
      <w:bookmarkStart w:id="1" w:name="_Hlk95313578"/>
    </w:p>
    <w:bookmarkEnd w:id="1"/>
    <w:p w14:paraId="23F01D6E" w14:textId="77777777" w:rsidR="005E17A1" w:rsidRPr="00153FC2" w:rsidRDefault="005E17A1" w:rsidP="005E17A1">
      <w:pPr>
        <w:pStyle w:val="Prrafodelista"/>
        <w:tabs>
          <w:tab w:val="left" w:pos="142"/>
          <w:tab w:val="left" w:pos="284"/>
        </w:tabs>
        <w:spacing w:after="0" w:line="240" w:lineRule="auto"/>
        <w:ind w:left="851" w:right="1183"/>
        <w:jc w:val="both"/>
        <w:rPr>
          <w:rFonts w:ascii="Verdana" w:eastAsia="Century Gothic" w:hAnsi="Verdana" w:cs="Century Gothic"/>
          <w:i/>
          <w:iCs/>
          <w:lang w:val="es-CO"/>
        </w:rPr>
      </w:pPr>
    </w:p>
    <w:p w14:paraId="4DA5C540" w14:textId="77777777" w:rsidR="005E17A1" w:rsidRPr="00153FC2" w:rsidRDefault="005E17A1" w:rsidP="005E17A1">
      <w:pPr>
        <w:pStyle w:val="Prrafodelista"/>
        <w:tabs>
          <w:tab w:val="left" w:pos="142"/>
          <w:tab w:val="left" w:pos="284"/>
        </w:tabs>
        <w:spacing w:after="0" w:line="240" w:lineRule="auto"/>
        <w:ind w:left="851" w:right="1183"/>
        <w:jc w:val="both"/>
        <w:rPr>
          <w:rFonts w:ascii="Verdana" w:eastAsia="Century Gothic" w:hAnsi="Verdana" w:cs="Century Gothic"/>
          <w:i/>
          <w:iCs/>
          <w:lang w:val="es-CO"/>
        </w:rPr>
      </w:pPr>
      <w:r w:rsidRPr="00153FC2">
        <w:rPr>
          <w:rFonts w:ascii="Verdana" w:eastAsia="Century Gothic" w:hAnsi="Verdana" w:cs="Century Gothic"/>
          <w:i/>
          <w:iCs/>
          <w:lang w:val="es-CO"/>
        </w:rPr>
        <w:t>“La entidad tiene duda sobre si una persona natural con establecimiento de comercio y certificado mercantil, puede para un proceso de innterventoria, presentar su oferta con aval de un ingeiero civil y un personal minimo que incluye ( ingnieros, topografos, sst entre otros) Información del solicitante.”</w:t>
      </w:r>
    </w:p>
    <w:p w14:paraId="6B8CFC3E" w14:textId="77777777" w:rsidR="005E17A1" w:rsidRPr="00153FC2" w:rsidRDefault="005E17A1" w:rsidP="005E17A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AB5C81E" w14:textId="77777777" w:rsidR="005E17A1" w:rsidRPr="00153FC2" w:rsidRDefault="005E17A1" w:rsidP="005E17A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ACAE876"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53FC2">
        <w:rPr>
          <w:rFonts w:ascii="Verdana" w:eastAsia="Century Gothic" w:hAnsi="Verdana" w:cs="Century Gothic"/>
          <w:b/>
          <w:bCs/>
        </w:rPr>
        <w:lastRenderedPageBreak/>
        <w:t>Problema planteado:</w:t>
      </w:r>
    </w:p>
    <w:p w14:paraId="6544CE3B" w14:textId="77777777" w:rsidR="005E17A1" w:rsidRPr="00153FC2" w:rsidRDefault="005E17A1" w:rsidP="005E17A1">
      <w:pPr>
        <w:tabs>
          <w:tab w:val="left" w:pos="426"/>
        </w:tabs>
        <w:spacing w:after="0" w:line="276" w:lineRule="auto"/>
        <w:jc w:val="both"/>
        <w:rPr>
          <w:rFonts w:ascii="Verdana" w:eastAsia="Century Gothic" w:hAnsi="Verdana" w:cs="Century Gothic"/>
          <w:lang w:val="es-ES"/>
        </w:rPr>
      </w:pPr>
    </w:p>
    <w:p w14:paraId="1BA8A5B2" w14:textId="77777777" w:rsidR="005E17A1" w:rsidRPr="00153FC2" w:rsidRDefault="005E17A1" w:rsidP="005E17A1">
      <w:pPr>
        <w:pStyle w:val="Prrafodelista"/>
        <w:ind w:left="0" w:right="49"/>
        <w:jc w:val="both"/>
        <w:rPr>
          <w:rFonts w:ascii="Verdana" w:eastAsia="Century Gothic" w:hAnsi="Verdana" w:cs="Century Gothic"/>
          <w:i/>
          <w:iCs/>
        </w:rPr>
      </w:pPr>
      <w:r w:rsidRPr="00153FC2">
        <w:rPr>
          <w:rFonts w:ascii="Verdana" w:eastAsia="Century Gothic" w:hAnsi="Verdana" w:cs="Century Gothic"/>
          <w:i/>
          <w:iCs/>
        </w:rPr>
        <w:t xml:space="preserve">De acuerdo con el contenido de su solicitud, esta Agencia resolverá el siguiente problema jurídico: </w:t>
      </w:r>
      <w:r w:rsidRPr="00153FC2">
        <w:rPr>
          <w:rFonts w:ascii="Verdana" w:eastAsia="Century Gothic" w:hAnsi="Verdana" w:cs="Century Gothic"/>
        </w:rPr>
        <w:t>¿Cuáles los requisitos habilitantes que se deben tener en cuenta en los procesos de selección de concurso de méritos para la contratación de interventoría de obra pública?</w:t>
      </w:r>
    </w:p>
    <w:p w14:paraId="2FE96599" w14:textId="77777777" w:rsidR="005E17A1" w:rsidRPr="00153FC2" w:rsidRDefault="005E17A1" w:rsidP="005E17A1">
      <w:pPr>
        <w:pStyle w:val="Prrafodelista"/>
        <w:spacing w:after="0" w:line="276" w:lineRule="auto"/>
        <w:ind w:left="426" w:right="1041"/>
        <w:jc w:val="both"/>
        <w:rPr>
          <w:rFonts w:ascii="Verdana" w:eastAsia="Calibri" w:hAnsi="Verdana" w:cs="Arial"/>
          <w:color w:val="7030A0"/>
        </w:rPr>
      </w:pPr>
    </w:p>
    <w:p w14:paraId="27EB6072"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t>Respuesta:</w:t>
      </w:r>
    </w:p>
    <w:p w14:paraId="0BDFC24B" w14:textId="77777777" w:rsidR="005E17A1" w:rsidRPr="00153FC2" w:rsidRDefault="005E17A1" w:rsidP="005E17A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17A1" w:rsidRPr="00153FC2" w14:paraId="0E9D9E15" w14:textId="77777777" w:rsidTr="00735A6B">
        <w:tc>
          <w:tcPr>
            <w:tcW w:w="8828" w:type="dxa"/>
          </w:tcPr>
          <w:p w14:paraId="222D78A9" w14:textId="77777777" w:rsidR="005E17A1" w:rsidRPr="00153FC2" w:rsidRDefault="005E17A1" w:rsidP="00735A6B">
            <w:pPr>
              <w:spacing w:line="276" w:lineRule="auto"/>
              <w:contextualSpacing/>
              <w:jc w:val="both"/>
              <w:rPr>
                <w:rFonts w:ascii="Verdana" w:hAnsi="Verdana" w:cs="Arial"/>
                <w:lang w:val="es-ES"/>
              </w:rPr>
            </w:pPr>
            <w:r w:rsidRPr="00153FC2">
              <w:rPr>
                <w:rFonts w:ascii="Verdana" w:hAnsi="Verdana" w:cs="Arial"/>
                <w:lang w:val="es-ES"/>
              </w:rPr>
              <w:t xml:space="preserve">De manera preliminar resulta pertinente indicar que el numeral 1º del artículo 5 de la Ley 1150 de 2007 establece que en los procesos de selección de contratistas serán objeto de verificación, como requisitos habilitantes, entre otros, los siguientes: i) la capacidad jurídica; ii) la experiencia; iii) la capacidad financiera; y iv) la capacidad de organización. </w:t>
            </w:r>
          </w:p>
          <w:p w14:paraId="457AB4D3" w14:textId="77777777" w:rsidR="005E17A1" w:rsidRPr="00153FC2" w:rsidRDefault="005E17A1" w:rsidP="00735A6B">
            <w:pPr>
              <w:spacing w:line="276" w:lineRule="auto"/>
              <w:jc w:val="both"/>
              <w:rPr>
                <w:rFonts w:ascii="Verdana" w:eastAsia="Calibri" w:hAnsi="Verdana" w:cs="Arial"/>
                <w:bCs/>
                <w:lang w:val="es-MX" w:eastAsia="es-ES" w:bidi="es-ES"/>
              </w:rPr>
            </w:pPr>
            <w:r w:rsidRPr="00153FC2">
              <w:rPr>
                <w:rFonts w:ascii="Verdana" w:eastAsia="Calibri" w:hAnsi="Verdana" w:cs="Arial"/>
                <w:bCs/>
                <w:lang w:val="es-MX" w:eastAsia="es-ES" w:bidi="es-ES"/>
              </w:rPr>
              <w:t xml:space="preserve">        </w:t>
            </w:r>
          </w:p>
          <w:p w14:paraId="0F77DCCB"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bCs/>
                <w:lang w:val="es-MX" w:eastAsia="es-ES" w:bidi="es-ES"/>
              </w:rPr>
              <w:t>Así las cosas, e</w:t>
            </w:r>
            <w:r w:rsidRPr="00153FC2">
              <w:rPr>
                <w:rFonts w:ascii="Verdana" w:eastAsia="Calibri" w:hAnsi="Verdana" w:cs="Arial"/>
              </w:rPr>
              <w:t>l requisito habilitante de experiencia en los procesos de selección de contratación estatal está regulado en el artículo 2.2.1.1.1.7 del Decreto 1082 de 2015, el cual establece que la experiencia debe ser acreditada mediante contratos que especifiquen su cuantía, permitiendo su valoración en salarios mínimos legales mensuales vigentes (SMLMV), conforme a lo exigido en el Registro Único de Proponentes (RUP).</w:t>
            </w:r>
          </w:p>
          <w:p w14:paraId="045E1EEF" w14:textId="77777777" w:rsidR="005E17A1" w:rsidRPr="00153FC2" w:rsidRDefault="005E17A1" w:rsidP="00735A6B">
            <w:pPr>
              <w:spacing w:line="276" w:lineRule="auto"/>
              <w:jc w:val="both"/>
              <w:rPr>
                <w:rFonts w:ascii="Verdana" w:eastAsia="Calibri" w:hAnsi="Verdana" w:cs="Arial"/>
              </w:rPr>
            </w:pPr>
          </w:p>
          <w:p w14:paraId="29D5595E"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Ahora bien, “Manual para Determinar y Verificar los Requisitos Habilitantes en los procesos de Contratación”</w:t>
            </w:r>
            <w:r w:rsidRPr="00153FC2">
              <w:rPr>
                <w:rStyle w:val="Refdenotaalpie"/>
                <w:rFonts w:ascii="Verdana" w:eastAsia="Calibri" w:hAnsi="Verdana" w:cs="Arial"/>
              </w:rPr>
              <w:footnoteReference w:id="1"/>
            </w:r>
            <w:r w:rsidRPr="00153FC2">
              <w:rPr>
                <w:rFonts w:ascii="Verdana" w:eastAsia="Calibri" w:hAnsi="Verdana" w:cs="Arial"/>
              </w:rPr>
              <w:t xml:space="preserve"> expedido por esta Agencia, establece que la experiencia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w:t>
            </w:r>
          </w:p>
          <w:p w14:paraId="78D23ADE" w14:textId="77777777" w:rsidR="005E17A1" w:rsidRPr="00153FC2" w:rsidRDefault="005E17A1" w:rsidP="00735A6B">
            <w:pPr>
              <w:spacing w:line="276" w:lineRule="auto"/>
              <w:jc w:val="both"/>
              <w:rPr>
                <w:rFonts w:ascii="Verdana" w:eastAsia="Calibri" w:hAnsi="Verdana" w:cs="Arial"/>
              </w:rPr>
            </w:pPr>
          </w:p>
          <w:p w14:paraId="3429610B"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lastRenderedPageBreak/>
              <w:t xml:space="preserve">La experiencia requerida en un Proceso de Contratación debe ser adecuada y proporcional a la naturaleza del contrato, su valor, complejidad y riesgo. La experiencia es adecuada cuando es afín al tipo de actividades incluidas dentro del objeto del contrato a celebrar. </w:t>
            </w:r>
          </w:p>
          <w:p w14:paraId="327CA95B" w14:textId="77777777" w:rsidR="005E17A1" w:rsidRPr="00153FC2" w:rsidRDefault="005E17A1" w:rsidP="00735A6B">
            <w:pPr>
              <w:spacing w:line="276" w:lineRule="auto"/>
              <w:jc w:val="both"/>
              <w:rPr>
                <w:rFonts w:ascii="Verdana" w:eastAsia="Calibri" w:hAnsi="Verdana" w:cs="Arial"/>
              </w:rPr>
            </w:pPr>
          </w:p>
          <w:p w14:paraId="7379D109"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Cabe aclarar que el requisito de que la experiencia sea adecuada y proporcional no implica que esta deba haberse adquirido exclusivamente en contratos cuyo objeto sea exactamente igual al que se pretende contratar. Esta interpretación restrictiva podría excluir a potenciales proponentes que, habiendo ejecutado actividades similares —aunque no idénticas—, cuentan con el conocimiento y la capacidad técnica suficientes para cumplir con las exigencias del proceso. Por tanto, exigir experiencia en condiciones estrictamente iguales a las del objeto contractual puede constituir una barrera injustificada a la participación plural de oferentes.  </w:t>
            </w:r>
          </w:p>
          <w:p w14:paraId="23554354"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   </w:t>
            </w:r>
          </w:p>
          <w:p w14:paraId="1904A723"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Los proponentes deben registrar en el RUP, sin restricción alguna de cantidad o fecha de suscripción, los contratos que hayan celebrado para suministrar bienes, obras y/o servicios, identificándolos con el Clasificador de Bienes y Servicios en el tercer nivel</w:t>
            </w:r>
            <w:r w:rsidRPr="00153FC2">
              <w:rPr>
                <w:rStyle w:val="Refdenotaalpie"/>
                <w:rFonts w:ascii="Verdana" w:eastAsia="Calibri" w:hAnsi="Verdana" w:cs="Arial"/>
              </w:rPr>
              <w:footnoteReference w:id="2"/>
            </w:r>
            <w:r w:rsidRPr="00153FC2">
              <w:rPr>
                <w:rFonts w:ascii="Verdana" w:eastAsia="Calibri" w:hAnsi="Verdana" w:cs="Arial"/>
              </w:rPr>
              <w:t xml:space="preserve">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p>
          <w:p w14:paraId="628CB757" w14:textId="77777777" w:rsidR="005E17A1" w:rsidRPr="00153FC2" w:rsidRDefault="005E17A1" w:rsidP="00735A6B">
            <w:pPr>
              <w:spacing w:line="276" w:lineRule="auto"/>
              <w:jc w:val="both"/>
              <w:rPr>
                <w:rFonts w:ascii="Verdana" w:eastAsia="Calibri" w:hAnsi="Verdana" w:cs="Arial"/>
              </w:rPr>
            </w:pPr>
          </w:p>
          <w:p w14:paraId="4B626556"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Por su parte, la experiencia de los oferentes plurales debe ser proporcional a la participación de cada uno de sus integrantes en el consorcio o unión temporal.   Sin perjuicio del carácter personal de la experiencia, entre los integrantes del oferente plural la experiencia se puede compartir, sin que implique que la experiencia compartida con alguna de las partes se entienda como propia. Dentro del procedimiento contractual se reflejará que uno de los integrantes del proponente plural comparte la experiencia de otra. Esto es claro en el caso de las figuras asociativas donde se verificará en el documento privado de constitución.  </w:t>
            </w:r>
          </w:p>
          <w:p w14:paraId="18D68131" w14:textId="77777777" w:rsidR="005E17A1" w:rsidRPr="00153FC2" w:rsidRDefault="005E17A1" w:rsidP="00735A6B">
            <w:pPr>
              <w:spacing w:after="120" w:line="276" w:lineRule="auto"/>
              <w:jc w:val="both"/>
              <w:rPr>
                <w:rFonts w:ascii="Verdana" w:hAnsi="Verdana" w:cs="Arial"/>
                <w:bCs/>
                <w:color w:val="000000" w:themeColor="text1"/>
                <w:lang w:val="es-ES_tradnl"/>
              </w:rPr>
            </w:pPr>
          </w:p>
          <w:p w14:paraId="7826EC52"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lang w:val="es-ES_tradnl"/>
              </w:rPr>
              <w:t xml:space="preserve">Ahora bien, es pertinente indicar que, en desarrollo del principio de selección objetiva </w:t>
            </w:r>
            <w:r w:rsidRPr="00153FC2">
              <w:rPr>
                <w:rFonts w:ascii="Verdana" w:hAnsi="Verdana" w:cs="Arial"/>
                <w:bCs/>
                <w:color w:val="000000" w:themeColor="text1"/>
              </w:rPr>
              <w:t>la entidad estatal es autónoma de señalar dentro de su pliego de condiciones los criterios de evaluación del proceso de contratación, así como los factores de escogencia y calificación del mismo, de acuerdo con lo previsto en el numeral 4 del artículo 5 de la Ley 1150 de 2007 definidos en el artículo 2.2.1.2.1.3.1 y subsiguientes del Decreto 1082 de 2015.</w:t>
            </w:r>
          </w:p>
          <w:p w14:paraId="0844F67C"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rPr>
              <w:t xml:space="preserve">En ese sentido, en el marco de lo previsto en el numeral 1 del artículo 2.2.1.2.1.3.2.del Decreto 1082 de 2015 se señalan los criterios de evaluación que debe tener en cuenta la entidad contratante, asi: </w:t>
            </w:r>
          </w:p>
          <w:p w14:paraId="58B0ADB7" w14:textId="77777777" w:rsidR="005E17A1" w:rsidRPr="00153FC2" w:rsidRDefault="005E17A1" w:rsidP="00735A6B">
            <w:pPr>
              <w:spacing w:after="120" w:line="276" w:lineRule="auto"/>
              <w:ind w:left="458" w:right="645" w:hanging="175"/>
              <w:jc w:val="both"/>
              <w:rPr>
                <w:rFonts w:ascii="Verdana" w:hAnsi="Verdana" w:cs="Arial"/>
                <w:bCs/>
                <w:i/>
                <w:iCs/>
                <w:color w:val="000000" w:themeColor="text1"/>
              </w:rPr>
            </w:pPr>
            <w:r w:rsidRPr="00153FC2">
              <w:rPr>
                <w:rFonts w:ascii="Verdana" w:hAnsi="Verdana" w:cs="Arial"/>
                <w:bCs/>
                <w:color w:val="000000" w:themeColor="text1"/>
              </w:rPr>
              <w:t xml:space="preserve">  </w:t>
            </w:r>
            <w:r w:rsidRPr="00153FC2">
              <w:rPr>
                <w:rFonts w:ascii="Verdana" w:hAnsi="Verdana" w:cs="Arial"/>
                <w:bCs/>
                <w:i/>
                <w:iCs/>
                <w:color w:val="000000" w:themeColor="text1"/>
              </w:rPr>
              <w:t xml:space="preserve">“La Entidad Estatal en los pliegos de condiciones debe indicar la forma como calificará (evaluará), entre otros, los siguientes criterios: a) la experiencia del interesado y del equipo de trabajo y b) la formación académica del equipo de trabajo”. </w:t>
            </w:r>
          </w:p>
          <w:p w14:paraId="0D0527F1" w14:textId="77777777" w:rsidR="005E17A1" w:rsidRPr="00153FC2" w:rsidRDefault="005E17A1" w:rsidP="00735A6B">
            <w:pPr>
              <w:spacing w:after="120" w:line="276" w:lineRule="auto"/>
              <w:jc w:val="both"/>
              <w:rPr>
                <w:rFonts w:ascii="Verdana" w:hAnsi="Verdana" w:cs="Arial"/>
                <w:bCs/>
                <w:i/>
                <w:iCs/>
                <w:color w:val="000000" w:themeColor="text1"/>
              </w:rPr>
            </w:pPr>
            <w:r w:rsidRPr="00153FC2">
              <w:rPr>
                <w:rFonts w:ascii="Verdana" w:eastAsia="Calibri" w:hAnsi="Verdana" w:cs="Arial"/>
                <w:bCs/>
                <w:color w:val="000000" w:themeColor="text1"/>
              </w:rPr>
              <w:t>Por otro lado</w:t>
            </w:r>
            <w:r w:rsidRPr="00153FC2">
              <w:rPr>
                <w:rFonts w:ascii="Verdana" w:eastAsia="Calibri" w:hAnsi="Verdana" w:cs="Arial"/>
                <w:bCs/>
                <w:color w:val="000000" w:themeColor="text1"/>
                <w:lang w:val="es-ES"/>
              </w:rPr>
              <w:t>, en virtud de los establecido en e</w:t>
            </w:r>
            <w:r w:rsidRPr="00153FC2">
              <w:rPr>
                <w:rFonts w:ascii="Verdana" w:eastAsia="Calibri" w:hAnsi="Verdana" w:cs="Arial"/>
                <w:lang w:val="es-ES" w:eastAsia="es-CO"/>
              </w:rPr>
              <w:t xml:space="preserve">l artículo 20 de </w:t>
            </w:r>
            <w:r w:rsidRPr="00153FC2">
              <w:rPr>
                <w:rFonts w:ascii="Verdana" w:eastAsia="Calibri" w:hAnsi="Verdana" w:cs="Arial"/>
                <w:b/>
                <w:bCs/>
                <w:lang w:val="es-ES" w:eastAsia="es-CO"/>
              </w:rPr>
              <w:t>la Ley 842 de 2003</w:t>
            </w:r>
            <w:r w:rsidRPr="00153FC2">
              <w:rPr>
                <w:rFonts w:ascii="Verdana" w:eastAsia="Calibri" w:hAnsi="Verdana" w:cs="Arial"/>
                <w:lang w:val="es-ES" w:eastAsia="es-CO"/>
              </w:rPr>
              <w:t xml:space="preserve">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w:t>
            </w:r>
          </w:p>
          <w:p w14:paraId="19D9EF97"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rPr>
              <w:t>Conforme a lo anterior, los criterios son los señalados por la norma ibidem de manera literal y la Entidad contratante deberá exigirlos conforme al principio de selección objetiva dando aplicación de forma autónoma a las reglas de escogencia señaladas en el artículo citado y estableciendo reglas de puntuación de los mismos de forma autónoma en el pliego de condiciones.</w:t>
            </w:r>
          </w:p>
          <w:p w14:paraId="58C93FAF" w14:textId="77777777" w:rsidR="005E17A1" w:rsidRPr="00153FC2" w:rsidRDefault="005E17A1" w:rsidP="00735A6B">
            <w:pPr>
              <w:spacing w:after="120" w:line="276" w:lineRule="auto"/>
              <w:jc w:val="both"/>
              <w:rPr>
                <w:rFonts w:ascii="Verdana" w:eastAsia="Calibri" w:hAnsi="Verdana" w:cs="Arial"/>
                <w:lang w:val="es-ES"/>
              </w:rPr>
            </w:pPr>
            <w:r w:rsidRPr="00153FC2">
              <w:rPr>
                <w:rFonts w:ascii="Verdana" w:hAnsi="Verdana" w:cs="Arial"/>
                <w:bCs/>
                <w:color w:val="000000" w:themeColor="text1"/>
              </w:rPr>
              <w:t xml:space="preserve">En el momento de la elaboración de los pliegos de condiciones se debe señalar cómo se calificarán estos factores. Por tal razón le </w:t>
            </w:r>
            <w:r w:rsidRPr="00153FC2">
              <w:rPr>
                <w:rFonts w:ascii="Verdana" w:eastAsia="Calibri" w:hAnsi="Verdana" w:cs="Arial"/>
                <w:lang w:val="es-ES"/>
              </w:rPr>
              <w:t xml:space="preserve">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w:t>
            </w:r>
          </w:p>
          <w:p w14:paraId="3B9CEF85" w14:textId="77777777" w:rsidR="005E17A1" w:rsidRPr="00153FC2" w:rsidRDefault="005E17A1" w:rsidP="00735A6B">
            <w:pPr>
              <w:spacing w:after="120" w:line="276" w:lineRule="auto"/>
              <w:jc w:val="both"/>
              <w:rPr>
                <w:rFonts w:ascii="Verdana" w:hAnsi="Verdana" w:cs="Arial"/>
                <w:bCs/>
                <w:color w:val="000000" w:themeColor="text1"/>
              </w:rPr>
            </w:pPr>
          </w:p>
        </w:tc>
      </w:tr>
      <w:tr w:rsidR="005E17A1" w:rsidRPr="00153FC2" w14:paraId="02B20905" w14:textId="77777777" w:rsidTr="00735A6B">
        <w:tc>
          <w:tcPr>
            <w:tcW w:w="8828" w:type="dxa"/>
          </w:tcPr>
          <w:p w14:paraId="4FC63A29" w14:textId="77777777" w:rsidR="005E17A1" w:rsidRPr="00153FC2" w:rsidRDefault="005E17A1" w:rsidP="00735A6B">
            <w:pPr>
              <w:spacing w:line="276" w:lineRule="auto"/>
              <w:jc w:val="both"/>
              <w:rPr>
                <w:rFonts w:ascii="Verdana" w:eastAsia="Calibri" w:hAnsi="Verdana" w:cs="Arial"/>
                <w:lang w:val="es-ES"/>
              </w:rPr>
            </w:pPr>
          </w:p>
        </w:tc>
      </w:tr>
    </w:tbl>
    <w:p w14:paraId="0310BB4B" w14:textId="77777777" w:rsidR="005E17A1" w:rsidRPr="00153FC2" w:rsidRDefault="005E17A1" w:rsidP="005E17A1">
      <w:pPr>
        <w:tabs>
          <w:tab w:val="left" w:pos="142"/>
          <w:tab w:val="left" w:pos="284"/>
        </w:tabs>
        <w:spacing w:after="0" w:line="276" w:lineRule="auto"/>
        <w:jc w:val="both"/>
        <w:rPr>
          <w:rFonts w:ascii="Verdana" w:eastAsia="Century Gothic" w:hAnsi="Verdana" w:cs="Century Gothic"/>
          <w:b/>
          <w:bCs/>
          <w:lang w:val="es-ES"/>
        </w:rPr>
      </w:pPr>
    </w:p>
    <w:p w14:paraId="33EDE1C0"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lastRenderedPageBreak/>
        <w:t>Razones de la respuesta:</w:t>
      </w:r>
    </w:p>
    <w:p w14:paraId="47FA4163" w14:textId="77777777" w:rsidR="005E17A1" w:rsidRPr="00153FC2" w:rsidRDefault="005E17A1" w:rsidP="005E17A1">
      <w:pPr>
        <w:spacing w:after="0" w:line="276" w:lineRule="auto"/>
        <w:jc w:val="both"/>
        <w:rPr>
          <w:rFonts w:ascii="Verdana" w:eastAsia="Calibri" w:hAnsi="Verdana" w:cs="Arial"/>
          <w:color w:val="7030A0"/>
          <w:lang w:val="es-ES"/>
        </w:rPr>
      </w:pPr>
    </w:p>
    <w:p w14:paraId="66AB3F77" w14:textId="77777777" w:rsidR="005E17A1" w:rsidRPr="00153FC2" w:rsidRDefault="005E17A1" w:rsidP="005E17A1">
      <w:pPr>
        <w:spacing w:after="0" w:line="276" w:lineRule="auto"/>
        <w:jc w:val="both"/>
        <w:rPr>
          <w:rFonts w:ascii="Verdana" w:eastAsia="Calibri" w:hAnsi="Verdana" w:cs="Arial"/>
          <w:lang w:val="es-ES"/>
        </w:rPr>
      </w:pPr>
      <w:r w:rsidRPr="00153FC2">
        <w:rPr>
          <w:rFonts w:ascii="Verdana" w:eastAsia="Calibri" w:hAnsi="Verdana" w:cs="Arial"/>
          <w:lang w:val="es-ES"/>
        </w:rPr>
        <w:t xml:space="preserve">Lo anterior se sustenta en las siguientes consideraciones: </w:t>
      </w:r>
    </w:p>
    <w:p w14:paraId="52AEA387" w14:textId="77777777" w:rsidR="005E17A1" w:rsidRPr="00153FC2" w:rsidRDefault="005E17A1" w:rsidP="005E17A1">
      <w:pPr>
        <w:spacing w:after="0" w:line="276" w:lineRule="auto"/>
        <w:jc w:val="both"/>
        <w:rPr>
          <w:rFonts w:ascii="Verdana" w:eastAsia="Calibri" w:hAnsi="Verdana" w:cs="Arial"/>
          <w:lang w:val="es-ES"/>
        </w:rPr>
      </w:pPr>
    </w:p>
    <w:p w14:paraId="10C45015" w14:textId="77777777" w:rsidR="005E17A1" w:rsidRPr="00153FC2" w:rsidRDefault="005E17A1" w:rsidP="005E17A1">
      <w:pPr>
        <w:pStyle w:val="Prrafodelista"/>
        <w:numPr>
          <w:ilvl w:val="0"/>
          <w:numId w:val="18"/>
        </w:numPr>
        <w:spacing w:line="276" w:lineRule="auto"/>
        <w:ind w:right="49"/>
        <w:jc w:val="both"/>
        <w:rPr>
          <w:rFonts w:ascii="Verdana" w:hAnsi="Verdana" w:cs="Arial"/>
          <w:bCs/>
          <w:color w:val="000000" w:themeColor="text1"/>
          <w:lang w:val="es-ES_tradnl"/>
        </w:rPr>
      </w:pPr>
      <w:r w:rsidRPr="00153FC2">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5640E788" w14:textId="77777777" w:rsidR="005E17A1" w:rsidRPr="00153FC2" w:rsidRDefault="005E17A1" w:rsidP="005E17A1">
      <w:pPr>
        <w:pStyle w:val="Prrafodelista"/>
        <w:spacing w:line="276" w:lineRule="auto"/>
        <w:ind w:right="49"/>
        <w:jc w:val="both"/>
        <w:rPr>
          <w:rFonts w:ascii="Verdana" w:hAnsi="Verdana" w:cs="Arial"/>
          <w:bCs/>
          <w:color w:val="000000" w:themeColor="text1"/>
          <w:lang w:val="es-ES_tradnl"/>
        </w:rPr>
      </w:pPr>
    </w:p>
    <w:p w14:paraId="12FF2533" w14:textId="77777777" w:rsidR="005E17A1" w:rsidRPr="00153FC2" w:rsidRDefault="005E17A1" w:rsidP="005E17A1">
      <w:pPr>
        <w:pStyle w:val="Prrafodelista"/>
        <w:numPr>
          <w:ilvl w:val="0"/>
          <w:numId w:val="18"/>
        </w:numPr>
        <w:spacing w:before="120" w:line="276" w:lineRule="auto"/>
        <w:ind w:right="51"/>
        <w:jc w:val="both"/>
        <w:rPr>
          <w:rFonts w:ascii="Verdana" w:hAnsi="Verdana" w:cs="Arial"/>
          <w:bCs/>
          <w:color w:val="000000" w:themeColor="text1"/>
        </w:rPr>
      </w:pPr>
      <w:r w:rsidRPr="00153FC2">
        <w:rPr>
          <w:rFonts w:ascii="Verdana" w:hAnsi="Verdana" w:cs="Arial"/>
          <w:bCs/>
          <w:color w:val="000000" w:themeColor="text1"/>
        </w:rPr>
        <w:t>Si bien dentro de la historia de la contratación pública en Colombia, se vislumbran antecedentes normativos que consagraban dicho principio</w:t>
      </w:r>
      <w:r w:rsidRPr="00153FC2">
        <w:rPr>
          <w:rFonts w:ascii="Verdana" w:hAnsi="Verdana"/>
          <w:vertAlign w:val="superscript"/>
        </w:rPr>
        <w:footnoteReference w:id="3"/>
      </w:r>
      <w:r w:rsidRPr="00153FC2">
        <w:rPr>
          <w:rFonts w:ascii="Verdana" w:hAnsi="Verdana" w:cs="Arial"/>
          <w:bCs/>
          <w:color w:val="000000" w:themeColor="text1"/>
        </w:rPr>
        <w:t xml:space="preserve">,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6142D25E" w14:textId="77777777" w:rsidR="005E17A1" w:rsidRPr="00153FC2" w:rsidRDefault="005E17A1" w:rsidP="005E17A1">
      <w:pPr>
        <w:numPr>
          <w:ilvl w:val="0"/>
          <w:numId w:val="18"/>
        </w:numPr>
        <w:snapToGrid w:val="0"/>
        <w:spacing w:after="0" w:line="276" w:lineRule="auto"/>
        <w:jc w:val="both"/>
        <w:rPr>
          <w:rFonts w:ascii="Verdana" w:eastAsia="Calibri" w:hAnsi="Verdana" w:cs="Arial"/>
          <w:i/>
          <w:iCs/>
          <w:kern w:val="2"/>
          <w14:ligatures w14:val="standardContextual"/>
        </w:rPr>
      </w:pPr>
      <w:r w:rsidRPr="00153FC2">
        <w:rPr>
          <w:rFonts w:ascii="Verdana" w:eastAsia="Calibri" w:hAnsi="Verdana" w:cs="Arial"/>
          <w:kern w:val="2"/>
          <w:lang w:val="es-ES"/>
          <w14:ligatures w14:val="standardContextual"/>
        </w:rPr>
        <w:lastRenderedPageBreak/>
        <w:t xml:space="preserve">El numeral 2 del artículo 32 de la Ley 80 de 1993 establece el contrato de consultoría y señala que </w:t>
      </w:r>
      <w:bookmarkStart w:id="2" w:name="32.2"/>
      <w:bookmarkEnd w:id="2"/>
      <w:r w:rsidRPr="00153FC2">
        <w:rPr>
          <w:rFonts w:ascii="Verdana" w:eastAsia="Calibri" w:hAnsi="Verdana" w:cs="Arial"/>
          <w:kern w:val="2"/>
          <w:lang w:val="es-ES"/>
          <w14:ligatures w14:val="standardContextual"/>
        </w:rPr>
        <w:t xml:space="preserve"> </w:t>
      </w:r>
      <w:r w:rsidRPr="00153FC2">
        <w:rPr>
          <w:rFonts w:ascii="Verdana" w:eastAsia="Calibri" w:hAnsi="Verdana" w:cs="Arial"/>
          <w:i/>
          <w:iCs/>
          <w:kern w:val="2"/>
          <w:lang w:val="es-ES"/>
          <w14:ligatures w14:val="standardContextual"/>
        </w:rPr>
        <w:t>“</w:t>
      </w:r>
      <w:r w:rsidRPr="00153FC2">
        <w:rPr>
          <w:rFonts w:ascii="Verdana" w:eastAsia="Calibri" w:hAnsi="Verdana" w:cs="Arial"/>
          <w:i/>
          <w:iCs/>
          <w:kern w:val="2"/>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B8D4CDE" w14:textId="77777777" w:rsidR="005E17A1" w:rsidRPr="00153FC2" w:rsidRDefault="005E17A1" w:rsidP="005E17A1">
      <w:pPr>
        <w:snapToGrid w:val="0"/>
        <w:spacing w:after="0" w:line="276" w:lineRule="auto"/>
        <w:ind w:left="720"/>
        <w:jc w:val="both"/>
        <w:rPr>
          <w:rFonts w:ascii="Verdana" w:eastAsia="Calibri" w:hAnsi="Verdana" w:cs="Arial"/>
          <w:i/>
          <w:iCs/>
          <w:kern w:val="2"/>
          <w14:ligatures w14:val="standardContextual"/>
        </w:rPr>
      </w:pPr>
      <w:r w:rsidRPr="00153FC2">
        <w:rPr>
          <w:rFonts w:ascii="Verdana" w:eastAsia="Calibri" w:hAnsi="Verdana" w:cs="Arial"/>
          <w:i/>
          <w:iCs/>
          <w:kern w:val="2"/>
          <w14:ligatures w14:val="standardContextual"/>
        </w:rPr>
        <w:t>Son también contratos de consultoría los que tienen por objeto la interventoría, asesoría, gerencia de obra o de proyectos, dirección, programación y la ejecución de diseños, planos, anteproyectos y proyectos. (…)”</w:t>
      </w:r>
    </w:p>
    <w:p w14:paraId="56CACFFE" w14:textId="77777777" w:rsidR="005E17A1" w:rsidRPr="00153FC2" w:rsidRDefault="005E17A1" w:rsidP="005E17A1">
      <w:pPr>
        <w:snapToGrid w:val="0"/>
        <w:spacing w:after="0" w:line="276" w:lineRule="auto"/>
        <w:jc w:val="both"/>
        <w:rPr>
          <w:rFonts w:ascii="Verdana" w:eastAsia="Calibri" w:hAnsi="Verdana" w:cs="Arial"/>
          <w:i/>
          <w:iCs/>
          <w:kern w:val="2"/>
          <w14:ligatures w14:val="standardContextual"/>
        </w:rPr>
      </w:pPr>
    </w:p>
    <w:p w14:paraId="3D9A19F7" w14:textId="77777777" w:rsidR="005E17A1" w:rsidRPr="00153FC2" w:rsidRDefault="005E17A1" w:rsidP="005E17A1">
      <w:pPr>
        <w:pStyle w:val="Prrafodelista"/>
        <w:numPr>
          <w:ilvl w:val="0"/>
          <w:numId w:val="19"/>
        </w:numPr>
        <w:snapToGrid w:val="0"/>
        <w:spacing w:after="0" w:line="276" w:lineRule="auto"/>
        <w:jc w:val="both"/>
        <w:rPr>
          <w:rFonts w:ascii="Verdana" w:eastAsia="Calibri" w:hAnsi="Verdana" w:cs="Arial"/>
          <w:kern w:val="2"/>
          <w:lang w:val="es-CO"/>
          <w14:ligatures w14:val="standardContextual"/>
        </w:rPr>
      </w:pPr>
      <w:r w:rsidRPr="00153FC2">
        <w:rPr>
          <w:rFonts w:ascii="Verdana" w:eastAsia="Calibri" w:hAnsi="Verdana" w:cs="Arial"/>
          <w:kern w:val="2"/>
          <w14:ligatures w14:val="standardContextual"/>
        </w:rPr>
        <w:t xml:space="preserve">Que en concordancia con lo anterior, el numeral 3 del artículo 2 de la Ley 1150  de 2007 consagra  el concurso de mérito como “ </w:t>
      </w:r>
      <w:r w:rsidRPr="00153FC2">
        <w:rPr>
          <w:rFonts w:ascii="Verdana" w:eastAsia="Calibri" w:hAnsi="Verdana" w:cs="Arial"/>
          <w:kern w:val="2"/>
          <w:lang w:val="es-CO"/>
          <w14:ligatures w14:val="standardContextual"/>
        </w:rPr>
        <w:t>la modalidad prevista para la selección de consultores o proyectos, en la que se podrán utilizar sistemas de concurso abierto o de precalificación. (…)”</w:t>
      </w:r>
    </w:p>
    <w:p w14:paraId="5BE2F8A3" w14:textId="77777777" w:rsidR="005E17A1" w:rsidRPr="00153FC2" w:rsidRDefault="005E17A1" w:rsidP="005E17A1">
      <w:pPr>
        <w:pStyle w:val="Prrafodelista"/>
        <w:numPr>
          <w:ilvl w:val="0"/>
          <w:numId w:val="19"/>
        </w:numPr>
        <w:snapToGrid w:val="0"/>
        <w:spacing w:after="0" w:line="276" w:lineRule="auto"/>
        <w:jc w:val="both"/>
        <w:rPr>
          <w:rFonts w:ascii="Verdana" w:eastAsia="Calibri" w:hAnsi="Verdana" w:cs="Arial"/>
          <w:i/>
          <w:iCs/>
          <w:kern w:val="2"/>
          <w14:ligatures w14:val="standardContextual"/>
        </w:rPr>
      </w:pPr>
      <w:r w:rsidRPr="00153FC2">
        <w:rPr>
          <w:rFonts w:ascii="Verdana" w:eastAsia="Calibri" w:hAnsi="Verdana" w:cs="Arial"/>
          <w:kern w:val="2"/>
          <w14:ligatures w14:val="standardContextual"/>
        </w:rPr>
        <w:t xml:space="preserve">Que asi mismo, el numeral 4 de la Ley 1150 de 2007 señaló que </w:t>
      </w:r>
      <w:r w:rsidRPr="00153FC2">
        <w:rPr>
          <w:rFonts w:ascii="Verdana" w:eastAsia="Calibri" w:hAnsi="Verdana" w:cs="Arial"/>
          <w:i/>
          <w:iCs/>
          <w:kern w:val="2"/>
          <w14:ligatures w14:val="standardContextual"/>
        </w:rPr>
        <w:t>“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 En ningún caso se podrá incluir el precio, como factor de escogencia para la selección de consultores.(…)”</w:t>
      </w:r>
    </w:p>
    <w:p w14:paraId="2D69723D" w14:textId="69481BBB" w:rsidR="005E17A1" w:rsidRPr="00153FC2" w:rsidRDefault="005E17A1" w:rsidP="005E17A1">
      <w:pPr>
        <w:pStyle w:val="Prrafodelista"/>
        <w:jc w:val="both"/>
        <w:rPr>
          <w:rFonts w:ascii="Verdana" w:hAnsi="Verdana"/>
        </w:rPr>
      </w:pPr>
      <w:r w:rsidRPr="00153FC2">
        <w:rPr>
          <w:rFonts w:ascii="Verdana" w:eastAsia="Calibri" w:hAnsi="Verdana" w:cs="Arial"/>
          <w:kern w:val="2"/>
          <w14:ligatures w14:val="standardContextual"/>
        </w:rPr>
        <w:t>A su vez, el artículo 2.2.1.2.1.3.1 estableció como regla para la escogencia de consultores  y proyectos de arquitectura el concurso de mérito</w:t>
      </w:r>
      <w:r w:rsidR="477D93DF" w:rsidRPr="00153FC2">
        <w:rPr>
          <w:rFonts w:ascii="Verdana" w:eastAsia="Calibri" w:hAnsi="Verdana" w:cs="Arial"/>
          <w:kern w:val="2"/>
          <w14:ligatures w14:val="standardContextual"/>
        </w:rPr>
        <w:t>s</w:t>
      </w:r>
      <w:r w:rsidRPr="00153FC2">
        <w:rPr>
          <w:rFonts w:ascii="Verdana" w:eastAsia="Calibri" w:hAnsi="Verdana" w:cs="Arial"/>
          <w:kern w:val="2"/>
          <w14:ligatures w14:val="standardContextual"/>
        </w:rPr>
        <w:t>.</w:t>
      </w:r>
      <w:bookmarkStart w:id="3" w:name="2.2.1.2.1.3.1"/>
      <w:bookmarkEnd w:id="3"/>
    </w:p>
    <w:p w14:paraId="41504CA7" w14:textId="77777777" w:rsidR="005E17A1" w:rsidRPr="00153FC2" w:rsidRDefault="005E17A1" w:rsidP="005E17A1">
      <w:pPr>
        <w:pStyle w:val="Prrafodelista"/>
        <w:keepNext/>
        <w:numPr>
          <w:ilvl w:val="0"/>
          <w:numId w:val="18"/>
        </w:numPr>
        <w:spacing w:after="120" w:line="276" w:lineRule="auto"/>
        <w:jc w:val="both"/>
        <w:outlineLvl w:val="0"/>
        <w:rPr>
          <w:rFonts w:ascii="Verdana" w:hAnsi="Verdana" w:cs="Arial"/>
        </w:rPr>
      </w:pPr>
      <w:r w:rsidRPr="00153FC2">
        <w:rPr>
          <w:rFonts w:ascii="Verdana" w:hAnsi="Verdana" w:cs="Arial"/>
        </w:rPr>
        <w:t xml:space="preserve">El procedimiento de selección de concurso de méritos, aplicable para la escogencia de consultores está reglamentado, como se explicó, 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153FC2">
        <w:rPr>
          <w:rFonts w:ascii="Verdana" w:hAnsi="Verdana" w:cs="Arial"/>
          <w:i/>
          <w:iCs/>
        </w:rPr>
        <w:t xml:space="preserve">a) la experiencia del interesado y del equipo de trabajo y b) la formación académica del equipo de trabajo”, </w:t>
      </w:r>
      <w:r w:rsidRPr="00153FC2">
        <w:rPr>
          <w:rFonts w:ascii="Verdana" w:hAnsi="Verdana" w:cs="Arial"/>
        </w:rPr>
        <w:t>excluyendo el precio como factor de escogencia.</w:t>
      </w:r>
    </w:p>
    <w:p w14:paraId="409968E0" w14:textId="77777777" w:rsidR="005E17A1" w:rsidRPr="00153FC2" w:rsidRDefault="005E17A1" w:rsidP="005E17A1">
      <w:pPr>
        <w:pStyle w:val="Prrafodelista"/>
        <w:keepNext/>
        <w:numPr>
          <w:ilvl w:val="0"/>
          <w:numId w:val="18"/>
        </w:numPr>
        <w:spacing w:after="120" w:line="276" w:lineRule="auto"/>
        <w:jc w:val="both"/>
        <w:outlineLvl w:val="0"/>
        <w:rPr>
          <w:rFonts w:ascii="Verdana" w:hAnsi="Verdana" w:cs="Arial"/>
        </w:rPr>
      </w:pPr>
      <w:r w:rsidRPr="00153FC2">
        <w:rPr>
          <w:rFonts w:ascii="Verdana" w:hAnsi="Verdana" w:cs="Arial"/>
        </w:rPr>
        <w:t xml:space="preserve">Conforme a esto, los factores ponderables en un proceso de selección de concurso de méritos –esto es, los que determinan la escogencia entre los </w:t>
      </w:r>
      <w:r w:rsidRPr="00153FC2">
        <w:rPr>
          <w:rFonts w:ascii="Verdana" w:hAnsi="Verdana" w:cs="Arial"/>
        </w:rPr>
        <w:lastRenderedPageBreak/>
        <w:t xml:space="preserve">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58593AC8" w14:textId="77777777" w:rsidR="005E17A1" w:rsidRPr="00153FC2" w:rsidRDefault="005E17A1" w:rsidP="005E17A1">
      <w:pPr>
        <w:snapToGrid w:val="0"/>
        <w:spacing w:after="0" w:line="276" w:lineRule="auto"/>
        <w:ind w:left="720"/>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Ahora bien, es importante destacar que en esta modalidad existen tres procedimientos para seleccionar el contratista: el concurso de arquitectura, el concurso de méritos abierto y el concurso de méritos con precalificación:  </w:t>
      </w:r>
    </w:p>
    <w:p w14:paraId="7230E996" w14:textId="77777777"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Concurso de arquitectura: </w:t>
      </w:r>
      <w:bookmarkStart w:id="4" w:name="2.2.1.2.1.3.8"/>
      <w:bookmarkEnd w:id="4"/>
      <w:r w:rsidRPr="00153FC2">
        <w:rPr>
          <w:rFonts w:ascii="Verdana" w:eastAsia="Calibri" w:hAnsi="Verdana" w:cs="Arial"/>
          <w:kern w:val="2"/>
          <w:lang w:val="es-CO"/>
          <w14:ligatures w14:val="standardContextual"/>
        </w:rPr>
        <w:t>El concurso de arquitectura es el procedimiento mediante el cual la Entidad Estatal, previa invitación pública y en igualdad de oportunidades, selecciona un consultor entre los proponentes interesados en elaborar diseños, planos, anteproyectos y proyectos arquitectónicos.</w:t>
      </w:r>
      <w:r w:rsidRPr="00153FC2">
        <w:rPr>
          <w:rStyle w:val="Refdenotaalpie"/>
          <w:rFonts w:ascii="Verdana" w:eastAsia="Calibri" w:hAnsi="Verdana" w:cs="Arial"/>
          <w:kern w:val="2"/>
          <w:lang w:val="es-ES_tradnl"/>
          <w14:ligatures w14:val="standardContextual"/>
        </w:rPr>
        <w:footnoteReference w:id="4"/>
      </w:r>
    </w:p>
    <w:p w14:paraId="597E2503" w14:textId="77777777"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Concurso de mérito abierto: Es aquel contenido en las reglas del artículo </w:t>
      </w:r>
      <w:bookmarkStart w:id="5" w:name="2.2.1.2.1.3.2"/>
      <w:bookmarkEnd w:id="5"/>
      <w:r w:rsidRPr="00153FC2">
        <w:rPr>
          <w:rFonts w:ascii="Verdana" w:eastAsia="Calibri" w:hAnsi="Verdana" w:cs="Arial"/>
          <w:kern w:val="2"/>
          <w:lang w:val="es-CO"/>
          <w14:ligatures w14:val="standardContextual"/>
        </w:rPr>
        <w:t>2.2.1.2.1.3.2 del Decreto 1082 de 2015.</w:t>
      </w:r>
    </w:p>
    <w:p w14:paraId="575ED84D" w14:textId="19C7C88A"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14:ligatures w14:val="standardContextual"/>
        </w:rPr>
      </w:pPr>
      <w:r w:rsidRPr="4A568D9A">
        <w:rPr>
          <w:rFonts w:ascii="Verdana" w:eastAsia="Calibri" w:hAnsi="Verdana" w:cs="Arial"/>
          <w:kern w:val="2"/>
          <w14:ligatures w14:val="standardContextual"/>
        </w:rPr>
        <w:t>Concurso de mérito</w:t>
      </w:r>
      <w:r w:rsidR="3471B74E" w:rsidRPr="4A568D9A">
        <w:rPr>
          <w:rFonts w:ascii="Verdana" w:eastAsia="Calibri" w:hAnsi="Verdana" w:cs="Arial"/>
          <w:kern w:val="2"/>
          <w14:ligatures w14:val="standardContextual"/>
        </w:rPr>
        <w:t>s</w:t>
      </w:r>
      <w:r w:rsidRPr="4A568D9A">
        <w:rPr>
          <w:rFonts w:ascii="Verdana" w:eastAsia="Calibri" w:hAnsi="Verdana" w:cs="Arial"/>
          <w:kern w:val="2"/>
          <w14:ligatures w14:val="standardContextual"/>
        </w:rPr>
        <w:t xml:space="preserve"> con precalificación: En el último caso, a consideración de la Entidad Estatal, esto es, cuando por la complejidad de la consultoría se considerare pertinente, se establece una lista de precalificados mediante convocatoria pública en el que solo podrán presentar propuestas las personas que cumplan con las condiciones de precalificación y/o las favorecidas con el sorteo en el evento en el que el número de interesados que cumplan con las condiciones de precalificación supere al número máximo establecido para conformar la lista</w:t>
      </w:r>
      <w:r w:rsidRPr="00153FC2">
        <w:rPr>
          <w:rFonts w:ascii="Verdana" w:eastAsia="Aptos" w:hAnsi="Verdana" w:cs="Times New Roman"/>
          <w:vertAlign w:val="superscript"/>
        </w:rPr>
        <w:footnoteReference w:id="5"/>
      </w:r>
      <w:r w:rsidRPr="4A568D9A">
        <w:rPr>
          <w:rFonts w:ascii="Verdana" w:eastAsia="Calibri" w:hAnsi="Verdana" w:cs="Arial"/>
          <w:kern w:val="2"/>
          <w14:ligatures w14:val="standardContextual"/>
        </w:rPr>
        <w:t>.</w:t>
      </w:r>
    </w:p>
    <w:p w14:paraId="6C9CF79C" w14:textId="77777777" w:rsidR="005E17A1" w:rsidRPr="00153FC2" w:rsidRDefault="005E17A1" w:rsidP="005E17A1">
      <w:pPr>
        <w:snapToGrid w:val="0"/>
        <w:spacing w:after="0" w:line="276" w:lineRule="auto"/>
        <w:jc w:val="both"/>
        <w:rPr>
          <w:rFonts w:ascii="Verdana" w:eastAsia="Calibri" w:hAnsi="Verdana" w:cs="Arial"/>
          <w:kern w:val="2"/>
          <w:lang w:val="es-ES_tradnl"/>
          <w14:ligatures w14:val="standardContextual"/>
        </w:rPr>
      </w:pPr>
    </w:p>
    <w:p w14:paraId="5CD3FC41" w14:textId="40116AFF" w:rsidR="005E17A1" w:rsidRPr="00153FC2" w:rsidRDefault="005E17A1" w:rsidP="005E17A1">
      <w:pPr>
        <w:numPr>
          <w:ilvl w:val="0"/>
          <w:numId w:val="18"/>
        </w:numPr>
        <w:snapToGrid w:val="0"/>
        <w:spacing w:after="0" w:line="276" w:lineRule="auto"/>
        <w:jc w:val="both"/>
        <w:rPr>
          <w:rFonts w:ascii="Verdana" w:eastAsia="Calibri" w:hAnsi="Verdana" w:cs="Arial"/>
          <w:kern w:val="2"/>
          <w:lang w:val="es-ES"/>
          <w14:ligatures w14:val="standardContextual"/>
        </w:rPr>
      </w:pPr>
      <w:r w:rsidRPr="4A568D9A">
        <w:rPr>
          <w:rFonts w:ascii="Verdana" w:eastAsia="Calibri" w:hAnsi="Verdana" w:cs="Arial"/>
          <w:kern w:val="2"/>
          <w:lang w:val="es-ES"/>
          <w14:ligatures w14:val="standardContextual"/>
        </w:rPr>
        <w:t xml:space="preserve">Dada la especialidad de los contratos que se adelantan bajo esta modalidad de selección, que como ya se mencionó tienen la característica </w:t>
      </w:r>
      <w:r w:rsidRPr="4A568D9A">
        <w:rPr>
          <w:rFonts w:ascii="Verdana" w:eastAsia="Calibri" w:hAnsi="Verdana" w:cs="Arial"/>
          <w:kern w:val="2"/>
          <w:lang w:val="es-ES"/>
          <w14:ligatures w14:val="standardContextual"/>
        </w:rPr>
        <w:lastRenderedPageBreak/>
        <w:t>de estar relacionados con el intelecto, el saber académico o altos niveles de conocimiento</w:t>
      </w:r>
      <w:r w:rsidRPr="4A568D9A">
        <w:rPr>
          <w:rFonts w:ascii="Verdana" w:eastAsia="Aptos" w:hAnsi="Verdana" w:cs="Times New Roman"/>
          <w:kern w:val="2"/>
          <w:vertAlign w:val="superscript"/>
          <w:lang w:val="es-ES"/>
          <w14:ligatures w14:val="standardContextual"/>
        </w:rPr>
        <w:footnoteReference w:id="6"/>
      </w:r>
      <w:r w:rsidRPr="4A568D9A">
        <w:rPr>
          <w:rFonts w:ascii="Verdana" w:eastAsia="Calibri" w:hAnsi="Verdana" w:cs="Arial"/>
          <w:kern w:val="2"/>
          <w:lang w:val="es-ES"/>
          <w14:ligatures w14:val="standardContextual"/>
        </w:rPr>
        <w:t>, las entidades fijan en los pliegos de condiciones factores puntuables técnicos, y califican la experiencia específica del proponente y de su equipo de trabajo, o incluso utilizan un sistema de concurso abierto por medio de jurados calificados y organismos asesores.</w:t>
      </w:r>
    </w:p>
    <w:p w14:paraId="4B8128B2" w14:textId="77777777" w:rsidR="005E17A1" w:rsidRPr="00153FC2" w:rsidRDefault="005E17A1" w:rsidP="005E17A1">
      <w:pPr>
        <w:snapToGrid w:val="0"/>
        <w:spacing w:after="0" w:line="276" w:lineRule="auto"/>
        <w:jc w:val="both"/>
        <w:rPr>
          <w:rFonts w:ascii="Verdana" w:eastAsia="Calibri" w:hAnsi="Verdana" w:cs="Arial"/>
          <w:kern w:val="2"/>
          <w:lang w:val="es-ES_tradnl"/>
          <w14:ligatures w14:val="standardContextual"/>
        </w:rPr>
      </w:pPr>
    </w:p>
    <w:p w14:paraId="350321C3" w14:textId="77777777" w:rsidR="005E17A1" w:rsidRPr="00153FC2" w:rsidRDefault="005E17A1" w:rsidP="005E17A1">
      <w:pPr>
        <w:numPr>
          <w:ilvl w:val="0"/>
          <w:numId w:val="18"/>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Sobre el tema, el Consejo de Estado, ha indicado que los procedimientos de selección bajo la modalidad de concurso de méritos deben destacar las cualidades técnico-subjetivas de los proponentes, las cuales servirán de mérito para su selección, de la siguiente forma:</w:t>
      </w:r>
    </w:p>
    <w:p w14:paraId="5432FB4C" w14:textId="77777777" w:rsidR="005E17A1" w:rsidRPr="00153FC2" w:rsidRDefault="005E17A1" w:rsidP="005E17A1">
      <w:pPr>
        <w:snapToGrid w:val="0"/>
        <w:spacing w:after="0" w:line="276" w:lineRule="auto"/>
        <w:ind w:left="720"/>
        <w:jc w:val="both"/>
        <w:rPr>
          <w:rFonts w:ascii="Verdana" w:eastAsia="Calibri" w:hAnsi="Verdana" w:cs="Arial"/>
          <w:kern w:val="2"/>
          <w:lang w:val="es-ES_tradnl"/>
          <w14:ligatures w14:val="standardContextual"/>
        </w:rPr>
      </w:pPr>
    </w:p>
    <w:p w14:paraId="42DF7B0F"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
          <w14:ligatures w14:val="standardContextual"/>
        </w:rPr>
      </w:pPr>
      <w:r w:rsidRPr="00153FC2">
        <w:rPr>
          <w:rFonts w:ascii="Verdana" w:eastAsia="Aptos" w:hAnsi="Verdana" w:cs="Arial"/>
          <w:kern w:val="2"/>
          <w:sz w:val="21"/>
          <w:szCs w:val="21"/>
          <w:lang w:val="es-ES"/>
          <w14:ligatures w14:val="standardContextual"/>
        </w:rPr>
        <w:t xml:space="preserve">“En otros términos, es un medio de selección de la persona más idónea para ejecutar una prestación pública, de allí que se tenga en cuenta preferentemente las condiciones personales del candidato, v.gr., para proveer un cargo de profesor universitario, para realizar una maqueta de un monumento, proyecto o esbozo o bosquejo de obra, etc., y su aplicación primordial </w:t>
      </w:r>
      <w:bookmarkStart w:id="6" w:name="_Hlk133216965"/>
      <w:r w:rsidRPr="00153FC2">
        <w:rPr>
          <w:rFonts w:ascii="Verdana" w:eastAsia="Aptos" w:hAnsi="Verdana" w:cs="Arial"/>
          <w:kern w:val="2"/>
          <w:sz w:val="21"/>
          <w:szCs w:val="21"/>
          <w:lang w:val="es-ES"/>
          <w14:ligatures w14:val="standardContextual"/>
        </w:rPr>
        <w:t>sea a los contratos intuitu personae en que las cualidades técnico-subjetivas sirven de mérito para la selección</w:t>
      </w:r>
      <w:bookmarkEnd w:id="6"/>
      <w:r w:rsidRPr="00153FC2">
        <w:rPr>
          <w:rFonts w:ascii="Verdana" w:eastAsia="Aptos" w:hAnsi="Verdana" w:cs="Arial"/>
          <w:kern w:val="2"/>
          <w:sz w:val="21"/>
          <w:szCs w:val="21"/>
          <w:lang w:val="es-ES"/>
          <w14:ligatures w14:val="standardContextual"/>
        </w:rPr>
        <w:t>.</w:t>
      </w:r>
    </w:p>
    <w:p w14:paraId="1280D03C"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_tradnl"/>
          <w14:ligatures w14:val="standardContextual"/>
        </w:rPr>
      </w:pPr>
    </w:p>
    <w:p w14:paraId="72C142D8"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_tradnl"/>
          <w14:ligatures w14:val="standardContextual"/>
        </w:rPr>
      </w:pPr>
      <w:r w:rsidRPr="00153FC2">
        <w:rPr>
          <w:rFonts w:ascii="Verdana" w:eastAsia="Aptos" w:hAnsi="Verdana" w:cs="Arial"/>
          <w:kern w:val="2"/>
          <w:sz w:val="21"/>
          <w:szCs w:val="21"/>
          <w:lang w:val="es-ES_tradnl"/>
          <w14:ligatures w14:val="standardContextual"/>
        </w:rPr>
        <w:t>Como se observa, en este tipo de procedimiento el criterio para adjudicar difiere con respecto al de la licitación, porque a pesar de compartir muchos elementos con ésta, en el concurso de méritos las condiciones económicas de la propuesta no resultan tan decisivas al momento de la adjudicación, toda vez que al evaluar las mismas se atiende a factores tales como la idoneidad que pueda tener el contratista desde el punto de vista intelectual o técnico para ejecutar la labor materia del contrato y la propuesta económica pueda negociarse y modificarse, circunstancia que no sólo es extraña en un procedimiento licitatorio sino que está prohibida, ya que en principio el valor de la propuesta es inmodificable.”</w:t>
      </w:r>
      <w:r w:rsidRPr="00153FC2">
        <w:rPr>
          <w:rFonts w:ascii="Verdana" w:eastAsia="Aptos" w:hAnsi="Verdana" w:cs="Arial"/>
          <w:kern w:val="2"/>
          <w:sz w:val="21"/>
          <w:szCs w:val="21"/>
          <w:vertAlign w:val="superscript"/>
          <w:lang w:val="es-ES_tradnl"/>
          <w14:ligatures w14:val="standardContextual"/>
        </w:rPr>
        <w:footnoteReference w:id="7"/>
      </w:r>
    </w:p>
    <w:p w14:paraId="7B2E4962" w14:textId="77777777" w:rsidR="005E17A1" w:rsidRPr="00153FC2" w:rsidRDefault="005E17A1" w:rsidP="005E17A1">
      <w:pPr>
        <w:snapToGrid w:val="0"/>
        <w:spacing w:after="0" w:line="276" w:lineRule="auto"/>
        <w:ind w:left="720" w:right="709"/>
        <w:jc w:val="both"/>
        <w:rPr>
          <w:rFonts w:ascii="Verdana" w:eastAsia="Aptos" w:hAnsi="Verdana" w:cs="Arial"/>
          <w:kern w:val="2"/>
          <w:lang w:val="es-ES_tradnl"/>
          <w14:ligatures w14:val="standardContextual"/>
        </w:rPr>
      </w:pPr>
    </w:p>
    <w:p w14:paraId="39C22A9D" w14:textId="77777777" w:rsidR="005E17A1" w:rsidRPr="00153FC2" w:rsidRDefault="005E17A1" w:rsidP="005E17A1">
      <w:pPr>
        <w:numPr>
          <w:ilvl w:val="0"/>
          <w:numId w:val="18"/>
        </w:numPr>
        <w:snapToGrid w:val="0"/>
        <w:spacing w:after="0" w:line="276" w:lineRule="auto"/>
        <w:jc w:val="both"/>
        <w:rPr>
          <w:rFonts w:ascii="Verdana" w:eastAsia="Calibri" w:hAnsi="Verdana" w:cs="Arial"/>
          <w:kern w:val="2"/>
          <w:lang w:val="es-ES"/>
          <w14:ligatures w14:val="standardContextual"/>
        </w:rPr>
      </w:pPr>
      <w:r w:rsidRPr="00153FC2">
        <w:rPr>
          <w:rFonts w:ascii="Verdana" w:eastAsia="Calibri" w:hAnsi="Verdana" w:cs="Arial"/>
          <w:kern w:val="2"/>
          <w:lang w:val="es-ES"/>
          <w14:ligatures w14:val="standardContextual"/>
        </w:rPr>
        <w:t xml:space="preserve">Por tanto, el concurso de méritos, para efectos de la contratación pública, es una modalidad de selección del oferente que desarrollará el objeto contractual que la ley definió como causal de esta modalidad, lo cual está relacionado, principalmente, con conocimientos especializados. Asimismo, es importante precisar que esta es la modalidad de selección que estableció la Ley para contratar las consultorías.  </w:t>
      </w:r>
    </w:p>
    <w:p w14:paraId="68E9A62B" w14:textId="77777777" w:rsidR="005E17A1" w:rsidRPr="00153FC2" w:rsidRDefault="005E17A1" w:rsidP="005E17A1">
      <w:pPr>
        <w:snapToGrid w:val="0"/>
        <w:spacing w:after="0" w:line="276" w:lineRule="auto"/>
        <w:ind w:left="720"/>
        <w:jc w:val="both"/>
        <w:rPr>
          <w:rFonts w:ascii="Verdana" w:eastAsia="Calibri" w:hAnsi="Verdana" w:cs="Arial"/>
          <w:kern w:val="2"/>
          <w:lang w:val="es-ES"/>
          <w14:ligatures w14:val="standardContextual"/>
        </w:rPr>
      </w:pPr>
    </w:p>
    <w:p w14:paraId="6698B75B" w14:textId="77777777" w:rsidR="005E17A1" w:rsidRPr="00153FC2"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53FC2">
        <w:rPr>
          <w:rFonts w:ascii="Verdana" w:eastAsia="Calibri" w:hAnsi="Verdana" w:cs="Arial"/>
          <w:kern w:val="2"/>
          <w14:ligatures w14:val="standardContextual"/>
        </w:rPr>
        <w:t>Asi las cosas, lo que define al contrato de consultoría 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0BBF01F1" w14:textId="77777777" w:rsidR="005E17A1" w:rsidRPr="00153FC2" w:rsidRDefault="005E17A1" w:rsidP="005E17A1">
      <w:pPr>
        <w:pStyle w:val="Prrafodelista"/>
        <w:rPr>
          <w:rFonts w:ascii="Verdana" w:hAnsi="Verdana"/>
          <w:lang w:val="es-MX"/>
        </w:rPr>
      </w:pPr>
    </w:p>
    <w:p w14:paraId="39BA32E6" w14:textId="77777777" w:rsidR="005E17A1" w:rsidRPr="00153FC2"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53FC2">
        <w:rPr>
          <w:rFonts w:ascii="Verdana" w:hAnsi="Verdana"/>
          <w:lang w:val="es-MX"/>
        </w:rPr>
        <w:t>Ahora bien, en relación con los criterios de evaluación para la selección de consultores en el marco de un proceso de concurso de méritos, el artículo 2.2.1.1.2.2.3</w:t>
      </w:r>
      <w:r w:rsidRPr="00153FC2">
        <w:rPr>
          <w:rFonts w:ascii="Verdana" w:hAnsi="Verdana"/>
          <w:i/>
          <w:iCs/>
          <w:lang w:val="es-MX"/>
        </w:rPr>
        <w:t xml:space="preserve">. </w:t>
      </w:r>
      <w:r w:rsidRPr="00153FC2">
        <w:rPr>
          <w:rFonts w:ascii="Verdana" w:hAnsi="Verdana"/>
          <w:lang w:val="es-MX"/>
        </w:rPr>
        <w:t xml:space="preserve">del Decreto 1082 de 2015, establece que la entidad estatal puede </w:t>
      </w:r>
      <w:r w:rsidRPr="00153FC2">
        <w:rPr>
          <w:rFonts w:ascii="Verdana" w:hAnsi="Verdana"/>
        </w:rPr>
        <w:t xml:space="preserve">designar un comité evaluador para analizar las ofertas y las manifestaciones de interés para cada Proceso de Contratación por licitación, selección abreviada y </w:t>
      </w:r>
      <w:r w:rsidRPr="00153FC2">
        <w:rPr>
          <w:rFonts w:ascii="Verdana" w:hAnsi="Verdana"/>
          <w:b/>
          <w:bCs/>
        </w:rPr>
        <w:t>concurso de méritos</w:t>
      </w:r>
      <w:r w:rsidRPr="00153FC2">
        <w:rPr>
          <w:rFonts w:ascii="Verdana" w:hAnsi="Verdana"/>
          <w:lang w:val="es-MX"/>
        </w:rPr>
        <w:t xml:space="preserve">, ciñéndose exclusivamente a las reglas contenidas en los pliegos de condiciones. </w:t>
      </w:r>
    </w:p>
    <w:p w14:paraId="373F6BCF" w14:textId="77777777" w:rsidR="005E17A1" w:rsidRPr="007A3E3A"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53FC2">
        <w:rPr>
          <w:rFonts w:ascii="Verdana" w:eastAsia="Times New Roman" w:hAnsi="Verdana" w:cs="Arial"/>
          <w:color w:val="000000" w:themeColor="text1"/>
          <w:szCs w:val="24"/>
          <w:lang w:eastAsia="es-ES_tradnl"/>
        </w:rPr>
        <w:t xml:space="preserve">Es necesario tener en cuenta que, </w:t>
      </w:r>
      <w:r w:rsidRPr="00153FC2">
        <w:rPr>
          <w:rFonts w:ascii="Verdana" w:eastAsia="Times New Roman" w:hAnsi="Verdana" w:cs="Arial"/>
          <w:color w:val="000000" w:themeColor="text1"/>
          <w:szCs w:val="24"/>
          <w:lang w:val="es-ES_tradnl" w:eastAsia="es-ES_tradnl"/>
        </w:rPr>
        <w:t xml:space="preserve">en el concurso de méritos no se tiene en cuenta el precio como factor de evaluación, a diferencia del proceso de licitación pública y de las demás modalidades de selección de contratistas estatales. </w:t>
      </w:r>
      <w:r w:rsidRPr="00153FC2">
        <w:rPr>
          <w:rFonts w:ascii="Verdana" w:hAnsi="Verdana" w:cs="Arial"/>
          <w:color w:val="000000" w:themeColor="text1"/>
          <w:lang w:val="es-ES_tradnl"/>
        </w:rPr>
        <w:t>Por tanto, de conformidad con el inciso final del numeral 4 del artículo 5. de la Ley 1150 de 2007, la oferta económica no tiene injerencia en la escogencia del ofrecimiento más favorable. A partir de estas precisiones de orden normativo las entidades estatales podrán, en ejercicio de su discrecionalidad administrativa, establecer en los pliegos de condiciones métodos de asignación de puntaje, sin tener en cuenta el precio.</w:t>
      </w:r>
    </w:p>
    <w:p w14:paraId="4492BF4E" w14:textId="77777777" w:rsidR="007A3E3A" w:rsidRPr="00153FC2" w:rsidRDefault="007A3E3A" w:rsidP="007A3E3A">
      <w:pPr>
        <w:pStyle w:val="Prrafodelista"/>
        <w:snapToGrid w:val="0"/>
        <w:spacing w:after="0" w:line="276" w:lineRule="auto"/>
        <w:jc w:val="both"/>
        <w:rPr>
          <w:rFonts w:ascii="Verdana" w:eastAsia="Calibri" w:hAnsi="Verdana" w:cs="Arial"/>
          <w:kern w:val="2"/>
          <w14:ligatures w14:val="standardContextual"/>
        </w:rPr>
      </w:pPr>
    </w:p>
    <w:p w14:paraId="524F00F8" w14:textId="7C7477F1" w:rsidR="005E17A1" w:rsidRPr="00153FC2" w:rsidRDefault="005E17A1" w:rsidP="007A3E3A">
      <w:pPr>
        <w:pStyle w:val="Prrafodelista"/>
        <w:numPr>
          <w:ilvl w:val="0"/>
          <w:numId w:val="18"/>
        </w:numPr>
        <w:spacing w:before="120" w:line="276" w:lineRule="auto"/>
        <w:ind w:right="51"/>
        <w:jc w:val="both"/>
        <w:rPr>
          <w:rFonts w:ascii="Verdana" w:hAnsi="Verdana" w:cs="Arial"/>
          <w:bCs/>
          <w:color w:val="000000" w:themeColor="text1"/>
        </w:rPr>
      </w:pPr>
      <w:r w:rsidRPr="00153FC2">
        <w:rPr>
          <w:rFonts w:ascii="Verdana" w:hAnsi="Verdana" w:cs="Arial"/>
          <w:bCs/>
          <w:color w:val="000000" w:themeColor="text1"/>
        </w:rPr>
        <w:lastRenderedPageBreak/>
        <w:t>Así las cosas,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p>
    <w:p w14:paraId="3BE50522" w14:textId="77777777" w:rsidR="005E17A1" w:rsidRPr="00153FC2" w:rsidRDefault="005E17A1" w:rsidP="005E17A1">
      <w:pPr>
        <w:pStyle w:val="Prrafodelista"/>
        <w:spacing w:line="276" w:lineRule="auto"/>
        <w:ind w:right="49"/>
        <w:jc w:val="both"/>
        <w:rPr>
          <w:rFonts w:ascii="Verdana" w:eastAsia="Times New Roman" w:hAnsi="Verdana" w:cs="Arial"/>
        </w:rPr>
      </w:pPr>
    </w:p>
    <w:p w14:paraId="5C02B76D" w14:textId="77777777" w:rsidR="005E17A1" w:rsidRPr="00153FC2" w:rsidRDefault="005E17A1" w:rsidP="005E17A1">
      <w:pPr>
        <w:pStyle w:val="Prrafodelista"/>
        <w:numPr>
          <w:ilvl w:val="0"/>
          <w:numId w:val="18"/>
        </w:numPr>
        <w:spacing w:line="276" w:lineRule="auto"/>
        <w:ind w:right="49"/>
        <w:jc w:val="both"/>
        <w:rPr>
          <w:rFonts w:ascii="Verdana" w:eastAsia="Times New Roman" w:hAnsi="Verdana" w:cs="Arial"/>
        </w:rPr>
      </w:pPr>
      <w:r w:rsidRPr="00153FC2">
        <w:rPr>
          <w:rFonts w:ascii="Verdana" w:eastAsia="Calibri" w:hAnsi="Verdana" w:cs="Arial"/>
        </w:rPr>
        <w:t>De esta manera, 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De esta manera, se establecerá la aptitud para participar en el procedimiento de contratación.</w:t>
      </w:r>
    </w:p>
    <w:p w14:paraId="6F43B4C6" w14:textId="77777777" w:rsidR="005E17A1" w:rsidRPr="00153FC2" w:rsidRDefault="005E17A1" w:rsidP="005E17A1">
      <w:pPr>
        <w:spacing w:after="120" w:line="276" w:lineRule="auto"/>
        <w:ind w:firstLine="142"/>
        <w:jc w:val="both"/>
        <w:rPr>
          <w:rFonts w:ascii="Verdana" w:eastAsia="Century Gothic" w:hAnsi="Verdana" w:cs="Century Gothic"/>
          <w:b/>
          <w:bCs/>
        </w:rPr>
      </w:pPr>
      <w:r w:rsidRPr="00153FC2">
        <w:rPr>
          <w:rFonts w:ascii="Verdana" w:eastAsia="Century Gothic" w:hAnsi="Verdana" w:cs="Century Gothic"/>
          <w:b/>
          <w:bCs/>
        </w:rPr>
        <w:t>Referencias normativas, jurisprudenciales y otras fuentes:</w:t>
      </w:r>
    </w:p>
    <w:p w14:paraId="137B0A84" w14:textId="77777777" w:rsidR="005E17A1" w:rsidRPr="00153FC2" w:rsidRDefault="005E17A1" w:rsidP="005E17A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17A1" w:rsidRPr="00153FC2" w14:paraId="01219064" w14:textId="77777777" w:rsidTr="00735A6B">
        <w:trPr>
          <w:trHeight w:val="870"/>
        </w:trPr>
        <w:tc>
          <w:tcPr>
            <w:tcW w:w="8647" w:type="dxa"/>
          </w:tcPr>
          <w:p w14:paraId="724F23B8" w14:textId="77777777" w:rsidR="005E17A1" w:rsidRPr="00153FC2" w:rsidRDefault="005E17A1" w:rsidP="00735A6B">
            <w:pPr>
              <w:pStyle w:val="Prrafodelista"/>
              <w:jc w:val="both"/>
              <w:rPr>
                <w:rFonts w:ascii="Verdana" w:hAnsi="Verdana" w:cs="Arial"/>
              </w:rPr>
            </w:pPr>
          </w:p>
          <w:p w14:paraId="611A4BC5" w14:textId="77777777" w:rsidR="005E17A1" w:rsidRPr="00153FC2" w:rsidRDefault="005E17A1" w:rsidP="00735A6B">
            <w:pPr>
              <w:widowControl w:val="0"/>
              <w:numPr>
                <w:ilvl w:val="0"/>
                <w:numId w:val="17"/>
              </w:numPr>
              <w:autoSpaceDE w:val="0"/>
              <w:autoSpaceDN w:val="0"/>
              <w:spacing w:after="120" w:line="276" w:lineRule="auto"/>
              <w:jc w:val="both"/>
              <w:rPr>
                <w:rFonts w:ascii="Verdana" w:eastAsia="Calibri" w:hAnsi="Verdana" w:cs="Arial"/>
                <w:lang w:val="es-ES_tradnl"/>
              </w:rPr>
            </w:pPr>
            <w:r w:rsidRPr="00153FC2">
              <w:rPr>
                <w:rFonts w:ascii="Verdana" w:eastAsia="Calibri" w:hAnsi="Verdana" w:cs="Arial"/>
                <w:lang w:val="es-ES_tradnl"/>
              </w:rPr>
              <w:t>Ley 80 de 1993, artículo 32.</w:t>
            </w:r>
          </w:p>
          <w:p w14:paraId="48D99D35" w14:textId="77777777" w:rsidR="005E17A1" w:rsidRPr="00153FC2" w:rsidRDefault="005E17A1" w:rsidP="00735A6B">
            <w:pPr>
              <w:pStyle w:val="Prrafodelista"/>
              <w:numPr>
                <w:ilvl w:val="0"/>
                <w:numId w:val="17"/>
              </w:numPr>
              <w:spacing w:after="120" w:line="276" w:lineRule="auto"/>
              <w:ind w:right="709"/>
              <w:jc w:val="both"/>
              <w:rPr>
                <w:rFonts w:ascii="Verdana" w:hAnsi="Verdana" w:cs="Arial"/>
                <w:noProof/>
                <w:lang w:val="es-ES_tradnl"/>
              </w:rPr>
            </w:pPr>
            <w:r w:rsidRPr="00153FC2">
              <w:rPr>
                <w:rFonts w:ascii="Verdana" w:hAnsi="Verdana" w:cs="Arial"/>
                <w:noProof/>
                <w:lang w:val="es-ES_tradnl"/>
              </w:rPr>
              <w:t xml:space="preserve">Artículo 5 de la Ley 1150 de 2007, </w:t>
            </w:r>
            <w:bookmarkStart w:id="7" w:name="_Hlk176762543"/>
            <w:r w:rsidRPr="00153FC2">
              <w:rPr>
                <w:rFonts w:ascii="Verdana" w:hAnsi="Verdana" w:cs="Arial"/>
                <w:noProof/>
                <w:lang w:val="es-ES_tradnl"/>
              </w:rPr>
              <w:t>modificado por la Ley 1882 de 2018, parágrafos 1, 3 y 4</w:t>
            </w:r>
            <w:bookmarkEnd w:id="7"/>
            <w:r w:rsidRPr="00153FC2">
              <w:rPr>
                <w:rFonts w:ascii="Verdana" w:hAnsi="Verdana" w:cs="Arial"/>
                <w:noProof/>
                <w:lang w:val="es-ES_tradnl"/>
              </w:rPr>
              <w:t xml:space="preserve">. Disponible en: </w:t>
            </w:r>
            <w:hyperlink r:id="rId11" w:history="1">
              <w:r w:rsidRPr="00153FC2">
                <w:rPr>
                  <w:rStyle w:val="Hipervnculo"/>
                  <w:rFonts w:ascii="Verdana" w:hAnsi="Verdana" w:cs="Arial"/>
                  <w:noProof/>
                  <w:lang w:val="es-ES_tradnl"/>
                </w:rPr>
                <w:t>https://relatoria.colombiacompra.gov.co/normativa/ley-1882-de-2018/</w:t>
              </w:r>
            </w:hyperlink>
            <w:r w:rsidRPr="00153FC2">
              <w:rPr>
                <w:rFonts w:ascii="Verdana" w:hAnsi="Verdana" w:cs="Arial"/>
                <w:noProof/>
                <w:lang w:val="es-ES_tradnl"/>
              </w:rPr>
              <w:t xml:space="preserve"> </w:t>
            </w:r>
          </w:p>
          <w:p w14:paraId="5F70CF85" w14:textId="77777777" w:rsidR="005E17A1" w:rsidRPr="00153FC2" w:rsidRDefault="005E17A1" w:rsidP="00735A6B">
            <w:pPr>
              <w:pStyle w:val="Prrafodelista"/>
              <w:numPr>
                <w:ilvl w:val="0"/>
                <w:numId w:val="17"/>
              </w:numPr>
              <w:jc w:val="both"/>
              <w:rPr>
                <w:rStyle w:val="Hipervnculo"/>
                <w:rFonts w:ascii="Verdana" w:hAnsi="Verdana" w:cs="Arial"/>
                <w:color w:val="auto"/>
                <w:u w:val="none"/>
              </w:rPr>
            </w:pPr>
            <w:r w:rsidRPr="00153FC2">
              <w:rPr>
                <w:rFonts w:ascii="Verdana" w:eastAsia="Times New Roman" w:hAnsi="Verdana" w:cs="Arial"/>
                <w:lang w:val="es-ES_tradnl" w:eastAsia="es-ES_tradnl"/>
              </w:rPr>
              <w:t xml:space="preserve">Artículo 2.2.1.2.1.5.2 y </w:t>
            </w:r>
            <w:r w:rsidRPr="00153FC2">
              <w:rPr>
                <w:rFonts w:ascii="Verdana" w:eastAsia="Calibri" w:hAnsi="Verdana" w:cs="Arial"/>
              </w:rPr>
              <w:t xml:space="preserve">2.2.1.1.1.6.2 </w:t>
            </w:r>
            <w:r w:rsidRPr="00153FC2">
              <w:rPr>
                <w:rFonts w:ascii="Verdana" w:eastAsia="Times New Roman" w:hAnsi="Verdana" w:cs="Arial"/>
                <w:lang w:val="es-ES_tradnl" w:eastAsia="es-ES_tradnl"/>
              </w:rPr>
              <w:t xml:space="preserve">del Decreto 1082 de 2015 modificado por el artículo 2 Decreto 1860 de 2021. </w:t>
            </w:r>
            <w:r w:rsidRPr="00153FC2">
              <w:rPr>
                <w:rFonts w:ascii="Verdana" w:hAnsi="Verdana" w:cs="Arial"/>
                <w:noProof/>
                <w:lang w:val="es-ES_tradnl"/>
              </w:rPr>
              <w:t xml:space="preserve">Disponible en: </w:t>
            </w:r>
            <w:r w:rsidRPr="00153FC2">
              <w:rPr>
                <w:rFonts w:ascii="Verdana" w:eastAsia="Times New Roman" w:hAnsi="Verdana" w:cs="Arial"/>
                <w:lang w:val="es-ES_tradnl" w:eastAsia="es-ES_tradnl"/>
              </w:rPr>
              <w:t xml:space="preserve"> </w:t>
            </w:r>
            <w:hyperlink r:id="rId12" w:history="1">
              <w:r w:rsidRPr="00153FC2">
                <w:rPr>
                  <w:rStyle w:val="Hipervnculo"/>
                  <w:rFonts w:ascii="Verdana" w:eastAsia="Times New Roman" w:hAnsi="Verdana" w:cs="Arial"/>
                  <w:lang w:val="es-ES_tradnl" w:eastAsia="es-ES_tradnl"/>
                </w:rPr>
                <w:t>https://relatoria.colombiacompra.gov.co/normativa/decreto-  1860-de-2021/</w:t>
              </w:r>
            </w:hyperlink>
          </w:p>
          <w:p w14:paraId="05D61649" w14:textId="77777777" w:rsidR="005E17A1" w:rsidRPr="00153FC2" w:rsidRDefault="005E17A1" w:rsidP="00735A6B">
            <w:pPr>
              <w:widowControl w:val="0"/>
              <w:numPr>
                <w:ilvl w:val="0"/>
                <w:numId w:val="17"/>
              </w:numPr>
              <w:autoSpaceDE w:val="0"/>
              <w:autoSpaceDN w:val="0"/>
              <w:spacing w:after="120" w:line="276" w:lineRule="auto"/>
              <w:jc w:val="both"/>
              <w:rPr>
                <w:rFonts w:ascii="Verdana" w:hAnsi="Verdana" w:cs="Arial"/>
              </w:rPr>
            </w:pPr>
          </w:p>
        </w:tc>
      </w:tr>
    </w:tbl>
    <w:p w14:paraId="7FAD03B2" w14:textId="77777777" w:rsidR="005E17A1" w:rsidRPr="00153FC2" w:rsidRDefault="005E17A1" w:rsidP="005E17A1">
      <w:pPr>
        <w:widowControl w:val="0"/>
        <w:autoSpaceDE w:val="0"/>
        <w:autoSpaceDN w:val="0"/>
        <w:spacing w:after="0" w:line="276" w:lineRule="auto"/>
        <w:jc w:val="both"/>
        <w:rPr>
          <w:rFonts w:ascii="Verdana" w:hAnsi="Verdana" w:cs="Arial"/>
        </w:rPr>
      </w:pPr>
    </w:p>
    <w:p w14:paraId="2B73CCC9"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t>Doctrina de la Agencia Nacional de Contratación Pública:</w:t>
      </w:r>
    </w:p>
    <w:p w14:paraId="14840979" w14:textId="77777777" w:rsidR="005E17A1" w:rsidRPr="00153FC2" w:rsidRDefault="005E17A1" w:rsidP="005E17A1">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286C2141"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r w:rsidRPr="00153FC2">
        <w:rPr>
          <w:rStyle w:val="normaltextrun"/>
          <w:rFonts w:ascii="Verdana" w:hAnsi="Verdana" w:cs="Arial"/>
          <w:shd w:val="clear" w:color="auto" w:fill="FFFFFF"/>
          <w:lang w:val="es-ES"/>
        </w:rPr>
        <w:t>Esta Subdirección se ha pronunciado s</w:t>
      </w:r>
      <w:r w:rsidRPr="00153FC2">
        <w:rPr>
          <w:rFonts w:ascii="Verdana" w:eastAsia="Aptos" w:hAnsi="Verdana" w:cs="Arial"/>
          <w:shd w:val="clear" w:color="auto" w:fill="FFFFFF"/>
        </w:rPr>
        <w:t xml:space="preserve">obre los requisitos habilitantes en los procesos de contratación pública, en los Conceptos </w:t>
      </w:r>
      <w:r w:rsidRPr="00153FC2">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153FC2">
        <w:rPr>
          <w:rFonts w:ascii="Verdana" w:eastAsia="Aptos" w:hAnsi="Verdana" w:cs="Arial"/>
          <w:shd w:val="clear" w:color="auto" w:fill="FFFFFF"/>
        </w:rPr>
        <w:t xml:space="preserve">C-246 del 16 de julio de 2024, C-277 del 16 de julio de </w:t>
      </w:r>
      <w:r w:rsidRPr="00153FC2">
        <w:rPr>
          <w:rFonts w:ascii="Verdana" w:eastAsia="Aptos" w:hAnsi="Verdana" w:cs="Arial"/>
          <w:shd w:val="clear" w:color="auto" w:fill="FFFFFF"/>
        </w:rPr>
        <w:lastRenderedPageBreak/>
        <w:t>2024, C-193 del 19 de julio de 2024, C-178 del 29 de julio de 2024, C-204 del 29 de julio de 2024, C-278 del 31 de julio de 2024, C-201 del 02 de agosto de 2024, C-349 del 15 de agosto de 2024, C-291 del 20 de agosto de 2024</w:t>
      </w:r>
      <w:r w:rsidRPr="00153FC2">
        <w:rPr>
          <w:rFonts w:ascii="Verdana" w:eastAsia="Calibri" w:hAnsi="Verdana" w:cs="Arial"/>
          <w:lang w:eastAsia="es-ES"/>
        </w:rPr>
        <w:t xml:space="preserve"> y C-370 del 03 de septiembre de 2024.</w:t>
      </w:r>
    </w:p>
    <w:p w14:paraId="57447A3A"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p>
    <w:p w14:paraId="7911E513"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r w:rsidRPr="00153FC2">
        <w:rPr>
          <w:rFonts w:ascii="Verdana" w:eastAsia="Calibri" w:hAnsi="Verdana" w:cs="Arial"/>
          <w:shd w:val="clear" w:color="auto" w:fill="FFFFFF"/>
          <w:lang w:val="es-ES_tradnl"/>
        </w:rPr>
        <w:t>También, esta Agencia se</w:t>
      </w:r>
      <w:r w:rsidRPr="00153FC2">
        <w:rPr>
          <w:rFonts w:ascii="Verdana" w:eastAsia="Aptos" w:hAnsi="Verdana" w:cs="Times New Roman"/>
          <w:kern w:val="2"/>
          <w:sz w:val="24"/>
          <w:szCs w:val="24"/>
          <w:lang w:val="es-ES_tradnl"/>
          <w14:ligatures w14:val="standardContextual"/>
        </w:rPr>
        <w:t xml:space="preserve"> </w:t>
      </w:r>
      <w:r w:rsidRPr="00153FC2">
        <w:rPr>
          <w:rFonts w:ascii="Verdana" w:eastAsia="Calibri" w:hAnsi="Verdana" w:cs="Arial"/>
          <w:shd w:val="clear" w:color="auto" w:fill="FFFFFF"/>
          <w:lang w:val="es-ES_tradnl"/>
        </w:rPr>
        <w:t>pronunció sobre la modalidad de selección de concurso de méritos, en los conceptos C-124 del 25 de marzo de 2020, C-227 del 7 de abril de 2020, C-406 y C-477 del 13 de julio de 2020, C-612 del 2 de octubre de 2020, C-702 del 11 de diciembre de 2020, C-761 del 5 de enero de 2021, C- 297 del 17 de junio de 2021, C-339 del 14 de junio de 2021, C-367 del 26 de julio de 2021 y C-408 del 13 de agosto de 2021, C- 707 del 17 de enero de 2022, C-739 del 2 de febrero de 2022, C-043 del 1 de marzo de 2022, C- 052 del 3 de marzo de 2022, C-165 del 6 de abril de 2022, C-629 del 26 de septiembre de 2022, C-965 de 17 de enero de 2023, C-070 del 24 de abril de 2023 y C-229 del 09 de agosto de 2024.</w:t>
      </w:r>
    </w:p>
    <w:p w14:paraId="3E8DFA38"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p>
    <w:p w14:paraId="67C51AF8" w14:textId="77777777" w:rsidR="005E17A1" w:rsidRPr="00153FC2" w:rsidRDefault="005E17A1" w:rsidP="005E17A1">
      <w:pPr>
        <w:widowControl w:val="0"/>
        <w:autoSpaceDE w:val="0"/>
        <w:autoSpaceDN w:val="0"/>
        <w:spacing w:after="0" w:line="276" w:lineRule="auto"/>
        <w:jc w:val="both"/>
        <w:rPr>
          <w:rFonts w:ascii="Verdana" w:hAnsi="Verdana" w:cs="Arial"/>
          <w:color w:val="000000" w:themeColor="text1"/>
          <w:shd w:val="clear" w:color="auto" w:fill="FFFFFF"/>
        </w:rPr>
      </w:pPr>
    </w:p>
    <w:p w14:paraId="0FA89A20"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Por último, lo invitamos a seguirnos en las redes sociales en las cuales se difunde información institucional: </w:t>
      </w:r>
    </w:p>
    <w:p w14:paraId="522D8508" w14:textId="77777777" w:rsidR="005E17A1" w:rsidRPr="00153FC2" w:rsidRDefault="005E17A1" w:rsidP="005E17A1">
      <w:pPr>
        <w:spacing w:after="0" w:line="240" w:lineRule="auto"/>
        <w:jc w:val="both"/>
        <w:rPr>
          <w:rFonts w:ascii="Verdana" w:hAnsi="Verdana"/>
        </w:rPr>
      </w:pPr>
    </w:p>
    <w:p w14:paraId="375561B8"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Twitter: </w:t>
      </w:r>
      <w:r w:rsidRPr="00153FC2">
        <w:rPr>
          <w:rStyle w:val="Hipervnculo"/>
          <w:rFonts w:ascii="Verdana" w:hAnsi="Verdana"/>
          <w:color w:val="4472C4" w:themeColor="accent1"/>
        </w:rPr>
        <w:t>@colombiacompra</w:t>
      </w:r>
      <w:r w:rsidRPr="00153FC2">
        <w:rPr>
          <w:rFonts w:ascii="Verdana" w:hAnsi="Verdana"/>
          <w:color w:val="4472C4" w:themeColor="accent1"/>
        </w:rPr>
        <w:t xml:space="preserve"> </w:t>
      </w:r>
    </w:p>
    <w:p w14:paraId="61929334"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Facebook: </w:t>
      </w:r>
      <w:r w:rsidRPr="00153FC2">
        <w:rPr>
          <w:rStyle w:val="Hipervnculo"/>
          <w:rFonts w:ascii="Verdana" w:hAnsi="Verdana"/>
          <w:color w:val="4472C4" w:themeColor="accent1"/>
        </w:rPr>
        <w:t>ColombiaCompraEficiente</w:t>
      </w:r>
    </w:p>
    <w:p w14:paraId="4F26170B"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LinkedIn: </w:t>
      </w:r>
      <w:r w:rsidRPr="00153FC2">
        <w:rPr>
          <w:rStyle w:val="Hipervnculo"/>
          <w:rFonts w:ascii="Verdana" w:hAnsi="Verdana"/>
          <w:color w:val="4472C4" w:themeColor="accent1"/>
        </w:rPr>
        <w:t>Agencia Nacional de Contratación Pública - Colombia Compra Eficiente</w:t>
      </w:r>
      <w:r w:rsidRPr="00153FC2">
        <w:rPr>
          <w:rFonts w:ascii="Verdana" w:hAnsi="Verdana"/>
          <w:color w:val="4472C4" w:themeColor="accent1"/>
        </w:rPr>
        <w:t xml:space="preserve"> </w:t>
      </w:r>
      <w:r w:rsidRPr="00153FC2">
        <w:rPr>
          <w:rFonts w:ascii="Verdana" w:hAnsi="Verdana"/>
        </w:rPr>
        <w:t xml:space="preserve">Instagram: </w:t>
      </w:r>
      <w:r w:rsidRPr="00153FC2">
        <w:rPr>
          <w:rStyle w:val="Hipervnculo"/>
          <w:rFonts w:ascii="Verdana" w:hAnsi="Verdana"/>
          <w:color w:val="4472C4" w:themeColor="accent1"/>
        </w:rPr>
        <w:t>@colombiacompraeficiente_cce</w:t>
      </w:r>
    </w:p>
    <w:p w14:paraId="034EE315" w14:textId="77777777" w:rsidR="005E17A1" w:rsidRPr="00153FC2" w:rsidRDefault="005E17A1" w:rsidP="005E17A1">
      <w:pPr>
        <w:widowControl w:val="0"/>
        <w:autoSpaceDE w:val="0"/>
        <w:autoSpaceDN w:val="0"/>
        <w:spacing w:after="0" w:line="276" w:lineRule="auto"/>
        <w:jc w:val="both"/>
        <w:rPr>
          <w:rFonts w:ascii="Verdana" w:hAnsi="Verdana" w:cs="Arial"/>
        </w:rPr>
      </w:pPr>
    </w:p>
    <w:p w14:paraId="046A4731" w14:textId="77777777" w:rsidR="005E17A1" w:rsidRPr="00153FC2" w:rsidRDefault="005E17A1" w:rsidP="005E17A1">
      <w:pPr>
        <w:widowControl w:val="0"/>
        <w:autoSpaceDE w:val="0"/>
        <w:autoSpaceDN w:val="0"/>
        <w:spacing w:after="0" w:line="276" w:lineRule="auto"/>
        <w:jc w:val="both"/>
        <w:rPr>
          <w:rFonts w:ascii="Verdana" w:hAnsi="Verdana" w:cs="Arial"/>
          <w:lang w:val="es-ES_tradnl"/>
        </w:rPr>
      </w:pPr>
      <w:r w:rsidRPr="00153FC2">
        <w:rPr>
          <w:rFonts w:ascii="Verdana" w:hAnsi="Verdana" w:cs="Arial"/>
        </w:rPr>
        <w:t xml:space="preserve">Este concepto tiene el alcance previsto en el artículo 28 del Código de Procedimiento Administrativo y de lo Contencioso Administrativo </w:t>
      </w:r>
      <w:r w:rsidRPr="00153FC2">
        <w:rPr>
          <w:rFonts w:ascii="Verdana" w:hAnsi="Verdana" w:cs="Arial"/>
          <w:lang w:val="es-ES_tradnl"/>
        </w:rPr>
        <w:t>y las expresiones aquí utilizadas con mayúscula inicial deben ser entendidas con el significado que les otorga el artículo 2.2.1.1.1.3.1. del Decreto 1082 de 2015.</w:t>
      </w:r>
    </w:p>
    <w:p w14:paraId="7C39DCDF" w14:textId="77777777" w:rsidR="005E17A1" w:rsidRPr="00153FC2" w:rsidRDefault="005E17A1" w:rsidP="005E17A1">
      <w:pPr>
        <w:widowControl w:val="0"/>
        <w:autoSpaceDE w:val="0"/>
        <w:autoSpaceDN w:val="0"/>
        <w:spacing w:after="0" w:line="276" w:lineRule="auto"/>
        <w:jc w:val="both"/>
        <w:rPr>
          <w:rFonts w:ascii="Verdana" w:hAnsi="Verdana" w:cs="Arial"/>
        </w:rPr>
      </w:pPr>
    </w:p>
    <w:p w14:paraId="52DB3F14" w14:textId="77777777" w:rsidR="005E17A1" w:rsidRPr="00153FC2" w:rsidRDefault="005E17A1" w:rsidP="005E17A1">
      <w:pPr>
        <w:spacing w:after="0" w:line="240" w:lineRule="auto"/>
        <w:rPr>
          <w:rFonts w:ascii="Verdana" w:hAnsi="Verdana" w:cs="Arial"/>
          <w:lang w:eastAsia="es-CO"/>
        </w:rPr>
      </w:pPr>
      <w:r w:rsidRPr="00153FC2">
        <w:rPr>
          <w:rFonts w:ascii="Verdana" w:eastAsia="Times New Roman" w:hAnsi="Verdana" w:cs="Arial"/>
          <w:lang w:eastAsia="es-CO"/>
        </w:rPr>
        <w:t>Atentamente,</w:t>
      </w:r>
      <w:r w:rsidRPr="00153FC2">
        <w:rPr>
          <w:rFonts w:ascii="Verdana" w:hAnsi="Verdana" w:cs="Arial"/>
          <w:lang w:eastAsia="es-CO"/>
        </w:rPr>
        <w:t xml:space="preserve"> </w:t>
      </w:r>
    </w:p>
    <w:p w14:paraId="400FB85C" w14:textId="77777777" w:rsidR="005E17A1" w:rsidRPr="00153FC2" w:rsidRDefault="005E17A1" w:rsidP="005E17A1">
      <w:pPr>
        <w:spacing w:line="276" w:lineRule="auto"/>
        <w:jc w:val="center"/>
        <w:rPr>
          <w:rFonts w:ascii="Verdana" w:hAnsi="Verdana"/>
          <w:noProof/>
        </w:rPr>
      </w:pPr>
    </w:p>
    <w:p w14:paraId="36206FF3" w14:textId="53DF43B7" w:rsidR="005E17A1" w:rsidRPr="00153FC2" w:rsidRDefault="00081802" w:rsidP="005E17A1">
      <w:pPr>
        <w:spacing w:after="0" w:line="276" w:lineRule="auto"/>
        <w:jc w:val="center"/>
        <w:rPr>
          <w:rFonts w:ascii="Verdana" w:hAnsi="Verdana"/>
          <w:lang w:val="es-ES_tradnl"/>
        </w:rPr>
      </w:pPr>
      <w:r w:rsidRPr="002C3AD6">
        <w:rPr>
          <w:rFonts w:ascii="Century Gothic" w:hAnsi="Century Gothic"/>
          <w:noProof/>
        </w:rPr>
        <w:lastRenderedPageBreak/>
        <w:drawing>
          <wp:inline distT="0" distB="0" distL="0" distR="0" wp14:anchorId="3735935B" wp14:editId="1D62D5A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15737E8B" w14:textId="77777777" w:rsidR="005E17A1" w:rsidRPr="00153FC2" w:rsidRDefault="005E17A1" w:rsidP="005E17A1">
      <w:pPr>
        <w:spacing w:after="0" w:line="276" w:lineRule="auto"/>
        <w:jc w:val="center"/>
        <w:rPr>
          <w:rFonts w:ascii="Verdana" w:hAnsi="Verdana"/>
          <w:lang w:val="es-ES_tradnl"/>
        </w:rPr>
      </w:pPr>
    </w:p>
    <w:p w14:paraId="0ACA55FE" w14:textId="77777777" w:rsidR="005E17A1" w:rsidRPr="00153FC2" w:rsidRDefault="005E17A1" w:rsidP="005E17A1">
      <w:pPr>
        <w:spacing w:after="0" w:line="240" w:lineRule="auto"/>
        <w:jc w:val="center"/>
        <w:rPr>
          <w:rFonts w:ascii="Verdana" w:hAnsi="Verdana"/>
          <w:lang w:val="es-ES_tradnl"/>
        </w:rPr>
      </w:pPr>
    </w:p>
    <w:tbl>
      <w:tblPr>
        <w:tblW w:w="6521" w:type="dxa"/>
        <w:tblLook w:val="04A0" w:firstRow="1" w:lastRow="0" w:firstColumn="1" w:lastColumn="0" w:noHBand="0" w:noVBand="1"/>
      </w:tblPr>
      <w:tblGrid>
        <w:gridCol w:w="893"/>
        <w:gridCol w:w="5628"/>
      </w:tblGrid>
      <w:tr w:rsidR="005E17A1" w:rsidRPr="00153FC2" w14:paraId="2DB72A78" w14:textId="77777777" w:rsidTr="00735A6B">
        <w:trPr>
          <w:trHeight w:val="315"/>
        </w:trPr>
        <w:tc>
          <w:tcPr>
            <w:tcW w:w="893" w:type="dxa"/>
            <w:vAlign w:val="center"/>
            <w:hideMark/>
          </w:tcPr>
          <w:p w14:paraId="0F51AD4B" w14:textId="77777777" w:rsidR="005E17A1" w:rsidRPr="00153FC2" w:rsidRDefault="005E17A1" w:rsidP="00735A6B">
            <w:pPr>
              <w:spacing w:after="255" w:line="240" w:lineRule="auto"/>
              <w:contextualSpacing/>
              <w:rPr>
                <w:rFonts w:ascii="Verdana" w:hAnsi="Verdana" w:cs="Arial"/>
                <w:sz w:val="16"/>
                <w:szCs w:val="16"/>
                <w:lang w:val="es-ES" w:eastAsia="es-ES"/>
              </w:rPr>
            </w:pPr>
            <w:r w:rsidRPr="00153FC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71DCAE" w14:textId="77777777" w:rsidR="005E17A1" w:rsidRPr="00153FC2" w:rsidRDefault="005E17A1" w:rsidP="00735A6B">
            <w:pPr>
              <w:spacing w:after="0" w:line="240" w:lineRule="auto"/>
              <w:jc w:val="both"/>
              <w:rPr>
                <w:rFonts w:ascii="Verdana" w:hAnsi="Verdana"/>
                <w:sz w:val="16"/>
                <w:szCs w:val="16"/>
              </w:rPr>
            </w:pPr>
            <w:r>
              <w:rPr>
                <w:rFonts w:ascii="Verdana" w:hAnsi="Verdana"/>
                <w:sz w:val="16"/>
                <w:szCs w:val="16"/>
              </w:rPr>
              <w:t xml:space="preserve">Diana </w:t>
            </w:r>
            <w:r w:rsidRPr="00153FC2">
              <w:rPr>
                <w:rFonts w:ascii="Verdana" w:hAnsi="Verdana"/>
                <w:sz w:val="16"/>
                <w:szCs w:val="16"/>
              </w:rPr>
              <w:t xml:space="preserve">Carolina Blanco Rodriguez </w:t>
            </w:r>
          </w:p>
          <w:p w14:paraId="6A2BCF28" w14:textId="77777777" w:rsidR="005E17A1" w:rsidRPr="00153FC2" w:rsidRDefault="005E17A1" w:rsidP="00735A6B">
            <w:pPr>
              <w:spacing w:after="0" w:line="240" w:lineRule="auto"/>
              <w:jc w:val="both"/>
              <w:rPr>
                <w:rFonts w:ascii="Verdana" w:eastAsia="Arial" w:hAnsi="Verdana" w:cs="Arial"/>
                <w:sz w:val="16"/>
                <w:szCs w:val="16"/>
              </w:rPr>
            </w:pPr>
            <w:r w:rsidRPr="00153FC2">
              <w:rPr>
                <w:rStyle w:val="normaltextrun"/>
                <w:rFonts w:ascii="Verdana" w:eastAsia="Arial" w:hAnsi="Verdana" w:cs="Arial"/>
                <w:sz w:val="16"/>
                <w:szCs w:val="16"/>
              </w:rPr>
              <w:t>C</w:t>
            </w:r>
            <w:r w:rsidRPr="00153FC2">
              <w:rPr>
                <w:rStyle w:val="normaltextrun"/>
                <w:rFonts w:ascii="Verdana" w:eastAsia="Arial" w:hAnsi="Verdana"/>
                <w:sz w:val="16"/>
                <w:szCs w:val="16"/>
              </w:rPr>
              <w:t>ontratista d</w:t>
            </w:r>
            <w:r w:rsidRPr="00153FC2">
              <w:rPr>
                <w:rStyle w:val="normaltextrun"/>
                <w:rFonts w:ascii="Verdana" w:eastAsia="Arial" w:hAnsi="Verdana" w:cs="Arial"/>
                <w:sz w:val="16"/>
                <w:szCs w:val="16"/>
              </w:rPr>
              <w:t>e la Subdirección de Gestión Contractual</w:t>
            </w:r>
          </w:p>
        </w:tc>
      </w:tr>
      <w:tr w:rsidR="005E17A1" w:rsidRPr="00153FC2" w14:paraId="5A74F277" w14:textId="77777777" w:rsidTr="00735A6B">
        <w:trPr>
          <w:trHeight w:val="330"/>
        </w:trPr>
        <w:tc>
          <w:tcPr>
            <w:tcW w:w="893" w:type="dxa"/>
            <w:vAlign w:val="center"/>
            <w:hideMark/>
          </w:tcPr>
          <w:p w14:paraId="66E4F783" w14:textId="77777777" w:rsidR="005E17A1" w:rsidRPr="00153FC2" w:rsidRDefault="005E17A1" w:rsidP="00735A6B">
            <w:pPr>
              <w:spacing w:after="255"/>
              <w:contextualSpacing/>
              <w:rPr>
                <w:rFonts w:ascii="Verdana" w:hAnsi="Verdana" w:cs="Arial"/>
                <w:sz w:val="16"/>
                <w:szCs w:val="16"/>
                <w:lang w:val="es-ES" w:eastAsia="es-ES"/>
              </w:rPr>
            </w:pPr>
            <w:r w:rsidRPr="00153FC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F84616" w14:textId="77777777" w:rsidR="005E17A1" w:rsidRPr="00153FC2" w:rsidRDefault="005E17A1" w:rsidP="00735A6B">
            <w:pPr>
              <w:pStyle w:val="paragraph"/>
              <w:spacing w:before="0" w:beforeAutospacing="0" w:after="0" w:afterAutospacing="0"/>
              <w:contextualSpacing/>
              <w:textAlignment w:val="baseline"/>
              <w:rPr>
                <w:rFonts w:ascii="Verdana" w:hAnsi="Verdana" w:cs="Segoe UI"/>
                <w:sz w:val="16"/>
                <w:szCs w:val="16"/>
                <w:lang w:eastAsia="es-ES_tradnl"/>
              </w:rPr>
            </w:pPr>
            <w:r w:rsidRPr="00153FC2">
              <w:rPr>
                <w:rFonts w:ascii="Verdana" w:hAnsi="Verdana" w:cs="Segoe UI"/>
                <w:sz w:val="16"/>
                <w:szCs w:val="16"/>
              </w:rPr>
              <w:t xml:space="preserve">Juan Carlos González Vásquez </w:t>
            </w:r>
          </w:p>
          <w:p w14:paraId="67A5B09A" w14:textId="77777777" w:rsidR="005E17A1" w:rsidRPr="00153FC2" w:rsidRDefault="005E17A1" w:rsidP="00735A6B">
            <w:pPr>
              <w:pStyle w:val="paragraph"/>
              <w:spacing w:before="0" w:beforeAutospacing="0" w:after="0" w:afterAutospacing="0"/>
              <w:contextualSpacing/>
              <w:textAlignment w:val="baseline"/>
              <w:rPr>
                <w:rFonts w:ascii="Verdana" w:hAnsi="Verdana" w:cs="Segoe UI"/>
                <w:sz w:val="16"/>
                <w:szCs w:val="16"/>
              </w:rPr>
            </w:pPr>
            <w:r w:rsidRPr="00153FC2">
              <w:rPr>
                <w:rStyle w:val="normaltextrun"/>
                <w:rFonts w:ascii="Verdana" w:hAnsi="Verdana" w:cs="Arial"/>
                <w:sz w:val="16"/>
                <w:szCs w:val="16"/>
                <w:lang w:val="es-ES"/>
              </w:rPr>
              <w:t>Contratista de la Subdirección de Gestión Contractual</w:t>
            </w:r>
            <w:r w:rsidRPr="00153FC2">
              <w:rPr>
                <w:rStyle w:val="eop"/>
                <w:rFonts w:ascii="Verdana" w:hAnsi="Verdana" w:cs="Arial"/>
                <w:sz w:val="16"/>
                <w:szCs w:val="16"/>
              </w:rPr>
              <w:t> </w:t>
            </w:r>
          </w:p>
        </w:tc>
      </w:tr>
      <w:tr w:rsidR="005E17A1" w:rsidRPr="00153FC2" w14:paraId="1A0170A4" w14:textId="77777777" w:rsidTr="00735A6B">
        <w:trPr>
          <w:trHeight w:val="300"/>
        </w:trPr>
        <w:tc>
          <w:tcPr>
            <w:tcW w:w="893" w:type="dxa"/>
            <w:vAlign w:val="center"/>
            <w:hideMark/>
          </w:tcPr>
          <w:p w14:paraId="538695FF" w14:textId="77777777" w:rsidR="005E17A1" w:rsidRPr="00153FC2" w:rsidRDefault="005E17A1" w:rsidP="00735A6B">
            <w:pPr>
              <w:spacing w:after="255"/>
              <w:contextualSpacing/>
              <w:rPr>
                <w:rFonts w:ascii="Verdana" w:hAnsi="Verdana" w:cs="Arial"/>
                <w:sz w:val="16"/>
                <w:szCs w:val="16"/>
                <w:lang w:val="es-ES" w:eastAsia="es-ES"/>
              </w:rPr>
            </w:pPr>
            <w:r w:rsidRPr="00153FC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353E83" w14:textId="77777777" w:rsidR="005E17A1" w:rsidRPr="00153FC2" w:rsidRDefault="005E17A1" w:rsidP="00735A6B">
            <w:pPr>
              <w:spacing w:after="255"/>
              <w:contextualSpacing/>
              <w:rPr>
                <w:rFonts w:ascii="Verdana" w:eastAsia="Calibri" w:hAnsi="Verdana" w:cs="Arial"/>
                <w:sz w:val="16"/>
                <w:szCs w:val="16"/>
                <w:lang w:val="pt-BR" w:eastAsia="es-ES"/>
              </w:rPr>
            </w:pPr>
            <w:r w:rsidRPr="00153FC2">
              <w:rPr>
                <w:rFonts w:ascii="Verdana" w:eastAsia="Calibri" w:hAnsi="Verdana" w:cs="Arial"/>
                <w:sz w:val="16"/>
                <w:szCs w:val="16"/>
                <w:lang w:val="pt-BR" w:eastAsia="es-ES"/>
              </w:rPr>
              <w:t>Carolina Quintero Gacharná</w:t>
            </w:r>
          </w:p>
          <w:p w14:paraId="2EAC107E" w14:textId="77777777" w:rsidR="005E17A1" w:rsidRPr="00153FC2" w:rsidRDefault="005E17A1" w:rsidP="00735A6B">
            <w:pPr>
              <w:spacing w:after="255"/>
              <w:contextualSpacing/>
              <w:rPr>
                <w:rFonts w:ascii="Verdana" w:eastAsia="Calibri" w:hAnsi="Verdana" w:cs="Arial"/>
                <w:sz w:val="16"/>
                <w:szCs w:val="16"/>
                <w:lang w:val="pt-BR" w:eastAsia="es-ES"/>
              </w:rPr>
            </w:pPr>
            <w:r w:rsidRPr="00153FC2">
              <w:rPr>
                <w:rFonts w:ascii="Verdana" w:eastAsia="Calibri" w:hAnsi="Verdana" w:cs="Arial"/>
                <w:sz w:val="16"/>
                <w:szCs w:val="16"/>
                <w:lang w:eastAsia="es-ES"/>
              </w:rPr>
              <w:t>Subdirectora</w:t>
            </w:r>
            <w:r w:rsidRPr="00153FC2">
              <w:rPr>
                <w:rFonts w:ascii="Verdana" w:eastAsia="Calibri" w:hAnsi="Verdana" w:cs="Arial"/>
                <w:sz w:val="16"/>
                <w:szCs w:val="16"/>
                <w:lang w:val="pt-BR" w:eastAsia="es-ES"/>
              </w:rPr>
              <w:t xml:space="preserve"> de Gestión Contractual ANCP – CCE</w:t>
            </w:r>
          </w:p>
        </w:tc>
      </w:tr>
    </w:tbl>
    <w:p w14:paraId="444B0644" w14:textId="77777777" w:rsidR="005E17A1" w:rsidRPr="00153FC2" w:rsidRDefault="005E17A1" w:rsidP="005E17A1">
      <w:pPr>
        <w:spacing w:after="0"/>
        <w:jc w:val="both"/>
        <w:rPr>
          <w:rFonts w:ascii="Verdana" w:hAnsi="Verdana"/>
          <w:color w:val="0000FF"/>
          <w:u w:val="single"/>
        </w:rPr>
      </w:pPr>
    </w:p>
    <w:p w14:paraId="0D3C2B82" w14:textId="77777777" w:rsidR="005E17A1" w:rsidRPr="00153FC2" w:rsidRDefault="005E17A1" w:rsidP="005E17A1">
      <w:pPr>
        <w:spacing w:after="0"/>
        <w:jc w:val="both"/>
        <w:rPr>
          <w:rFonts w:ascii="Verdana" w:hAnsi="Verdana"/>
          <w:color w:val="0000FF"/>
          <w:u w:val="single"/>
        </w:rPr>
      </w:pPr>
    </w:p>
    <w:p w14:paraId="585DD4AB" w14:textId="77777777" w:rsidR="005E17A1" w:rsidRPr="00153FC2" w:rsidRDefault="005E17A1" w:rsidP="005E17A1">
      <w:pPr>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FD8CF" w14:textId="77777777" w:rsidR="008C4300" w:rsidRDefault="008C4300" w:rsidP="004A1847">
      <w:pPr>
        <w:spacing w:after="0" w:line="240" w:lineRule="auto"/>
      </w:pPr>
      <w:r>
        <w:separator/>
      </w:r>
    </w:p>
  </w:endnote>
  <w:endnote w:type="continuationSeparator" w:id="0">
    <w:p w14:paraId="02079A68" w14:textId="77777777" w:rsidR="008C4300" w:rsidRDefault="008C430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2C96A" w14:textId="77777777" w:rsidR="008C4300" w:rsidRDefault="008C4300" w:rsidP="004A1847">
      <w:pPr>
        <w:spacing w:after="0" w:line="240" w:lineRule="auto"/>
      </w:pPr>
      <w:r>
        <w:separator/>
      </w:r>
    </w:p>
  </w:footnote>
  <w:footnote w:type="continuationSeparator" w:id="0">
    <w:p w14:paraId="3C70A336" w14:textId="77777777" w:rsidR="008C4300" w:rsidRDefault="008C4300" w:rsidP="004A1847">
      <w:pPr>
        <w:spacing w:after="0" w:line="240" w:lineRule="auto"/>
      </w:pPr>
      <w:r>
        <w:continuationSeparator/>
      </w:r>
    </w:p>
  </w:footnote>
  <w:footnote w:id="1">
    <w:p w14:paraId="06CC02FA" w14:textId="77777777" w:rsidR="005E17A1" w:rsidRPr="004540B2" w:rsidRDefault="005E17A1" w:rsidP="005E17A1">
      <w:pPr>
        <w:pStyle w:val="Textonotapie"/>
        <w:rPr>
          <w:rFonts w:ascii="Verdana" w:hAnsi="Verdana"/>
          <w:sz w:val="16"/>
          <w:szCs w:val="16"/>
          <w:lang w:val="es-ES"/>
        </w:rPr>
      </w:pPr>
      <w:r w:rsidRPr="004540B2">
        <w:rPr>
          <w:rStyle w:val="Refdenotaalpie"/>
          <w:rFonts w:ascii="Verdana" w:hAnsi="Verdana"/>
          <w:sz w:val="16"/>
          <w:szCs w:val="16"/>
        </w:rPr>
        <w:footnoteRef/>
      </w:r>
      <w:r w:rsidRPr="004540B2">
        <w:rPr>
          <w:rFonts w:ascii="Verdana" w:hAnsi="Verdana"/>
          <w:sz w:val="16"/>
          <w:szCs w:val="16"/>
        </w:rPr>
        <w:t xml:space="preserve"> </w:t>
      </w:r>
      <w:hyperlink r:id="rId1" w:history="1">
        <w:r w:rsidRPr="004540B2">
          <w:rPr>
            <w:rStyle w:val="Hipervnculo"/>
            <w:rFonts w:ascii="Verdana" w:hAnsi="Verdana"/>
            <w:sz w:val="16"/>
            <w:szCs w:val="16"/>
          </w:rPr>
          <w:t>https://www.colombiacompra.gov.co/wp-content/uploads/2024/08/cce-eicp-ma-04._manual_requisitos_</w:t>
        </w:r>
      </w:hyperlink>
      <w:r w:rsidRPr="004540B2">
        <w:rPr>
          <w:rFonts w:ascii="Verdana" w:hAnsi="Verdana"/>
          <w:sz w:val="16"/>
          <w:szCs w:val="16"/>
        </w:rPr>
        <w:t xml:space="preserve"> habilitantes_v3_29-09-2023.pdf</w:t>
      </w:r>
    </w:p>
  </w:footnote>
  <w:footnote w:id="2">
    <w:p w14:paraId="5B9AE7F7" w14:textId="77777777" w:rsidR="005E17A1" w:rsidRPr="004540B2" w:rsidRDefault="005E17A1" w:rsidP="005E17A1">
      <w:pPr>
        <w:pStyle w:val="Textonotapie"/>
        <w:jc w:val="both"/>
        <w:rPr>
          <w:rFonts w:ascii="Verdana" w:hAnsi="Verdana"/>
          <w:sz w:val="16"/>
          <w:szCs w:val="16"/>
          <w:lang w:val="es-ES"/>
        </w:rPr>
      </w:pPr>
      <w:r w:rsidRPr="004540B2">
        <w:rPr>
          <w:rStyle w:val="Refdenotaalpie"/>
          <w:rFonts w:ascii="Verdana" w:hAnsi="Verdana"/>
          <w:sz w:val="16"/>
          <w:szCs w:val="16"/>
        </w:rPr>
        <w:footnoteRef/>
      </w:r>
      <w:r w:rsidRPr="004540B2">
        <w:rPr>
          <w:rFonts w:ascii="Verdana" w:hAnsi="Verdana"/>
          <w:sz w:val="16"/>
          <w:szCs w:val="16"/>
        </w:rPr>
        <w:t xml:space="preserve"> Para facilitar el uso del Clasificador de Bienes y Servicios UNSPSC Colombia Compra Eficiente ha desarrollado diferentes herramientas, las cuales están disponibles en el siguiente enlace: https://www.colombiacompra.gov.co/clasificador-de-bienes-y-servicios</w:t>
      </w:r>
    </w:p>
  </w:footnote>
  <w:footnote w:id="3">
    <w:p w14:paraId="60C1E2F1" w14:textId="77777777" w:rsidR="005E17A1" w:rsidRPr="004A1FBE" w:rsidRDefault="005E17A1" w:rsidP="005E17A1">
      <w:pPr>
        <w:pBdr>
          <w:top w:val="nil"/>
          <w:left w:val="nil"/>
          <w:bottom w:val="nil"/>
          <w:right w:val="nil"/>
          <w:between w:val="nil"/>
        </w:pBdr>
        <w:spacing w:after="0" w:line="240" w:lineRule="auto"/>
        <w:jc w:val="both"/>
        <w:rPr>
          <w:rFonts w:ascii="Verdana" w:eastAsia="Arial" w:hAnsi="Verdana" w:cs="Arial"/>
          <w:color w:val="000000"/>
          <w:sz w:val="16"/>
          <w:szCs w:val="16"/>
        </w:rPr>
      </w:pPr>
      <w:r w:rsidRPr="004A1FBE">
        <w:rPr>
          <w:rFonts w:ascii="Verdana" w:hAnsi="Verdana" w:cs="Arial"/>
          <w:sz w:val="16"/>
          <w:szCs w:val="16"/>
          <w:vertAlign w:val="superscript"/>
        </w:rPr>
        <w:footnoteRef/>
      </w:r>
      <w:r w:rsidRPr="004A1FBE">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92C2D31"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7ECE6B04"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4FEC7DD3"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EA3EDC8"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 En caso de comparación de propuestas nacionales y extranjeras, se incluirán los costos necesarios para la entrega del producto terminado en el lugar de su utilización”.</w:t>
      </w:r>
    </w:p>
  </w:footnote>
  <w:footnote w:id="4">
    <w:p w14:paraId="31E5DB3D" w14:textId="77777777" w:rsidR="005E17A1" w:rsidRPr="00C526CB" w:rsidRDefault="005E17A1" w:rsidP="005E17A1">
      <w:pPr>
        <w:pStyle w:val="Textonotapie"/>
        <w:rPr>
          <w:lang w:val="es-ES"/>
        </w:rPr>
      </w:pPr>
      <w:r>
        <w:rPr>
          <w:rStyle w:val="Refdenotaalpie"/>
        </w:rPr>
        <w:footnoteRef/>
      </w:r>
      <w:r>
        <w:t xml:space="preserve"> </w:t>
      </w:r>
      <w:r w:rsidRPr="00966BD2">
        <w:rPr>
          <w:rFonts w:ascii="Verdana" w:eastAsia="Calibri" w:hAnsi="Verdana" w:cs="Arial"/>
          <w:b/>
          <w:bCs/>
          <w:kern w:val="2"/>
          <w:lang w:val="es-CO"/>
          <w14:ligatures w14:val="standardContextual"/>
        </w:rPr>
        <w:t>ARTÍCULO 2.2.1.2.1.3.8.</w:t>
      </w:r>
      <w:r w:rsidRPr="00966BD2">
        <w:rPr>
          <w:rFonts w:ascii="Verdana" w:eastAsia="Calibri" w:hAnsi="Verdana" w:cs="Arial"/>
          <w:b/>
          <w:bCs/>
          <w:i/>
          <w:iCs/>
          <w:kern w:val="2"/>
          <w:lang w:val="es-CO"/>
          <w14:ligatures w14:val="standardContextual"/>
        </w:rPr>
        <w:t> </w:t>
      </w:r>
      <w:r>
        <w:rPr>
          <w:rFonts w:ascii="Verdana" w:eastAsia="Calibri" w:hAnsi="Verdana" w:cs="Arial"/>
          <w:b/>
          <w:bCs/>
          <w:i/>
          <w:iCs/>
          <w:kern w:val="2"/>
          <w:lang w:val="es-CO"/>
          <w14:ligatures w14:val="standardContextual"/>
        </w:rPr>
        <w:t>Decreto 1082 de 2015.</w:t>
      </w:r>
    </w:p>
  </w:footnote>
  <w:footnote w:id="5">
    <w:p w14:paraId="5A1874DF"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Ley 1150 de 2007: “Artículo 2. De las modalidades de selección. </w:t>
      </w:r>
    </w:p>
    <w:p w14:paraId="77487450"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w:t>
      </w:r>
    </w:p>
    <w:p w14:paraId="31A31115"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57D31B62"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De conformidad con las condiciones que señale el reglamento, en desarrollo de estos procesos de selección, las propuestas técnicas o de proyectos podrán ser presentadas en forma anónima ante un jurado plural, impar deliberante y calificado”.</w:t>
      </w:r>
    </w:p>
    <w:p w14:paraId="58CE66C0" w14:textId="77777777" w:rsidR="005E17A1" w:rsidRPr="004A1FBE" w:rsidRDefault="005E17A1" w:rsidP="005E17A1">
      <w:pPr>
        <w:pStyle w:val="Textonotapie"/>
        <w:jc w:val="both"/>
        <w:rPr>
          <w:rFonts w:ascii="Verdana" w:hAnsi="Verdana" w:cs="Arial"/>
          <w:sz w:val="16"/>
          <w:szCs w:val="16"/>
        </w:rPr>
      </w:pPr>
    </w:p>
  </w:footnote>
  <w:footnote w:id="6">
    <w:p w14:paraId="0148C007"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Congreso de la República. Gaceta 458 de 2005. Exposición de motivos de la Ley 1150 de 2007: “[...] se crea una nueva modalidad de selección denominada “Selección de Consultores” [concurso de méritos], pensada para aquellos casos en que la entidad requiere de la contratación de servicios especializados con alto contenido de trabajo intelectual y en la que se busca crear las bases para que las entidades contraten las mejores ofertas privilegiando las condiciones técnicas de la propuesta y de experiencia y formación del oferente. Con este enfoque se pretende superar la tendencia que tanto daño ha hecho a la industria de la consultoría nacional, de evaluar las ofertas de “materia gris” con base en el precio, situación esta que lleva a pauperizar el ejercicio de las disciplinas intelectuales y a deteriorar la calidad del servicio que reciben las entidades estatales a este respecto, dentro de los cuales la labor de interventoría de obra sería un buen ejemplo”. [Corchetes fuera del texto].</w:t>
      </w:r>
    </w:p>
    <w:p w14:paraId="5EFB6BB6" w14:textId="77777777" w:rsidR="005E17A1" w:rsidRPr="004A1FBE" w:rsidRDefault="005E17A1" w:rsidP="005E17A1">
      <w:pPr>
        <w:pStyle w:val="Textonotapie"/>
        <w:ind w:firstLine="708"/>
        <w:jc w:val="both"/>
        <w:rPr>
          <w:rFonts w:ascii="Verdana" w:hAnsi="Verdana" w:cs="Arial"/>
          <w:sz w:val="16"/>
          <w:szCs w:val="16"/>
        </w:rPr>
      </w:pPr>
    </w:p>
  </w:footnote>
  <w:footnote w:id="7">
    <w:p w14:paraId="6E601489"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Consejo de Estado. Sección Tercera. Sentencia del 15 de junio de 2000. Exp. 10.963. C. P. Ricardo Hoyos Duque.</w:t>
      </w:r>
    </w:p>
    <w:p w14:paraId="7700B4E4" w14:textId="77777777" w:rsidR="005E17A1" w:rsidRPr="004A1FBE" w:rsidRDefault="005E17A1" w:rsidP="005E17A1">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F507B1"/>
    <w:multiLevelType w:val="hybridMultilevel"/>
    <w:tmpl w:val="7474DF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796467"/>
    <w:multiLevelType w:val="hybridMultilevel"/>
    <w:tmpl w:val="39DE7A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765495495">
    <w:abstractNumId w:val="0"/>
  </w:num>
  <w:num w:numId="17" w16cid:durableId="1381200465">
    <w:abstractNumId w:val="17"/>
  </w:num>
  <w:num w:numId="18" w16cid:durableId="2102486877">
    <w:abstractNumId w:val="11"/>
  </w:num>
  <w:num w:numId="19" w16cid:durableId="1193763291">
    <w:abstractNumId w:val="5"/>
  </w:num>
  <w:num w:numId="20" w16cid:durableId="20755460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4EF"/>
    <w:rsid w:val="00046945"/>
    <w:rsid w:val="00061B2A"/>
    <w:rsid w:val="00081802"/>
    <w:rsid w:val="00082362"/>
    <w:rsid w:val="000A683E"/>
    <w:rsid w:val="000B19B9"/>
    <w:rsid w:val="000D0334"/>
    <w:rsid w:val="000D5DA7"/>
    <w:rsid w:val="000F6486"/>
    <w:rsid w:val="00116940"/>
    <w:rsid w:val="00120055"/>
    <w:rsid w:val="00125105"/>
    <w:rsid w:val="00127233"/>
    <w:rsid w:val="0015699B"/>
    <w:rsid w:val="00197BDA"/>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015"/>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E17A1"/>
    <w:rsid w:val="006200BF"/>
    <w:rsid w:val="006219F8"/>
    <w:rsid w:val="006302F7"/>
    <w:rsid w:val="00646B9F"/>
    <w:rsid w:val="00665D70"/>
    <w:rsid w:val="006900D9"/>
    <w:rsid w:val="00706C16"/>
    <w:rsid w:val="007340C3"/>
    <w:rsid w:val="0075235A"/>
    <w:rsid w:val="00756841"/>
    <w:rsid w:val="007649AB"/>
    <w:rsid w:val="00771D0C"/>
    <w:rsid w:val="007833AC"/>
    <w:rsid w:val="007A3E3A"/>
    <w:rsid w:val="007B268C"/>
    <w:rsid w:val="007B7171"/>
    <w:rsid w:val="007C0C0F"/>
    <w:rsid w:val="007C3DC2"/>
    <w:rsid w:val="007E5497"/>
    <w:rsid w:val="00801B93"/>
    <w:rsid w:val="00806F5F"/>
    <w:rsid w:val="00820278"/>
    <w:rsid w:val="008258C9"/>
    <w:rsid w:val="00844AE9"/>
    <w:rsid w:val="00867F95"/>
    <w:rsid w:val="008843B6"/>
    <w:rsid w:val="00891928"/>
    <w:rsid w:val="008A446D"/>
    <w:rsid w:val="008B25F1"/>
    <w:rsid w:val="008C4300"/>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172D"/>
    <w:rsid w:val="00DC39FC"/>
    <w:rsid w:val="00DD2A4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1F20EA6F"/>
    <w:rsid w:val="2859CA1B"/>
    <w:rsid w:val="32A4F9CF"/>
    <w:rsid w:val="3471B74E"/>
    <w:rsid w:val="356CEDFD"/>
    <w:rsid w:val="3C280227"/>
    <w:rsid w:val="477D93DF"/>
    <w:rsid w:val="4A568D9A"/>
    <w:rsid w:val="506C1E86"/>
    <w:rsid w:val="69614A15"/>
    <w:rsid w:val="6F2BE65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17A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E17A1"/>
    <w:rPr>
      <w:rFonts w:ascii="Geomanist Light" w:hAnsi="Geomanist Light"/>
      <w:lang w:val="es-ES"/>
    </w:rPr>
  </w:style>
  <w:style w:type="paragraph" w:styleId="Textocomentario">
    <w:name w:val="annotation text"/>
    <w:basedOn w:val="Normal"/>
    <w:link w:val="TextocomentarioCar"/>
    <w:uiPriority w:val="99"/>
    <w:semiHidden/>
    <w:unhideWhenUsed/>
    <w:rsid w:val="00DD2A4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D2A43"/>
    <w:rPr>
      <w:sz w:val="20"/>
      <w:szCs w:val="20"/>
    </w:rPr>
  </w:style>
  <w:style w:type="character" w:styleId="Refdecomentario">
    <w:name w:val="annotation reference"/>
    <w:basedOn w:val="Fuentedeprrafopredeter"/>
    <w:uiPriority w:val="99"/>
    <w:semiHidden/>
    <w:unhideWhenUsed/>
    <w:rsid w:val="00DD2A4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normativa/decreto-%20%201860-de-202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ley-1882-de-2018/"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ce-eicp-ma-04._manual_requisitos_"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DF6E62-7159-4114-BE63-56A6CB7A426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13</Pages>
  <Words>3531</Words>
  <Characters>19283</Characters>
  <Application>Microsoft Office Word</Application>
  <DocSecurity>0</DocSecurity>
  <Lines>410</Lines>
  <Paragraphs>95</Paragraphs>
  <ScaleCrop>false</ScaleCrop>
  <Company/>
  <LinksUpToDate>false</LinksUpToDate>
  <CharactersWithSpaces>22719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3</cp:revision>
  <cp:lastPrinted>2023-01-10T21:18:00Z</cp:lastPrinted>
  <dcterms:created xsi:type="dcterms:W3CDTF">2025-11-04T21:51:00Z</dcterms:created>
  <dcterms:modified xsi:type="dcterms:W3CDTF">2025-11-07T03:22:00Z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