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5F77A" w14:textId="72DA64EF" w:rsidR="00080CF0" w:rsidRPr="007B1AF7" w:rsidRDefault="00080CF0" w:rsidP="00080CF0">
      <w:pPr>
        <w:spacing w:after="0" w:line="240" w:lineRule="auto"/>
        <w:jc w:val="both"/>
        <w:rPr>
          <w:rFonts w:ascii="Verdana" w:eastAsia="Calibri" w:hAnsi="Verdana" w:cs="Arial"/>
          <w:b/>
          <w:bCs/>
          <w:lang w:eastAsia="es-ES"/>
        </w:rPr>
      </w:pPr>
      <w:bookmarkStart w:id="0" w:name="_Hlk143780582"/>
      <w:bookmarkStart w:id="1" w:name="_Hlk214362251"/>
      <w:bookmarkEnd w:id="1"/>
      <w:r w:rsidRPr="007B1AF7">
        <w:rPr>
          <w:rFonts w:ascii="Verdana" w:eastAsia="Calibri" w:hAnsi="Verdana" w:cs="Arial"/>
          <w:b/>
          <w:bCs/>
          <w:lang w:eastAsia="es-ES"/>
        </w:rPr>
        <w:t xml:space="preserve">LIQUIDACIÓN DE CONTRATOS – Noción </w:t>
      </w:r>
    </w:p>
    <w:p w14:paraId="21B3C69C" w14:textId="77777777" w:rsidR="00080CF0" w:rsidRPr="00D05D5B" w:rsidRDefault="00080CF0" w:rsidP="00080CF0">
      <w:pPr>
        <w:spacing w:after="0" w:line="240" w:lineRule="auto"/>
        <w:jc w:val="both"/>
        <w:rPr>
          <w:rFonts w:ascii="Verdana" w:eastAsia="Calibri" w:hAnsi="Verdana" w:cs="Arial"/>
          <w:b/>
          <w:bCs/>
          <w:sz w:val="20"/>
          <w:szCs w:val="20"/>
          <w:lang w:eastAsia="es-ES"/>
        </w:rPr>
      </w:pPr>
    </w:p>
    <w:p w14:paraId="08D7067F" w14:textId="77777777" w:rsidR="00080CF0" w:rsidRPr="007B1AF7" w:rsidRDefault="00080CF0" w:rsidP="00080CF0">
      <w:pPr>
        <w:spacing w:line="240" w:lineRule="auto"/>
        <w:jc w:val="both"/>
        <w:rPr>
          <w:rFonts w:ascii="Verdana" w:eastAsia="Calibri" w:hAnsi="Verdana" w:cs="Arial"/>
          <w:sz w:val="20"/>
          <w:szCs w:val="20"/>
          <w:lang w:val="es-ES" w:eastAsia="es-ES"/>
        </w:rPr>
      </w:pPr>
      <w:r w:rsidRPr="007B1AF7">
        <w:rPr>
          <w:rFonts w:ascii="Verdana" w:eastAsia="Calibri" w:hAnsi="Verdana" w:cs="Arial"/>
          <w:sz w:val="20"/>
          <w:szCs w:val="20"/>
          <w:lang w:val="es-ES" w:eastAsia="es-ES"/>
        </w:rPr>
        <w:t xml:space="preserve">“[…] La liquidación es el momento en el cual, una vez concluido el contrato estatal, las partes cruzan cuentas respecto de sus obligaciones. El objetivo de la liquidación es determinar si las partes pueden declararse a paz y salvo o si existen obligaciones por cumplir, y con ocasión de aquella se puede acordar la forma en que deben ser cumplidas. Por esta razón, la liquidación solo procede con posterioridad a la terminación de la ejecución del contrato. </w:t>
      </w:r>
    </w:p>
    <w:p w14:paraId="3C20F5FA" w14:textId="77777777" w:rsidR="00080CF0" w:rsidRPr="007B1AF7" w:rsidRDefault="00080CF0" w:rsidP="00080CF0">
      <w:pPr>
        <w:spacing w:after="120" w:line="240" w:lineRule="auto"/>
        <w:jc w:val="both"/>
        <w:rPr>
          <w:rFonts w:ascii="Verdana" w:eastAsia="Calibri" w:hAnsi="Verdana" w:cs="Arial"/>
          <w:sz w:val="20"/>
          <w:szCs w:val="20"/>
          <w:lang w:val="es-ES" w:eastAsia="es-ES"/>
        </w:rPr>
      </w:pPr>
      <w:r w:rsidRPr="007B1AF7">
        <w:rPr>
          <w:rFonts w:ascii="Verdana" w:eastAsia="Calibri" w:hAnsi="Verdana" w:cs="Arial"/>
          <w:sz w:val="20"/>
          <w:szCs w:val="20"/>
          <w:lang w:val="es-ES" w:eastAsia="es-ES"/>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w14:paraId="5789485E" w14:textId="77777777" w:rsidR="00080CF0" w:rsidRPr="007B1AF7" w:rsidRDefault="00080CF0" w:rsidP="00080CF0">
      <w:pPr>
        <w:spacing w:after="120" w:line="240" w:lineRule="auto"/>
        <w:jc w:val="both"/>
        <w:rPr>
          <w:rFonts w:ascii="Verdana" w:eastAsia="Calibri" w:hAnsi="Verdana" w:cs="Arial"/>
          <w:sz w:val="20"/>
          <w:szCs w:val="20"/>
          <w:lang w:eastAsia="es-ES"/>
        </w:rPr>
      </w:pPr>
      <w:r w:rsidRPr="007B1AF7">
        <w:rPr>
          <w:rFonts w:ascii="Verdana" w:eastAsia="Calibri" w:hAnsi="Verdana" w:cs="Arial"/>
          <w:sz w:val="20"/>
          <w:szCs w:val="20"/>
          <w:lang w:val="es-ES" w:eastAsia="es-ES"/>
        </w:rPr>
        <w:t xml:space="preserve">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Pr="007B1AF7">
        <w:rPr>
          <w:rFonts w:ascii="Verdana" w:eastAsia="Calibri" w:hAnsi="Verdana" w:cs="Arial"/>
          <w:sz w:val="20"/>
          <w:szCs w:val="20"/>
          <w:lang w:eastAsia="es-ES"/>
        </w:rPr>
        <w:t>[…]”</w:t>
      </w:r>
    </w:p>
    <w:p w14:paraId="48AA221A" w14:textId="77777777" w:rsidR="00080CF0" w:rsidRPr="00F617AC" w:rsidRDefault="00080CF0" w:rsidP="00080CF0">
      <w:pPr>
        <w:spacing w:after="0" w:line="276" w:lineRule="auto"/>
        <w:contextualSpacing/>
        <w:rPr>
          <w:rFonts w:ascii="Verdana" w:eastAsia="Century Gothic" w:hAnsi="Verdana" w:cs="Century Gothic"/>
          <w:b/>
          <w:bCs/>
        </w:rPr>
      </w:pPr>
    </w:p>
    <w:p w14:paraId="5B0F1DA2" w14:textId="6152ADDE" w:rsidR="000B40BF" w:rsidRPr="007B1AF7" w:rsidRDefault="000B40BF" w:rsidP="000B40BF">
      <w:pPr>
        <w:spacing w:after="0" w:line="240" w:lineRule="auto"/>
        <w:jc w:val="both"/>
        <w:rPr>
          <w:rFonts w:ascii="Verdana" w:eastAsia="Calibri" w:hAnsi="Verdana" w:cs="Arial"/>
          <w:b/>
          <w:bCs/>
          <w:lang w:eastAsia="es-ES"/>
        </w:rPr>
      </w:pPr>
      <w:r w:rsidRPr="007B1AF7">
        <w:rPr>
          <w:rFonts w:ascii="Verdana" w:eastAsia="Calibri" w:hAnsi="Verdana" w:cs="Arial"/>
          <w:b/>
          <w:bCs/>
          <w:lang w:eastAsia="es-ES"/>
        </w:rPr>
        <w:t xml:space="preserve">LIQUIDACIÓN DE CONTRATOS – Contratos de tracto sucesivo  </w:t>
      </w:r>
    </w:p>
    <w:p w14:paraId="6DF0A44B" w14:textId="77777777" w:rsidR="000B40BF" w:rsidRPr="007B1AF7" w:rsidRDefault="000B40BF" w:rsidP="000B40BF">
      <w:pPr>
        <w:spacing w:after="0" w:line="240" w:lineRule="auto"/>
        <w:jc w:val="both"/>
        <w:rPr>
          <w:rFonts w:ascii="Verdana" w:eastAsia="Calibri" w:hAnsi="Verdana" w:cs="Arial"/>
          <w:b/>
          <w:bCs/>
          <w:sz w:val="20"/>
          <w:szCs w:val="20"/>
          <w:lang w:eastAsia="es-ES"/>
        </w:rPr>
      </w:pPr>
    </w:p>
    <w:p w14:paraId="73414868" w14:textId="77777777" w:rsidR="00B73EC2" w:rsidRPr="007B1AF7" w:rsidRDefault="00B73EC2" w:rsidP="00B73EC2">
      <w:pPr>
        <w:spacing w:after="120" w:line="240" w:lineRule="auto"/>
        <w:jc w:val="both"/>
        <w:rPr>
          <w:rFonts w:ascii="Verdana" w:eastAsia="Calibri" w:hAnsi="Verdana" w:cs="Arial"/>
          <w:sz w:val="20"/>
          <w:szCs w:val="20"/>
          <w:lang w:eastAsia="es-ES"/>
        </w:rPr>
      </w:pPr>
      <w:r w:rsidRPr="007B1AF7">
        <w:rPr>
          <w:rFonts w:ascii="Verdana" w:eastAsia="Calibri" w:hAnsi="Verdana" w:cs="Arial"/>
          <w:sz w:val="20"/>
          <w:szCs w:val="20"/>
          <w:lang w:val="es-ES" w:eastAsia="es-ES"/>
        </w:rPr>
        <w:t xml:space="preserve">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Esta norma al referirse a la liquidación del contrato establece que esta es la etapa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Pr="007B1AF7">
        <w:rPr>
          <w:rFonts w:ascii="Verdana" w:eastAsia="Calibri" w:hAnsi="Verdana" w:cs="Arial"/>
          <w:sz w:val="20"/>
          <w:szCs w:val="20"/>
          <w:lang w:eastAsia="es-ES"/>
        </w:rPr>
        <w:t>[…]”</w:t>
      </w:r>
    </w:p>
    <w:p w14:paraId="79636F4D" w14:textId="77777777" w:rsidR="007B1AF7" w:rsidRDefault="007B1AF7" w:rsidP="00B73EC2">
      <w:pPr>
        <w:spacing w:after="120" w:line="240" w:lineRule="auto"/>
        <w:jc w:val="both"/>
        <w:rPr>
          <w:rFonts w:ascii="Verdana" w:eastAsia="Calibri" w:hAnsi="Verdana" w:cs="Arial"/>
          <w:lang w:eastAsia="es-ES"/>
        </w:rPr>
      </w:pPr>
    </w:p>
    <w:p w14:paraId="1E17B4C6" w14:textId="0E7EC98E" w:rsidR="007B1AF7" w:rsidRPr="007B1AF7" w:rsidRDefault="007B1AF7" w:rsidP="00B73EC2">
      <w:pPr>
        <w:spacing w:after="120" w:line="240" w:lineRule="auto"/>
        <w:jc w:val="both"/>
        <w:rPr>
          <w:rFonts w:ascii="Verdana" w:eastAsia="Calibri" w:hAnsi="Verdana" w:cs="Arial"/>
          <w:b/>
          <w:bCs/>
          <w:lang w:eastAsia="es-ES"/>
        </w:rPr>
      </w:pPr>
      <w:r w:rsidRPr="007B1AF7">
        <w:rPr>
          <w:rFonts w:ascii="Verdana" w:hAnsi="Verdana" w:cs="Arial"/>
          <w:b/>
          <w:bCs/>
        </w:rPr>
        <w:t xml:space="preserve">DEFINICIÓN / LIQUIDACIÓN DE CONTRATOS - Contratos de tracto sucesivo </w:t>
      </w:r>
      <w:proofErr w:type="gramStart"/>
      <w:r w:rsidRPr="007B1AF7">
        <w:rPr>
          <w:rFonts w:ascii="Verdana" w:hAnsi="Verdana" w:cs="Arial"/>
          <w:b/>
          <w:bCs/>
        </w:rPr>
        <w:t>–  Arrendamiento</w:t>
      </w:r>
      <w:proofErr w:type="gramEnd"/>
    </w:p>
    <w:p w14:paraId="41EB2520" w14:textId="77777777" w:rsidR="00080CF0" w:rsidRPr="00F617AC" w:rsidRDefault="00080CF0" w:rsidP="00080CF0">
      <w:pPr>
        <w:spacing w:after="0" w:line="276" w:lineRule="auto"/>
        <w:contextualSpacing/>
        <w:rPr>
          <w:rFonts w:ascii="Verdana" w:eastAsia="Century Gothic" w:hAnsi="Verdana" w:cs="Century Gothic"/>
          <w:b/>
          <w:bCs/>
        </w:rPr>
      </w:pPr>
    </w:p>
    <w:p w14:paraId="76F5AB02" w14:textId="77777777" w:rsidR="007B1AF7" w:rsidRPr="00C5190F" w:rsidRDefault="007B1AF7" w:rsidP="007B1AF7">
      <w:pPr>
        <w:pStyle w:val="Prrafodelista"/>
        <w:spacing w:after="120" w:line="276" w:lineRule="auto"/>
        <w:ind w:left="32"/>
        <w:jc w:val="both"/>
        <w:rPr>
          <w:rFonts w:ascii="Verdana" w:eastAsia="Times New Roman" w:hAnsi="Verdana" w:cs="Arial"/>
          <w:color w:val="000000" w:themeColor="text1"/>
          <w:sz w:val="20"/>
          <w:szCs w:val="20"/>
        </w:rPr>
      </w:pPr>
      <w:r w:rsidRPr="00C5190F">
        <w:rPr>
          <w:rFonts w:ascii="Verdana" w:eastAsia="Times New Roman" w:hAnsi="Verdana" w:cs="Arial"/>
          <w:color w:val="000000" w:themeColor="text1"/>
          <w:sz w:val="20"/>
          <w:szCs w:val="20"/>
        </w:rPr>
        <w:lastRenderedPageBreak/>
        <w:t xml:space="preserve">Los contratos de arrendamiento si deben ser liquidados, en el entendido que se trata de contratos que por esencia son de tracto sucesivo de acuerdo con lo explicado en el numeral anterior. </w:t>
      </w:r>
    </w:p>
    <w:p w14:paraId="2A8D60C4" w14:textId="49AE6A5B" w:rsidR="00080CF0" w:rsidRPr="00C5190F" w:rsidRDefault="007B1AF7" w:rsidP="007B1AF7">
      <w:pPr>
        <w:spacing w:after="0"/>
        <w:jc w:val="both"/>
        <w:rPr>
          <w:rFonts w:ascii="Verdana" w:eastAsia="Calibri" w:hAnsi="Verdana" w:cs="Arial"/>
          <w:color w:val="000000" w:themeColor="text1"/>
          <w:sz w:val="20"/>
          <w:szCs w:val="20"/>
        </w:rPr>
      </w:pPr>
      <w:r w:rsidRPr="00C5190F">
        <w:rPr>
          <w:rFonts w:ascii="Verdana" w:eastAsia="Calibri" w:hAnsi="Verdana" w:cs="Arial"/>
          <w:color w:val="000000" w:themeColor="text1"/>
          <w:sz w:val="20"/>
          <w:szCs w:val="20"/>
        </w:rPr>
        <w:t>En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w:t>
      </w:r>
    </w:p>
    <w:p w14:paraId="164710C8" w14:textId="77777777" w:rsidR="007B1AF7" w:rsidRPr="00C5190F" w:rsidRDefault="007B1AF7" w:rsidP="007B1AF7">
      <w:pPr>
        <w:spacing w:after="0"/>
        <w:rPr>
          <w:rFonts w:ascii="Verdana" w:eastAsia="Calibri" w:hAnsi="Verdana" w:cs="Arial"/>
          <w:color w:val="000000" w:themeColor="text1"/>
          <w:sz w:val="20"/>
          <w:szCs w:val="20"/>
        </w:rPr>
      </w:pPr>
    </w:p>
    <w:p w14:paraId="354E23A9" w14:textId="77777777" w:rsidR="007B1AF7" w:rsidRPr="00C5190F" w:rsidRDefault="007B1AF7" w:rsidP="007B1AF7">
      <w:pPr>
        <w:spacing w:after="0"/>
        <w:rPr>
          <w:rFonts w:ascii="Verdana" w:eastAsia="Calibri" w:hAnsi="Verdana" w:cs="Arial"/>
          <w:color w:val="000000" w:themeColor="text1"/>
          <w:sz w:val="20"/>
          <w:szCs w:val="20"/>
        </w:rPr>
      </w:pPr>
    </w:p>
    <w:p w14:paraId="484BB50F" w14:textId="77777777" w:rsidR="007B1AF7" w:rsidRPr="00C5190F" w:rsidRDefault="007B1AF7" w:rsidP="007B1AF7">
      <w:pPr>
        <w:spacing w:after="0"/>
        <w:rPr>
          <w:rFonts w:ascii="Verdana" w:eastAsia="Calibri" w:hAnsi="Verdana" w:cs="Arial"/>
          <w:color w:val="000000" w:themeColor="text1"/>
          <w:sz w:val="20"/>
          <w:szCs w:val="20"/>
        </w:rPr>
      </w:pPr>
    </w:p>
    <w:p w14:paraId="5E0BF532" w14:textId="77777777" w:rsidR="007B1AF7" w:rsidRDefault="007B1AF7" w:rsidP="007B1AF7">
      <w:pPr>
        <w:spacing w:after="0"/>
        <w:rPr>
          <w:rFonts w:ascii="Verdana" w:eastAsia="Calibri" w:hAnsi="Verdana" w:cs="Arial"/>
          <w:color w:val="000000" w:themeColor="text1"/>
        </w:rPr>
      </w:pPr>
    </w:p>
    <w:p w14:paraId="6D71C546" w14:textId="77777777" w:rsidR="007B1AF7" w:rsidRDefault="007B1AF7" w:rsidP="007B1AF7">
      <w:pPr>
        <w:spacing w:after="0"/>
        <w:rPr>
          <w:rFonts w:ascii="Verdana" w:eastAsia="Calibri" w:hAnsi="Verdana" w:cs="Arial"/>
          <w:color w:val="000000" w:themeColor="text1"/>
        </w:rPr>
      </w:pPr>
    </w:p>
    <w:p w14:paraId="545F8CDC" w14:textId="77777777" w:rsidR="007B1AF7" w:rsidRDefault="007B1AF7" w:rsidP="007B1AF7">
      <w:pPr>
        <w:spacing w:after="0"/>
        <w:rPr>
          <w:rFonts w:ascii="Verdana" w:eastAsia="Calibri" w:hAnsi="Verdana" w:cs="Arial"/>
          <w:color w:val="000000" w:themeColor="text1"/>
        </w:rPr>
      </w:pPr>
    </w:p>
    <w:p w14:paraId="06F92F36" w14:textId="77777777" w:rsidR="007B1AF7" w:rsidRDefault="007B1AF7" w:rsidP="007B1AF7">
      <w:pPr>
        <w:spacing w:after="0"/>
        <w:rPr>
          <w:rFonts w:ascii="Verdana" w:eastAsia="Calibri" w:hAnsi="Verdana" w:cs="Arial"/>
          <w:color w:val="000000" w:themeColor="text1"/>
        </w:rPr>
      </w:pPr>
    </w:p>
    <w:p w14:paraId="0AD1081E" w14:textId="77777777" w:rsidR="007B1AF7" w:rsidRDefault="007B1AF7" w:rsidP="007B1AF7">
      <w:pPr>
        <w:spacing w:after="0"/>
        <w:rPr>
          <w:rFonts w:ascii="Verdana" w:eastAsia="Calibri" w:hAnsi="Verdana" w:cs="Arial"/>
          <w:color w:val="000000" w:themeColor="text1"/>
        </w:rPr>
      </w:pPr>
    </w:p>
    <w:p w14:paraId="47745F0C" w14:textId="77777777" w:rsidR="007B1AF7" w:rsidRDefault="007B1AF7" w:rsidP="007B1AF7">
      <w:pPr>
        <w:spacing w:after="0"/>
        <w:rPr>
          <w:rFonts w:ascii="Verdana" w:eastAsia="Calibri" w:hAnsi="Verdana" w:cs="Arial"/>
          <w:color w:val="000000" w:themeColor="text1"/>
        </w:rPr>
      </w:pPr>
    </w:p>
    <w:p w14:paraId="0027EB3D" w14:textId="77777777" w:rsidR="007B1AF7" w:rsidRDefault="007B1AF7" w:rsidP="007B1AF7">
      <w:pPr>
        <w:spacing w:after="0"/>
        <w:rPr>
          <w:rFonts w:ascii="Verdana" w:eastAsia="Calibri" w:hAnsi="Verdana" w:cs="Arial"/>
          <w:color w:val="000000" w:themeColor="text1"/>
        </w:rPr>
      </w:pPr>
    </w:p>
    <w:p w14:paraId="210C62E8" w14:textId="77777777" w:rsidR="008C1311" w:rsidRDefault="008C1311" w:rsidP="007B1AF7">
      <w:pPr>
        <w:spacing w:after="0"/>
        <w:rPr>
          <w:rFonts w:ascii="Verdana" w:eastAsia="Calibri" w:hAnsi="Verdana" w:cs="Arial"/>
          <w:color w:val="000000" w:themeColor="text1"/>
        </w:rPr>
      </w:pPr>
    </w:p>
    <w:p w14:paraId="3EFC506E" w14:textId="77777777" w:rsidR="008C1311" w:rsidRDefault="008C1311" w:rsidP="007B1AF7">
      <w:pPr>
        <w:spacing w:after="0"/>
        <w:rPr>
          <w:rFonts w:ascii="Verdana" w:eastAsia="Calibri" w:hAnsi="Verdana" w:cs="Arial"/>
          <w:color w:val="000000" w:themeColor="text1"/>
        </w:rPr>
      </w:pPr>
    </w:p>
    <w:p w14:paraId="3988478F" w14:textId="77777777" w:rsidR="008C1311" w:rsidRDefault="008C1311" w:rsidP="007B1AF7">
      <w:pPr>
        <w:spacing w:after="0"/>
        <w:rPr>
          <w:rFonts w:ascii="Verdana" w:eastAsia="Calibri" w:hAnsi="Verdana" w:cs="Arial"/>
          <w:color w:val="000000" w:themeColor="text1"/>
        </w:rPr>
      </w:pPr>
    </w:p>
    <w:p w14:paraId="50540CE1" w14:textId="77777777" w:rsidR="008C1311" w:rsidRDefault="008C1311" w:rsidP="007B1AF7">
      <w:pPr>
        <w:spacing w:after="0"/>
        <w:rPr>
          <w:rFonts w:ascii="Verdana" w:eastAsia="Calibri" w:hAnsi="Verdana" w:cs="Arial"/>
          <w:color w:val="000000" w:themeColor="text1"/>
        </w:rPr>
      </w:pPr>
    </w:p>
    <w:p w14:paraId="78C0492D" w14:textId="77777777" w:rsidR="008C1311" w:rsidRDefault="008C1311" w:rsidP="007B1AF7">
      <w:pPr>
        <w:spacing w:after="0"/>
        <w:rPr>
          <w:rFonts w:ascii="Verdana" w:eastAsia="Calibri" w:hAnsi="Verdana" w:cs="Arial"/>
          <w:color w:val="000000" w:themeColor="text1"/>
        </w:rPr>
      </w:pPr>
    </w:p>
    <w:p w14:paraId="176C777F" w14:textId="77777777" w:rsidR="008C1311" w:rsidRDefault="008C1311" w:rsidP="007B1AF7">
      <w:pPr>
        <w:spacing w:after="0"/>
        <w:rPr>
          <w:rFonts w:ascii="Verdana" w:eastAsia="Calibri" w:hAnsi="Verdana" w:cs="Arial"/>
          <w:color w:val="000000" w:themeColor="text1"/>
        </w:rPr>
      </w:pPr>
    </w:p>
    <w:p w14:paraId="6C57D7DE" w14:textId="77777777" w:rsidR="008C1311" w:rsidRDefault="008C1311" w:rsidP="007B1AF7">
      <w:pPr>
        <w:spacing w:after="0"/>
        <w:rPr>
          <w:rFonts w:ascii="Verdana" w:eastAsia="Calibri" w:hAnsi="Verdana" w:cs="Arial"/>
          <w:color w:val="000000" w:themeColor="text1"/>
        </w:rPr>
      </w:pPr>
    </w:p>
    <w:p w14:paraId="2C84E2D8" w14:textId="77777777" w:rsidR="008C1311" w:rsidRDefault="008C1311" w:rsidP="007B1AF7">
      <w:pPr>
        <w:spacing w:after="0"/>
        <w:rPr>
          <w:rFonts w:ascii="Verdana" w:eastAsia="Calibri" w:hAnsi="Verdana" w:cs="Arial"/>
          <w:color w:val="000000" w:themeColor="text1"/>
        </w:rPr>
      </w:pPr>
    </w:p>
    <w:p w14:paraId="5AE941B2" w14:textId="77777777" w:rsidR="008C1311" w:rsidRDefault="008C1311" w:rsidP="007B1AF7">
      <w:pPr>
        <w:spacing w:after="0"/>
        <w:rPr>
          <w:rFonts w:ascii="Verdana" w:eastAsia="Calibri" w:hAnsi="Verdana" w:cs="Arial"/>
          <w:color w:val="000000" w:themeColor="text1"/>
        </w:rPr>
      </w:pPr>
    </w:p>
    <w:p w14:paraId="6C3A50B1" w14:textId="77777777" w:rsidR="008C1311" w:rsidRDefault="008C1311" w:rsidP="007B1AF7">
      <w:pPr>
        <w:spacing w:after="0"/>
        <w:rPr>
          <w:rFonts w:ascii="Verdana" w:eastAsia="Calibri" w:hAnsi="Verdana" w:cs="Arial"/>
          <w:color w:val="000000" w:themeColor="text1"/>
        </w:rPr>
      </w:pPr>
    </w:p>
    <w:p w14:paraId="0CE2687E" w14:textId="77777777" w:rsidR="008C1311" w:rsidRDefault="008C1311" w:rsidP="007B1AF7">
      <w:pPr>
        <w:spacing w:after="0"/>
        <w:rPr>
          <w:rFonts w:ascii="Verdana" w:eastAsia="Calibri" w:hAnsi="Verdana" w:cs="Arial"/>
          <w:color w:val="000000" w:themeColor="text1"/>
        </w:rPr>
      </w:pPr>
    </w:p>
    <w:p w14:paraId="35B1639D" w14:textId="77777777" w:rsidR="00C72AD0" w:rsidRDefault="00C72AD0" w:rsidP="007B1AF7">
      <w:pPr>
        <w:spacing w:after="0"/>
        <w:rPr>
          <w:rFonts w:ascii="Verdana" w:eastAsia="Calibri" w:hAnsi="Verdana" w:cs="Arial"/>
          <w:color w:val="000000" w:themeColor="text1"/>
        </w:rPr>
      </w:pPr>
    </w:p>
    <w:p w14:paraId="55FAE0F7" w14:textId="77777777" w:rsidR="00C72AD0" w:rsidRDefault="00C72AD0" w:rsidP="007B1AF7">
      <w:pPr>
        <w:spacing w:after="0"/>
        <w:rPr>
          <w:rFonts w:ascii="Verdana" w:eastAsia="Calibri" w:hAnsi="Verdana" w:cs="Arial"/>
          <w:color w:val="000000" w:themeColor="text1"/>
        </w:rPr>
      </w:pPr>
    </w:p>
    <w:p w14:paraId="3C5C5C3B" w14:textId="77777777" w:rsidR="00C72AD0" w:rsidRDefault="00C72AD0" w:rsidP="007B1AF7">
      <w:pPr>
        <w:spacing w:after="0"/>
        <w:rPr>
          <w:rFonts w:ascii="Verdana" w:eastAsia="Calibri" w:hAnsi="Verdana" w:cs="Arial"/>
          <w:color w:val="000000" w:themeColor="text1"/>
        </w:rPr>
      </w:pPr>
    </w:p>
    <w:p w14:paraId="047AF7EE" w14:textId="77777777" w:rsidR="008C1311" w:rsidRDefault="008C1311" w:rsidP="007B1AF7">
      <w:pPr>
        <w:spacing w:after="0"/>
        <w:rPr>
          <w:rFonts w:ascii="Verdana" w:eastAsia="Calibri" w:hAnsi="Verdana" w:cs="Arial"/>
          <w:color w:val="000000" w:themeColor="text1"/>
        </w:rPr>
      </w:pPr>
    </w:p>
    <w:p w14:paraId="41BF069B" w14:textId="77777777" w:rsidR="008C1311" w:rsidRDefault="008C1311" w:rsidP="007B1AF7">
      <w:pPr>
        <w:spacing w:after="0"/>
        <w:rPr>
          <w:rFonts w:ascii="Verdana" w:eastAsia="Calibri" w:hAnsi="Verdana" w:cs="Arial"/>
          <w:color w:val="000000" w:themeColor="text1"/>
        </w:rPr>
      </w:pPr>
    </w:p>
    <w:p w14:paraId="739DB151" w14:textId="77777777" w:rsidR="008C1311" w:rsidRDefault="008C1311" w:rsidP="007B1AF7">
      <w:pPr>
        <w:spacing w:after="0"/>
        <w:rPr>
          <w:rFonts w:ascii="Verdana" w:eastAsia="Calibri" w:hAnsi="Verdana" w:cs="Arial"/>
          <w:color w:val="000000" w:themeColor="text1"/>
        </w:rPr>
      </w:pPr>
    </w:p>
    <w:p w14:paraId="6F54A97A" w14:textId="77777777" w:rsidR="008C1311" w:rsidRDefault="008C1311" w:rsidP="007B1AF7">
      <w:pPr>
        <w:spacing w:after="0"/>
        <w:rPr>
          <w:rFonts w:ascii="Verdana" w:eastAsia="Calibri" w:hAnsi="Verdana" w:cs="Arial"/>
          <w:color w:val="000000" w:themeColor="text1"/>
        </w:rPr>
      </w:pPr>
    </w:p>
    <w:p w14:paraId="1E9B0875" w14:textId="77777777" w:rsidR="007B1AF7" w:rsidRDefault="007B1AF7" w:rsidP="007B1AF7">
      <w:pPr>
        <w:spacing w:after="0"/>
        <w:rPr>
          <w:rFonts w:ascii="Verdana" w:eastAsia="Calibri" w:hAnsi="Verdana" w:cs="Arial"/>
          <w:color w:val="000000" w:themeColor="text1"/>
        </w:rPr>
      </w:pPr>
    </w:p>
    <w:p w14:paraId="68CF540A" w14:textId="77777777" w:rsidR="007B1AF7" w:rsidRDefault="007B1AF7" w:rsidP="007B1AF7">
      <w:pPr>
        <w:spacing w:after="0"/>
        <w:rPr>
          <w:rFonts w:ascii="Verdana" w:eastAsia="Calibri" w:hAnsi="Verdana" w:cs="Arial"/>
          <w:color w:val="000000" w:themeColor="text1"/>
        </w:rPr>
      </w:pPr>
    </w:p>
    <w:p w14:paraId="1BA8367B" w14:textId="77777777" w:rsidR="007B1AF7" w:rsidRDefault="007B1AF7" w:rsidP="007B1AF7">
      <w:pPr>
        <w:spacing w:after="0"/>
        <w:rPr>
          <w:rFonts w:ascii="Verdana" w:eastAsia="Calibri" w:hAnsi="Verdana" w:cs="Arial"/>
          <w:color w:val="000000" w:themeColor="text1"/>
        </w:rPr>
      </w:pPr>
    </w:p>
    <w:p w14:paraId="471962A6" w14:textId="77777777" w:rsidR="007B1AF7" w:rsidRDefault="007B1AF7" w:rsidP="007B1AF7">
      <w:pPr>
        <w:spacing w:after="0"/>
        <w:rPr>
          <w:rFonts w:ascii="Verdana" w:eastAsia="Calibri" w:hAnsi="Verdana" w:cs="Arial"/>
          <w:color w:val="000000" w:themeColor="text1"/>
        </w:rPr>
      </w:pPr>
    </w:p>
    <w:p w14:paraId="423A43A1" w14:textId="77777777" w:rsidR="007B1AF7" w:rsidRDefault="007B1AF7" w:rsidP="007B1AF7">
      <w:pPr>
        <w:spacing w:after="0"/>
        <w:rPr>
          <w:rFonts w:ascii="Verdana" w:hAnsi="Verdana"/>
        </w:rPr>
      </w:pPr>
    </w:p>
    <w:p w14:paraId="0F293BF4" w14:textId="06AE72A0" w:rsidR="00127233" w:rsidRDefault="00C15139" w:rsidP="00AC3C21">
      <w:pPr>
        <w:spacing w:after="0"/>
        <w:rPr>
          <w:rFonts w:ascii="Verdana" w:hAnsi="Verdana"/>
        </w:rPr>
      </w:pPr>
      <w:r w:rsidRPr="0024624F">
        <w:rPr>
          <w:rFonts w:ascii="Verdana" w:hAnsi="Verdana"/>
        </w:rPr>
        <w:t xml:space="preserve">Bogotá D.C., </w:t>
      </w:r>
      <w:r w:rsidR="007A5AAA">
        <w:rPr>
          <w:rFonts w:ascii="Verdana" w:hAnsi="Verdana"/>
        </w:rPr>
        <w:t xml:space="preserve">14 </w:t>
      </w:r>
      <w:proofErr w:type="gramStart"/>
      <w:r w:rsidR="007A5AAA">
        <w:rPr>
          <w:rFonts w:ascii="Verdana" w:hAnsi="Verdana"/>
        </w:rPr>
        <w:t>Noviembre</w:t>
      </w:r>
      <w:proofErr w:type="gramEnd"/>
      <w:r w:rsidR="007A5AAA">
        <w:rPr>
          <w:rFonts w:ascii="Verdana" w:hAnsi="Verdana"/>
        </w:rPr>
        <w:t xml:space="preserve"> 2025</w:t>
      </w:r>
      <w:r w:rsidRPr="000E2B93">
        <w:rPr>
          <w:rFonts w:ascii="Verdana" w:hAnsi="Verdana"/>
        </w:rPr>
        <w:tab/>
      </w:r>
      <w:r w:rsidRPr="000E2B93">
        <w:rPr>
          <w:rFonts w:ascii="Verdana" w:hAnsi="Verdana"/>
        </w:rPr>
        <w:br/>
      </w:r>
      <w:r w:rsidRPr="0024624F">
        <w:rPr>
          <w:rFonts w:ascii="Verdana" w:hAnsi="Verdana"/>
        </w:rPr>
        <w:tab/>
      </w:r>
      <w:bookmarkEnd w:id="0"/>
    </w:p>
    <w:p w14:paraId="70C2D67A" w14:textId="389B57F1" w:rsidR="00AC3C21" w:rsidRDefault="00C80F52" w:rsidP="00AC3C21">
      <w:pPr>
        <w:spacing w:after="0"/>
        <w:rPr>
          <w:rFonts w:ascii="Verdana" w:hAnsi="Verdana"/>
        </w:rPr>
      </w:pPr>
      <w:r w:rsidRPr="008F1568">
        <w:rPr>
          <w:rFonts w:ascii="Verdana" w:eastAsia="Calibri" w:hAnsi="Verdana" w:cs="Arial"/>
          <w:noProof/>
          <w:color w:val="000000"/>
          <w:lang w:val="it-IT" w:eastAsia="es-ES_tradnl"/>
        </w:rPr>
        <w:drawing>
          <wp:anchor distT="0" distB="0" distL="114300" distR="114300" simplePos="0" relativeHeight="251658240" behindDoc="1" locked="0" layoutInCell="1" allowOverlap="1" wp14:anchorId="749D0190" wp14:editId="6698EA5B">
            <wp:simplePos x="0" y="0"/>
            <wp:positionH relativeFrom="column">
              <wp:posOffset>2826857</wp:posOffset>
            </wp:positionH>
            <wp:positionV relativeFrom="paragraph">
              <wp:posOffset>131374</wp:posOffset>
            </wp:positionV>
            <wp:extent cx="2659356" cy="936696"/>
            <wp:effectExtent l="0" t="0" r="8255" b="0"/>
            <wp:wrapNone/>
            <wp:docPr id="786590907"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590907" name="Imagen 1" descr="Texto, Carta&#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61002" cy="937276"/>
                    </a:xfrm>
                    <a:prstGeom prst="rect">
                      <a:avLst/>
                    </a:prstGeom>
                  </pic:spPr>
                </pic:pic>
              </a:graphicData>
            </a:graphic>
            <wp14:sizeRelH relativeFrom="margin">
              <wp14:pctWidth>0</wp14:pctWidth>
            </wp14:sizeRelH>
            <wp14:sizeRelV relativeFrom="margin">
              <wp14:pctHeight>0</wp14:pctHeight>
            </wp14:sizeRelV>
          </wp:anchor>
        </w:drawing>
      </w:r>
    </w:p>
    <w:p w14:paraId="17A135BB" w14:textId="702AE4E0" w:rsidR="00AC3C21" w:rsidRPr="00064988" w:rsidRDefault="00AC3C21" w:rsidP="00AC3C21">
      <w:pPr>
        <w:spacing w:after="0" w:line="240" w:lineRule="auto"/>
        <w:jc w:val="both"/>
        <w:rPr>
          <w:rFonts w:ascii="Verdana" w:eastAsia="Calibri" w:hAnsi="Verdana" w:cs="Arial"/>
          <w:lang w:eastAsia="es-ES"/>
        </w:rPr>
      </w:pPr>
      <w:r w:rsidRPr="00064988">
        <w:rPr>
          <w:rFonts w:ascii="Verdana" w:eastAsia="Calibri" w:hAnsi="Verdana" w:cs="Arial"/>
          <w:lang w:eastAsia="es-ES"/>
        </w:rPr>
        <w:t>Señor</w:t>
      </w:r>
      <w:r>
        <w:rPr>
          <w:rFonts w:ascii="Verdana" w:eastAsia="Calibri" w:hAnsi="Verdana" w:cs="Arial"/>
          <w:lang w:eastAsia="es-ES"/>
        </w:rPr>
        <w:t>a</w:t>
      </w:r>
    </w:p>
    <w:p w14:paraId="1E9708F3" w14:textId="77777777" w:rsidR="00AC3C21" w:rsidRDefault="00AC3C21" w:rsidP="00AC3C21">
      <w:pPr>
        <w:spacing w:after="0" w:line="240" w:lineRule="auto"/>
        <w:rPr>
          <w:rFonts w:ascii="Verdana" w:hAnsi="Verdana" w:cs="Arial"/>
          <w:b/>
          <w:bCs/>
          <w:color w:val="040C28"/>
        </w:rPr>
      </w:pPr>
      <w:r w:rsidRPr="009F67B8">
        <w:rPr>
          <w:rFonts w:ascii="Verdana" w:hAnsi="Verdana" w:cs="Arial"/>
          <w:b/>
          <w:bCs/>
          <w:color w:val="040C28"/>
        </w:rPr>
        <w:t>Adriana Del Pilar Aragón Zamora</w:t>
      </w:r>
    </w:p>
    <w:p w14:paraId="233F06BB" w14:textId="77777777" w:rsidR="00AC3C21" w:rsidRPr="009F67B8" w:rsidRDefault="00AC3C21" w:rsidP="00AC3C21">
      <w:pPr>
        <w:spacing w:after="0" w:line="240" w:lineRule="auto"/>
        <w:rPr>
          <w:rFonts w:ascii="Verdana" w:hAnsi="Verdana" w:cs="Arial"/>
          <w:color w:val="040C28"/>
        </w:rPr>
      </w:pPr>
      <w:hyperlink r:id="rId12" w:history="1">
        <w:r w:rsidRPr="009F67B8">
          <w:rPr>
            <w:rStyle w:val="Hipervnculo"/>
            <w:rFonts w:ascii="Verdana" w:hAnsi="Verdana" w:cs="Arial"/>
          </w:rPr>
          <w:t>adriaragon10@gmail.com</w:t>
        </w:r>
      </w:hyperlink>
    </w:p>
    <w:p w14:paraId="43F1ED1B" w14:textId="1C20FC46" w:rsidR="00AC3C21" w:rsidRDefault="00AC3C21" w:rsidP="00AC3C21">
      <w:pPr>
        <w:spacing w:after="0" w:line="240" w:lineRule="auto"/>
        <w:rPr>
          <w:rFonts w:ascii="Verdana" w:eastAsia="Calibri" w:hAnsi="Verdana" w:cs="Arial"/>
          <w:color w:val="000000"/>
          <w:lang w:val="it-IT" w:eastAsia="es-ES_tradnl"/>
        </w:rPr>
      </w:pPr>
      <w:r w:rsidRPr="009F67B8">
        <w:rPr>
          <w:rFonts w:ascii="Verdana" w:eastAsia="Calibri" w:hAnsi="Verdana" w:cs="Arial"/>
          <w:color w:val="000000"/>
          <w:lang w:val="it-IT" w:eastAsia="es-ES_tradnl"/>
        </w:rPr>
        <w:t xml:space="preserve">Ibague, Tolima. </w:t>
      </w:r>
    </w:p>
    <w:p w14:paraId="3321EEFD" w14:textId="77777777" w:rsidR="00AC3C21" w:rsidRDefault="00AC3C21" w:rsidP="00AC3C21">
      <w:pPr>
        <w:spacing w:after="0" w:line="240" w:lineRule="auto"/>
        <w:rPr>
          <w:rFonts w:ascii="Verdana" w:eastAsia="Calibri" w:hAnsi="Verdana" w:cs="Arial"/>
          <w:color w:val="000000"/>
          <w:lang w:val="it-IT" w:eastAsia="es-ES_tradnl"/>
        </w:rPr>
      </w:pPr>
    </w:p>
    <w:p w14:paraId="1AB0ECE5" w14:textId="21DF9552" w:rsidR="008F1568" w:rsidRDefault="008F1568" w:rsidP="008F1568">
      <w:pPr>
        <w:spacing w:after="0" w:line="240" w:lineRule="auto"/>
        <w:jc w:val="right"/>
        <w:rPr>
          <w:rFonts w:ascii="Verdana" w:eastAsia="Calibri" w:hAnsi="Verdana" w:cs="Arial"/>
          <w:color w:val="000000"/>
          <w:lang w:val="it-IT" w:eastAsia="es-ES_tradnl"/>
        </w:rPr>
      </w:pPr>
    </w:p>
    <w:p w14:paraId="37DA3302" w14:textId="77777777" w:rsidR="00AC3C21" w:rsidRPr="009F67B8" w:rsidRDefault="00AC3C21" w:rsidP="00AC3C21">
      <w:pPr>
        <w:spacing w:after="0" w:line="240" w:lineRule="auto"/>
        <w:rPr>
          <w:rFonts w:ascii="Verdana" w:eastAsia="Calibri" w:hAnsi="Verdana" w:cs="Arial"/>
          <w:color w:val="000000"/>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3C21" w:rsidRPr="009F67B8" w14:paraId="5AFA2A1A" w14:textId="77777777" w:rsidTr="005441D7">
        <w:trPr>
          <w:trHeight w:val="242"/>
        </w:trPr>
        <w:tc>
          <w:tcPr>
            <w:tcW w:w="2689" w:type="dxa"/>
          </w:tcPr>
          <w:p w14:paraId="48E39810" w14:textId="77777777" w:rsidR="00AC3C21" w:rsidRPr="009F67B8" w:rsidRDefault="00AC3C21" w:rsidP="001360B8">
            <w:pPr>
              <w:jc w:val="both"/>
              <w:rPr>
                <w:rFonts w:ascii="Verdana" w:eastAsia="Calibri" w:hAnsi="Verdana" w:cs="Arial"/>
                <w:color w:val="7030A0"/>
                <w:lang w:val="it-IT" w:eastAsia="es-ES_tradnl"/>
              </w:rPr>
            </w:pPr>
          </w:p>
        </w:tc>
        <w:tc>
          <w:tcPr>
            <w:tcW w:w="6100" w:type="dxa"/>
          </w:tcPr>
          <w:p w14:paraId="795A7738" w14:textId="77777777" w:rsidR="00AC3C21" w:rsidRDefault="00AC3C21" w:rsidP="006D2A87">
            <w:pPr>
              <w:jc w:val="both"/>
              <w:rPr>
                <w:rFonts w:ascii="Verdana" w:eastAsia="Calibri" w:hAnsi="Verdana" w:cs="Arial"/>
                <w:b/>
                <w:bCs/>
                <w:lang w:val="es-ES" w:eastAsia="es-ES"/>
              </w:rPr>
            </w:pPr>
            <w:r w:rsidRPr="009F67B8">
              <w:rPr>
                <w:rFonts w:ascii="Verdana" w:eastAsia="Calibri" w:hAnsi="Verdana" w:cs="Arial"/>
                <w:b/>
                <w:bCs/>
                <w:lang w:val="es-ES" w:eastAsia="es-ES"/>
              </w:rPr>
              <w:t>Concepto C-1417 de 2025</w:t>
            </w:r>
          </w:p>
          <w:p w14:paraId="5E4D6A76" w14:textId="6C5AFAF5" w:rsidR="00AC3C21" w:rsidRPr="009F67B8" w:rsidRDefault="00AC3C21" w:rsidP="001360B8">
            <w:pPr>
              <w:jc w:val="both"/>
              <w:rPr>
                <w:rFonts w:ascii="Verdana" w:eastAsia="Calibri" w:hAnsi="Verdana" w:cs="Arial"/>
                <w:b/>
                <w:bCs/>
                <w:color w:val="7030A0"/>
                <w:lang w:val="es-ES" w:eastAsia="es-ES"/>
              </w:rPr>
            </w:pPr>
          </w:p>
        </w:tc>
      </w:tr>
      <w:tr w:rsidR="00AC3C21" w:rsidRPr="00593A5F" w14:paraId="03265F15" w14:textId="77777777" w:rsidTr="001360B8">
        <w:trPr>
          <w:trHeight w:val="884"/>
        </w:trPr>
        <w:tc>
          <w:tcPr>
            <w:tcW w:w="2689" w:type="dxa"/>
          </w:tcPr>
          <w:p w14:paraId="4A2DFD3D" w14:textId="77777777" w:rsidR="00AC3C21" w:rsidRPr="004B40A6" w:rsidRDefault="00AC3C21" w:rsidP="001360B8">
            <w:pPr>
              <w:jc w:val="both"/>
              <w:rPr>
                <w:rFonts w:ascii="Verdana" w:eastAsia="Calibri" w:hAnsi="Verdana" w:cs="Arial"/>
                <w:lang w:val="es-ES_tradnl" w:eastAsia="es-ES_tradnl"/>
              </w:rPr>
            </w:pPr>
            <w:r w:rsidRPr="004B40A6">
              <w:rPr>
                <w:rFonts w:ascii="Verdana" w:eastAsia="Calibri" w:hAnsi="Verdana" w:cs="Arial"/>
                <w:b/>
                <w:lang w:val="es-ES_tradnl" w:eastAsia="es-ES_tradnl"/>
              </w:rPr>
              <w:t>Temas:</w:t>
            </w:r>
            <w:r w:rsidRPr="004B40A6">
              <w:rPr>
                <w:rFonts w:ascii="Verdana" w:eastAsia="Calibri" w:hAnsi="Verdana" w:cs="Arial"/>
                <w:lang w:val="es-ES_tradnl" w:eastAsia="es-ES_tradnl"/>
              </w:rPr>
              <w:t xml:space="preserve">                   </w:t>
            </w:r>
          </w:p>
        </w:tc>
        <w:tc>
          <w:tcPr>
            <w:tcW w:w="6100" w:type="dxa"/>
          </w:tcPr>
          <w:p w14:paraId="6158E62C" w14:textId="2D6374FD" w:rsidR="00AC3C21" w:rsidRPr="009F67B8" w:rsidRDefault="00AC3C21" w:rsidP="001360B8">
            <w:pPr>
              <w:spacing w:line="276" w:lineRule="auto"/>
              <w:jc w:val="both"/>
              <w:rPr>
                <w:rFonts w:ascii="Verdana" w:hAnsi="Verdana" w:cs="Arial"/>
              </w:rPr>
            </w:pPr>
            <w:r w:rsidRPr="009F67B8">
              <w:rPr>
                <w:rFonts w:ascii="Verdana" w:hAnsi="Verdana" w:cs="Arial"/>
              </w:rPr>
              <w:t>LIQUIDACIÓN DE CONTRATOS – Noción –</w:t>
            </w:r>
            <w:r w:rsidR="00E75FCB">
              <w:rPr>
                <w:rFonts w:ascii="Verdana" w:hAnsi="Verdana" w:cs="Arial"/>
              </w:rPr>
              <w:t xml:space="preserve"> / LIQUIDACIÓN DE CONTRATOS - </w:t>
            </w:r>
            <w:r w:rsidRPr="009F67B8">
              <w:rPr>
                <w:rFonts w:ascii="Verdana" w:hAnsi="Verdana" w:cs="Arial"/>
              </w:rPr>
              <w:t>Contratos de tracto sucesivo</w:t>
            </w:r>
            <w:r w:rsidR="00E75FCB">
              <w:rPr>
                <w:rFonts w:ascii="Verdana" w:hAnsi="Verdana" w:cs="Arial"/>
              </w:rPr>
              <w:t xml:space="preserve"> – DEFINICIÓN / LIQUIDACIÓN DE CONTRATOS - </w:t>
            </w:r>
            <w:r w:rsidR="00E75FCB" w:rsidRPr="009F67B8">
              <w:rPr>
                <w:rFonts w:ascii="Verdana" w:hAnsi="Verdana" w:cs="Arial"/>
              </w:rPr>
              <w:t>Contratos de tracto sucesivo</w:t>
            </w:r>
            <w:r w:rsidR="00E75FCB">
              <w:rPr>
                <w:rFonts w:ascii="Verdana" w:hAnsi="Verdana" w:cs="Arial"/>
              </w:rPr>
              <w:t xml:space="preserve"> </w:t>
            </w:r>
            <w:proofErr w:type="gramStart"/>
            <w:r w:rsidR="00E75FCB">
              <w:rPr>
                <w:rFonts w:ascii="Verdana" w:hAnsi="Verdana" w:cs="Arial"/>
              </w:rPr>
              <w:t>–  Arrendamiento</w:t>
            </w:r>
            <w:proofErr w:type="gramEnd"/>
          </w:p>
          <w:p w14:paraId="2A831E19" w14:textId="77777777" w:rsidR="00AC3C21" w:rsidRPr="00FE10F1" w:rsidRDefault="00AC3C21" w:rsidP="001360B8">
            <w:pPr>
              <w:spacing w:line="276" w:lineRule="auto"/>
              <w:jc w:val="both"/>
              <w:rPr>
                <w:rFonts w:ascii="Verdana" w:eastAsia="Calibri" w:hAnsi="Verdana" w:cs="Arial"/>
              </w:rPr>
            </w:pPr>
          </w:p>
        </w:tc>
      </w:tr>
      <w:tr w:rsidR="00AC3C21" w:rsidRPr="00593A5F" w14:paraId="3891F873" w14:textId="77777777" w:rsidTr="001360B8">
        <w:trPr>
          <w:trHeight w:val="89"/>
        </w:trPr>
        <w:tc>
          <w:tcPr>
            <w:tcW w:w="2689" w:type="dxa"/>
          </w:tcPr>
          <w:p w14:paraId="721A4C5E" w14:textId="77777777" w:rsidR="00AC3C21" w:rsidRPr="001356B4" w:rsidRDefault="00AC3C21" w:rsidP="001360B8">
            <w:pPr>
              <w:jc w:val="both"/>
              <w:rPr>
                <w:rFonts w:ascii="Verdana" w:eastAsia="Calibri" w:hAnsi="Verdana" w:cs="Arial"/>
                <w:b/>
                <w:lang w:val="es-ES_tradnl" w:eastAsia="es-ES_tradnl"/>
              </w:rPr>
            </w:pPr>
            <w:r w:rsidRPr="001356B4">
              <w:rPr>
                <w:rFonts w:ascii="Verdana" w:eastAsia="Calibri" w:hAnsi="Verdana" w:cs="Arial"/>
                <w:b/>
                <w:lang w:val="es-ES_tradnl" w:eastAsia="es-ES_tradnl"/>
              </w:rPr>
              <w:t>Radicación:</w:t>
            </w:r>
            <w:r w:rsidRPr="001356B4">
              <w:rPr>
                <w:rFonts w:ascii="Verdana" w:eastAsia="Calibri" w:hAnsi="Verdana" w:cs="Arial"/>
                <w:lang w:val="es-ES_tradnl" w:eastAsia="es-ES_tradnl"/>
              </w:rPr>
              <w:t xml:space="preserve">              </w:t>
            </w:r>
          </w:p>
        </w:tc>
        <w:tc>
          <w:tcPr>
            <w:tcW w:w="6100" w:type="dxa"/>
          </w:tcPr>
          <w:p w14:paraId="2BE9071D" w14:textId="59906ABB" w:rsidR="00AC3C21" w:rsidRPr="005441D7" w:rsidRDefault="00AC3C21" w:rsidP="001360B8">
            <w:pPr>
              <w:spacing w:line="276" w:lineRule="auto"/>
              <w:jc w:val="both"/>
              <w:rPr>
                <w:rFonts w:ascii="Verdana" w:eastAsia="Calibri" w:hAnsi="Verdana" w:cs="Arial"/>
                <w:lang w:eastAsia="es-ES_tradnl"/>
              </w:rPr>
            </w:pPr>
            <w:r w:rsidRPr="001356B4">
              <w:rPr>
                <w:rFonts w:ascii="Verdana" w:eastAsia="Calibri" w:hAnsi="Verdana" w:cs="Arial"/>
                <w:lang w:val="es-ES_tradnl" w:eastAsia="es-ES_tradnl"/>
              </w:rPr>
              <w:t xml:space="preserve">Respuesta a consulta con radicado </w:t>
            </w:r>
            <w:r w:rsidRPr="009F67B8">
              <w:rPr>
                <w:rFonts w:ascii="Verdana" w:eastAsia="Calibri" w:hAnsi="Verdana" w:cs="Arial"/>
                <w:lang w:eastAsia="es-ES_tradnl"/>
              </w:rPr>
              <w:t>No. 1_2025_10_01_010871</w:t>
            </w:r>
          </w:p>
          <w:p w14:paraId="25C2ADCB" w14:textId="77777777" w:rsidR="00AC3C21" w:rsidRPr="001356B4" w:rsidRDefault="00AC3C21" w:rsidP="001360B8">
            <w:pPr>
              <w:spacing w:line="276" w:lineRule="auto"/>
              <w:jc w:val="both"/>
              <w:rPr>
                <w:rFonts w:ascii="Verdana" w:hAnsi="Verdana" w:cs="Calibri"/>
              </w:rPr>
            </w:pPr>
          </w:p>
        </w:tc>
      </w:tr>
    </w:tbl>
    <w:p w14:paraId="52F513FD" w14:textId="77777777" w:rsidR="00AC3C21" w:rsidRPr="00593A5F" w:rsidRDefault="00AC3C21" w:rsidP="00AC3C21">
      <w:pPr>
        <w:spacing w:after="0" w:line="240" w:lineRule="auto"/>
        <w:jc w:val="both"/>
        <w:rPr>
          <w:rFonts w:ascii="Verdana" w:eastAsia="Calibri" w:hAnsi="Verdana" w:cs="Arial"/>
          <w:color w:val="000000"/>
          <w:lang w:val="es-ES_tradnl" w:eastAsia="es-ES_tradnl"/>
        </w:rPr>
      </w:pPr>
    </w:p>
    <w:p w14:paraId="1F0CC44D" w14:textId="77777777" w:rsidR="00AC3C21" w:rsidRPr="004B40A6" w:rsidRDefault="00AC3C21" w:rsidP="00AC3C21">
      <w:pPr>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Estimad</w:t>
      </w:r>
      <w:r>
        <w:rPr>
          <w:rFonts w:ascii="Verdana" w:eastAsia="Calibri" w:hAnsi="Verdana" w:cs="Arial"/>
          <w:lang w:val="es-ES" w:eastAsia="es-ES"/>
        </w:rPr>
        <w:t>a señora Aragón</w:t>
      </w:r>
      <w:r w:rsidRPr="004B40A6">
        <w:rPr>
          <w:rFonts w:ascii="Verdana" w:eastAsia="Calibri" w:hAnsi="Verdana" w:cs="Arial"/>
          <w:lang w:val="es-ES" w:eastAsia="es-ES"/>
        </w:rPr>
        <w:t xml:space="preserve">: </w:t>
      </w:r>
    </w:p>
    <w:p w14:paraId="47D38D52" w14:textId="77777777" w:rsidR="00AC3C21" w:rsidRPr="004B40A6" w:rsidRDefault="00AC3C21" w:rsidP="00AC3C21">
      <w:pPr>
        <w:tabs>
          <w:tab w:val="left" w:pos="3768"/>
        </w:tabs>
        <w:spacing w:after="0" w:line="276" w:lineRule="auto"/>
        <w:jc w:val="both"/>
        <w:rPr>
          <w:rFonts w:ascii="Verdana" w:eastAsia="Calibri" w:hAnsi="Verdana" w:cs="Arial"/>
          <w:lang w:val="es-ES" w:eastAsia="es-ES"/>
        </w:rPr>
      </w:pPr>
      <w:r w:rsidRPr="004B40A6">
        <w:rPr>
          <w:rFonts w:ascii="Verdana" w:eastAsia="Calibri" w:hAnsi="Verdana" w:cs="Arial"/>
          <w:lang w:val="es-ES" w:eastAsia="es-ES"/>
        </w:rPr>
        <w:tab/>
      </w:r>
    </w:p>
    <w:p w14:paraId="19E16A58" w14:textId="77777777" w:rsidR="00AC3C21" w:rsidRDefault="00AC3C21" w:rsidP="00AC3C21">
      <w:pPr>
        <w:spacing w:after="0" w:line="276" w:lineRule="auto"/>
        <w:jc w:val="both"/>
        <w:rPr>
          <w:rFonts w:ascii="Verdana" w:eastAsia="Calibri" w:hAnsi="Verdana" w:cs="Arial"/>
          <w:lang w:val="es-ES" w:eastAsia="es-ES"/>
        </w:rPr>
      </w:pPr>
      <w:r w:rsidRPr="00F7454D">
        <w:rPr>
          <w:rFonts w:ascii="Verdana" w:eastAsia="Calibri" w:hAnsi="Verdana" w:cs="Arial"/>
          <w:lang w:val="es-ES" w:eastAsia="es-ES"/>
        </w:rPr>
        <w:t>En ejercicio de la competencia otorgada por los artículos 3, numeral 5º, y 11, numeral 8º, del Decreto Ley 4170 de 2011,</w:t>
      </w:r>
      <w:r w:rsidRPr="00F7454D">
        <w:rPr>
          <w:rFonts w:ascii="Verdana" w:eastAsia="Arial MT" w:hAnsi="Verdana" w:cs="Arial MT"/>
          <w:lang w:val="es-ES" w:eastAsia="es-ES"/>
        </w:rPr>
        <w:t xml:space="preserve"> </w:t>
      </w:r>
      <w:r w:rsidRPr="00F7454D">
        <w:rPr>
          <w:rFonts w:ascii="Verdana" w:hAnsi="Verdana" w:cs="Arial"/>
        </w:rPr>
        <w:t xml:space="preserve">así como lo establecido en el artículo 4 de la Resolución 1707 de 2018 expedida por esta Entidad, </w:t>
      </w:r>
      <w:r w:rsidRPr="00F7454D">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1</w:t>
      </w:r>
      <w:r w:rsidRPr="00F7454D">
        <w:rPr>
          <w:rFonts w:ascii="Verdana" w:eastAsia="Calibri" w:hAnsi="Verdana" w:cs="Arial"/>
          <w:lang w:val="es-ES" w:eastAsia="es-ES"/>
        </w:rPr>
        <w:t xml:space="preserve"> de </w:t>
      </w:r>
      <w:r>
        <w:rPr>
          <w:rFonts w:ascii="Verdana" w:eastAsia="Calibri" w:hAnsi="Verdana" w:cs="Arial"/>
          <w:lang w:val="es-ES" w:eastAsia="es-ES"/>
        </w:rPr>
        <w:t>octubre</w:t>
      </w:r>
      <w:r w:rsidRPr="00F7454D">
        <w:rPr>
          <w:rFonts w:ascii="Verdana" w:eastAsia="Calibri" w:hAnsi="Verdana" w:cs="Arial"/>
          <w:lang w:val="es-ES" w:eastAsia="es-ES"/>
        </w:rPr>
        <w:t xml:space="preserve"> de 202</w:t>
      </w:r>
      <w:r>
        <w:rPr>
          <w:rFonts w:ascii="Verdana" w:eastAsia="Calibri" w:hAnsi="Verdana" w:cs="Arial"/>
          <w:lang w:val="es-ES" w:eastAsia="es-ES"/>
        </w:rPr>
        <w:t>5</w:t>
      </w:r>
      <w:r w:rsidRPr="00F7454D">
        <w:rPr>
          <w:rFonts w:ascii="Verdana" w:eastAsia="Calibri" w:hAnsi="Verdana" w:cs="Arial"/>
          <w:lang w:val="es-ES" w:eastAsia="es-ES"/>
        </w:rPr>
        <w:t xml:space="preserve">, en la cual manifiesta lo siguiente: </w:t>
      </w:r>
    </w:p>
    <w:p w14:paraId="77B9667E" w14:textId="77777777" w:rsidR="00AC3C21" w:rsidRPr="009F67B8" w:rsidRDefault="00AC3C21" w:rsidP="00AC3C21">
      <w:pPr>
        <w:spacing w:after="0" w:line="276" w:lineRule="auto"/>
        <w:jc w:val="both"/>
        <w:rPr>
          <w:rFonts w:ascii="Verdana" w:eastAsia="Calibri" w:hAnsi="Verdana" w:cs="Arial"/>
          <w:sz w:val="21"/>
          <w:szCs w:val="21"/>
          <w:lang w:val="es-ES" w:eastAsia="es-ES"/>
        </w:rPr>
      </w:pPr>
    </w:p>
    <w:p w14:paraId="1E9DD647" w14:textId="77777777" w:rsidR="00AC3C21" w:rsidRPr="009F67B8" w:rsidRDefault="00AC3C21" w:rsidP="00AC3C21">
      <w:pPr>
        <w:spacing w:after="0" w:line="276" w:lineRule="auto"/>
        <w:ind w:left="567" w:right="758"/>
        <w:jc w:val="both"/>
        <w:rPr>
          <w:rFonts w:ascii="Verdana" w:hAnsi="Verdana" w:cs="Arial"/>
          <w:sz w:val="21"/>
          <w:szCs w:val="21"/>
        </w:rPr>
      </w:pPr>
      <w:r w:rsidRPr="009F67B8">
        <w:rPr>
          <w:rFonts w:ascii="Verdana" w:hAnsi="Verdana" w:cs="Arial"/>
          <w:sz w:val="21"/>
          <w:szCs w:val="21"/>
        </w:rPr>
        <w:t xml:space="preserve">“Por favor solicito ampliar la explicación sobre las liquidaciones de contratos, ya que en la guía https://www.colombiacompra.gov.co/wp-content/uploads/2024/08/2016- Guia-para-la-liquidacion-contratos-estatales-G-LPC-01.pdf indica que se deben liquidar Los contratos de tracto sucesivo y Aquéllos contratos cuya ejecución o cumplimiento se prolongue en el tiempo, por favor solicito saber la interpretación que tiene para Colombia compra eficiente de los contratos de tracto sucesivo </w:t>
      </w:r>
      <w:r w:rsidRPr="009F67B8">
        <w:rPr>
          <w:rFonts w:ascii="Verdana" w:hAnsi="Verdana" w:cs="Arial"/>
          <w:sz w:val="21"/>
          <w:szCs w:val="21"/>
        </w:rPr>
        <w:lastRenderedPageBreak/>
        <w:t xml:space="preserve">con ejemplos y así mismo para contratos cuya ejecución o cumplimiento se prolongue en el tiempo, cuanto tiempo se debe prolongar en el tiempo para requerir liquidación. Adicionalmente, por favor solicito saber si en contratación estatal los contratos de arrendamiento siendo la entidad estatal </w:t>
      </w:r>
      <w:proofErr w:type="gramStart"/>
      <w:r w:rsidRPr="009F67B8">
        <w:rPr>
          <w:rFonts w:ascii="Verdana" w:hAnsi="Verdana" w:cs="Arial"/>
          <w:sz w:val="21"/>
          <w:szCs w:val="21"/>
        </w:rPr>
        <w:t>las arrendataria</w:t>
      </w:r>
      <w:proofErr w:type="gramEnd"/>
      <w:r w:rsidRPr="009F67B8">
        <w:rPr>
          <w:rFonts w:ascii="Verdana" w:hAnsi="Verdana" w:cs="Arial"/>
          <w:sz w:val="21"/>
          <w:szCs w:val="21"/>
        </w:rPr>
        <w:t xml:space="preserve"> requiere liquidación?, los contratos tipo suministro como servicios de fumigación en varios periodos, mantenimiento de vehículos en varios servicios requieren liquidación</w:t>
      </w:r>
      <w:proofErr w:type="gramStart"/>
      <w:r w:rsidRPr="009F67B8">
        <w:rPr>
          <w:rFonts w:ascii="Verdana" w:hAnsi="Verdana" w:cs="Arial"/>
          <w:sz w:val="21"/>
          <w:szCs w:val="21"/>
        </w:rPr>
        <w:t>?”[</w:t>
      </w:r>
      <w:proofErr w:type="gramEnd"/>
      <w:r w:rsidRPr="009F67B8">
        <w:rPr>
          <w:rFonts w:ascii="Verdana" w:hAnsi="Verdana" w:cs="Arial"/>
          <w:sz w:val="21"/>
          <w:szCs w:val="21"/>
        </w:rPr>
        <w:t>sic]</w:t>
      </w:r>
    </w:p>
    <w:p w14:paraId="283227DA" w14:textId="77777777" w:rsidR="00AC3C21" w:rsidRPr="00B67856" w:rsidRDefault="00AC3C21" w:rsidP="00AC3C21">
      <w:pPr>
        <w:spacing w:after="0" w:line="276" w:lineRule="auto"/>
        <w:jc w:val="both"/>
        <w:rPr>
          <w:rFonts w:ascii="Verdana" w:eastAsia="Century Gothic" w:hAnsi="Verdana" w:cs="Century Gothic"/>
          <w:sz w:val="20"/>
          <w:szCs w:val="20"/>
          <w:lang w:val="es-ES"/>
        </w:rPr>
      </w:pPr>
      <w:r w:rsidRPr="00485B62">
        <w:rPr>
          <w:rFonts w:ascii="Verdana" w:eastAsia="Century Gothic" w:hAnsi="Verdana" w:cs="Century Gothic"/>
          <w:sz w:val="20"/>
          <w:szCs w:val="20"/>
          <w:lang w:val="es-ES"/>
        </w:rPr>
        <w:t xml:space="preserve"> </w:t>
      </w:r>
    </w:p>
    <w:p w14:paraId="272FA9AB" w14:textId="77777777" w:rsidR="00AC3C21" w:rsidRDefault="00AC3C21" w:rsidP="00AC3C21">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w:t>
      </w:r>
      <w:r>
        <w:rPr>
          <w:rFonts w:ascii="Verdana" w:eastAsia="Calibri" w:hAnsi="Verdana" w:cs="Arial"/>
          <w:color w:val="000000"/>
          <w:lang w:val="es-ES" w:eastAsia="es-ES"/>
        </w:rPr>
        <w:t>precisar</w:t>
      </w:r>
      <w:r w:rsidRPr="00593A5F">
        <w:rPr>
          <w:rFonts w:ascii="Verdana" w:eastAsia="Calibri" w:hAnsi="Verdana" w:cs="Arial"/>
          <w:color w:val="000000"/>
          <w:lang w:val="es-ES" w:eastAsia="es-ES"/>
        </w:rPr>
        <w:t xml:space="preserve">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A8CC5EF" w14:textId="77777777" w:rsidR="00AC3C21" w:rsidRDefault="00AC3C21" w:rsidP="00AC3C21">
      <w:pPr>
        <w:spacing w:after="0" w:line="276" w:lineRule="auto"/>
        <w:ind w:firstLine="709"/>
        <w:jc w:val="both"/>
        <w:rPr>
          <w:rFonts w:ascii="Verdana" w:eastAsia="Calibri" w:hAnsi="Verdana" w:cs="Arial"/>
          <w:lang w:val="es-ES" w:eastAsia="es-ES"/>
        </w:rPr>
      </w:pPr>
      <w:r w:rsidRPr="004B40A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592403C" w14:textId="77777777" w:rsidR="00AC3C21" w:rsidRPr="00593A5F" w:rsidRDefault="00AC3C21" w:rsidP="00AC3C21">
      <w:pPr>
        <w:spacing w:after="0" w:line="276" w:lineRule="auto"/>
        <w:jc w:val="both"/>
        <w:rPr>
          <w:rFonts w:ascii="Verdana" w:eastAsia="Calibri" w:hAnsi="Verdana" w:cs="Arial"/>
          <w:color w:val="000000"/>
          <w:lang w:val="es-ES" w:eastAsia="es-ES"/>
        </w:rPr>
      </w:pPr>
    </w:p>
    <w:p w14:paraId="46B7128A"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84F22AD" w14:textId="77777777" w:rsidR="00AC3C21" w:rsidRDefault="00AC3C21" w:rsidP="00AC3C21">
      <w:pPr>
        <w:spacing w:after="0" w:line="240" w:lineRule="auto"/>
        <w:ind w:right="709"/>
        <w:jc w:val="both"/>
        <w:rPr>
          <w:rFonts w:ascii="Verdana" w:eastAsia="Century Gothic" w:hAnsi="Verdana" w:cs="Century Gothic"/>
          <w:lang w:val="es-ES"/>
        </w:rPr>
      </w:pPr>
    </w:p>
    <w:p w14:paraId="0EF2524B" w14:textId="77777777" w:rsidR="00AC3C21" w:rsidRDefault="00AC3C21" w:rsidP="00AC3C21">
      <w:pPr>
        <w:spacing w:after="0" w:line="276" w:lineRule="auto"/>
        <w:jc w:val="both"/>
        <w:rPr>
          <w:rFonts w:ascii="Verdana" w:eastAsia="Century Gothic" w:hAnsi="Verdana" w:cs="Century Gothic"/>
          <w:lang w:val="es-ES"/>
        </w:rPr>
      </w:pPr>
      <w:r w:rsidRPr="00E03E8C">
        <w:rPr>
          <w:rFonts w:ascii="Verdana" w:hAnsi="Verdana"/>
        </w:rPr>
        <w:t>De acuerdo con el contenido de su solicitud, esta Agencia resolverá el siguiente problema jurídico:</w:t>
      </w:r>
      <w:r w:rsidRPr="005A13B4">
        <w:rPr>
          <w:rFonts w:ascii="Verdana" w:hAnsi="Verdana"/>
        </w:rPr>
        <w:t xml:space="preserve"> </w:t>
      </w:r>
      <w:r>
        <w:rPr>
          <w:rFonts w:ascii="Verdana" w:hAnsi="Verdana"/>
        </w:rPr>
        <w:t>i. ¿Cuáles son los contratos de trato sucesivo?</w:t>
      </w:r>
      <w:r w:rsidRPr="00BC00A6">
        <w:rPr>
          <w:rFonts w:ascii="Verdana" w:eastAsia="Century Gothic" w:hAnsi="Verdana" w:cs="Century Gothic"/>
        </w:rPr>
        <w:t xml:space="preserve"> </w:t>
      </w:r>
      <w:r>
        <w:rPr>
          <w:rFonts w:ascii="Verdana" w:eastAsia="Century Gothic" w:hAnsi="Verdana" w:cs="Century Gothic"/>
        </w:rPr>
        <w:t>ii. ¿Los contratos de arrendamiento celebrados con entidades públicas deben ser liquidados?</w:t>
      </w:r>
    </w:p>
    <w:p w14:paraId="014BBC13" w14:textId="77777777" w:rsidR="00AC3C21" w:rsidRPr="00EE4272" w:rsidRDefault="00AC3C21" w:rsidP="00AC3C21">
      <w:pPr>
        <w:spacing w:after="0" w:line="276" w:lineRule="auto"/>
        <w:jc w:val="both"/>
        <w:rPr>
          <w:rFonts w:ascii="Verdana" w:eastAsia="Century Gothic" w:hAnsi="Verdana" w:cs="Century Gothic"/>
        </w:rPr>
      </w:pPr>
    </w:p>
    <w:p w14:paraId="517ADA8D"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11F2F28" w14:textId="77777777" w:rsidR="00AC3C21" w:rsidRPr="00593A5F" w:rsidRDefault="00AC3C21" w:rsidP="00AC3C2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3C21" w:rsidRPr="00593A5F" w14:paraId="65EAD41A" w14:textId="77777777" w:rsidTr="001360B8">
        <w:tc>
          <w:tcPr>
            <w:tcW w:w="8828" w:type="dxa"/>
          </w:tcPr>
          <w:p w14:paraId="54611854" w14:textId="5B8BE054" w:rsidR="00AC3C21" w:rsidRPr="00447AA4" w:rsidRDefault="00893B75" w:rsidP="00AC06A4">
            <w:pPr>
              <w:spacing w:after="120"/>
              <w:ind w:firstLine="709"/>
              <w:jc w:val="both"/>
              <w:rPr>
                <w:rFonts w:ascii="Verdana" w:hAnsi="Verdana" w:cs="Arial"/>
              </w:rPr>
            </w:pPr>
            <w:r w:rsidRPr="00893B75">
              <w:rPr>
                <w:rFonts w:ascii="Verdana" w:hAnsi="Verdana" w:cs="Arial"/>
              </w:rPr>
              <w:lastRenderedPageBreak/>
              <w:t>i. D</w:t>
            </w:r>
            <w:r w:rsidR="00AC3C21" w:rsidRPr="00893B75">
              <w:rPr>
                <w:rFonts w:ascii="Verdana" w:hAnsi="Verdana" w:cs="Arial"/>
              </w:rPr>
              <w:t>e acuerdo con el artículo 60 de la Ley 80 de 1993</w:t>
            </w:r>
            <w:r w:rsidRPr="00893B75">
              <w:rPr>
                <w:rFonts w:ascii="Verdana" w:hAnsi="Verdana" w:cs="Arial"/>
              </w:rPr>
              <w:t xml:space="preserve"> </w:t>
            </w:r>
            <w:r w:rsidRPr="00AC06A4">
              <w:rPr>
                <w:rFonts w:ascii="Verdana" w:hAnsi="Verdana"/>
              </w:rPr>
              <w:t xml:space="preserve">deberán ser liquidados los </w:t>
            </w:r>
            <w:r w:rsidR="00AC3C21" w:rsidRPr="00220E70">
              <w:rPr>
                <w:rFonts w:ascii="Verdana" w:hAnsi="Verdana"/>
              </w:rPr>
              <w:t xml:space="preserve">contratos de tracto </w:t>
            </w:r>
            <w:proofErr w:type="gramStart"/>
            <w:r w:rsidR="00AC3C21" w:rsidRPr="00220E70">
              <w:rPr>
                <w:rFonts w:ascii="Verdana" w:hAnsi="Verdana"/>
              </w:rPr>
              <w:t>sucesivo</w:t>
            </w:r>
            <w:r w:rsidRPr="00AC06A4">
              <w:rPr>
                <w:rFonts w:ascii="Verdana" w:hAnsi="Verdana"/>
              </w:rPr>
              <w:t>,</w:t>
            </w:r>
            <w:r w:rsidR="00AC3C21" w:rsidRPr="00220E70">
              <w:rPr>
                <w:rFonts w:ascii="Verdana" w:hAnsi="Verdana" w:cs="Arial"/>
              </w:rPr>
              <w:t>aquellos</w:t>
            </w:r>
            <w:proofErr w:type="gramEnd"/>
            <w:r w:rsidR="00AC3C21" w:rsidRPr="00220E70">
              <w:rPr>
                <w:rFonts w:ascii="Verdana" w:hAnsi="Verdana" w:cs="Arial"/>
              </w:rPr>
              <w:t xml:space="preserve"> cuyo cumplimiento o ejecución se prolongue en el tiempo y los demás que lo requieran </w:t>
            </w:r>
            <w:r w:rsidR="00AC3C21" w:rsidRPr="00220E70">
              <w:rPr>
                <w:rFonts w:ascii="Verdana" w:hAnsi="Verdana" w:cs="Arial"/>
                <w:i/>
              </w:rPr>
              <w:t>“serán objeto de liquidación”.</w:t>
            </w:r>
            <w:r w:rsidR="00AC3C21" w:rsidRPr="00220E70">
              <w:rPr>
                <w:rFonts w:ascii="Verdana" w:hAnsi="Verdana" w:cs="Arial"/>
              </w:rPr>
              <w:t xml:space="preserve"> El mismo artículo prescribe que no será obligatoria la liquidación en los contratos de prestación de servicios profesionales y de apoyo a la gestión. Esta norma al referirse a la liquidación del contrato establece que esta es la e</w:t>
            </w:r>
            <w:r w:rsidR="00AC3C21" w:rsidRPr="00447AA4">
              <w:rPr>
                <w:rFonts w:ascii="Verdana" w:hAnsi="Verdana" w:cs="Arial"/>
              </w:rPr>
              <w:t>tapa del Proceso de Contratación, en la que las partes pueden acordar los ajustes, revisiones y reconocimientos a que haya lugar. A estos efectos, dicha norma establece que en el acta de liquidación debe dejarse constancia de todos los acuerdos, conciliaciones y transacciones a que llegaren las partes para poner fin a las divergencias presentadas y poder declararse a paz y salvo.  </w:t>
            </w:r>
            <w:r w:rsidR="00AC3C21" w:rsidRPr="00220E70">
              <w:rPr>
                <w:rFonts w:ascii="Verdana" w:hAnsi="Verdana" w:cs="Arial"/>
              </w:rPr>
              <w:t xml:space="preserve"> </w:t>
            </w:r>
          </w:p>
          <w:p w14:paraId="47F3189E" w14:textId="4D3493AE" w:rsidR="00893B75" w:rsidRPr="00AC06A4" w:rsidRDefault="00893B75" w:rsidP="00AC06A4">
            <w:pPr>
              <w:spacing w:line="276" w:lineRule="auto"/>
              <w:ind w:firstLine="709"/>
              <w:jc w:val="both"/>
              <w:rPr>
                <w:rFonts w:ascii="Verdana" w:hAnsi="Verdana"/>
              </w:rPr>
            </w:pPr>
            <w:r w:rsidRPr="00893B75">
              <w:rPr>
                <w:rFonts w:ascii="Verdana" w:hAnsi="Verdana" w:cs="Arial"/>
              </w:rPr>
              <w:t>Ahora bien, respecto a la pregunta planteada debe señalarse que, un</w:t>
            </w:r>
            <w:r w:rsidRPr="00AC06A4">
              <w:rPr>
                <w:rFonts w:ascii="Verdana" w:hAnsi="Verdana"/>
              </w:rPr>
              <w:t xml:space="preserve"> contrato de tracto sucesivo es aquel en el que las prestaciones de las partes se cumplen de manera repetida y prolongada en el tiempo, en lugar de realizarse en un solo acto</w:t>
            </w:r>
            <w:r w:rsidRPr="00AC06A4">
              <w:rPr>
                <w:rFonts w:ascii="Verdana" w:hAnsi="Verdana"/>
                <w:color w:val="0A0A0A"/>
                <w:shd w:val="clear" w:color="auto" w:fill="FFFFFF"/>
              </w:rPr>
              <w:t>. Estos contratos se caracterizan por extenderse durante un período determinado o indetermina</w:t>
            </w:r>
            <w:r w:rsidRPr="00893B75">
              <w:rPr>
                <w:rFonts w:ascii="Verdana" w:hAnsi="Verdana"/>
                <w:color w:val="0A0A0A"/>
                <w:shd w:val="clear" w:color="auto" w:fill="FFFFFF"/>
              </w:rPr>
              <w:t xml:space="preserve">. </w:t>
            </w:r>
            <w:r w:rsidRPr="00AC06A4">
              <w:rPr>
                <w:rFonts w:ascii="Verdana" w:hAnsi="Verdana"/>
              </w:rPr>
              <w:t>Así, los contratos de tracto sucesivo o sucesivos o de ejecución sucesiva, se caracterizan por tener por objeto una serie de prestaciones repetidas y sucesivas que no se cumplen en un solo instante, sino que requieren para su ejecución de cierto período, determinado o no, en el cual las relaciones jurídicas que de él dimanan se prolongan o perpetúan.</w:t>
            </w:r>
            <w:r>
              <w:rPr>
                <w:rFonts w:ascii="Verdana" w:hAnsi="Verdana"/>
              </w:rPr>
              <w:t xml:space="preserve"> Ejemplo de ello son </w:t>
            </w:r>
            <w:r w:rsidRPr="00AC06A4">
              <w:rPr>
                <w:rFonts w:ascii="Verdana" w:hAnsi="Verdana"/>
                <w:color w:val="0A0A0A"/>
                <w:shd w:val="clear" w:color="auto" w:fill="FFFFFF"/>
              </w:rPr>
              <w:t xml:space="preserve">los contratos de arrendamiento, </w:t>
            </w:r>
            <w:r>
              <w:rPr>
                <w:rFonts w:ascii="Verdana" w:hAnsi="Verdana"/>
                <w:color w:val="0A0A0A"/>
                <w:shd w:val="clear" w:color="auto" w:fill="FFFFFF"/>
              </w:rPr>
              <w:t xml:space="preserve">objeto de la consukta, </w:t>
            </w:r>
            <w:r w:rsidRPr="00AC06A4">
              <w:rPr>
                <w:rFonts w:ascii="Verdana" w:hAnsi="Verdana"/>
                <w:color w:val="0A0A0A"/>
                <w:shd w:val="clear" w:color="auto" w:fill="FFFFFF"/>
              </w:rPr>
              <w:t>de servicios públicos o de suministro. </w:t>
            </w:r>
          </w:p>
          <w:p w14:paraId="3895FD22" w14:textId="77777777" w:rsidR="00893B75" w:rsidRPr="00893B75" w:rsidRDefault="00893B75" w:rsidP="00AC06A4">
            <w:pPr>
              <w:jc w:val="both"/>
            </w:pPr>
          </w:p>
          <w:p w14:paraId="11CCC5DC" w14:textId="13D01BA8" w:rsidR="00AC3C21" w:rsidRPr="00447AA4" w:rsidRDefault="00893B75" w:rsidP="00AC06A4">
            <w:pPr>
              <w:pStyle w:val="Prrafodelista"/>
              <w:spacing w:after="120" w:line="276" w:lineRule="auto"/>
              <w:ind w:left="32"/>
              <w:jc w:val="both"/>
              <w:rPr>
                <w:rFonts w:ascii="Verdana" w:eastAsia="Times New Roman" w:hAnsi="Verdana" w:cs="Arial"/>
                <w:color w:val="000000" w:themeColor="text1"/>
              </w:rPr>
            </w:pPr>
            <w:r>
              <w:rPr>
                <w:rFonts w:ascii="Verdana" w:eastAsia="Calibri" w:hAnsi="Verdana" w:cs="Arial"/>
              </w:rPr>
              <w:t xml:space="preserve">ii. </w:t>
            </w:r>
            <w:r w:rsidR="00AC3C21" w:rsidRPr="00447AA4">
              <w:rPr>
                <w:rFonts w:ascii="Verdana" w:eastAsia="Times New Roman" w:hAnsi="Verdana" w:cs="Arial"/>
                <w:color w:val="000000" w:themeColor="text1"/>
              </w:rPr>
              <w:t xml:space="preserve">Los contratos de arrendamiento </w:t>
            </w:r>
            <w:r w:rsidR="00AC3C21" w:rsidRPr="00AC06A4">
              <w:rPr>
                <w:rFonts w:ascii="Verdana" w:eastAsia="Times New Roman" w:hAnsi="Verdana" w:cs="Arial"/>
                <w:color w:val="000000" w:themeColor="text1"/>
              </w:rPr>
              <w:t>si deben ser liquidados, en el entendido que se trata de contratos que por esencia son de tracto sucesivo</w:t>
            </w:r>
            <w:r w:rsidR="00AC3C21" w:rsidRPr="00447AA4">
              <w:rPr>
                <w:rFonts w:ascii="Verdana" w:eastAsia="Times New Roman" w:hAnsi="Verdana" w:cs="Arial"/>
                <w:color w:val="000000" w:themeColor="text1"/>
              </w:rPr>
              <w:t xml:space="preserve"> de acuerdo con lo explicado en el numeral anterior. </w:t>
            </w:r>
          </w:p>
          <w:p w14:paraId="77CF472F" w14:textId="712E8099" w:rsidR="00AC3C21" w:rsidRPr="00447AA4" w:rsidRDefault="00AC3C21" w:rsidP="00AC06A4">
            <w:pPr>
              <w:spacing w:after="120" w:line="276" w:lineRule="auto"/>
              <w:ind w:firstLine="709"/>
              <w:jc w:val="both"/>
              <w:rPr>
                <w:rFonts w:ascii="Verdana" w:eastAsia="Calibri" w:hAnsi="Verdana" w:cs="Arial"/>
                <w:lang w:val="es-ES"/>
              </w:rPr>
            </w:pPr>
            <w:r>
              <w:rPr>
                <w:rFonts w:ascii="Verdana" w:eastAsia="Calibri" w:hAnsi="Verdana" w:cs="Arial"/>
                <w:color w:val="000000" w:themeColor="text1"/>
              </w:rPr>
              <w:t>E</w:t>
            </w:r>
            <w:r w:rsidRPr="00BC00A6">
              <w:rPr>
                <w:rFonts w:ascii="Verdana" w:eastAsia="Calibri" w:hAnsi="Verdana" w:cs="Arial"/>
                <w:color w:val="000000" w:themeColor="text1"/>
              </w:rPr>
              <w:t xml:space="preserve">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 </w:t>
            </w:r>
          </w:p>
        </w:tc>
      </w:tr>
    </w:tbl>
    <w:p w14:paraId="7CD7D75D" w14:textId="77777777" w:rsidR="00AC3C21" w:rsidRPr="00593A5F" w:rsidRDefault="00AC3C21" w:rsidP="00AC3C21">
      <w:pPr>
        <w:tabs>
          <w:tab w:val="left" w:pos="142"/>
          <w:tab w:val="left" w:pos="284"/>
        </w:tabs>
        <w:spacing w:after="0" w:line="276" w:lineRule="auto"/>
        <w:jc w:val="both"/>
        <w:rPr>
          <w:rFonts w:ascii="Verdana" w:eastAsia="Century Gothic" w:hAnsi="Verdana" w:cs="Century Gothic"/>
          <w:b/>
          <w:bCs/>
          <w:lang w:val="es-ES"/>
        </w:rPr>
      </w:pPr>
    </w:p>
    <w:p w14:paraId="7F6DF687"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897A10A" w14:textId="77777777" w:rsidR="00AC3C21" w:rsidRPr="00593A5F" w:rsidRDefault="00AC3C21" w:rsidP="00AC3C21">
      <w:pPr>
        <w:spacing w:after="0" w:line="276" w:lineRule="auto"/>
        <w:jc w:val="both"/>
        <w:rPr>
          <w:rFonts w:ascii="Verdana" w:eastAsia="Calibri" w:hAnsi="Verdana" w:cs="Arial"/>
          <w:color w:val="7030A0"/>
          <w:lang w:val="es-ES"/>
        </w:rPr>
      </w:pPr>
    </w:p>
    <w:p w14:paraId="0E9E46D7" w14:textId="6276559D" w:rsidR="00AC3C21" w:rsidRDefault="00AC3C21" w:rsidP="0095770E">
      <w:pPr>
        <w:spacing w:after="0" w:line="276" w:lineRule="auto"/>
        <w:jc w:val="both"/>
        <w:rPr>
          <w:rFonts w:ascii="Verdana" w:eastAsia="Calibri" w:hAnsi="Verdana" w:cs="Arial"/>
          <w:lang w:val="es-ES"/>
        </w:rPr>
      </w:pPr>
      <w:r w:rsidRPr="00FB372A">
        <w:rPr>
          <w:rFonts w:ascii="Verdana" w:eastAsia="Calibri" w:hAnsi="Verdana" w:cs="Arial"/>
          <w:lang w:val="es-ES"/>
        </w:rPr>
        <w:t>Lo anterior se sustenta en las siguientes consideraciones:</w:t>
      </w:r>
    </w:p>
    <w:p w14:paraId="7423E1FC" w14:textId="77777777" w:rsidR="0095770E" w:rsidRDefault="0095770E" w:rsidP="0095770E">
      <w:pPr>
        <w:spacing w:after="0" w:line="276" w:lineRule="auto"/>
        <w:jc w:val="both"/>
        <w:rPr>
          <w:rFonts w:ascii="Verdana" w:eastAsia="Calibri" w:hAnsi="Verdana" w:cs="Arial"/>
          <w:lang w:val="es-ES"/>
        </w:rPr>
      </w:pPr>
    </w:p>
    <w:p w14:paraId="691070CF" w14:textId="77777777" w:rsidR="00AC3C21" w:rsidRDefault="00AC3C21" w:rsidP="00AC3C21">
      <w:pPr>
        <w:spacing w:line="276" w:lineRule="auto"/>
        <w:jc w:val="both"/>
        <w:rPr>
          <w:rFonts w:ascii="Verdana" w:eastAsia="Calibri" w:hAnsi="Verdana" w:cs="Arial"/>
        </w:rPr>
      </w:pPr>
      <w:r w:rsidRPr="00BC00A6">
        <w:rPr>
          <w:rFonts w:ascii="Verdana" w:eastAsia="Calibri" w:hAnsi="Verdana"/>
        </w:rPr>
        <w:lastRenderedPageBreak/>
        <w:t>Sobre el particular</w:t>
      </w:r>
      <w:r w:rsidRPr="00BC00A6">
        <w:rPr>
          <w:rFonts w:ascii="Verdana" w:eastAsia="Calibri" w:hAnsi="Verdana" w:cs="Arial"/>
        </w:rPr>
        <w:t xml:space="preserve"> cabe mencionar que la liquidación es el momento en el cual, una vez concluido el contrato estatal, las partes cruzan cuentas respecto de sus obligaciones, por tanto, su objetivo es determinar si pueden declararse a paz y salvo mutuo o si, por el contrario, existen obligaciones por cumplir, para acordar la forma en que deben ser cumplidas</w:t>
      </w:r>
      <w:r w:rsidRPr="007F2F56">
        <w:footnoteReference w:id="1"/>
      </w:r>
      <w:r w:rsidRPr="00BC00A6">
        <w:rPr>
          <w:rFonts w:ascii="Verdana" w:eastAsia="Calibri" w:hAnsi="Verdana" w:cs="Arial"/>
        </w:rPr>
        <w:t xml:space="preserve">. En armonía con lo anterior, la doctrina ha definido la liquidación de la siguiente manera: </w:t>
      </w:r>
    </w:p>
    <w:p w14:paraId="36C492B6" w14:textId="77777777" w:rsidR="00AC3C21" w:rsidRPr="00BC00A6" w:rsidRDefault="00AC3C21" w:rsidP="00AC06A4">
      <w:pPr>
        <w:spacing w:line="240" w:lineRule="auto"/>
        <w:ind w:left="709" w:right="709"/>
        <w:jc w:val="both"/>
        <w:rPr>
          <w:rFonts w:ascii="Verdana" w:eastAsia="Calibri" w:hAnsi="Verdana" w:cs="Arial"/>
          <w:sz w:val="21"/>
          <w:szCs w:val="21"/>
          <w:lang w:val="es-ES"/>
        </w:rPr>
      </w:pPr>
      <w:r w:rsidRPr="00BC00A6">
        <w:rPr>
          <w:rFonts w:ascii="Verdana" w:eastAsia="Calibri" w:hAnsi="Verdana" w:cs="Arial"/>
          <w:sz w:val="21"/>
          <w:szCs w:val="21"/>
          <w:lang w:val="es-ES"/>
        </w:rPr>
        <w:t>“[…] la liquidación del contrato estatal corresponde al arreglo o ajuste económico, técnico y jurídico al que se llega de forma bilateral (por las partes del negocio), unilateralmente (por la administración), por el juez o 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BC00A6">
        <w:rPr>
          <w:rFonts w:ascii="Verdana" w:eastAsia="Calibri" w:hAnsi="Verdana" w:cs="Arial"/>
          <w:sz w:val="21"/>
          <w:szCs w:val="21"/>
          <w:lang w:val="es-ES"/>
        </w:rPr>
        <w:footnoteReference w:id="2"/>
      </w:r>
      <w:r w:rsidRPr="00BC00A6">
        <w:rPr>
          <w:rFonts w:ascii="Verdana" w:eastAsia="Calibri" w:hAnsi="Verdana" w:cs="Arial"/>
          <w:sz w:val="21"/>
          <w:szCs w:val="21"/>
          <w:lang w:val="es-ES"/>
        </w:rPr>
        <w:t xml:space="preserve">.” </w:t>
      </w:r>
    </w:p>
    <w:p w14:paraId="2E3D1DF8" w14:textId="77777777" w:rsidR="00AC3C21" w:rsidRDefault="00AC3C21" w:rsidP="00AC3C21">
      <w:pPr>
        <w:spacing w:line="276" w:lineRule="auto"/>
        <w:contextualSpacing/>
        <w:jc w:val="both"/>
        <w:rPr>
          <w:rFonts w:ascii="Verdana" w:eastAsia="Calibri" w:hAnsi="Verdana" w:cs="Arial"/>
          <w:lang w:val="es-ES"/>
        </w:rPr>
      </w:pPr>
    </w:p>
    <w:p w14:paraId="769D30BA" w14:textId="6357E74A" w:rsidR="00AC3C21" w:rsidRPr="00BC00A6" w:rsidRDefault="00AC3C21" w:rsidP="00AC06A4">
      <w:pPr>
        <w:spacing w:after="120" w:line="276" w:lineRule="auto"/>
        <w:ind w:firstLine="567"/>
        <w:jc w:val="both"/>
        <w:rPr>
          <w:rFonts w:ascii="Verdana" w:eastAsia="Calibri" w:hAnsi="Verdana" w:cs="Arial"/>
        </w:rPr>
      </w:pPr>
      <w:r w:rsidRPr="00BC00A6">
        <w:rPr>
          <w:rFonts w:ascii="Verdana" w:eastAsia="Calibri" w:hAnsi="Verdana" w:cs="Arial"/>
        </w:rPr>
        <w:lastRenderedPageBreak/>
        <w:t>En línea con lo anterior, 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liquidar supone un ajuste en relación con las cuentas y el estado de cumplimiento del contrato estatal y, por el otro, que la liquidación debe incluir el análisis de las condiciones de calidad y oportunidad en la entrega de los bienes, obras o servicios, así como el balance económico y el acompañamiento financiero del negocio</w:t>
      </w:r>
      <w:r w:rsidRPr="00AC06A4">
        <w:rPr>
          <w:vertAlign w:val="superscript"/>
        </w:rPr>
        <w:footnoteReference w:id="3"/>
      </w:r>
      <w:r w:rsidRPr="00BC00A6">
        <w:rPr>
          <w:rFonts w:ascii="Verdana" w:eastAsia="Calibri" w:hAnsi="Verdana" w:cs="Arial"/>
        </w:rPr>
        <w:t>.</w:t>
      </w:r>
    </w:p>
    <w:p w14:paraId="07635505"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 </w:t>
      </w:r>
    </w:p>
    <w:p w14:paraId="7EB1318C" w14:textId="64BADE9A" w:rsidR="00AC3C21" w:rsidRPr="00AC06A4" w:rsidRDefault="00AC3C21" w:rsidP="00AC06A4">
      <w:pPr>
        <w:pStyle w:val="Prrafodelista"/>
        <w:spacing w:after="0" w:line="240" w:lineRule="auto"/>
        <w:ind w:left="709" w:right="709"/>
        <w:jc w:val="both"/>
        <w:rPr>
          <w:rFonts w:ascii="Verdana" w:eastAsia="Calibri" w:hAnsi="Verdana" w:cs="Arial"/>
          <w:sz w:val="20"/>
          <w:szCs w:val="20"/>
        </w:rPr>
      </w:pPr>
      <w:r w:rsidRPr="00AC06A4">
        <w:rPr>
          <w:rFonts w:ascii="Verdana" w:eastAsia="Calibri" w:hAnsi="Verdana" w:cs="Arial"/>
          <w:sz w:val="20"/>
          <w:szCs w:val="20"/>
        </w:rPr>
        <w:t>“La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“los acuerdos, conciliaciones y transacciones a que llegaren las partes para poner fin a las divergencias presentadas y poder declararse a paz y salvo</w:t>
      </w:r>
      <w:r w:rsidRPr="00AC06A4">
        <w:rPr>
          <w:rFonts w:ascii="Verdana" w:hAnsi="Verdana"/>
          <w:sz w:val="20"/>
          <w:szCs w:val="20"/>
        </w:rPr>
        <w:footnoteReference w:id="4"/>
      </w:r>
      <w:r w:rsidRPr="00AC06A4">
        <w:rPr>
          <w:rFonts w:ascii="Verdana" w:eastAsia="Calibri" w:hAnsi="Verdana" w:cs="Arial"/>
          <w:sz w:val="20"/>
          <w:szCs w:val="20"/>
        </w:rPr>
        <w:t>.”</w:t>
      </w:r>
    </w:p>
    <w:p w14:paraId="6D9454AB" w14:textId="77777777" w:rsidR="00215EBD" w:rsidRDefault="00215EBD" w:rsidP="00AC06A4">
      <w:pPr>
        <w:spacing w:after="0" w:line="276" w:lineRule="auto"/>
        <w:ind w:firstLine="567"/>
        <w:jc w:val="both"/>
        <w:rPr>
          <w:rFonts w:ascii="Verdana" w:eastAsia="Calibri" w:hAnsi="Verdana" w:cs="Arial"/>
        </w:rPr>
      </w:pPr>
    </w:p>
    <w:p w14:paraId="6EC6D28D" w14:textId="0D3962EA" w:rsidR="00AC3C21" w:rsidRPr="00BC00A6" w:rsidRDefault="00AC3C21" w:rsidP="00AC3C21">
      <w:pPr>
        <w:spacing w:after="120" w:line="276" w:lineRule="auto"/>
        <w:ind w:firstLine="567"/>
        <w:jc w:val="both"/>
        <w:rPr>
          <w:rFonts w:ascii="Verdana" w:eastAsia="Calibri" w:hAnsi="Verdana" w:cs="Arial"/>
        </w:rPr>
      </w:pPr>
      <w:r w:rsidRPr="00BC00A6">
        <w:rPr>
          <w:rFonts w:ascii="Verdana" w:eastAsia="Calibri" w:hAnsi="Verdana" w:cs="Arial"/>
        </w:rPr>
        <w:t xml:space="preserve">Las disposiciones legales que norman la etapa de liquidación de los contratos estatales son el artículo 60 de la Ley 80 de 1993, modificado por el </w:t>
      </w:r>
      <w:r w:rsidRPr="00BC00A6">
        <w:rPr>
          <w:rFonts w:ascii="Verdana" w:eastAsia="Calibri" w:hAnsi="Verdana" w:cs="Arial"/>
        </w:rPr>
        <w:lastRenderedPageBreak/>
        <w:t xml:space="preserve">artículo 217 del Decreto 019 de 2012, y el artículo 11 de la Ley 1150 de 2007. El primero de estos artículos se refiere al alcance sustantivo de la liquidación, mientras que el segundo contiene reglas procedimentales para su manejo. </w:t>
      </w:r>
    </w:p>
    <w:p w14:paraId="5C884D74" w14:textId="77777777" w:rsidR="00AC3C21" w:rsidRPr="00BC00A6" w:rsidRDefault="00AC3C21" w:rsidP="00AC3C21">
      <w:pPr>
        <w:spacing w:line="276" w:lineRule="auto"/>
        <w:ind w:firstLine="567"/>
        <w:jc w:val="both"/>
        <w:rPr>
          <w:rFonts w:ascii="Verdana" w:eastAsia="Calibri" w:hAnsi="Verdana" w:cs="Arial"/>
        </w:rPr>
      </w:pPr>
      <w:r w:rsidRPr="00BC00A6">
        <w:rPr>
          <w:rFonts w:ascii="Verdana" w:eastAsia="Calibri" w:hAnsi="Verdana" w:cs="Arial"/>
        </w:rPr>
        <w:t xml:space="preserve">Así las cosas, 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w:t>
      </w:r>
    </w:p>
    <w:p w14:paraId="74103A12" w14:textId="77777777" w:rsidR="00AC3C21" w:rsidRPr="00BC00A6" w:rsidRDefault="00AC3C21" w:rsidP="00AC3C21">
      <w:pPr>
        <w:spacing w:line="276" w:lineRule="auto"/>
        <w:ind w:firstLine="567"/>
        <w:jc w:val="both"/>
        <w:rPr>
          <w:rFonts w:ascii="Verdana" w:eastAsia="Calibri" w:hAnsi="Verdana" w:cs="Arial"/>
        </w:rPr>
      </w:pPr>
      <w:r w:rsidRPr="00BC00A6">
        <w:rPr>
          <w:rFonts w:ascii="Verdana" w:eastAsia="Calibri" w:hAnsi="Verdana" w:cs="Arial"/>
        </w:rPr>
        <w:t>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7F2F56">
        <w:footnoteReference w:id="5"/>
      </w:r>
      <w:r w:rsidRPr="00BC00A6">
        <w:rPr>
          <w:rFonts w:ascii="Verdana" w:eastAsia="Calibri" w:hAnsi="Verdana" w:cs="Arial"/>
        </w:rPr>
        <w:t>, así como la probabilidad de que puedan surgir diferencias durante la ejecución del contrato; sin perjuicio de que, como se indicó, todos los contratos estatales de tracto sucesivo o aquellos cuya ejecución se prolongue en el tiempo siempre deban liquidarse, convirtiéndose en estos contratos en una cláusula de la naturaleza, conforme a la clasificación prevista en el Código Civil.</w:t>
      </w:r>
    </w:p>
    <w:p w14:paraId="2D90CA10" w14:textId="77777777" w:rsidR="00AC3C21" w:rsidRPr="00BC00A6" w:rsidRDefault="00AC3C21" w:rsidP="00AC3C21">
      <w:pPr>
        <w:spacing w:line="276" w:lineRule="auto"/>
        <w:ind w:firstLine="567"/>
        <w:jc w:val="both"/>
        <w:rPr>
          <w:rFonts w:ascii="Verdana" w:eastAsia="Calibri" w:hAnsi="Verdana" w:cs="Arial"/>
        </w:rPr>
      </w:pPr>
      <w:r w:rsidRPr="00BC00A6">
        <w:rPr>
          <w:rFonts w:ascii="Verdana" w:eastAsia="Calibri" w:hAnsi="Verdana" w:cs="Arial"/>
        </w:rPr>
        <w:t>El artículo 11 de la Ley 1150 de 2007</w:t>
      </w:r>
      <w:r w:rsidRPr="00AC06A4">
        <w:rPr>
          <w:vertAlign w:val="superscript"/>
        </w:rPr>
        <w:footnoteReference w:id="6"/>
      </w:r>
      <w:r w:rsidRPr="00BC00A6">
        <w:rPr>
          <w:rFonts w:ascii="Verdana" w:eastAsia="Calibri" w:hAnsi="Verdana" w:cs="Arial"/>
        </w:rPr>
        <w:t xml:space="preserve"> contiene las reglas de tipo procedimental para liquidar los contratos estatales, las cuales se pasan a explicar. En primer lugar, en ejercicio de la autonomía de la voluntad y de conformidad con los criterios de la naturaleza, objeto y plazo del contrato, la </w:t>
      </w:r>
      <w:r w:rsidRPr="00BC00A6">
        <w:rPr>
          <w:rFonts w:ascii="Verdana" w:eastAsia="Calibri" w:hAnsi="Verdana" w:cs="Arial"/>
        </w:rPr>
        <w:lastRenderedPageBreak/>
        <w:t>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w:t>
      </w:r>
    </w:p>
    <w:p w14:paraId="26A495AA"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El artículo 11 de la Ley 1150 de 2007 señala que la liquidación de mutuo acuerdo se deberá realizar dentro del plazo previsto en “los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“materializa los principios de planeación contractual y de trasparencia, comoquiera que su adecuada formulación permite o garantiza la selección objetiva del contratista de acuerdo con los parámetros de calificación correspondientes para cada tipo de procedimiento [y que] constituye la ley tanto del procedimiento administrativo de selección del contratista, como del contrato a celebrar”</w:t>
      </w:r>
      <w:r w:rsidRPr="00AC06A4">
        <w:rPr>
          <w:vertAlign w:val="superscript"/>
        </w:rPr>
        <w:footnoteReference w:id="7"/>
      </w:r>
      <w:r w:rsidRPr="00BC00A6">
        <w:rPr>
          <w:rFonts w:ascii="Verdana" w:eastAsia="Calibri" w:hAnsi="Verdana" w:cs="Arial"/>
        </w:rPr>
        <w:t xml:space="preserve">. </w:t>
      </w:r>
    </w:p>
    <w:p w14:paraId="130E6A09" w14:textId="77777777" w:rsidR="00AC3C21" w:rsidRPr="00B477CC"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 xml:space="preserve">De otra parte, cuando el artículo 11 de la Ley 1150 de 2007 hace referencia al término “acuerden las partes” para los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entraña una modificación del contrato. </w:t>
      </w:r>
    </w:p>
    <w:p w14:paraId="2B06957E"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 xml:space="preserve">Ahora bien, el término de 4 meses previsto en el artículo 11 de la Ley 1150 de 2007, dado su carácter supletivo, solo resulta aplicable ante la ausencia de </w:t>
      </w:r>
      <w:r w:rsidRPr="00BC00A6">
        <w:rPr>
          <w:rFonts w:ascii="Verdana" w:eastAsia="Calibri" w:hAnsi="Verdana" w:cs="Arial"/>
        </w:rPr>
        <w:lastRenderedPageBreak/>
        <w:t>regulación de este en el pliego de condiciones –documento equivalente– o 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7F2F56">
        <w:footnoteReference w:id="8"/>
      </w:r>
      <w:r w:rsidRPr="00BC00A6">
        <w:rPr>
          <w:rFonts w:ascii="Verdana" w:eastAsia="Calibri" w:hAnsi="Verdana" w:cs="Arial"/>
        </w:rPr>
        <w:t>, lo cual implica que las mismas se desarrollen en procura de la economía y la celeridad</w:t>
      </w:r>
      <w:r w:rsidRPr="007F2F56">
        <w:footnoteReference w:id="9"/>
      </w:r>
      <w:r w:rsidRPr="00BC00A6">
        <w:rPr>
          <w:rFonts w:ascii="Verdana" w:eastAsia="Calibri" w:hAnsi="Verdana" w:cs="Arial"/>
        </w:rPr>
        <w:t>. Esto significa que, en ejercicio de la facultad que les asiste para fijar el plazo para la liquidación bilateral, las partes deben actuar en garantía de estos principios, por lo que el término que se acuerde debe ser fijado de manera razonable.</w:t>
      </w:r>
    </w:p>
    <w:p w14:paraId="36A1BB6C" w14:textId="77777777" w:rsidR="00AC3C21" w:rsidRPr="00BC00A6" w:rsidRDefault="00AC3C21" w:rsidP="00AC3C21">
      <w:pPr>
        <w:spacing w:before="120" w:line="276" w:lineRule="auto"/>
        <w:ind w:firstLine="567"/>
        <w:jc w:val="both"/>
        <w:rPr>
          <w:rFonts w:ascii="Verdana" w:eastAsia="Calibri" w:hAnsi="Verdana" w:cs="Arial"/>
        </w:rPr>
      </w:pPr>
      <w:r w:rsidRPr="00BC00A6">
        <w:rPr>
          <w:rFonts w:ascii="Verdana" w:eastAsia="Calibri" w:hAnsi="Verdana" w:cs="Aria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7F2F56">
        <w:footnoteReference w:id="10"/>
      </w:r>
      <w:r w:rsidRPr="00BC00A6">
        <w:rPr>
          <w:rFonts w:ascii="Verdana" w:eastAsia="Calibri" w:hAnsi="Verdana" w:cs="Aria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7F2F56">
        <w:footnoteReference w:id="11"/>
      </w:r>
      <w:r w:rsidRPr="00BC00A6">
        <w:rPr>
          <w:rFonts w:ascii="Verdana" w:eastAsia="Calibri" w:hAnsi="Verdana" w:cs="Arial"/>
        </w:rPr>
        <w:t xml:space="preserve">, y el </w:t>
      </w:r>
      <w:r w:rsidRPr="00BC00A6">
        <w:rPr>
          <w:rFonts w:ascii="Verdana" w:eastAsia="Calibri" w:hAnsi="Verdana" w:cs="Arial"/>
        </w:rPr>
        <w:lastRenderedPageBreak/>
        <w:t>documento que la contiene presta mérito ejecutivo, siempre que se satisfagan los elementos para considerarlo como tal.</w:t>
      </w:r>
    </w:p>
    <w:p w14:paraId="759FDDFF" w14:textId="61F8EAAD" w:rsidR="00AC3C21" w:rsidRPr="00BC00A6" w:rsidRDefault="00AC3C21" w:rsidP="00215EBD">
      <w:pPr>
        <w:spacing w:before="120" w:after="0" w:line="276" w:lineRule="auto"/>
        <w:ind w:firstLine="567"/>
        <w:jc w:val="both"/>
        <w:rPr>
          <w:rFonts w:ascii="Verdana" w:eastAsia="Calibri" w:hAnsi="Verdana" w:cs="Arial"/>
        </w:rPr>
      </w:pPr>
      <w:r w:rsidRPr="00BC00A6">
        <w:rPr>
          <w:rFonts w:ascii="Verdana" w:eastAsia="Calibri" w:hAnsi="Verdana" w:cs="Arial"/>
        </w:rPr>
        <w:t xml:space="preserve">Si no es posible efectuar la liquidación de manera bilateral, el ordenamiento jurídico prevé una facultad, de carácter subsidiario, para que la Entidad Estatal realice la liquidación unilateralmente. En relación con este aspecto, la Sala de Consulta y Servicio Civil del Consejo de Estado, en concepto del 28 de junio de 2016, manifestó que:  </w:t>
      </w:r>
    </w:p>
    <w:p w14:paraId="254FDB59" w14:textId="77777777" w:rsidR="00215EBD" w:rsidRPr="00BC00A6" w:rsidRDefault="00215EBD" w:rsidP="00AC06A4">
      <w:pPr>
        <w:spacing w:after="0" w:line="276" w:lineRule="auto"/>
        <w:ind w:firstLine="567"/>
        <w:jc w:val="both"/>
        <w:rPr>
          <w:rFonts w:ascii="Verdana" w:eastAsia="Calibri" w:hAnsi="Verdana" w:cs="Arial"/>
        </w:rPr>
      </w:pPr>
    </w:p>
    <w:p w14:paraId="76700DD5" w14:textId="77777777" w:rsidR="00215EBD" w:rsidRDefault="00AC3C21" w:rsidP="00215EBD">
      <w:pPr>
        <w:pStyle w:val="Prrafodelista"/>
        <w:spacing w:after="0" w:line="276" w:lineRule="auto"/>
        <w:ind w:left="709" w:right="709"/>
        <w:jc w:val="both"/>
        <w:rPr>
          <w:rFonts w:ascii="Verdana" w:eastAsia="Calibri" w:hAnsi="Verdana" w:cs="Arial"/>
          <w:sz w:val="21"/>
          <w:szCs w:val="21"/>
        </w:rPr>
      </w:pPr>
      <w:r w:rsidRPr="00BC00A6">
        <w:rPr>
          <w:rFonts w:ascii="Verdana" w:eastAsia="Calibri" w:hAnsi="Verdana" w:cs="Arial"/>
          <w:sz w:val="21"/>
          <w:szCs w:val="21"/>
        </w:rPr>
        <w:t>“[…] 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  </w:t>
      </w:r>
    </w:p>
    <w:p w14:paraId="11146F95" w14:textId="039E9969" w:rsidR="00AC3C21" w:rsidRPr="00BC00A6" w:rsidRDefault="00AC3C21" w:rsidP="00AC06A4">
      <w:pPr>
        <w:pStyle w:val="Prrafodelista"/>
        <w:spacing w:after="0" w:line="276" w:lineRule="auto"/>
        <w:ind w:left="709" w:right="709"/>
        <w:jc w:val="both"/>
        <w:rPr>
          <w:rFonts w:ascii="Verdana" w:eastAsia="Calibri" w:hAnsi="Verdana" w:cs="Arial"/>
          <w:sz w:val="21"/>
          <w:szCs w:val="21"/>
        </w:rPr>
      </w:pPr>
      <w:r w:rsidRPr="00BC00A6">
        <w:rPr>
          <w:rFonts w:ascii="Verdana" w:eastAsia="Calibri" w:hAnsi="Verdana" w:cs="Arial"/>
          <w:sz w:val="21"/>
          <w:szCs w:val="21"/>
        </w:rPr>
        <w:t> </w:t>
      </w:r>
    </w:p>
    <w:p w14:paraId="580968FD" w14:textId="77777777" w:rsidR="00AC3C21" w:rsidRPr="00BC00A6" w:rsidRDefault="00AC3C21" w:rsidP="00AC3C21">
      <w:pPr>
        <w:tabs>
          <w:tab w:val="left" w:pos="567"/>
        </w:tabs>
        <w:spacing w:line="276" w:lineRule="auto"/>
        <w:jc w:val="both"/>
        <w:rPr>
          <w:rFonts w:ascii="Verdana" w:eastAsia="Calibri" w:hAnsi="Verdana" w:cs="Arial"/>
        </w:rPr>
      </w:pPr>
      <w:r>
        <w:rPr>
          <w:rFonts w:ascii="Verdana" w:eastAsia="Calibri" w:hAnsi="Verdana" w:cs="Arial"/>
        </w:rPr>
        <w:tab/>
      </w:r>
      <w:r w:rsidRPr="00BC00A6">
        <w:rPr>
          <w:rFonts w:ascii="Verdana" w:eastAsia="Calibri" w:hAnsi="Verdana" w:cs="Aria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supletivos establecidos por la ley.</w:t>
      </w:r>
    </w:p>
    <w:p w14:paraId="7C0DA526" w14:textId="43CFA987" w:rsidR="00AC3C21" w:rsidRPr="00BC00A6" w:rsidRDefault="00AC3C21" w:rsidP="00215EBD">
      <w:pPr>
        <w:tabs>
          <w:tab w:val="left" w:pos="567"/>
        </w:tabs>
        <w:spacing w:after="0" w:line="276" w:lineRule="auto"/>
        <w:jc w:val="both"/>
        <w:rPr>
          <w:rFonts w:ascii="Verdana" w:eastAsia="Calibri" w:hAnsi="Verdana" w:cs="Arial"/>
        </w:rPr>
      </w:pPr>
      <w:r>
        <w:rPr>
          <w:rFonts w:ascii="Verdana" w:eastAsia="Calibri" w:hAnsi="Verdana" w:cs="Arial"/>
        </w:rPr>
        <w:tab/>
      </w:r>
      <w:r w:rsidRPr="00BC00A6">
        <w:rPr>
          <w:rFonts w:ascii="Verdana" w:eastAsia="Calibri" w:hAnsi="Verdana" w:cs="Aria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w:t>
      </w:r>
      <w:r w:rsidRPr="00BC00A6">
        <w:rPr>
          <w:rFonts w:ascii="Verdana" w:eastAsia="Calibri" w:hAnsi="Verdana" w:cs="Arial"/>
        </w:rPr>
        <w:lastRenderedPageBreak/>
        <w:t>el interesado. En ese sentido, en decisión de unificación de la Sección Tercera del Consejo de Estado, del 1 de agosto de 2019</w:t>
      </w:r>
      <w:r w:rsidRPr="007F2F56">
        <w:footnoteReference w:id="12"/>
      </w:r>
      <w:r w:rsidRPr="00BC00A6">
        <w:rPr>
          <w:rFonts w:ascii="Verdana" w:eastAsia="Calibri" w:hAnsi="Verdana" w:cs="Arial"/>
        </w:rPr>
        <w:t>, se expresó: </w:t>
      </w:r>
    </w:p>
    <w:p w14:paraId="10A77158" w14:textId="77777777" w:rsidR="00215EBD" w:rsidRPr="00BC00A6" w:rsidRDefault="00215EBD" w:rsidP="00AC06A4">
      <w:pPr>
        <w:tabs>
          <w:tab w:val="left" w:pos="567"/>
        </w:tabs>
        <w:spacing w:after="0" w:line="276" w:lineRule="auto"/>
        <w:jc w:val="both"/>
        <w:rPr>
          <w:rFonts w:ascii="Verdana" w:eastAsia="Calibri" w:hAnsi="Verdana" w:cs="Arial"/>
        </w:rPr>
      </w:pPr>
    </w:p>
    <w:p w14:paraId="32858A95" w14:textId="77777777" w:rsidR="00AC3C21" w:rsidRPr="00BC00A6" w:rsidRDefault="00AC3C21" w:rsidP="00AC3C21">
      <w:pPr>
        <w:pStyle w:val="Prrafodelista"/>
        <w:tabs>
          <w:tab w:val="left" w:pos="1650"/>
          <w:tab w:val="left" w:pos="8080"/>
        </w:tabs>
        <w:spacing w:line="276" w:lineRule="auto"/>
        <w:ind w:left="567" w:right="758"/>
        <w:jc w:val="both"/>
        <w:rPr>
          <w:rFonts w:ascii="Verdana" w:eastAsia="Calibri" w:hAnsi="Verdana" w:cs="Arial"/>
          <w:sz w:val="21"/>
          <w:szCs w:val="21"/>
        </w:rPr>
      </w:pPr>
      <w:r w:rsidRPr="00BC00A6">
        <w:rPr>
          <w:rFonts w:ascii="Verdana" w:eastAsia="Calibri" w:hAnsi="Verdana" w:cs="Arial"/>
          <w:sz w:val="21"/>
          <w:szCs w:val="21"/>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liquidatorio se logre dentro del lapso de dos años contados a partir del vencimiento del término legalmente conocido para la liquidación unilateral, pues ese es el lapso que el ordenamiento ha fijado para el ejercicio oportuno de la acción” </w:t>
      </w:r>
    </w:p>
    <w:p w14:paraId="48223FA2" w14:textId="30422620" w:rsidR="00AC3C21" w:rsidRPr="00BC00A6" w:rsidRDefault="00AC3C21" w:rsidP="00AC06A4">
      <w:pPr>
        <w:spacing w:before="120" w:after="120" w:line="276" w:lineRule="auto"/>
        <w:ind w:firstLine="567"/>
        <w:jc w:val="both"/>
        <w:rPr>
          <w:rFonts w:ascii="Verdana" w:eastAsia="Calibri" w:hAnsi="Verdana" w:cs="Arial"/>
        </w:rPr>
      </w:pPr>
      <w:r w:rsidRPr="00BC00A6">
        <w:rPr>
          <w:rFonts w:ascii="Verdana" w:eastAsia="Calibri" w:hAnsi="Verdana" w:cs="Arial"/>
        </w:rPr>
        <w:t xml:space="preserve">En </w:t>
      </w:r>
      <w:r>
        <w:rPr>
          <w:rFonts w:ascii="Verdana" w:eastAsia="Calibri" w:hAnsi="Verdana" w:cs="Arial"/>
        </w:rPr>
        <w:t>este sentido</w:t>
      </w:r>
      <w:r w:rsidRPr="00BC00A6">
        <w:rPr>
          <w:rFonts w:ascii="Verdana" w:eastAsia="Calibri" w:hAnsi="Verdana" w:cs="Arial"/>
        </w:rPr>
        <w:t>, de acuerdo con el artículo 11 de la Ley 1150 de 2007, existen tres tipos de liquidación: i) bilateral, ii) unilateral y iii) judicial. En términos generales, la primera, que puede ser total o parcial, debe hacerse en el término que lo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el Juez contencioso administrativo o un tribunal arbitral dentro de un proceso judicial de controversias contractuales y puede darse con ocasión de una demanda del interesado solicitando dicha liquidación y para ello existe un plazo máximo de 2 años contados a partir de los dos meses establecidos en la ley para realizar la liquidación unilateral, de conformidad con la citada sentencia de unificación del Consejo de Estado.</w:t>
      </w:r>
    </w:p>
    <w:p w14:paraId="234E2A8B" w14:textId="0FC72430" w:rsidR="00215EBD" w:rsidRPr="00625932" w:rsidRDefault="00215EBD" w:rsidP="00215EBD">
      <w:pPr>
        <w:spacing w:after="0" w:line="276" w:lineRule="auto"/>
        <w:ind w:firstLine="709"/>
        <w:jc w:val="both"/>
        <w:rPr>
          <w:rFonts w:ascii="Verdana" w:hAnsi="Verdana"/>
        </w:rPr>
      </w:pPr>
      <w:r w:rsidRPr="00893B75">
        <w:rPr>
          <w:rFonts w:ascii="Verdana" w:hAnsi="Verdana" w:cs="Arial"/>
        </w:rPr>
        <w:t xml:space="preserve">Ahora bien, respecto a la </w:t>
      </w:r>
      <w:r>
        <w:rPr>
          <w:rFonts w:ascii="Verdana" w:hAnsi="Verdana" w:cs="Arial"/>
        </w:rPr>
        <w:t xml:space="preserve">primera </w:t>
      </w:r>
      <w:r w:rsidRPr="00893B75">
        <w:rPr>
          <w:rFonts w:ascii="Verdana" w:hAnsi="Verdana" w:cs="Arial"/>
        </w:rPr>
        <w:t>pregunta planteada debe señalarse que, un</w:t>
      </w:r>
      <w:r w:rsidRPr="00625932">
        <w:rPr>
          <w:rFonts w:ascii="Verdana" w:hAnsi="Verdana"/>
        </w:rPr>
        <w:t xml:space="preserve"> contrato de tracto sucesivo es aquel en el que las prestaciones de las partes se cumplen de manera repetida y prolongada en el tiempo, en lugar de realizarse en un solo acto</w:t>
      </w:r>
      <w:r w:rsidRPr="00625932">
        <w:rPr>
          <w:rFonts w:ascii="Verdana" w:hAnsi="Verdana"/>
          <w:color w:val="0A0A0A"/>
          <w:shd w:val="clear" w:color="auto" w:fill="FFFFFF"/>
        </w:rPr>
        <w:t>. Estos contratos se caracterizan por extenderse durante un período determinado o indetermina</w:t>
      </w:r>
      <w:r w:rsidRPr="00893B75">
        <w:rPr>
          <w:rFonts w:ascii="Verdana" w:hAnsi="Verdana"/>
          <w:color w:val="0A0A0A"/>
          <w:shd w:val="clear" w:color="auto" w:fill="FFFFFF"/>
        </w:rPr>
        <w:t xml:space="preserve">. </w:t>
      </w:r>
      <w:r w:rsidRPr="00625932">
        <w:rPr>
          <w:rFonts w:ascii="Verdana" w:hAnsi="Verdana"/>
        </w:rPr>
        <w:t xml:space="preserve">Así, los contratos de tracto sucesivo o </w:t>
      </w:r>
      <w:r w:rsidRPr="00625932">
        <w:rPr>
          <w:rFonts w:ascii="Verdana" w:hAnsi="Verdana"/>
        </w:rPr>
        <w:lastRenderedPageBreak/>
        <w:t>sucesivos o de ejecución sucesiva, se caracterizan por tener por objeto una serie de prestaciones repetidas y sucesivas que no se cumplen en un solo instante, sino que requieren para su ejecución de cierto período, determinado o no, en el cual las relaciones jurídicas que de él dimanan se prolongan o perpetúan.</w:t>
      </w:r>
      <w:r>
        <w:rPr>
          <w:rFonts w:ascii="Verdana" w:hAnsi="Verdana"/>
        </w:rPr>
        <w:t xml:space="preserve"> Ejemplo de ello son </w:t>
      </w:r>
      <w:r w:rsidRPr="00625932">
        <w:rPr>
          <w:rFonts w:ascii="Verdana" w:hAnsi="Verdana"/>
          <w:color w:val="0A0A0A"/>
          <w:shd w:val="clear" w:color="auto" w:fill="FFFFFF"/>
        </w:rPr>
        <w:t xml:space="preserve">los contratos de arrendamiento, </w:t>
      </w:r>
      <w:r>
        <w:rPr>
          <w:rFonts w:ascii="Verdana" w:hAnsi="Verdana"/>
          <w:color w:val="0A0A0A"/>
          <w:shd w:val="clear" w:color="auto" w:fill="FFFFFF"/>
        </w:rPr>
        <w:t xml:space="preserve">objeto de la consukta, </w:t>
      </w:r>
      <w:r w:rsidRPr="00625932">
        <w:rPr>
          <w:rFonts w:ascii="Verdana" w:hAnsi="Verdana"/>
          <w:color w:val="0A0A0A"/>
          <w:shd w:val="clear" w:color="auto" w:fill="FFFFFF"/>
        </w:rPr>
        <w:t>de servicios públicos o de suministro. </w:t>
      </w:r>
    </w:p>
    <w:p w14:paraId="08C2D178" w14:textId="77777777" w:rsidR="00215EBD" w:rsidRPr="00893B75" w:rsidRDefault="00215EBD" w:rsidP="00215EBD">
      <w:pPr>
        <w:spacing w:after="0" w:line="240" w:lineRule="auto"/>
        <w:jc w:val="both"/>
      </w:pPr>
    </w:p>
    <w:p w14:paraId="74BD7569" w14:textId="105F2B50" w:rsidR="00215EBD" w:rsidRPr="00AC06A4" w:rsidRDefault="00215EBD" w:rsidP="00AC06A4">
      <w:pPr>
        <w:pStyle w:val="Prrafodelista"/>
        <w:spacing w:after="120" w:line="276" w:lineRule="auto"/>
        <w:ind w:left="32" w:firstLine="535"/>
        <w:jc w:val="both"/>
        <w:rPr>
          <w:rFonts w:ascii="Verdana" w:eastAsia="Times New Roman" w:hAnsi="Verdana" w:cs="Arial"/>
          <w:color w:val="000000" w:themeColor="text1"/>
        </w:rPr>
      </w:pPr>
      <w:r>
        <w:rPr>
          <w:rFonts w:ascii="Verdana" w:eastAsia="Times New Roman" w:hAnsi="Verdana" w:cs="Arial"/>
          <w:color w:val="000000" w:themeColor="text1"/>
        </w:rPr>
        <w:t>Respecto a la segunda pregunta debe decirse que, l</w:t>
      </w:r>
      <w:r w:rsidRPr="00447AA4">
        <w:rPr>
          <w:rFonts w:ascii="Verdana" w:eastAsia="Times New Roman" w:hAnsi="Verdana" w:cs="Arial"/>
          <w:color w:val="000000" w:themeColor="text1"/>
        </w:rPr>
        <w:t xml:space="preserve">os contratos de </w:t>
      </w:r>
      <w:r w:rsidRPr="00215EBD">
        <w:rPr>
          <w:rFonts w:ascii="Verdana" w:eastAsia="Times New Roman" w:hAnsi="Verdana" w:cs="Arial"/>
          <w:color w:val="000000" w:themeColor="text1"/>
        </w:rPr>
        <w:t xml:space="preserve">arrendamiento </w:t>
      </w:r>
      <w:r w:rsidRPr="00625932">
        <w:rPr>
          <w:rFonts w:ascii="Verdana" w:eastAsia="Times New Roman" w:hAnsi="Verdana" w:cs="Arial"/>
          <w:color w:val="000000" w:themeColor="text1"/>
        </w:rPr>
        <w:t>si deben ser liquidados, en el entendido que se trata de contratos que por esencia son de tracto sucesivo</w:t>
      </w:r>
      <w:r w:rsidRPr="00447AA4">
        <w:rPr>
          <w:rFonts w:ascii="Verdana" w:eastAsia="Times New Roman" w:hAnsi="Verdana" w:cs="Arial"/>
          <w:color w:val="000000" w:themeColor="text1"/>
        </w:rPr>
        <w:t xml:space="preserve"> de acuerdo con lo explicado en el numeral anterior. </w:t>
      </w:r>
      <w:r>
        <w:rPr>
          <w:rFonts w:ascii="Verdana" w:eastAsia="Calibri" w:hAnsi="Verdana" w:cs="Arial"/>
          <w:color w:val="000000" w:themeColor="text1"/>
        </w:rPr>
        <w:t>E</w:t>
      </w:r>
      <w:r w:rsidRPr="00BC00A6">
        <w:rPr>
          <w:rFonts w:ascii="Verdana" w:eastAsia="Calibri" w:hAnsi="Verdana" w:cs="Arial"/>
          <w:color w:val="000000" w:themeColor="text1"/>
        </w:rPr>
        <w:t>n los casos en donde una de las partes del contrato de arrendamiento sea una entidad pública, este contrato adquiere el carácter de estatal y su contenido se enmarcará en las normas civiles y comerciales que lo regulan, además de las establecidas en el Estatuto General de Contratación de la Administración Pública</w:t>
      </w:r>
      <w:r>
        <w:rPr>
          <w:rFonts w:ascii="Verdana" w:eastAsia="Calibri" w:hAnsi="Verdana" w:cs="Arial"/>
          <w:color w:val="000000" w:themeColor="text1"/>
        </w:rPr>
        <w:t>.</w:t>
      </w:r>
    </w:p>
    <w:p w14:paraId="624BD94C" w14:textId="77777777" w:rsidR="00AC3C21" w:rsidRDefault="00AC3C21" w:rsidP="00AC3C21">
      <w:pPr>
        <w:spacing w:after="0" w:line="276" w:lineRule="auto"/>
        <w:jc w:val="both"/>
        <w:rPr>
          <w:rFonts w:ascii="Verdana" w:eastAsia="Calibri" w:hAnsi="Verdana" w:cs="Arial"/>
          <w:lang w:val="es-ES"/>
        </w:rPr>
      </w:pPr>
    </w:p>
    <w:p w14:paraId="12DC1A8B"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20F3097C" w14:textId="77777777" w:rsidR="00AC3C21" w:rsidRPr="00593A5F" w:rsidRDefault="00AC3C21" w:rsidP="00AC3C2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C3C21" w:rsidRPr="00593A5F" w14:paraId="78CE5627" w14:textId="77777777" w:rsidTr="001360B8">
        <w:trPr>
          <w:trHeight w:val="870"/>
        </w:trPr>
        <w:tc>
          <w:tcPr>
            <w:tcW w:w="8647" w:type="dxa"/>
          </w:tcPr>
          <w:p w14:paraId="26BF9C5C" w14:textId="77777777" w:rsidR="00AC3C21" w:rsidRPr="00B35714"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6F5A5A">
              <w:rPr>
                <w:rFonts w:ascii="Verdana" w:eastAsia="Calibri" w:hAnsi="Verdana" w:cs="Arial"/>
                <w:lang w:eastAsia="es-ES"/>
              </w:rPr>
              <w:t>Ley 80 de 1993</w:t>
            </w:r>
            <w:r>
              <w:rPr>
                <w:rFonts w:ascii="Verdana" w:eastAsia="Calibri" w:hAnsi="Verdana" w:cs="Arial"/>
                <w:lang w:eastAsia="es-ES"/>
              </w:rPr>
              <w:t xml:space="preserve"> artículo 60, </w:t>
            </w:r>
            <w:r w:rsidRPr="006F5A5A">
              <w:rPr>
                <w:rFonts w:ascii="Verdana" w:eastAsia="Calibri" w:hAnsi="Verdana" w:cs="Arial"/>
                <w:lang w:eastAsia="es-ES"/>
              </w:rPr>
              <w:t>Decreto 019 de 2012</w:t>
            </w:r>
            <w:r>
              <w:rPr>
                <w:rFonts w:ascii="Verdana" w:eastAsia="Calibri" w:hAnsi="Verdana" w:cs="Arial"/>
                <w:lang w:eastAsia="es-ES"/>
              </w:rPr>
              <w:t xml:space="preserve"> </w:t>
            </w:r>
            <w:r w:rsidRPr="006F5A5A">
              <w:rPr>
                <w:rFonts w:ascii="Verdana" w:eastAsia="Calibri" w:hAnsi="Verdana" w:cs="Arial"/>
                <w:lang w:eastAsia="es-ES"/>
              </w:rPr>
              <w:t>artículo 217 el Ley 1150 de 2007</w:t>
            </w:r>
            <w:r>
              <w:rPr>
                <w:rFonts w:ascii="Verdana" w:eastAsia="Calibri" w:hAnsi="Verdana" w:cs="Arial"/>
                <w:lang w:eastAsia="es-ES"/>
              </w:rPr>
              <w:t xml:space="preserve"> </w:t>
            </w:r>
            <w:r w:rsidRPr="006F5A5A">
              <w:rPr>
                <w:rFonts w:ascii="Verdana" w:eastAsia="Calibri" w:hAnsi="Verdana" w:cs="Arial"/>
                <w:lang w:eastAsia="es-ES"/>
              </w:rPr>
              <w:t>artículo 11</w:t>
            </w:r>
            <w:r>
              <w:rPr>
                <w:rFonts w:ascii="Verdana" w:eastAsia="Calibri" w:hAnsi="Verdana" w:cs="Arial"/>
                <w:lang w:eastAsia="es-ES"/>
              </w:rPr>
              <w:t>.</w:t>
            </w:r>
          </w:p>
          <w:p w14:paraId="1FDE45BF" w14:textId="77777777" w:rsidR="00AC3C21" w:rsidRPr="00B35714"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B35714">
              <w:rPr>
                <w:rFonts w:ascii="Verdana" w:eastAsia="Century Gothic" w:hAnsi="Verdana" w:cs="Century Gothic"/>
              </w:rPr>
              <w:t xml:space="preserve"> </w:t>
            </w:r>
            <w:r w:rsidRPr="00B35714">
              <w:rPr>
                <w:rFonts w:ascii="Verdana" w:hAnsi="Verdana" w:cs="Arial"/>
              </w:rPr>
              <w:t xml:space="preserve">Jurisprudencia del Consejo de Estado. Disponible en: </w:t>
            </w:r>
            <w:hyperlink r:id="rId13" w:history="1">
              <w:r w:rsidRPr="00B35714">
                <w:rPr>
                  <w:rStyle w:val="Hipervnculo"/>
                  <w:rFonts w:ascii="Verdana" w:hAnsi="Verdana" w:cs="Arial"/>
                </w:rPr>
                <w:t>https://relatoria.colombiacompra.gov.co/providencias-consejo-de-estado/</w:t>
              </w:r>
            </w:hyperlink>
            <w:r w:rsidRPr="00B35714">
              <w:rPr>
                <w:rFonts w:ascii="Verdana" w:hAnsi="Verdana" w:cs="Arial"/>
              </w:rPr>
              <w:t xml:space="preserve"> </w:t>
            </w:r>
          </w:p>
          <w:p w14:paraId="2D267F70" w14:textId="77777777" w:rsidR="00AC3C21" w:rsidRPr="00B35714" w:rsidRDefault="00AC3C21" w:rsidP="001360B8">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B35714">
              <w:rPr>
                <w:rFonts w:ascii="Verdana" w:hAnsi="Verdana" w:cs="Arial"/>
              </w:rPr>
              <w:t>Guías y manuales expedidos por la ANCP-CCE. Disponible en:</w:t>
            </w:r>
            <w:r w:rsidRPr="00B35714">
              <w:rPr>
                <w:rFonts w:ascii="Verdana" w:hAnsi="Verdana"/>
              </w:rPr>
              <w:t xml:space="preserve"> </w:t>
            </w:r>
            <w:hyperlink r:id="rId14" w:history="1">
              <w:r w:rsidRPr="00B35714">
                <w:rPr>
                  <w:rStyle w:val="Hipervnculo"/>
                  <w:rFonts w:ascii="Verdana" w:hAnsi="Verdana" w:cs="Arial"/>
                </w:rPr>
                <w:t>https://www.colombiacompra.gov.co/manuales-guias-y-pliegos-tipo/manuales-y-guias</w:t>
              </w:r>
            </w:hyperlink>
            <w:r w:rsidRPr="00B35714">
              <w:rPr>
                <w:rFonts w:ascii="Verdana" w:hAnsi="Verdana" w:cs="Arial"/>
              </w:rPr>
              <w:t xml:space="preserve"> </w:t>
            </w:r>
          </w:p>
          <w:p w14:paraId="38F3B75E" w14:textId="77777777" w:rsidR="00AC3C21" w:rsidRPr="00A61B0C" w:rsidRDefault="00AC3C21" w:rsidP="001360B8">
            <w:pPr>
              <w:widowControl w:val="0"/>
              <w:autoSpaceDE w:val="0"/>
              <w:autoSpaceDN w:val="0"/>
              <w:spacing w:line="276" w:lineRule="auto"/>
              <w:ind w:left="714"/>
              <w:contextualSpacing/>
              <w:jc w:val="both"/>
              <w:rPr>
                <w:rFonts w:ascii="Verdana" w:eastAsia="Aptos" w:hAnsi="Verdana" w:cs="Arial"/>
              </w:rPr>
            </w:pPr>
          </w:p>
        </w:tc>
      </w:tr>
    </w:tbl>
    <w:p w14:paraId="1ECC2189" w14:textId="77777777" w:rsidR="00AC3C21" w:rsidRDefault="00AC3C21" w:rsidP="00AC3C21">
      <w:pPr>
        <w:widowControl w:val="0"/>
        <w:autoSpaceDE w:val="0"/>
        <w:autoSpaceDN w:val="0"/>
        <w:spacing w:after="0" w:line="276" w:lineRule="auto"/>
        <w:jc w:val="both"/>
        <w:rPr>
          <w:rFonts w:ascii="Verdana" w:hAnsi="Verdana" w:cs="Arial"/>
        </w:rPr>
      </w:pPr>
    </w:p>
    <w:p w14:paraId="182F58EB" w14:textId="77777777" w:rsidR="00AC3C21" w:rsidRPr="00593A5F" w:rsidRDefault="00AC3C21" w:rsidP="00AC3C21">
      <w:pPr>
        <w:widowControl w:val="0"/>
        <w:autoSpaceDE w:val="0"/>
        <w:autoSpaceDN w:val="0"/>
        <w:spacing w:after="0" w:line="276" w:lineRule="auto"/>
        <w:jc w:val="both"/>
        <w:rPr>
          <w:rFonts w:ascii="Verdana" w:hAnsi="Verdana" w:cs="Arial"/>
        </w:rPr>
      </w:pPr>
    </w:p>
    <w:p w14:paraId="6B72E22C" w14:textId="77777777" w:rsidR="00AC3C21" w:rsidRPr="00593A5F" w:rsidRDefault="00AC3C21" w:rsidP="00AC3C2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15B91AB" w14:textId="77777777" w:rsidR="00AC3C21" w:rsidRPr="00593A5F" w:rsidRDefault="00AC3C21" w:rsidP="00AC3C21">
      <w:pPr>
        <w:widowControl w:val="0"/>
        <w:autoSpaceDE w:val="0"/>
        <w:autoSpaceDN w:val="0"/>
        <w:spacing w:after="0" w:line="276" w:lineRule="auto"/>
        <w:jc w:val="both"/>
        <w:rPr>
          <w:rFonts w:ascii="Verdana" w:hAnsi="Verdana" w:cs="Arial"/>
        </w:rPr>
      </w:pPr>
    </w:p>
    <w:p w14:paraId="64A3A86D" w14:textId="619052DB" w:rsidR="00AC3C21" w:rsidRDefault="00AC3C21" w:rsidP="0095770E">
      <w:pPr>
        <w:widowControl w:val="0"/>
        <w:autoSpaceDE w:val="0"/>
        <w:autoSpaceDN w:val="0"/>
        <w:spacing w:after="0" w:line="276" w:lineRule="auto"/>
        <w:jc w:val="both"/>
        <w:rPr>
          <w:rFonts w:ascii="Verdana" w:hAnsi="Verdana" w:cs="Arial"/>
          <w:shd w:val="clear" w:color="auto" w:fill="FFFFFF"/>
        </w:rPr>
      </w:pPr>
      <w:r w:rsidRPr="00623C09">
        <w:rPr>
          <w:rStyle w:val="normaltextrun"/>
          <w:rFonts w:ascii="Verdana" w:hAnsi="Verdana" w:cs="Arial"/>
          <w:shd w:val="clear" w:color="auto" w:fill="FFFFFF"/>
        </w:rPr>
        <w:t xml:space="preserve">Sobre la liquidación de los contratos estatales esta Subdirección se pronunció en los conceptos No. 4201912000004908 del 27 de septiembre de 2019, CU-028 de 25 de febrero de 2020, C-221 de 21 de abril de 2020, C-078 del 17 de marzo de 2021 y C-220 del 18 de mayo de 2021, C-739 del 29 de noviembre del 2022, </w:t>
      </w:r>
      <w:r w:rsidRPr="00623C09">
        <w:rPr>
          <w:rStyle w:val="normaltextrun"/>
          <w:rFonts w:ascii="Verdana" w:hAnsi="Verdana" w:cs="Arial"/>
          <w:shd w:val="clear" w:color="auto" w:fill="FFFFFF"/>
        </w:rPr>
        <w:lastRenderedPageBreak/>
        <w:t>C-015 del 24 de febrero del 2023, C-158 del 06 de junio del 2023, C-176 del 03 de mayo del 2023 y C-427 del 27 de noviembre del 2023. Igualmente ha analizado la naturaleza jurídica de las instituciones educativas y su régimen de contratación en los conceptos con radicado Nro. 2201913000006285 del 27 de agosto de 2019, No. 2201913000006068 del 28 de agosto de 2019, 2201913000008174 del 31 de octubre de 2019,  2201913000008197 del 1 de noviembre de 2019, C-181 del 6 de abril de 2020, C-272 del 27 de abril de 2020, C-284 del 27 de mayo de 2010, C-399 del 23 de junio de 2020, C-574 del 28 de agosto de 2020, C-355 del 2 de junio de 2022, C-475 del 26 de julio de 2022</w:t>
      </w:r>
      <w:r>
        <w:rPr>
          <w:rStyle w:val="normaltextrun"/>
          <w:rFonts w:ascii="Verdana" w:hAnsi="Verdana" w:cs="Arial"/>
          <w:shd w:val="clear" w:color="auto" w:fill="FFFFFF"/>
        </w:rPr>
        <w:t xml:space="preserve">, </w:t>
      </w:r>
      <w:r w:rsidRPr="00623C09">
        <w:rPr>
          <w:rStyle w:val="normaltextrun"/>
          <w:rFonts w:ascii="Verdana" w:hAnsi="Verdana" w:cs="Arial"/>
          <w:shd w:val="clear" w:color="auto" w:fill="FFFFFF"/>
        </w:rPr>
        <w:t xml:space="preserve"> C-195 del 24 de agosto del 2023</w:t>
      </w:r>
      <w:r>
        <w:rPr>
          <w:rStyle w:val="normaltextrun"/>
          <w:rFonts w:ascii="Verdana" w:hAnsi="Verdana" w:cs="Arial"/>
          <w:shd w:val="clear" w:color="auto" w:fill="FFFFFF"/>
        </w:rPr>
        <w:t>, C-129 del 29 de julio de 2024, C-649 del 5 de noviembre de 2024</w:t>
      </w:r>
      <w:r w:rsidRPr="00B35714">
        <w:rPr>
          <w:rFonts w:ascii="Verdana" w:eastAsia="Century Gothic" w:hAnsi="Verdana" w:cs="Century Gothic"/>
          <w:color w:val="000000" w:themeColor="text1"/>
        </w:rPr>
        <w:t xml:space="preserve">. Estos y otros conceptos se encuentran disponibles para consulta en el Sistema de relatoría de la Agencia, al cual se puede acceder a través del siguiente enlace: </w:t>
      </w:r>
      <w:hyperlink r:id="rId15" w:tgtFrame="_blank" w:tooltip="Dirección URL original: https://relatoria.colombiacompra.gov.co/. Haga clic o pulse si confía en este vínculo." w:history="1">
        <w:r w:rsidRPr="009C0079">
          <w:rPr>
            <w:rStyle w:val="Hipervnculo"/>
            <w:rFonts w:ascii="Verdana" w:hAnsi="Verdana" w:cs="Arial"/>
            <w:shd w:val="clear" w:color="auto" w:fill="FFFFFF"/>
          </w:rPr>
          <w:t>https://relatoria.colombiacompra.gov.co/</w:t>
        </w:r>
      </w:hyperlink>
      <w:r w:rsidRPr="009C0079">
        <w:rPr>
          <w:rFonts w:ascii="Verdana" w:hAnsi="Verdana" w:cs="Arial"/>
          <w:shd w:val="clear" w:color="auto" w:fill="FFFFFF"/>
        </w:rPr>
        <w:t>.</w:t>
      </w:r>
    </w:p>
    <w:p w14:paraId="17235967" w14:textId="77777777" w:rsidR="0095770E" w:rsidRPr="00624E10" w:rsidRDefault="0095770E" w:rsidP="0095770E">
      <w:pPr>
        <w:widowControl w:val="0"/>
        <w:autoSpaceDE w:val="0"/>
        <w:autoSpaceDN w:val="0"/>
        <w:spacing w:after="0" w:line="276" w:lineRule="auto"/>
        <w:jc w:val="both"/>
        <w:rPr>
          <w:rFonts w:ascii="Verdana" w:hAnsi="Verdana"/>
        </w:rPr>
      </w:pPr>
    </w:p>
    <w:p w14:paraId="758149F1" w14:textId="77777777" w:rsidR="00AC3C21" w:rsidRPr="003E2460" w:rsidRDefault="00AC3C21" w:rsidP="00AC3C21">
      <w:pPr>
        <w:spacing w:after="120" w:line="276" w:lineRule="auto"/>
        <w:jc w:val="both"/>
        <w:rPr>
          <w:rFonts w:ascii="Verdana" w:hAnsi="Verdana"/>
        </w:rPr>
      </w:pPr>
      <w:r w:rsidRPr="003E2460">
        <w:rPr>
          <w:rFonts w:ascii="Verdana" w:hAnsi="Verdana"/>
        </w:rPr>
        <w:t>Por último, lo invitamos a seguirnos en las redes sociales en las cuales se difunde información institucional:</w:t>
      </w:r>
    </w:p>
    <w:p w14:paraId="7BFE956A" w14:textId="77777777" w:rsidR="00AC3C21" w:rsidRPr="003E2460" w:rsidRDefault="00AC3C21" w:rsidP="00AC3C21">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70B6EEE1" w14:textId="77777777" w:rsidR="00AC3C21" w:rsidRPr="003E2460" w:rsidRDefault="00AC3C21" w:rsidP="00AC3C21">
      <w:pPr>
        <w:spacing w:after="0" w:line="276"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34F712D1" w14:textId="77777777" w:rsidR="00AC3C21" w:rsidRPr="003E2460" w:rsidRDefault="00AC3C21" w:rsidP="00AC3C21">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0599B71E" w14:textId="77777777" w:rsidR="00AC3C21" w:rsidRDefault="00AC3C21" w:rsidP="00AC3C21">
      <w:pPr>
        <w:widowControl w:val="0"/>
        <w:autoSpaceDE w:val="0"/>
        <w:autoSpaceDN w:val="0"/>
        <w:spacing w:after="120" w:line="276" w:lineRule="auto"/>
        <w:jc w:val="both"/>
        <w:rPr>
          <w:rFonts w:ascii="Verdana" w:hAnsi="Verdana" w:cs="Arial"/>
        </w:rPr>
      </w:pPr>
    </w:p>
    <w:p w14:paraId="7512AF8B" w14:textId="77777777" w:rsidR="00AC3C21" w:rsidRPr="00593A5F" w:rsidRDefault="00AC3C21" w:rsidP="00AC3C21">
      <w:pPr>
        <w:widowControl w:val="0"/>
        <w:autoSpaceDE w:val="0"/>
        <w:autoSpaceDN w:val="0"/>
        <w:spacing w:after="12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8E569CB" w14:textId="77777777" w:rsidR="00AC3C21" w:rsidRPr="00593A5F" w:rsidRDefault="00AC3C21" w:rsidP="00AC3C21">
      <w:pPr>
        <w:widowControl w:val="0"/>
        <w:autoSpaceDE w:val="0"/>
        <w:autoSpaceDN w:val="0"/>
        <w:spacing w:after="120" w:line="276" w:lineRule="auto"/>
        <w:jc w:val="both"/>
        <w:rPr>
          <w:rFonts w:ascii="Verdana" w:hAnsi="Verdana" w:cs="Arial"/>
        </w:rPr>
      </w:pPr>
    </w:p>
    <w:p w14:paraId="44188C27" w14:textId="77777777" w:rsidR="00AC3C21" w:rsidRDefault="00AC3C21" w:rsidP="00AC3C21">
      <w:pPr>
        <w:spacing w:after="12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CC59439" w14:textId="77777777" w:rsidR="00AC3C21" w:rsidRDefault="00AC3C21" w:rsidP="00AC3C21">
      <w:pPr>
        <w:rPr>
          <w:rFonts w:ascii="Verdana" w:hAnsi="Verdana"/>
        </w:rPr>
      </w:pPr>
    </w:p>
    <w:p w14:paraId="42D449AA" w14:textId="2DB68EA6" w:rsidR="00AC3C21" w:rsidRPr="00B658F5" w:rsidRDefault="001B6429" w:rsidP="00AC3C21">
      <w:pPr>
        <w:spacing w:line="276" w:lineRule="auto"/>
        <w:jc w:val="center"/>
        <w:rPr>
          <w:rFonts w:ascii="Verdana" w:hAnsi="Verdana"/>
          <w:noProof/>
        </w:rPr>
      </w:pPr>
      <w:r w:rsidRPr="002C3AD6">
        <w:rPr>
          <w:rFonts w:ascii="Century Gothic" w:hAnsi="Century Gothic"/>
          <w:noProof/>
        </w:rPr>
        <w:lastRenderedPageBreak/>
        <w:drawing>
          <wp:inline distT="0" distB="0" distL="0" distR="0" wp14:anchorId="4F8B4D4C" wp14:editId="2E21320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3C21" w:rsidRPr="003E2DA1" w14:paraId="7859E64A" w14:textId="77777777" w:rsidTr="001360B8">
        <w:trPr>
          <w:trHeight w:val="315"/>
        </w:trPr>
        <w:tc>
          <w:tcPr>
            <w:tcW w:w="893" w:type="dxa"/>
            <w:vAlign w:val="center"/>
            <w:hideMark/>
          </w:tcPr>
          <w:p w14:paraId="651ADB71" w14:textId="77777777" w:rsidR="00AC3C21" w:rsidRPr="003E2DA1" w:rsidRDefault="00AC3C21" w:rsidP="001360B8">
            <w:pPr>
              <w:contextualSpacing/>
              <w:rPr>
                <w:rFonts w:ascii="Verdana" w:hAnsi="Verdana" w:cs="Arial"/>
                <w:sz w:val="16"/>
                <w:szCs w:val="16"/>
                <w:lang w:val="es-ES" w:eastAsia="es-ES"/>
              </w:rPr>
            </w:pPr>
            <w:r w:rsidRPr="003E2DA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617257" w14:textId="77777777" w:rsidR="00AC3C21" w:rsidRPr="003E2DA1" w:rsidRDefault="00AC3C21" w:rsidP="001360B8">
            <w:pPr>
              <w:spacing w:line="276" w:lineRule="auto"/>
              <w:contextualSpacing/>
              <w:jc w:val="both"/>
              <w:rPr>
                <w:rFonts w:ascii="Verdana" w:hAnsi="Verdana"/>
                <w:sz w:val="16"/>
                <w:szCs w:val="16"/>
              </w:rPr>
            </w:pPr>
            <w:r>
              <w:rPr>
                <w:rFonts w:ascii="Verdana" w:hAnsi="Verdana"/>
                <w:sz w:val="16"/>
                <w:szCs w:val="16"/>
              </w:rPr>
              <w:t xml:space="preserve">Diana </w:t>
            </w:r>
            <w:r w:rsidRPr="003E2DA1">
              <w:rPr>
                <w:rFonts w:ascii="Verdana" w:hAnsi="Verdana"/>
                <w:sz w:val="16"/>
                <w:szCs w:val="16"/>
              </w:rPr>
              <w:t xml:space="preserve">Carolina Blanco Rodriguez </w:t>
            </w:r>
          </w:p>
          <w:p w14:paraId="7F6C49D8" w14:textId="77777777" w:rsidR="00AC3C21" w:rsidRPr="003E2DA1" w:rsidRDefault="00AC3C21" w:rsidP="001360B8">
            <w:pPr>
              <w:contextualSpacing/>
              <w:rPr>
                <w:rFonts w:ascii="Verdana" w:eastAsia="Arial" w:hAnsi="Verdana" w:cs="Arial"/>
                <w:sz w:val="16"/>
                <w:szCs w:val="16"/>
              </w:rPr>
            </w:pPr>
            <w:r w:rsidRPr="003E2DA1">
              <w:rPr>
                <w:rFonts w:ascii="Verdana" w:hAnsi="Verdana"/>
                <w:sz w:val="16"/>
                <w:szCs w:val="16"/>
              </w:rPr>
              <w:t>Contratista de la Subdirección de Gestión Contractual</w:t>
            </w:r>
          </w:p>
        </w:tc>
      </w:tr>
      <w:tr w:rsidR="00AC3C21" w:rsidRPr="003E2DA1" w14:paraId="54ADDE7B" w14:textId="77777777" w:rsidTr="001360B8">
        <w:trPr>
          <w:trHeight w:val="330"/>
        </w:trPr>
        <w:tc>
          <w:tcPr>
            <w:tcW w:w="893" w:type="dxa"/>
            <w:vAlign w:val="center"/>
            <w:hideMark/>
          </w:tcPr>
          <w:p w14:paraId="2BE4AAC8" w14:textId="77777777" w:rsidR="00AC3C21" w:rsidRPr="003E2DA1" w:rsidRDefault="00AC3C21" w:rsidP="001360B8">
            <w:pPr>
              <w:contextualSpacing/>
              <w:rPr>
                <w:rFonts w:ascii="Verdana" w:hAnsi="Verdana" w:cs="Arial"/>
                <w:sz w:val="16"/>
                <w:szCs w:val="16"/>
                <w:lang w:val="es-ES" w:eastAsia="es-ES"/>
              </w:rPr>
            </w:pPr>
            <w:r w:rsidRPr="003E2DA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7884E8" w14:textId="77777777" w:rsidR="00AC3C21" w:rsidRPr="003E2DA1" w:rsidRDefault="00AC3C21" w:rsidP="001360B8">
            <w:pPr>
              <w:spacing w:line="276" w:lineRule="auto"/>
              <w:contextualSpacing/>
              <w:jc w:val="both"/>
              <w:rPr>
                <w:rFonts w:ascii="Verdana" w:hAnsi="Verdana"/>
                <w:sz w:val="16"/>
                <w:szCs w:val="16"/>
              </w:rPr>
            </w:pPr>
            <w:r>
              <w:rPr>
                <w:rFonts w:ascii="Verdana" w:hAnsi="Verdana"/>
                <w:sz w:val="16"/>
                <w:szCs w:val="16"/>
              </w:rPr>
              <w:t xml:space="preserve">Diana Lucia Saavedra </w:t>
            </w:r>
          </w:p>
          <w:p w14:paraId="708FB8B5" w14:textId="77777777" w:rsidR="00AC3C21" w:rsidRPr="003E2DA1" w:rsidRDefault="00AC3C21" w:rsidP="001360B8">
            <w:pPr>
              <w:pStyle w:val="paragraph"/>
              <w:spacing w:before="0" w:beforeAutospacing="0" w:after="0" w:afterAutospacing="0"/>
              <w:contextualSpacing/>
              <w:textAlignment w:val="baseline"/>
              <w:rPr>
                <w:rFonts w:ascii="Verdana" w:hAnsi="Verdana" w:cstheme="minorHAnsi"/>
                <w:sz w:val="16"/>
                <w:szCs w:val="16"/>
              </w:rPr>
            </w:pPr>
            <w:r w:rsidRPr="003E2DA1">
              <w:rPr>
                <w:rStyle w:val="normaltextrun"/>
                <w:rFonts w:ascii="Verdana" w:eastAsia="Arial" w:hAnsi="Verdana" w:cs="Arial"/>
                <w:sz w:val="16"/>
                <w:szCs w:val="16"/>
              </w:rPr>
              <w:t>Contratista Subdirección de Gestión Contractual</w:t>
            </w:r>
          </w:p>
        </w:tc>
      </w:tr>
      <w:tr w:rsidR="00AC3C21" w:rsidRPr="003E2DA1" w14:paraId="67ED9776" w14:textId="77777777" w:rsidTr="001360B8">
        <w:trPr>
          <w:trHeight w:val="300"/>
        </w:trPr>
        <w:tc>
          <w:tcPr>
            <w:tcW w:w="893" w:type="dxa"/>
            <w:vAlign w:val="center"/>
          </w:tcPr>
          <w:p w14:paraId="2D3CEFB9" w14:textId="77777777" w:rsidR="00AC3C21" w:rsidRPr="003E2DA1" w:rsidRDefault="00AC3C21" w:rsidP="001360B8">
            <w:pPr>
              <w:contextualSpacing/>
              <w:rPr>
                <w:rFonts w:ascii="Verdana" w:hAnsi="Verdana" w:cs="Arial"/>
                <w:sz w:val="16"/>
                <w:szCs w:val="16"/>
                <w:lang w:val="es-ES" w:eastAsia="es-ES"/>
              </w:rPr>
            </w:pPr>
            <w:r w:rsidRPr="003E2DA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C55A49" w14:textId="77777777" w:rsidR="00AC3C21" w:rsidRPr="003E2DA1" w:rsidRDefault="00AC3C21" w:rsidP="001360B8">
            <w:pPr>
              <w:contextualSpacing/>
              <w:rPr>
                <w:rFonts w:ascii="Verdana" w:eastAsia="Calibri" w:hAnsi="Verdana" w:cs="Arial"/>
                <w:sz w:val="16"/>
                <w:szCs w:val="16"/>
                <w:lang w:val="pt-BR" w:eastAsia="es-ES"/>
              </w:rPr>
            </w:pPr>
            <w:r w:rsidRPr="003E2DA1">
              <w:rPr>
                <w:rFonts w:ascii="Verdana" w:eastAsia="Calibri" w:hAnsi="Verdana" w:cs="Arial"/>
                <w:sz w:val="16"/>
                <w:szCs w:val="16"/>
                <w:lang w:val="pt-BR" w:eastAsia="es-ES"/>
              </w:rPr>
              <w:t>Carolina Quintero Ganchará</w:t>
            </w:r>
          </w:p>
          <w:p w14:paraId="4F256056" w14:textId="77777777" w:rsidR="00AC3C21" w:rsidRPr="003E2DA1" w:rsidRDefault="00AC3C21" w:rsidP="001360B8">
            <w:pPr>
              <w:contextualSpacing/>
              <w:rPr>
                <w:rFonts w:ascii="Verdana" w:eastAsia="Calibri" w:hAnsi="Verdana" w:cs="Arial"/>
                <w:sz w:val="16"/>
                <w:szCs w:val="16"/>
                <w:lang w:val="pt-BR" w:eastAsia="es-ES"/>
              </w:rPr>
            </w:pPr>
            <w:r w:rsidRPr="003E2DA1">
              <w:rPr>
                <w:rFonts w:ascii="Verdana" w:eastAsia="Calibri" w:hAnsi="Verdana" w:cs="Arial"/>
                <w:sz w:val="16"/>
                <w:szCs w:val="16"/>
                <w:lang w:eastAsia="es-ES"/>
              </w:rPr>
              <w:t>Subdirectora</w:t>
            </w:r>
            <w:r w:rsidRPr="003E2DA1">
              <w:rPr>
                <w:rFonts w:ascii="Verdana" w:eastAsia="Calibri" w:hAnsi="Verdana" w:cs="Arial"/>
                <w:sz w:val="16"/>
                <w:szCs w:val="16"/>
                <w:lang w:val="pt-BR" w:eastAsia="es-ES"/>
              </w:rPr>
              <w:t xml:space="preserve"> de Gestión Contratual ANCP – CCE</w:t>
            </w:r>
          </w:p>
        </w:tc>
      </w:tr>
    </w:tbl>
    <w:p w14:paraId="20D86A01" w14:textId="77777777" w:rsidR="00AC3C21" w:rsidRPr="0044528D" w:rsidRDefault="00AC3C21" w:rsidP="00AC3C21">
      <w:pPr>
        <w:spacing w:after="0"/>
        <w:jc w:val="both"/>
        <w:rPr>
          <w:rStyle w:val="Hipervnculo"/>
          <w:rFonts w:ascii="Verdana" w:hAnsi="Verdana"/>
        </w:rPr>
      </w:pPr>
    </w:p>
    <w:p w14:paraId="29675D90" w14:textId="77777777" w:rsidR="00AC3C21" w:rsidRPr="0024624F" w:rsidRDefault="00AC3C21" w:rsidP="00AC3C21">
      <w:pPr>
        <w:spacing w:after="0"/>
        <w:rPr>
          <w:rFonts w:ascii="Verdana" w:hAnsi="Verdana"/>
        </w:rPr>
      </w:pPr>
    </w:p>
    <w:p w14:paraId="2140A13B" w14:textId="77777777" w:rsidR="00AC3C21" w:rsidRPr="00AC3C21" w:rsidRDefault="00AC3C21" w:rsidP="00AC3C21">
      <w:pPr>
        <w:spacing w:after="0"/>
        <w:rPr>
          <w:rFonts w:ascii="Verdana" w:hAnsi="Verdana"/>
        </w:rPr>
      </w:pPr>
    </w:p>
    <w:sectPr w:rsidR="00AC3C21" w:rsidRPr="00AC3C2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1CBA2" w14:textId="77777777" w:rsidR="00C004D2" w:rsidRDefault="00C004D2" w:rsidP="004A1847">
      <w:pPr>
        <w:spacing w:after="0" w:line="240" w:lineRule="auto"/>
      </w:pPr>
      <w:r>
        <w:separator/>
      </w:r>
    </w:p>
  </w:endnote>
  <w:endnote w:type="continuationSeparator" w:id="0">
    <w:p w14:paraId="2140178E" w14:textId="77777777" w:rsidR="00C004D2" w:rsidRDefault="00C004D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0"/>
    <w:family w:val="auto"/>
    <w:pitch w:val="variable"/>
    <w:sig w:usb0="E0002AFF" w:usb1="C0007843"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ED61E" w14:textId="77777777" w:rsidR="00C004D2" w:rsidRDefault="00C004D2" w:rsidP="004A1847">
      <w:pPr>
        <w:spacing w:after="0" w:line="240" w:lineRule="auto"/>
      </w:pPr>
      <w:r>
        <w:separator/>
      </w:r>
    </w:p>
  </w:footnote>
  <w:footnote w:type="continuationSeparator" w:id="0">
    <w:p w14:paraId="32E2D8A6" w14:textId="77777777" w:rsidR="00C004D2" w:rsidRDefault="00C004D2" w:rsidP="004A1847">
      <w:pPr>
        <w:spacing w:after="0" w:line="240" w:lineRule="auto"/>
      </w:pPr>
      <w:r>
        <w:continuationSeparator/>
      </w:r>
    </w:p>
  </w:footnote>
  <w:footnote w:id="1">
    <w:p w14:paraId="77023376" w14:textId="264F6573"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AC3C21">
        <w:rPr>
          <w:rFonts w:ascii="Verdana" w:hAnsi="Verdana" w:cs="Arial"/>
          <w:color w:val="000000"/>
          <w:sz w:val="16"/>
          <w:szCs w:val="16"/>
          <w:shd w:val="clear" w:color="auto" w:fill="FFFFFF"/>
        </w:rPr>
        <w:t>”</w:t>
      </w:r>
      <w:r w:rsidRPr="00AC3C21">
        <w:rPr>
          <w:rFonts w:ascii="Verdana" w:hAnsi="Verdana" w:cs="Arial"/>
          <w:color w:val="000000"/>
          <w:sz w:val="16"/>
          <w:szCs w:val="16"/>
        </w:rPr>
        <w:t xml:space="preserve"> EXPOSITO, Juan Carlos. Forma y contenido del contrato estatal. Bogotá: Universidad Externado de Colombia, p. 89 y 90.</w:t>
      </w:r>
    </w:p>
    <w:p w14:paraId="2A7D23B7" w14:textId="77777777" w:rsidR="00AC3C21" w:rsidRPr="00AC3C21" w:rsidRDefault="00AC3C21" w:rsidP="00AC3C21">
      <w:pPr>
        <w:pStyle w:val="Textonotapie"/>
        <w:ind w:firstLine="708"/>
        <w:jc w:val="both"/>
        <w:rPr>
          <w:rFonts w:ascii="Verdana" w:hAnsi="Verdana" w:cs="Arial"/>
          <w:color w:val="000000"/>
          <w:sz w:val="16"/>
          <w:szCs w:val="16"/>
        </w:rPr>
      </w:pPr>
      <w:r w:rsidRPr="00AC3C21">
        <w:rPr>
          <w:rFonts w:ascii="Verdana" w:hAnsi="Verdana" w:cs="Arial"/>
          <w:color w:val="000000"/>
          <w:sz w:val="16"/>
          <w:szCs w:val="16"/>
        </w:rPr>
        <w:t xml:space="preserve"> </w:t>
      </w:r>
    </w:p>
  </w:footnote>
  <w:footnote w:id="2">
    <w:p w14:paraId="1DCFE20C" w14:textId="77777777"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p w14:paraId="4B1FB389" w14:textId="77777777" w:rsidR="00AC3C21" w:rsidRPr="00AC3C21" w:rsidRDefault="00AC3C21" w:rsidP="00AC3C21">
      <w:pPr>
        <w:pStyle w:val="Textonotapie"/>
        <w:ind w:firstLine="708"/>
        <w:jc w:val="both"/>
        <w:rPr>
          <w:rFonts w:ascii="Verdana" w:hAnsi="Verdana" w:cs="Arial"/>
          <w:color w:val="000000"/>
          <w:sz w:val="16"/>
          <w:szCs w:val="16"/>
          <w:lang w:val="es-CO"/>
        </w:rPr>
      </w:pPr>
    </w:p>
  </w:footnote>
  <w:footnote w:id="3">
    <w:p w14:paraId="1A376C0F" w14:textId="03ECB4BD" w:rsidR="00AC3C21" w:rsidRPr="00AC3C21" w:rsidRDefault="00AC3C21" w:rsidP="00AC3C21">
      <w:pPr>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Sección Tercera. Subsección C. 20 de octubre de 2014, M.P: Enrique Gil Botero. Exp. 27.777. Allí se dijo: </w:t>
      </w:r>
      <w:r>
        <w:rPr>
          <w:rFonts w:ascii="Verdana" w:hAnsi="Verdana" w:cs="Arial"/>
          <w:color w:val="000000"/>
          <w:sz w:val="16"/>
          <w:szCs w:val="16"/>
        </w:rPr>
        <w:t>“</w:t>
      </w:r>
      <w:r w:rsidRPr="00AC3C21">
        <w:rPr>
          <w:rFonts w:ascii="Verdana" w:hAnsi="Verdana" w:cs="Arial"/>
          <w:color w:val="000000"/>
          <w:sz w:val="16"/>
          <w:szCs w:val="16"/>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Pr>
          <w:rFonts w:ascii="Verdana" w:hAnsi="Verdana" w:cs="Arial"/>
          <w:color w:val="000000"/>
          <w:sz w:val="16"/>
          <w:szCs w:val="16"/>
        </w:rPr>
        <w:t>”</w:t>
      </w:r>
      <w:r w:rsidRPr="00AC3C21">
        <w:rPr>
          <w:rFonts w:ascii="Verdana" w:hAnsi="Verdana" w:cs="Arial"/>
          <w:color w:val="000000"/>
          <w:sz w:val="16"/>
          <w:szCs w:val="16"/>
        </w:rPr>
        <w:t>.</w:t>
      </w:r>
    </w:p>
  </w:footnote>
  <w:footnote w:id="4">
    <w:p w14:paraId="5B393465" w14:textId="77777777"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EXPÓSITO VÉLEZ. Juan Carlos. Forma y contenido del contrato estatal, p. 90.</w:t>
      </w:r>
    </w:p>
    <w:p w14:paraId="3C9BE254" w14:textId="77777777" w:rsidR="00AC3C21" w:rsidRPr="00AC3C21" w:rsidRDefault="00AC3C21" w:rsidP="00AC3C21">
      <w:pPr>
        <w:pStyle w:val="Textonotapie"/>
        <w:ind w:firstLine="708"/>
        <w:jc w:val="both"/>
        <w:rPr>
          <w:rFonts w:ascii="Verdana" w:hAnsi="Verdana" w:cs="Arial"/>
          <w:color w:val="000000"/>
          <w:sz w:val="16"/>
          <w:szCs w:val="16"/>
        </w:rPr>
      </w:pPr>
    </w:p>
  </w:footnote>
  <w:footnote w:id="5">
    <w:p w14:paraId="43468FF9" w14:textId="77777777" w:rsidR="00AC3C21" w:rsidRPr="00AC3C21" w:rsidRDefault="00AC3C21" w:rsidP="00AC3C21">
      <w:pPr>
        <w:pStyle w:val="Textonotapie"/>
        <w:ind w:firstLine="708"/>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Sala de Consulta y Servicio Civil. Radicado No. 1453. Concepto de 6 de agosto de 2003. MP. Augusto Trejos.</w:t>
      </w:r>
    </w:p>
    <w:p w14:paraId="050E2D09" w14:textId="77777777" w:rsidR="00AC3C21" w:rsidRPr="00B81271" w:rsidRDefault="00AC3C21" w:rsidP="00AC3C21">
      <w:pPr>
        <w:pStyle w:val="Textonotapie"/>
        <w:ind w:firstLine="708"/>
        <w:jc w:val="both"/>
        <w:rPr>
          <w:rFonts w:ascii="Arial" w:hAnsi="Arial" w:cs="Arial"/>
          <w:color w:val="000000"/>
          <w:sz w:val="16"/>
          <w:szCs w:val="16"/>
        </w:rPr>
      </w:pPr>
    </w:p>
  </w:footnote>
  <w:footnote w:id="6">
    <w:p w14:paraId="0BE26320" w14:textId="7F636279" w:rsidR="00AC3C21" w:rsidRPr="00AC3C21" w:rsidRDefault="00AC3C21" w:rsidP="00AC3C21">
      <w:pPr>
        <w:pStyle w:val="Textonotapie"/>
        <w:ind w:firstLine="708"/>
        <w:jc w:val="both"/>
        <w:rPr>
          <w:rFonts w:ascii="Verdana" w:hAnsi="Verdana" w:cs="Arial"/>
          <w:color w:val="000000"/>
          <w:sz w:val="16"/>
          <w:szCs w:val="16"/>
          <w:lang w:val="es-ES"/>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w:t>
      </w:r>
      <w:r w:rsidRPr="00AC3C21">
        <w:rPr>
          <w:rFonts w:ascii="Verdana" w:hAnsi="Verdana" w:cs="Arial"/>
          <w:color w:val="000000"/>
          <w:sz w:val="16"/>
          <w:szCs w:val="16"/>
          <w:lang w:val="es-ES"/>
        </w:rPr>
        <w:t xml:space="preserve">El artículo 11 de la Ley 1150 de 2007 prescribe: </w:t>
      </w:r>
      <w:r>
        <w:rPr>
          <w:rFonts w:ascii="Verdana" w:hAnsi="Verdana" w:cs="Arial"/>
          <w:color w:val="000000"/>
          <w:sz w:val="16"/>
          <w:szCs w:val="16"/>
          <w:lang w:val="es-ES"/>
        </w:rPr>
        <w:t>“</w:t>
      </w:r>
      <w:r w:rsidRPr="00AC3C21">
        <w:rPr>
          <w:rFonts w:ascii="Verdana" w:hAnsi="Verdana" w:cs="Arial"/>
          <w:color w:val="000000"/>
          <w:sz w:val="16"/>
          <w:szCs w:val="16"/>
          <w:lang w:val="es-ES"/>
        </w:rPr>
        <w:t>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07018697" w14:textId="4F2DB26A" w:rsidR="00AC3C21" w:rsidRPr="00AC3C21" w:rsidRDefault="00AC3C21" w:rsidP="00AC3C21">
      <w:pPr>
        <w:pStyle w:val="Textonotapie"/>
        <w:ind w:firstLine="708"/>
        <w:jc w:val="both"/>
        <w:rPr>
          <w:rFonts w:ascii="Verdana" w:hAnsi="Verdana"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6094F8AA" w14:textId="3C6899A9" w:rsidR="00AC3C21" w:rsidRPr="00AC3C21" w:rsidRDefault="00AC3C21" w:rsidP="00AC3C21">
      <w:pPr>
        <w:pStyle w:val="Textonotapie"/>
        <w:ind w:firstLine="708"/>
        <w:jc w:val="both"/>
        <w:rPr>
          <w:rFonts w:ascii="Verdana" w:hAnsi="Verdana"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4E14793C" w14:textId="35F6D0D2" w:rsidR="00AC3C21" w:rsidRPr="00B81271" w:rsidRDefault="00AC3C21" w:rsidP="00AC3C21">
      <w:pPr>
        <w:pStyle w:val="Textonotapie"/>
        <w:ind w:firstLine="708"/>
        <w:jc w:val="both"/>
        <w:rPr>
          <w:rFonts w:ascii="Arial" w:hAnsi="Arial" w:cs="Arial"/>
          <w:color w:val="000000"/>
          <w:sz w:val="16"/>
          <w:szCs w:val="16"/>
          <w:lang w:val="es-ES"/>
        </w:rPr>
      </w:pPr>
      <w:r>
        <w:rPr>
          <w:rFonts w:ascii="Verdana" w:hAnsi="Verdana" w:cs="Arial"/>
          <w:color w:val="000000"/>
          <w:sz w:val="16"/>
          <w:szCs w:val="16"/>
          <w:lang w:val="es-ES"/>
        </w:rPr>
        <w:t>“</w:t>
      </w:r>
      <w:r w:rsidRPr="00AC3C21">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r>
        <w:rPr>
          <w:rFonts w:ascii="Verdana" w:hAnsi="Verdana" w:cs="Arial"/>
          <w:color w:val="000000"/>
          <w:sz w:val="16"/>
          <w:szCs w:val="16"/>
          <w:lang w:val="es-ES"/>
        </w:rPr>
        <w:t>”</w:t>
      </w:r>
      <w:r w:rsidRPr="00AC3C21">
        <w:rPr>
          <w:rFonts w:ascii="Verdana" w:hAnsi="Verdana" w:cs="Arial"/>
          <w:color w:val="000000"/>
          <w:sz w:val="16"/>
          <w:szCs w:val="16"/>
          <w:lang w:val="es-ES"/>
        </w:rPr>
        <w:t>.</w:t>
      </w:r>
    </w:p>
  </w:footnote>
  <w:footnote w:id="7">
    <w:p w14:paraId="027BC6B8" w14:textId="77777777" w:rsidR="00AC3C21" w:rsidRPr="00AC3C21" w:rsidRDefault="00AC3C21" w:rsidP="00AC3C21">
      <w:pPr>
        <w:pStyle w:val="Textonotapie"/>
        <w:ind w:firstLine="709"/>
        <w:jc w:val="both"/>
        <w:rPr>
          <w:rFonts w:ascii="Verdana" w:hAnsi="Verdana"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CONSEJO DE ESTADO, Sección Tercera, Subsección C, Sentencia del 24 de julio de 2013, radicado No. 25.642, </w:t>
      </w:r>
      <w:r w:rsidRPr="00AC3C21">
        <w:rPr>
          <w:rFonts w:ascii="Verdana" w:hAnsi="Verdana" w:cs="Arial"/>
          <w:color w:val="000000"/>
          <w:sz w:val="16"/>
          <w:szCs w:val="16"/>
        </w:rPr>
        <w:t>Consejero Ponente Enrique Gil Botero.</w:t>
      </w:r>
    </w:p>
    <w:p w14:paraId="6183451A" w14:textId="77777777" w:rsidR="00AC3C21" w:rsidRPr="00AC3C21" w:rsidRDefault="00AC3C21" w:rsidP="00AC3C21">
      <w:pPr>
        <w:pStyle w:val="Textonotapie"/>
        <w:ind w:firstLine="709"/>
        <w:jc w:val="both"/>
        <w:rPr>
          <w:rFonts w:ascii="Verdana" w:hAnsi="Verdana" w:cs="Arial"/>
          <w:color w:val="000000"/>
          <w:sz w:val="16"/>
          <w:szCs w:val="16"/>
          <w:lang w:val="es-CO"/>
        </w:rPr>
      </w:pPr>
    </w:p>
  </w:footnote>
  <w:footnote w:id="8">
    <w:p w14:paraId="03FEE280" w14:textId="6A12DC54" w:rsidR="00AC3C21" w:rsidRPr="00B81271" w:rsidRDefault="00AC3C21" w:rsidP="00AC3C21">
      <w:pPr>
        <w:pStyle w:val="Textonotapie"/>
        <w:ind w:firstLine="709"/>
        <w:jc w:val="both"/>
        <w:rPr>
          <w:rFonts w:ascii="Arial" w:hAnsi="Arial" w:cs="Arial"/>
          <w:color w:val="000000"/>
          <w:sz w:val="16"/>
          <w:szCs w:val="16"/>
        </w:rPr>
      </w:pPr>
      <w:r w:rsidRPr="00AC3C21">
        <w:rPr>
          <w:rStyle w:val="Refdenotaalpie"/>
          <w:rFonts w:ascii="Verdana" w:hAnsi="Verdana" w:cs="Arial"/>
          <w:color w:val="000000"/>
          <w:sz w:val="16"/>
          <w:szCs w:val="16"/>
        </w:rPr>
        <w:footnoteRef/>
      </w:r>
      <w:r w:rsidRPr="00AC3C21">
        <w:rPr>
          <w:rFonts w:ascii="Verdana" w:hAnsi="Verdana" w:cs="Arial"/>
          <w:color w:val="000000"/>
          <w:sz w:val="16"/>
          <w:szCs w:val="16"/>
        </w:rPr>
        <w:t xml:space="preserve"> Ley 80 de 1993 </w:t>
      </w:r>
      <w:r w:rsidR="0095770E">
        <w:rPr>
          <w:rFonts w:ascii="Verdana" w:hAnsi="Verdana" w:cs="Arial"/>
          <w:color w:val="000000"/>
          <w:sz w:val="16"/>
          <w:szCs w:val="16"/>
        </w:rPr>
        <w:t>“</w:t>
      </w:r>
      <w:r w:rsidRPr="00AC3C21">
        <w:rPr>
          <w:rStyle w:val="Textoennegrita"/>
          <w:rFonts w:ascii="Verdana" w:hAnsi="Verdana" w:cs="Arial"/>
          <w:color w:val="000000"/>
          <w:sz w:val="16"/>
          <w:szCs w:val="16"/>
        </w:rPr>
        <w:t>Artículo 77. De la normatividad aplicable en las actuaciones administrativas.</w:t>
      </w:r>
      <w:r w:rsidRPr="00AC3C21">
        <w:rPr>
          <w:rFonts w:ascii="Verdana" w:hAnsi="Verdana" w:cs="Arial"/>
          <w:color w:val="000000"/>
          <w:sz w:val="16"/>
          <w:szCs w:val="16"/>
        </w:rPr>
        <w:t xml:space="preserve"> En cuanto sean compatibles con la finalidad y los principios de esta ley, las normas que rigen los procedimientos y actuaciones en la función </w:t>
      </w:r>
      <w:r w:rsidRPr="00AC3C21">
        <w:rPr>
          <w:rFonts w:ascii="Verdana" w:hAnsi="Verdana" w:cs="Arial"/>
          <w:color w:val="000000"/>
          <w:sz w:val="16"/>
          <w:szCs w:val="16"/>
        </w:rPr>
        <w:t>administrativa, serán aplicables en las actuaciones contractuales. A falta de estas, regirán las disposiciones del Código de Procedimiento Civil</w:t>
      </w:r>
      <w:r w:rsidR="0095770E">
        <w:rPr>
          <w:rFonts w:ascii="Verdana" w:hAnsi="Verdana" w:cs="Arial"/>
          <w:color w:val="000000"/>
          <w:sz w:val="16"/>
          <w:szCs w:val="16"/>
        </w:rPr>
        <w:t>”</w:t>
      </w:r>
      <w:r w:rsidRPr="00AC3C21">
        <w:rPr>
          <w:rFonts w:ascii="Verdana" w:hAnsi="Verdana" w:cs="Arial"/>
          <w:color w:val="000000"/>
          <w:sz w:val="16"/>
          <w:szCs w:val="16"/>
        </w:rPr>
        <w:t xml:space="preserve"> […]</w:t>
      </w:r>
      <w:r w:rsidR="0095770E">
        <w:rPr>
          <w:rFonts w:ascii="Verdana" w:hAnsi="Verdana" w:cs="Arial"/>
          <w:color w:val="000000"/>
          <w:sz w:val="16"/>
          <w:szCs w:val="16"/>
        </w:rPr>
        <w:t>”</w:t>
      </w:r>
      <w:r w:rsidRPr="00AC3C21">
        <w:rPr>
          <w:rFonts w:ascii="Verdana" w:hAnsi="Verdana" w:cs="Arial"/>
          <w:color w:val="000000"/>
          <w:sz w:val="16"/>
          <w:szCs w:val="16"/>
        </w:rPr>
        <w:t>.</w:t>
      </w:r>
      <w:r w:rsidRPr="00B81271">
        <w:rPr>
          <w:rFonts w:ascii="Arial" w:hAnsi="Arial" w:cs="Arial"/>
          <w:color w:val="000000"/>
          <w:sz w:val="16"/>
          <w:szCs w:val="16"/>
        </w:rPr>
        <w:t> </w:t>
      </w:r>
    </w:p>
  </w:footnote>
  <w:footnote w:id="9">
    <w:p w14:paraId="6443E9C4" w14:textId="45541C4A" w:rsidR="00AC3C21" w:rsidRPr="0095770E" w:rsidRDefault="00AC3C21" w:rsidP="00AC3C21">
      <w:pPr>
        <w:pStyle w:val="NormalWeb"/>
        <w:spacing w:after="0"/>
        <w:ind w:firstLine="709"/>
        <w:jc w:val="both"/>
        <w:rPr>
          <w:rFonts w:ascii="Verdana" w:hAnsi="Verdana"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Ley 80 de 1993 </w:t>
      </w:r>
      <w:r w:rsidR="0095770E">
        <w:rPr>
          <w:rFonts w:ascii="Verdana" w:hAnsi="Verdana" w:cs="Arial"/>
          <w:color w:val="000000"/>
          <w:sz w:val="16"/>
          <w:szCs w:val="16"/>
        </w:rPr>
        <w:t>“</w:t>
      </w:r>
      <w:r w:rsidRPr="0095770E">
        <w:rPr>
          <w:rStyle w:val="Textoennegrita"/>
          <w:rFonts w:ascii="Verdana" w:hAnsi="Verdana" w:cs="Arial"/>
          <w:color w:val="000000"/>
          <w:sz w:val="16"/>
          <w:szCs w:val="16"/>
        </w:rPr>
        <w:t>Artículo 25. Del principio de economía.</w:t>
      </w:r>
      <w:r w:rsidRPr="0095770E">
        <w:rPr>
          <w:rFonts w:ascii="Verdana" w:hAnsi="Verdana" w:cs="Arial"/>
          <w:color w:val="000000"/>
          <w:sz w:val="16"/>
          <w:szCs w:val="16"/>
        </w:rPr>
        <w:t> En virtud de este principio: </w:t>
      </w:r>
    </w:p>
    <w:p w14:paraId="1C6BF6EC" w14:textId="77777777" w:rsidR="00AC3C21" w:rsidRPr="0095770E" w:rsidRDefault="00AC3C21" w:rsidP="00AC3C21">
      <w:pPr>
        <w:pStyle w:val="NormalWeb"/>
        <w:spacing w:after="0"/>
        <w:ind w:firstLine="709"/>
        <w:jc w:val="both"/>
        <w:rPr>
          <w:rFonts w:ascii="Verdana" w:hAnsi="Verdana" w:cs="Arial"/>
          <w:color w:val="000000"/>
          <w:sz w:val="16"/>
          <w:szCs w:val="16"/>
        </w:rPr>
      </w:pPr>
      <w:r w:rsidRPr="0095770E">
        <w:rPr>
          <w:rFonts w:ascii="Verdana" w:hAnsi="Verdana" w:cs="Arial"/>
          <w:color w:val="000000"/>
          <w:sz w:val="16"/>
          <w:szCs w:val="16"/>
        </w:rPr>
        <w:t>[…]</w:t>
      </w:r>
    </w:p>
    <w:p w14:paraId="74EC72BB" w14:textId="2C54DCFC" w:rsidR="00AC3C21" w:rsidRPr="0095770E" w:rsidRDefault="0095770E" w:rsidP="00AC3C21">
      <w:pPr>
        <w:pStyle w:val="NormalWeb"/>
        <w:spacing w:after="0"/>
        <w:ind w:firstLine="709"/>
        <w:jc w:val="both"/>
        <w:rPr>
          <w:rFonts w:ascii="Verdana" w:hAnsi="Verdana" w:cs="Arial"/>
          <w:color w:val="000000"/>
          <w:sz w:val="16"/>
          <w:szCs w:val="16"/>
        </w:rPr>
      </w:pPr>
      <w:r>
        <w:rPr>
          <w:rFonts w:ascii="Verdana" w:hAnsi="Verdana" w:cs="Arial"/>
          <w:color w:val="000000"/>
          <w:sz w:val="16"/>
          <w:szCs w:val="16"/>
        </w:rPr>
        <w:t>“</w:t>
      </w:r>
      <w:r w:rsidR="00AC3C21" w:rsidRPr="0095770E">
        <w:rPr>
          <w:rFonts w:ascii="Verdana" w:hAnsi="Verdana" w:cs="Arial"/>
          <w:color w:val="000000"/>
          <w:sz w:val="16"/>
          <w:szCs w:val="16"/>
        </w:rPr>
        <w:t>4o. Los trámites se adelantarán con austeridad de tiempo, medios y gastos y se impedirán las dilaciones y los retardos en la ejecución del contrato. </w:t>
      </w:r>
    </w:p>
    <w:p w14:paraId="2DFA5636" w14:textId="056599FE" w:rsidR="00AC3C21" w:rsidRPr="0095770E" w:rsidRDefault="00AC3C21" w:rsidP="00AC3C21">
      <w:pPr>
        <w:pStyle w:val="NormalWeb"/>
        <w:spacing w:after="0"/>
        <w:jc w:val="both"/>
        <w:rPr>
          <w:rFonts w:ascii="Verdana" w:hAnsi="Verdana" w:cs="Arial"/>
          <w:color w:val="000000"/>
          <w:sz w:val="16"/>
          <w:szCs w:val="16"/>
        </w:rPr>
      </w:pPr>
      <w:r w:rsidRPr="0095770E">
        <w:rPr>
          <w:rFonts w:ascii="Verdana" w:hAnsi="Verdana" w:cs="Arial"/>
          <w:color w:val="000000"/>
          <w:sz w:val="16"/>
          <w:szCs w:val="16"/>
        </w:rPr>
        <w:t>  </w:t>
      </w:r>
      <w:r w:rsidRPr="0095770E">
        <w:rPr>
          <w:rFonts w:ascii="Verdana" w:hAnsi="Verdana" w:cs="Arial"/>
          <w:color w:val="000000"/>
          <w:sz w:val="16"/>
          <w:szCs w:val="16"/>
        </w:rPr>
        <w:tab/>
      </w:r>
      <w:r w:rsidR="0095770E">
        <w:rPr>
          <w:rFonts w:ascii="Verdana" w:hAnsi="Verdana" w:cs="Arial"/>
          <w:color w:val="000000"/>
          <w:sz w:val="16"/>
          <w:szCs w:val="16"/>
        </w:rPr>
        <w:t>“</w:t>
      </w:r>
      <w:r w:rsidRPr="0095770E">
        <w:rPr>
          <w:rFonts w:ascii="Verdana" w:hAnsi="Verdana" w:cs="Arial"/>
          <w:color w:val="000000"/>
          <w:sz w:val="16"/>
          <w:szCs w:val="16"/>
        </w:rPr>
        <w:t>5o. Se adoptarán procedimientos que garanticen la pronta solución de las diferencias y controversias que con motivo de la celebración y ejecución del contrato se presenten […]</w:t>
      </w:r>
      <w:r w:rsidR="0095770E">
        <w:rPr>
          <w:rFonts w:ascii="Verdana" w:hAnsi="Verdana" w:cs="Arial"/>
          <w:color w:val="000000"/>
          <w:sz w:val="16"/>
          <w:szCs w:val="16"/>
        </w:rPr>
        <w:t>”</w:t>
      </w:r>
      <w:r w:rsidRPr="0095770E">
        <w:rPr>
          <w:rFonts w:ascii="Verdana" w:hAnsi="Verdana" w:cs="Arial"/>
          <w:color w:val="000000"/>
          <w:sz w:val="16"/>
          <w:szCs w:val="16"/>
        </w:rPr>
        <w:t>.</w:t>
      </w:r>
    </w:p>
  </w:footnote>
  <w:footnote w:id="10">
    <w:p w14:paraId="77CA2D35" w14:textId="77777777" w:rsidR="00AC3C21" w:rsidRPr="0095770E" w:rsidRDefault="00AC3C21" w:rsidP="00AC3C21">
      <w:pPr>
        <w:pStyle w:val="Textonotapie"/>
        <w:ind w:firstLine="708"/>
        <w:jc w:val="both"/>
        <w:rPr>
          <w:rFonts w:ascii="Verdana" w:hAnsi="Verdana"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COLOMBIA COMPRA EFICIENTE. Guía para la Liquidación de los Procesos de Contratación. página 5, disponible en: </w:t>
      </w:r>
      <w:hyperlink r:id="rId1" w:history="1">
        <w:r w:rsidRPr="0095770E">
          <w:rPr>
            <w:rStyle w:val="Hipervnculo1"/>
            <w:rFonts w:ascii="Verdana" w:hAnsi="Verdana" w:cs="Arial"/>
            <w:color w:val="000000"/>
            <w:sz w:val="16"/>
            <w:szCs w:val="16"/>
          </w:rPr>
          <w:t>https://www.colombiacompra.gov.co/sites/cce_public/files/cce_documents/cce_guia_liquidacion_procesos.pdf</w:t>
        </w:r>
      </w:hyperlink>
      <w:r w:rsidRPr="0095770E">
        <w:rPr>
          <w:rFonts w:ascii="Verdana" w:hAnsi="Verdana" w:cs="Arial"/>
          <w:color w:val="000000"/>
          <w:sz w:val="16"/>
          <w:szCs w:val="16"/>
        </w:rPr>
        <w:t xml:space="preserve"> </w:t>
      </w:r>
    </w:p>
  </w:footnote>
  <w:footnote w:id="11">
    <w:p w14:paraId="2235310F" w14:textId="77777777" w:rsidR="00AC3C21" w:rsidRPr="00B81271" w:rsidRDefault="00AC3C21" w:rsidP="00AC3C21">
      <w:pPr>
        <w:pStyle w:val="Textonotapie"/>
        <w:ind w:firstLine="708"/>
        <w:jc w:val="both"/>
        <w:rPr>
          <w:rFonts w:ascii="Arial" w:hAnsi="Arial" w:cs="Arial"/>
          <w:color w:val="000000"/>
          <w:sz w:val="16"/>
          <w:szCs w:val="16"/>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2">
    <w:p w14:paraId="6DA7C804" w14:textId="77777777" w:rsidR="00AC3C21" w:rsidRPr="0095770E" w:rsidRDefault="00AC3C21" w:rsidP="00AC3C21">
      <w:pPr>
        <w:pStyle w:val="Textonotapie"/>
        <w:ind w:firstLine="708"/>
        <w:jc w:val="both"/>
        <w:rPr>
          <w:rFonts w:ascii="Verdana" w:hAnsi="Verdana" w:cs="Arial"/>
          <w:color w:val="000000"/>
          <w:sz w:val="16"/>
          <w:szCs w:val="16"/>
          <w:lang w:val="es-ES"/>
        </w:rPr>
      </w:pPr>
      <w:r w:rsidRPr="0095770E">
        <w:rPr>
          <w:rStyle w:val="Refdenotaalpie"/>
          <w:rFonts w:ascii="Verdana" w:hAnsi="Verdana" w:cs="Arial"/>
          <w:color w:val="000000"/>
          <w:sz w:val="16"/>
          <w:szCs w:val="16"/>
        </w:rPr>
        <w:footnoteRef/>
      </w:r>
      <w:r w:rsidRPr="0095770E">
        <w:rPr>
          <w:rFonts w:ascii="Verdana" w:hAnsi="Verdana" w:cs="Arial"/>
          <w:color w:val="000000"/>
          <w:sz w:val="16"/>
          <w:szCs w:val="16"/>
        </w:rPr>
        <w:t xml:space="preserve"> CONSEJO DE ESTADO. Sección Tercera. </w:t>
      </w:r>
      <w:r w:rsidRPr="0095770E">
        <w:rPr>
          <w:rFonts w:ascii="Verdana" w:hAnsi="Verdana" w:cs="Arial"/>
          <w:color w:val="000000"/>
          <w:sz w:val="16"/>
          <w:szCs w:val="16"/>
          <w:lang w:val="es-CO"/>
        </w:rPr>
        <w:t xml:space="preserve">Sala Plena. Auto del 1 de agosto de 2019. </w:t>
      </w:r>
      <w:r w:rsidRPr="0095770E">
        <w:rPr>
          <w:rFonts w:ascii="Verdana" w:hAnsi="Verdana" w:cs="Arial"/>
          <w:color w:val="000000"/>
          <w:sz w:val="16"/>
          <w:szCs w:val="16"/>
        </w:rPr>
        <w:t xml:space="preserve">Exp. 62009. C.P. Jaime Enrique Rodríguez Navas. </w:t>
      </w:r>
      <w:r w:rsidRPr="0095770E">
        <w:rPr>
          <w:rFonts w:ascii="Verdana" w:hAnsi="Verdana" w:cs="Arial"/>
          <w:color w:val="000000"/>
          <w:sz w:val="16"/>
          <w:szCs w:val="16"/>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0F24BA7"/>
    <w:multiLevelType w:val="hybridMultilevel"/>
    <w:tmpl w:val="8C28587E"/>
    <w:lvl w:ilvl="0" w:tplc="CB66861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8681040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CF0"/>
    <w:rsid w:val="00082362"/>
    <w:rsid w:val="000A51FE"/>
    <w:rsid w:val="000A683E"/>
    <w:rsid w:val="000B19B9"/>
    <w:rsid w:val="000B40BF"/>
    <w:rsid w:val="000D0334"/>
    <w:rsid w:val="000D5DA7"/>
    <w:rsid w:val="000F6486"/>
    <w:rsid w:val="00116940"/>
    <w:rsid w:val="00125105"/>
    <w:rsid w:val="00127233"/>
    <w:rsid w:val="001360B8"/>
    <w:rsid w:val="0015699B"/>
    <w:rsid w:val="001A33BF"/>
    <w:rsid w:val="001B6429"/>
    <w:rsid w:val="001E4177"/>
    <w:rsid w:val="001F0B24"/>
    <w:rsid w:val="001F7DC6"/>
    <w:rsid w:val="00215EBD"/>
    <w:rsid w:val="00220E70"/>
    <w:rsid w:val="0022400B"/>
    <w:rsid w:val="002421BB"/>
    <w:rsid w:val="00246BA0"/>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5170"/>
    <w:rsid w:val="00326264"/>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441D7"/>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A5AAA"/>
    <w:rsid w:val="007B1AF7"/>
    <w:rsid w:val="007B268C"/>
    <w:rsid w:val="007B7171"/>
    <w:rsid w:val="007C0C0F"/>
    <w:rsid w:val="007C3DC2"/>
    <w:rsid w:val="007E5497"/>
    <w:rsid w:val="00806F5F"/>
    <w:rsid w:val="00820278"/>
    <w:rsid w:val="008258C9"/>
    <w:rsid w:val="00844AE9"/>
    <w:rsid w:val="00867F95"/>
    <w:rsid w:val="008843B6"/>
    <w:rsid w:val="00891928"/>
    <w:rsid w:val="00893B75"/>
    <w:rsid w:val="008A446D"/>
    <w:rsid w:val="008B25F1"/>
    <w:rsid w:val="008C1311"/>
    <w:rsid w:val="008D180B"/>
    <w:rsid w:val="008F0EA7"/>
    <w:rsid w:val="008F1568"/>
    <w:rsid w:val="00923EEF"/>
    <w:rsid w:val="00933819"/>
    <w:rsid w:val="009419F9"/>
    <w:rsid w:val="0095685E"/>
    <w:rsid w:val="0095770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1883"/>
    <w:rsid w:val="00AB0ADB"/>
    <w:rsid w:val="00AC06A4"/>
    <w:rsid w:val="00AC3C21"/>
    <w:rsid w:val="00AC51A0"/>
    <w:rsid w:val="00B00C0E"/>
    <w:rsid w:val="00B01B1A"/>
    <w:rsid w:val="00B0381D"/>
    <w:rsid w:val="00B44A47"/>
    <w:rsid w:val="00B72CD3"/>
    <w:rsid w:val="00B72FFF"/>
    <w:rsid w:val="00B73EC2"/>
    <w:rsid w:val="00BB2874"/>
    <w:rsid w:val="00BC3D36"/>
    <w:rsid w:val="00BD54A6"/>
    <w:rsid w:val="00BD7F72"/>
    <w:rsid w:val="00BF18DB"/>
    <w:rsid w:val="00BF7425"/>
    <w:rsid w:val="00C004D2"/>
    <w:rsid w:val="00C04FB3"/>
    <w:rsid w:val="00C11D8B"/>
    <w:rsid w:val="00C15139"/>
    <w:rsid w:val="00C330EB"/>
    <w:rsid w:val="00C50D69"/>
    <w:rsid w:val="00C5190F"/>
    <w:rsid w:val="00C5365C"/>
    <w:rsid w:val="00C72AD0"/>
    <w:rsid w:val="00C754BE"/>
    <w:rsid w:val="00C76B1C"/>
    <w:rsid w:val="00C80F52"/>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5FCB"/>
    <w:rsid w:val="00E771DC"/>
    <w:rsid w:val="00E83890"/>
    <w:rsid w:val="00E8772A"/>
    <w:rsid w:val="00E90F6B"/>
    <w:rsid w:val="00E92C27"/>
    <w:rsid w:val="00EA0E3D"/>
    <w:rsid w:val="00EC38A7"/>
    <w:rsid w:val="00EE1AA8"/>
    <w:rsid w:val="00F23FEA"/>
    <w:rsid w:val="00F31EDC"/>
    <w:rsid w:val="00F462B3"/>
    <w:rsid w:val="00F54EB1"/>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E49E61A-D2E0-41BF-AEE3-252AA5095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C3C21"/>
    <w:pPr>
      <w:spacing w:line="240" w:lineRule="exact"/>
    </w:pPr>
    <w:rPr>
      <w:vertAlign w:val="superscript"/>
    </w:rPr>
  </w:style>
  <w:style w:type="character" w:customStyle="1" w:styleId="Hipervnculo1">
    <w:name w:val="Hipervínculo1"/>
    <w:basedOn w:val="Fuentedeprrafopredeter"/>
    <w:uiPriority w:val="99"/>
    <w:unhideWhenUsed/>
    <w:rsid w:val="00AC3C21"/>
    <w:rPr>
      <w:color w:val="F2F2F2"/>
      <w:u w:val="single"/>
    </w:rPr>
  </w:style>
  <w:style w:type="character" w:styleId="Textoennegrita">
    <w:name w:val="Strong"/>
    <w:basedOn w:val="Fuentedeprrafopredeter"/>
    <w:uiPriority w:val="22"/>
    <w:qFormat/>
    <w:rsid w:val="00AC3C21"/>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C3C21"/>
    <w:rPr>
      <w:rFonts w:ascii="Geomanist Light" w:hAnsi="Geomanist Light"/>
      <w:lang w:val="es-ES"/>
    </w:rPr>
  </w:style>
  <w:style w:type="character" w:customStyle="1" w:styleId="NormalWebCar">
    <w:name w:val="Normal (Web) Car"/>
    <w:link w:val="NormalWeb"/>
    <w:uiPriority w:val="99"/>
    <w:rsid w:val="00AC3C21"/>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03662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630475106">
      <w:bodyDiv w:val="1"/>
      <w:marLeft w:val="0"/>
      <w:marRight w:val="0"/>
      <w:marTop w:val="0"/>
      <w:marBottom w:val="0"/>
      <w:divBdr>
        <w:top w:val="none" w:sz="0" w:space="0" w:color="auto"/>
        <w:left w:val="none" w:sz="0" w:space="0" w:color="auto"/>
        <w:bottom w:val="none" w:sz="0" w:space="0" w:color="auto"/>
        <w:right w:val="none" w:sz="0" w:space="0" w:color="auto"/>
      </w:divBdr>
    </w:div>
    <w:div w:id="1679964416">
      <w:bodyDiv w:val="1"/>
      <w:marLeft w:val="0"/>
      <w:marRight w:val="0"/>
      <w:marTop w:val="0"/>
      <w:marBottom w:val="0"/>
      <w:divBdr>
        <w:top w:val="none" w:sz="0" w:space="0" w:color="auto"/>
        <w:left w:val="none" w:sz="0" w:space="0" w:color="auto"/>
        <w:bottom w:val="none" w:sz="0" w:space="0" w:color="auto"/>
        <w:right w:val="none" w:sz="0" w:space="0" w:color="auto"/>
      </w:divBdr>
    </w:div>
    <w:div w:id="178920524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driaragon10@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liquidacion_proceso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60071A9-1D80-4D34-98B7-3F1A933CE0D6}">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8B903972-883B-4894-8BCD-554799C805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23</TotalTime>
  <Pages>15</Pages>
  <Words>4166</Words>
  <Characters>22915</Characters>
  <Application>Microsoft Office Word</Application>
  <DocSecurity>0</DocSecurity>
  <Lines>190</Lines>
  <Paragraphs>54</Paragraphs>
  <ScaleCrop>false</ScaleCrop>
  <Company/>
  <LinksUpToDate>false</LinksUpToDate>
  <CharactersWithSpaces>27027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13</cp:revision>
  <cp:lastPrinted>2023-01-10T18:18:00Z</cp:lastPrinted>
  <dcterms:created xsi:type="dcterms:W3CDTF">2025-11-14T11:59:00Z</dcterms:created>
  <dcterms:modified xsi:type="dcterms:W3CDTF">2025-11-18T17:48:00Z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