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3D625D" w14:textId="77777777" w:rsidR="009C6ABC" w:rsidRPr="009C6ABC" w:rsidRDefault="009C6ABC" w:rsidP="009C6ABC">
      <w:pPr>
        <w:jc w:val="both"/>
        <w:rPr>
          <w:rFonts w:ascii="Verdana" w:hAnsi="Verdana" w:cs="Arial"/>
          <w:b/>
          <w:color w:val="000000" w:themeColor="text1"/>
          <w:lang w:val="es-ES_tradnl"/>
        </w:rPr>
      </w:pPr>
      <w:bookmarkStart w:id="0" w:name="_Hlk143780582"/>
      <w:r w:rsidRPr="009C6ABC">
        <w:rPr>
          <w:rFonts w:ascii="Verdana" w:hAnsi="Verdana" w:cs="Arial"/>
          <w:b/>
          <w:color w:val="000000" w:themeColor="text1"/>
          <w:lang w:val="es-ES_tradnl"/>
        </w:rPr>
        <w:t xml:space="preserve">PROCESO DE SELECCIÓN DE MÍNIMA CUANTÍA – Derogatoria del artículo 42 de la Ley 1955 de 2019 – Régimen establecido por el artículo 30 de la Ley 2069 de 2020 </w:t>
      </w:r>
    </w:p>
    <w:p w14:paraId="7CB18623" w14:textId="5D483369" w:rsidR="009C6ABC" w:rsidRPr="00F41E96" w:rsidRDefault="009C6ABC" w:rsidP="009C6ABC">
      <w:pPr>
        <w:spacing w:before="120" w:line="276" w:lineRule="auto"/>
        <w:jc w:val="both"/>
        <w:rPr>
          <w:rFonts w:ascii="Verdana" w:hAnsi="Verdana" w:cs="Arial"/>
          <w:lang w:val="es-ES_tradnl"/>
        </w:rPr>
      </w:pPr>
      <w:r w:rsidRPr="00F41E96">
        <w:rPr>
          <w:rFonts w:ascii="Verdana" w:hAnsi="Verdana"/>
        </w:rPr>
        <w:t xml:space="preserve">Sin embargo, </w:t>
      </w:r>
      <w:r w:rsidRPr="00F41E96">
        <w:rPr>
          <w:rFonts w:ascii="Verdana" w:hAnsi="Verdana" w:cs="Arial"/>
          <w:lang w:val="es-ES_tradnl"/>
        </w:rPr>
        <w:t xml:space="preserve">el artículo 30 de la Ley 2069 de 2020, como se lee en su primer inciso, modificó integralmente el numeral 5 del artículo 2 de la Ley 1150 de 2007. Por consiguiente, al modificar por completo este numeral sin aludir expresamente a la vigencia de las normas que lo habían modificado en el pasado –siendo una de ellas el artículo 42 de la Ley 1955 de 2019–, el artículo 30 de la Ley de Emprendimiento derogó dichas normas. La derogatoria del artículo 42 de la Ley 1955 de 2019 también se sustenta en que el nuevo contenido del numeral 5 del artículo 2 de la Ley 1150 de 2007 –modificado por el artículo 30 de la Ley 2069 de 2020– </w:t>
      </w:r>
      <w:r w:rsidRPr="00F41E96">
        <w:rPr>
          <w:rFonts w:ascii="Verdana" w:hAnsi="Verdana" w:cs="Arial"/>
          <w:i/>
          <w:iCs/>
          <w:lang w:val="es-ES_tradnl"/>
        </w:rPr>
        <w:t>solo contempla dos parágrafos</w:t>
      </w:r>
      <w:r w:rsidRPr="00F41E96">
        <w:rPr>
          <w:rFonts w:ascii="Verdana" w:hAnsi="Verdana" w:cs="Arial"/>
          <w:lang w:val="es-ES_tradnl"/>
        </w:rPr>
        <w:t xml:space="preserve">. Por consiguiente, el parágrafo 3 que había sido adicionado por el artículo 42 de la Ley 1955 de 2019 al artículo 94 de la Ley 1474 de 2011 –artículo que a su vez había adicionado el contenido del numeral 5 del artículo 2 de la Ley 1150 de 2007–, se entiende derogado, pues dicho parágrafo 3 no quedó previsto en el artículo 30 de la Ley 2069 de 2020. </w:t>
      </w:r>
    </w:p>
    <w:p w14:paraId="739441B8" w14:textId="436D0EF1" w:rsidR="009C6ABC" w:rsidRPr="009C6ABC" w:rsidRDefault="009C6ABC" w:rsidP="009C6ABC">
      <w:pPr>
        <w:jc w:val="both"/>
        <w:rPr>
          <w:rFonts w:ascii="Verdana" w:hAnsi="Verdana" w:cs="Arial"/>
          <w:b/>
          <w:color w:val="000000" w:themeColor="text1"/>
          <w:lang w:val="es-ES_tradnl"/>
        </w:rPr>
      </w:pPr>
      <w:r w:rsidRPr="009C6ABC">
        <w:rPr>
          <w:rFonts w:ascii="Verdana" w:hAnsi="Verdana" w:cs="Arial"/>
          <w:b/>
          <w:color w:val="000000" w:themeColor="text1"/>
          <w:lang w:val="es-ES_tradnl"/>
        </w:rPr>
        <w:t>CONCURRENCIA ACUERDO MARCO DE PRECIOS Y MÍNIMA CUANTÍA – Prevalencia modalidad de selección Mínima Cuantía</w:t>
      </w:r>
    </w:p>
    <w:p w14:paraId="4C825047" w14:textId="77777777" w:rsidR="009C6ABC" w:rsidRPr="00F41E96" w:rsidRDefault="009C6ABC" w:rsidP="009C6ABC">
      <w:pPr>
        <w:spacing w:before="120" w:line="276" w:lineRule="auto"/>
        <w:jc w:val="both"/>
        <w:rPr>
          <w:rFonts w:ascii="Verdana" w:hAnsi="Verdana" w:cs="Arial"/>
          <w:lang w:val="es-ES"/>
        </w:rPr>
      </w:pPr>
      <w:r w:rsidRPr="00F41E96">
        <w:rPr>
          <w:rFonts w:ascii="Verdana" w:hAnsi="Verdana"/>
        </w:rPr>
        <w:t xml:space="preserve">Por tanto, </w:t>
      </w:r>
      <w:r w:rsidRPr="00F41E96">
        <w:rPr>
          <w:rFonts w:ascii="Verdana" w:hAnsi="Verdana" w:cs="Arial"/>
          <w:lang w:val="es-ES"/>
        </w:rPr>
        <w:t>con la expedición de la Ley 2069 de 2020, que modificó de manera integral el procedimiento de selección de mínima cuantía y derogó de forma tácita el artículo 42 de la Ley 1955 de 2019, esta Agencia ha reiterado el criterio interpretativo de que cuando el Proceso de Contratación no exceda el diez por ciento (10%) de la menor cuantía de la entidad, independientemente de su objeto, se debe adelantar el procedimiento de contratación con base en la modalidad de selección de mínima cuantía, pues la interpretación de las normas vigentes en nuestro ordenamiento jurídico indican que en este caso no debe tenerse en cuenta el objeto contractual sino sólo el valor del proceso de contratación.</w:t>
      </w:r>
    </w:p>
    <w:p w14:paraId="6BE17CB9" w14:textId="77777777" w:rsidR="009C6ABC" w:rsidRDefault="009C6ABC" w:rsidP="00C15139">
      <w:pPr>
        <w:spacing w:after="0"/>
        <w:rPr>
          <w:rFonts w:ascii="Verdana" w:hAnsi="Verdana"/>
        </w:rPr>
      </w:pPr>
    </w:p>
    <w:p w14:paraId="352ABC83" w14:textId="77777777" w:rsidR="009C6ABC" w:rsidRDefault="009C6ABC" w:rsidP="00C15139">
      <w:pPr>
        <w:spacing w:after="0"/>
        <w:rPr>
          <w:rFonts w:ascii="Verdana" w:hAnsi="Verdana"/>
        </w:rPr>
      </w:pPr>
    </w:p>
    <w:p w14:paraId="538EE649" w14:textId="77777777" w:rsidR="009C6ABC" w:rsidRDefault="009C6ABC" w:rsidP="00C15139">
      <w:pPr>
        <w:spacing w:after="0"/>
        <w:rPr>
          <w:rFonts w:ascii="Verdana" w:hAnsi="Verdana"/>
        </w:rPr>
      </w:pPr>
    </w:p>
    <w:p w14:paraId="2F34792C" w14:textId="77777777" w:rsidR="009C6ABC" w:rsidRDefault="009C6ABC" w:rsidP="00C15139">
      <w:pPr>
        <w:spacing w:after="0"/>
        <w:rPr>
          <w:rFonts w:ascii="Verdana" w:hAnsi="Verdana"/>
        </w:rPr>
      </w:pPr>
    </w:p>
    <w:p w14:paraId="68C11BDD" w14:textId="77777777" w:rsidR="009C6ABC" w:rsidRDefault="009C6ABC" w:rsidP="00C15139">
      <w:pPr>
        <w:spacing w:after="0"/>
        <w:rPr>
          <w:rFonts w:ascii="Verdana" w:hAnsi="Verdana"/>
        </w:rPr>
      </w:pPr>
    </w:p>
    <w:p w14:paraId="48940993" w14:textId="77777777" w:rsidR="009C6ABC" w:rsidRDefault="009C6ABC" w:rsidP="00C15139">
      <w:pPr>
        <w:spacing w:after="0"/>
        <w:rPr>
          <w:rFonts w:ascii="Verdana" w:hAnsi="Verdana"/>
        </w:rPr>
      </w:pPr>
    </w:p>
    <w:p w14:paraId="1468C46D" w14:textId="08C00317" w:rsidR="00C15139" w:rsidRDefault="009C6ABC" w:rsidP="00C15139">
      <w:pPr>
        <w:spacing w:after="0"/>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4B5A7D2C" wp14:editId="39A56E81">
            <wp:simplePos x="0" y="0"/>
            <wp:positionH relativeFrom="column">
              <wp:posOffset>3221300</wp:posOffset>
            </wp:positionH>
            <wp:positionV relativeFrom="paragraph">
              <wp:posOffset>-78244</wp:posOffset>
            </wp:positionV>
            <wp:extent cx="2934031" cy="97801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934031" cy="978010"/>
                    </a:xfrm>
                    <a:prstGeom prst="rect">
                      <a:avLst/>
                    </a:prstGeom>
                  </pic:spPr>
                </pic:pic>
              </a:graphicData>
            </a:graphic>
            <wp14:sizeRelH relativeFrom="page">
              <wp14:pctWidth>0</wp14:pctWidth>
            </wp14:sizeRelH>
            <wp14:sizeRelV relativeFrom="page">
              <wp14:pctHeight>0</wp14:pctHeight>
            </wp14:sizeRelV>
          </wp:anchor>
        </w:drawing>
      </w:r>
      <w:r w:rsidR="00C15139" w:rsidRPr="0024624F">
        <w:rPr>
          <w:rFonts w:ascii="Verdana" w:hAnsi="Verdana"/>
        </w:rPr>
        <w:t xml:space="preserve">Bogotá D.C., </w:t>
      </w:r>
      <w:r>
        <w:rPr>
          <w:rFonts w:ascii="Verdana" w:hAnsi="Verdana"/>
        </w:rPr>
        <w:t xml:space="preserve">14 </w:t>
      </w:r>
      <w:proofErr w:type="gramStart"/>
      <w:r>
        <w:rPr>
          <w:rFonts w:ascii="Verdana" w:hAnsi="Verdana"/>
        </w:rPr>
        <w:t>Noviembre</w:t>
      </w:r>
      <w:proofErr w:type="gramEnd"/>
      <w:r>
        <w:rPr>
          <w:rFonts w:ascii="Verdana" w:hAnsi="Verdana"/>
        </w:rPr>
        <w:t xml:space="preserve"> 2025</w:t>
      </w:r>
      <w:r w:rsidR="00C15139" w:rsidRPr="000E2B93">
        <w:rPr>
          <w:rFonts w:ascii="Verdana" w:hAnsi="Verdana"/>
        </w:rPr>
        <w:tab/>
      </w:r>
      <w:r w:rsidR="00C15139" w:rsidRPr="000E2B93">
        <w:rPr>
          <w:rFonts w:ascii="Verdana" w:hAnsi="Verdana"/>
        </w:rPr>
        <w:br/>
      </w:r>
    </w:p>
    <w:p w14:paraId="14C9F984" w14:textId="77777777" w:rsidR="00700D6F" w:rsidRDefault="00700D6F" w:rsidP="00700D6F">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2375EEEF" w14:textId="77777777" w:rsidR="00700D6F" w:rsidRPr="00C53B42" w:rsidRDefault="00700D6F" w:rsidP="00700D6F">
      <w:pPr>
        <w:spacing w:after="0" w:line="240" w:lineRule="auto"/>
        <w:rPr>
          <w:rFonts w:ascii="Verdana" w:eastAsia="Calibri" w:hAnsi="Verdana" w:cs="Arial"/>
          <w:b/>
          <w:lang w:val="es-ES" w:eastAsia="es-ES"/>
        </w:rPr>
      </w:pPr>
      <w:r>
        <w:rPr>
          <w:rFonts w:ascii="Verdana" w:eastAsia="Calibri" w:hAnsi="Verdana" w:cs="Arial"/>
          <w:b/>
          <w:lang w:val="es-ES" w:eastAsia="es-ES"/>
        </w:rPr>
        <w:t>Ricardo Andrés Hernández Gómez</w:t>
      </w:r>
    </w:p>
    <w:p w14:paraId="7E5C0037" w14:textId="77777777" w:rsidR="00700D6F" w:rsidRPr="00C53B42" w:rsidRDefault="005E2FC4" w:rsidP="00700D6F">
      <w:pPr>
        <w:spacing w:after="0" w:line="240" w:lineRule="auto"/>
        <w:rPr>
          <w:rFonts w:ascii="Verdana" w:hAnsi="Verdana" w:cs="ArialMT"/>
        </w:rPr>
      </w:pPr>
      <w:hyperlink r:id="rId11" w:history="1">
        <w:r w:rsidR="00700D6F" w:rsidRPr="001564C5">
          <w:rPr>
            <w:rStyle w:val="Hipervnculo"/>
            <w:rFonts w:ascii="Verdana" w:hAnsi="Verdana" w:cs="ArialMT"/>
          </w:rPr>
          <w:t>ricardo.erre.ache@gmail.com</w:t>
        </w:r>
      </w:hyperlink>
      <w:r w:rsidR="00700D6F">
        <w:rPr>
          <w:rFonts w:ascii="Verdana" w:hAnsi="Verdana" w:cs="ArialMT"/>
        </w:rPr>
        <w:t xml:space="preserve"> </w:t>
      </w:r>
      <w:r w:rsidR="00700D6F" w:rsidRPr="00C53B42">
        <w:rPr>
          <w:rFonts w:ascii="Verdana" w:hAnsi="Verdana" w:cs="ArialMT"/>
        </w:rPr>
        <w:t xml:space="preserve">  </w:t>
      </w:r>
    </w:p>
    <w:p w14:paraId="2A81436E" w14:textId="77777777" w:rsidR="00700D6F" w:rsidRPr="00C53B42" w:rsidRDefault="00700D6F" w:rsidP="00700D6F">
      <w:pPr>
        <w:spacing w:after="0" w:line="240" w:lineRule="auto"/>
        <w:rPr>
          <w:rFonts w:ascii="Verdana" w:hAnsi="Verdana" w:cs="ArialMT"/>
        </w:rPr>
      </w:pPr>
      <w:r>
        <w:rPr>
          <w:rFonts w:ascii="Verdana" w:eastAsia="Calibri" w:hAnsi="Verdana" w:cs="Arial"/>
          <w:lang w:val="es-ES" w:eastAsia="es-ES"/>
        </w:rPr>
        <w:t>La Unión, Valle del Cauca</w:t>
      </w:r>
    </w:p>
    <w:p w14:paraId="3C0499C5" w14:textId="77777777" w:rsidR="00700D6F" w:rsidRPr="00C53B42" w:rsidRDefault="00700D6F" w:rsidP="00700D6F">
      <w:pPr>
        <w:spacing w:after="0" w:line="240" w:lineRule="auto"/>
        <w:rPr>
          <w:rFonts w:ascii="Verdana" w:eastAsia="Calibri" w:hAnsi="Verdana" w:cs="Arial"/>
          <w:b/>
          <w:bCs/>
          <w:color w:val="000000"/>
          <w:lang w:val="es-ES_tradnl" w:eastAsia="es-ES_tradnl"/>
        </w:rPr>
      </w:pPr>
    </w:p>
    <w:p w14:paraId="178BE6FF" w14:textId="77777777" w:rsidR="00700D6F" w:rsidRPr="00C53B42" w:rsidRDefault="00700D6F" w:rsidP="00700D6F">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75"/>
        <w:gridCol w:w="6614"/>
      </w:tblGrid>
      <w:tr w:rsidR="00700D6F" w:rsidRPr="00C53B42" w14:paraId="352884B0" w14:textId="77777777" w:rsidTr="008F7125">
        <w:trPr>
          <w:trHeight w:val="218"/>
        </w:trPr>
        <w:tc>
          <w:tcPr>
            <w:tcW w:w="2175" w:type="dxa"/>
          </w:tcPr>
          <w:p w14:paraId="6D29829A" w14:textId="77777777" w:rsidR="00700D6F" w:rsidRPr="00C53B42" w:rsidRDefault="00700D6F" w:rsidP="008F7125">
            <w:pPr>
              <w:jc w:val="both"/>
              <w:rPr>
                <w:rFonts w:ascii="Verdana" w:eastAsia="Calibri" w:hAnsi="Verdana" w:cs="Arial"/>
                <w:b/>
                <w:bCs/>
                <w:color w:val="7030A0"/>
                <w:lang w:val="es-ES_tradnl" w:eastAsia="es-ES_tradnl"/>
              </w:rPr>
            </w:pPr>
          </w:p>
        </w:tc>
        <w:tc>
          <w:tcPr>
            <w:tcW w:w="6614" w:type="dxa"/>
            <w:hideMark/>
          </w:tcPr>
          <w:p w14:paraId="6C843019" w14:textId="77777777" w:rsidR="00700D6F" w:rsidRPr="00C53B42" w:rsidRDefault="00700D6F" w:rsidP="008F7125">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1459</w:t>
            </w:r>
            <w:r w:rsidRPr="00C53B42">
              <w:rPr>
                <w:rFonts w:ascii="Verdana" w:eastAsia="Calibri" w:hAnsi="Verdana" w:cs="Arial"/>
                <w:b/>
                <w:bCs/>
                <w:lang w:val="es-ES" w:eastAsia="es-ES"/>
              </w:rPr>
              <w:t xml:space="preserve"> de 2025</w:t>
            </w:r>
          </w:p>
          <w:p w14:paraId="26362D7D" w14:textId="77777777" w:rsidR="00700D6F" w:rsidRPr="00C53B42" w:rsidRDefault="00700D6F" w:rsidP="008F7125">
            <w:pPr>
              <w:jc w:val="both"/>
              <w:rPr>
                <w:rFonts w:ascii="Verdana" w:eastAsia="Calibri" w:hAnsi="Verdana" w:cs="Arial"/>
                <w:b/>
                <w:bCs/>
                <w:lang w:val="es-ES" w:eastAsia="es-ES"/>
              </w:rPr>
            </w:pPr>
          </w:p>
          <w:p w14:paraId="077BD860" w14:textId="77777777" w:rsidR="00700D6F" w:rsidRPr="00C53B42" w:rsidRDefault="00700D6F" w:rsidP="008F7125">
            <w:pPr>
              <w:jc w:val="both"/>
              <w:rPr>
                <w:rFonts w:ascii="Verdana" w:eastAsia="Calibri" w:hAnsi="Verdana" w:cs="Arial"/>
                <w:b/>
                <w:bCs/>
                <w:lang w:val="es-ES" w:eastAsia="es-ES"/>
              </w:rPr>
            </w:pPr>
          </w:p>
        </w:tc>
      </w:tr>
      <w:tr w:rsidR="00700D6F" w:rsidRPr="00AC478F" w14:paraId="68EA3592" w14:textId="77777777" w:rsidTr="008F7125">
        <w:trPr>
          <w:trHeight w:val="884"/>
        </w:trPr>
        <w:tc>
          <w:tcPr>
            <w:tcW w:w="2175" w:type="dxa"/>
            <w:hideMark/>
          </w:tcPr>
          <w:p w14:paraId="6E77150C" w14:textId="77777777" w:rsidR="00700D6F" w:rsidRPr="00C53B42" w:rsidRDefault="00700D6F" w:rsidP="008F7125">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614" w:type="dxa"/>
            <w:hideMark/>
          </w:tcPr>
          <w:p w14:paraId="696F67A4" w14:textId="77777777" w:rsidR="00700D6F" w:rsidRPr="00F41E96" w:rsidRDefault="00700D6F" w:rsidP="008F7125">
            <w:pPr>
              <w:jc w:val="both"/>
              <w:rPr>
                <w:rFonts w:ascii="Verdana" w:hAnsi="Verdana" w:cs="Arial"/>
                <w:bCs/>
                <w:color w:val="000000" w:themeColor="text1"/>
                <w:lang w:val="es-ES_tradnl"/>
              </w:rPr>
            </w:pPr>
            <w:r w:rsidRPr="00F41E96">
              <w:rPr>
                <w:rFonts w:ascii="Verdana" w:hAnsi="Verdana" w:cs="Arial"/>
                <w:bCs/>
                <w:color w:val="000000" w:themeColor="text1"/>
                <w:lang w:val="es-ES_tradnl"/>
              </w:rPr>
              <w:t>PROCESO DE SELECCIÓN DE MÍNIMA CUANTÍA – Derogatoria del artículo 42 de la Ley 1955 de 2019 – Régimen establecido por el artículo 30 de la Ley 2069 de 2020 / CONCURRENCIA ACUERDO MARCO DE PRECIOS Y MÍNIMA CUANTÍA – Prevalencia modalidad de selección Mínima Cuantía</w:t>
            </w:r>
          </w:p>
          <w:p w14:paraId="71E7E933" w14:textId="77777777" w:rsidR="00700D6F" w:rsidRPr="00AC478F" w:rsidRDefault="00700D6F" w:rsidP="008F7125">
            <w:pPr>
              <w:jc w:val="both"/>
              <w:rPr>
                <w:rFonts w:ascii="Verdana" w:eastAsia="Calibri" w:hAnsi="Verdana" w:cs="Arial"/>
                <w:highlight w:val="yellow"/>
                <w:lang w:val="es-ES" w:eastAsia="es-ES"/>
              </w:rPr>
            </w:pPr>
          </w:p>
        </w:tc>
      </w:tr>
      <w:tr w:rsidR="00700D6F" w14:paraId="5AD851A3" w14:textId="77777777" w:rsidTr="008F7125">
        <w:tc>
          <w:tcPr>
            <w:tcW w:w="2175" w:type="dxa"/>
            <w:hideMark/>
          </w:tcPr>
          <w:p w14:paraId="7C161F8A" w14:textId="77777777" w:rsidR="00700D6F" w:rsidRPr="00C53B42" w:rsidRDefault="00700D6F" w:rsidP="008F7125">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614" w:type="dxa"/>
          </w:tcPr>
          <w:p w14:paraId="77C4FAD9" w14:textId="77777777" w:rsidR="00700D6F" w:rsidRPr="00C53B42" w:rsidRDefault="00700D6F" w:rsidP="008F7125">
            <w:pPr>
              <w:jc w:val="both"/>
              <w:rPr>
                <w:rFonts w:ascii="Verdana" w:eastAsia="Calibri" w:hAnsi="Verdana" w:cs="Arial"/>
                <w:lang w:val="es-ES_tradnl" w:eastAsia="es-ES_tradnl"/>
              </w:rPr>
            </w:pPr>
            <w:r w:rsidRPr="00C53B42">
              <w:rPr>
                <w:rFonts w:ascii="Verdana" w:eastAsia="Calibri" w:hAnsi="Verdana" w:cs="Arial"/>
                <w:lang w:val="es-ES_tradnl" w:eastAsia="es-ES_tradnl"/>
              </w:rPr>
              <w:t xml:space="preserve">Respuesta a consulta con radicado No. </w:t>
            </w:r>
            <w:r w:rsidRPr="00AC478F">
              <w:rPr>
                <w:rFonts w:ascii="Verdana" w:eastAsia="Calibri" w:hAnsi="Verdana" w:cs="Arial"/>
                <w:lang w:val="es-ES_tradnl" w:eastAsia="es-ES_tradnl"/>
              </w:rPr>
              <w:t>1_2025_10_06_011105</w:t>
            </w:r>
          </w:p>
        </w:tc>
      </w:tr>
    </w:tbl>
    <w:p w14:paraId="37C0CF54" w14:textId="77777777" w:rsidR="00700D6F" w:rsidRDefault="00700D6F" w:rsidP="00700D6F">
      <w:pPr>
        <w:spacing w:after="0" w:line="240" w:lineRule="auto"/>
        <w:jc w:val="both"/>
        <w:rPr>
          <w:rFonts w:ascii="Verdana" w:eastAsia="Calibri" w:hAnsi="Verdana" w:cs="Arial"/>
          <w:color w:val="000000"/>
          <w:lang w:val="es-ES_tradnl" w:eastAsia="es-ES_tradnl"/>
        </w:rPr>
      </w:pPr>
    </w:p>
    <w:p w14:paraId="7ADE9FAE" w14:textId="77777777" w:rsidR="00700D6F" w:rsidRDefault="00700D6F" w:rsidP="00700D6F">
      <w:pPr>
        <w:spacing w:after="0" w:line="240" w:lineRule="auto"/>
        <w:jc w:val="both"/>
        <w:rPr>
          <w:rFonts w:ascii="Verdana" w:eastAsia="Calibri" w:hAnsi="Verdana" w:cs="Arial"/>
          <w:color w:val="000000"/>
          <w:lang w:val="es-ES_tradnl" w:eastAsia="es-ES_tradnl"/>
        </w:rPr>
      </w:pPr>
    </w:p>
    <w:p w14:paraId="49A0D211" w14:textId="77777777" w:rsidR="00700D6F" w:rsidRDefault="00700D6F" w:rsidP="00700D6F">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Estimado señor Hernández,</w:t>
      </w:r>
    </w:p>
    <w:p w14:paraId="39A7B9C2" w14:textId="77777777" w:rsidR="00700D6F" w:rsidRDefault="00700D6F" w:rsidP="00700D6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28E0A4F" w14:textId="77777777" w:rsidR="00700D6F" w:rsidRDefault="00700D6F" w:rsidP="00700D6F">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del 06 de octubre de 2025, en la cual manifiesta lo siguiente: </w:t>
      </w:r>
    </w:p>
    <w:p w14:paraId="4E2E79CD" w14:textId="77777777" w:rsidR="00700D6F" w:rsidRDefault="00700D6F" w:rsidP="00700D6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803861C" w14:textId="77777777" w:rsidR="00700D6F" w:rsidRPr="00AC478F" w:rsidRDefault="00700D6F" w:rsidP="00700D6F">
      <w:pPr>
        <w:autoSpaceDE w:val="0"/>
        <w:autoSpaceDN w:val="0"/>
        <w:adjustRightInd w:val="0"/>
        <w:spacing w:after="0" w:line="276" w:lineRule="auto"/>
        <w:ind w:left="851" w:right="616"/>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r w:rsidRPr="00AC478F">
        <w:rPr>
          <w:rFonts w:ascii="Verdana" w:eastAsia="Century Gothic" w:hAnsi="Verdana" w:cs="Century Gothic"/>
          <w:sz w:val="20"/>
          <w:szCs w:val="20"/>
          <w:lang w:val="es-ES"/>
        </w:rPr>
        <w:t>Cuando existe conflicto entre dos modalidad de selección de contratistas, ¿</w:t>
      </w:r>
      <w:proofErr w:type="spellStart"/>
      <w:r w:rsidRPr="00AC478F">
        <w:rPr>
          <w:rFonts w:ascii="Verdana" w:eastAsia="Century Gothic" w:hAnsi="Verdana" w:cs="Century Gothic"/>
          <w:sz w:val="20"/>
          <w:szCs w:val="20"/>
          <w:lang w:val="es-ES"/>
        </w:rPr>
        <w:t>cual</w:t>
      </w:r>
      <w:proofErr w:type="spellEnd"/>
      <w:r w:rsidRPr="00AC478F">
        <w:rPr>
          <w:rFonts w:ascii="Verdana" w:eastAsia="Century Gothic" w:hAnsi="Verdana" w:cs="Century Gothic"/>
          <w:sz w:val="20"/>
          <w:szCs w:val="20"/>
          <w:lang w:val="es-ES"/>
        </w:rPr>
        <w:t xml:space="preserve"> debe </w:t>
      </w:r>
      <w:proofErr w:type="gramStart"/>
      <w:r w:rsidRPr="00AC478F">
        <w:rPr>
          <w:rFonts w:ascii="Verdana" w:eastAsia="Century Gothic" w:hAnsi="Verdana" w:cs="Century Gothic"/>
          <w:sz w:val="20"/>
          <w:szCs w:val="20"/>
          <w:lang w:val="es-ES"/>
        </w:rPr>
        <w:t>escogerse?.</w:t>
      </w:r>
      <w:proofErr w:type="gramEnd"/>
      <w:r w:rsidRPr="00AC478F">
        <w:rPr>
          <w:rFonts w:ascii="Verdana" w:eastAsia="Century Gothic" w:hAnsi="Verdana" w:cs="Century Gothic"/>
          <w:sz w:val="20"/>
          <w:szCs w:val="20"/>
          <w:lang w:val="es-ES"/>
        </w:rPr>
        <w:t xml:space="preserve"> Concretamente la pregunta va dirigida a: existe acuerdo marco de precios vigente y aplicable a un determinado bien o servicio a adquirir, pero por la cuantía del mismo (presupuesto oficial) también puede acudirse a la contratación de mínima cuantía. </w:t>
      </w:r>
    </w:p>
    <w:p w14:paraId="6A3CDBCD" w14:textId="77777777" w:rsidR="00700D6F" w:rsidRPr="00AC478F" w:rsidRDefault="00700D6F" w:rsidP="00700D6F">
      <w:pPr>
        <w:autoSpaceDE w:val="0"/>
        <w:autoSpaceDN w:val="0"/>
        <w:adjustRightInd w:val="0"/>
        <w:spacing w:after="0" w:line="276" w:lineRule="auto"/>
        <w:ind w:left="851" w:right="616"/>
        <w:jc w:val="both"/>
        <w:rPr>
          <w:rFonts w:ascii="Verdana" w:eastAsia="Century Gothic" w:hAnsi="Verdana" w:cs="Century Gothic"/>
          <w:sz w:val="20"/>
          <w:szCs w:val="20"/>
          <w:lang w:val="es-ES"/>
        </w:rPr>
      </w:pPr>
      <w:r w:rsidRPr="00AC478F">
        <w:rPr>
          <w:rFonts w:ascii="Verdana" w:eastAsia="Century Gothic" w:hAnsi="Verdana" w:cs="Century Gothic"/>
          <w:sz w:val="20"/>
          <w:szCs w:val="20"/>
          <w:lang w:val="es-ES"/>
        </w:rPr>
        <w:t xml:space="preserve">Según entiendo, los acuerdos marco de precio son obligatorios (en virtud al decreto 310) para la modalidad de selección denominada: selección abreviada, que a su vez </w:t>
      </w:r>
      <w:proofErr w:type="spellStart"/>
      <w:r w:rsidRPr="00AC478F">
        <w:rPr>
          <w:rFonts w:ascii="Verdana" w:eastAsia="Century Gothic" w:hAnsi="Verdana" w:cs="Century Gothic"/>
          <w:sz w:val="20"/>
          <w:szCs w:val="20"/>
          <w:lang w:val="es-ES"/>
        </w:rPr>
        <w:t>seria</w:t>
      </w:r>
      <w:proofErr w:type="spellEnd"/>
      <w:r w:rsidRPr="00AC478F">
        <w:rPr>
          <w:rFonts w:ascii="Verdana" w:eastAsia="Century Gothic" w:hAnsi="Verdana" w:cs="Century Gothic"/>
          <w:sz w:val="20"/>
          <w:szCs w:val="20"/>
          <w:lang w:val="es-ES"/>
        </w:rPr>
        <w:t xml:space="preserve"> aplicable para las menores cuantías. Sin embargo, al establecerse que el monto de la contratación aplica para mínima cuantía, (concurrencia de modalidades, si se permite el termino), se debería escoger la mínima cuantía, ya que esta es independientemente de su objeto.</w:t>
      </w:r>
    </w:p>
    <w:p w14:paraId="3BC93C70" w14:textId="77777777" w:rsidR="00700D6F" w:rsidRDefault="00700D6F" w:rsidP="00700D6F">
      <w:pPr>
        <w:autoSpaceDE w:val="0"/>
        <w:autoSpaceDN w:val="0"/>
        <w:adjustRightInd w:val="0"/>
        <w:spacing w:after="0" w:line="276" w:lineRule="auto"/>
        <w:ind w:left="851" w:right="616"/>
        <w:jc w:val="both"/>
        <w:rPr>
          <w:rFonts w:ascii="Verdana" w:eastAsia="Century Gothic" w:hAnsi="Verdana" w:cs="Century Gothic"/>
          <w:sz w:val="20"/>
          <w:szCs w:val="20"/>
          <w:lang w:val="es-ES"/>
        </w:rPr>
      </w:pPr>
      <w:r w:rsidRPr="00AC478F">
        <w:rPr>
          <w:rFonts w:ascii="Verdana" w:eastAsia="Century Gothic" w:hAnsi="Verdana" w:cs="Century Gothic"/>
          <w:sz w:val="20"/>
          <w:szCs w:val="20"/>
          <w:lang w:val="es-ES"/>
        </w:rPr>
        <w:lastRenderedPageBreak/>
        <w:t xml:space="preserve"> Sin embargo, si lo anterior no corresponde a la realidad, solicito respetuosamente se me indique si existe norma donde se haya dispuesto obligatoriedad para los acuerdos marco de precios aun en la </w:t>
      </w:r>
      <w:proofErr w:type="spellStart"/>
      <w:r w:rsidRPr="00AC478F">
        <w:rPr>
          <w:rFonts w:ascii="Verdana" w:eastAsia="Century Gothic" w:hAnsi="Verdana" w:cs="Century Gothic"/>
          <w:sz w:val="20"/>
          <w:szCs w:val="20"/>
          <w:lang w:val="es-ES"/>
        </w:rPr>
        <w:t>minima</w:t>
      </w:r>
      <w:proofErr w:type="spellEnd"/>
      <w:r w:rsidRPr="00AC478F">
        <w:rPr>
          <w:rFonts w:ascii="Verdana" w:eastAsia="Century Gothic" w:hAnsi="Verdana" w:cs="Century Gothic"/>
          <w:sz w:val="20"/>
          <w:szCs w:val="20"/>
          <w:lang w:val="es-ES"/>
        </w:rPr>
        <w:t xml:space="preserve"> </w:t>
      </w:r>
      <w:proofErr w:type="spellStart"/>
      <w:r w:rsidRPr="00AC478F">
        <w:rPr>
          <w:rFonts w:ascii="Verdana" w:eastAsia="Century Gothic" w:hAnsi="Verdana" w:cs="Century Gothic"/>
          <w:sz w:val="20"/>
          <w:szCs w:val="20"/>
          <w:lang w:val="es-ES"/>
        </w:rPr>
        <w:t>cuant</w:t>
      </w:r>
      <w:proofErr w:type="spellEnd"/>
      <w:r w:rsidRPr="00AC478F">
        <w:rPr>
          <w:rFonts w:ascii="Verdana" w:eastAsia="Century Gothic" w:hAnsi="Verdana" w:cs="Century Gothic"/>
          <w:sz w:val="20"/>
          <w:szCs w:val="20"/>
          <w:lang w:val="es-ES"/>
        </w:rPr>
        <w:t>:</w:t>
      </w:r>
      <w:r>
        <w:rPr>
          <w:rFonts w:ascii="Verdana" w:eastAsia="Century Gothic" w:hAnsi="Verdana" w:cs="Century Gothic"/>
          <w:sz w:val="20"/>
          <w:szCs w:val="20"/>
          <w:lang w:val="es-ES"/>
        </w:rPr>
        <w:t>”</w:t>
      </w:r>
    </w:p>
    <w:p w14:paraId="32205CEB" w14:textId="77777777" w:rsidR="00700D6F" w:rsidRPr="00924340" w:rsidRDefault="00700D6F" w:rsidP="00700D6F">
      <w:pPr>
        <w:autoSpaceDE w:val="0"/>
        <w:autoSpaceDN w:val="0"/>
        <w:adjustRightInd w:val="0"/>
        <w:spacing w:after="0" w:line="276" w:lineRule="auto"/>
        <w:ind w:left="851" w:right="616"/>
        <w:jc w:val="both"/>
        <w:rPr>
          <w:rFonts w:ascii="Verdana" w:eastAsia="Century Gothic" w:hAnsi="Verdana" w:cs="Century Gothic"/>
          <w:b/>
        </w:rPr>
      </w:pPr>
    </w:p>
    <w:p w14:paraId="1E99811C" w14:textId="77777777" w:rsidR="00700D6F" w:rsidRDefault="00700D6F" w:rsidP="00700D6F">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01FACB91" w14:textId="77777777" w:rsidR="00700D6F" w:rsidRDefault="00700D6F" w:rsidP="00700D6F">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0D603C97" w14:textId="77777777" w:rsidR="00700D6F" w:rsidRDefault="00700D6F" w:rsidP="00700D6F">
      <w:pPr>
        <w:spacing w:after="0" w:line="276" w:lineRule="auto"/>
        <w:ind w:firstLine="709"/>
        <w:jc w:val="both"/>
        <w:rPr>
          <w:rFonts w:ascii="Verdana" w:eastAsia="Calibri" w:hAnsi="Verdana" w:cs="Arial"/>
          <w:color w:val="000000"/>
          <w:lang w:val="es-ES" w:eastAsia="es-ES"/>
        </w:rPr>
      </w:pPr>
    </w:p>
    <w:p w14:paraId="40012834" w14:textId="77777777" w:rsidR="00700D6F" w:rsidRDefault="00700D6F" w:rsidP="00700D6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077017FA" w14:textId="77777777" w:rsidR="00700D6F" w:rsidRDefault="00700D6F" w:rsidP="00700D6F">
      <w:pPr>
        <w:tabs>
          <w:tab w:val="left" w:pos="426"/>
        </w:tabs>
        <w:spacing w:after="0" w:line="276" w:lineRule="auto"/>
        <w:jc w:val="both"/>
        <w:rPr>
          <w:rFonts w:ascii="Verdana" w:eastAsia="Century Gothic" w:hAnsi="Verdana" w:cs="Century Gothic"/>
          <w:lang w:val="es-ES"/>
        </w:rPr>
      </w:pPr>
    </w:p>
    <w:p w14:paraId="7254976D" w14:textId="77777777" w:rsidR="00700D6F" w:rsidRDefault="00700D6F" w:rsidP="00700D6F">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w:t>
      </w:r>
      <w:r w:rsidRPr="00C93C89">
        <w:rPr>
          <w:rFonts w:ascii="Verdana" w:eastAsia="Century Gothic" w:hAnsi="Verdana" w:cs="Century Gothic"/>
        </w:rPr>
        <w:t xml:space="preserve">contenido de su solicitud, esta Agencia resolverá el siguiente problema jurídico: ¿Cuál modalidad debe escogerse ante la </w:t>
      </w:r>
      <w:r w:rsidRPr="00C93C89">
        <w:rPr>
          <w:rFonts w:ascii="Verdana" w:hAnsi="Verdana"/>
        </w:rPr>
        <w:t>concurrencia de la selección abreviada por Acuerdo Marco de Precios y de Mínima Cuantía</w:t>
      </w:r>
      <w:r w:rsidRPr="00C93C89">
        <w:rPr>
          <w:rFonts w:ascii="Verdana" w:eastAsia="Century Gothic" w:hAnsi="Verdana" w:cs="Century Gothic"/>
        </w:rPr>
        <w:t>?</w:t>
      </w:r>
    </w:p>
    <w:p w14:paraId="324226FC" w14:textId="77777777" w:rsidR="00700D6F" w:rsidRDefault="00700D6F" w:rsidP="00700D6F">
      <w:pPr>
        <w:spacing w:after="0" w:line="276" w:lineRule="auto"/>
        <w:jc w:val="both"/>
        <w:rPr>
          <w:rFonts w:ascii="Verdana" w:eastAsia="Calibri" w:hAnsi="Verdana" w:cs="Arial"/>
          <w:color w:val="7030A0"/>
          <w:lang w:val="es-ES"/>
        </w:rPr>
      </w:pPr>
    </w:p>
    <w:p w14:paraId="2EDE6B16" w14:textId="77777777" w:rsidR="00700D6F" w:rsidRDefault="00700D6F" w:rsidP="00700D6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25BF0728" w14:textId="77777777" w:rsidR="00700D6F" w:rsidRDefault="00700D6F" w:rsidP="00700D6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00D6F" w:rsidRPr="00DE5508" w14:paraId="438D5A1D" w14:textId="77777777" w:rsidTr="008F7125">
        <w:tc>
          <w:tcPr>
            <w:tcW w:w="8828" w:type="dxa"/>
            <w:tcBorders>
              <w:top w:val="dotted" w:sz="4" w:space="0" w:color="auto"/>
              <w:left w:val="dotted" w:sz="4" w:space="0" w:color="auto"/>
              <w:bottom w:val="dotted" w:sz="4" w:space="0" w:color="auto"/>
              <w:right w:val="dotted" w:sz="4" w:space="0" w:color="auto"/>
            </w:tcBorders>
          </w:tcPr>
          <w:p w14:paraId="2C824D0B" w14:textId="77777777" w:rsidR="00700D6F" w:rsidRPr="00F41E96" w:rsidRDefault="00700D6F" w:rsidP="008F7125">
            <w:pPr>
              <w:spacing w:before="120" w:line="276" w:lineRule="auto"/>
              <w:jc w:val="both"/>
              <w:rPr>
                <w:rFonts w:ascii="Verdana" w:hAnsi="Verdana" w:cs="Arial"/>
                <w:lang w:val="es-ES"/>
              </w:rPr>
            </w:pPr>
            <w:r w:rsidRPr="00F41E96">
              <w:rPr>
                <w:rFonts w:ascii="Verdana" w:hAnsi="Verdana" w:cs="Arial"/>
                <w:lang w:val="es-ES"/>
              </w:rPr>
              <w:t xml:space="preserve">Con la expedición de la Ley 2069 de 2020, que modificó de manera integral el procedimiento de selección de mínima cuantía y derogó de forma tácita el artículo 42 de la Ley 1955 de 2019, esta Agencia ha reiterado el criterio interpretativo de que cuando el Proceso de Contratación no exceda el diez por ciento (10%) de la menor cuantía de la entidad, independientemente de su objeto, se debe adelantar el procedimiento de contratación con base en la </w:t>
            </w:r>
            <w:r w:rsidRPr="00F41E96">
              <w:rPr>
                <w:rFonts w:ascii="Verdana" w:hAnsi="Verdana" w:cs="Arial"/>
                <w:lang w:val="es-ES"/>
              </w:rPr>
              <w:lastRenderedPageBreak/>
              <w:t>modalidad de selección de mínima cuantía, pues la interpretación de las normas vigentes en nuestro ordenamiento jurídico indican que en este caso no debe tenerse en cuenta el objeto contractual sino sólo el valor del proceso de contratación.</w:t>
            </w:r>
          </w:p>
          <w:p w14:paraId="1DD26BBA" w14:textId="77777777" w:rsidR="00700D6F" w:rsidRPr="00F41E96" w:rsidRDefault="00700D6F" w:rsidP="008F7125">
            <w:pPr>
              <w:spacing w:before="120" w:line="276" w:lineRule="auto"/>
              <w:jc w:val="both"/>
              <w:rPr>
                <w:rFonts w:ascii="Verdana" w:hAnsi="Verdana" w:cs="Arial"/>
                <w:lang w:val="es-ES"/>
              </w:rPr>
            </w:pPr>
            <w:r w:rsidRPr="00F41E96">
              <w:rPr>
                <w:rFonts w:ascii="Verdana" w:hAnsi="Verdana" w:cs="Arial"/>
                <w:lang w:val="es-ES"/>
              </w:rPr>
              <w:tab/>
              <w:t>Así, en el “Manual de la Modalidad de Selección de Mínima Cuantía” expedido por esta Agencia, se dispone en el numeral 12.3. “Concurrencia de selección abreviada por acuerdo marco de precios y mínima cuantía” lo siguiente:</w:t>
            </w:r>
          </w:p>
          <w:p w14:paraId="2C7B720C" w14:textId="77777777" w:rsidR="00700D6F" w:rsidRPr="00F41E96" w:rsidRDefault="00700D6F" w:rsidP="008F7125">
            <w:pPr>
              <w:spacing w:before="120" w:line="276" w:lineRule="auto"/>
              <w:ind w:left="708" w:right="649"/>
              <w:jc w:val="both"/>
              <w:rPr>
                <w:rFonts w:ascii="Verdana" w:hAnsi="Verdana"/>
                <w:sz w:val="20"/>
                <w:szCs w:val="20"/>
              </w:rPr>
            </w:pPr>
            <w:r w:rsidRPr="00F41E96">
              <w:rPr>
                <w:rFonts w:ascii="Verdana" w:hAnsi="Verdana"/>
                <w:sz w:val="20"/>
                <w:szCs w:val="20"/>
              </w:rPr>
              <w:t xml:space="preserve">El artículo 42 de la Ley 1955 de 2019 había adicionado el parágrafo 3 del artículo 94 de la Ley 1474 de 2011, el cual establecía: “En aquellos eventos en que las entidades estatales deban contratar bienes o servicios de características técnicas uniformes que se encuentren en un acuerdo marco de precios y cuyo valor no exceda del diez por ciento (10%) de la menor cuantía, las entidades deberán realizar la adquisición a través de la Tienda Virtual del Estado Colombiano, siempre que el bien o servicio esté disponible por ese medio". </w:t>
            </w:r>
          </w:p>
          <w:p w14:paraId="16D30809" w14:textId="77777777" w:rsidR="00700D6F" w:rsidRPr="00F41E96" w:rsidRDefault="00700D6F" w:rsidP="008F7125">
            <w:pPr>
              <w:spacing w:before="120" w:line="276" w:lineRule="auto"/>
              <w:ind w:left="708" w:right="649"/>
              <w:jc w:val="both"/>
              <w:rPr>
                <w:rFonts w:ascii="Verdana" w:hAnsi="Verdana"/>
                <w:sz w:val="20"/>
                <w:szCs w:val="20"/>
              </w:rPr>
            </w:pPr>
            <w:r w:rsidRPr="00F41E96">
              <w:rPr>
                <w:rFonts w:ascii="Verdana" w:hAnsi="Verdana"/>
                <w:sz w:val="20"/>
                <w:szCs w:val="20"/>
              </w:rPr>
              <w:t xml:space="preserve">De conformidad con esta regla, en caso de concurrencia de la selección abreviada por Acuerdo Marco de Precios y de Mínima Cuantía, la modalidad de selección aplicable sería la de Selección Abreviada por Acuerdo Marco de Precios. </w:t>
            </w:r>
          </w:p>
          <w:p w14:paraId="38E7F44C" w14:textId="77777777" w:rsidR="00700D6F" w:rsidRDefault="00700D6F" w:rsidP="008F7125">
            <w:pPr>
              <w:spacing w:before="120" w:line="276" w:lineRule="auto"/>
              <w:ind w:left="708" w:right="649"/>
              <w:jc w:val="both"/>
              <w:rPr>
                <w:rFonts w:ascii="Arial" w:hAnsi="Arial" w:cs="Arial"/>
                <w:lang w:val="es-ES"/>
              </w:rPr>
            </w:pPr>
            <w:r w:rsidRPr="00F41E96">
              <w:rPr>
                <w:rFonts w:ascii="Verdana" w:hAnsi="Verdana"/>
                <w:sz w:val="20"/>
                <w:szCs w:val="20"/>
              </w:rPr>
              <w:t xml:space="preserve">No obstante, con la expedición de la Ley 2069 de 2020, que modificó de manera integral el procedimiento de selección de mínima cuantía, se derogó de forma tácita el artículo 42 de la Ley 1955 de </w:t>
            </w:r>
            <w:proofErr w:type="gramStart"/>
            <w:r w:rsidRPr="00F41E96">
              <w:rPr>
                <w:rFonts w:ascii="Verdana" w:hAnsi="Verdana"/>
                <w:sz w:val="20"/>
                <w:szCs w:val="20"/>
              </w:rPr>
              <w:t>2019 .</w:t>
            </w:r>
            <w:proofErr w:type="gramEnd"/>
            <w:r w:rsidRPr="00F41E96">
              <w:rPr>
                <w:rFonts w:ascii="Verdana" w:hAnsi="Verdana"/>
                <w:sz w:val="20"/>
                <w:szCs w:val="20"/>
              </w:rPr>
              <w:t xml:space="preserve"> En ese sentido, con fundamento en la nueva regulación establecida por el artículo 30 de la Ley 2069 de 2020 y reglamentada con el Decreto 1860 de 2021, cuando el valor del objeto que se pretende contratar no exceda del 10% de la menor cuantía de la entidad, independientemente de su objeto, se debe adelantar el procedimiento de contratación con base en la modalidad de selección de mínima cuantía, pues en este caso no debe tenerse en cuenta el objeto sino solo el valor del contrato</w:t>
            </w:r>
            <w:r>
              <w:t>.</w:t>
            </w:r>
          </w:p>
          <w:p w14:paraId="3593D5D6" w14:textId="77777777" w:rsidR="00700D6F" w:rsidRDefault="00700D6F" w:rsidP="008F7125">
            <w:pPr>
              <w:widowControl w:val="0"/>
              <w:autoSpaceDE w:val="0"/>
              <w:autoSpaceDN w:val="0"/>
              <w:spacing w:line="276" w:lineRule="auto"/>
              <w:ind w:right="176" w:firstLine="708"/>
              <w:jc w:val="both"/>
              <w:rPr>
                <w:rFonts w:ascii="Verdana" w:hAnsi="Verdana"/>
                <w:sz w:val="20"/>
                <w:szCs w:val="20"/>
              </w:rPr>
            </w:pPr>
          </w:p>
          <w:p w14:paraId="037F3E80" w14:textId="77777777" w:rsidR="00700D6F" w:rsidRPr="00F41E96" w:rsidRDefault="00700D6F" w:rsidP="008F7125">
            <w:pPr>
              <w:widowControl w:val="0"/>
              <w:autoSpaceDE w:val="0"/>
              <w:autoSpaceDN w:val="0"/>
              <w:spacing w:line="276" w:lineRule="auto"/>
              <w:ind w:right="176" w:firstLine="708"/>
              <w:jc w:val="both"/>
              <w:rPr>
                <w:rFonts w:ascii="Verdana" w:hAnsi="Verdana"/>
              </w:rPr>
            </w:pPr>
            <w:r w:rsidRPr="00F41E96">
              <w:rPr>
                <w:rFonts w:ascii="Verdana" w:hAnsi="Verdana"/>
              </w:rPr>
              <w:t xml:space="preserve">Por lo que, </w:t>
            </w:r>
            <w:proofErr w:type="spellStart"/>
            <w:r w:rsidRPr="00F41E96">
              <w:rPr>
                <w:rFonts w:ascii="Verdana" w:hAnsi="Verdana" w:cs="Arial"/>
                <w:lang w:val="es-ES"/>
              </w:rPr>
              <w:t>si</w:t>
            </w:r>
            <w:proofErr w:type="spellEnd"/>
            <w:r w:rsidRPr="00F41E96">
              <w:rPr>
                <w:rFonts w:ascii="Verdana" w:hAnsi="Verdana" w:cs="Arial"/>
                <w:lang w:val="es-ES"/>
              </w:rPr>
              <w:t xml:space="preserve"> una Entidad Estatal desea adquirir bienes o servicios uniformes por el valor de hasta el diez por ciento (10%) de su menor cuantía, y si bien existe un Acuerdo Marco de Precios que contiene el bien o servicio adquirir vigente, debe elegirse la modalidad de selección de mínima cuantía conforme lo expuesto anteriormente.</w:t>
            </w:r>
          </w:p>
        </w:tc>
      </w:tr>
    </w:tbl>
    <w:p w14:paraId="20C6EB6B" w14:textId="77777777" w:rsidR="00700D6F" w:rsidRDefault="00700D6F" w:rsidP="00700D6F">
      <w:pPr>
        <w:tabs>
          <w:tab w:val="left" w:pos="142"/>
          <w:tab w:val="left" w:pos="284"/>
        </w:tabs>
        <w:spacing w:after="0" w:line="276" w:lineRule="auto"/>
        <w:jc w:val="both"/>
        <w:rPr>
          <w:rFonts w:ascii="Verdana" w:eastAsia="Century Gothic" w:hAnsi="Verdana" w:cs="Century Gothic"/>
          <w:b/>
          <w:bCs/>
          <w:lang w:val="es-ES"/>
        </w:rPr>
      </w:pPr>
    </w:p>
    <w:p w14:paraId="0A423C65" w14:textId="77777777" w:rsidR="00700D6F" w:rsidRDefault="00700D6F" w:rsidP="00700D6F">
      <w:pPr>
        <w:tabs>
          <w:tab w:val="left" w:pos="142"/>
          <w:tab w:val="left" w:pos="284"/>
        </w:tabs>
        <w:spacing w:after="0" w:line="276" w:lineRule="auto"/>
        <w:jc w:val="both"/>
        <w:rPr>
          <w:rFonts w:ascii="Verdana" w:eastAsia="Century Gothic" w:hAnsi="Verdana" w:cs="Century Gothic"/>
          <w:b/>
          <w:bCs/>
          <w:lang w:val="es-ES"/>
        </w:rPr>
      </w:pPr>
    </w:p>
    <w:p w14:paraId="2A139DF9" w14:textId="77777777" w:rsidR="00700D6F" w:rsidRPr="00DE5508" w:rsidRDefault="00700D6F" w:rsidP="00700D6F">
      <w:pPr>
        <w:tabs>
          <w:tab w:val="left" w:pos="142"/>
          <w:tab w:val="left" w:pos="284"/>
        </w:tabs>
        <w:spacing w:after="0" w:line="276" w:lineRule="auto"/>
        <w:jc w:val="both"/>
        <w:rPr>
          <w:rFonts w:ascii="Verdana" w:eastAsia="Century Gothic" w:hAnsi="Verdana" w:cs="Century Gothic"/>
          <w:b/>
          <w:bCs/>
          <w:lang w:val="es-ES"/>
        </w:rPr>
      </w:pPr>
    </w:p>
    <w:p w14:paraId="4DA02489" w14:textId="77777777" w:rsidR="00700D6F" w:rsidRDefault="00700D6F" w:rsidP="00700D6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13A675C3" w14:textId="77777777" w:rsidR="00700D6F" w:rsidRDefault="00700D6F" w:rsidP="00700D6F">
      <w:pPr>
        <w:spacing w:after="0" w:line="276" w:lineRule="auto"/>
        <w:jc w:val="both"/>
        <w:rPr>
          <w:rFonts w:ascii="Verdana" w:eastAsia="Calibri" w:hAnsi="Verdana" w:cs="Arial"/>
          <w:color w:val="7030A0"/>
          <w:lang w:val="es-ES"/>
        </w:rPr>
      </w:pPr>
    </w:p>
    <w:p w14:paraId="74007315" w14:textId="77777777" w:rsidR="00700D6F" w:rsidRDefault="00700D6F" w:rsidP="00700D6F">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504BE424" w14:textId="77777777" w:rsidR="00700D6F" w:rsidRDefault="00700D6F" w:rsidP="00700D6F">
      <w:pPr>
        <w:widowControl w:val="0"/>
        <w:tabs>
          <w:tab w:val="left" w:pos="8505"/>
        </w:tabs>
        <w:autoSpaceDE w:val="0"/>
        <w:autoSpaceDN w:val="0"/>
        <w:spacing w:after="0" w:line="276" w:lineRule="auto"/>
        <w:ind w:left="709" w:right="758"/>
        <w:jc w:val="both"/>
        <w:rPr>
          <w:rFonts w:ascii="Verdana" w:hAnsi="Verdana"/>
          <w:sz w:val="20"/>
          <w:szCs w:val="20"/>
        </w:rPr>
      </w:pPr>
    </w:p>
    <w:p w14:paraId="0A7C0822" w14:textId="77777777" w:rsidR="00700D6F" w:rsidRPr="00F41E96" w:rsidRDefault="00700D6F" w:rsidP="00700D6F">
      <w:pPr>
        <w:spacing w:line="276" w:lineRule="auto"/>
        <w:jc w:val="both"/>
        <w:rPr>
          <w:rFonts w:ascii="Verdana" w:hAnsi="Verdana" w:cs="Arial"/>
          <w:lang w:val="es-ES_tradnl"/>
        </w:rPr>
      </w:pPr>
      <w:r w:rsidRPr="00F41E96">
        <w:rPr>
          <w:rFonts w:ascii="Verdana" w:hAnsi="Verdana" w:cs="Arial"/>
          <w:lang w:val="es-ES_tradnl"/>
        </w:rPr>
        <w:t xml:space="preserve">Antes de la Ley 1955 de 2019 –en particular de su artículo 42– que adicionó el parágrafo 3 del artículo 94 de la Ley 1474 de 2011, se interpretaba que la modalidad de selección de mínima cuantía aplicaba en caso de que la contratación no excediera del diez por ciento –10%– de la menor cuantía de la entidad, </w:t>
      </w:r>
      <w:r w:rsidRPr="00F41E96">
        <w:rPr>
          <w:rFonts w:ascii="Verdana" w:hAnsi="Verdana" w:cs="Arial"/>
          <w:i/>
          <w:iCs/>
          <w:lang w:val="es-ES_tradnl"/>
        </w:rPr>
        <w:t>independientemente de su objeto</w:t>
      </w:r>
      <w:r w:rsidRPr="00F41E96">
        <w:rPr>
          <w:rFonts w:ascii="Verdana" w:hAnsi="Verdana" w:cs="Arial"/>
          <w:lang w:val="es-ES_tradnl"/>
        </w:rPr>
        <w:t>. Posteriormente, esta Agencia elaboró el “Manual para la Operación Secundaria de los Acuerdos Marcos de Precios”, el cual fue demandado ante el Consejo de Estado, solicitándose a su vez su suspensión provisional, ya que en el acápite VII regulaba la “</w:t>
      </w:r>
      <w:bookmarkStart w:id="1" w:name="_Hlk95739024"/>
      <w:r w:rsidRPr="00F41E96">
        <w:rPr>
          <w:rFonts w:ascii="Verdana" w:hAnsi="Verdana" w:cs="Arial"/>
          <w:lang w:val="es-ES_tradnl"/>
        </w:rPr>
        <w:t>Concurrencia de la selección abreviada por Acuerdo Marco de Precios y Mínima Cuantía</w:t>
      </w:r>
      <w:bookmarkEnd w:id="1"/>
      <w:r w:rsidRPr="00F41E96">
        <w:rPr>
          <w:rFonts w:ascii="Verdana" w:hAnsi="Verdana" w:cs="Arial"/>
          <w:lang w:val="es-ES_tradnl"/>
        </w:rPr>
        <w:t xml:space="preserve">”, contrariando, según el demandante, el artículo 94 de la Ley 1474 de 2011. Este manual establecía lo siguiente: </w:t>
      </w:r>
    </w:p>
    <w:p w14:paraId="5350A5AA" w14:textId="77777777" w:rsidR="00700D6F" w:rsidRPr="00F41E96" w:rsidRDefault="00700D6F" w:rsidP="00700D6F">
      <w:pPr>
        <w:spacing w:line="240" w:lineRule="auto"/>
        <w:ind w:left="709" w:right="709"/>
        <w:jc w:val="both"/>
        <w:rPr>
          <w:rFonts w:ascii="Verdana" w:hAnsi="Verdana" w:cs="Arial"/>
          <w:sz w:val="20"/>
          <w:szCs w:val="20"/>
          <w:lang w:val="es-ES_tradnl"/>
        </w:rPr>
      </w:pPr>
      <w:r w:rsidRPr="00F41E96">
        <w:rPr>
          <w:rFonts w:ascii="Verdana" w:hAnsi="Verdana" w:cs="Arial"/>
          <w:sz w:val="20"/>
          <w:szCs w:val="20"/>
          <w:lang w:val="es-ES_tradnl"/>
        </w:rPr>
        <w:t>“[…] Colombia Compra Eficiente considera que el conflicto frente a la aplicación de la modalidad de selección abreviada por la existencia de un Acuerdo Marco de Precios y la modalidad de selección de mínima cuantía, se debe decidir a favor de la adquisición al amparo del Acuerdo Marco de Precios. De esta manera, la Entidad Estatal honra los principios de transparencia, economía y responsabilidad en los términos de los artículos 24, 25 y 26 de la Ley 80 de 1993.”</w:t>
      </w:r>
    </w:p>
    <w:p w14:paraId="57F05621" w14:textId="77777777" w:rsidR="00700D6F" w:rsidRPr="00F41E96" w:rsidRDefault="00700D6F" w:rsidP="00700D6F">
      <w:pPr>
        <w:spacing w:after="120" w:line="276" w:lineRule="auto"/>
        <w:ind w:firstLine="708"/>
        <w:jc w:val="both"/>
        <w:rPr>
          <w:rFonts w:ascii="Verdana" w:hAnsi="Verdana" w:cs="Arial"/>
          <w:lang w:val="es-ES"/>
        </w:rPr>
      </w:pPr>
      <w:r w:rsidRPr="47760D1F">
        <w:rPr>
          <w:rFonts w:ascii="Verdana" w:hAnsi="Verdana" w:cs="Arial"/>
          <w:lang w:val="es-ES"/>
        </w:rPr>
        <w:t xml:space="preserve">La Sección Tercera del Consejo de Estado suspendió provisionalmente el acápite VII, considerando que no existe concurrencia entre la modalidad de selección de mínima cuantía y la compra por catálogo derivada del Acuerdo Marco de Precios. En tal sentido, indicó: “No existe ninguna concurrencia entre la modalidad de selección abreviada y de mínima cuantía, pues siempre que i) exista un Acuerdo Marco de Precios para adquirir bienes o servicios de características técnicas uniformes y </w:t>
      </w:r>
      <w:proofErr w:type="spellStart"/>
      <w:r w:rsidRPr="47760D1F">
        <w:rPr>
          <w:rFonts w:ascii="Verdana" w:hAnsi="Verdana" w:cs="Arial"/>
          <w:lang w:val="es-ES"/>
        </w:rPr>
        <w:t>ii</w:t>
      </w:r>
      <w:proofErr w:type="spellEnd"/>
      <w:r w:rsidRPr="47760D1F">
        <w:rPr>
          <w:rFonts w:ascii="Verdana" w:hAnsi="Verdana" w:cs="Arial"/>
          <w:lang w:val="es-ES"/>
        </w:rPr>
        <w:t>) el presupuesto del proceso de contratación sea equivalente a la mínima cuantía de la entidad, debe acudirse al procedimiento de selección de mínima cuantía independientemente del objeto a contratar”</w:t>
      </w:r>
      <w:r w:rsidRPr="47760D1F">
        <w:rPr>
          <w:rStyle w:val="Refdenotaalpie"/>
          <w:rFonts w:ascii="Verdana" w:hAnsi="Verdana" w:cs="Arial"/>
          <w:lang w:val="es-ES"/>
        </w:rPr>
        <w:footnoteReference w:id="2"/>
      </w:r>
      <w:r w:rsidRPr="47760D1F">
        <w:rPr>
          <w:rFonts w:ascii="Verdana" w:hAnsi="Verdana" w:cs="Arial"/>
          <w:lang w:val="es-ES"/>
        </w:rPr>
        <w:t xml:space="preserve">. Posteriormente, dentro del asunto se emitió la sentencia el día 23 </w:t>
      </w:r>
      <w:r w:rsidRPr="47760D1F">
        <w:rPr>
          <w:rFonts w:ascii="Verdana" w:hAnsi="Verdana" w:cs="Arial"/>
          <w:lang w:val="es-ES"/>
        </w:rPr>
        <w:lastRenderedPageBreak/>
        <w:t xml:space="preserve">de abril de 2021, declarando la nulidad del numeral VII denominado </w:t>
      </w:r>
      <w:r w:rsidRPr="47760D1F">
        <w:rPr>
          <w:rFonts w:ascii="Verdana" w:hAnsi="Verdana" w:cs="Arial"/>
          <w:i/>
          <w:lang w:val="es-ES"/>
        </w:rPr>
        <w:t xml:space="preserve">“Concurrencia de selección abreviada por Acuerdo Marco de Precios y mínima cuantía”, </w:t>
      </w:r>
      <w:r w:rsidRPr="47760D1F">
        <w:rPr>
          <w:rFonts w:ascii="Verdana" w:hAnsi="Verdana" w:cs="Arial"/>
          <w:lang w:val="es-ES"/>
        </w:rPr>
        <w:t>del</w:t>
      </w:r>
      <w:r w:rsidRPr="47760D1F">
        <w:rPr>
          <w:rFonts w:ascii="Verdana" w:hAnsi="Verdana" w:cs="Arial"/>
          <w:i/>
          <w:lang w:val="es-ES"/>
        </w:rPr>
        <w:t xml:space="preserve"> “Manual para la Operación Secundaria de los Acuerdos Marco de Precios”, </w:t>
      </w:r>
      <w:r w:rsidRPr="47760D1F">
        <w:rPr>
          <w:rFonts w:ascii="Verdana" w:hAnsi="Verdana" w:cs="Arial"/>
          <w:lang w:val="es-ES"/>
        </w:rPr>
        <w:t>expedido por la Agencia Nacional de Contratación Pública - Colombia Compra Eficiente</w:t>
      </w:r>
      <w:r w:rsidRPr="47760D1F">
        <w:rPr>
          <w:rFonts w:ascii="Verdana" w:hAnsi="Verdana" w:cs="Arial"/>
          <w:i/>
          <w:lang w:val="es-ES"/>
        </w:rPr>
        <w:t xml:space="preserve"> </w:t>
      </w:r>
      <w:r w:rsidRPr="47760D1F">
        <w:rPr>
          <w:rFonts w:ascii="Verdana" w:hAnsi="Verdana" w:cs="Arial"/>
          <w:lang w:val="es-ES"/>
        </w:rPr>
        <w:t>señalando lo siguiente:</w:t>
      </w:r>
    </w:p>
    <w:p w14:paraId="3A2514FE" w14:textId="77777777" w:rsidR="00700D6F" w:rsidRPr="00F41E96" w:rsidRDefault="00700D6F" w:rsidP="00700D6F">
      <w:pPr>
        <w:spacing w:after="120" w:line="240" w:lineRule="auto"/>
        <w:ind w:left="709" w:right="709"/>
        <w:jc w:val="both"/>
        <w:rPr>
          <w:rFonts w:ascii="Verdana" w:hAnsi="Verdana" w:cs="Arial"/>
          <w:sz w:val="20"/>
          <w:szCs w:val="20"/>
        </w:rPr>
      </w:pPr>
      <w:r w:rsidRPr="00F41E96">
        <w:rPr>
          <w:rFonts w:ascii="Verdana" w:hAnsi="Verdana" w:cs="Arial"/>
          <w:sz w:val="20"/>
          <w:szCs w:val="20"/>
        </w:rPr>
        <w:t xml:space="preserve">“Ahora bien, como es sabido, los AMP giran exclusivamente en torno al objeto a contratar y en el mismo no concurren otros factores que conduzcan a variar esta conclusión, pues, además, conforme al artículo 46 del Decreto 1510 de 2013 , solamente se estableció la obligatoriedad de los AMP para las entidades públicas de la rama ejecutiva del orden nacional sujetas al Estatuto de Contratación de la Administración Pública, lo que corrobora la inexistencia de una norma de rango legal que imprimiera supremacía e hiciera mandatorio que la adquisición de bienes o servicios debía hacerse a través de AMP, aun cuando la contratación fuera de mínima cuantía. </w:t>
      </w:r>
    </w:p>
    <w:p w14:paraId="3BA3286B" w14:textId="77777777" w:rsidR="00700D6F" w:rsidRPr="00F41E96" w:rsidRDefault="00700D6F" w:rsidP="00700D6F">
      <w:pPr>
        <w:spacing w:after="120" w:line="240" w:lineRule="auto"/>
        <w:ind w:left="709" w:right="709"/>
        <w:jc w:val="both"/>
        <w:rPr>
          <w:rFonts w:ascii="Verdana" w:hAnsi="Verdana" w:cs="Arial"/>
          <w:sz w:val="20"/>
          <w:szCs w:val="20"/>
        </w:rPr>
      </w:pPr>
      <w:r w:rsidRPr="00F41E96">
        <w:rPr>
          <w:rFonts w:ascii="Verdana" w:hAnsi="Verdana" w:cs="Arial"/>
          <w:sz w:val="20"/>
          <w:szCs w:val="20"/>
        </w:rPr>
        <w:t>94.</w:t>
      </w:r>
      <w:r w:rsidRPr="00F41E96">
        <w:rPr>
          <w:rFonts w:ascii="Verdana" w:hAnsi="Verdana" w:cs="Arial"/>
          <w:sz w:val="20"/>
          <w:szCs w:val="20"/>
        </w:rPr>
        <w:tab/>
        <w:t xml:space="preserve">De esta manera, la Sala ratifica las consideraciones bajo las cuales confirmó la medida cautelar de suspensión del segmento que se analiza, en particular las que ahora se retoman como fundamento de la decisión, cuando acertadamente se indicó: </w:t>
      </w:r>
    </w:p>
    <w:p w14:paraId="7D526A08" w14:textId="77777777" w:rsidR="00700D6F" w:rsidRPr="00F41E96" w:rsidRDefault="00700D6F" w:rsidP="00700D6F">
      <w:pPr>
        <w:spacing w:after="120" w:line="240" w:lineRule="auto"/>
        <w:ind w:left="709" w:right="709" w:firstLine="709"/>
        <w:jc w:val="both"/>
        <w:rPr>
          <w:rFonts w:ascii="Verdana" w:hAnsi="Verdana" w:cs="Arial"/>
          <w:sz w:val="20"/>
          <w:szCs w:val="20"/>
        </w:rPr>
      </w:pPr>
      <w:r w:rsidRPr="00F41E96">
        <w:rPr>
          <w:rFonts w:ascii="Verdana" w:hAnsi="Verdana" w:cs="Arial"/>
          <w:sz w:val="20"/>
          <w:szCs w:val="20"/>
        </w:rPr>
        <w:t>“En esa medida, el Manual para la Operación Secundaria de los Acuerdos Marco de Precios no podía revertir ni alternar la prevalencia de la modalidad de selección de contratación por mínima cuantía respecto de la selección abreviada, consagrada en la ley, sobre la base de una obligatoriedad que el legislador solo previó de manera condicional y que se dispuso en una norma de naturaleza reglamentaria que, como tal -se reitera-, no podía tenerse como fundamento para desconocer o limitar el alcance del artículo 94 de la Ley 1474 de 2011.”</w:t>
      </w:r>
      <w:r w:rsidRPr="00F41E96">
        <w:rPr>
          <w:rStyle w:val="Refdenotaalpie"/>
          <w:rFonts w:ascii="Verdana" w:hAnsi="Verdana" w:cs="Arial"/>
          <w:sz w:val="20"/>
          <w:szCs w:val="20"/>
        </w:rPr>
        <w:footnoteReference w:id="3"/>
      </w:r>
    </w:p>
    <w:p w14:paraId="5DBABAF4" w14:textId="77777777" w:rsidR="00700D6F" w:rsidRPr="00F41E96" w:rsidRDefault="00700D6F" w:rsidP="00700D6F">
      <w:pPr>
        <w:spacing w:before="120" w:line="276" w:lineRule="auto"/>
        <w:ind w:firstLine="708"/>
        <w:jc w:val="both"/>
        <w:rPr>
          <w:rFonts w:ascii="Verdana" w:hAnsi="Verdana" w:cs="Arial"/>
          <w:lang w:val="es-ES_tradnl"/>
        </w:rPr>
      </w:pPr>
      <w:r w:rsidRPr="00F41E96">
        <w:rPr>
          <w:rFonts w:ascii="Verdana" w:hAnsi="Verdana" w:cs="Arial"/>
          <w:lang w:val="es-ES_tradnl"/>
        </w:rPr>
        <w:t xml:space="preserve">Sin embargo, hay que tener en cuenta que esta Agencia en cumplimiento del auto que previamente había suspendido suspendió provisionalmente el numeral VII denominado </w:t>
      </w:r>
      <w:r w:rsidRPr="00F41E96">
        <w:rPr>
          <w:rFonts w:ascii="Verdana" w:hAnsi="Verdana" w:cs="Arial"/>
          <w:i/>
          <w:iCs/>
          <w:lang w:val="es-ES_tradnl"/>
        </w:rPr>
        <w:t xml:space="preserve">“Concurrencia de selección abreviada por Acuerdo Marco de Precios y mínima cuantía”, </w:t>
      </w:r>
      <w:r w:rsidRPr="00F41E96">
        <w:rPr>
          <w:rFonts w:ascii="Verdana" w:hAnsi="Verdana" w:cs="Arial"/>
          <w:lang w:val="es-ES_tradnl"/>
        </w:rPr>
        <w:t>del</w:t>
      </w:r>
      <w:r w:rsidRPr="00F41E96">
        <w:rPr>
          <w:rFonts w:ascii="Verdana" w:hAnsi="Verdana" w:cs="Arial"/>
          <w:i/>
          <w:iCs/>
          <w:lang w:val="es-ES_tradnl"/>
        </w:rPr>
        <w:t xml:space="preserve"> “Manual para la Operación Secundaria de los Acuerdos Marco de Precios”</w:t>
      </w:r>
      <w:r w:rsidRPr="00F41E96">
        <w:rPr>
          <w:rFonts w:ascii="Verdana" w:hAnsi="Verdana" w:cs="Arial"/>
          <w:lang w:val="es-ES_tradnl"/>
        </w:rPr>
        <w:t xml:space="preserve">, interpretó que cuando el presupuesto del proceso de contratación de bienes y servicios de características técnicas uniformes no excedía la mínima cuantía de la entidad, debía acudirse al procedimiento de selección de mínima cuantía, sin importar que el bien o servicio </w:t>
      </w:r>
      <w:r w:rsidRPr="00F41E96">
        <w:rPr>
          <w:rFonts w:ascii="Verdana" w:hAnsi="Verdana" w:cs="Arial"/>
          <w:lang w:val="es-ES_tradnl"/>
        </w:rPr>
        <w:lastRenderedPageBreak/>
        <w:t>se encontrara en algún instrumento de agregación de demanda, postura que se mantuvo hasta la expedición de la Ley 1955 de 2019.</w:t>
      </w:r>
    </w:p>
    <w:p w14:paraId="5FA2FAD4" w14:textId="77777777" w:rsidR="00700D6F" w:rsidRPr="00F41E96" w:rsidRDefault="00700D6F" w:rsidP="00700D6F">
      <w:pPr>
        <w:spacing w:before="120" w:line="276" w:lineRule="auto"/>
        <w:ind w:firstLine="708"/>
        <w:jc w:val="both"/>
        <w:rPr>
          <w:rFonts w:ascii="Verdana" w:hAnsi="Verdana" w:cs="Arial"/>
          <w:lang w:val="es-ES_tradnl"/>
        </w:rPr>
      </w:pPr>
      <w:r w:rsidRPr="00F41E96">
        <w:rPr>
          <w:rFonts w:ascii="Verdana" w:hAnsi="Verdana" w:cs="Arial"/>
          <w:lang w:val="es-ES_tradnl"/>
        </w:rPr>
        <w:t xml:space="preserve">El artículo 42 de la Ley 1955 de 2019 dispuso en su momento una nueva regla para estos casos, al disponer lo siguiente: </w:t>
      </w:r>
    </w:p>
    <w:p w14:paraId="0A7D8F34" w14:textId="77777777" w:rsidR="00700D6F" w:rsidRPr="00F41E96" w:rsidRDefault="00700D6F" w:rsidP="00700D6F">
      <w:pPr>
        <w:spacing w:after="120" w:line="240" w:lineRule="auto"/>
        <w:ind w:left="709" w:right="709"/>
        <w:jc w:val="both"/>
        <w:rPr>
          <w:rFonts w:ascii="Verdana" w:hAnsi="Verdana" w:cs="Arial"/>
          <w:i/>
          <w:iCs/>
          <w:sz w:val="20"/>
          <w:szCs w:val="20"/>
          <w:lang w:val="es-ES_tradnl"/>
        </w:rPr>
      </w:pPr>
      <w:r w:rsidRPr="00F41E96">
        <w:rPr>
          <w:rFonts w:ascii="Verdana" w:hAnsi="Verdana" w:cs="Arial"/>
          <w:i/>
          <w:iCs/>
          <w:sz w:val="20"/>
          <w:szCs w:val="20"/>
          <w:lang w:val="es-ES_tradnl"/>
        </w:rPr>
        <w:t xml:space="preserve">“Artículo 42. Transparencia en contratación de mínima cuantía. Adiciónese el parágrafo 3 al artículo 94 de la Ley 1474 de 2011, así: </w:t>
      </w:r>
    </w:p>
    <w:p w14:paraId="0DEB7EDB" w14:textId="77777777" w:rsidR="00700D6F" w:rsidRPr="00F41E96" w:rsidRDefault="00700D6F" w:rsidP="00700D6F">
      <w:pPr>
        <w:spacing w:after="120" w:line="240" w:lineRule="auto"/>
        <w:ind w:left="709" w:right="709"/>
        <w:jc w:val="both"/>
        <w:rPr>
          <w:rFonts w:ascii="Verdana" w:hAnsi="Verdana" w:cs="Arial"/>
          <w:i/>
          <w:iCs/>
          <w:sz w:val="20"/>
          <w:szCs w:val="20"/>
          <w:lang w:val="es-ES_tradnl"/>
        </w:rPr>
      </w:pPr>
      <w:r w:rsidRPr="00F41E96">
        <w:rPr>
          <w:rFonts w:ascii="Verdana" w:hAnsi="Verdana" w:cs="Arial"/>
          <w:i/>
          <w:iCs/>
          <w:sz w:val="20"/>
          <w:szCs w:val="20"/>
          <w:lang w:val="es-ES_tradnl"/>
        </w:rPr>
        <w:t xml:space="preserve">En aquellos eventos en que las entidades estatales deban contratar bienes o servicios de características técnicas uniformes que se encuentren en un acuerdo marco de precios y cuyo valor no exceda del diez por ciento (10%) de la menor cuantía, las entidades deberán realizar la adquisición a través de la Tienda Virtual del Estado Colombiano, siempre que el bien o servicio esté disponible por ese medio. </w:t>
      </w:r>
    </w:p>
    <w:p w14:paraId="1E6E5D8B" w14:textId="77777777" w:rsidR="00700D6F" w:rsidRPr="00F41E96" w:rsidRDefault="00700D6F" w:rsidP="00700D6F">
      <w:pPr>
        <w:spacing w:line="240" w:lineRule="auto"/>
        <w:ind w:left="709" w:right="709"/>
        <w:jc w:val="both"/>
        <w:rPr>
          <w:rFonts w:ascii="Verdana" w:hAnsi="Verdana" w:cs="Arial"/>
          <w:i/>
          <w:iCs/>
          <w:sz w:val="20"/>
          <w:szCs w:val="20"/>
          <w:lang w:val="es-ES_tradnl"/>
        </w:rPr>
      </w:pPr>
      <w:r w:rsidRPr="00F41E96">
        <w:rPr>
          <w:rFonts w:ascii="Verdana" w:hAnsi="Verdana" w:cs="Arial"/>
          <w:i/>
          <w:iCs/>
          <w:sz w:val="20"/>
          <w:szCs w:val="20"/>
          <w:lang w:val="es-ES_tradnl"/>
        </w:rPr>
        <w:t xml:space="preserve">Las entidades que no se encuentren obligadas a hacer uso del acuerdo marco de precios igualmente podrán utilizar esta figura antes que la selección por mínima cuantía.” </w:t>
      </w:r>
    </w:p>
    <w:p w14:paraId="0B076A00" w14:textId="77777777" w:rsidR="00700D6F" w:rsidRPr="00F41E96" w:rsidRDefault="00700D6F" w:rsidP="00700D6F">
      <w:pPr>
        <w:spacing w:after="120" w:line="276" w:lineRule="auto"/>
        <w:ind w:firstLine="708"/>
        <w:jc w:val="both"/>
        <w:rPr>
          <w:rFonts w:ascii="Verdana" w:hAnsi="Verdana" w:cs="Arial"/>
          <w:lang w:val="es-ES_tradnl"/>
        </w:rPr>
      </w:pPr>
      <w:r w:rsidRPr="00F41E96">
        <w:rPr>
          <w:rFonts w:ascii="Verdana" w:hAnsi="Verdana" w:cs="Arial"/>
          <w:lang w:val="es-ES_tradnl"/>
        </w:rPr>
        <w:t>Esta norma afectó entonces la interpretación que hasta el momento había mantenido la Agencia en cumplimiento del auto del Consejo de Estado previamente citado, pues estableció una nueva regla para los casos de concurrencia entre acuerdos marco de precios y mínima cuantía. De esta forma, el artículo 42 de la Ley 1955 de 2019 dispuso que las entidades estatales debían adquirir los bienes o servicios de características técnicas uniformes y de común utilización –siempre que estuvieran disponibles– a través de acuerdo marco de precios, incluso en los procesos de contratación cuyo presupuesto no excediera el diez por ciento –10%– de la menor cuantía</w:t>
      </w:r>
      <w:r w:rsidRPr="00F41E96">
        <w:rPr>
          <w:rStyle w:val="Refdenotaalpie"/>
          <w:rFonts w:ascii="Verdana" w:hAnsi="Verdana" w:cs="Arial"/>
          <w:lang w:val="es-ES_tradnl"/>
        </w:rPr>
        <w:footnoteReference w:id="4"/>
      </w:r>
      <w:r w:rsidRPr="00F41E96">
        <w:rPr>
          <w:rFonts w:ascii="Verdana" w:hAnsi="Verdana" w:cs="Arial"/>
          <w:lang w:val="es-ES_tradnl"/>
        </w:rPr>
        <w:t xml:space="preserve">. </w:t>
      </w:r>
    </w:p>
    <w:p w14:paraId="367A46EF" w14:textId="77777777" w:rsidR="00700D6F" w:rsidRPr="00F41E96" w:rsidRDefault="00700D6F" w:rsidP="00700D6F">
      <w:pPr>
        <w:spacing w:before="120" w:line="276" w:lineRule="auto"/>
        <w:ind w:firstLine="709"/>
        <w:jc w:val="both"/>
        <w:rPr>
          <w:rFonts w:ascii="Verdana" w:hAnsi="Verdana" w:cs="Arial"/>
          <w:lang w:val="es-ES_tradnl"/>
        </w:rPr>
      </w:pPr>
      <w:r w:rsidRPr="00F41E96">
        <w:rPr>
          <w:rFonts w:ascii="Verdana" w:hAnsi="Verdana"/>
        </w:rPr>
        <w:t xml:space="preserve">Sin embargo, </w:t>
      </w:r>
      <w:r w:rsidRPr="00F41E96">
        <w:rPr>
          <w:rFonts w:ascii="Verdana" w:hAnsi="Verdana" w:cs="Arial"/>
          <w:lang w:val="es-ES_tradnl"/>
        </w:rPr>
        <w:t xml:space="preserve">el artículo 30 de la Ley 2069 de 2020, como se lee en su primer inciso, modificó integralmente el numeral 5 del artículo 2 de la Ley 1150 </w:t>
      </w:r>
      <w:r w:rsidRPr="00F41E96">
        <w:rPr>
          <w:rFonts w:ascii="Verdana" w:hAnsi="Verdana" w:cs="Arial"/>
          <w:lang w:val="es-ES_tradnl"/>
        </w:rPr>
        <w:lastRenderedPageBreak/>
        <w:t xml:space="preserve">de 2007. Por consiguiente, al modificar por completo este numeral sin aludir expresamente a la vigencia de las normas que lo habían modificado en el pasado –siendo una de ellas el artículo 42 de la Ley 1955 de 2019–, el artículo 30 de la Ley de Emprendimiento derogó dichas normas. La derogatoria del artículo 42 de la Ley 1955 de 2019 también se sustenta en que el nuevo contenido del numeral 5 del artículo 2 de la Ley 1150 de 2007 –modificado por el artículo 30 de la Ley 2069 de 2020– </w:t>
      </w:r>
      <w:r w:rsidRPr="00F41E96">
        <w:rPr>
          <w:rFonts w:ascii="Verdana" w:hAnsi="Verdana" w:cs="Arial"/>
          <w:i/>
          <w:iCs/>
          <w:lang w:val="es-ES_tradnl"/>
        </w:rPr>
        <w:t>solo contempla dos parágrafos</w:t>
      </w:r>
      <w:r w:rsidRPr="00F41E96">
        <w:rPr>
          <w:rStyle w:val="Refdenotaalpie"/>
          <w:rFonts w:ascii="Verdana" w:hAnsi="Verdana" w:cs="Arial"/>
          <w:lang w:val="es-ES_tradnl"/>
        </w:rPr>
        <w:footnoteReference w:id="5"/>
      </w:r>
      <w:r w:rsidRPr="00F41E96">
        <w:rPr>
          <w:rFonts w:ascii="Verdana" w:hAnsi="Verdana" w:cs="Arial"/>
          <w:lang w:val="es-ES_tradnl"/>
        </w:rPr>
        <w:t xml:space="preserve">. Por consiguiente, el parágrafo 3 que había sido adicionado por el artículo 42 de la Ley 1955 de 2019 al artículo 94 de la Ley 1474 de 2011 –artículo que a su vez había adicionado el contenido del numeral 5 del artículo 2 de la Ley 1150 de 2007–, se entiende derogado, pues dicho parágrafo 3 no quedó previsto en el artículo 30 de la Ley 2069 de 2020. </w:t>
      </w:r>
    </w:p>
    <w:p w14:paraId="0C001CDD" w14:textId="77777777" w:rsidR="00700D6F" w:rsidRPr="00F41E96" w:rsidRDefault="00700D6F" w:rsidP="00700D6F">
      <w:pPr>
        <w:spacing w:before="120" w:line="276" w:lineRule="auto"/>
        <w:jc w:val="both"/>
        <w:rPr>
          <w:rFonts w:ascii="Verdana" w:hAnsi="Verdana" w:cs="Arial"/>
          <w:lang w:val="es-ES"/>
        </w:rPr>
      </w:pPr>
      <w:r w:rsidRPr="00F41E96">
        <w:rPr>
          <w:rFonts w:ascii="Verdana" w:hAnsi="Verdana"/>
        </w:rPr>
        <w:t xml:space="preserve">Por tanto, </w:t>
      </w:r>
      <w:r w:rsidRPr="00F41E96">
        <w:rPr>
          <w:rFonts w:ascii="Verdana" w:hAnsi="Verdana" w:cs="Arial"/>
          <w:lang w:val="es-ES"/>
        </w:rPr>
        <w:t>con la expedición de la Ley 2069 de 2020, que modificó de manera integral el procedimiento de selección de mínima cuantía y derogó de forma tácita el artículo 42 de la Ley 1955 de 2019, esta Agencia ha reiterado el criterio interpretativo de que cuando el Proceso de Contratación no exceda el diez por ciento (10%) de la menor cuantía de la entidad, independientemente de su objeto, se debe adelantar el procedimiento de contratación con base en la modalidad de selección de mínima cuantía, pues la interpretación de las normas vigentes en nuestro ordenamiento jurídico indican que en este caso no debe tenerse en cuenta el objeto contractual sino sólo el valor del proceso de contratación.</w:t>
      </w:r>
    </w:p>
    <w:p w14:paraId="7B5FFC2F" w14:textId="77777777" w:rsidR="00700D6F" w:rsidRPr="00F41E96" w:rsidRDefault="00700D6F" w:rsidP="00700D6F">
      <w:pPr>
        <w:spacing w:before="120" w:line="276" w:lineRule="auto"/>
        <w:jc w:val="both"/>
        <w:rPr>
          <w:rFonts w:ascii="Verdana" w:hAnsi="Verdana" w:cs="Arial"/>
          <w:lang w:val="es-ES"/>
        </w:rPr>
      </w:pPr>
      <w:r w:rsidRPr="00F41E96">
        <w:rPr>
          <w:rFonts w:ascii="Verdana" w:hAnsi="Verdana" w:cs="Arial"/>
          <w:lang w:val="es-ES"/>
        </w:rPr>
        <w:tab/>
        <w:t>Así, en el “Manual de la Modalidad de Selección de Mínima Cuantía” expedido por esta Agencia, se dispone en el numeral 12.3. “Concurrencia de selección abreviada por acuerdo marco de precios y mínima cuantía” lo siguiente:</w:t>
      </w:r>
    </w:p>
    <w:p w14:paraId="2C5A963B" w14:textId="77777777" w:rsidR="00700D6F" w:rsidRPr="00F41E96" w:rsidRDefault="00700D6F" w:rsidP="00890F57">
      <w:pPr>
        <w:spacing w:before="120" w:line="240" w:lineRule="auto"/>
        <w:ind w:left="708" w:right="758"/>
        <w:jc w:val="both"/>
        <w:rPr>
          <w:rFonts w:ascii="Verdana" w:hAnsi="Verdana"/>
        </w:rPr>
      </w:pPr>
      <w:r w:rsidRPr="00F41E96">
        <w:rPr>
          <w:rFonts w:ascii="Verdana" w:hAnsi="Verdana"/>
        </w:rPr>
        <w:t xml:space="preserve">El artículo 42 de la Ley 1955 de 2019 había adicionado el parágrafo 3 del artículo 94 de la Ley 1474 de 2011, el cual establecía: “En </w:t>
      </w:r>
      <w:r w:rsidRPr="00F41E96">
        <w:rPr>
          <w:rFonts w:ascii="Verdana" w:hAnsi="Verdana"/>
        </w:rPr>
        <w:lastRenderedPageBreak/>
        <w:t xml:space="preserve">aquellos eventos en que las entidades estatales deban contratar bienes o servicios de características técnicas uniformes que se encuentren en un acuerdo marco de precios y cuyo valor no exceda del diez por ciento (10%) de la menor cuantía, las entidades deberán realizar la adquisición a través de la Tienda Virtual del Estado Colombiano, siempre que el bien o servicio esté disponible por ese medio". </w:t>
      </w:r>
    </w:p>
    <w:p w14:paraId="2A42125A" w14:textId="77777777" w:rsidR="00700D6F" w:rsidRPr="00F41E96" w:rsidRDefault="00700D6F" w:rsidP="00890F57">
      <w:pPr>
        <w:spacing w:before="120" w:line="240" w:lineRule="auto"/>
        <w:ind w:left="708" w:right="758"/>
        <w:jc w:val="both"/>
        <w:rPr>
          <w:rFonts w:ascii="Verdana" w:hAnsi="Verdana"/>
        </w:rPr>
      </w:pPr>
      <w:r w:rsidRPr="00F41E96">
        <w:rPr>
          <w:rFonts w:ascii="Verdana" w:hAnsi="Verdana"/>
        </w:rPr>
        <w:t xml:space="preserve">De conformidad con esta regla, en caso de concurrencia de la selección abreviada por Acuerdo Marco de Precios y de Mínima Cuantía, la modalidad de selección aplicable sería la de Selección Abreviada por Acuerdo Marco de Precios. </w:t>
      </w:r>
    </w:p>
    <w:p w14:paraId="43C6D405" w14:textId="66AAD17C" w:rsidR="00700D6F" w:rsidRPr="00F41E96" w:rsidRDefault="00700D6F" w:rsidP="00890F57">
      <w:pPr>
        <w:spacing w:before="120" w:line="240" w:lineRule="auto"/>
        <w:ind w:left="708" w:right="758"/>
        <w:jc w:val="both"/>
        <w:rPr>
          <w:rFonts w:ascii="Verdana" w:hAnsi="Verdana" w:cs="Arial"/>
          <w:lang w:val="es-ES"/>
        </w:rPr>
      </w:pPr>
      <w:r w:rsidRPr="00F41E96">
        <w:rPr>
          <w:rFonts w:ascii="Verdana" w:hAnsi="Verdana"/>
        </w:rPr>
        <w:t>No obstante, con la expedición de la Ley 2069 de 2020, que modificó de manera integral el procedimiento de selección de mínima cuantía, se derogó de forma tácita el artículo 42 de la Ley 1955 de 2019. En ese sentido, con fundamento en la nueva regulación establecida por el artículo 30 de la Ley 2069 de 2020 y reglamentada con el Decreto 1860 de 2021, cuando el valor del objeto que se pretende contratar no exceda del 10% de la menor cuantía de la entidad, independientemente de su objeto, se debe adelantar el procedimiento de contratación con base en la modalidad de selección de mínima cuantía, pues en este caso no debe tenerse en cuenta el objeto sino solo el valor del contrato.</w:t>
      </w:r>
    </w:p>
    <w:p w14:paraId="3DC0AF0A" w14:textId="77777777" w:rsidR="00700D6F" w:rsidRPr="00E17C86" w:rsidRDefault="00700D6F" w:rsidP="00700D6F">
      <w:pPr>
        <w:widowControl w:val="0"/>
        <w:tabs>
          <w:tab w:val="left" w:pos="8505"/>
        </w:tabs>
        <w:autoSpaceDE w:val="0"/>
        <w:autoSpaceDN w:val="0"/>
        <w:spacing w:after="0" w:line="276" w:lineRule="auto"/>
        <w:ind w:right="49"/>
        <w:jc w:val="both"/>
        <w:rPr>
          <w:rFonts w:ascii="Arial" w:hAnsi="Arial" w:cs="Arial"/>
          <w:lang w:val="es-ES"/>
        </w:rPr>
      </w:pPr>
      <w:r w:rsidRPr="00F41E96">
        <w:rPr>
          <w:rFonts w:ascii="Verdana" w:hAnsi="Verdana"/>
        </w:rPr>
        <w:t xml:space="preserve">Por lo que, </w:t>
      </w:r>
      <w:proofErr w:type="spellStart"/>
      <w:r w:rsidRPr="00F41E96">
        <w:rPr>
          <w:rFonts w:ascii="Verdana" w:hAnsi="Verdana" w:cs="Arial"/>
          <w:lang w:val="es-ES"/>
        </w:rPr>
        <w:t>si</w:t>
      </w:r>
      <w:proofErr w:type="spellEnd"/>
      <w:r w:rsidRPr="00F41E96">
        <w:rPr>
          <w:rFonts w:ascii="Verdana" w:hAnsi="Verdana" w:cs="Arial"/>
          <w:lang w:val="es-ES"/>
        </w:rPr>
        <w:t xml:space="preserve"> una Entidad Estatal desea adquirir bienes o servicios uniformes por el valor de hasta el diez por ciento (10%) de su menor cuantía, y si bien existe un Acuerdo Marco de Precios que contiene el bien o servicio adquirir vigente, debe elegirse la modalidad de selección de mínima cuantía conforme lo expuesto anteriormente.</w:t>
      </w:r>
      <w:r>
        <w:rPr>
          <w:rFonts w:ascii="Verdana" w:hAnsi="Verdana"/>
          <w:sz w:val="20"/>
          <w:szCs w:val="20"/>
        </w:rPr>
        <w:tab/>
      </w:r>
    </w:p>
    <w:p w14:paraId="2407E9B4" w14:textId="77777777" w:rsidR="00700D6F" w:rsidRDefault="00700D6F" w:rsidP="00700D6F">
      <w:pPr>
        <w:widowControl w:val="0"/>
        <w:autoSpaceDE w:val="0"/>
        <w:autoSpaceDN w:val="0"/>
        <w:spacing w:after="0" w:line="276" w:lineRule="auto"/>
        <w:jc w:val="both"/>
        <w:rPr>
          <w:rFonts w:ascii="Verdana" w:hAnsi="Verdana" w:cs="Arial"/>
        </w:rPr>
      </w:pPr>
    </w:p>
    <w:p w14:paraId="5E9D546A" w14:textId="77777777" w:rsidR="00700D6F" w:rsidRDefault="00700D6F" w:rsidP="00700D6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54BC3EEC" w14:textId="77777777" w:rsidR="00700D6F" w:rsidRDefault="00700D6F" w:rsidP="00700D6F">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700D6F" w14:paraId="1D98AA59" w14:textId="77777777" w:rsidTr="008F7125">
        <w:trPr>
          <w:trHeight w:val="870"/>
        </w:trPr>
        <w:tc>
          <w:tcPr>
            <w:tcW w:w="8647" w:type="dxa"/>
            <w:tcBorders>
              <w:top w:val="dotted" w:sz="4" w:space="0" w:color="auto"/>
              <w:left w:val="dotted" w:sz="4" w:space="0" w:color="auto"/>
              <w:bottom w:val="dotted" w:sz="4" w:space="0" w:color="auto"/>
              <w:right w:val="dotted" w:sz="4" w:space="0" w:color="auto"/>
            </w:tcBorders>
            <w:hideMark/>
          </w:tcPr>
          <w:p w14:paraId="54C6CA76" w14:textId="77777777" w:rsidR="00700D6F" w:rsidRPr="00F41E96" w:rsidRDefault="00700D6F" w:rsidP="008F7125">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F41E96">
              <w:rPr>
                <w:rFonts w:ascii="Verdana" w:eastAsia="Arial MT" w:hAnsi="Verdana" w:cs="Arial"/>
                <w:lang w:val="es-ES" w:eastAsia="es-ES" w:bidi="es-ES"/>
              </w:rPr>
              <w:t>Ley 2069 de 2020, artículo 30</w:t>
            </w:r>
          </w:p>
          <w:p w14:paraId="6951EBD4" w14:textId="77777777" w:rsidR="00700D6F" w:rsidRPr="00F41E96" w:rsidRDefault="00700D6F" w:rsidP="008F7125">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F41E96">
              <w:rPr>
                <w:rFonts w:ascii="Verdana" w:eastAsia="Arial MT" w:hAnsi="Verdana" w:cs="Arial"/>
                <w:lang w:val="es-ES" w:eastAsia="es-ES" w:bidi="es-ES"/>
              </w:rPr>
              <w:t>Ley 1150 de 2007, artículo 2</w:t>
            </w:r>
          </w:p>
          <w:p w14:paraId="06D1117D" w14:textId="77777777" w:rsidR="00700D6F" w:rsidRPr="006A640E" w:rsidRDefault="00700D6F" w:rsidP="008F7125">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AB6AC3">
              <w:rPr>
                <w:rFonts w:ascii="Verdana" w:eastAsia="Calibri" w:hAnsi="Verdana" w:cs="Arial"/>
              </w:rPr>
              <w:t xml:space="preserve">Agencia Nacional de Contratación Pública – </w:t>
            </w:r>
            <w:r w:rsidRPr="00F41E96">
              <w:rPr>
                <w:rFonts w:ascii="Verdana" w:hAnsi="Verdana" w:cs="Arial"/>
                <w:lang w:val="es-ES"/>
              </w:rPr>
              <w:t>Manual de la Modalidad de Selección de Mínima Cuantía</w:t>
            </w:r>
          </w:p>
        </w:tc>
      </w:tr>
    </w:tbl>
    <w:p w14:paraId="04CBEC2E" w14:textId="77777777" w:rsidR="00700D6F" w:rsidRDefault="00700D6F" w:rsidP="00700D6F">
      <w:pPr>
        <w:widowControl w:val="0"/>
        <w:autoSpaceDE w:val="0"/>
        <w:autoSpaceDN w:val="0"/>
        <w:spacing w:after="0" w:line="276" w:lineRule="auto"/>
        <w:jc w:val="both"/>
        <w:rPr>
          <w:rFonts w:ascii="Verdana" w:hAnsi="Verdana" w:cs="Arial"/>
        </w:rPr>
      </w:pPr>
    </w:p>
    <w:p w14:paraId="337A2CB9" w14:textId="77777777" w:rsidR="00890F57" w:rsidRDefault="00890F57" w:rsidP="00700D6F">
      <w:pPr>
        <w:widowControl w:val="0"/>
        <w:autoSpaceDE w:val="0"/>
        <w:autoSpaceDN w:val="0"/>
        <w:spacing w:after="0" w:line="276" w:lineRule="auto"/>
        <w:jc w:val="both"/>
        <w:rPr>
          <w:rFonts w:ascii="Verdana" w:hAnsi="Verdana" w:cs="Arial"/>
        </w:rPr>
      </w:pPr>
    </w:p>
    <w:p w14:paraId="1E305E01" w14:textId="77777777" w:rsidR="00700D6F" w:rsidRDefault="00700D6F" w:rsidP="00700D6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lastRenderedPageBreak/>
        <w:t>Doctrina de la Agencia Nacional de Contratación Pública:</w:t>
      </w:r>
    </w:p>
    <w:p w14:paraId="4093162B" w14:textId="77777777" w:rsidR="00700D6F" w:rsidRDefault="00700D6F" w:rsidP="00700D6F">
      <w:pPr>
        <w:widowControl w:val="0"/>
        <w:autoSpaceDE w:val="0"/>
        <w:autoSpaceDN w:val="0"/>
        <w:spacing w:after="0" w:line="276" w:lineRule="auto"/>
        <w:jc w:val="both"/>
        <w:rPr>
          <w:rFonts w:ascii="Verdana" w:hAnsi="Verdana" w:cs="Arial"/>
        </w:rPr>
      </w:pPr>
    </w:p>
    <w:p w14:paraId="65C6463C" w14:textId="77777777" w:rsidR="00700D6F" w:rsidRPr="00FE3C84" w:rsidRDefault="00700D6F" w:rsidP="00700D6F">
      <w:pPr>
        <w:widowControl w:val="0"/>
        <w:autoSpaceDE w:val="0"/>
        <w:autoSpaceDN w:val="0"/>
        <w:spacing w:after="0" w:line="276" w:lineRule="auto"/>
        <w:jc w:val="both"/>
        <w:rPr>
          <w:rStyle w:val="normaltextrun"/>
          <w:rFonts w:ascii="Verdana" w:hAnsi="Verdana"/>
          <w:color w:val="FF0000"/>
          <w:shd w:val="clear" w:color="auto" w:fill="FFFFFF"/>
          <w:lang w:val="es-ES"/>
        </w:rPr>
      </w:pPr>
      <w:r>
        <w:rPr>
          <w:rStyle w:val="normaltextrun"/>
          <w:rFonts w:ascii="Verdana" w:hAnsi="Verdana" w:cs="Arial"/>
          <w:shd w:val="clear" w:color="auto" w:fill="FFFFFF"/>
          <w:lang w:val="es-ES"/>
        </w:rPr>
        <w:t>Sobre la concurrencia de modalidades de selección abreviada por Acuerdo Marco de Precios y de Mínima Cuantía</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C-105 de 18 de febrero de 2022, </w:t>
      </w:r>
      <w:r>
        <w:rPr>
          <w:rFonts w:ascii="Verdana" w:hAnsi="Verdana" w:cs="Arial"/>
          <w:shd w:val="clear" w:color="auto" w:fill="FFFFFF"/>
          <w:lang w:val="es-ES"/>
        </w:rPr>
        <w:t>C-101 del 27 de abril de 2023,</w:t>
      </w:r>
      <w:r w:rsidRPr="00CF7C16">
        <w:rPr>
          <w:rFonts w:ascii="Verdana" w:hAnsi="Verdana" w:cs="Arial"/>
          <w:shd w:val="clear" w:color="auto" w:fill="FFFFFF"/>
          <w:lang w:val="es-ES"/>
        </w:rPr>
        <w:t xml:space="preserve"> entre otros.</w:t>
      </w:r>
      <w:r>
        <w:rPr>
          <w:rStyle w:val="normaltextrun"/>
          <w:rFonts w:ascii="Verdana" w:hAnsi="Verdana" w:cs="Arial"/>
          <w:shd w:val="clear" w:color="auto" w:fill="FFFFFF"/>
          <w:lang w:val="es-ES"/>
        </w:rPr>
        <w:t xml:space="preserve"> 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02816B1B" w14:textId="77777777" w:rsidR="00700D6F" w:rsidRDefault="00700D6F" w:rsidP="00700D6F">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39F68F39" w14:textId="77777777" w:rsidR="00700D6F" w:rsidRDefault="00700D6F" w:rsidP="00700D6F">
      <w:pPr>
        <w:spacing w:after="0" w:line="276" w:lineRule="auto"/>
        <w:jc w:val="both"/>
        <w:rPr>
          <w:rFonts w:ascii="Verdana" w:hAnsi="Verdana"/>
        </w:rPr>
      </w:pPr>
    </w:p>
    <w:p w14:paraId="42E16230" w14:textId="77777777" w:rsidR="00700D6F" w:rsidRDefault="00700D6F" w:rsidP="00700D6F">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5B80AC2B" w14:textId="77777777" w:rsidR="00700D6F" w:rsidRDefault="00700D6F" w:rsidP="00700D6F">
      <w:pPr>
        <w:spacing w:after="0" w:line="276" w:lineRule="auto"/>
        <w:jc w:val="both"/>
        <w:rPr>
          <w:rFonts w:ascii="Verdana" w:hAnsi="Verdana"/>
        </w:rPr>
      </w:pPr>
    </w:p>
    <w:p w14:paraId="7259DA90" w14:textId="77777777" w:rsidR="00700D6F" w:rsidRDefault="00700D6F" w:rsidP="00700D6F">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7C22CA8F" w14:textId="77777777" w:rsidR="00700D6F" w:rsidRDefault="00700D6F" w:rsidP="00700D6F">
      <w:pPr>
        <w:spacing w:after="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5DC1C0B7" w14:textId="77777777" w:rsidR="00700D6F" w:rsidRDefault="00700D6F" w:rsidP="00700D6F">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6D0B148E" w14:textId="77777777" w:rsidR="00700D6F" w:rsidRDefault="00700D6F" w:rsidP="00700D6F">
      <w:pPr>
        <w:widowControl w:val="0"/>
        <w:autoSpaceDE w:val="0"/>
        <w:autoSpaceDN w:val="0"/>
        <w:spacing w:after="0" w:line="276" w:lineRule="auto"/>
        <w:jc w:val="both"/>
        <w:rPr>
          <w:rFonts w:ascii="Verdana" w:hAnsi="Verdana" w:cs="Arial"/>
        </w:rPr>
      </w:pPr>
    </w:p>
    <w:p w14:paraId="5D2070E3" w14:textId="77777777" w:rsidR="00700D6F" w:rsidRDefault="00700D6F" w:rsidP="00700D6F">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4097A47C" w14:textId="77777777" w:rsidR="00700D6F" w:rsidRDefault="00700D6F" w:rsidP="00700D6F">
      <w:pPr>
        <w:widowControl w:val="0"/>
        <w:autoSpaceDE w:val="0"/>
        <w:autoSpaceDN w:val="0"/>
        <w:spacing w:after="0" w:line="276" w:lineRule="auto"/>
        <w:jc w:val="both"/>
        <w:rPr>
          <w:rFonts w:ascii="Verdana" w:hAnsi="Verdana" w:cs="Arial"/>
        </w:rPr>
      </w:pPr>
    </w:p>
    <w:p w14:paraId="148DF1BB" w14:textId="77777777" w:rsidR="00700D6F" w:rsidRDefault="00700D6F" w:rsidP="00700D6F">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247F4DC1" w14:textId="15566A4E" w:rsidR="00700D6F" w:rsidRDefault="009C6ABC" w:rsidP="00700D6F">
      <w:pPr>
        <w:spacing w:line="276" w:lineRule="auto"/>
        <w:jc w:val="center"/>
        <w:rPr>
          <w:rFonts w:ascii="Verdana" w:hAnsi="Verdana" w:cs="Arial"/>
          <w:color w:val="000000"/>
          <w:lang w:val="es-ES_tradnl" w:eastAsia="es-CO"/>
        </w:rPr>
      </w:pPr>
      <w:r>
        <w:rPr>
          <w:noProof/>
        </w:rPr>
        <w:drawing>
          <wp:inline distT="0" distB="0" distL="0" distR="0" wp14:anchorId="2F38EB0F" wp14:editId="359E652F">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00D6F" w14:paraId="04C37B96" w14:textId="77777777" w:rsidTr="008F7125">
        <w:trPr>
          <w:trHeight w:val="315"/>
        </w:trPr>
        <w:tc>
          <w:tcPr>
            <w:tcW w:w="893" w:type="dxa"/>
            <w:vAlign w:val="center"/>
            <w:hideMark/>
          </w:tcPr>
          <w:p w14:paraId="42D6AF25" w14:textId="77777777" w:rsidR="00700D6F" w:rsidRDefault="00700D6F" w:rsidP="008F7125">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109E39A" w14:textId="77777777" w:rsidR="00700D6F" w:rsidRDefault="00700D6F" w:rsidP="008F7125">
            <w:pPr>
              <w:spacing w:after="255"/>
              <w:contextualSpacing/>
              <w:rPr>
                <w:rFonts w:ascii="Verdana" w:eastAsia="Arial" w:hAnsi="Verdana" w:cs="Arial"/>
                <w:sz w:val="16"/>
                <w:szCs w:val="16"/>
              </w:rPr>
            </w:pPr>
            <w:r>
              <w:rPr>
                <w:rStyle w:val="normaltextrun"/>
                <w:rFonts w:ascii="Verdana" w:hAnsi="Verdana"/>
                <w:sz w:val="16"/>
                <w:szCs w:val="16"/>
              </w:rPr>
              <w:t xml:space="preserve">Catalina Cubides </w:t>
            </w:r>
            <w:proofErr w:type="spellStart"/>
            <w:r>
              <w:rPr>
                <w:rStyle w:val="normaltextrun"/>
                <w:rFonts w:ascii="Verdana" w:hAnsi="Verdana"/>
                <w:sz w:val="16"/>
                <w:szCs w:val="16"/>
              </w:rPr>
              <w:t>Estupiñan</w:t>
            </w:r>
            <w:proofErr w:type="spellEnd"/>
          </w:p>
          <w:p w14:paraId="336D5786" w14:textId="77777777" w:rsidR="00700D6F" w:rsidRDefault="00700D6F" w:rsidP="008F7125">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700D6F" w14:paraId="4A8F9CA5" w14:textId="77777777" w:rsidTr="008F7125">
        <w:trPr>
          <w:trHeight w:val="330"/>
        </w:trPr>
        <w:tc>
          <w:tcPr>
            <w:tcW w:w="893" w:type="dxa"/>
            <w:vAlign w:val="center"/>
            <w:hideMark/>
          </w:tcPr>
          <w:p w14:paraId="5A68DD0B" w14:textId="77777777" w:rsidR="00700D6F" w:rsidRDefault="00700D6F" w:rsidP="008F7125">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3F4C7A4" w14:textId="77777777" w:rsidR="00700D6F" w:rsidRDefault="00700D6F" w:rsidP="008F7125">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Diana Lucia Saavedra Castañeda</w:t>
            </w:r>
          </w:p>
          <w:p w14:paraId="609B8D7B" w14:textId="77777777" w:rsidR="00700D6F" w:rsidRDefault="00700D6F" w:rsidP="008F7125">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700D6F" w14:paraId="1FCA99AB" w14:textId="77777777" w:rsidTr="008F7125">
        <w:trPr>
          <w:trHeight w:val="300"/>
        </w:trPr>
        <w:tc>
          <w:tcPr>
            <w:tcW w:w="893" w:type="dxa"/>
            <w:vAlign w:val="center"/>
            <w:hideMark/>
          </w:tcPr>
          <w:p w14:paraId="0279548A" w14:textId="77777777" w:rsidR="00700D6F" w:rsidRDefault="00700D6F" w:rsidP="008F7125">
            <w:pPr>
              <w:spacing w:after="255"/>
              <w:contextualSpacing/>
              <w:rPr>
                <w:rFonts w:ascii="Verdana" w:hAnsi="Verdana" w:cs="Arial"/>
                <w:sz w:val="16"/>
                <w:szCs w:val="16"/>
                <w:lang w:val="es-ES" w:eastAsia="es-ES"/>
              </w:rPr>
            </w:pPr>
            <w:r>
              <w:rPr>
                <w:rFonts w:ascii="Verdana" w:hAnsi="Verdana" w:cs="Arial"/>
                <w:sz w:val="16"/>
                <w:szCs w:val="16"/>
                <w:lang w:val="es-ES" w:eastAsia="es-ES"/>
              </w:rPr>
              <w:lastRenderedPageBreak/>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3ACE982" w14:textId="77777777" w:rsidR="00700D6F" w:rsidRDefault="00700D6F" w:rsidP="008F7125">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1B86DCA0" w14:textId="77777777" w:rsidR="00700D6F" w:rsidRDefault="00700D6F" w:rsidP="008F7125">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w:t>
            </w:r>
            <w:proofErr w:type="spellStart"/>
            <w:r>
              <w:rPr>
                <w:rFonts w:ascii="Verdana" w:eastAsia="Calibri" w:hAnsi="Verdana" w:cs="Arial"/>
                <w:sz w:val="16"/>
                <w:szCs w:val="16"/>
                <w:lang w:val="pt-BR" w:eastAsia="es-ES"/>
              </w:rPr>
              <w:t>Gestión</w:t>
            </w:r>
            <w:proofErr w:type="spellEnd"/>
            <w:r>
              <w:rPr>
                <w:rFonts w:ascii="Verdana" w:eastAsia="Calibri" w:hAnsi="Verdana" w:cs="Arial"/>
                <w:sz w:val="16"/>
                <w:szCs w:val="16"/>
                <w:lang w:val="pt-BR" w:eastAsia="es-ES"/>
              </w:rPr>
              <w:t xml:space="preserve">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tbl>
    <w:p w14:paraId="3A75FE84" w14:textId="77777777" w:rsidR="00700D6F" w:rsidRPr="001249F1" w:rsidRDefault="00700D6F" w:rsidP="00700D6F"/>
    <w:p w14:paraId="5BB1D16D" w14:textId="77777777" w:rsidR="00700D6F" w:rsidRPr="0044528D" w:rsidRDefault="00700D6F" w:rsidP="00700D6F">
      <w:pPr>
        <w:spacing w:after="0"/>
        <w:rPr>
          <w:rFonts w:ascii="Verdana" w:eastAsia="Times New Roman" w:hAnsi="Verdana" w:cs="Segoe UI"/>
          <w:b/>
          <w:bCs/>
          <w:color w:val="46589C"/>
          <w:lang w:val="es-ES" w:eastAsia="es-CO"/>
        </w:rPr>
      </w:pPr>
    </w:p>
    <w:p w14:paraId="4FBC1F0F" w14:textId="77777777" w:rsidR="00700D6F" w:rsidRPr="00046945" w:rsidRDefault="00700D6F" w:rsidP="00700D6F">
      <w:pPr>
        <w:spacing w:after="0"/>
        <w:rPr>
          <w:rFonts w:ascii="Verdana" w:eastAsia="Times New Roman" w:hAnsi="Verdana" w:cs="Segoe UI"/>
          <w:sz w:val="18"/>
          <w:szCs w:val="18"/>
          <w:lang w:eastAsia="es-CO"/>
        </w:rPr>
      </w:pPr>
    </w:p>
    <w:bookmarkEnd w:id="0"/>
    <w:p w14:paraId="162C2ACD" w14:textId="77777777" w:rsidR="00F1544D" w:rsidRPr="0024624F" w:rsidRDefault="00F1544D" w:rsidP="00C15139">
      <w:pPr>
        <w:spacing w:after="0"/>
        <w:rPr>
          <w:rFonts w:ascii="Verdana" w:hAnsi="Verdana"/>
        </w:rPr>
      </w:pPr>
    </w:p>
    <w:sectPr w:rsidR="00F1544D" w:rsidRPr="0024624F"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82CD9B" w14:textId="77777777" w:rsidR="00D661EA" w:rsidRDefault="00D661EA" w:rsidP="004A1847">
      <w:pPr>
        <w:spacing w:after="0" w:line="240" w:lineRule="auto"/>
      </w:pPr>
      <w:r>
        <w:separator/>
      </w:r>
    </w:p>
  </w:endnote>
  <w:endnote w:type="continuationSeparator" w:id="0">
    <w:p w14:paraId="7825BA9C" w14:textId="77777777" w:rsidR="00D661EA" w:rsidRDefault="00D661EA" w:rsidP="004A1847">
      <w:pPr>
        <w:spacing w:after="0" w:line="240" w:lineRule="auto"/>
      </w:pPr>
      <w:r>
        <w:continuationSeparator/>
      </w:r>
    </w:p>
  </w:endnote>
  <w:endnote w:type="continuationNotice" w:id="1">
    <w:p w14:paraId="5428E69A" w14:textId="77777777" w:rsidR="00D661EA" w:rsidRDefault="00D661E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1FA2D5" w14:textId="77777777" w:rsidR="00D661EA" w:rsidRDefault="00D661EA" w:rsidP="004A1847">
      <w:pPr>
        <w:spacing w:after="0" w:line="240" w:lineRule="auto"/>
      </w:pPr>
      <w:r>
        <w:separator/>
      </w:r>
    </w:p>
  </w:footnote>
  <w:footnote w:type="continuationSeparator" w:id="0">
    <w:p w14:paraId="6A0FEFA5" w14:textId="77777777" w:rsidR="00D661EA" w:rsidRDefault="00D661EA" w:rsidP="004A1847">
      <w:pPr>
        <w:spacing w:after="0" w:line="240" w:lineRule="auto"/>
      </w:pPr>
      <w:r>
        <w:continuationSeparator/>
      </w:r>
    </w:p>
  </w:footnote>
  <w:footnote w:type="continuationNotice" w:id="1">
    <w:p w14:paraId="6B1F4435" w14:textId="77777777" w:rsidR="00D661EA" w:rsidRDefault="00D661EA">
      <w:pPr>
        <w:spacing w:after="0" w:line="240" w:lineRule="auto"/>
      </w:pPr>
    </w:p>
  </w:footnote>
  <w:footnote w:id="2">
    <w:p w14:paraId="7ED040E2" w14:textId="77777777" w:rsidR="00700D6F" w:rsidRPr="00F41E96" w:rsidRDefault="00700D6F" w:rsidP="00700D6F">
      <w:pPr>
        <w:pStyle w:val="Textonotapie"/>
        <w:ind w:firstLine="709"/>
        <w:jc w:val="both"/>
        <w:rPr>
          <w:rFonts w:ascii="Verdana" w:hAnsi="Verdana" w:cs="Arial"/>
          <w:color w:val="000000" w:themeColor="text1"/>
          <w:sz w:val="16"/>
          <w:szCs w:val="16"/>
          <w:lang w:val="es-ES_tradnl"/>
        </w:rPr>
      </w:pPr>
      <w:r w:rsidRPr="00F41E96">
        <w:rPr>
          <w:rStyle w:val="Refdenotaalpie"/>
          <w:rFonts w:ascii="Verdana" w:hAnsi="Verdana" w:cs="Arial"/>
          <w:color w:val="000000" w:themeColor="text1"/>
          <w:sz w:val="16"/>
          <w:szCs w:val="16"/>
          <w:lang w:val="es-ES_tradnl"/>
        </w:rPr>
        <w:footnoteRef/>
      </w:r>
      <w:r w:rsidRPr="00F41E96">
        <w:rPr>
          <w:rFonts w:ascii="Verdana" w:hAnsi="Verdana" w:cs="Arial"/>
          <w:color w:val="000000" w:themeColor="text1"/>
          <w:sz w:val="16"/>
          <w:szCs w:val="16"/>
          <w:lang w:val="es-ES_tradnl"/>
        </w:rPr>
        <w:t xml:space="preserve"> Consejo de Estado. Sección Tercera. Subsección A. Auto del 29 de marzo de 2017. </w:t>
      </w:r>
      <w:proofErr w:type="spellStart"/>
      <w:r w:rsidRPr="00F41E96">
        <w:rPr>
          <w:rFonts w:ascii="Verdana" w:hAnsi="Verdana" w:cs="Arial"/>
          <w:color w:val="000000" w:themeColor="text1"/>
          <w:sz w:val="16"/>
          <w:szCs w:val="16"/>
          <w:lang w:val="es-ES_tradnl"/>
        </w:rPr>
        <w:t>Exp</w:t>
      </w:r>
      <w:proofErr w:type="spellEnd"/>
      <w:r w:rsidRPr="00F41E96">
        <w:rPr>
          <w:rFonts w:ascii="Verdana" w:hAnsi="Verdana" w:cs="Arial"/>
          <w:color w:val="000000" w:themeColor="text1"/>
          <w:sz w:val="16"/>
          <w:szCs w:val="16"/>
          <w:lang w:val="es-ES_tradnl"/>
        </w:rPr>
        <w:t>. 56.307. Consejero: Carlos Alberto Zambrano Barrera.</w:t>
      </w:r>
    </w:p>
  </w:footnote>
  <w:footnote w:id="3">
    <w:p w14:paraId="1656080E" w14:textId="77777777" w:rsidR="00700D6F" w:rsidRPr="00F41E96" w:rsidRDefault="00700D6F" w:rsidP="00700D6F">
      <w:pPr>
        <w:pStyle w:val="Textonotapie"/>
        <w:ind w:firstLine="708"/>
        <w:rPr>
          <w:rFonts w:ascii="Verdana" w:hAnsi="Verdana"/>
          <w:sz w:val="16"/>
          <w:szCs w:val="16"/>
        </w:rPr>
      </w:pPr>
      <w:r w:rsidRPr="00F41E96">
        <w:rPr>
          <w:rStyle w:val="Refdenotaalpie"/>
          <w:rFonts w:ascii="Verdana" w:hAnsi="Verdana"/>
          <w:sz w:val="16"/>
          <w:szCs w:val="16"/>
        </w:rPr>
        <w:footnoteRef/>
      </w:r>
      <w:r w:rsidRPr="00F41E96">
        <w:rPr>
          <w:rFonts w:ascii="Verdana" w:hAnsi="Verdana"/>
          <w:sz w:val="16"/>
          <w:szCs w:val="16"/>
        </w:rPr>
        <w:t xml:space="preserve"> </w:t>
      </w:r>
      <w:r w:rsidRPr="00F41E96">
        <w:rPr>
          <w:rFonts w:ascii="Verdana" w:hAnsi="Verdana" w:cs="Arial"/>
          <w:color w:val="000000" w:themeColor="text1"/>
          <w:sz w:val="16"/>
          <w:szCs w:val="16"/>
          <w:lang w:val="es-ES_tradnl"/>
        </w:rPr>
        <w:t xml:space="preserve">Consejo de Estado. Sección Tercera. Subsección A. Sentencia del 23 de abril de 2021. </w:t>
      </w:r>
      <w:proofErr w:type="spellStart"/>
      <w:r w:rsidRPr="00F41E96">
        <w:rPr>
          <w:rFonts w:ascii="Verdana" w:hAnsi="Verdana" w:cs="Arial"/>
          <w:color w:val="000000" w:themeColor="text1"/>
          <w:sz w:val="16"/>
          <w:szCs w:val="16"/>
          <w:lang w:val="es-ES_tradnl"/>
        </w:rPr>
        <w:t>Exp</w:t>
      </w:r>
      <w:proofErr w:type="spellEnd"/>
      <w:r w:rsidRPr="00F41E96">
        <w:rPr>
          <w:rFonts w:ascii="Verdana" w:hAnsi="Verdana" w:cs="Arial"/>
          <w:color w:val="000000" w:themeColor="text1"/>
          <w:sz w:val="16"/>
          <w:szCs w:val="16"/>
          <w:lang w:val="es-ES_tradnl"/>
        </w:rPr>
        <w:t>. 56.307. Consejero: José Roberto Sáchica Méndez</w:t>
      </w:r>
    </w:p>
  </w:footnote>
  <w:footnote w:id="4">
    <w:p w14:paraId="7D7FAE90" w14:textId="77777777" w:rsidR="00700D6F" w:rsidRPr="00F41E96" w:rsidRDefault="00700D6F" w:rsidP="00700D6F">
      <w:pPr>
        <w:pStyle w:val="Textonotapie"/>
        <w:ind w:firstLine="709"/>
        <w:jc w:val="both"/>
        <w:rPr>
          <w:rFonts w:ascii="Verdana" w:hAnsi="Verdana" w:cs="Arial"/>
          <w:color w:val="000000" w:themeColor="text1"/>
          <w:sz w:val="16"/>
          <w:szCs w:val="16"/>
          <w:lang w:val="es-ES_tradnl"/>
        </w:rPr>
      </w:pPr>
      <w:r w:rsidRPr="00F41E96">
        <w:rPr>
          <w:rStyle w:val="Refdenotaalpie"/>
          <w:rFonts w:ascii="Verdana" w:hAnsi="Verdana" w:cs="Arial"/>
          <w:color w:val="000000" w:themeColor="text1"/>
          <w:sz w:val="16"/>
          <w:szCs w:val="16"/>
          <w:lang w:val="es-ES_tradnl"/>
        </w:rPr>
        <w:footnoteRef/>
      </w:r>
      <w:r w:rsidRPr="00F41E96">
        <w:rPr>
          <w:rFonts w:ascii="Verdana" w:hAnsi="Verdana" w:cs="Arial"/>
          <w:color w:val="000000" w:themeColor="text1"/>
          <w:sz w:val="16"/>
          <w:szCs w:val="16"/>
          <w:lang w:val="es-ES_tradnl"/>
        </w:rPr>
        <w:t xml:space="preserve"> Esta fue la interpretación de la Agencia Nacional de Contratación Pública – Colombia Compra Eficiente, desde que comenzó a regir la Ley 1955 de 2019. Así lo expresó en el Manual de la Modalidad de Selección de Mínima Cuantía M-MSMC-03: “El artículo 42 de la Ley 1955 de 2019 prescribe que en aquellos eventos en que las entidades estatales deban contratar bienes o servicios de características técnicas uniformes que se encuentren en un acuerdo marco de precios y cuyo valor no exceda del diez por ciento (10%) de la menor cuantía, las entidades deberán realizar la adquisición a través de la Tienda Virtual del Estado Colombiano, siempre que el bien o servicio esté disponible por ese medio.</w:t>
      </w:r>
    </w:p>
    <w:p w14:paraId="2658D455" w14:textId="77777777" w:rsidR="00700D6F" w:rsidRPr="00F41E96" w:rsidRDefault="00700D6F" w:rsidP="00700D6F">
      <w:pPr>
        <w:pStyle w:val="Textonotapie"/>
        <w:ind w:firstLine="709"/>
        <w:jc w:val="both"/>
        <w:rPr>
          <w:rFonts w:ascii="Verdana" w:hAnsi="Verdana" w:cs="Arial"/>
          <w:color w:val="000000" w:themeColor="text1"/>
          <w:sz w:val="16"/>
          <w:szCs w:val="16"/>
          <w:lang w:val="es-ES_tradnl"/>
        </w:rPr>
      </w:pPr>
      <w:r w:rsidRPr="00F41E96">
        <w:rPr>
          <w:rFonts w:ascii="Verdana" w:hAnsi="Verdana" w:cs="Arial"/>
          <w:color w:val="000000" w:themeColor="text1"/>
          <w:sz w:val="16"/>
          <w:szCs w:val="16"/>
          <w:lang w:val="es-ES_tradnl"/>
        </w:rPr>
        <w:t>Por su parte, el artículo 41 de la citada norma prescribe que el reglamento establecerá las condiciones bajo las cuales el uso de acuerdos marco de precios, se hará obligatorio para todas las entidades sometidas al Estatuto General de Contratación de la Administración Pública.</w:t>
      </w:r>
    </w:p>
    <w:p w14:paraId="38D68AD5" w14:textId="77777777" w:rsidR="00700D6F" w:rsidRPr="00F41E96" w:rsidRDefault="00700D6F" w:rsidP="00700D6F">
      <w:pPr>
        <w:pStyle w:val="Textonotapie"/>
        <w:ind w:firstLine="709"/>
        <w:jc w:val="both"/>
        <w:rPr>
          <w:rFonts w:ascii="Verdana" w:hAnsi="Verdana" w:cs="Arial"/>
          <w:color w:val="000000" w:themeColor="text1"/>
          <w:sz w:val="16"/>
          <w:szCs w:val="16"/>
          <w:lang w:val="es-ES_tradnl"/>
        </w:rPr>
      </w:pPr>
      <w:r w:rsidRPr="00F41E96">
        <w:rPr>
          <w:rFonts w:ascii="Verdana" w:hAnsi="Verdana" w:cs="Arial"/>
          <w:color w:val="000000" w:themeColor="text1"/>
          <w:sz w:val="16"/>
          <w:szCs w:val="16"/>
          <w:lang w:val="es-ES_tradnl"/>
        </w:rPr>
        <w:t xml:space="preserve">Por tanto, en caso de concurrencia de selección abreviada por Acuerdo Marco de Precios y de Mínima Cuantía, por parte de entidades obligadas a contratar bienes o servicios de características técnicas uniformes que se encuentren en un Acuerdo Marco de Precios, la modalidad de selección aplicable es la modalidad de Selección Abreviada por Acuerdo Marco de Precios” </w:t>
      </w:r>
    </w:p>
  </w:footnote>
  <w:footnote w:id="5">
    <w:p w14:paraId="1998F1EF" w14:textId="77777777" w:rsidR="00700D6F" w:rsidRPr="00F41E96" w:rsidRDefault="00700D6F" w:rsidP="00700D6F">
      <w:pPr>
        <w:pStyle w:val="NormalWeb"/>
        <w:spacing w:before="0" w:beforeAutospacing="0" w:after="0" w:afterAutospacing="0"/>
        <w:ind w:firstLine="709"/>
        <w:jc w:val="both"/>
        <w:rPr>
          <w:rFonts w:ascii="Verdana" w:hAnsi="Verdana" w:cs="Arial"/>
          <w:color w:val="000000" w:themeColor="text1"/>
          <w:sz w:val="16"/>
          <w:szCs w:val="16"/>
          <w:lang w:val="es-ES"/>
        </w:rPr>
      </w:pPr>
      <w:r w:rsidRPr="00F41E96">
        <w:rPr>
          <w:rStyle w:val="Refdenotaalpie"/>
          <w:rFonts w:ascii="Verdana" w:hAnsi="Verdana" w:cs="Arial"/>
          <w:color w:val="000000" w:themeColor="text1"/>
          <w:sz w:val="16"/>
          <w:szCs w:val="16"/>
        </w:rPr>
        <w:footnoteRef/>
      </w:r>
      <w:r w:rsidRPr="00F41E96">
        <w:rPr>
          <w:rFonts w:ascii="Verdana" w:hAnsi="Verdana" w:cs="Arial"/>
          <w:color w:val="000000" w:themeColor="text1"/>
          <w:sz w:val="16"/>
          <w:szCs w:val="16"/>
        </w:rPr>
        <w:t xml:space="preserve"> </w:t>
      </w:r>
      <w:r w:rsidRPr="00F41E96">
        <w:rPr>
          <w:rFonts w:ascii="Verdana" w:hAnsi="Verdana" w:cs="Arial"/>
          <w:color w:val="000000" w:themeColor="text1"/>
          <w:sz w:val="16"/>
          <w:szCs w:val="16"/>
          <w:lang w:val="es-ES"/>
        </w:rPr>
        <w:t xml:space="preserve">Estos dos parágrafos están redactados de la siguiente manera: </w:t>
      </w:r>
    </w:p>
    <w:p w14:paraId="1B862E86" w14:textId="77777777" w:rsidR="00700D6F" w:rsidRPr="00F41E96" w:rsidRDefault="00700D6F" w:rsidP="00700D6F">
      <w:pPr>
        <w:pStyle w:val="NormalWeb"/>
        <w:spacing w:before="0" w:beforeAutospacing="0" w:after="0" w:afterAutospacing="0"/>
        <w:ind w:firstLine="709"/>
        <w:jc w:val="both"/>
        <w:rPr>
          <w:rFonts w:ascii="Verdana" w:hAnsi="Verdana" w:cs="Arial"/>
          <w:color w:val="000000" w:themeColor="text1"/>
          <w:sz w:val="16"/>
          <w:szCs w:val="16"/>
          <w:lang w:val="es-ES"/>
        </w:rPr>
      </w:pPr>
      <w:r w:rsidRPr="00F41E96">
        <w:rPr>
          <w:rFonts w:ascii="Verdana" w:hAnsi="Verdana" w:cs="Arial"/>
          <w:color w:val="000000" w:themeColor="text1"/>
          <w:sz w:val="16"/>
          <w:szCs w:val="16"/>
          <w:lang w:val="es-ES"/>
        </w:rPr>
        <w:t>“[…]</w:t>
      </w:r>
    </w:p>
    <w:p w14:paraId="05B39636" w14:textId="77777777" w:rsidR="00700D6F" w:rsidRPr="00F41E96" w:rsidRDefault="00700D6F" w:rsidP="00700D6F">
      <w:pPr>
        <w:pStyle w:val="NormalWeb"/>
        <w:spacing w:before="0" w:beforeAutospacing="0" w:after="0" w:afterAutospacing="0"/>
        <w:ind w:firstLine="709"/>
        <w:jc w:val="both"/>
        <w:rPr>
          <w:rFonts w:ascii="Verdana" w:hAnsi="Verdana" w:cs="Arial"/>
          <w:color w:val="000000" w:themeColor="text1"/>
          <w:sz w:val="16"/>
          <w:szCs w:val="16"/>
          <w:lang w:val="es-ES"/>
        </w:rPr>
      </w:pPr>
      <w:r w:rsidRPr="00F41E96">
        <w:rPr>
          <w:rFonts w:ascii="Verdana" w:hAnsi="Verdana" w:cs="Arial"/>
          <w:color w:val="000000" w:themeColor="text1"/>
          <w:sz w:val="16"/>
          <w:szCs w:val="16"/>
          <w:lang w:val="es-ES"/>
        </w:rPr>
        <w:t>“PARÁGRAFO PRIMERO. Las particularidades del procedimiento aquí previsto, así como la posibilidad que tengan las entidades de realizar estas adquisiciones a MiPymes o establecimientos que correspondan a la definición de "gran almacén" señalada por la Superintendencia de Industria y Comercio, se determinarán en el reglamento que para el efecto expida el Gobierno Nacional.  </w:t>
      </w:r>
    </w:p>
    <w:p w14:paraId="55964CB0" w14:textId="77777777" w:rsidR="00700D6F" w:rsidRPr="00F41E96" w:rsidRDefault="00700D6F" w:rsidP="00700D6F">
      <w:pPr>
        <w:pStyle w:val="NormalWeb"/>
        <w:spacing w:before="0" w:beforeAutospacing="0" w:after="0" w:afterAutospacing="0"/>
        <w:ind w:firstLine="709"/>
        <w:jc w:val="both"/>
        <w:rPr>
          <w:rFonts w:ascii="Verdana" w:hAnsi="Verdana" w:cs="Arial"/>
          <w:color w:val="000000" w:themeColor="text1"/>
          <w:sz w:val="16"/>
          <w:szCs w:val="16"/>
          <w:lang w:val="es-ES"/>
        </w:rPr>
      </w:pPr>
      <w:r w:rsidRPr="00F41E96">
        <w:rPr>
          <w:rFonts w:ascii="Verdana" w:hAnsi="Verdana" w:cs="Arial"/>
          <w:color w:val="000000" w:themeColor="text1"/>
          <w:sz w:val="16"/>
          <w:szCs w:val="16"/>
          <w:lang w:val="es-ES"/>
        </w:rPr>
        <w:t>“PARÁGRAFO SEGUNDO. La contratación a que se refiere el presente artículo se realizará exclusivamente con las reglas en él contempladas y en su reglamentación. En particular no se aplicará lo previsto en la Ley 816 de 2003”.  </w:t>
      </w:r>
    </w:p>
    <w:p w14:paraId="0208E930" w14:textId="77777777" w:rsidR="00700D6F" w:rsidRPr="00F41E96" w:rsidRDefault="00700D6F" w:rsidP="00700D6F">
      <w:pPr>
        <w:pStyle w:val="Textonotapie"/>
        <w:ind w:firstLine="709"/>
        <w:jc w:val="both"/>
        <w:rPr>
          <w:rFonts w:ascii="Verdana" w:hAnsi="Verdana" w:cs="Arial"/>
          <w:color w:val="000000" w:themeColor="text1"/>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4"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6"/>
  </w:num>
  <w:num w:numId="8">
    <w:abstractNumId w:val="12"/>
  </w:num>
  <w:num w:numId="9">
    <w:abstractNumId w:val="8"/>
  </w:num>
  <w:num w:numId="10">
    <w:abstractNumId w:val="11"/>
  </w:num>
  <w:num w:numId="11">
    <w:abstractNumId w:val="9"/>
  </w:num>
  <w:num w:numId="12">
    <w:abstractNumId w:val="1"/>
  </w:num>
  <w:num w:numId="13">
    <w:abstractNumId w:val="4"/>
  </w:num>
  <w:num w:numId="14">
    <w:abstractNumId w:val="14"/>
  </w:num>
  <w:num w:numId="15">
    <w:abstractNumId w:val="10"/>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836E0"/>
    <w:rsid w:val="00591460"/>
    <w:rsid w:val="005A65E0"/>
    <w:rsid w:val="005C3777"/>
    <w:rsid w:val="005C5CDC"/>
    <w:rsid w:val="005D476C"/>
    <w:rsid w:val="005E2FC4"/>
    <w:rsid w:val="006200BF"/>
    <w:rsid w:val="006219F8"/>
    <w:rsid w:val="006302F7"/>
    <w:rsid w:val="00646B9F"/>
    <w:rsid w:val="00665D70"/>
    <w:rsid w:val="006900D9"/>
    <w:rsid w:val="00700D6F"/>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0F57"/>
    <w:rsid w:val="00891928"/>
    <w:rsid w:val="008A446D"/>
    <w:rsid w:val="008B25F1"/>
    <w:rsid w:val="008D180B"/>
    <w:rsid w:val="008F0EA7"/>
    <w:rsid w:val="00923EEF"/>
    <w:rsid w:val="009419F9"/>
    <w:rsid w:val="00943D41"/>
    <w:rsid w:val="0095685E"/>
    <w:rsid w:val="00961B09"/>
    <w:rsid w:val="00965334"/>
    <w:rsid w:val="0097093E"/>
    <w:rsid w:val="00985EEE"/>
    <w:rsid w:val="009A0DFA"/>
    <w:rsid w:val="009A1C6F"/>
    <w:rsid w:val="009B2D26"/>
    <w:rsid w:val="009C6ABC"/>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661EA"/>
    <w:rsid w:val="00D7383B"/>
    <w:rsid w:val="00D7788A"/>
    <w:rsid w:val="00DA231B"/>
    <w:rsid w:val="00DC39FC"/>
    <w:rsid w:val="00DF5254"/>
    <w:rsid w:val="00E02524"/>
    <w:rsid w:val="00E16408"/>
    <w:rsid w:val="00E20894"/>
    <w:rsid w:val="00E245AB"/>
    <w:rsid w:val="00E271F2"/>
    <w:rsid w:val="00E2764C"/>
    <w:rsid w:val="00E27F2E"/>
    <w:rsid w:val="00E50AFE"/>
    <w:rsid w:val="00E75C92"/>
    <w:rsid w:val="00E771DC"/>
    <w:rsid w:val="00E8772A"/>
    <w:rsid w:val="00E90F6B"/>
    <w:rsid w:val="00E92C27"/>
    <w:rsid w:val="00EA0E3D"/>
    <w:rsid w:val="00EC38A7"/>
    <w:rsid w:val="00EE1AA8"/>
    <w:rsid w:val="00F1544D"/>
    <w:rsid w:val="00F23FEA"/>
    <w:rsid w:val="00F31EDC"/>
    <w:rsid w:val="00F462B3"/>
    <w:rsid w:val="00F5664F"/>
    <w:rsid w:val="00F666C4"/>
    <w:rsid w:val="00F76AFC"/>
    <w:rsid w:val="00FA47C0"/>
    <w:rsid w:val="00FB5DD1"/>
    <w:rsid w:val="00FC2B5D"/>
    <w:rsid w:val="00FF1449"/>
    <w:rsid w:val="00FF7963"/>
    <w:rsid w:val="09908A09"/>
    <w:rsid w:val="13CFC91B"/>
    <w:rsid w:val="19A2EC2C"/>
    <w:rsid w:val="2859CA1B"/>
    <w:rsid w:val="32A4F9CF"/>
    <w:rsid w:val="356CEDFD"/>
    <w:rsid w:val="47760D1F"/>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00D6F"/>
    <w:rPr>
      <w:rFonts w:ascii="Geomanist Light" w:hAnsi="Geomanist Light"/>
      <w:lang w:val="es-ES"/>
    </w:rPr>
  </w:style>
  <w:style w:type="paragraph" w:customStyle="1" w:styleId="Appelnotedebasde">
    <w:name w:val="Appel note de bas de..."/>
    <w:basedOn w:val="Normal"/>
    <w:link w:val="Refdenotaalpie"/>
    <w:uiPriority w:val="99"/>
    <w:rsid w:val="00700D6F"/>
    <w:pPr>
      <w:spacing w:line="240" w:lineRule="exact"/>
    </w:pPr>
    <w:rPr>
      <w:vertAlign w:val="superscript"/>
    </w:rPr>
  </w:style>
  <w:style w:type="character" w:customStyle="1" w:styleId="NormalWebCar">
    <w:name w:val="Normal (Web) Car"/>
    <w:link w:val="NormalWeb"/>
    <w:uiPriority w:val="99"/>
    <w:rsid w:val="00700D6F"/>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icardo.erre.ache@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0A27AB19-1F88-414A-B704-0CCD1EA5C8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9d85dbaf-23eb-4e57-a637-93dcacc8b1a1"/>
    <ds:schemaRef ds:uri="http://purl.org/dc/terms/"/>
    <ds:schemaRef ds:uri="http://schemas.microsoft.com/office/2006/documentManagement/types"/>
    <ds:schemaRef ds:uri="http://schemas.openxmlformats.org/package/2006/metadata/core-properties"/>
    <ds:schemaRef ds:uri="http://schemas.microsoft.com/office/infopath/2007/PartnerControls"/>
    <ds:schemaRef ds:uri="a6cb9e4b-f1d1-4245-83ec-6cad768d538a"/>
    <ds:schemaRef ds:uri="http://schemas.microsoft.com/office/2006/metadata/properties"/>
    <ds:schemaRef ds:uri="http://www.w3.org/XML/1998/namespace"/>
    <ds:schemaRef ds:uri="http://purl.org/dc/dcmityp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11</Pages>
  <Words>3034</Words>
  <Characters>16689</Characters>
  <Application>Microsoft Office Word</Application>
  <DocSecurity>0</DocSecurity>
  <Lines>139</Lines>
  <Paragraphs>39</Paragraphs>
  <ScaleCrop>false</ScaleCrop>
  <Company/>
  <LinksUpToDate>false</LinksUpToDate>
  <CharactersWithSpaces>19684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2025-11-20T15:30:00Z</dcterms:created>
  <dcterms:modified xsi:type="dcterms:W3CDTF">2025-11-20T15:30:00Z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