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AF966" w14:textId="77777777" w:rsidR="007E075F" w:rsidRDefault="007E075F" w:rsidP="006B714E">
      <w:pPr>
        <w:pStyle w:val="Textoindependiente"/>
        <w:spacing w:before="1"/>
      </w:pPr>
      <w:bookmarkStart w:id="0" w:name="_Hlk143780582"/>
    </w:p>
    <w:p w14:paraId="67C2C2B8" w14:textId="77777777" w:rsidR="007E075F" w:rsidRDefault="007E075F" w:rsidP="006B714E">
      <w:pPr>
        <w:pStyle w:val="Textoindependiente"/>
        <w:spacing w:before="1"/>
      </w:pPr>
    </w:p>
    <w:p w14:paraId="57083841"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SIMULTANEIDAD DE CONTRATOS – INEXISTENCIA DE PROHIBICIÓN </w:t>
      </w:r>
      <w:r w:rsidRPr="007E075F">
        <w:rPr>
          <w:rFonts w:ascii="Verdana" w:hAnsi="Verdana"/>
          <w:sz w:val="22"/>
          <w:szCs w:val="22"/>
        </w:rPr>
        <w:t xml:space="preserve">Tras analizar el régimen de inhabilidades e incompatibilidades (específicamente el artículo 8 de la Ley 80 de 1993), no se advierte una causal taxativa que restrinja expresamente que una persona —natural o jurídica— celebre más de un contrato de prestación de servicios al mismo tiempo con la misma entidad. </w:t>
      </w:r>
      <w:r w:rsidRPr="007E075F">
        <w:rPr>
          <w:rStyle w:val="citation-182"/>
          <w:rFonts w:ascii="Verdana" w:hAnsi="Verdana"/>
          <w:sz w:val="22"/>
          <w:szCs w:val="22"/>
        </w:rPr>
        <w:t>Esta conclusión es extensiva a las Empresas Sociales del Estado (ESE), dado que en su régimen tampoco existe dicha prohibición</w:t>
      </w:r>
      <w:r w:rsidRPr="007E075F">
        <w:rPr>
          <w:rFonts w:ascii="Verdana" w:hAnsi="Verdana"/>
          <w:sz w:val="22"/>
          <w:szCs w:val="22"/>
        </w:rPr>
        <w:t>.</w:t>
      </w:r>
    </w:p>
    <w:p w14:paraId="7162F991"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PROHIBICIÓN CONSTITUCIONAL (ART. 128) – ALCANCE </w:t>
      </w:r>
      <w:r w:rsidRPr="007E075F">
        <w:rPr>
          <w:rFonts w:ascii="Verdana" w:hAnsi="Verdana"/>
          <w:sz w:val="22"/>
          <w:szCs w:val="22"/>
        </w:rPr>
        <w:t xml:space="preserve">La prohibición constitucional de recibir más de una asignación del tesoro público (Art. 128 C.P.) aplica restrictivamente a los servidores públicos en situación legal y reglamentaria. </w:t>
      </w:r>
      <w:r w:rsidRPr="007E075F">
        <w:rPr>
          <w:rStyle w:val="citation-181"/>
          <w:rFonts w:ascii="Verdana" w:hAnsi="Verdana"/>
          <w:sz w:val="22"/>
          <w:szCs w:val="22"/>
        </w:rPr>
        <w:t>No se extiende a los contratistas de prestación de servicios, quienes actúan como particulares colaboradores y perciben honorarios, no salarios</w:t>
      </w:r>
      <w:r w:rsidRPr="007E075F">
        <w:rPr>
          <w:rFonts w:ascii="Verdana" w:hAnsi="Verdana"/>
          <w:sz w:val="22"/>
          <w:szCs w:val="22"/>
        </w:rPr>
        <w:t>.</w:t>
      </w:r>
    </w:p>
    <w:p w14:paraId="7D0D155A"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CAPACIDAD E IDONEIDAD – LÍMITE FÁCTICO </w:t>
      </w:r>
      <w:r w:rsidRPr="007E075F">
        <w:rPr>
          <w:rFonts w:ascii="Verdana" w:hAnsi="Verdana"/>
          <w:sz w:val="22"/>
          <w:szCs w:val="22"/>
        </w:rPr>
        <w:t xml:space="preserve">Aunque la figura es legal, la única limitante real no es normativa, sino fáctica y operativa. </w:t>
      </w:r>
      <w:r w:rsidRPr="007E075F">
        <w:rPr>
          <w:rStyle w:val="citation-180"/>
          <w:rFonts w:ascii="Verdana" w:hAnsi="Verdana"/>
          <w:sz w:val="22"/>
          <w:szCs w:val="22"/>
        </w:rPr>
        <w:t>El contratista debe garantizar que cuenta con la capacidad técnica para ejecutar cabalmente todos los objetos contractuales sin que uno interfiera con el otro</w:t>
      </w:r>
      <w:r w:rsidRPr="007E075F">
        <w:rPr>
          <w:rFonts w:ascii="Verdana" w:hAnsi="Verdana"/>
          <w:sz w:val="22"/>
          <w:szCs w:val="22"/>
        </w:rPr>
        <w:t xml:space="preserve">. </w:t>
      </w:r>
      <w:r w:rsidRPr="007E075F">
        <w:rPr>
          <w:rStyle w:val="citation-179"/>
          <w:rFonts w:ascii="Verdana" w:hAnsi="Verdana"/>
          <w:sz w:val="22"/>
          <w:szCs w:val="22"/>
        </w:rPr>
        <w:t>La Entidad Estatal tiene el deber de verificar la idoneidad y capacidad del contratista para ejecutar el objeto, analizando si la simultaneidad afecta el cumplimiento o genera conflictos de interés</w:t>
      </w:r>
      <w:r w:rsidRPr="007E075F">
        <w:rPr>
          <w:rFonts w:ascii="Verdana" w:hAnsi="Verdana"/>
          <w:sz w:val="22"/>
          <w:szCs w:val="22"/>
        </w:rPr>
        <w:t>.</w:t>
      </w:r>
    </w:p>
    <w:p w14:paraId="7F152CBD" w14:textId="77777777" w:rsidR="007E075F" w:rsidRPr="007E075F" w:rsidRDefault="007E075F" w:rsidP="006B714E">
      <w:pPr>
        <w:pStyle w:val="Textoindependiente"/>
        <w:spacing w:before="1"/>
        <w:rPr>
          <w:lang w:val="es-CO"/>
        </w:rPr>
      </w:pPr>
    </w:p>
    <w:p w14:paraId="5A0EECB1" w14:textId="77777777" w:rsidR="007E075F" w:rsidRDefault="007E075F" w:rsidP="006B714E">
      <w:pPr>
        <w:pStyle w:val="Textoindependiente"/>
        <w:spacing w:before="1"/>
      </w:pPr>
    </w:p>
    <w:p w14:paraId="1F3CFB1F" w14:textId="77777777" w:rsidR="007E075F" w:rsidRDefault="007E075F" w:rsidP="006B714E">
      <w:pPr>
        <w:pStyle w:val="Textoindependiente"/>
        <w:spacing w:before="1"/>
      </w:pPr>
    </w:p>
    <w:p w14:paraId="58736444" w14:textId="77777777" w:rsidR="007E075F" w:rsidRDefault="007E075F" w:rsidP="006B714E">
      <w:pPr>
        <w:pStyle w:val="Textoindependiente"/>
        <w:spacing w:before="1"/>
      </w:pPr>
    </w:p>
    <w:p w14:paraId="1EA8E947" w14:textId="77777777" w:rsidR="007E075F" w:rsidRDefault="007E075F" w:rsidP="006B714E">
      <w:pPr>
        <w:pStyle w:val="Textoindependiente"/>
        <w:spacing w:before="1"/>
      </w:pPr>
    </w:p>
    <w:p w14:paraId="0C0ABC19" w14:textId="77777777" w:rsidR="007E075F" w:rsidRDefault="007E075F" w:rsidP="006B714E">
      <w:pPr>
        <w:pStyle w:val="Textoindependiente"/>
        <w:spacing w:before="1"/>
      </w:pPr>
    </w:p>
    <w:p w14:paraId="05E549C3" w14:textId="77777777" w:rsidR="007E075F" w:rsidRDefault="007E075F" w:rsidP="006B714E">
      <w:pPr>
        <w:pStyle w:val="Textoindependiente"/>
        <w:spacing w:before="1"/>
      </w:pPr>
    </w:p>
    <w:p w14:paraId="13B9A5E8" w14:textId="77777777" w:rsidR="007E075F" w:rsidRDefault="007E075F" w:rsidP="006B714E">
      <w:pPr>
        <w:pStyle w:val="Textoindependiente"/>
        <w:spacing w:before="1"/>
      </w:pPr>
    </w:p>
    <w:p w14:paraId="30ED0663" w14:textId="77777777" w:rsidR="007E075F" w:rsidRDefault="007E075F" w:rsidP="006B714E">
      <w:pPr>
        <w:pStyle w:val="Textoindependiente"/>
        <w:spacing w:before="1"/>
      </w:pPr>
    </w:p>
    <w:p w14:paraId="6F8E5298" w14:textId="77777777" w:rsidR="007E075F" w:rsidRDefault="007E075F" w:rsidP="006B714E">
      <w:pPr>
        <w:pStyle w:val="Textoindependiente"/>
        <w:spacing w:before="1"/>
      </w:pPr>
    </w:p>
    <w:p w14:paraId="1CF1B95D" w14:textId="77777777" w:rsidR="007E075F" w:rsidRDefault="007E075F" w:rsidP="006B714E">
      <w:pPr>
        <w:pStyle w:val="Textoindependiente"/>
        <w:spacing w:before="1"/>
      </w:pPr>
    </w:p>
    <w:p w14:paraId="21EA4AC2" w14:textId="77777777" w:rsidR="007E075F" w:rsidRDefault="007E075F" w:rsidP="006B714E">
      <w:pPr>
        <w:pStyle w:val="Textoindependiente"/>
        <w:spacing w:before="1"/>
      </w:pPr>
    </w:p>
    <w:p w14:paraId="0056CBFB" w14:textId="77777777" w:rsidR="007E075F" w:rsidRDefault="007E075F" w:rsidP="006B714E">
      <w:pPr>
        <w:pStyle w:val="Textoindependiente"/>
        <w:spacing w:before="1"/>
      </w:pPr>
    </w:p>
    <w:p w14:paraId="429C2932" w14:textId="77777777" w:rsidR="007E075F" w:rsidRDefault="007E075F" w:rsidP="006B714E">
      <w:pPr>
        <w:pStyle w:val="Textoindependiente"/>
        <w:spacing w:before="1"/>
      </w:pPr>
    </w:p>
    <w:p w14:paraId="1468C46D" w14:textId="1CDC1847" w:rsidR="00C15139" w:rsidRPr="0024624F" w:rsidRDefault="006B714E" w:rsidP="006B714E">
      <w:pPr>
        <w:pStyle w:val="Textoindependiente"/>
        <w:spacing w:before="1"/>
      </w:pPr>
      <w:r>
        <w:rPr>
          <w:noProof/>
        </w:rPr>
        <w:drawing>
          <wp:anchor distT="0" distB="0" distL="0" distR="0" simplePos="0" relativeHeight="251659264" behindDoc="0" locked="0" layoutInCell="1" allowOverlap="1" wp14:anchorId="5B36EE65" wp14:editId="65646F75">
            <wp:simplePos x="0" y="0"/>
            <wp:positionH relativeFrom="page">
              <wp:posOffset>4291965</wp:posOffset>
            </wp:positionH>
            <wp:positionV relativeFrom="paragraph">
              <wp:posOffset>-1250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8"/>
        </w:rPr>
        <w:t xml:space="preserve"> </w:t>
      </w:r>
      <w:r>
        <w:t>D.C.,</w:t>
      </w:r>
      <w:r>
        <w:rPr>
          <w:spacing w:val="-1"/>
        </w:rPr>
        <w:t xml:space="preserve"> </w:t>
      </w:r>
      <w:r>
        <w:t>19</w:t>
      </w:r>
      <w:r>
        <w:rPr>
          <w:spacing w:val="-4"/>
        </w:rPr>
        <w:t xml:space="preserve"> </w:t>
      </w:r>
      <w:r>
        <w:t>noviembre</w:t>
      </w:r>
      <w:r>
        <w:rPr>
          <w:spacing w:val="-6"/>
        </w:rPr>
        <w:t xml:space="preserve"> </w:t>
      </w:r>
      <w:r>
        <w:rPr>
          <w:spacing w:val="-4"/>
        </w:rPr>
        <w:t>2025</w:t>
      </w:r>
      <w:r w:rsidR="00C15139" w:rsidRPr="0024624F">
        <w:tab/>
      </w:r>
    </w:p>
    <w:p w14:paraId="620BFC58" w14:textId="77777777" w:rsidR="006B714E" w:rsidRDefault="006B714E" w:rsidP="00DF3FD9">
      <w:pPr>
        <w:spacing w:after="0" w:line="240" w:lineRule="auto"/>
        <w:jc w:val="both"/>
        <w:rPr>
          <w:rFonts w:ascii="Verdana" w:eastAsia="Calibri" w:hAnsi="Verdana" w:cs="Arial"/>
          <w:lang w:val="es-ES" w:eastAsia="es-ES"/>
        </w:rPr>
      </w:pPr>
    </w:p>
    <w:p w14:paraId="1FF66F1B" w14:textId="469F22EF" w:rsidR="00DF3FD9" w:rsidRDefault="00DF3FD9" w:rsidP="00DF3FD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C112551" w14:textId="77777777" w:rsidR="00DF3FD9" w:rsidRPr="003922EA" w:rsidRDefault="00DF3FD9" w:rsidP="00DF3FD9">
      <w:pPr>
        <w:spacing w:after="0" w:line="240" w:lineRule="auto"/>
        <w:jc w:val="both"/>
        <w:rPr>
          <w:rFonts w:ascii="Verdana" w:eastAsia="Calibri" w:hAnsi="Verdana" w:cs="Arial"/>
          <w:b/>
          <w:bCs/>
          <w:lang w:val="es-ES" w:eastAsia="es-ES"/>
        </w:rPr>
      </w:pPr>
      <w:r w:rsidRPr="003922EA">
        <w:rPr>
          <w:rFonts w:ascii="Verdana" w:eastAsia="Calibri" w:hAnsi="Verdana" w:cs="Arial"/>
          <w:b/>
          <w:bCs/>
          <w:lang w:val="es-ES" w:eastAsia="es-ES"/>
        </w:rPr>
        <w:t xml:space="preserve">Anónimo </w:t>
      </w:r>
    </w:p>
    <w:p w14:paraId="48D16B58" w14:textId="77777777" w:rsidR="00DF3FD9" w:rsidRPr="003922EA" w:rsidRDefault="00DF3FD9" w:rsidP="00DF3FD9">
      <w:pPr>
        <w:spacing w:after="0" w:line="240" w:lineRule="auto"/>
        <w:jc w:val="both"/>
        <w:rPr>
          <w:rFonts w:ascii="Verdana" w:eastAsia="Times New Roman" w:hAnsi="Verdana" w:cs="Calibri"/>
          <w:color w:val="1F4E78"/>
          <w:u w:val="single"/>
          <w:lang w:eastAsia="es-MX"/>
        </w:rPr>
      </w:pPr>
      <w:r w:rsidRPr="003922EA">
        <w:rPr>
          <w:rFonts w:ascii="Verdana" w:eastAsia="Times New Roman" w:hAnsi="Verdana" w:cs="Calibri"/>
          <w:color w:val="1F4E78"/>
          <w:u w:val="single"/>
          <w:lang w:eastAsia="es-MX"/>
        </w:rPr>
        <w:t>abogadodaviddurancarvajal@gmail.com</w:t>
      </w:r>
    </w:p>
    <w:p w14:paraId="250FDD6C" w14:textId="77777777" w:rsidR="00DF3FD9" w:rsidRDefault="00DF3FD9" w:rsidP="00DF3FD9">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Bogotá, D.C </w:t>
      </w:r>
    </w:p>
    <w:p w14:paraId="6CAE3287" w14:textId="77777777" w:rsidR="00DF3FD9" w:rsidRPr="003922EA" w:rsidRDefault="00DF3FD9" w:rsidP="00DF3FD9">
      <w:pPr>
        <w:spacing w:after="0" w:line="240" w:lineRule="auto"/>
        <w:jc w:val="both"/>
        <w:rPr>
          <w:rFonts w:ascii="Verdana" w:eastAsia="Calibri" w:hAnsi="Verdana" w:cs="Arial"/>
          <w:lang w:val="es-ES" w:eastAsia="es-ES"/>
        </w:rPr>
      </w:pPr>
    </w:p>
    <w:p w14:paraId="71D54B05" w14:textId="77777777" w:rsidR="00DF3FD9" w:rsidRPr="00593A5F" w:rsidRDefault="00DF3FD9" w:rsidP="00DF3FD9">
      <w:pPr>
        <w:spacing w:after="0" w:line="240" w:lineRule="auto"/>
        <w:rPr>
          <w:rFonts w:ascii="Verdana" w:eastAsia="Calibri" w:hAnsi="Verdana" w:cs="Arial"/>
          <w:b/>
          <w:bCs/>
          <w:color w:val="000000"/>
          <w:lang w:val="es-ES_tradnl" w:eastAsia="es-ES_tradnl"/>
        </w:rPr>
      </w:pPr>
    </w:p>
    <w:p w14:paraId="1EABE0E6" w14:textId="77777777" w:rsidR="00DF3FD9" w:rsidRPr="00593A5F" w:rsidRDefault="00DF3FD9" w:rsidP="00DF3FD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3FD9" w:rsidRPr="00593A5F" w14:paraId="7C549713" w14:textId="77777777" w:rsidTr="000A5ACE">
        <w:trPr>
          <w:trHeight w:val="884"/>
        </w:trPr>
        <w:tc>
          <w:tcPr>
            <w:tcW w:w="2689" w:type="dxa"/>
          </w:tcPr>
          <w:p w14:paraId="42DFA88D" w14:textId="77777777" w:rsidR="00DF3FD9" w:rsidRPr="00C00976" w:rsidRDefault="00DF3FD9" w:rsidP="000A5ACE">
            <w:pPr>
              <w:jc w:val="both"/>
              <w:rPr>
                <w:rFonts w:ascii="Verdana" w:eastAsia="Calibri" w:hAnsi="Verdana" w:cs="Arial"/>
                <w:b/>
                <w:bCs/>
                <w:color w:val="7030A0"/>
                <w:lang w:val="es-ES_tradnl" w:eastAsia="es-ES_tradnl"/>
              </w:rPr>
            </w:pPr>
          </w:p>
        </w:tc>
        <w:tc>
          <w:tcPr>
            <w:tcW w:w="6100" w:type="dxa"/>
          </w:tcPr>
          <w:p w14:paraId="195210A0" w14:textId="77777777" w:rsidR="00DF3FD9" w:rsidRPr="00C00976" w:rsidRDefault="00DF3FD9" w:rsidP="000A5ACE">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1467</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Pr>
                <w:rFonts w:ascii="Verdana" w:eastAsia="Calibri" w:hAnsi="Verdana" w:cs="Arial"/>
                <w:b/>
                <w:bCs/>
                <w:lang w:val="es-ES" w:eastAsia="es-ES"/>
              </w:rPr>
              <w:t>e 2025</w:t>
            </w:r>
          </w:p>
        </w:tc>
      </w:tr>
      <w:tr w:rsidR="00DF3FD9" w:rsidRPr="00593A5F" w14:paraId="5DB5D8E2" w14:textId="77777777" w:rsidTr="000A5ACE">
        <w:trPr>
          <w:trHeight w:val="884"/>
        </w:trPr>
        <w:tc>
          <w:tcPr>
            <w:tcW w:w="2689" w:type="dxa"/>
          </w:tcPr>
          <w:p w14:paraId="5434A2A5" w14:textId="77777777" w:rsidR="00DF3FD9" w:rsidRPr="00737579" w:rsidRDefault="00DF3FD9" w:rsidP="000A5ACE">
            <w:pPr>
              <w:jc w:val="both"/>
              <w:rPr>
                <w:rFonts w:ascii="Verdana" w:eastAsia="Calibri" w:hAnsi="Verdana" w:cs="Arial"/>
                <w:b/>
                <w:color w:val="000000"/>
                <w:lang w:val="es-ES_tradnl" w:eastAsia="es-ES_tradnl"/>
              </w:rPr>
            </w:pPr>
            <w:r w:rsidRPr="00737579">
              <w:rPr>
                <w:rFonts w:ascii="Verdana" w:eastAsia="Calibri" w:hAnsi="Verdana" w:cs="Arial"/>
                <w:b/>
                <w:color w:val="000000"/>
                <w:lang w:val="es-ES_tradnl" w:eastAsia="es-ES_tradnl"/>
              </w:rPr>
              <w:t xml:space="preserve">Temas:                   </w:t>
            </w:r>
          </w:p>
        </w:tc>
        <w:tc>
          <w:tcPr>
            <w:tcW w:w="6100" w:type="dxa"/>
          </w:tcPr>
          <w:p w14:paraId="02507F9E" w14:textId="77777777" w:rsidR="00DF3FD9" w:rsidRDefault="00DF3FD9" w:rsidP="000A5ACE">
            <w:pPr>
              <w:spacing w:line="276" w:lineRule="auto"/>
              <w:jc w:val="both"/>
              <w:rPr>
                <w:rFonts w:ascii="Verdana" w:hAnsi="Verdana"/>
                <w:bCs/>
              </w:rPr>
            </w:pPr>
            <w:r w:rsidRPr="00737579">
              <w:rPr>
                <w:rFonts w:ascii="Verdana" w:hAnsi="Verdana"/>
                <w:bCs/>
              </w:rPr>
              <w:t>CONTRATO DE PRESTACIÓN DE SERVICIOS – Régimen de Inhabilidades e Incompatibilidades – Inexistencia de prohibición por simultaneidad / CONTRATO DE PRESTACIÓN DE SERVICIOS PROFESIONALES – Idoneidad y experiencia / EJECUCIÓN SIMULTÁNEA DE CONTRATOS – Capacidad de cumplimiento.</w:t>
            </w:r>
          </w:p>
          <w:p w14:paraId="653C848C" w14:textId="77777777" w:rsidR="00DF3FD9" w:rsidRPr="00737579" w:rsidRDefault="00DF3FD9" w:rsidP="000A5ACE">
            <w:pPr>
              <w:spacing w:line="276" w:lineRule="auto"/>
              <w:jc w:val="both"/>
              <w:rPr>
                <w:rFonts w:ascii="Verdana" w:eastAsia="Calibri" w:hAnsi="Verdana" w:cs="Arial"/>
                <w:bCs/>
                <w:lang w:val="es-ES" w:eastAsia="es-ES"/>
              </w:rPr>
            </w:pPr>
          </w:p>
        </w:tc>
      </w:tr>
      <w:tr w:rsidR="00DF3FD9" w:rsidRPr="00593A5F" w14:paraId="099713CA" w14:textId="77777777" w:rsidTr="000A5ACE">
        <w:tc>
          <w:tcPr>
            <w:tcW w:w="2689" w:type="dxa"/>
          </w:tcPr>
          <w:p w14:paraId="244E47C5" w14:textId="77777777" w:rsidR="00DF3FD9" w:rsidRPr="003922EA" w:rsidRDefault="00DF3FD9" w:rsidP="000A5ACE">
            <w:pPr>
              <w:jc w:val="both"/>
              <w:rPr>
                <w:rFonts w:ascii="Verdana" w:eastAsia="Calibri" w:hAnsi="Verdana" w:cs="Arial"/>
                <w:b/>
                <w:color w:val="000000" w:themeColor="text1"/>
                <w:lang w:val="es-ES_tradnl" w:eastAsia="es-ES_tradnl"/>
              </w:rPr>
            </w:pPr>
            <w:r w:rsidRPr="003922EA">
              <w:rPr>
                <w:rFonts w:ascii="Verdana" w:eastAsia="Calibri" w:hAnsi="Verdana" w:cs="Arial"/>
                <w:b/>
                <w:color w:val="000000" w:themeColor="text1"/>
                <w:lang w:val="es-ES_tradnl" w:eastAsia="es-ES_tradnl"/>
              </w:rPr>
              <w:t>Radicación:</w:t>
            </w:r>
            <w:r w:rsidRPr="003922EA">
              <w:rPr>
                <w:rFonts w:ascii="Verdana" w:eastAsia="Calibri" w:hAnsi="Verdana" w:cs="Arial"/>
                <w:color w:val="000000" w:themeColor="text1"/>
                <w:lang w:val="es-ES_tradnl" w:eastAsia="es-ES_tradnl"/>
              </w:rPr>
              <w:t xml:space="preserve">               </w:t>
            </w:r>
          </w:p>
        </w:tc>
        <w:tc>
          <w:tcPr>
            <w:tcW w:w="6100" w:type="dxa"/>
          </w:tcPr>
          <w:p w14:paraId="6A241918" w14:textId="77777777" w:rsidR="00DF3FD9" w:rsidRPr="0035673F" w:rsidRDefault="00DF3FD9" w:rsidP="000A5ACE">
            <w:pPr>
              <w:jc w:val="both"/>
              <w:rPr>
                <w:rFonts w:ascii="Verdana" w:eastAsia="Calibri" w:hAnsi="Verdana" w:cs="Arial"/>
                <w:color w:val="000000" w:themeColor="text1"/>
                <w:lang w:val="es-ES_tradnl" w:eastAsia="es-ES_tradnl"/>
              </w:rPr>
            </w:pPr>
            <w:r w:rsidRPr="0035673F">
              <w:rPr>
                <w:rFonts w:ascii="Verdana" w:eastAsia="Calibri" w:hAnsi="Verdana" w:cs="Arial"/>
                <w:color w:val="000000" w:themeColor="text1"/>
                <w:lang w:val="es-ES_tradnl" w:eastAsia="es-ES_tradnl"/>
              </w:rPr>
              <w:t xml:space="preserve">Respuesta a consulta con radicado No. </w:t>
            </w:r>
            <w:r w:rsidRPr="0035673F">
              <w:rPr>
                <w:rFonts w:ascii="Verdana" w:hAnsi="Verdana" w:cs="Calibri"/>
                <w:color w:val="000000" w:themeColor="text1"/>
              </w:rPr>
              <w:t xml:space="preserve">1_2025_10_08_011240, acumulada con el radicado No. </w:t>
            </w:r>
            <w:r w:rsidRPr="0035673F">
              <w:rPr>
                <w:rFonts w:ascii="Verdana" w:hAnsi="Verdana"/>
              </w:rPr>
              <w:t>1_2025_10_08_011242.</w:t>
            </w:r>
          </w:p>
          <w:p w14:paraId="05E3A755" w14:textId="77777777" w:rsidR="00DF3FD9" w:rsidRPr="003922EA" w:rsidRDefault="00DF3FD9" w:rsidP="000A5ACE">
            <w:pPr>
              <w:jc w:val="both"/>
              <w:rPr>
                <w:rFonts w:ascii="Verdana" w:eastAsia="Calibri" w:hAnsi="Verdana" w:cs="Arial"/>
                <w:color w:val="000000" w:themeColor="text1"/>
                <w:lang w:val="es-ES_tradnl" w:eastAsia="es-ES_tradnl"/>
              </w:rPr>
            </w:pPr>
          </w:p>
        </w:tc>
      </w:tr>
    </w:tbl>
    <w:p w14:paraId="1AC86F5E" w14:textId="77777777" w:rsidR="00DF3FD9" w:rsidRPr="00593A5F" w:rsidRDefault="00DF3FD9" w:rsidP="00DF3FD9">
      <w:pPr>
        <w:spacing w:after="0" w:line="240" w:lineRule="auto"/>
        <w:jc w:val="both"/>
        <w:rPr>
          <w:rFonts w:ascii="Verdana" w:eastAsia="Calibri" w:hAnsi="Verdana" w:cs="Arial"/>
          <w:color w:val="000000"/>
          <w:lang w:val="es-ES_tradnl" w:eastAsia="es-ES_tradnl"/>
        </w:rPr>
      </w:pPr>
    </w:p>
    <w:p w14:paraId="166537E7" w14:textId="77777777" w:rsidR="00DF3FD9" w:rsidRPr="003922EA" w:rsidRDefault="00DF3FD9" w:rsidP="00DF3FD9">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 xml:space="preserve">Estimado señor Anónimo: </w:t>
      </w:r>
    </w:p>
    <w:p w14:paraId="441E48B9" w14:textId="77777777" w:rsidR="00DF3FD9" w:rsidRDefault="00DF3FD9" w:rsidP="00DF3FD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8D8B6B3" w14:textId="77777777" w:rsidR="00DF3FD9" w:rsidRDefault="00DF3FD9" w:rsidP="00DF3FD9">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En ejercicio de la competencia otorgada por los artículos 3, numeral 5º, y 11, numeral 8º, del Decreto Ley 4170 de 2011,</w:t>
      </w:r>
      <w:r w:rsidRPr="003922EA">
        <w:rPr>
          <w:rFonts w:ascii="Verdana" w:eastAsia="Arial MT" w:hAnsi="Verdana" w:cs="Arial MT"/>
          <w:color w:val="000000" w:themeColor="text1"/>
          <w:lang w:val="es-ES" w:eastAsia="es-ES"/>
        </w:rPr>
        <w:t xml:space="preserve"> </w:t>
      </w:r>
      <w:r w:rsidRPr="003922EA">
        <w:rPr>
          <w:rFonts w:ascii="Verdana" w:hAnsi="Verdana" w:cs="Arial"/>
          <w:color w:val="000000" w:themeColor="text1"/>
        </w:rPr>
        <w:t xml:space="preserve">así como lo establecido en el artículo 4 de la Resolución 1707 de 2018 expedida por esta Entidad, </w:t>
      </w:r>
      <w:r w:rsidRPr="003922EA">
        <w:rPr>
          <w:rFonts w:ascii="Verdana" w:eastAsia="Calibri" w:hAnsi="Verdana" w:cs="Arial"/>
          <w:color w:val="000000" w:themeColor="text1"/>
          <w:lang w:val="es-ES" w:eastAsia="es-ES"/>
        </w:rPr>
        <w:t xml:space="preserve">la Agencia Nacional de Contratación Pública – Colombia Compra Eficiente– responde su solicitud de consulta de fecha 08 de octubre de 2025, en la cual manifiesta lo siguiente: </w:t>
      </w:r>
    </w:p>
    <w:p w14:paraId="0CE5D489" w14:textId="77777777" w:rsidR="00DF3FD9" w:rsidRDefault="00DF3FD9" w:rsidP="00DF3FD9">
      <w:pPr>
        <w:spacing w:after="0" w:line="276" w:lineRule="auto"/>
        <w:jc w:val="both"/>
        <w:rPr>
          <w:rFonts w:ascii="Verdana" w:eastAsia="Calibri" w:hAnsi="Verdana" w:cs="Arial"/>
          <w:color w:val="000000" w:themeColor="text1"/>
          <w:lang w:val="es-ES" w:eastAsia="es-ES"/>
        </w:rPr>
      </w:pPr>
    </w:p>
    <w:p w14:paraId="681747A3" w14:textId="77777777" w:rsidR="00DF3FD9" w:rsidRPr="003922EA" w:rsidRDefault="00DF3FD9" w:rsidP="00DF3FD9">
      <w:pPr>
        <w:spacing w:after="0" w:line="276" w:lineRule="auto"/>
        <w:jc w:val="both"/>
        <w:rPr>
          <w:rFonts w:ascii="Verdana" w:eastAsia="Calibri" w:hAnsi="Verdana" w:cs="Arial"/>
          <w:color w:val="000000" w:themeColor="text1"/>
          <w:lang w:val="es-ES" w:eastAsia="es-ES"/>
        </w:rPr>
      </w:pPr>
    </w:p>
    <w:p w14:paraId="60241713"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 xml:space="preserve"> "1. Puede una persona natural suscribir más de un (1) contrato de prestación de servicios con la misma entidad al mismo tiempo ?</w:t>
      </w:r>
    </w:p>
    <w:p w14:paraId="63960C17"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2. Puede una persona jurídica suscribir más de un (1) contrato de prestación de servicios con la misma entidad al mismo tiempo ?</w:t>
      </w:r>
    </w:p>
    <w:p w14:paraId="0E5AC68B"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lastRenderedPageBreak/>
        <w:t>3. Puede una persona natural suscribir más de un (1) contrato de prestación de servicios con la misma entidad al mismo tiempo, específicamente con una Empresa Social del Estado</w:t>
      </w:r>
    </w:p>
    <w:p w14:paraId="4B7F8375"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 xml:space="preserve">4. Existe algún tipo de inhabilidad o incompatibilidad tanto para el </w:t>
      </w:r>
      <w:proofErr w:type="spellStart"/>
      <w:r w:rsidRPr="003922EA">
        <w:rPr>
          <w:rFonts w:ascii="Verdana" w:hAnsi="Verdana"/>
          <w:sz w:val="20"/>
          <w:szCs w:val="20"/>
        </w:rPr>
        <w:t>contrante</w:t>
      </w:r>
      <w:proofErr w:type="spellEnd"/>
      <w:r w:rsidRPr="003922EA">
        <w:rPr>
          <w:rFonts w:ascii="Verdana" w:hAnsi="Verdana"/>
          <w:sz w:val="20"/>
          <w:szCs w:val="20"/>
        </w:rPr>
        <w:t xml:space="preserve"> como para el contratista, </w:t>
      </w:r>
      <w:proofErr w:type="spellStart"/>
      <w:r w:rsidRPr="003922EA">
        <w:rPr>
          <w:rFonts w:ascii="Verdana" w:hAnsi="Verdana"/>
          <w:sz w:val="20"/>
          <w:szCs w:val="20"/>
        </w:rPr>
        <w:t>suscbrir</w:t>
      </w:r>
      <w:proofErr w:type="spellEnd"/>
      <w:r w:rsidRPr="003922EA">
        <w:rPr>
          <w:rFonts w:ascii="Verdana" w:hAnsi="Verdana"/>
          <w:sz w:val="20"/>
          <w:szCs w:val="20"/>
        </w:rPr>
        <w:t xml:space="preserve"> más de un (1) contrato de prestación de servicios con la misma entidad al mismo tiempo?".</w:t>
      </w:r>
    </w:p>
    <w:p w14:paraId="75E30BD9" w14:textId="77777777" w:rsidR="00DF3FD9" w:rsidRDefault="00DF3FD9" w:rsidP="00DF3FD9">
      <w:pPr>
        <w:spacing w:after="0" w:line="240" w:lineRule="auto"/>
        <w:ind w:left="709" w:right="709"/>
        <w:jc w:val="both"/>
        <w:rPr>
          <w:rFonts w:ascii="Verdana" w:eastAsia="Century Gothic" w:hAnsi="Verdana" w:cs="Century Gothic"/>
          <w:b/>
          <w:bCs/>
          <w:lang w:val="es-ES"/>
        </w:rPr>
      </w:pPr>
    </w:p>
    <w:p w14:paraId="224A76B3" w14:textId="77777777" w:rsidR="00DF3FD9" w:rsidRPr="00593A5F" w:rsidRDefault="00DF3FD9" w:rsidP="00DF3FD9">
      <w:pPr>
        <w:spacing w:after="0" w:line="240" w:lineRule="auto"/>
        <w:ind w:left="709" w:right="709"/>
        <w:jc w:val="both"/>
        <w:rPr>
          <w:rFonts w:ascii="Verdana" w:eastAsia="Century Gothic" w:hAnsi="Verdana" w:cs="Century Gothic"/>
          <w:b/>
          <w:bCs/>
          <w:lang w:val="es-ES"/>
        </w:rPr>
      </w:pPr>
    </w:p>
    <w:p w14:paraId="1DB8760A" w14:textId="77777777" w:rsidR="00DF3FD9" w:rsidRDefault="00DF3FD9" w:rsidP="00DF3FD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8951C46" w14:textId="77777777" w:rsidR="00DF3FD9" w:rsidRDefault="00DF3FD9" w:rsidP="00DF3FD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1B6A7D94" w14:textId="77777777" w:rsidR="00DF3FD9" w:rsidRPr="00593A5F" w:rsidRDefault="00DF3FD9" w:rsidP="00DF3FD9">
      <w:pPr>
        <w:spacing w:after="0" w:line="276" w:lineRule="auto"/>
        <w:ind w:firstLine="709"/>
        <w:jc w:val="both"/>
        <w:rPr>
          <w:rFonts w:ascii="Verdana" w:eastAsia="Calibri" w:hAnsi="Verdana" w:cs="Arial"/>
          <w:color w:val="000000"/>
          <w:lang w:val="es-ES" w:eastAsia="es-ES"/>
        </w:rPr>
      </w:pPr>
    </w:p>
    <w:p w14:paraId="5F604991"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BF31F5D" w14:textId="77777777" w:rsidR="00DF3FD9" w:rsidRPr="00593A5F" w:rsidRDefault="00DF3FD9" w:rsidP="00DF3FD9">
      <w:pPr>
        <w:tabs>
          <w:tab w:val="left" w:pos="426"/>
        </w:tabs>
        <w:spacing w:after="0" w:line="276" w:lineRule="auto"/>
        <w:jc w:val="both"/>
        <w:rPr>
          <w:rFonts w:ascii="Verdana" w:eastAsia="Century Gothic" w:hAnsi="Verdana" w:cs="Century Gothic"/>
          <w:lang w:val="es-ES"/>
        </w:rPr>
      </w:pPr>
    </w:p>
    <w:p w14:paraId="0906E48B" w14:textId="77777777" w:rsidR="00DF3FD9" w:rsidRPr="009F5D48" w:rsidRDefault="00DF3FD9" w:rsidP="00DF3FD9">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w:t>
      </w:r>
      <w:r>
        <w:rPr>
          <w:rFonts w:ascii="Verdana" w:eastAsia="Century Gothic" w:hAnsi="Verdana" w:cs="Century Gothic"/>
        </w:rPr>
        <w:t xml:space="preserve"> </w:t>
      </w:r>
      <w:r w:rsidRPr="1F9252E4">
        <w:rPr>
          <w:rFonts w:ascii="Verdana" w:eastAsia="Century Gothic" w:hAnsi="Verdana" w:cs="Century Gothic"/>
        </w:rPr>
        <w:t xml:space="preserve">jurídico: </w:t>
      </w:r>
      <w:r>
        <w:rPr>
          <w:rFonts w:ascii="Verdana" w:eastAsia="Century Gothic" w:hAnsi="Verdana" w:cs="Century Gothic"/>
        </w:rPr>
        <w:t>¿</w:t>
      </w:r>
      <w:r w:rsidRPr="009F5D48">
        <w:rPr>
          <w:rFonts w:ascii="Verdana" w:eastAsia="Century Gothic" w:hAnsi="Verdana" w:cs="Century Gothic"/>
        </w:rPr>
        <w:t>Existe alguna inhabilidad o incompatibilidad para</w:t>
      </w:r>
      <w:r>
        <w:rPr>
          <w:rFonts w:ascii="Verdana" w:eastAsia="Century Gothic" w:hAnsi="Verdana" w:cs="Century Gothic"/>
        </w:rPr>
        <w:t xml:space="preserve"> que una persona natural o jurídica </w:t>
      </w:r>
      <w:r w:rsidRPr="009F5D48">
        <w:rPr>
          <w:rFonts w:ascii="Verdana" w:eastAsia="Century Gothic" w:hAnsi="Verdana" w:cs="Century Gothic"/>
        </w:rPr>
        <w:t>celebr</w:t>
      </w:r>
      <w:r>
        <w:rPr>
          <w:rFonts w:ascii="Verdana" w:eastAsia="Century Gothic" w:hAnsi="Verdana" w:cs="Century Gothic"/>
        </w:rPr>
        <w:t>e</w:t>
      </w:r>
      <w:r w:rsidRPr="009F5D48">
        <w:rPr>
          <w:rFonts w:ascii="Verdana" w:eastAsia="Century Gothic" w:hAnsi="Verdana" w:cs="Century Gothic"/>
        </w:rPr>
        <w:t xml:space="preserve"> de forma simultánea </w:t>
      </w:r>
      <w:r>
        <w:rPr>
          <w:rFonts w:ascii="Verdana" w:eastAsia="Century Gothic" w:hAnsi="Verdana" w:cs="Century Gothic"/>
        </w:rPr>
        <w:t xml:space="preserve">varios </w:t>
      </w:r>
      <w:r w:rsidRPr="009F5D48">
        <w:rPr>
          <w:rFonts w:ascii="Verdana" w:eastAsia="Century Gothic" w:hAnsi="Verdana" w:cs="Century Gothic"/>
        </w:rPr>
        <w:t>contrato</w:t>
      </w:r>
      <w:r>
        <w:rPr>
          <w:rFonts w:ascii="Verdana" w:eastAsia="Century Gothic" w:hAnsi="Verdana" w:cs="Century Gothic"/>
        </w:rPr>
        <w:t>s</w:t>
      </w:r>
      <w:r w:rsidRPr="009F5D48">
        <w:rPr>
          <w:rFonts w:ascii="Verdana" w:eastAsia="Century Gothic" w:hAnsi="Verdana" w:cs="Century Gothic"/>
        </w:rPr>
        <w:t xml:space="preserve"> de prestación de servicios</w:t>
      </w:r>
      <w:r>
        <w:rPr>
          <w:rFonts w:ascii="Verdana" w:eastAsia="Times New Roman" w:hAnsi="Verdana" w:cs="Times New Roman"/>
          <w:lang w:eastAsia="es-MX"/>
        </w:rPr>
        <w:t xml:space="preserve"> en una misma entidad pública o en una</w:t>
      </w:r>
      <w:r w:rsidRPr="00236674">
        <w:rPr>
          <w:rFonts w:ascii="Verdana" w:eastAsia="Times New Roman" w:hAnsi="Verdana" w:cs="Times New Roman"/>
          <w:lang w:eastAsia="es-MX"/>
        </w:rPr>
        <w:t xml:space="preserve"> </w:t>
      </w:r>
      <w:r>
        <w:rPr>
          <w:rFonts w:ascii="Verdana" w:eastAsia="Times New Roman" w:hAnsi="Verdana" w:cs="Times New Roman"/>
          <w:lang w:eastAsia="es-MX"/>
        </w:rPr>
        <w:t>e</w:t>
      </w:r>
      <w:r w:rsidRPr="00236674">
        <w:rPr>
          <w:rFonts w:ascii="Verdana" w:eastAsia="Times New Roman" w:hAnsi="Verdana" w:cs="Times New Roman"/>
          <w:lang w:eastAsia="es-MX"/>
        </w:rPr>
        <w:t>mpresa Social</w:t>
      </w:r>
      <w:r>
        <w:rPr>
          <w:rFonts w:ascii="Verdana" w:eastAsia="Times New Roman" w:hAnsi="Verdana" w:cs="Times New Roman"/>
          <w:lang w:eastAsia="es-MX"/>
        </w:rPr>
        <w:t xml:space="preserve"> </w:t>
      </w:r>
      <w:r w:rsidRPr="00236674">
        <w:rPr>
          <w:rFonts w:ascii="Verdana" w:eastAsia="Times New Roman" w:hAnsi="Verdana" w:cs="Times New Roman"/>
          <w:lang w:eastAsia="es-MX"/>
        </w:rPr>
        <w:t>del Estado</w:t>
      </w:r>
      <w:r>
        <w:rPr>
          <w:rFonts w:ascii="Verdana" w:eastAsia="Century Gothic" w:hAnsi="Verdana" w:cs="Century Gothic"/>
        </w:rPr>
        <w:t>?</w:t>
      </w:r>
    </w:p>
    <w:p w14:paraId="36E84AFF" w14:textId="77777777" w:rsidR="00DF3FD9" w:rsidRPr="00593A5F" w:rsidRDefault="00DF3FD9" w:rsidP="00DF3FD9">
      <w:pPr>
        <w:spacing w:after="0" w:line="276" w:lineRule="auto"/>
        <w:jc w:val="both"/>
        <w:rPr>
          <w:rFonts w:ascii="Verdana" w:eastAsia="Calibri" w:hAnsi="Verdana" w:cs="Arial"/>
          <w:color w:val="7030A0"/>
          <w:lang w:val="es-ES"/>
        </w:rPr>
      </w:pPr>
    </w:p>
    <w:p w14:paraId="0891DE40"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F07E6E9" w14:textId="77777777" w:rsidR="00DF3FD9" w:rsidRPr="00593A5F" w:rsidRDefault="00DF3FD9" w:rsidP="00DF3FD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3FD9" w:rsidRPr="00593A5F" w14:paraId="3434562D" w14:textId="77777777" w:rsidTr="000A5ACE">
        <w:tc>
          <w:tcPr>
            <w:tcW w:w="8828" w:type="dxa"/>
          </w:tcPr>
          <w:p w14:paraId="4D32522F" w14:textId="77777777" w:rsidR="00DF3FD9" w:rsidRDefault="00DF3FD9" w:rsidP="000A5ACE">
            <w:pPr>
              <w:spacing w:before="100" w:beforeAutospacing="1" w:after="100" w:afterAutospacing="1" w:line="276" w:lineRule="auto"/>
              <w:jc w:val="both"/>
              <w:rPr>
                <w:rFonts w:ascii="Verdana" w:eastAsia="Times New Roman" w:hAnsi="Verdana" w:cs="Times New Roman"/>
                <w:lang w:eastAsia="es-MX"/>
              </w:rPr>
            </w:pPr>
            <w:r w:rsidRPr="00236674">
              <w:rPr>
                <w:rFonts w:ascii="Verdana" w:eastAsia="Times New Roman" w:hAnsi="Verdana" w:cs="Times New Roman"/>
                <w:lang w:eastAsia="es-MX"/>
              </w:rPr>
              <w:lastRenderedPageBreak/>
              <w:t>Para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1E87B13D" w14:textId="77777777" w:rsidR="00DF3FD9"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56A734AB" w14:textId="77777777" w:rsidR="00DF3FD9" w:rsidRPr="00236674"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De conformidad con lo anterior, y dando respuesta unificada a los interrogantes formulados, se concluye que es jurídicamente viable que tanto personas naturales como jurídicas suscriban más de un contrato de prestación de servicios con la misma entidad al mismo tiempo, situación que es extensiva a las Empresas Sociales del Estado (ESE), dado que en su régimen contractual, predominantemente privado pero regido por principios de la función administrativa, tampoco existe dicha prohibición. Por ende, la hipótesis de la doble o múltiple contratación no se enmarca en las inhabilidades e incompatibilidades taxativamente listadas en el Estatuto de Contratación.</w:t>
            </w:r>
          </w:p>
          <w:p w14:paraId="679C7735" w14:textId="5C1A6627" w:rsidR="00DF3FD9"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lastRenderedPageBreak/>
              <w:t xml:space="preserve">        </w:t>
            </w:r>
            <w:r w:rsidRPr="00236674">
              <w:rPr>
                <w:rFonts w:ascii="Verdana" w:eastAsia="Times New Roman" w:hAnsi="Verdana" w:cs="Times New Roman"/>
                <w:lang w:eastAsia="es-MX"/>
              </w:rPr>
              <w:t xml:space="preserve">No obstante, aunque la figura es legal, </w:t>
            </w:r>
            <w:r w:rsidR="42C75114" w:rsidRPr="77EDCC31">
              <w:rPr>
                <w:rFonts w:ascii="Verdana" w:eastAsia="Times New Roman" w:hAnsi="Verdana" w:cs="Times New Roman"/>
                <w:lang w:eastAsia="es-MX"/>
              </w:rPr>
              <w:t xml:space="preserve">es necesario verificar por parte de la entidad contratante si, dicha simultaneidad de </w:t>
            </w:r>
            <w:r w:rsidR="6555C07F" w:rsidRPr="77EDCC31">
              <w:rPr>
                <w:rFonts w:ascii="Verdana" w:eastAsia="Times New Roman" w:hAnsi="Verdana" w:cs="Times New Roman"/>
                <w:lang w:eastAsia="es-MX"/>
              </w:rPr>
              <w:t>contratos</w:t>
            </w:r>
            <w:r w:rsidR="42C75114" w:rsidRPr="77EDCC31">
              <w:rPr>
                <w:rFonts w:ascii="Verdana" w:eastAsia="Times New Roman" w:hAnsi="Verdana" w:cs="Times New Roman"/>
                <w:lang w:eastAsia="es-MX"/>
              </w:rPr>
              <w:t xml:space="preserve"> puede afectar </w:t>
            </w:r>
            <w:r w:rsidRPr="00236674">
              <w:rPr>
                <w:rFonts w:ascii="Verdana" w:eastAsia="Times New Roman" w:hAnsi="Verdana" w:cs="Times New Roman"/>
                <w:lang w:eastAsia="es-MX"/>
              </w:rPr>
              <w:t xml:space="preserve"> la capacidad  para el cumplimiento</w:t>
            </w:r>
            <w:r w:rsidR="73F84C4B" w:rsidRPr="77EDCC31">
              <w:rPr>
                <w:rFonts w:ascii="Verdana" w:eastAsia="Times New Roman" w:hAnsi="Verdana" w:cs="Times New Roman"/>
                <w:lang w:eastAsia="es-MX"/>
              </w:rPr>
              <w:t xml:space="preserve"> de las estipulaciones de cada vinculo </w:t>
            </w:r>
            <w:r w:rsidR="6139EFDC" w:rsidRPr="77EDCC31">
              <w:rPr>
                <w:rFonts w:ascii="Verdana" w:eastAsia="Times New Roman" w:hAnsi="Verdana" w:cs="Times New Roman"/>
                <w:lang w:eastAsia="es-MX"/>
              </w:rPr>
              <w:t>contractua</w:t>
            </w:r>
            <w:r w:rsidR="58CA7363" w:rsidRPr="77EDCC31">
              <w:rPr>
                <w:rFonts w:ascii="Verdana" w:eastAsia="Times New Roman" w:hAnsi="Verdana" w:cs="Times New Roman"/>
                <w:lang w:eastAsia="es-MX"/>
              </w:rPr>
              <w:t>l</w:t>
            </w:r>
            <w:r w:rsidR="73F84C4B" w:rsidRPr="77EDCC31">
              <w:rPr>
                <w:rFonts w:ascii="Verdana" w:eastAsia="Times New Roman" w:hAnsi="Verdana" w:cs="Times New Roman"/>
                <w:lang w:eastAsia="es-MX"/>
              </w:rPr>
              <w:t xml:space="preserve"> </w:t>
            </w:r>
            <w:r w:rsidR="159136B9" w:rsidRPr="77EDCC31">
              <w:rPr>
                <w:rFonts w:ascii="Verdana" w:eastAsia="Times New Roman" w:hAnsi="Verdana" w:cs="Times New Roman"/>
                <w:lang w:eastAsia="es-MX"/>
              </w:rPr>
              <w:t xml:space="preserve">y si eventualmente </w:t>
            </w:r>
            <w:r w:rsidR="537D06CF" w:rsidRPr="77EDCC31">
              <w:rPr>
                <w:rFonts w:ascii="Verdana" w:eastAsia="Times New Roman" w:hAnsi="Verdana" w:cs="Times New Roman"/>
                <w:lang w:eastAsia="es-MX"/>
              </w:rPr>
              <w:t>pueden</w:t>
            </w:r>
            <w:r w:rsidR="159136B9" w:rsidRPr="77EDCC31">
              <w:rPr>
                <w:rFonts w:ascii="Verdana" w:eastAsia="Times New Roman" w:hAnsi="Verdana" w:cs="Times New Roman"/>
                <w:lang w:eastAsia="es-MX"/>
              </w:rPr>
              <w:t xml:space="preserve"> </w:t>
            </w:r>
            <w:r w:rsidR="14611165" w:rsidRPr="77EDCC31">
              <w:rPr>
                <w:rFonts w:ascii="Verdana" w:eastAsia="Times New Roman" w:hAnsi="Verdana" w:cs="Times New Roman"/>
                <w:lang w:eastAsia="es-MX"/>
              </w:rPr>
              <w:t>existir</w:t>
            </w:r>
            <w:r w:rsidR="159136B9" w:rsidRPr="77EDCC31">
              <w:rPr>
                <w:rFonts w:ascii="Verdana" w:eastAsia="Times New Roman" w:hAnsi="Verdana" w:cs="Times New Roman"/>
                <w:lang w:eastAsia="es-MX"/>
              </w:rPr>
              <w:t xml:space="preserve"> situaciones de conflicto de </w:t>
            </w:r>
            <w:r w:rsidR="2B5FA8E9" w:rsidRPr="77EDCC31">
              <w:rPr>
                <w:rFonts w:ascii="Verdana" w:eastAsia="Times New Roman" w:hAnsi="Verdana" w:cs="Times New Roman"/>
                <w:lang w:eastAsia="es-MX"/>
              </w:rPr>
              <w:t>interés</w:t>
            </w:r>
            <w:r w:rsidR="159136B9" w:rsidRPr="77EDCC31">
              <w:rPr>
                <w:rFonts w:ascii="Verdana" w:eastAsia="Times New Roman" w:hAnsi="Verdana" w:cs="Times New Roman"/>
                <w:lang w:eastAsia="es-MX"/>
              </w:rPr>
              <w:t xml:space="preserve"> en el desarrollo de uno o </w:t>
            </w:r>
            <w:r w:rsidR="15E16A13" w:rsidRPr="77EDCC31">
              <w:rPr>
                <w:rFonts w:ascii="Verdana" w:eastAsia="Times New Roman" w:hAnsi="Verdana" w:cs="Times New Roman"/>
                <w:lang w:eastAsia="es-MX"/>
              </w:rPr>
              <w:t>más</w:t>
            </w:r>
            <w:r w:rsidR="159136B9" w:rsidRPr="77EDCC31">
              <w:rPr>
                <w:rFonts w:ascii="Verdana" w:eastAsia="Times New Roman" w:hAnsi="Verdana" w:cs="Times New Roman"/>
                <w:lang w:eastAsia="es-MX"/>
              </w:rPr>
              <w:t xml:space="preserve"> contratos que se </w:t>
            </w:r>
            <w:r w:rsidR="7E4C58F7" w:rsidRPr="77EDCC31">
              <w:rPr>
                <w:rFonts w:ascii="Verdana" w:eastAsia="Times New Roman" w:hAnsi="Verdana" w:cs="Times New Roman"/>
                <w:lang w:eastAsia="es-MX"/>
              </w:rPr>
              <w:t>ejecuten</w:t>
            </w:r>
            <w:r w:rsidR="159136B9" w:rsidRPr="77EDCC31">
              <w:rPr>
                <w:rFonts w:ascii="Verdana" w:eastAsia="Times New Roman" w:hAnsi="Verdana" w:cs="Times New Roman"/>
                <w:lang w:eastAsia="es-MX"/>
              </w:rPr>
              <w:t xml:space="preserve"> </w:t>
            </w:r>
            <w:r w:rsidR="51DFC675" w:rsidRPr="77EDCC31">
              <w:rPr>
                <w:rFonts w:ascii="Verdana" w:eastAsia="Times New Roman" w:hAnsi="Verdana" w:cs="Times New Roman"/>
                <w:lang w:eastAsia="es-MX"/>
              </w:rPr>
              <w:t>al</w:t>
            </w:r>
            <w:r w:rsidR="159136B9" w:rsidRPr="77EDCC31">
              <w:rPr>
                <w:rFonts w:ascii="Verdana" w:eastAsia="Times New Roman" w:hAnsi="Verdana" w:cs="Times New Roman"/>
                <w:lang w:eastAsia="es-MX"/>
              </w:rPr>
              <w:t xml:space="preserve"> </w:t>
            </w:r>
            <w:r w:rsidR="161DEDB1" w:rsidRPr="77EDCC31">
              <w:rPr>
                <w:rFonts w:ascii="Verdana" w:eastAsia="Times New Roman" w:hAnsi="Verdana" w:cs="Times New Roman"/>
                <w:lang w:eastAsia="es-MX"/>
              </w:rPr>
              <w:t>mismo</w:t>
            </w:r>
            <w:r w:rsidR="159136B9" w:rsidRPr="77EDCC31">
              <w:rPr>
                <w:rFonts w:ascii="Verdana" w:eastAsia="Times New Roman" w:hAnsi="Verdana" w:cs="Times New Roman"/>
                <w:lang w:eastAsia="es-MX"/>
              </w:rPr>
              <w:t xml:space="preserve"> tiempo</w:t>
            </w:r>
            <w:r w:rsidRPr="77EDCC31">
              <w:rPr>
                <w:rFonts w:ascii="Verdana" w:eastAsia="Times New Roman" w:hAnsi="Verdana" w:cs="Times New Roman"/>
                <w:lang w:eastAsia="es-MX"/>
              </w:rPr>
              <w:t>.</w:t>
            </w:r>
            <w:r w:rsidRPr="00236674">
              <w:rPr>
                <w:rFonts w:ascii="Verdana" w:eastAsia="Times New Roman" w:hAnsi="Verdana" w:cs="Times New Roman"/>
                <w:lang w:eastAsia="es-MX"/>
              </w:rPr>
              <w:t xml:space="preserve"> La única limitante real no es normativa, sino fáctica: el contratista debe garantizar que cuenta con la capacidad operativa, técnica  para ejecutar cabalmente todos los objetos contractuales sin que uno interfiera con el otro. </w:t>
            </w:r>
          </w:p>
          <w:p w14:paraId="78962C74" w14:textId="6B1FA6CD" w:rsidR="00DF3FD9" w:rsidRPr="00236674"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w:t>
            </w:r>
            <w:r w:rsidR="4C1110DF" w:rsidRPr="77EDCC31">
              <w:rPr>
                <w:rFonts w:ascii="Verdana" w:eastAsia="Times New Roman" w:hAnsi="Verdana" w:cs="Times New Roman"/>
                <w:lang w:eastAsia="es-MX"/>
              </w:rPr>
              <w:t xml:space="preserve">y ejecución </w:t>
            </w:r>
            <w:r w:rsidRPr="00236674">
              <w:rPr>
                <w:rFonts w:ascii="Verdana" w:eastAsia="Times New Roman" w:hAnsi="Verdana" w:cs="Times New Roman"/>
                <w:lang w:eastAsia="es-MX"/>
              </w:rPr>
              <w:t>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p>
        </w:tc>
      </w:tr>
    </w:tbl>
    <w:p w14:paraId="56DAD5BC" w14:textId="77777777" w:rsidR="00DF3FD9" w:rsidRPr="00593A5F" w:rsidRDefault="00DF3FD9" w:rsidP="00DF3FD9">
      <w:pPr>
        <w:tabs>
          <w:tab w:val="left" w:pos="142"/>
          <w:tab w:val="left" w:pos="284"/>
        </w:tabs>
        <w:spacing w:after="0" w:line="276" w:lineRule="auto"/>
        <w:jc w:val="both"/>
        <w:rPr>
          <w:rFonts w:ascii="Verdana" w:eastAsia="Century Gothic" w:hAnsi="Verdana" w:cs="Century Gothic"/>
          <w:b/>
          <w:bCs/>
          <w:lang w:val="es-ES"/>
        </w:rPr>
      </w:pPr>
    </w:p>
    <w:p w14:paraId="244681E3"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FF1AD38" w14:textId="77777777" w:rsidR="00DF3FD9" w:rsidRPr="00593A5F" w:rsidRDefault="00DF3FD9" w:rsidP="00DF3FD9">
      <w:pPr>
        <w:spacing w:after="0" w:line="276" w:lineRule="auto"/>
        <w:jc w:val="both"/>
        <w:rPr>
          <w:rFonts w:ascii="Verdana" w:eastAsia="Calibri" w:hAnsi="Verdana" w:cs="Arial"/>
          <w:color w:val="7030A0"/>
          <w:lang w:val="es-ES"/>
        </w:rPr>
      </w:pPr>
    </w:p>
    <w:p w14:paraId="358F0952" w14:textId="77777777" w:rsidR="00DF3FD9" w:rsidRDefault="00DF3FD9" w:rsidP="00DF3FD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B656FAC" w14:textId="77777777" w:rsidR="00DF3FD9" w:rsidRDefault="00DF3FD9" w:rsidP="00DF3FD9">
      <w:pPr>
        <w:spacing w:after="0" w:line="276" w:lineRule="auto"/>
        <w:jc w:val="both"/>
        <w:rPr>
          <w:rFonts w:ascii="Verdana" w:eastAsia="Calibri" w:hAnsi="Verdana" w:cs="Arial"/>
          <w:lang w:val="es-ES"/>
        </w:rPr>
      </w:pPr>
    </w:p>
    <w:p w14:paraId="0D79EE02" w14:textId="77777777" w:rsidR="00DF3FD9" w:rsidRPr="003053B5" w:rsidRDefault="00DF3FD9" w:rsidP="00DF3FD9">
      <w:pPr>
        <w:pStyle w:val="Prrafodelista"/>
        <w:numPr>
          <w:ilvl w:val="0"/>
          <w:numId w:val="19"/>
        </w:numPr>
        <w:spacing w:after="0" w:line="276" w:lineRule="auto"/>
        <w:jc w:val="both"/>
        <w:rPr>
          <w:rFonts w:ascii="Verdana" w:eastAsia="Calibri" w:hAnsi="Verdana" w:cs="Arial"/>
          <w:u w:val="single"/>
        </w:rPr>
      </w:pPr>
      <w:r w:rsidRPr="003053B5">
        <w:rPr>
          <w:rFonts w:ascii="Verdana" w:eastAsia="Calibri" w:hAnsi="Verdana" w:cs="Arial"/>
          <w:u w:val="single"/>
        </w:rPr>
        <w:t>Fundamento normativo y características del contrato de prestación de servicios</w:t>
      </w:r>
    </w:p>
    <w:p w14:paraId="19AC7202" w14:textId="77777777" w:rsidR="00DF3FD9" w:rsidRDefault="00DF3FD9" w:rsidP="00DF3FD9">
      <w:pPr>
        <w:widowControl w:val="0"/>
        <w:autoSpaceDE w:val="0"/>
        <w:autoSpaceDN w:val="0"/>
        <w:spacing w:after="0" w:line="276" w:lineRule="auto"/>
        <w:jc w:val="both"/>
        <w:rPr>
          <w:rFonts w:ascii="Verdana" w:eastAsia="Calibri" w:hAnsi="Verdana" w:cs="Arial"/>
        </w:rPr>
      </w:pPr>
    </w:p>
    <w:p w14:paraId="079E81CF" w14:textId="77777777" w:rsidR="00DF3FD9" w:rsidRPr="009F5D48" w:rsidRDefault="00DF3FD9" w:rsidP="00DF3FD9">
      <w:pPr>
        <w:widowControl w:val="0"/>
        <w:autoSpaceDE w:val="0"/>
        <w:autoSpaceDN w:val="0"/>
        <w:spacing w:after="0" w:line="276" w:lineRule="auto"/>
        <w:jc w:val="both"/>
        <w:rPr>
          <w:rFonts w:ascii="Verdana" w:eastAsia="Calibri" w:hAnsi="Verdana" w:cs="Arial"/>
          <w:lang w:val="es-ES"/>
        </w:rPr>
      </w:pPr>
      <w:r w:rsidRPr="009F5D48">
        <w:rPr>
          <w:rFonts w:ascii="Verdana" w:eastAsia="Calibri" w:hAnsi="Verdana" w:cs="Arial"/>
          <w:lang w:val="es-ES"/>
        </w:rPr>
        <w:t>Para empezar, el contrato de prestación de servicios es un contrato estatal típico que está regulado en el numeral 3 del artículo 32 de la Ley 80 de 1993:</w:t>
      </w:r>
    </w:p>
    <w:p w14:paraId="66E695D3" w14:textId="77777777" w:rsidR="00DF3FD9" w:rsidRPr="009F5D48" w:rsidRDefault="00DF3FD9" w:rsidP="00DF3FD9">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9F5D48">
        <w:rPr>
          <w:rFonts w:ascii="Verdana" w:eastAsia="Times New Roman" w:hAnsi="Verdana" w:cs="Open Sans"/>
          <w:u w:val="single"/>
          <w:lang w:eastAsia="es-CO"/>
        </w:rPr>
        <w:t>no puedan realizarse con personal de planta</w:t>
      </w:r>
      <w:r w:rsidRPr="009F5D48">
        <w:rPr>
          <w:rFonts w:ascii="Verdana" w:eastAsia="Times New Roman" w:hAnsi="Verdana" w:cs="Open Sans"/>
          <w:lang w:eastAsia="es-CO"/>
        </w:rPr>
        <w:t> o requieran conocimientos especializados.</w:t>
      </w:r>
    </w:p>
    <w:p w14:paraId="370E9F43" w14:textId="77777777" w:rsidR="00DF3FD9" w:rsidRPr="009F5D48" w:rsidRDefault="00DF3FD9" w:rsidP="00DF3FD9">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u w:val="single"/>
          <w:lang w:eastAsia="es-CO"/>
        </w:rPr>
        <w:lastRenderedPageBreak/>
        <w:t>En ningún caso</w:t>
      </w:r>
      <w:r w:rsidRPr="009F5D48">
        <w:rPr>
          <w:rFonts w:ascii="Verdana" w:eastAsia="Times New Roman" w:hAnsi="Verdana" w:cs="Open Sans"/>
          <w:lang w:eastAsia="es-CO"/>
        </w:rPr>
        <w:t> estos contratos</w:t>
      </w:r>
      <w:r w:rsidRPr="009F5D48">
        <w:rPr>
          <w:rFonts w:ascii="Verdana" w:eastAsia="Times New Roman" w:hAnsi="Verdana" w:cs="Open Sans"/>
          <w:u w:val="single"/>
          <w:lang w:eastAsia="es-CO"/>
        </w:rPr>
        <w:t> generan relación laboral ni prestaciones sociales</w:t>
      </w:r>
      <w:r w:rsidRPr="009F5D48">
        <w:rPr>
          <w:rFonts w:ascii="Verdana" w:eastAsia="Times New Roman" w:hAnsi="Verdana" w:cs="Open Sans"/>
          <w:lang w:eastAsia="es-CO"/>
        </w:rPr>
        <w:t> y se celebrarán por el término estrictamente indispensable.</w:t>
      </w:r>
    </w:p>
    <w:p w14:paraId="47009E7D" w14:textId="77777777" w:rsidR="00DF3FD9" w:rsidRPr="009F5D48" w:rsidRDefault="00DF3FD9" w:rsidP="00DF3FD9">
      <w:pPr>
        <w:widowControl w:val="0"/>
        <w:autoSpaceDE w:val="0"/>
        <w:autoSpaceDN w:val="0"/>
        <w:spacing w:after="0" w:line="276" w:lineRule="auto"/>
        <w:jc w:val="both"/>
        <w:rPr>
          <w:rFonts w:ascii="Verdana" w:eastAsia="Calibri" w:hAnsi="Verdana" w:cs="Arial"/>
        </w:rPr>
      </w:pPr>
      <w:r w:rsidRPr="009F5D48">
        <w:rPr>
          <w:rFonts w:ascii="Verdana" w:eastAsia="Calibri" w:hAnsi="Verdana" w:cs="Arial"/>
          <w:lang w:val="es-ES"/>
        </w:rPr>
        <w:t xml:space="preserve">Su modalidad de selección se encuentra establecida en el </w:t>
      </w:r>
      <w:r w:rsidRPr="009F5D48">
        <w:rPr>
          <w:rFonts w:ascii="Verdana" w:eastAsia="Calibri" w:hAnsi="Verdana" w:cs="Arial"/>
          <w:lang w:val="es-ES_tradnl"/>
        </w:rPr>
        <w:t xml:space="preserve">artículo 2, numeral 4º, literal h), de la Ley 1150 de 2007 como </w:t>
      </w:r>
      <w:r w:rsidRPr="009F5D48">
        <w:rPr>
          <w:rFonts w:ascii="Verdana" w:eastAsia="Calibri" w:hAnsi="Verdana" w:cs="Arial"/>
          <w:color w:val="000000" w:themeColor="text1"/>
          <w:lang w:val="es-ES_tradnl"/>
        </w:rPr>
        <w:t xml:space="preserve">contratación directa, y aquella es reglamentada en el </w:t>
      </w:r>
      <w:bookmarkStart w:id="1" w:name="_Hlk197360180"/>
      <w:r w:rsidRPr="009F5D48">
        <w:rPr>
          <w:rFonts w:ascii="Verdana" w:eastAsia="Calibri" w:hAnsi="Verdana" w:cs="Arial"/>
        </w:rPr>
        <w:t xml:space="preserve">artículo 2.2.1.2.1.4.9 </w:t>
      </w:r>
      <w:bookmarkEnd w:id="1"/>
      <w:r w:rsidRPr="009F5D48">
        <w:rPr>
          <w:rFonts w:ascii="Verdana" w:eastAsia="Calibri" w:hAnsi="Verdana" w:cs="Arial"/>
        </w:rPr>
        <w:t xml:space="preserve">del Decreto 1082 de 2015, del que se resalta </w:t>
      </w:r>
      <w:r w:rsidRPr="009F5D48">
        <w:rPr>
          <w:rFonts w:ascii="Verdana" w:hAnsi="Verdana" w:cs="Arial"/>
        </w:rPr>
        <w:t>la obligación de las entidades estatales de verificar la idoneidad de las personas con las que se celebrará este tipo de contratos</w:t>
      </w:r>
      <w:r w:rsidRPr="009F5D48">
        <w:rPr>
          <w:rFonts w:ascii="Verdana" w:eastAsia="Calibri" w:hAnsi="Verdana" w:cs="Arial"/>
        </w:rPr>
        <w:t>:</w:t>
      </w:r>
    </w:p>
    <w:p w14:paraId="7DCCF062" w14:textId="77777777" w:rsidR="00DF3FD9" w:rsidRPr="009F5D48" w:rsidRDefault="00DF3FD9" w:rsidP="77EDCC31">
      <w:pPr>
        <w:shd w:val="clear" w:color="auto" w:fill="FFFFFF" w:themeFill="background1"/>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 xml:space="preserve">Las Entidades Estatales pueden contratar bajo la modalidad de contratación directa la prestación de servicios profesionales y de apoyo a la gestión con la persona natural o jurídica </w:t>
      </w:r>
      <w:r w:rsidRPr="00966C8C">
        <w:rPr>
          <w:rFonts w:ascii="Verdana" w:eastAsia="Times New Roman" w:hAnsi="Verdana" w:cs="Times New Roman"/>
          <w:b/>
          <w:color w:val="333333"/>
          <w:u w:val="single"/>
          <w:lang w:eastAsia="es-CO"/>
        </w:rPr>
        <w:t>que esté en capacidad de ejecutar el objeto del contrato</w:t>
      </w:r>
      <w:r w:rsidRPr="009F5D48">
        <w:rPr>
          <w:rFonts w:ascii="Verdana" w:eastAsia="Times New Roman" w:hAnsi="Verdana" w:cs="Times New Roman"/>
          <w:color w:val="333333"/>
          <w:lang w:eastAsia="es-CO"/>
        </w:rPr>
        <w:t>,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A2ECAAD" w14:textId="77777777" w:rsidR="00DF3FD9" w:rsidRPr="009F5D48" w:rsidRDefault="00DF3FD9" w:rsidP="00DF3FD9">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022180E" w14:textId="77777777" w:rsidR="00DF3FD9" w:rsidRPr="009F5D48" w:rsidRDefault="00DF3FD9" w:rsidP="00DF3FD9">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La Entidad Estatal, para la contratación de trabajos artísticos que solamente puedan encomendarse a determinadas personas naturales, debe justificar esta situación en los estudios y documentos previos.</w:t>
      </w:r>
    </w:p>
    <w:p w14:paraId="27019652" w14:textId="77777777" w:rsidR="00DF3FD9" w:rsidRPr="001E7958" w:rsidRDefault="00DF3FD9" w:rsidP="00DF3FD9">
      <w:pPr>
        <w:spacing w:after="120" w:line="276" w:lineRule="auto"/>
        <w:ind w:right="51" w:firstLine="709"/>
        <w:jc w:val="both"/>
        <w:rPr>
          <w:rFonts w:ascii="Verdana" w:eastAsia="Calibri" w:hAnsi="Verdana" w:cs="Arial"/>
        </w:rPr>
      </w:pPr>
      <w:r w:rsidRPr="009F5D48">
        <w:rPr>
          <w:rFonts w:ascii="Verdana" w:eastAsia="Calibri" w:hAnsi="Verdana" w:cs="Arial"/>
        </w:rPr>
        <w:t xml:space="preserve">Se resalta que </w:t>
      </w:r>
      <w:r w:rsidRPr="009F5D48">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w:t>
      </w:r>
      <w:r w:rsidRPr="009F5D48">
        <w:rPr>
          <w:rFonts w:ascii="Verdana" w:hAnsi="Verdana" w:cs="Arial"/>
        </w:rPr>
        <w:lastRenderedPageBreak/>
        <w:t xml:space="preserve">contractual, las obligaciones que lo desarrollan y el perfil requerido para dar cumplimiento a los mismos. </w:t>
      </w:r>
    </w:p>
    <w:p w14:paraId="02F09B57" w14:textId="77777777" w:rsidR="00DF3FD9" w:rsidRPr="009F5D48" w:rsidRDefault="00DF3FD9" w:rsidP="00DF3FD9">
      <w:pPr>
        <w:spacing w:after="120" w:line="276" w:lineRule="auto"/>
        <w:ind w:firstLine="709"/>
        <w:jc w:val="both"/>
        <w:rPr>
          <w:rFonts w:ascii="Verdana" w:eastAsia="Calibri" w:hAnsi="Verdana" w:cs="Arial"/>
          <w:color w:val="000000"/>
          <w:lang w:val="es-ES_tradnl" w:eastAsia="es-ES_tradnl"/>
        </w:rPr>
      </w:pPr>
      <w:r w:rsidRPr="009F5D48">
        <w:rPr>
          <w:rFonts w:ascii="Verdana" w:eastAsia="Calibri" w:hAnsi="Verdana" w:cs="Arial"/>
          <w:color w:val="000000"/>
          <w:lang w:val="es-ES_tradnl" w:eastAsia="es-ES_tradnl"/>
        </w:rPr>
        <w:t>Así, a partir de estos enunciados normativos, entre otros, de carácter legal y reglamentario, que complementan su regulación, así como de pronunciamientos jurisprudenciales</w:t>
      </w:r>
      <w:r w:rsidRPr="009F5D48">
        <w:rPr>
          <w:rStyle w:val="Refdenotaalpie"/>
          <w:rFonts w:ascii="Verdana" w:eastAsia="Calibri" w:hAnsi="Verdana" w:cs="Arial"/>
          <w:color w:val="000000"/>
          <w:lang w:val="es-ES_tradnl" w:eastAsia="es-ES_tradnl"/>
        </w:rPr>
        <w:footnoteReference w:id="1"/>
      </w:r>
      <w:r w:rsidRPr="009F5D48">
        <w:rPr>
          <w:rFonts w:ascii="Verdana" w:eastAsia="Calibri" w:hAnsi="Verdana" w:cs="Arial"/>
          <w:color w:val="000000"/>
          <w:lang w:val="es-ES_tradnl" w:eastAsia="es-ES_tradnl"/>
        </w:rPr>
        <w:t>, es posible señalar las siguientes características del contrato de prestación de servicios:</w:t>
      </w:r>
    </w:p>
    <w:p w14:paraId="6383FA06" w14:textId="77777777" w:rsidR="00DF3FD9" w:rsidRPr="009F5D48" w:rsidRDefault="00DF3FD9" w:rsidP="00DF3FD9">
      <w:pPr>
        <w:pStyle w:val="Prrafodelista"/>
        <w:numPr>
          <w:ilvl w:val="0"/>
          <w:numId w:val="18"/>
        </w:numPr>
        <w:spacing w:after="0" w:line="276" w:lineRule="auto"/>
        <w:ind w:left="0" w:firstLine="709"/>
        <w:jc w:val="both"/>
        <w:rPr>
          <w:rFonts w:ascii="Verdana" w:eastAsia="Calibri" w:hAnsi="Verdana" w:cs="Arial"/>
        </w:rPr>
      </w:pPr>
      <w:r w:rsidRPr="009F5D48">
        <w:rPr>
          <w:rFonts w:ascii="Verdana" w:eastAsia="Calibri" w:hAnsi="Verdana" w:cs="Arial"/>
        </w:rPr>
        <w:t>Solo puede celebrarse para realizar “actividades relacionadas con la administración o funcionamiento de la entidad”, es decir, que hagan parte de su giro ordinario o quehacer cotidiano</w:t>
      </w:r>
      <w:r w:rsidRPr="009F5D48">
        <w:rPr>
          <w:rStyle w:val="Refdenotaalpie"/>
          <w:rFonts w:ascii="Verdana" w:eastAsia="Calibri" w:hAnsi="Verdana" w:cs="Arial"/>
        </w:rPr>
        <w:footnoteReference w:id="2"/>
      </w:r>
      <w:r w:rsidRPr="009F5D48">
        <w:rPr>
          <w:rFonts w:ascii="Verdana" w:eastAsia="Calibri" w:hAnsi="Verdana" w:cs="Arial"/>
        </w:rPr>
        <w:t xml:space="preserve">; </w:t>
      </w:r>
    </w:p>
    <w:p w14:paraId="591B9278" w14:textId="77777777" w:rsidR="00DF3FD9" w:rsidRPr="009F5D48" w:rsidRDefault="00DF3FD9" w:rsidP="00DF3FD9">
      <w:pPr>
        <w:pStyle w:val="Prrafodelista"/>
        <w:numPr>
          <w:ilvl w:val="0"/>
          <w:numId w:val="18"/>
        </w:numPr>
        <w:spacing w:after="0" w:line="276" w:lineRule="auto"/>
        <w:ind w:left="0" w:firstLine="720"/>
        <w:jc w:val="both"/>
        <w:rPr>
          <w:rFonts w:ascii="Verdana" w:eastAsia="Calibri" w:hAnsi="Verdana" w:cs="Arial"/>
        </w:rPr>
      </w:pPr>
      <w:r w:rsidRPr="009F5D48">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11CEF1B8" w14:textId="77777777" w:rsidR="00DF3FD9" w:rsidRPr="009F5D48" w:rsidRDefault="00DF3FD9" w:rsidP="00DF3FD9">
      <w:pPr>
        <w:pStyle w:val="Prrafodelista"/>
        <w:numPr>
          <w:ilvl w:val="0"/>
          <w:numId w:val="18"/>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9F5D48">
        <w:rPr>
          <w:rFonts w:ascii="Verdana" w:hAnsi="Verdana" w:cs="Arial"/>
          <w:i/>
          <w:noProof/>
          <w:lang w:val="es-ES_tradnl"/>
        </w:rPr>
        <w:t xml:space="preserve">subordinación </w:t>
      </w:r>
      <w:r w:rsidRPr="009F5D48">
        <w:rPr>
          <w:rFonts w:ascii="Verdana" w:hAnsi="Verdana" w:cs="Arial"/>
          <w:iCs/>
          <w:noProof/>
          <w:lang w:val="es-ES_tradnl"/>
        </w:rPr>
        <w:t>ni</w:t>
      </w:r>
      <w:r w:rsidRPr="009F5D48">
        <w:rPr>
          <w:rFonts w:ascii="Verdana" w:hAnsi="Verdana" w:cs="Arial"/>
          <w:i/>
          <w:noProof/>
          <w:lang w:val="es-ES_tradnl"/>
        </w:rPr>
        <w:t xml:space="preserve"> dependencia</w:t>
      </w:r>
      <w:r w:rsidRPr="009F5D48">
        <w:rPr>
          <w:rFonts w:ascii="Verdana" w:hAnsi="Verdana" w:cs="Arial"/>
          <w:iCs/>
          <w:noProof/>
          <w:lang w:val="es-ES_tradnl"/>
        </w:rPr>
        <w:t>,</w:t>
      </w:r>
      <w:r w:rsidRPr="009F5D48">
        <w:rPr>
          <w:rFonts w:ascii="Verdana" w:hAnsi="Verdana" w:cs="Arial"/>
          <w:noProof/>
          <w:lang w:val="es-ES_tradnl"/>
        </w:rPr>
        <w:t xml:space="preserve"> que es uno de los elementos constitutivos del vínculo laboral</w:t>
      </w:r>
      <w:r w:rsidRPr="009F5D48">
        <w:rPr>
          <w:rFonts w:ascii="Verdana" w:hAnsi="Verdana"/>
          <w:noProof/>
          <w:vertAlign w:val="superscript"/>
          <w:lang w:val="es-ES_tradnl"/>
        </w:rPr>
        <w:footnoteReference w:id="3"/>
      </w:r>
      <w:r w:rsidRPr="009F5D48">
        <w:rPr>
          <w:rFonts w:ascii="Verdana" w:hAnsi="Verdana" w:cs="Arial"/>
          <w:noProof/>
          <w:lang w:val="es-ES_tradnl"/>
        </w:rPr>
        <w:t xml:space="preserve">. </w:t>
      </w:r>
    </w:p>
    <w:p w14:paraId="4B1BD771" w14:textId="77777777" w:rsidR="00DF3FD9" w:rsidRPr="009F5D48" w:rsidRDefault="00DF3FD9" w:rsidP="00DF3FD9">
      <w:pPr>
        <w:spacing w:after="120" w:line="276" w:lineRule="auto"/>
        <w:jc w:val="both"/>
        <w:rPr>
          <w:rFonts w:ascii="Verdana" w:hAnsi="Verdana" w:cs="Arial"/>
          <w:noProof/>
          <w:lang w:val="es-ES_tradnl"/>
        </w:rPr>
      </w:pPr>
      <w:r w:rsidRPr="009F5D48">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9F5D48">
        <w:rPr>
          <w:rFonts w:ascii="Verdana" w:hAnsi="Verdana" w:cs="Arial"/>
          <w:i/>
          <w:noProof/>
          <w:lang w:val="es-ES_tradnl"/>
        </w:rPr>
        <w:t>no pueden</w:t>
      </w:r>
      <w:r w:rsidRPr="009F5D48">
        <w:rPr>
          <w:rFonts w:ascii="Verdana" w:hAnsi="Verdana" w:cs="Arial"/>
          <w:noProof/>
          <w:lang w:val="es-ES_tradnl"/>
        </w:rPr>
        <w:t xml:space="preserve"> generar relación laboral. Tal como se indicó, no puede existir subordinación y dependencia; entonces, la relación laboral está proscrita y el contratista es quien, como “trabajador </w:t>
      </w:r>
      <w:r w:rsidRPr="009F5D48">
        <w:rPr>
          <w:rFonts w:ascii="Verdana" w:hAnsi="Verdana" w:cs="Arial"/>
          <w:noProof/>
          <w:lang w:val="es-ES_tradnl"/>
        </w:rPr>
        <w:lastRenderedPageBreak/>
        <w:t xml:space="preserve">independiente” – debe dispononer de forma autonoma la ejecución de las actividades objeto del contrato.  </w:t>
      </w:r>
    </w:p>
    <w:p w14:paraId="0624DB5A" w14:textId="77777777" w:rsidR="00DF3FD9" w:rsidRPr="009F5D48" w:rsidRDefault="00DF3FD9" w:rsidP="00DF3FD9">
      <w:pPr>
        <w:pStyle w:val="Prrafodelista"/>
        <w:numPr>
          <w:ilvl w:val="0"/>
          <w:numId w:val="18"/>
        </w:numPr>
        <w:spacing w:after="120" w:line="276" w:lineRule="auto"/>
        <w:ind w:left="0" w:firstLine="720"/>
        <w:jc w:val="both"/>
        <w:rPr>
          <w:rFonts w:ascii="Verdana" w:eastAsia="Calibri" w:hAnsi="Verdana" w:cs="Arial"/>
          <w:color w:val="000000"/>
          <w:lang w:val="es-ES_tradnl" w:eastAsia="es-ES_tradnl"/>
        </w:rPr>
      </w:pPr>
      <w:r w:rsidRPr="009F5D48">
        <w:rPr>
          <w:rFonts w:ascii="Verdana" w:hAnsi="Verdana" w:cs="Arial"/>
          <w:noProof/>
          <w:lang w:val="es-ES_tradnl"/>
        </w:rPr>
        <w:t xml:space="preserve">Deben ser temporales. La </w:t>
      </w:r>
      <w:r w:rsidRPr="009F5D48">
        <w:rPr>
          <w:rFonts w:ascii="Verdana" w:eastAsia="Arial" w:hAnsi="Verdana" w:cs="Arial"/>
          <w:color w:val="000000"/>
        </w:rPr>
        <w:t>Sentencia de Unificación Jurisprudencial de 09 de septiembre de 2021, proferida por el Consejo de Estado</w:t>
      </w:r>
      <w:r w:rsidRPr="009F5D48">
        <w:rPr>
          <w:rFonts w:ascii="Verdana" w:hAnsi="Verdana"/>
          <w:bCs/>
          <w:vertAlign w:val="superscript"/>
        </w:rPr>
        <w:footnoteReference w:id="4"/>
      </w:r>
      <w:r w:rsidRPr="009F5D48">
        <w:rPr>
          <w:rFonts w:ascii="Verdana" w:hAnsi="Verdana" w:cs="Arial"/>
          <w:noProof/>
          <w:lang w:val="es-ES_tradnl"/>
        </w:rPr>
        <w:t>,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EFFC23E" w14:textId="77777777" w:rsidR="00DF3FD9" w:rsidRPr="009F5D48" w:rsidRDefault="00DF3FD9" w:rsidP="00DF3FD9">
      <w:pPr>
        <w:pStyle w:val="Prrafodelista"/>
        <w:numPr>
          <w:ilvl w:val="0"/>
          <w:numId w:val="18"/>
        </w:numPr>
        <w:spacing w:after="120" w:line="276" w:lineRule="auto"/>
        <w:ind w:left="0" w:firstLine="720"/>
        <w:jc w:val="both"/>
        <w:rPr>
          <w:rFonts w:ascii="Verdana" w:eastAsia="Calibri" w:hAnsi="Verdana" w:cs="Arial"/>
          <w:lang w:eastAsia="es-ES"/>
        </w:rPr>
      </w:pPr>
      <w:r w:rsidRPr="009F5D48">
        <w:rPr>
          <w:rFonts w:ascii="Verdana" w:eastAsia="Calibri" w:hAnsi="Verdana" w:cs="Arial"/>
          <w:color w:val="000000"/>
          <w:lang w:eastAsia="es-ES"/>
        </w:rPr>
        <w:t xml:space="preserve">Los contratos de prestación de servicios constituyen un </w:t>
      </w:r>
      <w:r w:rsidRPr="009F5D48">
        <w:rPr>
          <w:rFonts w:ascii="Verdana" w:eastAsia="Calibri" w:hAnsi="Verdana" w:cs="Arial"/>
          <w:i/>
          <w:color w:val="000000"/>
          <w:lang w:eastAsia="es-ES"/>
        </w:rPr>
        <w:t>género</w:t>
      </w:r>
      <w:r w:rsidRPr="009F5D48">
        <w:rPr>
          <w:rFonts w:ascii="Verdana" w:eastAsia="Calibri" w:hAnsi="Verdana" w:cs="Arial"/>
          <w:color w:val="000000"/>
          <w:lang w:eastAsia="es-ES"/>
        </w:rPr>
        <w:t xml:space="preserve"> que incluye, como </w:t>
      </w:r>
      <w:r w:rsidRPr="009F5D48">
        <w:rPr>
          <w:rFonts w:ascii="Verdana" w:eastAsia="Calibri" w:hAnsi="Verdana" w:cs="Arial"/>
          <w:i/>
          <w:color w:val="000000"/>
          <w:lang w:eastAsia="es-ES"/>
        </w:rPr>
        <w:t>especies</w:t>
      </w:r>
      <w:r w:rsidRPr="009F5D48">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9F5D48">
        <w:rPr>
          <w:rFonts w:ascii="Verdana" w:hAnsi="Verdana"/>
          <w:vertAlign w:val="superscript"/>
          <w:lang w:eastAsia="es-ES"/>
        </w:rPr>
        <w:footnoteReference w:id="5"/>
      </w:r>
      <w:r w:rsidRPr="009F5D48">
        <w:rPr>
          <w:rFonts w:ascii="Verdana" w:eastAsia="Calibri" w:hAnsi="Verdana" w:cs="Arial"/>
          <w:color w:val="000000"/>
          <w:lang w:eastAsia="es-ES"/>
        </w:rPr>
        <w:t xml:space="preserve">. La diferencia entre el contrato de prestación de servicios </w:t>
      </w:r>
      <w:r w:rsidRPr="009F5D48">
        <w:rPr>
          <w:rFonts w:ascii="Verdana" w:eastAsia="Calibri" w:hAnsi="Verdana" w:cs="Arial"/>
          <w:i/>
          <w:color w:val="000000"/>
          <w:lang w:eastAsia="es-ES"/>
        </w:rPr>
        <w:t>profesionales</w:t>
      </w:r>
      <w:r w:rsidRPr="009F5D48">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09F5D48">
        <w:rPr>
          <w:rFonts w:ascii="Verdana" w:eastAsia="Calibri" w:hAnsi="Verdana" w:cs="Arial"/>
          <w:lang w:eastAsia="es-ES"/>
        </w:rPr>
        <w:t>profesional que se exige para desempeñar la labor</w:t>
      </w:r>
      <w:r w:rsidRPr="009F5D48">
        <w:rPr>
          <w:rFonts w:ascii="Verdana" w:hAnsi="Verdana"/>
          <w:vertAlign w:val="superscript"/>
          <w:lang w:eastAsia="es-ES"/>
        </w:rPr>
        <w:footnoteReference w:id="6"/>
      </w:r>
      <w:r w:rsidRPr="009F5D48">
        <w:rPr>
          <w:rFonts w:ascii="Verdana" w:eastAsia="Calibri" w:hAnsi="Verdana" w:cs="Arial"/>
          <w:lang w:eastAsia="es-ES"/>
        </w:rPr>
        <w:t>.</w:t>
      </w:r>
    </w:p>
    <w:p w14:paraId="44CBA75B" w14:textId="77777777" w:rsidR="00DF3FD9" w:rsidRPr="009F5D48" w:rsidRDefault="00DF3FD9" w:rsidP="00DF3FD9">
      <w:pPr>
        <w:pStyle w:val="Prrafodelista"/>
        <w:widowControl w:val="0"/>
        <w:numPr>
          <w:ilvl w:val="0"/>
          <w:numId w:val="18"/>
        </w:numPr>
        <w:autoSpaceDE w:val="0"/>
        <w:autoSpaceDN w:val="0"/>
        <w:spacing w:after="0" w:line="276" w:lineRule="auto"/>
        <w:ind w:left="0" w:firstLine="720"/>
        <w:jc w:val="both"/>
        <w:rPr>
          <w:rFonts w:ascii="Verdana" w:eastAsia="Calibri" w:hAnsi="Verdana" w:cs="Arial"/>
          <w:color w:val="7030A0"/>
        </w:rPr>
      </w:pPr>
      <w:r w:rsidRPr="009F5D48">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9F5D48">
        <w:rPr>
          <w:rFonts w:ascii="Verdana" w:eastAsia="Arial" w:hAnsi="Verdana" w:cs="Arial"/>
        </w:rPr>
        <w:t xml:space="preserve">Sentencia de </w:t>
      </w:r>
      <w:r w:rsidRPr="009F5D48">
        <w:rPr>
          <w:rFonts w:ascii="Verdana" w:eastAsia="Arial" w:hAnsi="Verdana" w:cs="Arial"/>
        </w:rPr>
        <w:lastRenderedPageBreak/>
        <w:t>Unificación Jurisprudencial de 09 de septiembre de 2021, proferida por el Consejo de Estado</w:t>
      </w:r>
      <w:r w:rsidRPr="009F5D48">
        <w:rPr>
          <w:rFonts w:ascii="Verdana" w:hAnsi="Verdana"/>
          <w:bCs/>
          <w:vertAlign w:val="superscript"/>
        </w:rPr>
        <w:footnoteReference w:id="7"/>
      </w:r>
      <w:r w:rsidRPr="009F5D48">
        <w:rPr>
          <w:rFonts w:ascii="Verdana" w:hAnsi="Verdana" w:cs="Arial"/>
          <w:noProof/>
          <w:lang w:val="es-ES_tradnl"/>
        </w:rPr>
        <w:t>, si bien en ambos existe un componente intelectual y profesional, el objeto del contrato de consultoría es especial y debe celebrarse, por regla general, mediante un concurso de méritos</w:t>
      </w:r>
      <w:r w:rsidRPr="009F5D48">
        <w:rPr>
          <w:rFonts w:ascii="Verdana" w:hAnsi="Verdana"/>
          <w:noProof/>
          <w:vertAlign w:val="superscript"/>
          <w:lang w:val="es-ES_tradnl"/>
        </w:rPr>
        <w:footnoteReference w:id="8"/>
      </w:r>
      <w:r w:rsidRPr="009F5D48">
        <w:rPr>
          <w:rFonts w:ascii="Verdana" w:hAnsi="Verdana" w:cs="Arial"/>
          <w:noProof/>
          <w:lang w:val="es-ES_tradnl"/>
        </w:rPr>
        <w:t>. Esto también se deriva d</w:t>
      </w:r>
      <w:r w:rsidRPr="009F5D48">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53E017F0" w14:textId="77777777" w:rsidR="00DF3FD9" w:rsidRPr="009F5D48" w:rsidRDefault="00DF3FD9" w:rsidP="00DF3FD9">
      <w:pPr>
        <w:pStyle w:val="Prrafodelista"/>
        <w:numPr>
          <w:ilvl w:val="0"/>
          <w:numId w:val="18"/>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no se requiere expedir un acto administrativo de justificación de la contratación directa</w:t>
      </w:r>
      <w:r w:rsidRPr="009F5D48">
        <w:rPr>
          <w:rFonts w:ascii="Verdana" w:hAnsi="Verdana"/>
          <w:noProof/>
          <w:vertAlign w:val="superscript"/>
          <w:lang w:val="es-ES_tradnl"/>
        </w:rPr>
        <w:footnoteReference w:id="9"/>
      </w:r>
      <w:r w:rsidRPr="009F5D48">
        <w:rPr>
          <w:rFonts w:ascii="Verdana" w:hAnsi="Verdana" w:cs="Arial"/>
          <w:noProof/>
          <w:lang w:val="es-ES_tradnl"/>
        </w:rPr>
        <w:t>.</w:t>
      </w:r>
    </w:p>
    <w:p w14:paraId="57032FC6" w14:textId="77777777" w:rsidR="00DF3FD9" w:rsidRPr="009F5D48" w:rsidRDefault="00DF3FD9" w:rsidP="00DF3FD9">
      <w:pPr>
        <w:pStyle w:val="Prrafodelista"/>
        <w:numPr>
          <w:ilvl w:val="0"/>
          <w:numId w:val="18"/>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9F5D48">
        <w:rPr>
          <w:rFonts w:ascii="Verdana" w:hAnsi="Verdana"/>
          <w:noProof/>
          <w:vertAlign w:val="superscript"/>
          <w:lang w:val="es-ES_tradnl"/>
        </w:rPr>
        <w:footnoteReference w:id="10"/>
      </w:r>
      <w:r w:rsidRPr="009F5D48">
        <w:rPr>
          <w:rFonts w:ascii="Verdana" w:hAnsi="Verdana" w:cs="Arial"/>
          <w:noProof/>
          <w:lang w:val="es-ES_tradnl"/>
        </w:rPr>
        <w:t>.</w:t>
      </w:r>
    </w:p>
    <w:p w14:paraId="304C93C0" w14:textId="77777777" w:rsidR="00DF3FD9" w:rsidRPr="009F5D48" w:rsidRDefault="00DF3FD9" w:rsidP="00DF3FD9">
      <w:pPr>
        <w:pStyle w:val="Prrafodelista"/>
        <w:numPr>
          <w:ilvl w:val="0"/>
          <w:numId w:val="18"/>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lastRenderedPageBreak/>
        <w:t>No es obligatoria la liquidación de estos contratos, como lo establece el artículo 217 del Decreto 019 de 2012, que modificó el artículo 60 de la Ley 80 de 1993</w:t>
      </w:r>
      <w:r w:rsidRPr="009F5D48">
        <w:rPr>
          <w:rFonts w:ascii="Verdana" w:hAnsi="Verdana"/>
          <w:noProof/>
          <w:vertAlign w:val="superscript"/>
          <w:lang w:val="es-ES_tradnl"/>
        </w:rPr>
        <w:footnoteReference w:id="11"/>
      </w:r>
      <w:r w:rsidRPr="009F5D48">
        <w:rPr>
          <w:rFonts w:ascii="Verdana" w:hAnsi="Verdana" w:cs="Arial"/>
          <w:noProof/>
          <w:lang w:val="es-ES_tradnl"/>
        </w:rPr>
        <w:t>.</w:t>
      </w:r>
    </w:p>
    <w:p w14:paraId="04CCF7E8" w14:textId="77777777" w:rsidR="00DF3FD9" w:rsidRPr="009F5D48" w:rsidRDefault="00DF3FD9" w:rsidP="00DF3FD9">
      <w:pPr>
        <w:pStyle w:val="Prrafodelista"/>
        <w:numPr>
          <w:ilvl w:val="0"/>
          <w:numId w:val="18"/>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el contratista no requiere estar inscrito en el Registro Único de Proponentes –en adelante RUP–, como lo señala el artículo 6 de la Ley 1150 de 2007</w:t>
      </w:r>
      <w:r w:rsidRPr="009F5D48">
        <w:rPr>
          <w:rFonts w:ascii="Verdana" w:hAnsi="Verdana"/>
          <w:noProof/>
          <w:vertAlign w:val="superscript"/>
          <w:lang w:val="es-ES_tradnl"/>
        </w:rPr>
        <w:footnoteReference w:id="12"/>
      </w:r>
      <w:r w:rsidRPr="009F5D48">
        <w:rPr>
          <w:rFonts w:ascii="Verdana" w:hAnsi="Verdana" w:cs="Arial"/>
          <w:noProof/>
          <w:lang w:val="es-ES_tradnl"/>
        </w:rPr>
        <w:t>.</w:t>
      </w:r>
    </w:p>
    <w:p w14:paraId="464F39E0" w14:textId="77777777" w:rsidR="00DF3FD9" w:rsidRPr="009F5D48" w:rsidRDefault="00DF3FD9" w:rsidP="00DF3FD9">
      <w:pPr>
        <w:pStyle w:val="Prrafodelista"/>
        <w:numPr>
          <w:ilvl w:val="0"/>
          <w:numId w:val="18"/>
        </w:numPr>
        <w:spacing w:after="120" w:line="276" w:lineRule="auto"/>
        <w:jc w:val="both"/>
        <w:rPr>
          <w:rFonts w:ascii="Verdana" w:hAnsi="Verdana" w:cs="Arial"/>
          <w:noProof/>
          <w:lang w:val="es-ES_tradnl"/>
        </w:rPr>
      </w:pPr>
      <w:r w:rsidRPr="009F5D48">
        <w:rPr>
          <w:rFonts w:ascii="Verdana" w:hAnsi="Verdana" w:cs="Arial"/>
          <w:noProof/>
          <w:lang w:val="es-ES_tradnl"/>
        </w:rPr>
        <w:t>No es obligtoria la exigencia de garantías</w:t>
      </w:r>
      <w:r w:rsidRPr="009F5D48">
        <w:rPr>
          <w:rFonts w:ascii="Verdana" w:hAnsi="Verdana"/>
          <w:noProof/>
          <w:vertAlign w:val="superscript"/>
          <w:lang w:val="es-ES_tradnl"/>
        </w:rPr>
        <w:footnoteReference w:id="13"/>
      </w:r>
      <w:r w:rsidRPr="009F5D48">
        <w:rPr>
          <w:rFonts w:ascii="Verdana" w:hAnsi="Verdana" w:cs="Arial"/>
          <w:noProof/>
          <w:lang w:val="es-ES_tradnl"/>
        </w:rPr>
        <w:t>.</w:t>
      </w:r>
    </w:p>
    <w:p w14:paraId="686C21DC" w14:textId="77777777" w:rsidR="00DF3FD9" w:rsidRDefault="00DF3FD9" w:rsidP="00DF3FD9">
      <w:pPr>
        <w:pStyle w:val="Prrafodelista"/>
        <w:numPr>
          <w:ilvl w:val="0"/>
          <w:numId w:val="18"/>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Como los demás contratos estatales, se trata de un contrato solemne que debe constar por escrito y debe ser publicado en el SECOP.</w:t>
      </w:r>
    </w:p>
    <w:p w14:paraId="175BECCF" w14:textId="77777777" w:rsidR="00DF3FD9" w:rsidRPr="001E7958" w:rsidRDefault="00DF3FD9" w:rsidP="00DF3FD9">
      <w:pPr>
        <w:spacing w:after="0" w:line="276" w:lineRule="auto"/>
        <w:jc w:val="both"/>
        <w:rPr>
          <w:rFonts w:ascii="Verdana" w:eastAsia="Calibri" w:hAnsi="Verdana" w:cs="Arial"/>
          <w:color w:val="7030A0"/>
          <w:lang w:val="es-ES"/>
        </w:rPr>
      </w:pPr>
      <w:r w:rsidRPr="009F5D48">
        <w:rPr>
          <w:rFonts w:ascii="Verdana" w:hAnsi="Verdana" w:cs="Arial"/>
        </w:rPr>
        <w:t xml:space="preserve">Una vez establecidos los requisitos habilitantes y las demás características de la contratación en los documentos previos, a cada entidad estatal le corresponde </w:t>
      </w:r>
      <w:r w:rsidRPr="009F5D48">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3C988CA7" w14:textId="77777777" w:rsidR="00DF3FD9" w:rsidRPr="009F5D48" w:rsidRDefault="00DF3FD9" w:rsidP="00DF3FD9">
      <w:pPr>
        <w:spacing w:after="0" w:line="276" w:lineRule="auto"/>
        <w:jc w:val="both"/>
        <w:rPr>
          <w:rFonts w:ascii="Verdana" w:eastAsia="Calibri" w:hAnsi="Verdana" w:cs="Arial"/>
          <w:lang w:val="es-ES"/>
        </w:rPr>
      </w:pPr>
    </w:p>
    <w:p w14:paraId="4358B923" w14:textId="77777777" w:rsidR="00DF3FD9" w:rsidRPr="009F5D48" w:rsidRDefault="00DF3FD9" w:rsidP="00DF3FD9">
      <w:pPr>
        <w:pStyle w:val="Prrafodelista"/>
        <w:numPr>
          <w:ilvl w:val="0"/>
          <w:numId w:val="20"/>
        </w:numPr>
        <w:spacing w:after="0" w:line="276" w:lineRule="auto"/>
        <w:jc w:val="both"/>
        <w:rPr>
          <w:rFonts w:ascii="Verdana" w:eastAsia="Calibri" w:hAnsi="Verdana" w:cs="Arial"/>
          <w:u w:val="single"/>
        </w:rPr>
      </w:pPr>
      <w:r w:rsidRPr="009F5D48">
        <w:rPr>
          <w:rFonts w:ascii="Verdana" w:eastAsia="Calibri" w:hAnsi="Verdana" w:cs="Arial"/>
          <w:u w:val="single"/>
        </w:rPr>
        <w:t>Régimen de inhabilidades e incompatibilidades</w:t>
      </w:r>
    </w:p>
    <w:p w14:paraId="3DC33EB8" w14:textId="77777777" w:rsidR="00DF3FD9" w:rsidRPr="009F5D48" w:rsidRDefault="00DF3FD9" w:rsidP="00DF3FD9">
      <w:pPr>
        <w:spacing w:after="0" w:line="276" w:lineRule="auto"/>
        <w:jc w:val="both"/>
        <w:rPr>
          <w:rFonts w:ascii="Verdana" w:eastAsia="Calibri" w:hAnsi="Verdana" w:cs="Arial"/>
          <w:color w:val="7030A0"/>
          <w:lang w:val="es-ES"/>
        </w:rPr>
      </w:pPr>
    </w:p>
    <w:p w14:paraId="0649EBDE" w14:textId="77777777" w:rsidR="00DF3FD9" w:rsidRPr="009F5D48" w:rsidRDefault="00DF3FD9" w:rsidP="00DF3FD9">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lastRenderedPageBreak/>
        <w:t>Se destaca el régimen de inhabilidades e incompatibilidades como un conjunto de normas que impone restricciones para los sujetos que eventualmente pretendan participar en los procedimientos de selección o en la celebración de contratos con las entidades estatales, constituyendo “</w:t>
      </w:r>
      <w:r w:rsidRPr="444F5416">
        <w:rPr>
          <w:rFonts w:ascii="Verdana" w:eastAsia="Calibri" w:hAnsi="Verdana" w:cs="Arial"/>
          <w:i/>
          <w:iCs/>
          <w:lang w:val="es-ES"/>
        </w:rPr>
        <w:t>prohibiciones que restringen la capacidad y la libertad de un contratista para acceder a la contratación</w:t>
      </w:r>
      <w:r w:rsidRPr="009F5D48">
        <w:rPr>
          <w:rFonts w:ascii="Verdana" w:eastAsia="Calibri" w:hAnsi="Verdana" w:cs="Arial"/>
          <w:lang w:val="es-ES"/>
        </w:rPr>
        <w:t>”</w:t>
      </w:r>
      <w:r w:rsidRPr="009F5D48">
        <w:rPr>
          <w:rStyle w:val="Refdenotaalpie"/>
          <w:rFonts w:ascii="Verdana" w:eastAsia="Calibri" w:hAnsi="Verdana" w:cs="Arial"/>
          <w:lang w:val="es-ES"/>
        </w:rPr>
        <w:footnoteReference w:id="14"/>
      </w:r>
      <w:r w:rsidRPr="009F5D48">
        <w:rPr>
          <w:rFonts w:ascii="Verdana" w:eastAsia="Calibri" w:hAnsi="Verdana" w:cs="Arial"/>
          <w:lang w:val="es-ES"/>
        </w:rPr>
        <w:t xml:space="preserve">. </w:t>
      </w:r>
    </w:p>
    <w:p w14:paraId="5CEA6103" w14:textId="77777777" w:rsidR="00DF3FD9" w:rsidRPr="009F5D48" w:rsidRDefault="00DF3FD9" w:rsidP="00DF3FD9">
      <w:pPr>
        <w:widowControl w:val="0"/>
        <w:autoSpaceDE w:val="0"/>
        <w:autoSpaceDN w:val="0"/>
        <w:spacing w:after="120" w:line="276" w:lineRule="auto"/>
        <w:ind w:firstLine="708"/>
        <w:jc w:val="both"/>
        <w:rPr>
          <w:rFonts w:ascii="Verdana" w:eastAsia="Calibri" w:hAnsi="Verdana" w:cs="Arial"/>
          <w:lang w:val="es-ES"/>
        </w:rPr>
      </w:pPr>
      <w:r w:rsidRPr="009F5D48">
        <w:rPr>
          <w:rFonts w:ascii="Verdana" w:eastAsia="Calibri" w:hAnsi="Verdana" w:cs="Arial"/>
          <w:lang w:val="es-ES"/>
        </w:rPr>
        <w:t>De una parte, las inhabilidades son prohibiciones para concurrir a los procedimientos de selección y para contratar con el Estado, que se derivan i) de la existencia de comportamientos reprochables o de sanciones anteriormente impuestas</w:t>
      </w:r>
      <w:r w:rsidRPr="009F5D48">
        <w:rPr>
          <w:rFonts w:ascii="Verdana" w:eastAsia="Calibri" w:hAnsi="Verdana" w:cs="Arial"/>
          <w:vertAlign w:val="superscript"/>
          <w:lang w:val="es-ES"/>
        </w:rPr>
        <w:footnoteReference w:id="15"/>
      </w:r>
      <w:r w:rsidRPr="009F5D48">
        <w:rPr>
          <w:rFonts w:ascii="Verdana" w:eastAsia="Calibri" w:hAnsi="Verdana" w:cs="Arial"/>
          <w:lang w:val="es-ES"/>
        </w:rPr>
        <w:t xml:space="preserve">, </w:t>
      </w:r>
      <w:proofErr w:type="spellStart"/>
      <w:r w:rsidRPr="009F5D48">
        <w:rPr>
          <w:rFonts w:ascii="Verdana" w:eastAsia="Calibri" w:hAnsi="Verdana" w:cs="Arial"/>
          <w:lang w:val="es-ES"/>
        </w:rPr>
        <w:t>ii</w:t>
      </w:r>
      <w:proofErr w:type="spellEnd"/>
      <w:r w:rsidRPr="009F5D48">
        <w:rPr>
          <w:rFonts w:ascii="Verdana" w:eastAsia="Calibri" w:hAnsi="Verdana" w:cs="Arial"/>
          <w:lang w:val="es-ES"/>
        </w:rPr>
        <w:t>) de vínculos personales relativos al parentesco o al estado civil</w:t>
      </w:r>
      <w:r w:rsidRPr="009F5D48">
        <w:rPr>
          <w:rFonts w:ascii="Verdana" w:eastAsia="Calibri" w:hAnsi="Verdana" w:cs="Arial"/>
          <w:vertAlign w:val="superscript"/>
          <w:lang w:val="es-ES"/>
        </w:rPr>
        <w:footnoteReference w:id="16"/>
      </w:r>
      <w:r w:rsidRPr="009F5D48">
        <w:rPr>
          <w:rFonts w:ascii="Verdana" w:eastAsia="Calibri" w:hAnsi="Verdana" w:cs="Arial"/>
          <w:lang w:val="es-ES"/>
        </w:rPr>
        <w:t xml:space="preserve"> </w:t>
      </w:r>
      <w:r w:rsidRPr="009F5D48">
        <w:rPr>
          <w:rFonts w:ascii="Verdana" w:eastAsia="Calibri" w:hAnsi="Verdana" w:cs="Arial"/>
          <w:lang w:val="es-ES"/>
        </w:rPr>
        <w:lastRenderedPageBreak/>
        <w:t xml:space="preserve">o </w:t>
      </w:r>
      <w:proofErr w:type="spellStart"/>
      <w:r w:rsidRPr="009F5D48">
        <w:rPr>
          <w:rFonts w:ascii="Verdana" w:eastAsia="Calibri" w:hAnsi="Verdana" w:cs="Arial"/>
          <w:lang w:val="es-ES"/>
        </w:rPr>
        <w:t>iii</w:t>
      </w:r>
      <w:proofErr w:type="spellEnd"/>
      <w:r w:rsidRPr="009F5D48">
        <w:rPr>
          <w:rFonts w:ascii="Verdana" w:eastAsia="Calibri" w:hAnsi="Verdana" w:cs="Arial"/>
          <w:lang w:val="es-ES"/>
        </w:rPr>
        <w:t>) de una actividad u oficio que se desempeñó en el pasado</w:t>
      </w:r>
      <w:r w:rsidRPr="009F5D48">
        <w:rPr>
          <w:rFonts w:ascii="Verdana" w:eastAsia="Calibri" w:hAnsi="Verdana" w:cs="Arial"/>
          <w:vertAlign w:val="superscript"/>
          <w:lang w:val="es-ES"/>
        </w:rPr>
        <w:footnoteReference w:id="17"/>
      </w:r>
      <w:r w:rsidRPr="009F5D48">
        <w:rPr>
          <w:rFonts w:ascii="Verdana" w:eastAsia="Calibri" w:hAnsi="Verdana" w:cs="Arial"/>
          <w:lang w:val="es-ES"/>
        </w:rPr>
        <w:t xml:space="preserve"> (se encuentran principalmente en el artículo 8 de la Ley 80 de 1993).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9F5D48">
        <w:rPr>
          <w:rFonts w:ascii="Verdana" w:eastAsia="Calibri" w:hAnsi="Verdana" w:cs="Arial"/>
          <w:vertAlign w:val="superscript"/>
          <w:lang w:val="es-ES"/>
        </w:rPr>
        <w:footnoteReference w:id="18"/>
      </w:r>
      <w:r w:rsidRPr="009F5D48">
        <w:rPr>
          <w:rFonts w:ascii="Verdana" w:eastAsia="Calibri" w:hAnsi="Verdana" w:cs="Arial"/>
          <w:lang w:val="es-ES"/>
        </w:rPr>
        <w:t>.</w:t>
      </w:r>
    </w:p>
    <w:p w14:paraId="2698A73A" w14:textId="77777777" w:rsidR="00DF3FD9" w:rsidRPr="009F5D48" w:rsidRDefault="00DF3FD9" w:rsidP="00DF3FD9">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ab/>
        <w:t xml:space="preserve">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w:t>
      </w:r>
      <w:r w:rsidRPr="009F5D48">
        <w:rPr>
          <w:rFonts w:ascii="Verdana" w:eastAsia="Calibri" w:hAnsi="Verdana" w:cs="Arial"/>
          <w:lang w:val="es-ES"/>
        </w:rPr>
        <w:lastRenderedPageBreak/>
        <w:t xml:space="preserve">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expresamente establecidas en la norma. </w:t>
      </w:r>
    </w:p>
    <w:p w14:paraId="49542E91" w14:textId="77777777" w:rsidR="00DF3FD9" w:rsidRPr="009F5D48" w:rsidRDefault="00DF3FD9" w:rsidP="00DF3FD9">
      <w:pPr>
        <w:widowControl w:val="0"/>
        <w:autoSpaceDE w:val="0"/>
        <w:autoSpaceDN w:val="0"/>
        <w:spacing w:after="120" w:line="276" w:lineRule="auto"/>
        <w:ind w:firstLine="708"/>
        <w:jc w:val="both"/>
        <w:rPr>
          <w:rFonts w:ascii="Verdana" w:eastAsia="Calibri" w:hAnsi="Verdana" w:cs="Arial"/>
          <w:lang w:val="es-ES_tradnl" w:eastAsia="es-ES_tradnl"/>
        </w:rPr>
      </w:pPr>
      <w:r w:rsidRPr="009F5D48">
        <w:rPr>
          <w:rFonts w:ascii="Verdana" w:eastAsia="Calibri" w:hAnsi="Verdana" w:cs="Arial"/>
          <w:lang w:val="es-ES"/>
        </w:rPr>
        <w:t>En efecto, sobre la interpretación de este tipo de normas, la Corte Constitucional ha aclarado que</w:t>
      </w:r>
      <w:r w:rsidRPr="009F5D48">
        <w:rPr>
          <w:rFonts w:ascii="Verdana" w:eastAsia="Calibri" w:hAnsi="Verdana" w:cs="Arial"/>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9F5D48">
        <w:rPr>
          <w:rFonts w:ascii="Verdana" w:eastAsia="Aptos" w:hAnsi="Verdana" w:cs="Times New Roman"/>
          <w:vertAlign w:val="superscript"/>
        </w:rPr>
        <w:footnoteReference w:id="19"/>
      </w:r>
      <w:r w:rsidRPr="009F5D48">
        <w:rPr>
          <w:rFonts w:ascii="Verdana" w:eastAsia="Calibri" w:hAnsi="Verdana" w:cs="Arial"/>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9F5D48">
        <w:rPr>
          <w:rFonts w:ascii="Verdana" w:eastAsia="Aptos" w:hAnsi="Verdana" w:cs="Times New Roman"/>
          <w:vertAlign w:val="superscript"/>
        </w:rPr>
        <w:footnoteReference w:id="20"/>
      </w:r>
      <w:r w:rsidRPr="009F5D48">
        <w:rPr>
          <w:rFonts w:ascii="Verdana" w:eastAsia="Calibri" w:hAnsi="Verdana" w:cs="Arial"/>
          <w:lang w:val="es-ES_tradnl" w:eastAsia="es-ES_tradnl"/>
        </w:rPr>
        <w:t>.</w:t>
      </w:r>
    </w:p>
    <w:p w14:paraId="3D8B49FE" w14:textId="77777777" w:rsidR="00DF3FD9" w:rsidRPr="006C0274" w:rsidRDefault="00DF3FD9" w:rsidP="00DF3FD9">
      <w:pPr>
        <w:pStyle w:val="Prrafodelista"/>
        <w:numPr>
          <w:ilvl w:val="0"/>
          <w:numId w:val="20"/>
        </w:numPr>
        <w:spacing w:after="0"/>
        <w:ind w:right="709"/>
        <w:jc w:val="both"/>
        <w:rPr>
          <w:rFonts w:ascii="Verdana" w:hAnsi="Verdana"/>
          <w:u w:val="single"/>
        </w:rPr>
      </w:pPr>
      <w:bookmarkStart w:id="4" w:name="OLE_LINK1"/>
      <w:r w:rsidRPr="006C0274">
        <w:rPr>
          <w:rFonts w:ascii="Verdana" w:eastAsia="Calibri" w:hAnsi="Verdana" w:cs="Arial"/>
          <w:u w:val="single"/>
        </w:rPr>
        <w:t xml:space="preserve">Posibilidad de que una persona natura y\o jurídica </w:t>
      </w:r>
      <w:r w:rsidRPr="006C0274">
        <w:rPr>
          <w:rFonts w:ascii="Verdana" w:hAnsi="Verdana"/>
          <w:u w:val="single"/>
        </w:rPr>
        <w:t xml:space="preserve">Puede suscribir más de un (1) contrato de prestación de servicios con una entidad pública. </w:t>
      </w:r>
    </w:p>
    <w:p w14:paraId="23A25C88" w14:textId="77777777" w:rsidR="00DF3FD9"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Finalmente, p</w:t>
      </w:r>
      <w:r w:rsidRPr="00236674">
        <w:rPr>
          <w:rFonts w:ascii="Verdana" w:eastAsia="Times New Roman" w:hAnsi="Verdana" w:cs="Times New Roman"/>
          <w:lang w:eastAsia="es-MX"/>
        </w:rPr>
        <w:t xml:space="preserve">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w:t>
      </w:r>
      <w:r w:rsidRPr="00236674">
        <w:rPr>
          <w:rFonts w:ascii="Verdana" w:eastAsia="Times New Roman" w:hAnsi="Verdana" w:cs="Times New Roman"/>
          <w:lang w:eastAsia="es-MX"/>
        </w:rPr>
        <w:lastRenderedPageBreak/>
        <w:t>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26C49D48" w14:textId="77777777" w:rsidR="00DF3FD9"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w:t>
      </w:r>
      <w:r w:rsidRPr="00966C8C">
        <w:rPr>
          <w:rFonts w:ascii="Verdana" w:eastAsia="Times New Roman" w:hAnsi="Verdana" w:cs="Times New Roman"/>
          <w:b/>
          <w:lang w:eastAsia="es-MX"/>
        </w:rPr>
        <w:t>con la persona natural o jurídica que esté en capacidad de ejecutar el objeto del contrato</w:t>
      </w:r>
      <w:r w:rsidRPr="00236674">
        <w:rPr>
          <w:rFonts w:ascii="Verdana" w:eastAsia="Times New Roman" w:hAnsi="Verdana" w:cs="Times New Roman"/>
          <w:lang w:eastAsia="es-MX"/>
        </w:rPr>
        <w:t>,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5FD29EC2" w14:textId="62C4D192" w:rsidR="00DF3FD9" w:rsidRPr="00236674"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De conformidad con lo anterior, y dando respuesta  a los interrogantes formulados, se concluye que es jurídicamente viable que tanto personas naturales como jurídicas suscriban más de un contrato de prestación de servicios con la misma entidad </w:t>
      </w:r>
      <w:r w:rsidR="27BB50FF" w:rsidRPr="77EDCC31">
        <w:rPr>
          <w:rFonts w:ascii="Verdana" w:eastAsia="Times New Roman" w:hAnsi="Verdana" w:cs="Times New Roman"/>
          <w:lang w:eastAsia="es-MX"/>
        </w:rPr>
        <w:t xml:space="preserve">de manera </w:t>
      </w:r>
      <w:proofErr w:type="spellStart"/>
      <w:r w:rsidR="27BB50FF" w:rsidRPr="77EDCC31">
        <w:rPr>
          <w:rFonts w:ascii="Verdana" w:eastAsia="Times New Roman" w:hAnsi="Verdana" w:cs="Times New Roman"/>
          <w:lang w:eastAsia="es-MX"/>
        </w:rPr>
        <w:t>simultanea</w:t>
      </w:r>
      <w:proofErr w:type="spellEnd"/>
      <w:r w:rsidRPr="00236674">
        <w:rPr>
          <w:rFonts w:ascii="Verdana" w:eastAsia="Times New Roman" w:hAnsi="Verdana" w:cs="Times New Roman"/>
          <w:lang w:eastAsia="es-MX"/>
        </w:rPr>
        <w:t>, situación que es extensiva a las Empresas Sociales del Estado (ESE), dado que en su régimen contractual, predominantemente privado pero regido por principios de la función administrativa, tampoco existe dicha prohibición. Por ende, la hipótesis de la doble o múltiple contratación no se enmarca en las inhabilidades e incompatibilidades taxativamente listadas en el Estatuto de Contratación.</w:t>
      </w:r>
    </w:p>
    <w:p w14:paraId="341DCDD2" w14:textId="21CC364D" w:rsidR="00DF3FD9" w:rsidRDefault="34D5D1A5" w:rsidP="00966C8C">
      <w:pPr>
        <w:spacing w:before="100" w:beforeAutospacing="1" w:after="100" w:afterAutospacing="1" w:line="276" w:lineRule="auto"/>
        <w:ind w:firstLine="708"/>
        <w:jc w:val="both"/>
        <w:rPr>
          <w:rFonts w:ascii="Verdana" w:eastAsia="Times New Roman" w:hAnsi="Verdana" w:cs="Times New Roman"/>
          <w:lang w:eastAsia="es-MX"/>
        </w:rPr>
      </w:pPr>
      <w:r w:rsidRPr="77EDCC31">
        <w:rPr>
          <w:rFonts w:ascii="Verdana" w:eastAsia="Times New Roman" w:hAnsi="Verdana" w:cs="Times New Roman"/>
          <w:lang w:eastAsia="es-MX"/>
        </w:rPr>
        <w:t xml:space="preserve">No obstante, aunque la figura es legal, es necesario verificar por parte de la entidad contratante si, dicha simultaneidad de contratos puede afectar la capacidad para el cumplimiento de las estipulaciones de cada vinculo contractual y si eventualmente pueden existir situaciones de conflicto de interés en el desarrollo de uno o más contratos que se ejecuten al mismo tiempo. </w:t>
      </w:r>
      <w:r w:rsidR="00DF3FD9" w:rsidRPr="00236674">
        <w:rPr>
          <w:rFonts w:ascii="Verdana" w:eastAsia="Times New Roman" w:hAnsi="Verdana" w:cs="Times New Roman"/>
          <w:lang w:eastAsia="es-MX"/>
        </w:rPr>
        <w:t xml:space="preserve">La única limitante real no es normativa, sino fáctica: el contratista debe garantizar que cuenta con la capacidad operativa, técnica para ejecutar cabalmente todos los objetos contractuales sin que uno interfiera con el otro. </w:t>
      </w:r>
      <w:r w:rsidR="00DF3FD9" w:rsidRPr="77EDCC31">
        <w:rPr>
          <w:rFonts w:ascii="Verdana" w:eastAsia="Times New Roman" w:hAnsi="Verdana" w:cs="Times New Roman"/>
          <w:lang w:eastAsia="es-MX"/>
        </w:rPr>
        <w:t xml:space="preserve">       </w:t>
      </w:r>
    </w:p>
    <w:p w14:paraId="50F50CDD" w14:textId="77777777" w:rsidR="00DF3FD9" w:rsidRPr="00236674"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lastRenderedPageBreak/>
        <w:t xml:space="preserve">      </w:t>
      </w:r>
      <w:r w:rsidRPr="00236674">
        <w:rPr>
          <w:rFonts w:ascii="Verdana" w:eastAsia="Times New Roman" w:hAnsi="Verdana" w:cs="Times New Roman"/>
          <w:lang w:eastAsia="es-MX"/>
        </w:rPr>
        <w:t>Finalmente, debe advertirse que el análisis requerido para resolver problemas específicos en torno a restricciones frente a la simultaneidad en la celebración 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bookmarkEnd w:id="4"/>
    </w:p>
    <w:p w14:paraId="63FB4E0E"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3AEE4BC6" w14:textId="77777777" w:rsidR="00DF3FD9" w:rsidRPr="00593A5F" w:rsidRDefault="00DF3FD9" w:rsidP="00DF3FD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3FD9" w:rsidRPr="00593A5F" w14:paraId="47D0F6ED" w14:textId="77777777" w:rsidTr="000A5ACE">
        <w:trPr>
          <w:trHeight w:val="870"/>
        </w:trPr>
        <w:tc>
          <w:tcPr>
            <w:tcW w:w="8647" w:type="dxa"/>
          </w:tcPr>
          <w:p w14:paraId="62DDB8DA" w14:textId="77777777" w:rsidR="00DF3FD9" w:rsidRPr="00737579" w:rsidRDefault="00DF3FD9" w:rsidP="00DF3FD9">
            <w:pPr>
              <w:pStyle w:val="Prrafodelista"/>
              <w:numPr>
                <w:ilvl w:val="0"/>
                <w:numId w:val="17"/>
              </w:numPr>
              <w:rPr>
                <w:rFonts w:ascii="Verdana" w:hAnsi="Verdana"/>
              </w:rPr>
            </w:pPr>
            <w:r w:rsidRPr="00737579">
              <w:rPr>
                <w:rFonts w:ascii="Verdana" w:hAnsi="Verdana"/>
              </w:rPr>
              <w:t>Ley 80 de 1993, artículos 8, 13, 14,17, 32, 40 45.</w:t>
            </w:r>
          </w:p>
          <w:p w14:paraId="6F097FCC" w14:textId="77777777" w:rsidR="00DF3FD9" w:rsidRPr="00737579" w:rsidRDefault="00DF3FD9" w:rsidP="00DF3FD9">
            <w:pPr>
              <w:pStyle w:val="Prrafodelista"/>
              <w:numPr>
                <w:ilvl w:val="0"/>
                <w:numId w:val="17"/>
              </w:numPr>
              <w:rPr>
                <w:rFonts w:ascii="Verdana" w:hAnsi="Verdana"/>
              </w:rPr>
            </w:pPr>
            <w:r w:rsidRPr="00737579">
              <w:rPr>
                <w:rFonts w:ascii="Verdana" w:hAnsi="Verdana"/>
              </w:rPr>
              <w:t>Ley 1150 de 2007, artículo 2, numeral 4, literal h; artículo 6</w:t>
            </w:r>
          </w:p>
          <w:p w14:paraId="5A78B7EF" w14:textId="77777777" w:rsidR="00DF3FD9" w:rsidRPr="00737579" w:rsidRDefault="00DF3FD9" w:rsidP="00DF3FD9">
            <w:pPr>
              <w:pStyle w:val="Prrafodelista"/>
              <w:numPr>
                <w:ilvl w:val="0"/>
                <w:numId w:val="17"/>
              </w:numPr>
              <w:rPr>
                <w:rFonts w:ascii="Verdana" w:hAnsi="Verdana"/>
              </w:rPr>
            </w:pPr>
            <w:r w:rsidRPr="00737579">
              <w:rPr>
                <w:rFonts w:ascii="Verdana" w:hAnsi="Verdana"/>
              </w:rPr>
              <w:t>Decreto 1082 de 2015, artículo 2.2.1.2.1.4.9</w:t>
            </w:r>
          </w:p>
          <w:p w14:paraId="64352B35" w14:textId="77777777" w:rsidR="00DF3FD9" w:rsidRPr="00737579" w:rsidRDefault="00DF3FD9" w:rsidP="00DF3FD9">
            <w:pPr>
              <w:pStyle w:val="Prrafodelista"/>
              <w:numPr>
                <w:ilvl w:val="0"/>
                <w:numId w:val="17"/>
              </w:numPr>
              <w:rPr>
                <w:rFonts w:ascii="Verdana" w:hAnsi="Verdana"/>
              </w:rPr>
            </w:pPr>
            <w:r w:rsidRPr="00737579">
              <w:rPr>
                <w:rFonts w:ascii="Verdana" w:hAnsi="Verdana" w:cs="Arial"/>
                <w:color w:val="000000"/>
              </w:rPr>
              <w:t xml:space="preserve">Corte Constitucional. Sentencia T-1039 de 2006. </w:t>
            </w:r>
            <w:r w:rsidRPr="00737579">
              <w:rPr>
                <w:rFonts w:ascii="Verdana" w:hAnsi="Verdana" w:cs="Arial"/>
                <w:color w:val="000000"/>
                <w:lang w:val="it-IT"/>
              </w:rPr>
              <w:t>M</w:t>
            </w:r>
            <w:r>
              <w:rPr>
                <w:rFonts w:ascii="Verdana" w:hAnsi="Verdana" w:cs="Arial"/>
                <w:color w:val="000000"/>
                <w:lang w:val="it-IT"/>
              </w:rPr>
              <w:t>.</w:t>
            </w:r>
            <w:r w:rsidRPr="00737579">
              <w:rPr>
                <w:rFonts w:ascii="Verdana" w:hAnsi="Verdana" w:cs="Arial"/>
                <w:color w:val="000000"/>
                <w:lang w:val="it-IT"/>
              </w:rPr>
              <w:t>P</w:t>
            </w:r>
            <w:r>
              <w:rPr>
                <w:rFonts w:ascii="Verdana" w:hAnsi="Verdana" w:cs="Arial"/>
                <w:color w:val="000000"/>
                <w:lang w:val="it-IT"/>
              </w:rPr>
              <w:t>,</w:t>
            </w:r>
            <w:r w:rsidRPr="00737579">
              <w:rPr>
                <w:rFonts w:ascii="Verdana" w:hAnsi="Verdana" w:cs="Arial"/>
                <w:color w:val="000000"/>
                <w:lang w:val="it-IT"/>
              </w:rPr>
              <w:t xml:space="preserve"> Humberto Sierra Porto</w:t>
            </w:r>
          </w:p>
          <w:p w14:paraId="66C772DC" w14:textId="77777777" w:rsidR="00DF3FD9" w:rsidRPr="00737579" w:rsidRDefault="00DF3FD9" w:rsidP="00DF3FD9">
            <w:pPr>
              <w:pStyle w:val="Prrafodelista"/>
              <w:numPr>
                <w:ilvl w:val="0"/>
                <w:numId w:val="17"/>
              </w:numPr>
              <w:rPr>
                <w:rFonts w:ascii="Verdana" w:hAnsi="Verdana"/>
              </w:rPr>
            </w:pPr>
            <w:r w:rsidRPr="00737579">
              <w:rPr>
                <w:rFonts w:ascii="Verdana" w:hAnsi="Verdana" w:cs="Arial"/>
                <w:color w:val="000000"/>
              </w:rPr>
              <w:t xml:space="preserve">Consejo de Estado. Sala de Consulta y Servicio Civil. Concepto del 30 de abril de 2015. Expediente: 2.251. Consejero Ponente: Álvaro </w:t>
            </w:r>
            <w:proofErr w:type="spellStart"/>
            <w:r w:rsidRPr="00737579">
              <w:rPr>
                <w:rFonts w:ascii="Verdana" w:hAnsi="Verdana" w:cs="Arial"/>
                <w:color w:val="000000"/>
              </w:rPr>
              <w:t>Namén</w:t>
            </w:r>
            <w:proofErr w:type="spellEnd"/>
            <w:r w:rsidRPr="00737579">
              <w:rPr>
                <w:rFonts w:ascii="Verdana" w:hAnsi="Verdana" w:cs="Arial"/>
                <w:color w:val="000000"/>
              </w:rPr>
              <w:t xml:space="preserve"> Vargas.</w:t>
            </w:r>
          </w:p>
          <w:p w14:paraId="0C8E3D43" w14:textId="77777777" w:rsidR="00DF3FD9" w:rsidRPr="00737579" w:rsidRDefault="00DF3FD9" w:rsidP="00DF3FD9">
            <w:pPr>
              <w:pStyle w:val="Prrafodelista"/>
              <w:numPr>
                <w:ilvl w:val="0"/>
                <w:numId w:val="17"/>
              </w:numPr>
              <w:rPr>
                <w:rFonts w:ascii="Verdana" w:hAnsi="Verdana"/>
              </w:rPr>
            </w:pPr>
            <w:r w:rsidRPr="00737579">
              <w:rPr>
                <w:rFonts w:ascii="Verdana" w:hAnsi="Verdana"/>
              </w:rPr>
              <w:t>Corte Constitucional. Sentencia C-489/96. M.P: Antonio Barrera Carbonell</w:t>
            </w:r>
          </w:p>
        </w:tc>
      </w:tr>
    </w:tbl>
    <w:p w14:paraId="369DB5CB" w14:textId="77777777" w:rsidR="00DF3FD9" w:rsidRPr="00593A5F" w:rsidRDefault="00DF3FD9" w:rsidP="00DF3FD9">
      <w:pPr>
        <w:widowControl w:val="0"/>
        <w:autoSpaceDE w:val="0"/>
        <w:autoSpaceDN w:val="0"/>
        <w:spacing w:after="0" w:line="276" w:lineRule="auto"/>
        <w:jc w:val="both"/>
        <w:rPr>
          <w:rFonts w:ascii="Verdana" w:hAnsi="Verdana" w:cs="Arial"/>
        </w:rPr>
      </w:pPr>
    </w:p>
    <w:p w14:paraId="5B540276"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0EF6147" w14:textId="77777777" w:rsidR="00DF3FD9" w:rsidRDefault="00DF3FD9" w:rsidP="00DF3FD9">
      <w:pPr>
        <w:widowControl w:val="0"/>
        <w:autoSpaceDE w:val="0"/>
        <w:autoSpaceDN w:val="0"/>
        <w:spacing w:after="0" w:line="276" w:lineRule="auto"/>
        <w:jc w:val="both"/>
        <w:rPr>
          <w:rFonts w:ascii="Verdana" w:hAnsi="Verdana" w:cs="Arial"/>
        </w:rPr>
      </w:pPr>
    </w:p>
    <w:p w14:paraId="3A73B6A9" w14:textId="77777777" w:rsidR="00DF3FD9" w:rsidRPr="00856809" w:rsidRDefault="00DF3FD9" w:rsidP="00DF3FD9">
      <w:pPr>
        <w:tabs>
          <w:tab w:val="left" w:pos="142"/>
          <w:tab w:val="left" w:pos="284"/>
        </w:tabs>
        <w:spacing w:after="0" w:line="276" w:lineRule="auto"/>
        <w:jc w:val="both"/>
        <w:rPr>
          <w:rStyle w:val="normaltextrun"/>
          <w:rFonts w:ascii="Verdana" w:eastAsia="Century Gothic" w:hAnsi="Verdana" w:cs="Century Gothic"/>
          <w:b/>
          <w:bCs/>
          <w:lang w:val="es-ES"/>
        </w:rPr>
      </w:pPr>
      <w:r w:rsidRPr="00856809">
        <w:rPr>
          <w:rStyle w:val="normaltextrun"/>
          <w:rFonts w:ascii="Verdana" w:hAnsi="Verdana" w:cs="Arial"/>
          <w:shd w:val="clear" w:color="auto" w:fill="FFFFFF"/>
          <w:lang w:val="es-ES"/>
        </w:rPr>
        <w:t>Sobre las características de los contratos de prestación de servicios se pronunció esta Subdirección en los conceptos C-024 del 3 de marzo de 2022</w:t>
      </w:r>
      <w:r w:rsidRPr="00856809">
        <w:rPr>
          <w:rStyle w:val="normaltextrun"/>
          <w:rFonts w:ascii="Verdana" w:hAnsi="Verdana" w:cs="Calibri"/>
          <w:shd w:val="clear" w:color="auto" w:fill="FFFFFF"/>
        </w:rPr>
        <w:t xml:space="preserve"> C-311 de 21 de agosto de 2024, C-327 del 26 de agosto de 2024, C- 604 de 25 de octubre de 2024, C-849 del 19 de diciembre de 2024, C-028 del 5 de febrero de 2025, C-037 de 20 de febrero de 2025, C-140 del 14 de marzo de 2025. </w:t>
      </w:r>
      <w:r w:rsidRPr="00856809">
        <w:rPr>
          <w:rFonts w:ascii="Verdana" w:eastAsia="Calibri" w:hAnsi="Verdana" w:cs="Arial"/>
          <w:lang w:val="es-ES_tradnl" w:eastAsia="es-ES_tradnl"/>
        </w:rPr>
        <w:t>Sobre el régimen de inhabilidades e incompatibilidades esta Subdirección se pronunció en los</w:t>
      </w:r>
      <w:r w:rsidRPr="00856809">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856809">
        <w:rPr>
          <w:rFonts w:ascii="Verdana" w:hAnsi="Verdana" w:cs="Arial"/>
        </w:rPr>
        <w:t xml:space="preserve">al radicado </w:t>
      </w:r>
      <w:r w:rsidRPr="00856809">
        <w:rPr>
          <w:rFonts w:ascii="Verdana" w:eastAsia="Aptos" w:hAnsi="Verdana" w:cs="Calibri"/>
        </w:rPr>
        <w:t>P20240308002646 del 24 de abril de 2024,</w:t>
      </w:r>
      <w:r w:rsidRPr="00856809">
        <w:rPr>
          <w:rFonts w:ascii="Verdana" w:eastAsia="Calibri" w:hAnsi="Verdana" w:cs="Arial"/>
          <w:lang w:val="es-MX"/>
        </w:rPr>
        <w:t xml:space="preserve"> el C-039 del 23 de abril de 2024, </w:t>
      </w:r>
      <w:r w:rsidRPr="00856809">
        <w:rPr>
          <w:rFonts w:ascii="Verdana" w:hAnsi="Verdana" w:cs="Arial"/>
        </w:rPr>
        <w:t xml:space="preserve">C-085 del 3 de marzo de 2025 y </w:t>
      </w:r>
      <w:r w:rsidRPr="00856809">
        <w:rPr>
          <w:rFonts w:ascii="Verdana" w:eastAsia="Aptos" w:hAnsi="Verdana" w:cs="Calibri"/>
        </w:rPr>
        <w:t xml:space="preserve">C-170 del 19 de </w:t>
      </w:r>
      <w:r w:rsidRPr="00856809">
        <w:rPr>
          <w:rFonts w:ascii="Verdana" w:eastAsia="Aptos" w:hAnsi="Verdana" w:cs="Calibri"/>
        </w:rPr>
        <w:lastRenderedPageBreak/>
        <w:t>marzo de 2025</w:t>
      </w:r>
      <w:r>
        <w:rPr>
          <w:rFonts w:ascii="Verdana" w:eastAsia="Aptos" w:hAnsi="Verdana" w:cs="Calibri"/>
        </w:rPr>
        <w:t>, C–392 del 8 del mayo de 2025</w:t>
      </w:r>
      <w:r w:rsidRPr="00856809">
        <w:rPr>
          <w:rFonts w:ascii="Verdana" w:eastAsia="Aptos" w:hAnsi="Verdana" w:cs="Calibri"/>
        </w:rPr>
        <w:t>.</w:t>
      </w:r>
      <w:r>
        <w:rPr>
          <w:rFonts w:ascii="Verdana" w:eastAsia="Aptos" w:hAnsi="Verdana" w:cs="Calibri"/>
        </w:rPr>
        <w:t xml:space="preserve"> </w:t>
      </w:r>
      <w:r w:rsidRPr="00856809">
        <w:rPr>
          <w:rStyle w:val="normaltextrun"/>
          <w:rFonts w:ascii="Verdana" w:hAnsi="Verdana" w:cs="Arial"/>
          <w:shd w:val="clear" w:color="auto" w:fill="FFFFFF"/>
          <w:lang w:val="es-ES"/>
        </w:rPr>
        <w:t>Es</w:t>
      </w:r>
      <w:r w:rsidRPr="00856809">
        <w:rPr>
          <w:rFonts w:ascii="Verdana" w:hAnsi="Verdana"/>
        </w:rPr>
        <w:t>tos y otros conceptos se encuentran disponibles para consulta en el Sistema de relatoría de la Agencia, al cual se puede acceder a través del siguiente enlace:</w:t>
      </w:r>
      <w:r w:rsidRPr="00856809">
        <w:rPr>
          <w:rStyle w:val="normaltextrun"/>
          <w:rFonts w:ascii="Verdana" w:hAnsi="Verdana" w:cs="Arial"/>
          <w:shd w:val="clear" w:color="auto" w:fill="FFFFFF"/>
          <w:lang w:val="es-ES"/>
        </w:rPr>
        <w:t xml:space="preserve"> </w:t>
      </w:r>
      <w:hyperlink r:id="rId11" w:history="1">
        <w:r w:rsidRPr="00856809">
          <w:rPr>
            <w:rStyle w:val="Hipervnculo"/>
            <w:rFonts w:ascii="Verdana" w:hAnsi="Verdana" w:cs="Arial"/>
            <w:shd w:val="clear" w:color="auto" w:fill="FFFFFF"/>
            <w:lang w:val="es-ES"/>
          </w:rPr>
          <w:t>https://relatoria.colombiacompra.gov.co/busqueda/conceptos</w:t>
        </w:r>
      </w:hyperlink>
      <w:r w:rsidRPr="00856809">
        <w:rPr>
          <w:rStyle w:val="normaltextrun"/>
          <w:rFonts w:ascii="Verdana" w:hAnsi="Verdana" w:cs="Arial"/>
          <w:color w:val="FF0000"/>
          <w:shd w:val="clear" w:color="auto" w:fill="FFFFFF"/>
          <w:lang w:val="es-ES"/>
        </w:rPr>
        <w:t xml:space="preserve">. </w:t>
      </w:r>
    </w:p>
    <w:p w14:paraId="04335162" w14:textId="77777777" w:rsidR="00DF3FD9" w:rsidRPr="00856809" w:rsidRDefault="00DF3FD9" w:rsidP="00DF3FD9">
      <w:pPr>
        <w:pStyle w:val="Prrafodelista"/>
        <w:widowControl w:val="0"/>
        <w:autoSpaceDE w:val="0"/>
        <w:autoSpaceDN w:val="0"/>
        <w:spacing w:after="0" w:line="276" w:lineRule="auto"/>
        <w:ind w:left="6601"/>
        <w:jc w:val="both"/>
        <w:rPr>
          <w:rStyle w:val="normaltextrun"/>
          <w:rFonts w:ascii="Verdana" w:hAnsi="Verdana" w:cs="Arial"/>
          <w:color w:val="FF0000"/>
          <w:shd w:val="clear" w:color="auto" w:fill="FFFFFF"/>
        </w:rPr>
      </w:pPr>
    </w:p>
    <w:p w14:paraId="3FC5C3DD"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Por último, lo invitamos a seguirnos en las redes sociales en las cuales se difunde información institucional: </w:t>
      </w:r>
    </w:p>
    <w:p w14:paraId="20F7D605" w14:textId="77777777" w:rsidR="00DF3FD9" w:rsidRPr="009F5D48" w:rsidRDefault="00DF3FD9" w:rsidP="00DF3FD9">
      <w:pPr>
        <w:spacing w:after="0" w:line="276" w:lineRule="auto"/>
        <w:jc w:val="both"/>
        <w:rPr>
          <w:rFonts w:ascii="Verdana" w:hAnsi="Verdana"/>
        </w:rPr>
      </w:pPr>
    </w:p>
    <w:p w14:paraId="5EDA4466"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Twitter: </w:t>
      </w:r>
      <w:r w:rsidRPr="009F5D48">
        <w:rPr>
          <w:rStyle w:val="Hipervnculo"/>
          <w:rFonts w:ascii="Verdana" w:hAnsi="Verdana"/>
          <w:color w:val="4472C4" w:themeColor="accent1"/>
        </w:rPr>
        <w:t>@colombiacompra</w:t>
      </w:r>
      <w:r w:rsidRPr="009F5D48">
        <w:rPr>
          <w:rFonts w:ascii="Verdana" w:hAnsi="Verdana"/>
          <w:color w:val="4472C4" w:themeColor="accent1"/>
        </w:rPr>
        <w:t xml:space="preserve"> </w:t>
      </w:r>
    </w:p>
    <w:p w14:paraId="767EDAF0"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Facebook: </w:t>
      </w:r>
      <w:proofErr w:type="spellStart"/>
      <w:r w:rsidRPr="009F5D48">
        <w:rPr>
          <w:rStyle w:val="Hipervnculo"/>
          <w:rFonts w:ascii="Verdana" w:hAnsi="Verdana"/>
          <w:color w:val="4472C4" w:themeColor="accent1"/>
        </w:rPr>
        <w:t>ColombiaCompraEficiente</w:t>
      </w:r>
      <w:proofErr w:type="spellEnd"/>
    </w:p>
    <w:p w14:paraId="7BA219E0"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LinkedIn: </w:t>
      </w:r>
      <w:r w:rsidRPr="009F5D48">
        <w:rPr>
          <w:rStyle w:val="Hipervnculo"/>
          <w:rFonts w:ascii="Verdana" w:hAnsi="Verdana"/>
          <w:color w:val="4472C4" w:themeColor="accent1"/>
        </w:rPr>
        <w:t>Agencia Nacional de Contratación Pública - Colombia Compra Eficiente</w:t>
      </w:r>
      <w:r w:rsidRPr="009F5D48">
        <w:rPr>
          <w:rFonts w:ascii="Verdana" w:hAnsi="Verdana"/>
          <w:color w:val="4472C4" w:themeColor="accent1"/>
        </w:rPr>
        <w:t xml:space="preserve"> </w:t>
      </w:r>
      <w:r w:rsidRPr="009F5D48">
        <w:rPr>
          <w:rFonts w:ascii="Verdana" w:hAnsi="Verdana"/>
        </w:rPr>
        <w:t xml:space="preserve">Instagram: </w:t>
      </w:r>
      <w:r w:rsidRPr="009F5D48">
        <w:rPr>
          <w:rStyle w:val="Hipervnculo"/>
          <w:rFonts w:ascii="Verdana" w:hAnsi="Verdana"/>
          <w:color w:val="4472C4" w:themeColor="accent1"/>
        </w:rPr>
        <w:t>@colombiacompraeficiente_cce</w:t>
      </w:r>
    </w:p>
    <w:p w14:paraId="14C7ADC6" w14:textId="77777777" w:rsidR="00DF3FD9" w:rsidRPr="009F5D48" w:rsidRDefault="00DF3FD9" w:rsidP="00DF3FD9">
      <w:pPr>
        <w:widowControl w:val="0"/>
        <w:autoSpaceDE w:val="0"/>
        <w:autoSpaceDN w:val="0"/>
        <w:spacing w:after="0" w:line="276" w:lineRule="auto"/>
        <w:jc w:val="both"/>
        <w:rPr>
          <w:rFonts w:ascii="Verdana" w:hAnsi="Verdana" w:cs="Arial"/>
        </w:rPr>
      </w:pPr>
    </w:p>
    <w:p w14:paraId="4B624119" w14:textId="77777777" w:rsidR="00DF3FD9" w:rsidRPr="009F5D48" w:rsidRDefault="00DF3FD9" w:rsidP="00DF3FD9">
      <w:pPr>
        <w:widowControl w:val="0"/>
        <w:autoSpaceDE w:val="0"/>
        <w:autoSpaceDN w:val="0"/>
        <w:spacing w:after="0" w:line="276" w:lineRule="auto"/>
        <w:jc w:val="both"/>
        <w:rPr>
          <w:rFonts w:ascii="Verdana" w:hAnsi="Verdana" w:cs="Arial"/>
          <w:lang w:val="es-ES_tradnl"/>
        </w:rPr>
      </w:pPr>
      <w:r w:rsidRPr="009F5D48">
        <w:rPr>
          <w:rFonts w:ascii="Verdana" w:hAnsi="Verdana" w:cs="Arial"/>
        </w:rPr>
        <w:t xml:space="preserve">Este concepto tiene el alcance previsto en el artículo 28 del Código de Procedimiento Administrativo y de lo Contencioso Administrativo </w:t>
      </w:r>
      <w:r w:rsidRPr="009F5D48">
        <w:rPr>
          <w:rFonts w:ascii="Verdana" w:hAnsi="Verdana" w:cs="Arial"/>
          <w:lang w:val="es-ES_tradnl"/>
        </w:rPr>
        <w:t>y las expresiones aquí utilizadas con mayúscula inicial deben ser entendidas con el significado que les otorga el artículo 2.2.1.1.1.3.1. del Decreto 1082 de 2015.</w:t>
      </w:r>
    </w:p>
    <w:p w14:paraId="13683074" w14:textId="77777777" w:rsidR="00DF3FD9" w:rsidRPr="009F5D48" w:rsidRDefault="00DF3FD9" w:rsidP="00DF3FD9">
      <w:pPr>
        <w:widowControl w:val="0"/>
        <w:autoSpaceDE w:val="0"/>
        <w:autoSpaceDN w:val="0"/>
        <w:spacing w:after="0" w:line="276" w:lineRule="auto"/>
        <w:jc w:val="both"/>
        <w:rPr>
          <w:rFonts w:ascii="Verdana" w:hAnsi="Verdana" w:cs="Arial"/>
        </w:rPr>
      </w:pPr>
    </w:p>
    <w:p w14:paraId="1F1799D9" w14:textId="77777777" w:rsidR="00DF3FD9" w:rsidRPr="009F5D48" w:rsidRDefault="00DF3FD9" w:rsidP="00DF3FD9">
      <w:pPr>
        <w:spacing w:after="0" w:line="276" w:lineRule="auto"/>
        <w:jc w:val="both"/>
        <w:rPr>
          <w:rFonts w:ascii="Verdana" w:hAnsi="Verdana" w:cs="Arial"/>
          <w:lang w:eastAsia="es-CO"/>
        </w:rPr>
      </w:pPr>
      <w:r w:rsidRPr="009F5D48">
        <w:rPr>
          <w:rFonts w:ascii="Verdana" w:eastAsia="Times New Roman" w:hAnsi="Verdana" w:cs="Arial"/>
          <w:lang w:eastAsia="es-CO"/>
        </w:rPr>
        <w:t>Atentamente,</w:t>
      </w:r>
      <w:r w:rsidRPr="009F5D48">
        <w:rPr>
          <w:rFonts w:ascii="Verdana" w:hAnsi="Verdana" w:cs="Arial"/>
          <w:lang w:eastAsia="es-CO"/>
        </w:rPr>
        <w:t xml:space="preserve"> </w:t>
      </w:r>
    </w:p>
    <w:p w14:paraId="6775ED26" w14:textId="20CAB469" w:rsidR="00DF3FD9" w:rsidRPr="00593A5F" w:rsidRDefault="006B714E" w:rsidP="006B714E">
      <w:pPr>
        <w:widowControl w:val="0"/>
        <w:autoSpaceDE w:val="0"/>
        <w:autoSpaceDN w:val="0"/>
        <w:spacing w:after="0" w:line="276" w:lineRule="auto"/>
        <w:jc w:val="center"/>
        <w:rPr>
          <w:rFonts w:ascii="Verdana" w:hAnsi="Verdana" w:cs="Arial"/>
        </w:rPr>
      </w:pPr>
      <w:r w:rsidRPr="002C3AD6">
        <w:rPr>
          <w:rFonts w:ascii="Century Gothic" w:hAnsi="Century Gothic"/>
          <w:noProof/>
        </w:rPr>
        <w:drawing>
          <wp:inline distT="0" distB="0" distL="0" distR="0" wp14:anchorId="1B77D4E6" wp14:editId="5F2F2A3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3217CA69" w14:textId="06155C6B" w:rsidR="00DF3FD9" w:rsidRPr="00593A5F" w:rsidRDefault="00DF3FD9" w:rsidP="00DF3FD9">
      <w:pPr>
        <w:spacing w:line="276" w:lineRule="auto"/>
        <w:jc w:val="center"/>
        <w:rPr>
          <w:rFonts w:ascii="Verdana" w:hAnsi="Verdana" w:cs="Arial"/>
          <w:color w:val="000000"/>
          <w:lang w:val="es-ES_tradnl" w:eastAsia="es-CO"/>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3FD9" w:rsidRPr="00EA1223" w14:paraId="74A81E60" w14:textId="77777777" w:rsidTr="000A5ACE">
        <w:trPr>
          <w:trHeight w:val="315"/>
        </w:trPr>
        <w:tc>
          <w:tcPr>
            <w:tcW w:w="893" w:type="dxa"/>
            <w:vAlign w:val="center"/>
            <w:hideMark/>
          </w:tcPr>
          <w:p w14:paraId="55BCDE6F"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AE1C52" w14:textId="77777777" w:rsidR="00DF3FD9" w:rsidRPr="00EA1223" w:rsidRDefault="00DF3FD9" w:rsidP="000A5ACE">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37814105" w14:textId="77777777" w:rsidR="00DF3FD9" w:rsidRPr="00EA1223" w:rsidRDefault="00DF3FD9" w:rsidP="000A5ACE">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DF3FD9" w:rsidRPr="00EA1223" w14:paraId="1118D22C" w14:textId="77777777" w:rsidTr="000A5ACE">
        <w:trPr>
          <w:trHeight w:val="330"/>
        </w:trPr>
        <w:tc>
          <w:tcPr>
            <w:tcW w:w="893" w:type="dxa"/>
            <w:vAlign w:val="center"/>
            <w:hideMark/>
          </w:tcPr>
          <w:p w14:paraId="70A2469A"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7B7A35" w14:textId="77777777" w:rsidR="00DF3FD9" w:rsidRPr="00EA1223" w:rsidRDefault="00DF3FD9" w:rsidP="000A5ACE">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480C0B43" w14:textId="77777777" w:rsidR="00DF3FD9" w:rsidRPr="00EA1223" w:rsidRDefault="00DF3FD9" w:rsidP="000A5ACE">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DF3FD9" w:rsidRPr="00EA1223" w14:paraId="052E5EE1" w14:textId="77777777" w:rsidTr="000A5ACE">
        <w:trPr>
          <w:trHeight w:val="300"/>
        </w:trPr>
        <w:tc>
          <w:tcPr>
            <w:tcW w:w="893" w:type="dxa"/>
            <w:vAlign w:val="center"/>
          </w:tcPr>
          <w:p w14:paraId="0043AABE"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EF9FCD0" w14:textId="77777777" w:rsidR="00DF3FD9" w:rsidRPr="00EA1223" w:rsidRDefault="00DF3FD9" w:rsidP="000A5ACE">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17647D7A" w14:textId="77777777" w:rsidR="00DF3FD9" w:rsidRPr="00EA1223" w:rsidRDefault="00DF3FD9" w:rsidP="000A5ACE">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5EFAA1FF" w14:textId="77777777" w:rsidR="00DF3FD9" w:rsidRPr="00593A5F" w:rsidRDefault="00DF3FD9" w:rsidP="00DF3FD9">
      <w:pPr>
        <w:spacing w:after="0" w:line="240" w:lineRule="auto"/>
        <w:rPr>
          <w:rFonts w:ascii="Verdana" w:eastAsia="Times New Roman" w:hAnsi="Verdana" w:cs="Arial"/>
          <w:sz w:val="24"/>
          <w:szCs w:val="24"/>
          <w:lang w:eastAsia="es-ES"/>
        </w:rPr>
      </w:pPr>
    </w:p>
    <w:p w14:paraId="50259FAF" w14:textId="77777777" w:rsidR="00DF3FD9" w:rsidRPr="00871B59" w:rsidRDefault="00DF3FD9" w:rsidP="00DF3FD9"/>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FFFD9" w14:textId="77777777" w:rsidR="00281910" w:rsidRDefault="00281910" w:rsidP="004A1847">
      <w:pPr>
        <w:spacing w:after="0" w:line="240" w:lineRule="auto"/>
      </w:pPr>
      <w:r>
        <w:separator/>
      </w:r>
    </w:p>
  </w:endnote>
  <w:endnote w:type="continuationSeparator" w:id="0">
    <w:p w14:paraId="31EECEC4" w14:textId="77777777" w:rsidR="00281910" w:rsidRDefault="0028191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E3DCA" w14:textId="77777777" w:rsidR="00281910" w:rsidRDefault="00281910" w:rsidP="004A1847">
      <w:pPr>
        <w:spacing w:after="0" w:line="240" w:lineRule="auto"/>
      </w:pPr>
      <w:r>
        <w:separator/>
      </w:r>
    </w:p>
  </w:footnote>
  <w:footnote w:type="continuationSeparator" w:id="0">
    <w:p w14:paraId="2C6820D5" w14:textId="77777777" w:rsidR="00281910" w:rsidRDefault="00281910" w:rsidP="004A1847">
      <w:pPr>
        <w:spacing w:after="0" w:line="240" w:lineRule="auto"/>
      </w:pPr>
      <w:r>
        <w:continuationSeparator/>
      </w:r>
    </w:p>
  </w:footnote>
  <w:footnote w:id="1">
    <w:p w14:paraId="326E7042" w14:textId="77777777" w:rsidR="00DF3FD9" w:rsidRPr="00097DBE" w:rsidRDefault="00DF3FD9" w:rsidP="00DF3FD9">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2"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2"/>
      <w:r w:rsidRPr="00097DBE">
        <w:rPr>
          <w:rFonts w:ascii="Verdana" w:hAnsi="Verdana" w:cs="Arial"/>
          <w:sz w:val="16"/>
          <w:szCs w:val="16"/>
        </w:rPr>
        <w:t>.</w:t>
      </w:r>
    </w:p>
    <w:p w14:paraId="51D553F7" w14:textId="77777777" w:rsidR="00DF3FD9" w:rsidRPr="00097DBE" w:rsidRDefault="00DF3FD9" w:rsidP="00DF3FD9">
      <w:pPr>
        <w:pStyle w:val="Textonotapie"/>
        <w:rPr>
          <w:rFonts w:ascii="Verdana" w:hAnsi="Verdana"/>
          <w:sz w:val="16"/>
          <w:szCs w:val="16"/>
          <w:lang w:val="es-ES"/>
        </w:rPr>
      </w:pPr>
    </w:p>
  </w:footnote>
  <w:footnote w:id="2">
    <w:p w14:paraId="00030938" w14:textId="77777777" w:rsidR="00DF3FD9" w:rsidRPr="00A56FFA" w:rsidRDefault="00DF3FD9" w:rsidP="00DF3FD9">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3">
    <w:p w14:paraId="0F855EB2" w14:textId="77777777" w:rsidR="00DF3FD9" w:rsidRPr="00097DBE" w:rsidRDefault="00DF3FD9" w:rsidP="00DF3FD9">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0A8E92BC" w14:textId="77777777" w:rsidR="00DF3FD9" w:rsidRPr="00097DBE" w:rsidRDefault="00DF3FD9" w:rsidP="00DF3FD9">
      <w:pPr>
        <w:pStyle w:val="Textonotapie"/>
        <w:ind w:firstLine="709"/>
        <w:contextualSpacing/>
        <w:jc w:val="both"/>
        <w:rPr>
          <w:rFonts w:ascii="Verdana" w:hAnsi="Verdana" w:cs="Arial"/>
          <w:sz w:val="16"/>
          <w:szCs w:val="16"/>
          <w:lang w:val="es-ES"/>
        </w:rPr>
      </w:pPr>
    </w:p>
  </w:footnote>
  <w:footnote w:id="4">
    <w:p w14:paraId="1A9FDCDE" w14:textId="77777777" w:rsidR="00DF3FD9" w:rsidRPr="00C0717E" w:rsidRDefault="00DF3FD9" w:rsidP="00DF3FD9">
      <w:pPr>
        <w:spacing w:after="0" w:line="240" w:lineRule="auto"/>
        <w:contextualSpacing/>
        <w:jc w:val="both"/>
        <w:rPr>
          <w:rFonts w:ascii="Verdana" w:hAnsi="Verdana"/>
          <w:sz w:val="18"/>
          <w:szCs w:val="18"/>
        </w:rPr>
      </w:pPr>
    </w:p>
  </w:footnote>
  <w:footnote w:id="5">
    <w:p w14:paraId="01E900E2"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2D387AB"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808858B"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29F8010F" w14:textId="77777777" w:rsidR="00DF3FD9" w:rsidRPr="00C0717E" w:rsidRDefault="00DF3FD9" w:rsidP="00DF3FD9">
      <w:pPr>
        <w:pStyle w:val="Textonotapie"/>
        <w:ind w:firstLine="709"/>
        <w:contextualSpacing/>
        <w:jc w:val="both"/>
        <w:rPr>
          <w:rFonts w:ascii="Verdana" w:hAnsi="Verdana" w:cs="Arial"/>
          <w:color w:val="000000"/>
          <w:sz w:val="18"/>
          <w:szCs w:val="18"/>
          <w:lang w:val="es-ES"/>
        </w:rPr>
      </w:pPr>
    </w:p>
  </w:footnote>
  <w:footnote w:id="6">
    <w:p w14:paraId="2A4D74F1"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7">
    <w:p w14:paraId="788C08E1" w14:textId="77777777" w:rsidR="00DF3FD9" w:rsidRPr="00097DBE" w:rsidRDefault="00DF3FD9" w:rsidP="00DF3FD9">
      <w:pPr>
        <w:spacing w:after="0" w:line="240" w:lineRule="auto"/>
        <w:contextualSpacing/>
        <w:jc w:val="both"/>
        <w:rPr>
          <w:rFonts w:ascii="Verdana" w:hAnsi="Verdana"/>
          <w:sz w:val="16"/>
          <w:szCs w:val="16"/>
        </w:rPr>
      </w:pPr>
    </w:p>
  </w:footnote>
  <w:footnote w:id="8">
    <w:p w14:paraId="2F3D9CF2" w14:textId="77777777" w:rsidR="00DF3FD9" w:rsidRPr="00097DBE" w:rsidRDefault="00DF3FD9" w:rsidP="00DF3FD9">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69BAB778"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B1D6257"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71528516"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05C882E6" w14:textId="77777777" w:rsidR="00DF3FD9" w:rsidRPr="00097DBE" w:rsidRDefault="00DF3FD9" w:rsidP="00DF3FD9">
      <w:pPr>
        <w:pStyle w:val="Textonotapie"/>
        <w:ind w:firstLine="709"/>
        <w:contextualSpacing/>
        <w:jc w:val="both"/>
        <w:rPr>
          <w:rFonts w:ascii="Verdana" w:hAnsi="Verdana" w:cs="Arial"/>
          <w:sz w:val="16"/>
          <w:szCs w:val="16"/>
          <w:lang w:val="es-ES"/>
        </w:rPr>
      </w:pPr>
    </w:p>
  </w:footnote>
  <w:footnote w:id="9">
    <w:p w14:paraId="7852663A"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0C28B383"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107B6669"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69147800"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514C7822" w14:textId="77777777" w:rsidR="00DF3FD9" w:rsidRPr="00C0717E" w:rsidRDefault="00DF3FD9" w:rsidP="00DF3FD9">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7DA98BE9"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6C69687F" w14:textId="77777777" w:rsidR="00DF3FD9" w:rsidRPr="00441AF3" w:rsidRDefault="00DF3FD9" w:rsidP="00DF3FD9">
      <w:pPr>
        <w:pStyle w:val="Textonotapie"/>
        <w:contextualSpacing/>
        <w:jc w:val="both"/>
        <w:rPr>
          <w:rFonts w:ascii="Verdana" w:hAnsi="Verdana" w:cs="Arial"/>
          <w:sz w:val="16"/>
          <w:szCs w:val="16"/>
        </w:rPr>
      </w:pPr>
    </w:p>
    <w:p w14:paraId="22DABDE9"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3CB44B2B"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6BB47AF3"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5DD9D50"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21E8C23B"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797025CD" w14:textId="77777777" w:rsidR="00DF3FD9" w:rsidRPr="00441AF3" w:rsidRDefault="00DF3FD9" w:rsidP="00DF3FD9">
      <w:pPr>
        <w:pStyle w:val="Textonotapie"/>
        <w:ind w:firstLine="709"/>
        <w:contextualSpacing/>
        <w:jc w:val="both"/>
        <w:rPr>
          <w:rFonts w:ascii="Verdana" w:hAnsi="Verdana" w:cs="Arial"/>
          <w:sz w:val="16"/>
          <w:szCs w:val="16"/>
          <w:lang w:val="es-ES"/>
        </w:rPr>
      </w:pPr>
    </w:p>
  </w:footnote>
  <w:footnote w:id="11">
    <w:p w14:paraId="5E67178A"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33FF02E4" w14:textId="77777777" w:rsidR="00DF3FD9" w:rsidRPr="00441AF3" w:rsidRDefault="00DF3FD9" w:rsidP="00DF3FD9">
      <w:pPr>
        <w:pStyle w:val="Textonotapie"/>
        <w:ind w:firstLine="709"/>
        <w:contextualSpacing/>
        <w:jc w:val="both"/>
        <w:rPr>
          <w:rFonts w:ascii="Verdana" w:hAnsi="Verdana" w:cs="Arial"/>
          <w:sz w:val="16"/>
          <w:szCs w:val="16"/>
          <w:lang w:val="es-ES"/>
        </w:rPr>
      </w:pPr>
    </w:p>
  </w:footnote>
  <w:footnote w:id="12">
    <w:p w14:paraId="591EC509" w14:textId="77777777" w:rsidR="00DF3FD9" w:rsidRPr="00441AF3" w:rsidRDefault="00DF3FD9" w:rsidP="00DF3FD9">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C79CCCE" w14:textId="77777777" w:rsidR="00DF3FD9" w:rsidRPr="00C0717E" w:rsidRDefault="00DF3FD9" w:rsidP="00DF3FD9">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7B2A8D8" w14:textId="77777777" w:rsidR="00DF3FD9" w:rsidRPr="00C0717E" w:rsidRDefault="00DF3FD9" w:rsidP="00DF3FD9">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5C042E2C" w14:textId="77777777" w:rsidR="00DF3FD9" w:rsidRPr="00C0717E" w:rsidRDefault="00DF3FD9" w:rsidP="00DF3FD9">
      <w:pPr>
        <w:pStyle w:val="Textonotapie"/>
        <w:ind w:firstLine="709"/>
        <w:contextualSpacing/>
        <w:jc w:val="both"/>
        <w:rPr>
          <w:rFonts w:ascii="Verdana" w:hAnsi="Verdana" w:cs="Arial"/>
          <w:sz w:val="18"/>
          <w:szCs w:val="18"/>
          <w:lang w:val="es-ES"/>
        </w:rPr>
      </w:pPr>
    </w:p>
  </w:footnote>
  <w:footnote w:id="13">
    <w:p w14:paraId="276C47AB" w14:textId="77777777" w:rsidR="00DF3FD9" w:rsidRPr="00441AF3" w:rsidRDefault="00DF3FD9" w:rsidP="00DF3FD9">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0006445D" w14:textId="77777777" w:rsidR="00DF3FD9" w:rsidRPr="00E478A7" w:rsidRDefault="00DF3FD9" w:rsidP="00DF3FD9">
      <w:pPr>
        <w:pStyle w:val="Textonotapie"/>
        <w:ind w:firstLine="709"/>
        <w:contextualSpacing/>
        <w:jc w:val="both"/>
        <w:rPr>
          <w:rFonts w:ascii="Verdana" w:hAnsi="Verdana" w:cs="Arial"/>
          <w:sz w:val="18"/>
          <w:szCs w:val="18"/>
          <w:lang w:val="es-ES"/>
        </w:rPr>
      </w:pPr>
    </w:p>
  </w:footnote>
  <w:footnote w:id="14">
    <w:p w14:paraId="0B796414" w14:textId="77777777" w:rsidR="00DF3FD9" w:rsidRPr="007F6E1C" w:rsidRDefault="00DF3FD9" w:rsidP="00DF3FD9">
      <w:pPr>
        <w:pStyle w:val="Textonotapie"/>
        <w:rPr>
          <w:lang w:val="es-ES"/>
        </w:rPr>
      </w:pPr>
      <w:bookmarkStart w:id="3" w:name="_Hlk194585808"/>
      <w:r w:rsidRPr="00E478A7">
        <w:rPr>
          <w:rStyle w:val="Refdenotaalpie"/>
          <w:rFonts w:ascii="Verdana" w:hAnsi="Verdana"/>
          <w:sz w:val="18"/>
          <w:szCs w:val="18"/>
        </w:rPr>
        <w:footnoteRef/>
      </w:r>
      <w:r w:rsidRPr="00E478A7">
        <w:rPr>
          <w:rFonts w:ascii="Verdana" w:hAnsi="Verdana"/>
          <w:sz w:val="18"/>
          <w:szCs w:val="18"/>
        </w:rPr>
        <w:t xml:space="preserve"> </w:t>
      </w:r>
      <w:r w:rsidRPr="00E478A7">
        <w:rPr>
          <w:rFonts w:ascii="Verdana" w:hAnsi="Verdana"/>
          <w:sz w:val="18"/>
          <w:szCs w:val="18"/>
          <w:lang w:val="es-ES"/>
        </w:rPr>
        <w:t>Corte Constitucional. Sentencia C-489/96. M.P: Antonio Barrera Carbonell</w:t>
      </w:r>
      <w:bookmarkEnd w:id="3"/>
    </w:p>
  </w:footnote>
  <w:footnote w:id="15">
    <w:p w14:paraId="4B0100E6"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008C5071"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p>
  </w:footnote>
  <w:footnote w:id="16">
    <w:p w14:paraId="21F6BAFF" w14:textId="77777777" w:rsidR="00DF3FD9" w:rsidRPr="001A625A" w:rsidRDefault="00DF3FD9" w:rsidP="00DF3FD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1170881B" w14:textId="77777777" w:rsidR="00DF3FD9" w:rsidRPr="001A625A" w:rsidRDefault="00DF3FD9" w:rsidP="00DF3FD9">
      <w:pPr>
        <w:pStyle w:val="Textonotapie"/>
        <w:ind w:firstLine="709"/>
        <w:jc w:val="both"/>
        <w:rPr>
          <w:rFonts w:ascii="Verdana" w:hAnsi="Verdana" w:cs="Arial"/>
          <w:color w:val="000000" w:themeColor="text1"/>
          <w:sz w:val="16"/>
          <w:szCs w:val="16"/>
          <w:lang w:val="es-CO"/>
        </w:rPr>
      </w:pPr>
    </w:p>
  </w:footnote>
  <w:footnote w:id="17">
    <w:p w14:paraId="25222D05" w14:textId="77777777" w:rsidR="00DF3FD9" w:rsidRPr="001A625A" w:rsidRDefault="00DF3FD9" w:rsidP="00DF3FD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2B25D34D" w14:textId="77777777" w:rsidR="00DF3FD9" w:rsidRPr="001A625A" w:rsidRDefault="00DF3FD9" w:rsidP="00DF3FD9">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18">
    <w:p w14:paraId="6527EED3"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4801FF8A"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p>
  </w:footnote>
  <w:footnote w:id="19">
    <w:p w14:paraId="0FB51C10"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 xml:space="preserve">Corte Constitucional. Sentencia T-1039 de 2006. </w:t>
      </w:r>
      <w:r w:rsidRPr="00140995">
        <w:rPr>
          <w:rFonts w:ascii="Verdana" w:hAnsi="Verdana" w:cs="Arial"/>
          <w:color w:val="000000"/>
          <w:sz w:val="16"/>
          <w:szCs w:val="16"/>
          <w:lang w:val="it-IT"/>
        </w:rPr>
        <w:t xml:space="preserve">Magistrado Ponente: Humberto Sierra Porto. </w:t>
      </w:r>
      <w:r w:rsidRPr="00140995">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32025DDE"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p>
  </w:footnote>
  <w:footnote w:id="20">
    <w:p w14:paraId="1FD7CF23"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Consejo de Estado. Sala de Consulta y Servicio Civil. Concepto del 30 de abril de 2015. Expediente: 2.251. Consejero Ponente: Álvaro Namén Vargas.</w:t>
      </w:r>
    </w:p>
    <w:p w14:paraId="3532421D"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2.55pt;height:12.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EFB3685"/>
    <w:multiLevelType w:val="hybridMultilevel"/>
    <w:tmpl w:val="67F22258"/>
    <w:lvl w:ilvl="0" w:tplc="A75265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9F14D9"/>
    <w:multiLevelType w:val="hybridMultilevel"/>
    <w:tmpl w:val="842ABA9C"/>
    <w:lvl w:ilvl="0" w:tplc="EB06FEE0">
      <w:start w:val="2"/>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692001641">
    <w:abstractNumId w:val="4"/>
  </w:num>
  <w:num w:numId="19" w16cid:durableId="1312828074">
    <w:abstractNumId w:val="11"/>
  </w:num>
  <w:num w:numId="20" w16cid:durableId="197335966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81910"/>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6F6D"/>
    <w:rsid w:val="004A1847"/>
    <w:rsid w:val="004A305D"/>
    <w:rsid w:val="004F21C4"/>
    <w:rsid w:val="004F685F"/>
    <w:rsid w:val="00535B92"/>
    <w:rsid w:val="005566E8"/>
    <w:rsid w:val="005639E8"/>
    <w:rsid w:val="00574867"/>
    <w:rsid w:val="00591460"/>
    <w:rsid w:val="005A65E0"/>
    <w:rsid w:val="005C3777"/>
    <w:rsid w:val="005C5CDC"/>
    <w:rsid w:val="005D476C"/>
    <w:rsid w:val="00615D73"/>
    <w:rsid w:val="006200BF"/>
    <w:rsid w:val="006219F8"/>
    <w:rsid w:val="006302F7"/>
    <w:rsid w:val="00646B9F"/>
    <w:rsid w:val="00665D70"/>
    <w:rsid w:val="006900D9"/>
    <w:rsid w:val="006B714E"/>
    <w:rsid w:val="00706C16"/>
    <w:rsid w:val="00733C0B"/>
    <w:rsid w:val="007340C3"/>
    <w:rsid w:val="0075235A"/>
    <w:rsid w:val="00756841"/>
    <w:rsid w:val="007649AB"/>
    <w:rsid w:val="00771D0C"/>
    <w:rsid w:val="00772B36"/>
    <w:rsid w:val="007833AC"/>
    <w:rsid w:val="007B268C"/>
    <w:rsid w:val="007B7171"/>
    <w:rsid w:val="007C0C0F"/>
    <w:rsid w:val="007C3DC2"/>
    <w:rsid w:val="007E075F"/>
    <w:rsid w:val="007E5497"/>
    <w:rsid w:val="007F51B9"/>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66C8C"/>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3655F"/>
    <w:rsid w:val="00D423A2"/>
    <w:rsid w:val="00D44E26"/>
    <w:rsid w:val="00D520D8"/>
    <w:rsid w:val="00D63AC2"/>
    <w:rsid w:val="00D7383B"/>
    <w:rsid w:val="00D7788A"/>
    <w:rsid w:val="00DA231B"/>
    <w:rsid w:val="00DC39FC"/>
    <w:rsid w:val="00DF3FD9"/>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7F8B"/>
    <w:rsid w:val="00EE1AA8"/>
    <w:rsid w:val="00F20F73"/>
    <w:rsid w:val="00F23FEA"/>
    <w:rsid w:val="00F31EDC"/>
    <w:rsid w:val="00F462B3"/>
    <w:rsid w:val="00F5664F"/>
    <w:rsid w:val="00F666C4"/>
    <w:rsid w:val="00F76AFC"/>
    <w:rsid w:val="00FA47C0"/>
    <w:rsid w:val="00FB5DD1"/>
    <w:rsid w:val="00FC2B5D"/>
    <w:rsid w:val="00FF1449"/>
    <w:rsid w:val="00FF7963"/>
    <w:rsid w:val="01F1D2C5"/>
    <w:rsid w:val="05E94DA2"/>
    <w:rsid w:val="09908A09"/>
    <w:rsid w:val="0D5D88DC"/>
    <w:rsid w:val="120716E3"/>
    <w:rsid w:val="13CFC91B"/>
    <w:rsid w:val="14611165"/>
    <w:rsid w:val="159136B9"/>
    <w:rsid w:val="15E16A13"/>
    <w:rsid w:val="161DEDB1"/>
    <w:rsid w:val="19A2EC2C"/>
    <w:rsid w:val="219DBBEF"/>
    <w:rsid w:val="2602B8CD"/>
    <w:rsid w:val="27BB50FF"/>
    <w:rsid w:val="2859CA1B"/>
    <w:rsid w:val="2B5FA8E9"/>
    <w:rsid w:val="2BF774F0"/>
    <w:rsid w:val="32A4F9CF"/>
    <w:rsid w:val="34D5D1A5"/>
    <w:rsid w:val="356CEDFD"/>
    <w:rsid w:val="42C75114"/>
    <w:rsid w:val="4C1110DF"/>
    <w:rsid w:val="51DFC675"/>
    <w:rsid w:val="537D06CF"/>
    <w:rsid w:val="58CA7363"/>
    <w:rsid w:val="6139EFDC"/>
    <w:rsid w:val="6555C07F"/>
    <w:rsid w:val="69614A15"/>
    <w:rsid w:val="73F84C4B"/>
    <w:rsid w:val="742BDA20"/>
    <w:rsid w:val="77EDCC31"/>
    <w:rsid w:val="781B1F89"/>
    <w:rsid w:val="7BB183BC"/>
    <w:rsid w:val="7D56D78A"/>
    <w:rsid w:val="7E4C58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3FD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F3FD9"/>
    <w:rPr>
      <w:rFonts w:ascii="Geomanist Light" w:hAnsi="Geomanist Light"/>
      <w:lang w:val="es-ES"/>
    </w:rPr>
  </w:style>
  <w:style w:type="paragraph" w:styleId="Textoindependiente">
    <w:name w:val="Body Text"/>
    <w:basedOn w:val="Normal"/>
    <w:link w:val="TextoindependienteCar"/>
    <w:uiPriority w:val="1"/>
    <w:qFormat/>
    <w:rsid w:val="006B714E"/>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B714E"/>
    <w:rPr>
      <w:rFonts w:ascii="Verdana" w:eastAsia="Verdana" w:hAnsi="Verdana" w:cs="Verdana"/>
      <w:lang w:val="es-ES"/>
    </w:rPr>
  </w:style>
  <w:style w:type="character" w:customStyle="1" w:styleId="citation-182">
    <w:name w:val="citation-182"/>
    <w:basedOn w:val="Fuentedeprrafopredeter"/>
    <w:rsid w:val="007E075F"/>
  </w:style>
  <w:style w:type="character" w:customStyle="1" w:styleId="citation-181">
    <w:name w:val="citation-181"/>
    <w:basedOn w:val="Fuentedeprrafopredeter"/>
    <w:rsid w:val="007E075F"/>
  </w:style>
  <w:style w:type="character" w:customStyle="1" w:styleId="citation-180">
    <w:name w:val="citation-180"/>
    <w:basedOn w:val="Fuentedeprrafopredeter"/>
    <w:rsid w:val="007E075F"/>
  </w:style>
  <w:style w:type="character" w:customStyle="1" w:styleId="citation-179">
    <w:name w:val="citation-179"/>
    <w:basedOn w:val="Fuentedeprrafopredeter"/>
    <w:rsid w:val="007E0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2980D66-89B7-41D1-B2B3-9FE63D90DA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16</Pages>
  <Words>4028</Words>
  <Characters>22155</Characters>
  <Application>Microsoft Office Word</Application>
  <DocSecurity>0</DocSecurity>
  <Lines>184</Lines>
  <Paragraphs>52</Paragraphs>
  <ScaleCrop>false</ScaleCrop>
  <Company/>
  <LinksUpToDate>false</LinksUpToDate>
  <CharactersWithSpaces>26131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2025-11-26T14:26:00Z</dcterms:created>
  <dcterms:modified xsi:type="dcterms:W3CDTF">2025-11-26T14:26:00Z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