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3CEDC" w14:textId="77777777" w:rsidR="005C0AEA" w:rsidRDefault="00904AD4" w:rsidP="005C0AEA">
      <w:pPr>
        <w:spacing w:after="0" w:line="240" w:lineRule="auto"/>
        <w:contextualSpacing/>
        <w:jc w:val="both"/>
        <w:rPr>
          <w:rFonts w:ascii="Verdana" w:eastAsia="Calibri" w:hAnsi="Verdana" w:cs="Arial"/>
          <w:b/>
          <w:lang w:val="es-MX" w:eastAsia="es-MX"/>
        </w:rPr>
      </w:pPr>
      <w:bookmarkStart w:id="0" w:name="_Hlk143780582"/>
      <w:bookmarkStart w:id="1" w:name="_Hlk214366482"/>
      <w:bookmarkStart w:id="2" w:name="_Hlk214633544"/>
      <w:r w:rsidRPr="00904AD4">
        <w:rPr>
          <w:rFonts w:ascii="Verdana" w:eastAsia="Calibri" w:hAnsi="Verdana" w:cs="Arial"/>
          <w:b/>
          <w:lang w:val="es-MX" w:eastAsia="es-MX"/>
        </w:rPr>
        <w:t xml:space="preserve">LEY DE GARANTÍAS ELECTORALES – Naturaleza Jurídica </w:t>
      </w:r>
    </w:p>
    <w:p w14:paraId="4A030FA3" w14:textId="77777777" w:rsidR="005C0AEA" w:rsidRDefault="005C0AEA" w:rsidP="005C0AEA">
      <w:pPr>
        <w:spacing w:after="0" w:line="240" w:lineRule="auto"/>
        <w:contextualSpacing/>
        <w:jc w:val="both"/>
        <w:rPr>
          <w:rFonts w:ascii="Verdana" w:eastAsia="Calibri" w:hAnsi="Verdana" w:cs="Arial"/>
          <w:b/>
          <w:lang w:val="es-MX" w:eastAsia="es-MX"/>
        </w:rPr>
      </w:pPr>
    </w:p>
    <w:p w14:paraId="7F2A6669" w14:textId="690398A0" w:rsidR="00904AD4" w:rsidRPr="005C0AEA" w:rsidRDefault="00DC3470" w:rsidP="005C0AEA">
      <w:pPr>
        <w:spacing w:after="0" w:line="240" w:lineRule="auto"/>
        <w:contextualSpacing/>
        <w:jc w:val="both"/>
        <w:rPr>
          <w:rFonts w:ascii="Verdana" w:eastAsia="Calibri" w:hAnsi="Verdana" w:cs="Arial"/>
          <w:b/>
          <w:lang w:val="es-MX" w:eastAsia="es-MX"/>
        </w:rPr>
      </w:pPr>
      <w:r w:rsidRPr="00DC3470">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039D5701" w14:textId="77777777" w:rsidR="00904AD4" w:rsidRPr="00904AD4" w:rsidRDefault="00904AD4" w:rsidP="00904AD4">
      <w:pPr>
        <w:spacing w:after="0" w:line="240" w:lineRule="auto"/>
        <w:contextualSpacing/>
        <w:jc w:val="both"/>
        <w:rPr>
          <w:rFonts w:ascii="Verdana" w:eastAsia="Calibri" w:hAnsi="Verdana" w:cs="Arial"/>
          <w:b/>
          <w:lang w:val="es-MX" w:eastAsia="es-MX"/>
        </w:rPr>
      </w:pPr>
    </w:p>
    <w:p w14:paraId="050282F3" w14:textId="77777777" w:rsidR="005C0AEA" w:rsidRDefault="00904AD4" w:rsidP="005C0AEA">
      <w:pPr>
        <w:spacing w:after="0" w:line="240" w:lineRule="auto"/>
        <w:contextualSpacing/>
        <w:jc w:val="both"/>
        <w:rPr>
          <w:rFonts w:ascii="Verdana" w:eastAsia="Calibri" w:hAnsi="Verdana" w:cs="Arial"/>
          <w:b/>
          <w:lang w:val="es-MX" w:eastAsia="es-MX"/>
        </w:rPr>
      </w:pPr>
      <w:r w:rsidRPr="00904AD4">
        <w:rPr>
          <w:rFonts w:ascii="Verdana" w:eastAsia="Calibri" w:hAnsi="Verdana" w:cs="Arial"/>
          <w:b/>
          <w:lang w:val="es-MX" w:eastAsia="es-MX"/>
        </w:rPr>
        <w:t xml:space="preserve">LEY DE GARANTÍAS ELECTORALES – Prohibiciones </w:t>
      </w:r>
    </w:p>
    <w:p w14:paraId="0C66E29E" w14:textId="77777777" w:rsidR="005C0AEA" w:rsidRDefault="005C0AEA" w:rsidP="005C0AEA">
      <w:pPr>
        <w:spacing w:after="0" w:line="240" w:lineRule="auto"/>
        <w:contextualSpacing/>
        <w:jc w:val="both"/>
        <w:rPr>
          <w:rFonts w:ascii="Verdana" w:eastAsia="Calibri" w:hAnsi="Verdana" w:cs="Arial"/>
          <w:b/>
          <w:lang w:val="es-MX" w:eastAsia="es-MX"/>
        </w:rPr>
      </w:pPr>
    </w:p>
    <w:p w14:paraId="4F048C58" w14:textId="4C66520F" w:rsidR="00DC3470" w:rsidRPr="005C0AEA" w:rsidRDefault="00DC3470" w:rsidP="005C0AEA">
      <w:pPr>
        <w:spacing w:after="0" w:line="240" w:lineRule="auto"/>
        <w:contextualSpacing/>
        <w:jc w:val="both"/>
        <w:rPr>
          <w:rFonts w:ascii="Verdana" w:eastAsia="Calibri" w:hAnsi="Verdana" w:cs="Arial"/>
          <w:b/>
          <w:lang w:val="es-MX" w:eastAsia="es-MX"/>
        </w:rPr>
      </w:pPr>
      <w:r>
        <w:rPr>
          <w:rFonts w:ascii="Verdana" w:eastAsia="Arial" w:hAnsi="Verdana" w:cs="Arial"/>
          <w:sz w:val="20"/>
          <w:szCs w:val="20"/>
          <w:lang w:val="es-ES" w:eastAsia="es-ES" w:bidi="es-ES"/>
        </w:rPr>
        <w:t xml:space="preserve">[…] </w:t>
      </w:r>
      <w:r w:rsidRPr="00DC3470">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18EDEDD" w14:textId="77777777" w:rsidR="00DC3470" w:rsidRDefault="00DC3470" w:rsidP="005C0AEA">
      <w:pPr>
        <w:spacing w:after="0" w:line="240" w:lineRule="auto"/>
        <w:jc w:val="both"/>
        <w:rPr>
          <w:rFonts w:ascii="Verdana" w:eastAsia="Arial" w:hAnsi="Verdana" w:cs="Arial"/>
          <w:sz w:val="20"/>
          <w:szCs w:val="20"/>
          <w:lang w:val="es-ES" w:eastAsia="es-ES" w:bidi="es-ES"/>
        </w:rPr>
      </w:pPr>
    </w:p>
    <w:p w14:paraId="7C88F983" w14:textId="2A32FFDF" w:rsidR="00DC3470" w:rsidRPr="00DC3470" w:rsidRDefault="00DC3470" w:rsidP="005C0AEA">
      <w:pPr>
        <w:spacing w:after="0" w:line="240" w:lineRule="auto"/>
        <w:jc w:val="both"/>
        <w:rPr>
          <w:rFonts w:ascii="Verdana" w:eastAsia="Arial" w:hAnsi="Verdana" w:cs="Arial"/>
          <w:sz w:val="20"/>
          <w:szCs w:val="20"/>
          <w:lang w:val="es-ES" w:eastAsia="es-ES" w:bidi="es-ES"/>
        </w:rPr>
      </w:pPr>
      <w:r w:rsidRPr="00DC3470">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1CD8E629" w14:textId="77777777" w:rsidR="00DC3470" w:rsidRDefault="00DC3470" w:rsidP="005C0AEA">
      <w:pPr>
        <w:spacing w:after="0" w:line="240" w:lineRule="auto"/>
        <w:jc w:val="both"/>
        <w:rPr>
          <w:rFonts w:ascii="Verdana" w:eastAsia="Calibri" w:hAnsi="Verdana" w:cs="Arial"/>
          <w:sz w:val="20"/>
          <w:szCs w:val="20"/>
        </w:rPr>
      </w:pPr>
    </w:p>
    <w:p w14:paraId="2DD905DC" w14:textId="480285FD" w:rsidR="00DC3470" w:rsidRPr="00DC3470" w:rsidRDefault="00DC3470" w:rsidP="005C0AEA">
      <w:pPr>
        <w:spacing w:after="0" w:line="240" w:lineRule="auto"/>
        <w:jc w:val="both"/>
        <w:rPr>
          <w:rFonts w:ascii="Verdana" w:eastAsia="Calibri" w:hAnsi="Verdana" w:cs="Arial"/>
          <w:sz w:val="20"/>
          <w:szCs w:val="20"/>
        </w:rPr>
      </w:pPr>
      <w:r w:rsidRPr="00DC3470">
        <w:rPr>
          <w:rFonts w:ascii="Verdana" w:eastAsia="Calibri" w:hAnsi="Verdana" w:cs="Arial"/>
          <w:sz w:val="20"/>
          <w:szCs w:val="20"/>
        </w:rPr>
        <w:t>Por un lado, el artículo 33 de la Ley 996 de 2005 prohíbe “</w:t>
      </w:r>
      <w:r w:rsidRPr="00DC3470">
        <w:rPr>
          <w:rFonts w:ascii="Verdana" w:eastAsia="Calibri" w:hAnsi="Verdana" w:cs="Arial"/>
          <w:bCs/>
          <w:sz w:val="20"/>
          <w:szCs w:val="20"/>
        </w:rPr>
        <w:t xml:space="preserve">(…) </w:t>
      </w:r>
      <w:r w:rsidRPr="00DC3470">
        <w:rPr>
          <w:rFonts w:ascii="Verdana" w:eastAsia="Calibri" w:hAnsi="Verdana" w:cs="Arial"/>
          <w:sz w:val="20"/>
          <w:szCs w:val="20"/>
        </w:rPr>
        <w:t>la contratación directa por parte de todos los entes del Estado</w:t>
      </w:r>
      <w:r w:rsidRPr="00DC3470">
        <w:rPr>
          <w:rFonts w:ascii="Verdana" w:eastAsia="Calibri" w:hAnsi="Verdana" w:cs="Arial"/>
          <w:bCs/>
          <w:sz w:val="20"/>
          <w:szCs w:val="20"/>
        </w:rPr>
        <w:t>”</w:t>
      </w:r>
      <w:r w:rsidRPr="00DC3470">
        <w:rPr>
          <w:rFonts w:ascii="Verdana" w:eastAsia="Calibri" w:hAnsi="Verdana" w:cs="Arial"/>
          <w:sz w:val="20"/>
          <w:szCs w:val="20"/>
        </w:rPr>
        <w:t xml:space="preserve"> durante los cuatro (4) meses anteriores a las elecciones presidenciales, salvo </w:t>
      </w:r>
      <w:r w:rsidRPr="00DC3470">
        <w:rPr>
          <w:rFonts w:ascii="Verdana" w:eastAsia="Calibri" w:hAnsi="Verdana" w:cs="Arial"/>
          <w:bCs/>
          <w:sz w:val="20"/>
          <w:szCs w:val="20"/>
        </w:rPr>
        <w:t xml:space="preserve">“[…] </w:t>
      </w:r>
      <w:r w:rsidRPr="00DC3470">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C3470">
        <w:rPr>
          <w:rFonts w:ascii="Verdana" w:eastAsia="Calibri" w:hAnsi="Verdana" w:cs="Arial"/>
          <w:bCs/>
          <w:sz w:val="20"/>
          <w:szCs w:val="20"/>
        </w:rPr>
        <w:t>”</w:t>
      </w:r>
      <w:r w:rsidRPr="00DC3470">
        <w:rPr>
          <w:rFonts w:ascii="Verdana" w:eastAsia="Calibri" w:hAnsi="Verdana" w:cs="Arial"/>
          <w:sz w:val="20"/>
          <w:szCs w:val="20"/>
        </w:rPr>
        <w:t>.</w:t>
      </w:r>
    </w:p>
    <w:p w14:paraId="293E9E53" w14:textId="77777777" w:rsidR="00DC3470" w:rsidRDefault="00DC3470" w:rsidP="005C0AEA">
      <w:pPr>
        <w:widowControl w:val="0"/>
        <w:autoSpaceDE w:val="0"/>
        <w:autoSpaceDN w:val="0"/>
        <w:spacing w:after="0" w:line="240" w:lineRule="auto"/>
        <w:jc w:val="both"/>
        <w:rPr>
          <w:rFonts w:ascii="Verdana" w:eastAsia="Calibri" w:hAnsi="Verdana" w:cs="Arial"/>
          <w:sz w:val="20"/>
          <w:szCs w:val="20"/>
        </w:rPr>
      </w:pPr>
    </w:p>
    <w:p w14:paraId="60143CC0" w14:textId="77777777" w:rsidR="005C0AEA" w:rsidRDefault="00DC3470" w:rsidP="005C0AEA">
      <w:pPr>
        <w:widowControl w:val="0"/>
        <w:autoSpaceDE w:val="0"/>
        <w:autoSpaceDN w:val="0"/>
        <w:spacing w:after="0" w:line="240" w:lineRule="auto"/>
        <w:jc w:val="both"/>
        <w:rPr>
          <w:rFonts w:ascii="Verdana" w:eastAsia="Arial" w:hAnsi="Verdana" w:cs="Arial"/>
          <w:sz w:val="20"/>
          <w:szCs w:val="20"/>
          <w:lang w:val="es-ES" w:eastAsia="es-ES" w:bidi="es-ES"/>
        </w:rPr>
      </w:pPr>
      <w:r w:rsidRPr="00DC3470">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DC3470">
        <w:rPr>
          <w:rFonts w:ascii="Verdana" w:eastAsia="Calibri" w:hAnsi="Verdana" w:cs="Arial"/>
          <w:bCs/>
          <w:sz w:val="20"/>
          <w:szCs w:val="20"/>
        </w:rPr>
        <w:t xml:space="preserve">“(…) </w:t>
      </w:r>
      <w:r w:rsidRPr="00DC3470">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C3470">
        <w:rPr>
          <w:rFonts w:ascii="Verdana" w:eastAsia="Calibri" w:hAnsi="Verdana" w:cs="Arial"/>
          <w:bCs/>
          <w:sz w:val="20"/>
          <w:szCs w:val="20"/>
        </w:rPr>
        <w:t>”</w:t>
      </w:r>
      <w:r w:rsidRPr="00DC3470">
        <w:rPr>
          <w:rFonts w:ascii="Verdana" w:eastAsia="Calibri" w:hAnsi="Verdana" w:cs="Arial"/>
          <w:sz w:val="20"/>
          <w:szCs w:val="20"/>
        </w:rPr>
        <w:t>.</w:t>
      </w:r>
      <w:r w:rsidRPr="00DC3470">
        <w:rPr>
          <w:rFonts w:ascii="Verdana" w:eastAsia="Arial" w:hAnsi="Verdana" w:cs="Arial"/>
          <w:sz w:val="20"/>
          <w:szCs w:val="20"/>
          <w:lang w:val="es-ES" w:eastAsia="es-ES" w:bidi="es-ES"/>
        </w:rPr>
        <w:t xml:space="preserve"> </w:t>
      </w:r>
    </w:p>
    <w:p w14:paraId="4E472C48" w14:textId="77777777" w:rsidR="005C0AEA" w:rsidRDefault="005C0AEA" w:rsidP="005C0AEA">
      <w:pPr>
        <w:widowControl w:val="0"/>
        <w:autoSpaceDE w:val="0"/>
        <w:autoSpaceDN w:val="0"/>
        <w:spacing w:after="0" w:line="240" w:lineRule="auto"/>
        <w:jc w:val="both"/>
        <w:rPr>
          <w:rFonts w:ascii="Verdana" w:eastAsia="Arial" w:hAnsi="Verdana" w:cs="Arial"/>
          <w:sz w:val="20"/>
          <w:szCs w:val="20"/>
          <w:lang w:val="es-ES" w:eastAsia="es-ES" w:bidi="es-ES"/>
        </w:rPr>
      </w:pPr>
    </w:p>
    <w:p w14:paraId="7EA3303E" w14:textId="77777777" w:rsidR="005C0AEA" w:rsidRDefault="00904AD4" w:rsidP="005C0AEA">
      <w:pPr>
        <w:widowControl w:val="0"/>
        <w:autoSpaceDE w:val="0"/>
        <w:autoSpaceDN w:val="0"/>
        <w:spacing w:after="0" w:line="240" w:lineRule="auto"/>
        <w:jc w:val="both"/>
        <w:rPr>
          <w:rFonts w:ascii="Verdana" w:eastAsia="Arial" w:hAnsi="Verdana" w:cs="Arial"/>
          <w:sz w:val="20"/>
          <w:szCs w:val="20"/>
          <w:lang w:val="es-MX" w:eastAsia="es-ES" w:bidi="es-ES"/>
        </w:rPr>
      </w:pPr>
      <w:r w:rsidRPr="00904AD4">
        <w:rPr>
          <w:rFonts w:ascii="Verdana" w:eastAsia="Calibri" w:hAnsi="Verdana" w:cs="Arial"/>
          <w:b/>
          <w:lang w:val="es-MX"/>
        </w:rPr>
        <w:t xml:space="preserve">LEY DE GARANTÍAS ELECTORALES ─ Prohibición artículo 33 ‒ Contratación directa ‒ Alcance </w:t>
      </w:r>
    </w:p>
    <w:p w14:paraId="7986669F" w14:textId="77777777" w:rsidR="005C0AEA" w:rsidRDefault="005C0AEA" w:rsidP="005C0AEA">
      <w:pPr>
        <w:widowControl w:val="0"/>
        <w:autoSpaceDE w:val="0"/>
        <w:autoSpaceDN w:val="0"/>
        <w:spacing w:after="0" w:line="240" w:lineRule="auto"/>
        <w:jc w:val="both"/>
        <w:rPr>
          <w:rFonts w:ascii="Verdana" w:eastAsia="Arial" w:hAnsi="Verdana" w:cs="Arial"/>
          <w:sz w:val="20"/>
          <w:szCs w:val="20"/>
          <w:lang w:val="es-MX" w:eastAsia="es-ES" w:bidi="es-ES"/>
        </w:rPr>
      </w:pPr>
    </w:p>
    <w:p w14:paraId="6F14EE78" w14:textId="77777777" w:rsidR="005C0AEA" w:rsidRDefault="00DC3470" w:rsidP="005C0AEA">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bCs/>
          <w:sz w:val="20"/>
          <w:szCs w:val="20"/>
          <w:lang w:eastAsia="x-none"/>
        </w:rPr>
        <w:t xml:space="preserve">El ámbito material de la prohibición contenida en el artículo 33 de la ley 996 de 2005 está delimitado por la expresión </w:t>
      </w:r>
      <w:r w:rsidRPr="005C0AEA">
        <w:rPr>
          <w:rFonts w:ascii="Verdana" w:eastAsia="Calibri" w:hAnsi="Verdana" w:cs="Arial"/>
          <w:bCs/>
          <w:i/>
          <w:iCs/>
          <w:sz w:val="20"/>
          <w:szCs w:val="20"/>
        </w:rPr>
        <w:t>“</w:t>
      </w:r>
      <w:r w:rsidRPr="005C0AEA">
        <w:rPr>
          <w:rFonts w:ascii="Verdana" w:hAnsi="Verdana" w:cs="Arial"/>
          <w:bCs/>
          <w:i/>
          <w:iCs/>
          <w:sz w:val="20"/>
          <w:szCs w:val="20"/>
          <w:lang w:eastAsia="x-none"/>
        </w:rPr>
        <w:t>queda prohibida la contratación directa</w:t>
      </w:r>
      <w:r w:rsidRPr="005C0AEA">
        <w:rPr>
          <w:rFonts w:ascii="Verdana" w:hAnsi="Verdana" w:cs="Arial"/>
          <w:sz w:val="20"/>
          <w:szCs w:val="20"/>
        </w:rPr>
        <w:t>”</w:t>
      </w:r>
      <w:r w:rsidRPr="005C0AEA">
        <w:rPr>
          <w:rFonts w:ascii="Verdana" w:hAnsi="Verdana" w:cs="Arial"/>
          <w:bCs/>
          <w:sz w:val="20"/>
          <w:szCs w:val="20"/>
          <w:lang w:eastAsia="x-none"/>
        </w:rPr>
        <w:t>.</w:t>
      </w:r>
    </w:p>
    <w:p w14:paraId="4EDB1081" w14:textId="77777777" w:rsidR="005C0AEA" w:rsidRDefault="00904AD4" w:rsidP="005C0AEA">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w:t>
      </w:r>
      <w:r w:rsidRPr="00904AD4">
        <w:rPr>
          <w:rFonts w:ascii="Verdana" w:eastAsia="Calibri" w:hAnsi="Verdana" w:cs="Arial"/>
          <w:b/>
          <w:lang w:val="es-MX"/>
        </w:rPr>
        <w:t xml:space="preserve">─ Prohibición artículo 33 ‒ </w:t>
      </w:r>
      <w:r w:rsidRPr="00904AD4">
        <w:rPr>
          <w:rFonts w:ascii="Verdana" w:eastAsia="Times New Roman" w:hAnsi="Verdana" w:cs="Arial"/>
          <w:b/>
          <w:lang w:eastAsia="es-CO"/>
        </w:rPr>
        <w:t xml:space="preserve">Excepciones </w:t>
      </w:r>
    </w:p>
    <w:p w14:paraId="511495B8" w14:textId="77777777" w:rsidR="005C0AEA" w:rsidRDefault="005C0AEA" w:rsidP="005C0AEA">
      <w:pPr>
        <w:widowControl w:val="0"/>
        <w:autoSpaceDE w:val="0"/>
        <w:autoSpaceDN w:val="0"/>
        <w:spacing w:after="0" w:line="240" w:lineRule="auto"/>
        <w:jc w:val="both"/>
        <w:rPr>
          <w:rFonts w:ascii="Verdana" w:eastAsia="Arial" w:hAnsi="Verdana" w:cs="Arial"/>
          <w:sz w:val="20"/>
          <w:szCs w:val="20"/>
          <w:lang w:eastAsia="es-ES" w:bidi="es-ES"/>
        </w:rPr>
      </w:pPr>
    </w:p>
    <w:p w14:paraId="542F4E0A" w14:textId="77777777" w:rsidR="00CE0712" w:rsidRDefault="005C0AEA" w:rsidP="00CE0712">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sz w:val="20"/>
          <w:szCs w:val="20"/>
          <w:lang w:eastAsia="x-none"/>
        </w:rPr>
        <w:t xml:space="preserve">[…] la prohibición del artículo 33 de la Ley de Garantías Electorales se refiere a </w:t>
      </w:r>
      <w:r w:rsidRPr="005C0AEA">
        <w:rPr>
          <w:rFonts w:ascii="Verdana" w:hAnsi="Verdana" w:cs="Arial"/>
          <w:sz w:val="20"/>
          <w:szCs w:val="20"/>
          <w:lang w:eastAsia="en-GB"/>
        </w:rPr>
        <w:t>“</w:t>
      </w:r>
      <w:r w:rsidRPr="005C0AEA">
        <w:rPr>
          <w:rFonts w:ascii="Verdana" w:hAnsi="Verdana" w:cs="Arial"/>
          <w:sz w:val="20"/>
          <w:szCs w:val="20"/>
          <w:lang w:eastAsia="x-none"/>
        </w:rPr>
        <w:t>cualquier sistema que no implique convocatoria pública y posibilidad de pluralidad de oferentes</w:t>
      </w:r>
      <w:r w:rsidRPr="005C0AEA">
        <w:rPr>
          <w:rFonts w:ascii="Verdana" w:hAnsi="Verdana" w:cs="Arial"/>
          <w:sz w:val="20"/>
          <w:szCs w:val="20"/>
          <w:lang w:eastAsia="en-GB"/>
        </w:rPr>
        <w:t>”</w:t>
      </w:r>
      <w:r w:rsidRPr="005C0AEA">
        <w:rPr>
          <w:rFonts w:ascii="Verdana" w:hAnsi="Verdana" w:cs="Arial"/>
          <w:sz w:val="20"/>
          <w:szCs w:val="20"/>
          <w:lang w:eastAsia="x-none"/>
        </w:rPr>
        <w:t>, por lo que excluye las demás modalidades de contratación previstas en la Ley 1150 de 2007.</w:t>
      </w:r>
    </w:p>
    <w:p w14:paraId="4BB7FEED"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eastAsia="es-ES" w:bidi="es-ES"/>
        </w:rPr>
      </w:pPr>
    </w:p>
    <w:p w14:paraId="1D662B06" w14:textId="77777777" w:rsidR="00CE0712" w:rsidRDefault="00904AD4" w:rsidP="00CE0712">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 </w:t>
      </w:r>
      <w:r w:rsidRPr="00904AD4">
        <w:rPr>
          <w:rFonts w:ascii="Verdana" w:eastAsia="Times New Roman" w:hAnsi="Verdana" w:cs="Arial"/>
          <w:b/>
          <w:lang w:val="es-ES" w:eastAsia="es-CO"/>
        </w:rPr>
        <w:t xml:space="preserve">Prohibición del artículo 33 </w:t>
      </w:r>
      <w:r w:rsidRPr="00904AD4">
        <w:rPr>
          <w:rFonts w:ascii="Verdana" w:eastAsia="Times New Roman" w:hAnsi="Verdana" w:cs="Arial"/>
          <w:b/>
          <w:lang w:eastAsia="es-CO"/>
        </w:rPr>
        <w:t xml:space="preserve">‒ Destinatarios </w:t>
      </w:r>
    </w:p>
    <w:p w14:paraId="0D306648"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eastAsia="es-ES" w:bidi="es-ES"/>
        </w:rPr>
      </w:pPr>
    </w:p>
    <w:p w14:paraId="01AF12D6" w14:textId="77777777" w:rsidR="00CE0712" w:rsidRDefault="005C0AEA" w:rsidP="00CE0712">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5C0AEA">
        <w:rPr>
          <w:rFonts w:ascii="Verdana" w:hAnsi="Verdana" w:cs="Arial"/>
          <w:i/>
          <w:color w:val="000000" w:themeColor="text1"/>
          <w:sz w:val="20"/>
          <w:szCs w:val="20"/>
          <w:lang w:val="es-MX"/>
        </w:rPr>
        <w:t>todos los entes del Estado</w:t>
      </w:r>
      <w:r w:rsidRPr="005C0AEA">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0C3241B"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val="es-ES" w:eastAsia="es-ES" w:bidi="es-ES"/>
        </w:rPr>
      </w:pPr>
    </w:p>
    <w:p w14:paraId="67E7173C" w14:textId="77777777" w:rsidR="00CE0712" w:rsidRDefault="00904AD4" w:rsidP="00CE0712">
      <w:pPr>
        <w:widowControl w:val="0"/>
        <w:autoSpaceDE w:val="0"/>
        <w:autoSpaceDN w:val="0"/>
        <w:spacing w:after="0" w:line="240" w:lineRule="auto"/>
        <w:jc w:val="both"/>
        <w:rPr>
          <w:rFonts w:ascii="Verdana" w:eastAsia="Arial" w:hAnsi="Verdana" w:cs="Arial"/>
          <w:sz w:val="20"/>
          <w:szCs w:val="20"/>
          <w:lang w:val="es-ES" w:eastAsia="es-ES" w:bidi="es-ES"/>
        </w:rPr>
      </w:pPr>
      <w:r w:rsidRPr="00904AD4">
        <w:rPr>
          <w:rFonts w:ascii="Verdana" w:eastAsia="Times New Roman" w:hAnsi="Verdana" w:cs="Arial"/>
          <w:b/>
          <w:lang w:val="es-ES" w:eastAsia="es-CO" w:bidi="es-ES"/>
        </w:rPr>
        <w:t xml:space="preserve">EMPRESAS INDUSTRIALES Y COMERCIALES DEL ESTADO </w:t>
      </w:r>
      <w:r w:rsidRPr="00904AD4">
        <w:rPr>
          <w:rFonts w:ascii="Verdana" w:eastAsia="Calibri" w:hAnsi="Verdana" w:cs="Arial"/>
          <w:b/>
          <w:lang w:val="es-ES" w:eastAsia="es-MX"/>
        </w:rPr>
        <w:t xml:space="preserve">‒ Ley de garantías electorales </w:t>
      </w:r>
    </w:p>
    <w:p w14:paraId="0BA94F06"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val="es-ES" w:eastAsia="es-ES" w:bidi="es-ES"/>
        </w:rPr>
      </w:pPr>
    </w:p>
    <w:p w14:paraId="12951B89" w14:textId="277341A0" w:rsidR="005C0AEA" w:rsidRPr="00CE0712" w:rsidRDefault="005C0AEA" w:rsidP="00CE0712">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eastAsia="Calibri" w:hAnsi="Verdana" w:cs="Arial"/>
          <w:bCs/>
          <w:sz w:val="20"/>
          <w:szCs w:val="20"/>
          <w:lang w:val="es-ES" w:eastAsia="es-MX"/>
        </w:rPr>
        <w:t xml:space="preserve">[…] </w:t>
      </w:r>
      <w:r w:rsidRPr="005C0AEA">
        <w:rPr>
          <w:rFonts w:ascii="Verdana" w:hAnsi="Verdana" w:cs="Arial"/>
          <w:bCs/>
          <w:color w:val="000000" w:themeColor="text1"/>
          <w:sz w:val="20"/>
          <w:szCs w:val="20"/>
          <w:lang w:val="es-MX"/>
        </w:rPr>
        <w:t>“</w:t>
      </w:r>
      <w:r w:rsidRPr="005C0AEA">
        <w:rPr>
          <w:rFonts w:ascii="Verdana" w:hAnsi="Verdana" w:cs="Arial"/>
          <w:color w:val="000000" w:themeColor="text1"/>
          <w:sz w:val="20"/>
          <w:szCs w:val="20"/>
          <w:lang w:val="es-MX"/>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p>
    <w:p w14:paraId="56C44EC3" w14:textId="77777777" w:rsidR="005C0AEA" w:rsidRPr="005C0AEA" w:rsidRDefault="005C0AEA" w:rsidP="005C0AEA">
      <w:pPr>
        <w:spacing w:after="0" w:line="240" w:lineRule="auto"/>
        <w:contextualSpacing/>
        <w:jc w:val="both"/>
        <w:rPr>
          <w:rFonts w:ascii="Verdana" w:hAnsi="Verdana" w:cs="Arial"/>
          <w:color w:val="000000" w:themeColor="text1"/>
          <w:sz w:val="20"/>
          <w:szCs w:val="20"/>
          <w:lang w:val="es-MX"/>
        </w:rPr>
      </w:pPr>
    </w:p>
    <w:p w14:paraId="09C4FAC6" w14:textId="491C4DAD" w:rsidR="005C0AEA" w:rsidRPr="005C0AEA" w:rsidRDefault="005C0AEA" w:rsidP="005C0AEA">
      <w:pPr>
        <w:spacing w:after="0" w:line="240" w:lineRule="auto"/>
        <w:jc w:val="both"/>
        <w:rPr>
          <w:rFonts w:ascii="Verdana" w:hAnsi="Verdana" w:cs="Arial"/>
          <w:color w:val="000000" w:themeColor="text1"/>
          <w:sz w:val="20"/>
          <w:szCs w:val="20"/>
          <w:lang w:eastAsia="es-CO"/>
        </w:rPr>
      </w:pPr>
      <w:r w:rsidRPr="005C0AEA">
        <w:rPr>
          <w:rFonts w:ascii="Verdana" w:eastAsia="Calibri" w:hAnsi="Verdana" w:cs="Arial"/>
          <w:bCs/>
          <w:sz w:val="20"/>
          <w:szCs w:val="20"/>
          <w:lang w:val="es-ES" w:eastAsia="es-MX"/>
        </w:rPr>
        <w:t>[...]</w:t>
      </w:r>
      <w:r w:rsidRPr="005C0AEA">
        <w:rPr>
          <w:rFonts w:ascii="Verdana" w:eastAsia="Calibri" w:hAnsi="Verdana" w:cs="Arial"/>
          <w:b/>
          <w:sz w:val="20"/>
          <w:szCs w:val="20"/>
          <w:lang w:val="es-ES" w:eastAsia="es-MX"/>
        </w:rPr>
        <w:t xml:space="preserve"> </w:t>
      </w:r>
      <w:r w:rsidRPr="005C0AEA">
        <w:rPr>
          <w:rFonts w:ascii="Verdana" w:hAnsi="Verdana" w:cs="Arial"/>
          <w:color w:val="000000" w:themeColor="text1"/>
          <w:sz w:val="20"/>
          <w:szCs w:val="20"/>
          <w:lang w:val="es-MX"/>
        </w:rPr>
        <w:t>De acuerdo con estos pronunciamientos de la Sala de Consulta y Servicio Civil del Consejo de Estado, la prohibición de la contratación directa también aplica frente a las entidades exceptuadas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5C0AEA">
        <w:rPr>
          <w:rFonts w:ascii="Verdana" w:hAnsi="Verdana" w:cs="Arial"/>
          <w:color w:val="000000" w:themeColor="text1"/>
          <w:sz w:val="20"/>
          <w:szCs w:val="20"/>
          <w:lang w:eastAsia="es-CO"/>
        </w:rPr>
        <w:t xml:space="preserve"> </w:t>
      </w:r>
    </w:p>
    <w:p w14:paraId="64D544A9" w14:textId="77777777" w:rsidR="005C0AEA" w:rsidRPr="005C0AEA" w:rsidRDefault="005C0AEA" w:rsidP="005C0AEA">
      <w:pPr>
        <w:spacing w:after="0" w:line="240" w:lineRule="auto"/>
        <w:ind w:firstLine="709"/>
        <w:jc w:val="both"/>
        <w:rPr>
          <w:rFonts w:ascii="Verdana" w:hAnsi="Verdana" w:cs="Arial"/>
          <w:color w:val="000000" w:themeColor="text1"/>
          <w:sz w:val="20"/>
          <w:szCs w:val="20"/>
          <w:lang w:eastAsia="es-CO"/>
        </w:rPr>
      </w:pPr>
    </w:p>
    <w:p w14:paraId="583D7E08" w14:textId="77777777" w:rsidR="00CE0712" w:rsidRDefault="005C0AEA" w:rsidP="00CE0712">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eastAsia="es-CO"/>
        </w:rPr>
        <w:t>Sin perjuicio de estos pronunciamientos de la Sala de Consulta y Servicio Civil</w:t>
      </w:r>
      <w:r w:rsidRPr="005C0AEA">
        <w:rPr>
          <w:rFonts w:ascii="Verdana" w:hAnsi="Verdana" w:cs="Arial"/>
          <w:color w:val="000000" w:themeColor="text1"/>
          <w:sz w:val="20"/>
          <w:szCs w:val="20"/>
          <w:lang w:val="es-MX"/>
        </w:rPr>
        <w:t xml:space="preserve">, como la ha señalado esa misma Corporación, la restricción prevista en la Ley 996 de 2005 </w:t>
      </w:r>
      <w:r w:rsidRPr="005C0AEA">
        <w:rPr>
          <w:rFonts w:ascii="Verdana" w:hAnsi="Verdana" w:cs="Arial"/>
          <w:bCs/>
          <w:color w:val="000000" w:themeColor="text1"/>
          <w:sz w:val="20"/>
          <w:szCs w:val="20"/>
          <w:lang w:val="es-MX" w:eastAsia="x-none"/>
        </w:rPr>
        <w:t xml:space="preserve">cobija a cualquier entidad pública independiente del régimen jurídico, que pueda mediante la contratación directa romper el equilibrio entre los candidatos en desarrollo de las elecciones presidenciales. </w:t>
      </w:r>
      <w:r w:rsidRPr="005C0AEA">
        <w:rPr>
          <w:rFonts w:ascii="Verdana" w:hAnsi="Verdana" w:cs="Arial"/>
          <w:color w:val="000000" w:themeColor="text1"/>
          <w:sz w:val="20"/>
          <w:szCs w:val="20"/>
          <w:lang w:eastAsia="es-CO"/>
        </w:rPr>
        <w:t xml:space="preserve">En este sentido, respecto a su consulta, es pertinente señalar que las empresas industriales y comerciales del Estado en vigencia de la Ley de Garantías </w:t>
      </w:r>
      <w:r w:rsidRPr="005C0AEA">
        <w:rPr>
          <w:rFonts w:ascii="Verdana" w:hAnsi="Verdana" w:cs="Arial"/>
          <w:color w:val="000000" w:themeColor="text1"/>
          <w:sz w:val="20"/>
          <w:szCs w:val="20"/>
          <w:lang w:eastAsia="es-CO"/>
        </w:rPr>
        <w:lastRenderedPageBreak/>
        <w:t xml:space="preserve">Electorales no podrán hacer contrataciones bajo la modalidad de contratación directa, </w:t>
      </w:r>
      <w:r w:rsidRPr="005C0AEA">
        <w:rPr>
          <w:rFonts w:ascii="Verdana" w:hAnsi="Verdana" w:cs="Arial"/>
          <w:color w:val="000000" w:themeColor="text1"/>
          <w:sz w:val="20"/>
          <w:szCs w:val="20"/>
          <w:lang w:val="es-MX"/>
        </w:rPr>
        <w:t xml:space="preserve">sino por mecanismos competitivos que impliquen convocatoria pública y la posibilidad de la existencia de pluralidad de oferentes. </w:t>
      </w:r>
    </w:p>
    <w:p w14:paraId="39CC07D9" w14:textId="77777777" w:rsidR="00CE0712" w:rsidRDefault="00CE0712" w:rsidP="00CE0712">
      <w:pPr>
        <w:spacing w:after="0" w:line="240" w:lineRule="auto"/>
        <w:jc w:val="both"/>
        <w:rPr>
          <w:rFonts w:ascii="Verdana" w:hAnsi="Verdana" w:cs="Arial"/>
          <w:color w:val="000000" w:themeColor="text1"/>
          <w:sz w:val="20"/>
          <w:szCs w:val="20"/>
          <w:lang w:eastAsia="es-CO"/>
        </w:rPr>
      </w:pPr>
    </w:p>
    <w:p w14:paraId="7FFA6D6D" w14:textId="4A18F06B" w:rsidR="005C0AEA" w:rsidRPr="00CE0712" w:rsidRDefault="005C0AEA" w:rsidP="00CE0712">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544F6BE" w14:textId="77777777" w:rsidR="005C0AEA" w:rsidRPr="005C0AEA" w:rsidRDefault="005C0AEA" w:rsidP="005C0AEA">
      <w:pPr>
        <w:spacing w:after="0" w:line="240" w:lineRule="auto"/>
        <w:ind w:firstLine="709"/>
        <w:jc w:val="both"/>
        <w:rPr>
          <w:rFonts w:ascii="Verdana" w:hAnsi="Verdana" w:cs="Arial"/>
          <w:color w:val="000000" w:themeColor="text1"/>
          <w:sz w:val="20"/>
          <w:szCs w:val="20"/>
          <w:lang w:val="es-MX"/>
        </w:rPr>
      </w:pPr>
    </w:p>
    <w:p w14:paraId="01BAB284" w14:textId="77777777" w:rsidR="005C0AEA" w:rsidRPr="005C0AEA" w:rsidRDefault="005C0AEA" w:rsidP="005C0AEA">
      <w:pPr>
        <w:widowControl w:val="0"/>
        <w:autoSpaceDE w:val="0"/>
        <w:autoSpaceDN w:val="0"/>
        <w:spacing w:after="0" w:line="240" w:lineRule="auto"/>
        <w:jc w:val="both"/>
        <w:rPr>
          <w:rFonts w:ascii="Verdana" w:eastAsia="Times New Roman" w:hAnsi="Verdana" w:cs="Arial"/>
          <w:bCs/>
          <w:sz w:val="20"/>
          <w:szCs w:val="20"/>
          <w:lang w:val="es-ES" w:eastAsia="es-CO" w:bidi="es-ES"/>
        </w:rPr>
      </w:pPr>
      <w:r w:rsidRPr="005C0AE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5C0AEA">
        <w:rPr>
          <w:rFonts w:ascii="Verdana" w:eastAsia="Times New Roman" w:hAnsi="Verdana" w:cs="Arial"/>
          <w:bCs/>
          <w:sz w:val="20"/>
          <w:szCs w:val="20"/>
          <w:lang w:val="es-ES" w:eastAsia="es-CO" w:bidi="es-ES"/>
        </w:rPr>
        <w:t>ii</w:t>
      </w:r>
      <w:proofErr w:type="spellEnd"/>
      <w:r w:rsidRPr="005C0AEA">
        <w:rPr>
          <w:rFonts w:ascii="Verdana" w:eastAsia="Times New Roman" w:hAnsi="Verdana" w:cs="Arial"/>
          <w:bCs/>
          <w:sz w:val="20"/>
          <w:szCs w:val="20"/>
          <w:lang w:val="es-ES" w:eastAsia="es-CO" w:bidi="es-ES"/>
        </w:rPr>
        <w:t xml:space="preserve">) los contratos de crédito público; </w:t>
      </w:r>
      <w:proofErr w:type="spellStart"/>
      <w:r w:rsidRPr="005C0AEA">
        <w:rPr>
          <w:rFonts w:ascii="Verdana" w:eastAsia="Times New Roman" w:hAnsi="Verdana" w:cs="Arial"/>
          <w:bCs/>
          <w:sz w:val="20"/>
          <w:szCs w:val="20"/>
          <w:lang w:val="es-ES" w:eastAsia="es-CO" w:bidi="es-ES"/>
        </w:rPr>
        <w:t>iii</w:t>
      </w:r>
      <w:proofErr w:type="spellEnd"/>
      <w:r w:rsidRPr="005C0AE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5C0AEA">
        <w:rPr>
          <w:rFonts w:ascii="Verdana" w:eastAsia="Times New Roman" w:hAnsi="Verdana" w:cs="Arial"/>
          <w:bCs/>
          <w:sz w:val="20"/>
          <w:szCs w:val="20"/>
          <w:lang w:val="es-ES" w:eastAsia="es-CO" w:bidi="es-ES"/>
        </w:rPr>
        <w:t>iv</w:t>
      </w:r>
      <w:proofErr w:type="spellEnd"/>
      <w:r w:rsidRPr="005C0AE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5C0AE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5C0AEA">
        <w:rPr>
          <w:rFonts w:ascii="Verdana" w:eastAsia="Times New Roman" w:hAnsi="Verdana" w:cs="Arial"/>
          <w:bCs/>
          <w:sz w:val="20"/>
          <w:szCs w:val="20"/>
          <w:lang w:val="es-ES" w:eastAsia="es-CO" w:bidi="es-ES"/>
        </w:rPr>
        <w:t xml:space="preserve"> </w:t>
      </w:r>
    </w:p>
    <w:p w14:paraId="7745D337" w14:textId="725F1D1C" w:rsidR="005C0AEA" w:rsidRPr="00904AD4" w:rsidRDefault="005C0AEA" w:rsidP="00904AD4">
      <w:pPr>
        <w:spacing w:after="0" w:line="240" w:lineRule="auto"/>
        <w:contextualSpacing/>
        <w:jc w:val="both"/>
        <w:rPr>
          <w:rFonts w:ascii="Verdana" w:eastAsia="Calibri" w:hAnsi="Verdana" w:cs="Arial"/>
          <w:b/>
          <w:lang w:val="es-ES" w:eastAsia="es-MX"/>
        </w:rPr>
      </w:pPr>
    </w:p>
    <w:p w14:paraId="33D7AAA5" w14:textId="77777777" w:rsidR="00904AD4" w:rsidRDefault="00904AD4" w:rsidP="00904AD4">
      <w:pPr>
        <w:spacing w:after="0" w:line="240" w:lineRule="auto"/>
        <w:jc w:val="right"/>
        <w:rPr>
          <w:rFonts w:ascii="Verdana" w:eastAsia="Calibri" w:hAnsi="Verdana" w:cs="Arial"/>
          <w:lang w:val="es-ES" w:eastAsia="es-ES"/>
        </w:rPr>
      </w:pPr>
    </w:p>
    <w:p w14:paraId="54D9FBD5" w14:textId="77777777" w:rsidR="005C0AEA" w:rsidRDefault="005C0AEA" w:rsidP="00904AD4">
      <w:pPr>
        <w:spacing w:after="0" w:line="240" w:lineRule="auto"/>
        <w:jc w:val="right"/>
        <w:rPr>
          <w:rFonts w:ascii="Verdana" w:eastAsia="Calibri" w:hAnsi="Verdana" w:cs="Arial"/>
          <w:lang w:val="es-ES" w:eastAsia="es-ES"/>
        </w:rPr>
      </w:pPr>
    </w:p>
    <w:p w14:paraId="6EC7A1A0" w14:textId="77777777" w:rsidR="00CE0712" w:rsidRDefault="00CE0712" w:rsidP="00904AD4">
      <w:pPr>
        <w:spacing w:after="0" w:line="240" w:lineRule="auto"/>
        <w:jc w:val="right"/>
        <w:rPr>
          <w:rFonts w:ascii="Verdana" w:eastAsia="Calibri" w:hAnsi="Verdana" w:cs="Arial"/>
          <w:lang w:val="es-ES" w:eastAsia="es-ES"/>
        </w:rPr>
      </w:pPr>
    </w:p>
    <w:p w14:paraId="6C1CD2DA" w14:textId="77777777" w:rsidR="00CE0712" w:rsidRDefault="00CE0712" w:rsidP="00904AD4">
      <w:pPr>
        <w:spacing w:after="0" w:line="240" w:lineRule="auto"/>
        <w:jc w:val="right"/>
        <w:rPr>
          <w:rFonts w:ascii="Verdana" w:eastAsia="Calibri" w:hAnsi="Verdana" w:cs="Arial"/>
          <w:lang w:val="es-ES" w:eastAsia="es-ES"/>
        </w:rPr>
      </w:pPr>
    </w:p>
    <w:p w14:paraId="180B2F76" w14:textId="77777777" w:rsidR="00CE0712" w:rsidRDefault="00CE0712" w:rsidP="00904AD4">
      <w:pPr>
        <w:spacing w:after="0" w:line="240" w:lineRule="auto"/>
        <w:jc w:val="right"/>
        <w:rPr>
          <w:rFonts w:ascii="Verdana" w:eastAsia="Calibri" w:hAnsi="Verdana" w:cs="Arial"/>
          <w:lang w:val="es-ES" w:eastAsia="es-ES"/>
        </w:rPr>
      </w:pPr>
    </w:p>
    <w:p w14:paraId="2E0781AA" w14:textId="77777777" w:rsidR="00CE0712" w:rsidRDefault="00CE0712" w:rsidP="00904AD4">
      <w:pPr>
        <w:spacing w:after="0" w:line="240" w:lineRule="auto"/>
        <w:jc w:val="right"/>
        <w:rPr>
          <w:rFonts w:ascii="Verdana" w:eastAsia="Calibri" w:hAnsi="Verdana" w:cs="Arial"/>
          <w:lang w:val="es-ES" w:eastAsia="es-ES"/>
        </w:rPr>
      </w:pPr>
    </w:p>
    <w:p w14:paraId="1330386A" w14:textId="77777777" w:rsidR="00CE0712" w:rsidRDefault="00CE0712" w:rsidP="00904AD4">
      <w:pPr>
        <w:spacing w:after="0" w:line="240" w:lineRule="auto"/>
        <w:jc w:val="right"/>
        <w:rPr>
          <w:rFonts w:ascii="Verdana" w:eastAsia="Calibri" w:hAnsi="Verdana" w:cs="Arial"/>
          <w:lang w:val="es-ES" w:eastAsia="es-ES"/>
        </w:rPr>
      </w:pPr>
    </w:p>
    <w:p w14:paraId="5E030C10" w14:textId="77777777" w:rsidR="00CE0712" w:rsidRPr="00904AD4" w:rsidRDefault="00CE0712" w:rsidP="00904AD4">
      <w:pPr>
        <w:spacing w:after="0" w:line="240" w:lineRule="auto"/>
        <w:jc w:val="right"/>
        <w:rPr>
          <w:rFonts w:ascii="Verdana" w:eastAsia="Calibri" w:hAnsi="Verdana" w:cs="Arial"/>
          <w:lang w:val="es-ES" w:eastAsia="es-ES"/>
        </w:rPr>
      </w:pPr>
    </w:p>
    <w:p w14:paraId="4A0FFE27" w14:textId="77777777" w:rsidR="00904AD4" w:rsidRDefault="00904AD4" w:rsidP="00904AD4">
      <w:pPr>
        <w:spacing w:after="0" w:line="240" w:lineRule="auto"/>
        <w:jc w:val="right"/>
        <w:rPr>
          <w:rFonts w:ascii="Verdana" w:eastAsia="Calibri" w:hAnsi="Verdana" w:cs="Arial"/>
          <w:lang w:eastAsia="es-ES"/>
        </w:rPr>
      </w:pPr>
    </w:p>
    <w:p w14:paraId="78168DD2" w14:textId="73BA3855" w:rsidR="00904AD4" w:rsidRDefault="00904AD4" w:rsidP="00904AD4">
      <w:pPr>
        <w:spacing w:after="0" w:line="240" w:lineRule="auto"/>
        <w:jc w:val="right"/>
        <w:rPr>
          <w:rFonts w:ascii="Verdana" w:eastAsia="Calibri" w:hAnsi="Verdana" w:cs="Arial"/>
          <w:lang w:eastAsia="es-ES"/>
        </w:rPr>
      </w:pPr>
      <w:r w:rsidRPr="00904AD4">
        <w:rPr>
          <w:rFonts w:ascii="Verdana" w:eastAsia="Calibri" w:hAnsi="Verdana" w:cs="Arial"/>
          <w:noProof/>
          <w:lang w:eastAsia="es-ES"/>
        </w:rPr>
        <w:drawing>
          <wp:inline distT="0" distB="0" distL="0" distR="0" wp14:anchorId="094D8C9D" wp14:editId="1CDA7D33">
            <wp:extent cx="2330450" cy="726316"/>
            <wp:effectExtent l="0" t="0" r="0" b="0"/>
            <wp:docPr id="19347481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748164" name=""/>
                    <pic:cNvPicPr/>
                  </pic:nvPicPr>
                  <pic:blipFill>
                    <a:blip r:embed="rId10"/>
                    <a:stretch>
                      <a:fillRect/>
                    </a:stretch>
                  </pic:blipFill>
                  <pic:spPr>
                    <a:xfrm>
                      <a:off x="0" y="0"/>
                      <a:ext cx="2355202" cy="734030"/>
                    </a:xfrm>
                    <a:prstGeom prst="rect">
                      <a:avLst/>
                    </a:prstGeom>
                  </pic:spPr>
                </pic:pic>
              </a:graphicData>
            </a:graphic>
          </wp:inline>
        </w:drawing>
      </w:r>
    </w:p>
    <w:p w14:paraId="5E0ACCF1" w14:textId="197351D1" w:rsidR="00103317" w:rsidRDefault="00103317" w:rsidP="00103317">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r>
        <w:rPr>
          <w:rFonts w:ascii="Verdana" w:eastAsia="Calibri" w:hAnsi="Verdana" w:cs="Arial"/>
          <w:lang w:eastAsia="es-ES"/>
        </w:rPr>
        <w:t>a</w:t>
      </w:r>
    </w:p>
    <w:p w14:paraId="5F6529A4" w14:textId="77777777" w:rsidR="00103317" w:rsidRDefault="00103317" w:rsidP="00103317">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Laura Tatiana Fierro Silva </w:t>
      </w:r>
    </w:p>
    <w:p w14:paraId="46FB6E97" w14:textId="77777777" w:rsidR="00103317" w:rsidRPr="005107F5" w:rsidRDefault="00103317" w:rsidP="00103317">
      <w:pPr>
        <w:spacing w:after="0" w:line="240" w:lineRule="auto"/>
        <w:jc w:val="both"/>
        <w:rPr>
          <w:rFonts w:ascii="Verdana" w:hAnsi="Verdana"/>
          <w:b/>
          <w:bCs/>
        </w:rPr>
      </w:pPr>
      <w:hyperlink r:id="rId11" w:history="1">
        <w:r w:rsidRPr="005107F5">
          <w:rPr>
            <w:rStyle w:val="Hipervnculo"/>
            <w:rFonts w:ascii="Verdana" w:hAnsi="Verdana"/>
            <w:b/>
            <w:bCs/>
          </w:rPr>
          <w:t>lau.96f@gmail.com</w:t>
        </w:r>
      </w:hyperlink>
    </w:p>
    <w:p w14:paraId="36CE73EB" w14:textId="77777777" w:rsidR="00103317" w:rsidRPr="00791871" w:rsidRDefault="00103317" w:rsidP="00103317">
      <w:pPr>
        <w:spacing w:after="0" w:line="240" w:lineRule="auto"/>
        <w:jc w:val="both"/>
        <w:rPr>
          <w:rFonts w:ascii="Verdana" w:hAnsi="Verdana"/>
        </w:rPr>
      </w:pPr>
      <w:r>
        <w:rPr>
          <w:rFonts w:ascii="Verdana" w:hAnsi="Verdana"/>
        </w:rPr>
        <w:t xml:space="preserve">La Primavera – Vichada </w:t>
      </w:r>
    </w:p>
    <w:p w14:paraId="2941C8C7" w14:textId="77777777" w:rsidR="00103317" w:rsidRPr="00791871" w:rsidRDefault="00103317" w:rsidP="00103317">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03317" w:rsidRPr="005644FE" w14:paraId="29663EEC" w14:textId="77777777" w:rsidTr="009979FD">
        <w:trPr>
          <w:trHeight w:val="162"/>
        </w:trPr>
        <w:tc>
          <w:tcPr>
            <w:tcW w:w="3119" w:type="dxa"/>
          </w:tcPr>
          <w:p w14:paraId="5BC03BEE" w14:textId="77777777" w:rsidR="00103317" w:rsidRPr="00791871" w:rsidRDefault="00103317" w:rsidP="009979FD">
            <w:pPr>
              <w:jc w:val="both"/>
              <w:rPr>
                <w:rFonts w:ascii="Verdana" w:eastAsia="Calibri" w:hAnsi="Verdana" w:cs="Arial"/>
                <w:b/>
                <w:bCs/>
                <w:color w:val="7030A0"/>
                <w:lang w:eastAsia="es-ES_tradnl"/>
              </w:rPr>
            </w:pPr>
          </w:p>
        </w:tc>
        <w:tc>
          <w:tcPr>
            <w:tcW w:w="5670" w:type="dxa"/>
          </w:tcPr>
          <w:p w14:paraId="78C7F7CB" w14:textId="77777777" w:rsidR="00103317" w:rsidRPr="005644FE" w:rsidRDefault="00103317" w:rsidP="009979FD">
            <w:pPr>
              <w:jc w:val="both"/>
              <w:rPr>
                <w:rFonts w:ascii="Verdana" w:eastAsia="Calibri" w:hAnsi="Verdana" w:cs="Arial"/>
                <w:b/>
                <w:bCs/>
                <w:lang w:eastAsia="es-ES"/>
              </w:rPr>
            </w:pPr>
            <w:r w:rsidRPr="005644FE">
              <w:rPr>
                <w:rFonts w:ascii="Verdana" w:eastAsia="Calibri" w:hAnsi="Verdana" w:cs="Arial"/>
                <w:b/>
                <w:bCs/>
                <w:lang w:eastAsia="es-ES"/>
              </w:rPr>
              <w:t>Concepto C-1</w:t>
            </w:r>
            <w:r>
              <w:rPr>
                <w:rFonts w:ascii="Verdana" w:eastAsia="Calibri" w:hAnsi="Verdana" w:cs="Arial"/>
                <w:b/>
                <w:bCs/>
                <w:lang w:eastAsia="es-ES"/>
              </w:rPr>
              <w:t>619</w:t>
            </w:r>
            <w:r w:rsidRPr="005644FE">
              <w:rPr>
                <w:rFonts w:ascii="Verdana" w:eastAsia="Calibri" w:hAnsi="Verdana" w:cs="Arial"/>
                <w:b/>
                <w:bCs/>
                <w:lang w:eastAsia="es-ES"/>
              </w:rPr>
              <w:t xml:space="preserve"> de 2025</w:t>
            </w:r>
          </w:p>
          <w:p w14:paraId="2A7A1AE3" w14:textId="77777777" w:rsidR="00103317" w:rsidRPr="005644FE" w:rsidRDefault="00103317" w:rsidP="009979FD">
            <w:pPr>
              <w:jc w:val="both"/>
              <w:rPr>
                <w:rFonts w:ascii="Verdana" w:eastAsia="Calibri" w:hAnsi="Verdana" w:cs="Arial"/>
                <w:b/>
                <w:bCs/>
                <w:color w:val="7030A0"/>
                <w:lang w:eastAsia="es-ES"/>
              </w:rPr>
            </w:pPr>
          </w:p>
        </w:tc>
      </w:tr>
      <w:tr w:rsidR="00103317" w:rsidRPr="005644FE" w14:paraId="162812C6" w14:textId="77777777" w:rsidTr="009979FD">
        <w:trPr>
          <w:trHeight w:val="884"/>
        </w:trPr>
        <w:tc>
          <w:tcPr>
            <w:tcW w:w="3119" w:type="dxa"/>
          </w:tcPr>
          <w:p w14:paraId="5288B003" w14:textId="77777777" w:rsidR="00103317" w:rsidRPr="005644FE" w:rsidRDefault="00103317" w:rsidP="009979FD">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lastRenderedPageBreak/>
              <w:t>Temas:</w:t>
            </w:r>
            <w:r w:rsidRPr="005644FE">
              <w:rPr>
                <w:rFonts w:ascii="Verdana" w:eastAsia="Calibri" w:hAnsi="Verdana" w:cs="Arial"/>
                <w:color w:val="000000"/>
                <w:lang w:eastAsia="es-ES_tradnl"/>
              </w:rPr>
              <w:t xml:space="preserve">                   </w:t>
            </w:r>
          </w:p>
        </w:tc>
        <w:tc>
          <w:tcPr>
            <w:tcW w:w="5670" w:type="dxa"/>
          </w:tcPr>
          <w:p w14:paraId="60D5397B" w14:textId="74041EFF" w:rsidR="00103317" w:rsidRPr="00F04657" w:rsidRDefault="00103317" w:rsidP="009979FD">
            <w:pPr>
              <w:contextualSpacing/>
              <w:jc w:val="both"/>
              <w:rPr>
                <w:rFonts w:ascii="Verdana" w:eastAsia="Calibri" w:hAnsi="Verdana" w:cs="Arial"/>
                <w:bCs/>
                <w:lang w:val="es-ES" w:eastAsia="es-MX"/>
              </w:rPr>
            </w:pPr>
            <w:r w:rsidRPr="00F04657">
              <w:rPr>
                <w:rFonts w:ascii="Verdana" w:eastAsia="Calibri" w:hAnsi="Verdana" w:cs="Arial"/>
                <w:bCs/>
                <w:lang w:val="es-MX" w:eastAsia="es-MX"/>
              </w:rPr>
              <w:t xml:space="preserve">LEY DE GARANTÍAS ELECTORALES – Naturaleza Jurídica / LEY DE GARANTÍAS ELECTORALES </w:t>
            </w:r>
            <w:proofErr w:type="gramStart"/>
            <w:r w:rsidRPr="00F04657">
              <w:rPr>
                <w:rFonts w:ascii="Verdana" w:eastAsia="Calibri" w:hAnsi="Verdana" w:cs="Arial"/>
                <w:bCs/>
                <w:lang w:val="es-MX" w:eastAsia="es-MX"/>
              </w:rPr>
              <w:t>–  /</w:t>
            </w:r>
            <w:proofErr w:type="gramEnd"/>
            <w:r w:rsidRPr="00F04657">
              <w:rPr>
                <w:rFonts w:ascii="Verdana" w:eastAsia="Calibri" w:hAnsi="Verdana" w:cs="Arial"/>
                <w:bCs/>
                <w:lang w:val="es-MX" w:eastAsia="es-MX"/>
              </w:rPr>
              <w:t xml:space="preserve"> </w:t>
            </w:r>
            <w:r w:rsidRPr="00F04657">
              <w:rPr>
                <w:rFonts w:ascii="Verdana" w:eastAsia="Calibri" w:hAnsi="Verdana" w:cs="Arial"/>
                <w:bCs/>
                <w:lang w:val="es-MX"/>
              </w:rPr>
              <w:t xml:space="preserve">LEY DE GARANTÍAS ELECTORALES ─ Prohibición artículo 33 ‒ Contratación directa ‒ Alcance / </w:t>
            </w:r>
            <w:r w:rsidRPr="00F04657">
              <w:rPr>
                <w:rFonts w:ascii="Verdana" w:eastAsia="Times New Roman" w:hAnsi="Verdana" w:cs="Arial"/>
                <w:bCs/>
                <w:lang w:eastAsia="es-CO"/>
              </w:rPr>
              <w:t xml:space="preserve">LEY DE GARANTÍAS ELECTORALES </w:t>
            </w:r>
            <w:r w:rsidRPr="00F04657">
              <w:rPr>
                <w:rFonts w:ascii="Verdana" w:eastAsia="Calibri" w:hAnsi="Verdana" w:cs="Arial"/>
                <w:bCs/>
                <w:lang w:val="es-MX"/>
              </w:rPr>
              <w:t xml:space="preserve">─ Prohibición artículo 33 ‒ </w:t>
            </w:r>
            <w:r w:rsidRPr="00F04657">
              <w:rPr>
                <w:rFonts w:ascii="Verdana" w:eastAsia="Times New Roman" w:hAnsi="Verdana" w:cs="Arial"/>
                <w:bCs/>
                <w:lang w:eastAsia="es-CO"/>
              </w:rPr>
              <w:t xml:space="preserve">Excepciones / LEY DE GARANTÍAS ELECTORALES ‒ </w:t>
            </w:r>
            <w:r w:rsidRPr="00F04657">
              <w:rPr>
                <w:rFonts w:ascii="Verdana" w:eastAsia="Times New Roman" w:hAnsi="Verdana" w:cs="Arial"/>
                <w:bCs/>
                <w:lang w:val="es-ES" w:eastAsia="es-CO"/>
              </w:rPr>
              <w:t xml:space="preserve">Prohibición del artículo 33 </w:t>
            </w:r>
            <w:r w:rsidRPr="00F04657">
              <w:rPr>
                <w:rFonts w:ascii="Verdana" w:eastAsia="Times New Roman" w:hAnsi="Verdana" w:cs="Arial"/>
                <w:bCs/>
                <w:lang w:eastAsia="es-CO"/>
              </w:rPr>
              <w:t xml:space="preserve">‒ Destinatarios / </w:t>
            </w:r>
            <w:r w:rsidRPr="00F04657">
              <w:rPr>
                <w:rFonts w:ascii="Verdana" w:eastAsia="Times New Roman" w:hAnsi="Verdana" w:cs="Arial"/>
                <w:bCs/>
                <w:lang w:val="es-ES" w:eastAsia="es-CO" w:bidi="es-ES"/>
              </w:rPr>
              <w:t xml:space="preserve">EMPRESAS INDUSTRIALES Y COMERCIALES DEL ESTADO </w:t>
            </w:r>
            <w:r w:rsidRPr="00F04657">
              <w:rPr>
                <w:rFonts w:ascii="Verdana" w:eastAsia="Calibri" w:hAnsi="Verdana" w:cs="Arial"/>
                <w:bCs/>
                <w:lang w:val="es-ES" w:eastAsia="es-MX"/>
              </w:rPr>
              <w:t xml:space="preserve">‒ Ley de garantías electorales </w:t>
            </w:r>
          </w:p>
          <w:p w14:paraId="6F0B0E14" w14:textId="77777777" w:rsidR="00103317" w:rsidRPr="00F04657" w:rsidRDefault="00103317" w:rsidP="009979FD">
            <w:pPr>
              <w:contextualSpacing/>
              <w:jc w:val="both"/>
              <w:rPr>
                <w:rFonts w:ascii="Verdana" w:eastAsia="Calibri" w:hAnsi="Verdana" w:cs="Arial"/>
                <w:color w:val="000000" w:themeColor="text1"/>
                <w:szCs w:val="24"/>
                <w:lang w:val="es-ES" w:eastAsia="es-ES_tradnl"/>
              </w:rPr>
            </w:pPr>
          </w:p>
        </w:tc>
      </w:tr>
      <w:tr w:rsidR="00103317" w:rsidRPr="005644FE" w14:paraId="5F2E8989" w14:textId="77777777" w:rsidTr="009979FD">
        <w:tc>
          <w:tcPr>
            <w:tcW w:w="3119" w:type="dxa"/>
          </w:tcPr>
          <w:p w14:paraId="1A64F300" w14:textId="77777777" w:rsidR="00103317" w:rsidRPr="005644FE" w:rsidRDefault="00103317" w:rsidP="009979FD">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2DCAFBE7" w14:textId="77777777" w:rsidR="00103317" w:rsidRPr="00F04657" w:rsidRDefault="00103317" w:rsidP="009979FD">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Pr>
                <w:rFonts w:ascii="Verdana" w:hAnsi="Verdana" w:cs="Calibri"/>
                <w:color w:val="000000"/>
              </w:rPr>
              <w:t>1_2025_11_04_012360</w:t>
            </w:r>
            <w:r w:rsidRPr="005644FE">
              <w:rPr>
                <w:rFonts w:ascii="Verdana" w:eastAsia="Calibri" w:hAnsi="Verdana" w:cs="Arial"/>
                <w:lang w:eastAsia="es-ES_tradnl"/>
              </w:rPr>
              <w:t xml:space="preserve"> </w:t>
            </w:r>
          </w:p>
        </w:tc>
      </w:tr>
    </w:tbl>
    <w:p w14:paraId="175F2497" w14:textId="77777777" w:rsidR="00103317" w:rsidRPr="005644FE" w:rsidRDefault="00103317" w:rsidP="00103317">
      <w:pPr>
        <w:spacing w:after="0" w:line="276" w:lineRule="auto"/>
        <w:jc w:val="both"/>
        <w:rPr>
          <w:rFonts w:ascii="Verdana" w:eastAsia="Calibri" w:hAnsi="Verdana" w:cs="Arial"/>
          <w:lang w:eastAsia="es-ES_tradnl"/>
        </w:rPr>
      </w:pPr>
    </w:p>
    <w:p w14:paraId="380B63D6" w14:textId="77777777" w:rsidR="00103317" w:rsidRPr="005644FE" w:rsidRDefault="00103317" w:rsidP="00103317">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Laura Tatiana</w:t>
      </w:r>
      <w:r w:rsidRPr="005644FE">
        <w:rPr>
          <w:rFonts w:ascii="Verdana" w:eastAsia="Calibri" w:hAnsi="Verdana" w:cs="Arial"/>
          <w:lang w:eastAsia="es-ES"/>
        </w:rPr>
        <w:t>:</w:t>
      </w:r>
    </w:p>
    <w:p w14:paraId="2801DE50" w14:textId="77777777" w:rsidR="00103317" w:rsidRPr="00E02524" w:rsidRDefault="00103317" w:rsidP="00103317">
      <w:pPr>
        <w:spacing w:after="0"/>
        <w:jc w:val="both"/>
        <w:rPr>
          <w:rFonts w:ascii="Verdana" w:hAnsi="Verdana"/>
          <w:lang w:val="es-MX"/>
        </w:rPr>
      </w:pPr>
    </w:p>
    <w:p w14:paraId="6ABA672C" w14:textId="77777777" w:rsidR="00103317" w:rsidRDefault="00103317" w:rsidP="00103317">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4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0C14E119" w14:textId="77777777" w:rsidR="00103317" w:rsidRDefault="00103317" w:rsidP="00103317">
      <w:pPr>
        <w:spacing w:after="0"/>
        <w:jc w:val="both"/>
        <w:rPr>
          <w:rFonts w:ascii="Verdana" w:hAnsi="Verdana"/>
        </w:rPr>
      </w:pPr>
      <w:r w:rsidRPr="00E02524">
        <w:rPr>
          <w:rFonts w:ascii="Verdana" w:hAnsi="Verdana"/>
        </w:rPr>
        <w:t xml:space="preserve">PETICIÓN REALIZADA </w:t>
      </w:r>
    </w:p>
    <w:p w14:paraId="180C34F5" w14:textId="77777777" w:rsidR="00103317" w:rsidRPr="008E5B36" w:rsidRDefault="00103317" w:rsidP="00103317">
      <w:pPr>
        <w:spacing w:after="0"/>
        <w:jc w:val="both"/>
        <w:rPr>
          <w:rFonts w:ascii="Verdana" w:hAnsi="Verdana"/>
        </w:rPr>
      </w:pPr>
    </w:p>
    <w:p w14:paraId="27584950" w14:textId="77777777" w:rsidR="00103317" w:rsidRPr="00A87E6E" w:rsidRDefault="00103317" w:rsidP="00103317">
      <w:pPr>
        <w:spacing w:after="0"/>
        <w:ind w:left="567" w:right="758"/>
        <w:jc w:val="both"/>
        <w:rPr>
          <w:rFonts w:ascii="Verdana" w:hAnsi="Verdana"/>
          <w:sz w:val="20"/>
          <w:szCs w:val="20"/>
        </w:rPr>
      </w:pPr>
      <w:r>
        <w:rPr>
          <w:rFonts w:ascii="Verdana" w:hAnsi="Verdana"/>
          <w:sz w:val="20"/>
          <w:szCs w:val="20"/>
        </w:rPr>
        <w:t xml:space="preserve">“(…) </w:t>
      </w:r>
      <w:r w:rsidRPr="00F25EB7">
        <w:rPr>
          <w:rFonts w:ascii="Verdana" w:hAnsi="Verdana"/>
          <w:sz w:val="20"/>
          <w:szCs w:val="20"/>
        </w:rPr>
        <w:t xml:space="preserve">Solicito amablemente concepto de ley de </w:t>
      </w:r>
      <w:r>
        <w:rPr>
          <w:rFonts w:ascii="Verdana" w:hAnsi="Verdana"/>
          <w:sz w:val="20"/>
          <w:szCs w:val="20"/>
        </w:rPr>
        <w:t>garantías (sic)</w:t>
      </w:r>
      <w:r w:rsidRPr="00F25EB7">
        <w:rPr>
          <w:rFonts w:ascii="Verdana" w:hAnsi="Verdana"/>
          <w:sz w:val="20"/>
          <w:szCs w:val="20"/>
        </w:rPr>
        <w:t xml:space="preserve"> del articulo</w:t>
      </w:r>
      <w:r>
        <w:rPr>
          <w:rFonts w:ascii="Verdana" w:hAnsi="Verdana"/>
          <w:sz w:val="20"/>
          <w:szCs w:val="20"/>
        </w:rPr>
        <w:t xml:space="preserve"> (sic)</w:t>
      </w:r>
      <w:r w:rsidRPr="00F25EB7">
        <w:rPr>
          <w:rFonts w:ascii="Verdana" w:hAnsi="Verdana"/>
          <w:sz w:val="20"/>
          <w:szCs w:val="20"/>
        </w:rPr>
        <w:t xml:space="preserve"> 33, aplica para empresas industriales y comerciales del estado de servicios </w:t>
      </w:r>
      <w:proofErr w:type="spellStart"/>
      <w:r w:rsidRPr="00F25EB7">
        <w:rPr>
          <w:rFonts w:ascii="Verdana" w:hAnsi="Verdana"/>
          <w:sz w:val="20"/>
          <w:szCs w:val="20"/>
        </w:rPr>
        <w:t>publicos</w:t>
      </w:r>
      <w:proofErr w:type="spellEnd"/>
      <w:r w:rsidRPr="00F25EB7">
        <w:rPr>
          <w:rFonts w:ascii="Verdana" w:hAnsi="Verdana"/>
          <w:sz w:val="20"/>
          <w:szCs w:val="20"/>
        </w:rPr>
        <w:t xml:space="preserve"> </w:t>
      </w:r>
      <w:r>
        <w:rPr>
          <w:rFonts w:ascii="Verdana" w:hAnsi="Verdana"/>
          <w:sz w:val="20"/>
          <w:szCs w:val="20"/>
        </w:rPr>
        <w:t xml:space="preserve">(sic) </w:t>
      </w:r>
      <w:r w:rsidRPr="00F25EB7">
        <w:rPr>
          <w:rFonts w:ascii="Verdana" w:hAnsi="Verdana"/>
          <w:sz w:val="20"/>
          <w:szCs w:val="20"/>
        </w:rPr>
        <w:t xml:space="preserve">(EICE ESP) ya que estas deben garantizar la </w:t>
      </w:r>
      <w:proofErr w:type="spellStart"/>
      <w:r w:rsidRPr="00F25EB7">
        <w:rPr>
          <w:rFonts w:ascii="Verdana" w:hAnsi="Verdana"/>
          <w:sz w:val="20"/>
          <w:szCs w:val="20"/>
        </w:rPr>
        <w:t>prestacion</w:t>
      </w:r>
      <w:proofErr w:type="spellEnd"/>
      <w:r w:rsidRPr="00F25EB7">
        <w:rPr>
          <w:rFonts w:ascii="Verdana" w:hAnsi="Verdana"/>
          <w:sz w:val="20"/>
          <w:szCs w:val="20"/>
        </w:rPr>
        <w:t xml:space="preserve"> </w:t>
      </w:r>
      <w:r>
        <w:rPr>
          <w:rFonts w:ascii="Verdana" w:hAnsi="Verdana"/>
          <w:sz w:val="20"/>
          <w:szCs w:val="20"/>
        </w:rPr>
        <w:t xml:space="preserve">(sic) </w:t>
      </w:r>
      <w:r w:rsidRPr="00F25EB7">
        <w:rPr>
          <w:rFonts w:ascii="Verdana" w:hAnsi="Verdana"/>
          <w:sz w:val="20"/>
          <w:szCs w:val="20"/>
        </w:rPr>
        <w:t xml:space="preserve">de los servicios de acueducto, </w:t>
      </w:r>
      <w:r>
        <w:rPr>
          <w:rFonts w:ascii="Verdana" w:hAnsi="Verdana"/>
          <w:sz w:val="20"/>
          <w:szCs w:val="20"/>
        </w:rPr>
        <w:t>energía (sic)</w:t>
      </w:r>
      <w:r w:rsidRPr="00F25EB7">
        <w:rPr>
          <w:rFonts w:ascii="Verdana" w:hAnsi="Verdana"/>
          <w:sz w:val="20"/>
          <w:szCs w:val="20"/>
        </w:rPr>
        <w:t xml:space="preserve"> y </w:t>
      </w:r>
      <w:proofErr w:type="gramStart"/>
      <w:r w:rsidRPr="00F25EB7">
        <w:rPr>
          <w:rFonts w:ascii="Verdana" w:hAnsi="Verdana"/>
          <w:sz w:val="20"/>
          <w:szCs w:val="20"/>
        </w:rPr>
        <w:t>aseo considerados</w:t>
      </w:r>
      <w:proofErr w:type="gramEnd"/>
      <w:r w:rsidRPr="00F25EB7">
        <w:rPr>
          <w:rFonts w:ascii="Verdana" w:hAnsi="Verdana"/>
          <w:sz w:val="20"/>
          <w:szCs w:val="20"/>
        </w:rPr>
        <w:t xml:space="preserve"> esenciales y de primera necesidad</w:t>
      </w:r>
      <w:r w:rsidRPr="002E7148">
        <w:rPr>
          <w:rFonts w:ascii="Verdana" w:hAnsi="Verdana"/>
          <w:sz w:val="20"/>
          <w:szCs w:val="20"/>
        </w:rPr>
        <w:t xml:space="preserve"> </w:t>
      </w:r>
      <w:r w:rsidRPr="008E5B36">
        <w:rPr>
          <w:rFonts w:ascii="Verdana" w:hAnsi="Verdana"/>
          <w:sz w:val="20"/>
          <w:szCs w:val="20"/>
        </w:rPr>
        <w:t>(…)”.</w:t>
      </w:r>
    </w:p>
    <w:p w14:paraId="01013F48" w14:textId="77777777" w:rsidR="00103317" w:rsidRDefault="00103317" w:rsidP="00103317">
      <w:pPr>
        <w:spacing w:after="0" w:line="240" w:lineRule="auto"/>
        <w:ind w:firstLine="709"/>
        <w:jc w:val="both"/>
        <w:rPr>
          <w:rFonts w:ascii="Verdana" w:eastAsia="Calibri" w:hAnsi="Verdana" w:cs="Arial"/>
          <w:color w:val="000000"/>
          <w:lang w:eastAsia="es-ES"/>
        </w:rPr>
      </w:pPr>
    </w:p>
    <w:p w14:paraId="27E56FFE" w14:textId="77777777" w:rsidR="00103317" w:rsidRPr="005644FE" w:rsidRDefault="00103317" w:rsidP="00103317">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5644FE">
        <w:rPr>
          <w:rFonts w:ascii="Verdana" w:eastAsia="Calibri" w:hAnsi="Verdana" w:cs="Arial"/>
          <w:color w:val="000000"/>
          <w:lang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p>
    <w:p w14:paraId="28063E04" w14:textId="77777777" w:rsidR="00103317" w:rsidRPr="00BE1CA1" w:rsidRDefault="00103317" w:rsidP="00103317">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w:t>
      </w:r>
      <w:r w:rsidRPr="00714FA7">
        <w:rPr>
          <w:rFonts w:ascii="Verdana" w:eastAsia="Calibri" w:hAnsi="Verdana" w:cs="Arial"/>
          <w:color w:val="000000"/>
          <w:lang w:eastAsia="es-ES"/>
        </w:rPr>
        <w:t xml:space="preserve">abstracción del caso particular y concreto señalado en su petición, pero señalando algunas consideraciones sobre las normas generales relacionadas </w:t>
      </w:r>
      <w:r>
        <w:rPr>
          <w:rFonts w:ascii="Verdana" w:eastAsia="Calibri" w:hAnsi="Verdana" w:cs="Arial"/>
          <w:color w:val="000000"/>
          <w:lang w:eastAsia="es-ES"/>
        </w:rPr>
        <w:t>el problema jurídico</w:t>
      </w:r>
      <w:r w:rsidRPr="00BE1CA1">
        <w:rPr>
          <w:rFonts w:ascii="Verdana" w:eastAsia="Calibri" w:hAnsi="Verdana" w:cs="Arial"/>
          <w:color w:val="000000"/>
          <w:lang w:eastAsia="es-ES"/>
        </w:rPr>
        <w:t xml:space="preserve"> de su consulta.</w:t>
      </w:r>
      <w:r w:rsidRPr="00BE1CA1">
        <w:rPr>
          <w:rFonts w:ascii="Verdana" w:eastAsia="Calibri" w:hAnsi="Verdana" w:cs="Arial"/>
          <w:lang w:eastAsia="es-ES"/>
        </w:rPr>
        <w:t xml:space="preserve">  </w:t>
      </w:r>
    </w:p>
    <w:p w14:paraId="1285DD29" w14:textId="77777777" w:rsidR="00103317" w:rsidRPr="00BE1CA1" w:rsidRDefault="00103317" w:rsidP="001033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1CA1">
        <w:rPr>
          <w:rFonts w:ascii="Verdana" w:eastAsia="Century Gothic" w:hAnsi="Verdana" w:cs="Century Gothic"/>
          <w:b/>
          <w:bCs/>
        </w:rPr>
        <w:t>Problema planteado:</w:t>
      </w:r>
    </w:p>
    <w:p w14:paraId="3482247B" w14:textId="77777777" w:rsidR="00103317" w:rsidRPr="00BE1CA1" w:rsidRDefault="00103317" w:rsidP="00103317">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7FBE55D0" w14:textId="77777777" w:rsidR="00103317" w:rsidRPr="00552663" w:rsidRDefault="00103317" w:rsidP="00103317">
      <w:pPr>
        <w:spacing w:after="0" w:line="276" w:lineRule="auto"/>
        <w:jc w:val="both"/>
        <w:rPr>
          <w:rFonts w:ascii="Verdana" w:eastAsia="Calibri" w:hAnsi="Verdana" w:cs="Arial"/>
          <w:color w:val="000000"/>
          <w:lang w:eastAsia="es-ES"/>
        </w:rPr>
      </w:pPr>
      <w:r w:rsidRPr="00BE1CA1">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w:t>
      </w:r>
      <w:r w:rsidRPr="00BE1CA1">
        <w:rPr>
          <w:rFonts w:ascii="Verdana" w:eastAsia="Calibri" w:hAnsi="Verdana" w:cs="Arial"/>
          <w:color w:val="000000"/>
          <w:lang w:eastAsia="es-ES"/>
        </w:rPr>
        <w:t>siguiente problema jurídico:</w:t>
      </w:r>
      <w:r>
        <w:rPr>
          <w:rFonts w:ascii="Verdana" w:eastAsia="Century Gothic" w:hAnsi="Verdana" w:cs="Century Gothic"/>
        </w:rPr>
        <w:t xml:space="preserve"> </w:t>
      </w:r>
      <w:r w:rsidRPr="00BE1CA1">
        <w:rPr>
          <w:rFonts w:ascii="Verdana" w:eastAsia="Century Gothic" w:hAnsi="Verdana" w:cs="Century Gothic"/>
        </w:rPr>
        <w:t xml:space="preserve">Las Empresas Industriales y Comerciales del Estado (EICE) </w:t>
      </w:r>
      <w:r>
        <w:rPr>
          <w:rFonts w:ascii="Verdana" w:eastAsia="Century Gothic" w:hAnsi="Verdana" w:cs="Century Gothic"/>
        </w:rPr>
        <w:t>¿</w:t>
      </w:r>
      <w:r w:rsidRPr="00BE1CA1">
        <w:rPr>
          <w:rFonts w:ascii="Verdana" w:eastAsia="Century Gothic" w:hAnsi="Verdana" w:cs="Century Gothic"/>
        </w:rPr>
        <w:t xml:space="preserve">se encuentran sometidas a las restricciones contractuales previstas en </w:t>
      </w:r>
      <w:r>
        <w:rPr>
          <w:rFonts w:ascii="Verdana" w:eastAsia="Century Gothic" w:hAnsi="Verdana" w:cs="Century Gothic"/>
        </w:rPr>
        <w:t xml:space="preserve">el artículo 33 de </w:t>
      </w:r>
      <w:r w:rsidRPr="00BE1CA1">
        <w:rPr>
          <w:rFonts w:ascii="Verdana" w:eastAsia="Century Gothic" w:hAnsi="Verdana" w:cs="Century Gothic"/>
        </w:rPr>
        <w:t>la Ley 996 de 2005 —</w:t>
      </w:r>
      <w:proofErr w:type="gramStart"/>
      <w:r w:rsidRPr="00BE1CA1">
        <w:rPr>
          <w:rFonts w:ascii="Verdana" w:eastAsia="Century Gothic" w:hAnsi="Verdana" w:cs="Century Gothic"/>
        </w:rPr>
        <w:t xml:space="preserve">Ley de Garantías Electorales—, durante </w:t>
      </w:r>
      <w:r>
        <w:rPr>
          <w:rFonts w:ascii="Verdana" w:eastAsia="Century Gothic" w:hAnsi="Verdana" w:cs="Century Gothic"/>
        </w:rPr>
        <w:t xml:space="preserve">el </w:t>
      </w:r>
      <w:r w:rsidRPr="00BE1CA1">
        <w:rPr>
          <w:rFonts w:ascii="Verdana" w:eastAsia="Century Gothic" w:hAnsi="Verdana" w:cs="Century Gothic"/>
        </w:rPr>
        <w:t>período previo a elecciones?</w:t>
      </w:r>
      <w:proofErr w:type="gramEnd"/>
    </w:p>
    <w:p w14:paraId="43EF0DED" w14:textId="77777777" w:rsidR="00103317" w:rsidRDefault="00103317" w:rsidP="00103317">
      <w:pPr>
        <w:spacing w:after="0" w:line="240" w:lineRule="auto"/>
        <w:jc w:val="both"/>
        <w:rPr>
          <w:rFonts w:ascii="Verdana" w:eastAsia="Calibri" w:hAnsi="Verdana" w:cs="Arial"/>
          <w:color w:val="000000"/>
          <w:lang w:eastAsia="es-ES"/>
        </w:rPr>
      </w:pPr>
    </w:p>
    <w:p w14:paraId="44F61AFC" w14:textId="77777777" w:rsidR="00103317" w:rsidRDefault="00103317" w:rsidP="00103317">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3075FFE1" w14:textId="77777777" w:rsidR="00103317" w:rsidRPr="005644FE" w:rsidRDefault="00103317" w:rsidP="00103317">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03317" w:rsidRPr="005644FE" w14:paraId="1D322A99" w14:textId="77777777" w:rsidTr="009979FD">
        <w:tc>
          <w:tcPr>
            <w:tcW w:w="8828" w:type="dxa"/>
          </w:tcPr>
          <w:p w14:paraId="39E61568" w14:textId="77777777" w:rsidR="00103317" w:rsidRDefault="00103317" w:rsidP="009979FD">
            <w:pPr>
              <w:spacing w:after="120" w:line="276" w:lineRule="auto"/>
              <w:jc w:val="both"/>
              <w:rPr>
                <w:rFonts w:ascii="Verdana" w:eastAsia="Calibri" w:hAnsi="Verdana" w:cs="Arial"/>
              </w:rPr>
            </w:pPr>
            <w:r>
              <w:rPr>
                <w:rFonts w:ascii="Verdana" w:eastAsia="Arial" w:hAnsi="Verdana" w:cs="Arial"/>
              </w:rPr>
              <w:t xml:space="preserve">La ley 996 de 2005 </w:t>
            </w:r>
            <w:r>
              <w:rPr>
                <w:rFonts w:ascii="Verdana" w:eastAsia="Calibri" w:hAnsi="Verdana" w:cs="Arial"/>
              </w:rPr>
              <w:t xml:space="preserve">en </w:t>
            </w:r>
            <w:r w:rsidRPr="00F10E52">
              <w:rPr>
                <w:rFonts w:ascii="Verdana" w:eastAsia="Calibri" w:hAnsi="Verdana" w:cs="Arial"/>
              </w:rPr>
              <w:t xml:space="preserve">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4AD0193D" w14:textId="77777777" w:rsidR="00103317" w:rsidRDefault="00103317" w:rsidP="009979FD">
            <w:pPr>
              <w:spacing w:after="120" w:line="276" w:lineRule="auto"/>
              <w:ind w:firstLine="709"/>
              <w:jc w:val="both"/>
              <w:rPr>
                <w:rFonts w:ascii="Verdana" w:hAnsi="Verdana" w:cs="Arial"/>
                <w:lang w:eastAsia="x-none"/>
              </w:rPr>
            </w:pPr>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por lo que excluye las demás modalidades de contratación previstas en la Ley 1150 de 2007</w:t>
            </w:r>
            <w:r>
              <w:rPr>
                <w:rFonts w:ascii="Verdana" w:hAnsi="Verdana" w:cs="Arial"/>
                <w:lang w:eastAsia="x-none"/>
              </w:rPr>
              <w:t>.</w:t>
            </w:r>
          </w:p>
          <w:p w14:paraId="2C650690" w14:textId="77777777" w:rsidR="00103317" w:rsidRDefault="00103317" w:rsidP="009979FD">
            <w:pPr>
              <w:spacing w:after="120" w:line="276" w:lineRule="auto"/>
              <w:ind w:firstLine="709"/>
              <w:jc w:val="both"/>
              <w:rPr>
                <w:rFonts w:ascii="Verdana" w:eastAsia="Calibri" w:hAnsi="Verdana" w:cs="Arial"/>
                <w:lang w:val="es-ES"/>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w:t>
            </w:r>
            <w:r w:rsidRPr="00515C0B">
              <w:rPr>
                <w:rFonts w:ascii="Verdana" w:eastAsia="Calibri" w:hAnsi="Verdana" w:cs="Arial"/>
                <w:lang w:val="es-ES"/>
              </w:rPr>
              <w:lastRenderedPageBreak/>
              <w:t>control de tutela– tienen personería jurídica, autonomía administrativa y patrimonio propio. Estas entidades, como su nombre lo indica, se caracterizan por desarrollar actividades de carácter industrial o comercial.</w:t>
            </w:r>
          </w:p>
          <w:p w14:paraId="3AB98E24" w14:textId="77777777" w:rsidR="00103317" w:rsidRDefault="00103317" w:rsidP="009979FD">
            <w:pPr>
              <w:spacing w:after="120" w:line="276" w:lineRule="auto"/>
              <w:ind w:firstLine="708"/>
              <w:jc w:val="both"/>
              <w:rPr>
                <w:rFonts w:ascii="Verdana" w:hAnsi="Verdana" w:cs="Arial"/>
                <w:bCs/>
                <w:color w:val="000000" w:themeColor="text1"/>
                <w:lang w:val="es-MX" w:eastAsia="x-none"/>
              </w:rPr>
            </w:pPr>
            <w:r>
              <w:rPr>
                <w:rFonts w:ascii="Verdana" w:eastAsia="Calibri" w:hAnsi="Verdana" w:cs="Arial"/>
                <w:lang w:val="es-ES"/>
              </w:rPr>
              <w:t xml:space="preserve">Ahora bien, el artículo 33 de la Ley 996 de 2005 determina como destinatarios de las restricciones a todos los entes del Estado </w:t>
            </w:r>
            <w:r w:rsidRPr="00195E24">
              <w:rPr>
                <w:rFonts w:ascii="Verdana" w:hAnsi="Verdana" w:cs="Arial"/>
                <w:bCs/>
                <w:color w:val="000000" w:themeColor="text1"/>
                <w:lang w:val="es-MX" w:eastAsia="x-none"/>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B8ECE05" w14:textId="77777777" w:rsidR="00103317" w:rsidRPr="00195E24" w:rsidRDefault="00103317" w:rsidP="009979FD">
            <w:pPr>
              <w:spacing w:after="120" w:line="276" w:lineRule="auto"/>
              <w:ind w:firstLine="709"/>
              <w:jc w:val="both"/>
              <w:rPr>
                <w:rFonts w:ascii="Verdana" w:hAnsi="Verdana" w:cs="Arial"/>
                <w:color w:val="000000" w:themeColor="text1"/>
                <w:lang w:eastAsia="es-CO"/>
              </w:rPr>
            </w:pPr>
            <w:r>
              <w:rPr>
                <w:rFonts w:ascii="Verdana" w:hAnsi="Verdana" w:cs="Arial"/>
                <w:color w:val="000000" w:themeColor="text1"/>
                <w:lang w:val="es-MX"/>
              </w:rPr>
              <w:t>Por lo tanto, la</w:t>
            </w:r>
            <w:r w:rsidRPr="00CE0D82">
              <w:rPr>
                <w:rFonts w:ascii="Verdana" w:hAnsi="Verdana" w:cs="Arial"/>
                <w:color w:val="000000" w:themeColor="text1"/>
                <w:lang w:val="es-MX"/>
              </w:rPr>
              <w:t xml:space="preserve">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sino por mecanismos competitivos que impliquen convocatoria pública y la posibilidad de la existencia de pluralidad de oferentes</w:t>
            </w:r>
            <w:r>
              <w:rPr>
                <w:rFonts w:ascii="Verdana" w:hAnsi="Verdana" w:cs="Arial"/>
                <w:color w:val="000000" w:themeColor="text1"/>
                <w:lang w:val="es-MX"/>
              </w:rPr>
              <w:t xml:space="preserve">. </w:t>
            </w:r>
          </w:p>
          <w:p w14:paraId="308298F1" w14:textId="77777777" w:rsidR="00103317" w:rsidRPr="004A19C8" w:rsidRDefault="00103317" w:rsidP="009979FD">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p>
        </w:tc>
      </w:tr>
    </w:tbl>
    <w:p w14:paraId="2898E947" w14:textId="77777777" w:rsidR="00103317" w:rsidRDefault="00103317" w:rsidP="00103317">
      <w:pPr>
        <w:tabs>
          <w:tab w:val="left" w:pos="142"/>
          <w:tab w:val="left" w:pos="284"/>
        </w:tabs>
        <w:spacing w:after="0" w:line="276" w:lineRule="auto"/>
        <w:jc w:val="both"/>
        <w:rPr>
          <w:rFonts w:ascii="Verdana" w:eastAsia="Century Gothic" w:hAnsi="Verdana" w:cs="Century Gothic"/>
          <w:b/>
          <w:bCs/>
        </w:rPr>
      </w:pPr>
    </w:p>
    <w:p w14:paraId="0D3A1D64" w14:textId="77777777" w:rsidR="00103317" w:rsidRPr="005644FE" w:rsidRDefault="00103317" w:rsidP="0010331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9863B94" w14:textId="77777777" w:rsidR="00103317" w:rsidRPr="005644FE" w:rsidRDefault="00103317" w:rsidP="00103317">
      <w:pPr>
        <w:pStyle w:val="Prrafodelista"/>
        <w:tabs>
          <w:tab w:val="left" w:pos="142"/>
          <w:tab w:val="left" w:pos="284"/>
        </w:tabs>
        <w:spacing w:after="0" w:line="240" w:lineRule="auto"/>
        <w:ind w:left="0"/>
        <w:contextualSpacing w:val="0"/>
        <w:jc w:val="both"/>
        <w:rPr>
          <w:rFonts w:ascii="Verdana" w:eastAsia="Calibri" w:hAnsi="Verdana" w:cs="Arial"/>
        </w:rPr>
      </w:pPr>
    </w:p>
    <w:p w14:paraId="7DA863B8" w14:textId="77777777" w:rsidR="00103317" w:rsidRDefault="00103317" w:rsidP="00103317">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40068A92" w14:textId="77777777" w:rsidR="00103317" w:rsidRDefault="00103317" w:rsidP="00103317">
      <w:pPr>
        <w:tabs>
          <w:tab w:val="left" w:pos="142"/>
          <w:tab w:val="left" w:pos="284"/>
        </w:tabs>
        <w:spacing w:after="0" w:line="240" w:lineRule="auto"/>
        <w:jc w:val="both"/>
        <w:rPr>
          <w:rFonts w:ascii="Verdana" w:eastAsia="Calibri" w:hAnsi="Verdana" w:cs="Arial"/>
        </w:rPr>
      </w:pPr>
    </w:p>
    <w:p w14:paraId="55FEDF46" w14:textId="77777777" w:rsidR="00103317" w:rsidRPr="00F10E52" w:rsidRDefault="00103317" w:rsidP="00103317">
      <w:pPr>
        <w:tabs>
          <w:tab w:val="left" w:pos="426"/>
        </w:tabs>
        <w:spacing w:after="120"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2DC87146" w14:textId="77777777" w:rsidR="00103317" w:rsidRDefault="00103317" w:rsidP="00103317">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7DAE5308" w14:textId="77777777" w:rsidR="00103317" w:rsidRDefault="00103317" w:rsidP="00103317">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23B45A7C" w14:textId="77777777" w:rsidR="00103317" w:rsidRPr="00F10E52" w:rsidRDefault="00103317" w:rsidP="00103317">
      <w:pPr>
        <w:tabs>
          <w:tab w:val="left" w:pos="426"/>
        </w:tabs>
        <w:spacing w:after="0" w:line="276" w:lineRule="auto"/>
        <w:ind w:firstLine="709"/>
        <w:jc w:val="both"/>
        <w:rPr>
          <w:rFonts w:ascii="Verdana" w:eastAsia="Times New Roman" w:hAnsi="Verdana" w:cs="Arial"/>
          <w:bCs/>
          <w:lang w:eastAsia="es-CO"/>
        </w:rPr>
      </w:pPr>
    </w:p>
    <w:p w14:paraId="59001532" w14:textId="77777777" w:rsidR="00103317" w:rsidRPr="007777F3" w:rsidRDefault="00103317" w:rsidP="00103317">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733A0A4F" w14:textId="77777777" w:rsidR="00103317" w:rsidRPr="009E6EDF" w:rsidRDefault="00103317" w:rsidP="00103317">
      <w:pPr>
        <w:spacing w:after="0" w:line="240" w:lineRule="auto"/>
        <w:ind w:left="709" w:right="709"/>
        <w:jc w:val="both"/>
        <w:rPr>
          <w:rFonts w:ascii="Verdana" w:eastAsia="Times New Roman" w:hAnsi="Verdana" w:cs="Arial"/>
          <w:bCs/>
          <w:sz w:val="20"/>
          <w:szCs w:val="20"/>
          <w:lang w:eastAsia="es-CO"/>
        </w:rPr>
      </w:pPr>
    </w:p>
    <w:p w14:paraId="14AA6F2A" w14:textId="77777777" w:rsidR="00103317" w:rsidRDefault="00103317" w:rsidP="00103317">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w:t>
      </w:r>
      <w:r w:rsidRPr="009E6EDF">
        <w:rPr>
          <w:rFonts w:ascii="Verdana" w:eastAsia="Times New Roman" w:hAnsi="Verdana" w:cs="Arial"/>
          <w:bCs/>
          <w:sz w:val="20"/>
          <w:szCs w:val="20"/>
          <w:lang w:eastAsia="es-CO"/>
        </w:rPr>
        <w:lastRenderedPageBreak/>
        <w:t>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p>
    <w:p w14:paraId="6977587A" w14:textId="77777777" w:rsidR="00103317" w:rsidRPr="009E6EDF" w:rsidRDefault="00103317" w:rsidP="00103317">
      <w:pPr>
        <w:spacing w:after="0" w:line="276" w:lineRule="auto"/>
        <w:ind w:left="709" w:right="709"/>
        <w:jc w:val="both"/>
        <w:rPr>
          <w:rFonts w:ascii="Verdana" w:eastAsia="Times New Roman" w:hAnsi="Verdana" w:cs="Arial"/>
          <w:bCs/>
          <w:lang w:eastAsia="es-CO"/>
        </w:rPr>
      </w:pPr>
    </w:p>
    <w:p w14:paraId="27E0BFA5" w14:textId="35F2BC9F" w:rsidR="00103317" w:rsidRPr="006A51F6" w:rsidRDefault="00103317" w:rsidP="00CE0712">
      <w:pPr>
        <w:spacing w:after="0" w:line="276" w:lineRule="auto"/>
        <w:ind w:firstLine="709"/>
        <w:jc w:val="both"/>
        <w:rPr>
          <w:rFonts w:ascii="Verdana" w:eastAsia="Times New Roman" w:hAnsi="Verdana" w:cs="Arial"/>
          <w:bCs/>
          <w:lang w:eastAsia="es-CO"/>
        </w:rPr>
      </w:pPr>
      <w:bookmarkStart w:id="3"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7424E685" w14:textId="77777777" w:rsidR="00103317" w:rsidRDefault="00103317" w:rsidP="00103317">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6AC6464" w14:textId="77777777" w:rsidR="00103317" w:rsidRPr="009B20C5" w:rsidRDefault="00103317" w:rsidP="00103317">
      <w:pPr>
        <w:spacing w:after="0" w:line="240" w:lineRule="auto"/>
        <w:ind w:left="709" w:right="709"/>
        <w:jc w:val="both"/>
        <w:rPr>
          <w:rFonts w:ascii="Verdana" w:eastAsia="Times New Roman" w:hAnsi="Verdana" w:cs="Arial"/>
          <w:bCs/>
          <w:sz w:val="20"/>
          <w:szCs w:val="20"/>
          <w:lang w:eastAsia="es-CO"/>
        </w:rPr>
      </w:pPr>
    </w:p>
    <w:p w14:paraId="5E9435B4" w14:textId="77777777" w:rsidR="00103317" w:rsidRPr="009B20C5" w:rsidRDefault="00103317" w:rsidP="00103317">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9B20C5">
        <w:rPr>
          <w:rFonts w:ascii="Verdana" w:eastAsia="Times New Roman" w:hAnsi="Verdana" w:cs="Arial"/>
          <w:bCs/>
          <w:sz w:val="20"/>
          <w:szCs w:val="20"/>
          <w:lang w:eastAsia="es-CO"/>
        </w:rPr>
        <w:lastRenderedPageBreak/>
        <w:t>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76DD3160" w14:textId="77777777" w:rsidR="00103317" w:rsidRDefault="00103317" w:rsidP="00103317">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EBC1ACD" w14:textId="77777777" w:rsidR="00103317" w:rsidRDefault="00103317" w:rsidP="00103317">
      <w:pPr>
        <w:spacing w:after="120" w:line="276" w:lineRule="auto"/>
        <w:ind w:firstLine="708"/>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15CE5BE" w14:textId="77777777" w:rsidR="00103317" w:rsidRPr="00F10E52" w:rsidRDefault="00103317" w:rsidP="00103317">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53E67780" w14:textId="77777777" w:rsidR="00103317" w:rsidRPr="00F10E52" w:rsidRDefault="00103317" w:rsidP="00103317">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4B833C4C" w14:textId="77777777" w:rsidR="00103317" w:rsidRDefault="00103317" w:rsidP="00103317">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celebrar convenios interadministrativos para la ejecución de recursos públicos, ni participar, promover y destinar recursos públicos de las entidades a su cargo, como tampoco de las que participen como </w:t>
      </w:r>
      <w:r w:rsidRPr="00F10E52">
        <w:rPr>
          <w:rFonts w:ascii="Verdana" w:eastAsia="Calibri" w:hAnsi="Verdana" w:cs="Arial"/>
        </w:rPr>
        <w:lastRenderedPageBreak/>
        <w:t>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04ACFE70" w14:textId="77777777" w:rsidR="00103317" w:rsidRPr="00F10E52" w:rsidRDefault="00103317" w:rsidP="00103317">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7BA9C575" w14:textId="77777777" w:rsidR="00103317" w:rsidRPr="006A51F6" w:rsidRDefault="00103317" w:rsidP="00103317">
      <w:pPr>
        <w:widowControl w:val="0"/>
        <w:autoSpaceDE w:val="0"/>
        <w:autoSpaceDN w:val="0"/>
        <w:spacing w:after="0" w:line="240" w:lineRule="auto"/>
        <w:ind w:left="709" w:right="709"/>
        <w:jc w:val="both"/>
        <w:rPr>
          <w:rFonts w:ascii="Verdana" w:eastAsia="Arial" w:hAnsi="Verdana" w:cs="Arial"/>
          <w:lang w:val="es-ES" w:eastAsia="es-ES" w:bidi="es-ES"/>
        </w:rPr>
      </w:pPr>
    </w:p>
    <w:p w14:paraId="3B09113D" w14:textId="77777777" w:rsidR="00103317" w:rsidRPr="009B20C5" w:rsidRDefault="00103317" w:rsidP="0010331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9B20C5">
        <w:rPr>
          <w:rFonts w:ascii="Verdana" w:eastAsia="Arial" w:hAnsi="Verdana" w:cs="Arial"/>
          <w:sz w:val="20"/>
          <w:szCs w:val="20"/>
          <w:lang w:val="es-ES" w:eastAsia="es-ES" w:bidi="es-ES"/>
        </w:rPr>
        <w:t>se integran parcialmente</w:t>
      </w:r>
      <w:bookmarkEnd w:id="7"/>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65E73530" w14:textId="77777777" w:rsidR="00103317" w:rsidRDefault="00103317" w:rsidP="00103317">
      <w:pPr>
        <w:spacing w:after="0" w:line="276" w:lineRule="auto"/>
        <w:ind w:firstLine="709"/>
        <w:jc w:val="both"/>
        <w:rPr>
          <w:rFonts w:ascii="Verdana" w:eastAsia="Arial" w:hAnsi="Verdana" w:cs="Arial"/>
          <w:lang w:val="es-ES" w:eastAsia="es-ES" w:bidi="es-ES"/>
        </w:rPr>
      </w:pPr>
    </w:p>
    <w:p w14:paraId="71F05F15" w14:textId="77777777" w:rsidR="00103317" w:rsidRPr="00F10E52" w:rsidRDefault="00103317" w:rsidP="00103317">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8" w:name="_Hlk99438241"/>
      <w:r w:rsidRPr="00F10E52">
        <w:rPr>
          <w:rFonts w:ascii="Verdana" w:eastAsia="Arial" w:hAnsi="Verdana" w:cs="Arial"/>
          <w:lang w:val="es-ES" w:eastAsia="es-ES" w:bidi="es-ES"/>
        </w:rPr>
        <w:t xml:space="preserve">, </w:t>
      </w:r>
      <w:bookmarkStart w:id="9" w:name="_Hlk77236420"/>
      <w:bookmarkStart w:id="10" w:name="_Hlk78818435"/>
      <w:bookmarkStart w:id="11"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w:t>
      </w:r>
      <w:r w:rsidRPr="00F10E52">
        <w:rPr>
          <w:rFonts w:ascii="Verdana" w:eastAsia="Arial" w:hAnsi="Verdana" w:cs="Arial"/>
          <w:lang w:val="es-ES" w:eastAsia="es-ES" w:bidi="es-ES"/>
        </w:rPr>
        <w:lastRenderedPageBreak/>
        <w:t xml:space="preserve">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8"/>
    <w:bookmarkEnd w:id="10"/>
    <w:p w14:paraId="2D7C9101" w14:textId="77777777" w:rsidR="00103317" w:rsidRPr="00F10E52" w:rsidRDefault="00103317" w:rsidP="00103317">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1ED3AE41" w14:textId="77777777" w:rsidR="00103317" w:rsidRDefault="00103317" w:rsidP="00103317">
      <w:pPr>
        <w:spacing w:after="120" w:line="276" w:lineRule="auto"/>
        <w:ind w:firstLine="708"/>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39D0B3C1" w14:textId="77777777" w:rsidR="00103317" w:rsidRDefault="00103317" w:rsidP="00103317">
      <w:pPr>
        <w:spacing w:after="0"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el objeto de la consulta, a continuación, se hará un análisis sobre la aplicación de la prohibición contenida en el artículo 33 y sus excepciones, relacionada con su ámbito de aplicación y sus destinatarios. </w:t>
      </w:r>
    </w:p>
    <w:p w14:paraId="168CB92D" w14:textId="77777777" w:rsidR="00103317" w:rsidRDefault="00103317" w:rsidP="00103317">
      <w:pPr>
        <w:spacing w:after="0" w:line="240" w:lineRule="auto"/>
        <w:ind w:firstLine="709"/>
        <w:jc w:val="both"/>
        <w:rPr>
          <w:rFonts w:ascii="Verdana" w:eastAsia="Arial" w:hAnsi="Verdana" w:cs="Arial"/>
          <w:lang w:val="es-ES" w:eastAsia="es-ES" w:bidi="es-ES"/>
        </w:rPr>
      </w:pPr>
    </w:p>
    <w:p w14:paraId="2FA8A075" w14:textId="77777777" w:rsidR="00103317" w:rsidRPr="007777F3" w:rsidRDefault="00103317" w:rsidP="00103317">
      <w:pPr>
        <w:spacing w:after="0" w:line="276" w:lineRule="auto"/>
        <w:ind w:firstLine="708"/>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2" w:name="_Hlk75628761"/>
      <w:r w:rsidRPr="00195E24">
        <w:rPr>
          <w:rFonts w:ascii="Verdana" w:hAnsi="Verdana" w:cs="Arial"/>
          <w:bCs/>
          <w:lang w:eastAsia="x-none"/>
        </w:rPr>
        <w:t xml:space="preserve">en el artículo 33 de la ley 996 de 2005 </w:t>
      </w:r>
      <w:bookmarkEnd w:id="12"/>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73206950" w14:textId="77777777" w:rsidR="00103317" w:rsidRPr="00195E24" w:rsidRDefault="00103317" w:rsidP="00103317">
      <w:pPr>
        <w:spacing w:after="0" w:line="240" w:lineRule="auto"/>
        <w:jc w:val="both"/>
        <w:rPr>
          <w:rFonts w:ascii="Verdana" w:hAnsi="Verdana" w:cs="Arial"/>
          <w:bCs/>
          <w:lang w:eastAsia="es-CO"/>
        </w:rPr>
      </w:pPr>
    </w:p>
    <w:p w14:paraId="3D7526D6" w14:textId="77777777" w:rsidR="00103317" w:rsidRDefault="00103317" w:rsidP="00103317">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w:t>
      </w:r>
      <w:r w:rsidRPr="005800D0">
        <w:rPr>
          <w:rFonts w:ascii="Verdana" w:hAnsi="Verdana" w:cs="Arial"/>
          <w:sz w:val="20"/>
          <w:szCs w:val="20"/>
        </w:rPr>
        <w:lastRenderedPageBreak/>
        <w:t>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525FB47C" w14:textId="77777777" w:rsidR="00103317" w:rsidRPr="005800D0" w:rsidRDefault="00103317" w:rsidP="00103317">
      <w:pPr>
        <w:spacing w:after="0" w:line="240" w:lineRule="auto"/>
        <w:ind w:left="709" w:right="709"/>
        <w:jc w:val="both"/>
        <w:rPr>
          <w:rFonts w:ascii="Verdana" w:hAnsi="Verdana" w:cs="Arial"/>
          <w:sz w:val="20"/>
          <w:szCs w:val="20"/>
        </w:rPr>
      </w:pPr>
    </w:p>
    <w:p w14:paraId="3C9BE398" w14:textId="77777777" w:rsidR="00103317" w:rsidRDefault="00103317" w:rsidP="00103317">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3" w:name="_Hlk75741738"/>
      <w:r w:rsidRPr="005800D0">
        <w:rPr>
          <w:rFonts w:ascii="Verdana" w:hAnsi="Verdana" w:cs="Arial"/>
          <w:sz w:val="20"/>
          <w:szCs w:val="20"/>
        </w:rPr>
        <w:t xml:space="preserve">de cualquier sistema que no implique convocatoria pública y posibilidad de pluralidad de oferentes, </w:t>
      </w:r>
      <w:bookmarkEnd w:id="13"/>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4377234C" w14:textId="77777777" w:rsidR="00103317" w:rsidRPr="005800D0" w:rsidRDefault="00103317" w:rsidP="00CE0712">
      <w:pPr>
        <w:spacing w:after="0" w:line="240" w:lineRule="auto"/>
        <w:ind w:left="709" w:right="709"/>
        <w:jc w:val="both"/>
        <w:rPr>
          <w:rFonts w:ascii="Verdana" w:hAnsi="Verdana" w:cs="Arial"/>
        </w:rPr>
      </w:pPr>
    </w:p>
    <w:p w14:paraId="4C91F5B9" w14:textId="77777777" w:rsidR="00103317" w:rsidRPr="00195E24" w:rsidRDefault="00103317" w:rsidP="00103317">
      <w:pPr>
        <w:spacing w:after="120" w:line="276" w:lineRule="auto"/>
        <w:ind w:firstLine="708"/>
        <w:jc w:val="both"/>
        <w:rPr>
          <w:rFonts w:ascii="Verdana" w:hAnsi="Verdana" w:cs="Arial"/>
          <w:bCs/>
          <w:lang w:eastAsia="x-none"/>
        </w:rPr>
      </w:pPr>
      <w:bookmarkStart w:id="15" w:name="_Hlk94521748"/>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5"/>
    <w:p w14:paraId="168C8F41" w14:textId="77777777" w:rsidR="00103317" w:rsidRPr="00195E24" w:rsidRDefault="00103317" w:rsidP="00103317">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195E24">
        <w:rPr>
          <w:rFonts w:ascii="Verdana" w:hAnsi="Verdana" w:cs="Arial"/>
          <w:i/>
          <w:iCs/>
          <w:sz w:val="19"/>
          <w:szCs w:val="19"/>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xml:space="preserve">, precisando el Consejo de Estado –en el concepto citado– que, “aun cuando no coincide única y exactamente con la regulación que de dicho sistema de selección </w:t>
      </w:r>
      <w:r w:rsidRPr="00195E24">
        <w:rPr>
          <w:rFonts w:ascii="Verdana" w:hAnsi="Verdana" w:cs="Arial"/>
          <w:lang w:eastAsia="x-none"/>
        </w:rPr>
        <w:lastRenderedPageBreak/>
        <w:t>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29606A4F" w14:textId="77777777" w:rsidR="00103317" w:rsidRPr="00195E24" w:rsidRDefault="00103317" w:rsidP="00103317">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6"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6"/>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3C05A544" w14:textId="398C5961" w:rsidR="73D21086" w:rsidRPr="00CE0712" w:rsidRDefault="00103317" w:rsidP="00CE0712">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5D6572DB" w14:textId="77777777" w:rsidR="00103317" w:rsidRPr="00065D8F" w:rsidRDefault="00103317" w:rsidP="00103317">
      <w:pPr>
        <w:spacing w:after="120" w:line="276" w:lineRule="auto"/>
        <w:ind w:firstLine="709"/>
        <w:jc w:val="both"/>
        <w:rPr>
          <w:rFonts w:ascii="Arial" w:hAnsi="Arial" w:cs="Arial"/>
          <w:bCs/>
          <w:lang w:eastAsia="x-none"/>
        </w:rPr>
      </w:pPr>
      <w:bookmarkStart w:id="17"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065D8F">
        <w:rPr>
          <w:rFonts w:ascii="Arial" w:hAnsi="Arial" w:cs="Arial"/>
          <w:vertAlign w:val="superscript"/>
          <w:lang w:eastAsia="x-none"/>
        </w:rPr>
        <w:footnoteReference w:id="17"/>
      </w:r>
      <w:r w:rsidRPr="00065D8F">
        <w:rPr>
          <w:rFonts w:ascii="Arial" w:hAnsi="Arial" w:cs="Arial"/>
          <w:bCs/>
          <w:lang w:eastAsia="x-none"/>
        </w:rPr>
        <w:t>.</w:t>
      </w:r>
      <w:r w:rsidRPr="00065D8F">
        <w:rPr>
          <w:rFonts w:ascii="Arial" w:hAnsi="Arial" w:cs="Arial"/>
          <w:vertAlign w:val="superscript"/>
          <w:lang w:eastAsia="x-none"/>
        </w:rPr>
        <w:t xml:space="preserve"> </w:t>
      </w:r>
    </w:p>
    <w:bookmarkEnd w:id="17"/>
    <w:p w14:paraId="17F428E2" w14:textId="77777777" w:rsidR="00103317" w:rsidRDefault="00103317" w:rsidP="00103317">
      <w:pPr>
        <w:spacing w:after="0" w:line="276" w:lineRule="auto"/>
        <w:ind w:firstLine="709"/>
        <w:jc w:val="both"/>
        <w:rPr>
          <w:rFonts w:ascii="Arial" w:hAnsi="Arial" w:cs="Arial"/>
          <w:lang w:eastAsia="x-none"/>
        </w:rPr>
      </w:pPr>
      <w:r w:rsidRPr="00195E24">
        <w:rPr>
          <w:rFonts w:ascii="Verdana" w:hAnsi="Verdana" w:cs="Arial"/>
          <w:bCs/>
          <w:lang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195E24">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r w:rsidRPr="00065D8F">
        <w:rPr>
          <w:rFonts w:ascii="Arial" w:hAnsi="Arial" w:cs="Arial"/>
          <w:lang w:eastAsia="x-none"/>
        </w:rPr>
        <w:t>.</w:t>
      </w:r>
    </w:p>
    <w:p w14:paraId="66164373" w14:textId="3355647F" w:rsidR="73D21086" w:rsidRDefault="73D21086" w:rsidP="00CE0712">
      <w:pPr>
        <w:spacing w:after="0" w:line="240" w:lineRule="auto"/>
        <w:jc w:val="both"/>
        <w:rPr>
          <w:rFonts w:ascii="Arial" w:hAnsi="Arial" w:cs="Arial"/>
        </w:rPr>
      </w:pPr>
    </w:p>
    <w:p w14:paraId="4CE33388" w14:textId="77777777" w:rsidR="00103317" w:rsidRDefault="00103317" w:rsidP="00103317">
      <w:pPr>
        <w:spacing w:after="0" w:line="276" w:lineRule="auto"/>
        <w:ind w:firstLine="709"/>
        <w:jc w:val="both"/>
        <w:rPr>
          <w:rFonts w:ascii="Verdana" w:hAnsi="Verdana" w:cs="Arial"/>
          <w:bCs/>
          <w:lang w:eastAsia="x-none"/>
        </w:rPr>
      </w:pPr>
      <w:r w:rsidRPr="73D21086">
        <w:rPr>
          <w:rFonts w:ascii="Verdana" w:hAnsi="Verdana" w:cs="Arial"/>
        </w:rPr>
        <w:t xml:space="preserve">Como en otras oportunidades lo ha manifestado esta Agencia, las prórrogas, modificaciones o adiciones de los contratos suscritos antes de la </w:t>
      </w:r>
      <w:proofErr w:type="gramStart"/>
      <w:r w:rsidRPr="73D21086">
        <w:rPr>
          <w:rFonts w:ascii="Verdana" w:hAnsi="Verdana" w:cs="Arial"/>
        </w:rPr>
        <w:t>entrada en vigencia</w:t>
      </w:r>
      <w:proofErr w:type="gramEnd"/>
      <w:r w:rsidRPr="73D21086">
        <w:rPr>
          <w:rFonts w:ascii="Verdana" w:hAnsi="Verdana" w:cs="Arial"/>
        </w:rPr>
        <w:t xml:space="preserve"> de las prohibiciones anotadas, así como la cesión de </w:t>
      </w:r>
      <w:proofErr w:type="gramStart"/>
      <w:r w:rsidRPr="73D21086">
        <w:rPr>
          <w:rFonts w:ascii="Verdana" w:hAnsi="Verdana" w:cs="Arial"/>
        </w:rPr>
        <w:t>los mismos</w:t>
      </w:r>
      <w:proofErr w:type="gramEnd"/>
      <w:r w:rsidRPr="73D21086">
        <w:rPr>
          <w:rFonts w:ascii="Verdana" w:hAnsi="Verdana" w:cs="Arial"/>
        </w:rPr>
        <w:t>, pueden tener lugar en el período de aplicación de la Ley de Garantías, sin que ello haga nugatoria la restricción de la contratación directa y siempre que cumplan los principios de planeación, transparencia y responsabilidad.</w:t>
      </w:r>
    </w:p>
    <w:p w14:paraId="433CCB50" w14:textId="77777777" w:rsidR="00103317" w:rsidRDefault="00103317" w:rsidP="00CE0712">
      <w:pPr>
        <w:spacing w:after="0" w:line="240" w:lineRule="auto"/>
        <w:jc w:val="both"/>
        <w:rPr>
          <w:rFonts w:ascii="Verdana" w:hAnsi="Verdana" w:cs="Arial"/>
          <w:bCs/>
          <w:lang w:eastAsia="x-none"/>
        </w:rPr>
      </w:pPr>
    </w:p>
    <w:p w14:paraId="0E508CEA" w14:textId="77777777" w:rsidR="00103317" w:rsidRDefault="00103317" w:rsidP="00103317">
      <w:pPr>
        <w:spacing w:after="0" w:line="276" w:lineRule="auto"/>
        <w:ind w:firstLine="709"/>
        <w:jc w:val="both"/>
        <w:rPr>
          <w:rFonts w:ascii="Verdana" w:eastAsia="Calibri" w:hAnsi="Verdana" w:cs="Arial"/>
          <w:color w:val="000000" w:themeColor="text1"/>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control de tutela– tienen personería jurídica, autonomía administrativa y patrimonio propio. Estas entidades, como su nombre lo indica, se caracterizan por desarrollar actividades de carácter industrial o comercial.</w:t>
      </w:r>
      <w:r>
        <w:rPr>
          <w:rFonts w:ascii="Verdana" w:eastAsia="Calibri" w:hAnsi="Verdana" w:cs="Arial"/>
          <w:lang w:val="es-ES"/>
        </w:rPr>
        <w:t xml:space="preserve"> </w:t>
      </w:r>
      <w:r w:rsidRPr="008B2333">
        <w:rPr>
          <w:rFonts w:ascii="Verdana" w:eastAsia="Calibri" w:hAnsi="Verdana" w:cs="Arial"/>
          <w:color w:val="000000" w:themeColor="text1"/>
        </w:rPr>
        <w:t>Así, por ejemplo, son E</w:t>
      </w:r>
      <w:r>
        <w:rPr>
          <w:rFonts w:ascii="Verdana" w:eastAsia="Calibri" w:hAnsi="Verdana" w:cs="Arial"/>
          <w:color w:val="000000" w:themeColor="text1"/>
        </w:rPr>
        <w:t xml:space="preserve">mpresas </w:t>
      </w:r>
      <w:r w:rsidRPr="008B2333">
        <w:rPr>
          <w:rFonts w:ascii="Verdana" w:eastAsia="Calibri" w:hAnsi="Verdana" w:cs="Arial"/>
          <w:color w:val="000000" w:themeColor="text1"/>
        </w:rPr>
        <w:t>I</w:t>
      </w:r>
      <w:r>
        <w:rPr>
          <w:rFonts w:ascii="Verdana" w:eastAsia="Calibri" w:hAnsi="Verdana" w:cs="Arial"/>
          <w:color w:val="000000" w:themeColor="text1"/>
        </w:rPr>
        <w:t xml:space="preserve">ndustriales y </w:t>
      </w:r>
      <w:r w:rsidRPr="008B2333">
        <w:rPr>
          <w:rFonts w:ascii="Verdana" w:eastAsia="Calibri" w:hAnsi="Verdana" w:cs="Arial"/>
          <w:color w:val="000000" w:themeColor="text1"/>
        </w:rPr>
        <w:t>C</w:t>
      </w:r>
      <w:r>
        <w:rPr>
          <w:rFonts w:ascii="Verdana" w:eastAsia="Calibri" w:hAnsi="Verdana" w:cs="Arial"/>
          <w:color w:val="000000" w:themeColor="text1"/>
        </w:rPr>
        <w:t xml:space="preserve">omerciales del </w:t>
      </w:r>
      <w:r w:rsidRPr="008B2333">
        <w:rPr>
          <w:rFonts w:ascii="Verdana" w:eastAsia="Calibri" w:hAnsi="Verdana" w:cs="Arial"/>
          <w:color w:val="000000" w:themeColor="text1"/>
        </w:rPr>
        <w:t>E</w:t>
      </w:r>
      <w:r>
        <w:rPr>
          <w:rFonts w:ascii="Verdana" w:eastAsia="Calibri" w:hAnsi="Verdana" w:cs="Arial"/>
          <w:color w:val="000000" w:themeColor="text1"/>
        </w:rPr>
        <w:t>stado</w:t>
      </w:r>
      <w:r w:rsidRPr="008B2333">
        <w:rPr>
          <w:rFonts w:ascii="Verdana" w:eastAsia="Calibri" w:hAnsi="Verdana" w:cs="Arial"/>
          <w:color w:val="000000" w:themeColor="text1"/>
        </w:rPr>
        <w:t xml:space="preserve"> la Imprenta Nacional de Colombia, Coljuegos, Indumil, la Caja Promotora de Vivienda Militar y de Policía, Colpensiones, entre otras</w:t>
      </w:r>
      <w:r w:rsidRPr="008B2333">
        <w:rPr>
          <w:rFonts w:ascii="Verdana" w:hAnsi="Verdana"/>
          <w:vertAlign w:val="superscript"/>
        </w:rPr>
        <w:footnoteReference w:id="18"/>
      </w:r>
      <w:r w:rsidRPr="008B2333">
        <w:rPr>
          <w:rFonts w:ascii="Verdana" w:eastAsia="Calibri" w:hAnsi="Verdana" w:cs="Arial"/>
          <w:color w:val="000000" w:themeColor="text1"/>
        </w:rPr>
        <w:t>.</w:t>
      </w:r>
    </w:p>
    <w:p w14:paraId="433AA01C" w14:textId="77777777" w:rsidR="00103317" w:rsidRPr="001276FB" w:rsidRDefault="00103317" w:rsidP="00103317">
      <w:pPr>
        <w:spacing w:after="0" w:line="240" w:lineRule="auto"/>
        <w:ind w:firstLine="709"/>
        <w:jc w:val="both"/>
        <w:rPr>
          <w:rFonts w:ascii="Verdana" w:hAnsi="Verdana" w:cs="Arial"/>
          <w:bCs/>
          <w:lang w:eastAsia="x-none"/>
        </w:rPr>
      </w:pPr>
    </w:p>
    <w:p w14:paraId="3B1D275E" w14:textId="77777777" w:rsidR="00103317" w:rsidRDefault="00103317" w:rsidP="00103317">
      <w:pPr>
        <w:spacing w:after="0" w:line="276" w:lineRule="auto"/>
        <w:ind w:firstLine="708"/>
        <w:jc w:val="both"/>
        <w:rPr>
          <w:rFonts w:ascii="Verdana" w:eastAsia="Calibri" w:hAnsi="Verdana" w:cs="Arial"/>
          <w:lang w:val="es-ES"/>
        </w:rPr>
      </w:pPr>
      <w:r w:rsidRPr="00515C0B">
        <w:rPr>
          <w:rFonts w:ascii="Verdana" w:eastAsia="Calibri" w:hAnsi="Verdana" w:cs="Arial"/>
          <w:lang w:val="es-ES"/>
        </w:rPr>
        <w:t>Las Empresas Industriales y Comerciales del Estado, bajo la denominación de Entidades Estatales, quedaron sometidas al Estatuto General de Contratación de la Administración Pública –Ley 80 de 1993, artículo 2, numeral 1, literal a</w:t>
      </w:r>
      <w:r w:rsidRPr="00515C0B">
        <w:rPr>
          <w:rFonts w:ascii="Verdana" w:eastAsia="Calibri" w:hAnsi="Verdana" w:cs="Arial"/>
          <w:vertAlign w:val="superscript"/>
          <w:lang w:val="es-ES"/>
        </w:rPr>
        <w:footnoteReference w:id="19"/>
      </w:r>
      <w:r w:rsidRPr="00515C0B">
        <w:rPr>
          <w:rFonts w:ascii="Verdana" w:eastAsia="Calibri" w:hAnsi="Verdana" w:cs="Arial"/>
          <w:lang w:val="es-ES"/>
        </w:rPr>
        <w:t xml:space="preserve">. </w:t>
      </w:r>
      <w:r w:rsidRPr="00515C0B">
        <w:rPr>
          <w:rFonts w:ascii="Verdana" w:eastAsia="Calibri" w:hAnsi="Verdana" w:cs="Arial"/>
          <w:lang w:val="es-ES"/>
        </w:rPr>
        <w:lastRenderedPageBreak/>
        <w:t>Posteriormente, la Ley 489 de 1998, mediante el cual se regula la organización y funcionamiento de las entidades de orden nacional, en su artículo 93 estableció el régimen jurídico aplicable a los contratos celebrados por las Empresas Industriales y Comerciales del Estado, como sigue:</w:t>
      </w:r>
    </w:p>
    <w:p w14:paraId="687C08C7" w14:textId="77777777" w:rsidR="00103317" w:rsidRPr="00515C0B" w:rsidRDefault="00103317" w:rsidP="00CE0712">
      <w:pPr>
        <w:spacing w:after="0" w:line="240" w:lineRule="auto"/>
        <w:jc w:val="both"/>
        <w:rPr>
          <w:rFonts w:ascii="Verdana" w:eastAsia="Calibri" w:hAnsi="Verdana" w:cs="Arial"/>
          <w:lang w:val="es-ES"/>
        </w:rPr>
      </w:pPr>
    </w:p>
    <w:p w14:paraId="661F0316" w14:textId="47337F1E" w:rsidR="00103317" w:rsidRDefault="00103317" w:rsidP="00CE0712">
      <w:pPr>
        <w:spacing w:after="0" w:line="240" w:lineRule="auto"/>
        <w:ind w:left="709" w:right="709"/>
        <w:contextualSpacing/>
        <w:jc w:val="both"/>
        <w:rPr>
          <w:rFonts w:ascii="Verdana" w:eastAsia="Times New Roman" w:hAnsi="Verdana" w:cs="Arial"/>
          <w:sz w:val="20"/>
          <w:szCs w:val="20"/>
          <w:lang w:eastAsia="es-ES_tradnl"/>
        </w:rPr>
      </w:pPr>
      <w:r w:rsidRPr="73D21086">
        <w:rPr>
          <w:rFonts w:ascii="Verdana" w:eastAsia="Times New Roman" w:hAnsi="Verdana" w:cs="Arial"/>
          <w:sz w:val="20"/>
          <w:szCs w:val="20"/>
          <w:lang w:eastAsia="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2FCEFDCF" w14:textId="77777777" w:rsidR="00CE0712" w:rsidRPr="00CE0712" w:rsidRDefault="00CE0712" w:rsidP="00CE0712">
      <w:pPr>
        <w:spacing w:after="0" w:line="240" w:lineRule="auto"/>
        <w:ind w:left="709" w:right="709"/>
        <w:contextualSpacing/>
        <w:jc w:val="both"/>
        <w:rPr>
          <w:rFonts w:ascii="Verdana" w:eastAsia="Times New Roman" w:hAnsi="Verdana" w:cs="Arial"/>
          <w:sz w:val="20"/>
          <w:szCs w:val="20"/>
          <w:lang w:eastAsia="es-ES_tradnl"/>
        </w:rPr>
      </w:pPr>
    </w:p>
    <w:p w14:paraId="4EC6496B" w14:textId="77777777" w:rsidR="00103317" w:rsidRDefault="00103317" w:rsidP="00103317">
      <w:pPr>
        <w:widowControl w:val="0"/>
        <w:autoSpaceDE w:val="0"/>
        <w:autoSpaceDN w:val="0"/>
        <w:spacing w:after="0" w:line="276" w:lineRule="auto"/>
        <w:ind w:firstLine="708"/>
        <w:jc w:val="both"/>
        <w:rPr>
          <w:rFonts w:ascii="Verdana" w:eastAsia="Verdana" w:hAnsi="Verdana" w:cs="Verdana"/>
          <w:lang w:val="es-ES"/>
        </w:rPr>
      </w:pPr>
      <w:bookmarkStart w:id="18" w:name="_bookmark7"/>
      <w:bookmarkEnd w:id="18"/>
      <w:r w:rsidRPr="00515C0B">
        <w:rPr>
          <w:rFonts w:ascii="Verdana" w:eastAsia="Verdana" w:hAnsi="Verdana" w:cs="Verdana"/>
          <w:lang w:val="es-ES"/>
        </w:rPr>
        <w:t>No obstante las dificultades hermenéuticas que suscitaba la disposición anterior,</w:t>
      </w:r>
      <w:r w:rsidRPr="00515C0B">
        <w:rPr>
          <w:rFonts w:ascii="Verdana" w:eastAsia="Verdana" w:hAnsi="Verdana" w:cs="Verdana"/>
          <w:spacing w:val="-8"/>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14</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la</w:t>
      </w:r>
      <w:r w:rsidRPr="00515C0B">
        <w:rPr>
          <w:rFonts w:ascii="Verdana" w:eastAsia="Verdana" w:hAnsi="Verdana" w:cs="Verdana"/>
          <w:spacing w:val="-10"/>
          <w:lang w:val="es-ES"/>
        </w:rPr>
        <w:t xml:space="preserve"> </w:t>
      </w:r>
      <w:r w:rsidRPr="00515C0B">
        <w:rPr>
          <w:rFonts w:ascii="Verdana" w:eastAsia="Verdana" w:hAnsi="Verdana" w:cs="Verdana"/>
          <w:lang w:val="es-ES"/>
        </w:rPr>
        <w:t>Ley</w:t>
      </w:r>
      <w:r w:rsidRPr="00515C0B">
        <w:rPr>
          <w:rFonts w:ascii="Verdana" w:eastAsia="Verdana" w:hAnsi="Verdana" w:cs="Verdana"/>
          <w:spacing w:val="-8"/>
          <w:lang w:val="es-ES"/>
        </w:rPr>
        <w:t xml:space="preserve"> </w:t>
      </w:r>
      <w:r w:rsidRPr="00515C0B">
        <w:rPr>
          <w:rFonts w:ascii="Verdana" w:eastAsia="Verdana" w:hAnsi="Verdana" w:cs="Verdana"/>
          <w:lang w:val="es-ES"/>
        </w:rPr>
        <w:t>1150</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2007 –modificado</w:t>
      </w:r>
      <w:r w:rsidRPr="00515C0B">
        <w:rPr>
          <w:rFonts w:ascii="Verdana" w:eastAsia="Verdana" w:hAnsi="Verdana" w:cs="Verdana"/>
          <w:spacing w:val="-7"/>
          <w:lang w:val="es-ES"/>
        </w:rPr>
        <w:t xml:space="preserve"> </w:t>
      </w:r>
      <w:r w:rsidRPr="00515C0B">
        <w:rPr>
          <w:rFonts w:ascii="Verdana" w:eastAsia="Verdana" w:hAnsi="Verdana" w:cs="Verdana"/>
          <w:lang w:val="es-ES"/>
        </w:rPr>
        <w:t>por</w:t>
      </w:r>
      <w:r w:rsidRPr="00515C0B">
        <w:rPr>
          <w:rFonts w:ascii="Verdana" w:eastAsia="Verdana" w:hAnsi="Verdana" w:cs="Verdana"/>
          <w:spacing w:val="-7"/>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93</w:t>
      </w:r>
      <w:r w:rsidRPr="00515C0B">
        <w:rPr>
          <w:rFonts w:ascii="Verdana" w:eastAsia="Verdana" w:hAnsi="Verdana" w:cs="Verdana"/>
          <w:spacing w:val="-12"/>
          <w:lang w:val="es-ES"/>
        </w:rPr>
        <w:t xml:space="preserve"> </w:t>
      </w:r>
      <w:r w:rsidRPr="00515C0B">
        <w:rPr>
          <w:rFonts w:ascii="Verdana" w:eastAsia="Verdana" w:hAnsi="Verdana" w:cs="Verdana"/>
          <w:lang w:val="es-ES"/>
        </w:rPr>
        <w:t>de la Ley 1474 de 2011– dispuso un régimen exceptivo de aplicación del derecho privado para la actividad contractual de las E</w:t>
      </w:r>
      <w:r>
        <w:rPr>
          <w:rFonts w:ascii="Verdana" w:eastAsia="Verdana" w:hAnsi="Verdana" w:cs="Verdana"/>
          <w:lang w:val="es-ES"/>
        </w:rPr>
        <w:t xml:space="preserve">mpresas </w:t>
      </w:r>
      <w:r w:rsidRPr="00515C0B">
        <w:rPr>
          <w:rFonts w:ascii="Verdana" w:eastAsia="Verdana" w:hAnsi="Verdana" w:cs="Verdana"/>
          <w:lang w:val="es-ES"/>
        </w:rPr>
        <w:t>I</w:t>
      </w:r>
      <w:r>
        <w:rPr>
          <w:rFonts w:ascii="Verdana" w:eastAsia="Verdana" w:hAnsi="Verdana" w:cs="Verdana"/>
          <w:lang w:val="es-ES"/>
        </w:rPr>
        <w:t xml:space="preserve">ndustriales y </w:t>
      </w:r>
      <w:r w:rsidRPr="00515C0B">
        <w:rPr>
          <w:rFonts w:ascii="Verdana" w:eastAsia="Verdana" w:hAnsi="Verdana" w:cs="Verdana"/>
          <w:lang w:val="es-ES"/>
        </w:rPr>
        <w:t>C</w:t>
      </w:r>
      <w:r>
        <w:rPr>
          <w:rFonts w:ascii="Verdana" w:eastAsia="Verdana" w:hAnsi="Verdana" w:cs="Verdana"/>
          <w:lang w:val="es-ES"/>
        </w:rPr>
        <w:t xml:space="preserve">omerciales del </w:t>
      </w:r>
      <w:r w:rsidRPr="00515C0B">
        <w:rPr>
          <w:rFonts w:ascii="Verdana" w:eastAsia="Verdana" w:hAnsi="Verdana" w:cs="Verdana"/>
          <w:lang w:val="es-ES"/>
        </w:rPr>
        <w:t>E</w:t>
      </w:r>
      <w:r>
        <w:rPr>
          <w:rFonts w:ascii="Verdana" w:eastAsia="Verdana" w:hAnsi="Verdana" w:cs="Verdana"/>
          <w:lang w:val="es-ES"/>
        </w:rPr>
        <w:t>stado</w:t>
      </w:r>
      <w:r w:rsidRPr="00515C0B">
        <w:rPr>
          <w:rFonts w:ascii="Verdana" w:eastAsia="Verdana" w:hAnsi="Verdana" w:cs="Verdana"/>
          <w:lang w:val="es-ES"/>
        </w:rPr>
        <w:t xml:space="preserve"> que ejercen su actividad en competencia</w:t>
      </w:r>
      <w:r w:rsidRPr="00515C0B">
        <w:rPr>
          <w:rFonts w:ascii="Verdana" w:eastAsia="Verdana" w:hAnsi="Verdana" w:cs="Verdana"/>
          <w:spacing w:val="-20"/>
          <w:lang w:val="es-ES"/>
        </w:rPr>
        <w:t xml:space="preserve"> </w:t>
      </w:r>
      <w:r w:rsidRPr="00515C0B">
        <w:rPr>
          <w:rFonts w:ascii="Verdana" w:eastAsia="Verdana" w:hAnsi="Verdana" w:cs="Verdana"/>
          <w:lang w:val="es-ES"/>
        </w:rPr>
        <w:t>con</w:t>
      </w:r>
      <w:r w:rsidRPr="00515C0B">
        <w:rPr>
          <w:rFonts w:ascii="Verdana" w:eastAsia="Verdana" w:hAnsi="Verdana" w:cs="Verdana"/>
          <w:spacing w:val="-19"/>
          <w:lang w:val="es-ES"/>
        </w:rPr>
        <w:t xml:space="preserve"> </w:t>
      </w:r>
      <w:r w:rsidRPr="00515C0B">
        <w:rPr>
          <w:rFonts w:ascii="Verdana" w:eastAsia="Verdana" w:hAnsi="Verdana" w:cs="Verdana"/>
          <w:lang w:val="es-ES"/>
        </w:rPr>
        <w:t>el</w:t>
      </w:r>
      <w:r w:rsidRPr="00515C0B">
        <w:rPr>
          <w:rFonts w:ascii="Verdana" w:eastAsia="Verdana" w:hAnsi="Verdana" w:cs="Verdana"/>
          <w:spacing w:val="-19"/>
          <w:lang w:val="es-ES"/>
        </w:rPr>
        <w:t xml:space="preserve"> </w:t>
      </w:r>
      <w:r w:rsidRPr="00515C0B">
        <w:rPr>
          <w:rFonts w:ascii="Verdana" w:eastAsia="Verdana" w:hAnsi="Verdana" w:cs="Verdana"/>
          <w:lang w:val="es-ES"/>
        </w:rPr>
        <w:t>sector</w:t>
      </w:r>
      <w:r w:rsidRPr="00515C0B">
        <w:rPr>
          <w:rFonts w:ascii="Verdana" w:eastAsia="Verdana" w:hAnsi="Verdana" w:cs="Verdana"/>
          <w:spacing w:val="-20"/>
          <w:lang w:val="es-ES"/>
        </w:rPr>
        <w:t xml:space="preserve"> </w:t>
      </w:r>
      <w:r w:rsidRPr="00515C0B">
        <w:rPr>
          <w:rFonts w:ascii="Verdana" w:eastAsia="Verdana" w:hAnsi="Verdana" w:cs="Verdana"/>
          <w:lang w:val="es-ES"/>
        </w:rPr>
        <w:t>público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20"/>
          <w:lang w:val="es-ES"/>
        </w:rPr>
        <w:t xml:space="preserve"> </w:t>
      </w:r>
      <w:r w:rsidRPr="00515C0B">
        <w:rPr>
          <w:rFonts w:ascii="Verdana" w:eastAsia="Verdana" w:hAnsi="Verdana" w:cs="Verdana"/>
          <w:lang w:val="es-ES"/>
        </w:rPr>
        <w:t>privado,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19"/>
          <w:lang w:val="es-ES"/>
        </w:rPr>
        <w:t xml:space="preserve"> </w:t>
      </w:r>
      <w:r w:rsidRPr="00515C0B">
        <w:rPr>
          <w:rFonts w:ascii="Verdana" w:eastAsia="Verdana" w:hAnsi="Verdana" w:cs="Verdana"/>
          <w:lang w:val="es-ES"/>
        </w:rPr>
        <w:t>en</w:t>
      </w:r>
      <w:r w:rsidRPr="00515C0B">
        <w:rPr>
          <w:rFonts w:ascii="Verdana" w:eastAsia="Verdana" w:hAnsi="Verdana" w:cs="Verdana"/>
          <w:spacing w:val="-20"/>
          <w:lang w:val="es-ES"/>
        </w:rPr>
        <w:t xml:space="preserve"> </w:t>
      </w:r>
      <w:r w:rsidRPr="00515C0B">
        <w:rPr>
          <w:rFonts w:ascii="Verdana" w:eastAsia="Verdana" w:hAnsi="Verdana" w:cs="Verdana"/>
          <w:lang w:val="es-ES"/>
        </w:rPr>
        <w:t>mercados</w:t>
      </w:r>
      <w:r w:rsidRPr="00515C0B">
        <w:rPr>
          <w:rFonts w:ascii="Verdana" w:eastAsia="Verdana" w:hAnsi="Verdana" w:cs="Verdana"/>
          <w:spacing w:val="-19"/>
          <w:lang w:val="es-ES"/>
        </w:rPr>
        <w:t xml:space="preserve"> </w:t>
      </w:r>
      <w:r w:rsidRPr="00515C0B">
        <w:rPr>
          <w:rFonts w:ascii="Verdana" w:eastAsia="Verdana" w:hAnsi="Verdana" w:cs="Verdana"/>
          <w:lang w:val="es-ES"/>
        </w:rPr>
        <w:t>regulados,</w:t>
      </w:r>
      <w:r w:rsidRPr="00515C0B">
        <w:rPr>
          <w:rFonts w:ascii="Verdana" w:eastAsia="Verdana" w:hAnsi="Verdana" w:cs="Verdana"/>
          <w:spacing w:val="-19"/>
          <w:lang w:val="es-ES"/>
        </w:rPr>
        <w:t xml:space="preserve"> </w:t>
      </w:r>
      <w:r w:rsidRPr="00515C0B">
        <w:rPr>
          <w:rFonts w:ascii="Verdana" w:eastAsia="Verdana" w:hAnsi="Verdana" w:cs="Verdana"/>
          <w:lang w:val="es-ES"/>
        </w:rPr>
        <w:t xml:space="preserve">quedando las otras </w:t>
      </w:r>
      <w:r>
        <w:rPr>
          <w:rFonts w:ascii="Verdana" w:eastAsia="Verdana" w:hAnsi="Verdana" w:cs="Verdana"/>
          <w:lang w:val="es-ES"/>
        </w:rPr>
        <w:t>empresas de esta índole</w:t>
      </w:r>
      <w:r w:rsidRPr="00515C0B">
        <w:rPr>
          <w:rFonts w:ascii="Verdana" w:eastAsia="Verdana" w:hAnsi="Verdana" w:cs="Verdana"/>
          <w:lang w:val="es-ES"/>
        </w:rPr>
        <w:t xml:space="preserve"> dentro del ámbito de aplicación del Estatuto General de Contratación de la Administración Pública</w:t>
      </w:r>
      <w:r w:rsidRPr="00515C0B">
        <w:rPr>
          <w:rFonts w:ascii="Verdana" w:eastAsia="Verdana" w:hAnsi="Verdana" w:cs="Verdana"/>
          <w:vertAlign w:val="superscript"/>
          <w:lang w:val="es-ES"/>
        </w:rPr>
        <w:footnoteReference w:id="20"/>
      </w:r>
      <w:r w:rsidRPr="00515C0B">
        <w:rPr>
          <w:rFonts w:ascii="Verdana" w:eastAsia="Verdana" w:hAnsi="Verdana" w:cs="Verdana"/>
          <w:lang w:val="es-ES"/>
        </w:rPr>
        <w:t>. Así, la norma</w:t>
      </w:r>
      <w:r w:rsidRPr="00515C0B">
        <w:rPr>
          <w:rFonts w:ascii="Verdana" w:eastAsia="Verdana" w:hAnsi="Verdana" w:cs="Verdana"/>
          <w:spacing w:val="-1"/>
          <w:lang w:val="es-ES"/>
        </w:rPr>
        <w:t xml:space="preserve"> </w:t>
      </w:r>
      <w:r w:rsidRPr="00515C0B">
        <w:rPr>
          <w:rFonts w:ascii="Verdana" w:eastAsia="Verdana" w:hAnsi="Verdana" w:cs="Verdana"/>
          <w:lang w:val="es-ES"/>
        </w:rPr>
        <w:t>vigente respecto a</w:t>
      </w:r>
      <w:r w:rsidRPr="00515C0B">
        <w:rPr>
          <w:rFonts w:ascii="Verdana" w:eastAsia="Verdana" w:hAnsi="Verdana" w:cs="Verdana"/>
          <w:spacing w:val="-1"/>
          <w:lang w:val="es-ES"/>
        </w:rPr>
        <w:t xml:space="preserve"> </w:t>
      </w:r>
      <w:r w:rsidRPr="00515C0B">
        <w:rPr>
          <w:rFonts w:ascii="Verdana" w:eastAsia="Verdana" w:hAnsi="Verdana" w:cs="Verdana"/>
          <w:lang w:val="es-ES"/>
        </w:rPr>
        <w:t>su régimen contractual establece:</w:t>
      </w:r>
    </w:p>
    <w:p w14:paraId="1886BE9E" w14:textId="37115641" w:rsidR="73D21086" w:rsidRDefault="73D21086" w:rsidP="00CE0712">
      <w:pPr>
        <w:widowControl w:val="0"/>
        <w:spacing w:after="0" w:line="240" w:lineRule="auto"/>
        <w:jc w:val="both"/>
        <w:rPr>
          <w:rFonts w:ascii="Verdana" w:eastAsia="Verdana" w:hAnsi="Verdana" w:cs="Verdana"/>
          <w:lang w:val="es-ES"/>
        </w:rPr>
      </w:pPr>
    </w:p>
    <w:p w14:paraId="74840EBE" w14:textId="77777777" w:rsidR="00103317" w:rsidRPr="00515C0B" w:rsidRDefault="00103317" w:rsidP="00103317">
      <w:pPr>
        <w:spacing w:after="0" w:line="240" w:lineRule="auto"/>
        <w:ind w:left="709" w:right="709"/>
        <w:contextualSpacing/>
        <w:jc w:val="both"/>
        <w:rPr>
          <w:rFonts w:ascii="Verdana" w:eastAsia="Times New Roman" w:hAnsi="Verdana" w:cs="Arial"/>
          <w:sz w:val="20"/>
          <w:szCs w:val="20"/>
          <w:lang w:eastAsia="es-ES"/>
        </w:rPr>
      </w:pPr>
      <w:r w:rsidRPr="73D21086">
        <w:rPr>
          <w:rFonts w:ascii="Verdana" w:eastAsia="Times New Roman" w:hAnsi="Verdana" w:cs="Arial"/>
          <w:sz w:val="20"/>
          <w:szCs w:val="20"/>
          <w:lang w:eastAsia="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w:t>
      </w:r>
      <w:r w:rsidRPr="73D21086">
        <w:rPr>
          <w:rFonts w:ascii="Verdana" w:eastAsia="Times New Roman" w:hAnsi="Verdana" w:cs="Arial"/>
          <w:sz w:val="20"/>
          <w:szCs w:val="20"/>
          <w:lang w:eastAsia="es-ES"/>
        </w:rPr>
        <w:lastRenderedPageBreak/>
        <w:t>(50%),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73D21086">
        <w:rPr>
          <w:rFonts w:ascii="Calibri" w:eastAsia="Times New Roman" w:hAnsi="Calibri" w:cs="Arial"/>
          <w:sz w:val="20"/>
          <w:szCs w:val="20"/>
          <w:vertAlign w:val="superscript"/>
          <w:lang w:eastAsia="es-ES"/>
        </w:rPr>
        <w:footnoteReference w:id="21"/>
      </w:r>
      <w:r w:rsidRPr="73D21086">
        <w:rPr>
          <w:rFonts w:ascii="Verdana" w:eastAsia="Times New Roman" w:hAnsi="Verdana" w:cs="Arial"/>
          <w:sz w:val="20"/>
          <w:szCs w:val="20"/>
          <w:lang w:eastAsia="es-ES"/>
        </w:rPr>
        <w:t>.</w:t>
      </w:r>
    </w:p>
    <w:p w14:paraId="093675D4" w14:textId="77777777" w:rsidR="00103317" w:rsidRPr="00515C0B" w:rsidRDefault="00103317" w:rsidP="00CE0712">
      <w:pPr>
        <w:spacing w:after="0"/>
        <w:ind w:right="709"/>
        <w:jc w:val="both"/>
        <w:rPr>
          <w:rFonts w:ascii="Verdana" w:eastAsia="Calibri" w:hAnsi="Verdana" w:cs="Times New Roman"/>
          <w:sz w:val="21"/>
          <w:szCs w:val="21"/>
        </w:rPr>
      </w:pPr>
    </w:p>
    <w:p w14:paraId="189CEDDF" w14:textId="575E3A1C" w:rsidR="00CE0712" w:rsidRPr="00CE0712" w:rsidRDefault="00103317" w:rsidP="00CE0712">
      <w:pPr>
        <w:spacing w:after="120" w:line="276" w:lineRule="auto"/>
        <w:ind w:firstLine="708"/>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29C1545" w14:textId="54E8238E" w:rsidR="73D21086" w:rsidRDefault="00103317" w:rsidP="00CE0712">
      <w:pPr>
        <w:spacing w:after="12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2"/>
      </w:r>
      <w:r w:rsidRPr="73D21086">
        <w:rPr>
          <w:rFonts w:ascii="Verdana" w:hAnsi="Verdana" w:cs="Arial"/>
          <w:color w:val="000000" w:themeColor="text1"/>
          <w:lang w:val="es-MX"/>
        </w:rPr>
        <w:t xml:space="preserve">. </w:t>
      </w:r>
    </w:p>
    <w:p w14:paraId="46C260F6" w14:textId="68A8E130" w:rsidR="00103317" w:rsidRDefault="00103317" w:rsidP="00CE0712">
      <w:pPr>
        <w:spacing w:after="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lastRenderedPageBreak/>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3"/>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2AB058AA" w14:textId="77777777" w:rsidR="00CE0712" w:rsidRPr="00CE0D82" w:rsidRDefault="00CE0712" w:rsidP="00CE0712">
      <w:pPr>
        <w:spacing w:after="0" w:line="240" w:lineRule="auto"/>
        <w:ind w:firstLine="709"/>
        <w:jc w:val="both"/>
        <w:rPr>
          <w:rFonts w:ascii="Verdana" w:hAnsi="Verdana" w:cs="Arial"/>
          <w:color w:val="000000" w:themeColor="text1"/>
          <w:lang w:val="es-MX"/>
        </w:rPr>
      </w:pPr>
    </w:p>
    <w:p w14:paraId="2A0E8C6B" w14:textId="77777777" w:rsidR="00103317" w:rsidRDefault="00103317" w:rsidP="00103317">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0B2DB08D" w14:textId="77777777" w:rsidR="00103317" w:rsidRPr="005800D0" w:rsidRDefault="00103317" w:rsidP="00103317">
      <w:pPr>
        <w:spacing w:after="0" w:line="240" w:lineRule="auto"/>
        <w:ind w:left="709" w:right="709"/>
        <w:jc w:val="both"/>
        <w:rPr>
          <w:rFonts w:ascii="Verdana" w:hAnsi="Verdana" w:cs="Arial"/>
          <w:color w:val="000000" w:themeColor="text1"/>
          <w:sz w:val="20"/>
          <w:szCs w:val="20"/>
          <w:lang w:val="es-MX"/>
        </w:rPr>
      </w:pPr>
    </w:p>
    <w:p w14:paraId="72DAD63B" w14:textId="77777777" w:rsidR="00103317" w:rsidRPr="005800D0" w:rsidRDefault="00103317" w:rsidP="00103317">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4"/>
      </w:r>
      <w:r w:rsidRPr="005800D0">
        <w:rPr>
          <w:rFonts w:ascii="Verdana" w:hAnsi="Verdana" w:cs="Arial"/>
          <w:color w:val="000000" w:themeColor="text1"/>
          <w:sz w:val="20"/>
          <w:szCs w:val="20"/>
          <w:lang w:val="es-MX" w:eastAsia="x-none"/>
        </w:rPr>
        <w:t>.</w:t>
      </w:r>
    </w:p>
    <w:p w14:paraId="50597A70" w14:textId="77777777" w:rsidR="00103317" w:rsidRDefault="00103317" w:rsidP="00103317">
      <w:pPr>
        <w:spacing w:after="0" w:line="276" w:lineRule="auto"/>
        <w:ind w:firstLine="709"/>
        <w:jc w:val="both"/>
        <w:rPr>
          <w:rFonts w:ascii="Verdana" w:hAnsi="Verdana" w:cs="Arial"/>
          <w:color w:val="000000" w:themeColor="text1"/>
          <w:lang w:val="es-MX"/>
        </w:rPr>
      </w:pPr>
    </w:p>
    <w:p w14:paraId="47A0E28D" w14:textId="54DA8418" w:rsidR="73D21086" w:rsidRDefault="00103317" w:rsidP="00CE0712">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lastRenderedPageBreak/>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5"/>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05693A8C" w14:textId="77777777" w:rsidR="00103317" w:rsidRPr="00195E24" w:rsidRDefault="00103317" w:rsidP="00103317">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sino por mecanismos competitivos que impliquen convocatoria pública y la posibilidad de la existencia de pluralidad de oferentes</w:t>
      </w:r>
      <w:r>
        <w:rPr>
          <w:rFonts w:ascii="Verdana" w:hAnsi="Verdana" w:cs="Arial"/>
          <w:color w:val="000000" w:themeColor="text1"/>
          <w:lang w:val="es-MX"/>
        </w:rPr>
        <w:t xml:space="preserve">. </w:t>
      </w:r>
    </w:p>
    <w:p w14:paraId="373A549B" w14:textId="5E0A75D7" w:rsidR="73D21086" w:rsidRPr="00CE0712" w:rsidRDefault="00103317" w:rsidP="00CE0712">
      <w:pPr>
        <w:spacing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2C7AAAD4" w14:textId="77777777" w:rsidR="00103317" w:rsidRPr="00062EAD" w:rsidRDefault="00103317" w:rsidP="00103317">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w:t>
      </w:r>
      <w:r w:rsidRPr="00E36918">
        <w:rPr>
          <w:rFonts w:ascii="Verdana" w:eastAsia="Times New Roman" w:hAnsi="Verdana" w:cs="Arial"/>
          <w:bCs/>
          <w:lang w:val="es-ES" w:eastAsia="es-CO" w:bidi="es-ES"/>
        </w:rPr>
        <w:lastRenderedPageBreak/>
        <w:t xml:space="preserve">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p>
    <w:p w14:paraId="78F851DE" w14:textId="77777777" w:rsidR="00103317" w:rsidRDefault="00103317" w:rsidP="00103317">
      <w:pPr>
        <w:tabs>
          <w:tab w:val="left" w:pos="142"/>
          <w:tab w:val="left" w:pos="284"/>
          <w:tab w:val="left" w:pos="3828"/>
        </w:tabs>
        <w:spacing w:after="0" w:line="240" w:lineRule="auto"/>
        <w:rPr>
          <w:rFonts w:ascii="Verdana" w:eastAsia="Century Gothic" w:hAnsi="Verdana" w:cs="Century Gothic"/>
          <w:b/>
          <w:bCs/>
        </w:rPr>
      </w:pPr>
      <w:bookmarkStart w:id="21"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1"/>
    </w:p>
    <w:p w14:paraId="69699D18" w14:textId="77777777" w:rsidR="00103317" w:rsidRPr="005644FE" w:rsidRDefault="00103317" w:rsidP="00103317">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3317" w:rsidRPr="005644FE" w14:paraId="1C65FE39" w14:textId="77777777" w:rsidTr="009979FD">
        <w:trPr>
          <w:trHeight w:val="56"/>
          <w:jc w:val="center"/>
        </w:trPr>
        <w:tc>
          <w:tcPr>
            <w:tcW w:w="8647" w:type="dxa"/>
          </w:tcPr>
          <w:p w14:paraId="13BC8DD8"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Constitución Política. Artículo 127. </w:t>
            </w:r>
          </w:p>
          <w:p w14:paraId="439A4F11"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996 de 2005. Artículo 33.</w:t>
            </w:r>
          </w:p>
          <w:p w14:paraId="11D8107A"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1150 de 2007. Artículo 2, 14. </w:t>
            </w:r>
          </w:p>
          <w:p w14:paraId="28FCCEDF"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489 de 1998. Artículo 93. </w:t>
            </w:r>
          </w:p>
          <w:p w14:paraId="0598FD7C" w14:textId="77777777" w:rsidR="00103317" w:rsidRPr="00462044"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1474 de 2011. Artículo 93</w:t>
            </w:r>
          </w:p>
          <w:p w14:paraId="59412190"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 xml:space="preserve">Consejo de Estado. Sala de lo Contencioso Administrativo. Sección Primera. Sentencia de 3 de marzo de 2005. Radicado: 25001-23-15-000-2004-00823-01 (PI). C.P: Camilo Arciniegas Andrade. </w:t>
            </w:r>
          </w:p>
          <w:p w14:paraId="32B16EE6"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Consejo de Estado, Sala de Consulta y Servicio Civil. 24 de julio de 2013. Radicado: 11001-03-06-000-2013-00407-00 (2166). C.P</w:t>
            </w:r>
            <w:r>
              <w:rPr>
                <w:rFonts w:ascii="Verdana" w:eastAsia="Aptos" w:hAnsi="Verdana" w:cs="Arial"/>
              </w:rPr>
              <w:t>:</w:t>
            </w:r>
            <w:r w:rsidRPr="00266133">
              <w:rPr>
                <w:rFonts w:ascii="Verdana" w:eastAsia="Aptos" w:hAnsi="Verdana" w:cs="Arial"/>
              </w:rPr>
              <w:t xml:space="preserve"> Álvaro </w:t>
            </w:r>
            <w:proofErr w:type="spellStart"/>
            <w:r w:rsidRPr="00266133">
              <w:rPr>
                <w:rFonts w:ascii="Verdana" w:eastAsia="Aptos" w:hAnsi="Verdana" w:cs="Arial"/>
              </w:rPr>
              <w:t>Namén</w:t>
            </w:r>
            <w:proofErr w:type="spellEnd"/>
            <w:r w:rsidRPr="00266133">
              <w:rPr>
                <w:rFonts w:ascii="Verdana" w:eastAsia="Aptos" w:hAnsi="Verdana" w:cs="Arial"/>
              </w:rPr>
              <w:t xml:space="preserve"> Vargas.  </w:t>
            </w:r>
          </w:p>
          <w:p w14:paraId="5BF8425F"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Consejo de Estado. Sala de Consulta y Servicio Civil. Concepto del 17 de febrero de 2015. Radicado: 11001-03-06-000-2015-00164-00 (2269). C.P. William Zambrano Cetina.</w:t>
            </w:r>
          </w:p>
          <w:p w14:paraId="5E172807"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 xml:space="preserve">Consejo de Estado. Sala de Consulta y Servicio Civil. Concepto del 2 de septiembre de 2013. Radicación número: 11001-03-06-000-2013-00412-00 (2168). C.P: Álvaro </w:t>
            </w:r>
            <w:proofErr w:type="spellStart"/>
            <w:r w:rsidRPr="00266133">
              <w:rPr>
                <w:rFonts w:ascii="Verdana" w:eastAsia="Aptos" w:hAnsi="Verdana" w:cs="Arial"/>
              </w:rPr>
              <w:t>Namén</w:t>
            </w:r>
            <w:proofErr w:type="spellEnd"/>
            <w:r w:rsidRPr="00266133">
              <w:rPr>
                <w:rFonts w:ascii="Verdana" w:eastAsia="Aptos" w:hAnsi="Verdana" w:cs="Arial"/>
              </w:rPr>
              <w:t xml:space="preserve"> Vargas.</w:t>
            </w:r>
          </w:p>
          <w:p w14:paraId="39677580"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 xml:space="preserve">Consejo de Estado. Sala de Consulta y Servicio Civil, Concepto de 8 de mayo de 2018. Radicación Número: 11001-03-06-000-2018-00095-00 (2382). C.P: Álvaro </w:t>
            </w:r>
            <w:proofErr w:type="spellStart"/>
            <w:r w:rsidRPr="00462044">
              <w:rPr>
                <w:rFonts w:ascii="Verdana" w:eastAsia="Aptos" w:hAnsi="Verdana" w:cs="Arial"/>
              </w:rPr>
              <w:t>Namén</w:t>
            </w:r>
            <w:proofErr w:type="spellEnd"/>
            <w:r w:rsidRPr="00462044">
              <w:rPr>
                <w:rFonts w:ascii="Verdana" w:eastAsia="Aptos" w:hAnsi="Verdana" w:cs="Arial"/>
              </w:rPr>
              <w:t xml:space="preserve"> Vargas.</w:t>
            </w:r>
          </w:p>
          <w:p w14:paraId="51138AFD"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Consejo de Estado. Sala de Consulta y Servicio Civil. Concepto de 20 de febrero de 2006. Radicación Número: 11001-03-06-000-2006-00026-00 (1727). C.P: Enrique José Arboleda Perdomo.</w:t>
            </w:r>
          </w:p>
          <w:p w14:paraId="75C7DD6E"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lastRenderedPageBreak/>
              <w:t>Consejo de Estado. Sala de Consulta y Servicio Civil. Concepto de 6 de abril de 2006. Radicación Número: 11001-03-06-000-2006-00038-00 (1738). C.P: Enrique José Arboleda Perdomo</w:t>
            </w:r>
            <w:r>
              <w:rPr>
                <w:rFonts w:ascii="Verdana" w:eastAsia="Aptos" w:hAnsi="Verdana" w:cs="Arial"/>
              </w:rPr>
              <w:t>.</w:t>
            </w:r>
          </w:p>
          <w:p w14:paraId="0F86B6C8" w14:textId="77777777" w:rsidR="00103317" w:rsidRPr="00FD3CA5"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C- 1153 de 2005, M.P: Marco Gerardo Monroy Cabra.</w:t>
            </w:r>
          </w:p>
          <w:p w14:paraId="3E1EC6D6"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C-233 de 4 de abril de 2002. M.P: Álvaro Tafur Galvis</w:t>
            </w:r>
            <w:r>
              <w:rPr>
                <w:rFonts w:ascii="Verdana" w:eastAsia="Aptos" w:hAnsi="Verdana" w:cs="Arial"/>
              </w:rPr>
              <w:t>.</w:t>
            </w:r>
          </w:p>
          <w:p w14:paraId="3DBED1B7"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 xml:space="preserve">Corte Constitucional. Sentencia C-551 de 9 de julio de 2003. M.P: Eduardo Montealegre </w:t>
            </w:r>
            <w:proofErr w:type="spellStart"/>
            <w:r w:rsidRPr="00FD3CA5">
              <w:rPr>
                <w:rFonts w:ascii="Verdana" w:eastAsia="Aptos" w:hAnsi="Verdana" w:cs="Arial"/>
              </w:rPr>
              <w:t>Lynnet</w:t>
            </w:r>
            <w:proofErr w:type="spellEnd"/>
            <w:r>
              <w:rPr>
                <w:rFonts w:ascii="Verdana" w:eastAsia="Aptos" w:hAnsi="Verdana" w:cs="Arial"/>
              </w:rPr>
              <w:t>.</w:t>
            </w:r>
          </w:p>
          <w:p w14:paraId="5C802861"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 xml:space="preserve">Corte Constitucional. Sentencia C-353 de 20 de mayo de 2009. M.P: Jorge Iván Palacio </w:t>
            </w:r>
            <w:proofErr w:type="spellStart"/>
            <w:r w:rsidRPr="00FD3CA5">
              <w:rPr>
                <w:rFonts w:ascii="Verdana" w:eastAsia="Aptos" w:hAnsi="Verdana" w:cs="Arial"/>
              </w:rPr>
              <w:t>Palacio</w:t>
            </w:r>
            <w:proofErr w:type="spellEnd"/>
            <w:r>
              <w:rPr>
                <w:rFonts w:ascii="Verdana" w:eastAsia="Aptos" w:hAnsi="Verdana" w:cs="Arial"/>
              </w:rPr>
              <w:t>.</w:t>
            </w:r>
          </w:p>
          <w:p w14:paraId="3B99F558" w14:textId="77777777" w:rsidR="00103317" w:rsidRPr="00462044"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C-541 de 30 de junio de 2010. M.P: Gabriel Eduardo Mendoza Martelo.</w:t>
            </w:r>
          </w:p>
        </w:tc>
      </w:tr>
    </w:tbl>
    <w:p w14:paraId="0FD68E9A" w14:textId="77777777" w:rsidR="00103317" w:rsidRDefault="00103317" w:rsidP="00103317">
      <w:pPr>
        <w:tabs>
          <w:tab w:val="left" w:pos="142"/>
          <w:tab w:val="left" w:pos="284"/>
          <w:tab w:val="left" w:pos="3828"/>
        </w:tabs>
        <w:spacing w:after="0" w:line="276" w:lineRule="auto"/>
        <w:jc w:val="both"/>
        <w:rPr>
          <w:rFonts w:ascii="Verdana" w:eastAsia="Century Gothic" w:hAnsi="Verdana" w:cs="Century Gothic"/>
          <w:b/>
          <w:bCs/>
        </w:rPr>
      </w:pPr>
    </w:p>
    <w:p w14:paraId="35295EC5" w14:textId="77777777" w:rsidR="00103317" w:rsidRPr="005644FE" w:rsidRDefault="00103317" w:rsidP="00103317">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0F258795" w14:textId="77777777" w:rsidR="00103317" w:rsidRPr="005644FE" w:rsidRDefault="00103317" w:rsidP="00103317">
      <w:pPr>
        <w:widowControl w:val="0"/>
        <w:tabs>
          <w:tab w:val="left" w:pos="3828"/>
        </w:tabs>
        <w:autoSpaceDE w:val="0"/>
        <w:autoSpaceDN w:val="0"/>
        <w:spacing w:after="0" w:line="240" w:lineRule="auto"/>
        <w:jc w:val="both"/>
        <w:rPr>
          <w:rFonts w:ascii="Verdana" w:hAnsi="Verdana" w:cs="Arial"/>
          <w:shd w:val="clear" w:color="auto" w:fill="FFFFFF"/>
        </w:rPr>
      </w:pPr>
    </w:p>
    <w:p w14:paraId="2DCF14B4" w14:textId="77777777" w:rsidR="00103317" w:rsidRPr="00C27319" w:rsidRDefault="00103317" w:rsidP="00103317">
      <w:pPr>
        <w:widowControl w:val="0"/>
        <w:autoSpaceDE w:val="0"/>
        <w:autoSpaceDN w:val="0"/>
        <w:spacing w:after="0" w:line="276" w:lineRule="auto"/>
        <w:jc w:val="both"/>
        <w:rPr>
          <w:rFonts w:ascii="Verdana" w:hAnsi="Verdana" w:cs="Arial"/>
          <w:shd w:val="clear" w:color="auto" w:fill="FFFFFF"/>
          <w:lang w:val="es-ES"/>
        </w:rPr>
      </w:pPr>
      <w:r w:rsidRPr="00301140">
        <w:rPr>
          <w:rStyle w:val="normaltextrun"/>
          <w:rFonts w:ascii="Verdana" w:hAnsi="Verdana" w:cs="Arial"/>
          <w:shd w:val="clear" w:color="auto" w:fill="FFFFFF"/>
          <w:lang w:val="es-ES"/>
        </w:rPr>
        <w:t xml:space="preserve">Esta Subdirección se ha pronunciado sobre </w:t>
      </w:r>
      <w:r w:rsidRPr="00AB70DD">
        <w:rPr>
          <w:rFonts w:ascii="Verdana" w:hAnsi="Verdana" w:cs="Arial"/>
          <w:shd w:val="clear" w:color="auto" w:fill="FFFFFF"/>
          <w:lang w:val="es-ES"/>
        </w:rPr>
        <w:t>la finalidad y propósito de la Ley de Garantías Electorales, en los</w:t>
      </w:r>
      <w:r>
        <w:rPr>
          <w:rFonts w:ascii="Verdana" w:hAnsi="Verdana" w:cs="Arial"/>
          <w:shd w:val="clear" w:color="auto" w:fill="FFFFFF"/>
          <w:lang w:val="es-ES"/>
        </w:rPr>
        <w:t xml:space="preserve"> c</w:t>
      </w:r>
      <w:r w:rsidRPr="00AB70DD">
        <w:rPr>
          <w:rFonts w:ascii="Verdana" w:hAnsi="Verdana" w:cs="Arial"/>
          <w:shd w:val="clear" w:color="auto" w:fill="FFFFFF"/>
          <w:lang w:val="es-ES"/>
        </w:rPr>
        <w:t>onceptos C-227 del 24 de mayo de 2021</w:t>
      </w:r>
      <w:r>
        <w:rPr>
          <w:rFonts w:ascii="Verdana" w:hAnsi="Verdana" w:cs="Arial"/>
          <w:shd w:val="clear" w:color="auto" w:fill="FFFFFF"/>
          <w:lang w:val="es-ES"/>
        </w:rPr>
        <w:t>, C-</w:t>
      </w:r>
      <w:r w:rsidRPr="00AB70DD">
        <w:rPr>
          <w:rFonts w:ascii="Verdana" w:hAnsi="Verdana" w:cs="Arial"/>
          <w:shd w:val="clear" w:color="auto" w:fill="FFFFFF"/>
          <w:lang w:val="es-ES"/>
        </w:rPr>
        <w:t>396 del 13 de agosto de 2021, C-439 del 27 de agosto de 2021, C-481 del 9 de septiembre de 2021, C-528 del 27 de septiembre de 2021, C-550 del 5 de octubre de 2021</w:t>
      </w:r>
      <w:r>
        <w:rPr>
          <w:rFonts w:ascii="Verdana" w:hAnsi="Verdana" w:cs="Arial"/>
          <w:shd w:val="clear" w:color="auto" w:fill="FFFFFF"/>
          <w:lang w:val="es-ES"/>
        </w:rPr>
        <w:t xml:space="preserve">, </w:t>
      </w:r>
      <w:r w:rsidRPr="00AB70DD">
        <w:rPr>
          <w:rFonts w:ascii="Verdana" w:hAnsi="Verdana" w:cs="Arial"/>
          <w:shd w:val="clear" w:color="auto" w:fill="FFFFFF"/>
          <w:lang w:val="es-ES"/>
        </w:rPr>
        <w:t>C-523 del 10 de octubre de 2021, C-606 del 28 de octubre de 2021</w:t>
      </w:r>
      <w:r>
        <w:rPr>
          <w:rFonts w:ascii="Verdana" w:hAnsi="Verdana" w:cs="Arial"/>
          <w:shd w:val="clear" w:color="auto" w:fill="FFFFFF"/>
          <w:lang w:val="es-ES"/>
        </w:rPr>
        <w:t>,</w:t>
      </w:r>
      <w:r w:rsidRPr="00AB70DD">
        <w:rPr>
          <w:rFonts w:ascii="Verdana" w:hAnsi="Verdana" w:cs="Arial"/>
          <w:shd w:val="clear" w:color="auto" w:fill="FFFFFF"/>
          <w:lang w:val="es-ES"/>
        </w:rPr>
        <w:t xml:space="preserve"> C-614 del 2 de noviembre de 2021, </w:t>
      </w:r>
      <w:r>
        <w:rPr>
          <w:rFonts w:ascii="Verdana" w:hAnsi="Verdana" w:cs="Arial"/>
          <w:shd w:val="clear" w:color="auto" w:fill="FFFFFF"/>
          <w:lang w:val="es-ES"/>
        </w:rPr>
        <w:t xml:space="preserve">C-634 del 11 de noviembre de 2021, </w:t>
      </w:r>
      <w:r w:rsidRPr="00AB70DD">
        <w:rPr>
          <w:rFonts w:ascii="Verdana" w:hAnsi="Verdana" w:cs="Arial"/>
          <w:shd w:val="clear" w:color="auto" w:fill="FFFFFF"/>
          <w:lang w:val="es-ES"/>
        </w:rPr>
        <w:t xml:space="preserve">C-636 del 16 de noviembre de 2021, </w:t>
      </w:r>
      <w:r>
        <w:rPr>
          <w:rFonts w:ascii="Verdana" w:hAnsi="Verdana" w:cs="Arial"/>
          <w:shd w:val="clear" w:color="auto" w:fill="FFFFFF"/>
          <w:lang w:val="es-ES"/>
        </w:rPr>
        <w:t>C-</w:t>
      </w:r>
      <w:r w:rsidRPr="00AB70DD">
        <w:rPr>
          <w:rFonts w:ascii="Verdana" w:hAnsi="Verdana" w:cs="Arial"/>
          <w:shd w:val="clear" w:color="auto" w:fill="FFFFFF"/>
          <w:lang w:val="es-ES"/>
        </w:rPr>
        <w:t xml:space="preserve">681 del 7 de diciembre de 2021, C-686 del 21 de diciembre de 2021, </w:t>
      </w:r>
      <w:r>
        <w:rPr>
          <w:rFonts w:ascii="Verdana" w:hAnsi="Verdana" w:cs="Arial"/>
          <w:shd w:val="clear" w:color="auto" w:fill="FFFFFF"/>
          <w:lang w:val="es-ES"/>
        </w:rPr>
        <w:t xml:space="preserve">C-054 del 22 de marzo de 2022, C-179 del 8 de abril de 2022, C-099 del 22 de marzo de 2022, C-161 del 17 de mayo de 2022, C-696 del 11 de julio de 2025, C-868 del 12 de agosto de 2025, C- 955 del 15 de agosto de 2025, C-1430 del 12 de noviembre de </w:t>
      </w:r>
      <w:r w:rsidRPr="00421B05">
        <w:rPr>
          <w:rFonts w:ascii="Verdana" w:hAnsi="Verdana" w:cs="Arial"/>
          <w:shd w:val="clear" w:color="auto" w:fill="FFFFFF"/>
          <w:lang w:val="es-ES"/>
        </w:rPr>
        <w:t>2025</w:t>
      </w:r>
      <w:r>
        <w:rPr>
          <w:rFonts w:ascii="Verdana" w:hAnsi="Verdana" w:cs="Arial"/>
          <w:shd w:val="clear" w:color="auto" w:fill="FFFFFF"/>
          <w:lang w:val="es-ES"/>
        </w:rPr>
        <w:t>, entre otros</w:t>
      </w:r>
      <w:r w:rsidRPr="00421B05">
        <w:rPr>
          <w:rFonts w:ascii="Verdana" w:hAnsi="Verdana" w:cs="Arial"/>
          <w:shd w:val="clear" w:color="auto" w:fill="FFFFFF"/>
          <w:lang w:val="es-ES"/>
        </w:rPr>
        <w:t>.</w:t>
      </w:r>
      <w:r w:rsidRPr="00421B05">
        <w:rPr>
          <w:rStyle w:val="normaltextrun"/>
          <w:rFonts w:ascii="Verdana" w:hAnsi="Verdana" w:cs="Arial"/>
          <w:shd w:val="clear" w:color="auto" w:fill="FFFFFF"/>
          <w:lang w:val="es-ES"/>
        </w:rPr>
        <w:t xml:space="preserve"> </w:t>
      </w:r>
      <w:r w:rsidRPr="00421B05">
        <w:rPr>
          <w:rFonts w:ascii="Verdana" w:hAnsi="Verdana" w:cs="Arial"/>
        </w:rPr>
        <w:t>Estos y otros</w:t>
      </w:r>
      <w:r w:rsidRPr="001715C8">
        <w:rPr>
          <w:rFonts w:ascii="Verdana" w:hAnsi="Verdana" w:cs="Arial"/>
        </w:rPr>
        <w:t xml:space="preserve"> </w:t>
      </w:r>
      <w:r w:rsidRPr="001715C8">
        <w:rPr>
          <w:rFonts w:ascii="Verdana" w:hAnsi="Verdana"/>
        </w:rPr>
        <w:t>conceptos se encuentran disponibles para consulta en el Sistema de relatoría de la Agencia, al cual se puede acceder a través del siguiente enlace:</w:t>
      </w:r>
      <w:r w:rsidRPr="001715C8">
        <w:rPr>
          <w:rFonts w:ascii="Verdana" w:hAnsi="Verdana" w:cs="Arial"/>
          <w:shd w:val="clear" w:color="auto" w:fill="FFFFFF"/>
        </w:rPr>
        <w:t xml:space="preserve"> </w:t>
      </w:r>
      <w:hyperlink r:id="rId12" w:history="1">
        <w:r w:rsidRPr="001715C8">
          <w:rPr>
            <w:rStyle w:val="Hipervnculo"/>
            <w:rFonts w:ascii="Verdana" w:hAnsi="Verdana" w:cs="Arial"/>
            <w:shd w:val="clear" w:color="auto" w:fill="FFFFFF"/>
          </w:rPr>
          <w:t>https://relatoria.colombiacompra.gov.co/busqueda/conceptos</w:t>
        </w:r>
      </w:hyperlink>
      <w:r w:rsidRPr="001715C8">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7C5A125B" w14:textId="77777777" w:rsidR="00103317" w:rsidRPr="006B4FA1" w:rsidRDefault="00103317" w:rsidP="00103317">
      <w:pPr>
        <w:spacing w:after="0" w:line="240" w:lineRule="auto"/>
        <w:jc w:val="both"/>
        <w:rPr>
          <w:rFonts w:ascii="Verdana" w:eastAsia="Century Gothic" w:hAnsi="Verdana" w:cs="Century Gothic"/>
        </w:rPr>
      </w:pPr>
    </w:p>
    <w:p w14:paraId="267F2C83" w14:textId="77777777" w:rsidR="00103317" w:rsidRPr="00116940" w:rsidRDefault="00103317" w:rsidP="00103317">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7DB7660" w14:textId="77777777" w:rsidR="00103317" w:rsidRPr="00116940" w:rsidRDefault="00103317" w:rsidP="00103317">
      <w:pPr>
        <w:spacing w:after="0"/>
        <w:jc w:val="both"/>
        <w:rPr>
          <w:rFonts w:ascii="Verdana" w:hAnsi="Verdana"/>
        </w:rPr>
      </w:pPr>
    </w:p>
    <w:p w14:paraId="39594A72" w14:textId="77777777" w:rsidR="00103317" w:rsidRPr="00116940" w:rsidRDefault="00103317" w:rsidP="00103317">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lastRenderedPageBreak/>
        <w:t xml:space="preserve">Línea nacional gratuita o servicio a la ciudadanía (Mesa de servicio): </w:t>
      </w:r>
      <w:r w:rsidRPr="00116940">
        <w:rPr>
          <w:rStyle w:val="Hipervnculo"/>
          <w:rFonts w:ascii="Verdana" w:hAnsi="Verdana"/>
        </w:rPr>
        <w:t>01800 0520808</w:t>
      </w:r>
    </w:p>
    <w:p w14:paraId="3189BDC6" w14:textId="77777777" w:rsidR="00103317" w:rsidRPr="00116940" w:rsidRDefault="00103317" w:rsidP="00103317">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C421DEA" w14:textId="77777777" w:rsidR="00103317" w:rsidRPr="00116940" w:rsidRDefault="00103317" w:rsidP="0010331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5F824A56" w14:textId="77777777" w:rsidR="00103317" w:rsidRPr="00116940" w:rsidRDefault="00103317" w:rsidP="0010331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246AA527" w14:textId="77777777" w:rsidR="00103317" w:rsidRPr="00116940" w:rsidRDefault="00103317" w:rsidP="00103317">
      <w:pPr>
        <w:spacing w:after="0" w:line="240" w:lineRule="auto"/>
        <w:ind w:left="720"/>
        <w:jc w:val="both"/>
        <w:rPr>
          <w:rFonts w:ascii="Verdana" w:hAnsi="Verdana"/>
        </w:rPr>
      </w:pPr>
    </w:p>
    <w:p w14:paraId="2A4E8FD4" w14:textId="77777777" w:rsidR="00103317" w:rsidRPr="00116940" w:rsidRDefault="00103317" w:rsidP="00103317">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2F07682" w14:textId="77777777" w:rsidR="00103317" w:rsidRPr="00116940" w:rsidRDefault="00103317" w:rsidP="00103317">
      <w:pPr>
        <w:spacing w:after="0" w:line="240" w:lineRule="auto"/>
        <w:rPr>
          <w:rFonts w:ascii="Verdana" w:hAnsi="Verdana"/>
        </w:rPr>
      </w:pPr>
    </w:p>
    <w:p w14:paraId="7DFF1F6E"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F65C6BB" w14:textId="77777777" w:rsidR="00103317" w:rsidRPr="00116940" w:rsidRDefault="00103317" w:rsidP="00103317">
      <w:pPr>
        <w:spacing w:after="0" w:line="240" w:lineRule="auto"/>
        <w:jc w:val="both"/>
        <w:rPr>
          <w:rFonts w:ascii="Verdana" w:hAnsi="Verdana"/>
        </w:rPr>
      </w:pPr>
    </w:p>
    <w:p w14:paraId="3E85D2DE"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EF76DCF"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53C6BE6"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A043E41" w14:textId="77777777" w:rsidR="00103317" w:rsidRPr="00116940" w:rsidRDefault="00103317" w:rsidP="00103317">
      <w:pPr>
        <w:spacing w:after="0" w:line="240" w:lineRule="auto"/>
        <w:jc w:val="both"/>
        <w:rPr>
          <w:rFonts w:ascii="Verdana" w:hAnsi="Verdana"/>
        </w:rPr>
      </w:pPr>
    </w:p>
    <w:p w14:paraId="5F760B3C" w14:textId="022CFE82" w:rsidR="00103317" w:rsidRPr="00103317" w:rsidRDefault="00103317" w:rsidP="00103317">
      <w:pPr>
        <w:spacing w:after="0" w:line="240" w:lineRule="auto"/>
        <w:jc w:val="both"/>
        <w:rPr>
          <w:rFonts w:ascii="Verdana" w:hAnsi="Verdana"/>
          <w:lang w:val="es-MX"/>
        </w:rPr>
      </w:pPr>
      <w:r w:rsidRPr="00E02524">
        <w:rPr>
          <w:rFonts w:ascii="Verdana" w:hAnsi="Verdana"/>
          <w:lang w:val="es-MX"/>
        </w:rPr>
        <w:t>Cordialmente,</w:t>
      </w:r>
    </w:p>
    <w:p w14:paraId="4E99D729" w14:textId="3F5A403C" w:rsidR="00103317" w:rsidRDefault="00103317" w:rsidP="00103317">
      <w:pPr>
        <w:spacing w:after="0" w:line="256" w:lineRule="auto"/>
        <w:jc w:val="center"/>
        <w:rPr>
          <w:rFonts w:ascii="Century Gothic" w:hAnsi="Century Gothic"/>
          <w:noProof/>
        </w:rPr>
      </w:pPr>
    </w:p>
    <w:p w14:paraId="5537D788" w14:textId="134CF2DE" w:rsidR="00272C1A" w:rsidRPr="00272C1A" w:rsidRDefault="00904AD4" w:rsidP="00904AD4">
      <w:pPr>
        <w:spacing w:after="0" w:line="256" w:lineRule="auto"/>
        <w:jc w:val="center"/>
      </w:pPr>
      <w:r w:rsidRPr="00904AD4">
        <w:rPr>
          <w:noProof/>
        </w:rPr>
        <w:drawing>
          <wp:inline distT="0" distB="0" distL="0" distR="0" wp14:anchorId="0A0DE99F" wp14:editId="787D25BF">
            <wp:extent cx="3376478" cy="1165225"/>
            <wp:effectExtent l="0" t="0" r="0" b="0"/>
            <wp:docPr id="1529018025"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018025" name="Imagen 1" descr="Texto, Carta&#10;&#10;El contenido generado por IA puede ser incorrecto."/>
                    <pic:cNvPicPr/>
                  </pic:nvPicPr>
                  <pic:blipFill>
                    <a:blip r:embed="rId16"/>
                    <a:stretch>
                      <a:fillRect/>
                    </a:stretch>
                  </pic:blipFill>
                  <pic:spPr>
                    <a:xfrm>
                      <a:off x="0" y="0"/>
                      <a:ext cx="3394738" cy="1171527"/>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103317" w:rsidRPr="005644FE" w14:paraId="4D8E026E" w14:textId="77777777" w:rsidTr="009979FD">
        <w:trPr>
          <w:trHeight w:val="315"/>
        </w:trPr>
        <w:tc>
          <w:tcPr>
            <w:tcW w:w="893" w:type="dxa"/>
            <w:vAlign w:val="center"/>
            <w:hideMark/>
          </w:tcPr>
          <w:p w14:paraId="7EE01BFA" w14:textId="77777777" w:rsidR="00103317" w:rsidRPr="005644FE" w:rsidRDefault="00103317" w:rsidP="009979FD">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69E4F16" w14:textId="77777777" w:rsidR="00103317" w:rsidRPr="005644FE" w:rsidRDefault="00103317" w:rsidP="009979FD">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324CF634" w14:textId="77777777" w:rsidR="00103317" w:rsidRPr="005644FE" w:rsidRDefault="00103317" w:rsidP="009979FD">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03317" w:rsidRPr="005644FE" w14:paraId="36BA68E4" w14:textId="77777777" w:rsidTr="009979FD">
        <w:trPr>
          <w:trHeight w:val="330"/>
        </w:trPr>
        <w:tc>
          <w:tcPr>
            <w:tcW w:w="893" w:type="dxa"/>
            <w:vAlign w:val="center"/>
            <w:hideMark/>
          </w:tcPr>
          <w:p w14:paraId="5C00121F" w14:textId="77777777" w:rsidR="00103317" w:rsidRPr="005644FE" w:rsidRDefault="00103317" w:rsidP="009979FD">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9C41924" w14:textId="77777777" w:rsidR="00103317" w:rsidRPr="00F25EB7" w:rsidRDefault="00103317" w:rsidP="009979FD">
            <w:pPr>
              <w:pStyle w:val="paragraph"/>
              <w:spacing w:before="0" w:beforeAutospacing="0" w:after="0" w:afterAutospacing="0"/>
              <w:contextualSpacing/>
              <w:textAlignment w:val="baseline"/>
              <w:rPr>
                <w:rStyle w:val="normaltextrun"/>
                <w:rFonts w:ascii="Verdana" w:hAnsi="Verdana"/>
                <w:sz w:val="16"/>
                <w:szCs w:val="16"/>
              </w:rPr>
            </w:pPr>
            <w:r w:rsidRPr="00F25EB7">
              <w:rPr>
                <w:rStyle w:val="normaltextrun"/>
                <w:rFonts w:ascii="Verdana" w:hAnsi="Verdana"/>
                <w:sz w:val="16"/>
                <w:szCs w:val="16"/>
              </w:rPr>
              <w:t>Juan Carlos González Vásquez</w:t>
            </w:r>
          </w:p>
          <w:p w14:paraId="43052071" w14:textId="77777777" w:rsidR="00103317" w:rsidRPr="005644FE" w:rsidRDefault="00103317" w:rsidP="009979FD">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03317" w:rsidRPr="005644FE" w14:paraId="3D37ACD7" w14:textId="77777777" w:rsidTr="009979FD">
        <w:trPr>
          <w:trHeight w:val="300"/>
        </w:trPr>
        <w:tc>
          <w:tcPr>
            <w:tcW w:w="893" w:type="dxa"/>
            <w:vAlign w:val="center"/>
          </w:tcPr>
          <w:p w14:paraId="2856C480" w14:textId="77777777" w:rsidR="00103317" w:rsidRPr="005644FE" w:rsidRDefault="00103317" w:rsidP="009979FD">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3BD3BE4" w14:textId="77777777" w:rsidR="00103317" w:rsidRPr="005644FE" w:rsidRDefault="00103317" w:rsidP="009979FD">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2DAF680E" w14:textId="77777777" w:rsidR="00103317" w:rsidRPr="005644FE" w:rsidRDefault="00103317" w:rsidP="009979FD">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1BEE8016" w14:textId="77777777" w:rsidR="00103317" w:rsidRDefault="00103317" w:rsidP="00103317"/>
    <w:p w14:paraId="27B48683" w14:textId="77777777" w:rsidR="00103317" w:rsidRPr="005644FE" w:rsidRDefault="00103317" w:rsidP="00103317"/>
    <w:bookmarkEnd w:id="0"/>
    <w:p w14:paraId="5399241C" w14:textId="77777777" w:rsidR="00103317" w:rsidRPr="0015699B" w:rsidRDefault="00103317" w:rsidP="00103317">
      <w:pPr>
        <w:spacing w:after="0" w:line="240" w:lineRule="auto"/>
        <w:jc w:val="both"/>
        <w:textAlignment w:val="baseline"/>
        <w:rPr>
          <w:rFonts w:ascii="Verdana" w:eastAsia="Times New Roman" w:hAnsi="Verdana" w:cs="Segoe UI"/>
          <w:lang w:eastAsia="es-CO"/>
        </w:rPr>
      </w:pPr>
    </w:p>
    <w:bookmarkEnd w:id="1"/>
    <w:p w14:paraId="350B1BD1" w14:textId="77777777" w:rsidR="00103317" w:rsidRDefault="00103317" w:rsidP="00103317"/>
    <w:bookmarkEnd w:id="2"/>
    <w:p w14:paraId="0F293BF4" w14:textId="479871FA" w:rsidR="00127233" w:rsidRPr="00103317" w:rsidRDefault="00127233" w:rsidP="000B15D0">
      <w:pPr>
        <w:spacing w:after="0" w:line="240" w:lineRule="auto"/>
        <w:jc w:val="both"/>
        <w:textAlignment w:val="baseline"/>
        <w:rPr>
          <w:rFonts w:ascii="Verdana" w:eastAsia="Times New Roman" w:hAnsi="Verdana" w:cs="Segoe UI"/>
          <w:lang w:eastAsia="es-CO"/>
        </w:rPr>
      </w:pPr>
    </w:p>
    <w:sectPr w:rsidR="00127233" w:rsidRPr="00103317" w:rsidSect="00286DC5">
      <w:headerReference w:type="default" r:id="rId17"/>
      <w:footerReference w:type="default" r:id="rId18"/>
      <w:pgSz w:w="12240" w:h="15840" w:code="1"/>
      <w:pgMar w:top="1417" w:right="1701" w:bottom="1417" w:left="1701" w:header="709"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19942" w14:textId="77777777" w:rsidR="00601DC2" w:rsidRDefault="00601DC2" w:rsidP="004A1847">
      <w:pPr>
        <w:spacing w:after="0" w:line="240" w:lineRule="auto"/>
      </w:pPr>
      <w:r>
        <w:separator/>
      </w:r>
    </w:p>
  </w:endnote>
  <w:endnote w:type="continuationSeparator" w:id="0">
    <w:p w14:paraId="0E9580DB" w14:textId="77777777" w:rsidR="00601DC2" w:rsidRDefault="00601DC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C7513" w14:textId="77777777" w:rsidR="00601DC2" w:rsidRDefault="00601DC2" w:rsidP="004A1847">
      <w:pPr>
        <w:spacing w:after="0" w:line="240" w:lineRule="auto"/>
      </w:pPr>
      <w:r>
        <w:separator/>
      </w:r>
    </w:p>
  </w:footnote>
  <w:footnote w:type="continuationSeparator" w:id="0">
    <w:p w14:paraId="637D0AB6" w14:textId="77777777" w:rsidR="00601DC2" w:rsidRDefault="00601DC2" w:rsidP="004A1847">
      <w:pPr>
        <w:spacing w:after="0" w:line="240" w:lineRule="auto"/>
      </w:pPr>
      <w:r>
        <w:continuationSeparator/>
      </w:r>
    </w:p>
  </w:footnote>
  <w:footnote w:id="1">
    <w:p w14:paraId="5E2EA84D" w14:textId="77777777" w:rsidR="00103317" w:rsidRPr="00BE126A" w:rsidRDefault="00103317" w:rsidP="00103317">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EFB897C" w14:textId="77777777" w:rsidR="00103317" w:rsidRDefault="00103317" w:rsidP="00103317">
      <w:pPr>
        <w:pStyle w:val="Textonotapie"/>
        <w:ind w:firstLine="709"/>
        <w:contextualSpacing/>
        <w:jc w:val="both"/>
        <w:rPr>
          <w:rFonts w:ascii="Verdana" w:hAnsi="Verdana" w:cs="Arial"/>
          <w:sz w:val="16"/>
          <w:szCs w:val="16"/>
        </w:rPr>
      </w:pPr>
      <w:r w:rsidRPr="00BE126A">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2D62905" w14:textId="77777777" w:rsidR="00103317" w:rsidRPr="00BE126A" w:rsidRDefault="00103317" w:rsidP="00103317">
      <w:pPr>
        <w:pStyle w:val="Textonotapie"/>
        <w:ind w:firstLine="709"/>
        <w:contextualSpacing/>
        <w:jc w:val="both"/>
        <w:rPr>
          <w:rFonts w:ascii="Verdana" w:hAnsi="Verdana" w:cs="Arial"/>
          <w:sz w:val="16"/>
          <w:szCs w:val="16"/>
        </w:rPr>
      </w:pPr>
    </w:p>
  </w:footnote>
  <w:footnote w:id="2">
    <w:p w14:paraId="7CF08FE3" w14:textId="77777777" w:rsidR="00103317" w:rsidRDefault="00103317" w:rsidP="00103317">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Gaceta del Congreso de la República No. 71 del 2005.</w:t>
      </w:r>
    </w:p>
    <w:p w14:paraId="33CCE6F6" w14:textId="77777777" w:rsidR="00103317" w:rsidRPr="00BE126A" w:rsidRDefault="00103317" w:rsidP="00103317">
      <w:pPr>
        <w:pStyle w:val="Textonotapie"/>
        <w:ind w:firstLine="709"/>
        <w:contextualSpacing/>
        <w:jc w:val="both"/>
        <w:rPr>
          <w:rFonts w:ascii="Verdana" w:hAnsi="Verdana" w:cs="Arial"/>
          <w:sz w:val="16"/>
          <w:szCs w:val="16"/>
        </w:rPr>
      </w:pPr>
    </w:p>
  </w:footnote>
  <w:footnote w:id="3">
    <w:p w14:paraId="56C529A2" w14:textId="77777777" w:rsidR="00103317" w:rsidRDefault="00103317" w:rsidP="00103317">
      <w:pPr>
        <w:pStyle w:val="Textonotapie"/>
        <w:tabs>
          <w:tab w:val="left" w:pos="8145"/>
        </w:tabs>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Corte Constitucional</w:t>
      </w:r>
      <w:r>
        <w:rPr>
          <w:rFonts w:ascii="Verdana" w:hAnsi="Verdana" w:cs="Arial"/>
          <w:sz w:val="16"/>
          <w:szCs w:val="16"/>
          <w:lang w:val="pt-PT"/>
        </w:rPr>
        <w:t>.</w:t>
      </w:r>
      <w:r w:rsidRPr="005800D0">
        <w:rPr>
          <w:rFonts w:ascii="Verdana" w:hAnsi="Verdana" w:cs="Arial"/>
          <w:sz w:val="16"/>
          <w:szCs w:val="16"/>
          <w:lang w:val="pt-PT"/>
        </w:rPr>
        <w:t xml:space="preserve"> Sentencia C- 1153 de 2005, M.P</w:t>
      </w:r>
      <w:r>
        <w:rPr>
          <w:rFonts w:ascii="Verdana" w:hAnsi="Verdana" w:cs="Arial"/>
          <w:sz w:val="16"/>
          <w:szCs w:val="16"/>
          <w:lang w:val="pt-PT"/>
        </w:rPr>
        <w:t>:</w:t>
      </w:r>
      <w:r w:rsidRPr="005800D0">
        <w:rPr>
          <w:rFonts w:ascii="Verdana" w:hAnsi="Verdana" w:cs="Arial"/>
          <w:sz w:val="16"/>
          <w:szCs w:val="16"/>
          <w:lang w:val="pt-PT"/>
        </w:rPr>
        <w:t xml:space="preserve"> Marco Gerardo Monroy Cabra.</w:t>
      </w:r>
      <w:r>
        <w:rPr>
          <w:rFonts w:ascii="Verdana" w:hAnsi="Verdana" w:cs="Arial"/>
          <w:sz w:val="16"/>
          <w:szCs w:val="16"/>
          <w:lang w:val="pt-PT"/>
        </w:rPr>
        <w:tab/>
      </w:r>
    </w:p>
    <w:p w14:paraId="64DB0384" w14:textId="77777777" w:rsidR="00103317" w:rsidRPr="005800D0" w:rsidRDefault="00103317" w:rsidP="00103317">
      <w:pPr>
        <w:pStyle w:val="Textonotapie"/>
        <w:tabs>
          <w:tab w:val="left" w:pos="8145"/>
        </w:tabs>
        <w:ind w:firstLine="709"/>
        <w:contextualSpacing/>
        <w:jc w:val="both"/>
        <w:rPr>
          <w:rFonts w:ascii="Verdana" w:hAnsi="Verdana" w:cs="Arial"/>
          <w:sz w:val="16"/>
          <w:szCs w:val="16"/>
          <w:lang w:val="pt-PT"/>
        </w:rPr>
      </w:pPr>
    </w:p>
  </w:footnote>
  <w:footnote w:id="4">
    <w:p w14:paraId="4122CCB9" w14:textId="77777777" w:rsidR="00103317" w:rsidRDefault="00103317" w:rsidP="00103317">
      <w:pPr>
        <w:pStyle w:val="Textonotapie"/>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w:t>
      </w:r>
      <w:r w:rsidRPr="0045735C">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6F14B304" w14:textId="77777777" w:rsidR="00103317" w:rsidRPr="005800D0" w:rsidRDefault="00103317" w:rsidP="00103317">
      <w:pPr>
        <w:pStyle w:val="Textonotapie"/>
        <w:ind w:firstLine="709"/>
        <w:contextualSpacing/>
        <w:jc w:val="both"/>
        <w:rPr>
          <w:rFonts w:ascii="Verdana" w:hAnsi="Verdana" w:cs="Arial"/>
          <w:sz w:val="16"/>
          <w:szCs w:val="16"/>
          <w:lang w:val="pt-PT"/>
        </w:rPr>
      </w:pPr>
    </w:p>
  </w:footnote>
  <w:footnote w:id="5">
    <w:p w14:paraId="08248A2E" w14:textId="77777777" w:rsidR="00103317" w:rsidRDefault="00103317" w:rsidP="00103317">
      <w:pPr>
        <w:pStyle w:val="Textonotapie"/>
        <w:ind w:firstLine="709"/>
        <w:contextualSpacing/>
        <w:jc w:val="both"/>
        <w:rPr>
          <w:rFonts w:ascii="Verdana" w:hAnsi="Verdana" w:cs="Arial"/>
          <w:sz w:val="16"/>
          <w:szCs w:val="16"/>
          <w:lang w:val="es-CO"/>
        </w:rPr>
      </w:pPr>
      <w:r w:rsidRPr="00BE126A">
        <w:rPr>
          <w:rStyle w:val="Refdenotaalpie"/>
          <w:rFonts w:ascii="Verdana" w:hAnsi="Verdana" w:cs="Arial"/>
          <w:sz w:val="16"/>
          <w:szCs w:val="16"/>
        </w:rPr>
        <w:footnoteRef/>
      </w:r>
      <w:r w:rsidRPr="00BE126A">
        <w:rPr>
          <w:rFonts w:ascii="Verdana" w:hAnsi="Verdana" w:cs="Arial"/>
          <w:sz w:val="16"/>
          <w:szCs w:val="16"/>
          <w:lang w:val="es-CO"/>
        </w:rPr>
        <w:t xml:space="preserve"> </w:t>
      </w:r>
      <w:r w:rsidRPr="0045735C">
        <w:rPr>
          <w:rFonts w:ascii="Verdana" w:hAnsi="Verdana" w:cs="Arial"/>
          <w:sz w:val="16"/>
          <w:szCs w:val="16"/>
          <w:lang w:val="es-CO"/>
        </w:rPr>
        <w:t xml:space="preserve">Consejo de Estado. Sala de lo Contencioso Administrativo. Sección Primera. Sentencia de 3 de marzo de 2005. Radicado: </w:t>
      </w:r>
      <w:r w:rsidRPr="0045735C">
        <w:rPr>
          <w:rFonts w:ascii="Verdana" w:hAnsi="Verdana" w:cs="Arial"/>
          <w:sz w:val="16"/>
          <w:szCs w:val="16"/>
          <w:lang w:val="es-ES"/>
        </w:rPr>
        <w:t xml:space="preserve">25001-23-15-000-2004-00823-01 (PI). </w:t>
      </w:r>
      <w:r w:rsidRPr="0045735C">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7CD5C593" w14:textId="77777777" w:rsidR="00103317" w:rsidRPr="00BE126A" w:rsidRDefault="00103317" w:rsidP="00103317">
      <w:pPr>
        <w:pStyle w:val="Textonotapie"/>
        <w:ind w:firstLine="709"/>
        <w:contextualSpacing/>
        <w:jc w:val="both"/>
        <w:rPr>
          <w:rFonts w:ascii="Verdana" w:hAnsi="Verdana" w:cs="Arial"/>
          <w:sz w:val="16"/>
          <w:szCs w:val="16"/>
          <w:lang w:val="es-CO"/>
        </w:rPr>
      </w:pPr>
    </w:p>
  </w:footnote>
  <w:footnote w:id="6">
    <w:p w14:paraId="30098174" w14:textId="77777777" w:rsidR="00103317" w:rsidRDefault="00103317" w:rsidP="00103317">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45735C">
        <w:rPr>
          <w:rFonts w:ascii="Verdana" w:hAnsi="Verdana" w:cs="Arial"/>
          <w:sz w:val="16"/>
          <w:szCs w:val="16"/>
        </w:rPr>
        <w:t xml:space="preserve">Consejo de Estado, Sala de Consulta y Servicio Civil. 24 de julio de 2013. Radicado: </w:t>
      </w:r>
      <w:r w:rsidRPr="0045735C">
        <w:rPr>
          <w:rFonts w:ascii="Verdana" w:hAnsi="Verdana" w:cs="Arial"/>
          <w:sz w:val="16"/>
          <w:szCs w:val="16"/>
          <w:lang w:val="es-CO"/>
        </w:rPr>
        <w:t xml:space="preserve">11001-03-06-000-2013-00407-00 </w:t>
      </w:r>
      <w:r w:rsidRPr="0045735C">
        <w:rPr>
          <w:rFonts w:ascii="Verdana" w:hAnsi="Verdana" w:cs="Arial"/>
          <w:sz w:val="16"/>
          <w:szCs w:val="16"/>
        </w:rPr>
        <w:t>(2166). C.P. Álvaro Namén Vargas</w:t>
      </w:r>
      <w:r w:rsidRPr="00BE126A">
        <w:rPr>
          <w:rFonts w:ascii="Verdana" w:hAnsi="Verdana" w:cs="Arial"/>
          <w:sz w:val="16"/>
          <w:szCs w:val="16"/>
        </w:rPr>
        <w:t xml:space="preserve">.  </w:t>
      </w:r>
    </w:p>
    <w:p w14:paraId="77B80C17" w14:textId="77777777" w:rsidR="00103317" w:rsidRPr="00BE126A" w:rsidRDefault="00103317" w:rsidP="00103317">
      <w:pPr>
        <w:pStyle w:val="Textonotapie"/>
        <w:ind w:firstLine="709"/>
        <w:contextualSpacing/>
        <w:jc w:val="both"/>
        <w:rPr>
          <w:rFonts w:ascii="Verdana" w:hAnsi="Verdana" w:cs="Arial"/>
          <w:sz w:val="16"/>
          <w:szCs w:val="16"/>
        </w:rPr>
      </w:pPr>
    </w:p>
  </w:footnote>
  <w:footnote w:id="7">
    <w:p w14:paraId="6AB4BD19" w14:textId="77777777" w:rsidR="00103317" w:rsidRPr="00BE126A" w:rsidRDefault="00103317" w:rsidP="00103317">
      <w:pPr>
        <w:spacing w:after="0" w:line="240" w:lineRule="auto"/>
        <w:ind w:firstLine="709"/>
        <w:contextualSpacing/>
        <w:jc w:val="both"/>
        <w:rPr>
          <w:rFonts w:ascii="Verdana" w:eastAsia="Times New Roman"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5" w:name="33"/>
      <w:r w:rsidRPr="00BE126A">
        <w:rPr>
          <w:rFonts w:ascii="Verdana" w:eastAsia="Calibri" w:hAnsi="Verdana" w:cs="Arial"/>
          <w:bCs/>
          <w:color w:val="000000"/>
          <w:sz w:val="16"/>
          <w:szCs w:val="16"/>
        </w:rPr>
        <w:t>“</w:t>
      </w:r>
      <w:r w:rsidRPr="00BE126A">
        <w:rPr>
          <w:rFonts w:ascii="Verdana" w:eastAsia="Times New Roman" w:hAnsi="Verdana" w:cs="Arial"/>
          <w:sz w:val="16"/>
          <w:szCs w:val="16"/>
        </w:rPr>
        <w:t>Artículo 33. Restricciones a la contratación pública.</w:t>
      </w:r>
      <w:bookmarkEnd w:id="5"/>
      <w:r w:rsidRPr="00BE126A">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2C753E8" w14:textId="77777777" w:rsidR="00103317" w:rsidRDefault="00103317" w:rsidP="00103317">
      <w:pPr>
        <w:spacing w:after="0" w:line="240" w:lineRule="auto"/>
        <w:ind w:firstLine="709"/>
        <w:contextualSpacing/>
        <w:jc w:val="both"/>
        <w:rPr>
          <w:rFonts w:ascii="Verdana" w:eastAsia="Times New Roman" w:hAnsi="Verdana" w:cs="Arial"/>
          <w:sz w:val="16"/>
          <w:szCs w:val="16"/>
        </w:rPr>
      </w:pPr>
      <w:r w:rsidRPr="00BE126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3EAAD5F" w14:textId="77777777" w:rsidR="00103317" w:rsidRPr="00BE126A" w:rsidRDefault="00103317" w:rsidP="00103317">
      <w:pPr>
        <w:spacing w:after="0" w:line="240" w:lineRule="auto"/>
        <w:ind w:firstLine="709"/>
        <w:contextualSpacing/>
        <w:jc w:val="both"/>
        <w:rPr>
          <w:rFonts w:ascii="Verdana" w:eastAsia="Times New Roman" w:hAnsi="Verdana" w:cs="Arial"/>
          <w:sz w:val="16"/>
          <w:szCs w:val="16"/>
        </w:rPr>
      </w:pPr>
    </w:p>
  </w:footnote>
  <w:footnote w:id="8">
    <w:p w14:paraId="7D09D0ED" w14:textId="77777777" w:rsidR="00103317" w:rsidRPr="00BE126A" w:rsidRDefault="00103317" w:rsidP="00103317">
      <w:pPr>
        <w:pStyle w:val="NormalWeb"/>
        <w:spacing w:before="0" w:beforeAutospacing="0" w:after="0" w:afterAutospacing="0"/>
        <w:ind w:firstLine="709"/>
        <w:contextualSpacing/>
        <w:jc w:val="both"/>
        <w:rPr>
          <w:rFonts w:ascii="Verdana" w:hAnsi="Verdana" w:cs="Arial"/>
          <w:sz w:val="16"/>
          <w:szCs w:val="16"/>
          <w:lang w:val="es-MX"/>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6" w:name="38"/>
      <w:r w:rsidRPr="00BE126A">
        <w:rPr>
          <w:rFonts w:ascii="Verdana" w:eastAsia="Calibri" w:hAnsi="Verdana" w:cs="Arial"/>
          <w:bCs/>
          <w:color w:val="000000"/>
          <w:sz w:val="16"/>
          <w:szCs w:val="16"/>
        </w:rPr>
        <w:t>“</w:t>
      </w:r>
      <w:r w:rsidRPr="00BE126A">
        <w:rPr>
          <w:rFonts w:ascii="Verdana" w:hAnsi="Verdana" w:cs="Arial"/>
          <w:sz w:val="16"/>
          <w:szCs w:val="16"/>
          <w:lang w:val="es-MX"/>
        </w:rPr>
        <w:t>Artículo 38. Prohibiciones para los servidores públicos. A los empleados del Estado les está prohibido:</w:t>
      </w:r>
      <w:bookmarkEnd w:id="6"/>
    </w:p>
    <w:p w14:paraId="7CA115DF" w14:textId="77777777" w:rsidR="00103317" w:rsidRPr="00BE126A" w:rsidRDefault="00103317" w:rsidP="00103317">
      <w:pPr>
        <w:pStyle w:val="NormalWeb"/>
        <w:spacing w:before="0" w:beforeAutospacing="0" w:after="0" w:afterAutospacing="0"/>
        <w:ind w:firstLine="709"/>
        <w:contextualSpacing/>
        <w:jc w:val="both"/>
        <w:rPr>
          <w:rFonts w:ascii="Verdana" w:hAnsi="Verdana" w:cs="Arial"/>
          <w:sz w:val="16"/>
          <w:szCs w:val="16"/>
          <w:lang w:val="es-MX"/>
        </w:rPr>
      </w:pPr>
      <w:r>
        <w:rPr>
          <w:rFonts w:ascii="Verdana" w:hAnsi="Verdana" w:cs="Arial"/>
          <w:sz w:val="16"/>
          <w:szCs w:val="16"/>
          <w:lang w:val="es-MX"/>
        </w:rPr>
        <w:t>(…)</w:t>
      </w:r>
    </w:p>
    <w:p w14:paraId="4AD0FCEE" w14:textId="77777777" w:rsidR="00103317" w:rsidRDefault="00103317" w:rsidP="00103317">
      <w:pPr>
        <w:pStyle w:val="NormalWeb"/>
        <w:spacing w:before="0" w:beforeAutospacing="0" w:after="0" w:afterAutospacing="0"/>
        <w:ind w:firstLine="709"/>
        <w:contextualSpacing/>
        <w:jc w:val="both"/>
        <w:rPr>
          <w:rFonts w:ascii="Verdana" w:eastAsia="Calibri" w:hAnsi="Verdana" w:cs="Arial"/>
          <w:bCs/>
          <w:color w:val="000000"/>
          <w:sz w:val="16"/>
          <w:szCs w:val="16"/>
        </w:rPr>
      </w:pPr>
      <w:r w:rsidRPr="00BE126A">
        <w:rPr>
          <w:rStyle w:val="baj"/>
          <w:rFonts w:ascii="Verdana" w:hAnsi="Verdana" w:cs="Arial"/>
          <w:sz w:val="16"/>
          <w:szCs w:val="16"/>
          <w:lang w:val="es-MX"/>
        </w:rPr>
        <w:t>Parágrafo.</w:t>
      </w:r>
      <w:r w:rsidRPr="00BE126A">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126A">
        <w:rPr>
          <w:rFonts w:ascii="Verdana" w:eastAsia="Calibri" w:hAnsi="Verdana" w:cs="Arial"/>
          <w:bCs/>
          <w:color w:val="000000"/>
          <w:sz w:val="16"/>
          <w:szCs w:val="16"/>
        </w:rPr>
        <w:t>”</w:t>
      </w:r>
      <w:r>
        <w:rPr>
          <w:rFonts w:ascii="Verdana" w:eastAsia="Calibri" w:hAnsi="Verdana" w:cs="Arial"/>
          <w:bCs/>
          <w:color w:val="000000"/>
          <w:sz w:val="16"/>
          <w:szCs w:val="16"/>
        </w:rPr>
        <w:t>.</w:t>
      </w:r>
    </w:p>
    <w:p w14:paraId="4E84061C" w14:textId="77777777" w:rsidR="00103317" w:rsidRPr="00BE126A" w:rsidRDefault="00103317" w:rsidP="00103317">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39EB3D3C" w14:textId="77777777" w:rsidR="00103317" w:rsidRPr="00BE126A" w:rsidRDefault="00103317" w:rsidP="00103317">
      <w:pPr>
        <w:spacing w:after="0" w:line="240" w:lineRule="auto"/>
        <w:ind w:left="100" w:right="244" w:firstLine="709"/>
        <w:contextualSpacing/>
        <w:jc w:val="both"/>
        <w:rPr>
          <w:rFonts w:ascii="Verdana" w:hAnsi="Verdana" w:cs="Arial"/>
          <w:sz w:val="16"/>
          <w:szCs w:val="16"/>
          <w:lang w:val="es-ES"/>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A04AF0">
        <w:rPr>
          <w:rFonts w:ascii="Verdana" w:hAnsi="Verdana" w:cs="Arial"/>
          <w:sz w:val="16"/>
          <w:szCs w:val="16"/>
        </w:rPr>
        <w:t>Consejo de Estado. Sala de Consulta y Servicio Civil. Concepto del 17 de febrero de 2015.</w:t>
      </w:r>
      <w:r>
        <w:rPr>
          <w:rFonts w:ascii="Verdana" w:hAnsi="Verdana" w:cs="Arial"/>
          <w:sz w:val="16"/>
          <w:szCs w:val="16"/>
        </w:rPr>
        <w:t xml:space="preserve"> </w:t>
      </w:r>
      <w:r w:rsidRPr="00A04AF0">
        <w:rPr>
          <w:rFonts w:ascii="Verdana" w:hAnsi="Verdana" w:cs="Arial"/>
          <w:sz w:val="16"/>
          <w:szCs w:val="16"/>
        </w:rPr>
        <w:t>Radicado: 11001-03-06-000-2015-00164-00 (2269). C.P. William Zambrano Cetina</w:t>
      </w:r>
      <w:r w:rsidRPr="00BE126A">
        <w:rPr>
          <w:rFonts w:ascii="Verdana" w:hAnsi="Verdana" w:cs="Arial"/>
          <w:sz w:val="16"/>
          <w:szCs w:val="16"/>
        </w:rPr>
        <w:t>.</w:t>
      </w:r>
    </w:p>
  </w:footnote>
  <w:footnote w:id="10">
    <w:p w14:paraId="1098F134" w14:textId="77777777" w:rsidR="00103317" w:rsidRDefault="00103317" w:rsidP="00103317">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[25] </w:t>
      </w:r>
      <w:r w:rsidRPr="00CE0D82">
        <w:rPr>
          <w:rFonts w:ascii="Verdana" w:hAnsi="Verdana" w:cs="Arial"/>
          <w:sz w:val="16"/>
          <w:szCs w:val="16"/>
        </w:rPr>
        <w:t>Cfr. Consejo de Estado. Sección Tercera. Sentencia de 3 de diciembre de 2007. Radicados: 24.715, 25.206, 25.409, 24.524, 27.834, 25.410, 26.105, 28.244, 31.447 -acumulados-</w:t>
      </w:r>
      <w:r>
        <w:rPr>
          <w:rFonts w:ascii="Verdana" w:hAnsi="Verdana" w:cs="Arial"/>
          <w:sz w:val="16"/>
          <w:szCs w:val="16"/>
        </w:rPr>
        <w:t>“</w:t>
      </w:r>
      <w:r w:rsidRPr="00CE0D82">
        <w:rPr>
          <w:rFonts w:ascii="Verdana" w:hAnsi="Verdana" w:cs="Arial"/>
          <w:sz w:val="16"/>
          <w:szCs w:val="16"/>
        </w:rPr>
        <w:t>.</w:t>
      </w:r>
    </w:p>
    <w:p w14:paraId="566A1987" w14:textId="77777777" w:rsidR="00103317" w:rsidRPr="00CE0D82" w:rsidRDefault="00103317" w:rsidP="00103317">
      <w:pPr>
        <w:pStyle w:val="Textonotapie"/>
        <w:ind w:firstLine="709"/>
        <w:contextualSpacing/>
        <w:jc w:val="both"/>
        <w:rPr>
          <w:rFonts w:ascii="Verdana" w:hAnsi="Verdana" w:cs="Arial"/>
          <w:sz w:val="16"/>
          <w:szCs w:val="16"/>
        </w:rPr>
      </w:pPr>
    </w:p>
  </w:footnote>
  <w:footnote w:id="11">
    <w:p w14:paraId="3F622E61" w14:textId="77777777" w:rsidR="00103317" w:rsidRDefault="00103317" w:rsidP="00103317">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bookmarkStart w:id="14" w:name="_Hlk74294506"/>
      <w:r w:rsidRPr="00CE0D82">
        <w:rPr>
          <w:rFonts w:ascii="Verdana" w:hAnsi="Verdana" w:cs="Arial"/>
          <w:sz w:val="16"/>
          <w:szCs w:val="16"/>
        </w:rPr>
        <w:t>“</w:t>
      </w:r>
      <w:r w:rsidRPr="00CE0D82">
        <w:rPr>
          <w:rFonts w:ascii="Verdana" w:hAnsi="Verdana" w:cs="Arial"/>
          <w:sz w:val="16"/>
          <w:szCs w:val="16"/>
          <w:lang w:val="es-ES"/>
        </w:rPr>
        <w:t xml:space="preserve">[26] </w:t>
      </w:r>
      <w:bookmarkEnd w:id="14"/>
      <w:r w:rsidRPr="00CE0D82">
        <w:rPr>
          <w:rFonts w:ascii="Verdana" w:hAnsi="Verdana" w:cs="Arial"/>
          <w:sz w:val="16"/>
          <w:szCs w:val="16"/>
        </w:rPr>
        <w:t>Al respecto ver el concepto 1712 de 2 de febrero de 2006. Consejo de Estado Sala de Consulta y Servicio Civil”.</w:t>
      </w:r>
    </w:p>
    <w:p w14:paraId="349A0D04" w14:textId="77777777" w:rsidR="00103317" w:rsidRPr="00CE0D82" w:rsidRDefault="00103317" w:rsidP="00103317">
      <w:pPr>
        <w:pStyle w:val="Textonotapie"/>
        <w:ind w:firstLine="709"/>
        <w:contextualSpacing/>
        <w:jc w:val="both"/>
        <w:rPr>
          <w:rFonts w:ascii="Verdana" w:hAnsi="Verdana" w:cs="Arial"/>
          <w:sz w:val="16"/>
          <w:szCs w:val="16"/>
        </w:rPr>
      </w:pPr>
    </w:p>
  </w:footnote>
  <w:footnote w:id="12">
    <w:p w14:paraId="14F21AC3" w14:textId="77777777" w:rsidR="00103317" w:rsidRDefault="00103317" w:rsidP="00103317">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235FCF">
        <w:rPr>
          <w:rFonts w:ascii="Verdana" w:hAnsi="Verdana" w:cs="Arial"/>
          <w:sz w:val="16"/>
          <w:szCs w:val="16"/>
        </w:rPr>
        <w:t>Consejo de Estado. Sala de Consulta y Servicio Civil. Concepto del 2 de septiembre de 2013. Radicación número: 11001-03-06-000-2013-00412-00 (2168). C</w:t>
      </w:r>
      <w:r>
        <w:rPr>
          <w:rFonts w:ascii="Verdana" w:hAnsi="Verdana" w:cs="Arial"/>
          <w:sz w:val="16"/>
          <w:szCs w:val="16"/>
        </w:rPr>
        <w:t>.P</w:t>
      </w:r>
      <w:r w:rsidRPr="00235FCF">
        <w:rPr>
          <w:rFonts w:ascii="Verdana" w:hAnsi="Verdana" w:cs="Arial"/>
          <w:sz w:val="16"/>
          <w:szCs w:val="16"/>
        </w:rPr>
        <w:t>: Álvaro Namén Vargas.</w:t>
      </w:r>
    </w:p>
    <w:p w14:paraId="26F9692F" w14:textId="77777777" w:rsidR="00103317" w:rsidRPr="005800D0" w:rsidRDefault="00103317" w:rsidP="00103317">
      <w:pPr>
        <w:pStyle w:val="Textonotapie"/>
        <w:ind w:firstLine="709"/>
        <w:contextualSpacing/>
        <w:jc w:val="both"/>
        <w:rPr>
          <w:rFonts w:ascii="Verdana" w:hAnsi="Verdana" w:cs="Arial"/>
          <w:sz w:val="16"/>
          <w:szCs w:val="16"/>
        </w:rPr>
      </w:pPr>
    </w:p>
  </w:footnote>
  <w:footnote w:id="13">
    <w:p w14:paraId="4944E858" w14:textId="77777777" w:rsidR="00103317" w:rsidRDefault="00103317" w:rsidP="00103317">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Artículo 2. </w:t>
      </w:r>
    </w:p>
    <w:p w14:paraId="7392619D" w14:textId="77777777" w:rsidR="00103317" w:rsidRPr="00CE0D82" w:rsidRDefault="00103317" w:rsidP="00103317">
      <w:pPr>
        <w:pStyle w:val="Textonotapie"/>
        <w:ind w:firstLine="709"/>
        <w:contextualSpacing/>
        <w:rPr>
          <w:rFonts w:ascii="Verdana" w:hAnsi="Verdana" w:cs="Arial"/>
          <w:sz w:val="16"/>
          <w:szCs w:val="16"/>
          <w:lang w:val="es-ES"/>
        </w:rPr>
      </w:pPr>
    </w:p>
  </w:footnote>
  <w:footnote w:id="14">
    <w:p w14:paraId="51B7C895" w14:textId="77777777" w:rsidR="00103317" w:rsidRDefault="00103317" w:rsidP="00103317">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i/>
          <w:sz w:val="16"/>
          <w:szCs w:val="16"/>
          <w:lang w:val="es-ES"/>
        </w:rPr>
        <w:t>Ídem</w:t>
      </w:r>
      <w:r w:rsidRPr="00CE0D82">
        <w:rPr>
          <w:rFonts w:ascii="Verdana" w:hAnsi="Verdana" w:cs="Arial"/>
          <w:sz w:val="16"/>
          <w:szCs w:val="16"/>
          <w:lang w:val="es-ES"/>
        </w:rPr>
        <w:t>.</w:t>
      </w:r>
    </w:p>
    <w:p w14:paraId="1296E269" w14:textId="77777777" w:rsidR="00103317" w:rsidRPr="00CE0D82" w:rsidRDefault="00103317" w:rsidP="00103317">
      <w:pPr>
        <w:pStyle w:val="Textonotapie"/>
        <w:ind w:firstLine="709"/>
        <w:contextualSpacing/>
        <w:rPr>
          <w:rFonts w:ascii="Verdana" w:hAnsi="Verdana" w:cs="Arial"/>
          <w:sz w:val="16"/>
          <w:szCs w:val="16"/>
          <w:lang w:val="es-ES"/>
        </w:rPr>
      </w:pPr>
    </w:p>
  </w:footnote>
  <w:footnote w:id="15">
    <w:p w14:paraId="4178874C" w14:textId="77777777" w:rsidR="00103317" w:rsidRDefault="00103317" w:rsidP="00103317">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 xml:space="preserve">[…] A este respecto, cabe recordar que el artículo 860 del Código de Comercio regula la licitación en el derecho privado. </w:t>
      </w:r>
    </w:p>
    <w:p w14:paraId="47EB4E71" w14:textId="77777777" w:rsidR="00103317" w:rsidRPr="00CE0D82" w:rsidRDefault="00103317" w:rsidP="00103317">
      <w:pPr>
        <w:pStyle w:val="Textonotapie"/>
        <w:ind w:firstLine="709"/>
        <w:contextualSpacing/>
        <w:rPr>
          <w:rFonts w:ascii="Verdana" w:hAnsi="Verdana" w:cs="Arial"/>
          <w:sz w:val="16"/>
          <w:szCs w:val="16"/>
          <w:lang w:val="es-ES"/>
        </w:rPr>
      </w:pPr>
    </w:p>
  </w:footnote>
  <w:footnote w:id="16">
    <w:p w14:paraId="292D2B1B" w14:textId="77777777" w:rsidR="00103317" w:rsidRDefault="00103317" w:rsidP="00103317">
      <w:pPr>
        <w:shd w:val="clear" w:color="auto" w:fill="FFFFFF"/>
        <w:spacing w:after="0" w:line="240" w:lineRule="auto"/>
        <w:ind w:firstLine="709"/>
        <w:contextualSpacing/>
        <w:jc w:val="both"/>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Consejo de Estado. Sala de Consulta y Servicio Civil, Concepto de 8 de mayo de 2018. Radicación Número: 11001-03-06-000-2018-00095-00</w:t>
      </w:r>
      <w:r>
        <w:rPr>
          <w:rFonts w:ascii="Verdana" w:hAnsi="Verdana" w:cs="Arial"/>
          <w:sz w:val="16"/>
          <w:szCs w:val="16"/>
          <w:lang w:val="es-ES"/>
        </w:rPr>
        <w:t xml:space="preserve"> </w:t>
      </w:r>
      <w:r w:rsidRPr="00CE0D82">
        <w:rPr>
          <w:rFonts w:ascii="Verdana" w:hAnsi="Verdana" w:cs="Arial"/>
          <w:sz w:val="16"/>
          <w:szCs w:val="16"/>
          <w:lang w:val="es-ES"/>
        </w:rPr>
        <w:t xml:space="preserve">(2382). </w:t>
      </w:r>
      <w:r>
        <w:rPr>
          <w:rFonts w:ascii="Verdana" w:hAnsi="Verdana" w:cs="Arial"/>
          <w:sz w:val="16"/>
          <w:szCs w:val="16"/>
          <w:lang w:val="es-ES"/>
        </w:rPr>
        <w:t>C.P:</w:t>
      </w:r>
      <w:r w:rsidRPr="00CE0D82">
        <w:rPr>
          <w:rFonts w:ascii="Verdana" w:hAnsi="Verdana" w:cs="Arial"/>
          <w:sz w:val="16"/>
          <w:szCs w:val="16"/>
          <w:lang w:val="es-ES"/>
        </w:rPr>
        <w:t xml:space="preserve"> Álvaro Namén Vargas</w:t>
      </w:r>
      <w:r w:rsidRPr="005800D0">
        <w:rPr>
          <w:rFonts w:ascii="Verdana" w:hAnsi="Verdana" w:cs="Arial"/>
          <w:sz w:val="16"/>
          <w:szCs w:val="16"/>
          <w:lang w:val="es-ES"/>
        </w:rPr>
        <w:t>.</w:t>
      </w:r>
    </w:p>
    <w:p w14:paraId="44DB6D6B" w14:textId="77777777" w:rsidR="00103317" w:rsidRPr="005800D0" w:rsidRDefault="00103317" w:rsidP="00103317">
      <w:pPr>
        <w:shd w:val="clear" w:color="auto" w:fill="FFFFFF"/>
        <w:spacing w:after="0" w:line="240" w:lineRule="auto"/>
        <w:ind w:firstLine="709"/>
        <w:contextualSpacing/>
        <w:jc w:val="both"/>
        <w:rPr>
          <w:rFonts w:ascii="Verdana" w:hAnsi="Verdana" w:cs="Arial"/>
          <w:sz w:val="16"/>
          <w:szCs w:val="16"/>
          <w:lang w:val="es-ES"/>
        </w:rPr>
      </w:pPr>
    </w:p>
  </w:footnote>
  <w:footnote w:id="17">
    <w:p w14:paraId="31018E12" w14:textId="77777777" w:rsidR="00103317" w:rsidRDefault="00103317" w:rsidP="00103317">
      <w:pPr>
        <w:pStyle w:val="Textonotapie"/>
        <w:ind w:firstLine="709"/>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Consejo de Estado. Sala de Consulta y Servicio Civil. Concepto del 08 de mayo de 2018. Exp. 2.382. C.P. Álvaro Namén Vargas.</w:t>
      </w:r>
    </w:p>
    <w:p w14:paraId="23B4071B" w14:textId="77777777" w:rsidR="00103317" w:rsidRPr="00195E24" w:rsidRDefault="00103317" w:rsidP="00103317">
      <w:pPr>
        <w:pStyle w:val="Textonotapie"/>
        <w:ind w:firstLine="709"/>
        <w:contextualSpacing/>
        <w:jc w:val="both"/>
        <w:rPr>
          <w:rFonts w:ascii="Verdana" w:hAnsi="Verdana" w:cs="Arial"/>
          <w:sz w:val="16"/>
          <w:szCs w:val="16"/>
        </w:rPr>
      </w:pPr>
    </w:p>
  </w:footnote>
  <w:footnote w:id="18">
    <w:p w14:paraId="4C8163FC" w14:textId="77777777" w:rsidR="00103317" w:rsidRPr="00195E24" w:rsidRDefault="00103317" w:rsidP="00103317">
      <w:pPr>
        <w:pStyle w:val="Textonotapie"/>
        <w:ind w:firstLine="708"/>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1AE597D6" w14:textId="77777777" w:rsidR="00103317" w:rsidRPr="00195E24" w:rsidRDefault="00103317" w:rsidP="00103317">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a) Personería jurídica; </w:t>
      </w:r>
    </w:p>
    <w:p w14:paraId="74FEA5AF" w14:textId="77777777" w:rsidR="00103317" w:rsidRPr="00195E24" w:rsidRDefault="00103317" w:rsidP="00103317">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b) Autonomía administrativa y financiera; </w:t>
      </w:r>
    </w:p>
    <w:p w14:paraId="68272C93" w14:textId="77777777" w:rsidR="00103317" w:rsidRDefault="00103317" w:rsidP="00103317">
      <w:pPr>
        <w:pStyle w:val="Textonotapie"/>
        <w:ind w:firstLine="708"/>
        <w:contextualSpacing/>
        <w:jc w:val="both"/>
        <w:rPr>
          <w:rFonts w:ascii="Verdana" w:hAnsi="Verdana" w:cs="Arial"/>
          <w:sz w:val="16"/>
          <w:szCs w:val="16"/>
        </w:rPr>
      </w:pPr>
      <w:r w:rsidRPr="00195E24">
        <w:rPr>
          <w:rFonts w:ascii="Verdana" w:hAnsi="Verdana" w:cs="Arial"/>
          <w:sz w:val="16"/>
          <w:szCs w:val="16"/>
        </w:rPr>
        <w:t>c) Capital independiente, constituido totalmente con bienes o fondos públicos comunes, los productos de ellos, o el rendimiento de tasas que perciban por las funciones o servicios, y contribuciones de destinación especial en los casos autorizados por la Constitución</w:t>
      </w:r>
      <w:r>
        <w:rPr>
          <w:rFonts w:ascii="Verdana" w:hAnsi="Verdana" w:cs="Arial"/>
          <w:sz w:val="16"/>
          <w:szCs w:val="16"/>
        </w:rPr>
        <w:t>.</w:t>
      </w:r>
      <w:r w:rsidRPr="00CE0D82">
        <w:rPr>
          <w:rFonts w:ascii="Verdana" w:hAnsi="Verdana" w:cs="Arial"/>
          <w:sz w:val="16"/>
          <w:szCs w:val="16"/>
        </w:rPr>
        <w:t xml:space="preserve"> </w:t>
      </w:r>
    </w:p>
    <w:p w14:paraId="41E5E2F0" w14:textId="77777777" w:rsidR="00103317" w:rsidRPr="005800D0" w:rsidRDefault="00103317" w:rsidP="00103317">
      <w:pPr>
        <w:pStyle w:val="Textonotapie"/>
        <w:ind w:firstLine="708"/>
        <w:contextualSpacing/>
        <w:jc w:val="both"/>
        <w:rPr>
          <w:rFonts w:ascii="Verdana" w:hAnsi="Verdana" w:cs="Arial"/>
          <w:sz w:val="16"/>
          <w:szCs w:val="16"/>
        </w:rPr>
      </w:pPr>
    </w:p>
  </w:footnote>
  <w:footnote w:id="19">
    <w:p w14:paraId="2B3FDB5E" w14:textId="77777777" w:rsidR="00103317" w:rsidRDefault="00103317" w:rsidP="00103317">
      <w:pPr>
        <w:spacing w:after="0" w:line="240" w:lineRule="auto"/>
        <w:ind w:right="49" w:firstLine="709"/>
        <w:contextualSpacing/>
        <w:jc w:val="both"/>
        <w:rPr>
          <w:rFonts w:ascii="Verdana" w:hAnsi="Verdana"/>
          <w:spacing w:val="-2"/>
          <w:sz w:val="16"/>
          <w:szCs w:val="16"/>
        </w:rPr>
      </w:pPr>
      <w:r w:rsidRPr="005800D0">
        <w:rPr>
          <w:rStyle w:val="Refdenotaalpie"/>
          <w:rFonts w:ascii="Verdana" w:hAnsi="Verdana"/>
          <w:sz w:val="16"/>
          <w:szCs w:val="16"/>
        </w:rPr>
        <w:footnoteRef/>
      </w:r>
      <w:r w:rsidRPr="005800D0">
        <w:rPr>
          <w:rFonts w:ascii="Verdana" w:hAnsi="Verdana"/>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w:t>
      </w:r>
      <w:r w:rsidRPr="005800D0">
        <w:rPr>
          <w:rFonts w:ascii="Verdana" w:hAnsi="Verdana"/>
          <w:spacing w:val="-15"/>
          <w:sz w:val="16"/>
          <w:szCs w:val="16"/>
        </w:rPr>
        <w:t xml:space="preserve"> </w:t>
      </w:r>
      <w:r w:rsidRPr="005800D0">
        <w:rPr>
          <w:rFonts w:ascii="Verdana" w:hAnsi="Verdana"/>
          <w:sz w:val="16"/>
          <w:szCs w:val="16"/>
        </w:rPr>
        <w:t>y comerciales estatales y de las sociedades de economía mixta, con excepción de los contratos que a título enunciativo identifica el artículo 32 de esta ley”, o sea, los de obra, consultoría, prestación de servicios,</w:t>
      </w:r>
      <w:r w:rsidRPr="005800D0">
        <w:rPr>
          <w:rFonts w:ascii="Verdana" w:hAnsi="Verdana"/>
          <w:spacing w:val="-7"/>
          <w:sz w:val="16"/>
          <w:szCs w:val="16"/>
        </w:rPr>
        <w:t xml:space="preserve"> </w:t>
      </w:r>
      <w:r w:rsidRPr="005800D0">
        <w:rPr>
          <w:rFonts w:ascii="Verdana" w:hAnsi="Verdana"/>
          <w:sz w:val="16"/>
          <w:szCs w:val="16"/>
        </w:rPr>
        <w:t>concesión,</w:t>
      </w:r>
      <w:r w:rsidRPr="005800D0">
        <w:rPr>
          <w:rFonts w:ascii="Verdana" w:hAnsi="Verdana"/>
          <w:spacing w:val="-7"/>
          <w:sz w:val="16"/>
          <w:szCs w:val="16"/>
        </w:rPr>
        <w:t xml:space="preserve"> </w:t>
      </w:r>
      <w:r w:rsidRPr="005800D0">
        <w:rPr>
          <w:rFonts w:ascii="Verdana" w:hAnsi="Verdana"/>
          <w:sz w:val="16"/>
          <w:szCs w:val="16"/>
        </w:rPr>
        <w:t>encargos</w:t>
      </w:r>
      <w:r w:rsidRPr="005800D0">
        <w:rPr>
          <w:rFonts w:ascii="Verdana" w:hAnsi="Verdana"/>
          <w:spacing w:val="-7"/>
          <w:sz w:val="16"/>
          <w:szCs w:val="16"/>
        </w:rPr>
        <w:t xml:space="preserve"> </w:t>
      </w:r>
      <w:r w:rsidRPr="005800D0">
        <w:rPr>
          <w:rFonts w:ascii="Verdana" w:hAnsi="Verdana"/>
          <w:sz w:val="16"/>
          <w:szCs w:val="16"/>
        </w:rPr>
        <w:t>fiduciarios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fiducia</w:t>
      </w:r>
      <w:r w:rsidRPr="005800D0">
        <w:rPr>
          <w:rFonts w:ascii="Verdana" w:hAnsi="Verdana"/>
          <w:spacing w:val="-9"/>
          <w:sz w:val="16"/>
          <w:szCs w:val="16"/>
        </w:rPr>
        <w:t xml:space="preserve"> </w:t>
      </w:r>
      <w:r w:rsidRPr="005800D0">
        <w:rPr>
          <w:rFonts w:ascii="Verdana" w:hAnsi="Verdana"/>
          <w:sz w:val="16"/>
          <w:szCs w:val="16"/>
        </w:rPr>
        <w:t>pública,</w:t>
      </w:r>
      <w:r w:rsidRPr="005800D0">
        <w:rPr>
          <w:rFonts w:ascii="Verdana" w:hAnsi="Verdana"/>
          <w:spacing w:val="-7"/>
          <w:sz w:val="16"/>
          <w:szCs w:val="16"/>
        </w:rPr>
        <w:t xml:space="preserve"> </w:t>
      </w:r>
      <w:r w:rsidRPr="005800D0">
        <w:rPr>
          <w:rFonts w:ascii="Verdana" w:hAnsi="Verdana"/>
          <w:sz w:val="16"/>
          <w:szCs w:val="16"/>
        </w:rPr>
        <w:t>que</w:t>
      </w:r>
      <w:r w:rsidRPr="005800D0">
        <w:rPr>
          <w:rFonts w:ascii="Verdana" w:hAnsi="Verdana"/>
          <w:spacing w:val="-13"/>
          <w:sz w:val="16"/>
          <w:szCs w:val="16"/>
        </w:rPr>
        <w:t xml:space="preserve"> </w:t>
      </w:r>
      <w:r w:rsidRPr="005800D0">
        <w:rPr>
          <w:rFonts w:ascii="Verdana" w:hAnsi="Verdana"/>
          <w:sz w:val="16"/>
          <w:szCs w:val="16"/>
        </w:rPr>
        <w:t>se</w:t>
      </w:r>
      <w:r w:rsidRPr="005800D0">
        <w:rPr>
          <w:rFonts w:ascii="Verdana" w:hAnsi="Verdana"/>
          <w:spacing w:val="-8"/>
          <w:sz w:val="16"/>
          <w:szCs w:val="16"/>
        </w:rPr>
        <w:t xml:space="preserve"> </w:t>
      </w:r>
      <w:r w:rsidRPr="005800D0">
        <w:rPr>
          <w:rFonts w:ascii="Verdana" w:hAnsi="Verdana"/>
          <w:sz w:val="16"/>
          <w:szCs w:val="16"/>
        </w:rPr>
        <w:t>regirían</w:t>
      </w:r>
      <w:r w:rsidRPr="005800D0">
        <w:rPr>
          <w:rFonts w:ascii="Verdana" w:hAnsi="Verdana"/>
          <w:spacing w:val="-9"/>
          <w:sz w:val="16"/>
          <w:szCs w:val="16"/>
        </w:rPr>
        <w:t xml:space="preserve"> </w:t>
      </w:r>
      <w:r w:rsidRPr="005800D0">
        <w:rPr>
          <w:rFonts w:ascii="Verdana" w:hAnsi="Verdana"/>
          <w:sz w:val="16"/>
          <w:szCs w:val="16"/>
        </w:rPr>
        <w:t>por</w:t>
      </w:r>
      <w:r w:rsidRPr="005800D0">
        <w:rPr>
          <w:rFonts w:ascii="Verdana" w:hAnsi="Verdana"/>
          <w:spacing w:val="-7"/>
          <w:sz w:val="16"/>
          <w:szCs w:val="16"/>
        </w:rPr>
        <w:t xml:space="preserve"> </w:t>
      </w:r>
      <w:r w:rsidRPr="005800D0">
        <w:rPr>
          <w:rFonts w:ascii="Verdana" w:hAnsi="Verdana"/>
          <w:sz w:val="16"/>
          <w:szCs w:val="16"/>
        </w:rPr>
        <w:t>la</w:t>
      </w:r>
      <w:r w:rsidRPr="005800D0">
        <w:rPr>
          <w:rFonts w:ascii="Verdana" w:hAnsi="Verdana"/>
          <w:spacing w:val="-9"/>
          <w:sz w:val="16"/>
          <w:szCs w:val="16"/>
        </w:rPr>
        <w:t xml:space="preserve"> </w:t>
      </w:r>
      <w:r w:rsidRPr="005800D0">
        <w:rPr>
          <w:rFonts w:ascii="Verdana" w:hAnsi="Verdana"/>
          <w:sz w:val="16"/>
          <w:szCs w:val="16"/>
        </w:rPr>
        <w:t>regla</w:t>
      </w:r>
      <w:r w:rsidRPr="005800D0">
        <w:rPr>
          <w:rFonts w:ascii="Verdana" w:hAnsi="Verdana"/>
          <w:spacing w:val="-9"/>
          <w:sz w:val="16"/>
          <w:szCs w:val="16"/>
        </w:rPr>
        <w:t xml:space="preserve"> </w:t>
      </w:r>
      <w:r w:rsidRPr="005800D0">
        <w:rPr>
          <w:rFonts w:ascii="Verdana" w:hAnsi="Verdana"/>
          <w:sz w:val="16"/>
          <w:szCs w:val="16"/>
        </w:rPr>
        <w:t>general,</w:t>
      </w:r>
      <w:r w:rsidRPr="005800D0">
        <w:rPr>
          <w:rFonts w:ascii="Verdana" w:hAnsi="Verdana"/>
          <w:spacing w:val="-7"/>
          <w:sz w:val="16"/>
          <w:szCs w:val="16"/>
        </w:rPr>
        <w:t xml:space="preserve"> </w:t>
      </w:r>
      <w:r w:rsidRPr="005800D0">
        <w:rPr>
          <w:rFonts w:ascii="Verdana" w:hAnsi="Verdana"/>
          <w:sz w:val="16"/>
          <w:szCs w:val="16"/>
        </w:rPr>
        <w:t>salvo</w:t>
      </w:r>
      <w:r w:rsidRPr="005800D0">
        <w:rPr>
          <w:rFonts w:ascii="Verdana" w:hAnsi="Verdana"/>
          <w:spacing w:val="-10"/>
          <w:sz w:val="16"/>
          <w:szCs w:val="16"/>
        </w:rPr>
        <w:t xml:space="preserve"> </w:t>
      </w:r>
      <w:r w:rsidRPr="005800D0">
        <w:rPr>
          <w:rFonts w:ascii="Verdana" w:hAnsi="Verdana"/>
          <w:sz w:val="16"/>
          <w:szCs w:val="16"/>
        </w:rPr>
        <w:t>los</w:t>
      </w:r>
      <w:r w:rsidRPr="005800D0">
        <w:rPr>
          <w:rFonts w:ascii="Verdana" w:hAnsi="Verdana"/>
          <w:spacing w:val="-7"/>
          <w:sz w:val="16"/>
          <w:szCs w:val="16"/>
        </w:rPr>
        <w:t xml:space="preserve"> </w:t>
      </w:r>
      <w:r w:rsidRPr="005800D0">
        <w:rPr>
          <w:rFonts w:ascii="Verdana" w:hAnsi="Verdana"/>
          <w:sz w:val="16"/>
          <w:szCs w:val="16"/>
        </w:rPr>
        <w:t>casos de</w:t>
      </w:r>
      <w:r w:rsidRPr="005800D0">
        <w:rPr>
          <w:rFonts w:ascii="Verdana" w:hAnsi="Verdana"/>
          <w:spacing w:val="-2"/>
          <w:sz w:val="16"/>
          <w:szCs w:val="16"/>
        </w:rPr>
        <w:t xml:space="preserve"> </w:t>
      </w:r>
      <w:r w:rsidRPr="005800D0">
        <w:rPr>
          <w:rFonts w:ascii="Verdana" w:hAnsi="Verdana"/>
          <w:sz w:val="16"/>
          <w:szCs w:val="16"/>
        </w:rPr>
        <w:t>menor cuantía –previstos en el ordinal a), numeral 1 del artículo 24, original, de la Ley 80 de 1993</w:t>
      </w:r>
      <w:r w:rsidRPr="005800D0">
        <w:rPr>
          <w:rFonts w:ascii="Verdana" w:hAnsi="Verdana"/>
          <w:spacing w:val="-15"/>
          <w:sz w:val="16"/>
          <w:szCs w:val="16"/>
        </w:rPr>
        <w:t xml:space="preserve"> </w:t>
      </w:r>
      <w:r w:rsidRPr="005800D0">
        <w:rPr>
          <w:rFonts w:ascii="Verdana" w:hAnsi="Verdana"/>
          <w:sz w:val="16"/>
          <w:szCs w:val="16"/>
        </w:rPr>
        <w:t>–. Además,</w:t>
      </w:r>
      <w:r w:rsidRPr="005800D0">
        <w:rPr>
          <w:rFonts w:ascii="Verdana" w:hAnsi="Verdana"/>
          <w:spacing w:val="-1"/>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el</w:t>
      </w:r>
      <w:r w:rsidRPr="005800D0">
        <w:rPr>
          <w:rFonts w:ascii="Verdana" w:hAnsi="Verdana"/>
          <w:spacing w:val="-2"/>
          <w:sz w:val="16"/>
          <w:szCs w:val="16"/>
        </w:rPr>
        <w:t xml:space="preserve"> </w:t>
      </w:r>
      <w:r w:rsidRPr="005800D0">
        <w:rPr>
          <w:rFonts w:ascii="Verdana" w:hAnsi="Verdana"/>
          <w:sz w:val="16"/>
          <w:szCs w:val="16"/>
        </w:rPr>
        <w:t>parágrafo</w:t>
      </w:r>
      <w:r w:rsidRPr="005800D0">
        <w:rPr>
          <w:rFonts w:ascii="Verdana" w:hAnsi="Verdana"/>
          <w:spacing w:val="-5"/>
          <w:sz w:val="16"/>
          <w:szCs w:val="16"/>
        </w:rPr>
        <w:t xml:space="preserve"> </w:t>
      </w:r>
      <w:r w:rsidRPr="005800D0">
        <w:rPr>
          <w:rFonts w:ascii="Verdana" w:hAnsi="Verdana"/>
          <w:sz w:val="16"/>
          <w:szCs w:val="16"/>
        </w:rPr>
        <w:t>del</w:t>
      </w:r>
      <w:r w:rsidRPr="005800D0">
        <w:rPr>
          <w:rFonts w:ascii="Verdana" w:hAnsi="Verdana"/>
          <w:spacing w:val="-2"/>
          <w:sz w:val="16"/>
          <w:szCs w:val="16"/>
        </w:rPr>
        <w:t xml:space="preserve"> </w:t>
      </w:r>
      <w:r w:rsidRPr="005800D0">
        <w:rPr>
          <w:rFonts w:ascii="Verdana" w:hAnsi="Verdana"/>
          <w:sz w:val="16"/>
          <w:szCs w:val="16"/>
        </w:rPr>
        <w:t>artículo</w:t>
      </w:r>
      <w:r w:rsidRPr="005800D0">
        <w:rPr>
          <w:rFonts w:ascii="Verdana" w:hAnsi="Verdana"/>
          <w:spacing w:val="-5"/>
          <w:sz w:val="16"/>
          <w:szCs w:val="16"/>
        </w:rPr>
        <w:t xml:space="preserve"> </w:t>
      </w:r>
      <w:r w:rsidRPr="005800D0">
        <w:rPr>
          <w:rFonts w:ascii="Verdana" w:hAnsi="Verdana"/>
          <w:sz w:val="16"/>
          <w:szCs w:val="16"/>
        </w:rPr>
        <w:t>14</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la</w:t>
      </w:r>
      <w:r w:rsidRPr="005800D0">
        <w:rPr>
          <w:rFonts w:ascii="Verdana" w:hAnsi="Verdana"/>
          <w:spacing w:val="-4"/>
          <w:sz w:val="16"/>
          <w:szCs w:val="16"/>
        </w:rPr>
        <w:t xml:space="preserve"> </w:t>
      </w:r>
      <w:r w:rsidRPr="005800D0">
        <w:rPr>
          <w:rFonts w:ascii="Verdana" w:hAnsi="Verdana"/>
          <w:sz w:val="16"/>
          <w:szCs w:val="16"/>
        </w:rPr>
        <w:t>Ley</w:t>
      </w:r>
      <w:r w:rsidRPr="005800D0">
        <w:rPr>
          <w:rFonts w:ascii="Verdana" w:hAnsi="Verdana"/>
          <w:spacing w:val="-3"/>
          <w:sz w:val="16"/>
          <w:szCs w:val="16"/>
        </w:rPr>
        <w:t xml:space="preserve"> </w:t>
      </w:r>
      <w:r w:rsidRPr="005800D0">
        <w:rPr>
          <w:rFonts w:ascii="Verdana" w:hAnsi="Verdana"/>
          <w:sz w:val="16"/>
          <w:szCs w:val="16"/>
        </w:rPr>
        <w:t>80</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1993,</w:t>
      </w:r>
      <w:r w:rsidRPr="005800D0">
        <w:rPr>
          <w:rFonts w:ascii="Verdana" w:hAnsi="Verdana"/>
          <w:spacing w:val="-1"/>
          <w:sz w:val="16"/>
          <w:szCs w:val="16"/>
        </w:rPr>
        <w:t xml:space="preserve"> </w:t>
      </w:r>
      <w:r w:rsidRPr="005800D0">
        <w:rPr>
          <w:rFonts w:ascii="Verdana" w:hAnsi="Verdana"/>
          <w:sz w:val="16"/>
          <w:szCs w:val="16"/>
        </w:rPr>
        <w:t>se</w:t>
      </w:r>
      <w:r w:rsidRPr="005800D0">
        <w:rPr>
          <w:rFonts w:ascii="Verdana" w:hAnsi="Verdana"/>
          <w:spacing w:val="-3"/>
          <w:sz w:val="16"/>
          <w:szCs w:val="16"/>
        </w:rPr>
        <w:t xml:space="preserve"> </w:t>
      </w:r>
      <w:r w:rsidRPr="005800D0">
        <w:rPr>
          <w:rFonts w:ascii="Verdana" w:hAnsi="Verdana"/>
          <w:sz w:val="16"/>
          <w:szCs w:val="16"/>
        </w:rPr>
        <w:t>señaló</w:t>
      </w:r>
      <w:r w:rsidRPr="005800D0">
        <w:rPr>
          <w:rFonts w:ascii="Verdana" w:hAnsi="Verdana"/>
          <w:spacing w:val="-5"/>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los</w:t>
      </w:r>
      <w:r w:rsidRPr="005800D0">
        <w:rPr>
          <w:rFonts w:ascii="Verdana" w:hAnsi="Verdana"/>
          <w:spacing w:val="-2"/>
          <w:sz w:val="16"/>
          <w:szCs w:val="16"/>
        </w:rPr>
        <w:t xml:space="preserve"> </w:t>
      </w:r>
      <w:r w:rsidRPr="005800D0">
        <w:rPr>
          <w:rFonts w:ascii="Verdana" w:hAnsi="Verdana"/>
          <w:sz w:val="16"/>
          <w:szCs w:val="16"/>
        </w:rPr>
        <w:t>contratos</w:t>
      </w:r>
      <w:r w:rsidRPr="005800D0">
        <w:rPr>
          <w:rFonts w:ascii="Verdana" w:hAnsi="Verdana"/>
          <w:spacing w:val="-2"/>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tengan</w:t>
      </w:r>
      <w:r w:rsidRPr="005800D0">
        <w:rPr>
          <w:rFonts w:ascii="Verdana" w:hAnsi="Verdana"/>
          <w:spacing w:val="-4"/>
          <w:sz w:val="16"/>
          <w:szCs w:val="16"/>
        </w:rPr>
        <w:t xml:space="preserve"> </w:t>
      </w:r>
      <w:r w:rsidRPr="005800D0">
        <w:rPr>
          <w:rFonts w:ascii="Verdana" w:hAnsi="Verdana"/>
          <w:sz w:val="16"/>
          <w:szCs w:val="16"/>
        </w:rPr>
        <w:t>por objeto</w:t>
      </w:r>
      <w:r w:rsidRPr="005800D0">
        <w:rPr>
          <w:rFonts w:ascii="Verdana" w:hAnsi="Verdana"/>
          <w:spacing w:val="-1"/>
          <w:sz w:val="16"/>
          <w:szCs w:val="16"/>
        </w:rPr>
        <w:t xml:space="preserve"> </w:t>
      </w:r>
      <w:r w:rsidRPr="005800D0">
        <w:rPr>
          <w:rFonts w:ascii="Verdana" w:hAnsi="Verdana"/>
          <w:sz w:val="16"/>
          <w:szCs w:val="16"/>
        </w:rPr>
        <w:t>actividades comerciales o</w:t>
      </w:r>
      <w:r w:rsidRPr="005800D0">
        <w:rPr>
          <w:rFonts w:ascii="Verdana" w:hAnsi="Verdana"/>
          <w:spacing w:val="-1"/>
          <w:sz w:val="16"/>
          <w:szCs w:val="16"/>
        </w:rPr>
        <w:t xml:space="preserve"> </w:t>
      </w:r>
      <w:r w:rsidRPr="005800D0">
        <w:rPr>
          <w:rFonts w:ascii="Verdana" w:hAnsi="Verdana"/>
          <w:sz w:val="16"/>
          <w:szCs w:val="16"/>
        </w:rPr>
        <w:t>industriales de las entidades</w:t>
      </w:r>
      <w:r w:rsidRPr="005800D0">
        <w:rPr>
          <w:rFonts w:ascii="Verdana" w:hAnsi="Verdana"/>
          <w:spacing w:val="-3"/>
          <w:sz w:val="16"/>
          <w:szCs w:val="16"/>
        </w:rPr>
        <w:t xml:space="preserve"> </w:t>
      </w:r>
      <w:r w:rsidRPr="005800D0">
        <w:rPr>
          <w:rFonts w:ascii="Verdana" w:hAnsi="Verdana"/>
          <w:sz w:val="16"/>
          <w:szCs w:val="16"/>
        </w:rPr>
        <w:t>estatales que no</w:t>
      </w:r>
      <w:r w:rsidRPr="005800D0">
        <w:rPr>
          <w:rFonts w:ascii="Verdana" w:hAnsi="Verdana"/>
          <w:spacing w:val="-1"/>
          <w:sz w:val="16"/>
          <w:szCs w:val="16"/>
        </w:rPr>
        <w:t xml:space="preserve"> </w:t>
      </w:r>
      <w:r w:rsidRPr="005800D0">
        <w:rPr>
          <w:rFonts w:ascii="Verdana" w:hAnsi="Verdana"/>
          <w:sz w:val="16"/>
          <w:szCs w:val="16"/>
        </w:rPr>
        <w:t xml:space="preserve">correspondan a las señaladas en el numeral 2º de este artículo (…) se prescindirá de la utilización de las cláusulas o estipulaciones </w:t>
      </w:r>
      <w:r w:rsidRPr="005800D0">
        <w:rPr>
          <w:rFonts w:ascii="Verdana" w:hAnsi="Verdana"/>
          <w:spacing w:val="-2"/>
          <w:sz w:val="16"/>
          <w:szCs w:val="16"/>
        </w:rPr>
        <w:t>excepcionales”.</w:t>
      </w:r>
    </w:p>
    <w:p w14:paraId="4BCF783E" w14:textId="77777777" w:rsidR="00103317" w:rsidRPr="005800D0" w:rsidRDefault="00103317" w:rsidP="00103317">
      <w:pPr>
        <w:spacing w:after="0" w:line="240" w:lineRule="auto"/>
        <w:ind w:right="49" w:firstLine="709"/>
        <w:contextualSpacing/>
        <w:jc w:val="both"/>
        <w:rPr>
          <w:rFonts w:ascii="Verdana" w:hAnsi="Verdana"/>
          <w:sz w:val="16"/>
          <w:szCs w:val="16"/>
        </w:rPr>
      </w:pPr>
    </w:p>
  </w:footnote>
  <w:footnote w:id="20">
    <w:p w14:paraId="7144CD38" w14:textId="77777777" w:rsidR="00103317" w:rsidRDefault="00103317" w:rsidP="00103317">
      <w:pPr>
        <w:tabs>
          <w:tab w:val="left" w:pos="142"/>
          <w:tab w:val="left" w:pos="8789"/>
        </w:tabs>
        <w:spacing w:after="0" w:line="240" w:lineRule="auto"/>
        <w:ind w:right="49" w:firstLine="709"/>
        <w:contextualSpacing/>
        <w:jc w:val="both"/>
        <w:rPr>
          <w:rFonts w:ascii="Verdana" w:hAnsi="Verdana"/>
          <w:sz w:val="16"/>
          <w:szCs w:val="16"/>
        </w:rPr>
      </w:pPr>
      <w:r w:rsidRPr="005800D0">
        <w:rPr>
          <w:rStyle w:val="Refdenotaalpie"/>
          <w:rFonts w:ascii="Verdana" w:hAnsi="Verdana"/>
          <w:sz w:val="16"/>
          <w:szCs w:val="16"/>
        </w:rPr>
        <w:footnoteRef/>
      </w:r>
      <w:r w:rsidRPr="005800D0">
        <w:rPr>
          <w:rFonts w:ascii="Verdana" w:hAnsi="Verdana"/>
          <w:sz w:val="16"/>
          <w:szCs w:val="16"/>
        </w:rPr>
        <w:t xml:space="preserve"> </w:t>
      </w:r>
      <w:bookmarkStart w:id="19" w:name="_Hlk199860326"/>
      <w:r w:rsidRPr="005800D0">
        <w:rPr>
          <w:rFonts w:ascii="Verdana" w:hAnsi="Verdana"/>
          <w:sz w:val="16"/>
          <w:szCs w:val="16"/>
        </w:rPr>
        <w:t>Sin perjuicio</w:t>
      </w:r>
      <w:r w:rsidRPr="005800D0">
        <w:rPr>
          <w:rFonts w:ascii="Verdana" w:hAnsi="Verdana"/>
          <w:spacing w:val="-1"/>
          <w:sz w:val="16"/>
          <w:szCs w:val="16"/>
        </w:rPr>
        <w:t xml:space="preserve"> </w:t>
      </w:r>
      <w:r w:rsidRPr="005800D0">
        <w:rPr>
          <w:rFonts w:ascii="Verdana" w:hAnsi="Verdana"/>
          <w:sz w:val="16"/>
          <w:szCs w:val="16"/>
        </w:rPr>
        <w:t>de la regla indicada, es importante</w:t>
      </w:r>
      <w:r w:rsidRPr="005800D0">
        <w:rPr>
          <w:rFonts w:ascii="Verdana" w:hAnsi="Verdana"/>
          <w:spacing w:val="-4"/>
          <w:sz w:val="16"/>
          <w:szCs w:val="16"/>
        </w:rPr>
        <w:t xml:space="preserve"> </w:t>
      </w:r>
      <w:r w:rsidRPr="005800D0">
        <w:rPr>
          <w:rFonts w:ascii="Verdana" w:hAnsi="Verdana"/>
          <w:sz w:val="16"/>
          <w:szCs w:val="16"/>
        </w:rPr>
        <w:t>señalar que el literal</w:t>
      </w:r>
      <w:r w:rsidRPr="005800D0">
        <w:rPr>
          <w:rFonts w:ascii="Verdana" w:hAnsi="Verdana"/>
          <w:spacing w:val="-3"/>
          <w:sz w:val="16"/>
          <w:szCs w:val="16"/>
        </w:rPr>
        <w:t xml:space="preserve"> </w:t>
      </w:r>
      <w:r w:rsidRPr="005800D0">
        <w:rPr>
          <w:rFonts w:ascii="Verdana" w:hAnsi="Verdana"/>
          <w:sz w:val="16"/>
          <w:szCs w:val="16"/>
        </w:rPr>
        <w:t>g, numeral 2, artículo</w:t>
      </w:r>
      <w:r w:rsidRPr="005800D0">
        <w:rPr>
          <w:rFonts w:ascii="Verdana" w:hAnsi="Verdana"/>
          <w:spacing w:val="-1"/>
          <w:sz w:val="16"/>
          <w:szCs w:val="16"/>
        </w:rPr>
        <w:t xml:space="preserve"> </w:t>
      </w:r>
      <w:r w:rsidRPr="005800D0">
        <w:rPr>
          <w:rFonts w:ascii="Verdana" w:hAnsi="Verdana"/>
          <w:sz w:val="16"/>
          <w:szCs w:val="16"/>
        </w:rPr>
        <w:t>2</w:t>
      </w:r>
      <w:r w:rsidRPr="005800D0">
        <w:rPr>
          <w:rFonts w:ascii="Verdana" w:hAnsi="Verdana"/>
          <w:spacing w:val="-1"/>
          <w:sz w:val="16"/>
          <w:szCs w:val="16"/>
        </w:rPr>
        <w:t xml:space="preserve"> </w:t>
      </w:r>
      <w:r w:rsidRPr="005800D0">
        <w:rPr>
          <w:rFonts w:ascii="Verdana" w:hAnsi="Verdana"/>
          <w:sz w:val="16"/>
          <w:szCs w:val="16"/>
        </w:rPr>
        <w:t>de la Ley 1150 de 2007, prevé como causal de selección abreviada: “Los actos y contratos que tengan por objeto directo</w:t>
      </w:r>
      <w:r w:rsidRPr="005800D0">
        <w:rPr>
          <w:rFonts w:ascii="Verdana" w:hAnsi="Verdana"/>
          <w:spacing w:val="-10"/>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actividades</w:t>
      </w:r>
      <w:r w:rsidRPr="005800D0">
        <w:rPr>
          <w:rFonts w:ascii="Verdana" w:hAnsi="Verdana"/>
          <w:spacing w:val="-7"/>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w:t>
      </w:r>
      <w:r w:rsidRPr="005800D0">
        <w:rPr>
          <w:rFonts w:ascii="Verdana" w:hAnsi="Verdana"/>
          <w:spacing w:val="-8"/>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propias</w:t>
      </w:r>
      <w:r w:rsidRPr="005800D0">
        <w:rPr>
          <w:rFonts w:ascii="Verdana" w:hAnsi="Verdana"/>
          <w:spacing w:val="-7"/>
          <w:sz w:val="16"/>
          <w:szCs w:val="16"/>
        </w:rPr>
        <w:t xml:space="preserve"> </w:t>
      </w:r>
      <w:r w:rsidRPr="005800D0">
        <w:rPr>
          <w:rFonts w:ascii="Verdana" w:hAnsi="Verdana"/>
          <w:sz w:val="16"/>
          <w:szCs w:val="16"/>
        </w:rPr>
        <w:t>de</w:t>
      </w:r>
      <w:r w:rsidRPr="005800D0">
        <w:rPr>
          <w:rFonts w:ascii="Verdana" w:hAnsi="Verdana"/>
          <w:spacing w:val="-8"/>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Empresas</w:t>
      </w:r>
      <w:r w:rsidRPr="005800D0">
        <w:rPr>
          <w:rFonts w:ascii="Verdana" w:hAnsi="Verdana"/>
          <w:spacing w:val="-7"/>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Estatales y de las Sociedades de Economía Mixta, con excepción de los contratos que a título enunciativo identifica el artículo</w:t>
      </w:r>
      <w:r w:rsidRPr="005800D0">
        <w:rPr>
          <w:rFonts w:ascii="Verdana" w:hAnsi="Verdana"/>
          <w:spacing w:val="-15"/>
          <w:sz w:val="16"/>
          <w:szCs w:val="16"/>
        </w:rPr>
        <w:t xml:space="preserve"> </w:t>
      </w:r>
      <w:r w:rsidRPr="005800D0">
        <w:rPr>
          <w:rFonts w:ascii="Verdana" w:hAnsi="Verdana"/>
          <w:sz w:val="16"/>
          <w:szCs w:val="16"/>
        </w:rPr>
        <w:t>32</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la</w:t>
      </w:r>
      <w:r w:rsidRPr="005800D0">
        <w:rPr>
          <w:rFonts w:ascii="Verdana" w:hAnsi="Verdana"/>
          <w:spacing w:val="-14"/>
          <w:sz w:val="16"/>
          <w:szCs w:val="16"/>
        </w:rPr>
        <w:t xml:space="preserve"> </w:t>
      </w:r>
      <w:r w:rsidRPr="005800D0">
        <w:rPr>
          <w:rFonts w:ascii="Verdana" w:hAnsi="Verdana"/>
          <w:sz w:val="16"/>
          <w:szCs w:val="16"/>
        </w:rPr>
        <w:t>Ley</w:t>
      </w:r>
      <w:r w:rsidRPr="005800D0">
        <w:rPr>
          <w:rFonts w:ascii="Verdana" w:hAnsi="Verdana"/>
          <w:spacing w:val="-14"/>
          <w:sz w:val="16"/>
          <w:szCs w:val="16"/>
        </w:rPr>
        <w:t xml:space="preserve"> </w:t>
      </w:r>
      <w:r w:rsidRPr="005800D0">
        <w:rPr>
          <w:rFonts w:ascii="Verdana" w:hAnsi="Verdana"/>
          <w:sz w:val="16"/>
          <w:szCs w:val="16"/>
        </w:rPr>
        <w:t>80</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1993</w:t>
      </w:r>
      <w:r w:rsidRPr="005800D0">
        <w:rPr>
          <w:rFonts w:ascii="Verdana" w:hAnsi="Verdana"/>
          <w:spacing w:val="-14"/>
          <w:sz w:val="16"/>
          <w:szCs w:val="16"/>
        </w:rPr>
        <w:t xml:space="preserve"> </w:t>
      </w:r>
      <w:r w:rsidRPr="005800D0">
        <w:rPr>
          <w:rFonts w:ascii="Verdana" w:hAnsi="Verdana"/>
          <w:sz w:val="16"/>
          <w:szCs w:val="16"/>
        </w:rPr>
        <w:t>[obra,</w:t>
      </w:r>
      <w:r w:rsidRPr="005800D0">
        <w:rPr>
          <w:rFonts w:ascii="Verdana" w:hAnsi="Verdana"/>
          <w:spacing w:val="-14"/>
          <w:sz w:val="16"/>
          <w:szCs w:val="16"/>
        </w:rPr>
        <w:t xml:space="preserve"> </w:t>
      </w:r>
      <w:r w:rsidRPr="005800D0">
        <w:rPr>
          <w:rFonts w:ascii="Verdana" w:hAnsi="Verdana"/>
          <w:sz w:val="16"/>
          <w:szCs w:val="16"/>
        </w:rPr>
        <w:t>concesión,</w:t>
      </w:r>
      <w:r w:rsidRPr="005800D0">
        <w:rPr>
          <w:rFonts w:ascii="Verdana" w:hAnsi="Verdana"/>
          <w:spacing w:val="-14"/>
          <w:sz w:val="16"/>
          <w:szCs w:val="16"/>
        </w:rPr>
        <w:t xml:space="preserve"> </w:t>
      </w:r>
      <w:r w:rsidRPr="005800D0">
        <w:rPr>
          <w:rFonts w:ascii="Verdana" w:hAnsi="Verdana"/>
          <w:sz w:val="16"/>
          <w:szCs w:val="16"/>
        </w:rPr>
        <w:t>prestación</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servicios,</w:t>
      </w:r>
      <w:r w:rsidRPr="005800D0">
        <w:rPr>
          <w:rFonts w:ascii="Verdana" w:hAnsi="Verdana"/>
          <w:spacing w:val="-14"/>
          <w:sz w:val="16"/>
          <w:szCs w:val="16"/>
        </w:rPr>
        <w:t xml:space="preserve"> </w:t>
      </w:r>
      <w:r w:rsidRPr="005800D0">
        <w:rPr>
          <w:rFonts w:ascii="Verdana" w:hAnsi="Verdana"/>
          <w:sz w:val="16"/>
          <w:szCs w:val="16"/>
        </w:rPr>
        <w:t>consultoría,</w:t>
      </w:r>
      <w:r w:rsidRPr="005800D0">
        <w:rPr>
          <w:rFonts w:ascii="Verdana" w:hAnsi="Verdana"/>
          <w:spacing w:val="-14"/>
          <w:sz w:val="16"/>
          <w:szCs w:val="16"/>
        </w:rPr>
        <w:t xml:space="preserve"> </w:t>
      </w:r>
      <w:r w:rsidRPr="005800D0">
        <w:rPr>
          <w:rFonts w:ascii="Verdana" w:hAnsi="Verdana"/>
          <w:sz w:val="16"/>
          <w:szCs w:val="16"/>
        </w:rPr>
        <w:t>fiducia</w:t>
      </w:r>
      <w:r w:rsidRPr="005800D0">
        <w:rPr>
          <w:rFonts w:ascii="Verdana" w:hAnsi="Verdana"/>
          <w:spacing w:val="-14"/>
          <w:sz w:val="16"/>
          <w:szCs w:val="16"/>
        </w:rPr>
        <w:t xml:space="preserve"> </w:t>
      </w:r>
      <w:r w:rsidRPr="005800D0">
        <w:rPr>
          <w:rFonts w:ascii="Verdana" w:hAnsi="Verdana"/>
          <w:sz w:val="16"/>
          <w:szCs w:val="16"/>
        </w:rPr>
        <w:t>pública]”.</w:t>
      </w:r>
      <w:r w:rsidRPr="005800D0">
        <w:rPr>
          <w:rFonts w:ascii="Verdana" w:hAnsi="Verdana"/>
          <w:spacing w:val="-15"/>
          <w:sz w:val="16"/>
          <w:szCs w:val="16"/>
        </w:rPr>
        <w:t xml:space="preserve"> </w:t>
      </w:r>
      <w:r w:rsidRPr="005800D0">
        <w:rPr>
          <w:rFonts w:ascii="Verdana" w:hAnsi="Verdana"/>
          <w:sz w:val="16"/>
          <w:szCs w:val="16"/>
        </w:rPr>
        <w:t>g)</w:t>
      </w:r>
      <w:r w:rsidRPr="005800D0">
        <w:rPr>
          <w:rFonts w:ascii="Verdana" w:hAnsi="Verdana"/>
          <w:spacing w:val="23"/>
          <w:sz w:val="16"/>
          <w:szCs w:val="16"/>
        </w:rPr>
        <w:t xml:space="preserve"> </w:t>
      </w:r>
      <w:r w:rsidRPr="005800D0">
        <w:rPr>
          <w:rFonts w:ascii="Verdana" w:hAnsi="Verdana"/>
          <w:sz w:val="16"/>
          <w:szCs w:val="16"/>
        </w:rPr>
        <w:t>Los actos y contratos que tengan por objeto directo las actividades comerciales e industriales propias de las Empresas Industriales y Comerciales Estatales y de las Sociedades de Economía Mixta, con excepción de los contratos</w:t>
      </w:r>
      <w:r w:rsidRPr="005800D0">
        <w:rPr>
          <w:rFonts w:ascii="Verdana" w:hAnsi="Verdana"/>
          <w:spacing w:val="-6"/>
          <w:sz w:val="16"/>
          <w:szCs w:val="16"/>
        </w:rPr>
        <w:t xml:space="preserve"> </w:t>
      </w:r>
      <w:r w:rsidRPr="005800D0">
        <w:rPr>
          <w:rFonts w:ascii="Verdana" w:hAnsi="Verdana"/>
          <w:sz w:val="16"/>
          <w:szCs w:val="16"/>
        </w:rPr>
        <w:t>que</w:t>
      </w:r>
      <w:r w:rsidRPr="005800D0">
        <w:rPr>
          <w:rFonts w:ascii="Verdana" w:hAnsi="Verdana"/>
          <w:spacing w:val="-7"/>
          <w:sz w:val="16"/>
          <w:szCs w:val="16"/>
        </w:rPr>
        <w:t xml:space="preserve"> </w:t>
      </w:r>
      <w:r w:rsidRPr="005800D0">
        <w:rPr>
          <w:rFonts w:ascii="Verdana" w:hAnsi="Verdana"/>
          <w:sz w:val="16"/>
          <w:szCs w:val="16"/>
        </w:rPr>
        <w:t>a</w:t>
      </w:r>
      <w:r w:rsidRPr="005800D0">
        <w:rPr>
          <w:rFonts w:ascii="Verdana" w:hAnsi="Verdana"/>
          <w:spacing w:val="-3"/>
          <w:sz w:val="16"/>
          <w:szCs w:val="16"/>
        </w:rPr>
        <w:t xml:space="preserve"> </w:t>
      </w:r>
      <w:r w:rsidRPr="005800D0">
        <w:rPr>
          <w:rFonts w:ascii="Verdana" w:hAnsi="Verdana"/>
          <w:sz w:val="16"/>
          <w:szCs w:val="16"/>
        </w:rPr>
        <w:t>título</w:t>
      </w:r>
      <w:r w:rsidRPr="005800D0">
        <w:rPr>
          <w:rFonts w:ascii="Verdana" w:hAnsi="Verdana"/>
          <w:spacing w:val="-9"/>
          <w:sz w:val="16"/>
          <w:szCs w:val="16"/>
        </w:rPr>
        <w:t xml:space="preserve"> </w:t>
      </w:r>
      <w:r w:rsidRPr="005800D0">
        <w:rPr>
          <w:rFonts w:ascii="Verdana" w:hAnsi="Verdana"/>
          <w:sz w:val="16"/>
          <w:szCs w:val="16"/>
        </w:rPr>
        <w:t>enunciativo</w:t>
      </w:r>
      <w:r w:rsidRPr="005800D0">
        <w:rPr>
          <w:rFonts w:ascii="Verdana" w:hAnsi="Verdana"/>
          <w:spacing w:val="-9"/>
          <w:sz w:val="16"/>
          <w:szCs w:val="16"/>
        </w:rPr>
        <w:t xml:space="preserve"> </w:t>
      </w:r>
      <w:r w:rsidRPr="005800D0">
        <w:rPr>
          <w:rFonts w:ascii="Verdana" w:hAnsi="Verdana"/>
          <w:sz w:val="16"/>
          <w:szCs w:val="16"/>
        </w:rPr>
        <w:t>identifica</w:t>
      </w:r>
      <w:r w:rsidRPr="005800D0">
        <w:rPr>
          <w:rFonts w:ascii="Verdana" w:hAnsi="Verdana"/>
          <w:spacing w:val="-8"/>
          <w:sz w:val="16"/>
          <w:szCs w:val="16"/>
        </w:rPr>
        <w:t xml:space="preserve"> </w:t>
      </w:r>
      <w:r w:rsidRPr="005800D0">
        <w:rPr>
          <w:rFonts w:ascii="Verdana" w:hAnsi="Verdana"/>
          <w:sz w:val="16"/>
          <w:szCs w:val="16"/>
        </w:rPr>
        <w:t>el</w:t>
      </w:r>
      <w:r w:rsidRPr="005800D0">
        <w:rPr>
          <w:rFonts w:ascii="Verdana" w:hAnsi="Verdana"/>
          <w:spacing w:val="-1"/>
          <w:sz w:val="16"/>
          <w:szCs w:val="16"/>
        </w:rPr>
        <w:t xml:space="preserve"> </w:t>
      </w:r>
      <w:r w:rsidRPr="005800D0">
        <w:rPr>
          <w:rFonts w:ascii="Verdana" w:hAnsi="Verdana"/>
          <w:sz w:val="16"/>
          <w:szCs w:val="16"/>
        </w:rPr>
        <w:t>artículo</w:t>
      </w:r>
      <w:r w:rsidRPr="005800D0">
        <w:rPr>
          <w:rFonts w:ascii="Verdana" w:hAnsi="Verdana"/>
          <w:spacing w:val="-9"/>
          <w:sz w:val="16"/>
          <w:szCs w:val="16"/>
        </w:rPr>
        <w:t xml:space="preserve"> </w:t>
      </w:r>
      <w:r w:rsidRPr="005800D0">
        <w:rPr>
          <w:rFonts w:ascii="Verdana" w:hAnsi="Verdana"/>
          <w:sz w:val="16"/>
          <w:szCs w:val="16"/>
        </w:rPr>
        <w:t>32</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7"/>
          <w:sz w:val="16"/>
          <w:szCs w:val="16"/>
        </w:rPr>
        <w:t xml:space="preserve"> </w:t>
      </w:r>
      <w:r w:rsidRPr="005800D0">
        <w:rPr>
          <w:rFonts w:ascii="Verdana" w:hAnsi="Verdana"/>
          <w:sz w:val="16"/>
          <w:szCs w:val="16"/>
        </w:rPr>
        <w:t>la Ley</w:t>
      </w:r>
      <w:r w:rsidRPr="005800D0">
        <w:rPr>
          <w:rFonts w:ascii="Verdana" w:hAnsi="Verdana"/>
          <w:spacing w:val="-7"/>
          <w:sz w:val="16"/>
          <w:szCs w:val="16"/>
        </w:rPr>
        <w:t xml:space="preserve"> </w:t>
      </w:r>
      <w:r w:rsidRPr="005800D0">
        <w:rPr>
          <w:rFonts w:ascii="Verdana" w:hAnsi="Verdana"/>
          <w:sz w:val="16"/>
          <w:szCs w:val="16"/>
        </w:rPr>
        <w:t>80</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2"/>
          <w:sz w:val="16"/>
          <w:szCs w:val="16"/>
        </w:rPr>
        <w:t xml:space="preserve"> </w:t>
      </w:r>
      <w:r w:rsidRPr="005800D0">
        <w:rPr>
          <w:rFonts w:ascii="Verdana" w:hAnsi="Verdana"/>
          <w:sz w:val="16"/>
          <w:szCs w:val="16"/>
        </w:rPr>
        <w:t>1993.</w:t>
      </w:r>
      <w:bookmarkEnd w:id="19"/>
    </w:p>
    <w:p w14:paraId="7781D05B" w14:textId="77777777" w:rsidR="00103317" w:rsidRPr="005800D0" w:rsidRDefault="00103317" w:rsidP="00103317">
      <w:pPr>
        <w:tabs>
          <w:tab w:val="left" w:pos="142"/>
          <w:tab w:val="left" w:pos="8789"/>
        </w:tabs>
        <w:spacing w:after="0" w:line="240" w:lineRule="auto"/>
        <w:ind w:right="49" w:firstLine="709"/>
        <w:contextualSpacing/>
        <w:jc w:val="both"/>
        <w:rPr>
          <w:rFonts w:ascii="Verdana" w:hAnsi="Verdana"/>
          <w:sz w:val="16"/>
          <w:szCs w:val="16"/>
        </w:rPr>
      </w:pPr>
    </w:p>
  </w:footnote>
  <w:footnote w:id="21">
    <w:p w14:paraId="4A232C5E" w14:textId="77777777" w:rsidR="00103317" w:rsidRDefault="00103317" w:rsidP="00103317">
      <w:pPr>
        <w:pStyle w:val="Textonotapie"/>
        <w:ind w:right="49" w:firstLine="709"/>
        <w:contextualSpacing/>
        <w:jc w:val="both"/>
        <w:rPr>
          <w:rFonts w:ascii="Verdana" w:hAnsi="Verdana"/>
          <w:sz w:val="16"/>
          <w:szCs w:val="16"/>
        </w:rPr>
      </w:pPr>
      <w:r w:rsidRPr="00195E24">
        <w:rPr>
          <w:rStyle w:val="Refdenotaalpie"/>
          <w:rFonts w:ascii="Verdana" w:hAnsi="Verdana"/>
          <w:sz w:val="16"/>
          <w:szCs w:val="16"/>
        </w:rPr>
        <w:footnoteRef/>
      </w:r>
      <w:r w:rsidRPr="00195E24">
        <w:rPr>
          <w:rFonts w:ascii="Verdana" w:hAnsi="Verdana"/>
          <w:sz w:val="16"/>
          <w:szCs w:val="16"/>
        </w:rPr>
        <w:t xml:space="preserve"> El artículo</w:t>
      </w:r>
      <w:r w:rsidRPr="00195E24">
        <w:rPr>
          <w:rFonts w:ascii="Verdana" w:hAnsi="Verdana"/>
          <w:spacing w:val="-2"/>
          <w:sz w:val="16"/>
          <w:szCs w:val="16"/>
        </w:rPr>
        <w:t xml:space="preserve"> </w:t>
      </w:r>
      <w:r w:rsidRPr="00195E24">
        <w:rPr>
          <w:rFonts w:ascii="Verdana" w:hAnsi="Verdana"/>
          <w:sz w:val="16"/>
          <w:szCs w:val="16"/>
        </w:rPr>
        <w:t>14</w:t>
      </w:r>
      <w:r w:rsidRPr="00195E24">
        <w:rPr>
          <w:rFonts w:ascii="Verdana" w:hAnsi="Verdana"/>
          <w:spacing w:val="-2"/>
          <w:sz w:val="16"/>
          <w:szCs w:val="16"/>
        </w:rPr>
        <w:t xml:space="preserve"> </w:t>
      </w:r>
      <w:r w:rsidRPr="00195E24">
        <w:rPr>
          <w:rFonts w:ascii="Verdana" w:hAnsi="Verdana"/>
          <w:sz w:val="16"/>
          <w:szCs w:val="16"/>
        </w:rPr>
        <w:t>original de la</w:t>
      </w:r>
      <w:r w:rsidRPr="00195E24">
        <w:rPr>
          <w:rFonts w:ascii="Verdana" w:hAnsi="Verdana"/>
          <w:spacing w:val="-1"/>
          <w:sz w:val="16"/>
          <w:szCs w:val="16"/>
        </w:rPr>
        <w:t xml:space="preserve"> </w:t>
      </w:r>
      <w:r w:rsidRPr="00195E24">
        <w:rPr>
          <w:rFonts w:ascii="Verdana" w:hAnsi="Verdana"/>
          <w:sz w:val="16"/>
          <w:szCs w:val="16"/>
        </w:rPr>
        <w:t>Ley 1150</w:t>
      </w:r>
      <w:r w:rsidRPr="00195E24">
        <w:rPr>
          <w:rFonts w:ascii="Verdana" w:hAnsi="Verdana"/>
          <w:spacing w:val="-2"/>
          <w:sz w:val="16"/>
          <w:szCs w:val="16"/>
        </w:rPr>
        <w:t xml:space="preserve"> </w:t>
      </w:r>
      <w:r w:rsidRPr="00195E24">
        <w:rPr>
          <w:rFonts w:ascii="Verdana" w:hAnsi="Verdana"/>
          <w:sz w:val="16"/>
          <w:szCs w:val="16"/>
        </w:rPr>
        <w:t>de 2007</w:t>
      </w:r>
      <w:r w:rsidRPr="00195E24">
        <w:rPr>
          <w:rFonts w:ascii="Verdana" w:hAnsi="Verdana"/>
          <w:spacing w:val="-2"/>
          <w:sz w:val="16"/>
          <w:szCs w:val="16"/>
        </w:rPr>
        <w:t xml:space="preserve"> </w:t>
      </w:r>
      <w:r w:rsidRPr="00195E24">
        <w:rPr>
          <w:rFonts w:ascii="Verdana" w:hAnsi="Verdana"/>
          <w:sz w:val="16"/>
          <w:szCs w:val="16"/>
        </w:rPr>
        <w:t>excluía</w:t>
      </w:r>
      <w:r w:rsidRPr="00195E24">
        <w:rPr>
          <w:rFonts w:ascii="Verdana" w:hAnsi="Verdana"/>
          <w:spacing w:val="-1"/>
          <w:sz w:val="16"/>
          <w:szCs w:val="16"/>
        </w:rPr>
        <w:t xml:space="preserve"> </w:t>
      </w:r>
      <w:r w:rsidRPr="00195E24">
        <w:rPr>
          <w:rFonts w:ascii="Verdana" w:hAnsi="Verdana"/>
          <w:sz w:val="16"/>
          <w:szCs w:val="16"/>
        </w:rPr>
        <w:t>además aquellas cuya</w:t>
      </w:r>
      <w:r w:rsidRPr="00195E24">
        <w:rPr>
          <w:rFonts w:ascii="Verdana" w:hAnsi="Verdana"/>
          <w:spacing w:val="-1"/>
          <w:sz w:val="16"/>
          <w:szCs w:val="16"/>
        </w:rPr>
        <w:t xml:space="preserve"> </w:t>
      </w:r>
      <w:r w:rsidRPr="00195E24">
        <w:rPr>
          <w:rFonts w:ascii="Verdana" w:hAnsi="Verdana"/>
          <w:sz w:val="16"/>
          <w:szCs w:val="16"/>
        </w:rPr>
        <w:t>actividad</w:t>
      </w:r>
      <w:r w:rsidRPr="00195E24">
        <w:rPr>
          <w:rFonts w:ascii="Verdana" w:hAnsi="Verdana"/>
          <w:spacing w:val="-5"/>
          <w:sz w:val="16"/>
          <w:szCs w:val="16"/>
        </w:rPr>
        <w:t xml:space="preserve"> </w:t>
      </w:r>
      <w:r w:rsidRPr="00195E24">
        <w:rPr>
          <w:rFonts w:ascii="Verdana" w:hAnsi="Verdana"/>
          <w:sz w:val="16"/>
          <w:szCs w:val="16"/>
        </w:rPr>
        <w:t>se realizaba en</w:t>
      </w:r>
      <w:r w:rsidRPr="00195E24">
        <w:rPr>
          <w:rFonts w:ascii="Verdana" w:hAnsi="Verdana"/>
          <w:spacing w:val="-6"/>
          <w:sz w:val="16"/>
          <w:szCs w:val="16"/>
        </w:rPr>
        <w:t xml:space="preserve"> </w:t>
      </w:r>
      <w:r w:rsidRPr="00195E24">
        <w:rPr>
          <w:rFonts w:ascii="Verdana" w:hAnsi="Verdana"/>
          <w:sz w:val="16"/>
          <w:szCs w:val="16"/>
        </w:rPr>
        <w:t>“mercados</w:t>
      </w:r>
      <w:r w:rsidRPr="00195E24">
        <w:rPr>
          <w:rFonts w:ascii="Verdana" w:hAnsi="Verdana"/>
          <w:spacing w:val="-3"/>
          <w:sz w:val="16"/>
          <w:szCs w:val="16"/>
        </w:rPr>
        <w:t xml:space="preserve"> </w:t>
      </w:r>
      <w:r w:rsidRPr="00195E24">
        <w:rPr>
          <w:rFonts w:ascii="Verdana" w:hAnsi="Verdana"/>
          <w:sz w:val="16"/>
          <w:szCs w:val="16"/>
        </w:rPr>
        <w:t>monopolísticos”,</w:t>
      </w:r>
      <w:r w:rsidRPr="00195E24">
        <w:rPr>
          <w:rFonts w:ascii="Verdana" w:hAnsi="Verdana"/>
          <w:spacing w:val="-2"/>
          <w:sz w:val="16"/>
          <w:szCs w:val="16"/>
        </w:rPr>
        <w:t xml:space="preserve"> </w:t>
      </w:r>
      <w:r w:rsidRPr="00195E24">
        <w:rPr>
          <w:rFonts w:ascii="Verdana" w:hAnsi="Verdana"/>
          <w:sz w:val="16"/>
          <w:szCs w:val="16"/>
        </w:rPr>
        <w:t>pero,</w:t>
      </w:r>
      <w:r w:rsidRPr="00195E24">
        <w:rPr>
          <w:rFonts w:ascii="Verdana" w:hAnsi="Verdana"/>
          <w:spacing w:val="-2"/>
          <w:sz w:val="16"/>
          <w:szCs w:val="16"/>
        </w:rPr>
        <w:t xml:space="preserve"> </w:t>
      </w:r>
      <w:r w:rsidRPr="00195E24">
        <w:rPr>
          <w:rFonts w:ascii="Verdana" w:hAnsi="Verdana"/>
          <w:sz w:val="16"/>
          <w:szCs w:val="16"/>
        </w:rPr>
        <w:t>con</w:t>
      </w:r>
      <w:r w:rsidRPr="00195E24">
        <w:rPr>
          <w:rFonts w:ascii="Verdana" w:hAnsi="Verdana"/>
          <w:spacing w:val="-5"/>
          <w:sz w:val="16"/>
          <w:szCs w:val="16"/>
        </w:rPr>
        <w:t xml:space="preserve"> </w:t>
      </w:r>
      <w:r w:rsidRPr="00195E24">
        <w:rPr>
          <w:rFonts w:ascii="Verdana" w:hAnsi="Verdana"/>
          <w:sz w:val="16"/>
          <w:szCs w:val="16"/>
        </w:rPr>
        <w:t>buen</w:t>
      </w:r>
      <w:r w:rsidRPr="00195E24">
        <w:rPr>
          <w:rFonts w:ascii="Verdana" w:hAnsi="Verdana"/>
          <w:spacing w:val="-6"/>
          <w:sz w:val="16"/>
          <w:szCs w:val="16"/>
        </w:rPr>
        <w:t xml:space="preserve"> </w:t>
      </w:r>
      <w:r w:rsidRPr="00195E24">
        <w:rPr>
          <w:rFonts w:ascii="Verdana" w:hAnsi="Verdana"/>
          <w:sz w:val="16"/>
          <w:szCs w:val="16"/>
        </w:rPr>
        <w:t>tino,</w:t>
      </w:r>
      <w:r w:rsidRPr="00195E24">
        <w:rPr>
          <w:rFonts w:ascii="Verdana" w:hAnsi="Verdana"/>
          <w:spacing w:val="-2"/>
          <w:sz w:val="16"/>
          <w:szCs w:val="16"/>
        </w:rPr>
        <w:t xml:space="preserve"> </w:t>
      </w:r>
      <w:r w:rsidRPr="00195E24">
        <w:rPr>
          <w:rFonts w:ascii="Verdana" w:hAnsi="Verdana"/>
          <w:sz w:val="16"/>
          <w:szCs w:val="16"/>
        </w:rPr>
        <w:t>se</w:t>
      </w:r>
      <w:r w:rsidRPr="00195E24">
        <w:rPr>
          <w:rFonts w:ascii="Verdana" w:hAnsi="Verdana"/>
          <w:spacing w:val="-4"/>
          <w:sz w:val="16"/>
          <w:szCs w:val="16"/>
        </w:rPr>
        <w:t xml:space="preserve"> </w:t>
      </w:r>
      <w:r w:rsidRPr="00195E24">
        <w:rPr>
          <w:rFonts w:ascii="Verdana" w:hAnsi="Verdana"/>
          <w:sz w:val="16"/>
          <w:szCs w:val="16"/>
        </w:rPr>
        <w:t>eliminó</w:t>
      </w:r>
      <w:r w:rsidRPr="00195E24">
        <w:rPr>
          <w:rFonts w:ascii="Verdana" w:hAnsi="Verdana"/>
          <w:spacing w:val="-6"/>
          <w:sz w:val="16"/>
          <w:szCs w:val="16"/>
        </w:rPr>
        <w:t xml:space="preserve"> </w:t>
      </w:r>
      <w:r w:rsidRPr="00195E24">
        <w:rPr>
          <w:rFonts w:ascii="Verdana" w:hAnsi="Verdana"/>
          <w:sz w:val="16"/>
          <w:szCs w:val="16"/>
        </w:rPr>
        <w:t>en</w:t>
      </w:r>
      <w:r w:rsidRPr="00195E24">
        <w:rPr>
          <w:rFonts w:ascii="Verdana" w:hAnsi="Verdana"/>
          <w:spacing w:val="-6"/>
          <w:sz w:val="16"/>
          <w:szCs w:val="16"/>
        </w:rPr>
        <w:t xml:space="preserve"> </w:t>
      </w:r>
      <w:r w:rsidRPr="00195E24">
        <w:rPr>
          <w:rFonts w:ascii="Verdana" w:hAnsi="Verdana"/>
          <w:sz w:val="16"/>
          <w:szCs w:val="16"/>
        </w:rPr>
        <w:t>el</w:t>
      </w:r>
      <w:r w:rsidRPr="00195E24">
        <w:rPr>
          <w:rFonts w:ascii="Verdana" w:hAnsi="Verdana"/>
          <w:spacing w:val="-3"/>
          <w:sz w:val="16"/>
          <w:szCs w:val="16"/>
        </w:rPr>
        <w:t xml:space="preserve"> </w:t>
      </w:r>
      <w:r w:rsidRPr="00195E24">
        <w:rPr>
          <w:rFonts w:ascii="Verdana" w:hAnsi="Verdana"/>
          <w:sz w:val="16"/>
          <w:szCs w:val="16"/>
        </w:rPr>
        <w:t>artículo</w:t>
      </w:r>
      <w:r w:rsidRPr="00195E24">
        <w:rPr>
          <w:rFonts w:ascii="Verdana" w:hAnsi="Verdana"/>
          <w:spacing w:val="-6"/>
          <w:sz w:val="16"/>
          <w:szCs w:val="16"/>
        </w:rPr>
        <w:t xml:space="preserve"> </w:t>
      </w:r>
      <w:r w:rsidRPr="00195E24">
        <w:rPr>
          <w:rFonts w:ascii="Verdana" w:hAnsi="Verdana"/>
          <w:sz w:val="16"/>
          <w:szCs w:val="16"/>
        </w:rPr>
        <w:t>93</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la</w:t>
      </w:r>
      <w:r w:rsidRPr="00195E24">
        <w:rPr>
          <w:rFonts w:ascii="Verdana" w:hAnsi="Verdana"/>
          <w:spacing w:val="-5"/>
          <w:sz w:val="16"/>
          <w:szCs w:val="16"/>
        </w:rPr>
        <w:t xml:space="preserve"> </w:t>
      </w:r>
      <w:r w:rsidRPr="00195E24">
        <w:rPr>
          <w:rFonts w:ascii="Verdana" w:hAnsi="Verdana"/>
          <w:sz w:val="16"/>
          <w:szCs w:val="16"/>
        </w:rPr>
        <w:t>Ley</w:t>
      </w:r>
      <w:r w:rsidRPr="00195E24">
        <w:rPr>
          <w:rFonts w:ascii="Verdana" w:hAnsi="Verdana"/>
          <w:spacing w:val="-4"/>
          <w:sz w:val="16"/>
          <w:szCs w:val="16"/>
        </w:rPr>
        <w:t xml:space="preserve"> </w:t>
      </w:r>
      <w:r w:rsidRPr="00195E24">
        <w:rPr>
          <w:rFonts w:ascii="Verdana" w:hAnsi="Verdana"/>
          <w:sz w:val="16"/>
          <w:szCs w:val="16"/>
        </w:rPr>
        <w:t>1474</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2011,</w:t>
      </w:r>
      <w:r w:rsidRPr="00195E24">
        <w:rPr>
          <w:rFonts w:ascii="Verdana" w:hAnsi="Verdana"/>
          <w:spacing w:val="-2"/>
          <w:sz w:val="16"/>
          <w:szCs w:val="16"/>
        </w:rPr>
        <w:t xml:space="preserve"> </w:t>
      </w:r>
      <w:r w:rsidRPr="00195E24">
        <w:rPr>
          <w:rFonts w:ascii="Verdana" w:hAnsi="Verdana"/>
          <w:sz w:val="16"/>
          <w:szCs w:val="16"/>
        </w:rPr>
        <w:t>pues en ese caso no se está en presencia de los fundamentos que soportan la excepción de no aplicar el Estatuto General de Contratación de la Administración Pública, cual es la “competencia y el libre juego del mercado”.</w:t>
      </w:r>
    </w:p>
    <w:p w14:paraId="4269EEFC" w14:textId="77777777" w:rsidR="00103317" w:rsidRPr="00195E24" w:rsidRDefault="00103317" w:rsidP="00103317">
      <w:pPr>
        <w:pStyle w:val="Textonotapie"/>
        <w:ind w:right="49" w:firstLine="709"/>
        <w:contextualSpacing/>
        <w:jc w:val="both"/>
        <w:rPr>
          <w:rFonts w:ascii="Verdana" w:hAnsi="Verdana"/>
          <w:sz w:val="16"/>
          <w:szCs w:val="16"/>
        </w:rPr>
      </w:pPr>
    </w:p>
  </w:footnote>
  <w:footnote w:id="22">
    <w:p w14:paraId="75021568" w14:textId="77777777" w:rsidR="00103317" w:rsidRDefault="00103317" w:rsidP="00103317">
      <w:pPr>
        <w:spacing w:after="0" w:line="240" w:lineRule="auto"/>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20 de febrero de 2006. Radicación Número: 11001-03-06-000-2006-00026-00 (1727). </w:t>
      </w:r>
      <w:r>
        <w:rPr>
          <w:rFonts w:ascii="Verdana" w:hAnsi="Verdana" w:cs="Arial"/>
          <w:color w:val="000000" w:themeColor="text1"/>
          <w:sz w:val="16"/>
          <w:szCs w:val="16"/>
        </w:rPr>
        <w:t>C.P</w:t>
      </w:r>
      <w:r w:rsidRPr="00195E24">
        <w:rPr>
          <w:rFonts w:ascii="Verdana" w:hAnsi="Verdana" w:cs="Arial"/>
          <w:color w:val="000000" w:themeColor="text1"/>
          <w:sz w:val="16"/>
          <w:szCs w:val="16"/>
        </w:rPr>
        <w:t>: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236A166" w14:textId="77777777" w:rsidR="00CE0712" w:rsidRPr="005800D0" w:rsidRDefault="00CE0712" w:rsidP="00103317">
      <w:pPr>
        <w:spacing w:after="0" w:line="240" w:lineRule="auto"/>
        <w:ind w:firstLine="709"/>
        <w:contextualSpacing/>
        <w:jc w:val="both"/>
        <w:rPr>
          <w:rFonts w:ascii="Verdana" w:hAnsi="Verdana" w:cs="Arial"/>
          <w:color w:val="000000" w:themeColor="text1"/>
          <w:sz w:val="16"/>
          <w:szCs w:val="16"/>
        </w:rPr>
      </w:pPr>
    </w:p>
  </w:footnote>
  <w:footnote w:id="23">
    <w:p w14:paraId="6BFC2B24" w14:textId="77777777" w:rsidR="00103317" w:rsidRPr="00195E24" w:rsidRDefault="00103317" w:rsidP="00103317">
      <w:pPr>
        <w:pStyle w:val="Textonotapie"/>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6 de abril de 2006. Radicación Número: 11001-03-06-000-2006-00038-00 (1738). </w:t>
      </w:r>
      <w:r>
        <w:rPr>
          <w:rFonts w:ascii="Verdana" w:hAnsi="Verdana" w:cs="Arial"/>
          <w:color w:val="000000" w:themeColor="text1"/>
          <w:sz w:val="16"/>
          <w:szCs w:val="16"/>
        </w:rPr>
        <w:t>C.P:</w:t>
      </w:r>
      <w:r w:rsidRPr="00195E24">
        <w:rPr>
          <w:rFonts w:ascii="Verdana" w:hAnsi="Verdana" w:cs="Arial"/>
          <w:color w:val="000000" w:themeColor="text1"/>
          <w:sz w:val="16"/>
          <w:szCs w:val="16"/>
        </w:rPr>
        <w:t xml:space="preserve"> Enrique José Arboleda Perdomo:</w:t>
      </w:r>
      <w:r w:rsidRPr="00195E24">
        <w:rPr>
          <w:rFonts w:ascii="Verdana" w:eastAsia="Times New Roman" w:hAnsi="Verdana" w:cs="Arial"/>
          <w:bCs/>
          <w:color w:val="000000" w:themeColor="text1"/>
          <w:sz w:val="16"/>
          <w:szCs w:val="16"/>
          <w:lang w:eastAsia="x-none"/>
        </w:rPr>
        <w:t xml:space="preserve"> </w:t>
      </w:r>
      <w:bookmarkStart w:id="20" w:name="_Hlk97890572"/>
      <w:r>
        <w:rPr>
          <w:rFonts w:ascii="Verdana" w:eastAsia="Times New Roman" w:hAnsi="Verdana" w:cs="Arial"/>
          <w:bCs/>
          <w:color w:val="000000" w:themeColor="text1"/>
          <w:sz w:val="16"/>
          <w:szCs w:val="16"/>
          <w:lang w:eastAsia="x-none"/>
        </w:rPr>
        <w:t>“</w:t>
      </w:r>
      <w:r w:rsidRPr="00195E24">
        <w:rPr>
          <w:rFonts w:ascii="Verdana" w:hAnsi="Verdana" w:cs="Arial"/>
          <w:color w:val="000000" w:themeColor="text1"/>
          <w:sz w:val="16"/>
          <w:szCs w:val="16"/>
        </w:rPr>
        <w:t xml:space="preserve">Si bien en el tema del concepto del que se extractaron </w:t>
      </w:r>
      <w:bookmarkEnd w:id="20"/>
      <w:r w:rsidRPr="00195E24">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color w:val="000000" w:themeColor="text1"/>
          <w:sz w:val="16"/>
          <w:szCs w:val="16"/>
          <w:lang w:eastAsia="x-none"/>
        </w:rPr>
        <w:t>”</w:t>
      </w:r>
      <w:r w:rsidRPr="00195E24">
        <w:rPr>
          <w:rFonts w:ascii="Verdana" w:eastAsia="Times New Roman" w:hAnsi="Verdana" w:cs="Arial"/>
          <w:bCs/>
          <w:color w:val="000000" w:themeColor="text1"/>
          <w:sz w:val="16"/>
          <w:szCs w:val="16"/>
          <w:lang w:eastAsia="x-none"/>
        </w:rPr>
        <w:t>.</w:t>
      </w:r>
    </w:p>
  </w:footnote>
  <w:footnote w:id="24">
    <w:p w14:paraId="441007BA" w14:textId="77777777" w:rsidR="00103317" w:rsidRDefault="00103317" w:rsidP="00103317">
      <w:pPr>
        <w:spacing w:after="0" w:line="240" w:lineRule="auto"/>
        <w:ind w:firstLine="708"/>
        <w:contextualSpacing/>
        <w:jc w:val="both"/>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Concepto de 6 de abril de 2006. Radicación Número: 11001-03-06-000-2006-00038-00(1738). C</w:t>
      </w:r>
      <w:r>
        <w:rPr>
          <w:rFonts w:ascii="Verdana" w:hAnsi="Verdana" w:cs="Arial"/>
          <w:color w:val="000000" w:themeColor="text1"/>
          <w:sz w:val="16"/>
          <w:szCs w:val="16"/>
        </w:rPr>
        <w:t xml:space="preserve">.P: </w:t>
      </w:r>
      <w:r w:rsidRPr="005800D0">
        <w:rPr>
          <w:rFonts w:ascii="Verdana" w:hAnsi="Verdana" w:cs="Arial"/>
          <w:color w:val="000000" w:themeColor="text1"/>
          <w:sz w:val="16"/>
          <w:szCs w:val="16"/>
        </w:rPr>
        <w:t xml:space="preserve">Enrique José Arboleda Perdomo. </w:t>
      </w:r>
    </w:p>
    <w:p w14:paraId="360549F4" w14:textId="77777777" w:rsidR="00103317" w:rsidRPr="005800D0" w:rsidRDefault="00103317" w:rsidP="00103317">
      <w:pPr>
        <w:spacing w:after="0" w:line="240" w:lineRule="auto"/>
        <w:ind w:firstLine="708"/>
        <w:contextualSpacing/>
        <w:jc w:val="both"/>
        <w:rPr>
          <w:rFonts w:ascii="Verdana" w:hAnsi="Verdana" w:cs="Arial"/>
          <w:color w:val="000000" w:themeColor="text1"/>
          <w:sz w:val="16"/>
          <w:szCs w:val="16"/>
        </w:rPr>
      </w:pPr>
    </w:p>
  </w:footnote>
  <w:footnote w:id="25">
    <w:p w14:paraId="03F2F840" w14:textId="77777777" w:rsidR="00103317" w:rsidRPr="005800D0" w:rsidRDefault="00103317" w:rsidP="00103317">
      <w:pPr>
        <w:pStyle w:val="Textonotapie"/>
        <w:ind w:firstLine="709"/>
        <w:contextualSpacing/>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8941967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A7345"/>
    <w:rsid w:val="000B15D0"/>
    <w:rsid w:val="000B19B9"/>
    <w:rsid w:val="000D0334"/>
    <w:rsid w:val="000D5DA7"/>
    <w:rsid w:val="000F6486"/>
    <w:rsid w:val="00103317"/>
    <w:rsid w:val="00116940"/>
    <w:rsid w:val="00125105"/>
    <w:rsid w:val="00127233"/>
    <w:rsid w:val="0015699B"/>
    <w:rsid w:val="00183C24"/>
    <w:rsid w:val="001A33BF"/>
    <w:rsid w:val="001E4177"/>
    <w:rsid w:val="001F0B24"/>
    <w:rsid w:val="001F7DC6"/>
    <w:rsid w:val="0022400B"/>
    <w:rsid w:val="002421BB"/>
    <w:rsid w:val="0025796E"/>
    <w:rsid w:val="002707A2"/>
    <w:rsid w:val="00272C1A"/>
    <w:rsid w:val="00286DC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6BD3"/>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01DB"/>
    <w:rsid w:val="005566E8"/>
    <w:rsid w:val="005746B3"/>
    <w:rsid w:val="00574867"/>
    <w:rsid w:val="00591460"/>
    <w:rsid w:val="005A65E0"/>
    <w:rsid w:val="005C0AEA"/>
    <w:rsid w:val="005C3777"/>
    <w:rsid w:val="005C5CDC"/>
    <w:rsid w:val="005D476C"/>
    <w:rsid w:val="00601DC2"/>
    <w:rsid w:val="006200BF"/>
    <w:rsid w:val="006219F8"/>
    <w:rsid w:val="006302F7"/>
    <w:rsid w:val="00646B9F"/>
    <w:rsid w:val="00665D70"/>
    <w:rsid w:val="006900D9"/>
    <w:rsid w:val="006F1103"/>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4AD4"/>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4CB4"/>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0C0C"/>
    <w:rsid w:val="00CE0712"/>
    <w:rsid w:val="00D361FD"/>
    <w:rsid w:val="00D423A2"/>
    <w:rsid w:val="00D44E26"/>
    <w:rsid w:val="00D520D8"/>
    <w:rsid w:val="00D63AC2"/>
    <w:rsid w:val="00D7383B"/>
    <w:rsid w:val="00D7788A"/>
    <w:rsid w:val="00DA231B"/>
    <w:rsid w:val="00DB3A0F"/>
    <w:rsid w:val="00DC3470"/>
    <w:rsid w:val="00DC39FC"/>
    <w:rsid w:val="00DE29D0"/>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0BB6"/>
    <w:rsid w:val="00F462B3"/>
    <w:rsid w:val="00F5664F"/>
    <w:rsid w:val="00F666C4"/>
    <w:rsid w:val="00F76AFC"/>
    <w:rsid w:val="00FA2A9A"/>
    <w:rsid w:val="00FA47C0"/>
    <w:rsid w:val="00FB5DD1"/>
    <w:rsid w:val="00FC2B5D"/>
    <w:rsid w:val="00FF1449"/>
    <w:rsid w:val="00FF7963"/>
    <w:rsid w:val="08AD9C5B"/>
    <w:rsid w:val="09908A09"/>
    <w:rsid w:val="13CFC91B"/>
    <w:rsid w:val="19A2EC2C"/>
    <w:rsid w:val="2859CA1B"/>
    <w:rsid w:val="32A4F9CF"/>
    <w:rsid w:val="356CEDFD"/>
    <w:rsid w:val="475D7007"/>
    <w:rsid w:val="684DF7C5"/>
    <w:rsid w:val="69614A15"/>
    <w:rsid w:val="73D21086"/>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03317"/>
    <w:rPr>
      <w:rFonts w:ascii="Geomanist Light" w:hAnsi="Geomanist Light"/>
      <w:lang w:val="es-ES"/>
    </w:rPr>
  </w:style>
  <w:style w:type="paragraph" w:customStyle="1" w:styleId="Appelnotedebasde">
    <w:name w:val="Appel note de bas de..."/>
    <w:basedOn w:val="Normal"/>
    <w:link w:val="Refdenotaalpie"/>
    <w:uiPriority w:val="99"/>
    <w:rsid w:val="00103317"/>
    <w:pPr>
      <w:spacing w:line="240" w:lineRule="exact"/>
    </w:pPr>
    <w:rPr>
      <w:vertAlign w:val="superscript"/>
    </w:rPr>
  </w:style>
  <w:style w:type="character" w:customStyle="1" w:styleId="NormalWebCar">
    <w:name w:val="Normal (Web) Car"/>
    <w:link w:val="NormalWeb"/>
    <w:uiPriority w:val="99"/>
    <w:locked/>
    <w:rsid w:val="00103317"/>
    <w:rPr>
      <w:rFonts w:ascii="Times New Roman" w:eastAsia="Times New Roman" w:hAnsi="Times New Roman" w:cs="Times New Roman"/>
      <w:sz w:val="24"/>
      <w:szCs w:val="24"/>
      <w:lang w:eastAsia="es-CO"/>
    </w:rPr>
  </w:style>
  <w:style w:type="character" w:customStyle="1" w:styleId="baj">
    <w:name w:val="b_aj"/>
    <w:basedOn w:val="Fuentedeprrafopredeter"/>
    <w:rsid w:val="001033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au.96f@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4D0FF98B-17D0-4C1B-9498-6E1C3E23FF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32</TotalTime>
  <Pages>21</Pages>
  <Words>7293</Words>
  <Characters>40114</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2025-11-21T19:20:00Z</dcterms:created>
  <dcterms:modified xsi:type="dcterms:W3CDTF">2025-11-24T15:22:00Z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