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80F604" w14:textId="77777777" w:rsidR="00E87C1D" w:rsidRPr="00101DE6" w:rsidRDefault="00E87C1D" w:rsidP="00E87C1D">
      <w:pPr>
        <w:tabs>
          <w:tab w:val="left" w:pos="426"/>
        </w:tabs>
        <w:snapToGrid w:val="0"/>
        <w:spacing w:after="0" w:line="240" w:lineRule="auto"/>
        <w:contextualSpacing/>
        <w:jc w:val="both"/>
        <w:rPr>
          <w:rFonts w:ascii="Verdana" w:hAnsi="Verdana" w:cs="Arial"/>
          <w:b/>
          <w:bCs/>
          <w:lang w:val="es-ES" w:eastAsia="es-ES"/>
        </w:rPr>
      </w:pPr>
      <w:bookmarkStart w:id="0" w:name="_Hlk215673488"/>
      <w:r w:rsidRPr="00101DE6">
        <w:rPr>
          <w:rFonts w:ascii="Verdana" w:hAnsi="Verdana" w:cs="Arial"/>
          <w:b/>
          <w:bCs/>
          <w:lang w:val="es-ES" w:eastAsia="es-ES"/>
        </w:rPr>
        <w:t>LEY DE GARANTÍAS ELECTORALES – Finalidad</w:t>
      </w:r>
    </w:p>
    <w:p w14:paraId="5B6AD82F" w14:textId="77777777" w:rsidR="00E87C1D" w:rsidRDefault="00E87C1D" w:rsidP="00E87C1D">
      <w:pPr>
        <w:tabs>
          <w:tab w:val="left" w:pos="426"/>
        </w:tabs>
        <w:snapToGrid w:val="0"/>
        <w:spacing w:after="0" w:line="240" w:lineRule="auto"/>
        <w:contextualSpacing/>
        <w:jc w:val="both"/>
        <w:rPr>
          <w:rFonts w:ascii="Verdana" w:eastAsia="Times New Roman" w:hAnsi="Verdana" w:cs="Arial"/>
          <w:sz w:val="20"/>
          <w:szCs w:val="20"/>
          <w:lang w:val="es-ES" w:eastAsia="es-CO"/>
        </w:rPr>
      </w:pPr>
    </w:p>
    <w:p w14:paraId="2CF47005" w14:textId="77777777" w:rsidR="00E87C1D" w:rsidRPr="00E93F26" w:rsidRDefault="00E87C1D" w:rsidP="00E87C1D">
      <w:pPr>
        <w:tabs>
          <w:tab w:val="left" w:pos="426"/>
        </w:tabs>
        <w:snapToGrid w:val="0"/>
        <w:spacing w:after="0" w:line="240" w:lineRule="auto"/>
        <w:contextualSpacing/>
        <w:jc w:val="both"/>
        <w:rPr>
          <w:rFonts w:ascii="Verdana" w:hAnsi="Verdana" w:cs="Arial"/>
          <w:sz w:val="20"/>
          <w:szCs w:val="20"/>
          <w:lang w:val="es-ES"/>
        </w:rPr>
      </w:pPr>
      <w:r w:rsidRPr="00E93F26">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E93F26">
        <w:rPr>
          <w:rFonts w:ascii="Verdana" w:hAnsi="Verdana" w:cs="Arial"/>
          <w:sz w:val="20"/>
          <w:szCs w:val="20"/>
          <w:lang w:val="es-ES"/>
        </w:rPr>
        <w:t xml:space="preserve"> </w:t>
      </w:r>
    </w:p>
    <w:p w14:paraId="387A4DB4" w14:textId="77777777" w:rsidR="00E87C1D" w:rsidRPr="00E93F26" w:rsidRDefault="00E87C1D" w:rsidP="00E87C1D">
      <w:pPr>
        <w:snapToGrid w:val="0"/>
        <w:spacing w:after="0" w:line="240" w:lineRule="auto"/>
        <w:contextualSpacing/>
        <w:jc w:val="both"/>
        <w:rPr>
          <w:rFonts w:ascii="Verdana" w:hAnsi="Verdana" w:cs="Arial"/>
          <w:sz w:val="20"/>
          <w:szCs w:val="20"/>
          <w:lang w:val="es-ES" w:eastAsia="es-ES"/>
        </w:rPr>
      </w:pPr>
    </w:p>
    <w:p w14:paraId="4703BCB8" w14:textId="77777777" w:rsidR="00E87C1D" w:rsidRPr="00E93F26" w:rsidRDefault="00E87C1D" w:rsidP="00E87C1D">
      <w:pPr>
        <w:snapToGrid w:val="0"/>
        <w:contextualSpacing/>
        <w:jc w:val="both"/>
        <w:rPr>
          <w:rFonts w:ascii="Verdana" w:hAnsi="Verdana" w:cs="Arial"/>
          <w:b/>
          <w:bCs/>
          <w:sz w:val="20"/>
          <w:szCs w:val="20"/>
          <w:lang w:val="es-ES" w:eastAsia="es-ES"/>
        </w:rPr>
      </w:pPr>
      <w:r w:rsidRPr="00E93F26">
        <w:rPr>
          <w:rFonts w:ascii="Verdana" w:hAnsi="Verdana" w:cs="Arial"/>
          <w:b/>
          <w:bCs/>
          <w:lang w:val="es-ES" w:eastAsia="es-ES"/>
        </w:rPr>
        <w:t>LEY DE GARANTÍAS ELECTORALES ‒ Restricciones ‒ Contratación ‒ Tipos de elección</w:t>
      </w:r>
    </w:p>
    <w:p w14:paraId="756BBFDF" w14:textId="77777777" w:rsidR="00E87C1D" w:rsidRPr="00E93F26" w:rsidRDefault="00E87C1D" w:rsidP="00E87C1D">
      <w:pPr>
        <w:snapToGrid w:val="0"/>
        <w:spacing w:after="0" w:line="240" w:lineRule="auto"/>
        <w:contextualSpacing/>
        <w:jc w:val="both"/>
        <w:rPr>
          <w:rFonts w:ascii="Verdana" w:hAnsi="Verdana" w:cs="Arial"/>
          <w:sz w:val="20"/>
          <w:szCs w:val="20"/>
          <w:lang w:val="es-ES" w:eastAsia="es-ES"/>
        </w:rPr>
      </w:pPr>
    </w:p>
    <w:p w14:paraId="41ACD6D5" w14:textId="77777777" w:rsidR="00E87C1D" w:rsidRPr="00B02636" w:rsidRDefault="00E87C1D" w:rsidP="00E87C1D">
      <w:pPr>
        <w:snapToGrid w:val="0"/>
        <w:spacing w:after="0" w:line="240" w:lineRule="auto"/>
        <w:contextualSpacing/>
        <w:jc w:val="both"/>
        <w:rPr>
          <w:rFonts w:ascii="Verdana" w:eastAsia="Times New Roman" w:hAnsi="Verdana" w:cs="Arial"/>
          <w:sz w:val="20"/>
          <w:szCs w:val="20"/>
          <w:lang w:val="es-ES" w:eastAsia="es-CO"/>
        </w:rPr>
      </w:pPr>
      <w:r w:rsidRPr="00B02636">
        <w:rPr>
          <w:rFonts w:ascii="Verdana" w:eastAsia="Times New Roman" w:hAnsi="Verdana" w:cs="Arial"/>
          <w:sz w:val="20"/>
          <w:szCs w:val="20"/>
          <w:lang w:val="es-ES" w:eastAsia="es-CO"/>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EBA76EF" w14:textId="77777777" w:rsidR="00E87C1D" w:rsidRPr="00B02636" w:rsidRDefault="00E87C1D" w:rsidP="00E87C1D">
      <w:pPr>
        <w:snapToGrid w:val="0"/>
        <w:spacing w:after="0" w:line="240" w:lineRule="auto"/>
        <w:contextualSpacing/>
        <w:jc w:val="both"/>
        <w:rPr>
          <w:rFonts w:ascii="Verdana" w:eastAsia="Times New Roman" w:hAnsi="Verdana" w:cs="Arial"/>
          <w:sz w:val="20"/>
          <w:szCs w:val="20"/>
          <w:lang w:val="es-ES" w:eastAsia="es-CO"/>
        </w:rPr>
      </w:pPr>
    </w:p>
    <w:p w14:paraId="72716239" w14:textId="77777777" w:rsidR="00E87C1D" w:rsidRPr="00B02636" w:rsidRDefault="00E87C1D" w:rsidP="00E87C1D">
      <w:pPr>
        <w:widowControl w:val="0"/>
        <w:autoSpaceDE w:val="0"/>
        <w:autoSpaceDN w:val="0"/>
        <w:snapToGrid w:val="0"/>
        <w:spacing w:after="0" w:line="240" w:lineRule="auto"/>
        <w:ind w:right="113"/>
        <w:contextualSpacing/>
        <w:jc w:val="both"/>
        <w:rPr>
          <w:rFonts w:ascii="Verdana" w:eastAsia="Times New Roman" w:hAnsi="Verdana" w:cs="Arial"/>
          <w:sz w:val="20"/>
          <w:szCs w:val="20"/>
          <w:lang w:val="es-ES" w:eastAsia="es-CO"/>
        </w:rPr>
      </w:pPr>
      <w:r w:rsidRPr="00B02636">
        <w:rPr>
          <w:rFonts w:ascii="Verdana" w:eastAsia="Times New Roman" w:hAnsi="Verdana" w:cs="Arial"/>
          <w:sz w:val="20"/>
          <w:szCs w:val="20"/>
          <w:lang w:val="es-ES" w:eastAsia="es-CO"/>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02D215C7" w14:textId="77777777" w:rsidR="00E87C1D" w:rsidRPr="00E93F26" w:rsidRDefault="00E87C1D" w:rsidP="00E87C1D">
      <w:pPr>
        <w:snapToGrid w:val="0"/>
        <w:spacing w:after="0" w:line="240" w:lineRule="auto"/>
        <w:contextualSpacing/>
        <w:jc w:val="both"/>
        <w:rPr>
          <w:rFonts w:ascii="Verdana" w:hAnsi="Verdana" w:cs="Arial"/>
          <w:sz w:val="20"/>
          <w:szCs w:val="20"/>
          <w:lang w:val="es-ES" w:eastAsia="es-ES"/>
        </w:rPr>
      </w:pPr>
    </w:p>
    <w:p w14:paraId="509A2A84" w14:textId="77777777" w:rsidR="00E87C1D" w:rsidRPr="00E93F26" w:rsidRDefault="00E87C1D" w:rsidP="00E87C1D">
      <w:pPr>
        <w:snapToGrid w:val="0"/>
        <w:spacing w:after="0" w:line="240" w:lineRule="auto"/>
        <w:contextualSpacing/>
        <w:jc w:val="both"/>
        <w:rPr>
          <w:rFonts w:ascii="Verdana" w:hAnsi="Verdana" w:cs="Arial"/>
          <w:b/>
          <w:bCs/>
          <w:lang w:val="es-ES" w:eastAsia="es-ES"/>
        </w:rPr>
      </w:pPr>
      <w:r w:rsidRPr="00E93F26">
        <w:rPr>
          <w:rFonts w:ascii="Verdana" w:hAnsi="Verdana" w:cs="Arial"/>
          <w:b/>
          <w:bCs/>
          <w:lang w:val="es-ES" w:eastAsia="es-ES"/>
        </w:rPr>
        <w:t>LEY DE GARANTÍAS ELECTORALES ‒ Artículo 33 ‒ Ámbito material</w:t>
      </w:r>
    </w:p>
    <w:p w14:paraId="455DDEC6" w14:textId="77777777" w:rsidR="00E87C1D" w:rsidRPr="00E93F26" w:rsidRDefault="00E87C1D" w:rsidP="00E87C1D">
      <w:pPr>
        <w:snapToGrid w:val="0"/>
        <w:spacing w:after="0" w:line="240" w:lineRule="auto"/>
        <w:contextualSpacing/>
        <w:jc w:val="both"/>
        <w:rPr>
          <w:rFonts w:ascii="Verdana" w:eastAsia="Times New Roman" w:hAnsi="Verdana" w:cs="Arial"/>
          <w:sz w:val="20"/>
          <w:szCs w:val="20"/>
          <w:lang w:val="es-ES"/>
        </w:rPr>
      </w:pPr>
    </w:p>
    <w:p w14:paraId="3D383416" w14:textId="77777777" w:rsidR="00E87C1D" w:rsidRPr="00E93F26" w:rsidRDefault="00E87C1D" w:rsidP="00E87C1D">
      <w:pPr>
        <w:snapToGrid w:val="0"/>
        <w:spacing w:after="0" w:line="240" w:lineRule="auto"/>
        <w:contextualSpacing/>
        <w:jc w:val="both"/>
        <w:rPr>
          <w:rFonts w:ascii="Verdana" w:eastAsia="Times New Roman" w:hAnsi="Verdana" w:cs="Arial"/>
          <w:sz w:val="20"/>
          <w:szCs w:val="20"/>
          <w:lang w:val="es-ES"/>
        </w:rPr>
      </w:pPr>
      <w:r w:rsidRPr="00E93F26">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E93F26">
        <w:rPr>
          <w:rFonts w:ascii="Verdana" w:eastAsia="Times New Roman" w:hAnsi="Verdana" w:cs="Arial"/>
          <w:i/>
          <w:iCs/>
          <w:sz w:val="20"/>
          <w:szCs w:val="20"/>
          <w:lang w:val="es-ES"/>
        </w:rPr>
        <w:t>cualquier contrato o convenio de forma directa</w:t>
      </w:r>
      <w:r w:rsidRPr="00E93F26">
        <w:rPr>
          <w:rFonts w:ascii="Verdana" w:eastAsia="Times New Roman" w:hAnsi="Verdana" w:cs="Arial"/>
          <w:sz w:val="20"/>
          <w:szCs w:val="20"/>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03307E2" w14:textId="77777777" w:rsidR="00E87C1D" w:rsidRPr="00E93F26" w:rsidRDefault="00E87C1D" w:rsidP="00E87C1D">
      <w:pPr>
        <w:snapToGrid w:val="0"/>
        <w:spacing w:after="0" w:line="240" w:lineRule="auto"/>
        <w:contextualSpacing/>
        <w:jc w:val="both"/>
        <w:rPr>
          <w:rFonts w:ascii="Verdana" w:hAnsi="Verdana" w:cs="Arial"/>
          <w:sz w:val="20"/>
          <w:szCs w:val="20"/>
          <w:lang w:val="es-ES" w:eastAsia="es-ES"/>
        </w:rPr>
      </w:pPr>
    </w:p>
    <w:p w14:paraId="30C2456A" w14:textId="77777777" w:rsidR="00E87C1D" w:rsidRPr="00E93F26" w:rsidRDefault="00E87C1D" w:rsidP="00E87C1D">
      <w:pPr>
        <w:snapToGrid w:val="0"/>
        <w:spacing w:after="0" w:line="240" w:lineRule="auto"/>
        <w:contextualSpacing/>
        <w:jc w:val="both"/>
        <w:rPr>
          <w:rFonts w:ascii="Verdana" w:eastAsia="Arial" w:hAnsi="Verdana" w:cs="Arial"/>
          <w:b/>
          <w:bCs/>
          <w:color w:val="000000" w:themeColor="text1"/>
        </w:rPr>
      </w:pPr>
      <w:r w:rsidRPr="00E93F26">
        <w:rPr>
          <w:rFonts w:ascii="Verdana" w:hAnsi="Verdana" w:cs="Arial"/>
          <w:b/>
          <w:bCs/>
          <w:lang w:val="es-ES" w:eastAsia="es-ES"/>
        </w:rPr>
        <w:t xml:space="preserve">LEY DE GARANTÍAS ELECTORALES ‒ Aplicación ‒ excepciones ‒ </w:t>
      </w:r>
      <w:r w:rsidRPr="001C630B">
        <w:rPr>
          <w:rFonts w:ascii="Verdana" w:hAnsi="Verdana" w:cs="Arial"/>
          <w:b/>
          <w:bCs/>
          <w:lang w:val="es-ES" w:eastAsia="es-ES"/>
        </w:rPr>
        <w:t>contratos de prestación de servicios profesionales y/o de apoyo a la gestión</w:t>
      </w:r>
    </w:p>
    <w:p w14:paraId="27EDC4F5" w14:textId="77777777" w:rsidR="00E87C1D" w:rsidRPr="00E93F26" w:rsidRDefault="00E87C1D" w:rsidP="00E87C1D">
      <w:pPr>
        <w:spacing w:after="0"/>
        <w:rPr>
          <w:rFonts w:ascii="Verdana" w:hAnsi="Verdana"/>
          <w:lang w:val="es-ES"/>
        </w:rPr>
      </w:pPr>
    </w:p>
    <w:p w14:paraId="67A9AF7C" w14:textId="77777777" w:rsidR="00E87C1D" w:rsidRPr="00101DE6" w:rsidRDefault="00E87C1D" w:rsidP="00E87C1D">
      <w:pPr>
        <w:spacing w:after="0" w:line="240" w:lineRule="auto"/>
        <w:jc w:val="both"/>
        <w:rPr>
          <w:rFonts w:ascii="Verdana" w:hAnsi="Verdana" w:cs="Arial"/>
          <w:bCs/>
          <w:color w:val="000000" w:themeColor="text1"/>
          <w:sz w:val="20"/>
          <w:szCs w:val="20"/>
        </w:rPr>
      </w:pPr>
      <w:r w:rsidRPr="001C630B">
        <w:rPr>
          <w:rFonts w:ascii="Verdana" w:hAnsi="Verdana" w:cs="Arial"/>
          <w:bCs/>
          <w:color w:val="000000" w:themeColor="text1"/>
          <w:sz w:val="20"/>
          <w:szCs w:val="20"/>
          <w:lang w:val="es-ES"/>
        </w:rPr>
        <w:lastRenderedPageBreak/>
        <w:t>Particularmente, al confrontar el catálogo de excepciones con los contratos directos —particularmente los contratos de prestación de servicios profesionales y/o de apoyo a la gestión— a los que se hace referencia en la presente solicitud, se advierte que dichos contratos no encuadran en ninguno de los supuestos exceptuados por el inciso segundo del artículo 33 de la Ley 996 de 2005. Por lo tanto, al no estar expresamente excluidos del ámbito de la prohibición, tales contratos se encuentran comprendidos en la restricción general a la contratación directa durante los cuatro (4) meses previos a las elecciones, lo que implica que su celebración en ese periodo resulta jurídicamente improcedente.</w:t>
      </w:r>
    </w:p>
    <w:p w14:paraId="73BE28FF" w14:textId="77777777" w:rsidR="00E87C1D" w:rsidRPr="00E93F26" w:rsidRDefault="00E87C1D" w:rsidP="00E87C1D">
      <w:pPr>
        <w:spacing w:after="0"/>
        <w:rPr>
          <w:rFonts w:ascii="Verdana" w:hAnsi="Verdana"/>
          <w:lang w:val="es-ES"/>
        </w:rPr>
      </w:pPr>
    </w:p>
    <w:p w14:paraId="6137AFA0" w14:textId="77777777" w:rsidR="00E87C1D" w:rsidRDefault="00E87C1D" w:rsidP="00E87C1D">
      <w:pPr>
        <w:spacing w:after="0" w:line="240" w:lineRule="auto"/>
        <w:jc w:val="both"/>
        <w:rPr>
          <w:rFonts w:ascii="Verdana" w:hAnsi="Verdana" w:cs="Arial"/>
          <w:b/>
          <w:lang w:val="es-MX" w:eastAsia="es-ES_tradnl"/>
        </w:rPr>
      </w:pPr>
      <w:r>
        <w:rPr>
          <w:rFonts w:ascii="Verdana" w:hAnsi="Verdana" w:cs="Arial"/>
          <w:b/>
          <w:lang w:val="es-MX" w:eastAsia="es-ES_tradnl"/>
        </w:rPr>
        <w:t>CONTRATOS Y CONVENIOS INTERADMINISTRATIVOS – Definición – Criterio orgánico</w:t>
      </w:r>
    </w:p>
    <w:p w14:paraId="30598A08" w14:textId="77777777" w:rsidR="00E87C1D" w:rsidRPr="0035449A" w:rsidRDefault="00E87C1D" w:rsidP="00E87C1D">
      <w:pPr>
        <w:spacing w:after="0" w:line="240" w:lineRule="auto"/>
        <w:jc w:val="both"/>
        <w:rPr>
          <w:rFonts w:ascii="Verdana" w:hAnsi="Verdana" w:cs="Arial"/>
          <w:b/>
          <w:lang w:val="es-MX" w:eastAsia="es-ES_tradnl"/>
        </w:rPr>
      </w:pPr>
    </w:p>
    <w:p w14:paraId="761126E0" w14:textId="77777777" w:rsidR="00E87C1D" w:rsidRDefault="00E87C1D" w:rsidP="00E87C1D">
      <w:pPr>
        <w:spacing w:after="0" w:line="240" w:lineRule="auto"/>
        <w:jc w:val="both"/>
        <w:rPr>
          <w:rFonts w:ascii="Verdana" w:hAnsi="Verdana" w:cs="Arial"/>
          <w:sz w:val="20"/>
          <w:szCs w:val="20"/>
          <w:lang w:eastAsia="es-ES"/>
        </w:rPr>
      </w:pPr>
      <w:r w:rsidRPr="0035449A">
        <w:rPr>
          <w:rFonts w:ascii="Verdana" w:eastAsia="Times New Roman" w:hAnsi="Verdana" w:cs="Arial"/>
          <w:sz w:val="20"/>
          <w:szCs w:val="20"/>
          <w:lang w:val="es-ES" w:eastAsia="es-ES_tradnl"/>
        </w:rPr>
        <w:t xml:space="preserve">Debe precisarse que </w:t>
      </w:r>
      <w:r w:rsidRPr="0035449A">
        <w:rPr>
          <w:rFonts w:ascii="Verdana" w:eastAsia="Times New Roman" w:hAnsi="Verdana" w:cs="Arial"/>
          <w:color w:val="000000" w:themeColor="text1"/>
          <w:sz w:val="20"/>
          <w:szCs w:val="20"/>
          <w:lang w:val="es-ES" w:eastAsia="es-CO"/>
        </w:rPr>
        <w:t xml:space="preserve">los contratos o convenios interadministrativos están determinados por un criterio orgánico, pues es necesario que los extremos de la relación contractual sean entidades públicas, </w:t>
      </w:r>
      <w:r w:rsidRPr="0035449A">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0B0D54A4" w14:textId="77777777" w:rsidR="00E87C1D" w:rsidRDefault="00E87C1D" w:rsidP="00E87C1D">
      <w:pPr>
        <w:spacing w:after="0" w:line="240" w:lineRule="auto"/>
        <w:jc w:val="both"/>
        <w:rPr>
          <w:rFonts w:ascii="Verdana" w:eastAsia="Arial" w:hAnsi="Verdana" w:cs="Arial"/>
          <w:sz w:val="20"/>
          <w:lang w:val="es-MX" w:eastAsia="es-ES" w:bidi="es-ES"/>
        </w:rPr>
      </w:pPr>
      <w:r>
        <w:rPr>
          <w:rFonts w:ascii="Verdana" w:eastAsia="Arial" w:hAnsi="Verdana" w:cs="Arial"/>
          <w:sz w:val="20"/>
          <w:lang w:val="es-MX" w:eastAsia="es-ES" w:bidi="es-ES"/>
        </w:rPr>
        <w:t>[…]</w:t>
      </w:r>
    </w:p>
    <w:p w14:paraId="1974D566" w14:textId="77777777" w:rsidR="00E87C1D" w:rsidRPr="0035449A" w:rsidRDefault="00E87C1D" w:rsidP="00E87C1D">
      <w:pPr>
        <w:spacing w:after="0" w:line="240" w:lineRule="auto"/>
        <w:jc w:val="both"/>
        <w:rPr>
          <w:rFonts w:ascii="Verdana" w:hAnsi="Verdana" w:cs="Arial"/>
          <w:sz w:val="20"/>
          <w:szCs w:val="20"/>
          <w:lang w:eastAsia="es-ES"/>
        </w:rPr>
      </w:pPr>
    </w:p>
    <w:p w14:paraId="322B57E9" w14:textId="77777777" w:rsidR="00E87C1D" w:rsidRPr="0035449A" w:rsidRDefault="00E87C1D" w:rsidP="00E87C1D">
      <w:pPr>
        <w:spacing w:after="0" w:line="240" w:lineRule="auto"/>
        <w:jc w:val="both"/>
        <w:rPr>
          <w:rFonts w:ascii="Verdana" w:hAnsi="Verdana"/>
          <w:sz w:val="20"/>
          <w:szCs w:val="20"/>
          <w:lang w:eastAsia="es-CO"/>
        </w:rPr>
      </w:pPr>
      <w:r w:rsidRPr="0035449A">
        <w:rPr>
          <w:rFonts w:ascii="Verdana" w:hAnsi="Verdana" w:cs="Arial"/>
          <w:sz w:val="20"/>
          <w:szCs w:val="20"/>
          <w:lang w:val="es-ES_tradnl"/>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 pues, de acuerdo con lo anotado, esta clase de acuerdos de voluntades se definen por un criterio orgánico, por lo que uno de sus elementos esenciales es que en los extremos de la relación jurídico negocial concurran personas de derecho público</w:t>
      </w:r>
      <w:r w:rsidRPr="0035449A">
        <w:rPr>
          <w:rFonts w:ascii="Verdana" w:hAnsi="Verdana"/>
          <w:sz w:val="20"/>
          <w:szCs w:val="20"/>
          <w:lang w:eastAsia="es-CO"/>
        </w:rPr>
        <w:t>.</w:t>
      </w:r>
    </w:p>
    <w:p w14:paraId="43D865C7" w14:textId="77777777" w:rsidR="00E87C1D" w:rsidRDefault="00E87C1D" w:rsidP="00E87C1D">
      <w:pPr>
        <w:spacing w:after="0"/>
        <w:jc w:val="both"/>
        <w:rPr>
          <w:rFonts w:ascii="Verdana" w:hAnsi="Verdana" w:cs="Arial"/>
          <w:sz w:val="20"/>
          <w:lang w:bidi="es-ES"/>
        </w:rPr>
      </w:pPr>
    </w:p>
    <w:p w14:paraId="5FC55EDB" w14:textId="77777777" w:rsidR="00E87C1D" w:rsidRDefault="00E87C1D" w:rsidP="00E87C1D">
      <w:pPr>
        <w:spacing w:after="0"/>
        <w:jc w:val="both"/>
        <w:rPr>
          <w:rFonts w:ascii="Verdana" w:hAnsi="Verdana"/>
          <w:b/>
        </w:rPr>
      </w:pPr>
      <w:r>
        <w:rPr>
          <w:rFonts w:ascii="Verdana" w:hAnsi="Verdana" w:cs="Arial"/>
          <w:b/>
          <w:lang w:val="es-MX" w:eastAsia="es-ES_tradnl"/>
        </w:rPr>
        <w:t>CONTRATOS Y CONVENIOS INTERADMINISTRATIVOS – Circular Externa Única – Auto de suspensión – Consejo de Estado</w:t>
      </w:r>
    </w:p>
    <w:p w14:paraId="31D4D00D" w14:textId="77777777" w:rsidR="00E87C1D" w:rsidRDefault="00E87C1D" w:rsidP="00E87C1D">
      <w:pPr>
        <w:spacing w:after="0"/>
        <w:jc w:val="both"/>
        <w:rPr>
          <w:rFonts w:ascii="Verdana" w:hAnsi="Verdana"/>
          <w:b/>
        </w:rPr>
      </w:pPr>
    </w:p>
    <w:p w14:paraId="4C3E4A0E" w14:textId="77777777" w:rsidR="00E87C1D" w:rsidRDefault="00E87C1D" w:rsidP="00E87C1D">
      <w:pPr>
        <w:spacing w:after="0" w:line="240" w:lineRule="auto"/>
        <w:jc w:val="both"/>
        <w:rPr>
          <w:rFonts w:ascii="Verdana" w:hAnsi="Verdana"/>
          <w:sz w:val="18"/>
          <w:szCs w:val="20"/>
        </w:rPr>
      </w:pPr>
      <w:r>
        <w:rPr>
          <w:rFonts w:ascii="Verdana" w:eastAsia="Arial" w:hAnsi="Verdana" w:cs="Arial"/>
          <w:sz w:val="20"/>
          <w:lang w:val="es-MX" w:eastAsia="es-ES" w:bidi="es-ES"/>
        </w:rPr>
        <w:t xml:space="preserve">[…] conviene señalar que, mediante auto de 4 de octubre del 2024, el Consejo de Estado, Sección Tercera, decretó medida de suspensión provisional parcial del </w:t>
      </w:r>
      <w:r>
        <w:rPr>
          <w:rFonts w:ascii="Verdana" w:hAnsi="Verdana"/>
          <w:sz w:val="20"/>
        </w:rPr>
        <w:t>numeral 16.2 de la Circular Externa Única de 2022 expedida por la Agencia Nacional de Contratación Pública -Colombia Compra Eficiente-, concretamente, respecto de los siguientes apartes normativos</w:t>
      </w:r>
      <w:r>
        <w:rPr>
          <w:rFonts w:ascii="Verdana" w:hAnsi="Verdana"/>
          <w:sz w:val="18"/>
          <w:szCs w:val="20"/>
        </w:rPr>
        <w:t xml:space="preserve">. </w:t>
      </w:r>
      <w:r>
        <w:rPr>
          <w:rFonts w:ascii="Verdana" w:eastAsia="Arial" w:hAnsi="Verdana" w:cs="Arial"/>
          <w:sz w:val="20"/>
          <w:lang w:val="es-MX" w:eastAsia="es-ES" w:bidi="es-ES"/>
        </w:rPr>
        <w:t>[…]</w:t>
      </w:r>
    </w:p>
    <w:p w14:paraId="0CABD1EE" w14:textId="77777777" w:rsidR="00E87C1D" w:rsidRDefault="00E87C1D" w:rsidP="00E87C1D">
      <w:pPr>
        <w:spacing w:after="0" w:line="240" w:lineRule="auto"/>
        <w:jc w:val="both"/>
        <w:rPr>
          <w:rFonts w:ascii="Verdana" w:hAnsi="Verdana"/>
          <w:sz w:val="18"/>
          <w:szCs w:val="20"/>
        </w:rPr>
      </w:pPr>
    </w:p>
    <w:p w14:paraId="36A15EF2" w14:textId="77777777" w:rsidR="00E87C1D" w:rsidRPr="0035449A" w:rsidRDefault="00E87C1D" w:rsidP="00E87C1D">
      <w:pPr>
        <w:spacing w:after="0" w:line="240" w:lineRule="auto"/>
        <w:jc w:val="both"/>
        <w:rPr>
          <w:rFonts w:ascii="Verdana" w:hAnsi="Verdana"/>
          <w:sz w:val="18"/>
          <w:szCs w:val="20"/>
        </w:rPr>
      </w:pPr>
      <w:r w:rsidRPr="0035449A">
        <w:rPr>
          <w:rFonts w:ascii="Verdana" w:hAnsi="Verdana"/>
          <w:sz w:val="20"/>
        </w:rPr>
        <w:t>De igual manera, mediante auto del 6 de noviembre de 2025, el Consejo de Estado, Subsección A de la Sección Tercera, decretó</w:t>
      </w:r>
      <w:r w:rsidRPr="0035449A">
        <w:rPr>
          <w:rFonts w:ascii="Verdana" w:hAnsi="Verdana"/>
          <w:b/>
          <w:bCs/>
          <w:sz w:val="20"/>
        </w:rPr>
        <w:t xml:space="preserve"> </w:t>
      </w:r>
      <w:r w:rsidRPr="0035449A">
        <w:rPr>
          <w:rFonts w:ascii="Verdana" w:hAnsi="Verdana"/>
          <w:sz w:val="20"/>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w:t>
      </w:r>
      <w:r w:rsidRPr="0035449A">
        <w:rPr>
          <w:rFonts w:ascii="Verdana" w:hAnsi="Verdana"/>
          <w:sz w:val="20"/>
        </w:rPr>
        <w:lastRenderedPageBreak/>
        <w:t xml:space="preserve">38 de la Ley 996 de 2005, por manera que se excluye la analogía </w:t>
      </w:r>
      <w:proofErr w:type="spellStart"/>
      <w:r w:rsidRPr="0035449A">
        <w:rPr>
          <w:rFonts w:ascii="Verdana" w:hAnsi="Verdana"/>
          <w:sz w:val="20"/>
        </w:rPr>
        <w:t>legis</w:t>
      </w:r>
      <w:proofErr w:type="spellEnd"/>
      <w:r w:rsidRPr="0035449A">
        <w:rPr>
          <w:rFonts w:ascii="Verdana" w:hAnsi="Verdana"/>
          <w:sz w:val="20"/>
        </w:rPr>
        <w:t xml:space="preserve"> o iuris y la interpretación extensiva y reiteró los argumentos sobre la diferencia entre contratos y convenios interadministrativos</w:t>
      </w:r>
    </w:p>
    <w:p w14:paraId="67C42854" w14:textId="77777777" w:rsidR="00E87C1D" w:rsidRPr="00817382" w:rsidRDefault="00E87C1D" w:rsidP="00E87C1D">
      <w:pPr>
        <w:spacing w:after="0" w:line="240" w:lineRule="auto"/>
        <w:rPr>
          <w:rFonts w:ascii="Verdana" w:eastAsia="Geomanist Light" w:hAnsi="Verdana" w:cs="Arial"/>
          <w:color w:val="000000" w:themeColor="text1"/>
          <w:lang w:val="es-ES_tradnl"/>
        </w:rPr>
      </w:pPr>
    </w:p>
    <w:p w14:paraId="6B4C041E" w14:textId="77777777" w:rsidR="00E87C1D" w:rsidRDefault="00E87C1D" w:rsidP="00E87C1D">
      <w:pPr>
        <w:spacing w:after="0" w:line="240" w:lineRule="auto"/>
        <w:jc w:val="both"/>
        <w:rPr>
          <w:rFonts w:ascii="Verdana" w:hAnsi="Verdana"/>
          <w:sz w:val="18"/>
          <w:szCs w:val="20"/>
        </w:rPr>
      </w:pPr>
      <w:r>
        <w:rPr>
          <w:rFonts w:ascii="Verdana" w:eastAsia="Arial" w:hAnsi="Verdana" w:cs="Arial"/>
          <w:sz w:val="20"/>
          <w:lang w:val="es-MX" w:eastAsia="es-ES" w:bidi="es-ES"/>
        </w:rPr>
        <w:t>[…]</w:t>
      </w:r>
    </w:p>
    <w:p w14:paraId="5E46D86D" w14:textId="77777777" w:rsidR="00E87C1D" w:rsidRPr="00817382" w:rsidRDefault="00E87C1D" w:rsidP="00E87C1D">
      <w:pPr>
        <w:spacing w:after="0" w:line="240" w:lineRule="auto"/>
        <w:rPr>
          <w:rFonts w:ascii="Verdana" w:eastAsia="Geomanist Light" w:hAnsi="Verdana" w:cs="Arial"/>
          <w:color w:val="000000" w:themeColor="text1"/>
          <w:lang w:val="es-ES_tradnl"/>
        </w:rPr>
      </w:pPr>
    </w:p>
    <w:p w14:paraId="5EE9AC3B" w14:textId="77777777" w:rsidR="00E87C1D" w:rsidRPr="00E80185" w:rsidRDefault="00E87C1D" w:rsidP="00E87C1D">
      <w:pPr>
        <w:spacing w:after="0" w:line="240" w:lineRule="auto"/>
        <w:jc w:val="both"/>
        <w:rPr>
          <w:rFonts w:ascii="Verdana" w:hAnsi="Verdana"/>
          <w:sz w:val="20"/>
        </w:rPr>
      </w:pPr>
      <w:r w:rsidRPr="00E80185">
        <w:rPr>
          <w:rFonts w:ascii="Verdana" w:hAnsi="Verdana"/>
          <w:sz w:val="20"/>
        </w:rPr>
        <w:t xml:space="preserve">Así las cosas, a la luz de lo expuesto por el Consejo de Estado en los autos del 4 de octubre de 2024 y 6 de noviembre de 2025, no resultaría aplicable la prohibición del parágrafo del artículo 38 de la Ley de Garantías Electorales a los contratos interadministrativos. </w:t>
      </w:r>
    </w:p>
    <w:p w14:paraId="45813D15" w14:textId="77777777" w:rsidR="00E87C1D" w:rsidRDefault="00E87C1D" w:rsidP="00E87C1D">
      <w:pPr>
        <w:spacing w:after="0" w:line="240" w:lineRule="auto"/>
        <w:rPr>
          <w:rFonts w:ascii="Verdana" w:eastAsia="Geomanist Light" w:hAnsi="Verdana" w:cs="Arial"/>
          <w:color w:val="000000" w:themeColor="text1"/>
          <w:lang w:val="es-MX"/>
        </w:rPr>
      </w:pPr>
    </w:p>
    <w:p w14:paraId="0A112CD1" w14:textId="77777777" w:rsidR="00E87C1D" w:rsidRDefault="00E87C1D" w:rsidP="00E87C1D">
      <w:pPr>
        <w:spacing w:after="0" w:line="240" w:lineRule="auto"/>
        <w:rPr>
          <w:rFonts w:ascii="Verdana" w:eastAsia="Geomanist Light" w:hAnsi="Verdana" w:cs="Arial"/>
          <w:color w:val="000000" w:themeColor="text1"/>
          <w:lang w:val="es-MX"/>
        </w:rPr>
      </w:pPr>
    </w:p>
    <w:p w14:paraId="4FF10DC4" w14:textId="77777777" w:rsidR="00E87C1D" w:rsidRDefault="00E87C1D" w:rsidP="00E87C1D">
      <w:pPr>
        <w:spacing w:after="0" w:line="240" w:lineRule="auto"/>
        <w:rPr>
          <w:rFonts w:ascii="Verdana" w:eastAsia="Geomanist Light" w:hAnsi="Verdana" w:cs="Arial"/>
          <w:color w:val="000000" w:themeColor="text1"/>
          <w:lang w:val="es-MX"/>
        </w:rPr>
      </w:pPr>
    </w:p>
    <w:p w14:paraId="6DA9E8C0" w14:textId="77777777" w:rsidR="00E87C1D" w:rsidRDefault="00E87C1D" w:rsidP="00E87C1D">
      <w:pPr>
        <w:spacing w:after="0" w:line="240" w:lineRule="auto"/>
        <w:rPr>
          <w:rFonts w:ascii="Verdana" w:eastAsia="Geomanist Light" w:hAnsi="Verdana" w:cs="Arial"/>
          <w:color w:val="000000" w:themeColor="text1"/>
          <w:lang w:val="es-MX"/>
        </w:rPr>
      </w:pPr>
    </w:p>
    <w:p w14:paraId="2A52F1B5" w14:textId="77777777" w:rsidR="00E87C1D" w:rsidRDefault="00E87C1D" w:rsidP="00E87C1D">
      <w:pPr>
        <w:spacing w:after="0" w:line="240" w:lineRule="auto"/>
        <w:rPr>
          <w:rFonts w:ascii="Verdana" w:eastAsia="Geomanist Light" w:hAnsi="Verdana" w:cs="Arial"/>
          <w:color w:val="000000" w:themeColor="text1"/>
          <w:lang w:val="es-MX"/>
        </w:rPr>
      </w:pPr>
    </w:p>
    <w:p w14:paraId="4B0F6C38" w14:textId="77777777" w:rsidR="00E87C1D" w:rsidRDefault="00E87C1D" w:rsidP="00E87C1D">
      <w:pPr>
        <w:spacing w:after="0" w:line="240" w:lineRule="auto"/>
        <w:rPr>
          <w:rFonts w:ascii="Verdana" w:eastAsia="Geomanist Light" w:hAnsi="Verdana" w:cs="Arial"/>
          <w:color w:val="000000" w:themeColor="text1"/>
          <w:lang w:val="es-MX"/>
        </w:rPr>
      </w:pPr>
    </w:p>
    <w:p w14:paraId="29B7746A" w14:textId="77777777" w:rsidR="00E87C1D" w:rsidRDefault="00E87C1D" w:rsidP="00E87C1D">
      <w:pPr>
        <w:spacing w:after="0" w:line="240" w:lineRule="auto"/>
        <w:rPr>
          <w:rFonts w:ascii="Verdana" w:eastAsia="Geomanist Light" w:hAnsi="Verdana" w:cs="Arial"/>
          <w:color w:val="000000" w:themeColor="text1"/>
          <w:lang w:val="es-MX"/>
        </w:rPr>
      </w:pPr>
    </w:p>
    <w:p w14:paraId="7DF9D8B3" w14:textId="77777777" w:rsidR="00E87C1D" w:rsidRDefault="00E87C1D" w:rsidP="00E87C1D">
      <w:pPr>
        <w:spacing w:after="0" w:line="240" w:lineRule="auto"/>
        <w:rPr>
          <w:rFonts w:ascii="Verdana" w:eastAsia="Geomanist Light" w:hAnsi="Verdana" w:cs="Arial"/>
          <w:color w:val="000000" w:themeColor="text1"/>
          <w:lang w:val="es-MX"/>
        </w:rPr>
      </w:pPr>
    </w:p>
    <w:p w14:paraId="74FB5531" w14:textId="77777777" w:rsidR="00E87C1D" w:rsidRDefault="00E87C1D" w:rsidP="00E87C1D">
      <w:pPr>
        <w:spacing w:after="0" w:line="240" w:lineRule="auto"/>
        <w:rPr>
          <w:rFonts w:ascii="Verdana" w:eastAsia="Geomanist Light" w:hAnsi="Verdana" w:cs="Arial"/>
          <w:color w:val="000000" w:themeColor="text1"/>
          <w:lang w:val="es-MX"/>
        </w:rPr>
      </w:pPr>
    </w:p>
    <w:p w14:paraId="690036E7" w14:textId="77777777" w:rsidR="00E87C1D" w:rsidRDefault="00E87C1D" w:rsidP="00E87C1D">
      <w:pPr>
        <w:spacing w:after="0" w:line="240" w:lineRule="auto"/>
        <w:rPr>
          <w:rFonts w:ascii="Verdana" w:eastAsia="Geomanist Light" w:hAnsi="Verdana" w:cs="Arial"/>
          <w:color w:val="000000" w:themeColor="text1"/>
          <w:lang w:val="es-MX"/>
        </w:rPr>
      </w:pPr>
    </w:p>
    <w:p w14:paraId="484730BB" w14:textId="77777777" w:rsidR="00E87C1D" w:rsidRDefault="00E87C1D" w:rsidP="00E87C1D">
      <w:pPr>
        <w:spacing w:after="0" w:line="240" w:lineRule="auto"/>
        <w:rPr>
          <w:rFonts w:ascii="Verdana" w:eastAsia="Geomanist Light" w:hAnsi="Verdana" w:cs="Arial"/>
          <w:color w:val="000000" w:themeColor="text1"/>
          <w:lang w:val="es-MX"/>
        </w:rPr>
      </w:pPr>
    </w:p>
    <w:p w14:paraId="6E255697" w14:textId="77777777" w:rsidR="00E87C1D" w:rsidRDefault="00E87C1D" w:rsidP="00E87C1D">
      <w:pPr>
        <w:spacing w:after="0" w:line="240" w:lineRule="auto"/>
        <w:rPr>
          <w:rFonts w:ascii="Verdana" w:eastAsia="Geomanist Light" w:hAnsi="Verdana" w:cs="Arial"/>
          <w:color w:val="000000" w:themeColor="text1"/>
          <w:lang w:val="es-MX"/>
        </w:rPr>
      </w:pPr>
    </w:p>
    <w:p w14:paraId="2977C4D6" w14:textId="77777777" w:rsidR="00E87C1D" w:rsidRDefault="00E87C1D" w:rsidP="00E87C1D">
      <w:pPr>
        <w:spacing w:after="0" w:line="240" w:lineRule="auto"/>
        <w:rPr>
          <w:rFonts w:ascii="Verdana" w:eastAsia="Geomanist Light" w:hAnsi="Verdana" w:cs="Arial"/>
          <w:color w:val="000000" w:themeColor="text1"/>
          <w:lang w:val="es-MX"/>
        </w:rPr>
      </w:pPr>
    </w:p>
    <w:p w14:paraId="72C70175" w14:textId="77777777" w:rsidR="00E87C1D" w:rsidRDefault="00E87C1D" w:rsidP="00E87C1D">
      <w:pPr>
        <w:spacing w:after="0" w:line="240" w:lineRule="auto"/>
        <w:rPr>
          <w:rFonts w:ascii="Verdana" w:eastAsia="Geomanist Light" w:hAnsi="Verdana" w:cs="Arial"/>
          <w:color w:val="000000" w:themeColor="text1"/>
          <w:lang w:val="es-MX"/>
        </w:rPr>
      </w:pPr>
    </w:p>
    <w:p w14:paraId="578FDCCA" w14:textId="77777777" w:rsidR="00E87C1D" w:rsidRDefault="00E87C1D" w:rsidP="00E87C1D">
      <w:pPr>
        <w:spacing w:after="0" w:line="240" w:lineRule="auto"/>
        <w:rPr>
          <w:rFonts w:ascii="Verdana" w:eastAsia="Geomanist Light" w:hAnsi="Verdana" w:cs="Arial"/>
          <w:color w:val="000000" w:themeColor="text1"/>
          <w:lang w:val="es-MX"/>
        </w:rPr>
      </w:pPr>
    </w:p>
    <w:p w14:paraId="451611D1" w14:textId="77777777" w:rsidR="00E87C1D" w:rsidRDefault="00E87C1D" w:rsidP="00E87C1D">
      <w:pPr>
        <w:spacing w:after="0" w:line="240" w:lineRule="auto"/>
        <w:rPr>
          <w:rFonts w:ascii="Verdana" w:eastAsia="Geomanist Light" w:hAnsi="Verdana" w:cs="Arial"/>
          <w:color w:val="000000" w:themeColor="text1"/>
          <w:lang w:val="es-MX"/>
        </w:rPr>
      </w:pPr>
    </w:p>
    <w:p w14:paraId="7AB64FFF" w14:textId="77777777" w:rsidR="00E87C1D" w:rsidRDefault="00E87C1D" w:rsidP="00E87C1D">
      <w:pPr>
        <w:spacing w:after="0" w:line="240" w:lineRule="auto"/>
        <w:rPr>
          <w:rFonts w:ascii="Verdana" w:eastAsia="Geomanist Light" w:hAnsi="Verdana" w:cs="Arial"/>
          <w:color w:val="000000" w:themeColor="text1"/>
          <w:lang w:val="es-MX"/>
        </w:rPr>
      </w:pPr>
    </w:p>
    <w:p w14:paraId="3F27D802" w14:textId="77777777" w:rsidR="00E87C1D" w:rsidRDefault="00E87C1D" w:rsidP="00E87C1D">
      <w:pPr>
        <w:spacing w:after="0" w:line="240" w:lineRule="auto"/>
        <w:rPr>
          <w:rFonts w:ascii="Verdana" w:eastAsia="Geomanist Light" w:hAnsi="Verdana" w:cs="Arial"/>
          <w:color w:val="000000" w:themeColor="text1"/>
          <w:lang w:val="es-MX"/>
        </w:rPr>
      </w:pPr>
    </w:p>
    <w:p w14:paraId="76968DA1" w14:textId="77777777" w:rsidR="00E87C1D" w:rsidRDefault="00E87C1D" w:rsidP="00E87C1D">
      <w:pPr>
        <w:spacing w:after="0" w:line="240" w:lineRule="auto"/>
        <w:rPr>
          <w:rFonts w:ascii="Verdana" w:eastAsia="Geomanist Light" w:hAnsi="Verdana" w:cs="Arial"/>
          <w:color w:val="000000" w:themeColor="text1"/>
          <w:lang w:val="es-MX"/>
        </w:rPr>
      </w:pPr>
    </w:p>
    <w:p w14:paraId="08C44F94" w14:textId="77777777" w:rsidR="00E87C1D" w:rsidRDefault="00E87C1D" w:rsidP="00E87C1D">
      <w:pPr>
        <w:spacing w:after="0" w:line="240" w:lineRule="auto"/>
        <w:rPr>
          <w:rFonts w:ascii="Verdana" w:eastAsia="Geomanist Light" w:hAnsi="Verdana" w:cs="Arial"/>
          <w:color w:val="000000" w:themeColor="text1"/>
          <w:lang w:val="es-MX"/>
        </w:rPr>
      </w:pPr>
    </w:p>
    <w:p w14:paraId="6E2D9E6E" w14:textId="77777777" w:rsidR="00E87C1D" w:rsidRDefault="00E87C1D" w:rsidP="00E87C1D">
      <w:pPr>
        <w:spacing w:after="0" w:line="240" w:lineRule="auto"/>
        <w:rPr>
          <w:rFonts w:ascii="Verdana" w:eastAsia="Geomanist Light" w:hAnsi="Verdana" w:cs="Arial"/>
          <w:color w:val="000000" w:themeColor="text1"/>
          <w:lang w:val="es-MX"/>
        </w:rPr>
      </w:pPr>
    </w:p>
    <w:p w14:paraId="6723CE9B" w14:textId="77777777" w:rsidR="00E87C1D" w:rsidRDefault="00E87C1D" w:rsidP="00E87C1D">
      <w:pPr>
        <w:spacing w:after="0" w:line="240" w:lineRule="auto"/>
        <w:rPr>
          <w:rFonts w:ascii="Verdana" w:eastAsia="Geomanist Light" w:hAnsi="Verdana" w:cs="Arial"/>
          <w:color w:val="000000" w:themeColor="text1"/>
          <w:lang w:val="es-MX"/>
        </w:rPr>
      </w:pPr>
    </w:p>
    <w:p w14:paraId="63B9F8D5" w14:textId="77777777" w:rsidR="00E87C1D" w:rsidRDefault="00E87C1D" w:rsidP="00E87C1D">
      <w:pPr>
        <w:spacing w:after="0" w:line="240" w:lineRule="auto"/>
        <w:rPr>
          <w:rFonts w:ascii="Verdana" w:eastAsia="Geomanist Light" w:hAnsi="Verdana" w:cs="Arial"/>
          <w:color w:val="000000" w:themeColor="text1"/>
          <w:lang w:val="es-MX"/>
        </w:rPr>
      </w:pPr>
    </w:p>
    <w:p w14:paraId="708BEC20" w14:textId="77777777" w:rsidR="00E87C1D" w:rsidRDefault="00E87C1D" w:rsidP="00E87C1D">
      <w:pPr>
        <w:spacing w:after="0" w:line="240" w:lineRule="auto"/>
        <w:rPr>
          <w:rFonts w:ascii="Verdana" w:eastAsia="Geomanist Light" w:hAnsi="Verdana" w:cs="Arial"/>
          <w:color w:val="000000" w:themeColor="text1"/>
          <w:lang w:val="es-MX"/>
        </w:rPr>
      </w:pPr>
    </w:p>
    <w:p w14:paraId="42EE8548" w14:textId="77777777" w:rsidR="00E87C1D" w:rsidRDefault="00E87C1D" w:rsidP="00E87C1D">
      <w:pPr>
        <w:spacing w:after="0" w:line="240" w:lineRule="auto"/>
        <w:contextualSpacing/>
        <w:rPr>
          <w:rFonts w:ascii="Verdana" w:eastAsia="Times New Roman" w:hAnsi="Verdana" w:cs="Arial"/>
          <w:lang w:eastAsia="es-ES_tradnl"/>
        </w:rPr>
      </w:pPr>
    </w:p>
    <w:p w14:paraId="537BE629" w14:textId="77777777" w:rsidR="00E87C1D" w:rsidRDefault="00E87C1D" w:rsidP="00E87C1D">
      <w:pPr>
        <w:spacing w:after="0" w:line="240" w:lineRule="auto"/>
        <w:contextualSpacing/>
        <w:jc w:val="both"/>
        <w:rPr>
          <w:rFonts w:ascii="Verdana" w:hAnsi="Verdana"/>
        </w:rPr>
      </w:pPr>
    </w:p>
    <w:p w14:paraId="533985EA" w14:textId="77777777" w:rsidR="00E87C1D" w:rsidRDefault="00E87C1D" w:rsidP="00E87C1D">
      <w:pPr>
        <w:spacing w:after="0" w:line="240" w:lineRule="auto"/>
        <w:contextualSpacing/>
        <w:jc w:val="both"/>
        <w:rPr>
          <w:rFonts w:ascii="Verdana" w:hAnsi="Verdana"/>
        </w:rPr>
      </w:pPr>
    </w:p>
    <w:p w14:paraId="60D345BC" w14:textId="77777777" w:rsidR="00E87C1D" w:rsidRDefault="00E87C1D" w:rsidP="00E87C1D">
      <w:pPr>
        <w:spacing w:after="0" w:line="240" w:lineRule="auto"/>
        <w:contextualSpacing/>
        <w:jc w:val="both"/>
        <w:rPr>
          <w:rFonts w:ascii="Verdana" w:hAnsi="Verdana"/>
        </w:rPr>
      </w:pPr>
    </w:p>
    <w:p w14:paraId="2427346F" w14:textId="77777777" w:rsidR="00E87C1D" w:rsidRDefault="00E87C1D" w:rsidP="00E87C1D">
      <w:pPr>
        <w:spacing w:after="0" w:line="240" w:lineRule="auto"/>
        <w:contextualSpacing/>
        <w:jc w:val="both"/>
        <w:rPr>
          <w:rFonts w:ascii="Verdana" w:hAnsi="Verdana"/>
        </w:rPr>
      </w:pPr>
    </w:p>
    <w:p w14:paraId="0F1358D3" w14:textId="77777777" w:rsidR="00E87C1D" w:rsidRDefault="00E87C1D" w:rsidP="00E87C1D">
      <w:pPr>
        <w:spacing w:after="0" w:line="240" w:lineRule="auto"/>
        <w:contextualSpacing/>
        <w:jc w:val="both"/>
        <w:rPr>
          <w:rFonts w:ascii="Verdana" w:hAnsi="Verdana"/>
        </w:rPr>
      </w:pPr>
    </w:p>
    <w:p w14:paraId="7443499A" w14:textId="77777777" w:rsidR="00E87C1D" w:rsidRDefault="00E87C1D" w:rsidP="00E87C1D">
      <w:pPr>
        <w:spacing w:after="0" w:line="240" w:lineRule="auto"/>
        <w:contextualSpacing/>
        <w:jc w:val="both"/>
        <w:rPr>
          <w:rFonts w:ascii="Verdana" w:hAnsi="Verdana"/>
        </w:rPr>
      </w:pPr>
    </w:p>
    <w:p w14:paraId="546B8691" w14:textId="77777777" w:rsidR="00E87C1D" w:rsidRDefault="00E87C1D" w:rsidP="00E87C1D">
      <w:pPr>
        <w:spacing w:after="0" w:line="240" w:lineRule="auto"/>
        <w:contextualSpacing/>
        <w:jc w:val="both"/>
        <w:rPr>
          <w:rFonts w:ascii="Verdana" w:hAnsi="Verdana"/>
        </w:rPr>
      </w:pPr>
    </w:p>
    <w:p w14:paraId="3C1638A0" w14:textId="77777777" w:rsidR="00E87C1D" w:rsidRDefault="00E87C1D" w:rsidP="00E87C1D">
      <w:pPr>
        <w:spacing w:after="0" w:line="240" w:lineRule="auto"/>
        <w:contextualSpacing/>
        <w:jc w:val="both"/>
        <w:rPr>
          <w:rFonts w:ascii="Verdana" w:hAnsi="Verdana"/>
        </w:rPr>
      </w:pPr>
    </w:p>
    <w:p w14:paraId="3B8724B2" w14:textId="77777777" w:rsidR="00E87C1D" w:rsidRDefault="00E87C1D" w:rsidP="00E87C1D">
      <w:pPr>
        <w:spacing w:after="0" w:line="240" w:lineRule="auto"/>
        <w:contextualSpacing/>
        <w:jc w:val="both"/>
        <w:rPr>
          <w:rFonts w:ascii="Verdana" w:hAnsi="Verdana"/>
        </w:rPr>
      </w:pPr>
    </w:p>
    <w:p w14:paraId="4A97A0F2" w14:textId="77777777" w:rsidR="00E87C1D" w:rsidRDefault="00E87C1D" w:rsidP="00E87C1D">
      <w:pPr>
        <w:spacing w:after="0" w:line="240" w:lineRule="auto"/>
        <w:contextualSpacing/>
        <w:jc w:val="both"/>
        <w:rPr>
          <w:rFonts w:ascii="Verdana" w:hAnsi="Verdana"/>
        </w:rPr>
      </w:pPr>
    </w:p>
    <w:p w14:paraId="36064D6A" w14:textId="5BFDFC5E" w:rsidR="00E87C1D" w:rsidRDefault="00E87C1D" w:rsidP="00E87C1D">
      <w:pPr>
        <w:spacing w:after="0" w:line="240" w:lineRule="auto"/>
        <w:contextualSpacing/>
        <w:jc w:val="both"/>
        <w:rPr>
          <w:rFonts w:ascii="Verdana" w:eastAsia="Times New Roman" w:hAnsi="Verdana" w:cs="Arial"/>
          <w:lang w:eastAsia="es-ES"/>
        </w:rPr>
      </w:pPr>
      <w:r w:rsidRPr="0024624F">
        <w:rPr>
          <w:rFonts w:ascii="Verdana" w:hAnsi="Verdana"/>
        </w:rPr>
        <w:t xml:space="preserve">Bogotá D.C., </w:t>
      </w:r>
      <w:r w:rsidR="0075013E">
        <w:rPr>
          <w:rFonts w:ascii="Verdana" w:hAnsi="Verdana"/>
        </w:rPr>
        <w:t>4 de diciembre de 2025</w:t>
      </w:r>
    </w:p>
    <w:p w14:paraId="2AD4ABC2" w14:textId="77777777" w:rsidR="00E87C1D" w:rsidRPr="00BC3A80" w:rsidRDefault="00E87C1D" w:rsidP="00E87C1D">
      <w:pPr>
        <w:spacing w:after="0" w:line="240" w:lineRule="auto"/>
        <w:jc w:val="right"/>
        <w:rPr>
          <w:rFonts w:ascii="Verdana" w:hAnsi="Verdana" w:cs="Arial"/>
          <w:color w:val="000000"/>
          <w:lang w:val="es-ES_tradnl"/>
        </w:rPr>
      </w:pPr>
    </w:p>
    <w:p w14:paraId="10B0BFEA" w14:textId="4923C8E4" w:rsidR="00B02636" w:rsidRDefault="0075013E" w:rsidP="0075013E">
      <w:pPr>
        <w:spacing w:after="0" w:line="240" w:lineRule="auto"/>
        <w:jc w:val="right"/>
        <w:rPr>
          <w:rFonts w:ascii="Verdana" w:hAnsi="Verdana" w:cs="Arial"/>
          <w:lang w:val="es-ES_tradnl" w:eastAsia="es-ES"/>
        </w:rPr>
      </w:pPr>
      <w:r w:rsidRPr="0075013E">
        <w:rPr>
          <w:rFonts w:ascii="Verdana" w:hAnsi="Verdana" w:cs="Arial"/>
          <w:noProof/>
          <w:lang w:val="es-ES_tradnl" w:eastAsia="es-ES"/>
        </w:rPr>
        <w:drawing>
          <wp:anchor distT="0" distB="0" distL="114300" distR="114300" simplePos="0" relativeHeight="251658240" behindDoc="1" locked="0" layoutInCell="1" allowOverlap="1" wp14:anchorId="7CDEB61B" wp14:editId="2C1BA48D">
            <wp:simplePos x="0" y="0"/>
            <wp:positionH relativeFrom="column">
              <wp:posOffset>2863215</wp:posOffset>
            </wp:positionH>
            <wp:positionV relativeFrom="paragraph">
              <wp:posOffset>0</wp:posOffset>
            </wp:positionV>
            <wp:extent cx="2748661" cy="790575"/>
            <wp:effectExtent l="0" t="0" r="0" b="0"/>
            <wp:wrapNone/>
            <wp:docPr id="32060518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605188" name="Imagen 1" descr="Texto&#10;&#10;El contenido generado por IA puede ser incorrecto."/>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48661" cy="790575"/>
                    </a:xfrm>
                    <a:prstGeom prst="rect">
                      <a:avLst/>
                    </a:prstGeom>
                  </pic:spPr>
                </pic:pic>
              </a:graphicData>
            </a:graphic>
          </wp:anchor>
        </w:drawing>
      </w:r>
    </w:p>
    <w:p w14:paraId="230A88E7" w14:textId="77777777" w:rsidR="005A0EB1" w:rsidRDefault="005A0EB1" w:rsidP="00E87C1D">
      <w:pPr>
        <w:spacing w:after="0" w:line="240" w:lineRule="auto"/>
        <w:jc w:val="both"/>
        <w:rPr>
          <w:rFonts w:ascii="Verdana" w:hAnsi="Verdana" w:cs="Arial"/>
          <w:lang w:val="es-ES_tradnl" w:eastAsia="es-ES"/>
        </w:rPr>
      </w:pPr>
    </w:p>
    <w:p w14:paraId="44947721" w14:textId="77777777" w:rsidR="005A0EB1" w:rsidRDefault="005A0EB1" w:rsidP="00E87C1D">
      <w:pPr>
        <w:spacing w:after="0" w:line="240" w:lineRule="auto"/>
        <w:jc w:val="both"/>
        <w:rPr>
          <w:rFonts w:ascii="Verdana" w:hAnsi="Verdana" w:cs="Arial"/>
          <w:lang w:val="es-ES_tradnl" w:eastAsia="es-ES"/>
        </w:rPr>
      </w:pPr>
    </w:p>
    <w:p w14:paraId="3BCDF98F" w14:textId="6632C3F5" w:rsidR="00E87C1D" w:rsidRPr="00BC3A80" w:rsidRDefault="00E87C1D" w:rsidP="00E87C1D">
      <w:pPr>
        <w:spacing w:after="0" w:line="240" w:lineRule="auto"/>
        <w:jc w:val="both"/>
        <w:rPr>
          <w:rFonts w:ascii="Verdana" w:hAnsi="Verdana" w:cs="Arial"/>
          <w:lang w:val="es-ES_tradnl" w:eastAsia="es-ES"/>
        </w:rPr>
      </w:pPr>
      <w:r w:rsidRPr="00BC3A80">
        <w:rPr>
          <w:rFonts w:ascii="Verdana" w:hAnsi="Verdana" w:cs="Arial"/>
          <w:lang w:val="es-ES_tradnl" w:eastAsia="es-ES"/>
        </w:rPr>
        <w:t>Señor</w:t>
      </w:r>
      <w:r>
        <w:rPr>
          <w:rFonts w:ascii="Verdana" w:hAnsi="Verdana" w:cs="Arial"/>
          <w:lang w:val="es-ES_tradnl" w:eastAsia="es-ES"/>
        </w:rPr>
        <w:t>a</w:t>
      </w:r>
    </w:p>
    <w:p w14:paraId="67EBB2BF" w14:textId="77777777" w:rsidR="00E87C1D" w:rsidRDefault="00E87C1D" w:rsidP="00E87C1D">
      <w:pPr>
        <w:spacing w:after="0" w:line="240" w:lineRule="auto"/>
        <w:jc w:val="both"/>
        <w:rPr>
          <w:rFonts w:ascii="Verdana" w:hAnsi="Verdana" w:cs="Arial"/>
          <w:b/>
          <w:bCs/>
          <w:lang w:val="es-ES_tradnl" w:eastAsia="es-ES"/>
        </w:rPr>
      </w:pPr>
      <w:r w:rsidRPr="00B876A9">
        <w:rPr>
          <w:rFonts w:ascii="Verdana" w:hAnsi="Verdana" w:cs="Arial"/>
          <w:b/>
          <w:bCs/>
          <w:lang w:val="es-ES_tradnl" w:eastAsia="es-ES"/>
        </w:rPr>
        <w:t>Erika Paola</w:t>
      </w:r>
      <w:r>
        <w:rPr>
          <w:rFonts w:ascii="Verdana" w:hAnsi="Verdana" w:cs="Arial"/>
          <w:b/>
          <w:bCs/>
          <w:lang w:val="es-ES_tradnl" w:eastAsia="es-ES"/>
        </w:rPr>
        <w:t xml:space="preserve"> </w:t>
      </w:r>
      <w:r w:rsidRPr="007A0507">
        <w:rPr>
          <w:rFonts w:ascii="Verdana" w:hAnsi="Verdana" w:cs="Arial"/>
          <w:b/>
          <w:bCs/>
          <w:lang w:val="es-ES_tradnl" w:eastAsia="es-ES"/>
        </w:rPr>
        <w:t>Bernal Valencia</w:t>
      </w:r>
    </w:p>
    <w:p w14:paraId="58353462" w14:textId="77777777" w:rsidR="00E87C1D" w:rsidRPr="005611A8" w:rsidRDefault="00E87C1D" w:rsidP="00E87C1D">
      <w:pPr>
        <w:spacing w:after="0" w:line="240" w:lineRule="auto"/>
        <w:jc w:val="both"/>
        <w:rPr>
          <w:rFonts w:ascii="Verdana" w:hAnsi="Verdana" w:cs="Arial"/>
          <w:lang w:val="es-ES_tradnl" w:eastAsia="es-ES"/>
        </w:rPr>
      </w:pPr>
      <w:r w:rsidRPr="005611A8">
        <w:rPr>
          <w:rFonts w:ascii="Verdana" w:hAnsi="Verdana" w:cs="Arial"/>
          <w:lang w:val="es-ES_tradnl" w:eastAsia="es-ES"/>
        </w:rPr>
        <w:t>Subdirectora Jurídica</w:t>
      </w:r>
    </w:p>
    <w:p w14:paraId="0C277C21" w14:textId="77777777" w:rsidR="00E87C1D" w:rsidRPr="005611A8" w:rsidRDefault="00E87C1D" w:rsidP="00E87C1D">
      <w:pPr>
        <w:spacing w:after="0" w:line="240" w:lineRule="auto"/>
        <w:jc w:val="both"/>
        <w:rPr>
          <w:rFonts w:ascii="Verdana" w:hAnsi="Verdana" w:cs="Arial"/>
          <w:lang w:val="es-ES_tradnl" w:eastAsia="es-ES"/>
        </w:rPr>
      </w:pPr>
      <w:r w:rsidRPr="005611A8">
        <w:rPr>
          <w:rFonts w:ascii="Verdana" w:hAnsi="Verdana" w:cs="Arial"/>
          <w:lang w:val="es-ES_tradnl" w:eastAsia="es-ES"/>
        </w:rPr>
        <w:t>Agencia Nacional Digital</w:t>
      </w:r>
      <w:r>
        <w:rPr>
          <w:rFonts w:ascii="Verdana" w:hAnsi="Verdana" w:cs="Arial"/>
          <w:lang w:val="es-ES_tradnl" w:eastAsia="es-ES"/>
        </w:rPr>
        <w:t xml:space="preserve"> – AND </w:t>
      </w:r>
    </w:p>
    <w:p w14:paraId="61D1C05F" w14:textId="77777777" w:rsidR="00E87C1D" w:rsidRPr="005611A8" w:rsidRDefault="00E87C1D" w:rsidP="00E87C1D">
      <w:pPr>
        <w:spacing w:after="0" w:line="240" w:lineRule="auto"/>
        <w:rPr>
          <w:rFonts w:ascii="Verdana" w:hAnsi="Verdana"/>
        </w:rPr>
      </w:pPr>
      <w:hyperlink r:id="rId11" w:history="1">
        <w:r w:rsidRPr="005611A8">
          <w:rPr>
            <w:rStyle w:val="Hipervnculo"/>
            <w:rFonts w:ascii="Verdana" w:hAnsi="Verdana"/>
          </w:rPr>
          <w:t>subdireccion.juridica@and.gov.co</w:t>
        </w:r>
      </w:hyperlink>
      <w:r w:rsidRPr="005611A8">
        <w:rPr>
          <w:rFonts w:ascii="Verdana" w:hAnsi="Verdana"/>
        </w:rPr>
        <w:t xml:space="preserve"> </w:t>
      </w:r>
    </w:p>
    <w:p w14:paraId="46CDFA2B" w14:textId="77777777" w:rsidR="00E87C1D" w:rsidRPr="00C8004B" w:rsidRDefault="00E87C1D" w:rsidP="00E87C1D">
      <w:pPr>
        <w:tabs>
          <w:tab w:val="left" w:pos="3708"/>
        </w:tabs>
        <w:spacing w:after="0" w:line="240" w:lineRule="auto"/>
        <w:rPr>
          <w:rFonts w:ascii="Verdana" w:hAnsi="Verdana" w:cs="Arial"/>
          <w:lang w:val="en-US" w:eastAsia="es-ES"/>
        </w:rPr>
      </w:pPr>
      <w:r w:rsidRPr="00C8004B">
        <w:rPr>
          <w:rFonts w:ascii="Verdana" w:hAnsi="Verdana" w:cs="Arial"/>
          <w:lang w:val="en-US" w:eastAsia="es-ES"/>
        </w:rPr>
        <w:t>B</w:t>
      </w:r>
      <w:r>
        <w:rPr>
          <w:rFonts w:ascii="Verdana" w:hAnsi="Verdana" w:cs="Arial"/>
          <w:lang w:val="en-US" w:eastAsia="es-ES"/>
        </w:rPr>
        <w:t>ogotá, D.C.</w:t>
      </w:r>
      <w:r w:rsidRPr="00C8004B">
        <w:rPr>
          <w:rFonts w:ascii="Verdana" w:hAnsi="Verdana" w:cs="Arial"/>
          <w:lang w:val="en-US" w:eastAsia="es-ES"/>
        </w:rPr>
        <w:tab/>
      </w:r>
    </w:p>
    <w:p w14:paraId="67030E8C" w14:textId="77777777" w:rsidR="00E87C1D" w:rsidRPr="00C8004B" w:rsidRDefault="00E87C1D" w:rsidP="00E87C1D">
      <w:pPr>
        <w:spacing w:after="0" w:line="240" w:lineRule="auto"/>
        <w:rPr>
          <w:rFonts w:ascii="Verdana" w:hAnsi="Verdana" w:cs="Arial"/>
          <w:b/>
          <w:bCs/>
          <w:color w:val="000000"/>
          <w:lang w:val="en-US" w:eastAsia="es-ES_tradnl"/>
        </w:rPr>
      </w:pPr>
    </w:p>
    <w:p w14:paraId="7B520346" w14:textId="77777777" w:rsidR="00E87C1D" w:rsidRPr="00C8004B" w:rsidRDefault="00E87C1D" w:rsidP="00E87C1D">
      <w:pPr>
        <w:spacing w:after="0" w:line="240" w:lineRule="auto"/>
        <w:rPr>
          <w:rFonts w:ascii="Verdana" w:hAnsi="Verdana" w:cs="Arial"/>
          <w:b/>
          <w:bCs/>
          <w:color w:val="000000"/>
          <w:lang w:val="en-US"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E87C1D" w:rsidRPr="00BC3A80" w14:paraId="1623B4A6" w14:textId="77777777" w:rsidTr="00D40AAE">
        <w:trPr>
          <w:trHeight w:val="102"/>
        </w:trPr>
        <w:tc>
          <w:tcPr>
            <w:tcW w:w="2689" w:type="dxa"/>
          </w:tcPr>
          <w:p w14:paraId="14547C49" w14:textId="77777777" w:rsidR="00E87C1D" w:rsidRPr="00C8004B" w:rsidRDefault="00E87C1D" w:rsidP="00D40AAE">
            <w:pPr>
              <w:jc w:val="both"/>
              <w:rPr>
                <w:rFonts w:ascii="Verdana" w:hAnsi="Verdana" w:cs="Arial"/>
                <w:b/>
                <w:bCs/>
                <w:color w:val="7030A0"/>
                <w:lang w:val="en-US" w:eastAsia="es-ES_tradnl"/>
              </w:rPr>
            </w:pPr>
          </w:p>
        </w:tc>
        <w:tc>
          <w:tcPr>
            <w:tcW w:w="6100" w:type="dxa"/>
          </w:tcPr>
          <w:p w14:paraId="0830A6B5" w14:textId="77777777" w:rsidR="00E87C1D" w:rsidRDefault="00E87C1D" w:rsidP="00D40AAE">
            <w:pPr>
              <w:jc w:val="both"/>
              <w:rPr>
                <w:rFonts w:ascii="Verdana" w:hAnsi="Verdana" w:cs="Arial"/>
                <w:b/>
                <w:bCs/>
                <w:lang w:val="es-ES_tradnl" w:eastAsia="es-ES"/>
              </w:rPr>
            </w:pPr>
            <w:r w:rsidRPr="00BC3A80">
              <w:rPr>
                <w:rFonts w:ascii="Verdana" w:hAnsi="Verdana" w:cs="Arial"/>
                <w:b/>
                <w:bCs/>
                <w:lang w:val="es-ES_tradnl" w:eastAsia="es-ES"/>
              </w:rPr>
              <w:t>Concepto C – 156</w:t>
            </w:r>
            <w:r>
              <w:rPr>
                <w:rFonts w:ascii="Verdana" w:hAnsi="Verdana" w:cs="Arial"/>
                <w:b/>
                <w:bCs/>
                <w:lang w:val="es-ES_tradnl" w:eastAsia="es-ES"/>
              </w:rPr>
              <w:t>4</w:t>
            </w:r>
            <w:r w:rsidRPr="00BC3A80">
              <w:rPr>
                <w:rFonts w:ascii="Verdana" w:hAnsi="Verdana" w:cs="Arial"/>
                <w:b/>
                <w:bCs/>
                <w:lang w:val="es-ES_tradnl" w:eastAsia="es-ES"/>
              </w:rPr>
              <w:t xml:space="preserve"> de 2025</w:t>
            </w:r>
          </w:p>
          <w:p w14:paraId="4D782B58" w14:textId="77777777" w:rsidR="00E87C1D" w:rsidRPr="00BC3A80" w:rsidRDefault="00E87C1D" w:rsidP="00D40AAE">
            <w:pPr>
              <w:jc w:val="both"/>
              <w:rPr>
                <w:rFonts w:ascii="Verdana" w:hAnsi="Verdana" w:cs="Arial"/>
                <w:b/>
                <w:bCs/>
                <w:color w:val="7030A0"/>
                <w:lang w:val="es-ES_tradnl" w:eastAsia="es-ES"/>
              </w:rPr>
            </w:pPr>
          </w:p>
        </w:tc>
      </w:tr>
      <w:tr w:rsidR="00E87C1D" w:rsidRPr="00BC3A80" w14:paraId="0D0434DF" w14:textId="77777777" w:rsidTr="00D40AAE">
        <w:trPr>
          <w:trHeight w:val="884"/>
        </w:trPr>
        <w:tc>
          <w:tcPr>
            <w:tcW w:w="2689" w:type="dxa"/>
          </w:tcPr>
          <w:p w14:paraId="72D60A6F" w14:textId="77777777" w:rsidR="00E87C1D" w:rsidRPr="00BC3A80" w:rsidRDefault="00E87C1D" w:rsidP="00D40AAE">
            <w:pPr>
              <w:jc w:val="both"/>
              <w:rPr>
                <w:rFonts w:ascii="Verdana" w:hAnsi="Verdana" w:cs="Arial"/>
                <w:color w:val="000000"/>
                <w:lang w:val="es-ES_tradnl" w:eastAsia="es-ES_tradnl"/>
              </w:rPr>
            </w:pPr>
            <w:r w:rsidRPr="00BC3A80">
              <w:rPr>
                <w:rFonts w:ascii="Verdana" w:hAnsi="Verdana" w:cs="Arial"/>
                <w:b/>
                <w:color w:val="000000"/>
                <w:lang w:val="es-ES_tradnl" w:eastAsia="es-ES_tradnl"/>
              </w:rPr>
              <w:t>Temas:</w:t>
            </w:r>
            <w:r w:rsidRPr="00BC3A80">
              <w:rPr>
                <w:rFonts w:ascii="Verdana" w:hAnsi="Verdana" w:cs="Arial"/>
                <w:color w:val="000000"/>
                <w:lang w:val="es-ES_tradnl" w:eastAsia="es-ES_tradnl"/>
              </w:rPr>
              <w:t xml:space="preserve">                   </w:t>
            </w:r>
          </w:p>
        </w:tc>
        <w:tc>
          <w:tcPr>
            <w:tcW w:w="6100" w:type="dxa"/>
          </w:tcPr>
          <w:p w14:paraId="185B4521" w14:textId="6A9FB4B0" w:rsidR="00E87C1D" w:rsidRPr="00BC3A80" w:rsidRDefault="00E87C1D" w:rsidP="00D40AAE">
            <w:pPr>
              <w:spacing w:line="276" w:lineRule="auto"/>
              <w:jc w:val="both"/>
              <w:rPr>
                <w:rFonts w:ascii="Verdana" w:hAnsi="Verdana" w:cs="Arial"/>
                <w:lang w:eastAsia="es-ES_tradnl"/>
              </w:rPr>
            </w:pPr>
            <w:r w:rsidRPr="00BC3A80">
              <w:rPr>
                <w:rFonts w:ascii="Verdana" w:hAnsi="Verdana" w:cs="Arial"/>
                <w:lang w:val="es-ES" w:eastAsia="es-ES"/>
              </w:rPr>
              <w:t xml:space="preserve">LEY DE GARANTÍAS ELECTORALES – Finalidad / LEY DE GARANTÍAS ELECTORALES ‒ Restricciones ‒ Contratación ‒ Tipos de elección / LEY DE GARANTÍAS ELECTORALES ‒ Artículo 33 ‒ Ámbito material / LEY DE GARANTÍAS ELECTORALES ‒ Aplicación ‒ </w:t>
            </w:r>
            <w:r w:rsidR="00B86622">
              <w:rPr>
                <w:rFonts w:ascii="Verdana" w:hAnsi="Verdana" w:cs="Arial"/>
                <w:lang w:val="es-ES" w:eastAsia="es-ES"/>
              </w:rPr>
              <w:t>E</w:t>
            </w:r>
            <w:r w:rsidRPr="00BC3A80">
              <w:rPr>
                <w:rFonts w:ascii="Verdana" w:hAnsi="Verdana" w:cs="Arial"/>
                <w:lang w:val="es-ES" w:eastAsia="es-ES"/>
              </w:rPr>
              <w:t xml:space="preserve">xcepciones ‒ Contratos de </w:t>
            </w:r>
            <w:r>
              <w:rPr>
                <w:rFonts w:ascii="Verdana" w:hAnsi="Verdana" w:cs="Arial"/>
                <w:lang w:val="es-ES" w:eastAsia="es-ES"/>
              </w:rPr>
              <w:t>prestación de servicios y/o apoyo a la gestión</w:t>
            </w:r>
            <w:r>
              <w:t xml:space="preserve"> </w:t>
            </w:r>
            <w:r w:rsidRPr="006D4F64">
              <w:rPr>
                <w:rFonts w:ascii="Verdana" w:hAnsi="Verdana" w:cs="Arial"/>
                <w:lang w:val="es-ES" w:eastAsia="es-ES"/>
              </w:rPr>
              <w:t>profesionales</w:t>
            </w:r>
            <w:r>
              <w:rPr>
                <w:rFonts w:ascii="Verdana" w:hAnsi="Verdana" w:cs="Arial"/>
                <w:lang w:val="es-ES" w:eastAsia="es-ES"/>
              </w:rPr>
              <w:t xml:space="preserve"> </w:t>
            </w:r>
            <w:r w:rsidRPr="00BC3A80">
              <w:rPr>
                <w:rFonts w:ascii="Verdana" w:hAnsi="Verdana" w:cs="Arial"/>
                <w:lang w:val="es-ES" w:eastAsia="es-ES"/>
              </w:rPr>
              <w:t xml:space="preserve">/ </w:t>
            </w:r>
            <w:r w:rsidRPr="00BC3A80">
              <w:rPr>
                <w:rFonts w:ascii="Verdana" w:hAnsi="Verdana" w:cs="Arial"/>
                <w:lang w:eastAsia="es-ES_tradnl"/>
              </w:rPr>
              <w:t>CONVENIOS</w:t>
            </w:r>
            <w:r>
              <w:rPr>
                <w:rFonts w:ascii="Verdana" w:hAnsi="Verdana" w:cs="Arial"/>
                <w:lang w:eastAsia="es-ES_tradnl"/>
              </w:rPr>
              <w:t xml:space="preserve"> </w:t>
            </w:r>
            <w:r w:rsidRPr="00BC3A80">
              <w:rPr>
                <w:rFonts w:ascii="Verdana" w:hAnsi="Verdana" w:cs="Arial"/>
                <w:lang w:eastAsia="es-ES_tradnl"/>
              </w:rPr>
              <w:t>INTERADMINISTRATIVOS – Criterio orgánico / CONTRATOS Y CONVENIOS INTERADMINISTRATIVOS – Circular Externa Única – Autos de suspensión – Consejo de Estado</w:t>
            </w:r>
          </w:p>
          <w:p w14:paraId="0077BFC2" w14:textId="77777777" w:rsidR="00E87C1D" w:rsidRPr="00BC3A80" w:rsidRDefault="00E87C1D" w:rsidP="00D40AAE">
            <w:pPr>
              <w:spacing w:line="276" w:lineRule="auto"/>
              <w:jc w:val="both"/>
              <w:rPr>
                <w:rFonts w:ascii="Verdana" w:eastAsia="Arial" w:hAnsi="Verdana" w:cs="Arial"/>
                <w:bCs/>
                <w:color w:val="000000" w:themeColor="text1"/>
              </w:rPr>
            </w:pPr>
          </w:p>
        </w:tc>
      </w:tr>
      <w:tr w:rsidR="00E87C1D" w:rsidRPr="00BC3A80" w14:paraId="167BB4CB" w14:textId="77777777" w:rsidTr="00D40AAE">
        <w:tc>
          <w:tcPr>
            <w:tcW w:w="2689" w:type="dxa"/>
          </w:tcPr>
          <w:p w14:paraId="756CF5BF" w14:textId="77777777" w:rsidR="00E87C1D" w:rsidRPr="00BC3A80" w:rsidRDefault="00E87C1D" w:rsidP="00D40AAE">
            <w:pPr>
              <w:jc w:val="both"/>
              <w:rPr>
                <w:rFonts w:ascii="Verdana" w:hAnsi="Verdana" w:cs="Arial"/>
                <w:b/>
                <w:lang w:val="es-ES_tradnl" w:eastAsia="es-ES_tradnl"/>
              </w:rPr>
            </w:pPr>
            <w:r w:rsidRPr="00BC3A80">
              <w:rPr>
                <w:rFonts w:ascii="Verdana" w:hAnsi="Verdana" w:cs="Arial"/>
                <w:b/>
                <w:lang w:val="es-ES_tradnl" w:eastAsia="es-ES_tradnl"/>
              </w:rPr>
              <w:t>Radicación:</w:t>
            </w:r>
            <w:r w:rsidRPr="00BC3A80">
              <w:rPr>
                <w:rFonts w:ascii="Verdana" w:hAnsi="Verdana" w:cs="Arial"/>
                <w:lang w:val="es-ES_tradnl" w:eastAsia="es-ES_tradnl"/>
              </w:rPr>
              <w:t xml:space="preserve">               </w:t>
            </w:r>
          </w:p>
        </w:tc>
        <w:tc>
          <w:tcPr>
            <w:tcW w:w="6100" w:type="dxa"/>
          </w:tcPr>
          <w:p w14:paraId="701CA891" w14:textId="77777777" w:rsidR="00E87C1D" w:rsidRPr="00BC3A80" w:rsidRDefault="00E87C1D" w:rsidP="00D40AAE">
            <w:pPr>
              <w:spacing w:line="276" w:lineRule="auto"/>
              <w:jc w:val="both"/>
              <w:rPr>
                <w:rFonts w:ascii="Verdana" w:hAnsi="Verdana" w:cs="Arial"/>
                <w:lang w:val="es-ES_tradnl" w:eastAsia="es-ES_tradnl"/>
              </w:rPr>
            </w:pPr>
            <w:r w:rsidRPr="00BC3A80">
              <w:rPr>
                <w:rFonts w:ascii="Verdana" w:hAnsi="Verdana" w:cs="Arial"/>
                <w:lang w:val="es-ES_tradnl" w:eastAsia="es-ES_tradnl"/>
              </w:rPr>
              <w:t xml:space="preserve">Respuesta a la consulta con radicado No. </w:t>
            </w:r>
            <w:r w:rsidRPr="00BC2DB0">
              <w:rPr>
                <w:rFonts w:ascii="Verdana" w:hAnsi="Verdana" w:cs="Arial"/>
                <w:lang w:val="es-ES_tradnl" w:eastAsia="es-ES_tradnl"/>
              </w:rPr>
              <w:t>1_2025_10_24_011987</w:t>
            </w:r>
            <w:r>
              <w:rPr>
                <w:rFonts w:ascii="Verdana" w:hAnsi="Verdana" w:cs="Arial"/>
                <w:lang w:val="es-ES_tradnl" w:eastAsia="es-ES_tradnl"/>
              </w:rPr>
              <w:t xml:space="preserve"> y </w:t>
            </w:r>
            <w:r w:rsidRPr="000C4069">
              <w:rPr>
                <w:rFonts w:ascii="Verdana" w:hAnsi="Verdana" w:cs="Arial"/>
                <w:lang w:val="es-ES_tradnl" w:eastAsia="es-ES_tradnl"/>
              </w:rPr>
              <w:t>1_2025_10_24_011996</w:t>
            </w:r>
            <w:r>
              <w:rPr>
                <w:rFonts w:ascii="Verdana" w:hAnsi="Verdana" w:cs="Arial"/>
                <w:lang w:val="es-ES_tradnl" w:eastAsia="es-ES_tradnl"/>
              </w:rPr>
              <w:t xml:space="preserve"> (Acumuladas)</w:t>
            </w:r>
          </w:p>
        </w:tc>
      </w:tr>
    </w:tbl>
    <w:p w14:paraId="22D39BCD" w14:textId="77777777" w:rsidR="00E87C1D" w:rsidRPr="00BC3A80" w:rsidRDefault="00E87C1D" w:rsidP="00E87C1D">
      <w:pPr>
        <w:spacing w:after="0" w:line="276" w:lineRule="auto"/>
        <w:jc w:val="both"/>
        <w:rPr>
          <w:rFonts w:ascii="Verdana" w:hAnsi="Verdana" w:cs="Arial"/>
          <w:color w:val="000000"/>
          <w:lang w:val="es-ES_tradnl" w:eastAsia="es-ES_tradnl"/>
        </w:rPr>
      </w:pPr>
    </w:p>
    <w:p w14:paraId="2B0CC8F6" w14:textId="77777777" w:rsidR="00E87C1D" w:rsidRPr="00BC3A80" w:rsidRDefault="00E87C1D" w:rsidP="00E87C1D">
      <w:pPr>
        <w:spacing w:after="0" w:line="276" w:lineRule="auto"/>
        <w:jc w:val="both"/>
        <w:rPr>
          <w:rFonts w:ascii="Verdana" w:hAnsi="Verdana" w:cs="Arial"/>
          <w:color w:val="000000"/>
          <w:lang w:val="es-ES_tradnl" w:eastAsia="es-ES_tradnl"/>
        </w:rPr>
      </w:pPr>
    </w:p>
    <w:p w14:paraId="248655C4" w14:textId="77777777" w:rsidR="00E87C1D" w:rsidRPr="00BC3A80" w:rsidRDefault="00E87C1D" w:rsidP="00E87C1D">
      <w:pPr>
        <w:spacing w:after="0" w:line="276" w:lineRule="auto"/>
        <w:jc w:val="both"/>
        <w:rPr>
          <w:rFonts w:ascii="Verdana" w:hAnsi="Verdana" w:cs="Arial"/>
          <w:lang w:val="es-ES_tradnl" w:eastAsia="es-ES"/>
        </w:rPr>
      </w:pPr>
      <w:r w:rsidRPr="00BC3A80">
        <w:rPr>
          <w:rFonts w:ascii="Verdana" w:hAnsi="Verdana" w:cs="Arial"/>
          <w:lang w:val="es-ES_tradnl" w:eastAsia="es-ES"/>
        </w:rPr>
        <w:t>Estimad</w:t>
      </w:r>
      <w:r>
        <w:rPr>
          <w:rFonts w:ascii="Verdana" w:hAnsi="Verdana" w:cs="Arial"/>
          <w:lang w:val="es-ES_tradnl" w:eastAsia="es-ES"/>
        </w:rPr>
        <w:t>a</w:t>
      </w:r>
      <w:r w:rsidRPr="00BC3A80">
        <w:rPr>
          <w:rFonts w:ascii="Verdana" w:hAnsi="Verdana" w:cs="Arial"/>
          <w:lang w:val="es-ES_tradnl" w:eastAsia="es-ES"/>
        </w:rPr>
        <w:t xml:space="preserve"> señor</w:t>
      </w:r>
      <w:r>
        <w:rPr>
          <w:rFonts w:ascii="Verdana" w:hAnsi="Verdana" w:cs="Arial"/>
          <w:lang w:val="es-ES_tradnl" w:eastAsia="es-ES"/>
        </w:rPr>
        <w:t>a</w:t>
      </w:r>
      <w:r w:rsidRPr="00BC3A80">
        <w:rPr>
          <w:rFonts w:ascii="Verdana" w:hAnsi="Verdana" w:cs="Arial"/>
          <w:lang w:val="es-ES_tradnl" w:eastAsia="es-ES"/>
        </w:rPr>
        <w:t xml:space="preserve"> </w:t>
      </w:r>
      <w:r w:rsidRPr="000C4069">
        <w:rPr>
          <w:rFonts w:ascii="Verdana" w:hAnsi="Verdana" w:cs="Arial"/>
          <w:lang w:val="es-ES_tradnl" w:eastAsia="es-ES"/>
        </w:rPr>
        <w:t>Bernal Valencia</w:t>
      </w:r>
      <w:r w:rsidRPr="00BC3A80">
        <w:rPr>
          <w:rFonts w:ascii="Verdana" w:hAnsi="Verdana" w:cs="Arial"/>
          <w:lang w:val="es-ES_tradnl" w:eastAsia="es-ES"/>
        </w:rPr>
        <w:t xml:space="preserve">: </w:t>
      </w:r>
    </w:p>
    <w:p w14:paraId="50951638" w14:textId="77777777" w:rsidR="00E87C1D" w:rsidRPr="00BC3A80" w:rsidRDefault="00E87C1D" w:rsidP="00E87C1D">
      <w:pPr>
        <w:tabs>
          <w:tab w:val="left" w:pos="3768"/>
        </w:tabs>
        <w:spacing w:after="0" w:line="276" w:lineRule="auto"/>
        <w:jc w:val="both"/>
        <w:rPr>
          <w:rFonts w:ascii="Verdana" w:hAnsi="Verdana" w:cs="Arial"/>
          <w:color w:val="000000" w:themeColor="text1"/>
          <w:lang w:val="es-ES_tradnl" w:eastAsia="es-ES"/>
        </w:rPr>
      </w:pPr>
      <w:r w:rsidRPr="00BC3A80">
        <w:rPr>
          <w:rFonts w:ascii="Verdana" w:hAnsi="Verdana" w:cs="Arial"/>
          <w:color w:val="000000" w:themeColor="text1"/>
          <w:lang w:val="es-ES_tradnl" w:eastAsia="es-ES"/>
        </w:rPr>
        <w:tab/>
      </w:r>
    </w:p>
    <w:p w14:paraId="02825045" w14:textId="77777777" w:rsidR="00E87C1D" w:rsidRPr="00BC3A80" w:rsidRDefault="00E87C1D" w:rsidP="00E87C1D">
      <w:pPr>
        <w:spacing w:after="0" w:line="276" w:lineRule="auto"/>
        <w:jc w:val="both"/>
        <w:rPr>
          <w:rFonts w:ascii="Verdana" w:hAnsi="Verdana" w:cs="Arial"/>
          <w:color w:val="7030A0"/>
          <w:lang w:val="es-ES_tradnl" w:eastAsia="es-ES"/>
        </w:rPr>
      </w:pPr>
      <w:r w:rsidRPr="00BC3A80">
        <w:rPr>
          <w:rFonts w:ascii="Verdana" w:hAnsi="Verdana" w:cs="Arial"/>
          <w:color w:val="000000" w:themeColor="text1"/>
          <w:lang w:val="es-ES_tradnl" w:eastAsia="es-ES"/>
        </w:rPr>
        <w:t>En ejercicio de la competencia otorgada por los artículos 3, numeral 5º, y 11, numeral 8º, del Decreto Ley 4170 de 2011,</w:t>
      </w:r>
      <w:r w:rsidRPr="00BC3A80">
        <w:rPr>
          <w:rFonts w:ascii="Verdana" w:eastAsia="Arial MT" w:hAnsi="Verdana" w:cs="Arial MT"/>
          <w:lang w:val="es-ES_tradnl" w:eastAsia="es-ES"/>
        </w:rPr>
        <w:t xml:space="preserve"> </w:t>
      </w:r>
      <w:r w:rsidRPr="00BC3A80">
        <w:rPr>
          <w:rFonts w:ascii="Verdana" w:hAnsi="Verdana" w:cs="Arial"/>
          <w:lang w:val="es-ES_tradnl"/>
        </w:rPr>
        <w:t>así como lo establecido en</w:t>
      </w:r>
      <w:r w:rsidRPr="00BC3A80">
        <w:rPr>
          <w:rFonts w:ascii="Verdana" w:hAnsi="Verdana" w:cs="Arial"/>
        </w:rPr>
        <w:t xml:space="preserve"> la Resolución 469 de 2025 expedida por esta Entidad</w:t>
      </w:r>
      <w:r w:rsidRPr="00BC3A80">
        <w:rPr>
          <w:rFonts w:ascii="Verdana" w:hAnsi="Verdana" w:cs="Arial"/>
          <w:lang w:val="es-ES_tradnl"/>
        </w:rPr>
        <w:t xml:space="preserve">, </w:t>
      </w:r>
      <w:r w:rsidRPr="00BC3A80">
        <w:rPr>
          <w:rFonts w:ascii="Verdana" w:hAnsi="Verdana" w:cs="Arial"/>
          <w:color w:val="000000" w:themeColor="text1"/>
          <w:lang w:val="es-ES_tradnl" w:eastAsia="es-ES"/>
        </w:rPr>
        <w:t xml:space="preserve">la Agencia Nacional de Contratación Pública – Colombia Compra Eficiente responde su solicitud de consulta </w:t>
      </w:r>
      <w:r>
        <w:rPr>
          <w:rFonts w:ascii="Verdana" w:hAnsi="Verdana" w:cs="Arial"/>
          <w:color w:val="000000" w:themeColor="text1"/>
          <w:lang w:val="es-ES_tradnl" w:eastAsia="es-ES"/>
        </w:rPr>
        <w:t>remitida por la Procuraduría General de la Nación el</w:t>
      </w:r>
      <w:r w:rsidRPr="00BC3A80">
        <w:rPr>
          <w:rFonts w:ascii="Verdana" w:hAnsi="Verdana" w:cs="Arial"/>
          <w:lang w:val="es-ES_tradnl" w:eastAsia="es-ES"/>
        </w:rPr>
        <w:t xml:space="preserve"> 2</w:t>
      </w:r>
      <w:r>
        <w:rPr>
          <w:rFonts w:ascii="Verdana" w:hAnsi="Verdana" w:cs="Arial"/>
          <w:lang w:val="es-ES_tradnl" w:eastAsia="es-ES"/>
        </w:rPr>
        <w:t>3</w:t>
      </w:r>
      <w:r w:rsidRPr="00BC3A80">
        <w:rPr>
          <w:rFonts w:ascii="Verdana" w:hAnsi="Verdana" w:cs="Arial"/>
          <w:lang w:val="es-ES_tradnl" w:eastAsia="es-ES"/>
        </w:rPr>
        <w:t xml:space="preserve"> de octubre de </w:t>
      </w:r>
      <w:r w:rsidRPr="00BC3A80">
        <w:rPr>
          <w:rFonts w:ascii="Verdana" w:hAnsi="Verdana" w:cs="Arial"/>
          <w:lang w:val="es-ES_tradnl" w:eastAsia="es-ES"/>
        </w:rPr>
        <w:lastRenderedPageBreak/>
        <w:t xml:space="preserve">2025, </w:t>
      </w:r>
      <w:r>
        <w:rPr>
          <w:rFonts w:ascii="Verdana" w:hAnsi="Verdana" w:cs="Arial"/>
          <w:lang w:val="es-ES_tradnl" w:eastAsia="es-ES"/>
        </w:rPr>
        <w:t>y registrada en nuestro sistema de gestión documental el 24 de octubre de 2025,</w:t>
      </w:r>
      <w:r w:rsidRPr="00BC3A80">
        <w:rPr>
          <w:rFonts w:ascii="Verdana" w:hAnsi="Verdana" w:cs="Arial"/>
          <w:lang w:val="es-ES_tradnl" w:eastAsia="es-ES"/>
        </w:rPr>
        <w:t xml:space="preserve"> respecto de la aplicación de la Ley de Garantías Electorales en la contratación </w:t>
      </w:r>
      <w:r>
        <w:rPr>
          <w:rFonts w:ascii="Verdana" w:hAnsi="Verdana" w:cs="Arial"/>
          <w:lang w:val="es-ES_tradnl" w:eastAsia="es-ES"/>
        </w:rPr>
        <w:t>directa y la celebración de convenios y contratos, donde</w:t>
      </w:r>
      <w:r w:rsidRPr="00BC3A80">
        <w:rPr>
          <w:rFonts w:ascii="Verdana" w:hAnsi="Verdana" w:cs="Arial"/>
          <w:lang w:val="es-ES_tradnl" w:eastAsia="es-ES"/>
        </w:rPr>
        <w:t xml:space="preserve"> manifiesta lo siguiente: </w:t>
      </w:r>
    </w:p>
    <w:p w14:paraId="5C4E0616" w14:textId="77777777" w:rsidR="00E87C1D" w:rsidRPr="00BC3A80" w:rsidRDefault="00E87C1D" w:rsidP="00E87C1D">
      <w:pPr>
        <w:tabs>
          <w:tab w:val="left" w:pos="142"/>
          <w:tab w:val="left" w:pos="284"/>
        </w:tabs>
        <w:spacing w:after="0" w:line="276" w:lineRule="auto"/>
        <w:jc w:val="both"/>
        <w:rPr>
          <w:rFonts w:ascii="Verdana" w:eastAsia="Century Gothic" w:hAnsi="Verdana" w:cs="Century Gothic"/>
          <w:b/>
          <w:bCs/>
          <w:lang w:val="es-ES_tradnl"/>
        </w:rPr>
      </w:pPr>
    </w:p>
    <w:p w14:paraId="384C5B7A" w14:textId="77777777" w:rsidR="00E87C1D" w:rsidRDefault="00E87C1D" w:rsidP="00E87C1D">
      <w:pPr>
        <w:spacing w:after="0" w:line="240" w:lineRule="auto"/>
        <w:ind w:left="709" w:right="709"/>
        <w:jc w:val="both"/>
        <w:rPr>
          <w:rFonts w:ascii="Verdana" w:eastAsia="Century Gothic" w:hAnsi="Verdana" w:cs="Century Gothic"/>
          <w:sz w:val="20"/>
          <w:szCs w:val="20"/>
          <w:lang w:val="es-ES"/>
        </w:rPr>
      </w:pPr>
      <w:bookmarkStart w:id="1" w:name="_Hlk95313578"/>
      <w:r w:rsidRPr="00BC3A80">
        <w:rPr>
          <w:rFonts w:ascii="Verdana" w:eastAsia="Century Gothic" w:hAnsi="Verdana" w:cs="Century Gothic"/>
          <w:sz w:val="20"/>
          <w:szCs w:val="20"/>
          <w:lang w:val="es-ES"/>
        </w:rPr>
        <w:t>“</w:t>
      </w:r>
      <w:bookmarkEnd w:id="1"/>
      <w:r>
        <w:rPr>
          <w:rFonts w:ascii="Verdana" w:eastAsia="Century Gothic" w:hAnsi="Verdana" w:cs="Century Gothic"/>
          <w:sz w:val="20"/>
          <w:szCs w:val="20"/>
          <w:lang w:val="es-ES"/>
        </w:rPr>
        <w:t>[…]</w:t>
      </w:r>
    </w:p>
    <w:p w14:paraId="645E2DDC" w14:textId="77777777" w:rsidR="00E87C1D" w:rsidRDefault="00E87C1D" w:rsidP="00E87C1D">
      <w:pPr>
        <w:spacing w:after="0" w:line="240" w:lineRule="auto"/>
        <w:ind w:left="709" w:right="709"/>
        <w:jc w:val="both"/>
        <w:rPr>
          <w:rFonts w:ascii="Verdana" w:eastAsia="Century Gothic" w:hAnsi="Verdana" w:cs="Century Gothic"/>
          <w:sz w:val="20"/>
          <w:szCs w:val="20"/>
          <w:lang w:val="es-ES"/>
        </w:rPr>
      </w:pPr>
    </w:p>
    <w:p w14:paraId="0C124943" w14:textId="77777777" w:rsidR="00E87C1D" w:rsidRDefault="00E87C1D" w:rsidP="00E87C1D">
      <w:pPr>
        <w:spacing w:after="0" w:line="240" w:lineRule="auto"/>
        <w:ind w:left="709" w:right="709"/>
        <w:jc w:val="both"/>
        <w:rPr>
          <w:rFonts w:ascii="Verdana" w:eastAsia="Century Gothic" w:hAnsi="Verdana" w:cs="Century Gothic"/>
          <w:sz w:val="20"/>
          <w:szCs w:val="20"/>
        </w:rPr>
      </w:pPr>
      <w:r w:rsidRPr="0096460B">
        <w:rPr>
          <w:rFonts w:ascii="Verdana" w:eastAsia="Century Gothic" w:hAnsi="Verdana" w:cs="Century Gothic"/>
          <w:sz w:val="20"/>
          <w:szCs w:val="20"/>
        </w:rPr>
        <w:t xml:space="preserve">actuando en calidad de </w:t>
      </w:r>
      <w:proofErr w:type="gramStart"/>
      <w:r w:rsidRPr="0096460B">
        <w:rPr>
          <w:rFonts w:ascii="Verdana" w:eastAsia="Century Gothic" w:hAnsi="Verdana" w:cs="Century Gothic"/>
          <w:sz w:val="20"/>
          <w:szCs w:val="20"/>
        </w:rPr>
        <w:t>Subdirectora</w:t>
      </w:r>
      <w:proofErr w:type="gramEnd"/>
      <w:r w:rsidRPr="0096460B">
        <w:rPr>
          <w:rFonts w:ascii="Verdana" w:eastAsia="Century Gothic" w:hAnsi="Verdana" w:cs="Century Gothic"/>
          <w:sz w:val="20"/>
          <w:szCs w:val="20"/>
        </w:rPr>
        <w:t xml:space="preserve"> Jurídica de la Corporación Agencia Nacional de Gobierno Digital, me permito solicitar ante ustedes concepto sobre la limitación de contratación directa de contratos atípicos en entidades sin ánimo de lucro, considerando que:</w:t>
      </w:r>
    </w:p>
    <w:p w14:paraId="349137E1" w14:textId="77777777" w:rsidR="00E87C1D" w:rsidRDefault="00E87C1D" w:rsidP="00E87C1D">
      <w:pPr>
        <w:spacing w:after="0" w:line="240" w:lineRule="auto"/>
        <w:ind w:left="709" w:right="709"/>
        <w:jc w:val="both"/>
        <w:rPr>
          <w:rFonts w:ascii="Verdana" w:eastAsia="Century Gothic" w:hAnsi="Verdana" w:cs="Century Gothic"/>
          <w:sz w:val="20"/>
          <w:szCs w:val="20"/>
        </w:rPr>
      </w:pPr>
    </w:p>
    <w:p w14:paraId="4219707B" w14:textId="77777777" w:rsidR="00E87C1D" w:rsidRDefault="00E87C1D" w:rsidP="00E87C1D">
      <w:pPr>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rPr>
        <w:t>[…]</w:t>
      </w:r>
    </w:p>
    <w:p w14:paraId="64FCEBEF" w14:textId="77777777" w:rsidR="00E87C1D" w:rsidRDefault="00E87C1D" w:rsidP="00E87C1D">
      <w:pPr>
        <w:spacing w:after="0" w:line="240" w:lineRule="auto"/>
        <w:ind w:left="709" w:right="709"/>
        <w:jc w:val="both"/>
        <w:rPr>
          <w:rFonts w:ascii="Verdana" w:eastAsia="Century Gothic" w:hAnsi="Verdana" w:cs="Century Gothic"/>
          <w:sz w:val="20"/>
          <w:szCs w:val="20"/>
          <w:lang w:val="es-ES"/>
        </w:rPr>
      </w:pPr>
    </w:p>
    <w:p w14:paraId="55F41414" w14:textId="77777777" w:rsidR="00E87C1D" w:rsidRDefault="00E87C1D" w:rsidP="00E87C1D">
      <w:pPr>
        <w:spacing w:after="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rPr>
        <w:t xml:space="preserve">5. </w:t>
      </w:r>
      <w:r w:rsidRPr="003F6C92">
        <w:rPr>
          <w:rFonts w:ascii="Verdana" w:eastAsia="Century Gothic" w:hAnsi="Verdana" w:cs="Century Gothic"/>
          <w:sz w:val="20"/>
          <w:szCs w:val="20"/>
        </w:rPr>
        <w:t>El Manual de Contratación de la Corporación, establece en su artículo 4.1.1.2. que se celebraran por contratación directa, entre otros, el siguiente: "</w:t>
      </w:r>
      <w:r w:rsidRPr="00521A7D">
        <w:rPr>
          <w:rFonts w:ascii="Verdana" w:eastAsia="Century Gothic" w:hAnsi="Verdana" w:cs="Century Gothic"/>
          <w:i/>
          <w:iCs/>
          <w:sz w:val="20"/>
          <w:szCs w:val="20"/>
        </w:rPr>
        <w:t>m) Cuando se trate de contratos o convenios para contratos de colaboración como el de alianza estratégica y sus órdenes de compra o contratos derivados</w:t>
      </w:r>
      <w:r w:rsidRPr="003F6C92">
        <w:rPr>
          <w:rFonts w:ascii="Verdana" w:eastAsia="Century Gothic" w:hAnsi="Verdana" w:cs="Century Gothic"/>
          <w:sz w:val="20"/>
          <w:szCs w:val="20"/>
        </w:rPr>
        <w:t>"</w:t>
      </w:r>
    </w:p>
    <w:p w14:paraId="0FB31E75" w14:textId="77777777" w:rsidR="00E87C1D" w:rsidRDefault="00E87C1D" w:rsidP="00E87C1D">
      <w:pPr>
        <w:spacing w:after="0" w:line="240" w:lineRule="auto"/>
        <w:ind w:left="709" w:right="709"/>
        <w:jc w:val="both"/>
        <w:rPr>
          <w:rFonts w:ascii="Verdana" w:eastAsia="Century Gothic" w:hAnsi="Verdana" w:cs="Century Gothic"/>
          <w:sz w:val="20"/>
          <w:szCs w:val="20"/>
        </w:rPr>
      </w:pPr>
    </w:p>
    <w:p w14:paraId="65A42427" w14:textId="77777777" w:rsidR="00E87C1D" w:rsidRDefault="00E87C1D" w:rsidP="00E87C1D">
      <w:pPr>
        <w:spacing w:after="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rPr>
        <w:t xml:space="preserve">6. </w:t>
      </w:r>
      <w:r w:rsidRPr="003F6C92">
        <w:rPr>
          <w:rFonts w:ascii="Verdana" w:eastAsia="Century Gothic" w:hAnsi="Verdana" w:cs="Century Gothic"/>
          <w:sz w:val="20"/>
          <w:szCs w:val="20"/>
        </w:rPr>
        <w:t>Según el artículo 4.1.1.2.2.1. del Manual de Contratación de la Corporación se entenderán como alianzas estratégicas, los contratos o convenios que se suscriban con uno o varios aliados con el fin de unir sus esfuerzos, conocimientos, capacidad técnica y científica para la gestión de intereses recíprocos o alcanzar ventajas competitivas en el sector, generar compromisos y estrategias para conseguir beneficios mutuos en el marco de cualquier actividad relacionada con el objeto social de la Entidad. Bajo esta tipología, se enmarcan iniciativas conjuntas entre la AGENCIA NACIONAL DIGITAL - AND y otras entidades públicas u organización privadas con el fin de generar compromisos y estrategias para conseguir beneficios mutuos.</w:t>
      </w:r>
    </w:p>
    <w:p w14:paraId="650BC81A" w14:textId="77777777" w:rsidR="00E87C1D" w:rsidRDefault="00E87C1D" w:rsidP="00E87C1D">
      <w:pPr>
        <w:spacing w:after="0" w:line="240" w:lineRule="auto"/>
        <w:ind w:left="709" w:right="709"/>
        <w:jc w:val="both"/>
        <w:rPr>
          <w:rFonts w:ascii="Verdana" w:eastAsia="Century Gothic" w:hAnsi="Verdana" w:cs="Century Gothic"/>
          <w:sz w:val="20"/>
          <w:szCs w:val="20"/>
        </w:rPr>
      </w:pPr>
    </w:p>
    <w:p w14:paraId="100888C8" w14:textId="77777777" w:rsidR="00E87C1D" w:rsidRDefault="00E87C1D" w:rsidP="00E87C1D">
      <w:pPr>
        <w:spacing w:after="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rPr>
        <w:t>[…]</w:t>
      </w:r>
    </w:p>
    <w:p w14:paraId="32741362" w14:textId="77777777" w:rsidR="00E87C1D" w:rsidRDefault="00E87C1D" w:rsidP="00E87C1D">
      <w:pPr>
        <w:spacing w:after="0" w:line="240" w:lineRule="auto"/>
        <w:ind w:left="709" w:right="709"/>
        <w:jc w:val="both"/>
        <w:rPr>
          <w:rFonts w:ascii="Verdana" w:eastAsia="Century Gothic" w:hAnsi="Verdana" w:cs="Century Gothic"/>
          <w:sz w:val="20"/>
          <w:szCs w:val="20"/>
        </w:rPr>
      </w:pPr>
    </w:p>
    <w:p w14:paraId="2A186F51" w14:textId="77777777" w:rsidR="00E87C1D" w:rsidRDefault="00E87C1D" w:rsidP="00E87C1D">
      <w:pPr>
        <w:spacing w:after="0" w:line="240" w:lineRule="auto"/>
        <w:ind w:left="709" w:right="709"/>
        <w:jc w:val="both"/>
        <w:rPr>
          <w:rFonts w:ascii="Verdana" w:eastAsia="Century Gothic" w:hAnsi="Verdana" w:cs="Century Gothic"/>
          <w:sz w:val="20"/>
          <w:szCs w:val="20"/>
        </w:rPr>
      </w:pPr>
      <w:r w:rsidRPr="00AF6B2C">
        <w:rPr>
          <w:rFonts w:ascii="Verdana" w:eastAsia="Century Gothic" w:hAnsi="Verdana" w:cs="Century Gothic"/>
          <w:sz w:val="20"/>
          <w:szCs w:val="20"/>
        </w:rPr>
        <w:t xml:space="preserve">7. De la misma forma, el Manual de Contratación de la Corporación, establece en artículo 4.1.1.2. que se celebraran por contratación directa, el siguiente: </w:t>
      </w:r>
    </w:p>
    <w:p w14:paraId="067352AB" w14:textId="77777777" w:rsidR="00E87C1D" w:rsidRDefault="00E87C1D" w:rsidP="00E87C1D">
      <w:pPr>
        <w:spacing w:after="0" w:line="240" w:lineRule="auto"/>
        <w:ind w:left="709" w:right="709"/>
        <w:jc w:val="both"/>
        <w:rPr>
          <w:rFonts w:ascii="Verdana" w:eastAsia="Century Gothic" w:hAnsi="Verdana" w:cs="Century Gothic"/>
          <w:sz w:val="20"/>
          <w:szCs w:val="20"/>
        </w:rPr>
      </w:pPr>
    </w:p>
    <w:p w14:paraId="11370E3D" w14:textId="77777777" w:rsidR="00E87C1D" w:rsidRDefault="00E87C1D" w:rsidP="00E87C1D">
      <w:pPr>
        <w:spacing w:after="0" w:line="240" w:lineRule="auto"/>
        <w:ind w:left="709" w:right="709"/>
        <w:jc w:val="both"/>
        <w:rPr>
          <w:rFonts w:ascii="Verdana" w:eastAsia="Century Gothic" w:hAnsi="Verdana" w:cs="Century Gothic"/>
          <w:sz w:val="20"/>
          <w:szCs w:val="20"/>
        </w:rPr>
      </w:pPr>
      <w:r w:rsidRPr="00AF6B2C">
        <w:rPr>
          <w:rFonts w:ascii="Verdana" w:eastAsia="Century Gothic" w:hAnsi="Verdana" w:cs="Century Gothic"/>
          <w:sz w:val="20"/>
          <w:szCs w:val="20"/>
        </w:rPr>
        <w:t>"</w:t>
      </w:r>
      <w:r w:rsidRPr="009349C5">
        <w:rPr>
          <w:rFonts w:ascii="Verdana" w:eastAsia="Century Gothic" w:hAnsi="Verdana" w:cs="Century Gothic"/>
          <w:i/>
          <w:iCs/>
          <w:sz w:val="20"/>
          <w:szCs w:val="20"/>
        </w:rPr>
        <w:t>f) Cuando se trate de contratos para prestación de servicios profesionales y/o de apoyo a la gestión</w:t>
      </w:r>
      <w:r w:rsidRPr="00AF6B2C">
        <w:rPr>
          <w:rFonts w:ascii="Verdana" w:eastAsia="Century Gothic" w:hAnsi="Verdana" w:cs="Century Gothic"/>
          <w:sz w:val="20"/>
          <w:szCs w:val="20"/>
        </w:rPr>
        <w:t>"</w:t>
      </w:r>
    </w:p>
    <w:p w14:paraId="082A02C5" w14:textId="77777777" w:rsidR="00E87C1D" w:rsidRDefault="00E87C1D" w:rsidP="00E87C1D">
      <w:pPr>
        <w:spacing w:after="0" w:line="240" w:lineRule="auto"/>
        <w:ind w:left="709" w:right="709"/>
        <w:jc w:val="both"/>
        <w:rPr>
          <w:rFonts w:ascii="Verdana" w:eastAsia="Century Gothic" w:hAnsi="Verdana" w:cs="Century Gothic"/>
          <w:sz w:val="20"/>
          <w:szCs w:val="20"/>
        </w:rPr>
      </w:pPr>
    </w:p>
    <w:p w14:paraId="4EB8F36B" w14:textId="77777777" w:rsidR="00E87C1D" w:rsidRDefault="00E87C1D" w:rsidP="00E87C1D">
      <w:pPr>
        <w:spacing w:after="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rPr>
        <w:t xml:space="preserve">8. </w:t>
      </w:r>
      <w:r w:rsidRPr="00AF6B2C">
        <w:rPr>
          <w:rFonts w:ascii="Verdana" w:eastAsia="Century Gothic" w:hAnsi="Verdana" w:cs="Century Gothic"/>
          <w:sz w:val="20"/>
          <w:szCs w:val="20"/>
        </w:rPr>
        <w:t xml:space="preserve">El artículo 4.1.1.2.1 consagra Son los contratos bajo la modalidad de contratación directa, con la persona natural o jurídica que esté en capacidad de ejecutar el objeto del contrato, previa verificación de la idoneidad y experiencia requerida. Los servicios profesionales y de apoyo a la gestión corresponden a aquellos de naturaleza intelectual diferentes a los de consultoría que se deriven del cumplimiento de las funciones de </w:t>
      </w:r>
      <w:r w:rsidRPr="00AF6B2C">
        <w:rPr>
          <w:rFonts w:ascii="Verdana" w:eastAsia="Century Gothic" w:hAnsi="Verdana" w:cs="Century Gothic"/>
          <w:sz w:val="20"/>
          <w:szCs w:val="20"/>
        </w:rPr>
        <w:lastRenderedPageBreak/>
        <w:t xml:space="preserve">cada dependencia, así como los relacionados con actividades operativas, logísticas, о asistenciales. </w:t>
      </w:r>
    </w:p>
    <w:p w14:paraId="285F1E06" w14:textId="77777777" w:rsidR="00E87C1D" w:rsidRDefault="00E87C1D" w:rsidP="00E87C1D">
      <w:pPr>
        <w:spacing w:after="0" w:line="240" w:lineRule="auto"/>
        <w:ind w:left="709" w:right="709"/>
        <w:jc w:val="both"/>
        <w:rPr>
          <w:rFonts w:ascii="Verdana" w:eastAsia="Century Gothic" w:hAnsi="Verdana" w:cs="Century Gothic"/>
          <w:sz w:val="20"/>
          <w:szCs w:val="20"/>
        </w:rPr>
      </w:pPr>
    </w:p>
    <w:p w14:paraId="640F90F6" w14:textId="77777777" w:rsidR="00E87C1D" w:rsidRDefault="00E87C1D" w:rsidP="00E87C1D">
      <w:pPr>
        <w:spacing w:after="0" w:line="240" w:lineRule="auto"/>
        <w:ind w:left="709" w:right="709"/>
        <w:jc w:val="both"/>
        <w:rPr>
          <w:rFonts w:ascii="Verdana" w:eastAsia="Century Gothic" w:hAnsi="Verdana" w:cs="Century Gothic"/>
          <w:sz w:val="20"/>
          <w:szCs w:val="20"/>
        </w:rPr>
      </w:pPr>
      <w:r w:rsidRPr="00AF6B2C">
        <w:rPr>
          <w:rFonts w:ascii="Verdana" w:eastAsia="Century Gothic" w:hAnsi="Verdana" w:cs="Century Gothic"/>
          <w:sz w:val="20"/>
          <w:szCs w:val="20"/>
        </w:rPr>
        <w:t>Esta contratación procede cuando no exista personal de planta suficiente o con los conocimientos requeridos que pueda ejecutar las labores requeridas. En este caso, no es necesario que se hayan obtenido previamente varias ofertas y se podrá tener en cuenta como uno de los elementos de juicio para el estudio económico la tabla de honorarios que expida el representante legal.</w:t>
      </w:r>
    </w:p>
    <w:p w14:paraId="443923D4" w14:textId="77777777" w:rsidR="00E87C1D" w:rsidRDefault="00E87C1D" w:rsidP="00E87C1D">
      <w:pPr>
        <w:spacing w:after="0" w:line="240" w:lineRule="auto"/>
        <w:ind w:left="709" w:right="709"/>
        <w:jc w:val="both"/>
        <w:rPr>
          <w:rFonts w:ascii="Verdana" w:eastAsia="Century Gothic" w:hAnsi="Verdana" w:cs="Century Gothic"/>
          <w:sz w:val="20"/>
          <w:szCs w:val="20"/>
        </w:rPr>
      </w:pPr>
    </w:p>
    <w:p w14:paraId="5F205C86" w14:textId="77777777" w:rsidR="00E87C1D" w:rsidRDefault="00E87C1D" w:rsidP="00E87C1D">
      <w:pPr>
        <w:spacing w:after="0" w:line="240" w:lineRule="auto"/>
        <w:ind w:left="709" w:right="709"/>
        <w:jc w:val="both"/>
        <w:rPr>
          <w:rFonts w:ascii="Verdana" w:hAnsi="Verdana"/>
          <w:sz w:val="20"/>
          <w:szCs w:val="20"/>
        </w:rPr>
      </w:pPr>
      <w:r w:rsidRPr="0036028E">
        <w:rPr>
          <w:rFonts w:ascii="Verdana" w:hAnsi="Verdana"/>
          <w:sz w:val="20"/>
          <w:szCs w:val="20"/>
        </w:rPr>
        <w:t xml:space="preserve">Con base en lo anterior, se elevan las siguientes preguntas: </w:t>
      </w:r>
    </w:p>
    <w:p w14:paraId="778A58B8" w14:textId="77777777" w:rsidR="00E87C1D" w:rsidRDefault="00E87C1D" w:rsidP="00E87C1D">
      <w:pPr>
        <w:spacing w:after="0" w:line="240" w:lineRule="auto"/>
        <w:ind w:left="709" w:right="709"/>
        <w:jc w:val="both"/>
        <w:rPr>
          <w:rFonts w:ascii="Verdana" w:hAnsi="Verdana"/>
          <w:sz w:val="20"/>
          <w:szCs w:val="20"/>
        </w:rPr>
      </w:pPr>
    </w:p>
    <w:p w14:paraId="117A7518" w14:textId="77777777" w:rsidR="00E87C1D" w:rsidRDefault="00E87C1D" w:rsidP="00E87C1D">
      <w:pPr>
        <w:spacing w:after="0" w:line="240" w:lineRule="auto"/>
        <w:ind w:left="709" w:right="709"/>
        <w:jc w:val="both"/>
        <w:rPr>
          <w:rFonts w:ascii="Verdana" w:hAnsi="Verdana"/>
          <w:sz w:val="20"/>
          <w:szCs w:val="20"/>
        </w:rPr>
      </w:pPr>
      <w:r w:rsidRPr="0036028E">
        <w:rPr>
          <w:rFonts w:ascii="Verdana" w:hAnsi="Verdana"/>
          <w:sz w:val="20"/>
          <w:szCs w:val="20"/>
        </w:rPr>
        <w:t>1. Teniendo en cuenta que la AND es una entidad descentralizada indirecta de participación pública, con naturaleza privada y con carácter de asociación civil, que se rige por las normas de la contratación privada y el contenido del manual interno de contratación, aplica: ¿La restricción para contratar contenida en los artículos 33 y 38 de la Ley 996 de 2005 para la celebración de alianzas en el marco del Manual de contratación interno?</w:t>
      </w:r>
    </w:p>
    <w:p w14:paraId="21EAE313" w14:textId="77777777" w:rsidR="00E87C1D" w:rsidRDefault="00E87C1D" w:rsidP="00E87C1D">
      <w:pPr>
        <w:spacing w:after="0" w:line="240" w:lineRule="auto"/>
        <w:ind w:left="709" w:right="709"/>
        <w:jc w:val="both"/>
        <w:rPr>
          <w:rFonts w:ascii="Verdana" w:hAnsi="Verdana"/>
          <w:sz w:val="20"/>
          <w:szCs w:val="20"/>
        </w:rPr>
      </w:pPr>
      <w:r w:rsidRPr="0036028E">
        <w:rPr>
          <w:rFonts w:ascii="Verdana" w:hAnsi="Verdana"/>
          <w:sz w:val="20"/>
          <w:szCs w:val="20"/>
        </w:rPr>
        <w:t xml:space="preserve"> </w:t>
      </w:r>
    </w:p>
    <w:p w14:paraId="4B162313" w14:textId="77777777" w:rsidR="00E87C1D" w:rsidRPr="00BC3A80" w:rsidRDefault="00E87C1D" w:rsidP="00E87C1D">
      <w:pPr>
        <w:spacing w:after="0" w:line="240" w:lineRule="auto"/>
        <w:ind w:left="709" w:right="709"/>
        <w:jc w:val="both"/>
        <w:rPr>
          <w:rFonts w:ascii="Verdana" w:hAnsi="Verdana"/>
          <w:sz w:val="20"/>
          <w:szCs w:val="20"/>
        </w:rPr>
      </w:pPr>
      <w:r w:rsidRPr="0036028E">
        <w:rPr>
          <w:rFonts w:ascii="Verdana" w:hAnsi="Verdana"/>
          <w:sz w:val="20"/>
          <w:szCs w:val="20"/>
        </w:rPr>
        <w:t>2. Atendiendo a la naturaleza jurídica de la AND, ¿En el marco de la restricción contenida en los artículos 33 y 38 de la Ley 996 de 2005, podemos seguir celebrando contratos de prestación de servicios profesionales, de apoyo a la gestión o asistenciales?</w:t>
      </w:r>
      <w:r w:rsidRPr="00BC3A80">
        <w:rPr>
          <w:rFonts w:ascii="Verdana" w:hAnsi="Verdana"/>
          <w:sz w:val="20"/>
          <w:szCs w:val="20"/>
        </w:rPr>
        <w:t>”</w:t>
      </w:r>
    </w:p>
    <w:p w14:paraId="2B4C5B35" w14:textId="77777777" w:rsidR="00E87C1D" w:rsidRPr="00BC3A80" w:rsidRDefault="00E87C1D" w:rsidP="00E87C1D">
      <w:pPr>
        <w:tabs>
          <w:tab w:val="left" w:pos="142"/>
          <w:tab w:val="left" w:pos="284"/>
        </w:tabs>
        <w:spacing w:after="0" w:line="276" w:lineRule="auto"/>
        <w:contextualSpacing/>
        <w:jc w:val="both"/>
        <w:rPr>
          <w:rFonts w:ascii="Verdana" w:eastAsia="Century Gothic" w:hAnsi="Verdana" w:cs="Century Gothic"/>
          <w:b/>
          <w:bCs/>
          <w:lang w:val="es-ES_tradnl"/>
        </w:rPr>
      </w:pPr>
    </w:p>
    <w:p w14:paraId="2B53C8C9" w14:textId="77777777" w:rsidR="00E87C1D" w:rsidRPr="00BC3A80" w:rsidRDefault="00E87C1D" w:rsidP="00E87C1D">
      <w:pPr>
        <w:spacing w:after="120" w:line="276" w:lineRule="auto"/>
        <w:ind w:firstLine="709"/>
        <w:jc w:val="both"/>
        <w:rPr>
          <w:rFonts w:ascii="Verdana" w:hAnsi="Verdana" w:cs="Arial"/>
          <w:color w:val="000000"/>
          <w:lang w:val="es-ES" w:eastAsia="es-ES"/>
        </w:rPr>
      </w:pPr>
      <w:r w:rsidRPr="00BC3A80">
        <w:rPr>
          <w:rFonts w:ascii="Verdana" w:hAnsi="Verdana" w:cs="Arial"/>
          <w:color w:val="000000" w:themeColor="text1"/>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hAnsi="Verdana" w:cs="Arial"/>
          <w:color w:val="000000" w:themeColor="text1"/>
          <w:lang w:val="es-ES" w:eastAsia="es-ES"/>
        </w:rPr>
        <w:t xml:space="preserve">la Agencia Nacional de Contratación Pública – </w:t>
      </w:r>
      <w:r w:rsidRPr="00BC3A80">
        <w:rPr>
          <w:rFonts w:ascii="Verdana" w:hAnsi="Verdana" w:cs="Arial"/>
          <w:color w:val="000000" w:themeColor="text1"/>
          <w:lang w:val="es-ES" w:eastAsia="es-ES"/>
        </w:rPr>
        <w:t xml:space="preserve">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C3A80">
        <w:tab/>
      </w:r>
    </w:p>
    <w:p w14:paraId="484A9A44" w14:textId="77777777" w:rsidR="00E87C1D" w:rsidRPr="00BC3A80" w:rsidRDefault="00E87C1D" w:rsidP="00E87C1D">
      <w:pPr>
        <w:spacing w:after="0" w:line="276" w:lineRule="auto"/>
        <w:ind w:firstLine="709"/>
        <w:jc w:val="both"/>
        <w:rPr>
          <w:rFonts w:ascii="Verdana" w:hAnsi="Verdana" w:cs="Arial"/>
          <w:color w:val="000000"/>
          <w:lang w:val="es-ES_tradnl" w:eastAsia="es-ES"/>
        </w:rPr>
      </w:pPr>
      <w:r w:rsidRPr="00BC3A80">
        <w:rPr>
          <w:rFonts w:ascii="Verdana" w:hAnsi="Verdana" w:cs="Arial"/>
          <w:color w:val="000000"/>
          <w:lang w:val="es-ES_tradnl"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BC3A80">
        <w:rPr>
          <w:rFonts w:ascii="Verdana" w:hAnsi="Verdana" w:cs="Arial"/>
          <w:color w:val="7030A0"/>
          <w:lang w:val="es-ES_tradnl" w:eastAsia="es-ES"/>
        </w:rPr>
        <w:t xml:space="preserve"> </w:t>
      </w:r>
      <w:r w:rsidRPr="00BC3A80">
        <w:rPr>
          <w:rFonts w:ascii="Verdana" w:hAnsi="Verdana" w:cs="Arial"/>
          <w:color w:val="000000"/>
          <w:lang w:val="es-ES_tradnl" w:eastAsia="es-ES"/>
        </w:rPr>
        <w:t>problema</w:t>
      </w:r>
      <w:r w:rsidRPr="00BC3A80">
        <w:rPr>
          <w:rFonts w:ascii="Verdana" w:hAnsi="Verdana" w:cs="Arial"/>
          <w:color w:val="7030A0"/>
          <w:lang w:val="es-ES_tradnl" w:eastAsia="es-ES"/>
        </w:rPr>
        <w:t xml:space="preserve"> </w:t>
      </w:r>
      <w:r w:rsidRPr="00BC3A80">
        <w:rPr>
          <w:rFonts w:ascii="Verdana" w:hAnsi="Verdana" w:cs="Arial"/>
          <w:color w:val="000000"/>
          <w:lang w:val="es-ES_tradnl" w:eastAsia="es-ES"/>
        </w:rPr>
        <w:t>jurídico</w:t>
      </w:r>
      <w:r w:rsidRPr="00BC3A80">
        <w:rPr>
          <w:rFonts w:ascii="Verdana" w:hAnsi="Verdana" w:cs="Arial"/>
          <w:color w:val="7030A0"/>
          <w:lang w:val="es-ES_tradnl" w:eastAsia="es-ES"/>
        </w:rPr>
        <w:t xml:space="preserve"> </w:t>
      </w:r>
      <w:r w:rsidRPr="00BC3A80">
        <w:rPr>
          <w:rFonts w:ascii="Verdana" w:hAnsi="Verdana" w:cs="Arial"/>
          <w:color w:val="000000"/>
          <w:lang w:val="es-ES_tradnl" w:eastAsia="es-ES"/>
        </w:rPr>
        <w:t xml:space="preserve">de su consulta. </w:t>
      </w:r>
      <w:r w:rsidRPr="00BC3A80">
        <w:rPr>
          <w:rFonts w:ascii="Verdana" w:hAnsi="Verdana" w:cs="Arial"/>
          <w:lang w:val="es-ES_tradnl" w:eastAsia="es-ES"/>
        </w:rPr>
        <w:t xml:space="preserve"> </w:t>
      </w:r>
    </w:p>
    <w:p w14:paraId="710CF4F9" w14:textId="77777777" w:rsidR="00E87C1D" w:rsidRPr="00BC3A80" w:rsidRDefault="00E87C1D" w:rsidP="00E87C1D">
      <w:pPr>
        <w:spacing w:after="0" w:line="276" w:lineRule="auto"/>
        <w:ind w:firstLine="708"/>
        <w:jc w:val="both"/>
        <w:rPr>
          <w:rFonts w:ascii="Verdana" w:hAnsi="Verdana" w:cs="Arial"/>
          <w:lang w:val="es-ES_tradnl" w:eastAsia="es-ES"/>
        </w:rPr>
      </w:pPr>
    </w:p>
    <w:p w14:paraId="191EDF3C" w14:textId="77777777" w:rsidR="00E87C1D" w:rsidRPr="00BC3A80" w:rsidRDefault="00E87C1D" w:rsidP="00E87C1D">
      <w:pPr>
        <w:numPr>
          <w:ilvl w:val="0"/>
          <w:numId w:val="2"/>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lastRenderedPageBreak/>
        <w:t>Problema planteado:</w:t>
      </w:r>
    </w:p>
    <w:p w14:paraId="5066AE21" w14:textId="77777777" w:rsidR="00E87C1D" w:rsidRPr="00BC3A80" w:rsidRDefault="00E87C1D" w:rsidP="00E87C1D">
      <w:pPr>
        <w:tabs>
          <w:tab w:val="left" w:pos="426"/>
        </w:tabs>
        <w:spacing w:after="0" w:line="276" w:lineRule="auto"/>
        <w:jc w:val="both"/>
        <w:rPr>
          <w:rFonts w:ascii="Verdana" w:eastAsia="Century Gothic" w:hAnsi="Verdana" w:cs="Century Gothic"/>
          <w:lang w:val="es-ES_tradnl"/>
        </w:rPr>
      </w:pPr>
    </w:p>
    <w:p w14:paraId="0E32FDB6" w14:textId="77777777" w:rsidR="00E87C1D" w:rsidRPr="00BC3A80" w:rsidRDefault="00E87C1D" w:rsidP="00E87C1D">
      <w:pPr>
        <w:spacing w:after="0" w:line="276" w:lineRule="auto"/>
        <w:jc w:val="both"/>
        <w:rPr>
          <w:rFonts w:ascii="Verdana" w:eastAsia="Century Gothic" w:hAnsi="Verdana" w:cs="Century Gothic"/>
          <w:lang w:val="es-ES_tradnl"/>
        </w:rPr>
      </w:pPr>
      <w:r w:rsidRPr="00BC3A80">
        <w:rPr>
          <w:rFonts w:ascii="Verdana" w:eastAsia="Century Gothic" w:hAnsi="Verdana" w:cs="Century Gothic"/>
          <w:lang w:val="es-ES_tradnl"/>
        </w:rPr>
        <w:t>De acuerdo con el contenido de su solicitud, esta Agencia resolverá el siguiente problema jurídico: ¿</w:t>
      </w:r>
      <w:r w:rsidRPr="000C4FDF">
        <w:rPr>
          <w:rFonts w:ascii="Verdana" w:eastAsia="Century Gothic" w:hAnsi="Verdana" w:cs="Century Gothic"/>
        </w:rPr>
        <w:t xml:space="preserve">Deben las restricciones previstas </w:t>
      </w:r>
      <w:r w:rsidRPr="00BC3A80">
        <w:rPr>
          <w:rFonts w:ascii="Verdana" w:eastAsia="Century Gothic" w:hAnsi="Verdana" w:cs="Century Gothic"/>
          <w:lang w:val="es-ES_tradnl"/>
        </w:rPr>
        <w:t xml:space="preserve">en los artículos 33 y el parágrafo del artículo 38 de la </w:t>
      </w:r>
      <w:r w:rsidRPr="00BC3A80">
        <w:rPr>
          <w:rFonts w:ascii="Verdana" w:hAnsi="Verdana"/>
          <w:iCs/>
        </w:rPr>
        <w:t>Ley 996 de 2005 –Ley de Garantías Electorales–</w:t>
      </w:r>
      <w:r>
        <w:rPr>
          <w:rFonts w:ascii="Verdana" w:hAnsi="Verdana"/>
          <w:iCs/>
        </w:rPr>
        <w:t xml:space="preserve"> </w:t>
      </w:r>
      <w:r w:rsidRPr="009C5A48">
        <w:rPr>
          <w:rFonts w:ascii="Verdana" w:hAnsi="Verdana"/>
          <w:iCs/>
        </w:rPr>
        <w:t xml:space="preserve">aplicarse a la </w:t>
      </w:r>
      <w:r w:rsidRPr="009F470F">
        <w:rPr>
          <w:rFonts w:ascii="Verdana" w:hAnsi="Verdana"/>
          <w:iCs/>
        </w:rPr>
        <w:t xml:space="preserve">Corporación </w:t>
      </w:r>
      <w:r w:rsidRPr="009C5A48">
        <w:rPr>
          <w:rFonts w:ascii="Verdana" w:hAnsi="Verdana"/>
          <w:iCs/>
        </w:rPr>
        <w:t>Agencia Nacional Digital</w:t>
      </w:r>
      <w:r w:rsidRPr="00E2353B">
        <w:t xml:space="preserve"> </w:t>
      </w:r>
      <w:r w:rsidRPr="00E2353B">
        <w:rPr>
          <w:rFonts w:ascii="Verdana" w:hAnsi="Verdana"/>
          <w:iCs/>
        </w:rPr>
        <w:t>—AND—</w:t>
      </w:r>
      <w:r w:rsidRPr="009C5A48">
        <w:rPr>
          <w:rFonts w:ascii="Verdana" w:hAnsi="Verdana"/>
          <w:iCs/>
        </w:rPr>
        <w:t xml:space="preserve">, en su calidad de entidad descentralizada indirecta </w:t>
      </w:r>
      <w:r>
        <w:rPr>
          <w:rFonts w:ascii="Verdana" w:hAnsi="Verdana"/>
          <w:iCs/>
        </w:rPr>
        <w:t xml:space="preserve">del orden nacional, </w:t>
      </w:r>
      <w:r w:rsidRPr="009C5A48">
        <w:rPr>
          <w:rFonts w:ascii="Verdana" w:hAnsi="Verdana"/>
          <w:iCs/>
        </w:rPr>
        <w:t>para (i) la celebración de contratos o convenios de colaboración —incluidas las alianzas estratégicas previstas en su Manual de Contratación</w:t>
      </w:r>
      <w:r>
        <w:rPr>
          <w:rFonts w:ascii="Verdana" w:hAnsi="Verdana"/>
          <w:iCs/>
        </w:rPr>
        <w:t xml:space="preserve"> con entidades </w:t>
      </w:r>
      <w:r w:rsidRPr="000A69A5">
        <w:rPr>
          <w:rFonts w:ascii="Verdana" w:hAnsi="Verdana"/>
          <w:iCs/>
        </w:rPr>
        <w:t>públicas u organización privadas</w:t>
      </w:r>
      <w:r w:rsidRPr="009C5A48">
        <w:rPr>
          <w:rFonts w:ascii="Verdana" w:hAnsi="Verdana"/>
          <w:iCs/>
        </w:rPr>
        <w:t>— y (</w:t>
      </w:r>
      <w:proofErr w:type="spellStart"/>
      <w:r w:rsidRPr="009C5A48">
        <w:rPr>
          <w:rFonts w:ascii="Verdana" w:hAnsi="Verdana"/>
          <w:iCs/>
        </w:rPr>
        <w:t>ii</w:t>
      </w:r>
      <w:proofErr w:type="spellEnd"/>
      <w:r w:rsidRPr="009C5A48">
        <w:rPr>
          <w:rFonts w:ascii="Verdana" w:hAnsi="Verdana"/>
          <w:iCs/>
        </w:rPr>
        <w:t>) la contratación directa de servicios profesionales y/o de apoyo a la gestión?</w:t>
      </w:r>
    </w:p>
    <w:p w14:paraId="553BDACD" w14:textId="77777777" w:rsidR="00E87C1D" w:rsidRPr="00BC3A80" w:rsidRDefault="00E87C1D" w:rsidP="00E87C1D">
      <w:pPr>
        <w:spacing w:after="0" w:line="276" w:lineRule="auto"/>
        <w:jc w:val="both"/>
        <w:rPr>
          <w:rFonts w:ascii="Verdana" w:hAnsi="Verdana" w:cs="Arial"/>
          <w:color w:val="7030A0"/>
          <w:lang w:val="es-ES_tradnl"/>
        </w:rPr>
      </w:pPr>
    </w:p>
    <w:p w14:paraId="7445C056" w14:textId="77777777" w:rsidR="00E87C1D" w:rsidRPr="00BC3A80" w:rsidRDefault="00E87C1D" w:rsidP="00E87C1D">
      <w:pPr>
        <w:numPr>
          <w:ilvl w:val="0"/>
          <w:numId w:val="2"/>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Respuesta:</w:t>
      </w:r>
    </w:p>
    <w:p w14:paraId="32F0A997" w14:textId="77777777" w:rsidR="00E87C1D" w:rsidRPr="00BC3A80" w:rsidRDefault="00E87C1D" w:rsidP="00E87C1D">
      <w:pPr>
        <w:tabs>
          <w:tab w:val="left" w:pos="142"/>
          <w:tab w:val="left" w:pos="284"/>
        </w:tabs>
        <w:spacing w:after="0" w:line="276" w:lineRule="auto"/>
        <w:jc w:val="both"/>
        <w:rPr>
          <w:rFonts w:ascii="Verdana" w:eastAsia="Century Gothic" w:hAnsi="Verdana" w:cs="Century Gothic"/>
          <w:b/>
          <w:bCs/>
          <w:lang w:val="es-ES_tradnl"/>
        </w:rPr>
      </w:pPr>
    </w:p>
    <w:tbl>
      <w:tblPr>
        <w:tblStyle w:val="Tablaconcuadrcula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87C1D" w:rsidRPr="00BC3A80" w14:paraId="4E844ED0" w14:textId="77777777" w:rsidTr="00D40AAE">
        <w:trPr>
          <w:jc w:val="center"/>
        </w:trPr>
        <w:tc>
          <w:tcPr>
            <w:tcW w:w="8828" w:type="dxa"/>
          </w:tcPr>
          <w:p w14:paraId="55A6D38E" w14:textId="77777777" w:rsidR="00E87C1D" w:rsidRPr="002E4D19" w:rsidRDefault="00E87C1D" w:rsidP="00D40AAE">
            <w:pPr>
              <w:spacing w:after="120" w:line="276" w:lineRule="auto"/>
              <w:jc w:val="both"/>
              <w:rPr>
                <w:rFonts w:ascii="Verdana" w:eastAsia="Arial" w:hAnsi="Verdana" w:cs="Arial"/>
                <w:lang w:eastAsia="es-ES" w:bidi="es-ES"/>
              </w:rPr>
            </w:pPr>
            <w:r w:rsidRPr="002E4D19">
              <w:rPr>
                <w:rFonts w:ascii="Verdana" w:eastAsia="Arial" w:hAnsi="Verdana" w:cs="Arial"/>
                <w:lang w:eastAsia="es-ES" w:bidi="es-ES"/>
              </w:rPr>
              <w:t>Con fundamento en el análisis normativo efectuado, se concluye que las restricciones previstas en los artículos 33 y el parágrafo del artículo 38 de la Ley 996 de 2005 tienen alcances, sujetos destinatarios y objetos contractuales diferenciados, lo que exige examinar su aplicabilidad a la Corporación Agencia Nacional Digital —</w:t>
            </w:r>
            <w:r>
              <w:rPr>
                <w:rFonts w:ascii="Verdana" w:eastAsia="Arial" w:hAnsi="Verdana" w:cs="Arial"/>
                <w:lang w:eastAsia="es-ES" w:bidi="es-ES"/>
              </w:rPr>
              <w:t xml:space="preserve">en adelante </w:t>
            </w:r>
            <w:r w:rsidRPr="002E4D19">
              <w:rPr>
                <w:rFonts w:ascii="Verdana" w:eastAsia="Arial" w:hAnsi="Verdana" w:cs="Arial"/>
                <w:lang w:eastAsia="es-ES" w:bidi="es-ES"/>
              </w:rPr>
              <w:t>AND— de manera separada.</w:t>
            </w:r>
          </w:p>
          <w:p w14:paraId="7C0ED649" w14:textId="77777777" w:rsidR="00E87C1D" w:rsidRPr="002E4D19" w:rsidRDefault="00E87C1D" w:rsidP="00D40AAE">
            <w:pPr>
              <w:spacing w:after="120" w:line="276" w:lineRule="auto"/>
              <w:ind w:firstLine="709"/>
              <w:jc w:val="both"/>
              <w:rPr>
                <w:rFonts w:ascii="Verdana" w:eastAsia="Arial" w:hAnsi="Verdana" w:cs="Arial"/>
                <w:lang w:eastAsia="es-ES" w:bidi="es-ES"/>
              </w:rPr>
            </w:pPr>
            <w:r w:rsidRPr="002E4D19">
              <w:rPr>
                <w:rFonts w:ascii="Verdana" w:eastAsia="Arial" w:hAnsi="Verdana" w:cs="Arial"/>
                <w:lang w:eastAsia="es-ES" w:bidi="es-ES"/>
              </w:rPr>
              <w:t xml:space="preserve">En cuanto a la prohibición del artículo 33, dirigida a evitar la celebración de contratación directa durante los cuatro (4) meses previos a las elecciones presidenciales, se trata de una limitación de carácter general aplicable a </w:t>
            </w:r>
            <w:r w:rsidRPr="00064355">
              <w:rPr>
                <w:rFonts w:ascii="Verdana" w:eastAsia="Arial" w:hAnsi="Verdana" w:cs="Arial"/>
                <w:i/>
                <w:lang w:eastAsia="es-ES" w:bidi="es-ES"/>
              </w:rPr>
              <w:t>todos los entes estatales</w:t>
            </w:r>
            <w:r w:rsidRPr="002E4D19">
              <w:rPr>
                <w:rFonts w:ascii="Verdana" w:eastAsia="Arial" w:hAnsi="Verdana" w:cs="Arial"/>
                <w:lang w:eastAsia="es-ES" w:bidi="es-ES"/>
              </w:rPr>
              <w:t xml:space="preserve">, incluidas aquellas entidades descentralizadas indirectas del orden nacional que, como la AND, contratan bajo reglas del derecho privado. Al contrastar el catálogo taxativo de excepciones del inciso segundo del artículo 33, se advierte que los contratos de prestación de servicios profesionales y/o de apoyo a la gestión —que, conforme </w:t>
            </w:r>
            <w:r>
              <w:rPr>
                <w:rFonts w:ascii="Verdana" w:eastAsia="Arial" w:hAnsi="Verdana" w:cs="Arial"/>
                <w:lang w:eastAsia="es-ES" w:bidi="es-ES"/>
              </w:rPr>
              <w:t xml:space="preserve">a la Ley 1150 de 2007 y </w:t>
            </w:r>
            <w:r w:rsidRPr="002E4D19">
              <w:rPr>
                <w:rFonts w:ascii="Verdana" w:eastAsia="Arial" w:hAnsi="Verdana" w:cs="Arial"/>
                <w:lang w:eastAsia="es-ES" w:bidi="es-ES"/>
              </w:rPr>
              <w:t>al Manual de Contratación de la AND, se celebran mediante contratación directa— no encuadran en ninguno de los supuestos exceptuados por el legislador. En consecuencia, tales contratos sí se encuentran sometidos a la prohibición general del artículo 33 y, por tanto, no pueden celebrarse durante el periodo preelectoral presidencial, salvo que excepcionalmente su objeto corresponda estrictamente a alguno de los supuestos exceptivos, cuya interpretación —como lo ha sostenido reiteradamente el Consejo de Estado— debe ser restrictiva.</w:t>
            </w:r>
          </w:p>
          <w:p w14:paraId="603F9758" w14:textId="77777777" w:rsidR="00E87C1D" w:rsidRPr="002E4D19" w:rsidRDefault="00E87C1D" w:rsidP="00D40AAE">
            <w:pPr>
              <w:spacing w:after="120" w:line="276" w:lineRule="auto"/>
              <w:ind w:firstLine="709"/>
              <w:jc w:val="both"/>
              <w:rPr>
                <w:rFonts w:ascii="Verdana" w:eastAsia="Arial" w:hAnsi="Verdana" w:cs="Arial"/>
                <w:lang w:eastAsia="es-ES" w:bidi="es-ES"/>
              </w:rPr>
            </w:pPr>
            <w:r w:rsidRPr="002E4D19">
              <w:rPr>
                <w:rFonts w:ascii="Verdana" w:eastAsia="Arial" w:hAnsi="Verdana" w:cs="Arial"/>
                <w:lang w:eastAsia="es-ES" w:bidi="es-ES"/>
              </w:rPr>
              <w:t xml:space="preserve">En relación con la prohibición prevista en el parágrafo del artículo 38, esta se dirige exclusivamente a los gobernadores, alcaldes, secretarios, </w:t>
            </w:r>
            <w:r w:rsidRPr="002E4D19">
              <w:rPr>
                <w:rFonts w:ascii="Verdana" w:eastAsia="Arial" w:hAnsi="Verdana" w:cs="Arial"/>
                <w:lang w:eastAsia="es-ES" w:bidi="es-ES"/>
              </w:rPr>
              <w:lastRenderedPageBreak/>
              <w:t>gerentes y directores de entidades descentralizadas del orden municipal, departamental o distrital, es decir, a entidades del orden territorial, y recae únicamente sobre los convenios interadministrativos destinados a la ejecución de recursos públicos. Dado que la Agencia Nacional Digital es una entidad descentralizada indirecta del orden nacional, organizada como asociación civil de participación pública y naturaleza jurídica privada, no se encuentra comprendida dentro del ámbito subjetivo de aplicación del parágrafo del artículo 38, por lo que dicha restricción no le resulta aplicable.</w:t>
            </w:r>
            <w:r>
              <w:rPr>
                <w:rFonts w:ascii="Verdana" w:eastAsia="Arial" w:hAnsi="Verdana" w:cs="Arial"/>
                <w:lang w:eastAsia="es-ES" w:bidi="es-ES"/>
              </w:rPr>
              <w:t xml:space="preserve"> No obstante, deberá analizarse cada caso, para determinar que el otro extremo del negocio jurídico no sea una de las personas a las que les aplica la restricción. </w:t>
            </w:r>
          </w:p>
          <w:p w14:paraId="029DE94F" w14:textId="77777777" w:rsidR="00E87C1D" w:rsidRPr="002E4D19" w:rsidRDefault="00E87C1D" w:rsidP="00D40AAE">
            <w:pPr>
              <w:spacing w:after="120" w:line="276" w:lineRule="auto"/>
              <w:ind w:firstLine="709"/>
              <w:jc w:val="both"/>
              <w:rPr>
                <w:rFonts w:ascii="Verdana" w:eastAsia="Arial" w:hAnsi="Verdana" w:cs="Arial"/>
                <w:lang w:eastAsia="es-ES" w:bidi="es-ES"/>
              </w:rPr>
            </w:pPr>
            <w:r w:rsidRPr="002E4D19">
              <w:rPr>
                <w:rFonts w:ascii="Verdana" w:eastAsia="Arial" w:hAnsi="Verdana" w:cs="Arial"/>
                <w:lang w:eastAsia="es-ES" w:bidi="es-ES"/>
              </w:rPr>
              <w:t xml:space="preserve">Adicionalmente, de acuerdo con la reciente postura del Consejo de Estado —particularmente en </w:t>
            </w:r>
            <w:r w:rsidRPr="31E4E861">
              <w:rPr>
                <w:rFonts w:ascii="Verdana" w:eastAsia="Times New Roman" w:hAnsi="Verdana" w:cs="Arial"/>
                <w:lang w:eastAsia="es-CO"/>
              </w:rPr>
              <w:t>la sentencia expedida por la Sección Tercera de la Sala de lo Contencioso Administrativo del 17 de octubre de 2025</w:t>
            </w:r>
            <w:r>
              <w:rPr>
                <w:rFonts w:ascii="Verdana" w:eastAsia="Times New Roman" w:hAnsi="Verdana" w:cs="Arial"/>
                <w:lang w:eastAsia="es-CO"/>
              </w:rPr>
              <w:t>,</w:t>
            </w:r>
            <w:r w:rsidRPr="002E4D19">
              <w:rPr>
                <w:rFonts w:ascii="Verdana" w:eastAsia="Arial" w:hAnsi="Verdana" w:cs="Arial"/>
                <w:lang w:eastAsia="es-ES" w:bidi="es-ES"/>
              </w:rPr>
              <w:t xml:space="preserve"> en los autos del 4 de octubre de 2024 y del 6 de noviembre de 2025, mediante los cuales </w:t>
            </w:r>
            <w:r w:rsidRPr="31E4E861">
              <w:rPr>
                <w:rFonts w:ascii="Verdana" w:eastAsia="Times New Roman" w:hAnsi="Verdana" w:cs="Arial"/>
                <w:lang w:eastAsia="es-CO"/>
              </w:rPr>
              <w:t>se declaró la nulidad parcial</w:t>
            </w:r>
            <w:r>
              <w:rPr>
                <w:rFonts w:ascii="Verdana" w:eastAsia="Times New Roman" w:hAnsi="Verdana" w:cs="Arial"/>
                <w:lang w:eastAsia="es-CO"/>
              </w:rPr>
              <w:t>,</w:t>
            </w:r>
            <w:r w:rsidRPr="002E4D19">
              <w:rPr>
                <w:rFonts w:ascii="Verdana" w:eastAsia="Arial" w:hAnsi="Verdana" w:cs="Arial"/>
                <w:lang w:eastAsia="es-ES" w:bidi="es-ES"/>
              </w:rPr>
              <w:t xml:space="preserve"> se suspendió parcialmente el numeral 16.2 de la Circular Externa Única de 2022 de Colombia Compra Eficiente</w:t>
            </w:r>
            <w:r>
              <w:rPr>
                <w:rFonts w:ascii="Verdana" w:eastAsia="Arial" w:hAnsi="Verdana" w:cs="Arial"/>
                <w:lang w:eastAsia="es-ES" w:bidi="es-ES"/>
              </w:rPr>
              <w:t xml:space="preserve"> </w:t>
            </w:r>
            <w:r w:rsidRPr="31E4E861">
              <w:rPr>
                <w:rFonts w:ascii="Verdana" w:eastAsia="Arial" w:hAnsi="Verdana" w:cs="Arial"/>
                <w:lang w:eastAsia="es-ES" w:bidi="es-ES"/>
              </w:rPr>
              <w:t>y del inciso cuarto del numeral 16.2 de la Circular Externa Única, versión 3 del 27 de diciembre de 2023</w:t>
            </w:r>
            <w:r>
              <w:rPr>
                <w:rFonts w:ascii="Verdana" w:eastAsia="Arial" w:hAnsi="Verdana" w:cs="Arial"/>
                <w:lang w:eastAsia="es-ES" w:bidi="es-ES"/>
              </w:rPr>
              <w:t xml:space="preserve">, respectivamente </w:t>
            </w:r>
            <w:r w:rsidRPr="002E4D19">
              <w:rPr>
                <w:rFonts w:ascii="Verdana" w:eastAsia="Arial" w:hAnsi="Verdana" w:cs="Arial"/>
                <w:lang w:eastAsia="es-ES" w:bidi="es-ES"/>
              </w:rPr>
              <w:t xml:space="preserve">— la prohibición del parágrafo del artículo 38 no se extiende a los contratos interadministrativos, independientemente de su objeto. En tal sentido, dos entidades públicas pueden suscribir válidamente contratos interadministrativos durante los periodos de restricción electoral, incluidos los cuatro </w:t>
            </w:r>
            <w:r>
              <w:rPr>
                <w:rFonts w:ascii="Verdana" w:eastAsia="Arial" w:hAnsi="Verdana" w:cs="Arial"/>
                <w:lang w:eastAsia="es-ES" w:bidi="es-ES"/>
              </w:rPr>
              <w:t xml:space="preserve">(4) </w:t>
            </w:r>
            <w:r w:rsidRPr="002E4D19">
              <w:rPr>
                <w:rFonts w:ascii="Verdana" w:eastAsia="Arial" w:hAnsi="Verdana" w:cs="Arial"/>
                <w:lang w:eastAsia="es-ES" w:bidi="es-ES"/>
              </w:rPr>
              <w:t>meses previos a las elecciones presidenciales, siempre que la figura no corresponda materialmente a un convenio interadministrativo para la ejecución de recursos públicos, que sí está prohibido para los sujetos territoriales mencionados en la norma.</w:t>
            </w:r>
          </w:p>
          <w:p w14:paraId="7F0C231C" w14:textId="77777777" w:rsidR="00E87C1D" w:rsidRDefault="00E87C1D" w:rsidP="00D40AAE">
            <w:pPr>
              <w:spacing w:after="120" w:line="276" w:lineRule="auto"/>
              <w:ind w:firstLine="709"/>
              <w:jc w:val="both"/>
              <w:rPr>
                <w:rFonts w:ascii="Verdana" w:eastAsia="Arial" w:hAnsi="Verdana" w:cs="Arial"/>
                <w:lang w:eastAsia="es-ES" w:bidi="es-ES"/>
              </w:rPr>
            </w:pPr>
            <w:r w:rsidRPr="002E4D19">
              <w:rPr>
                <w:rFonts w:ascii="Verdana" w:eastAsia="Arial" w:hAnsi="Verdana" w:cs="Arial"/>
                <w:lang w:eastAsia="es-ES" w:bidi="es-ES"/>
              </w:rPr>
              <w:t>De esta manera, aunque la AND no es sujeto obligado por el artículo 38, cuando proyecte suscribir un instrumento con una entidad territorial incluida en dicha disposición, deberá verificar si la naturaleza del instrumento jurídico corresponde a un convenio interadministrativo para la ejecución de recursos públicos. Si ello es así, la restricción se activa respecto de la entidad territorial obligada, lo que condiciona la viabilidad del convenio. Por el contrario, si el instrumento corresponde a un contrato interadministrativo, la prohibición del artículo 38 no resulta aplicable, conforme a la interpretación vigente del Consejo de Estado.</w:t>
            </w:r>
          </w:p>
          <w:p w14:paraId="0FABD7D9" w14:textId="77777777" w:rsidR="00E87C1D" w:rsidRPr="00BC3A80" w:rsidRDefault="00E87C1D" w:rsidP="00D40AAE">
            <w:pPr>
              <w:spacing w:after="120" w:line="276" w:lineRule="auto"/>
              <w:ind w:firstLine="709"/>
              <w:jc w:val="both"/>
              <w:rPr>
                <w:rFonts w:ascii="Verdana" w:eastAsia="Arial" w:hAnsi="Verdana" w:cs="Arial"/>
                <w:color w:val="000000" w:themeColor="text1"/>
              </w:rPr>
            </w:pPr>
            <w:r w:rsidRPr="00BC3A80">
              <w:rPr>
                <w:rFonts w:ascii="Verdana" w:eastAsia="Arial" w:hAnsi="Verdana" w:cs="Arial"/>
                <w:bCs/>
                <w:color w:val="000000" w:themeColor="text1"/>
              </w:rPr>
              <w:t xml:space="preserve">En todo caso, vale anotar que es responsabilidad del respectivo ente del Estado examinar en cada caso la naturaleza de las actividades que adelanta y justificar si las mismas se enmarcan en alguna de las excepciones, de manera </w:t>
            </w:r>
            <w:r w:rsidRPr="00BC3A80">
              <w:rPr>
                <w:rFonts w:ascii="Verdana" w:eastAsia="Arial" w:hAnsi="Verdana" w:cs="Arial"/>
                <w:bCs/>
                <w:color w:val="000000" w:themeColor="text1"/>
              </w:rPr>
              <w:lastRenderedPageBreak/>
              <w:t xml:space="preserve">que pueda realizar la contratación directa durante el periodo de la prohibición. Igualmente, le corresponde a cada entidad </w:t>
            </w:r>
            <w:r w:rsidRPr="00BC3A80">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tc>
      </w:tr>
    </w:tbl>
    <w:p w14:paraId="44D05721" w14:textId="77777777" w:rsidR="00E87C1D" w:rsidRPr="00BC3A80" w:rsidRDefault="00E87C1D" w:rsidP="00E87C1D">
      <w:pPr>
        <w:tabs>
          <w:tab w:val="left" w:pos="142"/>
          <w:tab w:val="left" w:pos="284"/>
        </w:tabs>
        <w:spacing w:after="0" w:line="276" w:lineRule="auto"/>
        <w:jc w:val="both"/>
        <w:rPr>
          <w:rFonts w:ascii="Verdana" w:eastAsia="Century Gothic" w:hAnsi="Verdana" w:cs="Century Gothic"/>
          <w:b/>
          <w:bCs/>
          <w:lang w:val="es-ES_tradnl"/>
        </w:rPr>
      </w:pPr>
    </w:p>
    <w:p w14:paraId="07AB7777" w14:textId="77777777" w:rsidR="00E87C1D" w:rsidRPr="00BC3A80" w:rsidRDefault="00E87C1D" w:rsidP="00E87C1D">
      <w:pPr>
        <w:numPr>
          <w:ilvl w:val="0"/>
          <w:numId w:val="2"/>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Razones de la respuesta:</w:t>
      </w:r>
    </w:p>
    <w:p w14:paraId="5812C7FA" w14:textId="77777777" w:rsidR="00E87C1D" w:rsidRPr="00BC3A80" w:rsidRDefault="00E87C1D" w:rsidP="00E87C1D">
      <w:pPr>
        <w:spacing w:after="0" w:line="276" w:lineRule="auto"/>
        <w:jc w:val="both"/>
        <w:rPr>
          <w:rFonts w:ascii="Verdana" w:hAnsi="Verdana" w:cs="Arial"/>
          <w:color w:val="7030A0"/>
          <w:lang w:val="es-ES_tradnl"/>
        </w:rPr>
      </w:pPr>
    </w:p>
    <w:p w14:paraId="638EA10D" w14:textId="77777777" w:rsidR="00E87C1D" w:rsidRPr="00BC3A80" w:rsidRDefault="00E87C1D" w:rsidP="00E87C1D">
      <w:pPr>
        <w:spacing w:after="0" w:line="276" w:lineRule="auto"/>
        <w:jc w:val="both"/>
        <w:rPr>
          <w:rFonts w:ascii="Verdana" w:hAnsi="Verdana" w:cs="Arial"/>
          <w:lang w:val="es-ES_tradnl"/>
        </w:rPr>
      </w:pPr>
      <w:r w:rsidRPr="00BC3A80">
        <w:rPr>
          <w:rFonts w:ascii="Verdana" w:hAnsi="Verdana" w:cs="Arial"/>
          <w:lang w:val="es-ES_tradnl"/>
        </w:rPr>
        <w:t>Lo anterior se sustenta en las siguientes consideraciones:</w:t>
      </w:r>
    </w:p>
    <w:p w14:paraId="71C56AC1" w14:textId="77777777" w:rsidR="00E87C1D" w:rsidRPr="00BC3A80" w:rsidRDefault="00E87C1D" w:rsidP="00E87C1D">
      <w:pPr>
        <w:spacing w:after="0" w:line="276" w:lineRule="auto"/>
        <w:ind w:firstLine="709"/>
        <w:jc w:val="both"/>
        <w:rPr>
          <w:rFonts w:ascii="Verdana" w:hAnsi="Verdana" w:cs="Arial"/>
          <w:color w:val="000000" w:themeColor="text1"/>
        </w:rPr>
      </w:pPr>
    </w:p>
    <w:p w14:paraId="3D9D51B2" w14:textId="77777777" w:rsidR="00E87C1D" w:rsidRPr="00BC3A80" w:rsidRDefault="00E87C1D" w:rsidP="00E87C1D">
      <w:pPr>
        <w:tabs>
          <w:tab w:val="left" w:pos="426"/>
        </w:tabs>
        <w:spacing w:after="120" w:line="276" w:lineRule="auto"/>
        <w:jc w:val="both"/>
        <w:rPr>
          <w:rFonts w:ascii="Verdana" w:eastAsia="Times New Roman" w:hAnsi="Verdana" w:cs="Arial"/>
          <w:lang w:val="es-ES" w:eastAsia="es-CO"/>
        </w:rPr>
      </w:pPr>
      <w:r w:rsidRPr="00BC3A80">
        <w:rPr>
          <w:rFonts w:ascii="Verdana" w:hAnsi="Verdana" w:cs="Arial"/>
          <w:color w:val="000000" w:themeColor="text1"/>
          <w:lang w:val="es-ES"/>
        </w:rPr>
        <w:t>i.</w:t>
      </w:r>
      <w:r w:rsidRPr="00BC3A80">
        <w:rPr>
          <w:rFonts w:ascii="Verdana" w:eastAsia="Verdana" w:hAnsi="Verdana" w:cs="Verdana"/>
          <w:lang w:val="es-ES"/>
        </w:rPr>
        <w:t xml:space="preserve"> </w:t>
      </w:r>
      <w:r w:rsidRPr="00BC3A80">
        <w:rPr>
          <w:rFonts w:ascii="Verdana" w:hAnsi="Verdana" w:cs="Arial"/>
          <w:lang w:val="es-ES"/>
        </w:rPr>
        <w:t>El ordenamiento jurídico colombiano contempla medidas para evitar la obtención de beneficios personales en asuntos propios de la administración pública</w:t>
      </w:r>
      <w:r w:rsidRPr="00BC3A80">
        <w:rPr>
          <w:rFonts w:ascii="Verdana" w:hAnsi="Verdana" w:cs="Arial"/>
          <w:i/>
          <w:lang w:val="es-ES"/>
        </w:rPr>
        <w:t xml:space="preserve">. </w:t>
      </w:r>
      <w:r w:rsidRPr="00BC3A80">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BC3A80">
        <w:rPr>
          <w:rFonts w:ascii="Verdana" w:hAnsi="Verdana"/>
          <w:vertAlign w:val="superscript"/>
          <w:lang w:val="es-ES"/>
        </w:rPr>
        <w:footnoteReference w:id="1"/>
      </w:r>
      <w:r w:rsidRPr="00BC3A80">
        <w:rPr>
          <w:rFonts w:ascii="Verdana" w:hAnsi="Verdana" w:cs="Arial"/>
          <w:lang w:val="es-ES"/>
        </w:rPr>
        <w:t xml:space="preserve">. </w:t>
      </w:r>
    </w:p>
    <w:p w14:paraId="5753DC93" w14:textId="77777777" w:rsidR="00E87C1D" w:rsidRPr="00BC3A80" w:rsidRDefault="00E87C1D" w:rsidP="00E87C1D">
      <w:pPr>
        <w:tabs>
          <w:tab w:val="left" w:pos="426"/>
        </w:tabs>
        <w:spacing w:after="120" w:line="276" w:lineRule="auto"/>
        <w:ind w:firstLine="709"/>
        <w:jc w:val="both"/>
        <w:rPr>
          <w:rFonts w:ascii="Verdana" w:hAnsi="Verdana" w:cs="Arial"/>
          <w:lang w:val="es-ES"/>
        </w:rPr>
      </w:pPr>
      <w:r w:rsidRPr="00BC3A80">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BC3A80">
        <w:rPr>
          <w:rFonts w:ascii="Verdana" w:eastAsia="Times New Roman" w:hAnsi="Verdana" w:cs="Arial"/>
          <w:vertAlign w:val="superscript"/>
          <w:lang w:val="es-ES" w:eastAsia="es-CO"/>
        </w:rPr>
        <w:footnoteReference w:id="2"/>
      </w:r>
      <w:r w:rsidRPr="00BC3A80">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BC3A80">
        <w:rPr>
          <w:rFonts w:ascii="Verdana" w:hAnsi="Verdana" w:cs="Arial"/>
          <w:lang w:val="es-ES"/>
        </w:rPr>
        <w:t xml:space="preserve"> </w:t>
      </w:r>
    </w:p>
    <w:p w14:paraId="4741D51C" w14:textId="77777777" w:rsidR="00E87C1D" w:rsidRPr="00BC3A80" w:rsidRDefault="00E87C1D" w:rsidP="00E87C1D">
      <w:pPr>
        <w:tabs>
          <w:tab w:val="left" w:pos="426"/>
        </w:tabs>
        <w:spacing w:after="0" w:line="276" w:lineRule="auto"/>
        <w:ind w:firstLine="709"/>
        <w:jc w:val="both"/>
        <w:rPr>
          <w:rFonts w:ascii="Verdana" w:hAnsi="Verdana" w:cs="Arial"/>
          <w:lang w:val="es-ES"/>
        </w:rPr>
      </w:pPr>
      <w:r w:rsidRPr="00BC3A80">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4399679E" w14:textId="77777777" w:rsidR="00E87C1D" w:rsidRPr="00BC3A80" w:rsidRDefault="00E87C1D" w:rsidP="00E87C1D">
      <w:pPr>
        <w:spacing w:after="0" w:line="276" w:lineRule="auto"/>
        <w:ind w:right="709"/>
        <w:jc w:val="both"/>
        <w:rPr>
          <w:rFonts w:ascii="Verdana" w:eastAsia="Times New Roman" w:hAnsi="Verdana" w:cs="Arial"/>
          <w:lang w:val="es-ES" w:eastAsia="es-CO"/>
        </w:rPr>
      </w:pPr>
    </w:p>
    <w:p w14:paraId="6F28E712" w14:textId="77777777" w:rsidR="00E87C1D" w:rsidRPr="00BC3A80" w:rsidRDefault="00E87C1D" w:rsidP="00E87C1D">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lastRenderedPageBreak/>
        <w:t>“[…] la definición de reglas claras que permitan acceder a los canales de expresión democrática de manera efectiva e igualitaria. El objetivo de una ley de garantías es definir esas reglas.</w:t>
      </w:r>
    </w:p>
    <w:p w14:paraId="0F35931B" w14:textId="77777777" w:rsidR="00E87C1D" w:rsidRDefault="00E87C1D" w:rsidP="00E87C1D">
      <w:pPr>
        <w:spacing w:after="0" w:line="240" w:lineRule="auto"/>
        <w:ind w:left="709" w:right="709"/>
        <w:contextualSpacing/>
        <w:jc w:val="both"/>
        <w:rPr>
          <w:rFonts w:ascii="Verdana" w:eastAsia="Times New Roman" w:hAnsi="Verdana" w:cs="Arial"/>
          <w:sz w:val="20"/>
          <w:szCs w:val="20"/>
          <w:lang w:val="es-ES" w:eastAsia="es-CO"/>
        </w:rPr>
      </w:pPr>
    </w:p>
    <w:p w14:paraId="15592623" w14:textId="77777777" w:rsidR="00E87C1D" w:rsidRPr="00BC3A80" w:rsidRDefault="00E87C1D" w:rsidP="00E87C1D">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xml:space="preserve">[…] </w:t>
      </w:r>
    </w:p>
    <w:p w14:paraId="1818D074" w14:textId="77777777" w:rsidR="00E87C1D" w:rsidRDefault="00E87C1D" w:rsidP="00E87C1D">
      <w:pPr>
        <w:spacing w:after="0" w:line="240" w:lineRule="auto"/>
        <w:ind w:left="709" w:right="709"/>
        <w:contextualSpacing/>
        <w:jc w:val="both"/>
        <w:rPr>
          <w:rFonts w:ascii="Verdana" w:eastAsia="Times New Roman" w:hAnsi="Verdana" w:cs="Arial"/>
          <w:sz w:val="20"/>
          <w:szCs w:val="20"/>
          <w:lang w:val="es-ES" w:eastAsia="es-CO"/>
        </w:rPr>
      </w:pPr>
    </w:p>
    <w:p w14:paraId="0B01AD6A" w14:textId="77777777" w:rsidR="00E87C1D" w:rsidRPr="00BC3A80" w:rsidRDefault="00E87C1D" w:rsidP="00E87C1D">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BC3A80">
        <w:rPr>
          <w:rFonts w:ascii="Verdana" w:hAnsi="Verdana" w:cs="Arial"/>
          <w:sz w:val="20"/>
          <w:szCs w:val="20"/>
          <w:vertAlign w:val="superscript"/>
          <w:lang w:val="es-ES"/>
        </w:rPr>
        <w:footnoteReference w:id="3"/>
      </w:r>
    </w:p>
    <w:p w14:paraId="5A66629E" w14:textId="77777777" w:rsidR="00E87C1D" w:rsidRPr="00BC3A80" w:rsidRDefault="00E87C1D" w:rsidP="00E87C1D">
      <w:pPr>
        <w:spacing w:after="0" w:line="276" w:lineRule="auto"/>
        <w:ind w:firstLine="709"/>
        <w:jc w:val="both"/>
        <w:rPr>
          <w:rFonts w:ascii="Verdana" w:eastAsia="Times New Roman" w:hAnsi="Verdana" w:cs="Arial"/>
          <w:lang w:val="es-ES" w:eastAsia="es-CO"/>
        </w:rPr>
      </w:pPr>
    </w:p>
    <w:p w14:paraId="24E2408F" w14:textId="77777777" w:rsidR="00E87C1D" w:rsidRPr="00BC3A80" w:rsidRDefault="00E87C1D" w:rsidP="00E87C1D">
      <w:pPr>
        <w:spacing w:after="0" w:line="276" w:lineRule="auto"/>
        <w:ind w:firstLine="709"/>
        <w:jc w:val="both"/>
        <w:rPr>
          <w:rFonts w:ascii="Verdana" w:eastAsia="Times New Roman" w:hAnsi="Verdana" w:cs="Arial"/>
          <w:lang w:val="es-ES" w:eastAsia="es-CO"/>
        </w:rPr>
      </w:pPr>
      <w:r w:rsidRPr="00BC3A80">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16D37CC7" w14:textId="77777777" w:rsidR="00E87C1D" w:rsidRPr="00BC3A80" w:rsidRDefault="00E87C1D" w:rsidP="00E87C1D">
      <w:pPr>
        <w:spacing w:after="0" w:line="276" w:lineRule="auto"/>
        <w:ind w:firstLine="709"/>
        <w:jc w:val="both"/>
        <w:rPr>
          <w:rFonts w:ascii="Verdana" w:eastAsia="Times New Roman" w:hAnsi="Verdana" w:cs="Arial"/>
          <w:lang w:val="es-ES" w:eastAsia="es-CO"/>
        </w:rPr>
      </w:pPr>
    </w:p>
    <w:p w14:paraId="4A669511" w14:textId="77777777" w:rsidR="00E87C1D" w:rsidRPr="00BC3A80" w:rsidRDefault="00E87C1D" w:rsidP="00E87C1D">
      <w:pPr>
        <w:spacing w:after="0" w:line="240" w:lineRule="auto"/>
        <w:ind w:left="709" w:right="709"/>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BC3A80">
        <w:rPr>
          <w:rFonts w:ascii="Verdana" w:eastAsia="Times New Roman" w:hAnsi="Verdana" w:cs="Arial"/>
          <w:sz w:val="20"/>
          <w:szCs w:val="20"/>
          <w:lang w:val="es-ES" w:eastAsia="es-CO"/>
        </w:rPr>
        <w:t>legis</w:t>
      </w:r>
      <w:proofErr w:type="spellEnd"/>
      <w:r w:rsidRPr="00BC3A80">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C717E8C" w14:textId="77777777" w:rsidR="00E87C1D" w:rsidRPr="00BC3A80" w:rsidRDefault="00E87C1D" w:rsidP="00E87C1D">
      <w:pPr>
        <w:spacing w:after="0" w:line="240" w:lineRule="auto"/>
        <w:ind w:right="709"/>
        <w:jc w:val="both"/>
        <w:rPr>
          <w:rFonts w:ascii="Verdana" w:eastAsia="Times New Roman" w:hAnsi="Verdana" w:cs="Arial"/>
          <w:lang w:val="es-ES" w:eastAsia="es-CO"/>
        </w:rPr>
      </w:pPr>
    </w:p>
    <w:p w14:paraId="0910A4BE" w14:textId="77777777" w:rsidR="00E87C1D" w:rsidRPr="00BC3A80" w:rsidRDefault="00E87C1D" w:rsidP="00E87C1D">
      <w:pPr>
        <w:spacing w:after="0" w:line="240" w:lineRule="auto"/>
        <w:ind w:left="709" w:right="709"/>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La jurisprudencia de la Corte Constitucional</w:t>
      </w:r>
      <w:r w:rsidRPr="00BC3A80">
        <w:rPr>
          <w:rFonts w:ascii="Verdana" w:eastAsia="Times New Roman" w:hAnsi="Verdana" w:cs="Arial"/>
          <w:sz w:val="20"/>
          <w:szCs w:val="20"/>
          <w:vertAlign w:val="superscript"/>
          <w:lang w:val="es-ES" w:eastAsia="es-CO"/>
        </w:rPr>
        <w:footnoteReference w:id="4"/>
      </w:r>
      <w:r w:rsidRPr="00BC3A80">
        <w:rPr>
          <w:rFonts w:ascii="Verdana" w:eastAsia="Times New Roman" w:hAnsi="Verdana" w:cs="Arial"/>
          <w:sz w:val="20"/>
          <w:szCs w:val="20"/>
          <w:lang w:val="es-ES" w:eastAsia="es-CO"/>
        </w:rPr>
        <w:t> y del Consejo de Estado</w:t>
      </w:r>
      <w:r w:rsidRPr="00BC3A80">
        <w:rPr>
          <w:rFonts w:ascii="Verdana" w:eastAsia="Times New Roman" w:hAnsi="Verdana" w:cs="Arial"/>
          <w:sz w:val="20"/>
          <w:szCs w:val="20"/>
          <w:vertAlign w:val="superscript"/>
          <w:lang w:val="es-ES" w:eastAsia="es-CO"/>
        </w:rPr>
        <w:footnoteReference w:id="5"/>
      </w:r>
      <w:r w:rsidRPr="00BC3A80">
        <w:rPr>
          <w:rFonts w:ascii="Verdana" w:eastAsia="Times New Roman" w:hAnsi="Verdana" w:cs="Arial"/>
          <w:sz w:val="20"/>
          <w:szCs w:val="20"/>
          <w:lang w:val="es-ES" w:eastAsia="es-CO"/>
        </w:rPr>
        <w:t xml:space="preserve">, coinciden en que las normas que establecen prohibiciones deben estar de </w:t>
      </w:r>
      <w:r w:rsidRPr="00BC3A80">
        <w:rPr>
          <w:rFonts w:ascii="Verdana" w:eastAsia="Times New Roman" w:hAnsi="Verdana" w:cs="Arial"/>
          <w:sz w:val="20"/>
          <w:szCs w:val="20"/>
          <w:lang w:val="es-ES" w:eastAsia="es-CO"/>
        </w:rPr>
        <w:lastRenderedPageBreak/>
        <w:t>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BC3A80">
        <w:rPr>
          <w:rFonts w:ascii="Verdana" w:eastAsia="Times New Roman" w:hAnsi="Verdana" w:cs="Arial"/>
          <w:sz w:val="20"/>
          <w:szCs w:val="20"/>
          <w:vertAlign w:val="superscript"/>
          <w:lang w:val="es-ES" w:eastAsia="es-CO"/>
        </w:rPr>
        <w:footnoteReference w:id="6"/>
      </w:r>
      <w:r w:rsidRPr="00BC3A80">
        <w:rPr>
          <w:rFonts w:ascii="Verdana" w:eastAsia="Times New Roman" w:hAnsi="Verdana" w:cs="Arial"/>
          <w:sz w:val="20"/>
          <w:szCs w:val="20"/>
          <w:lang w:val="es-ES" w:eastAsia="es-CO"/>
        </w:rPr>
        <w:t>.</w:t>
      </w:r>
    </w:p>
    <w:p w14:paraId="5E8CC55E" w14:textId="77777777" w:rsidR="00E87C1D" w:rsidRPr="00BC3A80" w:rsidRDefault="00E87C1D" w:rsidP="00E87C1D">
      <w:pPr>
        <w:spacing w:after="0" w:line="276" w:lineRule="auto"/>
        <w:jc w:val="both"/>
        <w:rPr>
          <w:rFonts w:ascii="Verdana" w:hAnsi="Verdana" w:cs="Arial"/>
          <w:bCs/>
          <w:lang w:val="es-ES"/>
        </w:rPr>
      </w:pPr>
    </w:p>
    <w:p w14:paraId="597C97C4" w14:textId="77777777" w:rsidR="00E87C1D" w:rsidRPr="00BC3A80" w:rsidRDefault="00E87C1D" w:rsidP="00E87C1D">
      <w:pPr>
        <w:spacing w:after="0" w:line="276" w:lineRule="auto"/>
        <w:ind w:firstLine="709"/>
        <w:jc w:val="both"/>
        <w:rPr>
          <w:rFonts w:ascii="Verdana" w:eastAsia="Arial" w:hAnsi="Verdana" w:cs="Arial"/>
          <w:lang w:val="es-ES" w:eastAsia="es-ES" w:bidi="es-ES"/>
        </w:rPr>
      </w:pPr>
      <w:r w:rsidRPr="00BC3A80">
        <w:rPr>
          <w:rFonts w:ascii="Verdana" w:eastAsia="Times New Roman" w:hAnsi="Verdana" w:cs="Arial"/>
          <w:lang w:val="es-ES" w:eastAsia="es-CO"/>
        </w:rPr>
        <w:t>De</w:t>
      </w:r>
      <w:r w:rsidRPr="00BC3A80">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1BD71445" w14:textId="77777777" w:rsidR="00E87C1D" w:rsidRPr="00BC3A80" w:rsidRDefault="00E87C1D" w:rsidP="00E87C1D">
      <w:pPr>
        <w:spacing w:after="0" w:line="276" w:lineRule="auto"/>
        <w:ind w:firstLine="709"/>
        <w:jc w:val="both"/>
        <w:rPr>
          <w:rFonts w:ascii="Verdana" w:eastAsia="Arial" w:hAnsi="Verdana" w:cs="Arial"/>
          <w:lang w:val="es-ES" w:eastAsia="es-ES" w:bidi="es-ES"/>
        </w:rPr>
      </w:pPr>
    </w:p>
    <w:p w14:paraId="25315B48" w14:textId="77777777" w:rsidR="00E87C1D" w:rsidRPr="00BC3A80" w:rsidRDefault="00E87C1D" w:rsidP="00E87C1D">
      <w:pPr>
        <w:spacing w:after="120" w:line="276" w:lineRule="auto"/>
        <w:jc w:val="both"/>
        <w:rPr>
          <w:rFonts w:ascii="Verdana" w:eastAsia="Arial" w:hAnsi="Verdana" w:cs="Arial"/>
          <w:lang w:val="es-ES" w:eastAsia="es-ES" w:bidi="es-ES"/>
        </w:rPr>
      </w:pPr>
      <w:proofErr w:type="spellStart"/>
      <w:r w:rsidRPr="00BC3A80">
        <w:rPr>
          <w:rFonts w:ascii="Verdana" w:eastAsia="Arial" w:hAnsi="Verdana" w:cs="Arial"/>
          <w:lang w:val="es-ES" w:eastAsia="es-ES" w:bidi="es-ES"/>
        </w:rPr>
        <w:t>ii</w:t>
      </w:r>
      <w:proofErr w:type="spellEnd"/>
      <w:r w:rsidRPr="00BC3A80">
        <w:rPr>
          <w:rFonts w:ascii="Verdana" w:eastAsia="Arial" w:hAnsi="Verdana" w:cs="Arial"/>
          <w:lang w:val="es-ES" w:eastAsia="es-ES" w:bidi="es-ES"/>
        </w:rPr>
        <w:t xml:space="preserve">. Las restricciones consagradas en la Ley de Garantías </w:t>
      </w:r>
      <w:r>
        <w:rPr>
          <w:rFonts w:ascii="Verdana" w:eastAsia="Arial" w:hAnsi="Verdana" w:cs="Arial"/>
          <w:lang w:val="es-ES" w:eastAsia="es-ES" w:bidi="es-ES"/>
        </w:rPr>
        <w:t xml:space="preserve">Electorales </w:t>
      </w:r>
      <w:r w:rsidRPr="00BC3A80">
        <w:rPr>
          <w:rFonts w:ascii="Verdana" w:eastAsia="Arial" w:hAnsi="Verdana" w:cs="Arial"/>
          <w:lang w:val="es-ES" w:eastAsia="es-ES" w:bidi="es-ES"/>
        </w:rPr>
        <w:t>se dirigen a dos (2) tipos de campañas electorales diferenciadas: las presidenciales y las que se adelanten para la elección de los demás cargos de elección popular, tanto a nivel nacional como territorial.</w:t>
      </w:r>
    </w:p>
    <w:p w14:paraId="7187A62E" w14:textId="77777777" w:rsidR="00E87C1D" w:rsidRPr="00BC3A80" w:rsidRDefault="00E87C1D" w:rsidP="00E87C1D">
      <w:pPr>
        <w:spacing w:after="120" w:line="276" w:lineRule="auto"/>
        <w:ind w:firstLine="708"/>
        <w:jc w:val="both"/>
        <w:rPr>
          <w:rFonts w:ascii="Verdana" w:hAnsi="Verdana" w:cs="Arial"/>
          <w:lang w:val="es-ES"/>
        </w:rPr>
      </w:pPr>
      <w:r w:rsidRPr="00BC3A80">
        <w:rPr>
          <w:rFonts w:ascii="Verdana" w:hAnsi="Verdana" w:cs="Arial"/>
          <w:lang w:val="es-ES"/>
        </w:rPr>
        <w:t xml:space="preserve">Por un lado, el </w:t>
      </w:r>
      <w:r w:rsidRPr="00BC3A80">
        <w:rPr>
          <w:rFonts w:ascii="Verdana" w:hAnsi="Verdana" w:cs="Arial"/>
          <w:i/>
          <w:iCs/>
          <w:lang w:val="es-ES"/>
        </w:rPr>
        <w:t xml:space="preserve">artículo 33 </w:t>
      </w:r>
      <w:r w:rsidRPr="00BC3A80">
        <w:rPr>
          <w:rFonts w:ascii="Verdana" w:hAnsi="Verdana" w:cs="Arial"/>
          <w:lang w:val="es-ES"/>
        </w:rPr>
        <w:t xml:space="preserve">de la Ley 996 de 2005 prohíbe “[…] la contratación directa por parte de </w:t>
      </w:r>
      <w:r w:rsidRPr="00BC3A80">
        <w:rPr>
          <w:rFonts w:ascii="Verdana" w:hAnsi="Verdana" w:cs="Arial"/>
          <w:i/>
          <w:iCs/>
          <w:lang w:val="es-ES"/>
        </w:rPr>
        <w:t>todos los entes del Estado</w:t>
      </w:r>
      <w:r w:rsidRPr="00BC3A80">
        <w:rPr>
          <w:rFonts w:ascii="Verdana" w:hAnsi="Verdana" w:cs="Arial"/>
          <w:lang w:val="es-ES"/>
        </w:rPr>
        <w:t xml:space="preserve">” durante los cuatro (4) meses anteriores a las </w:t>
      </w:r>
      <w:r w:rsidRPr="00BC3A80">
        <w:rPr>
          <w:rFonts w:ascii="Verdana" w:hAnsi="Verdana" w:cs="Arial"/>
          <w:i/>
          <w:iCs/>
          <w:lang w:val="es-ES"/>
        </w:rPr>
        <w:t>elecciones presidenciales</w:t>
      </w:r>
      <w:r w:rsidRPr="00BC3A80">
        <w:rPr>
          <w:rFonts w:ascii="Verdana"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C3A80">
        <w:rPr>
          <w:rFonts w:ascii="Verdana" w:hAnsi="Verdana" w:cs="Arial"/>
          <w:vertAlign w:val="superscript"/>
          <w:lang w:val="es-ES"/>
        </w:rPr>
        <w:footnoteReference w:id="7"/>
      </w:r>
      <w:r w:rsidRPr="00BC3A80">
        <w:rPr>
          <w:rFonts w:ascii="Verdana" w:hAnsi="Verdana" w:cs="Arial"/>
          <w:lang w:val="es-ES"/>
        </w:rPr>
        <w:t>.</w:t>
      </w:r>
    </w:p>
    <w:p w14:paraId="7BFF286C" w14:textId="77777777" w:rsidR="00E87C1D" w:rsidRPr="00BC3A80" w:rsidRDefault="00E87C1D" w:rsidP="00E87C1D">
      <w:pPr>
        <w:widowControl w:val="0"/>
        <w:autoSpaceDE w:val="0"/>
        <w:autoSpaceDN w:val="0"/>
        <w:spacing w:after="120" w:line="276" w:lineRule="auto"/>
        <w:ind w:right="113" w:firstLine="709"/>
        <w:jc w:val="both"/>
        <w:rPr>
          <w:rFonts w:ascii="Verdana" w:eastAsia="Arial" w:hAnsi="Verdana" w:cs="Arial"/>
          <w:lang w:val="es-ES" w:eastAsia="es-ES" w:bidi="es-ES"/>
        </w:rPr>
      </w:pPr>
      <w:r w:rsidRPr="00BC3A80">
        <w:rPr>
          <w:rFonts w:ascii="Verdana" w:hAnsi="Verdana" w:cs="Arial"/>
          <w:lang w:val="es-ES"/>
        </w:rPr>
        <w:lastRenderedPageBreak/>
        <w:t xml:space="preserve">Por otro lado, </w:t>
      </w:r>
      <w:r w:rsidRPr="00BC3A80">
        <w:rPr>
          <w:rFonts w:ascii="Verdana" w:hAnsi="Verdana" w:cs="Arial"/>
          <w:i/>
          <w:iCs/>
          <w:lang w:val="es-ES"/>
        </w:rPr>
        <w:t xml:space="preserve">el parágrafo del artículo 38 </w:t>
      </w:r>
      <w:r w:rsidRPr="00BC3A80">
        <w:rPr>
          <w:rFonts w:ascii="Verdana" w:hAnsi="Verdana" w:cs="Arial"/>
          <w:lang w:val="es-ES"/>
        </w:rPr>
        <w:t xml:space="preserve">de la Ley 996 de 2005 prevé una restricción, aplicable respecto de </w:t>
      </w:r>
      <w:r w:rsidRPr="00BC3A80">
        <w:rPr>
          <w:rFonts w:ascii="Verdana" w:hAnsi="Verdana" w:cs="Arial"/>
          <w:i/>
          <w:iCs/>
          <w:lang w:val="es-ES"/>
        </w:rPr>
        <w:t>cualquier tipo de contienda electoral</w:t>
      </w:r>
      <w:r w:rsidRPr="00BC3A80">
        <w:rPr>
          <w:rFonts w:ascii="Verdana"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C3A80">
        <w:rPr>
          <w:rFonts w:ascii="Verdana" w:hAnsi="Verdana" w:cs="Arial"/>
          <w:vertAlign w:val="superscript"/>
          <w:lang w:val="es-ES"/>
        </w:rPr>
        <w:footnoteReference w:id="8"/>
      </w:r>
      <w:r w:rsidRPr="00BC3A80">
        <w:rPr>
          <w:rFonts w:ascii="Verdana" w:hAnsi="Verdana" w:cs="Arial"/>
          <w:lang w:val="es-ES"/>
        </w:rPr>
        <w:t>.</w:t>
      </w:r>
      <w:r w:rsidRPr="00BC3A80">
        <w:rPr>
          <w:rFonts w:ascii="Verdana" w:eastAsia="Arial" w:hAnsi="Verdana" w:cs="Arial"/>
          <w:lang w:val="es-ES" w:eastAsia="es-ES" w:bidi="es-ES"/>
        </w:rPr>
        <w:t xml:space="preserve"> </w:t>
      </w:r>
    </w:p>
    <w:p w14:paraId="06BE9EDD" w14:textId="77777777" w:rsidR="00E87C1D" w:rsidRPr="00BC3A80" w:rsidRDefault="00E87C1D" w:rsidP="00E87C1D">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BC3A80">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59E13FDA" w14:textId="77777777" w:rsidR="00E87C1D" w:rsidRPr="00BC3A80" w:rsidRDefault="00E87C1D" w:rsidP="00E87C1D">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315B778C" w14:textId="77777777" w:rsidR="00E87C1D" w:rsidRPr="00BC3A80" w:rsidRDefault="00E87C1D" w:rsidP="00E87C1D">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BC3A80">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BC3A80">
        <w:rPr>
          <w:rFonts w:ascii="Verdana" w:eastAsia="Arial" w:hAnsi="Verdana" w:cs="Arial"/>
          <w:sz w:val="20"/>
          <w:szCs w:val="20"/>
          <w:lang w:val="es-ES" w:eastAsia="es-ES" w:bidi="es-ES"/>
        </w:rPr>
        <w:t>Presidente</w:t>
      </w:r>
      <w:proofErr w:type="gramEnd"/>
      <w:r w:rsidRPr="00BC3A80">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BC3A80">
        <w:rPr>
          <w:rFonts w:ascii="Verdana" w:eastAsia="Arial" w:hAnsi="Verdana" w:cs="Arial"/>
          <w:sz w:val="20"/>
          <w:szCs w:val="20"/>
          <w:vertAlign w:val="superscript"/>
          <w:lang w:val="es-ES" w:eastAsia="es-ES" w:bidi="es-ES"/>
        </w:rPr>
        <w:footnoteReference w:id="9"/>
      </w:r>
      <w:r w:rsidRPr="00BC3A80">
        <w:rPr>
          <w:rFonts w:ascii="Verdana" w:eastAsia="Arial" w:hAnsi="Verdana" w:cs="Arial"/>
          <w:sz w:val="20"/>
          <w:szCs w:val="20"/>
          <w:lang w:val="es-ES" w:eastAsia="es-ES" w:bidi="es-ES"/>
        </w:rPr>
        <w:t>”.</w:t>
      </w:r>
    </w:p>
    <w:p w14:paraId="1D05F82C" w14:textId="77777777" w:rsidR="00E87C1D" w:rsidRPr="00BC3A80" w:rsidRDefault="00E87C1D" w:rsidP="00E87C1D">
      <w:pPr>
        <w:widowControl w:val="0"/>
        <w:autoSpaceDE w:val="0"/>
        <w:autoSpaceDN w:val="0"/>
        <w:spacing w:after="0" w:line="276" w:lineRule="auto"/>
        <w:contextualSpacing/>
        <w:rPr>
          <w:rFonts w:ascii="Verdana" w:eastAsia="Arial" w:hAnsi="Verdana" w:cs="Arial"/>
          <w:lang w:val="es-ES" w:eastAsia="es-ES" w:bidi="es-ES"/>
        </w:rPr>
      </w:pPr>
    </w:p>
    <w:p w14:paraId="090E8050" w14:textId="77777777" w:rsidR="00E87C1D" w:rsidRPr="00BC3A80" w:rsidRDefault="00E87C1D" w:rsidP="00E87C1D">
      <w:pPr>
        <w:spacing w:after="120" w:line="276" w:lineRule="auto"/>
        <w:ind w:firstLine="709"/>
        <w:jc w:val="both"/>
        <w:rPr>
          <w:rFonts w:ascii="Verdana" w:eastAsia="Arial" w:hAnsi="Verdana" w:cs="Arial"/>
          <w:lang w:val="es-ES" w:eastAsia="es-ES" w:bidi="es-ES"/>
        </w:rPr>
      </w:pPr>
      <w:r w:rsidRPr="00BC3A80">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BC3A80">
        <w:rPr>
          <w:rFonts w:ascii="Verdana" w:eastAsia="Arial" w:hAnsi="Verdana" w:cs="Arial"/>
          <w:i/>
          <w:lang w:val="es-ES" w:eastAsia="es-ES" w:bidi="es-ES"/>
        </w:rPr>
        <w:t>En primer lugar</w:t>
      </w:r>
      <w:r w:rsidRPr="00BC3A80">
        <w:rPr>
          <w:rFonts w:ascii="Verdana" w:eastAsia="Arial" w:hAnsi="Verdana" w:cs="Arial"/>
          <w:lang w:val="es-ES" w:eastAsia="es-ES" w:bidi="es-ES"/>
        </w:rPr>
        <w:t xml:space="preserve">, la del artículo 33 que aplica solo respecto de las elecciones </w:t>
      </w:r>
      <w:r w:rsidRPr="00BC3A80">
        <w:rPr>
          <w:rFonts w:ascii="Verdana" w:eastAsia="Arial" w:hAnsi="Verdana" w:cs="Arial"/>
          <w:lang w:val="es-ES" w:eastAsia="es-ES" w:bidi="es-ES"/>
        </w:rPr>
        <w:lastRenderedPageBreak/>
        <w:t xml:space="preserve">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BC3A80">
        <w:rPr>
          <w:rFonts w:ascii="Verdana" w:eastAsia="Arial" w:hAnsi="Verdana" w:cs="Arial"/>
          <w:i/>
          <w:lang w:val="es-ES" w:eastAsia="es-ES" w:bidi="es-ES"/>
        </w:rPr>
        <w:t>En segundo lugar</w:t>
      </w:r>
      <w:r w:rsidRPr="00BC3A80">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Pr>
          <w:rFonts w:ascii="Verdana" w:eastAsia="Arial" w:hAnsi="Verdana" w:cs="Arial"/>
          <w:lang w:val="es-ES" w:eastAsia="es-ES" w:bidi="es-ES"/>
        </w:rPr>
        <w:t xml:space="preserve"> para los sujetos señalados en la disposición</w:t>
      </w:r>
      <w:r w:rsidRPr="00BC3A80">
        <w:rPr>
          <w:rFonts w:ascii="Verdana" w:eastAsia="Arial" w:hAnsi="Verdana" w:cs="Arial"/>
          <w:lang w:val="es-ES" w:eastAsia="es-ES" w:bidi="es-ES"/>
        </w:rPr>
        <w:t>.</w:t>
      </w:r>
    </w:p>
    <w:p w14:paraId="0C5D25C1" w14:textId="77777777" w:rsidR="00E87C1D" w:rsidRPr="00BC3A80" w:rsidRDefault="00E87C1D" w:rsidP="00E87C1D">
      <w:pPr>
        <w:spacing w:after="120" w:line="276" w:lineRule="auto"/>
        <w:ind w:firstLine="709"/>
        <w:jc w:val="both"/>
        <w:rPr>
          <w:rFonts w:ascii="Verdana" w:eastAsia="Arial" w:hAnsi="Verdana" w:cs="Arial"/>
          <w:lang w:val="es-ES" w:eastAsia="es-ES" w:bidi="es-ES"/>
        </w:rPr>
      </w:pPr>
      <w:r w:rsidRPr="00BC3A80">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BC3A80">
        <w:rPr>
          <w:rFonts w:ascii="Verdana" w:eastAsia="Arial" w:hAnsi="Verdana" w:cs="Arial"/>
          <w:lang w:val="es-ES" w:eastAsia="es-ES" w:bidi="es-ES"/>
        </w:rPr>
        <w:t>Presidente</w:t>
      </w:r>
      <w:proofErr w:type="gramEnd"/>
      <w:r w:rsidRPr="00BC3A80">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BC3A80">
        <w:rPr>
          <w:rFonts w:ascii="Verdana" w:eastAsia="Arial" w:hAnsi="Verdana" w:cs="Arial"/>
          <w:lang w:val="es-ES" w:eastAsia="es-ES" w:bidi="es-ES"/>
        </w:rPr>
        <w:t>Presidente</w:t>
      </w:r>
      <w:proofErr w:type="gramEnd"/>
      <w:r w:rsidRPr="00BC3A80">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6C7E026D" w14:textId="77777777" w:rsidR="00E87C1D" w:rsidRPr="00BC3A80" w:rsidRDefault="00E87C1D" w:rsidP="00E87C1D">
      <w:pPr>
        <w:spacing w:after="0" w:line="276" w:lineRule="auto"/>
        <w:ind w:firstLine="709"/>
        <w:jc w:val="both"/>
        <w:rPr>
          <w:rFonts w:ascii="Verdana" w:eastAsia="Arial" w:hAnsi="Verdana" w:cs="Arial"/>
          <w:lang w:val="es-ES" w:eastAsia="es-ES" w:bidi="es-ES"/>
        </w:rPr>
      </w:pPr>
      <w:r w:rsidRPr="00BC3A80">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BC3A80">
        <w:rPr>
          <w:rFonts w:ascii="Verdana" w:eastAsia="Arial" w:hAnsi="Verdana" w:cs="Arial"/>
          <w:lang w:val="es-ES" w:eastAsia="es-ES" w:bidi="es-ES"/>
        </w:rPr>
        <w:t>Presidente</w:t>
      </w:r>
      <w:proofErr w:type="gramEnd"/>
      <w:r w:rsidRPr="00BC3A80">
        <w:rPr>
          <w:rFonts w:ascii="Verdana" w:eastAsia="Arial" w:hAnsi="Verdana" w:cs="Arial"/>
          <w:lang w:val="es-ES" w:eastAsia="es-ES" w:bidi="es-ES"/>
        </w:rPr>
        <w:t xml:space="preserve"> o el </w:t>
      </w:r>
      <w:proofErr w:type="gramStart"/>
      <w:r w:rsidRPr="00BC3A80">
        <w:rPr>
          <w:rFonts w:ascii="Verdana" w:eastAsia="Arial" w:hAnsi="Verdana" w:cs="Arial"/>
          <w:lang w:val="es-ES" w:eastAsia="es-ES" w:bidi="es-ES"/>
        </w:rPr>
        <w:t>Vicepresidente</w:t>
      </w:r>
      <w:proofErr w:type="gramEnd"/>
      <w:r w:rsidRPr="00BC3A80">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BC3A80">
        <w:rPr>
          <w:rFonts w:ascii="Verdana" w:eastAsia="Arial" w:hAnsi="Verdana" w:cs="Arial"/>
          <w:lang w:val="es-ES" w:eastAsia="es-ES" w:bidi="es-ES"/>
        </w:rPr>
        <w:t>Presidente</w:t>
      </w:r>
      <w:proofErr w:type="gramEnd"/>
      <w:r w:rsidRPr="00BC3A80">
        <w:rPr>
          <w:rFonts w:ascii="Verdana" w:eastAsia="Arial" w:hAnsi="Verdana" w:cs="Arial"/>
          <w:lang w:val="es-ES" w:eastAsia="es-ES" w:bidi="es-ES"/>
        </w:rPr>
        <w:t xml:space="preserve"> y el </w:t>
      </w:r>
      <w:proofErr w:type="gramStart"/>
      <w:r w:rsidRPr="00BC3A80">
        <w:rPr>
          <w:rFonts w:ascii="Verdana" w:eastAsia="Arial" w:hAnsi="Verdana" w:cs="Arial"/>
          <w:lang w:val="es-ES" w:eastAsia="es-ES" w:bidi="es-ES"/>
        </w:rPr>
        <w:t>Vicepresidente</w:t>
      </w:r>
      <w:proofErr w:type="gramEnd"/>
      <w:r w:rsidRPr="00BC3A80">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BC3A80">
        <w:rPr>
          <w:rFonts w:ascii="Verdana" w:eastAsia="Arial" w:hAnsi="Verdana" w:cs="Arial"/>
          <w:lang w:val="es-ES" w:eastAsia="es-ES" w:bidi="es-ES"/>
        </w:rPr>
        <w:t>Vicepresidente</w:t>
      </w:r>
      <w:proofErr w:type="gramEnd"/>
      <w:r w:rsidRPr="00BC3A80">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392FFAF8" w14:textId="77777777" w:rsidR="00E87C1D" w:rsidRPr="00BC3A80" w:rsidRDefault="00E87C1D" w:rsidP="00E87C1D">
      <w:pPr>
        <w:spacing w:after="0" w:line="276" w:lineRule="auto"/>
        <w:ind w:firstLine="709"/>
        <w:jc w:val="both"/>
        <w:rPr>
          <w:rFonts w:ascii="Verdana" w:eastAsia="Arial" w:hAnsi="Verdana" w:cs="Arial"/>
          <w:lang w:val="es-ES" w:eastAsia="es-ES" w:bidi="es-ES"/>
        </w:rPr>
      </w:pPr>
    </w:p>
    <w:p w14:paraId="00BBE12D" w14:textId="77777777" w:rsidR="00E87C1D" w:rsidRPr="00BC3A80" w:rsidRDefault="00E87C1D" w:rsidP="00E87C1D">
      <w:pPr>
        <w:spacing w:after="0" w:line="276" w:lineRule="auto"/>
        <w:jc w:val="both"/>
        <w:rPr>
          <w:rFonts w:ascii="Verdana" w:eastAsia="Times New Roman" w:hAnsi="Verdana" w:cs="Arial"/>
          <w:lang w:val="es-ES" w:eastAsia="es-CO"/>
        </w:rPr>
      </w:pPr>
      <w:proofErr w:type="spellStart"/>
      <w:r w:rsidRPr="00BC3A80">
        <w:rPr>
          <w:rFonts w:ascii="Verdana" w:hAnsi="Verdana" w:cs="Arial"/>
          <w:lang w:val="es-ES"/>
        </w:rPr>
        <w:lastRenderedPageBreak/>
        <w:t>iii</w:t>
      </w:r>
      <w:proofErr w:type="spellEnd"/>
      <w:r w:rsidRPr="00BC3A80">
        <w:rPr>
          <w:rFonts w:ascii="Verdana" w:hAnsi="Verdana" w:cs="Arial"/>
          <w:lang w:val="es-ES"/>
        </w:rPr>
        <w:t xml:space="preserve">) </w:t>
      </w:r>
      <w:r w:rsidRPr="00BC3A80">
        <w:rPr>
          <w:rFonts w:ascii="Verdana" w:hAnsi="Verdana" w:cs="Arial"/>
          <w:lang w:val="es-ES" w:eastAsia="es-ES" w:bidi="es-ES"/>
        </w:rPr>
        <w:t xml:space="preserve">Para responder al problema jurídico planteado es necesario, en primer lugar, precisar el alcance de la prohibición </w:t>
      </w:r>
      <w:r w:rsidRPr="00BC3A80">
        <w:rPr>
          <w:rFonts w:ascii="Verdana" w:eastAsia="Arial" w:hAnsi="Verdana" w:cs="Arial"/>
          <w:lang w:val="es-ES" w:eastAsia="es-ES" w:bidi="es-ES"/>
        </w:rPr>
        <w:t>establecida en e</w:t>
      </w:r>
      <w:r w:rsidRPr="00BC3A80">
        <w:rPr>
          <w:rFonts w:ascii="Verdana" w:hAnsi="Verdana" w:cs="Arial"/>
          <w:lang w:val="es-ES"/>
        </w:rPr>
        <w:t xml:space="preserve">l </w:t>
      </w:r>
      <w:r w:rsidRPr="00BC3A80">
        <w:rPr>
          <w:rFonts w:ascii="Verdana" w:eastAsia="Times New Roman" w:hAnsi="Verdana" w:cs="Arial"/>
          <w:lang w:val="es-ES"/>
        </w:rPr>
        <w:t xml:space="preserve">artículo 33 de la Ley 996 de 2005 y sus excepciones. El </w:t>
      </w:r>
      <w:r w:rsidRPr="00BC3A80">
        <w:rPr>
          <w:rFonts w:ascii="Verdana" w:eastAsia="Times New Roman" w:hAnsi="Verdana" w:cs="Arial"/>
          <w:i/>
          <w:iCs/>
          <w:lang w:val="es-ES"/>
        </w:rPr>
        <w:t>ámbito material</w:t>
      </w:r>
      <w:r w:rsidRPr="00BC3A80">
        <w:rPr>
          <w:rFonts w:ascii="Verdana" w:eastAsia="Times New Roman" w:hAnsi="Verdana" w:cs="Arial"/>
          <w:lang w:val="es-ES"/>
        </w:rPr>
        <w:t xml:space="preserve"> de esta prohibición está delimitado por la expresión </w:t>
      </w:r>
      <w:r w:rsidRPr="00BC3A80">
        <w:rPr>
          <w:rFonts w:ascii="Verdana" w:hAnsi="Verdana" w:cs="Arial"/>
          <w:bCs/>
          <w:lang w:val="es-ES"/>
        </w:rPr>
        <w:t>“</w:t>
      </w:r>
      <w:r w:rsidRPr="00BC3A80">
        <w:rPr>
          <w:rFonts w:ascii="Verdana" w:eastAsia="Times New Roman" w:hAnsi="Verdana" w:cs="Arial"/>
          <w:lang w:val="es-ES"/>
        </w:rPr>
        <w:t>queda prohibida la contratación directa</w:t>
      </w:r>
      <w:r w:rsidRPr="00BC3A80">
        <w:rPr>
          <w:rFonts w:ascii="Verdana" w:hAnsi="Verdana" w:cs="Arial"/>
          <w:lang w:val="es-ES"/>
        </w:rPr>
        <w:t>”</w:t>
      </w:r>
      <w:r w:rsidRPr="00BC3A80">
        <w:rPr>
          <w:rFonts w:ascii="Verdana" w:eastAsia="Times New Roman" w:hAnsi="Verdana" w:cs="Arial"/>
          <w:lang w:val="es-ES"/>
        </w:rPr>
        <w:t xml:space="preserve">. </w:t>
      </w:r>
      <w:r w:rsidRPr="00BC3A80">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42BA3019" w14:textId="77777777" w:rsidR="00E87C1D" w:rsidRPr="00BC3A80" w:rsidRDefault="00E87C1D" w:rsidP="00E87C1D">
      <w:pPr>
        <w:spacing w:after="0" w:line="276" w:lineRule="auto"/>
        <w:jc w:val="both"/>
        <w:rPr>
          <w:rFonts w:ascii="Verdana" w:eastAsia="Arial" w:hAnsi="Verdana" w:cs="Arial"/>
          <w:lang w:val="es-ES" w:eastAsia="es-ES" w:bidi="es-ES"/>
        </w:rPr>
      </w:pPr>
    </w:p>
    <w:p w14:paraId="7BD40420" w14:textId="77777777" w:rsidR="00E87C1D" w:rsidRPr="00BC3A80" w:rsidRDefault="00E87C1D" w:rsidP="00E87C1D">
      <w:pPr>
        <w:spacing w:after="0" w:line="240" w:lineRule="auto"/>
        <w:ind w:left="709" w:right="709"/>
        <w:jc w:val="both"/>
        <w:rPr>
          <w:rFonts w:ascii="Verdana" w:hAnsi="Verdana" w:cs="Arial"/>
          <w:sz w:val="20"/>
          <w:szCs w:val="20"/>
          <w:lang w:val="es-ES"/>
        </w:rPr>
      </w:pPr>
      <w:r w:rsidRPr="00BC3A80">
        <w:rPr>
          <w:rFonts w:ascii="Verdana" w:hAnsi="Verdana" w:cs="Arial"/>
          <w:sz w:val="20"/>
          <w:szCs w:val="20"/>
          <w:lang w:val="es-ES"/>
        </w:rPr>
        <w:t xml:space="preserve">“[…] Esta Sala ha entendido </w:t>
      </w:r>
      <w:proofErr w:type="gramStart"/>
      <w:r w:rsidRPr="00BC3A80">
        <w:rPr>
          <w:rFonts w:ascii="Verdana" w:hAnsi="Verdana" w:cs="Arial"/>
          <w:sz w:val="20"/>
          <w:szCs w:val="20"/>
          <w:lang w:val="es-ES"/>
        </w:rPr>
        <w:t>que</w:t>
      </w:r>
      <w:proofErr w:type="gramEnd"/>
      <w:r w:rsidRPr="00BC3A80">
        <w:rPr>
          <w:rFonts w:ascii="Verdana" w:hAnsi="Verdana" w:cs="Arial"/>
          <w:sz w:val="20"/>
          <w:szCs w:val="20"/>
          <w:lang w:val="es-ES"/>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BC3A80">
        <w:rPr>
          <w:rFonts w:ascii="Verdana" w:eastAsia="Times New Roman" w:hAnsi="Verdana" w:cs="Arial"/>
          <w:sz w:val="20"/>
          <w:szCs w:val="20"/>
          <w:vertAlign w:val="superscript"/>
          <w:lang w:val="es-ES"/>
        </w:rPr>
        <w:footnoteReference w:id="10"/>
      </w:r>
      <w:r w:rsidRPr="00BC3A80">
        <w:rPr>
          <w:rFonts w:ascii="Verdana" w:eastAsia="Times New Roman" w:hAnsi="Verdana" w:cs="Arial"/>
          <w:sz w:val="20"/>
          <w:szCs w:val="20"/>
          <w:vertAlign w:val="superscript"/>
          <w:lang w:val="es-ES"/>
        </w:rPr>
        <w:t>.</w:t>
      </w:r>
      <w:r w:rsidRPr="00BC3A80">
        <w:rPr>
          <w:rFonts w:ascii="Verdana"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BC3A80">
        <w:rPr>
          <w:rFonts w:ascii="Verdana" w:eastAsia="Times New Roman" w:hAnsi="Verdana" w:cs="Arial"/>
          <w:sz w:val="20"/>
          <w:szCs w:val="20"/>
          <w:vertAlign w:val="superscript"/>
          <w:lang w:val="es-ES" w:eastAsia="es-CO"/>
        </w:rPr>
        <w:footnoteReference w:id="11"/>
      </w:r>
      <w:r w:rsidRPr="00BC3A80">
        <w:rPr>
          <w:rFonts w:ascii="Verdana" w:hAnsi="Verdana" w:cs="Arial"/>
          <w:sz w:val="20"/>
          <w:szCs w:val="20"/>
          <w:lang w:val="es-ES"/>
        </w:rPr>
        <w:t xml:space="preserve"> .</w:t>
      </w:r>
    </w:p>
    <w:p w14:paraId="0FAF2B26" w14:textId="77777777" w:rsidR="00E87C1D" w:rsidRPr="00BC3A80" w:rsidRDefault="00E87C1D" w:rsidP="00E87C1D">
      <w:pPr>
        <w:shd w:val="clear" w:color="auto" w:fill="FFFFFF" w:themeFill="background1"/>
        <w:spacing w:after="0" w:line="276" w:lineRule="auto"/>
        <w:ind w:firstLine="709"/>
        <w:jc w:val="both"/>
        <w:rPr>
          <w:rFonts w:ascii="Verdana" w:eastAsia="Times New Roman" w:hAnsi="Verdana" w:cs="Arial"/>
          <w:lang w:val="es-ES" w:eastAsia="x-none"/>
        </w:rPr>
      </w:pPr>
    </w:p>
    <w:p w14:paraId="4E171D75" w14:textId="77777777" w:rsidR="00E87C1D" w:rsidRPr="00BC3A80" w:rsidRDefault="00E87C1D" w:rsidP="00E87C1D">
      <w:pPr>
        <w:spacing w:after="120" w:line="276" w:lineRule="auto"/>
        <w:ind w:firstLine="708"/>
        <w:jc w:val="both"/>
        <w:rPr>
          <w:rFonts w:ascii="Verdana" w:eastAsia="Times New Roman" w:hAnsi="Verdana" w:cs="Arial"/>
          <w:bCs/>
          <w:lang w:val="es-ES" w:eastAsia="x-none"/>
        </w:rPr>
      </w:pPr>
      <w:r w:rsidRPr="00BC3A80">
        <w:rPr>
          <w:rFonts w:ascii="Verdana" w:eastAsia="Times New Roman" w:hAnsi="Verdana" w:cs="Arial"/>
          <w:lang w:val="es-ES" w:eastAsia="x-none"/>
        </w:rPr>
        <w:t xml:space="preserve">De acuerdo con este concepto, la prohibición del artículo 33 de la Ley de Garantías Electorales se refiere a </w:t>
      </w:r>
      <w:r w:rsidRPr="00BC3A80">
        <w:rPr>
          <w:rFonts w:ascii="Verdana" w:eastAsia="Times New Roman" w:hAnsi="Verdana" w:cs="Arial"/>
          <w:sz w:val="19"/>
          <w:szCs w:val="19"/>
          <w:lang w:val="es-ES" w:eastAsia="en-GB"/>
        </w:rPr>
        <w:t>“</w:t>
      </w:r>
      <w:r w:rsidRPr="00BC3A80">
        <w:rPr>
          <w:rFonts w:ascii="Verdana" w:eastAsia="Times New Roman" w:hAnsi="Verdana" w:cs="Arial"/>
          <w:lang w:val="es-ES" w:eastAsia="x-none"/>
        </w:rPr>
        <w:t>cualquier sistema que no implique convocatoria pública y posibilidad de pluralidad de oferentes</w:t>
      </w:r>
      <w:r w:rsidRPr="00BC3A80">
        <w:rPr>
          <w:rFonts w:ascii="Verdana" w:eastAsia="Times New Roman" w:hAnsi="Verdana" w:cs="Arial"/>
          <w:lang w:val="es-ES" w:eastAsia="en-GB"/>
        </w:rPr>
        <w:t>”</w:t>
      </w:r>
      <w:r w:rsidRPr="00BC3A80">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BC3A80">
        <w:rPr>
          <w:rFonts w:ascii="Verdana" w:eastAsia="Times New Roman" w:hAnsi="Verdana" w:cs="Arial"/>
          <w:lang w:val="es-ES"/>
        </w:rPr>
        <w:t>y la mínima cuantía</w:t>
      </w:r>
      <w:r w:rsidRPr="00BC3A80" w:rsidDel="00A85D9F">
        <w:rPr>
          <w:rFonts w:ascii="Verdana" w:eastAsia="Times New Roman" w:hAnsi="Verdana" w:cs="Arial"/>
          <w:lang w:val="es-ES" w:eastAsia="x-none"/>
        </w:rPr>
        <w:t xml:space="preserve"> </w:t>
      </w:r>
      <w:r w:rsidRPr="00BC3A80">
        <w:rPr>
          <w:rFonts w:ascii="Verdana" w:eastAsia="Times New Roman" w:hAnsi="Verdana" w:cs="Arial"/>
          <w:lang w:val="es-ES"/>
        </w:rPr>
        <w:t xml:space="preserve">u otros previstos en normas especiales. </w:t>
      </w:r>
      <w:r w:rsidRPr="00BC3A80">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BC3A80">
        <w:rPr>
          <w:rFonts w:ascii="Verdana" w:eastAsia="Times New Roman" w:hAnsi="Verdana" w:cs="Arial"/>
          <w:vertAlign w:val="superscript"/>
          <w:lang w:val="es-ES" w:eastAsia="x-none"/>
        </w:rPr>
        <w:footnoteReference w:id="12"/>
      </w:r>
      <w:r w:rsidRPr="00BC3A80">
        <w:rPr>
          <w:rFonts w:ascii="Verdana" w:eastAsia="Times New Roman" w:hAnsi="Verdana" w:cs="Arial"/>
          <w:lang w:val="es-ES" w:eastAsia="x-none"/>
        </w:rPr>
        <w:t xml:space="preserve"> y sistematizó las causales de contratación directa</w:t>
      </w:r>
      <w:r w:rsidRPr="00BC3A80">
        <w:rPr>
          <w:rFonts w:ascii="Verdana" w:eastAsia="Times New Roman" w:hAnsi="Verdana" w:cs="Arial"/>
          <w:vertAlign w:val="superscript"/>
          <w:lang w:val="es-ES" w:eastAsia="x-none"/>
        </w:rPr>
        <w:footnoteReference w:id="13"/>
      </w:r>
      <w:r w:rsidRPr="00BC3A80">
        <w:rPr>
          <w:rFonts w:ascii="Verdana" w:eastAsia="Times New Roman" w:hAnsi="Verdana" w:cs="Arial"/>
          <w:lang w:val="es-ES" w:eastAsia="x-none"/>
        </w:rPr>
        <w:t xml:space="preserve">, </w:t>
      </w:r>
      <w:r w:rsidRPr="00BC3A80">
        <w:rPr>
          <w:rFonts w:ascii="Verdana"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67D1E45F" w14:textId="77777777" w:rsidR="00E87C1D" w:rsidRPr="00BC3A80" w:rsidRDefault="00E87C1D" w:rsidP="00E87C1D">
      <w:pPr>
        <w:spacing w:after="120" w:line="276" w:lineRule="auto"/>
        <w:ind w:firstLine="708"/>
        <w:jc w:val="both"/>
        <w:rPr>
          <w:rFonts w:ascii="Verdana" w:eastAsia="Times New Roman" w:hAnsi="Verdana" w:cs="Arial"/>
          <w:bCs/>
          <w:lang w:val="es-ES" w:eastAsia="es-CO"/>
        </w:rPr>
      </w:pPr>
      <w:r w:rsidRPr="00BC3A80">
        <w:rPr>
          <w:rFonts w:ascii="Verdana" w:eastAsia="Times New Roman" w:hAnsi="Verdana" w:cs="Arial"/>
          <w:bCs/>
          <w:lang w:val="es-ES" w:eastAsia="es-CO"/>
        </w:rPr>
        <w:t xml:space="preserve">Como se advierte de lo anterior, el Consejo de Estado realiza una interpretación amplia de la contratación directa, para efectos de aplicar las </w:t>
      </w:r>
      <w:r w:rsidRPr="00BC3A80">
        <w:rPr>
          <w:rFonts w:ascii="Verdana" w:eastAsia="Times New Roman" w:hAnsi="Verdana" w:cs="Arial"/>
          <w:bCs/>
          <w:lang w:val="es-ES" w:eastAsia="es-CO"/>
        </w:rPr>
        <w:lastRenderedPageBreak/>
        <w:t>restricciones establecidas en la Ley de Garantías Electorales, al señalar que no solo aplica frente a las entidades sometidas al Estatuto general de Contratación de la Administración Pública</w:t>
      </w:r>
      <w:r w:rsidRPr="00BC3A80">
        <w:rPr>
          <w:rFonts w:ascii="Verdana" w:eastAsia="Times New Roman" w:hAnsi="Verdana" w:cs="Arial"/>
          <w:bCs/>
          <w:i/>
          <w:iCs/>
          <w:lang w:val="es-ES" w:eastAsia="es-CO"/>
        </w:rPr>
        <w:t>, sino también frente a las entidades que tengan un régimen especial de contratación</w:t>
      </w:r>
      <w:r w:rsidRPr="00BC3A80">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BC3A80">
        <w:rPr>
          <w:rFonts w:ascii="Verdana" w:eastAsia="Times New Roman" w:hAnsi="Verdana" w:cs="Arial"/>
          <w:lang w:val="es-ES"/>
        </w:rPr>
        <w:t xml:space="preserve">Así, para la prohibición o restricción temporal contenida en su artículo 33, “contratación directa” es </w:t>
      </w:r>
      <w:r w:rsidRPr="00BC3A80">
        <w:rPr>
          <w:rFonts w:ascii="Verdana" w:eastAsia="Times New Roman" w:hAnsi="Verdana" w:cs="Arial"/>
          <w:i/>
          <w:iCs/>
          <w:lang w:val="es-ES"/>
        </w:rPr>
        <w:t>cualquier</w:t>
      </w:r>
      <w:r w:rsidRPr="00BC3A80">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BC3A80">
        <w:rPr>
          <w:rFonts w:ascii="Verdana" w:eastAsia="Times New Roman" w:hAnsi="Verdana" w:cs="Arial"/>
          <w:vertAlign w:val="superscript"/>
          <w:lang w:val="es-ES" w:eastAsia="x-none"/>
        </w:rPr>
        <w:footnoteReference w:id="14"/>
      </w:r>
      <w:r w:rsidRPr="00BC3A80">
        <w:rPr>
          <w:rFonts w:ascii="Verdana" w:eastAsia="Times New Roman" w:hAnsi="Verdana" w:cs="Arial"/>
          <w:lang w:val="es-ES"/>
        </w:rPr>
        <w:t>.</w:t>
      </w:r>
      <w:r w:rsidRPr="00BC3A80">
        <w:rPr>
          <w:rFonts w:ascii="Verdana" w:eastAsia="Times New Roman" w:hAnsi="Verdana" w:cs="Arial"/>
          <w:vertAlign w:val="superscript"/>
          <w:lang w:val="es-ES" w:eastAsia="x-none"/>
        </w:rPr>
        <w:t xml:space="preserve"> </w:t>
      </w:r>
    </w:p>
    <w:p w14:paraId="7A330CAA" w14:textId="77777777" w:rsidR="00E87C1D" w:rsidRPr="00BC3A80" w:rsidRDefault="00E87C1D" w:rsidP="00E87C1D">
      <w:pPr>
        <w:spacing w:after="120" w:line="276" w:lineRule="auto"/>
        <w:ind w:firstLine="708"/>
        <w:jc w:val="both"/>
        <w:rPr>
          <w:rFonts w:ascii="Verdana" w:eastAsia="Times New Roman" w:hAnsi="Verdana" w:cs="Arial"/>
          <w:lang w:val="es-ES"/>
        </w:rPr>
      </w:pPr>
      <w:r w:rsidRPr="00BC3A80">
        <w:rPr>
          <w:rFonts w:ascii="Verdana" w:eastAsia="Times New Roman" w:hAnsi="Verdana" w:cs="Arial"/>
          <w:lang w:val="es-ES"/>
        </w:rPr>
        <w:t xml:space="preserve">De lo anterior se desprende que la restricción aplica, sin perjuicio de las excepciones establecidas en la misma ley, para celebrar </w:t>
      </w:r>
      <w:r w:rsidRPr="00BC3A80">
        <w:rPr>
          <w:rFonts w:ascii="Verdana" w:eastAsia="Times New Roman" w:hAnsi="Verdana" w:cs="Arial"/>
          <w:i/>
          <w:iCs/>
          <w:lang w:val="es-ES"/>
        </w:rPr>
        <w:t>cualquier contrato o convenio de forma directa</w:t>
      </w:r>
      <w:r w:rsidRPr="00BC3A80">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1379D524" w14:textId="77777777" w:rsidR="00E87C1D" w:rsidRDefault="00E87C1D" w:rsidP="00E87C1D">
      <w:pPr>
        <w:spacing w:after="0" w:line="276" w:lineRule="auto"/>
        <w:ind w:firstLine="708"/>
        <w:jc w:val="both"/>
        <w:rPr>
          <w:rFonts w:ascii="Verdana" w:eastAsia="Times New Roman" w:hAnsi="Verdana" w:cs="Arial"/>
          <w:lang w:val="es-ES"/>
        </w:rPr>
      </w:pPr>
      <w:r w:rsidRPr="00BC3A80">
        <w:rPr>
          <w:rFonts w:ascii="Verdana" w:eastAsia="Times New Roman" w:hAnsi="Verdana" w:cs="Arial"/>
          <w:bCs/>
          <w:lang w:val="es-ES" w:eastAsia="es-CO"/>
        </w:rPr>
        <w:t xml:space="preserve">Con respecto a los </w:t>
      </w:r>
      <w:r w:rsidRPr="00BC3A80">
        <w:rPr>
          <w:rFonts w:ascii="Verdana" w:eastAsia="Times New Roman" w:hAnsi="Verdana" w:cs="Arial"/>
          <w:bCs/>
          <w:i/>
          <w:iCs/>
          <w:lang w:val="es-ES" w:eastAsia="es-CO"/>
        </w:rPr>
        <w:t>sujetos</w:t>
      </w:r>
      <w:r w:rsidRPr="00BC3A80">
        <w:rPr>
          <w:rFonts w:ascii="Verdana" w:eastAsia="Times New Roman" w:hAnsi="Verdana" w:cs="Arial"/>
          <w:bCs/>
          <w:lang w:val="es-ES" w:eastAsia="es-CO"/>
        </w:rPr>
        <w:t xml:space="preserve"> que se encuentran enmarcados en la prohibición del artículo 33, </w:t>
      </w:r>
      <w:r w:rsidRPr="00BC3A80">
        <w:rPr>
          <w:rFonts w:ascii="Verdana" w:eastAsia="Times New Roman" w:hAnsi="Verdana" w:cs="Arial"/>
          <w:lang w:val="es-ES"/>
        </w:rPr>
        <w:t>la Ley 996 de 2005 señala expresamente que son “</w:t>
      </w:r>
      <w:r w:rsidRPr="00BC3A80">
        <w:rPr>
          <w:rFonts w:ascii="Verdana" w:eastAsia="Times New Roman" w:hAnsi="Verdana" w:cs="Arial"/>
          <w:i/>
          <w:iCs/>
          <w:u w:val="single"/>
          <w:lang w:val="es-ES"/>
        </w:rPr>
        <w:t>todos</w:t>
      </w:r>
      <w:r w:rsidRPr="00BC3A80">
        <w:rPr>
          <w:rFonts w:ascii="Verdana" w:eastAsia="Times New Roman" w:hAnsi="Verdana" w:cs="Arial"/>
          <w:i/>
          <w:iCs/>
          <w:lang w:val="es-ES"/>
        </w:rPr>
        <w:t xml:space="preserve"> los entes del Estado</w:t>
      </w:r>
      <w:r w:rsidRPr="00BC3A80">
        <w:rPr>
          <w:rFonts w:ascii="Verdana" w:eastAsia="Times New Roman" w:hAnsi="Verdana" w:cs="Arial"/>
          <w:lang w:val="es-ES"/>
        </w:rPr>
        <w:t>” [énfasis propio]. Al respecto la Sala De Consulta y Servicio Civil del Consejo de Estado señaló lo siguiente:</w:t>
      </w:r>
    </w:p>
    <w:p w14:paraId="43F27176" w14:textId="77777777" w:rsidR="00E87C1D" w:rsidRPr="00BC3A80" w:rsidRDefault="00E87C1D" w:rsidP="00E87C1D">
      <w:pPr>
        <w:spacing w:after="0" w:line="276" w:lineRule="auto"/>
        <w:ind w:firstLine="708"/>
        <w:jc w:val="both"/>
        <w:rPr>
          <w:rFonts w:ascii="Verdana" w:eastAsia="Times New Roman" w:hAnsi="Verdana" w:cs="Arial"/>
          <w:lang w:val="es-ES"/>
        </w:rPr>
      </w:pPr>
    </w:p>
    <w:p w14:paraId="46F79C3A" w14:textId="77777777" w:rsidR="00E87C1D" w:rsidRPr="00BC3A80" w:rsidRDefault="00E87C1D" w:rsidP="00E87C1D">
      <w:pPr>
        <w:spacing w:after="0" w:line="240" w:lineRule="auto"/>
        <w:ind w:left="709" w:right="709"/>
        <w:jc w:val="both"/>
        <w:rPr>
          <w:rFonts w:ascii="Verdana" w:eastAsia="Times New Roman" w:hAnsi="Verdana" w:cs="Arial"/>
          <w:bCs/>
          <w:sz w:val="20"/>
          <w:szCs w:val="20"/>
          <w:lang w:val="es-ES" w:eastAsia="es-CO"/>
        </w:rPr>
      </w:pPr>
      <w:r w:rsidRPr="00BC3A80">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BC3A80">
        <w:rPr>
          <w:rFonts w:ascii="Verdana" w:eastAsia="Times New Roman" w:hAnsi="Verdana" w:cs="Arial"/>
          <w:bCs/>
          <w:sz w:val="20"/>
          <w:szCs w:val="20"/>
          <w:vertAlign w:val="superscript"/>
          <w:lang w:val="es-ES" w:eastAsia="es-CO"/>
        </w:rPr>
        <w:footnoteReference w:id="15"/>
      </w:r>
      <w:r w:rsidRPr="00BC3A80">
        <w:rPr>
          <w:rFonts w:ascii="Verdana" w:eastAsia="Times New Roman" w:hAnsi="Verdana" w:cs="Arial"/>
          <w:bCs/>
          <w:sz w:val="20"/>
          <w:szCs w:val="20"/>
          <w:lang w:val="es-ES" w:eastAsia="es-CO"/>
        </w:rPr>
        <w:t>.</w:t>
      </w:r>
    </w:p>
    <w:p w14:paraId="2431272D" w14:textId="77777777" w:rsidR="00E87C1D" w:rsidRPr="00BC3A80" w:rsidRDefault="00E87C1D" w:rsidP="00E87C1D">
      <w:pPr>
        <w:spacing w:after="0" w:line="240" w:lineRule="auto"/>
        <w:ind w:left="709" w:right="709"/>
        <w:jc w:val="both"/>
        <w:rPr>
          <w:rFonts w:ascii="Verdana" w:eastAsia="Times New Roman" w:hAnsi="Verdana" w:cs="Arial"/>
          <w:bCs/>
          <w:lang w:val="es-ES" w:eastAsia="es-CO"/>
        </w:rPr>
      </w:pPr>
    </w:p>
    <w:p w14:paraId="0CB8B57A" w14:textId="77777777" w:rsidR="00E87C1D" w:rsidRPr="00BC3A80" w:rsidRDefault="00E87C1D" w:rsidP="00E87C1D">
      <w:pPr>
        <w:spacing w:after="120" w:line="276" w:lineRule="auto"/>
        <w:ind w:firstLine="708"/>
        <w:jc w:val="both"/>
        <w:rPr>
          <w:rFonts w:ascii="Verdana" w:hAnsi="Verdana" w:cs="Arial"/>
          <w:bCs/>
          <w:sz w:val="20"/>
          <w:szCs w:val="20"/>
          <w:lang w:val="es-ES" w:eastAsia="es-CO"/>
        </w:rPr>
      </w:pPr>
      <w:r w:rsidRPr="00BC3A80">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BC3A80">
        <w:rPr>
          <w:rFonts w:ascii="Verdana" w:hAnsi="Verdana"/>
          <w:lang w:val="es-ES"/>
        </w:rPr>
        <w:t xml:space="preserve"> </w:t>
      </w:r>
      <w:r w:rsidRPr="00BC3A80">
        <w:rPr>
          <w:rFonts w:ascii="Verdana" w:hAnsi="Verdana" w:cs="Arial"/>
          <w:bCs/>
          <w:lang w:val="es-ES" w:eastAsia="x-none"/>
        </w:rPr>
        <w:t xml:space="preserve">En efecto, tal como lo ha </w:t>
      </w:r>
      <w:r w:rsidRPr="00BC3A80">
        <w:rPr>
          <w:rFonts w:ascii="Verdana" w:hAnsi="Verdana" w:cs="Arial"/>
          <w:bCs/>
          <w:lang w:val="es-ES" w:eastAsia="x-none"/>
        </w:rPr>
        <w:lastRenderedPageBreak/>
        <w:t>sostenido el Consejo de Estado, el vocablo “todos” utilizado por el legislador comprende</w:t>
      </w:r>
      <w:r w:rsidRPr="00BC3A80">
        <w:rPr>
          <w:rFonts w:ascii="Verdana" w:hAnsi="Verdana"/>
          <w:lang w:val="es-ES"/>
        </w:rPr>
        <w:t xml:space="preserve"> </w:t>
      </w:r>
      <w:r w:rsidRPr="00BC3A80">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BC3A80">
        <w:rPr>
          <w:rFonts w:ascii="Verdana" w:hAnsi="Verdana" w:cs="Arial"/>
          <w:bCs/>
          <w:sz w:val="20"/>
          <w:szCs w:val="20"/>
          <w:vertAlign w:val="superscript"/>
          <w:lang w:val="es-ES" w:eastAsia="x-none"/>
        </w:rPr>
        <w:footnoteReference w:id="16"/>
      </w:r>
      <w:r w:rsidRPr="00BC3A80">
        <w:rPr>
          <w:rFonts w:ascii="Verdana" w:hAnsi="Verdana" w:cs="Arial"/>
          <w:bCs/>
          <w:sz w:val="20"/>
          <w:szCs w:val="20"/>
          <w:lang w:val="es-ES" w:eastAsia="x-none"/>
        </w:rPr>
        <w:t>.</w:t>
      </w:r>
      <w:r w:rsidRPr="00BC3A80">
        <w:rPr>
          <w:rFonts w:ascii="Verdana" w:hAnsi="Verdana" w:cs="Arial"/>
          <w:bCs/>
          <w:sz w:val="20"/>
          <w:szCs w:val="20"/>
          <w:lang w:val="es-ES" w:eastAsia="es-CO"/>
        </w:rPr>
        <w:t>”</w:t>
      </w:r>
    </w:p>
    <w:p w14:paraId="2516D1C7" w14:textId="77777777" w:rsidR="00E87C1D" w:rsidRPr="00BC3A80" w:rsidRDefault="00E87C1D" w:rsidP="00E87C1D">
      <w:pPr>
        <w:spacing w:after="120" w:line="276" w:lineRule="auto"/>
        <w:ind w:firstLine="709"/>
        <w:jc w:val="both"/>
        <w:rPr>
          <w:rFonts w:ascii="Verdana" w:eastAsia="Arial" w:hAnsi="Verdana" w:cs="Arial"/>
          <w:bCs/>
          <w:color w:val="000000" w:themeColor="text1"/>
          <w:lang w:val="es-ES"/>
        </w:rPr>
      </w:pPr>
      <w:r w:rsidRPr="00BC3A80">
        <w:rPr>
          <w:rFonts w:ascii="Verdana" w:eastAsia="Arial" w:hAnsi="Verdana" w:cs="Arial"/>
          <w:color w:val="000000" w:themeColor="text1"/>
          <w:lang w:val="es-ES"/>
        </w:rPr>
        <w:t xml:space="preserve">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w:t>
      </w:r>
      <w:r w:rsidRPr="0099520E">
        <w:rPr>
          <w:rFonts w:ascii="Verdana" w:eastAsia="Arial" w:hAnsi="Verdana" w:cs="Arial"/>
          <w:color w:val="000000" w:themeColor="text1"/>
          <w:lang w:val="es-ES"/>
        </w:rPr>
        <w:t>normas especiales.</w:t>
      </w:r>
    </w:p>
    <w:p w14:paraId="777A8B91" w14:textId="77777777" w:rsidR="00E87C1D" w:rsidRPr="00CD77EE" w:rsidRDefault="00E87C1D" w:rsidP="00E87C1D">
      <w:pPr>
        <w:spacing w:after="120" w:line="276" w:lineRule="auto"/>
        <w:ind w:firstLine="709"/>
        <w:jc w:val="both"/>
        <w:rPr>
          <w:rFonts w:ascii="Verdana" w:hAnsi="Verdana" w:cs="Arial"/>
          <w:bCs/>
          <w:color w:val="000000" w:themeColor="text1"/>
          <w:lang w:val="es-ES"/>
        </w:rPr>
      </w:pPr>
      <w:r w:rsidRPr="00CD77EE">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CD77EE">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3349366F" w14:textId="77777777" w:rsidR="00E87C1D" w:rsidRPr="00CD77EE" w:rsidRDefault="00E87C1D" w:rsidP="00E87C1D">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1) La contratación referente a la defensa y seguridad del Estado;</w:t>
      </w:r>
    </w:p>
    <w:p w14:paraId="1ABA0470" w14:textId="77777777" w:rsidR="00E87C1D" w:rsidRPr="00CD77EE" w:rsidRDefault="00E87C1D" w:rsidP="00E87C1D">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2) Los contratos de crédito público;</w:t>
      </w:r>
    </w:p>
    <w:p w14:paraId="6D48F46F" w14:textId="77777777" w:rsidR="00E87C1D" w:rsidRPr="00CD77EE" w:rsidRDefault="00E87C1D" w:rsidP="00E87C1D">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 xml:space="preserve">3) Los contratos requeridos para cubrir las emergencias educativas, sanitarias y desastres; </w:t>
      </w:r>
    </w:p>
    <w:p w14:paraId="22D6258F" w14:textId="77777777" w:rsidR="00E87C1D" w:rsidRPr="00CD77EE" w:rsidRDefault="00E87C1D" w:rsidP="00E87C1D">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 xml:space="preserve">4) La contratación para la reconstrucción de vías, puentes, carreteras, infraestructura energética y de comunicaciones, en caso de que hayan sido </w:t>
      </w:r>
      <w:r w:rsidRPr="00CD77EE">
        <w:rPr>
          <w:rFonts w:ascii="Verdana" w:hAnsi="Verdana" w:cs="Arial"/>
          <w:bCs/>
          <w:color w:val="000000" w:themeColor="text1"/>
          <w:lang w:val="es-ES"/>
        </w:rPr>
        <w:lastRenderedPageBreak/>
        <w:t>objeto de atentados, acciones terroristas, desastres naturales o casos de fuerza mayor y;</w:t>
      </w:r>
    </w:p>
    <w:p w14:paraId="0C6BB3B2" w14:textId="77777777" w:rsidR="00E87C1D" w:rsidRPr="00CD77EE" w:rsidRDefault="00E87C1D" w:rsidP="00E87C1D">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 xml:space="preserve">5) La contratación que deban realizar las entidades sanitarias y hospitalarias. </w:t>
      </w:r>
    </w:p>
    <w:p w14:paraId="1AD977DA" w14:textId="77777777" w:rsidR="00E87C1D" w:rsidRPr="00407C12" w:rsidRDefault="00E87C1D" w:rsidP="00E87C1D">
      <w:pPr>
        <w:tabs>
          <w:tab w:val="left" w:pos="426"/>
        </w:tabs>
        <w:spacing w:before="120" w:after="0" w:line="276" w:lineRule="auto"/>
        <w:ind w:firstLine="709"/>
        <w:jc w:val="both"/>
        <w:rPr>
          <w:rFonts w:ascii="Verdana" w:hAnsi="Verdana" w:cs="Arial"/>
          <w:bCs/>
          <w:color w:val="000000" w:themeColor="text1"/>
          <w:lang w:val="es-ES"/>
        </w:rPr>
      </w:pPr>
      <w:r w:rsidRPr="00407C12">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23D7A4EA" w14:textId="77777777" w:rsidR="00E87C1D" w:rsidRPr="00407C12" w:rsidRDefault="00E87C1D" w:rsidP="00E87C1D">
      <w:pPr>
        <w:tabs>
          <w:tab w:val="left" w:pos="426"/>
        </w:tabs>
        <w:spacing w:after="0" w:line="240" w:lineRule="auto"/>
        <w:ind w:firstLine="709"/>
        <w:jc w:val="both"/>
        <w:rPr>
          <w:rFonts w:ascii="Verdana" w:hAnsi="Verdana" w:cs="Arial"/>
          <w:bCs/>
          <w:color w:val="000000" w:themeColor="text1"/>
          <w:lang w:val="es-ES"/>
        </w:rPr>
      </w:pPr>
    </w:p>
    <w:p w14:paraId="22DE59C2" w14:textId="77777777" w:rsidR="00E87C1D" w:rsidRPr="00407C12" w:rsidRDefault="00E87C1D" w:rsidP="00E87C1D">
      <w:pPr>
        <w:shd w:val="clear" w:color="auto" w:fill="FFFFFF"/>
        <w:spacing w:after="0" w:line="240" w:lineRule="auto"/>
        <w:ind w:left="709" w:right="709"/>
        <w:jc w:val="both"/>
        <w:rPr>
          <w:rFonts w:ascii="Verdana" w:hAnsi="Verdana" w:cs="Arial"/>
          <w:color w:val="000000" w:themeColor="text1"/>
          <w:sz w:val="20"/>
          <w:szCs w:val="20"/>
          <w:lang w:val="es-ES" w:eastAsia="es-CO"/>
        </w:rPr>
      </w:pPr>
      <w:r w:rsidRPr="00407C12">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407C12">
        <w:rPr>
          <w:rFonts w:ascii="Verdana" w:hAnsi="Verdana" w:cs="Arial"/>
          <w:color w:val="000000" w:themeColor="text1"/>
          <w:sz w:val="20"/>
          <w:szCs w:val="20"/>
          <w:vertAlign w:val="superscript"/>
          <w:lang w:val="es-ES" w:eastAsia="es-CO"/>
        </w:rPr>
        <w:footnoteReference w:id="17"/>
      </w:r>
      <w:r w:rsidRPr="00407C12">
        <w:rPr>
          <w:rFonts w:ascii="Verdana" w:hAnsi="Verdana" w:cs="Arial"/>
          <w:color w:val="000000" w:themeColor="text1"/>
          <w:sz w:val="20"/>
          <w:szCs w:val="20"/>
          <w:lang w:val="es-ES" w:eastAsia="es-CO"/>
        </w:rPr>
        <w:t xml:space="preserve">”. </w:t>
      </w:r>
    </w:p>
    <w:p w14:paraId="47263C85" w14:textId="77777777" w:rsidR="00E87C1D" w:rsidRPr="00DF0C0C" w:rsidRDefault="00E87C1D" w:rsidP="00E87C1D">
      <w:pPr>
        <w:shd w:val="clear" w:color="auto" w:fill="FFFFFF"/>
        <w:spacing w:after="0" w:line="240" w:lineRule="auto"/>
        <w:ind w:left="709" w:right="709"/>
        <w:jc w:val="both"/>
        <w:rPr>
          <w:rFonts w:ascii="Verdana" w:hAnsi="Verdana" w:cs="Arial"/>
          <w:color w:val="000000" w:themeColor="text1"/>
          <w:sz w:val="20"/>
          <w:szCs w:val="20"/>
          <w:highlight w:val="cyan"/>
          <w:lang w:val="es-ES" w:eastAsia="es-CO"/>
        </w:rPr>
      </w:pPr>
    </w:p>
    <w:p w14:paraId="20EC9A60" w14:textId="77777777" w:rsidR="00E87C1D" w:rsidRPr="00DF0C0C" w:rsidRDefault="00E87C1D" w:rsidP="00E87C1D">
      <w:pPr>
        <w:tabs>
          <w:tab w:val="left" w:pos="426"/>
          <w:tab w:val="left" w:pos="3402"/>
        </w:tabs>
        <w:spacing w:after="120" w:line="276" w:lineRule="auto"/>
        <w:ind w:firstLine="709"/>
        <w:jc w:val="both"/>
        <w:rPr>
          <w:rFonts w:ascii="Verdana" w:hAnsi="Verdana" w:cs="Arial"/>
          <w:color w:val="000000" w:themeColor="text1"/>
          <w:highlight w:val="cyan"/>
          <w:shd w:val="clear" w:color="auto" w:fill="FFFFFF"/>
          <w:lang w:val="es-ES"/>
        </w:rPr>
      </w:pPr>
      <w:r w:rsidRPr="00DD40AB">
        <w:rPr>
          <w:rFonts w:ascii="Verdana" w:hAnsi="Verdana" w:cs="Arial"/>
          <w:bCs/>
          <w:color w:val="000000" w:themeColor="text1"/>
          <w:lang w:val="es-ES"/>
        </w:rPr>
        <w:t xml:space="preserve">Por tanto, las excepciones a la prohibición contenida en el inciso segundo de artículo 33 de la </w:t>
      </w:r>
      <w:r>
        <w:rPr>
          <w:rFonts w:ascii="Verdana" w:hAnsi="Verdana" w:cs="Arial"/>
          <w:bCs/>
          <w:color w:val="000000" w:themeColor="text1"/>
          <w:lang w:val="es-ES"/>
        </w:rPr>
        <w:t>L</w:t>
      </w:r>
      <w:r w:rsidRPr="00DD40AB">
        <w:rPr>
          <w:rFonts w:ascii="Verdana" w:hAnsi="Verdana" w:cs="Arial"/>
          <w:bCs/>
          <w:color w:val="000000" w:themeColor="text1"/>
          <w:lang w:val="es-ES"/>
        </w:rPr>
        <w:t xml:space="preserve">ey de </w:t>
      </w:r>
      <w:r>
        <w:rPr>
          <w:rFonts w:ascii="Verdana" w:hAnsi="Verdana" w:cs="Arial"/>
          <w:bCs/>
          <w:color w:val="000000" w:themeColor="text1"/>
          <w:lang w:val="es-ES"/>
        </w:rPr>
        <w:t>G</w:t>
      </w:r>
      <w:r w:rsidRPr="00DD40AB">
        <w:rPr>
          <w:rFonts w:ascii="Verdana" w:hAnsi="Verdana" w:cs="Arial"/>
          <w:bCs/>
          <w:color w:val="000000" w:themeColor="text1"/>
          <w:lang w:val="es-ES"/>
        </w:rPr>
        <w:t xml:space="preserve">arantías </w:t>
      </w:r>
      <w:r>
        <w:rPr>
          <w:rFonts w:ascii="Verdana" w:hAnsi="Verdana" w:cs="Arial"/>
          <w:bCs/>
          <w:color w:val="000000" w:themeColor="text1"/>
          <w:lang w:val="es-ES"/>
        </w:rPr>
        <w:t>E</w:t>
      </w:r>
      <w:r w:rsidRPr="00DD40AB">
        <w:rPr>
          <w:rFonts w:ascii="Verdana" w:hAnsi="Verdana" w:cs="Arial"/>
          <w:bCs/>
          <w:color w:val="000000" w:themeColor="text1"/>
          <w:lang w:val="es-ES"/>
        </w:rPr>
        <w:t>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DD40AB">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 </w:t>
      </w:r>
      <w:r w:rsidRPr="00DD40AB">
        <w:rPr>
          <w:rFonts w:ascii="Verdana" w:hAnsi="Verdana" w:cs="Arial"/>
          <w:i/>
          <w:color w:val="000000" w:themeColor="text1"/>
          <w:lang w:val="es-ES"/>
        </w:rPr>
        <w:t xml:space="preserve">Las excepciones aplicables a la restricción de contratación pública. </w:t>
      </w:r>
      <w:r w:rsidRPr="00DD40AB">
        <w:rPr>
          <w:rFonts w:ascii="Verdana" w:hAnsi="Verdana" w:cs="Arial"/>
          <w:color w:val="000000" w:themeColor="text1"/>
          <w:shd w:val="clear" w:color="auto" w:fill="FFFFFF"/>
          <w:lang w:val="es-ES"/>
        </w:rPr>
        <w:t>Ahora bien, las únicas excepciones a las disposiciones previstas en la Ley de Garantías se encuentran numeradas taxativamente en el último inciso del artículo 33 de la ley 996 de 2005 […]”</w:t>
      </w:r>
      <w:r w:rsidRPr="00DD40AB">
        <w:rPr>
          <w:rFonts w:ascii="Verdana" w:hAnsi="Verdana" w:cs="Arial"/>
          <w:color w:val="000000" w:themeColor="text1"/>
          <w:shd w:val="clear" w:color="auto" w:fill="FFFFFF"/>
          <w:vertAlign w:val="superscript"/>
          <w:lang w:val="es-ES"/>
        </w:rPr>
        <w:footnoteReference w:id="18"/>
      </w:r>
      <w:r w:rsidRPr="00DD40AB">
        <w:rPr>
          <w:rFonts w:ascii="Verdana" w:hAnsi="Verdana" w:cs="Arial"/>
          <w:color w:val="000000" w:themeColor="text1"/>
          <w:shd w:val="clear" w:color="auto" w:fill="FFFFFF"/>
          <w:lang w:val="es-ES"/>
        </w:rPr>
        <w:t>.</w:t>
      </w:r>
    </w:p>
    <w:p w14:paraId="2FEB2978" w14:textId="77777777" w:rsidR="00E87C1D" w:rsidRPr="009E6635" w:rsidRDefault="00E87C1D" w:rsidP="00E87C1D">
      <w:pPr>
        <w:tabs>
          <w:tab w:val="left" w:pos="426"/>
        </w:tabs>
        <w:spacing w:after="120" w:line="276" w:lineRule="auto"/>
        <w:ind w:firstLine="709"/>
        <w:jc w:val="both"/>
        <w:rPr>
          <w:rFonts w:ascii="Verdana" w:hAnsi="Verdana" w:cs="Arial"/>
          <w:bCs/>
          <w:color w:val="000000" w:themeColor="text1"/>
          <w:lang w:val="es-ES"/>
        </w:rPr>
      </w:pPr>
      <w:r w:rsidRPr="009E6635">
        <w:rPr>
          <w:rFonts w:ascii="Verdana" w:hAnsi="Verdana" w:cs="Arial"/>
          <w:bCs/>
          <w:color w:val="000000" w:themeColor="text1"/>
          <w:lang w:val="es-ES"/>
        </w:rPr>
        <w:t xml:space="preserve">Lo anterior implica que las excepciones al artículo 33 en comento deben interpretarse y aplicarse de manera </w:t>
      </w:r>
      <w:r w:rsidRPr="009E6635">
        <w:rPr>
          <w:rFonts w:ascii="Verdana" w:hAnsi="Verdana" w:cs="Arial"/>
          <w:bCs/>
          <w:i/>
          <w:iCs/>
          <w:color w:val="000000" w:themeColor="text1"/>
          <w:lang w:val="es-ES"/>
        </w:rPr>
        <w:t>estricta</w:t>
      </w:r>
      <w:r w:rsidRPr="009E6635">
        <w:rPr>
          <w:rFonts w:ascii="Verdana" w:hAnsi="Verdana" w:cs="Arial"/>
          <w:bCs/>
          <w:color w:val="000000" w:themeColor="text1"/>
          <w:lang w:val="es-ES"/>
        </w:rPr>
        <w:t>. En otras palabras, no es factible hacer interpretaciones extensivas</w:t>
      </w:r>
      <w:r w:rsidRPr="009E6635">
        <w:rPr>
          <w:rFonts w:ascii="Verdana" w:hAnsi="Verdana" w:cs="Arial"/>
          <w:bCs/>
          <w:i/>
          <w:iCs/>
          <w:color w:val="000000" w:themeColor="text1"/>
          <w:lang w:val="es-ES"/>
        </w:rPr>
        <w:t xml:space="preserve"> </w:t>
      </w:r>
      <w:r w:rsidRPr="009E6635">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6BA2BD34" w14:textId="77777777" w:rsidR="00E87C1D" w:rsidRPr="00BC3A80" w:rsidRDefault="00E87C1D" w:rsidP="00E87C1D">
      <w:pPr>
        <w:spacing w:after="120" w:line="276" w:lineRule="auto"/>
        <w:ind w:firstLine="709"/>
        <w:jc w:val="both"/>
        <w:rPr>
          <w:rFonts w:ascii="Verdana" w:hAnsi="Verdana" w:cs="Arial"/>
          <w:lang w:val="es-ES"/>
        </w:rPr>
      </w:pPr>
      <w:r w:rsidRPr="009E6635">
        <w:rPr>
          <w:rFonts w:ascii="Verdana" w:hAnsi="Verdana" w:cs="Arial"/>
          <w:bCs/>
          <w:color w:val="000000" w:themeColor="text1"/>
          <w:lang w:val="es-ES"/>
        </w:rPr>
        <w:t xml:space="preserve">Particularmente, </w:t>
      </w:r>
      <w:r w:rsidRPr="004F51CF">
        <w:rPr>
          <w:rFonts w:ascii="Verdana" w:hAnsi="Verdana" w:cs="Arial"/>
          <w:bCs/>
          <w:color w:val="000000" w:themeColor="text1"/>
        </w:rPr>
        <w:t>al confrontar el catálogo de excepciones con</w:t>
      </w:r>
      <w:r>
        <w:rPr>
          <w:rFonts w:ascii="Verdana" w:hAnsi="Verdana" w:cs="Arial"/>
          <w:bCs/>
          <w:color w:val="000000" w:themeColor="text1"/>
        </w:rPr>
        <w:t xml:space="preserve"> </w:t>
      </w:r>
      <w:r>
        <w:rPr>
          <w:rFonts w:ascii="Verdana" w:hAnsi="Verdana" w:cs="Arial"/>
          <w:bCs/>
          <w:color w:val="000000" w:themeColor="text1"/>
          <w:lang w:val="es-ES"/>
        </w:rPr>
        <w:t>los</w:t>
      </w:r>
      <w:r w:rsidRPr="009E6635">
        <w:rPr>
          <w:rFonts w:ascii="Verdana" w:hAnsi="Verdana" w:cs="Arial"/>
          <w:bCs/>
          <w:color w:val="000000" w:themeColor="text1"/>
          <w:lang w:val="es-ES"/>
        </w:rPr>
        <w:t xml:space="preserve"> contratos </w:t>
      </w:r>
      <w:r>
        <w:rPr>
          <w:rFonts w:ascii="Verdana" w:hAnsi="Verdana" w:cs="Arial"/>
          <w:bCs/>
          <w:color w:val="000000" w:themeColor="text1"/>
        </w:rPr>
        <w:t>directos</w:t>
      </w:r>
      <w:r w:rsidRPr="00BA1157">
        <w:rPr>
          <w:rFonts w:ascii="Verdana" w:hAnsi="Verdana" w:cs="Arial"/>
          <w:bCs/>
          <w:color w:val="000000" w:themeColor="text1"/>
        </w:rPr>
        <w:t xml:space="preserve"> —particularmente los contratos de prestación de servicios </w:t>
      </w:r>
      <w:r w:rsidRPr="00BA1157">
        <w:rPr>
          <w:rFonts w:ascii="Verdana" w:hAnsi="Verdana" w:cs="Arial"/>
          <w:bCs/>
          <w:color w:val="000000" w:themeColor="text1"/>
        </w:rPr>
        <w:lastRenderedPageBreak/>
        <w:t>profesionales y/o de apoyo a la gestión—</w:t>
      </w:r>
      <w:r>
        <w:rPr>
          <w:rFonts w:ascii="Verdana" w:hAnsi="Verdana" w:cs="Arial"/>
          <w:bCs/>
          <w:color w:val="000000" w:themeColor="text1"/>
        </w:rPr>
        <w:t xml:space="preserve"> a los que se hace referencia en la presente solicitud, </w:t>
      </w:r>
      <w:r w:rsidRPr="00093CA0">
        <w:rPr>
          <w:rFonts w:ascii="Verdana" w:hAnsi="Verdana" w:cs="Arial"/>
          <w:bCs/>
          <w:color w:val="000000" w:themeColor="text1"/>
        </w:rPr>
        <w:t>se advierte que dichos contratos no encuadran en ninguno de los supuestos exceptuados por el inciso segundo del artículo 33 de la Ley 996 de 2005. Por lo tanto, al no estar expresamente excluidos del ámbito de la prohibición, tales contratos se encuentran comprendidos en la restricción general a la contratación directa durante los cuatro (4) meses previos a las elecciones, lo que implica que su celebración en ese periodo resulta jurídicamente improcedente.</w:t>
      </w:r>
    </w:p>
    <w:p w14:paraId="5D416136" w14:textId="77777777" w:rsidR="00E87C1D" w:rsidRPr="00BC3A80" w:rsidRDefault="00E87C1D" w:rsidP="00E87C1D">
      <w:pPr>
        <w:spacing w:after="120" w:line="276" w:lineRule="auto"/>
        <w:jc w:val="both"/>
        <w:rPr>
          <w:rFonts w:ascii="Verdana" w:eastAsia="Times New Roman" w:hAnsi="Verdana" w:cs="Arial"/>
          <w:lang w:val="es-MX" w:eastAsia="x-none"/>
        </w:rPr>
      </w:pPr>
      <w:proofErr w:type="spellStart"/>
      <w:r w:rsidRPr="00BC3A80">
        <w:rPr>
          <w:rFonts w:ascii="Verdana" w:hAnsi="Verdana" w:cs="Arial"/>
          <w:lang w:val="es-ES"/>
        </w:rPr>
        <w:t>iv</w:t>
      </w:r>
      <w:proofErr w:type="spellEnd"/>
      <w:r w:rsidRPr="00BC3A80">
        <w:rPr>
          <w:rFonts w:ascii="Verdana" w:hAnsi="Verdana" w:cs="Arial"/>
          <w:lang w:val="es-ES"/>
        </w:rPr>
        <w:t xml:space="preserve">. Ahora bien, respecto del alcance del parágrafo </w:t>
      </w:r>
      <w:r w:rsidRPr="00BC3A80">
        <w:rPr>
          <w:rFonts w:ascii="Verdana" w:hAnsi="Verdana" w:cs="Arial"/>
        </w:rPr>
        <w:t xml:space="preserve">del artículo 38 de la Ley 996 de 2005, es preciso reiterar que esta prohibición dispone que: “[l]os Gobernadores, </w:t>
      </w:r>
      <w:proofErr w:type="gramStart"/>
      <w:r w:rsidRPr="00BC3A80">
        <w:rPr>
          <w:rFonts w:ascii="Verdana" w:hAnsi="Verdana" w:cs="Arial"/>
        </w:rPr>
        <w:t>Alcaldes</w:t>
      </w:r>
      <w:proofErr w:type="gramEnd"/>
      <w:r w:rsidRPr="00BC3A80">
        <w:rPr>
          <w:rFonts w:ascii="Verdana" w:hAnsi="Verdana" w:cs="Arial"/>
        </w:rPr>
        <w:t xml:space="preserve"> Municipales y/o Distritales, </w:t>
      </w:r>
      <w:proofErr w:type="gramStart"/>
      <w:r w:rsidRPr="00BC3A80">
        <w:rPr>
          <w:rFonts w:ascii="Verdana" w:hAnsi="Verdana" w:cs="Arial"/>
        </w:rPr>
        <w:t>Secretarios</w:t>
      </w:r>
      <w:proofErr w:type="gramEnd"/>
      <w:r w:rsidRPr="00BC3A80">
        <w:rPr>
          <w:rFonts w:ascii="Verdana" w:hAnsi="Verdana" w:cs="Arial"/>
        </w:rPr>
        <w:t xml:space="preserve">, Gerentes y directores de Entidades Descentralizadas del orden Municipal, Departamental o Distrital, dentro de los cuatro (4) meses anteriores a las elecciones, no podrán celebrar </w:t>
      </w:r>
      <w:r w:rsidRPr="00BC3A80">
        <w:rPr>
          <w:rFonts w:ascii="Verdana" w:hAnsi="Verdana" w:cs="Arial"/>
          <w:i/>
          <w:iCs/>
        </w:rPr>
        <w:t>convenios interadministrativos</w:t>
      </w:r>
      <w:r w:rsidRPr="00BC3A80">
        <w:rPr>
          <w:rFonts w:ascii="Verdana" w:hAnsi="Verdana" w:cs="Arial"/>
        </w:rPr>
        <w:t xml:space="preserve"> </w:t>
      </w:r>
      <w:r w:rsidRPr="00BC3A80">
        <w:rPr>
          <w:rFonts w:ascii="Verdana" w:hAnsi="Verdana" w:cs="Arial"/>
          <w:i/>
          <w:iCs/>
        </w:rPr>
        <w:t>para la ejecución de recursos públicos</w:t>
      </w:r>
      <w:r w:rsidRPr="00BC3A80">
        <w:rPr>
          <w:rFonts w:ascii="Verdana" w:hAnsi="Verdana" w:cs="Arial"/>
        </w:rPr>
        <w:t>”.</w:t>
      </w:r>
      <w:r w:rsidRPr="00BC3A80">
        <w:rPr>
          <w:rFonts w:ascii="Verdana" w:eastAsia="Times New Roman" w:hAnsi="Verdana" w:cs="Arial"/>
          <w:lang w:val="es-MX" w:eastAsia="x-none"/>
        </w:rPr>
        <w:t xml:space="preserve"> [Énfasis fuera del texto original]</w:t>
      </w:r>
    </w:p>
    <w:p w14:paraId="303B2F0F" w14:textId="77777777" w:rsidR="00E87C1D" w:rsidRPr="00BC3A80" w:rsidRDefault="00E87C1D" w:rsidP="00E87C1D">
      <w:pPr>
        <w:spacing w:after="120" w:line="276" w:lineRule="auto"/>
        <w:ind w:firstLine="709"/>
        <w:jc w:val="both"/>
        <w:rPr>
          <w:rFonts w:ascii="Verdana" w:hAnsi="Verdana" w:cs="Arial"/>
          <w:lang w:eastAsia="es-ES"/>
        </w:rPr>
      </w:pPr>
      <w:r w:rsidRPr="00BC3A80">
        <w:rPr>
          <w:rFonts w:ascii="Verdana" w:eastAsia="Times New Roman" w:hAnsi="Verdana" w:cs="Arial"/>
          <w:lang w:val="es-ES" w:eastAsia="es-ES_tradnl"/>
        </w:rPr>
        <w:t xml:space="preserve">Para tales efectos, debe precisarse que </w:t>
      </w:r>
      <w:r w:rsidRPr="00BC3A80">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BC3A80">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BC3A80">
        <w:rPr>
          <w:rFonts w:ascii="Verdana" w:hAnsi="Verdana" w:cs="Arial"/>
          <w:vertAlign w:val="superscript"/>
          <w:lang w:eastAsia="es-ES"/>
        </w:rPr>
        <w:footnoteReference w:id="19"/>
      </w:r>
      <w:r w:rsidRPr="00BC3A80">
        <w:rPr>
          <w:rFonts w:ascii="Verdana" w:hAnsi="Verdana" w:cs="Arial"/>
          <w:lang w:eastAsia="es-ES"/>
        </w:rPr>
        <w:t>.</w:t>
      </w:r>
    </w:p>
    <w:p w14:paraId="69890F24" w14:textId="77777777" w:rsidR="00E87C1D" w:rsidRPr="00BC3A80" w:rsidRDefault="00E87C1D" w:rsidP="00E87C1D">
      <w:pPr>
        <w:spacing w:after="120" w:line="276" w:lineRule="auto"/>
        <w:ind w:firstLine="709"/>
        <w:jc w:val="both"/>
        <w:rPr>
          <w:rFonts w:ascii="Verdana" w:hAnsi="Verdana" w:cs="Arial"/>
          <w:color w:val="000000" w:themeColor="text1"/>
          <w:lang w:val="es-ES_tradnl"/>
        </w:rPr>
      </w:pPr>
      <w:r w:rsidRPr="00BC3A80">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4A16B6DD" w14:textId="77777777" w:rsidR="00E87C1D" w:rsidRPr="00BC3A80" w:rsidRDefault="00E87C1D" w:rsidP="00E87C1D">
      <w:pPr>
        <w:spacing w:before="120" w:after="0" w:line="276" w:lineRule="auto"/>
        <w:ind w:firstLine="708"/>
        <w:jc w:val="both"/>
        <w:rPr>
          <w:rFonts w:ascii="Verdana" w:hAnsi="Verdana" w:cs="Arial"/>
          <w:lang w:val="es-ES_tradnl"/>
        </w:rPr>
      </w:pPr>
      <w:r w:rsidRPr="00BC3A80">
        <w:rPr>
          <w:rFonts w:ascii="Verdana" w:hAnsi="Verdana" w:cs="Arial"/>
          <w:lang w:val="es-ES_tradnl"/>
        </w:rPr>
        <w:t xml:space="preserve">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w:t>
      </w:r>
      <w:r w:rsidRPr="00BC3A80">
        <w:rPr>
          <w:rFonts w:ascii="Verdana" w:hAnsi="Verdana" w:cs="Arial"/>
          <w:lang w:val="es-ES_tradnl"/>
        </w:rPr>
        <w:lastRenderedPageBreak/>
        <w:t>en dicha Ley, deba adelantarse un procedimiento susceptible de pluralidad de oferentes</w:t>
      </w:r>
      <w:r w:rsidRPr="00BC3A80">
        <w:rPr>
          <w:rFonts w:ascii="Verdana" w:hAnsi="Verdana" w:cs="Arial"/>
          <w:vertAlign w:val="superscript"/>
          <w:lang w:val="es-ES_tradnl"/>
        </w:rPr>
        <w:footnoteReference w:id="20"/>
      </w:r>
      <w:r w:rsidRPr="00BC3A80">
        <w:rPr>
          <w:rFonts w:ascii="Verdana" w:hAnsi="Verdana" w:cs="Arial"/>
          <w:lang w:val="es-ES_tradnl"/>
        </w:rPr>
        <w:t>. Nótese que, en este caso, lo que cambia es la modalidad de selección y no la naturaleza de contrato interadministrativo.</w:t>
      </w:r>
    </w:p>
    <w:p w14:paraId="64720D81" w14:textId="77777777" w:rsidR="00E87C1D" w:rsidRPr="00BC3A80" w:rsidRDefault="00E87C1D" w:rsidP="00E87C1D">
      <w:pPr>
        <w:spacing w:before="120" w:after="0" w:line="276" w:lineRule="auto"/>
        <w:ind w:firstLine="708"/>
        <w:jc w:val="both"/>
        <w:rPr>
          <w:rFonts w:ascii="Verdana" w:hAnsi="Verdana" w:cs="Arial"/>
          <w:lang w:val="es-ES_tradnl"/>
        </w:rPr>
      </w:pPr>
      <w:r w:rsidRPr="00BC3A80">
        <w:rPr>
          <w:rFonts w:ascii="Verdana" w:hAnsi="Verdana" w:cs="Arial"/>
          <w:lang w:val="es-ES_tradnl"/>
        </w:rPr>
        <w:t>Además, es necesario tener en cuenta que para que un contrato o convenio interadministrativo exista debe cumplir con los siguientes elementos: acuerdo sobre el objeto y la contraprestación y que conste por escrito</w:t>
      </w:r>
      <w:r w:rsidRPr="00BC3A80">
        <w:rPr>
          <w:rFonts w:ascii="Verdana" w:hAnsi="Verdana" w:cs="Arial"/>
          <w:vertAlign w:val="superscript"/>
          <w:lang w:val="es-ES_tradnl"/>
        </w:rPr>
        <w:footnoteReference w:id="21"/>
      </w:r>
      <w:r w:rsidRPr="00BC3A80">
        <w:rPr>
          <w:rFonts w:ascii="Verdana" w:hAnsi="Verdana" w:cs="Arial"/>
          <w:lang w:val="es-ES_tradnl"/>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067D0A2C" w14:textId="77777777" w:rsidR="00E87C1D" w:rsidRPr="00BC3A80" w:rsidRDefault="00E87C1D" w:rsidP="00E87C1D">
      <w:pPr>
        <w:spacing w:before="120" w:after="0" w:line="276" w:lineRule="auto"/>
        <w:ind w:firstLine="708"/>
        <w:jc w:val="both"/>
        <w:rPr>
          <w:rFonts w:ascii="Verdana" w:hAnsi="Verdana"/>
          <w:sz w:val="24"/>
          <w:szCs w:val="24"/>
          <w:lang w:eastAsia="es-CO"/>
        </w:rPr>
      </w:pPr>
      <w:r w:rsidRPr="00BC3A80">
        <w:rPr>
          <w:rFonts w:ascii="Verdana" w:hAnsi="Verdana" w:cs="Arial"/>
          <w:lang w:val="es-ES_tradnl"/>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BC3A80">
        <w:rPr>
          <w:rFonts w:ascii="Verdana" w:hAnsi="Verdana" w:cs="Arial"/>
          <w:vertAlign w:val="superscript"/>
          <w:lang w:val="es-ES_tradnl"/>
        </w:rPr>
        <w:footnoteReference w:id="22"/>
      </w:r>
      <w:r w:rsidRPr="00BC3A80">
        <w:rPr>
          <w:rFonts w:ascii="Verdana" w:hAnsi="Verdana" w:cs="Arial"/>
          <w:lang w:val="es-ES_tradnl"/>
        </w:rPr>
        <w:t>, pues, de acuerdo con lo anotado, esta clase de acuerdos de voluntades se definen por un criterio orgánico, por lo que uno de sus elementos esenciales es que en los extremos de la relación jurídico negocial concurran personas de derecho público</w:t>
      </w:r>
      <w:r w:rsidRPr="00BC3A80">
        <w:rPr>
          <w:rFonts w:ascii="Verdana" w:hAnsi="Verdana"/>
          <w:sz w:val="24"/>
          <w:szCs w:val="24"/>
          <w:lang w:eastAsia="es-CO"/>
        </w:rPr>
        <w:t>.</w:t>
      </w:r>
    </w:p>
    <w:p w14:paraId="05FBFA94" w14:textId="77777777" w:rsidR="00E87C1D" w:rsidRPr="00BC3A80" w:rsidRDefault="00E87C1D" w:rsidP="00E87C1D">
      <w:pPr>
        <w:spacing w:before="120" w:after="0" w:line="276" w:lineRule="auto"/>
        <w:ind w:firstLine="708"/>
        <w:jc w:val="both"/>
        <w:rPr>
          <w:rFonts w:ascii="Verdana" w:eastAsia="Times New Roman" w:hAnsi="Verdana" w:cs="Arial"/>
          <w:lang w:val="es-MX" w:eastAsia="es-CO"/>
        </w:rPr>
      </w:pPr>
      <w:r w:rsidRPr="00BC3A80">
        <w:rPr>
          <w:rFonts w:ascii="Verdana" w:eastAsia="Arial" w:hAnsi="Verdana" w:cs="Arial"/>
          <w:lang w:val="es-MX" w:eastAsia="es-ES" w:bidi="es-ES"/>
        </w:rPr>
        <w:t>De esta manera, s</w:t>
      </w:r>
      <w:proofErr w:type="spellStart"/>
      <w:r w:rsidRPr="00BC3A80">
        <w:rPr>
          <w:rFonts w:ascii="Verdana" w:eastAsia="Times New Roman" w:hAnsi="Verdana" w:cs="Arial"/>
          <w:lang w:eastAsia="es-CO"/>
        </w:rPr>
        <w:t>e</w:t>
      </w:r>
      <w:proofErr w:type="spellEnd"/>
      <w:r w:rsidRPr="00BC3A80">
        <w:rPr>
          <w:rFonts w:ascii="Verdana" w:eastAsia="Times New Roman" w:hAnsi="Verdana" w:cs="Arial"/>
          <w:lang w:eastAsia="es-CO"/>
        </w:rPr>
        <w:t xml:space="preserve"> observa entonces que </w:t>
      </w:r>
      <w:r w:rsidRPr="00BC3A80">
        <w:rPr>
          <w:rFonts w:ascii="Verdana" w:eastAsia="Times New Roman" w:hAnsi="Verdana" w:cs="Arial"/>
          <w:lang w:val="es-MX" w:eastAsia="es-CO"/>
        </w:rPr>
        <w:t xml:space="preserve">el parágrafo del artículo 38 de la Ley 996 de 2005 prohíbe a los </w:t>
      </w:r>
      <w:proofErr w:type="gramStart"/>
      <w:r w:rsidRPr="00BC3A80">
        <w:rPr>
          <w:rFonts w:ascii="Verdana" w:eastAsia="Times New Roman" w:hAnsi="Verdana" w:cs="Arial"/>
          <w:lang w:val="es-MX" w:eastAsia="es-CO"/>
        </w:rPr>
        <w:t>Alcaldes</w:t>
      </w:r>
      <w:proofErr w:type="gramEnd"/>
      <w:r w:rsidRPr="00BC3A80">
        <w:rPr>
          <w:rFonts w:ascii="Verdana" w:eastAsia="Times New Roman" w:hAnsi="Verdana" w:cs="Arial"/>
          <w:lang w:val="es-MX" w:eastAsia="es-CO"/>
        </w:rPr>
        <w:t xml:space="preserve">, Gobernadores, </w:t>
      </w:r>
      <w:proofErr w:type="gramStart"/>
      <w:r w:rsidRPr="00BC3A80">
        <w:rPr>
          <w:rFonts w:ascii="Verdana" w:eastAsia="Times New Roman" w:hAnsi="Verdana" w:cs="Arial"/>
          <w:lang w:val="es-MX" w:eastAsia="es-CO"/>
        </w:rPr>
        <w:t>Secretarios</w:t>
      </w:r>
      <w:proofErr w:type="gramEnd"/>
      <w:r w:rsidRPr="00BC3A80">
        <w:rPr>
          <w:rFonts w:ascii="Verdana" w:eastAsia="Times New Roman" w:hAnsi="Verdana" w:cs="Arial"/>
          <w:lang w:val="es-MX" w:eastAsia="es-CO"/>
        </w:rPr>
        <w:t xml:space="preserve">, Gerentes y </w:t>
      </w:r>
      <w:proofErr w:type="gramStart"/>
      <w:r w:rsidRPr="00BC3A80">
        <w:rPr>
          <w:rFonts w:ascii="Verdana" w:eastAsia="Times New Roman" w:hAnsi="Verdana" w:cs="Arial"/>
          <w:lang w:val="es-MX" w:eastAsia="es-CO"/>
        </w:rPr>
        <w:t>Directores</w:t>
      </w:r>
      <w:proofErr w:type="gramEnd"/>
      <w:r w:rsidRPr="00BC3A80">
        <w:rPr>
          <w:rFonts w:ascii="Verdana" w:eastAsia="Times New Roman" w:hAnsi="Verdana" w:cs="Arial"/>
          <w:lang w:val="es-MX" w:eastAsia="es-CO"/>
        </w:rPr>
        <w:t xml:space="preserve"> de las entidades del orden municipal, departamental o distrital celebrar </w:t>
      </w:r>
      <w:r w:rsidRPr="00BC3A80">
        <w:rPr>
          <w:rFonts w:ascii="Verdana" w:eastAsia="Times New Roman" w:hAnsi="Verdana" w:cs="Arial"/>
          <w:i/>
          <w:iCs/>
          <w:lang w:val="es-MX" w:eastAsia="es-CO"/>
        </w:rPr>
        <w:t>convenios interadministrativos</w:t>
      </w:r>
      <w:r w:rsidRPr="00BC3A80">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BC3A80">
        <w:rPr>
          <w:rFonts w:ascii="Verdana" w:eastAsia="Times New Roman" w:hAnsi="Verdana" w:cs="Arial"/>
          <w:i/>
          <w:lang w:val="es-MX" w:eastAsia="es-CO"/>
        </w:rPr>
        <w:t>ibidem</w:t>
      </w:r>
      <w:r w:rsidRPr="00BC3A80">
        <w:rPr>
          <w:rFonts w:ascii="Verdana" w:eastAsia="Times New Roman" w:hAnsi="Verdana" w:cs="Arial"/>
          <w:lang w:val="es-MX" w:eastAsia="es-CO"/>
        </w:rPr>
        <w:t xml:space="preserve">, no podrá celebrar tales </w:t>
      </w:r>
      <w:r w:rsidRPr="00BC3A80">
        <w:rPr>
          <w:rFonts w:ascii="Verdana" w:eastAsia="Times New Roman" w:hAnsi="Verdana" w:cs="Arial"/>
          <w:i/>
          <w:iCs/>
          <w:lang w:val="es-MX" w:eastAsia="es-CO"/>
        </w:rPr>
        <w:t>convenios</w:t>
      </w:r>
      <w:r w:rsidRPr="00BC3A80">
        <w:rPr>
          <w:rFonts w:ascii="Verdana" w:eastAsia="Times New Roman" w:hAnsi="Verdana" w:cs="Arial"/>
          <w:lang w:val="es-MX" w:eastAsia="es-CO"/>
        </w:rPr>
        <w:t xml:space="preserve"> durante la aplicación de la Ley de Garantías Electorales, toda vez que la citada </w:t>
      </w:r>
      <w:r w:rsidRPr="00BC3A80">
        <w:rPr>
          <w:rFonts w:ascii="Verdana" w:eastAsia="Times New Roman" w:hAnsi="Verdana" w:cs="Arial"/>
          <w:lang w:val="es-MX" w:eastAsia="es-CO"/>
        </w:rPr>
        <w:lastRenderedPageBreak/>
        <w:t xml:space="preserve">disposición hace referencia a dicha tipología contractual sin que el legislador hubiere contemplado un efecto extensivo a otra tipología. </w:t>
      </w:r>
    </w:p>
    <w:p w14:paraId="2EC8A2E9" w14:textId="77777777" w:rsidR="00E87C1D" w:rsidRPr="00BC3A80" w:rsidRDefault="00E87C1D" w:rsidP="00E87C1D">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BC3A80">
        <w:rPr>
          <w:rFonts w:ascii="Verdana" w:eastAsia="Times New Roman" w:hAnsi="Verdana" w:cs="Arial"/>
          <w:lang w:val="es-MX" w:eastAsia="es-CO"/>
        </w:rPr>
        <w:t>ii</w:t>
      </w:r>
      <w:proofErr w:type="spellEnd"/>
      <w:r w:rsidRPr="00BC3A80">
        <w:rPr>
          <w:rFonts w:ascii="Verdana" w:eastAsia="Times New Roman" w:hAnsi="Verdana" w:cs="Arial"/>
          <w:lang w:val="es-MX" w:eastAsia="es-CO"/>
        </w:rPr>
        <w:t xml:space="preserve">) y </w:t>
      </w:r>
      <w:proofErr w:type="spellStart"/>
      <w:r w:rsidRPr="00BC3A80">
        <w:rPr>
          <w:rFonts w:ascii="Verdana" w:eastAsia="Times New Roman" w:hAnsi="Verdana" w:cs="Arial"/>
          <w:lang w:val="es-MX" w:eastAsia="es-CO"/>
        </w:rPr>
        <w:t>iv</w:t>
      </w:r>
      <w:proofErr w:type="spellEnd"/>
      <w:r w:rsidRPr="00BC3A80">
        <w:rPr>
          <w:rFonts w:ascii="Verdana" w:eastAsia="Times New Roman" w:hAnsi="Verdana" w:cs="Arial"/>
          <w:lang w:val="es-MX" w:eastAsia="es-CO"/>
        </w:rPr>
        <w:t>) del numeral 2</w:t>
      </w:r>
      <w:r w:rsidRPr="00BC3A80">
        <w:rPr>
          <w:rFonts w:ascii="Verdana" w:eastAsia="Times New Roman" w:hAnsi="Verdana" w:cs="Arial"/>
          <w:lang w:eastAsia="es-CO"/>
        </w:rPr>
        <w:t>,</w:t>
      </w:r>
      <w:r w:rsidRPr="00BC3A80">
        <w:rPr>
          <w:rFonts w:ascii="Verdana" w:eastAsia="Times New Roman" w:hAnsi="Verdana" w:cs="Arial"/>
          <w:lang w:val="es-MX" w:eastAsia="es-CO"/>
        </w:rPr>
        <w:t xml:space="preserve"> indica que el </w:t>
      </w:r>
      <w:r w:rsidRPr="00BC3A80">
        <w:rPr>
          <w:rFonts w:ascii="Verdana" w:eastAsia="Times New Roman" w:hAnsi="Verdana" w:cs="Arial"/>
          <w:lang w:eastAsia="es-CO"/>
        </w:rPr>
        <w:t xml:space="preserve">parágrafo del artículo 38 de la Ley 996 de 2005 cobija expresamente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BC3A80">
        <w:rPr>
          <w:rFonts w:ascii="Verdana" w:eastAsia="Times New Roman" w:hAnsi="Verdana" w:cs="Arial"/>
          <w:i/>
          <w:iCs/>
          <w:lang w:eastAsia="es-CO"/>
        </w:rPr>
        <w:t>“aunque se configure alguno de los supuestos de excepción que señaló el inciso final del artículo 33”.</w:t>
      </w:r>
      <w:r w:rsidRPr="00BC3A80">
        <w:rPr>
          <w:rFonts w:ascii="Verdana" w:eastAsia="Times New Roman" w:hAnsi="Verdana" w:cs="Arial"/>
          <w:lang w:eastAsia="es-CO"/>
        </w:rPr>
        <w:t xml:space="preserve"> </w:t>
      </w:r>
    </w:p>
    <w:p w14:paraId="621E7F63" w14:textId="77777777" w:rsidR="00E87C1D" w:rsidRPr="00BC3A80" w:rsidRDefault="00E87C1D" w:rsidP="00E87C1D">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w:t>
      </w:r>
      <w:r w:rsidRPr="00BC3A80">
        <w:rPr>
          <w:rFonts w:ascii="Verdana" w:eastAsia="Times New Roman" w:hAnsi="Verdana" w:cs="Arial"/>
          <w:i/>
          <w:iCs/>
          <w:lang w:eastAsia="es-CO"/>
        </w:rPr>
        <w:t>ejecución de recursos públicos</w:t>
      </w:r>
      <w:r w:rsidRPr="00BC3A80">
        <w:rPr>
          <w:rFonts w:ascii="Verdana" w:eastAsia="Times New Roman" w:hAnsi="Verdana" w:cs="Arial"/>
          <w:lang w:eastAsia="es-CO"/>
        </w:rPr>
        <w:t xml:space="preserve">. Esto significa que la prohibición no resulta aplicable a </w:t>
      </w:r>
      <w:r w:rsidRPr="00BC3A80">
        <w:rPr>
          <w:rFonts w:ascii="Verdana" w:eastAsia="Times New Roman" w:hAnsi="Verdana" w:cs="Arial"/>
          <w:i/>
          <w:iCs/>
          <w:lang w:eastAsia="es-CO"/>
        </w:rPr>
        <w:t>convenios interadministrativos a título gratuito,</w:t>
      </w:r>
      <w:r w:rsidRPr="00BC3A80">
        <w:rPr>
          <w:rFonts w:ascii="Verdana" w:eastAsia="Times New Roman" w:hAnsi="Verdana" w:cs="Arial"/>
          <w:lang w:eastAsia="es-CO"/>
        </w:rPr>
        <w:t xml:space="preserve"> los cuales pueden celebrarse válidamente durante la vigencia de la mencionada restricción. </w:t>
      </w:r>
    </w:p>
    <w:p w14:paraId="4709E264" w14:textId="77777777" w:rsidR="00E87C1D" w:rsidRPr="00BC3A80" w:rsidRDefault="00E87C1D" w:rsidP="00E87C1D">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De esta manera, conforme a lo dispuesto en la Circular referida, si se suscriben </w:t>
      </w:r>
      <w:r w:rsidRPr="00BC3A80">
        <w:rPr>
          <w:rFonts w:ascii="Verdana" w:eastAsia="Times New Roman" w:hAnsi="Verdana" w:cs="Arial"/>
          <w:i/>
          <w:iCs/>
          <w:lang w:eastAsia="es-CO"/>
        </w:rPr>
        <w:t>convenios interadministrativos para la ejecución de recursos públicos</w:t>
      </w:r>
      <w:r w:rsidRPr="00BC3A80">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BC3A80">
        <w:rPr>
          <w:rFonts w:ascii="Verdana" w:eastAsia="Times New Roman" w:hAnsi="Verdana" w:cs="Arial"/>
          <w:i/>
          <w:iCs/>
          <w:lang w:eastAsia="es-CO"/>
        </w:rPr>
        <w:t>ibidem</w:t>
      </w:r>
      <w:r w:rsidRPr="00BC3A80">
        <w:rPr>
          <w:rFonts w:ascii="Verdana" w:eastAsia="Times New Roman" w:hAnsi="Verdana" w:cs="Arial"/>
          <w:lang w:eastAsia="es-CO"/>
        </w:rPr>
        <w:t>, independientemente de que se configure alguno de los supuestos de excepción que señaló el inciso final del artículo 33, es decir, que se trate de:</w:t>
      </w:r>
      <w:r w:rsidRPr="00BC3A80">
        <w:rPr>
          <w:rFonts w:ascii="Verdana" w:hAnsi="Verdana" w:cs="Arial"/>
          <w:bCs/>
          <w:lang w:val="es-MX" w:eastAsia="x-none"/>
        </w:rPr>
        <w:t xml:space="preserve"> i) la defensa y seguridad del Estado; </w:t>
      </w:r>
      <w:proofErr w:type="spellStart"/>
      <w:r w:rsidRPr="00BC3A80">
        <w:rPr>
          <w:rFonts w:ascii="Verdana" w:hAnsi="Verdana" w:cs="Arial"/>
          <w:bCs/>
          <w:lang w:val="es-MX" w:eastAsia="x-none"/>
        </w:rPr>
        <w:t>ii</w:t>
      </w:r>
      <w:proofErr w:type="spellEnd"/>
      <w:r w:rsidRPr="00BC3A80">
        <w:rPr>
          <w:rFonts w:ascii="Verdana" w:hAnsi="Verdana" w:cs="Arial"/>
          <w:bCs/>
          <w:lang w:val="es-MX" w:eastAsia="x-none"/>
        </w:rPr>
        <w:t xml:space="preserve">) los contratos de crédito público; </w:t>
      </w:r>
      <w:proofErr w:type="spellStart"/>
      <w:r w:rsidRPr="00BC3A80">
        <w:rPr>
          <w:rFonts w:ascii="Verdana" w:hAnsi="Verdana" w:cs="Arial"/>
          <w:bCs/>
          <w:lang w:val="es-MX" w:eastAsia="x-none"/>
        </w:rPr>
        <w:t>iii</w:t>
      </w:r>
      <w:proofErr w:type="spellEnd"/>
      <w:r w:rsidRPr="00BC3A80">
        <w:rPr>
          <w:rFonts w:ascii="Verdana" w:hAnsi="Verdana" w:cs="Arial"/>
          <w:bCs/>
          <w:lang w:val="es-MX" w:eastAsia="x-none"/>
        </w:rPr>
        <w:t xml:space="preserve">) los requeridos para cubrir las emergencias educativas, sanitarias y desastres; </w:t>
      </w:r>
      <w:proofErr w:type="spellStart"/>
      <w:r w:rsidRPr="00BC3A80">
        <w:rPr>
          <w:rFonts w:ascii="Verdana" w:hAnsi="Verdana" w:cs="Arial"/>
          <w:bCs/>
          <w:lang w:val="es-MX" w:eastAsia="x-none"/>
        </w:rPr>
        <w:t>iv</w:t>
      </w:r>
      <w:proofErr w:type="spellEnd"/>
      <w:r w:rsidRPr="00BC3A80">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C3A80">
        <w:rPr>
          <w:rFonts w:ascii="Verdana" w:hAnsi="Verdana" w:cs="Arial"/>
          <w:bCs/>
          <w:lang w:val="es-MX" w:eastAsia="es-CO"/>
        </w:rPr>
        <w:t xml:space="preserve"> </w:t>
      </w:r>
      <w:r w:rsidRPr="00BC3A80">
        <w:rPr>
          <w:rFonts w:ascii="Verdana" w:eastAsia="Times New Roman" w:hAnsi="Verdana" w:cs="Arial"/>
          <w:lang w:eastAsia="es-CO"/>
        </w:rPr>
        <w:t xml:space="preserve">  </w:t>
      </w:r>
    </w:p>
    <w:p w14:paraId="613EDF9B" w14:textId="77777777" w:rsidR="00E87C1D" w:rsidRPr="00BC3A80" w:rsidRDefault="00E87C1D" w:rsidP="00E87C1D">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En este punto, vale la pena destacar que, </w:t>
      </w:r>
      <w:r w:rsidRPr="00BC3A80">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BC3A80">
        <w:rPr>
          <w:rFonts w:ascii="Verdana" w:hAnsi="Verdana" w:cs="Arial"/>
        </w:rPr>
        <w:t>numeral 16.2 de la Circular Externa Única de 2022 expedida por la Agencia Nacional de Contratación Pública -</w:t>
      </w:r>
      <w:r w:rsidRPr="00BC3A80">
        <w:rPr>
          <w:rFonts w:ascii="Verdana" w:hAnsi="Verdana" w:cs="Arial"/>
        </w:rPr>
        <w:lastRenderedPageBreak/>
        <w:t>Colombia Compra Eficiente-, concretamente, respecto de los siguientes apartes normativos</w:t>
      </w:r>
      <w:r w:rsidRPr="00BC3A80">
        <w:rPr>
          <w:rFonts w:ascii="Verdana" w:hAnsi="Verdana" w:cs="Arial"/>
          <w:vertAlign w:val="superscript"/>
        </w:rPr>
        <w:footnoteReference w:id="23"/>
      </w:r>
      <w:r w:rsidRPr="00BC3A80">
        <w:rPr>
          <w:rFonts w:ascii="Verdana" w:hAnsi="Verdana" w:cs="Arial"/>
        </w:rPr>
        <w:t>:</w:t>
      </w:r>
      <w:r w:rsidRPr="00BC3A80">
        <w:rPr>
          <w:rFonts w:cs="Arial"/>
        </w:rPr>
        <w:t xml:space="preserve"> </w:t>
      </w:r>
    </w:p>
    <w:p w14:paraId="44152FE0" w14:textId="77777777" w:rsidR="00E87C1D" w:rsidRPr="00BC3A80" w:rsidRDefault="00E87C1D" w:rsidP="00E87C1D">
      <w:pPr>
        <w:spacing w:after="0" w:line="276" w:lineRule="auto"/>
        <w:ind w:firstLine="709"/>
        <w:jc w:val="both"/>
        <w:rPr>
          <w:rFonts w:cs="Arial"/>
        </w:rPr>
      </w:pPr>
    </w:p>
    <w:p w14:paraId="7BDA73CC" w14:textId="77777777" w:rsidR="00E87C1D" w:rsidRPr="00BC3A80" w:rsidRDefault="00E87C1D" w:rsidP="00E87C1D">
      <w:pPr>
        <w:spacing w:after="0" w:line="240" w:lineRule="auto"/>
        <w:ind w:left="709" w:right="709"/>
        <w:jc w:val="both"/>
        <w:rPr>
          <w:rFonts w:ascii="Verdana" w:hAnsi="Verdana" w:cs="Arial"/>
          <w:sz w:val="20"/>
          <w:szCs w:val="20"/>
        </w:rPr>
      </w:pPr>
      <w:r w:rsidRPr="00BC3A80">
        <w:rPr>
          <w:rFonts w:ascii="Verdana" w:hAnsi="Verdana" w:cs="Arial"/>
          <w:sz w:val="20"/>
          <w:szCs w:val="20"/>
          <w:lang w:val="es-MX"/>
        </w:rPr>
        <w:t>i)</w:t>
      </w:r>
      <w:r w:rsidRPr="00BC3A80">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069947A2" w14:textId="77777777" w:rsidR="00E87C1D" w:rsidRPr="00BC3A80" w:rsidRDefault="00E87C1D" w:rsidP="00E87C1D">
      <w:pPr>
        <w:spacing w:after="0" w:line="240" w:lineRule="auto"/>
        <w:ind w:left="709" w:right="709"/>
        <w:jc w:val="both"/>
        <w:rPr>
          <w:rFonts w:ascii="Verdana" w:hAnsi="Verdana" w:cs="Arial"/>
          <w:sz w:val="20"/>
          <w:szCs w:val="20"/>
        </w:rPr>
      </w:pPr>
    </w:p>
    <w:p w14:paraId="415DC255" w14:textId="77777777" w:rsidR="00E87C1D" w:rsidRPr="00BC3A80" w:rsidRDefault="00E87C1D" w:rsidP="00E87C1D">
      <w:pPr>
        <w:spacing w:after="0" w:line="240" w:lineRule="auto"/>
        <w:ind w:left="709" w:right="709"/>
        <w:jc w:val="both"/>
        <w:rPr>
          <w:rFonts w:ascii="Verdana" w:hAnsi="Verdana" w:cs="Arial"/>
          <w:sz w:val="20"/>
          <w:szCs w:val="20"/>
        </w:rPr>
      </w:pPr>
      <w:proofErr w:type="spellStart"/>
      <w:r w:rsidRPr="00BC3A80">
        <w:rPr>
          <w:rFonts w:ascii="Verdana" w:hAnsi="Verdana" w:cs="Arial"/>
          <w:sz w:val="20"/>
          <w:szCs w:val="20"/>
        </w:rPr>
        <w:t>ii</w:t>
      </w:r>
      <w:proofErr w:type="spellEnd"/>
      <w:r w:rsidRPr="00BC3A80">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44F4FE5C" w14:textId="77777777" w:rsidR="00E87C1D" w:rsidRPr="00BC3A80" w:rsidRDefault="00E87C1D" w:rsidP="00E87C1D">
      <w:pPr>
        <w:spacing w:after="0" w:line="276" w:lineRule="auto"/>
        <w:ind w:left="709" w:right="709"/>
        <w:jc w:val="both"/>
        <w:rPr>
          <w:rFonts w:ascii="Verdana" w:hAnsi="Verdana" w:cs="Arial"/>
        </w:rPr>
      </w:pPr>
    </w:p>
    <w:p w14:paraId="05CEF434" w14:textId="77777777" w:rsidR="00E87C1D" w:rsidRPr="00BC3A80" w:rsidRDefault="00E87C1D" w:rsidP="00E87C1D">
      <w:pPr>
        <w:spacing w:after="120" w:line="276" w:lineRule="auto"/>
        <w:ind w:firstLine="709"/>
        <w:jc w:val="both"/>
        <w:rPr>
          <w:rFonts w:ascii="Verdana" w:eastAsia="Arial" w:hAnsi="Verdana" w:cs="Arial"/>
          <w:i/>
          <w:iCs/>
          <w:lang w:eastAsia="es-ES" w:bidi="es-ES"/>
        </w:rPr>
      </w:pPr>
      <w:r w:rsidRPr="00BC3A80">
        <w:rPr>
          <w:rFonts w:ascii="Verdana" w:eastAsia="Arial" w:hAnsi="Verdana" w:cs="Arial"/>
          <w:lang w:val="es-MX" w:eastAsia="es-ES" w:bidi="es-ES"/>
        </w:rPr>
        <w:t xml:space="preserve">De conformidad con los argumentos de dicha providencia, se parte de la distinción entre los conceptos </w:t>
      </w:r>
      <w:r w:rsidRPr="00BC3A80">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BC3A80">
        <w:rPr>
          <w:rFonts w:ascii="Times New Roman" w:hAnsi="Times New Roman"/>
          <w:sz w:val="24"/>
          <w:szCs w:val="24"/>
          <w:lang w:eastAsia="es-CO"/>
        </w:rPr>
        <w:t xml:space="preserve"> </w:t>
      </w:r>
      <w:r w:rsidRPr="00BC3A80">
        <w:rPr>
          <w:rFonts w:ascii="Verdana" w:eastAsia="Arial" w:hAnsi="Verdana" w:cs="Arial"/>
          <w:lang w:eastAsia="es-ES" w:bidi="es-ES"/>
        </w:rPr>
        <w:t xml:space="preserve">En este sentido, en relación con el parágrafo del artículo 38 de la Ley 996 de 2005 concluyó que </w:t>
      </w:r>
      <w:r w:rsidRPr="00BC3A80">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BC3A80">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BC3A80">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6F7B2E21" w14:textId="77777777" w:rsidR="00E87C1D" w:rsidRPr="00BC3A80" w:rsidRDefault="00E87C1D" w:rsidP="00E87C1D">
      <w:pPr>
        <w:spacing w:after="120" w:line="276" w:lineRule="auto"/>
        <w:ind w:firstLine="709"/>
        <w:jc w:val="both"/>
        <w:rPr>
          <w:rFonts w:ascii="Verdana" w:eastAsia="Arial" w:hAnsi="Verdana" w:cs="Arial"/>
          <w:lang w:eastAsia="es-ES" w:bidi="es-ES"/>
        </w:rPr>
      </w:pPr>
      <w:r w:rsidRPr="00BC3A80">
        <w:rPr>
          <w:rFonts w:ascii="Verdana" w:eastAsia="Arial" w:hAnsi="Verdana" w:cs="Arial"/>
          <w:lang w:eastAsia="es-ES" w:bidi="es-ES"/>
        </w:rPr>
        <w:t>De igual manera, mediante auto del 6 de noviembre de 2025, el Consejo de Estado, Subsección A de la Sección Tercera, decretó</w:t>
      </w:r>
      <w:r w:rsidRPr="00BC3A80">
        <w:rPr>
          <w:rFonts w:ascii="Verdana" w:eastAsia="Arial" w:hAnsi="Verdana" w:cs="Arial"/>
          <w:b/>
          <w:bCs/>
          <w:lang w:eastAsia="es-ES" w:bidi="es-ES"/>
        </w:rPr>
        <w:t xml:space="preserve"> </w:t>
      </w:r>
      <w:r w:rsidRPr="00BC3A80">
        <w:rPr>
          <w:rFonts w:ascii="Verdana" w:eastAsia="Arial" w:hAnsi="Verdana" w:cs="Arial"/>
          <w:lang w:eastAsia="es-ES" w:bidi="es-ES"/>
        </w:rPr>
        <w:t xml:space="preserve">la suspensión provisional de los apartes cuestionados del inciso segundo y del inciso cuarto del numeral 16.2 de la Circular Externa Única, versión 3 del 27 de diciembre de 2023, </w:t>
      </w:r>
      <w:r w:rsidRPr="00BC3A80">
        <w:rPr>
          <w:rFonts w:ascii="Verdana" w:eastAsia="Arial" w:hAnsi="Verdana" w:cs="Arial"/>
          <w:lang w:eastAsia="es-ES" w:bidi="es-ES"/>
        </w:rPr>
        <w:lastRenderedPageBreak/>
        <w:t>expedida por la Agencia Nacional de Contratación Pública – Colombia Compra Eficiente relacionados con los contratos interadministrativos</w:t>
      </w:r>
      <w:r w:rsidRPr="00BC3A80">
        <w:rPr>
          <w:rFonts w:ascii="Verdana" w:eastAsia="Arial" w:hAnsi="Verdana" w:cs="Arial"/>
          <w:vertAlign w:val="superscript"/>
          <w:lang w:eastAsia="es-ES" w:bidi="es-ES"/>
        </w:rPr>
        <w:footnoteReference w:id="24"/>
      </w:r>
      <w:r w:rsidRPr="00BC3A80">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BC3A80">
        <w:rPr>
          <w:rFonts w:ascii="Verdana" w:eastAsia="Arial" w:hAnsi="Verdana" w:cs="Arial"/>
          <w:lang w:eastAsia="es-ES" w:bidi="es-ES"/>
        </w:rPr>
        <w:t>legis</w:t>
      </w:r>
      <w:proofErr w:type="spellEnd"/>
      <w:r w:rsidRPr="00BC3A80">
        <w:rPr>
          <w:rFonts w:ascii="Verdana" w:eastAsia="Arial" w:hAnsi="Verdana" w:cs="Arial"/>
          <w:lang w:eastAsia="es-ES" w:bidi="es-ES"/>
        </w:rPr>
        <w:t xml:space="preserve"> o iuris y la interpretación extensiva y reiteró los argumentos sobre la diferencia entre contratos y convenios interadministrativos. </w:t>
      </w:r>
    </w:p>
    <w:p w14:paraId="63A58D84" w14:textId="77777777" w:rsidR="00E87C1D" w:rsidRDefault="00E87C1D" w:rsidP="00E87C1D">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w:t>
      </w:r>
      <w:r>
        <w:rPr>
          <w:rFonts w:ascii="Verdana" w:eastAsia="Times New Roman" w:hAnsi="Verdana" w:cs="Times New Roman"/>
          <w:lang w:eastAsia="es-ES"/>
        </w:rPr>
        <w:t xml:space="preserve"> [</w:t>
      </w:r>
      <w:r w:rsidRPr="31E4E861">
        <w:rPr>
          <w:rFonts w:ascii="Verdana" w:eastAsia="Times New Roman" w:hAnsi="Verdana" w:cs="Times New Roman"/>
          <w:lang w:eastAsia="es-ES"/>
        </w:rPr>
        <w:t>…</w:t>
      </w:r>
      <w:r>
        <w:rPr>
          <w:rFonts w:ascii="Verdana" w:eastAsia="Times New Roman" w:hAnsi="Verdana" w:cs="Times New Roman"/>
          <w:lang w:eastAsia="es-ES"/>
        </w:rPr>
        <w:t>]</w:t>
      </w:r>
      <w:r w:rsidRPr="31E4E861">
        <w:rPr>
          <w:rFonts w:ascii="Verdana" w:eastAsia="Times New Roman" w:hAnsi="Verdana" w:cs="Times New Roman"/>
          <w:lang w:eastAsia="es-ES"/>
        </w:rPr>
        <w:t xml:space="preserve">”. </w:t>
      </w:r>
    </w:p>
    <w:p w14:paraId="6132DF96" w14:textId="77777777" w:rsidR="00E87C1D" w:rsidRDefault="00E87C1D" w:rsidP="00E87C1D">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25"/>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w:t>
      </w:r>
      <w:r w:rsidRPr="2035D652">
        <w:rPr>
          <w:rFonts w:ascii="Verdana" w:eastAsia="Times New Roman" w:hAnsi="Verdana" w:cs="Times New Roman"/>
          <w:lang w:eastAsia="es-ES"/>
        </w:rPr>
        <w:lastRenderedPageBreak/>
        <w:t xml:space="preserve">en cooperación sin ánimo económico. Por ello, la restricción legal no podía aplicarse extensivamente a los contratos. </w:t>
      </w:r>
    </w:p>
    <w:p w14:paraId="77B86723" w14:textId="77777777" w:rsidR="00E87C1D" w:rsidRPr="00670659" w:rsidRDefault="00E87C1D" w:rsidP="00E87C1D">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7859AE43" w14:textId="77777777" w:rsidR="00E87C1D" w:rsidRPr="00667CD6" w:rsidRDefault="00E87C1D" w:rsidP="00E87C1D">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26"/>
      </w:r>
      <w:r>
        <w:rPr>
          <w:rFonts w:ascii="Verdana" w:eastAsia="Times New Roman" w:hAnsi="Verdana" w:cs="Arial"/>
          <w:lang w:eastAsia="es-CO"/>
        </w:rPr>
        <w:t>.</w:t>
      </w:r>
    </w:p>
    <w:p w14:paraId="237F269E" w14:textId="77777777" w:rsidR="00E87C1D" w:rsidRDefault="00E87C1D" w:rsidP="00E87C1D">
      <w:pPr>
        <w:spacing w:after="120" w:line="276" w:lineRule="auto"/>
        <w:ind w:firstLine="709"/>
        <w:jc w:val="both"/>
        <w:rPr>
          <w:rFonts w:ascii="Verdana" w:eastAsia="Times New Roman" w:hAnsi="Verdana" w:cs="Arial"/>
          <w:lang w:eastAsia="es-CO"/>
        </w:rPr>
      </w:pPr>
      <w:r w:rsidRPr="00BC3A80">
        <w:rPr>
          <w:rFonts w:ascii="Verdana" w:eastAsia="Times New Roman" w:hAnsi="Verdana" w:cs="Arial"/>
          <w:lang w:eastAsia="es-CO"/>
        </w:rPr>
        <w:t xml:space="preserve">En este contexto, frente a la consulta planteada, resulta necesario verificar dos aspectos fundamentales: (i) </w:t>
      </w:r>
      <w:r w:rsidRPr="00F62707">
        <w:rPr>
          <w:rFonts w:ascii="Verdana" w:eastAsia="Times New Roman" w:hAnsi="Verdana" w:cs="Arial"/>
          <w:lang w:eastAsia="es-CO"/>
        </w:rPr>
        <w:t>si, en el marco de las alianzas estratégicas a las que se refiere la solicitud,</w:t>
      </w:r>
      <w:r w:rsidRPr="0094092E">
        <w:rPr>
          <w:rFonts w:ascii="Verdana" w:eastAsia="Times New Roman" w:hAnsi="Verdana" w:cs="Arial"/>
          <w:lang w:eastAsia="es-CO"/>
        </w:rPr>
        <w:t xml:space="preserve"> los convenios proyectados entre la AND y entidades públicas u otras personas jurídicas de derecho público</w:t>
      </w:r>
      <w:r>
        <w:rPr>
          <w:rFonts w:ascii="Verdana" w:eastAsia="Times New Roman" w:hAnsi="Verdana" w:cs="Arial"/>
          <w:lang w:eastAsia="es-CO"/>
        </w:rPr>
        <w:t>,</w:t>
      </w:r>
      <w:r w:rsidRPr="0094092E">
        <w:rPr>
          <w:rFonts w:ascii="Verdana" w:eastAsia="Times New Roman" w:hAnsi="Verdana" w:cs="Arial"/>
          <w:lang w:eastAsia="es-CO"/>
        </w:rPr>
        <w:t xml:space="preserve"> involucran a alguno de los sujetos mencionados en el parágrafo del artículo 38 de la Ley 996 de 2005</w:t>
      </w:r>
      <w:r>
        <w:rPr>
          <w:rFonts w:ascii="Verdana" w:eastAsia="Times New Roman" w:hAnsi="Verdana" w:cs="Arial"/>
          <w:lang w:eastAsia="es-CO"/>
        </w:rPr>
        <w:t xml:space="preserve">, </w:t>
      </w:r>
      <w:r w:rsidRPr="00BC3A80">
        <w:rPr>
          <w:rFonts w:ascii="Verdana" w:eastAsia="Arial" w:hAnsi="Verdana" w:cs="Arial"/>
          <w:lang w:eastAsia="es-ES" w:bidi="es-ES"/>
        </w:rPr>
        <w:t>–</w:t>
      </w:r>
      <w:r>
        <w:rPr>
          <w:rFonts w:ascii="Verdana" w:eastAsia="Arial" w:hAnsi="Verdana" w:cs="Arial"/>
          <w:lang w:eastAsia="es-ES" w:bidi="es-ES"/>
        </w:rPr>
        <w:t>que no es el caso de la AND, como se señalará más adelante</w:t>
      </w:r>
      <w:r w:rsidRPr="00BC3A80">
        <w:rPr>
          <w:rFonts w:ascii="Verdana" w:eastAsia="Arial" w:hAnsi="Verdana" w:cs="Arial"/>
          <w:lang w:eastAsia="es-ES" w:bidi="es-ES"/>
        </w:rPr>
        <w:t>–</w:t>
      </w:r>
      <w:r>
        <w:rPr>
          <w:rFonts w:ascii="Verdana" w:eastAsia="Arial" w:hAnsi="Verdana" w:cs="Arial"/>
          <w:lang w:eastAsia="es-ES" w:bidi="es-ES"/>
        </w:rPr>
        <w:t xml:space="preserve">, </w:t>
      </w:r>
      <w:r w:rsidRPr="0094092E">
        <w:rPr>
          <w:rFonts w:ascii="Verdana" w:eastAsia="Times New Roman" w:hAnsi="Verdana" w:cs="Arial"/>
          <w:lang w:eastAsia="es-CO"/>
        </w:rPr>
        <w:t xml:space="preserve">y </w:t>
      </w:r>
      <w:r w:rsidRPr="00BC3A80">
        <w:rPr>
          <w:rFonts w:ascii="Verdana" w:eastAsia="Times New Roman" w:hAnsi="Verdana" w:cs="Arial"/>
          <w:lang w:eastAsia="es-CO"/>
        </w:rPr>
        <w:t>(</w:t>
      </w:r>
      <w:proofErr w:type="spellStart"/>
      <w:r w:rsidRPr="00BC3A80">
        <w:rPr>
          <w:rFonts w:ascii="Verdana" w:eastAsia="Times New Roman" w:hAnsi="Verdana" w:cs="Arial"/>
          <w:lang w:eastAsia="es-CO"/>
        </w:rPr>
        <w:t>ii</w:t>
      </w:r>
      <w:proofErr w:type="spellEnd"/>
      <w:r w:rsidRPr="00BC3A80">
        <w:rPr>
          <w:rFonts w:ascii="Verdana" w:eastAsia="Times New Roman" w:hAnsi="Verdana" w:cs="Arial"/>
          <w:lang w:eastAsia="es-CO"/>
        </w:rPr>
        <w:t xml:space="preserve">) si el objeto proyectado tiene la naturaleza de un convenio interadministrativo destinado a la ejecución de recursos públicos. </w:t>
      </w:r>
      <w:r w:rsidRPr="00BC3A80">
        <w:rPr>
          <w:rFonts w:ascii="Verdana" w:hAnsi="Verdana" w:cs="Arial"/>
        </w:rPr>
        <w:t>Cuando este sea el caso</w:t>
      </w:r>
      <w:r w:rsidRPr="00BC3A80">
        <w:rPr>
          <w:rFonts w:ascii="Verdana" w:eastAsia="Times New Roman" w:hAnsi="Verdana" w:cs="Arial"/>
          <w:lang w:eastAsia="es-CO"/>
        </w:rPr>
        <w:t xml:space="preserve">, opera la prohibición establecida en la norma, restringiendo la celebración de tales convenios durante los cuatro meses previos a cualquier contienda electoral, pues como se indicó, la restricción aplicará a los sujetos allí señalados, </w:t>
      </w:r>
      <w:r w:rsidRPr="00BC3A80">
        <w:rPr>
          <w:rFonts w:ascii="Verdana" w:eastAsia="Times New Roman" w:hAnsi="Verdana" w:cs="Arial"/>
          <w:i/>
          <w:iCs/>
          <w:lang w:eastAsia="es-CO"/>
        </w:rPr>
        <w:t>“aunque se configure alguno de los supuestos de excepción que señaló el inciso final del artículo 33”.</w:t>
      </w:r>
    </w:p>
    <w:p w14:paraId="5FF952FD" w14:textId="77777777" w:rsidR="00E87C1D" w:rsidRDefault="00E87C1D" w:rsidP="00E87C1D">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rPr>
        <w:t>Ahora bien, c</w:t>
      </w:r>
      <w:r w:rsidRPr="00032912">
        <w:rPr>
          <w:rFonts w:ascii="Verdana" w:eastAsia="Times New Roman" w:hAnsi="Verdana" w:cs="Arial"/>
          <w:lang w:eastAsia="es-CO"/>
        </w:rPr>
        <w:t>onviene resaltar que la Agencia Nacional Digital —AND—, en su calidad de entidad descentralizada indirecta del orden nacional, organizada como asociación civil de participación pública, sin ánimo de lucro, con naturaleza jurídica privada y patrimonio propio, adscrita al Ministerio de Tecnologías de la Información y las Comunicaciones</w:t>
      </w:r>
      <w:r>
        <w:rPr>
          <w:rStyle w:val="Refdenotaalpie"/>
          <w:rFonts w:ascii="Verdana" w:eastAsia="Times New Roman" w:hAnsi="Verdana" w:cs="Arial"/>
          <w:lang w:eastAsia="es-CO"/>
        </w:rPr>
        <w:footnoteReference w:id="27"/>
      </w:r>
      <w:r w:rsidRPr="00032912">
        <w:rPr>
          <w:rFonts w:ascii="Verdana" w:eastAsia="Times New Roman" w:hAnsi="Verdana" w:cs="Arial"/>
          <w:lang w:eastAsia="es-CO"/>
        </w:rPr>
        <w:t xml:space="preserve">, no se encuentra comprendida dentro de los </w:t>
      </w:r>
      <w:r w:rsidRPr="00032912">
        <w:rPr>
          <w:rFonts w:ascii="Verdana" w:eastAsia="Times New Roman" w:hAnsi="Verdana" w:cs="Arial"/>
          <w:lang w:eastAsia="es-CO"/>
        </w:rPr>
        <w:lastRenderedPageBreak/>
        <w:t>sujetos a los que el parágrafo del artículo 38 de la Ley 996 de 2005 dirige la prohibición. En esa medida, cuando la entidad pública con la cual se proyecta suscribir un convenio interadministrativo tampoco haga parte de los sujetos restringidos por dicha disposición, la celebración del convenio resulta jurídicamente viable en periodos preelectorales.</w:t>
      </w:r>
    </w:p>
    <w:p w14:paraId="7AF19AB5" w14:textId="77777777" w:rsidR="00E87C1D" w:rsidRPr="00BC3A80" w:rsidRDefault="00E87C1D" w:rsidP="00E87C1D">
      <w:pPr>
        <w:spacing w:after="120" w:line="276" w:lineRule="auto"/>
        <w:ind w:firstLine="709"/>
        <w:jc w:val="both"/>
        <w:rPr>
          <w:rFonts w:ascii="Verdana" w:eastAsia="Times New Roman" w:hAnsi="Verdana" w:cs="Arial"/>
          <w:lang w:eastAsia="es-CO"/>
        </w:rPr>
      </w:pPr>
      <w:r w:rsidRPr="0054520D">
        <w:rPr>
          <w:rFonts w:ascii="Verdana" w:eastAsia="Times New Roman" w:hAnsi="Verdana" w:cs="Arial"/>
          <w:lang w:eastAsia="es-CO"/>
        </w:rPr>
        <w:t xml:space="preserve">Con todo, es necesario reiterar que, aunque la AND es una entidad descentralizada indirecta, su carácter corresponde al </w:t>
      </w:r>
      <w:r w:rsidRPr="0054520D">
        <w:rPr>
          <w:rFonts w:ascii="Verdana" w:eastAsia="Times New Roman" w:hAnsi="Verdana" w:cs="Arial"/>
          <w:i/>
          <w:iCs/>
          <w:lang w:eastAsia="es-CO"/>
        </w:rPr>
        <w:t>orden nacional</w:t>
      </w:r>
      <w:r w:rsidRPr="0054520D">
        <w:rPr>
          <w:rFonts w:ascii="Verdana" w:eastAsia="Times New Roman" w:hAnsi="Verdana" w:cs="Arial"/>
          <w:lang w:eastAsia="es-CO"/>
        </w:rPr>
        <w:t xml:space="preserve">. El parágrafo del artículo 38 de la Ley 996 de 2005 no alude a todas las entidades descentralizadas en general, sino únicamente —entre otros sujetos— a los “gerentes y directores de entidades descentralizadas del orden municipal, departamental o distrital”, es decir, del </w:t>
      </w:r>
      <w:r w:rsidRPr="0054520D">
        <w:rPr>
          <w:rFonts w:ascii="Verdana" w:eastAsia="Times New Roman" w:hAnsi="Verdana" w:cs="Arial"/>
          <w:i/>
          <w:iCs/>
          <w:lang w:eastAsia="es-CO"/>
        </w:rPr>
        <w:t>orden territorial</w:t>
      </w:r>
      <w:r w:rsidRPr="0054520D">
        <w:rPr>
          <w:rFonts w:ascii="Verdana" w:eastAsia="Times New Roman" w:hAnsi="Verdana" w:cs="Arial"/>
          <w:lang w:eastAsia="es-CO"/>
        </w:rPr>
        <w:t xml:space="preserve">. En consecuencia, </w:t>
      </w:r>
      <w:r>
        <w:rPr>
          <w:rFonts w:ascii="Verdana" w:eastAsia="Times New Roman" w:hAnsi="Verdana" w:cs="Arial"/>
          <w:lang w:eastAsia="es-CO"/>
        </w:rPr>
        <w:t xml:space="preserve">se insiste, </w:t>
      </w:r>
      <w:r w:rsidRPr="0054520D">
        <w:rPr>
          <w:rFonts w:ascii="Verdana" w:eastAsia="Times New Roman" w:hAnsi="Verdana" w:cs="Arial"/>
          <w:lang w:eastAsia="es-CO"/>
        </w:rPr>
        <w:t>la AND no se encuentra comprendida dentro del ámbito subjetivo de aplicación de la prohibición. No obstante, si el convenio interadministrativo proyectado se suscribe con una entidad que sí ostenta la calidad de entidad descentralizada territorial</w:t>
      </w:r>
      <w:r>
        <w:rPr>
          <w:rFonts w:ascii="Verdana" w:eastAsia="Times New Roman" w:hAnsi="Verdana" w:cs="Arial"/>
          <w:lang w:eastAsia="es-CO"/>
        </w:rPr>
        <w:t xml:space="preserve"> o cualquier otra de las señaladas en la prohibición en mención</w:t>
      </w:r>
      <w:r w:rsidRPr="0054520D">
        <w:rPr>
          <w:rFonts w:ascii="Verdana" w:eastAsia="Times New Roman" w:hAnsi="Verdana" w:cs="Arial"/>
          <w:lang w:eastAsia="es-CO"/>
        </w:rPr>
        <w:t xml:space="preserve"> —y, por ende, está obligada a observar la restricción— deberá aplicarse la limitación para la suscripción del convenio durante los cuatro (4) meses previos a la respectiva contienda electoral. En estos casos, la prohibición opera respecto del sujeto sometido al régimen de garantías, lo que condiciona la viabilidad temporal de perfeccionar el convenio.</w:t>
      </w:r>
    </w:p>
    <w:p w14:paraId="21C91A0D" w14:textId="77777777" w:rsidR="00E87C1D" w:rsidRPr="00BC3A80" w:rsidRDefault="00E87C1D" w:rsidP="00E87C1D">
      <w:pPr>
        <w:spacing w:after="120" w:line="276" w:lineRule="auto"/>
        <w:ind w:firstLine="709"/>
        <w:jc w:val="both"/>
        <w:rPr>
          <w:rFonts w:ascii="Verdana" w:eastAsia="Times New Roman" w:hAnsi="Verdana" w:cs="Arial"/>
          <w:lang w:eastAsia="es-CO"/>
        </w:rPr>
      </w:pPr>
      <w:r w:rsidRPr="00BC3A80">
        <w:rPr>
          <w:rFonts w:ascii="Verdana" w:eastAsia="Times New Roman" w:hAnsi="Verdana" w:cs="Arial"/>
          <w:lang w:eastAsia="es-CO"/>
        </w:rPr>
        <w:t xml:space="preserve">Por su parte, conforme a lo señalado por el Consejo de Estado, cuando dos entidades públicas celebren un </w:t>
      </w:r>
      <w:r w:rsidRPr="00BC3A80">
        <w:rPr>
          <w:rFonts w:ascii="Verdana" w:eastAsia="Times New Roman" w:hAnsi="Verdana" w:cs="Arial"/>
          <w:i/>
          <w:iCs/>
          <w:lang w:eastAsia="es-CO"/>
        </w:rPr>
        <w:t>contrato interadministrativo,</w:t>
      </w:r>
      <w:r w:rsidRPr="00BC3A80">
        <w:rPr>
          <w:rFonts w:ascii="Verdana" w:eastAsia="Times New Roman" w:hAnsi="Verdana" w:cs="Arial"/>
          <w:lang w:eastAsia="es-CO"/>
        </w:rPr>
        <w:t xml:space="preserve"> independientemente del objeto, dicho contrato puede suscribirse durante el periodo preelectoral. Por consiguiente y de acuerdo con la referida posición del Consejo de Estado, si el contrato involucra a alguno de los sujetos mencionados en el parágrafo del artículo 38 de la Ley de Garantías Electorales y se constituye como un contrato interadministrativo no le resulta aplicable la limitación prevista en el parágrafo del artículo 38. </w:t>
      </w:r>
    </w:p>
    <w:p w14:paraId="3AF927C9" w14:textId="77777777" w:rsidR="00E87C1D" w:rsidRPr="00BC3A80" w:rsidRDefault="00E87C1D" w:rsidP="00E87C1D">
      <w:pPr>
        <w:spacing w:after="120" w:line="276" w:lineRule="auto"/>
        <w:ind w:firstLine="709"/>
        <w:jc w:val="both"/>
        <w:rPr>
          <w:rFonts w:ascii="Verdana" w:eastAsia="Arial" w:hAnsi="Verdana" w:cs="Arial"/>
          <w:lang w:val="es-ES" w:eastAsia="es-ES" w:bidi="es-ES"/>
        </w:rPr>
      </w:pPr>
      <w:r w:rsidRPr="00BC3A80">
        <w:rPr>
          <w:rFonts w:ascii="Verdana" w:eastAsia="Times New Roman" w:hAnsi="Verdana" w:cs="Arial"/>
          <w:lang w:val="es-ES" w:eastAsia="es-CO" w:bidi="es-ES"/>
        </w:rPr>
        <w:t>En todo caso</w:t>
      </w:r>
      <w:r w:rsidRPr="00BC3A80">
        <w:rPr>
          <w:rFonts w:ascii="Verdana" w:eastAsia="Arial" w:hAnsi="Verdana" w:cs="Arial"/>
          <w:lang w:val="es-ES" w:eastAsia="es-ES" w:bidi="es-ES"/>
        </w:rPr>
        <w:t xml:space="preserve">,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w:t>
      </w:r>
      <w:r w:rsidRPr="00BC3A80">
        <w:rPr>
          <w:rFonts w:ascii="Verdana" w:eastAsia="Arial" w:hAnsi="Verdana" w:cs="Arial"/>
          <w:lang w:val="es-ES" w:eastAsia="es-ES" w:bidi="es-ES"/>
        </w:rPr>
        <w:lastRenderedPageBreak/>
        <w:t>judicial emanan de la autonomía conferida a estos por la Constitución y del derecho que tienen los ciudadanos al acceso y oportuna administración de justicia</w:t>
      </w:r>
      <w:r w:rsidRPr="00BC3A80">
        <w:rPr>
          <w:rFonts w:ascii="Verdana" w:eastAsia="Arial" w:hAnsi="Verdana" w:cs="Arial"/>
          <w:vertAlign w:val="superscript"/>
          <w:lang w:val="es-ES" w:eastAsia="es-ES" w:bidi="es-ES"/>
        </w:rPr>
        <w:footnoteReference w:id="28"/>
      </w:r>
      <w:r w:rsidRPr="00BC3A80">
        <w:rPr>
          <w:rFonts w:ascii="Verdana" w:eastAsia="Arial" w:hAnsi="Verdana" w:cs="Arial"/>
          <w:lang w:val="es-ES" w:eastAsia="es-ES" w:bidi="es-ES"/>
        </w:rPr>
        <w:t>.</w:t>
      </w:r>
    </w:p>
    <w:p w14:paraId="0378134E" w14:textId="77777777" w:rsidR="00E87C1D" w:rsidRPr="00BC3A80" w:rsidRDefault="00E87C1D" w:rsidP="00E87C1D">
      <w:pPr>
        <w:spacing w:after="120" w:line="276" w:lineRule="auto"/>
        <w:ind w:firstLine="709"/>
        <w:jc w:val="both"/>
        <w:rPr>
          <w:rFonts w:ascii="Verdana" w:eastAsia="Arial" w:hAnsi="Verdana" w:cs="Arial"/>
          <w:bCs/>
          <w:color w:val="000000" w:themeColor="text1"/>
          <w:lang w:val="es-ES"/>
        </w:rPr>
      </w:pPr>
      <w:r w:rsidRPr="00BC3A80">
        <w:rPr>
          <w:rFonts w:ascii="Verdana" w:eastAsia="Arial" w:hAnsi="Verdana" w:cs="Arial"/>
          <w:lang w:val="es-ES" w:eastAsia="es-ES" w:bidi="es-ES"/>
        </w:rPr>
        <w:t xml:space="preserve">En síntesis, por virtud de las excepciones establecidas en el </w:t>
      </w:r>
      <w:r w:rsidRPr="00BC3A80">
        <w:rPr>
          <w:rFonts w:ascii="Verdana" w:hAnsi="Verdana" w:cs="Arial"/>
          <w:bCs/>
          <w:color w:val="000000" w:themeColor="text1"/>
          <w:lang w:val="es-ES"/>
        </w:rPr>
        <w:t xml:space="preserve">segundo inciso del </w:t>
      </w:r>
      <w:r w:rsidRPr="00BC3A80">
        <w:rPr>
          <w:rFonts w:ascii="Verdana" w:eastAsia="Arial" w:hAnsi="Verdana" w:cs="Arial"/>
          <w:lang w:val="es-ES" w:eastAsia="es-ES" w:bidi="es-ES"/>
        </w:rPr>
        <w:t>artículo 33</w:t>
      </w:r>
      <w:r w:rsidRPr="00BC3A80">
        <w:rPr>
          <w:rFonts w:ascii="Verdana" w:eastAsia="Arial" w:hAnsi="Verdana" w:cs="Arial"/>
          <w:bCs/>
          <w:color w:val="000000" w:themeColor="text1"/>
          <w:lang w:val="es-ES"/>
        </w:rPr>
        <w:t xml:space="preserve"> de la Ley de Garantías Electorales, los entes del Estado </w:t>
      </w:r>
      <w:r>
        <w:rPr>
          <w:rFonts w:ascii="Verdana" w:eastAsia="Arial" w:hAnsi="Verdana" w:cs="Arial"/>
          <w:bCs/>
          <w:color w:val="000000" w:themeColor="text1"/>
          <w:lang w:val="es-ES"/>
        </w:rPr>
        <w:t xml:space="preserve">no </w:t>
      </w:r>
      <w:r w:rsidRPr="00BC3A80">
        <w:rPr>
          <w:rFonts w:ascii="Verdana" w:eastAsia="Arial" w:hAnsi="Verdana" w:cs="Arial"/>
          <w:bCs/>
          <w:color w:val="000000" w:themeColor="text1"/>
          <w:lang w:val="es-ES"/>
        </w:rPr>
        <w:t xml:space="preserve">podrán contratar directamente </w:t>
      </w:r>
      <w:r>
        <w:rPr>
          <w:rFonts w:ascii="Verdana" w:eastAsia="Arial" w:hAnsi="Verdana" w:cs="Arial"/>
          <w:bCs/>
          <w:color w:val="000000" w:themeColor="text1"/>
          <w:lang w:val="es-ES"/>
        </w:rPr>
        <w:t>la prestación de servicios de servicios profesionales y/o de apoyo a la gestión</w:t>
      </w:r>
      <w:r w:rsidRPr="00BC3A80">
        <w:rPr>
          <w:rFonts w:ascii="Verdana" w:eastAsia="Arial" w:hAnsi="Verdana" w:cs="Arial"/>
          <w:bCs/>
          <w:color w:val="000000" w:themeColor="text1"/>
          <w:lang w:val="es-ES"/>
        </w:rPr>
        <w:t xml:space="preserve">, </w:t>
      </w:r>
      <w:r w:rsidRPr="00BC3A80">
        <w:rPr>
          <w:rFonts w:ascii="Verdana" w:eastAsia="Arial" w:hAnsi="Verdana" w:cs="Arial"/>
          <w:bCs/>
          <w:color w:val="000000" w:themeColor="text1"/>
        </w:rPr>
        <w:t>durante los cuatro (4) meses anteriores a las elecciones presidenciales</w:t>
      </w:r>
      <w:r w:rsidRPr="00BC3A80">
        <w:rPr>
          <w:rFonts w:ascii="Verdana" w:eastAsia="Arial" w:hAnsi="Verdana" w:cs="Arial"/>
          <w:bCs/>
          <w:color w:val="000000" w:themeColor="text1"/>
          <w:lang w:val="es-ES"/>
        </w:rPr>
        <w:t xml:space="preserve">. Asimismo, si estos contratos se proyectan como contratos interadministrativos, de acuerdo </w:t>
      </w:r>
      <w:r>
        <w:rPr>
          <w:rFonts w:ascii="Verdana" w:eastAsia="Arial" w:hAnsi="Verdana" w:cs="Arial"/>
          <w:bCs/>
          <w:color w:val="000000" w:themeColor="text1"/>
          <w:lang w:val="es-ES"/>
        </w:rPr>
        <w:t>con</w:t>
      </w:r>
      <w:r w:rsidRPr="00BC3A80">
        <w:rPr>
          <w:rFonts w:ascii="Verdana" w:eastAsia="Arial" w:hAnsi="Verdana" w:cs="Arial"/>
          <w:bCs/>
          <w:color w:val="000000" w:themeColor="text1"/>
          <w:lang w:val="es-ES"/>
        </w:rPr>
        <w:t xml:space="preserve"> la postura del Consejo de Estado, tampoco les resultaría aplicable la restricción contenida en el parágrafo del artículo 38, por lo que podrían contratar dentro de </w:t>
      </w:r>
      <w:r w:rsidRPr="00BC3A80">
        <w:rPr>
          <w:rFonts w:ascii="Verdana" w:eastAsia="Arial" w:hAnsi="Verdana" w:cs="Arial"/>
          <w:bCs/>
          <w:color w:val="000000" w:themeColor="text1"/>
        </w:rPr>
        <w:t xml:space="preserve">los cuatro meses anteriores a las elecciones para cualquier cargo de elección popular a que se refiere la ley, incluido el de </w:t>
      </w:r>
      <w:proofErr w:type="gramStart"/>
      <w:r w:rsidRPr="00BC3A80">
        <w:rPr>
          <w:rFonts w:ascii="Verdana" w:eastAsia="Arial" w:hAnsi="Verdana" w:cs="Arial"/>
          <w:bCs/>
          <w:color w:val="000000" w:themeColor="text1"/>
        </w:rPr>
        <w:t>Presidente</w:t>
      </w:r>
      <w:proofErr w:type="gramEnd"/>
      <w:r w:rsidRPr="00BC3A80">
        <w:rPr>
          <w:rFonts w:ascii="Verdana" w:eastAsia="Arial" w:hAnsi="Verdana" w:cs="Arial"/>
          <w:bCs/>
          <w:color w:val="000000" w:themeColor="text1"/>
        </w:rPr>
        <w:t xml:space="preserve"> de la República.</w:t>
      </w:r>
    </w:p>
    <w:p w14:paraId="30893D2D" w14:textId="77777777" w:rsidR="00E87C1D" w:rsidRPr="00BC3A80" w:rsidRDefault="00E87C1D" w:rsidP="00E87C1D">
      <w:pPr>
        <w:spacing w:after="120" w:line="276" w:lineRule="auto"/>
        <w:ind w:firstLine="709"/>
        <w:jc w:val="both"/>
        <w:rPr>
          <w:rFonts w:ascii="Verdana" w:eastAsia="Arial" w:hAnsi="Verdana" w:cs="Arial"/>
          <w:color w:val="000000" w:themeColor="text1"/>
        </w:rPr>
      </w:pPr>
      <w:r w:rsidRPr="00BC3A80">
        <w:rPr>
          <w:rFonts w:ascii="Verdana" w:eastAsia="Arial" w:hAnsi="Verdana" w:cs="Arial"/>
          <w:bCs/>
          <w:color w:val="000000" w:themeColor="text1"/>
        </w:rPr>
        <w:t xml:space="preserve">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BC3A80">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w:t>
      </w:r>
    </w:p>
    <w:p w14:paraId="1BFCB6C6" w14:textId="77777777" w:rsidR="00E87C1D" w:rsidRPr="00BC3A80" w:rsidRDefault="00E87C1D" w:rsidP="00E87C1D">
      <w:pPr>
        <w:spacing w:after="120" w:line="276" w:lineRule="auto"/>
        <w:jc w:val="both"/>
        <w:rPr>
          <w:rFonts w:ascii="Verdana" w:hAnsi="Verdana" w:cs="Arial"/>
          <w:bCs/>
          <w:color w:val="000000" w:themeColor="text1"/>
        </w:rPr>
      </w:pPr>
      <w:r w:rsidRPr="00BC3A80">
        <w:rPr>
          <w:rFonts w:ascii="Verdana" w:hAnsi="Verdana" w:cs="Arial"/>
          <w:bCs/>
          <w:color w:val="000000" w:themeColor="text1"/>
        </w:rPr>
        <w:t>v.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8FC9216" w14:textId="77777777" w:rsidR="00E87C1D" w:rsidRPr="00BC3A80" w:rsidRDefault="00E87C1D" w:rsidP="00E87C1D">
      <w:pPr>
        <w:spacing w:after="0" w:line="276" w:lineRule="auto"/>
        <w:ind w:firstLine="708"/>
        <w:jc w:val="both"/>
        <w:rPr>
          <w:rFonts w:ascii="Verdana" w:hAnsi="Verdana" w:cs="Arial"/>
          <w:bCs/>
          <w:color w:val="000000" w:themeColor="text1"/>
        </w:rPr>
      </w:pPr>
      <w:r w:rsidRPr="00BC3A80">
        <w:rPr>
          <w:rFonts w:ascii="Verdana" w:hAnsi="Verdana" w:cs="Arial"/>
          <w:bCs/>
          <w:color w:val="000000" w:themeColor="text1"/>
        </w:rPr>
        <w:t xml:space="preserve">Dentro de este marco, la entidad contratante definirá en cada caso concreto lo relacionado con el tema objeto de consulta. Al tratarse de un análisis </w:t>
      </w:r>
      <w:r w:rsidRPr="00BC3A80">
        <w:rPr>
          <w:rFonts w:ascii="Verdana" w:hAnsi="Verdana" w:cs="Arial"/>
          <w:bCs/>
          <w:color w:val="000000" w:themeColor="text1"/>
        </w:rPr>
        <w:lastRenderedPageBreak/>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C7D2CC3" w14:textId="77777777" w:rsidR="00E87C1D" w:rsidRPr="00BC3A80" w:rsidRDefault="00E87C1D" w:rsidP="00E87C1D">
      <w:pPr>
        <w:spacing w:after="0" w:line="276" w:lineRule="auto"/>
        <w:ind w:firstLine="708"/>
        <w:jc w:val="both"/>
        <w:rPr>
          <w:rFonts w:ascii="Verdana" w:hAnsi="Verdana" w:cs="Arial"/>
          <w:bCs/>
          <w:color w:val="000000" w:themeColor="text1"/>
        </w:rPr>
      </w:pPr>
    </w:p>
    <w:p w14:paraId="092AF55B" w14:textId="77777777" w:rsidR="00E87C1D" w:rsidRPr="00BC3A80" w:rsidRDefault="00E87C1D" w:rsidP="00E87C1D">
      <w:pPr>
        <w:numPr>
          <w:ilvl w:val="0"/>
          <w:numId w:val="2"/>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Referencias normativas:</w:t>
      </w:r>
    </w:p>
    <w:p w14:paraId="50136698" w14:textId="77777777" w:rsidR="00E87C1D" w:rsidRPr="00BC3A80" w:rsidRDefault="00E87C1D" w:rsidP="00E87C1D">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87C1D" w:rsidRPr="00BC3A80" w14:paraId="0B3AE1E8" w14:textId="77777777" w:rsidTr="00D40AAE">
        <w:trPr>
          <w:trHeight w:val="491"/>
          <w:jc w:val="center"/>
        </w:trPr>
        <w:tc>
          <w:tcPr>
            <w:tcW w:w="8647" w:type="dxa"/>
          </w:tcPr>
          <w:p w14:paraId="1353BA73" w14:textId="77777777" w:rsidR="00E87C1D" w:rsidRPr="00BC3A80" w:rsidRDefault="00E87C1D" w:rsidP="00E87C1D">
            <w:pPr>
              <w:widowControl w:val="0"/>
              <w:numPr>
                <w:ilvl w:val="0"/>
                <w:numId w:val="3"/>
              </w:numPr>
              <w:autoSpaceDE w:val="0"/>
              <w:autoSpaceDN w:val="0"/>
              <w:spacing w:before="120" w:after="120"/>
              <w:jc w:val="both"/>
              <w:rPr>
                <w:rFonts w:ascii="Verdana" w:eastAsia="Arial MT" w:hAnsi="Verdana" w:cs="Arial"/>
                <w:lang w:val="es-ES" w:eastAsia="es-ES" w:bidi="es-ES"/>
              </w:rPr>
            </w:pPr>
            <w:r w:rsidRPr="00BC3A80">
              <w:rPr>
                <w:rFonts w:ascii="Verdana" w:eastAsia="Arial MT" w:hAnsi="Verdana" w:cs="Arial"/>
                <w:lang w:val="es-ES" w:eastAsia="es-ES" w:bidi="es-ES"/>
              </w:rPr>
              <w:t>Constitución Política, artículo 127.</w:t>
            </w:r>
          </w:p>
          <w:p w14:paraId="0E249078" w14:textId="77777777" w:rsidR="00E87C1D" w:rsidRPr="00BC3A80" w:rsidRDefault="00E87C1D" w:rsidP="00E87C1D">
            <w:pPr>
              <w:widowControl w:val="0"/>
              <w:numPr>
                <w:ilvl w:val="0"/>
                <w:numId w:val="3"/>
              </w:numPr>
              <w:autoSpaceDE w:val="0"/>
              <w:autoSpaceDN w:val="0"/>
              <w:spacing w:after="120"/>
              <w:jc w:val="both"/>
              <w:rPr>
                <w:rFonts w:ascii="Verdana" w:eastAsia="Arial MT" w:hAnsi="Verdana" w:cs="Arial"/>
                <w:lang w:val="es-ES" w:eastAsia="es-ES" w:bidi="es-ES"/>
              </w:rPr>
            </w:pPr>
            <w:r w:rsidRPr="00BC3A80">
              <w:rPr>
                <w:rFonts w:ascii="Verdana" w:eastAsia="Arial MT" w:hAnsi="Verdana" w:cs="Arial"/>
                <w:bCs/>
                <w:lang w:val="es-ES" w:eastAsia="es-ES" w:bidi="es-ES"/>
              </w:rPr>
              <w:t>Ley 996 de 2005, artículos 33 y 38.</w:t>
            </w:r>
          </w:p>
          <w:p w14:paraId="2BC6F209" w14:textId="77777777" w:rsidR="00E87C1D" w:rsidRPr="00BC3A80" w:rsidRDefault="00E87C1D" w:rsidP="00E87C1D">
            <w:pPr>
              <w:widowControl w:val="0"/>
              <w:numPr>
                <w:ilvl w:val="0"/>
                <w:numId w:val="3"/>
              </w:numPr>
              <w:autoSpaceDE w:val="0"/>
              <w:autoSpaceDN w:val="0"/>
              <w:spacing w:after="120"/>
              <w:jc w:val="both"/>
              <w:rPr>
                <w:rFonts w:ascii="Verdana" w:eastAsia="Arial MT" w:hAnsi="Verdana" w:cs="Arial"/>
                <w:lang w:val="es-ES" w:eastAsia="es-ES" w:bidi="es-ES"/>
              </w:rPr>
            </w:pPr>
            <w:r w:rsidRPr="00BC3A80">
              <w:rPr>
                <w:rFonts w:ascii="Verdana" w:hAnsi="Verdana" w:cs="Arial"/>
                <w:bCs/>
                <w:color w:val="000000" w:themeColor="text1"/>
                <w:lang w:val="es-ES"/>
              </w:rPr>
              <w:t>Decreto 1068 de 2015, artículo 2.2.1.1.1.</w:t>
            </w:r>
          </w:p>
          <w:p w14:paraId="0A3FFDB8" w14:textId="77777777" w:rsidR="00E87C1D" w:rsidRPr="00BC3A80" w:rsidRDefault="00E87C1D" w:rsidP="00E87C1D">
            <w:pPr>
              <w:widowControl w:val="0"/>
              <w:numPr>
                <w:ilvl w:val="0"/>
                <w:numId w:val="3"/>
              </w:numPr>
              <w:autoSpaceDE w:val="0"/>
              <w:autoSpaceDN w:val="0"/>
              <w:spacing w:after="120"/>
              <w:jc w:val="both"/>
              <w:rPr>
                <w:rFonts w:ascii="Verdana" w:hAnsi="Verdana" w:cs="Arial"/>
                <w:lang w:val="es-ES"/>
              </w:rPr>
            </w:pPr>
            <w:r w:rsidRPr="00BC3A80">
              <w:rPr>
                <w:rFonts w:ascii="Verdana" w:hAnsi="Verdana" w:cs="Arial"/>
                <w:lang w:val="es-ES"/>
              </w:rPr>
              <w:t xml:space="preserve">Consejo de Estado, Sección Primera. Sentencia de 3 de marzo de 2005, </w:t>
            </w:r>
            <w:proofErr w:type="spellStart"/>
            <w:r w:rsidRPr="00BC3A80">
              <w:rPr>
                <w:rFonts w:ascii="Verdana" w:hAnsi="Verdana" w:cs="Arial"/>
                <w:lang w:val="es-ES"/>
              </w:rPr>
              <w:t>Exp</w:t>
            </w:r>
            <w:proofErr w:type="spellEnd"/>
            <w:r w:rsidRPr="00BC3A80">
              <w:rPr>
                <w:rFonts w:ascii="Verdana" w:hAnsi="Verdana" w:cs="Arial"/>
                <w:lang w:val="es-ES"/>
              </w:rPr>
              <w:t xml:space="preserve">. 2004-00823-01(PI). </w:t>
            </w:r>
          </w:p>
          <w:p w14:paraId="53F52308" w14:textId="77777777" w:rsidR="00E87C1D" w:rsidRPr="00BC3A80" w:rsidRDefault="00E87C1D" w:rsidP="00E87C1D">
            <w:pPr>
              <w:widowControl w:val="0"/>
              <w:numPr>
                <w:ilvl w:val="0"/>
                <w:numId w:val="3"/>
              </w:numPr>
              <w:autoSpaceDE w:val="0"/>
              <w:autoSpaceDN w:val="0"/>
              <w:spacing w:after="120"/>
              <w:jc w:val="both"/>
              <w:rPr>
                <w:rFonts w:ascii="Verdana" w:hAnsi="Verdana" w:cs="Arial"/>
                <w:lang w:val="es-ES"/>
              </w:rPr>
            </w:pPr>
            <w:r w:rsidRPr="00BC3A80">
              <w:rPr>
                <w:rFonts w:ascii="Verdana" w:hAnsi="Verdana" w:cs="Arial"/>
                <w:lang w:val="es-ES"/>
              </w:rPr>
              <w:t xml:space="preserve">Consejo de Estado, Sala de Consulta y Servicio Civil, Concepto de fecha 24 de julio de 2013, Rad. 2166, C. P. Álvaro </w:t>
            </w:r>
            <w:proofErr w:type="spellStart"/>
            <w:r w:rsidRPr="00BC3A80">
              <w:rPr>
                <w:rFonts w:ascii="Verdana" w:hAnsi="Verdana" w:cs="Arial"/>
                <w:lang w:val="es-ES"/>
              </w:rPr>
              <w:t>Namén</w:t>
            </w:r>
            <w:proofErr w:type="spellEnd"/>
            <w:r w:rsidRPr="00BC3A80">
              <w:rPr>
                <w:rFonts w:ascii="Verdana" w:hAnsi="Verdana" w:cs="Arial"/>
                <w:lang w:val="es-ES"/>
              </w:rPr>
              <w:t xml:space="preserve"> Vargas. </w:t>
            </w:r>
          </w:p>
          <w:p w14:paraId="7E4DC3AB" w14:textId="77777777" w:rsidR="00E87C1D" w:rsidRPr="00BC3A80" w:rsidRDefault="00E87C1D" w:rsidP="00E87C1D">
            <w:pPr>
              <w:numPr>
                <w:ilvl w:val="0"/>
                <w:numId w:val="3"/>
              </w:numPr>
              <w:spacing w:before="120" w:after="120" w:line="276" w:lineRule="auto"/>
              <w:jc w:val="both"/>
              <w:rPr>
                <w:rFonts w:ascii="Verdana" w:hAnsi="Verdana" w:cs="Arial"/>
                <w:lang w:val="es-ES"/>
              </w:rPr>
            </w:pPr>
            <w:r w:rsidRPr="00BC3A80">
              <w:rPr>
                <w:rFonts w:ascii="Verdana" w:hAnsi="Verdana" w:cs="Arial"/>
              </w:rPr>
              <w:t>Consejo de Estado. Sala de Consulta y Servicio Civil. Concepto del 15 de noviembre de 2007. Expediente número 1863. Consejero Ponente: Luis Fernando Álvarez Jaramillo</w:t>
            </w:r>
          </w:p>
          <w:p w14:paraId="08586831" w14:textId="77777777" w:rsidR="00E87C1D" w:rsidRPr="00BC3A80" w:rsidRDefault="00E87C1D" w:rsidP="00E87C1D">
            <w:pPr>
              <w:numPr>
                <w:ilvl w:val="0"/>
                <w:numId w:val="3"/>
              </w:numPr>
              <w:spacing w:before="120" w:after="120" w:line="276" w:lineRule="auto"/>
              <w:jc w:val="both"/>
              <w:rPr>
                <w:rFonts w:ascii="Verdana" w:hAnsi="Verdana" w:cs="Arial"/>
                <w:lang w:val="es-ES"/>
              </w:rPr>
            </w:pPr>
            <w:r w:rsidRPr="00BC3A80">
              <w:rPr>
                <w:rFonts w:ascii="Verdana" w:hAnsi="Verdana" w:cs="Arial"/>
                <w:lang w:val="es-ES"/>
              </w:rPr>
              <w:t>Consejo de Estado. Sala de Consulta y Servicio Civil. Concepto del 17 de febrero de 2015. C.P. William Zambrano Cetina. Radicación No. 11001-03-06-000-2015-00164-00(2269).</w:t>
            </w:r>
          </w:p>
          <w:p w14:paraId="42A1D706" w14:textId="77777777" w:rsidR="00E87C1D" w:rsidRPr="00BC3A80" w:rsidRDefault="00E87C1D" w:rsidP="00E87C1D">
            <w:pPr>
              <w:numPr>
                <w:ilvl w:val="0"/>
                <w:numId w:val="3"/>
              </w:numPr>
              <w:spacing w:before="120" w:after="120" w:line="276" w:lineRule="auto"/>
              <w:jc w:val="both"/>
              <w:rPr>
                <w:rFonts w:ascii="Verdana" w:hAnsi="Verdana" w:cs="Arial"/>
                <w:lang w:val="es-ES"/>
              </w:rPr>
            </w:pPr>
            <w:r w:rsidRPr="00BC3A80">
              <w:rPr>
                <w:rFonts w:ascii="Verdana" w:hAnsi="Verdana" w:cs="Arial"/>
                <w:lang w:val="es-ES"/>
              </w:rPr>
              <w:t xml:space="preserve">Consejo de Estado, Sala de Consulta y Servicio Civil, Concepto de fecha 8 de mayo de 2018, No. 2382. C. P. Álvaro </w:t>
            </w:r>
            <w:proofErr w:type="spellStart"/>
            <w:r w:rsidRPr="00BC3A80">
              <w:rPr>
                <w:rFonts w:ascii="Verdana" w:hAnsi="Verdana" w:cs="Arial"/>
                <w:lang w:val="es-ES"/>
              </w:rPr>
              <w:t>Namén</w:t>
            </w:r>
            <w:proofErr w:type="spellEnd"/>
            <w:r w:rsidRPr="00BC3A80">
              <w:rPr>
                <w:rFonts w:ascii="Verdana" w:hAnsi="Verdana" w:cs="Arial"/>
                <w:lang w:val="es-ES"/>
              </w:rPr>
              <w:t xml:space="preserve"> Vargas.</w:t>
            </w:r>
          </w:p>
          <w:p w14:paraId="55C2D5FF" w14:textId="77777777" w:rsidR="00E87C1D" w:rsidRPr="00BC3A80" w:rsidRDefault="00E87C1D" w:rsidP="00E87C1D">
            <w:pPr>
              <w:numPr>
                <w:ilvl w:val="0"/>
                <w:numId w:val="3"/>
              </w:numPr>
              <w:spacing w:before="120" w:after="120" w:line="276" w:lineRule="auto"/>
              <w:jc w:val="both"/>
              <w:rPr>
                <w:rFonts w:ascii="Verdana" w:hAnsi="Verdana" w:cs="Arial"/>
                <w:lang w:val="es-ES"/>
              </w:rPr>
            </w:pPr>
            <w:r w:rsidRPr="00BC3A80">
              <w:rPr>
                <w:rFonts w:ascii="Verdana" w:hAnsi="Verdana" w:cs="Arial"/>
              </w:rPr>
              <w:t xml:space="preserve">Consejo de Estado. Sala de Consulta y Servicio Civil. Concepto del 2 de septiembre de 2013 Radicado No: 2168. CP: </w:t>
            </w:r>
            <w:proofErr w:type="spellStart"/>
            <w:r w:rsidRPr="00BC3A80">
              <w:rPr>
                <w:rFonts w:ascii="Verdana" w:hAnsi="Verdana" w:cs="Arial"/>
              </w:rPr>
              <w:t>Alvaro</w:t>
            </w:r>
            <w:proofErr w:type="spellEnd"/>
            <w:r w:rsidRPr="00BC3A80">
              <w:rPr>
                <w:rFonts w:ascii="Verdana" w:hAnsi="Verdana" w:cs="Arial"/>
              </w:rPr>
              <w:t xml:space="preserve"> </w:t>
            </w:r>
            <w:proofErr w:type="spellStart"/>
            <w:r w:rsidRPr="00BC3A80">
              <w:rPr>
                <w:rFonts w:ascii="Verdana" w:hAnsi="Verdana" w:cs="Arial"/>
              </w:rPr>
              <w:t>Namén</w:t>
            </w:r>
            <w:proofErr w:type="spellEnd"/>
            <w:r w:rsidRPr="00BC3A80">
              <w:rPr>
                <w:rFonts w:ascii="Verdana" w:hAnsi="Verdana" w:cs="Arial"/>
              </w:rPr>
              <w:t xml:space="preserve"> Vargas.</w:t>
            </w:r>
          </w:p>
          <w:p w14:paraId="2E988928" w14:textId="77777777" w:rsidR="00E87C1D" w:rsidRPr="003346AD" w:rsidRDefault="00E87C1D" w:rsidP="00E87C1D">
            <w:pPr>
              <w:widowControl w:val="0"/>
              <w:numPr>
                <w:ilvl w:val="0"/>
                <w:numId w:val="3"/>
              </w:numPr>
              <w:autoSpaceDE w:val="0"/>
              <w:autoSpaceDN w:val="0"/>
              <w:spacing w:after="120" w:line="276" w:lineRule="auto"/>
              <w:jc w:val="both"/>
              <w:rPr>
                <w:rFonts w:ascii="Verdana" w:hAnsi="Verdana" w:cs="Arial"/>
                <w:lang w:val="es-ES"/>
              </w:rPr>
            </w:pPr>
            <w:r w:rsidRPr="00E42998">
              <w:rPr>
                <w:rFonts w:ascii="Verdana" w:hAnsi="Verdana" w:cs="Arial"/>
              </w:rPr>
              <w:t xml:space="preserve">Consejo de Estado, Sección Tercera. Auto del 4 de octubre de 2024. </w:t>
            </w:r>
            <w:r w:rsidRPr="00BC3A80">
              <w:rPr>
                <w:rFonts w:ascii="Verdana" w:hAnsi="Verdana" w:cs="Arial"/>
                <w:lang w:val="pt-BR"/>
              </w:rPr>
              <w:t>Exp. 70.313. C.P: Fredy Ibarra Martínez.</w:t>
            </w:r>
          </w:p>
          <w:p w14:paraId="2CD27E20" w14:textId="77777777" w:rsidR="00E87C1D" w:rsidRPr="00C71E4F" w:rsidRDefault="00E87C1D" w:rsidP="00E87C1D">
            <w:pPr>
              <w:widowControl w:val="0"/>
              <w:numPr>
                <w:ilvl w:val="0"/>
                <w:numId w:val="3"/>
              </w:numPr>
              <w:autoSpaceDE w:val="0"/>
              <w:autoSpaceDN w:val="0"/>
              <w:spacing w:after="120" w:line="276" w:lineRule="auto"/>
              <w:jc w:val="both"/>
              <w:rPr>
                <w:rFonts w:ascii="Verdana" w:hAnsi="Verdana" w:cs="Arial"/>
                <w:lang w:val="es-ES"/>
              </w:rPr>
            </w:pPr>
            <w:r w:rsidRPr="00670659">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223D6D1D" w14:textId="77777777" w:rsidR="00E87C1D" w:rsidRPr="00BC3A80" w:rsidRDefault="00E87C1D" w:rsidP="00E87C1D">
            <w:pPr>
              <w:widowControl w:val="0"/>
              <w:numPr>
                <w:ilvl w:val="0"/>
                <w:numId w:val="3"/>
              </w:numPr>
              <w:autoSpaceDE w:val="0"/>
              <w:autoSpaceDN w:val="0"/>
              <w:spacing w:after="120" w:line="276" w:lineRule="auto"/>
              <w:jc w:val="both"/>
              <w:rPr>
                <w:rFonts w:ascii="Verdana" w:hAnsi="Verdana" w:cs="Arial"/>
                <w:lang w:val="es-ES"/>
              </w:rPr>
            </w:pPr>
            <w:r w:rsidRPr="00BC3A80">
              <w:rPr>
                <w:rFonts w:ascii="Verdana" w:hAnsi="Verdana" w:cs="Arial"/>
                <w:lang w:val="pt-BR"/>
              </w:rPr>
              <w:t>Corte Constitucional. Sentencia C-671 de 2015. M.P. Alberto Rojas Ríos</w:t>
            </w:r>
          </w:p>
          <w:p w14:paraId="298FC30F" w14:textId="77777777" w:rsidR="00E87C1D" w:rsidRPr="00BC3A80" w:rsidRDefault="00E87C1D" w:rsidP="00E87C1D">
            <w:pPr>
              <w:widowControl w:val="0"/>
              <w:numPr>
                <w:ilvl w:val="0"/>
                <w:numId w:val="3"/>
              </w:numPr>
              <w:autoSpaceDE w:val="0"/>
              <w:autoSpaceDN w:val="0"/>
              <w:spacing w:after="120" w:line="276" w:lineRule="auto"/>
              <w:jc w:val="both"/>
              <w:rPr>
                <w:rFonts w:ascii="Verdana" w:hAnsi="Verdana" w:cs="Arial"/>
                <w:lang w:val="es-ES"/>
              </w:rPr>
            </w:pPr>
            <w:r w:rsidRPr="00BC3A80">
              <w:rPr>
                <w:rFonts w:ascii="Verdana" w:hAnsi="Verdana" w:cs="Arial"/>
              </w:rPr>
              <w:lastRenderedPageBreak/>
              <w:t xml:space="preserve">Circular Externa No. 006 de 2025 </w:t>
            </w:r>
            <w:hyperlink r:id="rId12" w:history="1">
              <w:r w:rsidRPr="00BC3A80">
                <w:rPr>
                  <w:rFonts w:ascii="Verdana" w:hAnsi="Verdana" w:cs="Arial"/>
                  <w:color w:val="0000FF"/>
                  <w:u w:val="single"/>
                </w:rPr>
                <w:t>https://www.colombiacompra.gov.co/archivos/circular/circular-externa-006-de-2025</w:t>
              </w:r>
            </w:hyperlink>
            <w:r w:rsidRPr="00BC3A80">
              <w:rPr>
                <w:rFonts w:ascii="Verdana" w:hAnsi="Verdana" w:cs="Arial"/>
              </w:rPr>
              <w:t xml:space="preserve"> </w:t>
            </w:r>
          </w:p>
        </w:tc>
      </w:tr>
    </w:tbl>
    <w:p w14:paraId="6CF93162" w14:textId="77777777" w:rsidR="00E87C1D" w:rsidRPr="00BC3A80" w:rsidRDefault="00E87C1D" w:rsidP="00E87C1D">
      <w:pPr>
        <w:widowControl w:val="0"/>
        <w:autoSpaceDE w:val="0"/>
        <w:autoSpaceDN w:val="0"/>
        <w:spacing w:after="0" w:line="276" w:lineRule="auto"/>
        <w:jc w:val="both"/>
        <w:rPr>
          <w:rFonts w:ascii="Verdana" w:hAnsi="Verdana" w:cs="Arial"/>
          <w:lang w:val="es-ES_tradnl"/>
        </w:rPr>
      </w:pPr>
    </w:p>
    <w:p w14:paraId="2EE86DF8" w14:textId="77777777" w:rsidR="00E87C1D" w:rsidRPr="00BC3A80" w:rsidRDefault="00E87C1D" w:rsidP="00E87C1D">
      <w:pPr>
        <w:numPr>
          <w:ilvl w:val="0"/>
          <w:numId w:val="2"/>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Doctrina de la Agencia Nacional de Contratación Pública:</w:t>
      </w:r>
    </w:p>
    <w:p w14:paraId="25CF9631" w14:textId="77777777" w:rsidR="00E87C1D" w:rsidRPr="00BC3A80" w:rsidRDefault="00E87C1D" w:rsidP="00E87C1D">
      <w:pPr>
        <w:widowControl w:val="0"/>
        <w:autoSpaceDE w:val="0"/>
        <w:autoSpaceDN w:val="0"/>
        <w:spacing w:after="0" w:line="276" w:lineRule="auto"/>
        <w:jc w:val="both"/>
        <w:rPr>
          <w:rFonts w:ascii="Verdana" w:hAnsi="Verdana" w:cs="Arial"/>
          <w:lang w:val="es-ES_tradnl"/>
        </w:rPr>
      </w:pPr>
    </w:p>
    <w:p w14:paraId="27C19A23" w14:textId="77777777" w:rsidR="00E87C1D" w:rsidRPr="00BC3A80" w:rsidRDefault="00E87C1D" w:rsidP="00E87C1D">
      <w:pPr>
        <w:widowControl w:val="0"/>
        <w:autoSpaceDE w:val="0"/>
        <w:autoSpaceDN w:val="0"/>
        <w:spacing w:after="0" w:line="276" w:lineRule="auto"/>
        <w:jc w:val="both"/>
        <w:rPr>
          <w:rFonts w:ascii="Verdana" w:hAnsi="Verdana" w:cs="Arial"/>
          <w:color w:val="FF0000"/>
          <w:shd w:val="clear" w:color="auto" w:fill="FFFFFF"/>
          <w:lang w:val="es-ES_tradnl"/>
        </w:rPr>
      </w:pPr>
      <w:r w:rsidRPr="00BC3A80">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w:t>
      </w:r>
      <w:r>
        <w:rPr>
          <w:rFonts w:ascii="Verdana" w:hAnsi="Verdana" w:cs="Arial"/>
          <w:shd w:val="clear" w:color="auto" w:fill="FFFFFF"/>
        </w:rPr>
        <w:t>,</w:t>
      </w:r>
      <w:r w:rsidRPr="00BC3A80">
        <w:rPr>
          <w:rFonts w:ascii="Verdana" w:hAnsi="Verdana" w:cs="Arial"/>
          <w:shd w:val="clear" w:color="auto" w:fill="FFFFFF"/>
        </w:rPr>
        <w:t xml:space="preserve"> C-1430 del 12 de noviembre de 2025</w:t>
      </w:r>
      <w:r>
        <w:rPr>
          <w:rFonts w:ascii="Verdana" w:hAnsi="Verdana" w:cs="Arial"/>
          <w:shd w:val="clear" w:color="auto" w:fill="FFFFFF"/>
        </w:rPr>
        <w:t xml:space="preserve"> y C-1568 del 14 de noviembre de 2025, entre otros</w:t>
      </w:r>
      <w:r w:rsidRPr="00BC3A80">
        <w:rPr>
          <w:rFonts w:ascii="Verdana" w:hAnsi="Verdana" w:cs="Arial"/>
          <w:shd w:val="clear" w:color="auto" w:fill="FFFFFF"/>
        </w:rPr>
        <w:t xml:space="preserve">. </w:t>
      </w:r>
      <w:r w:rsidRPr="00BC3A80">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3" w:history="1">
        <w:r w:rsidRPr="00BC3A80">
          <w:rPr>
            <w:rFonts w:ascii="Verdana" w:hAnsi="Verdana" w:cs="Arial"/>
            <w:color w:val="0000FF"/>
            <w:u w:val="single"/>
            <w:shd w:val="clear" w:color="auto" w:fill="FFFFFF"/>
            <w:lang w:val="es-ES_tradnl"/>
          </w:rPr>
          <w:t>https://relatoria.colombiacompra.gov.co/busqueda/conceptos</w:t>
        </w:r>
      </w:hyperlink>
      <w:r w:rsidRPr="00BC3A80">
        <w:rPr>
          <w:rFonts w:ascii="Verdana" w:hAnsi="Verdana" w:cs="Arial"/>
          <w:shd w:val="clear" w:color="auto" w:fill="FFFFFF"/>
          <w:lang w:val="es-ES_tradnl"/>
        </w:rPr>
        <w:t xml:space="preserve">. </w:t>
      </w:r>
      <w:r w:rsidRPr="00BC3A80">
        <w:rPr>
          <w:rFonts w:ascii="Verdana" w:hAnsi="Verdana" w:cs="Arial"/>
          <w:color w:val="FF0000"/>
          <w:shd w:val="clear" w:color="auto" w:fill="FFFFFF"/>
          <w:lang w:val="es-ES_tradnl"/>
        </w:rPr>
        <w:t xml:space="preserve"> </w:t>
      </w:r>
    </w:p>
    <w:p w14:paraId="4942FD5E" w14:textId="77777777" w:rsidR="00E87C1D" w:rsidRPr="00BC3A80" w:rsidRDefault="00E87C1D" w:rsidP="00E87C1D">
      <w:pPr>
        <w:widowControl w:val="0"/>
        <w:autoSpaceDE w:val="0"/>
        <w:autoSpaceDN w:val="0"/>
        <w:spacing w:after="0" w:line="276" w:lineRule="auto"/>
        <w:jc w:val="both"/>
        <w:rPr>
          <w:rFonts w:ascii="Verdana" w:hAnsi="Verdana" w:cs="Arial"/>
          <w:color w:val="FF0000"/>
          <w:shd w:val="clear" w:color="auto" w:fill="FFFFFF"/>
          <w:lang w:val="es-ES_tradnl"/>
        </w:rPr>
      </w:pPr>
    </w:p>
    <w:p w14:paraId="29FED205" w14:textId="77777777" w:rsidR="00E87C1D" w:rsidRPr="00BC3A80" w:rsidRDefault="00E87C1D" w:rsidP="00E87C1D">
      <w:pPr>
        <w:shd w:val="clear" w:color="auto" w:fill="FFFFFF"/>
        <w:spacing w:after="0" w:line="276" w:lineRule="auto"/>
        <w:jc w:val="both"/>
        <w:rPr>
          <w:rFonts w:ascii="Verdana" w:hAnsi="Verdana"/>
          <w:color w:val="467886"/>
          <w:u w:val="single"/>
        </w:rPr>
      </w:pPr>
      <w:r w:rsidRPr="00BC3A80">
        <w:rPr>
          <w:rFonts w:ascii="Verdana" w:hAnsi="Verdana"/>
          <w:color w:val="000000"/>
        </w:rPr>
        <w:t>Te informamos que ya se encuentra disponible la </w:t>
      </w:r>
      <w:r w:rsidRPr="00BC3A80">
        <w:rPr>
          <w:rFonts w:ascii="Verdana" w:hAnsi="Verdana"/>
          <w:b/>
          <w:bCs/>
          <w:color w:val="000000"/>
        </w:rPr>
        <w:t>Guía de lineamientos de transparencia y selección objetiva para el departamento de La Guajira – Objetivo sexto constitucional de la Sentencia T-302 del 2017. </w:t>
      </w:r>
      <w:r w:rsidRPr="00BC3A80">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C3A80">
        <w:rPr>
          <w:rFonts w:ascii="Verdana" w:hAnsi="Verdana"/>
          <w:color w:val="000000"/>
        </w:rPr>
        <w:t>Wayúu</w:t>
      </w:r>
      <w:proofErr w:type="spellEnd"/>
      <w:r w:rsidRPr="00BC3A80">
        <w:rPr>
          <w:rFonts w:ascii="Verdana" w:hAnsi="Verdana"/>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BC3A80">
          <w:rPr>
            <w:rFonts w:ascii="Verdana" w:hAnsi="Verdana"/>
            <w:color w:val="0000FF"/>
            <w:u w:val="single"/>
          </w:rPr>
          <w:t>Guía de lineamientos de transparencia y selección objetiva para el departamento de La Guajira – Objetivo sexto constitucional de la Sentencia T-302 del 2017</w:t>
        </w:r>
      </w:hyperlink>
      <w:r w:rsidRPr="00BC3A80">
        <w:rPr>
          <w:rFonts w:ascii="Verdana" w:hAnsi="Verdana"/>
          <w:color w:val="000000"/>
          <w:u w:val="single"/>
        </w:rPr>
        <w:t>.</w:t>
      </w:r>
    </w:p>
    <w:p w14:paraId="2FCBDF9C" w14:textId="77777777" w:rsidR="00E87C1D" w:rsidRPr="00BC3A80" w:rsidRDefault="00E87C1D" w:rsidP="00E87C1D">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BC3A80">
        <w:rPr>
          <w:rFonts w:ascii="Verdana" w:hAnsi="Verdana" w:cs="Arial"/>
          <w:color w:val="000000" w:themeColor="text1"/>
          <w:shd w:val="clear" w:color="auto" w:fill="FFFFFF"/>
          <w:lang w:val="es-ES_tradnl"/>
        </w:rPr>
        <w:t xml:space="preserve"> </w:t>
      </w:r>
    </w:p>
    <w:p w14:paraId="3B4E3CB0" w14:textId="77777777" w:rsidR="00E87C1D" w:rsidRPr="00BC3A80" w:rsidRDefault="00E87C1D" w:rsidP="00E87C1D">
      <w:pPr>
        <w:spacing w:after="0" w:line="276" w:lineRule="auto"/>
        <w:jc w:val="both"/>
        <w:rPr>
          <w:rFonts w:ascii="Verdana" w:hAnsi="Verdana"/>
        </w:rPr>
      </w:pPr>
      <w:r w:rsidRPr="00BC3A80">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w:t>
      </w:r>
      <w:r w:rsidRPr="00BC3A80">
        <w:rPr>
          <w:rFonts w:ascii="Verdana" w:hAnsi="Verdana"/>
        </w:rPr>
        <w:lastRenderedPageBreak/>
        <w:t xml:space="preserve">marco de nuestras funciones a través de nuestros diferentes canales de atención: </w:t>
      </w:r>
    </w:p>
    <w:p w14:paraId="437AFDAF" w14:textId="77777777" w:rsidR="00E87C1D" w:rsidRPr="00BC3A80" w:rsidRDefault="00E87C1D" w:rsidP="00E87C1D">
      <w:pPr>
        <w:spacing w:after="0" w:line="276" w:lineRule="auto"/>
        <w:jc w:val="both"/>
        <w:rPr>
          <w:rFonts w:ascii="Verdana" w:hAnsi="Verdana"/>
        </w:rPr>
      </w:pPr>
    </w:p>
    <w:p w14:paraId="606302EE" w14:textId="77777777" w:rsidR="00E87C1D" w:rsidRPr="00BC3A80" w:rsidRDefault="00E87C1D" w:rsidP="00E87C1D">
      <w:pPr>
        <w:numPr>
          <w:ilvl w:val="0"/>
          <w:numId w:val="1"/>
        </w:numPr>
        <w:spacing w:after="0" w:line="276" w:lineRule="auto"/>
        <w:contextualSpacing/>
        <w:jc w:val="both"/>
        <w:rPr>
          <w:rFonts w:ascii="Verdana" w:eastAsia="Verdana" w:hAnsi="Verdana" w:cs="Verdana"/>
          <w:color w:val="4472C4" w:themeColor="accent1"/>
          <w:u w:val="single"/>
          <w:lang w:val="es-MX"/>
        </w:rPr>
      </w:pPr>
      <w:r w:rsidRPr="00BC3A80">
        <w:rPr>
          <w:rFonts w:ascii="Verdana" w:eastAsia="Verdana" w:hAnsi="Verdana" w:cs="Verdana"/>
          <w:lang w:val="es-MX"/>
        </w:rPr>
        <w:t xml:space="preserve">Línea nacional gratuita o servicio a la ciudadanía (Mesa de servicio): </w:t>
      </w:r>
      <w:r w:rsidRPr="00BC3A80">
        <w:rPr>
          <w:rFonts w:ascii="Verdana" w:hAnsi="Verdana"/>
          <w:color w:val="0000FF"/>
          <w:u w:val="single"/>
          <w:lang w:val="es-ES"/>
        </w:rPr>
        <w:t>01800 0520808</w:t>
      </w:r>
    </w:p>
    <w:p w14:paraId="517454ED" w14:textId="77777777" w:rsidR="00E87C1D" w:rsidRPr="00BC3A80" w:rsidRDefault="00E87C1D" w:rsidP="00E87C1D">
      <w:pPr>
        <w:numPr>
          <w:ilvl w:val="0"/>
          <w:numId w:val="1"/>
        </w:numPr>
        <w:spacing w:after="0" w:line="276" w:lineRule="auto"/>
        <w:contextualSpacing/>
        <w:rPr>
          <w:rFonts w:ascii="Verdana" w:eastAsia="Verdana" w:hAnsi="Verdana" w:cs="Verdana"/>
          <w:color w:val="4472C4" w:themeColor="accent1"/>
          <w:u w:val="single"/>
          <w:lang w:val="es-MX"/>
        </w:rPr>
      </w:pPr>
      <w:r w:rsidRPr="00BC3A80">
        <w:rPr>
          <w:rFonts w:ascii="Verdana" w:eastAsia="Verdana" w:hAnsi="Verdana" w:cs="Verdana"/>
          <w:lang w:val="es-MX"/>
        </w:rPr>
        <w:t>Línea en Bogotá (Mesa de servicio</w:t>
      </w:r>
      <w:proofErr w:type="gramStart"/>
      <w:r w:rsidRPr="00BC3A80">
        <w:rPr>
          <w:rFonts w:ascii="Verdana" w:eastAsia="Verdana" w:hAnsi="Verdana" w:cs="Verdana"/>
          <w:lang w:val="es-MX"/>
        </w:rPr>
        <w:t>):</w:t>
      </w:r>
      <w:r w:rsidRPr="00BC3A80">
        <w:rPr>
          <w:rFonts w:ascii="Verdana" w:hAnsi="Verdana"/>
          <w:color w:val="0000FF"/>
          <w:u w:val="single"/>
          <w:lang w:val="es-ES"/>
        </w:rPr>
        <w:t>+</w:t>
      </w:r>
      <w:proofErr w:type="gramEnd"/>
      <w:r w:rsidRPr="00BC3A80">
        <w:rPr>
          <w:rFonts w:ascii="Verdana" w:hAnsi="Verdana"/>
          <w:color w:val="0000FF"/>
          <w:u w:val="single"/>
          <w:lang w:val="es-ES"/>
        </w:rPr>
        <w:t>57 601 7456788</w:t>
      </w:r>
    </w:p>
    <w:p w14:paraId="76EAFA96" w14:textId="77777777" w:rsidR="00E87C1D" w:rsidRPr="00BC3A80" w:rsidRDefault="00E87C1D" w:rsidP="00E87C1D">
      <w:pPr>
        <w:numPr>
          <w:ilvl w:val="0"/>
          <w:numId w:val="1"/>
        </w:numPr>
        <w:spacing w:after="0" w:line="276" w:lineRule="auto"/>
        <w:contextualSpacing/>
        <w:rPr>
          <w:rFonts w:ascii="Verdana" w:eastAsia="Verdana" w:hAnsi="Verdana" w:cs="Verdana"/>
          <w:color w:val="0000FF"/>
          <w:u w:val="single"/>
          <w:lang w:val="es-MX"/>
        </w:rPr>
      </w:pPr>
      <w:r w:rsidRPr="00BC3A80">
        <w:rPr>
          <w:rFonts w:ascii="Verdana" w:eastAsia="Verdana" w:hAnsi="Verdana" w:cs="Verdana"/>
          <w:lang w:val="es-MX"/>
        </w:rPr>
        <w:t xml:space="preserve">Correo de radicación de correspondencia: </w:t>
      </w:r>
      <w:hyperlink r:id="rId15" w:history="1">
        <w:r w:rsidRPr="00BC3A80">
          <w:rPr>
            <w:rFonts w:ascii="Verdana" w:eastAsia="Verdana" w:hAnsi="Verdana" w:cs="Verdana"/>
            <w:color w:val="0000FF"/>
            <w:u w:val="single"/>
            <w:lang w:val="es-MX"/>
          </w:rPr>
          <w:t>ventanilladeradicacion@colombiacompra.gov.co</w:t>
        </w:r>
      </w:hyperlink>
    </w:p>
    <w:p w14:paraId="2F9C3B50" w14:textId="77777777" w:rsidR="00E87C1D" w:rsidRPr="00BC3A80" w:rsidRDefault="00E87C1D" w:rsidP="00E87C1D">
      <w:pPr>
        <w:numPr>
          <w:ilvl w:val="0"/>
          <w:numId w:val="1"/>
        </w:numPr>
        <w:spacing w:after="0" w:line="276" w:lineRule="auto"/>
        <w:contextualSpacing/>
        <w:rPr>
          <w:rFonts w:ascii="Verdana" w:eastAsia="Verdana" w:hAnsi="Verdana" w:cs="Verdana"/>
          <w:color w:val="0000FF"/>
          <w:u w:val="single"/>
          <w:lang w:val="es-MX"/>
        </w:rPr>
      </w:pPr>
      <w:r w:rsidRPr="00BC3A80">
        <w:rPr>
          <w:rFonts w:ascii="Verdana" w:eastAsia="Verdana" w:hAnsi="Verdana" w:cs="Verdana"/>
          <w:lang w:val="es-ES"/>
        </w:rPr>
        <w:t xml:space="preserve">Formulario web para PQRSD: </w:t>
      </w:r>
      <w:hyperlink r:id="rId16" w:history="1">
        <w:r w:rsidRPr="00BC3A80">
          <w:rPr>
            <w:rFonts w:ascii="Verdana" w:eastAsia="Verdana" w:hAnsi="Verdana" w:cs="Verdana"/>
            <w:color w:val="0000FF"/>
            <w:u w:val="single"/>
            <w:lang w:val="es-MX"/>
          </w:rPr>
          <w:t>https://www.colombiacompra.gov.co/pqrsd/informacion-importante-antes-de-formular-una-pqrsd</w:t>
        </w:r>
      </w:hyperlink>
    </w:p>
    <w:p w14:paraId="179C386B" w14:textId="77777777" w:rsidR="00E87C1D" w:rsidRPr="00BC3A80" w:rsidRDefault="00E87C1D" w:rsidP="00E87C1D">
      <w:pPr>
        <w:spacing w:after="0" w:line="276" w:lineRule="auto"/>
        <w:ind w:left="720"/>
        <w:jc w:val="both"/>
        <w:rPr>
          <w:rFonts w:ascii="Verdana" w:hAnsi="Verdana"/>
        </w:rPr>
      </w:pPr>
    </w:p>
    <w:p w14:paraId="5F2D17DE" w14:textId="77777777" w:rsidR="00E87C1D" w:rsidRPr="00BC3A80" w:rsidRDefault="00E87C1D" w:rsidP="00E87C1D">
      <w:pPr>
        <w:spacing w:after="0" w:line="276" w:lineRule="auto"/>
        <w:rPr>
          <w:rFonts w:ascii="Verdana" w:hAnsi="Verdana"/>
        </w:rPr>
      </w:pPr>
      <w:r w:rsidRPr="00BC3A80">
        <w:rPr>
          <w:rFonts w:ascii="Verdana" w:hAnsi="Verdana"/>
        </w:rPr>
        <w:t xml:space="preserve">Evalúa el servicio que ofrece la Agencia por el canal de atención de PQRSD en el siguiente </w:t>
      </w:r>
      <w:proofErr w:type="gramStart"/>
      <w:r w:rsidRPr="00BC3A80">
        <w:rPr>
          <w:rFonts w:ascii="Verdana" w:hAnsi="Verdana"/>
        </w:rPr>
        <w:t>enlace :</w:t>
      </w:r>
      <w:proofErr w:type="gramEnd"/>
      <w:hyperlink r:id="rId17" w:tgtFrame="_blank" w:tooltip="https://forms.office.com/r/pphywvs2sz" w:history="1">
        <w:r w:rsidRPr="00BC3A80">
          <w:rPr>
            <w:rFonts w:ascii="Verdana" w:hAnsi="Verdana"/>
            <w:color w:val="0000FF"/>
            <w:u w:val="single"/>
          </w:rPr>
          <w:t>https://forms.office.com/r/pPHyWVs2SZ</w:t>
        </w:r>
      </w:hyperlink>
      <w:r w:rsidRPr="00BC3A80">
        <w:rPr>
          <w:rFonts w:ascii="Verdana" w:hAnsi="Verdana"/>
        </w:rPr>
        <w:t xml:space="preserve"> .¡Ayúdanos a mejorar porque el compromiso es de todos!</w:t>
      </w:r>
    </w:p>
    <w:p w14:paraId="5FF985ED" w14:textId="77777777" w:rsidR="00E87C1D" w:rsidRPr="00BC3A80" w:rsidRDefault="00E87C1D" w:rsidP="00E87C1D">
      <w:pPr>
        <w:spacing w:after="0" w:line="276" w:lineRule="auto"/>
        <w:rPr>
          <w:rFonts w:ascii="Verdana" w:hAnsi="Verdana"/>
        </w:rPr>
      </w:pPr>
    </w:p>
    <w:p w14:paraId="0293AC9E" w14:textId="77777777" w:rsidR="00E87C1D" w:rsidRPr="00BC3A80" w:rsidRDefault="00E87C1D" w:rsidP="00E87C1D">
      <w:pPr>
        <w:spacing w:after="0" w:line="276" w:lineRule="auto"/>
        <w:jc w:val="both"/>
        <w:rPr>
          <w:rFonts w:ascii="Verdana" w:hAnsi="Verdana"/>
        </w:rPr>
      </w:pPr>
      <w:r w:rsidRPr="00BC3A80">
        <w:rPr>
          <w:rFonts w:ascii="Verdana" w:hAnsi="Verdana"/>
        </w:rPr>
        <w:t xml:space="preserve">Por último, lo invitamos a seguirnos en las redes sociales en las cuales se difunde información institucional: </w:t>
      </w:r>
    </w:p>
    <w:p w14:paraId="7651E2DE" w14:textId="77777777" w:rsidR="00E87C1D" w:rsidRPr="00BC3A80" w:rsidRDefault="00E87C1D" w:rsidP="00E87C1D">
      <w:pPr>
        <w:spacing w:after="0" w:line="276" w:lineRule="auto"/>
        <w:jc w:val="both"/>
        <w:rPr>
          <w:rFonts w:ascii="Verdana" w:hAnsi="Verdana"/>
        </w:rPr>
      </w:pPr>
    </w:p>
    <w:p w14:paraId="3E7944B4" w14:textId="77777777" w:rsidR="00E87C1D" w:rsidRPr="00BC3A80" w:rsidRDefault="00E87C1D" w:rsidP="00E87C1D">
      <w:pPr>
        <w:spacing w:after="0" w:line="276" w:lineRule="auto"/>
        <w:jc w:val="both"/>
        <w:rPr>
          <w:rFonts w:ascii="Verdana" w:hAnsi="Verdana"/>
        </w:rPr>
      </w:pPr>
      <w:r w:rsidRPr="00BC3A80">
        <w:rPr>
          <w:rFonts w:ascii="Verdana" w:hAnsi="Verdana"/>
        </w:rPr>
        <w:t xml:space="preserve">Twitter: </w:t>
      </w:r>
      <w:r w:rsidRPr="00BC3A80">
        <w:rPr>
          <w:rFonts w:ascii="Verdana" w:hAnsi="Verdana"/>
          <w:color w:val="0000FF"/>
          <w:u w:val="single"/>
        </w:rPr>
        <w:t>@colombiacompra</w:t>
      </w:r>
      <w:r w:rsidRPr="00BC3A80">
        <w:rPr>
          <w:rFonts w:ascii="Verdana" w:hAnsi="Verdana"/>
        </w:rPr>
        <w:t xml:space="preserve"> </w:t>
      </w:r>
    </w:p>
    <w:p w14:paraId="4D4D8714" w14:textId="77777777" w:rsidR="00E87C1D" w:rsidRPr="00BC3A80" w:rsidRDefault="00E87C1D" w:rsidP="00E87C1D">
      <w:pPr>
        <w:spacing w:after="0" w:line="276" w:lineRule="auto"/>
        <w:jc w:val="both"/>
        <w:rPr>
          <w:rFonts w:ascii="Verdana" w:hAnsi="Verdana"/>
        </w:rPr>
      </w:pPr>
      <w:r w:rsidRPr="00BC3A80">
        <w:rPr>
          <w:rFonts w:ascii="Verdana" w:hAnsi="Verdana"/>
        </w:rPr>
        <w:t xml:space="preserve">Facebook: </w:t>
      </w:r>
      <w:proofErr w:type="spellStart"/>
      <w:r w:rsidRPr="00BC3A80">
        <w:rPr>
          <w:rFonts w:ascii="Verdana" w:hAnsi="Verdana"/>
          <w:color w:val="0000FF"/>
          <w:u w:val="single"/>
        </w:rPr>
        <w:t>ColombiaCompraEficiente</w:t>
      </w:r>
      <w:proofErr w:type="spellEnd"/>
    </w:p>
    <w:p w14:paraId="3243F45E" w14:textId="77777777" w:rsidR="00E87C1D" w:rsidRPr="00BC3A80" w:rsidRDefault="00E87C1D" w:rsidP="00E87C1D">
      <w:pPr>
        <w:spacing w:after="0" w:line="276" w:lineRule="auto"/>
        <w:jc w:val="both"/>
        <w:rPr>
          <w:rFonts w:ascii="Verdana" w:hAnsi="Verdana"/>
        </w:rPr>
      </w:pPr>
      <w:r w:rsidRPr="00BC3A80">
        <w:rPr>
          <w:rFonts w:ascii="Verdana" w:hAnsi="Verdana"/>
        </w:rPr>
        <w:t xml:space="preserve">LinkedIn: </w:t>
      </w:r>
      <w:r w:rsidRPr="00BC3A80">
        <w:rPr>
          <w:rFonts w:ascii="Verdana" w:hAnsi="Verdana"/>
          <w:color w:val="0000FF"/>
          <w:u w:val="single"/>
        </w:rPr>
        <w:t>Agencia Nacional de Contratación Pública - Colombia Compra Eficiente</w:t>
      </w:r>
      <w:r w:rsidRPr="00BC3A80">
        <w:rPr>
          <w:rFonts w:ascii="Verdana" w:hAnsi="Verdana"/>
        </w:rPr>
        <w:t xml:space="preserve"> Instagram: </w:t>
      </w:r>
      <w:r w:rsidRPr="00BC3A80">
        <w:rPr>
          <w:rFonts w:ascii="Verdana" w:hAnsi="Verdana"/>
          <w:color w:val="0000FF"/>
          <w:u w:val="single"/>
        </w:rPr>
        <w:t>@colombiacompraeficiente_cce</w:t>
      </w:r>
    </w:p>
    <w:p w14:paraId="7402756A" w14:textId="77777777" w:rsidR="00E87C1D" w:rsidRPr="00BC3A80" w:rsidRDefault="00E87C1D" w:rsidP="00E87C1D">
      <w:pPr>
        <w:widowControl w:val="0"/>
        <w:autoSpaceDE w:val="0"/>
        <w:autoSpaceDN w:val="0"/>
        <w:spacing w:after="120" w:line="276" w:lineRule="auto"/>
        <w:jc w:val="both"/>
        <w:rPr>
          <w:rFonts w:ascii="Verdana" w:hAnsi="Verdana" w:cs="Arial"/>
          <w:color w:val="FF0000"/>
          <w:shd w:val="clear" w:color="auto" w:fill="FFFFFF"/>
          <w:lang w:val="es-ES_tradnl"/>
        </w:rPr>
      </w:pPr>
      <w:r w:rsidRPr="00BC3A80">
        <w:rPr>
          <w:rFonts w:ascii="Verdana" w:hAnsi="Verdana" w:cs="Arial"/>
          <w:color w:val="FF0000"/>
          <w:shd w:val="clear" w:color="auto" w:fill="FFFFFF"/>
          <w:lang w:val="es-ES_tradnl"/>
        </w:rPr>
        <w:t xml:space="preserve">        </w:t>
      </w:r>
    </w:p>
    <w:p w14:paraId="1D5F5759" w14:textId="77777777" w:rsidR="00E87C1D" w:rsidRPr="00BC3A80" w:rsidRDefault="00E87C1D" w:rsidP="00E87C1D">
      <w:pPr>
        <w:widowControl w:val="0"/>
        <w:autoSpaceDE w:val="0"/>
        <w:autoSpaceDN w:val="0"/>
        <w:spacing w:after="0" w:line="276" w:lineRule="auto"/>
        <w:jc w:val="both"/>
        <w:rPr>
          <w:rFonts w:ascii="Verdana" w:hAnsi="Verdana" w:cs="Arial"/>
          <w:lang w:val="es-ES_tradnl"/>
        </w:rPr>
      </w:pPr>
      <w:r w:rsidRPr="00BC3A80">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6DA6C446" w14:textId="77777777" w:rsidR="00E87C1D" w:rsidRPr="00BC3A80" w:rsidRDefault="00E87C1D" w:rsidP="00E87C1D">
      <w:pPr>
        <w:widowControl w:val="0"/>
        <w:autoSpaceDE w:val="0"/>
        <w:autoSpaceDN w:val="0"/>
        <w:spacing w:after="0" w:line="276" w:lineRule="auto"/>
        <w:jc w:val="both"/>
        <w:rPr>
          <w:rFonts w:ascii="Verdana" w:hAnsi="Verdana" w:cs="Arial"/>
          <w:lang w:val="es-ES_tradnl"/>
        </w:rPr>
      </w:pPr>
    </w:p>
    <w:p w14:paraId="31C4B48E" w14:textId="77777777" w:rsidR="00E87C1D" w:rsidRDefault="00E87C1D" w:rsidP="00E87C1D">
      <w:pPr>
        <w:spacing w:after="0" w:line="276" w:lineRule="auto"/>
        <w:rPr>
          <w:rFonts w:ascii="Verdana" w:eastAsia="Times New Roman" w:hAnsi="Verdana" w:cs="Arial"/>
          <w:lang w:eastAsia="es-ES_tradnl"/>
        </w:rPr>
      </w:pPr>
      <w:r w:rsidRPr="00BC3A80">
        <w:rPr>
          <w:rFonts w:ascii="Verdana" w:eastAsia="Times New Roman" w:hAnsi="Verdana" w:cs="Arial"/>
          <w:lang w:val="es-ES_tradnl" w:eastAsia="es-CO"/>
        </w:rPr>
        <w:t>Atentamente,</w:t>
      </w:r>
      <w:r w:rsidRPr="00BC3A80">
        <w:rPr>
          <w:rFonts w:ascii="Verdana" w:hAnsi="Verdana" w:cs="Arial"/>
          <w:lang w:val="es-ES_tradnl" w:eastAsia="es-CO"/>
        </w:rPr>
        <w:t xml:space="preserve"> </w:t>
      </w:r>
      <w:bookmarkEnd w:id="0"/>
    </w:p>
    <w:p w14:paraId="624F80A1" w14:textId="77777777" w:rsidR="00E87C1D" w:rsidRPr="00116940" w:rsidRDefault="00E87C1D" w:rsidP="00E87C1D">
      <w:pPr>
        <w:spacing w:after="0" w:line="240" w:lineRule="auto"/>
        <w:jc w:val="both"/>
        <w:rPr>
          <w:rFonts w:ascii="Verdana" w:hAnsi="Verdana"/>
        </w:rPr>
      </w:pPr>
    </w:p>
    <w:p w14:paraId="1F06808C" w14:textId="518855F6" w:rsidR="00E87C1D" w:rsidRDefault="00126E2F" w:rsidP="00E87C1D">
      <w:pPr>
        <w:spacing w:after="0" w:line="240" w:lineRule="auto"/>
        <w:jc w:val="center"/>
      </w:pPr>
      <w:r w:rsidRPr="004D5C25">
        <w:rPr>
          <w:rFonts w:ascii="Century Gothic" w:hAnsi="Century Gothic"/>
          <w:noProof/>
        </w:rPr>
        <w:lastRenderedPageBreak/>
        <w:drawing>
          <wp:inline distT="0" distB="0" distL="0" distR="0" wp14:anchorId="7656A34B" wp14:editId="74C367C8">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8"/>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87C1D" w:rsidRPr="00E3533A" w14:paraId="0A7BCCE8" w14:textId="77777777" w:rsidTr="00D40AAE">
        <w:trPr>
          <w:trHeight w:val="315"/>
        </w:trPr>
        <w:tc>
          <w:tcPr>
            <w:tcW w:w="893" w:type="dxa"/>
            <w:vAlign w:val="center"/>
            <w:hideMark/>
          </w:tcPr>
          <w:p w14:paraId="577E4F74" w14:textId="77777777" w:rsidR="00E87C1D" w:rsidRPr="00E3533A" w:rsidRDefault="00E87C1D" w:rsidP="00D40AAE">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23BAF1C1" w14:textId="77777777" w:rsidR="00E87C1D" w:rsidRPr="00E3533A" w:rsidRDefault="00E87C1D" w:rsidP="00D40AAE">
            <w:pPr>
              <w:spacing w:line="256" w:lineRule="auto"/>
              <w:rPr>
                <w:rFonts w:ascii="Verdana" w:eastAsia="Calibri" w:hAnsi="Verdana" w:cs="Times New Roman"/>
                <w:sz w:val="16"/>
                <w:szCs w:val="16"/>
              </w:rPr>
            </w:pPr>
            <w:r w:rsidRPr="00E3533A">
              <w:rPr>
                <w:rFonts w:ascii="Verdana" w:eastAsia="Calibri" w:hAnsi="Verdana" w:cs="Times New Roman"/>
                <w:sz w:val="16"/>
                <w:szCs w:val="16"/>
              </w:rPr>
              <w:t>Sergio Enrique Caballero Lesmes</w:t>
            </w:r>
          </w:p>
          <w:p w14:paraId="55D94012" w14:textId="77777777" w:rsidR="00E87C1D" w:rsidRPr="00E3533A" w:rsidRDefault="00E87C1D" w:rsidP="00D40AAE">
            <w:pPr>
              <w:contextualSpacing/>
              <w:rPr>
                <w:rFonts w:ascii="Verdana" w:eastAsia="Arial" w:hAnsi="Verdana" w:cs="Arial"/>
                <w:sz w:val="16"/>
                <w:szCs w:val="16"/>
              </w:rPr>
            </w:pPr>
            <w:r w:rsidRPr="00E3533A">
              <w:rPr>
                <w:rFonts w:ascii="Verdana" w:eastAsia="Calibri" w:hAnsi="Verdana" w:cs="Times New Roman"/>
                <w:sz w:val="16"/>
                <w:szCs w:val="16"/>
              </w:rPr>
              <w:t>Analista T</w:t>
            </w:r>
            <w:r>
              <w:rPr>
                <w:rFonts w:ascii="Verdana" w:eastAsia="Calibri" w:hAnsi="Verdana" w:cs="Times New Roman"/>
                <w:sz w:val="16"/>
                <w:szCs w:val="16"/>
              </w:rPr>
              <w:t>2</w:t>
            </w:r>
            <w:r w:rsidRPr="00E3533A">
              <w:rPr>
                <w:rFonts w:ascii="Verdana" w:eastAsia="Calibri" w:hAnsi="Verdana" w:cs="Times New Roman"/>
                <w:sz w:val="16"/>
                <w:szCs w:val="16"/>
              </w:rPr>
              <w:t xml:space="preserve"> -02 de la Subdirección de Gestión Contractual</w:t>
            </w:r>
          </w:p>
        </w:tc>
      </w:tr>
      <w:tr w:rsidR="00E87C1D" w:rsidRPr="00E3533A" w14:paraId="01A7147A" w14:textId="77777777" w:rsidTr="00D40AAE">
        <w:trPr>
          <w:trHeight w:val="330"/>
        </w:trPr>
        <w:tc>
          <w:tcPr>
            <w:tcW w:w="893" w:type="dxa"/>
            <w:vAlign w:val="center"/>
            <w:hideMark/>
          </w:tcPr>
          <w:p w14:paraId="4A709601" w14:textId="77777777" w:rsidR="00E87C1D" w:rsidRPr="00E3533A" w:rsidRDefault="00E87C1D" w:rsidP="00D40AAE">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C378744" w14:textId="77777777" w:rsidR="00E87C1D" w:rsidRPr="002B5C7D" w:rsidRDefault="00E87C1D" w:rsidP="00D40AAE">
            <w:pPr>
              <w:spacing w:line="256" w:lineRule="auto"/>
              <w:rPr>
                <w:rFonts w:ascii="Verdana" w:eastAsia="Calibri" w:hAnsi="Verdana" w:cs="Times New Roman"/>
                <w:sz w:val="16"/>
                <w:szCs w:val="16"/>
              </w:rPr>
            </w:pPr>
            <w:r>
              <w:rPr>
                <w:rFonts w:ascii="Verdana" w:eastAsia="Calibri" w:hAnsi="Verdana" w:cs="Times New Roman"/>
                <w:sz w:val="16"/>
                <w:szCs w:val="16"/>
              </w:rPr>
              <w:t>Diana Lucía Saavedra Castañeda</w:t>
            </w:r>
          </w:p>
          <w:p w14:paraId="594D32EA" w14:textId="77777777" w:rsidR="00E87C1D" w:rsidRPr="00E3533A" w:rsidRDefault="00E87C1D" w:rsidP="00D40AAE">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E87C1D" w:rsidRPr="00E3533A" w14:paraId="73549328" w14:textId="77777777" w:rsidTr="00D40AAE">
        <w:trPr>
          <w:trHeight w:val="300"/>
        </w:trPr>
        <w:tc>
          <w:tcPr>
            <w:tcW w:w="893" w:type="dxa"/>
            <w:vAlign w:val="center"/>
          </w:tcPr>
          <w:p w14:paraId="01C93B28" w14:textId="77777777" w:rsidR="00E87C1D" w:rsidRPr="00E3533A" w:rsidRDefault="00E87C1D" w:rsidP="00D40AAE">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FEF0ECE" w14:textId="77777777" w:rsidR="00E87C1D" w:rsidRPr="00E3533A" w:rsidRDefault="00E87C1D" w:rsidP="00D40AAE">
            <w:pPr>
              <w:contextualSpacing/>
              <w:rPr>
                <w:rFonts w:ascii="Verdana" w:eastAsia="Calibri" w:hAnsi="Verdana" w:cs="Arial"/>
                <w:sz w:val="16"/>
                <w:szCs w:val="16"/>
                <w:lang w:eastAsia="es-ES"/>
              </w:rPr>
            </w:pPr>
            <w:r>
              <w:rPr>
                <w:rFonts w:ascii="Verdana" w:eastAsia="Calibri" w:hAnsi="Verdana" w:cs="Arial"/>
                <w:sz w:val="16"/>
                <w:szCs w:val="16"/>
                <w:lang w:eastAsia="es-ES"/>
              </w:rPr>
              <w:t xml:space="preserve">Carolina Quintero </w:t>
            </w:r>
            <w:proofErr w:type="spellStart"/>
            <w:r>
              <w:rPr>
                <w:rFonts w:ascii="Verdana" w:eastAsia="Calibri" w:hAnsi="Verdana" w:cs="Arial"/>
                <w:sz w:val="16"/>
                <w:szCs w:val="16"/>
                <w:lang w:eastAsia="es-ES"/>
              </w:rPr>
              <w:t>Gacharná</w:t>
            </w:r>
            <w:proofErr w:type="spellEnd"/>
          </w:p>
          <w:p w14:paraId="3117A653" w14:textId="77777777" w:rsidR="00E87C1D" w:rsidRPr="00E3533A" w:rsidRDefault="00E87C1D" w:rsidP="00D40AAE">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tbl>
    <w:p w14:paraId="0E9E554A" w14:textId="77777777" w:rsidR="00E87C1D" w:rsidRPr="00E3533A" w:rsidRDefault="00E87C1D" w:rsidP="00E87C1D">
      <w:pPr>
        <w:spacing w:after="0"/>
        <w:rPr>
          <w:rFonts w:ascii="Verdana" w:hAnsi="Verdana"/>
        </w:rPr>
      </w:pPr>
    </w:p>
    <w:p w14:paraId="6B3ABB64" w14:textId="77777777" w:rsidR="00E87C1D" w:rsidRPr="00FB7971" w:rsidRDefault="00E87C1D" w:rsidP="00E87C1D"/>
    <w:p w14:paraId="4733DE6B" w14:textId="77777777" w:rsidR="00E87C1D" w:rsidRPr="00214248" w:rsidRDefault="00E87C1D" w:rsidP="00E87C1D"/>
    <w:p w14:paraId="2BE888B6" w14:textId="77777777" w:rsidR="00E87C1D" w:rsidRPr="0044528D" w:rsidRDefault="00E87C1D" w:rsidP="00E87C1D">
      <w:pPr>
        <w:spacing w:after="0"/>
        <w:jc w:val="both"/>
        <w:rPr>
          <w:rStyle w:val="Hipervnculo"/>
          <w:rFonts w:ascii="Verdana" w:hAnsi="Verdana"/>
        </w:rPr>
      </w:pPr>
    </w:p>
    <w:p w14:paraId="3D229D40" w14:textId="77777777" w:rsidR="00C24FFE" w:rsidRDefault="00C24FFE"/>
    <w:sectPr w:rsidR="00C24FFE" w:rsidSect="00E87C1D">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AB3370" w14:textId="77777777" w:rsidR="005270EE" w:rsidRDefault="005270EE" w:rsidP="00E87C1D">
      <w:pPr>
        <w:spacing w:after="0" w:line="240" w:lineRule="auto"/>
      </w:pPr>
      <w:r>
        <w:separator/>
      </w:r>
    </w:p>
  </w:endnote>
  <w:endnote w:type="continuationSeparator" w:id="0">
    <w:p w14:paraId="37F28C0B" w14:textId="77777777" w:rsidR="005270EE" w:rsidRDefault="005270EE" w:rsidP="00E87C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2E6326" w14:textId="77777777" w:rsidR="00E87C1D" w:rsidRDefault="00E87C1D">
    <w:pPr>
      <w:pStyle w:val="Piedepgina"/>
    </w:pPr>
  </w:p>
  <w:p w14:paraId="649E8A0F" w14:textId="77777777" w:rsidR="00E87C1D" w:rsidRPr="00174B77" w:rsidRDefault="00E87C1D"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12358D0" w14:textId="77777777" w:rsidR="00E87C1D" w:rsidRDefault="00E87C1D"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3412E49A" w14:textId="77777777" w:rsidR="00E87C1D" w:rsidRPr="00E41027" w:rsidRDefault="00E87C1D" w:rsidP="00D520D8">
    <w:pPr>
      <w:spacing w:after="0"/>
      <w:jc w:val="both"/>
      <w:rPr>
        <w:rFonts w:ascii="Verdana" w:hAnsi="Verdana"/>
        <w:sz w:val="18"/>
        <w:szCs w:val="18"/>
      </w:rPr>
    </w:pPr>
    <w:r w:rsidRPr="00E41027">
      <w:rPr>
        <w:rFonts w:ascii="Verdana" w:hAnsi="Verdana"/>
        <w:sz w:val="18"/>
        <w:szCs w:val="18"/>
      </w:rPr>
      <w:t>Mesa de servicio: (+57) 601 7456788</w:t>
    </w:r>
  </w:p>
  <w:p w14:paraId="53D8B4E5" w14:textId="77777777" w:rsidR="00E87C1D" w:rsidRPr="00136C67" w:rsidRDefault="00E87C1D" w:rsidP="356CEDFD">
    <w:pPr>
      <w:pBdr>
        <w:top w:val="nil"/>
        <w:left w:val="nil"/>
        <w:bottom w:val="nil"/>
        <w:right w:val="nil"/>
        <w:between w:val="nil"/>
      </w:pBdr>
      <w:tabs>
        <w:tab w:val="center" w:pos="4419"/>
        <w:tab w:val="right" w:pos="8838"/>
        <w:tab w:val="center" w:pos="5400"/>
      </w:tabs>
      <w:spacing w:after="0"/>
      <w:jc w:val="right"/>
      <w:rPr>
        <w:lang w:val="pt-BR"/>
      </w:rPr>
    </w:pPr>
    <w:r w:rsidRPr="00136C67">
      <w:rPr>
        <w:rFonts w:ascii="Century Gothic" w:eastAsia="Geo" w:hAnsi="Century Gothic" w:cs="Geo"/>
        <w:b/>
        <w:bCs/>
        <w:color w:val="000000" w:themeColor="text1"/>
        <w:sz w:val="16"/>
        <w:szCs w:val="16"/>
        <w:lang w:val="pt-BR" w:eastAsia="es-CO"/>
      </w:rPr>
      <w:t xml:space="preserve">Código: </w:t>
    </w:r>
    <w:r w:rsidRPr="00136C67">
      <w:rPr>
        <w:rFonts w:ascii="Century Gothic" w:eastAsia="Geo" w:hAnsi="Century Gothic" w:cs="Geo"/>
        <w:color w:val="000000" w:themeColor="text1"/>
        <w:sz w:val="16"/>
        <w:szCs w:val="16"/>
        <w:lang w:val="pt-BR" w:eastAsia="es-CO"/>
      </w:rPr>
      <w:t xml:space="preserve">CCE-REC-FM-17 </w:t>
    </w:r>
    <w:r w:rsidRPr="00136C67">
      <w:rPr>
        <w:rFonts w:ascii="Century Gothic" w:eastAsia="Geo" w:hAnsi="Century Gothic" w:cs="Geo"/>
        <w:b/>
        <w:bCs/>
        <w:color w:val="000000" w:themeColor="text1"/>
        <w:sz w:val="16"/>
        <w:szCs w:val="16"/>
        <w:lang w:val="pt-BR" w:eastAsia="es-CO"/>
      </w:rPr>
      <w:t>V</w:t>
    </w:r>
    <w:r w:rsidRPr="00136C67">
      <w:rPr>
        <w:rFonts w:ascii="Century Gothic" w:eastAsia="Arial Nova" w:hAnsi="Century Gothic" w:cs="Arial Nova"/>
        <w:b/>
        <w:bCs/>
        <w:color w:val="000000" w:themeColor="text1"/>
        <w:sz w:val="16"/>
        <w:szCs w:val="16"/>
        <w:lang w:val="pt-BR" w:eastAsia="es-CO"/>
      </w:rPr>
      <w:t xml:space="preserve">: </w:t>
    </w:r>
    <w:r w:rsidRPr="00136C67">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C3BB1D" w14:textId="77777777" w:rsidR="005270EE" w:rsidRDefault="005270EE" w:rsidP="00E87C1D">
      <w:pPr>
        <w:spacing w:after="0" w:line="240" w:lineRule="auto"/>
      </w:pPr>
      <w:r>
        <w:separator/>
      </w:r>
    </w:p>
  </w:footnote>
  <w:footnote w:type="continuationSeparator" w:id="0">
    <w:p w14:paraId="6F5BF86A" w14:textId="77777777" w:rsidR="005270EE" w:rsidRDefault="005270EE" w:rsidP="00E87C1D">
      <w:pPr>
        <w:spacing w:after="0" w:line="240" w:lineRule="auto"/>
      </w:pPr>
      <w:r>
        <w:continuationSeparator/>
      </w:r>
    </w:p>
  </w:footnote>
  <w:footnote w:id="1">
    <w:p w14:paraId="12881728" w14:textId="77777777" w:rsidR="00E87C1D" w:rsidRPr="00B10300" w:rsidRDefault="00E87C1D" w:rsidP="00E87C1D">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9ED254A" w14:textId="77777777" w:rsidR="00E87C1D" w:rsidRPr="00B10300" w:rsidRDefault="00E87C1D" w:rsidP="00E87C1D">
      <w:pPr>
        <w:pStyle w:val="Textonotapie"/>
        <w:ind w:firstLine="709"/>
        <w:contextualSpacing/>
        <w:jc w:val="both"/>
        <w:rPr>
          <w:rFonts w:ascii="Verdana" w:hAnsi="Verdana" w:cs="Arial"/>
          <w:sz w:val="14"/>
          <w:szCs w:val="14"/>
        </w:rPr>
      </w:pPr>
      <w:r w:rsidRPr="00B10300">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69BC2D7F" w14:textId="77777777" w:rsidR="00E87C1D" w:rsidRPr="00B10300" w:rsidRDefault="00E87C1D" w:rsidP="00E87C1D">
      <w:pPr>
        <w:pStyle w:val="Textonotapie"/>
        <w:ind w:firstLine="709"/>
        <w:contextualSpacing/>
        <w:jc w:val="both"/>
        <w:rPr>
          <w:rFonts w:ascii="Verdana" w:hAnsi="Verdana" w:cs="Arial"/>
          <w:sz w:val="14"/>
          <w:szCs w:val="14"/>
        </w:rPr>
      </w:pPr>
    </w:p>
  </w:footnote>
  <w:footnote w:id="2">
    <w:p w14:paraId="732A4204" w14:textId="77777777" w:rsidR="00E87C1D" w:rsidRPr="00B10300" w:rsidRDefault="00E87C1D" w:rsidP="00E87C1D">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Gaceta del Congreso de la República No. 71 del 2005.</w:t>
      </w:r>
    </w:p>
  </w:footnote>
  <w:footnote w:id="3">
    <w:p w14:paraId="37338E56" w14:textId="77777777" w:rsidR="00E87C1D" w:rsidRPr="00B10300" w:rsidRDefault="00E87C1D" w:rsidP="00E87C1D">
      <w:pPr>
        <w:pStyle w:val="Textonotapie"/>
        <w:ind w:firstLine="709"/>
        <w:contextualSpacing/>
        <w:jc w:val="both"/>
        <w:rPr>
          <w:rFonts w:ascii="Verdana" w:hAnsi="Verdana" w:cs="Arial"/>
          <w:sz w:val="14"/>
          <w:szCs w:val="14"/>
          <w:lang w:val="pt-BR"/>
        </w:rPr>
      </w:pPr>
      <w:r w:rsidRPr="00B10300">
        <w:rPr>
          <w:rStyle w:val="Refdenotaalpie"/>
          <w:rFonts w:ascii="Verdana" w:hAnsi="Verdana" w:cs="Arial"/>
          <w:sz w:val="14"/>
          <w:szCs w:val="14"/>
        </w:rPr>
        <w:footnoteRef/>
      </w:r>
      <w:r w:rsidRPr="00B10300">
        <w:rPr>
          <w:rFonts w:ascii="Verdana" w:hAnsi="Verdana" w:cs="Arial"/>
          <w:sz w:val="14"/>
          <w:szCs w:val="14"/>
          <w:lang w:val="pt-BR"/>
        </w:rPr>
        <w:t xml:space="preserve"> Corte Constitucional, Sentencia C- 1153 de 2005, M.P. Marco Gerardo Monroy Cabra.</w:t>
      </w:r>
    </w:p>
    <w:p w14:paraId="4FE84EE2" w14:textId="77777777" w:rsidR="00E87C1D" w:rsidRPr="00B10300" w:rsidRDefault="00E87C1D" w:rsidP="00E87C1D">
      <w:pPr>
        <w:pStyle w:val="Textonotapie"/>
        <w:ind w:firstLine="709"/>
        <w:contextualSpacing/>
        <w:jc w:val="both"/>
        <w:rPr>
          <w:rFonts w:ascii="Verdana" w:hAnsi="Verdana" w:cs="Arial"/>
          <w:sz w:val="14"/>
          <w:szCs w:val="14"/>
          <w:lang w:val="pt-BR"/>
        </w:rPr>
      </w:pPr>
    </w:p>
  </w:footnote>
  <w:footnote w:id="4">
    <w:p w14:paraId="1E27258C" w14:textId="77777777" w:rsidR="00E87C1D" w:rsidRPr="00B10300" w:rsidRDefault="00E87C1D" w:rsidP="00E87C1D">
      <w:pPr>
        <w:pStyle w:val="Textonotapie"/>
        <w:ind w:firstLine="709"/>
        <w:contextualSpacing/>
        <w:jc w:val="both"/>
        <w:rPr>
          <w:rFonts w:ascii="Verdana" w:hAnsi="Verdana" w:cs="Arial"/>
          <w:sz w:val="14"/>
          <w:szCs w:val="14"/>
          <w:lang w:val="pt-BR"/>
        </w:rPr>
      </w:pPr>
      <w:r w:rsidRPr="00B10300">
        <w:rPr>
          <w:rStyle w:val="Refdenotaalpie"/>
          <w:rFonts w:ascii="Verdana" w:hAnsi="Verdana" w:cs="Arial"/>
          <w:sz w:val="14"/>
          <w:szCs w:val="14"/>
        </w:rPr>
        <w:footnoteRef/>
      </w:r>
      <w:r w:rsidRPr="00B10300">
        <w:rPr>
          <w:rFonts w:ascii="Verdana" w:hAnsi="Verdana" w:cs="Arial"/>
          <w:sz w:val="14"/>
          <w:szCs w:val="14"/>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5ED81F7C" w14:textId="77777777" w:rsidR="00E87C1D" w:rsidRPr="00B10300" w:rsidRDefault="00E87C1D" w:rsidP="00E87C1D">
      <w:pPr>
        <w:pStyle w:val="Textonotapie"/>
        <w:ind w:firstLine="709"/>
        <w:contextualSpacing/>
        <w:jc w:val="both"/>
        <w:rPr>
          <w:rFonts w:ascii="Verdana" w:hAnsi="Verdana" w:cs="Arial"/>
          <w:sz w:val="14"/>
          <w:szCs w:val="14"/>
          <w:lang w:val="pt-BR"/>
        </w:rPr>
      </w:pPr>
    </w:p>
  </w:footnote>
  <w:footnote w:id="5">
    <w:p w14:paraId="243CB7A8" w14:textId="77777777" w:rsidR="00E87C1D" w:rsidRPr="00B10300" w:rsidRDefault="00E87C1D" w:rsidP="00E87C1D">
      <w:pPr>
        <w:pStyle w:val="Textonotapie"/>
        <w:ind w:firstLine="709"/>
        <w:contextualSpacing/>
        <w:jc w:val="both"/>
        <w:rPr>
          <w:rFonts w:ascii="Verdana" w:hAnsi="Verdana" w:cs="Arial"/>
          <w:sz w:val="14"/>
          <w:szCs w:val="14"/>
          <w:lang w:val="es-CO"/>
        </w:rPr>
      </w:pPr>
      <w:r w:rsidRPr="00B10300">
        <w:rPr>
          <w:rStyle w:val="Refdenotaalpie"/>
          <w:rFonts w:ascii="Verdana" w:hAnsi="Verdana" w:cs="Arial"/>
          <w:sz w:val="14"/>
          <w:szCs w:val="14"/>
        </w:rPr>
        <w:footnoteRef/>
      </w:r>
      <w:r w:rsidRPr="00B10300">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485E792E" w14:textId="77777777" w:rsidR="00E87C1D" w:rsidRPr="00B10300" w:rsidRDefault="00E87C1D" w:rsidP="00E87C1D">
      <w:pPr>
        <w:pStyle w:val="Textonotapie"/>
        <w:ind w:firstLine="709"/>
        <w:contextualSpacing/>
        <w:jc w:val="both"/>
        <w:rPr>
          <w:rFonts w:ascii="Verdana" w:hAnsi="Verdana" w:cs="Arial"/>
          <w:sz w:val="14"/>
          <w:szCs w:val="14"/>
          <w:lang w:val="es-CO"/>
        </w:rPr>
      </w:pPr>
    </w:p>
  </w:footnote>
  <w:footnote w:id="6">
    <w:p w14:paraId="6B5BA8AF" w14:textId="77777777" w:rsidR="00E87C1D" w:rsidRPr="00B10300" w:rsidRDefault="00E87C1D" w:rsidP="00E87C1D">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Consejo de Estado, Sala de Consulta y Servicio Civil de fecha 24 de julio de 2013, Rad. 2166, C. P. Álvaro Namén Vargas. </w:t>
      </w:r>
    </w:p>
    <w:p w14:paraId="36632CA6" w14:textId="77777777" w:rsidR="00E87C1D" w:rsidRPr="00B10300" w:rsidRDefault="00E87C1D" w:rsidP="00E87C1D">
      <w:pPr>
        <w:pStyle w:val="Textonotapie"/>
        <w:ind w:firstLine="709"/>
        <w:contextualSpacing/>
        <w:jc w:val="both"/>
        <w:rPr>
          <w:rFonts w:ascii="Verdana" w:hAnsi="Verdana" w:cs="Arial"/>
          <w:sz w:val="14"/>
          <w:szCs w:val="14"/>
        </w:rPr>
      </w:pPr>
      <w:r w:rsidRPr="00B10300">
        <w:rPr>
          <w:rFonts w:ascii="Verdana" w:hAnsi="Verdana" w:cs="Arial"/>
          <w:sz w:val="14"/>
          <w:szCs w:val="14"/>
        </w:rPr>
        <w:t xml:space="preserve"> </w:t>
      </w:r>
    </w:p>
  </w:footnote>
  <w:footnote w:id="7">
    <w:p w14:paraId="15B4A583" w14:textId="77777777" w:rsidR="00E87C1D" w:rsidRPr="00B10300" w:rsidRDefault="00E87C1D" w:rsidP="00E87C1D">
      <w:pPr>
        <w:spacing w:after="0" w:line="240" w:lineRule="auto"/>
        <w:ind w:firstLine="709"/>
        <w:contextualSpacing/>
        <w:jc w:val="both"/>
        <w:rPr>
          <w:rFonts w:ascii="Verdana" w:eastAsia="Times New Roman"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w:t>
      </w:r>
      <w:r w:rsidRPr="00B10300">
        <w:rPr>
          <w:rFonts w:ascii="Verdana" w:hAnsi="Verdana" w:cs="Arial"/>
          <w:color w:val="000000"/>
          <w:sz w:val="14"/>
          <w:szCs w:val="14"/>
        </w:rPr>
        <w:t>“</w:t>
      </w:r>
      <w:r w:rsidRPr="00B10300">
        <w:rPr>
          <w:rFonts w:ascii="Verdana" w:eastAsia="Times New Roman" w:hAnsi="Verdana" w:cs="Arial"/>
          <w:sz w:val="14"/>
          <w:szCs w:val="14"/>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4E3E57D3" w14:textId="77777777" w:rsidR="00E87C1D" w:rsidRPr="00B10300" w:rsidRDefault="00E87C1D" w:rsidP="00E87C1D">
      <w:pPr>
        <w:spacing w:after="0" w:line="240" w:lineRule="auto"/>
        <w:ind w:firstLine="709"/>
        <w:contextualSpacing/>
        <w:jc w:val="both"/>
        <w:rPr>
          <w:rFonts w:ascii="Verdana" w:eastAsia="Times New Roman" w:hAnsi="Verdana" w:cs="Arial"/>
          <w:sz w:val="14"/>
          <w:szCs w:val="14"/>
        </w:rPr>
      </w:pPr>
      <w:r w:rsidRPr="00B10300">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10300">
        <w:rPr>
          <w:rFonts w:ascii="Verdana" w:hAnsi="Verdana" w:cs="Arial"/>
          <w:color w:val="000000"/>
          <w:sz w:val="14"/>
          <w:szCs w:val="14"/>
        </w:rPr>
        <w:t>”</w:t>
      </w:r>
      <w:r w:rsidRPr="00B10300">
        <w:rPr>
          <w:rFonts w:ascii="Verdana" w:eastAsia="Times New Roman" w:hAnsi="Verdana" w:cs="Arial"/>
          <w:sz w:val="14"/>
          <w:szCs w:val="14"/>
        </w:rPr>
        <w:t>.</w:t>
      </w:r>
    </w:p>
    <w:p w14:paraId="48BC0D32" w14:textId="77777777" w:rsidR="00E87C1D" w:rsidRPr="00B10300" w:rsidRDefault="00E87C1D" w:rsidP="00E87C1D">
      <w:pPr>
        <w:spacing w:after="0" w:line="240" w:lineRule="auto"/>
        <w:ind w:firstLine="709"/>
        <w:contextualSpacing/>
        <w:jc w:val="both"/>
        <w:rPr>
          <w:rFonts w:ascii="Verdana" w:eastAsia="Times New Roman" w:hAnsi="Verdana" w:cs="Arial"/>
          <w:sz w:val="14"/>
          <w:szCs w:val="14"/>
        </w:rPr>
      </w:pPr>
    </w:p>
  </w:footnote>
  <w:footnote w:id="8">
    <w:p w14:paraId="7153254E" w14:textId="77777777" w:rsidR="00E87C1D" w:rsidRPr="00B10300" w:rsidRDefault="00E87C1D" w:rsidP="00E87C1D">
      <w:pPr>
        <w:pStyle w:val="NormalWeb"/>
        <w:spacing w:after="0"/>
        <w:ind w:firstLine="709"/>
        <w:contextualSpacing/>
        <w:jc w:val="both"/>
        <w:rPr>
          <w:rFonts w:ascii="Verdana" w:hAnsi="Verdana" w:cs="Arial"/>
          <w:sz w:val="14"/>
          <w:szCs w:val="14"/>
          <w:lang w:val="es-MX"/>
        </w:rPr>
      </w:pPr>
      <w:r w:rsidRPr="00B10300">
        <w:rPr>
          <w:rStyle w:val="Refdenotaalpie"/>
          <w:rFonts w:ascii="Verdana" w:eastAsiaTheme="majorEastAsia" w:hAnsi="Verdana" w:cs="Arial"/>
          <w:sz w:val="14"/>
          <w:szCs w:val="14"/>
        </w:rPr>
        <w:footnoteRef/>
      </w:r>
      <w:r w:rsidRPr="00B10300">
        <w:rPr>
          <w:rFonts w:ascii="Verdana" w:hAnsi="Verdana" w:cs="Arial"/>
          <w:sz w:val="14"/>
          <w:szCs w:val="14"/>
        </w:rPr>
        <w:t xml:space="preserve"> </w:t>
      </w:r>
      <w:r w:rsidRPr="00B10300">
        <w:rPr>
          <w:rFonts w:ascii="Verdana" w:eastAsia="Calibri" w:hAnsi="Verdana" w:cs="Arial"/>
          <w:color w:val="000000"/>
          <w:sz w:val="14"/>
          <w:szCs w:val="14"/>
        </w:rPr>
        <w:t>“</w:t>
      </w:r>
      <w:r w:rsidRPr="00B10300">
        <w:rPr>
          <w:rFonts w:ascii="Verdana" w:hAnsi="Verdana" w:cs="Arial"/>
          <w:sz w:val="14"/>
          <w:szCs w:val="14"/>
          <w:lang w:val="es-MX"/>
        </w:rPr>
        <w:t>Artículo 38. Prohibiciones para los servidores públicos. A los empleados del Estado les está prohibido: […]</w:t>
      </w:r>
    </w:p>
    <w:p w14:paraId="1DCB21FD" w14:textId="77777777" w:rsidR="00E87C1D" w:rsidRPr="00B10300" w:rsidRDefault="00E87C1D" w:rsidP="00E87C1D">
      <w:pPr>
        <w:pStyle w:val="NormalWeb"/>
        <w:spacing w:after="0"/>
        <w:ind w:firstLine="709"/>
        <w:contextualSpacing/>
        <w:jc w:val="both"/>
        <w:rPr>
          <w:rFonts w:ascii="Verdana" w:hAnsi="Verdana" w:cs="Arial"/>
          <w:sz w:val="14"/>
          <w:szCs w:val="14"/>
          <w:lang w:val="es-MX"/>
        </w:rPr>
      </w:pPr>
      <w:r w:rsidRPr="00B10300">
        <w:rPr>
          <w:rStyle w:val="baj"/>
          <w:rFonts w:ascii="Verdana" w:hAnsi="Verdana" w:cs="Arial"/>
          <w:sz w:val="14"/>
          <w:szCs w:val="14"/>
          <w:lang w:val="es-MX"/>
        </w:rPr>
        <w:t>Parágrafo.</w:t>
      </w:r>
      <w:r w:rsidRPr="00B10300">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10300">
        <w:rPr>
          <w:rFonts w:ascii="Verdana" w:eastAsia="Calibri" w:hAnsi="Verdana" w:cs="Arial"/>
          <w:color w:val="000000"/>
          <w:sz w:val="14"/>
          <w:szCs w:val="14"/>
        </w:rPr>
        <w:t>”</w:t>
      </w:r>
      <w:r w:rsidRPr="00B10300">
        <w:rPr>
          <w:rFonts w:ascii="Verdana" w:hAnsi="Verdana" w:cs="Arial"/>
          <w:sz w:val="14"/>
          <w:szCs w:val="14"/>
          <w:lang w:val="es-MX"/>
        </w:rPr>
        <w:t>.</w:t>
      </w:r>
    </w:p>
    <w:p w14:paraId="14E3BC1B" w14:textId="77777777" w:rsidR="00E87C1D" w:rsidRPr="00B10300" w:rsidRDefault="00E87C1D" w:rsidP="00E87C1D">
      <w:pPr>
        <w:pStyle w:val="NormalWeb"/>
        <w:spacing w:after="0"/>
        <w:ind w:firstLine="709"/>
        <w:contextualSpacing/>
        <w:jc w:val="both"/>
        <w:rPr>
          <w:rFonts w:ascii="Verdana" w:hAnsi="Verdana" w:cs="Arial"/>
          <w:sz w:val="14"/>
          <w:szCs w:val="14"/>
          <w:lang w:val="es-MX"/>
        </w:rPr>
      </w:pPr>
    </w:p>
  </w:footnote>
  <w:footnote w:id="9">
    <w:p w14:paraId="7FB41F70" w14:textId="77777777" w:rsidR="00E87C1D" w:rsidRPr="00B10300" w:rsidRDefault="00E87C1D" w:rsidP="00E87C1D">
      <w:pPr>
        <w:pStyle w:val="NormalWeb"/>
        <w:spacing w:after="0"/>
        <w:ind w:firstLine="709"/>
        <w:contextualSpacing/>
        <w:jc w:val="both"/>
        <w:rPr>
          <w:rFonts w:ascii="Verdana" w:hAnsi="Verdana" w:cs="Arial"/>
          <w:sz w:val="14"/>
          <w:szCs w:val="14"/>
          <w:lang w:val="es-ES"/>
        </w:rPr>
      </w:pPr>
      <w:r w:rsidRPr="00B10300">
        <w:rPr>
          <w:rStyle w:val="Refdenotaalpie"/>
          <w:rFonts w:ascii="Verdana" w:eastAsiaTheme="majorEastAsia" w:hAnsi="Verdana" w:cs="Arial"/>
          <w:sz w:val="14"/>
          <w:szCs w:val="14"/>
        </w:rPr>
        <w:footnoteRef/>
      </w:r>
      <w:r w:rsidRPr="00B10300">
        <w:rPr>
          <w:rFonts w:ascii="Verdana" w:hAnsi="Verdana" w:cs="Arial"/>
          <w:sz w:val="14"/>
          <w:szCs w:val="14"/>
        </w:rPr>
        <w:t xml:space="preserve"> Consejo de Estado. Sala de Consulta y Servicio Civil. Concepto del 17 de febrero de 2015. C.P. William Zambrano Cetina. Radicación No. 11001-03-06-000-2015-00164-00(2269).</w:t>
      </w:r>
    </w:p>
  </w:footnote>
  <w:footnote w:id="10">
    <w:p w14:paraId="3C26FE67" w14:textId="77777777" w:rsidR="00E87C1D" w:rsidRPr="00B10300" w:rsidRDefault="00E87C1D" w:rsidP="00E87C1D">
      <w:pPr>
        <w:pStyle w:val="Textonotapie"/>
        <w:ind w:right="51"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w:t>
      </w:r>
      <w:r w:rsidRPr="00B10300">
        <w:rPr>
          <w:rFonts w:ascii="Verdana" w:hAnsi="Verdana" w:cs="Arial"/>
          <w:sz w:val="14"/>
          <w:szCs w:val="14"/>
          <w:lang w:val="es-ES"/>
        </w:rPr>
        <w:t xml:space="preserve">[26] </w:t>
      </w:r>
      <w:r w:rsidRPr="00B10300">
        <w:rPr>
          <w:rFonts w:ascii="Verdana" w:hAnsi="Verdana" w:cs="Arial"/>
          <w:sz w:val="14"/>
          <w:szCs w:val="14"/>
        </w:rPr>
        <w:t>Al respecto ver el concepto 1712 de 2 de febrero de 2006. Consejo de Estado Sala de Consulta y Servicio Civil”.</w:t>
      </w:r>
    </w:p>
    <w:p w14:paraId="3EFA92DB" w14:textId="77777777" w:rsidR="00E87C1D" w:rsidRPr="00B10300" w:rsidRDefault="00E87C1D" w:rsidP="00E87C1D">
      <w:pPr>
        <w:pStyle w:val="Textonotapie"/>
        <w:ind w:right="51" w:firstLine="709"/>
        <w:contextualSpacing/>
        <w:jc w:val="both"/>
        <w:rPr>
          <w:rFonts w:ascii="Verdana" w:hAnsi="Verdana" w:cs="Arial"/>
          <w:sz w:val="14"/>
          <w:szCs w:val="14"/>
        </w:rPr>
      </w:pPr>
    </w:p>
  </w:footnote>
  <w:footnote w:id="11">
    <w:p w14:paraId="2DE0A271" w14:textId="77777777" w:rsidR="00E87C1D" w:rsidRPr="00B10300" w:rsidRDefault="00E87C1D" w:rsidP="00E87C1D">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p w14:paraId="1DC49C73" w14:textId="77777777" w:rsidR="00E87C1D" w:rsidRPr="00B10300" w:rsidRDefault="00E87C1D" w:rsidP="00E87C1D">
      <w:pPr>
        <w:pStyle w:val="Textonotapie"/>
        <w:ind w:firstLine="709"/>
        <w:contextualSpacing/>
        <w:jc w:val="both"/>
        <w:rPr>
          <w:rFonts w:ascii="Verdana" w:hAnsi="Verdana" w:cs="Arial"/>
          <w:sz w:val="14"/>
          <w:szCs w:val="14"/>
        </w:rPr>
      </w:pPr>
    </w:p>
  </w:footnote>
  <w:footnote w:id="12">
    <w:p w14:paraId="1AB2A1A0" w14:textId="77777777" w:rsidR="00E87C1D" w:rsidRPr="00B10300" w:rsidRDefault="00E87C1D" w:rsidP="00E87C1D">
      <w:pPr>
        <w:pStyle w:val="Textonotapie"/>
        <w:ind w:firstLine="709"/>
        <w:contextualSpacing/>
        <w:jc w:val="both"/>
        <w:rPr>
          <w:rFonts w:ascii="Verdana" w:hAnsi="Verdana" w:cs="Arial"/>
          <w:sz w:val="14"/>
          <w:szCs w:val="14"/>
          <w:lang w:val="es-ES"/>
        </w:rPr>
      </w:pPr>
      <w:r w:rsidRPr="00B10300">
        <w:rPr>
          <w:rStyle w:val="Refdenotaalpie"/>
          <w:rFonts w:ascii="Verdana" w:hAnsi="Verdana" w:cs="Arial"/>
          <w:sz w:val="14"/>
          <w:szCs w:val="14"/>
        </w:rPr>
        <w:footnoteRef/>
      </w:r>
      <w:r w:rsidRPr="00B10300">
        <w:rPr>
          <w:rFonts w:ascii="Verdana" w:hAnsi="Verdana" w:cs="Arial"/>
          <w:sz w:val="14"/>
          <w:szCs w:val="14"/>
        </w:rPr>
        <w:t xml:space="preserve"> </w:t>
      </w:r>
      <w:r w:rsidRPr="00B10300">
        <w:rPr>
          <w:rFonts w:ascii="Verdana" w:hAnsi="Verdana" w:cs="Arial"/>
          <w:sz w:val="14"/>
          <w:szCs w:val="14"/>
          <w:lang w:val="es-ES"/>
        </w:rPr>
        <w:t xml:space="preserve">Artículo 2. </w:t>
      </w:r>
    </w:p>
    <w:p w14:paraId="51EF334B" w14:textId="77777777" w:rsidR="00E87C1D" w:rsidRPr="00B10300" w:rsidRDefault="00E87C1D" w:rsidP="00E87C1D">
      <w:pPr>
        <w:pStyle w:val="Textonotapie"/>
        <w:ind w:firstLine="709"/>
        <w:contextualSpacing/>
        <w:jc w:val="both"/>
        <w:rPr>
          <w:rFonts w:ascii="Verdana" w:hAnsi="Verdana" w:cs="Arial"/>
          <w:sz w:val="14"/>
          <w:szCs w:val="14"/>
          <w:lang w:val="es-ES"/>
        </w:rPr>
      </w:pPr>
    </w:p>
  </w:footnote>
  <w:footnote w:id="13">
    <w:p w14:paraId="608F989D" w14:textId="77777777" w:rsidR="00E87C1D" w:rsidRPr="00B10300" w:rsidRDefault="00E87C1D" w:rsidP="00E87C1D">
      <w:pPr>
        <w:pStyle w:val="Textonotapie"/>
        <w:ind w:firstLine="709"/>
        <w:contextualSpacing/>
        <w:jc w:val="both"/>
        <w:rPr>
          <w:rFonts w:ascii="Verdana" w:hAnsi="Verdana" w:cs="Arial"/>
          <w:sz w:val="14"/>
          <w:szCs w:val="14"/>
          <w:lang w:val="es-ES"/>
        </w:rPr>
      </w:pPr>
      <w:r w:rsidRPr="00B10300">
        <w:rPr>
          <w:rStyle w:val="Refdenotaalpie"/>
          <w:rFonts w:ascii="Verdana" w:hAnsi="Verdana" w:cs="Arial"/>
          <w:sz w:val="14"/>
          <w:szCs w:val="14"/>
        </w:rPr>
        <w:footnoteRef/>
      </w:r>
      <w:r w:rsidRPr="00B10300">
        <w:rPr>
          <w:rFonts w:ascii="Verdana" w:hAnsi="Verdana" w:cs="Arial"/>
          <w:sz w:val="14"/>
          <w:szCs w:val="14"/>
        </w:rPr>
        <w:t xml:space="preserve"> </w:t>
      </w:r>
      <w:r w:rsidRPr="00B10300">
        <w:rPr>
          <w:rFonts w:ascii="Verdana" w:hAnsi="Verdana" w:cs="Arial"/>
          <w:i/>
          <w:sz w:val="14"/>
          <w:szCs w:val="14"/>
          <w:lang w:val="es-ES"/>
        </w:rPr>
        <w:t>Ídem</w:t>
      </w:r>
      <w:r w:rsidRPr="00B10300">
        <w:rPr>
          <w:rFonts w:ascii="Verdana" w:hAnsi="Verdana" w:cs="Arial"/>
          <w:sz w:val="14"/>
          <w:szCs w:val="14"/>
          <w:lang w:val="es-ES"/>
        </w:rPr>
        <w:t>.</w:t>
      </w:r>
    </w:p>
    <w:p w14:paraId="7FDEAD1A" w14:textId="77777777" w:rsidR="00E87C1D" w:rsidRPr="00B10300" w:rsidRDefault="00E87C1D" w:rsidP="00E87C1D">
      <w:pPr>
        <w:pStyle w:val="Textonotapie"/>
        <w:ind w:firstLine="709"/>
        <w:contextualSpacing/>
        <w:jc w:val="both"/>
        <w:rPr>
          <w:rFonts w:ascii="Verdana" w:hAnsi="Verdana" w:cs="Arial"/>
          <w:sz w:val="14"/>
          <w:szCs w:val="14"/>
          <w:lang w:val="es-ES"/>
        </w:rPr>
      </w:pPr>
    </w:p>
  </w:footnote>
  <w:footnote w:id="14">
    <w:p w14:paraId="1CA3B822" w14:textId="77777777" w:rsidR="00E87C1D" w:rsidRPr="00B10300" w:rsidRDefault="00E87C1D" w:rsidP="00E87C1D">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Consejo de Estado. Sala de Consulta y Servicio Civil. Concepto del 08 de mayo de 2018. Exp. 2.382. C.P. Álvaro Namén Vargas.</w:t>
      </w:r>
    </w:p>
    <w:p w14:paraId="4FDBA33A" w14:textId="77777777" w:rsidR="00E87C1D" w:rsidRPr="00B10300" w:rsidRDefault="00E87C1D" w:rsidP="00E87C1D">
      <w:pPr>
        <w:pStyle w:val="Textonotapie"/>
        <w:ind w:firstLine="709"/>
        <w:contextualSpacing/>
        <w:jc w:val="both"/>
        <w:rPr>
          <w:rFonts w:ascii="Verdana" w:hAnsi="Verdana" w:cs="Arial"/>
          <w:sz w:val="14"/>
          <w:szCs w:val="14"/>
        </w:rPr>
      </w:pPr>
    </w:p>
  </w:footnote>
  <w:footnote w:id="15">
    <w:p w14:paraId="3811CEB9" w14:textId="77777777" w:rsidR="00E87C1D" w:rsidRPr="00B10300" w:rsidRDefault="00E87C1D" w:rsidP="00E87C1D">
      <w:pPr>
        <w:pStyle w:val="Textonotapie"/>
        <w:ind w:firstLine="708"/>
        <w:contextualSpacing/>
        <w:jc w:val="both"/>
        <w:rPr>
          <w:rFonts w:ascii="Verdana" w:hAnsi="Verdana"/>
          <w:sz w:val="14"/>
          <w:szCs w:val="14"/>
          <w:lang w:val="es-CO"/>
        </w:rPr>
      </w:pPr>
      <w:r w:rsidRPr="00B10300">
        <w:rPr>
          <w:rStyle w:val="Refdenotaalpie"/>
          <w:rFonts w:ascii="Verdana" w:hAnsi="Verdana"/>
          <w:sz w:val="14"/>
          <w:szCs w:val="14"/>
        </w:rPr>
        <w:footnoteRef/>
      </w:r>
      <w:r w:rsidRPr="00B10300">
        <w:rPr>
          <w:rFonts w:ascii="Verdana" w:hAnsi="Verdana"/>
          <w:sz w:val="14"/>
          <w:szCs w:val="14"/>
        </w:rPr>
        <w:t xml:space="preserve"> </w:t>
      </w:r>
      <w:r w:rsidRPr="00B10300">
        <w:rPr>
          <w:rFonts w:ascii="Verdana" w:hAnsi="Verdana" w:cs="Arial"/>
          <w:sz w:val="14"/>
          <w:szCs w:val="14"/>
          <w:lang w:val="es-ES"/>
        </w:rPr>
        <w:t xml:space="preserve">Consejo de Estado, Sala de Consulta y Servicio Civil, Concepto de fecha 8 de mayo de 2018, No. </w:t>
      </w:r>
      <w:r w:rsidRPr="00B10300">
        <w:rPr>
          <w:rFonts w:ascii="Verdana" w:hAnsi="Verdana"/>
          <w:sz w:val="14"/>
          <w:szCs w:val="14"/>
          <w:lang w:val="es-CO"/>
        </w:rPr>
        <w:t>2382.</w:t>
      </w:r>
      <w:r w:rsidRPr="00B10300">
        <w:rPr>
          <w:rFonts w:ascii="Verdana" w:hAnsi="Verdana"/>
          <w:sz w:val="14"/>
          <w:szCs w:val="14"/>
        </w:rPr>
        <w:t xml:space="preserve"> </w:t>
      </w:r>
      <w:r w:rsidRPr="00B10300">
        <w:rPr>
          <w:rFonts w:ascii="Verdana" w:hAnsi="Verdana"/>
          <w:sz w:val="14"/>
          <w:szCs w:val="14"/>
          <w:lang w:val="es-CO"/>
        </w:rPr>
        <w:t>C. P. Álvaro Namén Vargas.</w:t>
      </w:r>
    </w:p>
    <w:p w14:paraId="1E346334" w14:textId="77777777" w:rsidR="00E87C1D" w:rsidRPr="00B10300" w:rsidRDefault="00E87C1D" w:rsidP="00E87C1D">
      <w:pPr>
        <w:pStyle w:val="Textonotapie"/>
        <w:ind w:firstLine="708"/>
        <w:contextualSpacing/>
        <w:jc w:val="both"/>
        <w:rPr>
          <w:rFonts w:ascii="Verdana" w:hAnsi="Verdana"/>
          <w:sz w:val="14"/>
          <w:szCs w:val="14"/>
          <w:lang w:val="es-ES"/>
        </w:rPr>
      </w:pPr>
    </w:p>
  </w:footnote>
  <w:footnote w:id="16">
    <w:p w14:paraId="5ACE8D1E" w14:textId="77777777" w:rsidR="00E87C1D" w:rsidRPr="00B10300" w:rsidRDefault="00E87C1D" w:rsidP="00E87C1D">
      <w:pPr>
        <w:spacing w:after="0" w:line="240" w:lineRule="auto"/>
        <w:ind w:firstLine="709"/>
        <w:contextualSpacing/>
        <w:jc w:val="both"/>
        <w:rPr>
          <w:rFonts w:ascii="Verdana" w:hAnsi="Verdana" w:cs="Arial"/>
          <w:color w:val="000000" w:themeColor="text1"/>
          <w:sz w:val="14"/>
          <w:szCs w:val="14"/>
        </w:rPr>
      </w:pPr>
      <w:r w:rsidRPr="00B10300">
        <w:rPr>
          <w:rStyle w:val="Refdenotaalpie"/>
          <w:rFonts w:ascii="Verdana" w:hAnsi="Verdana" w:cs="Arial"/>
          <w:color w:val="000000" w:themeColor="text1"/>
          <w:sz w:val="14"/>
          <w:szCs w:val="14"/>
        </w:rPr>
        <w:footnoteRef/>
      </w:r>
      <w:r w:rsidRPr="00B10300">
        <w:rPr>
          <w:rFonts w:ascii="Verdana" w:hAnsi="Verdana" w:cs="Arial"/>
          <w:color w:val="000000" w:themeColor="text1"/>
          <w:sz w:val="14"/>
          <w:szCs w:val="14"/>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41089FD3" w14:textId="77777777" w:rsidR="00E87C1D" w:rsidRPr="00B10300" w:rsidRDefault="00E87C1D" w:rsidP="00E87C1D">
      <w:pPr>
        <w:spacing w:after="0" w:line="240" w:lineRule="auto"/>
        <w:ind w:firstLine="709"/>
        <w:contextualSpacing/>
        <w:jc w:val="both"/>
        <w:rPr>
          <w:rFonts w:ascii="Verdana" w:hAnsi="Verdana" w:cs="Arial"/>
          <w:color w:val="000000" w:themeColor="text1"/>
          <w:sz w:val="14"/>
          <w:szCs w:val="14"/>
        </w:rPr>
      </w:pPr>
    </w:p>
  </w:footnote>
  <w:footnote w:id="17">
    <w:p w14:paraId="02E83906" w14:textId="77777777" w:rsidR="00E87C1D" w:rsidRPr="00B10300" w:rsidRDefault="00E87C1D" w:rsidP="00E87C1D">
      <w:pPr>
        <w:pStyle w:val="Textonotapie"/>
        <w:ind w:firstLine="708"/>
        <w:contextualSpacing/>
        <w:jc w:val="both"/>
        <w:rPr>
          <w:rFonts w:ascii="Verdana" w:hAnsi="Verdana" w:cs="Arial"/>
          <w:color w:val="000000" w:themeColor="text1"/>
          <w:sz w:val="14"/>
          <w:szCs w:val="14"/>
        </w:rPr>
      </w:pPr>
      <w:r w:rsidRPr="00B10300">
        <w:rPr>
          <w:rStyle w:val="Refdenotaalpie"/>
          <w:rFonts w:ascii="Verdana" w:hAnsi="Verdana" w:cs="Arial"/>
          <w:color w:val="000000" w:themeColor="text1"/>
          <w:sz w:val="14"/>
          <w:szCs w:val="14"/>
        </w:rPr>
        <w:footnoteRef/>
      </w:r>
      <w:r w:rsidRPr="00B10300">
        <w:rPr>
          <w:rFonts w:ascii="Verdana" w:hAnsi="Verdana" w:cs="Arial"/>
          <w:color w:val="000000" w:themeColor="text1"/>
          <w:sz w:val="14"/>
          <w:szCs w:val="14"/>
        </w:rPr>
        <w:t xml:space="preserve"> CONSEJO DE ESTADO. Sala de Consulta y Servicio Civil. Concepto del 18 de febrero 2010. Rad. 11001-03-06-000-2010-00006-00 (1985). C.P. Enrique José Arboleda Perdomo.</w:t>
      </w:r>
    </w:p>
    <w:p w14:paraId="21E046B7" w14:textId="77777777" w:rsidR="00E87C1D" w:rsidRPr="00B10300" w:rsidRDefault="00E87C1D" w:rsidP="00E87C1D">
      <w:pPr>
        <w:pStyle w:val="Textonotapie"/>
        <w:ind w:firstLine="708"/>
        <w:contextualSpacing/>
        <w:jc w:val="both"/>
        <w:rPr>
          <w:rFonts w:ascii="Verdana" w:hAnsi="Verdana" w:cs="Arial"/>
          <w:color w:val="000000" w:themeColor="text1"/>
          <w:sz w:val="14"/>
          <w:szCs w:val="14"/>
        </w:rPr>
      </w:pPr>
    </w:p>
  </w:footnote>
  <w:footnote w:id="18">
    <w:p w14:paraId="3405A26A" w14:textId="77777777" w:rsidR="00E87C1D" w:rsidRPr="00B10300" w:rsidRDefault="00E87C1D" w:rsidP="00E87C1D">
      <w:pPr>
        <w:pStyle w:val="Textonotapie"/>
        <w:ind w:firstLine="708"/>
        <w:contextualSpacing/>
        <w:jc w:val="both"/>
        <w:rPr>
          <w:rFonts w:ascii="Verdana" w:hAnsi="Verdana" w:cs="Arial"/>
          <w:color w:val="000000" w:themeColor="text1"/>
          <w:sz w:val="14"/>
          <w:szCs w:val="14"/>
        </w:rPr>
      </w:pPr>
      <w:r w:rsidRPr="00B10300">
        <w:rPr>
          <w:rStyle w:val="Refdenotaalpie"/>
          <w:rFonts w:ascii="Verdana" w:hAnsi="Verdana" w:cs="Arial"/>
          <w:color w:val="000000" w:themeColor="text1"/>
          <w:sz w:val="14"/>
          <w:szCs w:val="14"/>
        </w:rPr>
        <w:footnoteRef/>
      </w:r>
      <w:r w:rsidRPr="00B10300">
        <w:rPr>
          <w:rFonts w:ascii="Verdana" w:hAnsi="Verdana" w:cs="Arial"/>
          <w:color w:val="000000" w:themeColor="text1"/>
          <w:sz w:val="14"/>
          <w:szCs w:val="14"/>
        </w:rPr>
        <w:t xml:space="preserve"> Consejo de Estado. Sala de Consulta y Servicio Civil. Concepto del 02 de septiembre de 2013. Rad. 11001-03-06-000-2013-00412-00 (2168). C.P. Álvaro Namén Vargas.</w:t>
      </w:r>
    </w:p>
  </w:footnote>
  <w:footnote w:id="19">
    <w:p w14:paraId="5734955F" w14:textId="77777777" w:rsidR="00E87C1D" w:rsidRPr="00B10300" w:rsidRDefault="00E87C1D" w:rsidP="00E87C1D">
      <w:pPr>
        <w:pStyle w:val="Textonotapie"/>
        <w:ind w:firstLine="709"/>
        <w:jc w:val="both"/>
        <w:rPr>
          <w:rFonts w:ascii="Verdana" w:hAnsi="Verdana" w:cs="Arial"/>
          <w:bCs/>
          <w:iCs/>
          <w:sz w:val="14"/>
          <w:szCs w:val="14"/>
        </w:rPr>
      </w:pPr>
      <w:r w:rsidRPr="00B10300">
        <w:rPr>
          <w:rStyle w:val="Refdenotaalpie"/>
          <w:rFonts w:ascii="Verdana" w:hAnsi="Verdana"/>
          <w:sz w:val="14"/>
          <w:szCs w:val="14"/>
        </w:rPr>
        <w:footnoteRef/>
      </w:r>
      <w:r w:rsidRPr="00B10300">
        <w:rPr>
          <w:rFonts w:ascii="Verdana" w:hAnsi="Verdana"/>
          <w:sz w:val="14"/>
          <w:szCs w:val="14"/>
        </w:rPr>
        <w:t xml:space="preserve"> </w:t>
      </w:r>
      <w:r w:rsidRPr="00B10300">
        <w:rPr>
          <w:rFonts w:ascii="Verdana" w:hAnsi="Verdana" w:cs="Arial"/>
          <w:sz w:val="14"/>
          <w:szCs w:val="14"/>
        </w:rPr>
        <w:t xml:space="preserve">Consejo de Estado -Sección Tercera-. Sentencia del </w:t>
      </w:r>
      <w:r w:rsidRPr="00B10300">
        <w:rPr>
          <w:rFonts w:ascii="Verdana" w:hAnsi="Verdana" w:cs="Arial"/>
          <w:bCs/>
          <w:iCs/>
          <w:sz w:val="14"/>
          <w:szCs w:val="14"/>
        </w:rPr>
        <w:t>21 de febrero de 2025. Radicación Número: 68.280. CP: José Roberto Sáchica Méndez.</w:t>
      </w:r>
    </w:p>
    <w:p w14:paraId="175347B0" w14:textId="77777777" w:rsidR="00E87C1D" w:rsidRPr="00B10300" w:rsidRDefault="00E87C1D" w:rsidP="00E87C1D">
      <w:pPr>
        <w:pStyle w:val="Textonotapie"/>
        <w:ind w:firstLine="709"/>
        <w:jc w:val="both"/>
        <w:rPr>
          <w:rFonts w:ascii="Verdana" w:hAnsi="Verdana"/>
          <w:sz w:val="14"/>
          <w:szCs w:val="14"/>
          <w:lang w:val="es-CO"/>
        </w:rPr>
      </w:pPr>
    </w:p>
  </w:footnote>
  <w:footnote w:id="20">
    <w:p w14:paraId="70F1ED2C" w14:textId="77777777" w:rsidR="00E87C1D" w:rsidRPr="00B10300" w:rsidRDefault="00E87C1D" w:rsidP="00E87C1D">
      <w:pPr>
        <w:pStyle w:val="Textonotapie"/>
        <w:ind w:firstLine="708"/>
        <w:jc w:val="both"/>
        <w:rPr>
          <w:rFonts w:ascii="Verdana" w:hAnsi="Verdana" w:cs="Arial"/>
          <w:sz w:val="14"/>
          <w:szCs w:val="14"/>
        </w:rPr>
      </w:pPr>
      <w:r w:rsidRPr="00B10300">
        <w:rPr>
          <w:rFonts w:ascii="Verdana" w:hAnsi="Verdana"/>
          <w:sz w:val="14"/>
          <w:szCs w:val="14"/>
          <w:vertAlign w:val="superscript"/>
        </w:rPr>
        <w:footnoteRef/>
      </w:r>
      <w:r w:rsidRPr="00B10300">
        <w:rPr>
          <w:rFonts w:ascii="Verdana" w:hAnsi="Verdana"/>
          <w:sz w:val="14"/>
          <w:szCs w:val="14"/>
          <w:vertAlign w:val="superscript"/>
        </w:rPr>
        <w:t xml:space="preserve"> </w:t>
      </w:r>
      <w:r w:rsidRPr="00B10300">
        <w:rPr>
          <w:rFonts w:ascii="Verdana" w:hAnsi="Verdana" w:cs="Arial"/>
          <w:sz w:val="14"/>
          <w:szCs w:val="14"/>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0C24A0B5" w14:textId="77777777" w:rsidR="00E87C1D" w:rsidRPr="00B10300" w:rsidRDefault="00E87C1D" w:rsidP="00E87C1D">
      <w:pPr>
        <w:pStyle w:val="Textonotapie"/>
        <w:ind w:firstLine="708"/>
        <w:jc w:val="both"/>
        <w:rPr>
          <w:rFonts w:ascii="Verdana" w:hAnsi="Verdana" w:cs="Arial"/>
          <w:sz w:val="14"/>
          <w:szCs w:val="14"/>
        </w:rPr>
      </w:pPr>
    </w:p>
  </w:footnote>
  <w:footnote w:id="21">
    <w:p w14:paraId="7435ECA2" w14:textId="77777777" w:rsidR="00E87C1D" w:rsidRPr="00B10300" w:rsidRDefault="00E87C1D" w:rsidP="00E87C1D">
      <w:pPr>
        <w:pStyle w:val="Textonotapie"/>
        <w:ind w:firstLine="708"/>
        <w:jc w:val="both"/>
        <w:rPr>
          <w:rFonts w:ascii="Verdana" w:hAnsi="Verdana" w:cs="Arial"/>
          <w:sz w:val="14"/>
          <w:szCs w:val="14"/>
        </w:rPr>
      </w:pPr>
      <w:r w:rsidRPr="00B10300">
        <w:rPr>
          <w:rFonts w:ascii="Verdana" w:hAnsi="Verdana"/>
          <w:sz w:val="14"/>
          <w:szCs w:val="14"/>
          <w:vertAlign w:val="superscript"/>
        </w:rPr>
        <w:footnoteRef/>
      </w:r>
      <w:r w:rsidRPr="00B10300">
        <w:rPr>
          <w:rFonts w:ascii="Verdana" w:hAnsi="Verdana" w:cs="Arial"/>
          <w:sz w:val="14"/>
          <w:szCs w:val="14"/>
          <w:vertAlign w:val="superscript"/>
        </w:rPr>
        <w:t xml:space="preserve"> </w:t>
      </w:r>
      <w:r w:rsidRPr="00B10300">
        <w:rPr>
          <w:rFonts w:ascii="Verdana" w:hAnsi="Verdana" w:cs="Arial"/>
          <w:sz w:val="14"/>
          <w:szCs w:val="14"/>
        </w:rPr>
        <w:t>Ley 80 de 1993: Artículo 41. Del perfeccionamiento del contrato. Los contratos del Estado se perfeccionan cuando se logre acuerdo sobre el objeto y la contraprestación y éste se eleve a escrito.</w:t>
      </w:r>
    </w:p>
    <w:p w14:paraId="53C3FB7C" w14:textId="77777777" w:rsidR="00E87C1D" w:rsidRPr="00B10300" w:rsidRDefault="00E87C1D" w:rsidP="00E87C1D">
      <w:pPr>
        <w:pStyle w:val="Textonotapie"/>
        <w:ind w:firstLine="708"/>
        <w:jc w:val="both"/>
        <w:rPr>
          <w:rFonts w:ascii="Verdana" w:hAnsi="Verdana" w:cs="Arial"/>
          <w:sz w:val="14"/>
          <w:szCs w:val="14"/>
        </w:rPr>
      </w:pPr>
      <w:r w:rsidRPr="00B10300">
        <w:rPr>
          <w:rFonts w:ascii="Verdana" w:hAnsi="Verdana" w:cs="Arial"/>
          <w:sz w:val="14"/>
          <w:szCs w:val="14"/>
        </w:rPr>
        <w:t>[…].</w:t>
      </w:r>
    </w:p>
    <w:p w14:paraId="2093AEF9" w14:textId="77777777" w:rsidR="00E87C1D" w:rsidRPr="00B10300" w:rsidRDefault="00E87C1D" w:rsidP="00E87C1D">
      <w:pPr>
        <w:pStyle w:val="Textonotapie"/>
        <w:ind w:firstLine="708"/>
        <w:jc w:val="both"/>
        <w:rPr>
          <w:rFonts w:ascii="Verdana" w:hAnsi="Verdana" w:cs="Arial"/>
          <w:sz w:val="14"/>
          <w:szCs w:val="14"/>
        </w:rPr>
      </w:pPr>
    </w:p>
  </w:footnote>
  <w:footnote w:id="22">
    <w:p w14:paraId="5CAC41A6" w14:textId="77777777" w:rsidR="00E87C1D" w:rsidRPr="00B10300" w:rsidRDefault="00E87C1D" w:rsidP="00E87C1D">
      <w:pPr>
        <w:pStyle w:val="Textonotapie"/>
        <w:ind w:firstLine="708"/>
        <w:jc w:val="both"/>
        <w:rPr>
          <w:rFonts w:ascii="Verdana" w:hAnsi="Verdana" w:cs="Arial"/>
          <w:sz w:val="14"/>
          <w:szCs w:val="14"/>
        </w:rPr>
      </w:pPr>
      <w:r w:rsidRPr="00B10300">
        <w:rPr>
          <w:rFonts w:ascii="Verdana" w:hAnsi="Verdana"/>
          <w:sz w:val="14"/>
          <w:szCs w:val="14"/>
          <w:vertAlign w:val="superscript"/>
        </w:rPr>
        <w:footnoteRef/>
      </w:r>
      <w:r w:rsidRPr="00B10300">
        <w:rPr>
          <w:rFonts w:ascii="Verdana" w:hAnsi="Verdana" w:cs="Arial"/>
          <w:sz w:val="14"/>
          <w:szCs w:val="14"/>
          <w:vertAlign w:val="superscript"/>
        </w:rPr>
        <w:t xml:space="preserve"> </w:t>
      </w:r>
      <w:r w:rsidRPr="00B10300">
        <w:rPr>
          <w:rFonts w:ascii="Verdana" w:hAnsi="Verdana" w:cs="Arial"/>
          <w:sz w:val="14"/>
          <w:szCs w:val="14"/>
        </w:rPr>
        <w:t>Código Civil: “Artículo 27. Cuando el sentido de la ley sea claro, no se desatenderá su tenor a pretexto de consultar su espíritu”.</w:t>
      </w:r>
    </w:p>
  </w:footnote>
  <w:footnote w:id="23">
    <w:p w14:paraId="575F6A2D" w14:textId="77777777" w:rsidR="00E87C1D" w:rsidRPr="00B10300" w:rsidRDefault="00E87C1D" w:rsidP="00E87C1D">
      <w:pPr>
        <w:pStyle w:val="Textonotapie"/>
        <w:ind w:firstLine="709"/>
        <w:jc w:val="both"/>
        <w:rPr>
          <w:rFonts w:ascii="Verdana" w:hAnsi="Verdana" w:cs="Arial"/>
          <w:sz w:val="14"/>
          <w:szCs w:val="14"/>
          <w:lang w:val="es-CO"/>
        </w:rPr>
      </w:pPr>
      <w:r w:rsidRPr="00B10300">
        <w:rPr>
          <w:rStyle w:val="Refdenotaalpie"/>
          <w:rFonts w:ascii="Verdana" w:hAnsi="Verdana"/>
          <w:sz w:val="14"/>
          <w:szCs w:val="14"/>
        </w:rPr>
        <w:footnoteRef/>
      </w:r>
      <w:r w:rsidRPr="00B10300">
        <w:rPr>
          <w:rFonts w:ascii="Verdana" w:hAnsi="Verdana"/>
          <w:sz w:val="14"/>
          <w:szCs w:val="14"/>
          <w:lang w:val="es-CO"/>
        </w:rPr>
        <w:t xml:space="preserve"> Consejo de Estado, Sección Tercera. Auto del 4 de octubre de 2024. Exp. 70.313. C.P: Fredy Ibarra Martínez</w:t>
      </w:r>
    </w:p>
  </w:footnote>
  <w:footnote w:id="24">
    <w:p w14:paraId="02791745" w14:textId="77777777" w:rsidR="00E87C1D" w:rsidRPr="00B10300" w:rsidRDefault="00E87C1D" w:rsidP="00E87C1D">
      <w:pPr>
        <w:pStyle w:val="Textonotapie"/>
        <w:ind w:firstLine="709"/>
        <w:jc w:val="both"/>
        <w:rPr>
          <w:rFonts w:ascii="Verdana" w:hAnsi="Verdana"/>
          <w:sz w:val="14"/>
          <w:szCs w:val="14"/>
          <w:lang w:val="es-CO"/>
        </w:rPr>
      </w:pPr>
      <w:r w:rsidRPr="00064355">
        <w:rPr>
          <w:rStyle w:val="Refdenotaalpie"/>
          <w:rFonts w:ascii="Verdana" w:hAnsi="Verdana"/>
          <w:sz w:val="14"/>
          <w:szCs w:val="14"/>
        </w:rPr>
        <w:footnoteRef/>
      </w:r>
      <w:r w:rsidRPr="00064355">
        <w:rPr>
          <w:rFonts w:ascii="Verdana" w:hAnsi="Verdana"/>
          <w:sz w:val="14"/>
          <w:szCs w:val="14"/>
        </w:rPr>
        <w:t xml:space="preserve"> L</w:t>
      </w:r>
      <w:r w:rsidRPr="00B10300">
        <w:rPr>
          <w:rFonts w:ascii="Verdana" w:hAnsi="Verdana"/>
          <w:sz w:val="14"/>
          <w:szCs w:val="14"/>
        </w:rPr>
        <w:t>a parte resolutiva del auto dispone lo siguiente; “</w:t>
      </w:r>
      <w:r w:rsidRPr="00B10300">
        <w:rPr>
          <w:rFonts w:ascii="Verdana" w:hAnsi="Verdana"/>
          <w:sz w:val="14"/>
          <w:szCs w:val="14"/>
          <w:lang w:val="es-CO"/>
        </w:rPr>
        <w:t>PRIMERO: DECRETAR</w:t>
      </w:r>
      <w:r w:rsidRPr="00B10300">
        <w:rPr>
          <w:rFonts w:ascii="Verdana" w:hAnsi="Verdana"/>
          <w:b/>
          <w:bCs/>
          <w:sz w:val="14"/>
          <w:szCs w:val="14"/>
          <w:lang w:val="es-CO"/>
        </w:rPr>
        <w:t xml:space="preserve"> </w:t>
      </w:r>
      <w:r w:rsidRPr="00B10300">
        <w:rPr>
          <w:rFonts w:ascii="Verdana" w:hAnsi="Verdana"/>
          <w:sz w:val="14"/>
          <w:szCs w:val="14"/>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B10300">
        <w:rPr>
          <w:rFonts w:ascii="Verdana" w:hAnsi="Verdana"/>
          <w:i/>
          <w:iCs/>
          <w:sz w:val="14"/>
          <w:szCs w:val="14"/>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B10300">
        <w:rPr>
          <w:rFonts w:ascii="Verdana" w:hAnsi="Verdana"/>
          <w:sz w:val="14"/>
          <w:szCs w:val="14"/>
          <w:lang w:val="es-CO"/>
        </w:rPr>
        <w:t xml:space="preserve">, por las razones expuestas en precedencia. </w:t>
      </w:r>
    </w:p>
    <w:p w14:paraId="7A7E5A26" w14:textId="77777777" w:rsidR="00E87C1D" w:rsidRPr="00B10300" w:rsidRDefault="00E87C1D" w:rsidP="00E87C1D">
      <w:pPr>
        <w:pStyle w:val="Textonotapie"/>
        <w:ind w:firstLine="709"/>
        <w:jc w:val="both"/>
        <w:rPr>
          <w:rFonts w:ascii="Verdana" w:hAnsi="Verdana"/>
          <w:sz w:val="14"/>
          <w:szCs w:val="14"/>
          <w:lang w:val="es-CO"/>
        </w:rPr>
      </w:pPr>
      <w:r w:rsidRPr="00B10300">
        <w:rPr>
          <w:rFonts w:ascii="Verdana" w:hAnsi="Verdana"/>
          <w:sz w:val="14"/>
          <w:szCs w:val="14"/>
          <w:lang w:val="es-CO"/>
        </w:rPr>
        <w:t>SEGUNDO: DECRETAR</w:t>
      </w:r>
      <w:r w:rsidRPr="00B10300">
        <w:rPr>
          <w:rFonts w:ascii="Verdana" w:hAnsi="Verdana"/>
          <w:b/>
          <w:bCs/>
          <w:sz w:val="14"/>
          <w:szCs w:val="14"/>
          <w:lang w:val="es-CO"/>
        </w:rPr>
        <w:t xml:space="preserve"> </w:t>
      </w:r>
      <w:r w:rsidRPr="00B10300">
        <w:rPr>
          <w:rFonts w:ascii="Verdana" w:hAnsi="Verdana"/>
          <w:sz w:val="14"/>
          <w:szCs w:val="14"/>
          <w:lang w:val="es-CO"/>
        </w:rPr>
        <w:t>la suspensión provisional de la expresión “</w:t>
      </w:r>
      <w:r w:rsidRPr="00B10300">
        <w:rPr>
          <w:rFonts w:ascii="Verdana" w:hAnsi="Verdana"/>
          <w:i/>
          <w:iCs/>
          <w:sz w:val="14"/>
          <w:szCs w:val="14"/>
          <w:lang w:val="es-CO"/>
        </w:rPr>
        <w:t>contratos</w:t>
      </w:r>
      <w:r w:rsidRPr="00B10300">
        <w:rPr>
          <w:rFonts w:ascii="Verdana" w:hAnsi="Verdana"/>
          <w:sz w:val="14"/>
          <w:szCs w:val="14"/>
          <w:lang w:val="es-CO"/>
        </w:rPr>
        <w:t xml:space="preserve">” y del párrafo </w:t>
      </w:r>
      <w:r w:rsidRPr="00B10300">
        <w:rPr>
          <w:rFonts w:ascii="Verdana" w:hAnsi="Verdana"/>
          <w:i/>
          <w:iCs/>
          <w:sz w:val="14"/>
          <w:szCs w:val="14"/>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B10300">
        <w:rPr>
          <w:rFonts w:ascii="Verdana" w:hAnsi="Verdana"/>
          <w:sz w:val="14"/>
          <w:szCs w:val="14"/>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p w14:paraId="5C556AD4" w14:textId="77777777" w:rsidR="00E87C1D" w:rsidRPr="00B10300" w:rsidRDefault="00E87C1D" w:rsidP="00E87C1D">
      <w:pPr>
        <w:pStyle w:val="Textonotapie"/>
        <w:ind w:firstLine="709"/>
        <w:jc w:val="both"/>
        <w:rPr>
          <w:rFonts w:ascii="Verdana" w:hAnsi="Verdana" w:cs="Arial"/>
          <w:sz w:val="14"/>
          <w:szCs w:val="14"/>
          <w:lang w:val="es-CO"/>
        </w:rPr>
      </w:pPr>
    </w:p>
  </w:footnote>
  <w:footnote w:id="25">
    <w:p w14:paraId="53F01DB5" w14:textId="77777777" w:rsidR="00E87C1D" w:rsidRPr="00064355" w:rsidRDefault="00E87C1D" w:rsidP="00E87C1D">
      <w:pPr>
        <w:spacing w:after="0" w:line="240" w:lineRule="auto"/>
        <w:ind w:firstLine="709"/>
        <w:contextualSpacing/>
        <w:jc w:val="both"/>
        <w:rPr>
          <w:rFonts w:ascii="Verdana" w:eastAsia="Times New Roman" w:hAnsi="Verdana" w:cs="Times New Roman"/>
          <w:sz w:val="14"/>
          <w:szCs w:val="14"/>
          <w:lang w:eastAsia="es-ES"/>
        </w:rPr>
      </w:pPr>
      <w:r w:rsidRPr="00064355">
        <w:rPr>
          <w:rStyle w:val="Refdenotaalpie"/>
          <w:rFonts w:ascii="Verdana" w:hAnsi="Verdana"/>
          <w:sz w:val="14"/>
          <w:szCs w:val="14"/>
        </w:rPr>
        <w:footnoteRef/>
      </w:r>
      <w:r w:rsidRPr="00064355">
        <w:rPr>
          <w:rFonts w:ascii="Verdana" w:hAnsi="Verdana"/>
          <w:sz w:val="14"/>
          <w:szCs w:val="14"/>
        </w:rPr>
        <w:t xml:space="preserve"> </w:t>
      </w:r>
      <w:r w:rsidRPr="00064355">
        <w:rPr>
          <w:rFonts w:ascii="Verdana" w:eastAsia="Times New Roman" w:hAnsi="Verdana" w:cs="Times New Roman"/>
          <w:sz w:val="14"/>
          <w:szCs w:val="14"/>
          <w:lang w:eastAsia="es-ES"/>
        </w:rPr>
        <w:t xml:space="preserve">Consejo de Estado. Sala de lo Contencioso Administrativo. Sección Tercera. Subsección B. 17 de octubre de 2025. Magistrado Ponente: Fredy Ibarra Martínez.  </w:t>
      </w:r>
      <w:r w:rsidRPr="00064355">
        <w:rPr>
          <w:rFonts w:ascii="Verdana" w:hAnsi="Verdana"/>
          <w:sz w:val="14"/>
          <w:szCs w:val="14"/>
        </w:rPr>
        <w:t xml:space="preserve">La parte de la providencia señala: </w:t>
      </w:r>
      <w:r w:rsidRPr="00064355">
        <w:rPr>
          <w:rFonts w:ascii="Verdana" w:eastAsia="Times New Roman" w:hAnsi="Verdana" w:cs="Times New Roman"/>
          <w:sz w:val="14"/>
          <w:szCs w:val="14"/>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6">
    <w:p w14:paraId="3DB088AA" w14:textId="77777777" w:rsidR="00E87C1D" w:rsidRDefault="00E87C1D" w:rsidP="00E87C1D">
      <w:pPr>
        <w:pStyle w:val="Textonotapie"/>
        <w:ind w:firstLine="709"/>
        <w:jc w:val="both"/>
        <w:rPr>
          <w:rFonts w:ascii="Verdana" w:hAnsi="Verdana"/>
          <w:sz w:val="14"/>
          <w:szCs w:val="14"/>
        </w:rPr>
      </w:pPr>
      <w:r w:rsidRPr="00064355">
        <w:rPr>
          <w:rStyle w:val="Refdenotaalpie"/>
          <w:rFonts w:ascii="Verdana" w:hAnsi="Verdana"/>
          <w:sz w:val="14"/>
          <w:szCs w:val="14"/>
        </w:rPr>
        <w:footnoteRef/>
      </w:r>
      <w:r w:rsidRPr="00064355">
        <w:rPr>
          <w:rFonts w:ascii="Verdana" w:hAnsi="Verdana"/>
          <w:sz w:val="14"/>
          <w:szCs w:val="14"/>
        </w:rPr>
        <w:t xml:space="preserve"> No </w:t>
      </w:r>
      <w:r w:rsidRPr="00B10300">
        <w:rPr>
          <w:rFonts w:ascii="Verdana" w:hAnsi="Verdana"/>
          <w:sz w:val="14"/>
          <w:szCs w:val="14"/>
        </w:rPr>
        <w:t>obstante,</w:t>
      </w:r>
      <w:r w:rsidRPr="00064355">
        <w:rPr>
          <w:rFonts w:ascii="Verdana" w:hAnsi="Verdana"/>
          <w:sz w:val="14"/>
          <w:szCs w:val="14"/>
        </w:rPr>
        <w:t xml:space="preserv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p w14:paraId="3877A86A" w14:textId="77777777" w:rsidR="00E87C1D" w:rsidRPr="00064355" w:rsidRDefault="00E87C1D" w:rsidP="00E87C1D">
      <w:pPr>
        <w:pStyle w:val="Textonotapie"/>
        <w:ind w:firstLine="709"/>
        <w:jc w:val="both"/>
        <w:rPr>
          <w:rFonts w:ascii="Verdana" w:hAnsi="Verdana"/>
          <w:sz w:val="14"/>
          <w:szCs w:val="14"/>
          <w:lang w:val="es-CO"/>
        </w:rPr>
      </w:pPr>
    </w:p>
  </w:footnote>
  <w:footnote w:id="27">
    <w:p w14:paraId="6184CF5C" w14:textId="77777777" w:rsidR="00E87C1D" w:rsidRPr="00B10300" w:rsidRDefault="00E87C1D" w:rsidP="00E87C1D">
      <w:pPr>
        <w:pStyle w:val="Textonotapie"/>
        <w:ind w:firstLine="708"/>
        <w:jc w:val="both"/>
        <w:rPr>
          <w:rFonts w:ascii="Verdana" w:hAnsi="Verdana"/>
          <w:sz w:val="14"/>
          <w:szCs w:val="14"/>
          <w:lang w:val="es-CO"/>
        </w:rPr>
      </w:pPr>
      <w:r w:rsidRPr="00B10300">
        <w:rPr>
          <w:rStyle w:val="Refdenotaalpie"/>
          <w:rFonts w:ascii="Verdana" w:hAnsi="Verdana"/>
          <w:sz w:val="14"/>
          <w:szCs w:val="14"/>
        </w:rPr>
        <w:footnoteRef/>
      </w:r>
      <w:r w:rsidRPr="00B10300">
        <w:rPr>
          <w:rFonts w:ascii="Verdana" w:hAnsi="Verdana"/>
          <w:sz w:val="14"/>
          <w:szCs w:val="14"/>
        </w:rPr>
        <w:t xml:space="preserve"> PÁGINA OFICIAL </w:t>
      </w:r>
      <w:r w:rsidRPr="00B10300">
        <w:rPr>
          <w:rFonts w:ascii="Verdana" w:hAnsi="Verdana"/>
          <w:sz w:val="14"/>
          <w:szCs w:val="14"/>
          <w:lang w:val="es-CO"/>
        </w:rPr>
        <w:t xml:space="preserve">AGENCIA NACIONAL DE GOBIERNO DIGITAL: “La Corporación Agencia Nacional de Gobierno Digital —AND— está constituida como una Entidad descentralizada indirecta, con el carácter de asociación civil de participación pública y naturaleza privada, sin ánimo de lucro, con patrimonio propio, adscrita al MinTic, organizada bajo las leyes Colombianas, dentro del marco de la Constitución Política y las normas de Ciencia y Tecnología, en especial del Decreto Ley 393 de 1991 y por las regulaciones previstas para las corporaciones en el Código Civil, con el objeto de articular los Servicios Ciudadanos Digitales de acuerdo al  Decreto 1078 de 2015 y de llevar a cabo actividades de Ciencia, Tecnología e Innovación para solucionar problemáticas del sector público conforme a nuestros estatutos, acorde con el Modelo Integrado de Planeación y Gestión —MIPG— y encaminada a armonizar y ejecutar estos servicios para mejorar la calidad de vida de los colombianos”. Consultar en: </w:t>
      </w:r>
      <w:hyperlink r:id="rId1" w:history="1">
        <w:r w:rsidRPr="00B10300">
          <w:rPr>
            <w:rStyle w:val="Hipervnculo"/>
            <w:rFonts w:ascii="Verdana" w:hAnsi="Verdana"/>
            <w:sz w:val="14"/>
            <w:szCs w:val="14"/>
            <w:lang w:val="es-CO"/>
          </w:rPr>
          <w:t>https://and.gov.co/quienes-somos</w:t>
        </w:r>
      </w:hyperlink>
      <w:r w:rsidRPr="00B10300">
        <w:rPr>
          <w:rFonts w:ascii="Verdana" w:hAnsi="Verdana"/>
          <w:sz w:val="14"/>
          <w:szCs w:val="14"/>
          <w:lang w:val="es-CO"/>
        </w:rPr>
        <w:t xml:space="preserve"> </w:t>
      </w:r>
    </w:p>
  </w:footnote>
  <w:footnote w:id="28">
    <w:p w14:paraId="3F13E8FE" w14:textId="77777777" w:rsidR="00E87C1D" w:rsidRPr="00B10300" w:rsidRDefault="00E87C1D" w:rsidP="00E87C1D">
      <w:pPr>
        <w:pStyle w:val="Textonotapie"/>
        <w:ind w:firstLine="709"/>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Consejo de Estado. Sala de Consulta y Servicio Civil. Concepto del 15 de noviembre de 2007. Expediente número 1863. Consejero Ponente: Luis Fernando Álvarez Jaramillo.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E39AD" w14:textId="77777777" w:rsidR="00E87C1D" w:rsidRDefault="00E87C1D"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561F240C" wp14:editId="03B6B8EE">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3E12A67" wp14:editId="40245DC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D57A725" w14:textId="77777777" w:rsidR="00E87C1D" w:rsidRDefault="00E87C1D">
    <w:pPr>
      <w:pStyle w:val="Encabezado"/>
    </w:pPr>
  </w:p>
  <w:p w14:paraId="06B415AE" w14:textId="77777777" w:rsidR="00E87C1D" w:rsidRPr="004A305D" w:rsidRDefault="00E87C1D" w:rsidP="00B01B1A">
    <w:pPr>
      <w:spacing w:after="0" w:line="120" w:lineRule="auto"/>
      <w:rPr>
        <w:rFonts w:ascii="Century Gothic" w:eastAsia="Geo" w:hAnsi="Century Gothic" w:cs="Geo"/>
        <w:sz w:val="16"/>
        <w:szCs w:val="16"/>
        <w:lang w:eastAsia="es-CO"/>
      </w:rPr>
    </w:pPr>
  </w:p>
  <w:p w14:paraId="45B06284" w14:textId="77777777" w:rsidR="00E87C1D" w:rsidRDefault="00E87C1D" w:rsidP="00844AE9">
    <w:pPr>
      <w:spacing w:after="0" w:line="240" w:lineRule="auto"/>
      <w:rPr>
        <w:rFonts w:ascii="Verdana" w:hAnsi="Verdana"/>
        <w:sz w:val="24"/>
        <w:szCs w:val="24"/>
      </w:rPr>
    </w:pPr>
  </w:p>
  <w:p w14:paraId="1AC04589" w14:textId="77777777" w:rsidR="00E87C1D" w:rsidRPr="00C925AC" w:rsidRDefault="00E87C1D"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1330140246">
    <w:abstractNumId w:val="0"/>
  </w:num>
  <w:num w:numId="3"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C1D"/>
    <w:rsid w:val="00126E2F"/>
    <w:rsid w:val="001648A3"/>
    <w:rsid w:val="00474DF4"/>
    <w:rsid w:val="00485D25"/>
    <w:rsid w:val="004F471F"/>
    <w:rsid w:val="005270EE"/>
    <w:rsid w:val="005A0EB1"/>
    <w:rsid w:val="0075013E"/>
    <w:rsid w:val="00B02636"/>
    <w:rsid w:val="00B10126"/>
    <w:rsid w:val="00B34D00"/>
    <w:rsid w:val="00B86622"/>
    <w:rsid w:val="00C24FFE"/>
    <w:rsid w:val="00CF4AE3"/>
    <w:rsid w:val="00D65A40"/>
    <w:rsid w:val="00E15304"/>
    <w:rsid w:val="00E87C1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8DDE8"/>
  <w15:chartTrackingRefBased/>
  <w15:docId w15:val="{73A2FE03-D4F2-4B18-9AD5-D9919B9F4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7C1D"/>
    <w:rPr>
      <w:kern w:val="0"/>
      <w14:ligatures w14:val="none"/>
    </w:rPr>
  </w:style>
  <w:style w:type="paragraph" w:styleId="Ttulo1">
    <w:name w:val="heading 1"/>
    <w:basedOn w:val="Normal"/>
    <w:next w:val="Normal"/>
    <w:link w:val="Ttulo1Car"/>
    <w:uiPriority w:val="9"/>
    <w:qFormat/>
    <w:rsid w:val="00E87C1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87C1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87C1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87C1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87C1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87C1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87C1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87C1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87C1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87C1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87C1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87C1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87C1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87C1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87C1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87C1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87C1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87C1D"/>
    <w:rPr>
      <w:rFonts w:eastAsiaTheme="majorEastAsia" w:cstheme="majorBidi"/>
      <w:color w:val="272727" w:themeColor="text1" w:themeTint="D8"/>
    </w:rPr>
  </w:style>
  <w:style w:type="paragraph" w:styleId="Ttulo">
    <w:name w:val="Title"/>
    <w:basedOn w:val="Normal"/>
    <w:next w:val="Normal"/>
    <w:link w:val="TtuloCar"/>
    <w:uiPriority w:val="10"/>
    <w:qFormat/>
    <w:rsid w:val="00E87C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87C1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87C1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87C1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87C1D"/>
    <w:pPr>
      <w:spacing w:before="160"/>
      <w:jc w:val="center"/>
    </w:pPr>
    <w:rPr>
      <w:i/>
      <w:iCs/>
      <w:color w:val="404040" w:themeColor="text1" w:themeTint="BF"/>
    </w:rPr>
  </w:style>
  <w:style w:type="character" w:customStyle="1" w:styleId="CitaCar">
    <w:name w:val="Cita Car"/>
    <w:basedOn w:val="Fuentedeprrafopredeter"/>
    <w:link w:val="Cita"/>
    <w:uiPriority w:val="29"/>
    <w:rsid w:val="00E87C1D"/>
    <w:rPr>
      <w:i/>
      <w:iCs/>
      <w:color w:val="404040" w:themeColor="text1" w:themeTint="BF"/>
    </w:rPr>
  </w:style>
  <w:style w:type="paragraph" w:styleId="Prrafodelista">
    <w:name w:val="List Paragraph"/>
    <w:basedOn w:val="Normal"/>
    <w:uiPriority w:val="34"/>
    <w:qFormat/>
    <w:rsid w:val="00E87C1D"/>
    <w:pPr>
      <w:ind w:left="720"/>
      <w:contextualSpacing/>
    </w:pPr>
  </w:style>
  <w:style w:type="character" w:styleId="nfasisintenso">
    <w:name w:val="Intense Emphasis"/>
    <w:basedOn w:val="Fuentedeprrafopredeter"/>
    <w:uiPriority w:val="21"/>
    <w:qFormat/>
    <w:rsid w:val="00E87C1D"/>
    <w:rPr>
      <w:i/>
      <w:iCs/>
      <w:color w:val="2F5496" w:themeColor="accent1" w:themeShade="BF"/>
    </w:rPr>
  </w:style>
  <w:style w:type="paragraph" w:styleId="Citadestacada">
    <w:name w:val="Intense Quote"/>
    <w:basedOn w:val="Normal"/>
    <w:next w:val="Normal"/>
    <w:link w:val="CitadestacadaCar"/>
    <w:uiPriority w:val="30"/>
    <w:qFormat/>
    <w:rsid w:val="00E87C1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87C1D"/>
    <w:rPr>
      <w:i/>
      <w:iCs/>
      <w:color w:val="2F5496" w:themeColor="accent1" w:themeShade="BF"/>
    </w:rPr>
  </w:style>
  <w:style w:type="character" w:styleId="Referenciaintensa">
    <w:name w:val="Intense Reference"/>
    <w:basedOn w:val="Fuentedeprrafopredeter"/>
    <w:uiPriority w:val="32"/>
    <w:qFormat/>
    <w:rsid w:val="00E87C1D"/>
    <w:rPr>
      <w:b/>
      <w:bCs/>
      <w:smallCaps/>
      <w:color w:val="2F5496" w:themeColor="accent1" w:themeShade="BF"/>
      <w:spacing w:val="5"/>
    </w:rPr>
  </w:style>
  <w:style w:type="paragraph" w:styleId="Encabezado">
    <w:name w:val="header"/>
    <w:basedOn w:val="Normal"/>
    <w:link w:val="EncabezadoCar"/>
    <w:uiPriority w:val="99"/>
    <w:unhideWhenUsed/>
    <w:rsid w:val="00E87C1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87C1D"/>
    <w:rPr>
      <w:kern w:val="0"/>
      <w14:ligatures w14:val="none"/>
    </w:rPr>
  </w:style>
  <w:style w:type="paragraph" w:styleId="Piedepgina">
    <w:name w:val="footer"/>
    <w:basedOn w:val="Normal"/>
    <w:link w:val="PiedepginaCar"/>
    <w:uiPriority w:val="99"/>
    <w:unhideWhenUsed/>
    <w:rsid w:val="00E87C1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87C1D"/>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E87C1D"/>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E87C1D"/>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E87C1D"/>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E87C1D"/>
    <w:rPr>
      <w:vertAlign w:val="superscript"/>
    </w:rPr>
  </w:style>
  <w:style w:type="table" w:styleId="Tablaconcuadrcula">
    <w:name w:val="Table Grid"/>
    <w:basedOn w:val="Tablanormal"/>
    <w:uiPriority w:val="39"/>
    <w:qFormat/>
    <w:rsid w:val="00E87C1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E87C1D"/>
    <w:rPr>
      <w:color w:val="0000FF"/>
      <w:u w:val="single"/>
    </w:rPr>
  </w:style>
  <w:style w:type="paragraph" w:customStyle="1" w:styleId="paragraph">
    <w:name w:val="paragraph"/>
    <w:basedOn w:val="Normal"/>
    <w:rsid w:val="00E87C1D"/>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NormalWeb">
    <w:name w:val="Normal (Web)"/>
    <w:basedOn w:val="Normal"/>
    <w:link w:val="NormalWebCar"/>
    <w:uiPriority w:val="99"/>
    <w:unhideWhenUsed/>
    <w:rsid w:val="00E87C1D"/>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E87C1D"/>
    <w:pPr>
      <w:spacing w:line="240" w:lineRule="exact"/>
    </w:pPr>
    <w:rPr>
      <w:kern w:val="2"/>
      <w:vertAlign w:val="superscript"/>
      <w14:ligatures w14:val="standardContextual"/>
    </w:rPr>
  </w:style>
  <w:style w:type="character" w:customStyle="1" w:styleId="baj">
    <w:name w:val="b_aj"/>
    <w:basedOn w:val="Fuentedeprrafopredeter"/>
    <w:rsid w:val="00E87C1D"/>
  </w:style>
  <w:style w:type="table" w:customStyle="1" w:styleId="Tablaconcuadrcula1">
    <w:name w:val="Tabla con cuadrícula1"/>
    <w:basedOn w:val="Tablanormal"/>
    <w:next w:val="Tablaconcuadrcula"/>
    <w:uiPriority w:val="39"/>
    <w:qFormat/>
    <w:rsid w:val="00E87C1D"/>
    <w:pPr>
      <w:spacing w:after="0" w:line="240" w:lineRule="auto"/>
    </w:pPr>
    <w:rPr>
      <w:kern w:val="0"/>
      <w14:ligatures w14:val="none"/>
    </w:rPr>
    <w:tblPr/>
  </w:style>
  <w:style w:type="character" w:customStyle="1" w:styleId="NormalWebCar">
    <w:name w:val="Normal (Web) Car"/>
    <w:link w:val="NormalWeb"/>
    <w:uiPriority w:val="99"/>
    <w:locked/>
    <w:rsid w:val="00E87C1D"/>
    <w:rPr>
      <w:rFonts w:ascii="Times New Roman" w:eastAsia="Times New Roman" w:hAnsi="Times New Roman" w:cs="Times New Roman"/>
      <w:kern w:val="0"/>
      <w:sz w:val="24"/>
      <w:szCs w:val="24"/>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archivos/circular/circular-externa-006-de-2025"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ubdireccion.juridica@and.gov.co"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and.gov.co/quienes-som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E4B5570-F1AE-494A-9CAC-00A859FA3236}">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C0FEDFC2-2AA5-4A17-AC51-5514FEEDB460}">
  <ds:schemaRefs>
    <ds:schemaRef ds:uri="http://schemas.microsoft.com/sharepoint/v3/contenttype/forms"/>
  </ds:schemaRefs>
</ds:datastoreItem>
</file>

<file path=customXml/itemProps3.xml><?xml version="1.0" encoding="utf-8"?>
<ds:datastoreItem xmlns:ds="http://schemas.openxmlformats.org/officeDocument/2006/customXml" ds:itemID="{898CE4C4-2981-4EC5-AB43-0EDC411411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19</TotalTime>
  <Pages>29</Pages>
  <Words>9681</Words>
  <Characters>53052</Characters>
  <Application>Microsoft Office Word</Application>
  <DocSecurity>0</DocSecurity>
  <Lines>1040</Lines>
  <Paragraphs>196</Paragraphs>
  <ScaleCrop>false</ScaleCrop>
  <Company/>
  <LinksUpToDate>false</LinksUpToDate>
  <CharactersWithSpaces>62537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Keila Margarita Reyes Cassiani</cp:lastModifiedBy>
  <cp:revision>10</cp:revision>
  <dcterms:created xsi:type="dcterms:W3CDTF">2025-12-04T20:09:00Z</dcterms:created>
  <dcterms:modified xsi:type="dcterms:W3CDTF">2025-12-04T21:59:00Z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