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42E7F26" w14:textId="77777777" w:rsidR="00AE1D2A" w:rsidRPr="000D4734" w:rsidRDefault="00AE1D2A" w:rsidP="00AE1D2A">
      <w:pPr>
        <w:spacing w:after="0" w:line="240" w:lineRule="auto"/>
        <w:rPr>
          <w:rFonts w:ascii="Verdana" w:hAnsi="Verdana"/>
          <w:b/>
          <w:bCs/>
          <w:lang w:val="es-ES"/>
        </w:rPr>
      </w:pPr>
      <w:bookmarkStart w:id="0" w:name="_Hlk143780582"/>
      <w:r w:rsidRPr="000D4734">
        <w:rPr>
          <w:rFonts w:ascii="Verdana" w:hAnsi="Verdana"/>
          <w:b/>
          <w:bCs/>
          <w:lang w:val="es-ES"/>
        </w:rPr>
        <w:t xml:space="preserve">CONTRATO ESTATAL – Ejercicio – Funciones de control y vigilancia </w:t>
      </w:r>
    </w:p>
    <w:p w14:paraId="26D08CC7" w14:textId="77777777" w:rsidR="00AE1D2A" w:rsidRDefault="00AE1D2A" w:rsidP="00AE1D2A">
      <w:pPr>
        <w:spacing w:after="0" w:line="240" w:lineRule="auto"/>
        <w:rPr>
          <w:rFonts w:ascii="Verdana" w:hAnsi="Verdana"/>
          <w:b/>
          <w:bCs/>
          <w:lang w:val="es-ES"/>
        </w:rPr>
      </w:pPr>
    </w:p>
    <w:p w14:paraId="29B57C12" w14:textId="77777777" w:rsidR="00AE1D2A" w:rsidRDefault="00AE1D2A" w:rsidP="00AE1D2A">
      <w:pPr>
        <w:spacing w:after="0" w:line="240" w:lineRule="auto"/>
        <w:jc w:val="both"/>
        <w:rPr>
          <w:rFonts w:ascii="Verdana" w:hAnsi="Verdana"/>
          <w:bCs/>
          <w:sz w:val="20"/>
          <w:lang w:val="es-ES"/>
        </w:rPr>
      </w:pPr>
      <w:r w:rsidRPr="000D4734">
        <w:rPr>
          <w:rFonts w:ascii="Verdana" w:hAnsi="Verdana"/>
          <w:bCs/>
          <w:sz w:val="20"/>
          <w:lang w:val="es-ES"/>
        </w:rPr>
        <w:t>A través de la actividad contractual, el Estado adquiere bienes, obras y servicios para cumplir los fines que le impone el ordenamiento jurídico, garantizando así la continua y eficiente prestación de los servicios públicos y la efectividad de los derechos e intereses de los administrados. Para la garantía de los fines de interés general, involucrados en la contratación de las entidades estatales, el Estatuto General de Contratación de la Administración Pública –en adelante EGCAP– dispone que, en la etapa de ejecución del contrato, las entidades estatales y los servidores públicos que participan en ella tienen la obligación de controlar y vigilar la correcta ejecución del objeto contratado. Lo anterior busca que las finalidades perseguidas con la celebración de los contratos estatales se logren de manera satisfactoria.</w:t>
      </w:r>
    </w:p>
    <w:p w14:paraId="326586D9" w14:textId="77777777" w:rsidR="00AE1D2A" w:rsidRPr="000D4734" w:rsidRDefault="00AE1D2A" w:rsidP="00AE1D2A">
      <w:pPr>
        <w:spacing w:after="0" w:line="240" w:lineRule="auto"/>
        <w:jc w:val="both"/>
        <w:rPr>
          <w:rFonts w:ascii="Verdana" w:hAnsi="Verdana"/>
          <w:bCs/>
          <w:sz w:val="20"/>
          <w:lang w:val="es-ES"/>
        </w:rPr>
      </w:pPr>
    </w:p>
    <w:p w14:paraId="7BF2F12B" w14:textId="77777777" w:rsidR="00AE1D2A" w:rsidRPr="000D4734" w:rsidRDefault="00AE1D2A" w:rsidP="00AE1D2A">
      <w:pPr>
        <w:spacing w:after="0" w:line="240" w:lineRule="auto"/>
        <w:jc w:val="both"/>
        <w:rPr>
          <w:rFonts w:ascii="Verdana" w:hAnsi="Verdana"/>
          <w:bCs/>
          <w:sz w:val="20"/>
          <w:lang w:val="es-ES"/>
        </w:rPr>
      </w:pPr>
      <w:r w:rsidRPr="000D4734">
        <w:rPr>
          <w:rFonts w:ascii="Verdana" w:hAnsi="Verdana"/>
          <w:bCs/>
          <w:sz w:val="20"/>
          <w:lang w:val="es-ES"/>
        </w:rPr>
        <w:t xml:space="preserve">El seguimiento de la ejecución del contrato para la dirección, control y vigilancia de su correcto cumplimiento es un deber legal que permite a las entidades estatales tomar medidas orientadas a la satisfacción de los fines de la contratación. Por esto, el EGCAP alude a la obligación mencionada, que guarda relación con el principio de responsabilidad que rige la celebración y ejecución de los contratos estatales. </w:t>
      </w:r>
    </w:p>
    <w:p w14:paraId="321B039F" w14:textId="77777777" w:rsidR="00AE1D2A" w:rsidRPr="000D4734" w:rsidRDefault="00AE1D2A" w:rsidP="00AE1D2A">
      <w:pPr>
        <w:spacing w:after="0" w:line="240" w:lineRule="auto"/>
        <w:jc w:val="both"/>
        <w:rPr>
          <w:rFonts w:ascii="Verdana" w:hAnsi="Verdana"/>
          <w:bCs/>
          <w:sz w:val="20"/>
          <w:lang w:val="es-ES"/>
        </w:rPr>
      </w:pPr>
      <w:r w:rsidRPr="000D4734">
        <w:rPr>
          <w:rFonts w:ascii="Verdana" w:hAnsi="Verdana"/>
          <w:bCs/>
          <w:sz w:val="20"/>
          <w:lang w:val="es-ES"/>
        </w:rPr>
        <w:t>[…]</w:t>
      </w:r>
    </w:p>
    <w:p w14:paraId="5166AE1F" w14:textId="77777777" w:rsidR="00AE1D2A" w:rsidRPr="000D4734" w:rsidRDefault="00AE1D2A" w:rsidP="00AE1D2A">
      <w:pPr>
        <w:spacing w:after="0" w:line="240" w:lineRule="auto"/>
        <w:jc w:val="both"/>
        <w:rPr>
          <w:rFonts w:ascii="Verdana" w:hAnsi="Verdana"/>
          <w:bCs/>
          <w:sz w:val="20"/>
          <w:lang w:val="es-ES"/>
        </w:rPr>
      </w:pPr>
      <w:r w:rsidRPr="000D4734">
        <w:rPr>
          <w:rFonts w:ascii="Verdana" w:hAnsi="Verdana"/>
          <w:bCs/>
          <w:sz w:val="20"/>
          <w:lang w:val="es-ES"/>
        </w:rPr>
        <w:t>De esta forma, la Ley 1474 de 2011 enmarcó el seguimiento, control y vigilancia de la ejecución del contrato estatal dentro del principio de moralidad administrativa. El artículo 83 de la referida ley, establece que “con el fin de proteger la moralidad administrativa, de prevenir la ocurrencia de actos de corrupción y tutelar la transparencia de la actividad contractual, las entidades públicas están obligadas a vigilar permanentemente la correcta ejecución del objeto contratado a través de un supervisor o un interventor, según corresponda”. El legislador además definió las nociones de supervisión e interventoría, como mecanismos que pueden usar las entidades estatales para vigilar el contrato […].</w:t>
      </w:r>
    </w:p>
    <w:p w14:paraId="6B32C06A" w14:textId="77777777" w:rsidR="00AE1D2A" w:rsidRPr="000D4734" w:rsidRDefault="00AE1D2A" w:rsidP="00AE1D2A">
      <w:pPr>
        <w:spacing w:after="0" w:line="240" w:lineRule="auto"/>
        <w:rPr>
          <w:rFonts w:ascii="Verdana" w:hAnsi="Verdana"/>
          <w:b/>
          <w:bCs/>
          <w:lang w:val="es-ES"/>
        </w:rPr>
      </w:pPr>
    </w:p>
    <w:p w14:paraId="150C8498" w14:textId="77777777" w:rsidR="00AE1D2A" w:rsidRPr="000D4734" w:rsidRDefault="00AE1D2A" w:rsidP="00AE1D2A">
      <w:pPr>
        <w:spacing w:after="0" w:line="240" w:lineRule="auto"/>
        <w:rPr>
          <w:rFonts w:ascii="Verdana" w:hAnsi="Verdana"/>
          <w:b/>
          <w:bCs/>
          <w:lang w:val="es-ES"/>
        </w:rPr>
      </w:pPr>
      <w:r w:rsidRPr="000D4734">
        <w:rPr>
          <w:rFonts w:ascii="Verdana" w:hAnsi="Verdana"/>
          <w:b/>
          <w:bCs/>
          <w:lang w:val="es-ES"/>
        </w:rPr>
        <w:t xml:space="preserve">CONTRATO ESTATAL – Supervisión – Interventoría – características </w:t>
      </w:r>
    </w:p>
    <w:p w14:paraId="1C4765DB" w14:textId="77777777" w:rsidR="00AE1D2A" w:rsidRDefault="00AE1D2A" w:rsidP="00AE1D2A">
      <w:pPr>
        <w:spacing w:after="0" w:line="240" w:lineRule="auto"/>
        <w:rPr>
          <w:rFonts w:ascii="Verdana" w:hAnsi="Verdana"/>
          <w:b/>
          <w:bCs/>
          <w:lang w:val="es-ES"/>
        </w:rPr>
      </w:pPr>
    </w:p>
    <w:p w14:paraId="7A1B4398" w14:textId="77777777" w:rsidR="00AE1D2A" w:rsidRDefault="00AE1D2A" w:rsidP="00AE1D2A">
      <w:pPr>
        <w:spacing w:after="0" w:line="240" w:lineRule="auto"/>
        <w:jc w:val="both"/>
        <w:rPr>
          <w:rFonts w:ascii="Verdana" w:hAnsi="Verdana"/>
          <w:bCs/>
          <w:sz w:val="20"/>
        </w:rPr>
      </w:pPr>
      <w:r w:rsidRPr="000D4734">
        <w:rPr>
          <w:rFonts w:ascii="Verdana" w:hAnsi="Verdana"/>
          <w:bCs/>
          <w:sz w:val="20"/>
          <w:lang w:val="es-ES"/>
        </w:rPr>
        <w:t xml:space="preserve">Por otro lado, </w:t>
      </w:r>
      <w:r w:rsidRPr="000D4734">
        <w:rPr>
          <w:rFonts w:ascii="Verdana" w:hAnsi="Verdana"/>
          <w:bCs/>
          <w:sz w:val="20"/>
        </w:rPr>
        <w:t xml:space="preserve">la interventoría puede caracterizarse de la siguiente manera: i) es un mecanismo de vigilancia contingente en la medida que solo es obligatorio para el seguimiento de los contratos de obra adjudicados por licitación pública –art. 32, numeral 1; en los demás casos se requerirá cuando “el seguimiento del contrato suponga conocimiento especializado en la materia, o cuando la complejidad o la extensión del mismo lo justifique” –art, 83, Ley 1474 de 2011–; </w:t>
      </w:r>
      <w:proofErr w:type="spellStart"/>
      <w:r w:rsidRPr="000D4734">
        <w:rPr>
          <w:rFonts w:ascii="Verdana" w:hAnsi="Verdana"/>
          <w:bCs/>
          <w:sz w:val="20"/>
        </w:rPr>
        <w:t>ii</w:t>
      </w:r>
      <w:proofErr w:type="spellEnd"/>
      <w:r w:rsidRPr="000D4734">
        <w:rPr>
          <w:rFonts w:ascii="Verdana" w:hAnsi="Verdana"/>
          <w:bCs/>
          <w:sz w:val="20"/>
        </w:rPr>
        <w:t xml:space="preserve">) es un mecanismo de vigilancia que exige, en su ejecución, la utilización de conocimientos especializados; </w:t>
      </w:r>
      <w:proofErr w:type="spellStart"/>
      <w:r w:rsidRPr="000D4734">
        <w:rPr>
          <w:rFonts w:ascii="Verdana" w:hAnsi="Verdana"/>
          <w:bCs/>
          <w:sz w:val="20"/>
        </w:rPr>
        <w:t>iii</w:t>
      </w:r>
      <w:proofErr w:type="spellEnd"/>
      <w:r w:rsidRPr="000D4734">
        <w:rPr>
          <w:rFonts w:ascii="Verdana" w:hAnsi="Verdana"/>
          <w:bCs/>
          <w:sz w:val="20"/>
        </w:rPr>
        <w:t xml:space="preserve">) por lo anterior, la entidad contrata un experto, por regla general, mediante la modalidad de selección de concurso de méritos, al tratarse la interventoría de una especie del contrato de consultoría –art. 32, numeral 2, inciso 2, Ley 80 de 1993‒, de manera que la interventoría es realizada por “una persona natural o jurídica contratada para tal fin por la Entidad Estatal” –art. 83, Ley 1474–; </w:t>
      </w:r>
      <w:proofErr w:type="spellStart"/>
      <w:r w:rsidRPr="000D4734">
        <w:rPr>
          <w:rFonts w:ascii="Verdana" w:hAnsi="Verdana"/>
          <w:bCs/>
          <w:sz w:val="20"/>
        </w:rPr>
        <w:t>iv</w:t>
      </w:r>
      <w:proofErr w:type="spellEnd"/>
      <w:r w:rsidRPr="000D4734">
        <w:rPr>
          <w:rFonts w:ascii="Verdana" w:hAnsi="Verdana"/>
          <w:bCs/>
          <w:sz w:val="20"/>
        </w:rPr>
        <w:t xml:space="preserve">) le es inherente el seguimiento técnico, frente a la vigilancia de la correcta ejecución del contrato vigilado; sin embargo, el artículo 83 de la Ley 1474 de 2011 permite que en el contrato de interventoría también se pacten obligaciones para que el contratista realice el seguimiento administrativo, financiero, contable o jurídico; v) en caso de que no se encomiende al interventor el seguimiento </w:t>
      </w:r>
      <w:r w:rsidRPr="000D4734">
        <w:rPr>
          <w:rFonts w:ascii="Verdana" w:hAnsi="Verdana"/>
          <w:bCs/>
          <w:sz w:val="20"/>
        </w:rPr>
        <w:lastRenderedPageBreak/>
        <w:t>total del contrato, en el contrato de interventoría “se deberán indicar las actividades técnicas a cargo del interventor y las demás quedarán a cargo de la Entidad a través del supervisor” –art. 83, inciso 4–, y finalmente, vi) el contrato de interventoría será supervisado directamente por la entidad –art. 83, inciso 4–</w:t>
      </w:r>
      <w:r>
        <w:rPr>
          <w:rFonts w:ascii="Verdana" w:hAnsi="Verdana"/>
          <w:bCs/>
          <w:sz w:val="20"/>
        </w:rPr>
        <w:t>.</w:t>
      </w:r>
    </w:p>
    <w:p w14:paraId="02FD118A" w14:textId="77777777" w:rsidR="00AE1D2A" w:rsidRPr="000D4734" w:rsidRDefault="00AE1D2A" w:rsidP="00AE1D2A">
      <w:pPr>
        <w:spacing w:after="0" w:line="240" w:lineRule="auto"/>
        <w:jc w:val="both"/>
        <w:rPr>
          <w:rFonts w:ascii="Verdana" w:hAnsi="Verdana"/>
          <w:bCs/>
          <w:sz w:val="20"/>
          <w:lang w:val="es-ES"/>
        </w:rPr>
      </w:pPr>
    </w:p>
    <w:p w14:paraId="41967D3A" w14:textId="77777777" w:rsidR="00AE1D2A" w:rsidRPr="000D4734" w:rsidRDefault="00AE1D2A" w:rsidP="00AE1D2A">
      <w:pPr>
        <w:spacing w:after="0" w:line="240" w:lineRule="auto"/>
        <w:rPr>
          <w:rFonts w:ascii="Verdana" w:hAnsi="Verdana"/>
          <w:b/>
          <w:bCs/>
          <w:lang w:val="es-ES"/>
        </w:rPr>
      </w:pPr>
      <w:r w:rsidRPr="000D4734">
        <w:rPr>
          <w:rFonts w:ascii="Verdana" w:hAnsi="Verdana"/>
          <w:b/>
          <w:bCs/>
          <w:lang w:val="es-ES"/>
        </w:rPr>
        <w:t xml:space="preserve">SUPERVISIÓN – Designación – Servidor Público – Lineamientos </w:t>
      </w:r>
    </w:p>
    <w:p w14:paraId="454EE65A" w14:textId="77777777" w:rsidR="00AE1D2A" w:rsidRPr="000D4734" w:rsidRDefault="00AE1D2A" w:rsidP="00AE1D2A">
      <w:pPr>
        <w:spacing w:after="0" w:line="240" w:lineRule="auto"/>
        <w:rPr>
          <w:rFonts w:ascii="Verdana" w:hAnsi="Verdana"/>
          <w:b/>
          <w:bCs/>
          <w:lang w:val="es-ES"/>
        </w:rPr>
      </w:pPr>
    </w:p>
    <w:p w14:paraId="7EE7D1B9" w14:textId="77777777" w:rsidR="00AE1D2A" w:rsidRDefault="00AE1D2A" w:rsidP="00AE1D2A">
      <w:pPr>
        <w:spacing w:after="0" w:line="240" w:lineRule="auto"/>
        <w:jc w:val="both"/>
        <w:rPr>
          <w:rFonts w:ascii="Verdana" w:hAnsi="Verdana"/>
          <w:bCs/>
          <w:sz w:val="20"/>
          <w:lang w:val="es-ES"/>
        </w:rPr>
      </w:pPr>
      <w:r w:rsidRPr="000D4734">
        <w:rPr>
          <w:rFonts w:ascii="Verdana" w:hAnsi="Verdana"/>
          <w:bCs/>
          <w:sz w:val="20"/>
          <w:lang w:val="es-ES"/>
        </w:rPr>
        <w:t xml:space="preserve">En referencia a la designación de la supervisión en los procesos de contratación estatal, se acude a la “Guía para el ejercicio de las funciones de supervisión e interventoría de los contratos suscritos por las Entidades Estatales” expedida por esta Agencia, en la que se expresa que el ordenador del gasto de la entidad estatal es responsable de la vigilancia y control de la ejecución debida del contrato estatal, por lo cual es quien debe designar el supervisor de un contrato. En tal sentido, en la etapa de planeación del proceso de contratación, la entidad estatal debe identificar el perfil del supervisor para designarlo a más tardar al final de la audiencia de adjudicación, cuando el proceso de contratación es competitivo o en la fecha que suscriba el contrato cuando sea en ocasión de procesos no competitivos, como la contratación. </w:t>
      </w:r>
    </w:p>
    <w:p w14:paraId="1E65ADE8" w14:textId="77777777" w:rsidR="00AE1D2A" w:rsidRPr="000D4734" w:rsidRDefault="00AE1D2A" w:rsidP="00AE1D2A">
      <w:pPr>
        <w:spacing w:after="0" w:line="240" w:lineRule="auto"/>
        <w:jc w:val="both"/>
        <w:rPr>
          <w:rFonts w:ascii="Verdana" w:hAnsi="Verdana"/>
          <w:bCs/>
          <w:sz w:val="20"/>
          <w:lang w:val="es-ES"/>
        </w:rPr>
      </w:pPr>
    </w:p>
    <w:p w14:paraId="3DCD4EF6" w14:textId="77777777" w:rsidR="00AE1D2A" w:rsidRPr="000D4734" w:rsidRDefault="00AE1D2A" w:rsidP="00AE1D2A">
      <w:pPr>
        <w:spacing w:after="0" w:line="240" w:lineRule="auto"/>
        <w:jc w:val="both"/>
        <w:rPr>
          <w:rFonts w:ascii="Verdana" w:hAnsi="Verdana"/>
          <w:bCs/>
          <w:sz w:val="20"/>
        </w:rPr>
      </w:pPr>
      <w:r w:rsidRPr="000D4734">
        <w:rPr>
          <w:rFonts w:ascii="Verdana" w:hAnsi="Verdana"/>
          <w:bCs/>
          <w:sz w:val="20"/>
          <w:lang w:val="es-ES"/>
        </w:rPr>
        <w:t xml:space="preserve">En principio, en la Guía también se expresa que el supervisor no requiere un perfil predeterminado; sin embargo, es recomendable que pueda actuar como par del contratista supervisado. Para designar a un funcionario como supervisor, la entidad estatal debe verificar que el objeto del proceso de contratación guarde relación con las funciones propias de su empleo, ya sea de nivel directivo, profesional, técnico o asistencial. </w:t>
      </w:r>
      <w:r w:rsidRPr="000D4734">
        <w:rPr>
          <w:rFonts w:ascii="Verdana" w:hAnsi="Verdana"/>
          <w:bCs/>
          <w:sz w:val="20"/>
        </w:rPr>
        <w:t xml:space="preserve">Esto implica que la supervisión debe ser una actividad administrativa compatible con el perfil y el nivel del empleo. </w:t>
      </w:r>
    </w:p>
    <w:p w14:paraId="085AF742" w14:textId="77777777" w:rsidR="00AE1D2A" w:rsidRPr="000D4734" w:rsidRDefault="00AE1D2A" w:rsidP="00AE1D2A">
      <w:pPr>
        <w:spacing w:after="0" w:line="240" w:lineRule="auto"/>
        <w:rPr>
          <w:rFonts w:ascii="Verdana" w:hAnsi="Verdana"/>
          <w:b/>
          <w:bCs/>
        </w:rPr>
      </w:pPr>
    </w:p>
    <w:p w14:paraId="24CC41D2" w14:textId="77777777" w:rsidR="00AE1D2A" w:rsidRPr="000D4734" w:rsidRDefault="00AE1D2A" w:rsidP="00AE1D2A">
      <w:pPr>
        <w:spacing w:after="0" w:line="240" w:lineRule="auto"/>
        <w:rPr>
          <w:rFonts w:ascii="Verdana" w:hAnsi="Verdana"/>
          <w:b/>
          <w:bCs/>
          <w:lang w:val="es-ES"/>
        </w:rPr>
      </w:pPr>
      <w:r w:rsidRPr="000D4734">
        <w:rPr>
          <w:rFonts w:ascii="Verdana" w:hAnsi="Verdana"/>
          <w:b/>
          <w:bCs/>
          <w:lang w:val="es-ES"/>
        </w:rPr>
        <w:t>SUPERVISIÓN – Conflictos de interés</w:t>
      </w:r>
    </w:p>
    <w:p w14:paraId="4B05DA86" w14:textId="77777777" w:rsidR="00AE1D2A" w:rsidRDefault="00AE1D2A" w:rsidP="00AE1D2A">
      <w:pPr>
        <w:spacing w:after="0" w:line="240" w:lineRule="auto"/>
        <w:rPr>
          <w:rFonts w:ascii="Verdana" w:hAnsi="Verdana"/>
          <w:b/>
          <w:bCs/>
          <w:lang w:val="es-ES"/>
        </w:rPr>
      </w:pPr>
    </w:p>
    <w:p w14:paraId="3A9D1A3A" w14:textId="77777777" w:rsidR="00AE1D2A" w:rsidRPr="000D4734" w:rsidRDefault="00AE1D2A" w:rsidP="00AE1D2A">
      <w:pPr>
        <w:spacing w:after="0" w:line="240" w:lineRule="auto"/>
        <w:jc w:val="both"/>
        <w:rPr>
          <w:rFonts w:ascii="Verdana" w:hAnsi="Verdana"/>
          <w:bCs/>
          <w:sz w:val="20"/>
          <w:lang w:val="es-ES"/>
        </w:rPr>
      </w:pPr>
      <w:r w:rsidRPr="000D4734">
        <w:rPr>
          <w:rFonts w:ascii="Verdana" w:hAnsi="Verdana"/>
          <w:bCs/>
          <w:sz w:val="20"/>
          <w:lang w:val="es-ES"/>
        </w:rPr>
        <w:t xml:space="preserve">En el escenario de la supervisión no existe esta limitación con respecto a los servidores que participan en la estructuración del proceso de contratación, pero debe actuar conforme a las reglas de la moralidad administrativa. En esta línea, el artículo 209 de la Constitución Política de 1991, la función administrativa debe desarrollarse conforme al principio de moralidad, mandato que se concreta en la idea de que “[…] todas las personas y los servidores públicos están obligados a actuar con rectitud, lealtad y honestidad en las actuaciones administrativas […]” –numeral 5 del artículo 3 de la Ley 1437 de 2011–. En desarrollo de esta directriz, el régimen de los </w:t>
      </w:r>
      <w:r w:rsidRPr="000D4734">
        <w:rPr>
          <w:rFonts w:ascii="Verdana" w:hAnsi="Verdana"/>
          <w:bCs/>
          <w:i/>
          <w:iCs/>
          <w:sz w:val="20"/>
          <w:lang w:val="es-ES"/>
        </w:rPr>
        <w:t>conflictos de interés</w:t>
      </w:r>
      <w:r w:rsidRPr="000D4734">
        <w:rPr>
          <w:rFonts w:ascii="Verdana" w:hAnsi="Verdana"/>
          <w:bCs/>
          <w:sz w:val="20"/>
          <w:lang w:val="es-ES"/>
        </w:rPr>
        <w:t xml:space="preserve"> tiene como objetivo la prevalencia del bien común sobre el particular, razón por la cual se configuran cuando actúan influenciados por consideraciones personales que colisionan con el beber de preservar su independencia e imparcialidad. En este sentido, se definen como la concurrencia de intereses antagónicos que afectan la transparencia de las decisiones, al implicar –en detrimento del interés general– el aprovechamiento personal, familiar o particular.</w:t>
      </w:r>
    </w:p>
    <w:p w14:paraId="3803EADA" w14:textId="77777777" w:rsidR="00AE1D2A" w:rsidRPr="000D4734" w:rsidRDefault="00AE1D2A" w:rsidP="00AE1D2A">
      <w:pPr>
        <w:spacing w:after="0" w:line="240" w:lineRule="auto"/>
        <w:rPr>
          <w:rFonts w:ascii="Verdana" w:hAnsi="Verdana"/>
          <w:b/>
          <w:bCs/>
          <w:lang w:val="es-ES"/>
        </w:rPr>
      </w:pPr>
      <w:r w:rsidRPr="000D4734">
        <w:rPr>
          <w:rFonts w:ascii="Verdana" w:hAnsi="Verdana"/>
          <w:b/>
          <w:bCs/>
          <w:lang w:val="es-ES"/>
        </w:rPr>
        <w:t xml:space="preserve"> SUPERVISIÓN – Rol – Estructurador – Procedencia – Limitaciones </w:t>
      </w:r>
    </w:p>
    <w:p w14:paraId="0955877D" w14:textId="77777777" w:rsidR="00AE1D2A" w:rsidRPr="000D4734" w:rsidRDefault="00AE1D2A" w:rsidP="00AE1D2A">
      <w:pPr>
        <w:spacing w:after="0" w:line="240" w:lineRule="auto"/>
        <w:rPr>
          <w:rFonts w:ascii="Verdana" w:hAnsi="Verdana"/>
          <w:b/>
          <w:bCs/>
          <w:lang w:val="es-ES"/>
        </w:rPr>
      </w:pPr>
    </w:p>
    <w:p w14:paraId="313B752B" w14:textId="77777777" w:rsidR="00AE1D2A" w:rsidRDefault="00AE1D2A" w:rsidP="00AE1D2A">
      <w:pPr>
        <w:spacing w:after="0" w:line="240" w:lineRule="auto"/>
        <w:jc w:val="both"/>
        <w:rPr>
          <w:rFonts w:ascii="Verdana" w:hAnsi="Verdana"/>
          <w:bCs/>
          <w:sz w:val="20"/>
          <w:lang w:val="es-ES"/>
        </w:rPr>
      </w:pPr>
      <w:r w:rsidRPr="003B0DFC">
        <w:rPr>
          <w:rFonts w:ascii="Verdana" w:hAnsi="Verdana"/>
          <w:bCs/>
          <w:sz w:val="20"/>
          <w:lang w:val="es-ES_tradnl"/>
        </w:rPr>
        <w:t xml:space="preserve">Ahora bien, si no se presenta una causal de conflictos de interés por parte de la supervisión, </w:t>
      </w:r>
      <w:r w:rsidRPr="003B0DFC">
        <w:rPr>
          <w:rFonts w:ascii="Verdana" w:hAnsi="Verdana"/>
          <w:bCs/>
          <w:sz w:val="20"/>
          <w:lang w:val="es-ES"/>
        </w:rPr>
        <w:t xml:space="preserve">es fundamental reconocer que la acumulación de funciones críticas puede generar riesgos de parcialidad. Por ello, aunque sea procedente, se recomienda que la </w:t>
      </w:r>
      <w:r w:rsidRPr="003B0DFC">
        <w:rPr>
          <w:rFonts w:ascii="Verdana" w:hAnsi="Verdana"/>
          <w:bCs/>
          <w:sz w:val="20"/>
          <w:lang w:val="es-ES"/>
        </w:rPr>
        <w:lastRenderedPageBreak/>
        <w:t>entidad evalúe la conveniencia de designar la supervisión a quien participó en la estructuración, considerando la necesidad de preservar la transparencia. El punto importante está en garantizar que la supervisión no se constituya en una extensión o prolongación automática de las decisiones tomadas en la etapa de planeación, sino en un ejercicio independiente y autónomo que garantice el cumplimiento de las obligaciones pactadas, la calidad de los bienes y servicios contratados y la protección de los intereses de la Entidad Estatal.</w:t>
      </w:r>
    </w:p>
    <w:p w14:paraId="510AB349" w14:textId="77777777" w:rsidR="00AE1D2A" w:rsidRPr="000D4734" w:rsidRDefault="00AE1D2A" w:rsidP="00AE1D2A">
      <w:pPr>
        <w:spacing w:after="0" w:line="240" w:lineRule="auto"/>
        <w:rPr>
          <w:rFonts w:ascii="Verdana" w:hAnsi="Verdana"/>
          <w:b/>
          <w:bCs/>
          <w:lang w:val="es-ES"/>
        </w:rPr>
      </w:pPr>
    </w:p>
    <w:p w14:paraId="228CC7FF" w14:textId="77777777" w:rsidR="00AE1D2A" w:rsidRPr="000D4734" w:rsidRDefault="00AE1D2A" w:rsidP="00AE1D2A">
      <w:pPr>
        <w:spacing w:after="0" w:line="240" w:lineRule="auto"/>
        <w:rPr>
          <w:rFonts w:ascii="Verdana" w:hAnsi="Verdana"/>
          <w:b/>
        </w:rPr>
      </w:pPr>
      <w:r w:rsidRPr="000D4734">
        <w:rPr>
          <w:rFonts w:ascii="Verdana" w:hAnsi="Verdana"/>
          <w:b/>
          <w:bCs/>
          <w:lang w:val="es-ES"/>
        </w:rPr>
        <w:t xml:space="preserve"> SUPERVISIÓN – Controles - Transparencia.</w:t>
      </w:r>
    </w:p>
    <w:p w14:paraId="0DE13843" w14:textId="77777777" w:rsidR="00AE1D2A" w:rsidRDefault="00AE1D2A" w:rsidP="00AE1D2A">
      <w:pPr>
        <w:spacing w:after="0" w:line="240" w:lineRule="auto"/>
        <w:rPr>
          <w:rFonts w:ascii="Verdana" w:hAnsi="Verdana"/>
        </w:rPr>
      </w:pPr>
    </w:p>
    <w:p w14:paraId="143825C7" w14:textId="77777777" w:rsidR="00AE1D2A" w:rsidRDefault="00AE1D2A" w:rsidP="00AE1D2A">
      <w:pPr>
        <w:spacing w:after="0" w:line="240" w:lineRule="auto"/>
        <w:jc w:val="both"/>
        <w:rPr>
          <w:rFonts w:ascii="Verdana" w:hAnsi="Verdana"/>
          <w:bCs/>
          <w:sz w:val="20"/>
          <w:lang w:val="es-ES"/>
        </w:rPr>
      </w:pPr>
      <w:r w:rsidRPr="003B0DFC">
        <w:rPr>
          <w:rFonts w:ascii="Verdana" w:hAnsi="Verdana"/>
          <w:bCs/>
          <w:sz w:val="20"/>
          <w:lang w:val="es-ES"/>
        </w:rPr>
        <w:t xml:space="preserve">Para asegurar esa independencia, deben implementarse controles institucionales claros. Entre estos controles, puede señalarse la obligación de presentar declaraciones de conflicto de interés y la posibilidad de aplicar mecanismos de impedimento y recusación cuando existan vínculos que afecten la imparcialidad, la separación de funciones en las etapas críticas del proceso de contratación, la designación de una supervisión colegiada que atienda a los diferentes tipos de seguimiento. De igual modo, es posible la rotación de supervisores y la revisión periódica de sus informes por parte del representante legal o su delegado, teniendo en cuenta que hay un deber de </w:t>
      </w:r>
      <w:r w:rsidRPr="003B0DFC">
        <w:rPr>
          <w:rFonts w:ascii="Verdana" w:hAnsi="Verdana"/>
          <w:bCs/>
          <w:sz w:val="20"/>
        </w:rPr>
        <w:t xml:space="preserve">dirección general y la responsabilidad de ejercer el control y vigilancia de la ejecución del contrato, </w:t>
      </w:r>
      <w:r w:rsidRPr="003B0DFC">
        <w:rPr>
          <w:rFonts w:ascii="Verdana" w:hAnsi="Verdana"/>
          <w:bCs/>
          <w:sz w:val="20"/>
          <w:lang w:val="es-ES"/>
        </w:rPr>
        <w:t xml:space="preserve">de conformidad con el artículo 14, numeral 1° de la Ley 80. </w:t>
      </w:r>
    </w:p>
    <w:p w14:paraId="4754B5F7" w14:textId="77777777" w:rsidR="00E22DEA" w:rsidRDefault="00E22DEA" w:rsidP="001F0EB9">
      <w:pPr>
        <w:spacing w:after="0" w:line="240" w:lineRule="auto"/>
        <w:rPr>
          <w:rFonts w:ascii="Verdana" w:hAnsi="Verdana"/>
          <w:lang w:val="es-ES"/>
        </w:rPr>
      </w:pPr>
    </w:p>
    <w:p w14:paraId="0D64FB35" w14:textId="77777777" w:rsidR="00AE1D2A" w:rsidRDefault="00AE1D2A" w:rsidP="001F0EB9">
      <w:pPr>
        <w:spacing w:after="0" w:line="240" w:lineRule="auto"/>
        <w:rPr>
          <w:rFonts w:ascii="Verdana" w:hAnsi="Verdana"/>
          <w:lang w:val="es-ES"/>
        </w:rPr>
      </w:pPr>
    </w:p>
    <w:p w14:paraId="56C9B36D" w14:textId="77777777" w:rsidR="00AE1D2A" w:rsidRDefault="00AE1D2A" w:rsidP="001F0EB9">
      <w:pPr>
        <w:spacing w:after="0" w:line="240" w:lineRule="auto"/>
        <w:rPr>
          <w:rFonts w:ascii="Verdana" w:hAnsi="Verdana"/>
          <w:lang w:val="es-ES"/>
        </w:rPr>
      </w:pPr>
    </w:p>
    <w:p w14:paraId="65D9E57A" w14:textId="77777777" w:rsidR="00AE1D2A" w:rsidRDefault="00AE1D2A" w:rsidP="001F0EB9">
      <w:pPr>
        <w:spacing w:after="0" w:line="240" w:lineRule="auto"/>
        <w:rPr>
          <w:rFonts w:ascii="Verdana" w:hAnsi="Verdana"/>
          <w:lang w:val="es-ES"/>
        </w:rPr>
      </w:pPr>
    </w:p>
    <w:p w14:paraId="47548964" w14:textId="77777777" w:rsidR="00AE1D2A" w:rsidRDefault="00AE1D2A" w:rsidP="001F0EB9">
      <w:pPr>
        <w:spacing w:after="0" w:line="240" w:lineRule="auto"/>
        <w:rPr>
          <w:rFonts w:ascii="Verdana" w:hAnsi="Verdana"/>
          <w:lang w:val="es-ES"/>
        </w:rPr>
      </w:pPr>
    </w:p>
    <w:p w14:paraId="38D182C6" w14:textId="77777777" w:rsidR="00AE1D2A" w:rsidRDefault="00AE1D2A" w:rsidP="001F0EB9">
      <w:pPr>
        <w:spacing w:after="0" w:line="240" w:lineRule="auto"/>
        <w:rPr>
          <w:rFonts w:ascii="Verdana" w:hAnsi="Verdana"/>
          <w:lang w:val="es-ES"/>
        </w:rPr>
      </w:pPr>
    </w:p>
    <w:p w14:paraId="116373C6" w14:textId="77777777" w:rsidR="00AE1D2A" w:rsidRDefault="00AE1D2A" w:rsidP="001F0EB9">
      <w:pPr>
        <w:spacing w:after="0" w:line="240" w:lineRule="auto"/>
        <w:rPr>
          <w:rFonts w:ascii="Verdana" w:hAnsi="Verdana"/>
          <w:lang w:val="es-ES"/>
        </w:rPr>
      </w:pPr>
    </w:p>
    <w:p w14:paraId="27238C97" w14:textId="77777777" w:rsidR="00AE1D2A" w:rsidRDefault="00AE1D2A" w:rsidP="001F0EB9">
      <w:pPr>
        <w:spacing w:after="0" w:line="240" w:lineRule="auto"/>
        <w:rPr>
          <w:rFonts w:ascii="Verdana" w:hAnsi="Verdana"/>
          <w:lang w:val="es-ES"/>
        </w:rPr>
      </w:pPr>
    </w:p>
    <w:p w14:paraId="22EB3BB5" w14:textId="77777777" w:rsidR="00AE1D2A" w:rsidRDefault="00AE1D2A" w:rsidP="001F0EB9">
      <w:pPr>
        <w:spacing w:after="0" w:line="240" w:lineRule="auto"/>
        <w:rPr>
          <w:rFonts w:ascii="Verdana" w:hAnsi="Verdana"/>
          <w:lang w:val="es-ES"/>
        </w:rPr>
      </w:pPr>
    </w:p>
    <w:p w14:paraId="7FB779B8" w14:textId="77777777" w:rsidR="00AE1D2A" w:rsidRDefault="00AE1D2A" w:rsidP="001F0EB9">
      <w:pPr>
        <w:spacing w:after="0" w:line="240" w:lineRule="auto"/>
        <w:rPr>
          <w:rFonts w:ascii="Verdana" w:hAnsi="Verdana"/>
          <w:lang w:val="es-ES"/>
        </w:rPr>
      </w:pPr>
    </w:p>
    <w:p w14:paraId="7EC7DFB6" w14:textId="77777777" w:rsidR="00AE1D2A" w:rsidRDefault="00AE1D2A" w:rsidP="001F0EB9">
      <w:pPr>
        <w:spacing w:after="0" w:line="240" w:lineRule="auto"/>
        <w:rPr>
          <w:rFonts w:ascii="Verdana" w:hAnsi="Verdana"/>
          <w:lang w:val="es-ES"/>
        </w:rPr>
      </w:pPr>
    </w:p>
    <w:p w14:paraId="6B76A593" w14:textId="77777777" w:rsidR="00AE1D2A" w:rsidRDefault="00AE1D2A" w:rsidP="001F0EB9">
      <w:pPr>
        <w:spacing w:after="0" w:line="240" w:lineRule="auto"/>
        <w:rPr>
          <w:rFonts w:ascii="Verdana" w:hAnsi="Verdana"/>
          <w:lang w:val="es-ES"/>
        </w:rPr>
      </w:pPr>
    </w:p>
    <w:p w14:paraId="3BD4D028" w14:textId="77777777" w:rsidR="00AE1D2A" w:rsidRDefault="00AE1D2A" w:rsidP="001F0EB9">
      <w:pPr>
        <w:spacing w:after="0" w:line="240" w:lineRule="auto"/>
        <w:rPr>
          <w:rFonts w:ascii="Verdana" w:hAnsi="Verdana"/>
          <w:lang w:val="es-ES"/>
        </w:rPr>
      </w:pPr>
    </w:p>
    <w:p w14:paraId="06A1DF8E" w14:textId="77777777" w:rsidR="00AE1D2A" w:rsidRDefault="00AE1D2A" w:rsidP="001F0EB9">
      <w:pPr>
        <w:spacing w:after="0" w:line="240" w:lineRule="auto"/>
        <w:rPr>
          <w:rFonts w:ascii="Verdana" w:hAnsi="Verdana"/>
          <w:lang w:val="es-ES"/>
        </w:rPr>
      </w:pPr>
    </w:p>
    <w:p w14:paraId="1A7E30D0" w14:textId="77777777" w:rsidR="00AE1D2A" w:rsidRDefault="00AE1D2A" w:rsidP="001F0EB9">
      <w:pPr>
        <w:spacing w:after="0" w:line="240" w:lineRule="auto"/>
        <w:rPr>
          <w:rFonts w:ascii="Verdana" w:hAnsi="Verdana"/>
          <w:lang w:val="es-ES"/>
        </w:rPr>
      </w:pPr>
    </w:p>
    <w:p w14:paraId="464265C9" w14:textId="77777777" w:rsidR="00AE1D2A" w:rsidRDefault="00AE1D2A" w:rsidP="001F0EB9">
      <w:pPr>
        <w:spacing w:after="0" w:line="240" w:lineRule="auto"/>
        <w:rPr>
          <w:rFonts w:ascii="Verdana" w:hAnsi="Verdana"/>
          <w:lang w:val="es-ES"/>
        </w:rPr>
      </w:pPr>
    </w:p>
    <w:p w14:paraId="623B4663" w14:textId="77777777" w:rsidR="00AE1D2A" w:rsidRDefault="00AE1D2A" w:rsidP="001F0EB9">
      <w:pPr>
        <w:spacing w:after="0" w:line="240" w:lineRule="auto"/>
        <w:rPr>
          <w:rFonts w:ascii="Verdana" w:hAnsi="Verdana"/>
          <w:lang w:val="es-ES"/>
        </w:rPr>
      </w:pPr>
    </w:p>
    <w:p w14:paraId="31C78755" w14:textId="77777777" w:rsidR="00AE1D2A" w:rsidRDefault="00AE1D2A" w:rsidP="001F0EB9">
      <w:pPr>
        <w:spacing w:after="0" w:line="240" w:lineRule="auto"/>
        <w:rPr>
          <w:rFonts w:ascii="Verdana" w:hAnsi="Verdana"/>
          <w:lang w:val="es-ES"/>
        </w:rPr>
      </w:pPr>
    </w:p>
    <w:p w14:paraId="59124F4C" w14:textId="77777777" w:rsidR="00AE1D2A" w:rsidRDefault="00AE1D2A" w:rsidP="001F0EB9">
      <w:pPr>
        <w:spacing w:after="0" w:line="240" w:lineRule="auto"/>
        <w:rPr>
          <w:rFonts w:ascii="Verdana" w:hAnsi="Verdana"/>
          <w:lang w:val="es-ES"/>
        </w:rPr>
      </w:pPr>
    </w:p>
    <w:p w14:paraId="70C43C69" w14:textId="77777777" w:rsidR="00AE1D2A" w:rsidRDefault="00AE1D2A" w:rsidP="001F0EB9">
      <w:pPr>
        <w:spacing w:after="0" w:line="240" w:lineRule="auto"/>
        <w:rPr>
          <w:rFonts w:ascii="Verdana" w:hAnsi="Verdana"/>
          <w:lang w:val="es-ES"/>
        </w:rPr>
      </w:pPr>
    </w:p>
    <w:p w14:paraId="678F478B" w14:textId="77777777" w:rsidR="00AE1D2A" w:rsidRDefault="00AE1D2A" w:rsidP="001F0EB9">
      <w:pPr>
        <w:spacing w:after="0" w:line="240" w:lineRule="auto"/>
        <w:rPr>
          <w:rFonts w:ascii="Verdana" w:hAnsi="Verdana"/>
          <w:lang w:val="es-ES"/>
        </w:rPr>
      </w:pPr>
    </w:p>
    <w:p w14:paraId="0689849E" w14:textId="77777777" w:rsidR="00AE1D2A" w:rsidRDefault="00AE1D2A" w:rsidP="001F0EB9">
      <w:pPr>
        <w:spacing w:after="0" w:line="240" w:lineRule="auto"/>
        <w:rPr>
          <w:rFonts w:ascii="Verdana" w:hAnsi="Verdana"/>
          <w:lang w:val="es-ES"/>
        </w:rPr>
      </w:pPr>
    </w:p>
    <w:p w14:paraId="7FB08276" w14:textId="77777777" w:rsidR="00AE1D2A" w:rsidRDefault="00AE1D2A" w:rsidP="001F0EB9">
      <w:pPr>
        <w:spacing w:after="0" w:line="240" w:lineRule="auto"/>
        <w:rPr>
          <w:rFonts w:ascii="Verdana" w:hAnsi="Verdana"/>
          <w:lang w:val="es-ES"/>
        </w:rPr>
      </w:pPr>
    </w:p>
    <w:p w14:paraId="11607911" w14:textId="77777777" w:rsidR="00AE1D2A" w:rsidRDefault="00AE1D2A" w:rsidP="001F0EB9">
      <w:pPr>
        <w:spacing w:after="0" w:line="240" w:lineRule="auto"/>
        <w:rPr>
          <w:rFonts w:ascii="Verdana" w:hAnsi="Verdana"/>
          <w:lang w:val="es-ES"/>
        </w:rPr>
      </w:pPr>
    </w:p>
    <w:p w14:paraId="59B30A1B" w14:textId="77777777" w:rsidR="00AE1D2A" w:rsidRPr="00AE1D2A" w:rsidRDefault="00AE1D2A" w:rsidP="001F0EB9">
      <w:pPr>
        <w:spacing w:after="0" w:line="240" w:lineRule="auto"/>
        <w:rPr>
          <w:rFonts w:ascii="Verdana" w:hAnsi="Verdana"/>
          <w:lang w:val="es-ES"/>
        </w:rPr>
      </w:pPr>
    </w:p>
    <w:p w14:paraId="38C5BCB4" w14:textId="0AF72BB7" w:rsidR="001F0EB9" w:rsidRPr="002B4BE9" w:rsidRDefault="001F0EB9" w:rsidP="001F0EB9">
      <w:pPr>
        <w:spacing w:after="0" w:line="240" w:lineRule="auto"/>
        <w:rPr>
          <w:rFonts w:ascii="Verdana" w:hAnsi="Verdana"/>
        </w:rPr>
      </w:pPr>
      <w:r>
        <w:rPr>
          <w:rFonts w:ascii="Verdana" w:hAnsi="Verdana"/>
        </w:rPr>
        <w:t>Bogotá D.C., 15 de diciembre de 2025</w:t>
      </w:r>
      <w:r w:rsidRPr="002B4BE9">
        <w:rPr>
          <w:rFonts w:ascii="Verdana" w:hAnsi="Verdana"/>
        </w:rPr>
        <w:tab/>
      </w:r>
    </w:p>
    <w:p w14:paraId="14E51AF6" w14:textId="77777777" w:rsidR="001F0EB9" w:rsidRDefault="001F0EB9" w:rsidP="001F0EB9">
      <w:pPr>
        <w:spacing w:after="0" w:line="240" w:lineRule="auto"/>
        <w:rPr>
          <w:rFonts w:ascii="Verdana" w:hAnsi="Verdana"/>
        </w:rPr>
      </w:pPr>
    </w:p>
    <w:p w14:paraId="5E43E920" w14:textId="2C937BEC" w:rsidR="00AE1D2A" w:rsidRPr="002B4BE9" w:rsidRDefault="00AE1D2A" w:rsidP="00AE1D2A">
      <w:pPr>
        <w:spacing w:after="0" w:line="240" w:lineRule="auto"/>
        <w:ind w:left="2832"/>
        <w:rPr>
          <w:rFonts w:ascii="Verdana" w:hAnsi="Verdana"/>
        </w:rPr>
      </w:pPr>
      <w:r>
        <w:rPr>
          <w:noProof/>
        </w:rPr>
        <w:drawing>
          <wp:inline distT="0" distB="0" distL="0" distR="0" wp14:anchorId="3105E60D" wp14:editId="4A5747FB">
            <wp:extent cx="3324225" cy="971550"/>
            <wp:effectExtent l="0" t="0" r="9525" b="0"/>
            <wp:docPr id="46006140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0061408" name=""/>
                    <pic:cNvPicPr/>
                  </pic:nvPicPr>
                  <pic:blipFill>
                    <a:blip r:embed="rId11"/>
                    <a:stretch>
                      <a:fillRect/>
                    </a:stretch>
                  </pic:blipFill>
                  <pic:spPr>
                    <a:xfrm>
                      <a:off x="0" y="0"/>
                      <a:ext cx="3324225" cy="971550"/>
                    </a:xfrm>
                    <a:prstGeom prst="rect">
                      <a:avLst/>
                    </a:prstGeom>
                  </pic:spPr>
                </pic:pic>
              </a:graphicData>
            </a:graphic>
          </wp:inline>
        </w:drawing>
      </w:r>
    </w:p>
    <w:p w14:paraId="3448137A" w14:textId="77777777" w:rsidR="001F0EB9" w:rsidRPr="002B4BE9" w:rsidRDefault="001F0EB9" w:rsidP="001F0EB9">
      <w:pPr>
        <w:spacing w:after="0" w:line="240" w:lineRule="auto"/>
        <w:rPr>
          <w:rFonts w:ascii="Verdana" w:eastAsia="Calibri" w:hAnsi="Verdana" w:cs="Times New Roman"/>
          <w:lang w:val="es-MX"/>
        </w:rPr>
      </w:pPr>
      <w:r w:rsidRPr="002B4BE9">
        <w:rPr>
          <w:rFonts w:ascii="Verdana" w:eastAsia="Calibri" w:hAnsi="Verdana" w:cs="Times New Roman"/>
          <w:lang w:val="es-MX"/>
        </w:rPr>
        <w:t>Señor</w:t>
      </w:r>
      <w:r>
        <w:rPr>
          <w:rFonts w:ascii="Verdana" w:eastAsia="Calibri" w:hAnsi="Verdana" w:cs="Times New Roman"/>
          <w:lang w:val="es-MX"/>
        </w:rPr>
        <w:t>a</w:t>
      </w:r>
    </w:p>
    <w:p w14:paraId="4C200D6E" w14:textId="5FCEACD6" w:rsidR="001F0EB9" w:rsidRDefault="00FE20A4" w:rsidP="001F0EB9">
      <w:pPr>
        <w:spacing w:after="0" w:line="240" w:lineRule="auto"/>
        <w:rPr>
          <w:rFonts w:ascii="Verdana" w:eastAsia="Calibri" w:hAnsi="Verdana" w:cs="Times New Roman"/>
          <w:b/>
        </w:rPr>
      </w:pPr>
      <w:r w:rsidRPr="00FE20A4">
        <w:rPr>
          <w:rFonts w:ascii="Verdana" w:eastAsia="Calibri" w:hAnsi="Verdana" w:cs="Times New Roman"/>
          <w:b/>
        </w:rPr>
        <w:t xml:space="preserve">Diana Patricia </w:t>
      </w:r>
      <w:bookmarkStart w:id="1" w:name="_Hlk216725409"/>
      <w:r w:rsidRPr="00FE20A4">
        <w:rPr>
          <w:rFonts w:ascii="Verdana" w:eastAsia="Calibri" w:hAnsi="Verdana" w:cs="Times New Roman"/>
          <w:b/>
        </w:rPr>
        <w:t>Arango</w:t>
      </w:r>
      <w:bookmarkEnd w:id="1"/>
    </w:p>
    <w:p w14:paraId="04B01433" w14:textId="77777777" w:rsidR="001F0EB9" w:rsidRPr="00711B65" w:rsidRDefault="00000000" w:rsidP="001F0EB9">
      <w:pPr>
        <w:spacing w:after="0" w:line="240" w:lineRule="auto"/>
        <w:rPr>
          <w:rFonts w:ascii="Verdana" w:eastAsia="Calibri" w:hAnsi="Verdana" w:cs="Times New Roman"/>
          <w:b/>
        </w:rPr>
      </w:pPr>
      <w:hyperlink r:id="rId12" w:tgtFrame="_blank" w:history="1">
        <w:r w:rsidR="001F0EB9" w:rsidRPr="00C16E92">
          <w:rPr>
            <w:rStyle w:val="Hipervnculo"/>
            <w:rFonts w:ascii="Verdana" w:hAnsi="Verdana"/>
          </w:rPr>
          <w:t>pdianaarango@gmail.com</w:t>
        </w:r>
      </w:hyperlink>
    </w:p>
    <w:p w14:paraId="359B3C47" w14:textId="77777777" w:rsidR="001F0EB9" w:rsidRDefault="001F0EB9" w:rsidP="001F0EB9">
      <w:pPr>
        <w:spacing w:after="0" w:line="240" w:lineRule="auto"/>
        <w:rPr>
          <w:rFonts w:ascii="Verdana" w:eastAsia="Calibri" w:hAnsi="Verdana" w:cs="Times New Roman"/>
        </w:rPr>
      </w:pPr>
    </w:p>
    <w:p w14:paraId="1F645180" w14:textId="77777777" w:rsidR="001F0EB9" w:rsidRPr="002B4BE9" w:rsidRDefault="001F0EB9" w:rsidP="001F0EB9">
      <w:pPr>
        <w:spacing w:after="0" w:line="240" w:lineRule="auto"/>
        <w:rPr>
          <w:rFonts w:ascii="Verdana" w:eastAsia="Calibri" w:hAnsi="Verdana" w:cs="Times New Roman"/>
        </w:rPr>
      </w:pPr>
    </w:p>
    <w:p w14:paraId="66976FF1" w14:textId="77777777" w:rsidR="001F0EB9" w:rsidRPr="002B4BE9" w:rsidRDefault="001F0EB9" w:rsidP="001F0EB9">
      <w:pPr>
        <w:spacing w:after="0" w:line="240" w:lineRule="auto"/>
        <w:rPr>
          <w:rFonts w:ascii="Verdana" w:eastAsia="Calibri" w:hAnsi="Verdana" w:cs="Times New Roman"/>
          <w:b/>
          <w:bCs/>
          <w:lang w:val="es-ES"/>
        </w:rPr>
      </w:pPr>
      <w:r w:rsidRPr="002B4BE9">
        <w:rPr>
          <w:rFonts w:ascii="Verdana" w:eastAsia="Calibri" w:hAnsi="Verdana" w:cs="Times New Roman"/>
          <w:b/>
          <w:bCs/>
          <w:lang w:val="es-ES"/>
        </w:rPr>
        <w:t xml:space="preserve">                                    Concepto C–</w:t>
      </w:r>
      <w:r>
        <w:rPr>
          <w:rFonts w:ascii="Verdana" w:eastAsia="Calibri" w:hAnsi="Verdana" w:cs="Times New Roman"/>
          <w:b/>
          <w:bCs/>
          <w:lang w:val="es-ES"/>
        </w:rPr>
        <w:t>1612</w:t>
      </w:r>
      <w:r w:rsidRPr="002B4BE9">
        <w:rPr>
          <w:rFonts w:ascii="Verdana" w:eastAsia="Calibri" w:hAnsi="Verdana" w:cs="Times New Roman"/>
          <w:b/>
          <w:bCs/>
          <w:lang w:val="es-ES"/>
        </w:rPr>
        <w:t xml:space="preserve"> de 2025</w:t>
      </w:r>
    </w:p>
    <w:p w14:paraId="5AAE6596" w14:textId="77777777" w:rsidR="001F0EB9" w:rsidRPr="002B4BE9" w:rsidRDefault="001F0EB9" w:rsidP="001F0EB9">
      <w:pPr>
        <w:spacing w:after="0" w:line="240" w:lineRule="auto"/>
        <w:rPr>
          <w:rFonts w:ascii="Verdana" w:eastAsia="Calibri" w:hAnsi="Verdana" w:cs="Times New Roman"/>
          <w:lang w:val="es-ES_tradnl"/>
        </w:rPr>
      </w:pPr>
    </w:p>
    <w:tbl>
      <w:tblPr>
        <w:tblStyle w:val="Tablaconcuadrcula11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1F0EB9" w:rsidRPr="002B4BE9" w14:paraId="0D1EA94A" w14:textId="77777777" w:rsidTr="0009157C">
        <w:trPr>
          <w:trHeight w:val="645"/>
        </w:trPr>
        <w:tc>
          <w:tcPr>
            <w:tcW w:w="2685" w:type="dxa"/>
            <w:hideMark/>
          </w:tcPr>
          <w:p w14:paraId="6F7C210D" w14:textId="77777777" w:rsidR="001F0EB9" w:rsidRPr="002B4BE9" w:rsidRDefault="001F0EB9" w:rsidP="0009157C">
            <w:pPr>
              <w:rPr>
                <w:rFonts w:ascii="Verdana" w:hAnsi="Verdana"/>
                <w:b/>
                <w:bCs/>
                <w:lang w:val="es-ES_tradnl"/>
              </w:rPr>
            </w:pPr>
            <w:r w:rsidRPr="002B4BE9">
              <w:rPr>
                <w:rFonts w:ascii="Verdana" w:hAnsi="Verdana"/>
                <w:b/>
                <w:bCs/>
                <w:lang w:val="es-ES_tradnl"/>
              </w:rPr>
              <w:t xml:space="preserve">Temas:                  </w:t>
            </w:r>
          </w:p>
        </w:tc>
        <w:tc>
          <w:tcPr>
            <w:tcW w:w="6241" w:type="dxa"/>
            <w:hideMark/>
          </w:tcPr>
          <w:p w14:paraId="080CEFB4" w14:textId="77777777" w:rsidR="001F0EB9" w:rsidRPr="002B4BE9" w:rsidRDefault="001F0EB9" w:rsidP="0009157C">
            <w:pPr>
              <w:snapToGrid w:val="0"/>
              <w:jc w:val="both"/>
              <w:rPr>
                <w:rFonts w:ascii="Verdana" w:hAnsi="Verdana" w:cs="Arial"/>
                <w:bCs/>
                <w:lang w:val="es-ES" w:eastAsia="es-ES"/>
              </w:rPr>
            </w:pPr>
            <w:r w:rsidRPr="002B4BE9">
              <w:rPr>
                <w:rFonts w:ascii="Verdana" w:hAnsi="Verdana" w:cs="Arial"/>
                <w:bCs/>
                <w:lang w:val="es-ES" w:eastAsia="es-ES"/>
              </w:rPr>
              <w:t xml:space="preserve">CONTRATO ESTATAL – Ejercicio – Funciones de control y vigilancia / CONTRATO ESTATAL – Supervisión – Interventoría – características / SUPERVISIÓN – Designación – Servidor Público – Lineamientos / SUPERVISIÓN – Conflictos de interés / SUPERVISIÓN – Rol – Estructurador – Procedencia – Limitaciones / SUPERVISIÓN – Controles - Transparencia. </w:t>
            </w:r>
          </w:p>
        </w:tc>
        <w:tc>
          <w:tcPr>
            <w:tcW w:w="6237" w:type="dxa"/>
          </w:tcPr>
          <w:p w14:paraId="73548928" w14:textId="77777777" w:rsidR="001F0EB9" w:rsidRPr="002B4BE9" w:rsidRDefault="001F0EB9" w:rsidP="0009157C">
            <w:pPr>
              <w:rPr>
                <w:rFonts w:ascii="Verdana" w:hAnsi="Verdana"/>
                <w:lang w:val="es-ES"/>
              </w:rPr>
            </w:pPr>
          </w:p>
        </w:tc>
      </w:tr>
      <w:tr w:rsidR="001F0EB9" w:rsidRPr="002B4BE9" w14:paraId="5C174EEE" w14:textId="77777777" w:rsidTr="0009157C">
        <w:tc>
          <w:tcPr>
            <w:tcW w:w="2685" w:type="dxa"/>
          </w:tcPr>
          <w:p w14:paraId="6C5122C5" w14:textId="77777777" w:rsidR="001F0EB9" w:rsidRPr="002B4BE9" w:rsidRDefault="001F0EB9" w:rsidP="0009157C">
            <w:pPr>
              <w:rPr>
                <w:rFonts w:ascii="Verdana" w:hAnsi="Verdana"/>
                <w:b/>
                <w:bCs/>
                <w:lang w:val="es-ES_tradnl"/>
              </w:rPr>
            </w:pPr>
          </w:p>
          <w:p w14:paraId="7FAFC3D1" w14:textId="77777777" w:rsidR="001F0EB9" w:rsidRPr="002B4BE9" w:rsidRDefault="001F0EB9" w:rsidP="0009157C">
            <w:pPr>
              <w:rPr>
                <w:rFonts w:ascii="Verdana" w:hAnsi="Verdana"/>
                <w:b/>
                <w:bCs/>
                <w:lang w:val="es-ES_tradnl"/>
              </w:rPr>
            </w:pPr>
          </w:p>
          <w:p w14:paraId="14F82AA1" w14:textId="77777777" w:rsidR="001F0EB9" w:rsidRPr="00995618" w:rsidRDefault="001F0EB9" w:rsidP="0009157C">
            <w:pPr>
              <w:rPr>
                <w:rFonts w:ascii="Verdana" w:hAnsi="Verdana"/>
                <w:b/>
                <w:bCs/>
                <w:lang w:val="es-ES_tradnl"/>
              </w:rPr>
            </w:pPr>
            <w:r w:rsidRPr="002B4BE9">
              <w:rPr>
                <w:rFonts w:ascii="Verdana" w:hAnsi="Verdana"/>
                <w:b/>
                <w:bCs/>
                <w:lang w:val="es-ES_tradnl"/>
              </w:rPr>
              <w:t xml:space="preserve">Radicación:               </w:t>
            </w:r>
          </w:p>
        </w:tc>
        <w:tc>
          <w:tcPr>
            <w:tcW w:w="6241" w:type="dxa"/>
          </w:tcPr>
          <w:p w14:paraId="752C5A77" w14:textId="77777777" w:rsidR="001F0EB9" w:rsidRDefault="001F0EB9" w:rsidP="0009157C">
            <w:pPr>
              <w:jc w:val="both"/>
              <w:rPr>
                <w:rFonts w:ascii="Verdana" w:hAnsi="Verdana"/>
                <w:lang w:val="es-ES_tradnl"/>
              </w:rPr>
            </w:pPr>
          </w:p>
          <w:p w14:paraId="41977F31" w14:textId="77777777" w:rsidR="001F0EB9" w:rsidRPr="002B4BE9" w:rsidRDefault="001F0EB9" w:rsidP="0009157C">
            <w:pPr>
              <w:jc w:val="both"/>
              <w:rPr>
                <w:rFonts w:ascii="Verdana" w:hAnsi="Verdana"/>
                <w:lang w:val="es-ES_tradnl"/>
              </w:rPr>
            </w:pPr>
            <w:r w:rsidRPr="002B4BE9">
              <w:rPr>
                <w:rFonts w:ascii="Verdana" w:hAnsi="Verdana"/>
                <w:lang w:val="es-ES_tradnl"/>
              </w:rPr>
              <w:t>Respuesta a consulta con radicado</w:t>
            </w:r>
            <w:r>
              <w:rPr>
                <w:rFonts w:ascii="Verdana" w:hAnsi="Verdana"/>
                <w:lang w:val="es-ES_tradnl"/>
              </w:rPr>
              <w:t xml:space="preserve"> </w:t>
            </w:r>
            <w:r w:rsidRPr="00711B65">
              <w:rPr>
                <w:rFonts w:ascii="Verdana" w:hAnsi="Verdana"/>
                <w:lang w:val="es-ES_tradnl"/>
              </w:rPr>
              <w:t>1_2025_10_31_012319</w:t>
            </w:r>
          </w:p>
          <w:p w14:paraId="6BF74D4B" w14:textId="77777777" w:rsidR="001F0EB9" w:rsidRPr="002B4BE9" w:rsidRDefault="001F0EB9" w:rsidP="0009157C">
            <w:pPr>
              <w:jc w:val="both"/>
              <w:rPr>
                <w:rFonts w:ascii="Verdana" w:hAnsi="Verdana"/>
              </w:rPr>
            </w:pPr>
          </w:p>
          <w:p w14:paraId="095D35ED" w14:textId="77777777" w:rsidR="001F0EB9" w:rsidRPr="002B4BE9" w:rsidRDefault="001F0EB9" w:rsidP="0009157C">
            <w:pPr>
              <w:jc w:val="both"/>
              <w:rPr>
                <w:rFonts w:ascii="Verdana" w:hAnsi="Verdana"/>
              </w:rPr>
            </w:pPr>
          </w:p>
        </w:tc>
        <w:tc>
          <w:tcPr>
            <w:tcW w:w="6237" w:type="dxa"/>
          </w:tcPr>
          <w:p w14:paraId="57EA8C5A" w14:textId="77777777" w:rsidR="001F0EB9" w:rsidRPr="002B4BE9" w:rsidRDefault="001F0EB9" w:rsidP="0009157C">
            <w:pPr>
              <w:rPr>
                <w:rFonts w:ascii="Verdana" w:hAnsi="Verdana"/>
              </w:rPr>
            </w:pPr>
          </w:p>
        </w:tc>
      </w:tr>
    </w:tbl>
    <w:p w14:paraId="053BF26E" w14:textId="044AC675" w:rsidR="001F0EB9" w:rsidRPr="009037F6" w:rsidRDefault="001F0EB9" w:rsidP="00C16E92">
      <w:pPr>
        <w:spacing w:after="0" w:line="276" w:lineRule="auto"/>
        <w:rPr>
          <w:rFonts w:ascii="Verdana" w:eastAsia="Calibri" w:hAnsi="Verdana" w:cs="Times New Roman"/>
          <w:lang w:val="es-ES"/>
        </w:rPr>
      </w:pPr>
      <w:r>
        <w:rPr>
          <w:rFonts w:ascii="Verdana" w:eastAsia="Calibri" w:hAnsi="Verdana" w:cs="Times New Roman"/>
          <w:lang w:val="es-ES"/>
        </w:rPr>
        <w:t>Estimad</w:t>
      </w:r>
      <w:r w:rsidR="0082451F">
        <w:rPr>
          <w:rFonts w:ascii="Verdana" w:eastAsia="Calibri" w:hAnsi="Verdana" w:cs="Times New Roman"/>
          <w:lang w:val="es-ES"/>
        </w:rPr>
        <w:t>a</w:t>
      </w:r>
      <w:r>
        <w:rPr>
          <w:rFonts w:ascii="Verdana" w:eastAsia="Calibri" w:hAnsi="Verdana" w:cs="Times New Roman"/>
          <w:lang w:val="es-ES"/>
        </w:rPr>
        <w:t xml:space="preserve"> Señor</w:t>
      </w:r>
      <w:r w:rsidR="0082451F">
        <w:rPr>
          <w:rFonts w:ascii="Verdana" w:eastAsia="Calibri" w:hAnsi="Verdana" w:cs="Times New Roman"/>
          <w:lang w:val="es-ES"/>
        </w:rPr>
        <w:t>a</w:t>
      </w:r>
      <w:r>
        <w:rPr>
          <w:rFonts w:ascii="Verdana" w:eastAsia="Calibri" w:hAnsi="Verdana" w:cs="Times New Roman"/>
          <w:lang w:val="es-ES"/>
        </w:rPr>
        <w:t xml:space="preserve"> </w:t>
      </w:r>
      <w:r w:rsidR="0082451F" w:rsidRPr="0082451F">
        <w:rPr>
          <w:rFonts w:ascii="Verdana" w:eastAsia="Calibri" w:hAnsi="Verdana" w:cs="Times New Roman"/>
          <w:lang w:val="es-ES"/>
        </w:rPr>
        <w:t>Arango</w:t>
      </w:r>
      <w:r w:rsidRPr="009037F6">
        <w:rPr>
          <w:rFonts w:ascii="Verdana" w:eastAsia="Calibri" w:hAnsi="Verdana" w:cs="Times New Roman"/>
          <w:lang w:val="es-ES"/>
        </w:rPr>
        <w:t xml:space="preserve">: </w:t>
      </w:r>
    </w:p>
    <w:p w14:paraId="67D02400" w14:textId="77777777" w:rsidR="001F0EB9" w:rsidRPr="009037F6" w:rsidRDefault="001F0EB9" w:rsidP="001F0EB9">
      <w:pPr>
        <w:spacing w:after="0" w:line="276" w:lineRule="auto"/>
        <w:rPr>
          <w:rFonts w:ascii="Verdana" w:eastAsia="Calibri" w:hAnsi="Verdana" w:cs="Times New Roman"/>
          <w:lang w:val="es-ES"/>
        </w:rPr>
      </w:pPr>
    </w:p>
    <w:p w14:paraId="3701FD20" w14:textId="77777777" w:rsidR="001F0EB9" w:rsidRPr="009037F6" w:rsidRDefault="001F0EB9" w:rsidP="001F0EB9">
      <w:pPr>
        <w:spacing w:after="0" w:line="276" w:lineRule="auto"/>
        <w:jc w:val="both"/>
        <w:rPr>
          <w:rFonts w:ascii="Verdana" w:eastAsia="Calibri" w:hAnsi="Verdana" w:cs="Times New Roman"/>
          <w:bCs/>
          <w:lang w:val="es-ES" w:bidi="es-ES"/>
        </w:rPr>
      </w:pPr>
      <w:r w:rsidRPr="009037F6">
        <w:rPr>
          <w:rFonts w:ascii="Verdana" w:eastAsia="Calibri" w:hAnsi="Verdana" w:cs="Times New Roman"/>
          <w:bCs/>
          <w:lang w:bidi="es-ES"/>
        </w:rPr>
        <w:t xml:space="preserve">La Agencia Nacional de Contratación Pública – Colombia Compra Eficiente –, en ejercicio de las competencias otorgadas por los Decretos 4170 de 2011 y 1822 de 2019 y de conformidad con las modalidades del derecho de petición contempladas en la Ley 1755 de 2015, así como lo establecido en la Resolución </w:t>
      </w:r>
      <w:proofErr w:type="spellStart"/>
      <w:r w:rsidRPr="009037F6">
        <w:rPr>
          <w:rFonts w:ascii="Verdana" w:eastAsia="Calibri" w:hAnsi="Verdana" w:cs="Times New Roman"/>
          <w:bCs/>
          <w:lang w:bidi="es-ES"/>
        </w:rPr>
        <w:t>N°</w:t>
      </w:r>
      <w:proofErr w:type="spellEnd"/>
      <w:r w:rsidRPr="009037F6">
        <w:rPr>
          <w:rFonts w:ascii="Verdana" w:eastAsia="Calibri" w:hAnsi="Verdana" w:cs="Times New Roman"/>
          <w:bCs/>
          <w:lang w:bidi="es-ES"/>
        </w:rPr>
        <w:t xml:space="preserve"> 469 del 2025 expedida por esta Agencia, </w:t>
      </w:r>
      <w:r w:rsidRPr="009037F6">
        <w:rPr>
          <w:rFonts w:ascii="Verdana" w:eastAsia="Calibri" w:hAnsi="Verdana" w:cs="Times New Roman"/>
          <w:bCs/>
          <w:lang w:val="es-ES" w:bidi="es-ES"/>
        </w:rPr>
        <w:t>respond</w:t>
      </w:r>
      <w:r>
        <w:rPr>
          <w:rFonts w:ascii="Verdana" w:eastAsia="Calibri" w:hAnsi="Verdana" w:cs="Times New Roman"/>
          <w:bCs/>
          <w:lang w:val="es-ES" w:bidi="es-ES"/>
        </w:rPr>
        <w:t>e la solicitud de consulta de octubre 31 del 2025</w:t>
      </w:r>
      <w:r w:rsidRPr="009037F6">
        <w:rPr>
          <w:rFonts w:ascii="Verdana" w:eastAsia="Calibri" w:hAnsi="Verdana" w:cs="Times New Roman"/>
          <w:bCs/>
          <w:lang w:val="es-ES" w:bidi="es-ES"/>
        </w:rPr>
        <w:t xml:space="preserve">, en la cual manifiesta: </w:t>
      </w:r>
    </w:p>
    <w:p w14:paraId="4BE70ED3" w14:textId="77777777" w:rsidR="00240A63" w:rsidRPr="003C0ED7" w:rsidRDefault="00240A63" w:rsidP="001F0EB9">
      <w:pPr>
        <w:spacing w:after="0" w:line="276" w:lineRule="auto"/>
        <w:ind w:right="709"/>
        <w:jc w:val="both"/>
        <w:rPr>
          <w:rFonts w:ascii="Verdana" w:eastAsia="Calibri" w:hAnsi="Verdana" w:cs="Times New Roman"/>
          <w:bCs/>
          <w:sz w:val="20"/>
          <w:szCs w:val="20"/>
          <w:lang w:bidi="es-ES"/>
        </w:rPr>
      </w:pPr>
    </w:p>
    <w:p w14:paraId="280BC22A" w14:textId="697AD4E9" w:rsidR="001F0EB9" w:rsidRDefault="00F566CB" w:rsidP="00C65349">
      <w:pPr>
        <w:spacing w:after="0" w:line="240" w:lineRule="auto"/>
        <w:ind w:left="709" w:right="709"/>
        <w:jc w:val="both"/>
        <w:rPr>
          <w:rFonts w:ascii="Verdana" w:eastAsia="Calibri" w:hAnsi="Verdana" w:cs="Times New Roman"/>
          <w:bCs/>
          <w:sz w:val="20"/>
          <w:szCs w:val="20"/>
          <w:lang w:bidi="es-ES"/>
        </w:rPr>
      </w:pPr>
      <w:r>
        <w:rPr>
          <w:rFonts w:ascii="Verdana" w:eastAsia="Calibri" w:hAnsi="Verdana" w:cs="Times New Roman"/>
          <w:bCs/>
          <w:sz w:val="20"/>
          <w:szCs w:val="20"/>
          <w:lang w:bidi="es-ES"/>
        </w:rPr>
        <w:t>“</w:t>
      </w:r>
      <w:r w:rsidR="001F0EB9" w:rsidRPr="00C71E10">
        <w:rPr>
          <w:rFonts w:ascii="Verdana" w:eastAsia="Calibri" w:hAnsi="Verdana" w:cs="Times New Roman"/>
          <w:bCs/>
          <w:sz w:val="20"/>
          <w:szCs w:val="20"/>
          <w:lang w:bidi="es-ES"/>
        </w:rPr>
        <w:t>Por medio de la presente, solicito me informe:</w:t>
      </w:r>
    </w:p>
    <w:p w14:paraId="43DB714A" w14:textId="77777777" w:rsidR="00C65349" w:rsidRPr="00C71E10" w:rsidRDefault="00C65349" w:rsidP="00C65349">
      <w:pPr>
        <w:spacing w:after="0" w:line="240" w:lineRule="auto"/>
        <w:ind w:left="709" w:right="709"/>
        <w:jc w:val="both"/>
        <w:rPr>
          <w:rFonts w:ascii="Verdana" w:eastAsia="Calibri" w:hAnsi="Verdana" w:cs="Times New Roman"/>
          <w:bCs/>
          <w:sz w:val="20"/>
          <w:szCs w:val="20"/>
          <w:lang w:bidi="es-ES"/>
        </w:rPr>
      </w:pPr>
    </w:p>
    <w:p w14:paraId="66249B80" w14:textId="77777777" w:rsidR="001F0EB9" w:rsidRPr="00C65349" w:rsidRDefault="001F0EB9" w:rsidP="001F0EB9">
      <w:pPr>
        <w:spacing w:after="0" w:line="240" w:lineRule="auto"/>
        <w:ind w:left="709" w:right="709"/>
        <w:jc w:val="both"/>
        <w:rPr>
          <w:rFonts w:ascii="Verdana" w:eastAsia="Calibri" w:hAnsi="Verdana" w:cs="Times New Roman"/>
          <w:bCs/>
          <w:sz w:val="18"/>
          <w:szCs w:val="18"/>
          <w:lang w:bidi="es-ES"/>
        </w:rPr>
      </w:pPr>
      <w:r w:rsidRPr="00C71E10">
        <w:rPr>
          <w:rFonts w:ascii="Verdana" w:eastAsia="Calibri" w:hAnsi="Verdana" w:cs="Times New Roman"/>
          <w:bCs/>
          <w:sz w:val="20"/>
          <w:szCs w:val="20"/>
          <w:lang w:bidi="es-ES"/>
        </w:rPr>
        <w:t xml:space="preserve">Cuando el Artículo 83 de la Ley 1474 de 2011, refiere que la interventoría </w:t>
      </w:r>
      <w:r w:rsidRPr="00C65349">
        <w:rPr>
          <w:rFonts w:ascii="Verdana" w:eastAsia="Calibri" w:hAnsi="Verdana" w:cs="Times New Roman"/>
          <w:bCs/>
          <w:sz w:val="18"/>
          <w:szCs w:val="18"/>
          <w:lang w:bidi="es-ES"/>
        </w:rPr>
        <w:t>se requiere en los eventos en que "...el seguimiento del contrato suponga conocimiento especializado en la materia, o cuando la complejidad o la extensión del mismo lo justifiquen...", sírvase a informar:</w:t>
      </w:r>
    </w:p>
    <w:p w14:paraId="256E59F7" w14:textId="77777777" w:rsidR="001F0EB9" w:rsidRPr="00C65349" w:rsidRDefault="001F0EB9" w:rsidP="001F0EB9">
      <w:pPr>
        <w:spacing w:after="0" w:line="240" w:lineRule="auto"/>
        <w:ind w:left="709" w:right="709"/>
        <w:jc w:val="both"/>
        <w:rPr>
          <w:rFonts w:ascii="Verdana" w:eastAsia="Calibri" w:hAnsi="Verdana" w:cs="Times New Roman"/>
          <w:bCs/>
          <w:sz w:val="18"/>
          <w:szCs w:val="18"/>
          <w:lang w:bidi="es-ES"/>
        </w:rPr>
      </w:pPr>
    </w:p>
    <w:p w14:paraId="157E11C1" w14:textId="77777777" w:rsidR="001F0EB9" w:rsidRPr="00C65349" w:rsidRDefault="001F0EB9" w:rsidP="001F0EB9">
      <w:pPr>
        <w:spacing w:after="0" w:line="240" w:lineRule="auto"/>
        <w:ind w:left="709" w:right="709"/>
        <w:jc w:val="both"/>
        <w:rPr>
          <w:rFonts w:ascii="Verdana" w:eastAsia="Calibri" w:hAnsi="Verdana" w:cs="Times New Roman"/>
          <w:bCs/>
          <w:sz w:val="18"/>
          <w:szCs w:val="18"/>
          <w:lang w:bidi="es-ES"/>
        </w:rPr>
      </w:pPr>
      <w:r w:rsidRPr="00C65349">
        <w:rPr>
          <w:rFonts w:ascii="Verdana" w:eastAsia="Calibri" w:hAnsi="Verdana" w:cs="Times New Roman"/>
          <w:bCs/>
          <w:sz w:val="18"/>
          <w:szCs w:val="18"/>
          <w:lang w:bidi="es-ES"/>
        </w:rPr>
        <w:t>1. Que parámetros o fundamentos de origen legal definen "conocimiento especializado".</w:t>
      </w:r>
    </w:p>
    <w:p w14:paraId="207BD55C" w14:textId="77777777" w:rsidR="001F0EB9" w:rsidRPr="00C65349" w:rsidRDefault="001F0EB9" w:rsidP="001F0EB9">
      <w:pPr>
        <w:spacing w:after="0" w:line="240" w:lineRule="auto"/>
        <w:ind w:left="709" w:right="709"/>
        <w:jc w:val="both"/>
        <w:rPr>
          <w:rFonts w:ascii="Verdana" w:eastAsia="Calibri" w:hAnsi="Verdana" w:cs="Times New Roman"/>
          <w:bCs/>
          <w:sz w:val="18"/>
          <w:szCs w:val="18"/>
          <w:lang w:bidi="es-ES"/>
        </w:rPr>
      </w:pPr>
      <w:r w:rsidRPr="00C65349">
        <w:rPr>
          <w:rFonts w:ascii="Verdana" w:eastAsia="Calibri" w:hAnsi="Verdana" w:cs="Times New Roman"/>
          <w:bCs/>
          <w:sz w:val="18"/>
          <w:szCs w:val="18"/>
          <w:lang w:bidi="es-ES"/>
        </w:rPr>
        <w:t>2. Que parámetros o fundamentos de origen jurisprudencial definen "conocimiento especializado".</w:t>
      </w:r>
    </w:p>
    <w:p w14:paraId="49B4DF65" w14:textId="77777777" w:rsidR="001F0EB9" w:rsidRPr="00C65349" w:rsidRDefault="001F0EB9" w:rsidP="001F0EB9">
      <w:pPr>
        <w:spacing w:after="0" w:line="240" w:lineRule="auto"/>
        <w:ind w:left="709" w:right="709"/>
        <w:jc w:val="both"/>
        <w:rPr>
          <w:rFonts w:ascii="Verdana" w:eastAsia="Calibri" w:hAnsi="Verdana" w:cs="Times New Roman"/>
          <w:bCs/>
          <w:sz w:val="18"/>
          <w:szCs w:val="18"/>
          <w:lang w:bidi="es-ES"/>
        </w:rPr>
      </w:pPr>
      <w:r w:rsidRPr="00C65349">
        <w:rPr>
          <w:rFonts w:ascii="Verdana" w:eastAsia="Calibri" w:hAnsi="Verdana" w:cs="Times New Roman"/>
          <w:bCs/>
          <w:sz w:val="18"/>
          <w:szCs w:val="18"/>
          <w:lang w:bidi="es-ES"/>
        </w:rPr>
        <w:t>3. Que parámetros o fundamentos de origen jurisprudencial definen " complejidad" del contrato.</w:t>
      </w:r>
    </w:p>
    <w:p w14:paraId="3AEB0FA4" w14:textId="77777777" w:rsidR="001F0EB9" w:rsidRPr="00C65349" w:rsidRDefault="001F0EB9" w:rsidP="001F0EB9">
      <w:pPr>
        <w:spacing w:after="0" w:line="240" w:lineRule="auto"/>
        <w:ind w:left="709" w:right="709"/>
        <w:jc w:val="both"/>
        <w:rPr>
          <w:rFonts w:ascii="Verdana" w:eastAsia="Calibri" w:hAnsi="Verdana" w:cs="Times New Roman"/>
          <w:bCs/>
          <w:sz w:val="18"/>
          <w:szCs w:val="18"/>
          <w:lang w:bidi="es-ES"/>
        </w:rPr>
      </w:pPr>
      <w:r w:rsidRPr="00C65349">
        <w:rPr>
          <w:rFonts w:ascii="Verdana" w:eastAsia="Calibri" w:hAnsi="Verdana" w:cs="Times New Roman"/>
          <w:bCs/>
          <w:sz w:val="18"/>
          <w:szCs w:val="18"/>
          <w:lang w:bidi="es-ES"/>
        </w:rPr>
        <w:t>4. Que parámetros o fundamentos de origen legal definen " complejidad" del contrato.</w:t>
      </w:r>
    </w:p>
    <w:p w14:paraId="66C3DA45" w14:textId="77777777" w:rsidR="001F0EB9" w:rsidRPr="00C65349" w:rsidRDefault="001F0EB9" w:rsidP="001F0EB9">
      <w:pPr>
        <w:spacing w:after="0" w:line="240" w:lineRule="auto"/>
        <w:ind w:left="709" w:right="709"/>
        <w:jc w:val="both"/>
        <w:rPr>
          <w:rFonts w:ascii="Verdana" w:eastAsia="Calibri" w:hAnsi="Verdana" w:cs="Times New Roman"/>
          <w:bCs/>
          <w:sz w:val="18"/>
          <w:szCs w:val="18"/>
          <w:lang w:bidi="es-ES"/>
        </w:rPr>
      </w:pPr>
      <w:r w:rsidRPr="00C65349">
        <w:rPr>
          <w:rFonts w:ascii="Verdana" w:eastAsia="Calibri" w:hAnsi="Verdana" w:cs="Times New Roman"/>
          <w:bCs/>
          <w:sz w:val="18"/>
          <w:szCs w:val="18"/>
          <w:lang w:bidi="es-ES"/>
        </w:rPr>
        <w:t>5.  Que parámetros o fundamentos de origen legal definen " extensión" del contrato.</w:t>
      </w:r>
    </w:p>
    <w:p w14:paraId="02998527" w14:textId="087D4619" w:rsidR="001F0EB9" w:rsidRPr="00C65349" w:rsidRDefault="001F0EB9" w:rsidP="001F0EB9">
      <w:pPr>
        <w:spacing w:after="0" w:line="240" w:lineRule="auto"/>
        <w:ind w:left="709" w:right="709"/>
        <w:jc w:val="both"/>
        <w:rPr>
          <w:rFonts w:ascii="Verdana" w:eastAsia="Calibri" w:hAnsi="Verdana" w:cs="Times New Roman"/>
          <w:bCs/>
          <w:sz w:val="18"/>
          <w:szCs w:val="18"/>
          <w:lang w:bidi="es-ES"/>
        </w:rPr>
      </w:pPr>
      <w:r w:rsidRPr="00C65349">
        <w:rPr>
          <w:rFonts w:ascii="Verdana" w:eastAsia="Calibri" w:hAnsi="Verdana" w:cs="Times New Roman"/>
          <w:bCs/>
          <w:sz w:val="18"/>
          <w:szCs w:val="18"/>
          <w:lang w:bidi="es-ES"/>
        </w:rPr>
        <w:t>6.  Que parámetros o fundamentos de origen jurisprudencial definen “extensión" del contrato</w:t>
      </w:r>
      <w:r w:rsidR="00F566CB" w:rsidRPr="00C65349">
        <w:rPr>
          <w:rFonts w:ascii="Verdana" w:eastAsia="Calibri" w:hAnsi="Verdana" w:cs="Times New Roman"/>
          <w:bCs/>
          <w:sz w:val="18"/>
          <w:szCs w:val="18"/>
          <w:lang w:bidi="es-ES"/>
        </w:rPr>
        <w:t>”</w:t>
      </w:r>
      <w:r w:rsidRPr="00C65349">
        <w:rPr>
          <w:rFonts w:ascii="Verdana" w:eastAsia="Calibri" w:hAnsi="Verdana" w:cs="Times New Roman"/>
          <w:bCs/>
          <w:sz w:val="18"/>
          <w:szCs w:val="18"/>
          <w:lang w:bidi="es-ES"/>
        </w:rPr>
        <w:t>.</w:t>
      </w:r>
    </w:p>
    <w:p w14:paraId="5695D4DA" w14:textId="77777777" w:rsidR="001F0EB9" w:rsidRPr="00C65349" w:rsidRDefault="001F0EB9" w:rsidP="001F0EB9">
      <w:pPr>
        <w:spacing w:after="0" w:line="240" w:lineRule="auto"/>
        <w:ind w:right="709"/>
        <w:jc w:val="both"/>
        <w:rPr>
          <w:rFonts w:ascii="Verdana" w:eastAsia="Calibri" w:hAnsi="Verdana" w:cs="Times New Roman"/>
          <w:bCs/>
          <w:sz w:val="18"/>
          <w:szCs w:val="18"/>
          <w:lang w:bidi="es-ES"/>
        </w:rPr>
      </w:pPr>
    </w:p>
    <w:p w14:paraId="4D138511" w14:textId="4DE15319" w:rsidR="001F0EB9" w:rsidRPr="009037F6" w:rsidRDefault="001F0EB9" w:rsidP="001F0EB9">
      <w:pPr>
        <w:spacing w:after="120" w:line="276" w:lineRule="auto"/>
        <w:ind w:firstLine="709"/>
        <w:jc w:val="both"/>
        <w:rPr>
          <w:rFonts w:ascii="Verdana" w:eastAsia="Calibri" w:hAnsi="Verdana" w:cs="Times New Roman"/>
          <w:lang w:val="es-ES"/>
        </w:rPr>
      </w:pPr>
      <w:r w:rsidRPr="009037F6">
        <w:rPr>
          <w:rFonts w:ascii="Verdana" w:eastAsia="Calibri" w:hAnsi="Verdana" w:cs="Times New Roman"/>
          <w:lang w:val="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sidR="003B2578">
        <w:rPr>
          <w:rFonts w:ascii="Verdana" w:eastAsia="Calibri" w:hAnsi="Verdana" w:cs="Times New Roman"/>
          <w:lang w:val="es-ES"/>
        </w:rPr>
        <w:t>la Agencia Nacional de Contratación Pública –</w:t>
      </w:r>
      <w:r w:rsidRPr="009037F6">
        <w:rPr>
          <w:rFonts w:ascii="Verdana" w:eastAsia="Calibri" w:hAnsi="Verdana" w:cs="Times New Roman"/>
          <w:lang w:val="es-ES"/>
        </w:rPr>
        <w:t xml:space="preserve"> Colombia</w:t>
      </w:r>
      <w:r w:rsidR="003B2578">
        <w:rPr>
          <w:rFonts w:ascii="Verdana" w:eastAsia="Calibri" w:hAnsi="Verdana" w:cs="Times New Roman"/>
          <w:lang w:val="es-ES"/>
        </w:rPr>
        <w:t xml:space="preserve"> </w:t>
      </w:r>
      <w:r w:rsidRPr="009037F6">
        <w:rPr>
          <w:rFonts w:ascii="Verdana" w:eastAsia="Calibri" w:hAnsi="Verdana" w:cs="Times New Roman"/>
          <w:lang w:val="es-ES"/>
        </w:rPr>
        <w:t>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00E4ADCE" w14:textId="77777777" w:rsidR="001F0EB9" w:rsidRPr="009037F6" w:rsidRDefault="001F0EB9" w:rsidP="001F0EB9">
      <w:pPr>
        <w:spacing w:after="0" w:line="276" w:lineRule="auto"/>
        <w:ind w:firstLine="708"/>
        <w:jc w:val="both"/>
        <w:rPr>
          <w:rFonts w:ascii="Verdana" w:eastAsia="Calibri" w:hAnsi="Verdana" w:cs="Times New Roman"/>
          <w:lang w:val="es-ES"/>
        </w:rPr>
      </w:pPr>
      <w:r w:rsidRPr="009037F6">
        <w:rPr>
          <w:rFonts w:ascii="Verdana" w:eastAsia="Calibri" w:hAnsi="Verdana" w:cs="Times New Roman"/>
          <w:lang w:val="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Pr>
          <w:rFonts w:ascii="Verdana" w:eastAsia="Calibri" w:hAnsi="Verdana" w:cs="Times New Roman"/>
          <w:lang w:val="es-ES"/>
        </w:rPr>
        <w:t xml:space="preserve">los problemas jurídicos de su consulta. </w:t>
      </w:r>
    </w:p>
    <w:p w14:paraId="5FEC5608" w14:textId="77777777" w:rsidR="001F0EB9" w:rsidRPr="009037F6" w:rsidRDefault="001F0EB9" w:rsidP="001F0EB9">
      <w:pPr>
        <w:spacing w:after="0" w:line="276" w:lineRule="auto"/>
        <w:rPr>
          <w:rFonts w:ascii="Verdana" w:eastAsia="Calibri" w:hAnsi="Verdana" w:cs="Times New Roman"/>
          <w:lang w:val="es-ES"/>
        </w:rPr>
      </w:pPr>
    </w:p>
    <w:p w14:paraId="08AD5278" w14:textId="77777777" w:rsidR="001F0EB9" w:rsidRPr="009037F6" w:rsidRDefault="001F0EB9" w:rsidP="001F0EB9">
      <w:pPr>
        <w:numPr>
          <w:ilvl w:val="0"/>
          <w:numId w:val="16"/>
        </w:numPr>
        <w:spacing w:after="0" w:line="276" w:lineRule="auto"/>
        <w:rPr>
          <w:rFonts w:ascii="Verdana" w:eastAsia="Calibri" w:hAnsi="Verdana" w:cs="Times New Roman"/>
          <w:b/>
          <w:bCs/>
          <w:lang w:val="es-ES"/>
        </w:rPr>
      </w:pPr>
      <w:r w:rsidRPr="009037F6">
        <w:rPr>
          <w:rFonts w:ascii="Verdana" w:eastAsia="Calibri" w:hAnsi="Verdana" w:cs="Times New Roman"/>
          <w:b/>
          <w:bCs/>
          <w:lang w:val="es-ES"/>
        </w:rPr>
        <w:t>Problema planteado:</w:t>
      </w:r>
    </w:p>
    <w:p w14:paraId="7C417133" w14:textId="77777777" w:rsidR="001F0EB9" w:rsidRPr="009037F6" w:rsidRDefault="001F0EB9" w:rsidP="001F0EB9">
      <w:pPr>
        <w:spacing w:after="0" w:line="276" w:lineRule="auto"/>
        <w:rPr>
          <w:rFonts w:ascii="Verdana" w:eastAsia="Calibri" w:hAnsi="Verdana" w:cs="Times New Roman"/>
        </w:rPr>
      </w:pPr>
    </w:p>
    <w:p w14:paraId="2F2B7790" w14:textId="3D75DCCA" w:rsidR="001F0EB9" w:rsidRDefault="001F0EB9" w:rsidP="001F0EB9">
      <w:pPr>
        <w:spacing w:after="0" w:line="276" w:lineRule="auto"/>
        <w:jc w:val="both"/>
        <w:rPr>
          <w:rFonts w:ascii="Verdana" w:eastAsia="Calibri" w:hAnsi="Verdana" w:cs="Times New Roman"/>
        </w:rPr>
      </w:pPr>
      <w:r w:rsidRPr="009037F6">
        <w:rPr>
          <w:rFonts w:ascii="Verdana" w:eastAsia="Calibri" w:hAnsi="Verdana" w:cs="Times New Roman"/>
        </w:rPr>
        <w:t>De acuerdo con</w:t>
      </w:r>
      <w:r>
        <w:rPr>
          <w:rFonts w:ascii="Verdana" w:eastAsia="Calibri" w:hAnsi="Verdana" w:cs="Times New Roman"/>
        </w:rPr>
        <w:t xml:space="preserve"> el contenido de sus solicitudes, la Agencia procede a resolver los siguientes problemas jurídicos: ¿</w:t>
      </w:r>
      <w:r w:rsidRPr="003C2D9D">
        <w:rPr>
          <w:rFonts w:ascii="Verdana" w:eastAsia="Calibri" w:hAnsi="Verdana" w:cs="Times New Roman"/>
        </w:rPr>
        <w:t xml:space="preserve">Qué parámetros legales y jurisprudenciales definen los conceptos de “conocimiento especializado”, “complejidad” y “extensión” del contrato, previstos en el artículo 83 de la Ley 1474 de 2011 como </w:t>
      </w:r>
      <w:r w:rsidRPr="003C2D9D">
        <w:rPr>
          <w:rFonts w:ascii="Verdana" w:eastAsia="Calibri" w:hAnsi="Verdana" w:cs="Times New Roman"/>
        </w:rPr>
        <w:lastRenderedPageBreak/>
        <w:t>causales para exigir interventoría, y cómo deben interpretarse dichos criterios en la práctica de la contratación estatal para garantizar la correcta ejecución, control y transparencia de los contratos</w:t>
      </w:r>
      <w:r w:rsidRPr="00D1210B">
        <w:rPr>
          <w:rFonts w:ascii="Verdana" w:eastAsia="Calibri" w:hAnsi="Verdana" w:cs="Times New Roman"/>
        </w:rPr>
        <w:t>?</w:t>
      </w:r>
    </w:p>
    <w:p w14:paraId="696DEAB3" w14:textId="77777777" w:rsidR="00813655" w:rsidRDefault="00813655" w:rsidP="001F0EB9">
      <w:pPr>
        <w:spacing w:after="0" w:line="276" w:lineRule="auto"/>
        <w:jc w:val="both"/>
        <w:rPr>
          <w:rFonts w:ascii="Verdana" w:eastAsia="Calibri" w:hAnsi="Verdana" w:cs="Times New Roman"/>
        </w:rPr>
      </w:pPr>
    </w:p>
    <w:p w14:paraId="1CCB264D" w14:textId="6C3B1D8B" w:rsidR="000961DC" w:rsidRPr="00813655" w:rsidRDefault="001F0EB9" w:rsidP="00813655">
      <w:pPr>
        <w:numPr>
          <w:ilvl w:val="0"/>
          <w:numId w:val="16"/>
        </w:numPr>
        <w:spacing w:after="0" w:line="276" w:lineRule="auto"/>
        <w:rPr>
          <w:rFonts w:ascii="Verdana" w:eastAsia="Calibri" w:hAnsi="Verdana" w:cs="Times New Roman"/>
          <w:b/>
          <w:bCs/>
          <w:lang w:val="es-ES"/>
        </w:rPr>
      </w:pPr>
      <w:r w:rsidRPr="00813655">
        <w:rPr>
          <w:rFonts w:ascii="Verdana" w:eastAsia="Calibri" w:hAnsi="Verdana" w:cs="Times New Roman"/>
          <w:b/>
          <w:bCs/>
          <w:lang w:val="es-ES"/>
        </w:rPr>
        <w:t>Respuesta:</w:t>
      </w:r>
    </w:p>
    <w:p w14:paraId="028966D8" w14:textId="38D1D71B" w:rsidR="00813655" w:rsidRDefault="00813655"/>
    <w:tbl>
      <w:tblPr>
        <w:tblStyle w:val="Tablaconcuadrcula11"/>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1F0EB9" w:rsidRPr="00861118" w14:paraId="628A941B" w14:textId="77777777" w:rsidTr="0009157C">
        <w:trPr>
          <w:trHeight w:val="345"/>
          <w:jc w:val="center"/>
        </w:trPr>
        <w:tc>
          <w:tcPr>
            <w:tcW w:w="8784" w:type="dxa"/>
            <w:tcBorders>
              <w:bottom w:val="single" w:sz="4" w:space="0" w:color="auto"/>
            </w:tcBorders>
          </w:tcPr>
          <w:p w14:paraId="5049C979" w14:textId="108968E2" w:rsidR="002531C9" w:rsidRPr="008C0025" w:rsidRDefault="001F0EB9" w:rsidP="00C16E92">
            <w:pPr>
              <w:spacing w:line="276" w:lineRule="auto"/>
              <w:jc w:val="both"/>
              <w:rPr>
                <w:rFonts w:ascii="Verdana" w:eastAsia="Calibri" w:hAnsi="Verdana" w:cs="Arial"/>
                <w:color w:val="000000" w:themeColor="text1"/>
                <w:sz w:val="20"/>
                <w:szCs w:val="20"/>
              </w:rPr>
            </w:pPr>
            <w:r w:rsidRPr="008C0025">
              <w:rPr>
                <w:rFonts w:ascii="Verdana" w:eastAsia="Calibri" w:hAnsi="Verdana" w:cs="Arial"/>
                <w:color w:val="000000" w:themeColor="text1"/>
                <w:sz w:val="20"/>
                <w:szCs w:val="20"/>
              </w:rPr>
              <w:t>Para resolver al problema jurídico, objeto de consulta, se señala:</w:t>
            </w:r>
          </w:p>
          <w:p w14:paraId="604071E7" w14:textId="77777777" w:rsidR="008F51D5" w:rsidRPr="008C0025" w:rsidRDefault="008F51D5" w:rsidP="00C16E92">
            <w:pPr>
              <w:spacing w:line="276" w:lineRule="auto"/>
              <w:jc w:val="both"/>
              <w:rPr>
                <w:rFonts w:ascii="Verdana" w:eastAsia="Calibri" w:hAnsi="Verdana" w:cs="Arial"/>
                <w:color w:val="000000" w:themeColor="text1"/>
                <w:sz w:val="20"/>
                <w:szCs w:val="20"/>
              </w:rPr>
            </w:pPr>
          </w:p>
          <w:p w14:paraId="39528299" w14:textId="7E04E0E5" w:rsidR="008C0025" w:rsidRPr="008C0025" w:rsidRDefault="00E22DEA" w:rsidP="00C16E92">
            <w:pPr>
              <w:spacing w:after="120" w:line="276" w:lineRule="auto"/>
              <w:jc w:val="both"/>
              <w:rPr>
                <w:rFonts w:ascii="Verdana" w:eastAsia="Calibri" w:hAnsi="Verdana" w:cs="Arial"/>
                <w:bCs/>
                <w:sz w:val="20"/>
                <w:szCs w:val="20"/>
                <w:lang w:val="es-ES_tradnl"/>
              </w:rPr>
            </w:pPr>
            <w:r w:rsidRPr="008C0025">
              <w:rPr>
                <w:rFonts w:ascii="Verdana" w:eastAsia="Times New Roman" w:hAnsi="Verdana" w:cs="Arial"/>
                <w:sz w:val="20"/>
                <w:szCs w:val="20"/>
                <w:lang w:val="es-ES" w:eastAsia="es-MX"/>
              </w:rPr>
              <w:t xml:space="preserve">En atención a su consulta, el artículo 83 de la Ley 1474 de 2011 señala que, la interventoría procederá “cuando el seguimiento del contrato suponga conocimiento especializado en la materia, o cuando la complejidad o la extensión del mismo lo justifiquen”.  Respecto </w:t>
            </w:r>
            <w:r w:rsidRPr="008C0025">
              <w:rPr>
                <w:rFonts w:ascii="Verdana" w:eastAsia="Calibri" w:hAnsi="Verdana" w:cs="Arial"/>
                <w:color w:val="000000" w:themeColor="text1"/>
                <w:sz w:val="20"/>
                <w:szCs w:val="20"/>
              </w:rPr>
              <w:t>del conocimiento especializado, si bien el ordenamiento jurídico no trae una definición exacta, lo cierto la Ley 80 de 1993 en su artículo 32 clasifica la interventoría dentro de los contratos de consultoría, lo cual exige formación profesional y experiencia acreditada en el área técnica correspondiente. La jurisprudencia del Consejo de Estado ha precisado que este criterio se refiere a saberes técnicos o científicos que exceden la capacidad administrativa ordinaria, necesarios para verificar la correcta ejecución contractual. Ahora bien, la Corte Constitucional, en Sentencia C</w:t>
            </w:r>
            <w:r w:rsidRPr="008C0025">
              <w:rPr>
                <w:rFonts w:ascii="Cambria Math" w:eastAsia="Calibri" w:hAnsi="Cambria Math" w:cs="Cambria Math"/>
                <w:color w:val="000000" w:themeColor="text1"/>
                <w:sz w:val="20"/>
                <w:szCs w:val="20"/>
              </w:rPr>
              <w:t>‑</w:t>
            </w:r>
            <w:r w:rsidRPr="008C0025">
              <w:rPr>
                <w:rFonts w:ascii="Verdana" w:eastAsia="Calibri" w:hAnsi="Verdana" w:cs="Arial"/>
                <w:color w:val="000000" w:themeColor="text1"/>
                <w:sz w:val="20"/>
                <w:szCs w:val="20"/>
              </w:rPr>
              <w:t>434 de 2013</w:t>
            </w:r>
            <w:r w:rsidR="003B79BF" w:rsidRPr="008C0025">
              <w:rPr>
                <w:rStyle w:val="Refdenotaalpie"/>
                <w:rFonts w:ascii="Verdana" w:eastAsia="Calibri" w:hAnsi="Verdana" w:cs="Arial"/>
                <w:color w:val="000000" w:themeColor="text1"/>
                <w:sz w:val="20"/>
                <w:szCs w:val="20"/>
              </w:rPr>
              <w:footnoteReference w:id="2"/>
            </w:r>
            <w:r w:rsidRPr="008C0025">
              <w:rPr>
                <w:rFonts w:ascii="Verdana" w:eastAsia="Calibri" w:hAnsi="Verdana" w:cs="Arial"/>
                <w:color w:val="000000" w:themeColor="text1"/>
                <w:sz w:val="20"/>
                <w:szCs w:val="20"/>
              </w:rPr>
              <w:t>, ha se</w:t>
            </w:r>
            <w:r w:rsidRPr="008C0025">
              <w:rPr>
                <w:rFonts w:ascii="Verdana" w:eastAsia="Calibri" w:hAnsi="Verdana" w:cs="Verdana"/>
                <w:color w:val="000000" w:themeColor="text1"/>
                <w:sz w:val="20"/>
                <w:szCs w:val="20"/>
              </w:rPr>
              <w:t>ñ</w:t>
            </w:r>
            <w:r w:rsidRPr="008C0025">
              <w:rPr>
                <w:rFonts w:ascii="Verdana" w:eastAsia="Calibri" w:hAnsi="Verdana" w:cs="Arial"/>
                <w:color w:val="000000" w:themeColor="text1"/>
                <w:sz w:val="20"/>
                <w:szCs w:val="20"/>
              </w:rPr>
              <w:t>alado que la complejidad se asocia a la multiplicidad de actividades, riesgos t</w:t>
            </w:r>
            <w:r w:rsidRPr="008C0025">
              <w:rPr>
                <w:rFonts w:ascii="Verdana" w:eastAsia="Calibri" w:hAnsi="Verdana" w:cs="Verdana"/>
                <w:color w:val="000000" w:themeColor="text1"/>
                <w:sz w:val="20"/>
                <w:szCs w:val="20"/>
              </w:rPr>
              <w:t>é</w:t>
            </w:r>
            <w:r w:rsidRPr="008C0025">
              <w:rPr>
                <w:rFonts w:ascii="Verdana" w:eastAsia="Calibri" w:hAnsi="Verdana" w:cs="Arial"/>
                <w:color w:val="000000" w:themeColor="text1"/>
                <w:sz w:val="20"/>
                <w:szCs w:val="20"/>
              </w:rPr>
              <w:t>cnicos y econ</w:t>
            </w:r>
            <w:r w:rsidRPr="008C0025">
              <w:rPr>
                <w:rFonts w:ascii="Verdana" w:eastAsia="Calibri" w:hAnsi="Verdana" w:cs="Verdana"/>
                <w:color w:val="000000" w:themeColor="text1"/>
                <w:sz w:val="20"/>
                <w:szCs w:val="20"/>
              </w:rPr>
              <w:t>ó</w:t>
            </w:r>
            <w:r w:rsidRPr="008C0025">
              <w:rPr>
                <w:rFonts w:ascii="Verdana" w:eastAsia="Calibri" w:hAnsi="Verdana" w:cs="Arial"/>
                <w:color w:val="000000" w:themeColor="text1"/>
                <w:sz w:val="20"/>
                <w:szCs w:val="20"/>
              </w:rPr>
              <w:t>micos que demandan vigilancia reforzada para garantizar transparencia y prevenir corrupci</w:t>
            </w:r>
            <w:r w:rsidRPr="008C0025">
              <w:rPr>
                <w:rFonts w:ascii="Verdana" w:eastAsia="Calibri" w:hAnsi="Verdana" w:cs="Verdana"/>
                <w:color w:val="000000" w:themeColor="text1"/>
                <w:sz w:val="20"/>
                <w:szCs w:val="20"/>
              </w:rPr>
              <w:t>ó</w:t>
            </w:r>
            <w:r w:rsidRPr="008C0025">
              <w:rPr>
                <w:rFonts w:ascii="Verdana" w:eastAsia="Calibri" w:hAnsi="Verdana" w:cs="Arial"/>
                <w:color w:val="000000" w:themeColor="text1"/>
                <w:sz w:val="20"/>
                <w:szCs w:val="20"/>
              </w:rPr>
              <w:t xml:space="preserve">n. </w:t>
            </w:r>
            <w:r w:rsidRPr="008C0025">
              <w:rPr>
                <w:rFonts w:ascii="Verdana" w:eastAsia="Calibri" w:hAnsi="Verdana" w:cs="Arial"/>
                <w:bCs/>
                <w:sz w:val="20"/>
                <w:szCs w:val="20"/>
                <w:lang w:val="es-ES_tradnl"/>
              </w:rPr>
              <w:t>En cuanto a la extensión, la jurisprudencia del Consejo de Estado ha interpretado este criterio como la magnitud temporal o económica del contrato que exige vigilancia técnica continua para prevenir desviaciones en la ejecución.</w:t>
            </w:r>
          </w:p>
          <w:p w14:paraId="5E4989C1" w14:textId="05350B88" w:rsidR="00861118" w:rsidRPr="008C0025" w:rsidRDefault="00E22DEA" w:rsidP="00861118">
            <w:pPr>
              <w:spacing w:after="120" w:line="276" w:lineRule="auto"/>
              <w:ind w:firstLine="708"/>
              <w:jc w:val="both"/>
              <w:rPr>
                <w:rFonts w:ascii="Verdana" w:eastAsia="Calibri" w:hAnsi="Verdana" w:cs="Arial"/>
                <w:bCs/>
                <w:sz w:val="20"/>
                <w:szCs w:val="20"/>
                <w:lang w:val="es-ES_tradnl"/>
              </w:rPr>
            </w:pPr>
            <w:r w:rsidRPr="008C0025">
              <w:rPr>
                <w:rFonts w:ascii="Verdana" w:eastAsia="Calibri" w:hAnsi="Verdana" w:cs="Arial"/>
                <w:bCs/>
                <w:sz w:val="20"/>
                <w:szCs w:val="20"/>
                <w:lang w:val="es-ES_tradnl"/>
              </w:rPr>
              <w:t>En consecuencia, los parámetros legales y jurisprudenciales que definen los conceptos de conocimiento especializado, complejidad y extensión deben ser entendidos como criterios objetivos que obligan a la entidad estatal a designar interventoría cuando el contrato, por su naturaleza técnica, por la multiplicidad de actividades o por su duración y cuantía, genere riesgos que hagan necesario un control especializado.</w:t>
            </w:r>
          </w:p>
          <w:p w14:paraId="2B687CDA" w14:textId="7E60F5DD" w:rsidR="001F0EB9" w:rsidRPr="00861118" w:rsidRDefault="001F0EB9" w:rsidP="0009157C">
            <w:pPr>
              <w:spacing w:line="276" w:lineRule="auto"/>
              <w:ind w:firstLine="709"/>
              <w:jc w:val="both"/>
              <w:rPr>
                <w:rFonts w:ascii="Verdana" w:hAnsi="Verdana" w:cs="Arial"/>
                <w:lang w:val="es-ES" w:eastAsia="es-ES"/>
              </w:rPr>
            </w:pPr>
            <w:r w:rsidRPr="008C0025">
              <w:rPr>
                <w:rFonts w:ascii="Verdana" w:hAnsi="Verdana" w:cs="Arial"/>
                <w:sz w:val="20"/>
                <w:szCs w:val="20"/>
                <w:lang w:val="es-ES" w:eastAsia="es-ES"/>
              </w:rPr>
              <w:t xml:space="preserve">Dentro de este marco, la entidad pública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w:t>
            </w:r>
            <w:r w:rsidRPr="008C0025">
              <w:rPr>
                <w:rFonts w:ascii="Verdana" w:hAnsi="Verdana" w:cs="Arial"/>
                <w:sz w:val="20"/>
                <w:szCs w:val="20"/>
                <w:lang w:val="es-ES" w:eastAsia="es-ES"/>
              </w:rPr>
              <w:lastRenderedPageBreak/>
              <w:t>entidad definirá la forma de adelantar su gestión contractual, sin que sea atribución de Colombia Compra Eficiente validar sus actuaciones</w:t>
            </w:r>
            <w:r w:rsidRPr="00861118">
              <w:rPr>
                <w:rFonts w:ascii="Verdana" w:hAnsi="Verdana" w:cs="Arial"/>
                <w:lang w:val="es-ES" w:eastAsia="es-ES"/>
              </w:rPr>
              <w:t>.</w:t>
            </w:r>
          </w:p>
        </w:tc>
      </w:tr>
    </w:tbl>
    <w:p w14:paraId="7960B2A3" w14:textId="77777777" w:rsidR="001F0EB9" w:rsidRDefault="001F0EB9" w:rsidP="001F0EB9">
      <w:pPr>
        <w:spacing w:after="0" w:line="276" w:lineRule="auto"/>
        <w:jc w:val="both"/>
        <w:rPr>
          <w:rFonts w:ascii="Verdana" w:eastAsia="Calibri" w:hAnsi="Verdana" w:cs="Arial"/>
          <w:bCs/>
          <w:color w:val="000000" w:themeColor="text1"/>
        </w:rPr>
      </w:pPr>
      <w:bookmarkStart w:id="2" w:name="_Hlk78820161"/>
      <w:bookmarkStart w:id="3" w:name="_Hlk37703813"/>
    </w:p>
    <w:p w14:paraId="5C64FABB" w14:textId="77777777" w:rsidR="008409FF" w:rsidRPr="00861118" w:rsidRDefault="008409FF" w:rsidP="001F0EB9">
      <w:pPr>
        <w:spacing w:after="0" w:line="276" w:lineRule="auto"/>
        <w:jc w:val="both"/>
        <w:rPr>
          <w:rFonts w:ascii="Verdana" w:eastAsia="Calibri" w:hAnsi="Verdana" w:cs="Arial"/>
          <w:bCs/>
          <w:color w:val="000000" w:themeColor="text1"/>
        </w:rPr>
      </w:pPr>
    </w:p>
    <w:p w14:paraId="0DB20776" w14:textId="77777777" w:rsidR="001F0EB9" w:rsidRPr="00B57A1B" w:rsidRDefault="001F0EB9" w:rsidP="001F0EB9">
      <w:pPr>
        <w:numPr>
          <w:ilvl w:val="0"/>
          <w:numId w:val="16"/>
        </w:numPr>
        <w:tabs>
          <w:tab w:val="left" w:pos="2268"/>
        </w:tabs>
        <w:spacing w:after="0" w:line="276" w:lineRule="auto"/>
        <w:rPr>
          <w:rFonts w:ascii="Verdana" w:eastAsia="Calibri" w:hAnsi="Verdana" w:cs="Times New Roman"/>
          <w:b/>
          <w:bCs/>
          <w:lang w:val="es-ES"/>
        </w:rPr>
      </w:pPr>
      <w:r w:rsidRPr="00B57A1B">
        <w:rPr>
          <w:rFonts w:ascii="Verdana" w:eastAsia="Calibri" w:hAnsi="Verdana" w:cs="Times New Roman"/>
          <w:b/>
          <w:bCs/>
          <w:lang w:val="es-ES"/>
        </w:rPr>
        <w:t>Razones de la respuesta:</w:t>
      </w:r>
    </w:p>
    <w:p w14:paraId="01D4F13E" w14:textId="77777777" w:rsidR="001F0EB9" w:rsidRPr="00B57A1B" w:rsidRDefault="001F0EB9" w:rsidP="001F0EB9">
      <w:pPr>
        <w:spacing w:after="0" w:line="276" w:lineRule="auto"/>
        <w:rPr>
          <w:rFonts w:ascii="Verdana" w:eastAsia="Calibri" w:hAnsi="Verdana" w:cs="Times New Roman"/>
          <w:b/>
          <w:bCs/>
          <w:lang w:val="es-ES"/>
        </w:rPr>
      </w:pPr>
    </w:p>
    <w:p w14:paraId="613793EA" w14:textId="77777777" w:rsidR="001F0EB9" w:rsidRDefault="001F0EB9" w:rsidP="001F0EB9">
      <w:pPr>
        <w:spacing w:after="0" w:line="276" w:lineRule="auto"/>
        <w:jc w:val="both"/>
        <w:rPr>
          <w:rFonts w:ascii="Verdana" w:eastAsia="Calibri" w:hAnsi="Verdana" w:cs="Arial"/>
          <w:lang w:val="es-ES"/>
        </w:rPr>
      </w:pPr>
      <w:r w:rsidRPr="00B57A1B">
        <w:rPr>
          <w:rFonts w:ascii="Verdana" w:eastAsia="Calibri" w:hAnsi="Verdana" w:cs="Arial"/>
          <w:lang w:val="es-ES"/>
        </w:rPr>
        <w:t xml:space="preserve">Lo anterior se sustenta en las siguientes consideraciones: </w:t>
      </w:r>
    </w:p>
    <w:p w14:paraId="2C326149" w14:textId="77777777" w:rsidR="001F0EB9" w:rsidRPr="003C0ED7" w:rsidRDefault="001F0EB9" w:rsidP="001F0EB9">
      <w:pPr>
        <w:spacing w:after="0" w:line="276" w:lineRule="auto"/>
        <w:jc w:val="both"/>
        <w:rPr>
          <w:rFonts w:ascii="Verdana" w:eastAsia="Calibri" w:hAnsi="Verdana" w:cs="Arial"/>
          <w:lang w:val="es-ES"/>
        </w:rPr>
      </w:pPr>
    </w:p>
    <w:p w14:paraId="23CAFFDE" w14:textId="7FCE6F0C" w:rsidR="001F0EB9" w:rsidRPr="00E7254D" w:rsidRDefault="001F0EB9" w:rsidP="001F0EB9">
      <w:pPr>
        <w:spacing w:after="120" w:line="276" w:lineRule="auto"/>
        <w:jc w:val="both"/>
        <w:rPr>
          <w:rFonts w:ascii="Verdana" w:eastAsia="Calibri" w:hAnsi="Verdana" w:cs="Arial"/>
          <w:color w:val="000000"/>
          <w:lang w:val="es-ES"/>
        </w:rPr>
      </w:pPr>
      <w:r w:rsidRPr="00E7254D">
        <w:rPr>
          <w:rFonts w:ascii="Verdana" w:eastAsia="Calibri" w:hAnsi="Verdana" w:cs="Arial"/>
          <w:color w:val="000000"/>
          <w:lang w:val="es-ES"/>
        </w:rPr>
        <w:t>A través de la actividad contractual, el Estado adquiere bienes, obras y servicios para cumplir los fines que le impone el ordenamiento jurídico, garantizando así la continu</w:t>
      </w:r>
      <w:r>
        <w:rPr>
          <w:rFonts w:ascii="Verdana" w:eastAsia="Calibri" w:hAnsi="Verdana" w:cs="Arial"/>
          <w:color w:val="000000"/>
          <w:lang w:val="es-ES"/>
        </w:rPr>
        <w:t>a</w:t>
      </w:r>
      <w:r w:rsidRPr="00E7254D">
        <w:rPr>
          <w:rFonts w:ascii="Verdana" w:eastAsia="Calibri" w:hAnsi="Verdana" w:cs="Arial"/>
          <w:color w:val="000000"/>
          <w:lang w:val="es-ES"/>
        </w:rPr>
        <w:t xml:space="preserve"> y eficiente prestación de los servicios públicos y la efectividad de los derechos e intereses de los administrados. Para la garantía de los fines de interés general, involucrados en la contratación de las entidades estatales, el Estatuto General de Contratación de la Administración Pública –en adelante EGCAP– dispone que, en la etapa de ejecución del contrato, las entidades estatales y los servidores públicos que participan en ella tienen la obligación de controlar y vigilar la correcta ejecución del objeto contratado. Lo anterior busca que las finalidades perseguidas con la celebración de los contratos estatales se logren de manera satisfactoria.</w:t>
      </w:r>
      <w:r w:rsidR="00163BCE">
        <w:rPr>
          <w:rFonts w:ascii="Verdana" w:eastAsia="Calibri" w:hAnsi="Verdana" w:cs="Arial"/>
          <w:color w:val="000000"/>
          <w:lang w:val="es-ES"/>
        </w:rPr>
        <w:t xml:space="preserve"> </w:t>
      </w:r>
    </w:p>
    <w:p w14:paraId="3DC6B307" w14:textId="77777777" w:rsidR="001F0EB9" w:rsidRDefault="001F0EB9" w:rsidP="001F0EB9">
      <w:pPr>
        <w:spacing w:after="120" w:line="276" w:lineRule="auto"/>
        <w:ind w:firstLine="708"/>
        <w:jc w:val="both"/>
        <w:rPr>
          <w:rFonts w:ascii="Verdana" w:eastAsia="Calibri" w:hAnsi="Verdana" w:cs="Arial"/>
          <w:color w:val="000000"/>
          <w:lang w:val="es-ES"/>
        </w:rPr>
      </w:pPr>
      <w:r w:rsidRPr="00E7254D">
        <w:rPr>
          <w:rFonts w:ascii="Verdana" w:eastAsia="Calibri" w:hAnsi="Verdana" w:cs="Arial"/>
          <w:color w:val="000000"/>
          <w:lang w:val="es-ES"/>
        </w:rPr>
        <w:t xml:space="preserve">El seguimiento de la ejecución del contrato para la dirección, control y vigilancia de su correcto cumplimiento es un deber legal que permite a las entidades estatales tomar medidas orientadas a la satisfacción de los fines de la contratación. Por esto, el EGCAP alude a la obligación mencionada, que guarda relación con el principio de responsabilidad que rige la celebración y ejecución de los contratos estatales. </w:t>
      </w:r>
    </w:p>
    <w:p w14:paraId="0ACEE30C" w14:textId="77777777" w:rsidR="001F0EB9" w:rsidRPr="00E7254D" w:rsidRDefault="001F0EB9" w:rsidP="001F0EB9">
      <w:pPr>
        <w:spacing w:after="120" w:line="276" w:lineRule="auto"/>
        <w:ind w:firstLine="708"/>
        <w:jc w:val="both"/>
        <w:rPr>
          <w:rFonts w:ascii="Verdana" w:eastAsia="Calibri" w:hAnsi="Verdana" w:cs="Arial"/>
          <w:color w:val="000000"/>
          <w:lang w:val="es-ES"/>
        </w:rPr>
      </w:pPr>
      <w:r w:rsidRPr="00E7254D">
        <w:rPr>
          <w:rFonts w:ascii="Verdana" w:eastAsia="Calibri" w:hAnsi="Verdana" w:cs="Arial"/>
          <w:color w:val="000000"/>
          <w:lang w:val="es-ES"/>
        </w:rPr>
        <w:t>Así, por ejemplo, los artículos 4, 5, 12, 14 y 26 de la Ley 80 de 1993 consagran normas relacionadas con el control y vigilancia de la ejecución de los contratos estatales. Estas disposiciones establecen, entre otros aspectos, la obligación de las entidades estatales de velar por el correcto y oportuno cumplimiento de las prestaciones del contrato, las especificaciones de los bienes, obras y servicios objeto de este, y las condiciones de calidad ofrecidas, entre otras. Esta obligación se predica, en principio, del jefe o representante legal de la entidad, por tener la responsabilidad de la dirección y manejo de la actividad contractual, pero también de los servidores públicos que intervienen en ella. En ese sentido, las entidades estatales deben ejercer el control de la ejecución del contrato y, de ser el caso, tomar medidas para exigir el adecuado cumplimiento.</w:t>
      </w:r>
    </w:p>
    <w:p w14:paraId="0186E21C" w14:textId="2D87245C" w:rsidR="00266A4A" w:rsidRDefault="001F0EB9" w:rsidP="00C16E92">
      <w:pPr>
        <w:spacing w:after="120" w:line="276" w:lineRule="auto"/>
        <w:ind w:firstLine="709"/>
        <w:jc w:val="both"/>
        <w:rPr>
          <w:rFonts w:ascii="Verdana" w:eastAsia="Times New Roman" w:hAnsi="Verdana" w:cs="Arial"/>
          <w:lang w:val="es-ES" w:eastAsia="es-MX"/>
        </w:rPr>
      </w:pPr>
      <w:r w:rsidRPr="00E7254D">
        <w:rPr>
          <w:rFonts w:ascii="Verdana" w:eastAsia="Times New Roman" w:hAnsi="Verdana" w:cs="Arial"/>
          <w:lang w:val="es-ES" w:eastAsia="es-MX"/>
        </w:rPr>
        <w:lastRenderedPageBreak/>
        <w:t>Las Leyes 1150 de 2007 y 1474 de 2011 complementan el régimen jurídico de la obligación de vigilar la correcta ejecución de los contratos estatales. En dichas normas se impone el debido proceso como principio rector en materia sancionatoria contractual, entre otros, para la imposición de multas y la decisión de hacer efectiva la cláusula penal, principio que se debe respetar en el ejercicio del control y vigilancia de la ejecución contractual</w:t>
      </w:r>
      <w:r w:rsidRPr="00E7254D">
        <w:rPr>
          <w:rFonts w:ascii="Verdana" w:eastAsia="Times New Roman" w:hAnsi="Verdana" w:cs="Arial"/>
          <w:vertAlign w:val="superscript"/>
          <w:lang w:val="es-ES" w:eastAsia="es-MX"/>
        </w:rPr>
        <w:footnoteReference w:id="3"/>
      </w:r>
      <w:r w:rsidRPr="00E7254D">
        <w:rPr>
          <w:rFonts w:ascii="Verdana" w:eastAsia="Times New Roman" w:hAnsi="Verdana" w:cs="Arial"/>
          <w:lang w:val="es-ES" w:eastAsia="es-MX"/>
        </w:rPr>
        <w:t>. También se establecen los límites de la responsabilidad del representante legal ante la delegación de sus funciones en materia contractual</w:t>
      </w:r>
      <w:r w:rsidRPr="00E7254D">
        <w:rPr>
          <w:rFonts w:ascii="Verdana" w:eastAsia="Times New Roman" w:hAnsi="Verdana" w:cs="Arial"/>
          <w:vertAlign w:val="superscript"/>
          <w:lang w:val="es-ES" w:eastAsia="es-MX"/>
        </w:rPr>
        <w:footnoteReference w:id="4"/>
      </w:r>
      <w:r w:rsidRPr="00E7254D">
        <w:rPr>
          <w:rFonts w:ascii="Verdana" w:eastAsia="Times New Roman" w:hAnsi="Verdana" w:cs="Arial"/>
          <w:lang w:val="es-ES" w:eastAsia="es-MX"/>
        </w:rPr>
        <w:t xml:space="preserve"> y se regula la supervisión y la interventoría de los contratos estatales</w:t>
      </w:r>
      <w:r w:rsidRPr="00E7254D">
        <w:rPr>
          <w:rFonts w:ascii="Verdana" w:eastAsia="Times New Roman" w:hAnsi="Verdana" w:cs="Arial"/>
          <w:vertAlign w:val="superscript"/>
          <w:lang w:val="es-ES" w:eastAsia="es-MX"/>
        </w:rPr>
        <w:footnoteReference w:id="5"/>
      </w:r>
      <w:r w:rsidRPr="00E7254D">
        <w:rPr>
          <w:rFonts w:ascii="Verdana" w:eastAsia="Times New Roman" w:hAnsi="Verdana" w:cs="Arial"/>
          <w:lang w:val="es-ES" w:eastAsia="es-MX"/>
        </w:rPr>
        <w:t xml:space="preserve">. </w:t>
      </w:r>
    </w:p>
    <w:p w14:paraId="3DE8EC1F" w14:textId="73BBAA73" w:rsidR="001F0EB9" w:rsidRPr="00E7254D" w:rsidRDefault="001F0EB9" w:rsidP="001F0EB9">
      <w:pPr>
        <w:spacing w:after="0" w:line="276" w:lineRule="auto"/>
        <w:ind w:firstLine="708"/>
        <w:jc w:val="both"/>
        <w:rPr>
          <w:rFonts w:ascii="Verdana" w:eastAsia="Times New Roman" w:hAnsi="Verdana" w:cs="Arial"/>
          <w:lang w:val="es-ES" w:eastAsia="es-MX"/>
        </w:rPr>
      </w:pPr>
      <w:r w:rsidRPr="00E7254D">
        <w:rPr>
          <w:rFonts w:ascii="Verdana" w:eastAsia="Times New Roman" w:hAnsi="Verdana" w:cs="Arial"/>
          <w:lang w:val="es-ES" w:eastAsia="es-MX"/>
        </w:rPr>
        <w:t xml:space="preserve">En consecuencia, se tiene que, la jurisprudencia contencioso-administrativa, por su parte, ha considerado que la obligación de vigilar la correcta ejecución del objeto contractual es una función de la entidad contratante, en los siguientes términos: </w:t>
      </w:r>
    </w:p>
    <w:p w14:paraId="2BB733E9" w14:textId="77777777" w:rsidR="001F0EB9" w:rsidRPr="00624EEC" w:rsidRDefault="001F0EB9" w:rsidP="001F0EB9">
      <w:pPr>
        <w:spacing w:after="0"/>
        <w:ind w:left="709"/>
        <w:contextualSpacing/>
        <w:jc w:val="both"/>
        <w:rPr>
          <w:rFonts w:ascii="Verdana" w:eastAsia="Times New Roman" w:hAnsi="Verdana" w:cs="Arial"/>
          <w:sz w:val="20"/>
          <w:szCs w:val="20"/>
          <w:lang w:val="es-ES_tradnl" w:eastAsia="es-MX"/>
        </w:rPr>
      </w:pPr>
    </w:p>
    <w:p w14:paraId="2E4F3289" w14:textId="77777777" w:rsidR="001F0EB9" w:rsidRPr="00624EEC" w:rsidRDefault="001F0EB9" w:rsidP="001F0EB9">
      <w:pPr>
        <w:spacing w:after="0" w:line="240" w:lineRule="auto"/>
        <w:ind w:left="709" w:right="709"/>
        <w:contextualSpacing/>
        <w:jc w:val="both"/>
        <w:rPr>
          <w:rFonts w:ascii="Verdana" w:eastAsia="Times New Roman" w:hAnsi="Verdana" w:cs="Arial"/>
          <w:sz w:val="20"/>
          <w:szCs w:val="20"/>
          <w:lang w:val="es-ES_tradnl" w:eastAsia="es-MX"/>
        </w:rPr>
      </w:pPr>
      <w:r w:rsidRPr="00624EEC">
        <w:rPr>
          <w:rFonts w:ascii="Verdana" w:eastAsia="Times New Roman" w:hAnsi="Verdana" w:cs="Arial"/>
          <w:sz w:val="20"/>
          <w:szCs w:val="20"/>
          <w:lang w:val="es-ES_tradnl" w:eastAsia="es-MX"/>
        </w:rPr>
        <w:t>“La función de vigilancia y control del contrato estatal supone el cuidado y la supervisión, de forma tal que en ejercicio de esa función, quien administra la adecuada y oportuna ejecución del contrato no sólo debe velar por que las partes den cumplimiento a las obligaciones contractuales, sino que el contrato se ejecute en el tiempo y la forma convenidos, para esta forma garantizar la satisfacción de las necesidades que la administración buscaba alcanzar con la celebración del respectivo contrato”</w:t>
      </w:r>
      <w:r w:rsidRPr="00624EEC">
        <w:rPr>
          <w:rFonts w:ascii="Verdana" w:eastAsia="Times New Roman" w:hAnsi="Verdana" w:cs="Arial"/>
          <w:sz w:val="20"/>
          <w:szCs w:val="20"/>
          <w:vertAlign w:val="superscript"/>
          <w:lang w:val="es-ES_tradnl" w:eastAsia="es-MX"/>
        </w:rPr>
        <w:footnoteReference w:id="6"/>
      </w:r>
      <w:r w:rsidRPr="00624EEC">
        <w:rPr>
          <w:rFonts w:ascii="Verdana" w:eastAsia="Times New Roman" w:hAnsi="Verdana" w:cs="Arial"/>
          <w:sz w:val="20"/>
          <w:szCs w:val="20"/>
          <w:lang w:val="es-ES_tradnl" w:eastAsia="es-MX"/>
        </w:rPr>
        <w:t>.</w:t>
      </w:r>
    </w:p>
    <w:p w14:paraId="2F5270C9" w14:textId="77777777" w:rsidR="001F0EB9" w:rsidRPr="00E7254D" w:rsidRDefault="001F0EB9" w:rsidP="001F0EB9">
      <w:pPr>
        <w:snapToGrid w:val="0"/>
        <w:spacing w:after="0" w:line="276" w:lineRule="auto"/>
        <w:ind w:left="720"/>
        <w:rPr>
          <w:rFonts w:ascii="Verdana" w:eastAsia="Times New Roman" w:hAnsi="Verdana" w:cs="Arial"/>
          <w:lang w:val="es-ES_tradnl" w:eastAsia="es-MX"/>
        </w:rPr>
      </w:pPr>
    </w:p>
    <w:p w14:paraId="08BD9FA5" w14:textId="77777777" w:rsidR="001F0EB9" w:rsidRPr="00E7254D" w:rsidRDefault="001F0EB9" w:rsidP="001F0EB9">
      <w:pPr>
        <w:spacing w:after="0" w:line="276" w:lineRule="auto"/>
        <w:ind w:firstLine="709"/>
        <w:jc w:val="both"/>
        <w:rPr>
          <w:rFonts w:ascii="Verdana" w:eastAsia="Times New Roman" w:hAnsi="Verdana" w:cs="Arial"/>
          <w:lang w:val="es-ES" w:eastAsia="es-MX"/>
        </w:rPr>
      </w:pPr>
      <w:r w:rsidRPr="00E7254D">
        <w:rPr>
          <w:rFonts w:ascii="Verdana" w:eastAsia="Times New Roman" w:hAnsi="Verdana" w:cs="Arial"/>
          <w:lang w:val="es-ES" w:eastAsia="es-MX"/>
        </w:rPr>
        <w:t xml:space="preserve">De esta forma, la Ley 1474 de 2011 enmarcó el seguimiento, control y vigilancia de la ejecución del contrato estatal dentro del principio de moralidad administrativa. El artículo 83 de la referida ley, establece que “con el fin de proteger la moralidad administrativa, de prevenir la ocurrencia de actos de corrupción y tutelar la transparencia de la actividad contractual, las entidades públicas están obligadas a vigilar permanentemente la correcta ejecución del objeto contratado a través de un supervisor o un interventor, según corresponda”. El legislador además definió las nociones de supervisión e interventoría, como mecanismos que pueden usar las </w:t>
      </w:r>
      <w:r>
        <w:rPr>
          <w:rFonts w:ascii="Verdana" w:eastAsia="Times New Roman" w:hAnsi="Verdana" w:cs="Arial"/>
          <w:lang w:val="es-ES" w:eastAsia="es-MX"/>
        </w:rPr>
        <w:t>e</w:t>
      </w:r>
      <w:r w:rsidRPr="00E7254D">
        <w:rPr>
          <w:rFonts w:ascii="Verdana" w:eastAsia="Times New Roman" w:hAnsi="Verdana" w:cs="Arial"/>
          <w:lang w:val="es-ES" w:eastAsia="es-MX"/>
        </w:rPr>
        <w:t xml:space="preserve">ntidades </w:t>
      </w:r>
      <w:r>
        <w:rPr>
          <w:rFonts w:ascii="Verdana" w:eastAsia="Times New Roman" w:hAnsi="Verdana" w:cs="Arial"/>
          <w:lang w:val="es-ES" w:eastAsia="es-MX"/>
        </w:rPr>
        <w:t>e</w:t>
      </w:r>
      <w:r w:rsidRPr="00E7254D">
        <w:rPr>
          <w:rFonts w:ascii="Verdana" w:eastAsia="Times New Roman" w:hAnsi="Verdana" w:cs="Arial"/>
          <w:lang w:val="es-ES" w:eastAsia="es-MX"/>
        </w:rPr>
        <w:t xml:space="preserve">statales para vigilar el contrato, en estos términos: </w:t>
      </w:r>
    </w:p>
    <w:p w14:paraId="6DA24180" w14:textId="77777777" w:rsidR="001F0EB9" w:rsidRPr="00E7254D" w:rsidRDefault="001F0EB9" w:rsidP="001F0EB9">
      <w:pPr>
        <w:spacing w:after="0" w:line="276" w:lineRule="auto"/>
        <w:ind w:left="720"/>
        <w:jc w:val="both"/>
        <w:textAlignment w:val="baseline"/>
        <w:rPr>
          <w:rFonts w:ascii="Verdana" w:eastAsia="Times New Roman" w:hAnsi="Verdana" w:cs="Arial"/>
          <w:lang w:val="es-ES_tradnl" w:eastAsia="es-MX"/>
        </w:rPr>
      </w:pPr>
    </w:p>
    <w:p w14:paraId="04B7AD10" w14:textId="77777777" w:rsidR="001F0EB9" w:rsidRDefault="001F0EB9" w:rsidP="001F0EB9">
      <w:pPr>
        <w:spacing w:after="0" w:line="240" w:lineRule="auto"/>
        <w:ind w:left="709" w:right="709"/>
        <w:jc w:val="both"/>
        <w:textAlignment w:val="baseline"/>
        <w:rPr>
          <w:rFonts w:ascii="Verdana" w:eastAsia="Times New Roman" w:hAnsi="Verdana" w:cs="Arial"/>
          <w:sz w:val="20"/>
          <w:szCs w:val="20"/>
          <w:lang w:val="es-ES" w:eastAsia="es-MX"/>
        </w:rPr>
      </w:pPr>
      <w:r w:rsidRPr="00624EEC">
        <w:rPr>
          <w:rFonts w:ascii="Verdana" w:eastAsia="Times New Roman" w:hAnsi="Verdana" w:cs="Arial"/>
          <w:sz w:val="20"/>
          <w:szCs w:val="20"/>
          <w:lang w:val="es-ES" w:eastAsia="es-MX"/>
        </w:rPr>
        <w:lastRenderedPageBreak/>
        <w:t xml:space="preserve">“La supervisión consistirá en el seguimiento técnico, administrativo, financiero, contable, y jurídico </w:t>
      </w:r>
      <w:proofErr w:type="gramStart"/>
      <w:r w:rsidRPr="00624EEC">
        <w:rPr>
          <w:rFonts w:ascii="Verdana" w:eastAsia="Times New Roman" w:hAnsi="Verdana" w:cs="Arial"/>
          <w:sz w:val="20"/>
          <w:szCs w:val="20"/>
          <w:lang w:val="es-ES" w:eastAsia="es-MX"/>
        </w:rPr>
        <w:t>que</w:t>
      </w:r>
      <w:proofErr w:type="gramEnd"/>
      <w:r w:rsidRPr="00624EEC">
        <w:rPr>
          <w:rFonts w:ascii="Verdana" w:eastAsia="Times New Roman" w:hAnsi="Verdana" w:cs="Arial"/>
          <w:sz w:val="20"/>
          <w:szCs w:val="20"/>
          <w:lang w:val="es-ES" w:eastAsia="es-MX"/>
        </w:rPr>
        <w:t xml:space="preserve"> sobre el cumplimiento del objeto del contrato, es ejercida por la misma entidad estatal cuando no requieran conocimientos especializadas. Para la supervisión, la entidad estatal podrá contratar personal de apoyo, a través de los contratos de prestación de servicio que sean requeridos.</w:t>
      </w:r>
    </w:p>
    <w:p w14:paraId="1576DF1C" w14:textId="77777777" w:rsidR="001F0EB9" w:rsidRPr="00624EEC" w:rsidRDefault="001F0EB9" w:rsidP="001F0EB9">
      <w:pPr>
        <w:spacing w:after="0" w:line="240" w:lineRule="auto"/>
        <w:ind w:left="709" w:right="709"/>
        <w:jc w:val="both"/>
        <w:textAlignment w:val="baseline"/>
        <w:rPr>
          <w:rFonts w:ascii="Verdana" w:eastAsia="Times New Roman" w:hAnsi="Verdana" w:cs="Arial"/>
          <w:sz w:val="20"/>
          <w:szCs w:val="20"/>
          <w:lang w:val="es-ES" w:eastAsia="es-MX"/>
        </w:rPr>
      </w:pPr>
    </w:p>
    <w:p w14:paraId="0C59F3AA" w14:textId="77777777" w:rsidR="001F0EB9" w:rsidRPr="00624EEC" w:rsidRDefault="001F0EB9" w:rsidP="001F0EB9">
      <w:pPr>
        <w:spacing w:after="0" w:line="240" w:lineRule="auto"/>
        <w:ind w:left="709" w:right="709"/>
        <w:jc w:val="both"/>
        <w:textAlignment w:val="baseline"/>
        <w:rPr>
          <w:rFonts w:ascii="Verdana" w:eastAsia="Times New Roman" w:hAnsi="Verdana" w:cs="Arial"/>
          <w:sz w:val="20"/>
          <w:szCs w:val="20"/>
          <w:lang w:val="es-ES" w:eastAsia="es-MX"/>
        </w:rPr>
      </w:pPr>
      <w:r w:rsidRPr="00624EEC">
        <w:rPr>
          <w:rFonts w:ascii="Verdana" w:eastAsia="Times New Roman" w:hAnsi="Verdana" w:cs="Arial"/>
          <w:sz w:val="20"/>
          <w:szCs w:val="20"/>
          <w:lang w:val="es-ES" w:eastAsia="es-MX"/>
        </w:rPr>
        <w:t>La interventoría consistirá en el seguimiento técnico que sobre el cumplimiento del contrato realice una persona natural o jurídica contratada para tal fin por la entidad estatal, cuando el seguimiento del contrato suponga conocimiento especializado en la materia, o cuando la complejidad o la extensión del mismo lo justifiquen. No obstante, lo anterior cuando la entidad lo encuentre justificado y acorde a la naturaleza del contrato principal, podrá contratar el seguimiento administrativo, técnico, financiero, contable, jurídico del objeto o contrato dentro de la interventoría”</w:t>
      </w:r>
      <w:r w:rsidRPr="00624EEC">
        <w:rPr>
          <w:rFonts w:ascii="Verdana" w:eastAsia="Times New Roman" w:hAnsi="Verdana" w:cs="Arial"/>
          <w:sz w:val="20"/>
          <w:szCs w:val="20"/>
          <w:vertAlign w:val="superscript"/>
          <w:lang w:val="es-ES" w:eastAsia="es-MX"/>
        </w:rPr>
        <w:footnoteReference w:id="7"/>
      </w:r>
      <w:r w:rsidRPr="00624EEC">
        <w:rPr>
          <w:rFonts w:ascii="Verdana" w:eastAsia="Times New Roman" w:hAnsi="Verdana" w:cs="Arial"/>
          <w:sz w:val="20"/>
          <w:szCs w:val="20"/>
          <w:lang w:val="es-ES" w:eastAsia="es-MX"/>
        </w:rPr>
        <w:t>.</w:t>
      </w:r>
    </w:p>
    <w:p w14:paraId="71E586F7" w14:textId="77777777" w:rsidR="001F0EB9" w:rsidRPr="00E7254D" w:rsidRDefault="001F0EB9" w:rsidP="001F0EB9">
      <w:pPr>
        <w:spacing w:after="0" w:line="276" w:lineRule="auto"/>
        <w:ind w:left="720"/>
        <w:contextualSpacing/>
        <w:jc w:val="both"/>
        <w:textAlignment w:val="baseline"/>
        <w:rPr>
          <w:rFonts w:ascii="Verdana" w:eastAsia="Times New Roman" w:hAnsi="Verdana" w:cs="Arial"/>
          <w:lang w:val="es-ES" w:eastAsia="es-MX"/>
        </w:rPr>
      </w:pPr>
    </w:p>
    <w:p w14:paraId="0D779324" w14:textId="77777777" w:rsidR="001F0EB9" w:rsidRPr="00E7254D" w:rsidRDefault="001F0EB9" w:rsidP="001F0EB9">
      <w:pPr>
        <w:spacing w:after="120" w:line="276" w:lineRule="auto"/>
        <w:ind w:firstLine="709"/>
        <w:jc w:val="both"/>
        <w:rPr>
          <w:rFonts w:ascii="Verdana" w:eastAsia="Times New Roman" w:hAnsi="Verdana" w:cs="Arial"/>
          <w:shd w:val="clear" w:color="auto" w:fill="FFFFFF"/>
          <w:lang w:val="es-ES"/>
        </w:rPr>
      </w:pPr>
      <w:r w:rsidRPr="00E7254D">
        <w:rPr>
          <w:rFonts w:ascii="Verdana" w:eastAsia="Times New Roman" w:hAnsi="Verdana" w:cs="Arial"/>
          <w:bCs/>
          <w:lang w:val="es-ES"/>
        </w:rPr>
        <w:t>Sin perjuicio de lo anterior, según lo expresado por esta Agencia en el concepto No. 4201913000008240 del 20 de diciembre de 2019 y en el concepto C-972 de 2024, de las disposiciones contenidas en los artículos 83 y 84 de la Ley 1474 de 2011, se infieren las siguientes características de la supervisión: i) la labor de supervisión siempre existirá en relación con cualquier contrato estatal, incluidos los contratos de prestación de servicios –a diferencia de la interventoría que depende del análisis de su necesidad y extensión</w:t>
      </w:r>
      <w:r w:rsidRPr="00E7254D">
        <w:rPr>
          <w:rFonts w:ascii="Verdana" w:eastAsia="Times New Roman" w:hAnsi="Verdana" w:cs="Arial"/>
          <w:bCs/>
          <w:vertAlign w:val="superscript"/>
          <w:lang w:val="es-ES"/>
        </w:rPr>
        <w:footnoteReference w:id="8"/>
      </w:r>
      <w:r w:rsidRPr="00E7254D">
        <w:rPr>
          <w:rFonts w:ascii="Verdana" w:eastAsia="Times New Roman" w:hAnsi="Verdana" w:cs="Arial"/>
          <w:bCs/>
          <w:lang w:val="es-ES"/>
        </w:rPr>
        <w:t xml:space="preserve">–; </w:t>
      </w:r>
      <w:proofErr w:type="spellStart"/>
      <w:r w:rsidRPr="00E7254D">
        <w:rPr>
          <w:rFonts w:ascii="Verdana" w:eastAsia="Times New Roman" w:hAnsi="Verdana" w:cs="Arial"/>
          <w:bCs/>
          <w:lang w:val="es-ES"/>
        </w:rPr>
        <w:t>ii</w:t>
      </w:r>
      <w:proofErr w:type="spellEnd"/>
      <w:r w:rsidRPr="00E7254D">
        <w:rPr>
          <w:rFonts w:ascii="Verdana" w:eastAsia="Times New Roman" w:hAnsi="Verdana" w:cs="Arial"/>
          <w:bCs/>
          <w:lang w:val="es-ES"/>
        </w:rPr>
        <w:t xml:space="preserve">) no requiere conocimientos tan especializados como la interventoría; </w:t>
      </w:r>
      <w:proofErr w:type="spellStart"/>
      <w:r w:rsidRPr="00E7254D">
        <w:rPr>
          <w:rFonts w:ascii="Verdana" w:eastAsia="Times New Roman" w:hAnsi="Verdana" w:cs="Arial"/>
          <w:bCs/>
          <w:lang w:val="es-ES"/>
        </w:rPr>
        <w:t>iii</w:t>
      </w:r>
      <w:proofErr w:type="spellEnd"/>
      <w:r w:rsidRPr="00E7254D">
        <w:rPr>
          <w:rFonts w:ascii="Verdana" w:eastAsia="Times New Roman" w:hAnsi="Verdana" w:cs="Arial"/>
          <w:bCs/>
          <w:lang w:val="es-ES"/>
        </w:rPr>
        <w:t xml:space="preserve">) se ejerce por la Entidad Estatal por conducto de la designación de servidores públicos idóneos para cumplir la función; </w:t>
      </w:r>
      <w:proofErr w:type="spellStart"/>
      <w:r w:rsidRPr="00E7254D">
        <w:rPr>
          <w:rFonts w:ascii="Verdana" w:eastAsia="Times New Roman" w:hAnsi="Verdana" w:cs="Arial"/>
          <w:bCs/>
          <w:lang w:val="es-ES"/>
        </w:rPr>
        <w:t>iv</w:t>
      </w:r>
      <w:proofErr w:type="spellEnd"/>
      <w:r w:rsidRPr="00E7254D">
        <w:rPr>
          <w:rFonts w:ascii="Verdana" w:eastAsia="Times New Roman" w:hAnsi="Verdana" w:cs="Arial"/>
          <w:bCs/>
          <w:lang w:val="es-ES"/>
        </w:rPr>
        <w:t>) puede recibir apoyo de personal contratado para tal fin mediante contratos de prestación de servicios; y v) le es inseparable el seguimiento técnico, administrativo, financiero, contable y jurídico del contrato vigilado.</w:t>
      </w:r>
    </w:p>
    <w:p w14:paraId="3F5484A6" w14:textId="77777777" w:rsidR="001F0EB9" w:rsidRPr="00E7254D" w:rsidRDefault="001F0EB9" w:rsidP="001F0EB9">
      <w:pPr>
        <w:tabs>
          <w:tab w:val="left" w:pos="709"/>
        </w:tabs>
        <w:snapToGrid w:val="0"/>
        <w:spacing w:after="0" w:line="276" w:lineRule="auto"/>
        <w:jc w:val="both"/>
        <w:rPr>
          <w:rFonts w:ascii="Verdana" w:eastAsia="Aptos" w:hAnsi="Verdana" w:cs="Arial"/>
          <w:bCs/>
        </w:rPr>
      </w:pPr>
      <w:r w:rsidRPr="00E7254D">
        <w:rPr>
          <w:rFonts w:ascii="Verdana" w:eastAsia="Aptos" w:hAnsi="Verdana" w:cs="Arial"/>
          <w:bCs/>
          <w:lang w:val="es-ES"/>
        </w:rPr>
        <w:tab/>
        <w:t xml:space="preserve">Por otro lado, </w:t>
      </w:r>
      <w:r w:rsidRPr="00E7254D">
        <w:rPr>
          <w:rFonts w:ascii="Verdana" w:eastAsia="Aptos" w:hAnsi="Verdana" w:cs="Arial"/>
          <w:bCs/>
        </w:rPr>
        <w:t xml:space="preserve">la interventoría puede caracterizarse de la siguiente manera: i) es un mecanismo de vigilancia contingente en la medida que solo es obligatorio para el seguimiento de los contratos de obra adjudicados por licitación pública –art. 32, numeral 1; en los demás casos se requerirá cuando “el seguimiento del contrato suponga conocimiento especializado en la materia, o cuando la complejidad o la extensión del mismo lo justifique” –art, 83, Ley 1474 de 2011–; </w:t>
      </w:r>
      <w:proofErr w:type="spellStart"/>
      <w:r w:rsidRPr="00E7254D">
        <w:rPr>
          <w:rFonts w:ascii="Verdana" w:eastAsia="Aptos" w:hAnsi="Verdana" w:cs="Arial"/>
          <w:bCs/>
        </w:rPr>
        <w:t>ii</w:t>
      </w:r>
      <w:proofErr w:type="spellEnd"/>
      <w:r w:rsidRPr="00E7254D">
        <w:rPr>
          <w:rFonts w:ascii="Verdana" w:eastAsia="Aptos" w:hAnsi="Verdana" w:cs="Arial"/>
          <w:bCs/>
        </w:rPr>
        <w:t xml:space="preserve">) es un mecanismo de vigilancia que exige, en su ejecución, la </w:t>
      </w:r>
      <w:r w:rsidRPr="00E7254D">
        <w:rPr>
          <w:rFonts w:ascii="Verdana" w:eastAsia="Aptos" w:hAnsi="Verdana" w:cs="Arial"/>
          <w:bCs/>
        </w:rPr>
        <w:lastRenderedPageBreak/>
        <w:t xml:space="preserve">utilización de conocimientos especializados; </w:t>
      </w:r>
      <w:proofErr w:type="spellStart"/>
      <w:r w:rsidRPr="00E7254D">
        <w:rPr>
          <w:rFonts w:ascii="Verdana" w:eastAsia="Aptos" w:hAnsi="Verdana" w:cs="Arial"/>
          <w:bCs/>
        </w:rPr>
        <w:t>iii</w:t>
      </w:r>
      <w:proofErr w:type="spellEnd"/>
      <w:r w:rsidRPr="00E7254D">
        <w:rPr>
          <w:rFonts w:ascii="Verdana" w:eastAsia="Aptos" w:hAnsi="Verdana" w:cs="Arial"/>
          <w:bCs/>
        </w:rPr>
        <w:t>) por lo anterior, la entidad contrata un experto, por regla general, mediante la modalidad de selección de concurso de méritos, al tratarse la interventoría de una especie del contrato de consultoría –art. 32, numeral 2, inciso 2, Ley 80 de 1993</w:t>
      </w:r>
      <w:r w:rsidRPr="00E7254D">
        <w:rPr>
          <w:rFonts w:ascii="Verdana" w:eastAsia="Aptos" w:hAnsi="Verdana" w:cs="Times New Roman"/>
          <w:kern w:val="2"/>
          <w:vertAlign w:val="superscript"/>
          <w14:ligatures w14:val="standardContextual"/>
        </w:rPr>
        <w:footnoteReference w:id="9"/>
      </w:r>
      <w:r w:rsidRPr="00E7254D">
        <w:rPr>
          <w:rFonts w:ascii="Verdana" w:eastAsia="Aptos" w:hAnsi="Verdana" w:cs="Arial"/>
          <w:bCs/>
        </w:rPr>
        <w:t xml:space="preserve">‒, de manera que la interventoría es realizada por “una persona natural o jurídica contratada para tal fin por la Entidad Estatal” –art. 83, Ley 1474–; </w:t>
      </w:r>
      <w:proofErr w:type="spellStart"/>
      <w:r w:rsidRPr="00E7254D">
        <w:rPr>
          <w:rFonts w:ascii="Verdana" w:eastAsia="Aptos" w:hAnsi="Verdana" w:cs="Arial"/>
          <w:bCs/>
        </w:rPr>
        <w:t>iv</w:t>
      </w:r>
      <w:proofErr w:type="spellEnd"/>
      <w:r w:rsidRPr="00E7254D">
        <w:rPr>
          <w:rFonts w:ascii="Verdana" w:eastAsia="Aptos" w:hAnsi="Verdana" w:cs="Arial"/>
          <w:bCs/>
        </w:rPr>
        <w:t>) le es inherente el seguimiento técnico, frente a la vigilancia de la correcta ejecución del contrato vigilado; sin embargo, el artículo 83 de la Ley 1474 de 2011 permite que en el contrato de interventoría también se pacten obligaciones para que el contratista realice el seguimiento administrativo, financiero, contable o jurídico; v) en caso de que no se encomiende al interventor el seguimiento total del contrato, en el contrato de interventoría “se deberán indicar las actividades técnicas a cargo del interventor y las demás quedarán a cargo de la Entidad a través del supervisor” –art. 83, inciso 4–, y finalmente, vi) el contrato de interventoría será supervisado directamente por la entidad –art. 83, inciso 4–.</w:t>
      </w:r>
    </w:p>
    <w:p w14:paraId="48B68F8E" w14:textId="329DEBEA" w:rsidR="00426D89" w:rsidRPr="00073A28" w:rsidRDefault="00426D89" w:rsidP="00426D89">
      <w:pPr>
        <w:spacing w:before="120" w:after="0" w:line="276" w:lineRule="auto"/>
        <w:ind w:firstLine="709"/>
        <w:jc w:val="both"/>
        <w:rPr>
          <w:rFonts w:ascii="Verdana" w:eastAsia="Calibri" w:hAnsi="Verdana" w:cs="Arial"/>
          <w:lang w:val="es-MX"/>
        </w:rPr>
      </w:pPr>
      <w:r w:rsidRPr="1F539949">
        <w:rPr>
          <w:rFonts w:ascii="Verdana" w:eastAsia="Calibri" w:hAnsi="Verdana" w:cs="Arial"/>
          <w:lang w:val="es-MX"/>
        </w:rPr>
        <w:t xml:space="preserve">De lo anterior se desprende que el interventor es un contratista externo a la </w:t>
      </w:r>
      <w:r w:rsidR="00F248F8" w:rsidRPr="1F539949">
        <w:rPr>
          <w:rFonts w:ascii="Verdana" w:eastAsia="Calibri" w:hAnsi="Verdana" w:cs="Arial"/>
          <w:lang w:val="es-MX"/>
        </w:rPr>
        <w:t xml:space="preserve">Entidad Estatal </w:t>
      </w:r>
      <w:r w:rsidRPr="1F539949">
        <w:rPr>
          <w:rFonts w:ascii="Verdana" w:eastAsia="Calibri" w:hAnsi="Verdana" w:cs="Arial"/>
          <w:lang w:val="es-MX"/>
        </w:rPr>
        <w:t>y al contratista vigilado, de manera que es seleccionado por la entidad estatal mediante los procedimientos del artículo 2 de la Ley 1150 de 2007, en principio, a través del concurso de méritos. Lo anterior, sin perjuicio de que eventualmente aplique alguna causal especial que permita la celebración de este tipo de contratos mediante una modalidad diferente, como podría suceder frente a la posibilidad de realizar, por ejemplo, una contratación de mínima cuantía</w:t>
      </w:r>
      <w:r>
        <w:rPr>
          <w:rFonts w:ascii="Verdana" w:eastAsia="Calibri" w:hAnsi="Verdana" w:cs="Arial"/>
          <w:lang w:val="es-MX"/>
        </w:rPr>
        <w:t xml:space="preserve">. </w:t>
      </w:r>
    </w:p>
    <w:p w14:paraId="1EAE14F4" w14:textId="77777777" w:rsidR="00426D89" w:rsidRPr="00073A28" w:rsidRDefault="00426D89" w:rsidP="00426D89">
      <w:pPr>
        <w:spacing w:before="120" w:after="0" w:line="276" w:lineRule="auto"/>
        <w:ind w:firstLine="709"/>
        <w:jc w:val="both"/>
        <w:rPr>
          <w:rFonts w:ascii="Verdana" w:eastAsia="Calibri" w:hAnsi="Verdana" w:cs="Arial"/>
          <w:color w:val="000000"/>
          <w:lang w:val="es-MX"/>
        </w:rPr>
      </w:pPr>
      <w:r w:rsidRPr="1F539949">
        <w:rPr>
          <w:rFonts w:ascii="Verdana" w:eastAsia="Calibri" w:hAnsi="Verdana" w:cs="Arial"/>
          <w:color w:val="000000" w:themeColor="text1"/>
          <w:lang w:val="es-MX"/>
        </w:rPr>
        <w:t>El interventor contratado usará las facultades previstas en el artículo 84 de la Ley 1474 de 2011 para hacer el seguimiento al cumplimiento obligacional del contrato y estará sometido a los deberes y responsabilidades que implica el ejercicio de dicha actividad. De esta forma, aun cuando el contrato de interventoría se celebra con un tercero a quien se le confía la labor de vigilar la ejecución idónea de otro contrato, por lo general a un contrato de obra pública,</w:t>
      </w:r>
      <w:r>
        <w:rPr>
          <w:rFonts w:ascii="Verdana" w:eastAsia="Calibri" w:hAnsi="Verdana" w:cs="Arial"/>
          <w:color w:val="000000" w:themeColor="text1"/>
          <w:lang w:val="es-MX"/>
        </w:rPr>
        <w:t xml:space="preserve"> ello no exime a la entidad de su deber de supervisión de cada contrato celebrado.</w:t>
      </w:r>
      <w:r w:rsidRPr="1F539949">
        <w:rPr>
          <w:rFonts w:ascii="Verdana" w:eastAsia="Calibri" w:hAnsi="Verdana" w:cs="Arial"/>
          <w:color w:val="000000" w:themeColor="text1"/>
          <w:lang w:val="es-MX"/>
        </w:rPr>
        <w:t xml:space="preserve"> Lo anterior en la medida que ambos son mecanismos a través de los cuales las entidades cumplen el deber de vigilar la correcta ejecución de los contratos</w:t>
      </w:r>
      <w:r w:rsidRPr="565EF9E2">
        <w:rPr>
          <w:rFonts w:ascii="Verdana" w:eastAsia="Calibri" w:hAnsi="Verdana" w:cs="Arial"/>
          <w:color w:val="000000" w:themeColor="text1"/>
          <w:lang w:val="es-MX"/>
        </w:rPr>
        <w:t>.</w:t>
      </w:r>
    </w:p>
    <w:p w14:paraId="17668A5E" w14:textId="77777777" w:rsidR="00426D89" w:rsidRPr="00073A28" w:rsidRDefault="00426D89" w:rsidP="00426D89">
      <w:pPr>
        <w:spacing w:before="120" w:after="0" w:line="276" w:lineRule="auto"/>
        <w:ind w:firstLine="708"/>
        <w:jc w:val="both"/>
        <w:rPr>
          <w:rFonts w:ascii="Verdana" w:eastAsia="Calibri" w:hAnsi="Verdana" w:cs="Arial"/>
          <w:color w:val="000000"/>
          <w:lang w:val="es-MX"/>
        </w:rPr>
      </w:pPr>
      <w:r w:rsidRPr="00073A28">
        <w:rPr>
          <w:rFonts w:ascii="Verdana" w:eastAsia="Calibri" w:hAnsi="Verdana" w:cs="Arial"/>
          <w:color w:val="000000"/>
          <w:lang w:val="es-MX"/>
        </w:rPr>
        <w:t xml:space="preserve">Ahora bien, el contrato de interventoría supone la existencia de otro contrato –es decir, el contrato vigilado–, y por eso la jurisprudencia ha caracterizado la interventoría como un negocio jurídico íntimamente relacionado </w:t>
      </w:r>
      <w:r w:rsidRPr="00073A28">
        <w:rPr>
          <w:rFonts w:ascii="Verdana" w:eastAsia="Calibri" w:hAnsi="Verdana" w:cs="Arial"/>
          <w:color w:val="000000"/>
          <w:lang w:val="es-MX"/>
        </w:rPr>
        <w:lastRenderedPageBreak/>
        <w:t>en su objeto con el contrato respecto del que ejerce las actividades del interventor</w:t>
      </w:r>
      <w:r w:rsidRPr="00073A28">
        <w:rPr>
          <w:rFonts w:ascii="Verdana" w:eastAsia="Calibri" w:hAnsi="Verdana" w:cs="Arial"/>
          <w:color w:val="000000"/>
          <w:vertAlign w:val="superscript"/>
          <w:lang w:val="es-MX"/>
        </w:rPr>
        <w:footnoteReference w:id="10"/>
      </w:r>
      <w:r w:rsidRPr="00073A28">
        <w:rPr>
          <w:rFonts w:ascii="Verdana" w:eastAsia="Calibri" w:hAnsi="Verdana" w:cs="Arial"/>
          <w:color w:val="000000"/>
          <w:lang w:val="es-MX"/>
        </w:rPr>
        <w:t>.</w:t>
      </w:r>
      <w:r>
        <w:rPr>
          <w:rFonts w:ascii="Verdana" w:eastAsia="Calibri" w:hAnsi="Verdana" w:cs="Arial"/>
          <w:color w:val="000000"/>
          <w:lang w:val="es-MX"/>
        </w:rPr>
        <w:t xml:space="preserve"> </w:t>
      </w:r>
      <w:r>
        <w:rPr>
          <w:rFonts w:ascii="Verdana" w:eastAsia="Calibri" w:hAnsi="Verdana" w:cs="Arial"/>
          <w:color w:val="000000"/>
        </w:rPr>
        <w:t>El</w:t>
      </w:r>
      <w:r w:rsidRPr="00650BF3">
        <w:rPr>
          <w:rFonts w:ascii="Verdana" w:eastAsia="Calibri" w:hAnsi="Verdana" w:cs="Arial"/>
          <w:color w:val="000000"/>
        </w:rPr>
        <w:t xml:space="preserve"> contrato de interventoría conserva su independencia respecto del contrato principal en determinados aspectos, como el incumplimiento contractual. En efecto, el incumplimiento del contrato vigilado, por ejemplo</w:t>
      </w:r>
      <w:r>
        <w:rPr>
          <w:rFonts w:ascii="Verdana" w:eastAsia="Calibri" w:hAnsi="Verdana" w:cs="Arial"/>
          <w:color w:val="000000"/>
        </w:rPr>
        <w:t>,</w:t>
      </w:r>
      <w:r w:rsidRPr="00650BF3">
        <w:rPr>
          <w:rFonts w:ascii="Verdana" w:eastAsia="Calibri" w:hAnsi="Verdana" w:cs="Arial"/>
          <w:color w:val="000000"/>
        </w:rPr>
        <w:t xml:space="preserve"> el de obra, no implica automáticamente el incumplimiento del contrato de interventoría.</w:t>
      </w:r>
      <w:r>
        <w:rPr>
          <w:rFonts w:ascii="Verdana" w:eastAsia="Calibri" w:hAnsi="Verdana" w:cs="Arial"/>
          <w:color w:val="000000"/>
        </w:rPr>
        <w:t xml:space="preserve"> </w:t>
      </w:r>
      <w:r w:rsidRPr="00650BF3">
        <w:rPr>
          <w:rFonts w:ascii="Verdana" w:eastAsia="Calibri" w:hAnsi="Verdana" w:cs="Arial"/>
          <w:color w:val="000000"/>
        </w:rPr>
        <w:t xml:space="preserve">Sin embargo, dicha autonomía no es absoluta. En lo relativo a la prórroga, </w:t>
      </w:r>
      <w:r>
        <w:rPr>
          <w:rFonts w:ascii="Verdana" w:eastAsia="Calibri" w:hAnsi="Verdana" w:cs="Arial"/>
          <w:color w:val="000000"/>
        </w:rPr>
        <w:t xml:space="preserve">el artículo 85 de </w:t>
      </w:r>
      <w:r w:rsidRPr="00650BF3">
        <w:rPr>
          <w:rFonts w:ascii="Verdana" w:eastAsia="Calibri" w:hAnsi="Verdana" w:cs="Arial"/>
          <w:color w:val="000000"/>
        </w:rPr>
        <w:t>la Ley 1474 de 2011</w:t>
      </w:r>
      <w:r>
        <w:rPr>
          <w:rFonts w:ascii="Verdana" w:eastAsia="Calibri" w:hAnsi="Verdana" w:cs="Arial"/>
          <w:color w:val="000000"/>
        </w:rPr>
        <w:t xml:space="preserve">, </w:t>
      </w:r>
      <w:r w:rsidRPr="00650BF3">
        <w:rPr>
          <w:rFonts w:ascii="Verdana" w:eastAsia="Calibri" w:hAnsi="Verdana" w:cs="Arial"/>
          <w:color w:val="000000"/>
        </w:rPr>
        <w:t>contempla la posibilidad de que, cuando se prorrogue el contrato principal, también se amplíe la interventoría, incluso en un porcentaje superior al cincuenta por ciento (50%) de su valor inicial, siempre que ello resulte necesario para garantizar la continuidad de la supervisión y se cumplan las exigencias legales aplicables</w:t>
      </w:r>
      <w:r>
        <w:rPr>
          <w:rFonts w:ascii="Verdana" w:eastAsia="Calibri" w:hAnsi="Verdana" w:cs="Arial"/>
          <w:color w:val="000000"/>
        </w:rPr>
        <w:t>.</w:t>
      </w:r>
    </w:p>
    <w:p w14:paraId="53D6F4B1" w14:textId="77777777" w:rsidR="00426D89" w:rsidRPr="00076626" w:rsidRDefault="00426D89" w:rsidP="00426D89">
      <w:pPr>
        <w:spacing w:before="120" w:after="120" w:line="276" w:lineRule="auto"/>
        <w:ind w:firstLine="709"/>
        <w:jc w:val="both"/>
        <w:rPr>
          <w:rFonts w:ascii="Verdana" w:eastAsia="Calibri" w:hAnsi="Verdana" w:cs="Arial"/>
          <w:color w:val="000000"/>
        </w:rPr>
      </w:pPr>
      <w:r w:rsidRPr="05FE03FA">
        <w:rPr>
          <w:rFonts w:ascii="Verdana" w:eastAsia="Calibri" w:hAnsi="Verdana" w:cs="Arial"/>
          <w:color w:val="000000" w:themeColor="text1"/>
          <w:lang w:val="es-MX"/>
        </w:rPr>
        <w:t xml:space="preserve">El contrato de interventoría es un contrato bilateral, conmutativo y oneroso, por lo que crea obligaciones tanto para la entidad contratante como para el contratista interventor. Asimismo, este contrato es de ejecución sucesiva, toda vez que, las prestaciones se prologan en el tiempo, es decir, la satisfacción de las prestaciones no se da con la prestación de un solo servicio, sino que se requiere el desarrollo de dicha actividad durante un periodo de tiempo. </w:t>
      </w:r>
      <w:r w:rsidRPr="05FE03FA">
        <w:rPr>
          <w:rFonts w:ascii="Verdana" w:eastAsia="Calibri" w:hAnsi="Verdana" w:cs="Arial"/>
          <w:color w:val="000000" w:themeColor="text1"/>
        </w:rPr>
        <w:t>No obstante, la interventoría también puede ser de ejecución inmediata cuando su objeto recae sobre obligaciones que deben cumplirse en un solo acto o dentro de un periodo breve. En esos casos, si el contrato principal es de ejecución instantánea, por ejemplo, la entrega de un bien o la realización de una actividad puntual, la interventoría puede compartir esa misma naturaleza, limitándose al seguimiento y verificación de dichas obligaciones específicas, sin que ello implique que sea de ejecución sucesiva.</w:t>
      </w:r>
    </w:p>
    <w:p w14:paraId="7875FB25" w14:textId="77777777" w:rsidR="00426D89" w:rsidRDefault="00426D89" w:rsidP="00426D89">
      <w:pPr>
        <w:spacing w:before="120" w:after="120" w:line="276" w:lineRule="auto"/>
        <w:ind w:firstLine="709"/>
        <w:jc w:val="both"/>
        <w:rPr>
          <w:rFonts w:ascii="Verdana" w:hAnsi="Verdana" w:cs="Arial"/>
          <w:color w:val="000000" w:themeColor="text1"/>
          <w:kern w:val="2"/>
          <w14:ligatures w14:val="standardContextual"/>
        </w:rPr>
      </w:pPr>
      <w:r w:rsidRPr="1F539949">
        <w:rPr>
          <w:rFonts w:ascii="Verdana" w:hAnsi="Verdana" w:cs="Arial"/>
          <w:color w:val="000000" w:themeColor="text1"/>
          <w:kern w:val="2"/>
          <w:lang w:val="es-ES"/>
          <w14:ligatures w14:val="standardContextual"/>
        </w:rPr>
        <w:t xml:space="preserve">Ahora bien, como se explicó previamente, las obligaciones del interventor se derivan de dos fuentes: i) las disposiciones normativas de carácter legal o reglamentario y </w:t>
      </w:r>
      <w:proofErr w:type="spellStart"/>
      <w:r w:rsidRPr="05FE03FA">
        <w:rPr>
          <w:rFonts w:ascii="Verdana" w:hAnsi="Verdana" w:cs="Arial"/>
          <w:color w:val="000000" w:themeColor="text1"/>
          <w:lang w:val="es-ES"/>
        </w:rPr>
        <w:t>ii</w:t>
      </w:r>
      <w:proofErr w:type="spellEnd"/>
      <w:r w:rsidRPr="05FE03FA">
        <w:rPr>
          <w:rFonts w:ascii="Verdana" w:hAnsi="Verdana" w:cs="Arial"/>
          <w:color w:val="000000" w:themeColor="text1"/>
          <w:lang w:val="es-ES"/>
        </w:rPr>
        <w:t xml:space="preserve">) el contrato –lo que incluye no solo la minuta, sino también el pliego de condiciones, o el documento equivalente, y sus anexos–. En efecto, la Ley 1474 de 2011 es el principal cuerpo normativo en el que se encuentran consagrados los deberes de los interventores. Estas obligaciones, con fundamento en los artículos 83 –inciso 3– y 84 de dicha Ley, se sintetizan en el ejercicio de una adecuada inspección del cumplimiento del contrato objeto de interventoría. Por ello, como indica el referido artículo 84, “Los interventores y supervisores están facultados para solicitar informes, aclaraciones y </w:t>
      </w:r>
      <w:r w:rsidRPr="05FE03FA">
        <w:rPr>
          <w:rFonts w:ascii="Verdana" w:hAnsi="Verdana" w:cs="Arial"/>
          <w:color w:val="000000" w:themeColor="text1"/>
          <w:lang w:val="es-ES"/>
        </w:rPr>
        <w:lastRenderedPageBreak/>
        <w:t>explicaciones sobre el desarrollo de la ejecución contractual, y serán responsables por mantener informada a la entidad contratante de los hechos o circunstancias que puedan constituir actos de corrupción tipificados como conductas punibles, o que puedan poner o pongan en riesgo el cumplimiento del contrato, o cuando tal incumplimiento se presente”. Esto no obsta para que las partes, en ejercicio de su autonomía de la voluntad, puedan estipular en el contrato –con la debida justificación– obligaciones conexas, que el interventor también deberá cumplir, e incluso contemplar que el plazo de ejecución del contrato de interventoría.</w:t>
      </w:r>
    </w:p>
    <w:p w14:paraId="101EC86F" w14:textId="77777777" w:rsidR="00426D89" w:rsidRPr="00E7254D" w:rsidRDefault="00426D89" w:rsidP="001F0EB9">
      <w:pPr>
        <w:tabs>
          <w:tab w:val="left" w:pos="709"/>
        </w:tabs>
        <w:snapToGrid w:val="0"/>
        <w:spacing w:after="0" w:line="276" w:lineRule="auto"/>
        <w:jc w:val="both"/>
        <w:rPr>
          <w:rFonts w:ascii="Verdana" w:eastAsia="Aptos" w:hAnsi="Verdana" w:cs="Arial"/>
          <w:bCs/>
        </w:rPr>
      </w:pPr>
    </w:p>
    <w:p w14:paraId="2871B377" w14:textId="77777777" w:rsidR="001F0EB9" w:rsidRPr="00C82667" w:rsidRDefault="001F0EB9" w:rsidP="001F0EB9">
      <w:pPr>
        <w:spacing w:after="0" w:line="276" w:lineRule="auto"/>
        <w:jc w:val="both"/>
        <w:rPr>
          <w:rFonts w:ascii="Verdana" w:eastAsia="Calibri" w:hAnsi="Verdana" w:cs="Arial"/>
          <w:color w:val="000000" w:themeColor="text1"/>
        </w:rPr>
      </w:pPr>
    </w:p>
    <w:bookmarkEnd w:id="2"/>
    <w:bookmarkEnd w:id="3"/>
    <w:p w14:paraId="782D3B3B" w14:textId="68B9C9C2" w:rsidR="001F0EB9" w:rsidRDefault="001F0EB9" w:rsidP="00C16E92">
      <w:pPr>
        <w:spacing w:after="120" w:line="276" w:lineRule="auto"/>
        <w:jc w:val="both"/>
        <w:rPr>
          <w:rFonts w:ascii="Verdana" w:eastAsia="Calibri" w:hAnsi="Verdana" w:cs="Arial"/>
          <w:color w:val="000000" w:themeColor="text1"/>
          <w:lang w:val="es-ES"/>
        </w:rPr>
      </w:pPr>
      <w:r>
        <w:rPr>
          <w:rFonts w:ascii="Verdana" w:eastAsia="Calibri" w:hAnsi="Verdana" w:cs="Arial"/>
          <w:color w:val="000000" w:themeColor="text1"/>
        </w:rPr>
        <w:tab/>
      </w:r>
      <w:r>
        <w:rPr>
          <w:rFonts w:ascii="Verdana" w:eastAsia="Calibri" w:hAnsi="Verdana" w:cs="Arial"/>
          <w:color w:val="000000" w:themeColor="text1"/>
          <w:lang w:val="es-ES"/>
        </w:rPr>
        <w:t xml:space="preserve"> </w:t>
      </w:r>
    </w:p>
    <w:p w14:paraId="737C0F17" w14:textId="77777777" w:rsidR="00E22DEA" w:rsidRPr="00A03649" w:rsidRDefault="00E22DEA" w:rsidP="00E22DEA">
      <w:pPr>
        <w:spacing w:line="276" w:lineRule="auto"/>
        <w:jc w:val="both"/>
        <w:rPr>
          <w:rFonts w:ascii="Verdana" w:eastAsia="Calibri" w:hAnsi="Verdana" w:cs="Arial"/>
          <w:color w:val="000000" w:themeColor="text1"/>
        </w:rPr>
      </w:pPr>
      <w:r>
        <w:rPr>
          <w:rFonts w:ascii="Verdana" w:eastAsia="Times New Roman" w:hAnsi="Verdana" w:cs="Arial"/>
          <w:lang w:val="es-ES" w:eastAsia="es-MX"/>
        </w:rPr>
        <w:t>E</w:t>
      </w:r>
      <w:r w:rsidRPr="002E5D23">
        <w:rPr>
          <w:rFonts w:ascii="Verdana" w:eastAsia="Times New Roman" w:hAnsi="Verdana" w:cs="Arial"/>
          <w:lang w:val="es-ES" w:eastAsia="es-MX"/>
        </w:rPr>
        <w:t xml:space="preserve">n atención a su consulta, el artículo 83 de la Ley 1474 de 2011 señala que, la interventoría procederá “cuando el seguimiento del contrato suponga conocimiento especializado en la materia, o cuando la complejidad o la extensión del mismo lo justifiquen”.  Respecto </w:t>
      </w:r>
      <w:r w:rsidRPr="002E5D23">
        <w:rPr>
          <w:rFonts w:ascii="Verdana" w:eastAsia="Calibri" w:hAnsi="Verdana" w:cs="Arial"/>
          <w:color w:val="000000" w:themeColor="text1"/>
        </w:rPr>
        <w:t>del conocimiento especializado, si bien el ordenamiento jurídico no trae una definición exacta, lo cierto la Ley 80 de 1993 en su artículo 32 clasifica la interventoría dentro de los contratos de consultoría, lo cual exige formación profesional y experiencia acreditada en el área técnica correspondiente. La jurisprudencia del Consejo de Estado ha precisado que este criterio se refiere a saberes técnicos o científicos que exceden la capacidad administrativa ordinaria, necesarios para verificar la correcta ejecución contractual.</w:t>
      </w:r>
      <w:r>
        <w:rPr>
          <w:rFonts w:ascii="Verdana" w:eastAsia="Calibri" w:hAnsi="Verdana" w:cs="Arial"/>
          <w:color w:val="000000" w:themeColor="text1"/>
        </w:rPr>
        <w:t xml:space="preserve"> </w:t>
      </w:r>
      <w:r w:rsidRPr="002E5D23">
        <w:rPr>
          <w:rFonts w:ascii="Verdana" w:eastAsia="Calibri" w:hAnsi="Verdana" w:cs="Arial"/>
          <w:color w:val="000000" w:themeColor="text1"/>
        </w:rPr>
        <w:t>Ahora bien, la Corte Constitucional</w:t>
      </w:r>
      <w:r>
        <w:rPr>
          <w:rFonts w:ascii="Verdana" w:eastAsia="Calibri" w:hAnsi="Verdana" w:cs="Arial"/>
          <w:color w:val="000000" w:themeColor="text1"/>
        </w:rPr>
        <w:t xml:space="preserve">, en </w:t>
      </w:r>
      <w:r w:rsidRPr="002E5D23">
        <w:rPr>
          <w:rFonts w:ascii="Verdana" w:eastAsia="Calibri" w:hAnsi="Verdana" w:cs="Arial"/>
          <w:color w:val="000000" w:themeColor="text1"/>
        </w:rPr>
        <w:t>Sentencia C</w:t>
      </w:r>
      <w:r w:rsidRPr="002E5D23">
        <w:rPr>
          <w:rFonts w:ascii="Cambria Math" w:eastAsia="Calibri" w:hAnsi="Cambria Math" w:cs="Cambria Math"/>
          <w:color w:val="000000" w:themeColor="text1"/>
        </w:rPr>
        <w:t>‑</w:t>
      </w:r>
      <w:r w:rsidRPr="002E5D23">
        <w:rPr>
          <w:rFonts w:ascii="Verdana" w:eastAsia="Calibri" w:hAnsi="Verdana" w:cs="Arial"/>
          <w:color w:val="000000" w:themeColor="text1"/>
        </w:rPr>
        <w:t>434 de 2013</w:t>
      </w:r>
      <w:r>
        <w:rPr>
          <w:rFonts w:ascii="Verdana" w:eastAsia="Calibri" w:hAnsi="Verdana" w:cs="Arial"/>
          <w:color w:val="000000" w:themeColor="text1"/>
        </w:rPr>
        <w:t>,</w:t>
      </w:r>
      <w:r w:rsidRPr="002E5D23">
        <w:rPr>
          <w:rFonts w:ascii="Verdana" w:eastAsia="Calibri" w:hAnsi="Verdana" w:cs="Arial"/>
          <w:color w:val="000000" w:themeColor="text1"/>
        </w:rPr>
        <w:t xml:space="preserve"> ha se</w:t>
      </w:r>
      <w:r w:rsidRPr="002E5D23">
        <w:rPr>
          <w:rFonts w:ascii="Verdana" w:eastAsia="Calibri" w:hAnsi="Verdana" w:cs="Verdana"/>
          <w:color w:val="000000" w:themeColor="text1"/>
        </w:rPr>
        <w:t>ñ</w:t>
      </w:r>
      <w:r w:rsidRPr="002E5D23">
        <w:rPr>
          <w:rFonts w:ascii="Verdana" w:eastAsia="Calibri" w:hAnsi="Verdana" w:cs="Arial"/>
          <w:color w:val="000000" w:themeColor="text1"/>
        </w:rPr>
        <w:t>alado que la complejidad se asocia a la multiplicidad de actividades, riesgos t</w:t>
      </w:r>
      <w:r w:rsidRPr="002E5D23">
        <w:rPr>
          <w:rFonts w:ascii="Verdana" w:eastAsia="Calibri" w:hAnsi="Verdana" w:cs="Verdana"/>
          <w:color w:val="000000" w:themeColor="text1"/>
        </w:rPr>
        <w:t>é</w:t>
      </w:r>
      <w:r w:rsidRPr="002E5D23">
        <w:rPr>
          <w:rFonts w:ascii="Verdana" w:eastAsia="Calibri" w:hAnsi="Verdana" w:cs="Arial"/>
          <w:color w:val="000000" w:themeColor="text1"/>
        </w:rPr>
        <w:t>cnicos y econ</w:t>
      </w:r>
      <w:r w:rsidRPr="002E5D23">
        <w:rPr>
          <w:rFonts w:ascii="Verdana" w:eastAsia="Calibri" w:hAnsi="Verdana" w:cs="Verdana"/>
          <w:color w:val="000000" w:themeColor="text1"/>
        </w:rPr>
        <w:t>ó</w:t>
      </w:r>
      <w:r w:rsidRPr="002E5D23">
        <w:rPr>
          <w:rFonts w:ascii="Verdana" w:eastAsia="Calibri" w:hAnsi="Verdana" w:cs="Arial"/>
          <w:color w:val="000000" w:themeColor="text1"/>
        </w:rPr>
        <w:t>micos que demandan vigilancia reforzada para garantizar transparencia y prevenir corrupci</w:t>
      </w:r>
      <w:r w:rsidRPr="002E5D23">
        <w:rPr>
          <w:rFonts w:ascii="Verdana" w:eastAsia="Calibri" w:hAnsi="Verdana" w:cs="Verdana"/>
          <w:color w:val="000000" w:themeColor="text1"/>
        </w:rPr>
        <w:t>ó</w:t>
      </w:r>
      <w:r w:rsidRPr="002E5D23">
        <w:rPr>
          <w:rFonts w:ascii="Verdana" w:eastAsia="Calibri" w:hAnsi="Verdana" w:cs="Arial"/>
          <w:color w:val="000000" w:themeColor="text1"/>
        </w:rPr>
        <w:t>n.</w:t>
      </w:r>
      <w:r>
        <w:rPr>
          <w:rFonts w:ascii="Verdana" w:eastAsia="Calibri" w:hAnsi="Verdana" w:cs="Arial"/>
          <w:color w:val="000000" w:themeColor="text1"/>
        </w:rPr>
        <w:t xml:space="preserve"> </w:t>
      </w:r>
      <w:r>
        <w:rPr>
          <w:rFonts w:ascii="Verdana" w:eastAsia="Calibri" w:hAnsi="Verdana" w:cs="Arial"/>
          <w:bCs/>
          <w:lang w:val="es-ES_tradnl"/>
        </w:rPr>
        <w:t>E</w:t>
      </w:r>
      <w:r w:rsidRPr="002E5D23">
        <w:rPr>
          <w:rFonts w:ascii="Verdana" w:eastAsia="Calibri" w:hAnsi="Verdana" w:cs="Arial"/>
          <w:bCs/>
          <w:lang w:val="es-ES_tradnl"/>
        </w:rPr>
        <w:t>n cuanto a la extensión, la jurisprudencia del Consejo de Estado ha interpretado este criterio como la magnitud temporal o económica del contrato que exige vigilancia técnica continua para prevenir desviaciones en la ejecución.</w:t>
      </w:r>
    </w:p>
    <w:p w14:paraId="795BE242" w14:textId="77777777" w:rsidR="00E22DEA" w:rsidRPr="002E5D23" w:rsidRDefault="00E22DEA" w:rsidP="00C16E92">
      <w:pPr>
        <w:spacing w:after="120" w:line="276" w:lineRule="auto"/>
        <w:ind w:firstLine="709"/>
        <w:jc w:val="both"/>
        <w:rPr>
          <w:rFonts w:ascii="Verdana" w:eastAsia="Calibri" w:hAnsi="Verdana" w:cs="Arial"/>
          <w:bCs/>
          <w:lang w:val="es-ES_tradnl"/>
        </w:rPr>
      </w:pPr>
      <w:r>
        <w:rPr>
          <w:rFonts w:ascii="Verdana" w:eastAsia="Calibri" w:hAnsi="Verdana" w:cs="Arial"/>
          <w:bCs/>
          <w:lang w:val="es-ES_tradnl"/>
        </w:rPr>
        <w:t>E</w:t>
      </w:r>
      <w:r w:rsidRPr="002E5D23">
        <w:rPr>
          <w:rFonts w:ascii="Verdana" w:eastAsia="Calibri" w:hAnsi="Verdana" w:cs="Arial"/>
          <w:bCs/>
          <w:lang w:val="es-ES_tradnl"/>
        </w:rPr>
        <w:t>n consecuencia, los parámetros legales y jurisprudenciales que definen los conceptos de conocimiento especializado, complejidad y extensión deben ser entendidos como criterios objetivos que obligan a la entidad estatal a designar interventoría cuando el contrato, por su naturaleza técnica, por la multiplicidad de actividades o por su duración y cuantía, genere riesgos que hagan necesario un control especializado.</w:t>
      </w:r>
    </w:p>
    <w:p w14:paraId="7344C1A7" w14:textId="22555DFE" w:rsidR="001F0EB9" w:rsidRPr="009037F6" w:rsidRDefault="001F0EB9" w:rsidP="00C16E92">
      <w:pPr>
        <w:spacing w:after="120" w:line="276" w:lineRule="auto"/>
        <w:ind w:firstLine="708"/>
        <w:jc w:val="both"/>
        <w:rPr>
          <w:rFonts w:ascii="Verdana" w:eastAsia="Calibri" w:hAnsi="Verdana" w:cs="Arial"/>
          <w:color w:val="000000" w:themeColor="text1"/>
          <w:lang w:val="es-ES"/>
        </w:rPr>
      </w:pPr>
      <w:r w:rsidRPr="009037F6">
        <w:rPr>
          <w:rFonts w:ascii="Verdana" w:eastAsia="Calibri" w:hAnsi="Verdana" w:cs="Arial"/>
          <w:color w:val="000000" w:themeColor="text1"/>
          <w:lang w:val="es-ES"/>
        </w:rPr>
        <w:lastRenderedPageBreak/>
        <w:t xml:space="preserve">Al </w:t>
      </w:r>
      <w:r w:rsidRPr="009037F6">
        <w:rPr>
          <w:rFonts w:ascii="Verdana" w:hAnsi="Verdana" w:cs="Arial"/>
          <w:lang w:val="es-ES_tradnl" w:eastAsia="es-ES"/>
        </w:rPr>
        <w:t xml:space="preserve">margen de la explicación precedente debe advertirse que el análisis requerido para resolver problemas específicos </w:t>
      </w:r>
      <w:r w:rsidRPr="009B28B9">
        <w:rPr>
          <w:rFonts w:ascii="Verdana" w:hAnsi="Verdana" w:cs="Arial"/>
          <w:lang w:val="es-ES_tradnl" w:eastAsia="es-ES"/>
        </w:rPr>
        <w:t>en torno a</w:t>
      </w:r>
      <w:r>
        <w:rPr>
          <w:rFonts w:ascii="Verdana" w:hAnsi="Verdana" w:cs="Arial"/>
          <w:lang w:val="es-ES_tradnl" w:eastAsia="es-ES"/>
        </w:rPr>
        <w:t xml:space="preserve"> la designación de la supervisión </w:t>
      </w:r>
      <w:r w:rsidRPr="009037F6">
        <w:rPr>
          <w:rFonts w:ascii="Verdana" w:hAnsi="Verdana" w:cs="Arial"/>
          <w:lang w:val="es-ES_tradnl" w:eastAsia="es-ES"/>
        </w:rPr>
        <w:t>debe realizarse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2FC60B4C" w14:textId="77777777" w:rsidR="001F0EB9" w:rsidRPr="009037F6" w:rsidRDefault="001F0EB9" w:rsidP="001F0EB9">
      <w:pPr>
        <w:spacing w:after="0" w:line="276" w:lineRule="auto"/>
        <w:ind w:firstLine="709"/>
        <w:jc w:val="both"/>
        <w:rPr>
          <w:rFonts w:ascii="Verdana" w:hAnsi="Verdana" w:cs="Arial"/>
          <w:lang w:val="es-ES" w:eastAsia="es-ES"/>
        </w:rPr>
      </w:pPr>
      <w:r w:rsidRPr="009037F6">
        <w:rPr>
          <w:rFonts w:ascii="Verdana" w:hAnsi="Verdana" w:cs="Arial"/>
          <w:lang w:val="es-ES" w:eastAsia="es-ES"/>
        </w:rPr>
        <w:t>Dentro de este marco, la entidad pública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5BAC1E2D" w14:textId="77777777" w:rsidR="001F0EB9" w:rsidRPr="009037F6" w:rsidRDefault="001F0EB9" w:rsidP="001F0EB9">
      <w:pPr>
        <w:spacing w:after="0" w:line="276" w:lineRule="auto"/>
        <w:jc w:val="both"/>
        <w:rPr>
          <w:rFonts w:ascii="Verdana" w:eastAsia="Calibri" w:hAnsi="Verdana" w:cs="Arial"/>
          <w:lang w:val="es-ES" w:eastAsia="es-MX"/>
        </w:rPr>
      </w:pPr>
    </w:p>
    <w:p w14:paraId="750E8DB2" w14:textId="77777777" w:rsidR="001F0EB9" w:rsidRPr="009037F6" w:rsidRDefault="001F0EB9" w:rsidP="001F0EB9">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9037F6">
        <w:rPr>
          <w:rFonts w:ascii="Verdana" w:eastAsia="Century Gothic" w:hAnsi="Verdana" w:cs="Century Gothic"/>
          <w:b/>
          <w:bCs/>
          <w:lang w:val="es-ES"/>
        </w:rPr>
        <w:t xml:space="preserve">Referencias normativas, jurisprudenciales y otras fuentes </w:t>
      </w:r>
    </w:p>
    <w:p w14:paraId="4A5ECE57" w14:textId="77777777" w:rsidR="001F0EB9" w:rsidRPr="009037F6" w:rsidRDefault="001F0EB9" w:rsidP="001F0EB9">
      <w:pPr>
        <w:widowControl w:val="0"/>
        <w:autoSpaceDE w:val="0"/>
        <w:autoSpaceDN w:val="0"/>
        <w:spacing w:after="0" w:line="276" w:lineRule="auto"/>
        <w:jc w:val="both"/>
        <w:rPr>
          <w:rFonts w:ascii="Verdana" w:hAnsi="Verdana" w:cs="Arial"/>
        </w:rPr>
      </w:pPr>
    </w:p>
    <w:tbl>
      <w:tblPr>
        <w:tblStyle w:val="Tablaconcuadrcula1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F0EB9" w:rsidRPr="009037F6" w14:paraId="238330EB" w14:textId="77777777" w:rsidTr="0009157C">
        <w:trPr>
          <w:trHeight w:val="487"/>
          <w:jc w:val="center"/>
        </w:trPr>
        <w:tc>
          <w:tcPr>
            <w:tcW w:w="8647" w:type="dxa"/>
          </w:tcPr>
          <w:p w14:paraId="321EB001" w14:textId="77777777" w:rsidR="001F0EB9" w:rsidRPr="00624EEC" w:rsidRDefault="001F0EB9" w:rsidP="0009157C">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sidRPr="00624EEC">
              <w:rPr>
                <w:rFonts w:ascii="Verdana" w:eastAsia="Arial MT" w:hAnsi="Verdana" w:cs="Arial"/>
                <w:lang w:val="es-ES" w:eastAsia="es-ES" w:bidi="es-ES"/>
              </w:rPr>
              <w:t>Ley 80 de 1993, artículos 4, 5, 12, 14, 26, 32, 51, 53</w:t>
            </w:r>
            <w:r>
              <w:rPr>
                <w:rFonts w:ascii="Verdana" w:eastAsia="Arial MT" w:hAnsi="Verdana" w:cs="Arial"/>
                <w:lang w:val="es-ES" w:eastAsia="es-ES" w:bidi="es-ES"/>
              </w:rPr>
              <w:t xml:space="preserve"> y 77. </w:t>
            </w:r>
            <w:r w:rsidRPr="00624EEC">
              <w:rPr>
                <w:rFonts w:ascii="Verdana" w:eastAsia="Arial MT" w:hAnsi="Verdana" w:cs="Arial"/>
                <w:lang w:val="es-ES" w:eastAsia="es-ES" w:bidi="es-ES"/>
              </w:rPr>
              <w:t xml:space="preserve"> </w:t>
            </w:r>
          </w:p>
          <w:p w14:paraId="5E52EC61" w14:textId="77777777" w:rsidR="001F0EB9" w:rsidRDefault="001F0EB9" w:rsidP="0009157C">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sidRPr="00624EEC">
              <w:rPr>
                <w:rFonts w:ascii="Verdana" w:eastAsia="Arial MT" w:hAnsi="Verdana" w:cs="Arial"/>
                <w:lang w:val="es-ES" w:eastAsia="es-ES" w:bidi="es-ES"/>
              </w:rPr>
              <w:t>Ley 1150 de 2007</w:t>
            </w:r>
            <w:r>
              <w:rPr>
                <w:rFonts w:ascii="Verdana" w:eastAsia="Arial MT" w:hAnsi="Verdana" w:cs="Arial"/>
                <w:lang w:val="es-ES" w:eastAsia="es-ES" w:bidi="es-ES"/>
              </w:rPr>
              <w:t>, a</w:t>
            </w:r>
            <w:r w:rsidRPr="00624EEC">
              <w:rPr>
                <w:rFonts w:ascii="Verdana" w:eastAsia="Arial MT" w:hAnsi="Verdana" w:cs="Arial"/>
                <w:lang w:val="es-ES" w:eastAsia="es-ES" w:bidi="es-ES"/>
              </w:rPr>
              <w:t xml:space="preserve">rtículos 17 y 21. </w:t>
            </w:r>
          </w:p>
          <w:p w14:paraId="2E433329" w14:textId="77777777" w:rsidR="001F0EB9" w:rsidRPr="00624EEC" w:rsidRDefault="001F0EB9" w:rsidP="0009157C">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Pr>
                <w:rFonts w:ascii="Verdana" w:eastAsia="Arial MT" w:hAnsi="Verdana" w:cs="Arial"/>
                <w:lang w:val="es-ES" w:eastAsia="es-ES" w:bidi="es-ES"/>
              </w:rPr>
              <w:t xml:space="preserve">Ley 1437 de 2011, artículos 2, 11 y 12. </w:t>
            </w:r>
          </w:p>
          <w:p w14:paraId="630E7147" w14:textId="77777777" w:rsidR="001F0EB9" w:rsidRDefault="001F0EB9" w:rsidP="0009157C">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sidRPr="00624EEC">
              <w:rPr>
                <w:rFonts w:ascii="Verdana" w:eastAsia="Arial MT" w:hAnsi="Verdana" w:cs="Arial"/>
                <w:lang w:val="es-ES" w:eastAsia="es-ES" w:bidi="es-ES"/>
              </w:rPr>
              <w:t xml:space="preserve">Ley 1474 de 2011, artículos 83 y 84. </w:t>
            </w:r>
          </w:p>
          <w:p w14:paraId="3C1C9246" w14:textId="77777777" w:rsidR="001F0EB9" w:rsidRPr="00624EEC" w:rsidRDefault="001F0EB9" w:rsidP="0009157C">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sidRPr="00624EEC">
              <w:rPr>
                <w:rFonts w:ascii="Verdana" w:eastAsia="Arial MT" w:hAnsi="Verdana" w:cs="Arial"/>
                <w:lang w:val="es-ES" w:eastAsia="es-ES" w:bidi="es-ES"/>
              </w:rPr>
              <w:t>CONSEJO DE ESTADO. Sala de Consulta y de Servicio Civil. Concepto del 23 de marzo de 2011. Rad. 2.045. C.P. Enrique José Arboleda Perdomo.</w:t>
            </w:r>
          </w:p>
          <w:p w14:paraId="2F246D55" w14:textId="77777777" w:rsidR="001F0EB9" w:rsidRPr="00624EEC" w:rsidRDefault="001F0EB9" w:rsidP="0009157C">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bookmarkStart w:id="4" w:name="_Hlk215586792"/>
            <w:r>
              <w:rPr>
                <w:rFonts w:ascii="Verdana" w:eastAsia="Arial MT" w:hAnsi="Verdana" w:cs="Arial"/>
                <w:lang w:val="es-ES" w:eastAsia="es-ES" w:bidi="es-ES"/>
              </w:rPr>
              <w:t xml:space="preserve">Agencia Nacional de Contratación Pública - </w:t>
            </w:r>
            <w:r w:rsidRPr="00624EEC">
              <w:rPr>
                <w:rFonts w:ascii="Verdana" w:eastAsia="Arial MT" w:hAnsi="Verdana" w:cs="Arial"/>
                <w:lang w:val="es-ES" w:eastAsia="es-ES" w:bidi="es-ES"/>
              </w:rPr>
              <w:t xml:space="preserve">Colombia Compra Eficiente, Guía para el ejercicio de las funciones de Supervisión e Interventoría de los contratos del Estado. </w:t>
            </w:r>
            <w:bookmarkEnd w:id="4"/>
          </w:p>
        </w:tc>
      </w:tr>
    </w:tbl>
    <w:p w14:paraId="7AF87571" w14:textId="77777777" w:rsidR="001F0EB9" w:rsidRPr="009037F6" w:rsidRDefault="001F0EB9" w:rsidP="001F0EB9">
      <w:pPr>
        <w:widowControl w:val="0"/>
        <w:autoSpaceDE w:val="0"/>
        <w:autoSpaceDN w:val="0"/>
        <w:spacing w:after="0" w:line="276" w:lineRule="auto"/>
        <w:jc w:val="both"/>
        <w:rPr>
          <w:rFonts w:ascii="Verdana" w:hAnsi="Verdana" w:cs="Arial"/>
        </w:rPr>
      </w:pPr>
    </w:p>
    <w:p w14:paraId="28BE7A98" w14:textId="77777777" w:rsidR="001F0EB9" w:rsidRPr="009037F6" w:rsidRDefault="001F0EB9" w:rsidP="001F0EB9">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9037F6">
        <w:rPr>
          <w:rFonts w:ascii="Verdana" w:eastAsia="Century Gothic" w:hAnsi="Verdana" w:cs="Century Gothic"/>
          <w:b/>
          <w:bCs/>
          <w:lang w:val="es-ES"/>
        </w:rPr>
        <w:t>Doctrina de la Agencia Nacional de Contratación Pública:</w:t>
      </w:r>
    </w:p>
    <w:p w14:paraId="2E71ED84" w14:textId="77777777" w:rsidR="001F0EB9" w:rsidRPr="009037F6" w:rsidRDefault="001F0EB9" w:rsidP="001F0EB9">
      <w:pPr>
        <w:widowControl w:val="0"/>
        <w:autoSpaceDE w:val="0"/>
        <w:autoSpaceDN w:val="0"/>
        <w:spacing w:after="0" w:line="276" w:lineRule="auto"/>
        <w:jc w:val="both"/>
        <w:rPr>
          <w:rFonts w:ascii="Verdana" w:hAnsi="Verdana" w:cs="Arial"/>
        </w:rPr>
      </w:pPr>
    </w:p>
    <w:p w14:paraId="63B1A1B0" w14:textId="77777777" w:rsidR="001F0EB9" w:rsidRPr="00AD7D5F" w:rsidRDefault="001F0EB9" w:rsidP="001F0EB9">
      <w:pPr>
        <w:widowControl w:val="0"/>
        <w:autoSpaceDE w:val="0"/>
        <w:autoSpaceDN w:val="0"/>
        <w:spacing w:after="0" w:line="276" w:lineRule="auto"/>
        <w:jc w:val="both"/>
        <w:rPr>
          <w:rFonts w:ascii="Verdana" w:eastAsia="Calibri" w:hAnsi="Verdana" w:cs="Arial"/>
          <w:lang w:val="es-ES"/>
        </w:rPr>
      </w:pPr>
      <w:r w:rsidRPr="00E7254D">
        <w:rPr>
          <w:rFonts w:ascii="Verdana" w:eastAsia="Aptos" w:hAnsi="Verdana" w:cs="Arial"/>
          <w:color w:val="000000"/>
          <w:shd w:val="clear" w:color="auto" w:fill="FFFFFF"/>
          <w:lang w:val="es-ES"/>
        </w:rPr>
        <w:t xml:space="preserve">Sobre la obligación de controlar y vigilar la ejecución de los contratos estatales, esta Subdirección se ha referido en los Conceptos </w:t>
      </w:r>
      <w:r w:rsidRPr="00E7254D">
        <w:rPr>
          <w:rFonts w:ascii="Verdana" w:eastAsia="Aptos" w:hAnsi="Verdana" w:cs="Arial"/>
          <w:color w:val="000000"/>
          <w:shd w:val="clear" w:color="auto" w:fill="FFFFFF"/>
          <w:lang w:val="es-ES_tradnl"/>
        </w:rPr>
        <w:t>radicado 4201913000004799 del 30 de agosto de 2019, 4201913000008240 del 20 de diciembre de 2019, C-064 del 28 de febrero de 2020, C-071 del 4 de marzo de 2020, C–077 del 18 de marzo de 2020, C–150 del 18 de marzo de 2020, C–134 del 30 de marzo de 2020, C–180 del 13 de abril de 2020, C-344 del 26 de mayo de 2020, C-414 del 30 de junio de 2021, C-506 de 3 de agosto de 2022, C-579 del 9 de septiembre de 2022, C-577 del 15 de septiembre de 2022, C-620 del 27 de septiembre de 2022, C-650 del 27 de septiembre de 2022, C-679 de 24 de octubre de 2022, C-818 del 28 de noviembre de 2022, C-830 de 28 de noviembre de 2022, C-800 de 29 de noviembre de 2022, C-930 de 30 de diciembre de 2022, C-932 de 30 de diciembre de 2022, C-975 de 8 de marzo de 2032, C-191 de 27 de abril de 2023, C-089 de 2024 de 17 de julio de 2024, C-255 de 14 de agosto de 2024</w:t>
      </w:r>
      <w:r w:rsidRPr="00E7254D">
        <w:rPr>
          <w:rFonts w:ascii="Verdana" w:eastAsia="Aptos" w:hAnsi="Verdana" w:cs="Arial"/>
          <w:color w:val="000000"/>
          <w:shd w:val="clear" w:color="auto" w:fill="FFFFFF"/>
          <w:lang w:val="es-ES"/>
        </w:rPr>
        <w:t xml:space="preserve">,C-600 del 7 de octubre de 2024, C-800 del 13 de diciembre de 2025, C-972 de 22 de enero de 2025, C-987 del 21 de enero de 2025, C-091 del 13 de febrero de 2025, </w:t>
      </w:r>
      <w:r>
        <w:rPr>
          <w:rFonts w:ascii="Verdana" w:eastAsia="Aptos" w:hAnsi="Verdana" w:cs="Arial"/>
          <w:color w:val="000000"/>
          <w:shd w:val="clear" w:color="auto" w:fill="FFFFFF"/>
          <w:lang w:val="es-ES"/>
        </w:rPr>
        <w:t xml:space="preserve">C-219 del 28 de marzo de 2025, C-265 del 7 de abril de 2025, C-1484 del 24 de noviembre de 2025, </w:t>
      </w:r>
      <w:r w:rsidRPr="00E7254D">
        <w:rPr>
          <w:rFonts w:ascii="Verdana" w:eastAsia="Aptos" w:hAnsi="Verdana" w:cs="Arial"/>
          <w:color w:val="000000"/>
          <w:shd w:val="clear" w:color="auto" w:fill="FFFFFF"/>
          <w:lang w:val="es-ES"/>
        </w:rPr>
        <w:t>entre otros</w:t>
      </w:r>
      <w:r>
        <w:rPr>
          <w:rFonts w:ascii="Verdana" w:eastAsia="Calibri" w:hAnsi="Verdana" w:cs="Arial"/>
        </w:rPr>
        <w:t xml:space="preserve">. </w:t>
      </w:r>
      <w:r w:rsidRPr="009037F6">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3094DABE" w14:textId="77777777" w:rsidR="001F0EB9" w:rsidRPr="009037F6" w:rsidRDefault="00000000" w:rsidP="001F0EB9">
      <w:pPr>
        <w:spacing w:after="0" w:line="256" w:lineRule="auto"/>
        <w:jc w:val="both"/>
        <w:rPr>
          <w:rFonts w:ascii="Verdana" w:eastAsia="Calibri" w:hAnsi="Verdana" w:cs="Times New Roman"/>
        </w:rPr>
      </w:pPr>
      <w:hyperlink r:id="rId13" w:history="1">
        <w:r w:rsidR="001F0EB9" w:rsidRPr="009037F6">
          <w:rPr>
            <w:rFonts w:ascii="Verdana" w:eastAsia="Calibri" w:hAnsi="Verdana" w:cs="Times New Roman"/>
            <w:color w:val="0000FF"/>
            <w:u w:val="single"/>
            <w:lang w:val="es-ES"/>
          </w:rPr>
          <w:t>https://relatoria.colombiacompra.gov.co/busqueda/conceptos</w:t>
        </w:r>
      </w:hyperlink>
      <w:r w:rsidR="001F0EB9" w:rsidRPr="009037F6">
        <w:rPr>
          <w:rFonts w:ascii="Verdana" w:eastAsia="Calibri" w:hAnsi="Verdana" w:cs="Times New Roman"/>
        </w:rPr>
        <w:t xml:space="preserve">. </w:t>
      </w:r>
    </w:p>
    <w:p w14:paraId="599883E3" w14:textId="77777777" w:rsidR="001F0EB9" w:rsidRPr="009037F6" w:rsidRDefault="001F0EB9" w:rsidP="001F0EB9">
      <w:pPr>
        <w:spacing w:after="0"/>
        <w:jc w:val="both"/>
        <w:rPr>
          <w:rFonts w:ascii="Verdana" w:hAnsi="Verdana"/>
        </w:rPr>
      </w:pPr>
    </w:p>
    <w:p w14:paraId="4B0885A3" w14:textId="77777777" w:rsidR="001F0EB9" w:rsidRPr="009037F6" w:rsidRDefault="001F0EB9" w:rsidP="001F0EB9">
      <w:pPr>
        <w:spacing w:after="0" w:line="256" w:lineRule="auto"/>
        <w:jc w:val="both"/>
        <w:rPr>
          <w:rFonts w:ascii="Verdana" w:eastAsia="Calibri" w:hAnsi="Verdana" w:cs="Times New Roman"/>
        </w:rPr>
      </w:pPr>
      <w:r w:rsidRPr="009037F6">
        <w:rPr>
          <w:rFonts w:ascii="Verdana" w:eastAsia="Calibri" w:hAnsi="Verdana" w:cs="Times New Roman"/>
        </w:rPr>
        <w:t xml:space="preserve">Te informamos que ya se encuentra disponible la </w:t>
      </w:r>
      <w:r w:rsidRPr="009037F6">
        <w:rPr>
          <w:rFonts w:ascii="Verdana" w:eastAsia="Calibri" w:hAnsi="Verdana" w:cs="Times New Roman"/>
          <w:b/>
          <w:bCs/>
        </w:rPr>
        <w:t xml:space="preserve">Guía de lineamientos de transparencia y selección objetiva para el departamento de La Guajira – Objetivo sexto constitucional de la Sentencia T-302 del 2017. </w:t>
      </w:r>
      <w:r w:rsidRPr="009037F6">
        <w:rPr>
          <w:rFonts w:ascii="Verdana" w:eastAsia="Calibri" w:hAnsi="Verdana" w:cs="Times New Roman"/>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9037F6">
        <w:rPr>
          <w:rFonts w:ascii="Verdana" w:eastAsia="Calibri" w:hAnsi="Verdana" w:cs="Times New Roman"/>
        </w:rPr>
        <w:t>Wayúu</w:t>
      </w:r>
      <w:proofErr w:type="spellEnd"/>
      <w:r w:rsidRPr="009037F6">
        <w:rPr>
          <w:rFonts w:ascii="Verdana" w:eastAsia="Calibri" w:hAnsi="Verdana" w:cs="Times New Roman"/>
        </w:rPr>
        <w:t xml:space="preserve">. Puede consultar la guía en el siguiente enlace: Guía de lineamientos de transparencia y selección objetiva para el departamento de La Guajira – Objetivo sexto constitucional de la Sentencia T-302 del 2017". </w:t>
      </w:r>
    </w:p>
    <w:p w14:paraId="20FBA6D1" w14:textId="77777777" w:rsidR="001F0EB9" w:rsidRPr="009037F6" w:rsidRDefault="001F0EB9" w:rsidP="001F0EB9">
      <w:pPr>
        <w:spacing w:after="0" w:line="240" w:lineRule="auto"/>
        <w:jc w:val="both"/>
        <w:rPr>
          <w:rFonts w:ascii="Verdana" w:hAnsi="Verdana"/>
        </w:rPr>
      </w:pPr>
    </w:p>
    <w:p w14:paraId="713B6947" w14:textId="77777777" w:rsidR="001F0EB9" w:rsidRPr="009037F6" w:rsidRDefault="001F0EB9" w:rsidP="001F0EB9">
      <w:pPr>
        <w:spacing w:after="0" w:line="256" w:lineRule="auto"/>
        <w:jc w:val="both"/>
        <w:rPr>
          <w:rFonts w:ascii="Verdana" w:eastAsia="Calibri" w:hAnsi="Verdana" w:cs="Times New Roman"/>
          <w:bCs/>
          <w:lang w:val="es-ES_tradnl"/>
        </w:rPr>
      </w:pPr>
      <w:r w:rsidRPr="009037F6">
        <w:rPr>
          <w:rFonts w:ascii="Verdana" w:eastAsia="Calibri" w:hAnsi="Verdana" w:cs="Times New Roman"/>
          <w:lang w:val="es-ES_tradnl"/>
        </w:rPr>
        <w:t xml:space="preserve">Este concepto tiene el alcance previsto en el artículo 28 del Código de Procedimiento Administrativo y de lo Contencioso Administrativo y las </w:t>
      </w:r>
      <w:r w:rsidRPr="009037F6">
        <w:rPr>
          <w:rFonts w:ascii="Verdana" w:eastAsia="Calibri" w:hAnsi="Verdana" w:cs="Times New Roman"/>
          <w:lang w:val="es-ES_tradnl"/>
        </w:rPr>
        <w:lastRenderedPageBreak/>
        <w:t>expresiones utilizadas con mayúscula inicial deben ser entendidas con el significado que les otorga el artículo 2.2.1.1.1.3.1 del Decreto 1082 de 2015.</w:t>
      </w:r>
    </w:p>
    <w:p w14:paraId="0F42C254" w14:textId="77777777" w:rsidR="001F0EB9" w:rsidRPr="009037F6" w:rsidRDefault="001F0EB9" w:rsidP="001F0EB9">
      <w:pPr>
        <w:spacing w:after="0" w:line="256" w:lineRule="auto"/>
        <w:jc w:val="both"/>
        <w:rPr>
          <w:rFonts w:ascii="Verdana" w:eastAsia="Calibri" w:hAnsi="Verdana" w:cs="Times New Roman"/>
        </w:rPr>
      </w:pPr>
    </w:p>
    <w:p w14:paraId="0F25DBF9" w14:textId="77777777" w:rsidR="001F0EB9" w:rsidRDefault="001F0EB9" w:rsidP="001F0EB9">
      <w:pPr>
        <w:spacing w:after="0" w:line="256" w:lineRule="auto"/>
        <w:jc w:val="both"/>
        <w:rPr>
          <w:rFonts w:ascii="Verdana" w:eastAsia="Calibri" w:hAnsi="Verdana" w:cs="Times New Roman"/>
        </w:rPr>
      </w:pPr>
      <w:r w:rsidRPr="009037F6">
        <w:rPr>
          <w:rFonts w:ascii="Verdana" w:eastAsia="Calibri" w:hAnsi="Verdana" w:cs="Times New Roman"/>
        </w:rPr>
        <w:t>Atentamente,</w:t>
      </w:r>
    </w:p>
    <w:p w14:paraId="3A748F90" w14:textId="77777777" w:rsidR="001F0EB9" w:rsidRDefault="001F0EB9" w:rsidP="001F0EB9">
      <w:pPr>
        <w:spacing w:after="0" w:line="256" w:lineRule="auto"/>
        <w:jc w:val="both"/>
        <w:rPr>
          <w:rFonts w:ascii="Verdana" w:eastAsia="Calibri" w:hAnsi="Verdana" w:cs="Times New Roman"/>
        </w:rPr>
      </w:pPr>
    </w:p>
    <w:p w14:paraId="24B45251" w14:textId="2FA6620B" w:rsidR="001F0EB9" w:rsidRDefault="00AE1D2A" w:rsidP="001F0EB9">
      <w:pPr>
        <w:spacing w:after="0" w:line="256" w:lineRule="auto"/>
        <w:jc w:val="center"/>
        <w:rPr>
          <w:noProof/>
          <w:lang w:val="en-US"/>
        </w:rPr>
      </w:pPr>
      <w:r>
        <w:rPr>
          <w:rFonts w:ascii="Verdana" w:hAnsi="Verdana"/>
          <w:noProof/>
          <w:sz w:val="16"/>
          <w:szCs w:val="16"/>
        </w:rPr>
        <w:drawing>
          <wp:inline distT="0" distB="0" distL="0" distR="0" wp14:anchorId="1D0BFFC3" wp14:editId="3059B56B">
            <wp:extent cx="4640580" cy="1995271"/>
            <wp:effectExtent l="0" t="0" r="7620" b="5080"/>
            <wp:docPr id="141133840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1338401" name="Imagen 1411338401"/>
                    <pic:cNvPicPr/>
                  </pic:nvPicPr>
                  <pic:blipFill>
                    <a:blip r:embed="rId14">
                      <a:extLst>
                        <a:ext uri="{28A0092B-C50C-407E-A947-70E740481C1C}">
                          <a14:useLocalDpi xmlns:a14="http://schemas.microsoft.com/office/drawing/2010/main" val="0"/>
                        </a:ext>
                      </a:extLst>
                    </a:blip>
                    <a:stretch>
                      <a:fillRect/>
                    </a:stretch>
                  </pic:blipFill>
                  <pic:spPr>
                    <a:xfrm>
                      <a:off x="0" y="0"/>
                      <a:ext cx="4643629" cy="1996582"/>
                    </a:xfrm>
                    <a:prstGeom prst="rect">
                      <a:avLst/>
                    </a:prstGeom>
                  </pic:spPr>
                </pic:pic>
              </a:graphicData>
            </a:graphic>
          </wp:inline>
        </w:drawing>
      </w:r>
      <w:r w:rsidR="001F0EB9" w:rsidRPr="00FD1DDC">
        <w:rPr>
          <w:rFonts w:ascii="Verdana" w:hAnsi="Verdana"/>
          <w:sz w:val="16"/>
          <w:szCs w:val="16"/>
        </w:rPr>
        <w:t xml:space="preserve"> </w:t>
      </w:r>
    </w:p>
    <w:p w14:paraId="34C6C073" w14:textId="77777777" w:rsidR="001F0EB9" w:rsidRPr="00771AEF" w:rsidRDefault="001F0EB9" w:rsidP="001F0EB9">
      <w:pPr>
        <w:spacing w:after="0" w:line="256" w:lineRule="auto"/>
        <w:jc w:val="center"/>
        <w:rPr>
          <w:rFonts w:ascii="Century Gothic" w:hAnsi="Century Gothic"/>
          <w:noProof/>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1F0EB9" w:rsidRPr="00771AEF" w14:paraId="401CCAA3" w14:textId="77777777" w:rsidTr="0009157C">
        <w:trPr>
          <w:trHeight w:val="409"/>
        </w:trPr>
        <w:tc>
          <w:tcPr>
            <w:tcW w:w="817" w:type="dxa"/>
            <w:tcBorders>
              <w:top w:val="nil"/>
              <w:left w:val="nil"/>
              <w:bottom w:val="nil"/>
              <w:right w:val="nil"/>
            </w:tcBorders>
            <w:vAlign w:val="center"/>
            <w:hideMark/>
          </w:tcPr>
          <w:p w14:paraId="47D1B925" w14:textId="77777777" w:rsidR="001F0EB9" w:rsidRPr="00771AEF" w:rsidRDefault="001F0EB9" w:rsidP="0009157C">
            <w:pPr>
              <w:spacing w:after="0" w:line="256" w:lineRule="auto"/>
              <w:rPr>
                <w:rFonts w:ascii="Verdana" w:eastAsia="Calibri" w:hAnsi="Verdana" w:cs="Times New Roman"/>
                <w:sz w:val="16"/>
                <w:szCs w:val="16"/>
              </w:rPr>
            </w:pPr>
            <w:r w:rsidRPr="00771AEF">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53B89137" w14:textId="77777777" w:rsidR="001F0EB9" w:rsidRPr="00771AEF" w:rsidRDefault="001F0EB9" w:rsidP="0009157C">
            <w:pPr>
              <w:spacing w:after="0" w:line="256" w:lineRule="auto"/>
              <w:rPr>
                <w:rFonts w:ascii="Verdana" w:eastAsia="Calibri" w:hAnsi="Verdana" w:cs="Times New Roman"/>
                <w:sz w:val="16"/>
                <w:szCs w:val="16"/>
              </w:rPr>
            </w:pPr>
            <w:r>
              <w:rPr>
                <w:rFonts w:ascii="Verdana" w:eastAsia="Calibri" w:hAnsi="Verdana" w:cs="Times New Roman"/>
                <w:sz w:val="16"/>
                <w:szCs w:val="16"/>
              </w:rPr>
              <w:t>Karol Andrea Gonzalez Marin</w:t>
            </w:r>
          </w:p>
          <w:p w14:paraId="6AA7BD79" w14:textId="77777777" w:rsidR="001F0EB9" w:rsidRPr="00771AEF" w:rsidRDefault="001F0EB9" w:rsidP="0009157C">
            <w:pPr>
              <w:spacing w:after="0" w:line="256" w:lineRule="auto"/>
              <w:rPr>
                <w:rFonts w:ascii="Verdana" w:eastAsia="Calibri" w:hAnsi="Verdana" w:cs="Times New Roman"/>
                <w:sz w:val="16"/>
                <w:szCs w:val="16"/>
              </w:rPr>
            </w:pPr>
            <w:r w:rsidRPr="00771AEF">
              <w:rPr>
                <w:rFonts w:ascii="Verdana" w:eastAsia="Calibri" w:hAnsi="Verdana" w:cs="Times New Roman"/>
                <w:sz w:val="16"/>
                <w:szCs w:val="16"/>
              </w:rPr>
              <w:t>Contratista de la Subdirección de Gestión Contractual</w:t>
            </w:r>
          </w:p>
        </w:tc>
      </w:tr>
      <w:tr w:rsidR="001F0EB9" w:rsidRPr="00771AEF" w14:paraId="30CDC697" w14:textId="77777777" w:rsidTr="0009157C">
        <w:trPr>
          <w:trHeight w:val="409"/>
        </w:trPr>
        <w:tc>
          <w:tcPr>
            <w:tcW w:w="817" w:type="dxa"/>
            <w:tcBorders>
              <w:top w:val="nil"/>
              <w:left w:val="nil"/>
              <w:bottom w:val="nil"/>
              <w:right w:val="nil"/>
            </w:tcBorders>
            <w:vAlign w:val="center"/>
            <w:hideMark/>
          </w:tcPr>
          <w:p w14:paraId="2B969679" w14:textId="77777777" w:rsidR="001F0EB9" w:rsidRPr="00771AEF" w:rsidRDefault="001F0EB9" w:rsidP="0009157C">
            <w:pPr>
              <w:spacing w:after="0" w:line="256" w:lineRule="auto"/>
              <w:rPr>
                <w:rFonts w:ascii="Verdana" w:eastAsia="Calibri" w:hAnsi="Verdana" w:cs="Times New Roman"/>
                <w:sz w:val="16"/>
                <w:szCs w:val="16"/>
              </w:rPr>
            </w:pPr>
            <w:r w:rsidRPr="00771AEF">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4B176FD5" w14:textId="77777777" w:rsidR="001F0EB9" w:rsidRDefault="001F0EB9" w:rsidP="0009157C">
            <w:pPr>
              <w:spacing w:after="0" w:line="256" w:lineRule="auto"/>
              <w:rPr>
                <w:rFonts w:ascii="Verdana" w:eastAsia="Calibri" w:hAnsi="Verdana" w:cs="Times New Roman"/>
                <w:sz w:val="16"/>
                <w:szCs w:val="16"/>
              </w:rPr>
            </w:pPr>
            <w:r>
              <w:rPr>
                <w:rFonts w:ascii="Verdana" w:eastAsia="Calibri" w:hAnsi="Verdana" w:cs="Times New Roman"/>
                <w:sz w:val="16"/>
                <w:szCs w:val="16"/>
              </w:rPr>
              <w:t>Diana Lucía Saavedra Castañeda</w:t>
            </w:r>
          </w:p>
          <w:p w14:paraId="5D2A09FB" w14:textId="77777777" w:rsidR="001F0EB9" w:rsidRPr="00771AEF" w:rsidRDefault="001F0EB9" w:rsidP="0009157C">
            <w:pPr>
              <w:spacing w:after="0" w:line="256" w:lineRule="auto"/>
              <w:rPr>
                <w:rFonts w:ascii="Verdana" w:eastAsia="Calibri" w:hAnsi="Verdana" w:cs="Times New Roman"/>
                <w:sz w:val="16"/>
                <w:szCs w:val="16"/>
              </w:rPr>
            </w:pPr>
            <w:r>
              <w:rPr>
                <w:rFonts w:ascii="Verdana" w:eastAsia="Calibri" w:hAnsi="Verdana" w:cs="Times New Roman"/>
                <w:sz w:val="16"/>
                <w:szCs w:val="16"/>
              </w:rPr>
              <w:t>Contratista</w:t>
            </w:r>
            <w:r w:rsidRPr="00771AEF">
              <w:rPr>
                <w:rFonts w:ascii="Verdana" w:eastAsia="Calibri" w:hAnsi="Verdana" w:cs="Times New Roman"/>
                <w:sz w:val="16"/>
                <w:szCs w:val="16"/>
              </w:rPr>
              <w:t xml:space="preserve"> de la Subdirección de Gestión Contractual </w:t>
            </w:r>
          </w:p>
        </w:tc>
      </w:tr>
      <w:tr w:rsidR="001F0EB9" w:rsidRPr="00771AEF" w14:paraId="7947D89F" w14:textId="77777777" w:rsidTr="0009157C">
        <w:trPr>
          <w:trHeight w:val="389"/>
        </w:trPr>
        <w:tc>
          <w:tcPr>
            <w:tcW w:w="817" w:type="dxa"/>
            <w:tcBorders>
              <w:top w:val="nil"/>
              <w:left w:val="nil"/>
              <w:bottom w:val="nil"/>
              <w:right w:val="nil"/>
            </w:tcBorders>
            <w:vAlign w:val="center"/>
            <w:hideMark/>
          </w:tcPr>
          <w:p w14:paraId="6148519D" w14:textId="77777777" w:rsidR="001F0EB9" w:rsidRPr="00771AEF" w:rsidRDefault="001F0EB9" w:rsidP="0009157C">
            <w:pPr>
              <w:spacing w:after="0" w:line="256" w:lineRule="auto"/>
              <w:rPr>
                <w:rFonts w:ascii="Verdana" w:eastAsia="Calibri" w:hAnsi="Verdana" w:cs="Times New Roman"/>
                <w:sz w:val="16"/>
                <w:szCs w:val="16"/>
              </w:rPr>
            </w:pPr>
            <w:r w:rsidRPr="00771AEF">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2E6FEE2B" w14:textId="77777777" w:rsidR="001F0EB9" w:rsidRPr="00771AEF" w:rsidRDefault="001F0EB9" w:rsidP="0009157C">
            <w:pPr>
              <w:spacing w:after="0" w:line="256" w:lineRule="auto"/>
              <w:rPr>
                <w:rFonts w:ascii="Verdana" w:eastAsia="Calibri" w:hAnsi="Verdana" w:cs="Times New Roman"/>
                <w:sz w:val="16"/>
                <w:szCs w:val="16"/>
              </w:rPr>
            </w:pPr>
            <w:r w:rsidRPr="00771AEF">
              <w:rPr>
                <w:rFonts w:ascii="Verdana" w:eastAsia="Calibri" w:hAnsi="Verdana" w:cs="Times New Roman"/>
                <w:sz w:val="16"/>
                <w:szCs w:val="16"/>
              </w:rPr>
              <w:t xml:space="preserve">Carolina Quintero </w:t>
            </w:r>
            <w:proofErr w:type="spellStart"/>
            <w:r w:rsidRPr="00771AEF">
              <w:rPr>
                <w:rFonts w:ascii="Verdana" w:eastAsia="Calibri" w:hAnsi="Verdana" w:cs="Times New Roman"/>
                <w:sz w:val="16"/>
                <w:szCs w:val="16"/>
              </w:rPr>
              <w:t>Gacharná</w:t>
            </w:r>
            <w:proofErr w:type="spellEnd"/>
          </w:p>
          <w:p w14:paraId="1710C44F" w14:textId="77777777" w:rsidR="001F0EB9" w:rsidRPr="00771AEF" w:rsidRDefault="001F0EB9" w:rsidP="0009157C">
            <w:pPr>
              <w:spacing w:after="0" w:line="256" w:lineRule="auto"/>
              <w:rPr>
                <w:rFonts w:ascii="Verdana" w:eastAsia="Calibri" w:hAnsi="Verdana" w:cs="Times New Roman"/>
                <w:sz w:val="16"/>
                <w:szCs w:val="16"/>
              </w:rPr>
            </w:pPr>
            <w:r w:rsidRPr="00771AEF">
              <w:rPr>
                <w:rFonts w:ascii="Verdana" w:eastAsia="Calibri" w:hAnsi="Verdana" w:cs="Times New Roman"/>
                <w:sz w:val="16"/>
                <w:szCs w:val="16"/>
              </w:rPr>
              <w:t>Subdirectora de Gestión Contractual ANCP – CCE</w:t>
            </w:r>
          </w:p>
        </w:tc>
      </w:tr>
      <w:bookmarkEnd w:id="0"/>
    </w:tbl>
    <w:p w14:paraId="0F293BF4" w14:textId="5ADDD630" w:rsidR="00127233" w:rsidRPr="001F0EB9" w:rsidRDefault="00127233" w:rsidP="001F0EB9"/>
    <w:sectPr w:rsidR="00127233" w:rsidRPr="001F0EB9"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DB60DC1" w14:textId="77777777" w:rsidR="00260F75" w:rsidRDefault="00260F75" w:rsidP="004A1847">
      <w:pPr>
        <w:spacing w:after="0" w:line="240" w:lineRule="auto"/>
      </w:pPr>
      <w:r>
        <w:separator/>
      </w:r>
    </w:p>
  </w:endnote>
  <w:endnote w:type="continuationSeparator" w:id="0">
    <w:p w14:paraId="061D6241" w14:textId="77777777" w:rsidR="00260F75" w:rsidRDefault="00260F75" w:rsidP="004A1847">
      <w:pPr>
        <w:spacing w:after="0" w:line="240" w:lineRule="auto"/>
      </w:pPr>
      <w:r>
        <w:continuationSeparator/>
      </w:r>
    </w:p>
  </w:endnote>
  <w:endnote w:type="continuationNotice" w:id="1">
    <w:p w14:paraId="640FFB86" w14:textId="77777777" w:rsidR="00260F75" w:rsidRDefault="00260F7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ambria Math">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Pr="001F0EB9" w:rsidRDefault="356CEDFD" w:rsidP="356CEDFD">
    <w:pPr>
      <w:pBdr>
        <w:top w:val="nil"/>
        <w:left w:val="nil"/>
        <w:bottom w:val="nil"/>
        <w:right w:val="nil"/>
        <w:between w:val="nil"/>
      </w:pBdr>
      <w:tabs>
        <w:tab w:val="center" w:pos="4419"/>
        <w:tab w:val="right" w:pos="8838"/>
        <w:tab w:val="center" w:pos="5400"/>
      </w:tabs>
      <w:spacing w:after="0"/>
      <w:jc w:val="right"/>
      <w:rPr>
        <w:lang w:val="pt-PT"/>
      </w:rPr>
    </w:pPr>
    <w:r w:rsidRPr="001F0EB9">
      <w:rPr>
        <w:rFonts w:ascii="Century Gothic" w:eastAsia="Geo" w:hAnsi="Century Gothic" w:cs="Geo"/>
        <w:b/>
        <w:bCs/>
        <w:color w:val="000000" w:themeColor="text1"/>
        <w:sz w:val="16"/>
        <w:szCs w:val="16"/>
        <w:lang w:val="pt-PT" w:eastAsia="es-CO"/>
      </w:rPr>
      <w:t xml:space="preserve">Código: </w:t>
    </w:r>
    <w:r w:rsidRPr="001F0EB9">
      <w:rPr>
        <w:rFonts w:ascii="Century Gothic" w:eastAsia="Geo" w:hAnsi="Century Gothic" w:cs="Geo"/>
        <w:color w:val="000000" w:themeColor="text1"/>
        <w:sz w:val="16"/>
        <w:szCs w:val="16"/>
        <w:lang w:val="pt-PT" w:eastAsia="es-CO"/>
      </w:rPr>
      <w:t xml:space="preserve">CCE-REC-FM-17 </w:t>
    </w:r>
    <w:r w:rsidRPr="001F0EB9">
      <w:rPr>
        <w:rFonts w:ascii="Century Gothic" w:eastAsia="Geo" w:hAnsi="Century Gothic" w:cs="Geo"/>
        <w:b/>
        <w:bCs/>
        <w:color w:val="000000" w:themeColor="text1"/>
        <w:sz w:val="16"/>
        <w:szCs w:val="16"/>
        <w:lang w:val="pt-PT" w:eastAsia="es-CO"/>
      </w:rPr>
      <w:t>V</w:t>
    </w:r>
    <w:r w:rsidRPr="001F0EB9">
      <w:rPr>
        <w:rFonts w:ascii="Century Gothic" w:eastAsia="Arial Nova" w:hAnsi="Century Gothic" w:cs="Arial Nova"/>
        <w:b/>
        <w:bCs/>
        <w:color w:val="000000" w:themeColor="text1"/>
        <w:sz w:val="16"/>
        <w:szCs w:val="16"/>
        <w:lang w:val="pt-PT" w:eastAsia="es-CO"/>
      </w:rPr>
      <w:t xml:space="preserve">: </w:t>
    </w:r>
    <w:r w:rsidRPr="001F0EB9">
      <w:rPr>
        <w:rFonts w:ascii="Century Gothic" w:eastAsia="Geo" w:hAnsi="Century Gothic" w:cs="Geo"/>
        <w:sz w:val="16"/>
        <w:szCs w:val="16"/>
        <w:lang w:val="pt-PT"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B4A0C12" w14:textId="77777777" w:rsidR="00260F75" w:rsidRDefault="00260F75" w:rsidP="004A1847">
      <w:pPr>
        <w:spacing w:after="0" w:line="240" w:lineRule="auto"/>
      </w:pPr>
      <w:r>
        <w:separator/>
      </w:r>
    </w:p>
  </w:footnote>
  <w:footnote w:type="continuationSeparator" w:id="0">
    <w:p w14:paraId="574CC828" w14:textId="77777777" w:rsidR="00260F75" w:rsidRDefault="00260F75" w:rsidP="004A1847">
      <w:pPr>
        <w:spacing w:after="0" w:line="240" w:lineRule="auto"/>
      </w:pPr>
      <w:r>
        <w:continuationSeparator/>
      </w:r>
    </w:p>
  </w:footnote>
  <w:footnote w:type="continuationNotice" w:id="1">
    <w:p w14:paraId="2F875319" w14:textId="77777777" w:rsidR="00260F75" w:rsidRDefault="00260F75">
      <w:pPr>
        <w:spacing w:after="0" w:line="240" w:lineRule="auto"/>
      </w:pPr>
    </w:p>
  </w:footnote>
  <w:footnote w:id="2">
    <w:p w14:paraId="29F1CFC3" w14:textId="7FF2D396" w:rsidR="003B79BF" w:rsidRDefault="003B79BF" w:rsidP="00196D98">
      <w:pPr>
        <w:pStyle w:val="Textonotapie"/>
        <w:rPr>
          <w:sz w:val="16"/>
          <w:szCs w:val="16"/>
        </w:rPr>
      </w:pPr>
      <w:r w:rsidRPr="008C0025">
        <w:rPr>
          <w:rStyle w:val="Refdenotaalpie"/>
          <w:sz w:val="14"/>
          <w:szCs w:val="14"/>
        </w:rPr>
        <w:footnoteRef/>
      </w:r>
      <w:r w:rsidRPr="008C0025">
        <w:rPr>
          <w:sz w:val="14"/>
          <w:szCs w:val="14"/>
          <w:lang w:val="es-CO"/>
        </w:rPr>
        <w:t xml:space="preserve"> </w:t>
      </w:r>
      <w:r w:rsidR="00DC5B85" w:rsidRPr="008C0025">
        <w:rPr>
          <w:sz w:val="14"/>
          <w:szCs w:val="14"/>
        </w:rPr>
        <w:t>Corte Constitucional, Sentencia C-434 de 2013 (M.P. Alberto Rojas Ríos), demanda de inconstitucionalidad contra el parágrafo 2° del artículo 84 de la Ley 1474 de 2011, Bogotá, D.C., 10 de julio de 2013</w:t>
      </w:r>
      <w:r w:rsidR="00DC5B85" w:rsidRPr="001140BE">
        <w:rPr>
          <w:sz w:val="16"/>
          <w:szCs w:val="16"/>
        </w:rPr>
        <w:t>.</w:t>
      </w:r>
    </w:p>
    <w:p w14:paraId="1B8AC5D6" w14:textId="77777777" w:rsidR="007B7882" w:rsidRPr="001140BE" w:rsidRDefault="007B7882" w:rsidP="00196D98">
      <w:pPr>
        <w:pStyle w:val="Textonotapie"/>
        <w:rPr>
          <w:rFonts w:ascii="Verdana" w:hAnsi="Verdana" w:cs="Arial"/>
          <w:color w:val="161616"/>
          <w:sz w:val="16"/>
          <w:szCs w:val="16"/>
        </w:rPr>
      </w:pPr>
    </w:p>
  </w:footnote>
  <w:footnote w:id="3">
    <w:p w14:paraId="5C54A2D7" w14:textId="77777777" w:rsidR="001F0EB9" w:rsidRPr="00FD0A03" w:rsidRDefault="001F0EB9" w:rsidP="001F0EB9">
      <w:pPr>
        <w:pStyle w:val="Textonotapie"/>
        <w:ind w:firstLine="709"/>
        <w:jc w:val="both"/>
        <w:rPr>
          <w:rFonts w:ascii="Verdana" w:hAnsi="Verdana"/>
          <w:sz w:val="16"/>
          <w:szCs w:val="16"/>
        </w:rPr>
      </w:pPr>
      <w:r w:rsidRPr="00FD0A03">
        <w:rPr>
          <w:rFonts w:ascii="Verdana" w:hAnsi="Verdana"/>
          <w:sz w:val="16"/>
          <w:szCs w:val="16"/>
          <w:vertAlign w:val="superscript"/>
        </w:rPr>
        <w:footnoteRef/>
      </w:r>
      <w:r w:rsidRPr="00FD0A03">
        <w:rPr>
          <w:rFonts w:ascii="Verdana" w:hAnsi="Verdana"/>
          <w:sz w:val="16"/>
          <w:szCs w:val="16"/>
        </w:rPr>
        <w:t xml:space="preserve"> Artículo 17 de la Ley 1150 de 2007</w:t>
      </w:r>
    </w:p>
  </w:footnote>
  <w:footnote w:id="4">
    <w:p w14:paraId="35F7F889" w14:textId="77777777" w:rsidR="001F0EB9" w:rsidRPr="00FD0A03" w:rsidRDefault="001F0EB9" w:rsidP="001F0EB9">
      <w:pPr>
        <w:pStyle w:val="Textonotapie"/>
        <w:ind w:firstLine="709"/>
        <w:jc w:val="both"/>
        <w:rPr>
          <w:rFonts w:ascii="Verdana" w:hAnsi="Verdana"/>
          <w:sz w:val="16"/>
          <w:szCs w:val="16"/>
        </w:rPr>
      </w:pPr>
      <w:r w:rsidRPr="00FD0A03">
        <w:rPr>
          <w:rFonts w:ascii="Verdana" w:hAnsi="Verdana"/>
          <w:sz w:val="16"/>
          <w:szCs w:val="16"/>
          <w:vertAlign w:val="superscript"/>
        </w:rPr>
        <w:footnoteRef/>
      </w:r>
      <w:r w:rsidRPr="00FD0A03">
        <w:rPr>
          <w:rFonts w:ascii="Verdana" w:hAnsi="Verdana"/>
          <w:sz w:val="16"/>
          <w:szCs w:val="16"/>
        </w:rPr>
        <w:t xml:space="preserve"> Artículo 21 de la Ley 1150 de 2007</w:t>
      </w:r>
    </w:p>
  </w:footnote>
  <w:footnote w:id="5">
    <w:p w14:paraId="05065EDD" w14:textId="77777777" w:rsidR="001F0EB9" w:rsidRPr="00FD0A03" w:rsidRDefault="001F0EB9" w:rsidP="001F0EB9">
      <w:pPr>
        <w:pStyle w:val="Textonotapie"/>
        <w:ind w:firstLine="709"/>
        <w:jc w:val="both"/>
        <w:rPr>
          <w:rFonts w:ascii="Verdana" w:hAnsi="Verdana"/>
          <w:sz w:val="16"/>
          <w:szCs w:val="16"/>
        </w:rPr>
      </w:pPr>
      <w:r w:rsidRPr="00FD0A03">
        <w:rPr>
          <w:rFonts w:ascii="Verdana" w:hAnsi="Verdana"/>
          <w:sz w:val="16"/>
          <w:szCs w:val="16"/>
          <w:vertAlign w:val="superscript"/>
        </w:rPr>
        <w:footnoteRef/>
      </w:r>
      <w:r w:rsidRPr="00FD0A03">
        <w:rPr>
          <w:rFonts w:ascii="Verdana" w:hAnsi="Verdana"/>
          <w:sz w:val="16"/>
          <w:szCs w:val="16"/>
        </w:rPr>
        <w:t xml:space="preserve"> Artículos 83 a 86 de la Ley 1474 de 2011</w:t>
      </w:r>
    </w:p>
  </w:footnote>
  <w:footnote w:id="6">
    <w:p w14:paraId="6071F583" w14:textId="77777777" w:rsidR="001F0EB9" w:rsidRPr="00FD0A03" w:rsidRDefault="001F0EB9" w:rsidP="001F0EB9">
      <w:pPr>
        <w:pStyle w:val="Textonotapie"/>
        <w:ind w:firstLine="709"/>
        <w:jc w:val="both"/>
        <w:rPr>
          <w:rFonts w:ascii="Verdana" w:hAnsi="Verdana"/>
          <w:sz w:val="16"/>
          <w:szCs w:val="16"/>
        </w:rPr>
      </w:pPr>
      <w:r w:rsidRPr="00FD0A03">
        <w:rPr>
          <w:rFonts w:ascii="Verdana" w:hAnsi="Verdana"/>
          <w:sz w:val="16"/>
          <w:szCs w:val="16"/>
          <w:vertAlign w:val="superscript"/>
        </w:rPr>
        <w:footnoteRef/>
      </w:r>
      <w:r w:rsidRPr="00FD0A03">
        <w:rPr>
          <w:rFonts w:ascii="Verdana" w:hAnsi="Verdana"/>
          <w:sz w:val="16"/>
          <w:szCs w:val="16"/>
        </w:rPr>
        <w:t xml:space="preserve"> Consejo de Estado. Sección Tercera –Subsección C. Sentencia del 27 de noviembre de 2017. M.P. Jaime Orlando Santofimio. </w:t>
      </w:r>
      <w:proofErr w:type="spellStart"/>
      <w:r w:rsidRPr="00FD0A03">
        <w:rPr>
          <w:rFonts w:ascii="Verdana" w:hAnsi="Verdana"/>
          <w:sz w:val="16"/>
          <w:szCs w:val="16"/>
        </w:rPr>
        <w:t>Exp</w:t>
      </w:r>
      <w:proofErr w:type="spellEnd"/>
      <w:r w:rsidRPr="00FD0A03">
        <w:rPr>
          <w:rFonts w:ascii="Verdana" w:hAnsi="Verdana"/>
          <w:sz w:val="16"/>
          <w:szCs w:val="16"/>
        </w:rPr>
        <w:t>. 51.802</w:t>
      </w:r>
    </w:p>
  </w:footnote>
  <w:footnote w:id="7">
    <w:p w14:paraId="0EE48965" w14:textId="77777777" w:rsidR="001F0EB9" w:rsidRPr="00FD0A03" w:rsidRDefault="001F0EB9" w:rsidP="001F0EB9">
      <w:pPr>
        <w:pStyle w:val="Textonotapie"/>
        <w:ind w:firstLine="709"/>
        <w:jc w:val="both"/>
        <w:rPr>
          <w:rFonts w:ascii="Verdana" w:hAnsi="Verdana"/>
          <w:sz w:val="16"/>
          <w:szCs w:val="16"/>
        </w:rPr>
      </w:pPr>
      <w:r w:rsidRPr="00FD0A03">
        <w:rPr>
          <w:rFonts w:ascii="Verdana" w:hAnsi="Verdana"/>
          <w:sz w:val="16"/>
          <w:szCs w:val="16"/>
          <w:vertAlign w:val="superscript"/>
        </w:rPr>
        <w:footnoteRef/>
      </w:r>
      <w:r w:rsidRPr="00FD0A03">
        <w:rPr>
          <w:rFonts w:ascii="Verdana" w:hAnsi="Verdana"/>
          <w:sz w:val="16"/>
          <w:szCs w:val="16"/>
        </w:rPr>
        <w:t xml:space="preserve"> Artículo 83 de la Ley 1474 de 2011</w:t>
      </w:r>
    </w:p>
  </w:footnote>
  <w:footnote w:id="8">
    <w:p w14:paraId="7077A342" w14:textId="77777777" w:rsidR="001F0EB9" w:rsidRPr="00FD0A03" w:rsidRDefault="001F0EB9" w:rsidP="001F0EB9">
      <w:pPr>
        <w:pStyle w:val="Textonotapie"/>
        <w:ind w:firstLine="709"/>
        <w:jc w:val="both"/>
        <w:rPr>
          <w:rFonts w:ascii="Verdana" w:hAnsi="Verdana"/>
          <w:sz w:val="16"/>
          <w:szCs w:val="16"/>
        </w:rPr>
      </w:pPr>
      <w:r w:rsidRPr="00FD0A03">
        <w:rPr>
          <w:rFonts w:ascii="Verdana" w:hAnsi="Verdana"/>
          <w:sz w:val="16"/>
          <w:szCs w:val="16"/>
          <w:vertAlign w:val="superscript"/>
        </w:rPr>
        <w:footnoteRef/>
      </w:r>
      <w:r w:rsidRPr="00FD0A03">
        <w:rPr>
          <w:rFonts w:ascii="Verdana" w:hAnsi="Verdana"/>
          <w:sz w:val="16"/>
          <w:szCs w:val="16"/>
        </w:rPr>
        <w:t xml:space="preserve"> A excepción de la interventoría del contrato de obra adjudicado por licitación pública que es obligatoria según el numeral 1° del artículo 32 de la Ley 80 de 1993.</w:t>
      </w:r>
    </w:p>
  </w:footnote>
  <w:footnote w:id="9">
    <w:p w14:paraId="38BF0454" w14:textId="77777777" w:rsidR="001F0EB9" w:rsidRPr="0087460F" w:rsidRDefault="001F0EB9" w:rsidP="001F0EB9">
      <w:pPr>
        <w:pStyle w:val="Textonotapie"/>
        <w:adjustRightInd w:val="0"/>
        <w:snapToGrid w:val="0"/>
        <w:ind w:firstLine="709"/>
        <w:jc w:val="both"/>
        <w:rPr>
          <w:rFonts w:ascii="Verdana" w:hAnsi="Verdana" w:cs="Arial"/>
          <w:color w:val="161616"/>
          <w:sz w:val="16"/>
          <w:szCs w:val="16"/>
        </w:rPr>
      </w:pPr>
      <w:r w:rsidRPr="00FD0A03">
        <w:rPr>
          <w:rStyle w:val="Refdenotaalpie"/>
          <w:rFonts w:ascii="Verdana" w:hAnsi="Verdana"/>
          <w:sz w:val="16"/>
          <w:szCs w:val="16"/>
        </w:rPr>
        <w:footnoteRef/>
      </w:r>
      <w:r w:rsidRPr="00FD0A03">
        <w:rPr>
          <w:rFonts w:ascii="Verdana" w:hAnsi="Verdana"/>
          <w:sz w:val="16"/>
          <w:szCs w:val="16"/>
        </w:rPr>
        <w:t xml:space="preserve"> </w:t>
      </w:r>
      <w:r w:rsidRPr="00FD0A03">
        <w:rPr>
          <w:rFonts w:ascii="Verdana" w:hAnsi="Verdana" w:cs="Arial"/>
          <w:color w:val="161616"/>
          <w:sz w:val="16"/>
          <w:szCs w:val="16"/>
        </w:rPr>
        <w:t>“Son también contratos de consultoría los que tienen por objeto la interventoría […]”</w:t>
      </w:r>
    </w:p>
  </w:footnote>
  <w:footnote w:id="10">
    <w:p w14:paraId="6130BA44" w14:textId="77777777" w:rsidR="00426D89" w:rsidRPr="00A71800" w:rsidRDefault="00426D89" w:rsidP="00426D89">
      <w:pPr>
        <w:pStyle w:val="Textonotapie"/>
        <w:spacing w:before="120" w:after="120"/>
        <w:ind w:firstLine="708"/>
        <w:jc w:val="both"/>
        <w:rPr>
          <w:rFonts w:ascii="Verdana" w:hAnsi="Verdana" w:cs="Arial"/>
          <w:color w:val="161616"/>
          <w:sz w:val="14"/>
          <w:szCs w:val="14"/>
        </w:rPr>
      </w:pPr>
      <w:r w:rsidRPr="00A71800">
        <w:rPr>
          <w:rStyle w:val="Refdenotaalpie"/>
          <w:rFonts w:ascii="Verdana" w:hAnsi="Verdana" w:cs="Arial"/>
          <w:sz w:val="14"/>
          <w:szCs w:val="14"/>
        </w:rPr>
        <w:footnoteRef/>
      </w:r>
      <w:r w:rsidRPr="00A71800">
        <w:rPr>
          <w:rFonts w:ascii="Verdana" w:hAnsi="Verdana" w:cs="Arial"/>
          <w:sz w:val="14"/>
          <w:szCs w:val="14"/>
        </w:rPr>
        <w:t xml:space="preserve"> </w:t>
      </w:r>
      <w:r w:rsidRPr="00A71800">
        <w:rPr>
          <w:rFonts w:ascii="Verdana" w:hAnsi="Verdana" w:cs="Arial"/>
          <w:color w:val="161616"/>
          <w:sz w:val="14"/>
          <w:szCs w:val="14"/>
        </w:rPr>
        <w:t xml:space="preserve">Consejo de Estado. Sección Tercera. Sentencia del 28 de febrero de 2013. </w:t>
      </w:r>
      <w:proofErr w:type="spellStart"/>
      <w:r w:rsidRPr="00A71800">
        <w:rPr>
          <w:rFonts w:ascii="Verdana" w:hAnsi="Verdana" w:cs="Arial"/>
          <w:color w:val="161616"/>
          <w:sz w:val="14"/>
          <w:szCs w:val="14"/>
        </w:rPr>
        <w:t>Exp</w:t>
      </w:r>
      <w:proofErr w:type="spellEnd"/>
      <w:r w:rsidRPr="00A71800">
        <w:rPr>
          <w:rFonts w:ascii="Verdana" w:hAnsi="Verdana" w:cs="Arial"/>
          <w:color w:val="161616"/>
          <w:sz w:val="14"/>
          <w:szCs w:val="14"/>
        </w:rPr>
        <w:t xml:space="preserve">. 24.266 M.P. Danilo Rojas </w:t>
      </w:r>
      <w:proofErr w:type="spellStart"/>
      <w:r w:rsidRPr="00A71800">
        <w:rPr>
          <w:rFonts w:ascii="Verdana" w:hAnsi="Verdana" w:cs="Arial"/>
          <w:color w:val="161616"/>
          <w:sz w:val="14"/>
          <w:szCs w:val="14"/>
        </w:rPr>
        <w:t>Betancourth</w:t>
      </w:r>
      <w:proofErr w:type="spellEnd"/>
      <w:r w:rsidRPr="00A71800">
        <w:rPr>
          <w:rFonts w:ascii="Verdana" w:hAnsi="Verdana" w:cs="Arial"/>
          <w:color w:val="161616"/>
          <w:sz w:val="14"/>
          <w:szCs w:val="14"/>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3360"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7216"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FD1C243" w14:textId="677DAD81" w:rsidR="008A446D" w:rsidRDefault="008A446D" w:rsidP="000D5DA7">
    <w:pPr>
      <w:spacing w:after="0" w:line="480" w:lineRule="auto"/>
      <w:rPr>
        <w:rFonts w:ascii="Verdana" w:hAnsi="Verdana"/>
        <w:b/>
        <w:bCs/>
        <w:sz w:val="24"/>
        <w:szCs w:val="24"/>
      </w:rPr>
    </w:pPr>
  </w:p>
  <w:p w14:paraId="2E39A7F9" w14:textId="77777777" w:rsidR="003F4BEB" w:rsidRPr="00C925AC" w:rsidRDefault="003F4BEB" w:rsidP="000D5DA7">
    <w:pPr>
      <w:spacing w:after="0" w:line="480" w:lineRule="auto"/>
      <w:rPr>
        <w:rFonts w:ascii="Verdana" w:hAnsi="Verdana"/>
        <w:b/>
        <w:b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style="width:12pt;height:12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1"/>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0"/>
  </w:num>
  <w:num w:numId="13" w16cid:durableId="1512908409">
    <w:abstractNumId w:val="2"/>
  </w:num>
  <w:num w:numId="14" w16cid:durableId="895897244">
    <w:abstractNumId w:val="14"/>
  </w:num>
  <w:num w:numId="15" w16cid:durableId="390349800">
    <w:abstractNumId w:val="10"/>
  </w:num>
  <w:num w:numId="16" w16cid:durableId="1862359679">
    <w:abstractNumId w:val="3"/>
  </w:num>
  <w:num w:numId="17" w16cid:durableId="178515049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961DC"/>
    <w:rsid w:val="000A683E"/>
    <w:rsid w:val="000B19B9"/>
    <w:rsid w:val="000D0334"/>
    <w:rsid w:val="000D198D"/>
    <w:rsid w:val="000D5DA7"/>
    <w:rsid w:val="000F6486"/>
    <w:rsid w:val="001140BE"/>
    <w:rsid w:val="00116940"/>
    <w:rsid w:val="00125105"/>
    <w:rsid w:val="00127233"/>
    <w:rsid w:val="0015699B"/>
    <w:rsid w:val="00163BCE"/>
    <w:rsid w:val="00164028"/>
    <w:rsid w:val="00196D98"/>
    <w:rsid w:val="001A33BF"/>
    <w:rsid w:val="001E4177"/>
    <w:rsid w:val="001F0B24"/>
    <w:rsid w:val="001F0EB9"/>
    <w:rsid w:val="001F7DC6"/>
    <w:rsid w:val="0022400B"/>
    <w:rsid w:val="00240A63"/>
    <w:rsid w:val="002421BB"/>
    <w:rsid w:val="002531C9"/>
    <w:rsid w:val="0025796E"/>
    <w:rsid w:val="00260F75"/>
    <w:rsid w:val="00266A4A"/>
    <w:rsid w:val="002707A2"/>
    <w:rsid w:val="0027089C"/>
    <w:rsid w:val="002951A0"/>
    <w:rsid w:val="002962BC"/>
    <w:rsid w:val="002A093D"/>
    <w:rsid w:val="002A0DD0"/>
    <w:rsid w:val="002A49AC"/>
    <w:rsid w:val="002A64FD"/>
    <w:rsid w:val="002C7A84"/>
    <w:rsid w:val="002E2BF8"/>
    <w:rsid w:val="002E4FD9"/>
    <w:rsid w:val="0030657A"/>
    <w:rsid w:val="00322A85"/>
    <w:rsid w:val="00324168"/>
    <w:rsid w:val="00330834"/>
    <w:rsid w:val="00334E56"/>
    <w:rsid w:val="003448F4"/>
    <w:rsid w:val="00374F5E"/>
    <w:rsid w:val="00377E3E"/>
    <w:rsid w:val="003832C0"/>
    <w:rsid w:val="003A0391"/>
    <w:rsid w:val="003A779E"/>
    <w:rsid w:val="003B2578"/>
    <w:rsid w:val="003B79BF"/>
    <w:rsid w:val="003D0F4D"/>
    <w:rsid w:val="003D5B0D"/>
    <w:rsid w:val="003E0499"/>
    <w:rsid w:val="003E4F80"/>
    <w:rsid w:val="003E5541"/>
    <w:rsid w:val="003E6439"/>
    <w:rsid w:val="003F3941"/>
    <w:rsid w:val="003F4BEB"/>
    <w:rsid w:val="00406575"/>
    <w:rsid w:val="00414C74"/>
    <w:rsid w:val="00426D89"/>
    <w:rsid w:val="0042722E"/>
    <w:rsid w:val="0044528D"/>
    <w:rsid w:val="00466E39"/>
    <w:rsid w:val="00485080"/>
    <w:rsid w:val="004A1847"/>
    <w:rsid w:val="004A305D"/>
    <w:rsid w:val="004D682C"/>
    <w:rsid w:val="004F21C4"/>
    <w:rsid w:val="004F685F"/>
    <w:rsid w:val="005566E8"/>
    <w:rsid w:val="00574867"/>
    <w:rsid w:val="00591460"/>
    <w:rsid w:val="005A65E0"/>
    <w:rsid w:val="005A7F92"/>
    <w:rsid w:val="005C3777"/>
    <w:rsid w:val="005C5CDC"/>
    <w:rsid w:val="005D476C"/>
    <w:rsid w:val="005F2C42"/>
    <w:rsid w:val="00604852"/>
    <w:rsid w:val="006200BF"/>
    <w:rsid w:val="006219F8"/>
    <w:rsid w:val="006302F7"/>
    <w:rsid w:val="00646B9F"/>
    <w:rsid w:val="00665D70"/>
    <w:rsid w:val="006665CC"/>
    <w:rsid w:val="0067155C"/>
    <w:rsid w:val="006900D9"/>
    <w:rsid w:val="006929B5"/>
    <w:rsid w:val="00706C16"/>
    <w:rsid w:val="007340C3"/>
    <w:rsid w:val="0075235A"/>
    <w:rsid w:val="00756841"/>
    <w:rsid w:val="007649AB"/>
    <w:rsid w:val="00771D0C"/>
    <w:rsid w:val="007833AC"/>
    <w:rsid w:val="00794F6B"/>
    <w:rsid w:val="007B268C"/>
    <w:rsid w:val="007B4964"/>
    <w:rsid w:val="007B7171"/>
    <w:rsid w:val="007B7882"/>
    <w:rsid w:val="007C0C0F"/>
    <w:rsid w:val="007C3DC2"/>
    <w:rsid w:val="007E5497"/>
    <w:rsid w:val="00806F5F"/>
    <w:rsid w:val="00813655"/>
    <w:rsid w:val="00820278"/>
    <w:rsid w:val="0082451F"/>
    <w:rsid w:val="008258C9"/>
    <w:rsid w:val="008409FF"/>
    <w:rsid w:val="00844AE9"/>
    <w:rsid w:val="00861118"/>
    <w:rsid w:val="00867F95"/>
    <w:rsid w:val="008843B6"/>
    <w:rsid w:val="00891928"/>
    <w:rsid w:val="008A446D"/>
    <w:rsid w:val="008B25F1"/>
    <w:rsid w:val="008C0025"/>
    <w:rsid w:val="008D180B"/>
    <w:rsid w:val="008F0EA7"/>
    <w:rsid w:val="008F51D5"/>
    <w:rsid w:val="00923EEF"/>
    <w:rsid w:val="009419F9"/>
    <w:rsid w:val="00947008"/>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824B9"/>
    <w:rsid w:val="00A833EA"/>
    <w:rsid w:val="00AB0ADB"/>
    <w:rsid w:val="00AE1D2A"/>
    <w:rsid w:val="00AE4AB1"/>
    <w:rsid w:val="00B00C0E"/>
    <w:rsid w:val="00B01B1A"/>
    <w:rsid w:val="00B0381D"/>
    <w:rsid w:val="00B22251"/>
    <w:rsid w:val="00B43660"/>
    <w:rsid w:val="00B44A47"/>
    <w:rsid w:val="00B72CD3"/>
    <w:rsid w:val="00B72FFF"/>
    <w:rsid w:val="00B954F4"/>
    <w:rsid w:val="00BB0CA9"/>
    <w:rsid w:val="00BC3D36"/>
    <w:rsid w:val="00BC5AF8"/>
    <w:rsid w:val="00BD21C0"/>
    <w:rsid w:val="00BD54A6"/>
    <w:rsid w:val="00BD7F72"/>
    <w:rsid w:val="00BF7425"/>
    <w:rsid w:val="00C04FB3"/>
    <w:rsid w:val="00C11D8B"/>
    <w:rsid w:val="00C15139"/>
    <w:rsid w:val="00C16E92"/>
    <w:rsid w:val="00C17D41"/>
    <w:rsid w:val="00C25027"/>
    <w:rsid w:val="00C330EB"/>
    <w:rsid w:val="00C50D69"/>
    <w:rsid w:val="00C5365C"/>
    <w:rsid w:val="00C65349"/>
    <w:rsid w:val="00C754BE"/>
    <w:rsid w:val="00C76B1C"/>
    <w:rsid w:val="00C925AC"/>
    <w:rsid w:val="00CB6357"/>
    <w:rsid w:val="00CC1B26"/>
    <w:rsid w:val="00D361FD"/>
    <w:rsid w:val="00D423A2"/>
    <w:rsid w:val="00D44E26"/>
    <w:rsid w:val="00D51F15"/>
    <w:rsid w:val="00D520D8"/>
    <w:rsid w:val="00D63AC2"/>
    <w:rsid w:val="00D7383B"/>
    <w:rsid w:val="00D7788A"/>
    <w:rsid w:val="00DA231B"/>
    <w:rsid w:val="00DC39FC"/>
    <w:rsid w:val="00DC5B85"/>
    <w:rsid w:val="00DF5254"/>
    <w:rsid w:val="00E02524"/>
    <w:rsid w:val="00E16408"/>
    <w:rsid w:val="00E20894"/>
    <w:rsid w:val="00E22DEA"/>
    <w:rsid w:val="00E245AB"/>
    <w:rsid w:val="00E2764C"/>
    <w:rsid w:val="00E27F2E"/>
    <w:rsid w:val="00E34E68"/>
    <w:rsid w:val="00E50AFE"/>
    <w:rsid w:val="00E75C92"/>
    <w:rsid w:val="00E771DC"/>
    <w:rsid w:val="00E8772A"/>
    <w:rsid w:val="00E90F6B"/>
    <w:rsid w:val="00E92C27"/>
    <w:rsid w:val="00EA0E3D"/>
    <w:rsid w:val="00EC38A7"/>
    <w:rsid w:val="00EE1AA8"/>
    <w:rsid w:val="00F05CE8"/>
    <w:rsid w:val="00F062E8"/>
    <w:rsid w:val="00F23FEA"/>
    <w:rsid w:val="00F248F8"/>
    <w:rsid w:val="00F31EDC"/>
    <w:rsid w:val="00F462B3"/>
    <w:rsid w:val="00F5664F"/>
    <w:rsid w:val="00F566CB"/>
    <w:rsid w:val="00F666C4"/>
    <w:rsid w:val="00F76AFC"/>
    <w:rsid w:val="00FA47C0"/>
    <w:rsid w:val="00FB5DD1"/>
    <w:rsid w:val="00FC2B5D"/>
    <w:rsid w:val="00FE20A4"/>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1F0EB9"/>
    <w:pPr>
      <w:spacing w:line="240" w:lineRule="exact"/>
    </w:pPr>
    <w:rPr>
      <w:vertAlign w:val="superscript"/>
    </w:rPr>
  </w:style>
  <w:style w:type="table" w:customStyle="1" w:styleId="Tablaconcuadrcula11">
    <w:name w:val="Tabla con cuadrícula11"/>
    <w:basedOn w:val="Tablanormal"/>
    <w:next w:val="Tablaconcuadrcula"/>
    <w:uiPriority w:val="59"/>
    <w:qFormat/>
    <w:rsid w:val="001F0EB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
    <w:name w:val="Tabla con cuadrícula111"/>
    <w:basedOn w:val="Tablanormal"/>
    <w:next w:val="Tablaconcuadrcula"/>
    <w:uiPriority w:val="39"/>
    <w:qFormat/>
    <w:rsid w:val="001F0EB9"/>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5A7F92"/>
    <w:rPr>
      <w:sz w:val="16"/>
      <w:szCs w:val="16"/>
    </w:rPr>
  </w:style>
  <w:style w:type="paragraph" w:styleId="Textocomentario">
    <w:name w:val="annotation text"/>
    <w:basedOn w:val="Normal"/>
    <w:link w:val="TextocomentarioCar"/>
    <w:uiPriority w:val="99"/>
    <w:unhideWhenUsed/>
    <w:rsid w:val="005A7F92"/>
    <w:pPr>
      <w:spacing w:line="240" w:lineRule="auto"/>
    </w:pPr>
    <w:rPr>
      <w:sz w:val="20"/>
      <w:szCs w:val="20"/>
    </w:rPr>
  </w:style>
  <w:style w:type="character" w:customStyle="1" w:styleId="TextocomentarioCar">
    <w:name w:val="Texto comentario Car"/>
    <w:basedOn w:val="Fuentedeprrafopredeter"/>
    <w:link w:val="Textocomentario"/>
    <w:uiPriority w:val="99"/>
    <w:rsid w:val="005A7F92"/>
    <w:rPr>
      <w:sz w:val="20"/>
      <w:szCs w:val="20"/>
    </w:rPr>
  </w:style>
  <w:style w:type="paragraph" w:styleId="Asuntodelcomentario">
    <w:name w:val="annotation subject"/>
    <w:basedOn w:val="Textocomentario"/>
    <w:next w:val="Textocomentario"/>
    <w:link w:val="AsuntodelcomentarioCar"/>
    <w:uiPriority w:val="99"/>
    <w:semiHidden/>
    <w:unhideWhenUsed/>
    <w:rsid w:val="005A7F92"/>
    <w:rPr>
      <w:b/>
      <w:bCs/>
    </w:rPr>
  </w:style>
  <w:style w:type="character" w:customStyle="1" w:styleId="AsuntodelcomentarioCar">
    <w:name w:val="Asunto del comentario Car"/>
    <w:basedOn w:val="TextocomentarioCar"/>
    <w:link w:val="Asuntodelcomentario"/>
    <w:uiPriority w:val="99"/>
    <w:semiHidden/>
    <w:rsid w:val="005A7F9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43619770">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891725839">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pdianaarango@gmail.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458BEB8B-F51D-450E-A8BE-2D21C5BBAAF7}"/>
</file>

<file path=customXml/itemProps4.xml><?xml version="1.0" encoding="utf-8"?>
<ds:datastoreItem xmlns:ds="http://schemas.openxmlformats.org/officeDocument/2006/customXml" ds:itemID="{C324D92C-CE99-4586-BE03-6FA4DE8B1209}">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0</TotalTime>
  <Pages>15</Pages>
  <Words>5252</Words>
  <Characters>28888</Characters>
  <Application>Microsoft Office Word</Application>
  <DocSecurity>0</DocSecurity>
  <Lines>240</Lines>
  <Paragraphs>68</Paragraphs>
  <ScaleCrop>false</ScaleCrop>
  <Company/>
  <LinksUpToDate>false</LinksUpToDate>
  <CharactersWithSpaces>34072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Karol Andrea Gonzalez Marin</cp:lastModifiedBy>
  <cp:revision>2</cp:revision>
  <cp:lastPrinted>2023-01-10T21:18:00Z</cp:lastPrinted>
  <dcterms:created xsi:type="dcterms:W3CDTF">2025-12-21T14:11:00Z</dcterms:created>
  <dcterms:modified xsi:type="dcterms:W3CDTF">2025-12-21T14:11:00Z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