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86870" w14:textId="77777777" w:rsidR="00770781" w:rsidRPr="00F145EE" w:rsidRDefault="00770781" w:rsidP="00770781">
      <w:pPr>
        <w:pStyle w:val="Textoindependiente"/>
        <w:spacing w:after="0" w:line="240" w:lineRule="auto"/>
        <w:ind w:right="102"/>
        <w:jc w:val="both"/>
        <w:rPr>
          <w:rFonts w:ascii="Verdana" w:hAnsi="Verdana" w:cs="Arial"/>
          <w:b/>
          <w:color w:val="000000" w:themeColor="text1"/>
          <w:lang w:val="es-ES_tradnl"/>
        </w:rPr>
      </w:pPr>
      <w:bookmarkStart w:id="0" w:name="_Hlk215673488"/>
      <w:r w:rsidRPr="00F145EE">
        <w:rPr>
          <w:rFonts w:ascii="Verdana" w:hAnsi="Verdana" w:cs="Arial"/>
          <w:b/>
          <w:color w:val="000000" w:themeColor="text1"/>
          <w:lang w:val="es-ES_tradnl"/>
        </w:rPr>
        <w:t xml:space="preserve">SELECCIÓN ABREVIADA – Marco normativo </w:t>
      </w:r>
    </w:p>
    <w:p w14:paraId="73AB8918" w14:textId="77777777" w:rsidR="00770781" w:rsidRPr="00F145EE" w:rsidRDefault="00770781" w:rsidP="00770781">
      <w:pPr>
        <w:pStyle w:val="Textoindependiente"/>
        <w:spacing w:after="0" w:line="240" w:lineRule="auto"/>
        <w:ind w:right="102"/>
        <w:jc w:val="both"/>
        <w:rPr>
          <w:rFonts w:ascii="Verdana" w:hAnsi="Verdana" w:cs="Arial"/>
          <w:color w:val="000000" w:themeColor="text1"/>
          <w:sz w:val="20"/>
          <w:szCs w:val="20"/>
          <w:lang w:val="es-ES_tradnl"/>
        </w:rPr>
      </w:pPr>
    </w:p>
    <w:p w14:paraId="16B75A07" w14:textId="77777777" w:rsidR="00770781" w:rsidRPr="00F145EE" w:rsidRDefault="00770781" w:rsidP="00770781">
      <w:pPr>
        <w:spacing w:after="0" w:line="240" w:lineRule="auto"/>
        <w:jc w:val="both"/>
        <w:rPr>
          <w:rFonts w:ascii="Verdana" w:eastAsia="Arial" w:hAnsi="Verdana" w:cs="Arial"/>
          <w:color w:val="000000" w:themeColor="text1"/>
          <w:sz w:val="20"/>
          <w:szCs w:val="20"/>
        </w:rPr>
      </w:pPr>
      <w:r w:rsidRPr="00F145EE">
        <w:rPr>
          <w:rFonts w:ascii="Verdana" w:eastAsia="Arial" w:hAnsi="Verdana" w:cs="Arial"/>
          <w:bCs/>
          <w:color w:val="000000" w:themeColor="text1"/>
          <w:sz w:val="20"/>
          <w:szCs w:val="20"/>
          <w:lang w:val="es-MX"/>
        </w:rPr>
        <w:t xml:space="preserve">Respecto a la selección abreviada, </w:t>
      </w:r>
      <w:r w:rsidRPr="00F145EE">
        <w:rPr>
          <w:rFonts w:ascii="Verdana" w:eastAsia="Arial" w:hAnsi="Verdana" w:cs="Arial"/>
          <w:color w:val="000000" w:themeColor="text1"/>
          <w:sz w:val="20"/>
          <w:szCs w:val="20"/>
        </w:rPr>
        <w:t xml:space="preserve">el numeral 2 del artículo 2 de la Ley 1150 de 2007 dispone que “[…] corresponde a la modalidad de selección objetiva prevista para aquellos casos en </w:t>
      </w:r>
      <w:proofErr w:type="gramStart"/>
      <w:r w:rsidRPr="00F145EE">
        <w:rPr>
          <w:rFonts w:ascii="Verdana" w:eastAsia="Arial" w:hAnsi="Verdana" w:cs="Arial"/>
          <w:color w:val="000000" w:themeColor="text1"/>
          <w:sz w:val="20"/>
          <w:szCs w:val="20"/>
        </w:rPr>
        <w:t>que</w:t>
      </w:r>
      <w:proofErr w:type="gramEnd"/>
      <w:r w:rsidRPr="00F145EE">
        <w:rPr>
          <w:rFonts w:ascii="Verdana" w:eastAsia="Arial" w:hAnsi="Verdana" w:cs="Arial"/>
          <w:color w:val="000000" w:themeColor="text1"/>
          <w:sz w:val="20"/>
          <w:szCs w:val="20"/>
        </w:rPr>
        <w:t xml:space="preserve"> por las características del objeto a contratar, las circunstancias de la contratación o la cuantía o destinación del bien, obra o servicio puedan adelantarse procesos simplificados para garantizar la eficiencia de la gestión contractual”, regulando cada una de las causales. </w:t>
      </w:r>
    </w:p>
    <w:p w14:paraId="13057F36" w14:textId="77777777" w:rsidR="00770781" w:rsidRPr="00F145EE" w:rsidRDefault="00770781" w:rsidP="00770781">
      <w:pPr>
        <w:spacing w:after="0" w:line="240" w:lineRule="auto"/>
        <w:jc w:val="both"/>
        <w:rPr>
          <w:rFonts w:ascii="Verdana" w:eastAsia="Arial" w:hAnsi="Verdana" w:cs="Arial"/>
          <w:color w:val="000000" w:themeColor="text1"/>
          <w:sz w:val="20"/>
          <w:szCs w:val="20"/>
        </w:rPr>
      </w:pPr>
    </w:p>
    <w:p w14:paraId="54EDE4BA" w14:textId="77777777" w:rsidR="00770781" w:rsidRPr="00F145EE" w:rsidRDefault="00770781" w:rsidP="00770781">
      <w:pPr>
        <w:spacing w:after="0" w:line="240" w:lineRule="auto"/>
        <w:jc w:val="both"/>
        <w:rPr>
          <w:rFonts w:ascii="Verdana" w:eastAsia="Arial" w:hAnsi="Verdana" w:cs="Arial"/>
          <w:color w:val="000000" w:themeColor="text1"/>
          <w:sz w:val="20"/>
          <w:szCs w:val="20"/>
        </w:rPr>
      </w:pPr>
      <w:r w:rsidRPr="00F145EE">
        <w:rPr>
          <w:rFonts w:ascii="Verdana" w:eastAsia="Arial" w:hAnsi="Verdana" w:cs="Arial"/>
          <w:color w:val="000000" w:themeColor="text1"/>
          <w:sz w:val="20"/>
          <w:szCs w:val="20"/>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p>
    <w:p w14:paraId="456C908E" w14:textId="77777777" w:rsidR="00770781" w:rsidRPr="00F145EE" w:rsidRDefault="00770781" w:rsidP="00770781">
      <w:pPr>
        <w:spacing w:after="0" w:line="240" w:lineRule="auto"/>
        <w:jc w:val="both"/>
        <w:rPr>
          <w:rFonts w:ascii="Verdana" w:eastAsia="Calibri" w:hAnsi="Verdana" w:cs="Arial"/>
          <w:b/>
          <w:color w:val="000000" w:themeColor="text1"/>
          <w:highlight w:val="yellow"/>
          <w:lang w:val="es-ES_tradnl"/>
        </w:rPr>
      </w:pPr>
    </w:p>
    <w:p w14:paraId="70F28162" w14:textId="77777777" w:rsidR="00770781" w:rsidRPr="00F145EE" w:rsidRDefault="00770781" w:rsidP="00770781">
      <w:pPr>
        <w:spacing w:after="0" w:line="240" w:lineRule="auto"/>
        <w:jc w:val="both"/>
        <w:rPr>
          <w:rFonts w:ascii="Verdana" w:eastAsia="Calibri" w:hAnsi="Verdana" w:cs="Arial"/>
          <w:b/>
          <w:color w:val="000000" w:themeColor="text1"/>
          <w:lang w:val="es-ES_tradnl"/>
        </w:rPr>
      </w:pPr>
      <w:r w:rsidRPr="00F145EE">
        <w:rPr>
          <w:rFonts w:ascii="Verdana" w:eastAsia="Calibri" w:hAnsi="Verdana" w:cs="Arial"/>
          <w:b/>
          <w:color w:val="000000" w:themeColor="text1"/>
          <w:lang w:val="es-ES_tradnl"/>
        </w:rPr>
        <w:t xml:space="preserve">BIENES Y SERVICIOS DE CARACTERÍSTICAS TÉCNICAS UNIFORMES – Definición  </w:t>
      </w:r>
    </w:p>
    <w:p w14:paraId="225A78BA" w14:textId="77777777" w:rsidR="00770781" w:rsidRPr="00F145EE" w:rsidRDefault="00770781" w:rsidP="00770781">
      <w:pPr>
        <w:spacing w:after="0" w:line="240" w:lineRule="auto"/>
        <w:jc w:val="both"/>
        <w:rPr>
          <w:rFonts w:ascii="Verdana" w:eastAsia="Calibri" w:hAnsi="Verdana" w:cs="Arial"/>
          <w:bCs/>
          <w:color w:val="000000" w:themeColor="text1"/>
          <w:sz w:val="20"/>
          <w:szCs w:val="20"/>
          <w:lang w:val="es-ES_tradnl"/>
        </w:rPr>
      </w:pPr>
    </w:p>
    <w:p w14:paraId="03D62F3F" w14:textId="77777777" w:rsidR="00770781" w:rsidRPr="00F145EE" w:rsidRDefault="00770781" w:rsidP="00770781">
      <w:pPr>
        <w:spacing w:after="0" w:line="240" w:lineRule="auto"/>
        <w:jc w:val="both"/>
        <w:rPr>
          <w:rFonts w:ascii="Verdana" w:hAnsi="Verdana" w:cs="Arial"/>
          <w:color w:val="000000" w:themeColor="text1"/>
          <w:sz w:val="20"/>
          <w:szCs w:val="20"/>
        </w:rPr>
      </w:pPr>
      <w:r w:rsidRPr="00F145EE">
        <w:rPr>
          <w:rFonts w:ascii="Verdana" w:hAnsi="Verdana" w:cs="Arial"/>
          <w:color w:val="000000" w:themeColor="text1"/>
          <w:sz w:val="20"/>
          <w:szCs w:val="20"/>
        </w:rPr>
        <w:t>Según el literal a) del artículo 2.2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w:t>
      </w:r>
    </w:p>
    <w:p w14:paraId="4ADF35CA" w14:textId="77777777" w:rsidR="00770781" w:rsidRPr="00F145EE" w:rsidRDefault="00770781" w:rsidP="00770781">
      <w:pPr>
        <w:spacing w:after="0" w:line="240" w:lineRule="auto"/>
        <w:jc w:val="both"/>
        <w:rPr>
          <w:rFonts w:ascii="Verdana" w:hAnsi="Verdana" w:cs="Arial"/>
          <w:color w:val="000000" w:themeColor="text1"/>
          <w:sz w:val="21"/>
          <w:szCs w:val="21"/>
          <w:highlight w:val="yellow"/>
          <w:lang w:val="es-ES_tradnl"/>
        </w:rPr>
      </w:pPr>
    </w:p>
    <w:p w14:paraId="701F5F2C" w14:textId="77777777" w:rsidR="00770781" w:rsidRPr="00F145EE" w:rsidRDefault="00770781" w:rsidP="00770781">
      <w:pPr>
        <w:spacing w:after="0" w:line="240" w:lineRule="auto"/>
        <w:jc w:val="both"/>
        <w:rPr>
          <w:rFonts w:ascii="Verdana" w:eastAsia="Calibri" w:hAnsi="Verdana" w:cs="Arial"/>
          <w:b/>
          <w:color w:val="000000" w:themeColor="text1"/>
          <w:lang w:val="es-ES_tradnl"/>
        </w:rPr>
      </w:pPr>
      <w:r w:rsidRPr="00F145EE">
        <w:rPr>
          <w:rFonts w:ascii="Verdana" w:eastAsia="Calibri" w:hAnsi="Verdana" w:cs="Arial"/>
          <w:b/>
          <w:color w:val="000000" w:themeColor="text1"/>
          <w:lang w:val="es-ES_tradnl"/>
        </w:rPr>
        <w:t xml:space="preserve">COMÚN UTILIZACIÓN Y HOMOGENEIDAD ‒ Bienes y servicios ‒Características – Formas de adquisición </w:t>
      </w:r>
    </w:p>
    <w:p w14:paraId="7E92FE30" w14:textId="77777777" w:rsidR="00770781" w:rsidRPr="00F145EE" w:rsidRDefault="00770781" w:rsidP="00770781">
      <w:pPr>
        <w:tabs>
          <w:tab w:val="left" w:pos="426"/>
        </w:tabs>
        <w:spacing w:after="0" w:line="240" w:lineRule="auto"/>
        <w:contextualSpacing/>
        <w:jc w:val="both"/>
        <w:rPr>
          <w:rFonts w:ascii="Verdana" w:eastAsia="Calibri" w:hAnsi="Verdana" w:cs="Arial"/>
          <w:b/>
          <w:bCs/>
          <w:color w:val="000000" w:themeColor="text1"/>
          <w:sz w:val="20"/>
          <w:szCs w:val="20"/>
          <w:highlight w:val="yellow"/>
          <w:lang w:val="es-MX"/>
        </w:rPr>
      </w:pPr>
    </w:p>
    <w:p w14:paraId="682E6428" w14:textId="77777777" w:rsidR="00770781" w:rsidRPr="00F145EE"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r w:rsidRPr="00F145EE">
        <w:rPr>
          <w:rFonts w:ascii="Verdana" w:eastAsia="Calibri" w:hAnsi="Verdana" w:cs="Arial"/>
          <w:noProof/>
          <w:color w:val="000000" w:themeColor="text1"/>
          <w:sz w:val="20"/>
          <w:szCs w:val="20"/>
          <w:lang w:val="es-ES_tradnl"/>
        </w:rPr>
        <w:t xml:space="preserve">Para identificar los bienes y servicios que corresponden a este tipo, se destacan dos (2) aspectos importantes: la común utilización y la homogeneidad. Para la doctrina, la </w:t>
      </w:r>
      <w:r w:rsidRPr="00F145EE">
        <w:rPr>
          <w:rFonts w:ascii="Verdana" w:eastAsia="Calibri" w:hAnsi="Verdana" w:cs="Arial"/>
          <w:i/>
          <w:iCs/>
          <w:noProof/>
          <w:color w:val="000000" w:themeColor="text1"/>
          <w:sz w:val="20"/>
          <w:szCs w:val="20"/>
          <w:lang w:val="es-ES_tradnl"/>
        </w:rPr>
        <w:t>común utilización</w:t>
      </w:r>
      <w:r w:rsidRPr="00F145EE">
        <w:rPr>
          <w:rFonts w:ascii="Verdana" w:eastAsia="Calibri" w:hAnsi="Verdana" w:cs="Arial"/>
          <w:noProof/>
          <w:color w:val="000000" w:themeColor="text1"/>
          <w:sz w:val="20"/>
          <w:szCs w:val="20"/>
          <w:lang w:val="es-ES_tradnl"/>
        </w:rPr>
        <w:t xml:space="preserve"> “[…] busca que los bienes o servicios que se compren en esta categoría sean de los que se ofrecen en un mercado con un estándar para quienes los demandan, o lo que es igual, que la oferta de los mismos en el mercado ocurriese en condiciones equivalentes para todo interesado en adquirirlos”. Por su parte, la </w:t>
      </w:r>
      <w:r w:rsidRPr="00F145EE">
        <w:rPr>
          <w:rFonts w:ascii="Verdana" w:eastAsia="Calibri" w:hAnsi="Verdana" w:cs="Arial"/>
          <w:i/>
          <w:iCs/>
          <w:noProof/>
          <w:color w:val="000000" w:themeColor="text1"/>
          <w:sz w:val="20"/>
          <w:szCs w:val="20"/>
          <w:lang w:val="es-ES_tradnl"/>
        </w:rPr>
        <w:t>homogeneidad</w:t>
      </w:r>
      <w:r w:rsidRPr="00F145EE">
        <w:rPr>
          <w:rFonts w:ascii="Verdana" w:eastAsia="Calibri" w:hAnsi="Verdana" w:cs="Arial"/>
          <w:noProof/>
          <w:color w:val="000000" w:themeColor="text1"/>
          <w:sz w:val="20"/>
          <w:szCs w:val="20"/>
          <w:lang w:val="es-ES_tradnl"/>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p>
    <w:p w14:paraId="56C541F3" w14:textId="77777777" w:rsidR="00770781" w:rsidRPr="00F145EE"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p>
    <w:p w14:paraId="687FE4F0" w14:textId="77777777" w:rsidR="00770781" w:rsidRPr="00F145EE"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r w:rsidRPr="00F145EE">
        <w:rPr>
          <w:rFonts w:ascii="Verdana" w:eastAsia="Calibri" w:hAnsi="Verdana" w:cs="Arial"/>
          <w:noProof/>
          <w:color w:val="000000" w:themeColor="text1"/>
          <w:sz w:val="20"/>
          <w:szCs w:val="20"/>
          <w:lang w:val="es-ES_tradnl"/>
        </w:rPr>
        <w:t xml:space="preserve">Los elementos centrales para definir si un bien o servicio se considera de características técnicas uniformes consiste en que posea las mismas especificaciones técnicas y compartan patrones de desempeño y calidad objetivamente definidos. Por ello, es </w:t>
      </w:r>
      <w:r w:rsidRPr="00F145EE">
        <w:rPr>
          <w:rFonts w:ascii="Verdana" w:eastAsia="Calibri" w:hAnsi="Verdana" w:cs="Arial"/>
          <w:noProof/>
          <w:color w:val="000000" w:themeColor="text1"/>
          <w:sz w:val="20"/>
          <w:szCs w:val="20"/>
          <w:lang w:val="es-ES_tradnl"/>
        </w:rPr>
        <w:lastRenderedPageBreak/>
        <w:t xml:space="preserve">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w:t>
      </w:r>
    </w:p>
    <w:p w14:paraId="0D7EA6FA" w14:textId="77777777" w:rsidR="00770781" w:rsidRDefault="00770781" w:rsidP="00770781">
      <w:pPr>
        <w:spacing w:after="0" w:line="240" w:lineRule="auto"/>
        <w:contextualSpacing/>
        <w:jc w:val="both"/>
        <w:rPr>
          <w:rFonts w:ascii="Verdana" w:hAnsi="Verdana"/>
          <w:lang w:val="es-ES_tradnl"/>
        </w:rPr>
      </w:pPr>
    </w:p>
    <w:p w14:paraId="4ED88BDA" w14:textId="77777777" w:rsidR="00770781" w:rsidRPr="003170D5" w:rsidRDefault="00770781" w:rsidP="00770781">
      <w:pPr>
        <w:spacing w:after="0" w:line="240" w:lineRule="auto"/>
        <w:jc w:val="both"/>
        <w:rPr>
          <w:rFonts w:ascii="Verdana" w:eastAsia="Calibri" w:hAnsi="Verdana" w:cs="Arial"/>
          <w:b/>
          <w:color w:val="000000" w:themeColor="text1"/>
          <w:lang w:val="es-ES_tradnl"/>
        </w:rPr>
      </w:pPr>
      <w:r w:rsidRPr="003170D5">
        <w:rPr>
          <w:rFonts w:ascii="Verdana" w:eastAsia="Calibri" w:hAnsi="Verdana" w:cs="Arial"/>
          <w:b/>
          <w:color w:val="000000" w:themeColor="text1"/>
          <w:lang w:val="es-ES_tradnl"/>
        </w:rPr>
        <w:t>SERVICIOS OPERATIVOS PERIÓDICOS – Caracterización – Inclusión en los bienes y servicios de características técnicas uniformes</w:t>
      </w:r>
    </w:p>
    <w:p w14:paraId="647A0B86" w14:textId="77777777" w:rsidR="00770781"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p>
    <w:p w14:paraId="39191202" w14:textId="77777777" w:rsidR="00770781"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r w:rsidRPr="004904C8">
        <w:rPr>
          <w:rFonts w:ascii="Verdana" w:eastAsia="Calibri" w:hAnsi="Verdana" w:cs="Arial"/>
          <w:noProof/>
          <w:color w:val="000000" w:themeColor="text1"/>
          <w:sz w:val="20"/>
          <w:szCs w:val="20"/>
          <w:lang w:val="es-ES_tradnl"/>
        </w:rPr>
        <w:t>En el caso de los servicios de fumigación de oficinas y áreas de trabajo, la normativa y la doctrina no incluyen este servicio como ejemplo típico o paradigmático de la categoría. La práctica del mercado muestra que su prestación puede abarcar tratamientos diferenciados según la plaga a controlar, productos químicos distintos, protocolos técnicos variables, certificaciones ambientales o sanitarias específicas, frecuencias diversas y metodologías de intervención que no siempre son uniformes entre prestadores. No obstante, también es cierto que existen segmentos del mercado, especialmente en fumigación preventiva o periódica de espacios de oficina, en los que se observan patrones de estandarización en los insumos, equipos, procedimientos y resultados esperados, lo cual puede permitir su agrupación bajo parámetros homogéneos.</w:t>
      </w:r>
    </w:p>
    <w:p w14:paraId="11D4BA02" w14:textId="77777777" w:rsidR="00770781" w:rsidRPr="004904C8"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p>
    <w:p w14:paraId="28F0AC0E" w14:textId="77777777" w:rsidR="00770781"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r w:rsidRPr="004904C8">
        <w:rPr>
          <w:rFonts w:ascii="Verdana" w:eastAsia="Calibri" w:hAnsi="Verdana" w:cs="Arial"/>
          <w:noProof/>
          <w:color w:val="000000" w:themeColor="text1"/>
          <w:sz w:val="20"/>
          <w:szCs w:val="20"/>
          <w:lang w:val="es-ES_tradnl"/>
        </w:rPr>
        <w:t>En este escenario, no es posible afirmar desde una perspectiva exclusivamente doctrinal si la fumigación constituye o no un servicio de características técnicas uniformes y de común utilización. La definición depende del análisis técnico que realice la entidad estatal, con base en la evidencia del mercado en el que pretenda contratar, la naturaleza del tratamiento requerido, la regularidad de la prestación, los estándares mínimos de calidad exigibles y el grado de comparabilidad entre oferentes para satisfacer la misma necesidad.</w:t>
      </w:r>
    </w:p>
    <w:p w14:paraId="340559F2" w14:textId="77777777" w:rsidR="00770781" w:rsidRPr="004904C8"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p>
    <w:p w14:paraId="4C586FFB" w14:textId="77777777" w:rsidR="00770781"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r w:rsidRPr="004904C8">
        <w:rPr>
          <w:rFonts w:ascii="Verdana" w:eastAsia="Calibri" w:hAnsi="Verdana" w:cs="Arial"/>
          <w:noProof/>
          <w:color w:val="000000" w:themeColor="text1"/>
          <w:sz w:val="20"/>
          <w:szCs w:val="20"/>
          <w:lang w:val="es-ES_tradnl"/>
        </w:rPr>
        <w:t>En consecuencia, el marco normativo y doctrinal permite a la entidad establecer los criterios relevantes, pero la decisión final requiere un estudio de mercado que determine si, en el contexto específico de la necesidad a contratar, la fumigación presenta homogeneidad suficiente y se ofrece en condiciones de común utilización, o si, por el contrario, su variabilidad técnica impide su clasificación dentro de dicha categoría.</w:t>
      </w:r>
    </w:p>
    <w:p w14:paraId="77CCCC91" w14:textId="77777777" w:rsidR="00770781" w:rsidRPr="006074E1"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p>
    <w:p w14:paraId="06D0D575" w14:textId="77777777" w:rsidR="00770781" w:rsidRPr="006074E1" w:rsidRDefault="00770781" w:rsidP="00770781">
      <w:pPr>
        <w:tabs>
          <w:tab w:val="left" w:pos="426"/>
        </w:tabs>
        <w:spacing w:after="0" w:line="240" w:lineRule="auto"/>
        <w:contextualSpacing/>
        <w:jc w:val="both"/>
        <w:rPr>
          <w:rFonts w:ascii="Verdana" w:eastAsia="Calibri" w:hAnsi="Verdana" w:cs="Arial"/>
          <w:noProof/>
          <w:color w:val="000000" w:themeColor="text1"/>
          <w:sz w:val="20"/>
          <w:szCs w:val="20"/>
          <w:lang w:val="es-ES_tradnl"/>
        </w:rPr>
      </w:pPr>
      <w:r w:rsidRPr="006074E1">
        <w:rPr>
          <w:rFonts w:ascii="Verdana" w:eastAsia="Calibri" w:hAnsi="Verdana" w:cs="Arial"/>
          <w:noProof/>
          <w:color w:val="000000" w:themeColor="text1"/>
          <w:sz w:val="20"/>
          <w:szCs w:val="20"/>
          <w:lang w:val="es-ES_tradnl"/>
        </w:rPr>
        <w:t>A partir del marco normativo aplicable y de la línea doctrinal de esta Agencia, no es posible sostener de manera categórica que el servicio de fumigación de oficinas y áreas de trabajo constituye, por sí mismo y en abstracto, un servicio de características técnicas uniformes y de común utilización. Su clasificación depende del análisis que realice la entidad contratante sobre el mercado pertinente, las especificaciones técnicas del tratamiento requerido, la estandarización observable en los insumos, procedimientos y resultados, y la posibilidad de describir el objeto mediante parámetros homogéneos y verificables. Si el estudio de mercado evidencia patrones de desempeño y calidad equivalentes y una oferta estandarizada, podrá emplearse la causal de selección abreviada prevista para esta categoría; si no es así, corresponderá acudir a la modalidad de selección que resulte procedente según la naturaleza y cuantía del objeto contractual.</w:t>
      </w:r>
    </w:p>
    <w:p w14:paraId="1499A9DF" w14:textId="6964C184" w:rsidR="00770781" w:rsidRPr="00A869FE" w:rsidRDefault="00770781" w:rsidP="00770781">
      <w:pPr>
        <w:spacing w:after="0" w:line="240" w:lineRule="auto"/>
        <w:contextualSpacing/>
        <w:jc w:val="both"/>
        <w:rPr>
          <w:rFonts w:ascii="Verdana" w:eastAsia="Times New Roman" w:hAnsi="Verdana" w:cs="Arial"/>
          <w:lang w:eastAsia="es-ES"/>
        </w:rPr>
      </w:pPr>
      <w:r w:rsidRPr="00A869FE">
        <w:rPr>
          <w:rFonts w:ascii="Verdana" w:hAnsi="Verdana"/>
        </w:rPr>
        <w:lastRenderedPageBreak/>
        <w:t xml:space="preserve">Bogotá D.C., </w:t>
      </w:r>
      <w:r w:rsidR="003C55D4">
        <w:rPr>
          <w:rFonts w:ascii="Verdana" w:hAnsi="Verdana"/>
        </w:rPr>
        <w:t>19 de diciembre de 2025</w:t>
      </w:r>
    </w:p>
    <w:p w14:paraId="6616849C" w14:textId="01453341" w:rsidR="00770781" w:rsidRPr="00A869FE" w:rsidRDefault="00770781" w:rsidP="00770781">
      <w:pPr>
        <w:spacing w:after="0" w:line="240" w:lineRule="auto"/>
        <w:jc w:val="right"/>
        <w:rPr>
          <w:rFonts w:ascii="Verdana" w:hAnsi="Verdana" w:cs="Arial"/>
          <w:color w:val="000000"/>
        </w:rPr>
      </w:pPr>
    </w:p>
    <w:p w14:paraId="08EA4225" w14:textId="56CBFF48" w:rsidR="00770781" w:rsidRDefault="005072EA" w:rsidP="003C55D4">
      <w:pPr>
        <w:spacing w:after="0" w:line="240" w:lineRule="auto"/>
        <w:jc w:val="right"/>
        <w:rPr>
          <w:rFonts w:ascii="Verdana" w:hAnsi="Verdana" w:cs="Arial"/>
          <w:lang w:eastAsia="es-ES"/>
        </w:rPr>
      </w:pPr>
      <w:r w:rsidRPr="003C55D4">
        <w:rPr>
          <w:rFonts w:ascii="Verdana" w:hAnsi="Verdana" w:cs="Arial"/>
          <w:noProof/>
          <w:lang w:eastAsia="es-ES"/>
        </w:rPr>
        <w:drawing>
          <wp:anchor distT="0" distB="0" distL="114300" distR="114300" simplePos="0" relativeHeight="251658240" behindDoc="1" locked="0" layoutInCell="1" allowOverlap="1" wp14:anchorId="6684949C" wp14:editId="5DBDA47C">
            <wp:simplePos x="0" y="0"/>
            <wp:positionH relativeFrom="column">
              <wp:posOffset>2953721</wp:posOffset>
            </wp:positionH>
            <wp:positionV relativeFrom="paragraph">
              <wp:posOffset>70223</wp:posOffset>
            </wp:positionV>
            <wp:extent cx="3104057" cy="871369"/>
            <wp:effectExtent l="0" t="0" r="1270" b="5080"/>
            <wp:wrapNone/>
            <wp:docPr id="110234389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43897" name="Imagen 1" descr="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04057" cy="871369"/>
                    </a:xfrm>
                    <a:prstGeom prst="rect">
                      <a:avLst/>
                    </a:prstGeom>
                  </pic:spPr>
                </pic:pic>
              </a:graphicData>
            </a:graphic>
            <wp14:sizeRelH relativeFrom="page">
              <wp14:pctWidth>0</wp14:pctWidth>
            </wp14:sizeRelH>
            <wp14:sizeRelV relativeFrom="page">
              <wp14:pctHeight>0</wp14:pctHeight>
            </wp14:sizeRelV>
          </wp:anchor>
        </w:drawing>
      </w:r>
    </w:p>
    <w:p w14:paraId="1DF84761" w14:textId="77777777" w:rsidR="00770781" w:rsidRDefault="00770781" w:rsidP="00770781">
      <w:pPr>
        <w:spacing w:after="0" w:line="240" w:lineRule="auto"/>
        <w:jc w:val="both"/>
        <w:rPr>
          <w:rFonts w:ascii="Verdana" w:hAnsi="Verdana" w:cs="Arial"/>
          <w:lang w:eastAsia="es-ES"/>
        </w:rPr>
      </w:pPr>
    </w:p>
    <w:p w14:paraId="58D72815" w14:textId="77777777" w:rsidR="00770781" w:rsidRDefault="00770781" w:rsidP="00770781">
      <w:pPr>
        <w:spacing w:after="0" w:line="240" w:lineRule="auto"/>
        <w:jc w:val="both"/>
        <w:rPr>
          <w:rFonts w:ascii="Verdana" w:hAnsi="Verdana" w:cs="Arial"/>
          <w:lang w:eastAsia="es-ES"/>
        </w:rPr>
      </w:pPr>
      <w:r w:rsidRPr="00A869FE">
        <w:rPr>
          <w:rFonts w:ascii="Verdana" w:hAnsi="Verdana" w:cs="Arial"/>
          <w:lang w:eastAsia="es-ES"/>
        </w:rPr>
        <w:t>Señor</w:t>
      </w:r>
      <w:r>
        <w:rPr>
          <w:rFonts w:ascii="Verdana" w:hAnsi="Verdana" w:cs="Arial"/>
          <w:lang w:eastAsia="es-ES"/>
        </w:rPr>
        <w:t>a</w:t>
      </w:r>
    </w:p>
    <w:p w14:paraId="51299148" w14:textId="77777777" w:rsidR="00770781" w:rsidRDefault="00770781" w:rsidP="00770781">
      <w:pPr>
        <w:spacing w:after="0" w:line="240" w:lineRule="auto"/>
        <w:jc w:val="both"/>
        <w:rPr>
          <w:rFonts w:ascii="Verdana" w:hAnsi="Verdana" w:cs="Arial"/>
          <w:b/>
          <w:bCs/>
          <w:lang w:eastAsia="es-ES"/>
        </w:rPr>
      </w:pPr>
      <w:r w:rsidRPr="005F108B">
        <w:rPr>
          <w:rFonts w:ascii="Verdana" w:hAnsi="Verdana" w:cs="Arial"/>
          <w:b/>
          <w:bCs/>
          <w:lang w:eastAsia="es-ES"/>
        </w:rPr>
        <w:t>Yury Marseli</w:t>
      </w:r>
      <w:r w:rsidRPr="005F108B">
        <w:rPr>
          <w:b/>
          <w:bCs/>
        </w:rPr>
        <w:t xml:space="preserve"> </w:t>
      </w:r>
      <w:r w:rsidRPr="005F108B">
        <w:rPr>
          <w:rFonts w:ascii="Verdana" w:hAnsi="Verdana" w:cs="Arial"/>
          <w:b/>
          <w:bCs/>
          <w:lang w:eastAsia="es-ES"/>
        </w:rPr>
        <w:t>Hernández Monsalve</w:t>
      </w:r>
    </w:p>
    <w:p w14:paraId="42B76753" w14:textId="77777777" w:rsidR="00770781" w:rsidRPr="005F108B" w:rsidRDefault="00770781" w:rsidP="00770781">
      <w:pPr>
        <w:spacing w:after="0" w:line="240" w:lineRule="auto"/>
        <w:jc w:val="both"/>
        <w:rPr>
          <w:rFonts w:ascii="Verdana" w:hAnsi="Verdana" w:cs="Arial"/>
          <w:lang w:eastAsia="es-ES"/>
        </w:rPr>
      </w:pPr>
      <w:hyperlink r:id="rId11" w:history="1">
        <w:r w:rsidRPr="005F108B">
          <w:rPr>
            <w:rStyle w:val="Hipervnculo"/>
            <w:rFonts w:ascii="Verdana" w:hAnsi="Verdana" w:cs="Arial"/>
            <w:lang w:eastAsia="es-ES"/>
          </w:rPr>
          <w:t>yuryhernandez@copnia.gov.co</w:t>
        </w:r>
      </w:hyperlink>
      <w:r w:rsidRPr="005F108B">
        <w:rPr>
          <w:rFonts w:ascii="Verdana" w:hAnsi="Verdana" w:cs="Arial"/>
          <w:lang w:eastAsia="es-ES"/>
        </w:rPr>
        <w:t xml:space="preserve"> </w:t>
      </w:r>
    </w:p>
    <w:p w14:paraId="1103B1C6" w14:textId="77777777" w:rsidR="00770781" w:rsidRDefault="00770781" w:rsidP="00770781">
      <w:pPr>
        <w:tabs>
          <w:tab w:val="left" w:pos="3708"/>
        </w:tabs>
        <w:spacing w:after="0" w:line="240" w:lineRule="auto"/>
        <w:rPr>
          <w:rFonts w:ascii="Verdana" w:hAnsi="Verdana" w:cs="Arial"/>
          <w:lang w:eastAsia="es-ES"/>
        </w:rPr>
      </w:pPr>
      <w:r w:rsidRPr="008E0A05">
        <w:rPr>
          <w:rFonts w:ascii="Verdana" w:hAnsi="Verdana" w:cs="Arial"/>
          <w:lang w:eastAsia="es-ES"/>
        </w:rPr>
        <w:t>Bogotá</w:t>
      </w:r>
      <w:r>
        <w:rPr>
          <w:rFonts w:ascii="Verdana" w:hAnsi="Verdana" w:cs="Arial"/>
          <w:lang w:eastAsia="es-ES"/>
        </w:rPr>
        <w:t>, D.C.</w:t>
      </w:r>
      <w:r w:rsidRPr="008E0A05">
        <w:rPr>
          <w:rFonts w:ascii="Verdana" w:hAnsi="Verdana" w:cs="Arial"/>
          <w:lang w:eastAsia="es-ES"/>
        </w:rPr>
        <w:tab/>
      </w:r>
    </w:p>
    <w:p w14:paraId="55C7AB81" w14:textId="77777777" w:rsidR="00770781" w:rsidRPr="008E0A05" w:rsidRDefault="00770781" w:rsidP="00770781">
      <w:pPr>
        <w:tabs>
          <w:tab w:val="left" w:pos="3708"/>
        </w:tabs>
        <w:spacing w:after="0" w:line="240" w:lineRule="auto"/>
        <w:rPr>
          <w:rFonts w:ascii="Verdana" w:hAnsi="Verdana" w:cs="Arial"/>
          <w:lang w:eastAsia="es-ES"/>
        </w:rPr>
      </w:pPr>
    </w:p>
    <w:p w14:paraId="680B6501" w14:textId="77777777" w:rsidR="00770781" w:rsidRPr="008E0A05" w:rsidRDefault="00770781" w:rsidP="00770781">
      <w:pPr>
        <w:spacing w:after="0" w:line="240" w:lineRule="auto"/>
        <w:rPr>
          <w:rFonts w:ascii="Verdana" w:hAnsi="Verdana" w:cs="Arial"/>
          <w:b/>
          <w:bCs/>
          <w:color w:val="000000"/>
          <w:lang w:eastAsia="es-ES_tradnl"/>
        </w:rPr>
      </w:pPr>
    </w:p>
    <w:p w14:paraId="182EBBD8" w14:textId="77777777" w:rsidR="00770781" w:rsidRPr="008E0A05" w:rsidRDefault="00770781" w:rsidP="00770781">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770781" w:rsidRPr="00A869FE" w14:paraId="1BB7CE69" w14:textId="77777777" w:rsidTr="00C33D7A">
        <w:trPr>
          <w:trHeight w:val="633"/>
        </w:trPr>
        <w:tc>
          <w:tcPr>
            <w:tcW w:w="2689" w:type="dxa"/>
          </w:tcPr>
          <w:p w14:paraId="53E91733" w14:textId="77777777" w:rsidR="00770781" w:rsidRPr="008E0A05" w:rsidRDefault="00770781" w:rsidP="00C33D7A">
            <w:pPr>
              <w:jc w:val="both"/>
              <w:rPr>
                <w:rFonts w:ascii="Verdana" w:hAnsi="Verdana" w:cs="Arial"/>
                <w:b/>
                <w:bCs/>
                <w:color w:val="7030A0"/>
                <w:lang w:eastAsia="es-ES_tradnl"/>
              </w:rPr>
            </w:pPr>
          </w:p>
        </w:tc>
        <w:tc>
          <w:tcPr>
            <w:tcW w:w="6100" w:type="dxa"/>
          </w:tcPr>
          <w:p w14:paraId="302BCF2D" w14:textId="77777777" w:rsidR="00770781" w:rsidRPr="00A869FE" w:rsidRDefault="00770781" w:rsidP="00C33D7A">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658</w:t>
            </w:r>
            <w:r w:rsidRPr="00A869FE">
              <w:rPr>
                <w:rFonts w:ascii="Verdana" w:hAnsi="Verdana" w:cs="Arial"/>
                <w:b/>
                <w:bCs/>
                <w:lang w:eastAsia="es-ES"/>
              </w:rPr>
              <w:t xml:space="preserve"> de 2025</w:t>
            </w:r>
          </w:p>
        </w:tc>
      </w:tr>
      <w:tr w:rsidR="00770781" w:rsidRPr="00A869FE" w14:paraId="4F25ADC0" w14:textId="77777777" w:rsidTr="00C33D7A">
        <w:trPr>
          <w:trHeight w:val="884"/>
        </w:trPr>
        <w:tc>
          <w:tcPr>
            <w:tcW w:w="2689" w:type="dxa"/>
          </w:tcPr>
          <w:p w14:paraId="75765C8C" w14:textId="77777777" w:rsidR="00770781" w:rsidRPr="00A869FE" w:rsidRDefault="00770781" w:rsidP="00C33D7A">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58C94EDC" w14:textId="4E245E6B" w:rsidR="00770781" w:rsidRPr="00B3246D" w:rsidRDefault="00770781" w:rsidP="00C33D7A">
            <w:pPr>
              <w:jc w:val="both"/>
              <w:rPr>
                <w:rFonts w:ascii="Verdana" w:hAnsi="Verdana" w:cs="Arial"/>
                <w:lang w:val="es-MX" w:eastAsia="es-ES"/>
              </w:rPr>
            </w:pPr>
            <w:r w:rsidRPr="0058429F">
              <w:rPr>
                <w:rFonts w:ascii="Verdana" w:hAnsi="Verdana" w:cs="Arial"/>
                <w:lang w:eastAsia="es-ES"/>
              </w:rPr>
              <w:t>SELECCIÓN ABREVIADA – Marco normativo</w:t>
            </w:r>
            <w:r>
              <w:rPr>
                <w:rFonts w:ascii="Verdana" w:hAnsi="Verdana" w:cs="Arial"/>
                <w:lang w:eastAsia="es-ES"/>
              </w:rPr>
              <w:t xml:space="preserve"> / </w:t>
            </w:r>
            <w:r w:rsidRPr="0058429F">
              <w:rPr>
                <w:rFonts w:ascii="Verdana" w:hAnsi="Verdana" w:cs="Arial"/>
                <w:lang w:eastAsia="es-ES"/>
              </w:rPr>
              <w:t xml:space="preserve">BIENES Y SERVICIOS DE CARACTERÍSTICAS TÉCNICAS UNIFORMES – Definición </w:t>
            </w:r>
            <w:r>
              <w:rPr>
                <w:rFonts w:ascii="Verdana" w:hAnsi="Verdana" w:cs="Arial"/>
                <w:lang w:eastAsia="es-ES"/>
              </w:rPr>
              <w:t xml:space="preserve">/ </w:t>
            </w:r>
            <w:r w:rsidRPr="0058429F">
              <w:rPr>
                <w:rFonts w:ascii="Verdana" w:hAnsi="Verdana" w:cs="Arial"/>
                <w:lang w:eastAsia="es-ES"/>
              </w:rPr>
              <w:t>COMÚN UTILIZACIÓN Y HOMOGENEIDAD ‒ Bienes y servicios ‒</w:t>
            </w:r>
            <w:r w:rsidR="00B85B10">
              <w:rPr>
                <w:rFonts w:ascii="Verdana" w:hAnsi="Verdana" w:cs="Arial"/>
                <w:lang w:eastAsia="es-ES"/>
              </w:rPr>
              <w:t xml:space="preserve"> </w:t>
            </w:r>
            <w:r w:rsidRPr="0058429F">
              <w:rPr>
                <w:rFonts w:ascii="Verdana" w:hAnsi="Verdana" w:cs="Arial"/>
                <w:lang w:eastAsia="es-ES"/>
              </w:rPr>
              <w:t xml:space="preserve">Características – Formas de adquisición </w:t>
            </w:r>
            <w:r>
              <w:rPr>
                <w:rFonts w:ascii="Verdana" w:hAnsi="Verdana" w:cs="Arial"/>
                <w:lang w:eastAsia="es-ES"/>
              </w:rPr>
              <w:t xml:space="preserve">/ </w:t>
            </w:r>
            <w:r w:rsidRPr="00B3246D">
              <w:rPr>
                <w:rFonts w:ascii="Verdana" w:hAnsi="Verdana" w:cs="Arial"/>
                <w:lang w:eastAsia="es-ES"/>
              </w:rPr>
              <w:t>SERVICIOS OPERATIVOS PERIÓDICOS – Caracterización – Inclusión en los bienes y servicios de características técnicas uniformes</w:t>
            </w:r>
          </w:p>
          <w:p w14:paraId="3DE32C42" w14:textId="77777777" w:rsidR="00770781" w:rsidRPr="0058429F" w:rsidRDefault="00770781" w:rsidP="00C33D7A">
            <w:pPr>
              <w:spacing w:line="276" w:lineRule="auto"/>
              <w:jc w:val="both"/>
              <w:rPr>
                <w:rFonts w:ascii="Verdana" w:eastAsia="Arial" w:hAnsi="Verdana" w:cs="Arial"/>
                <w:bCs/>
                <w:color w:val="000000" w:themeColor="text1"/>
                <w:lang w:val="es-ES_tradnl"/>
              </w:rPr>
            </w:pPr>
            <w:r>
              <w:rPr>
                <w:rFonts w:ascii="Verdana" w:hAnsi="Verdana" w:cs="Arial"/>
                <w:lang w:eastAsia="es-ES"/>
              </w:rPr>
              <w:t xml:space="preserve"> </w:t>
            </w:r>
          </w:p>
        </w:tc>
      </w:tr>
      <w:tr w:rsidR="00770781" w:rsidRPr="00A869FE" w14:paraId="3B59B40A" w14:textId="77777777" w:rsidTr="00C33D7A">
        <w:tc>
          <w:tcPr>
            <w:tcW w:w="2689" w:type="dxa"/>
          </w:tcPr>
          <w:p w14:paraId="73878D6B" w14:textId="77777777" w:rsidR="00770781" w:rsidRPr="00A869FE" w:rsidRDefault="00770781" w:rsidP="00C33D7A">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32492693" w14:textId="77777777" w:rsidR="00770781" w:rsidRPr="00A869FE" w:rsidRDefault="00770781" w:rsidP="00C33D7A">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8933F7">
              <w:rPr>
                <w:rFonts w:ascii="Verdana" w:hAnsi="Verdana" w:cs="Arial"/>
                <w:lang w:eastAsia="es-ES_tradnl"/>
              </w:rPr>
              <w:t>1_2025_11_10_012640</w:t>
            </w:r>
          </w:p>
        </w:tc>
      </w:tr>
    </w:tbl>
    <w:p w14:paraId="7B5CA6EA" w14:textId="77777777" w:rsidR="00770781" w:rsidRPr="00A869FE" w:rsidRDefault="00770781" w:rsidP="00770781">
      <w:pPr>
        <w:spacing w:after="0" w:line="240" w:lineRule="auto"/>
        <w:jc w:val="both"/>
        <w:rPr>
          <w:rFonts w:ascii="Verdana" w:hAnsi="Verdana" w:cs="Arial"/>
          <w:color w:val="000000"/>
          <w:lang w:eastAsia="es-ES_tradnl"/>
        </w:rPr>
      </w:pPr>
    </w:p>
    <w:p w14:paraId="2C7C638F" w14:textId="77777777" w:rsidR="00770781" w:rsidRPr="00A869FE" w:rsidRDefault="00770781" w:rsidP="00770781">
      <w:pPr>
        <w:spacing w:after="0" w:line="276" w:lineRule="auto"/>
        <w:jc w:val="both"/>
        <w:rPr>
          <w:rFonts w:ascii="Verdana" w:hAnsi="Verdana" w:cs="Arial"/>
          <w:lang w:eastAsia="es-ES"/>
        </w:rPr>
      </w:pPr>
      <w:r>
        <w:rPr>
          <w:rFonts w:ascii="Verdana" w:hAnsi="Verdana" w:cs="Arial"/>
          <w:lang w:eastAsia="es-ES"/>
        </w:rPr>
        <w:t xml:space="preserve">Respetada señora </w:t>
      </w:r>
      <w:r w:rsidRPr="00FD5728">
        <w:rPr>
          <w:rFonts w:ascii="Verdana" w:hAnsi="Verdana" w:cs="Arial"/>
          <w:lang w:eastAsia="es-ES"/>
        </w:rPr>
        <w:t>Hernández Monsalve</w:t>
      </w:r>
      <w:r w:rsidRPr="00A869FE">
        <w:rPr>
          <w:rFonts w:ascii="Verdana" w:hAnsi="Verdana" w:cs="Arial"/>
          <w:lang w:eastAsia="es-ES"/>
        </w:rPr>
        <w:t xml:space="preserve">: </w:t>
      </w:r>
    </w:p>
    <w:p w14:paraId="3B0424DD" w14:textId="77777777" w:rsidR="00770781" w:rsidRPr="00A869FE" w:rsidRDefault="00770781" w:rsidP="00770781">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290709CE" w14:textId="77777777" w:rsidR="00770781" w:rsidRPr="002034D9" w:rsidRDefault="00770781" w:rsidP="00770781">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 xml:space="preserve">la Agencia Nacional de Contratación Pública – Colombia Compra Eficiente responde su solicitud de consulta </w:t>
      </w:r>
      <w:r>
        <w:rPr>
          <w:rFonts w:ascii="Verdana" w:hAnsi="Verdana" w:cs="Arial"/>
          <w:color w:val="000000" w:themeColor="text1"/>
          <w:lang w:eastAsia="es-ES"/>
        </w:rPr>
        <w:t>radicada el</w:t>
      </w:r>
      <w:r w:rsidRPr="00A869FE">
        <w:rPr>
          <w:rFonts w:ascii="Verdana" w:hAnsi="Verdana" w:cs="Arial"/>
          <w:lang w:eastAsia="es-ES"/>
        </w:rPr>
        <w:t xml:space="preserve"> </w:t>
      </w:r>
      <w:r>
        <w:rPr>
          <w:rFonts w:ascii="Verdana" w:hAnsi="Verdana" w:cs="Arial"/>
          <w:lang w:eastAsia="es-ES"/>
        </w:rPr>
        <w:t>10</w:t>
      </w:r>
      <w:r w:rsidRPr="00A869FE">
        <w:rPr>
          <w:rFonts w:ascii="Verdana" w:hAnsi="Verdana" w:cs="Arial"/>
          <w:lang w:eastAsia="es-ES"/>
        </w:rPr>
        <w:t xml:space="preserve"> de </w:t>
      </w:r>
      <w:r>
        <w:rPr>
          <w:rFonts w:ascii="Verdana" w:hAnsi="Verdana" w:cs="Arial"/>
          <w:lang w:eastAsia="es-ES"/>
        </w:rPr>
        <w:t>noviembre</w:t>
      </w:r>
      <w:r w:rsidRPr="00A869FE">
        <w:rPr>
          <w:rFonts w:ascii="Verdana" w:hAnsi="Verdana" w:cs="Arial"/>
          <w:lang w:eastAsia="es-ES"/>
        </w:rPr>
        <w:t xml:space="preserve"> de 2025, </w:t>
      </w:r>
      <w:r>
        <w:rPr>
          <w:rFonts w:ascii="Verdana" w:hAnsi="Verdana" w:cs="Arial"/>
          <w:lang w:eastAsia="es-ES"/>
        </w:rPr>
        <w:t>formulada en los siguientes términos</w:t>
      </w:r>
      <w:r w:rsidRPr="00A869FE">
        <w:rPr>
          <w:rFonts w:ascii="Verdana" w:hAnsi="Verdana" w:cs="Arial"/>
          <w:lang w:eastAsia="es-ES"/>
        </w:rPr>
        <w:t xml:space="preserve">: </w:t>
      </w:r>
    </w:p>
    <w:p w14:paraId="0E0FDD4F" w14:textId="77777777" w:rsidR="00770781" w:rsidRPr="00A869FE" w:rsidRDefault="00770781" w:rsidP="00770781">
      <w:pPr>
        <w:tabs>
          <w:tab w:val="left" w:pos="142"/>
          <w:tab w:val="left" w:pos="284"/>
        </w:tabs>
        <w:spacing w:after="0" w:line="276" w:lineRule="auto"/>
        <w:contextualSpacing/>
        <w:jc w:val="both"/>
        <w:rPr>
          <w:rFonts w:ascii="Verdana" w:eastAsia="Century Gothic" w:hAnsi="Verdana" w:cs="Century Gothic"/>
          <w:b/>
          <w:bCs/>
        </w:rPr>
      </w:pPr>
    </w:p>
    <w:p w14:paraId="11A9DF64" w14:textId="77777777" w:rsidR="00770781" w:rsidRPr="00A869FE" w:rsidRDefault="00770781" w:rsidP="00770781">
      <w:pPr>
        <w:spacing w:after="0" w:line="240" w:lineRule="auto"/>
        <w:ind w:left="709" w:right="709"/>
        <w:jc w:val="both"/>
        <w:rPr>
          <w:rFonts w:ascii="Verdana" w:hAnsi="Verdana"/>
          <w:sz w:val="20"/>
          <w:szCs w:val="20"/>
        </w:rPr>
      </w:pPr>
      <w:bookmarkStart w:id="1" w:name="_Hlk95313578"/>
      <w:r w:rsidRPr="00A869FE">
        <w:rPr>
          <w:rFonts w:ascii="Verdana" w:eastAsia="Century Gothic" w:hAnsi="Verdana" w:cs="Century Gothic"/>
          <w:sz w:val="20"/>
          <w:szCs w:val="20"/>
        </w:rPr>
        <w:t>“</w:t>
      </w:r>
      <w:bookmarkEnd w:id="1"/>
      <w:r w:rsidRPr="005A7A75">
        <w:rPr>
          <w:rFonts w:ascii="Verdana" w:eastAsia="Century Gothic" w:hAnsi="Verdana" w:cs="Century Gothic"/>
          <w:sz w:val="20"/>
          <w:szCs w:val="20"/>
        </w:rPr>
        <w:t>¿El servicio de fumigación de oficinas y áreas de trabajo, podría catalogarse como de condiciones técnicas uniformes y de común utilización? ¿que debe observarse para estimar si la fumigación de oficinas y áreas de trabajo es o no de condiciones técnicas uniformes y de común utilización?</w:t>
      </w:r>
      <w:r w:rsidRPr="00A869FE">
        <w:rPr>
          <w:rFonts w:ascii="Verdana" w:hAnsi="Verdana"/>
          <w:sz w:val="20"/>
          <w:szCs w:val="20"/>
        </w:rPr>
        <w:t>”</w:t>
      </w:r>
    </w:p>
    <w:p w14:paraId="3CEBC1F1" w14:textId="77777777" w:rsidR="00770781" w:rsidRPr="00A869FE" w:rsidRDefault="00770781" w:rsidP="00770781">
      <w:pPr>
        <w:tabs>
          <w:tab w:val="left" w:pos="142"/>
          <w:tab w:val="left" w:pos="284"/>
        </w:tabs>
        <w:spacing w:after="0" w:line="276" w:lineRule="auto"/>
        <w:contextualSpacing/>
        <w:jc w:val="both"/>
        <w:rPr>
          <w:rFonts w:ascii="Verdana" w:eastAsia="Century Gothic" w:hAnsi="Verdana" w:cs="Century Gothic"/>
          <w:b/>
          <w:bCs/>
        </w:rPr>
      </w:pPr>
    </w:p>
    <w:p w14:paraId="3B7C0062" w14:textId="77777777" w:rsidR="00770781" w:rsidRPr="00A869FE" w:rsidRDefault="00770781" w:rsidP="00770781">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general en materia de compras y contratación pública. En ese sentido, resolver </w:t>
      </w:r>
      <w:r w:rsidRPr="00A869FE">
        <w:rPr>
          <w:rFonts w:ascii="Verdana" w:hAnsi="Verdana" w:cs="Arial"/>
          <w:color w:val="000000" w:themeColor="text1"/>
          <w:lang w:eastAsia="es-ES"/>
        </w:rPr>
        <w:lastRenderedPageBreak/>
        <w:t xml:space="preserve">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1F279488" w14:textId="77777777" w:rsidR="00770781" w:rsidRPr="00A869FE" w:rsidRDefault="00770781" w:rsidP="00770781">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 xml:space="preserve">de su consulta. </w:t>
      </w:r>
      <w:r w:rsidRPr="00A869FE">
        <w:rPr>
          <w:rFonts w:ascii="Verdana" w:hAnsi="Verdana" w:cs="Arial"/>
          <w:lang w:eastAsia="es-ES"/>
        </w:rPr>
        <w:t xml:space="preserve"> </w:t>
      </w:r>
    </w:p>
    <w:p w14:paraId="4C79F295" w14:textId="77777777" w:rsidR="00770781" w:rsidRPr="00A869FE" w:rsidRDefault="00770781" w:rsidP="00770781">
      <w:pPr>
        <w:spacing w:after="0" w:line="276" w:lineRule="auto"/>
        <w:ind w:firstLine="708"/>
        <w:jc w:val="both"/>
        <w:rPr>
          <w:rFonts w:ascii="Verdana" w:hAnsi="Verdana" w:cs="Arial"/>
          <w:lang w:eastAsia="es-ES"/>
        </w:rPr>
      </w:pPr>
    </w:p>
    <w:p w14:paraId="7D5C1B69" w14:textId="77777777" w:rsidR="00770781" w:rsidRPr="00A869FE" w:rsidRDefault="00770781" w:rsidP="00770781">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519490D1" w14:textId="77777777" w:rsidR="00770781" w:rsidRPr="00A869FE" w:rsidRDefault="00770781" w:rsidP="00770781">
      <w:pPr>
        <w:tabs>
          <w:tab w:val="left" w:pos="426"/>
        </w:tabs>
        <w:spacing w:after="0" w:line="276" w:lineRule="auto"/>
        <w:jc w:val="both"/>
        <w:rPr>
          <w:rFonts w:ascii="Verdana" w:eastAsia="Century Gothic" w:hAnsi="Verdana" w:cs="Century Gothic"/>
        </w:rPr>
      </w:pPr>
    </w:p>
    <w:p w14:paraId="4B847D90" w14:textId="77777777" w:rsidR="00770781" w:rsidRPr="00A869FE" w:rsidRDefault="00770781" w:rsidP="00770781">
      <w:pPr>
        <w:spacing w:after="0" w:line="276" w:lineRule="auto"/>
        <w:jc w:val="both"/>
        <w:rPr>
          <w:rFonts w:ascii="Verdana" w:eastAsia="Century Gothic" w:hAnsi="Verdana" w:cs="Century Gothic"/>
        </w:rPr>
      </w:pPr>
      <w:r w:rsidRPr="00A869FE">
        <w:rPr>
          <w:rFonts w:ascii="Verdana" w:eastAsia="Century Gothic" w:hAnsi="Verdana" w:cs="Century Gothic"/>
        </w:rPr>
        <w:t xml:space="preserve">De acuerdo con el contenido de su solicitud, esta Agencia resolverá el siguiente problema jurídico: </w:t>
      </w:r>
      <w:r w:rsidRPr="00F46C63">
        <w:rPr>
          <w:rFonts w:ascii="Verdana" w:eastAsia="Century Gothic" w:hAnsi="Verdana" w:cs="Century Gothic"/>
        </w:rPr>
        <w:t>¿Qué parámetros debe considerar una entidad pública para determinar si un servicio —incluyendo aquellos de carácter operativo y periódico, como los servicios de control de plagas o fumigación— presenta condiciones técnicas uniformes y es de común utilización, de manera que pueda someterse válidamente a los procedimientos de selección previstos para este tipo de bienes y servicios en el régimen de contratación estatal?</w:t>
      </w:r>
    </w:p>
    <w:p w14:paraId="34D1DCC6" w14:textId="77777777" w:rsidR="00770781" w:rsidRPr="00A869FE" w:rsidRDefault="00770781" w:rsidP="00770781">
      <w:pPr>
        <w:spacing w:after="0" w:line="276" w:lineRule="auto"/>
        <w:jc w:val="both"/>
        <w:rPr>
          <w:rFonts w:ascii="Verdana" w:hAnsi="Verdana" w:cs="Arial"/>
          <w:color w:val="7030A0"/>
        </w:rPr>
      </w:pPr>
    </w:p>
    <w:p w14:paraId="720F5B23" w14:textId="77777777" w:rsidR="00770781" w:rsidRPr="00A869FE" w:rsidRDefault="00770781" w:rsidP="00770781">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52284B4B" w14:textId="77777777" w:rsidR="00770781" w:rsidRPr="00A869FE" w:rsidRDefault="00770781" w:rsidP="00770781">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70781" w:rsidRPr="00A869FE" w14:paraId="1D30599F" w14:textId="77777777" w:rsidTr="00C33D7A">
        <w:trPr>
          <w:jc w:val="center"/>
        </w:trPr>
        <w:tc>
          <w:tcPr>
            <w:tcW w:w="8828" w:type="dxa"/>
          </w:tcPr>
          <w:p w14:paraId="6EDD6691" w14:textId="77777777" w:rsidR="00770781" w:rsidRPr="00827BCD" w:rsidRDefault="00770781" w:rsidP="00C33D7A">
            <w:pPr>
              <w:tabs>
                <w:tab w:val="left" w:pos="567"/>
              </w:tabs>
              <w:spacing w:after="120" w:line="276" w:lineRule="auto"/>
              <w:jc w:val="both"/>
              <w:rPr>
                <w:rFonts w:ascii="Verdana" w:eastAsia="Calibri" w:hAnsi="Verdana" w:cs="Times New Roman"/>
                <w:iCs/>
                <w:color w:val="000000" w:themeColor="text1"/>
                <w:lang w:val="es-ES"/>
              </w:rPr>
            </w:pPr>
            <w:r w:rsidRPr="00827BCD">
              <w:rPr>
                <w:rFonts w:ascii="Verdana" w:eastAsia="Calibri" w:hAnsi="Verdana" w:cs="Times New Roman"/>
                <w:iCs/>
                <w:color w:val="000000" w:themeColor="text1"/>
                <w:lang w:val="es-ES"/>
              </w:rPr>
              <w:t>La determinación de si un bien o servicio puede clasificarse como de características técnicas uniformes y de común utilización —categoría prevista como causal de selección abreviada en el literal a) del numeral 2 del artículo 2 de la Ley 1150 de 2007— exige atender a los elementos definidos por el legislador y el reglamento: (i) que posea especificaciones técnicas comunes y patrones de desempeño y calidad objetivamente definidos, y (</w:t>
            </w:r>
            <w:proofErr w:type="spellStart"/>
            <w:r w:rsidRPr="00827BCD">
              <w:rPr>
                <w:rFonts w:ascii="Verdana" w:eastAsia="Calibri" w:hAnsi="Verdana" w:cs="Times New Roman"/>
                <w:iCs/>
                <w:color w:val="000000" w:themeColor="text1"/>
                <w:lang w:val="es-ES"/>
              </w:rPr>
              <w:t>ii</w:t>
            </w:r>
            <w:proofErr w:type="spellEnd"/>
            <w:r w:rsidRPr="00827BCD">
              <w:rPr>
                <w:rFonts w:ascii="Verdana" w:eastAsia="Calibri" w:hAnsi="Verdana" w:cs="Times New Roman"/>
                <w:iCs/>
                <w:color w:val="000000" w:themeColor="text1"/>
                <w:lang w:val="es-ES"/>
              </w:rPr>
              <w:t>) que se ofrezca en el mercado en condiciones estandarizadas y accesibles para cualquier interesado.</w:t>
            </w:r>
          </w:p>
          <w:p w14:paraId="3EB4BF36" w14:textId="77777777" w:rsidR="00770781" w:rsidRPr="00827BCD" w:rsidRDefault="00770781" w:rsidP="00C33D7A">
            <w:pPr>
              <w:spacing w:after="120" w:line="276" w:lineRule="auto"/>
              <w:ind w:firstLine="709"/>
              <w:jc w:val="both"/>
              <w:rPr>
                <w:rFonts w:ascii="Verdana" w:eastAsia="Calibri" w:hAnsi="Verdana" w:cs="Times New Roman"/>
                <w:iCs/>
                <w:color w:val="000000" w:themeColor="text1"/>
                <w:lang w:val="es-ES"/>
              </w:rPr>
            </w:pPr>
            <w:r w:rsidRPr="00827BCD">
              <w:rPr>
                <w:rFonts w:ascii="Verdana" w:eastAsia="Calibri" w:hAnsi="Verdana" w:cs="Times New Roman"/>
                <w:iCs/>
                <w:color w:val="000000" w:themeColor="text1"/>
                <w:lang w:val="es-ES"/>
              </w:rPr>
              <w:lastRenderedPageBreak/>
              <w:t>Bajo este marco, la identificación de un bien o servicio como perteneciente a esta categoría no puede hacerse de manera general o en abstracto, sino que depende del análisis específico que adelante cada entidad estatal, con fundamento en los estudios previos y en la información del mercado relevante. Solo cuando el objeto puede describirse a partir de parámetros homogéneos, excluyendo elementos no esenciales que no afecten su funcionalidad, y existe una oferta estándar que permita la comparabilidad objetiva entre proponentes, resulta procedente clasificarlo como bien o servicio de características técnicas uniformes y de común utilización.</w:t>
            </w:r>
          </w:p>
          <w:p w14:paraId="3718623E" w14:textId="77777777" w:rsidR="00770781" w:rsidRPr="00827BCD" w:rsidRDefault="00770781" w:rsidP="00C33D7A">
            <w:pPr>
              <w:spacing w:after="120" w:line="276" w:lineRule="auto"/>
              <w:ind w:firstLine="709"/>
              <w:jc w:val="both"/>
              <w:rPr>
                <w:rFonts w:ascii="Verdana" w:eastAsia="Calibri" w:hAnsi="Verdana" w:cs="Times New Roman"/>
                <w:iCs/>
                <w:color w:val="000000" w:themeColor="text1"/>
                <w:lang w:val="es-ES"/>
              </w:rPr>
            </w:pPr>
            <w:r w:rsidRPr="00827BCD">
              <w:rPr>
                <w:rFonts w:ascii="Verdana" w:eastAsia="Calibri" w:hAnsi="Verdana" w:cs="Times New Roman"/>
                <w:iCs/>
                <w:color w:val="000000" w:themeColor="text1"/>
                <w:lang w:val="es-ES"/>
              </w:rPr>
              <w:t>En consecuencia, la pregunta sobre si el servicio de fumigación de oficinas y áreas de trabajo encaja dentro de esta categoría no admite una respuesta universal. Su clasificación depende de la evidencia del mercado en el que se pretenda contratar y de las condiciones específicas del servicio requerido. Si el estudio de mercado demuestra que la fumigación se ofrece con procedimientos, insumos, estándares de calidad y resultados suficientemente uniformes para permitir su estandarización, podrá emplearse la causal correspondiente de selección abreviada. Si, por el contrario, la prestación presenta variaciones técnicas sustanciales que inciden en su calidad o desempeño, no será procedente clasificarla dentro de dicha categoría y deberá acudirse a la modalidad de selección que corresponda según la naturaleza y cuantía del contrato.</w:t>
            </w:r>
          </w:p>
          <w:p w14:paraId="3D7DC661" w14:textId="77777777" w:rsidR="00770781" w:rsidRPr="00A869FE" w:rsidRDefault="00770781" w:rsidP="00C33D7A">
            <w:pPr>
              <w:spacing w:after="120" w:line="276" w:lineRule="auto"/>
              <w:ind w:firstLine="709"/>
              <w:jc w:val="both"/>
              <w:rPr>
                <w:rFonts w:ascii="Verdana" w:eastAsia="Arial" w:hAnsi="Verdana" w:cs="Arial"/>
                <w:color w:val="000000" w:themeColor="text1"/>
              </w:rPr>
            </w:pPr>
            <w:r w:rsidRPr="00827BCD">
              <w:rPr>
                <w:rFonts w:ascii="Verdana" w:eastAsia="Calibri" w:hAnsi="Verdana" w:cs="Times New Roman"/>
                <w:iCs/>
                <w:color w:val="000000" w:themeColor="text1"/>
                <w:lang w:val="es-ES"/>
              </w:rPr>
              <w:t>En síntesis, la clasificación del servicio de fumigación como de características técnicas uniformes y de común utilización no puede establecerse de manera apriorística, sino que requiere un análisis técnico y de mercado que permita verificar si reúne los atributos normativos exigidos para tal finalidad.</w:t>
            </w:r>
          </w:p>
        </w:tc>
      </w:tr>
    </w:tbl>
    <w:p w14:paraId="62EAEF31" w14:textId="77777777" w:rsidR="00770781" w:rsidRPr="00A869FE" w:rsidRDefault="00770781" w:rsidP="00770781">
      <w:pPr>
        <w:tabs>
          <w:tab w:val="left" w:pos="142"/>
          <w:tab w:val="left" w:pos="284"/>
        </w:tabs>
        <w:spacing w:after="0" w:line="276" w:lineRule="auto"/>
        <w:jc w:val="both"/>
        <w:rPr>
          <w:rFonts w:ascii="Verdana" w:eastAsia="Century Gothic" w:hAnsi="Verdana" w:cs="Century Gothic"/>
          <w:b/>
          <w:bCs/>
        </w:rPr>
      </w:pPr>
    </w:p>
    <w:p w14:paraId="69E7211C" w14:textId="77777777" w:rsidR="00770781" w:rsidRPr="00A869FE" w:rsidRDefault="00770781" w:rsidP="00770781">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62EE281B" w14:textId="77777777" w:rsidR="00770781" w:rsidRPr="00A869FE" w:rsidRDefault="00770781" w:rsidP="00770781">
      <w:pPr>
        <w:spacing w:after="0" w:line="276" w:lineRule="auto"/>
        <w:jc w:val="both"/>
        <w:rPr>
          <w:rFonts w:ascii="Verdana" w:hAnsi="Verdana" w:cs="Arial"/>
          <w:color w:val="7030A0"/>
        </w:rPr>
      </w:pPr>
    </w:p>
    <w:p w14:paraId="65857417" w14:textId="77777777" w:rsidR="00770781" w:rsidRPr="00A869FE" w:rsidRDefault="00770781" w:rsidP="00770781">
      <w:pPr>
        <w:spacing w:after="0" w:line="276" w:lineRule="auto"/>
        <w:jc w:val="both"/>
        <w:rPr>
          <w:rFonts w:ascii="Verdana" w:hAnsi="Verdana" w:cs="Arial"/>
        </w:rPr>
      </w:pPr>
      <w:r w:rsidRPr="00A869FE">
        <w:rPr>
          <w:rFonts w:ascii="Verdana" w:hAnsi="Verdana" w:cs="Arial"/>
        </w:rPr>
        <w:t>Lo anterior se sustenta en las siguientes consideraciones:</w:t>
      </w:r>
    </w:p>
    <w:p w14:paraId="4BC37FDB" w14:textId="77777777" w:rsidR="00770781" w:rsidRPr="00A869FE" w:rsidRDefault="00770781" w:rsidP="00770781">
      <w:pPr>
        <w:spacing w:after="0" w:line="276" w:lineRule="auto"/>
        <w:ind w:firstLine="709"/>
        <w:jc w:val="both"/>
        <w:rPr>
          <w:rFonts w:ascii="Verdana" w:hAnsi="Verdana" w:cs="Arial"/>
          <w:color w:val="000000" w:themeColor="text1"/>
        </w:rPr>
      </w:pPr>
    </w:p>
    <w:p w14:paraId="260CC4CF" w14:textId="77777777" w:rsidR="00770781" w:rsidRPr="00F145EE" w:rsidRDefault="00770781" w:rsidP="00770781">
      <w:pPr>
        <w:spacing w:after="120" w:line="276" w:lineRule="auto"/>
        <w:jc w:val="both"/>
        <w:rPr>
          <w:rFonts w:ascii="Verdana" w:eastAsia="Calibri" w:hAnsi="Verdana" w:cs="Arial"/>
          <w:bCs/>
          <w:color w:val="000000" w:themeColor="text1"/>
          <w:lang w:val="es-MX" w:eastAsia="es-ES_tradnl"/>
        </w:rPr>
      </w:pPr>
      <w:r>
        <w:rPr>
          <w:rFonts w:ascii="Verdana" w:eastAsia="Calibri" w:hAnsi="Verdana" w:cs="Arial"/>
          <w:color w:val="000000" w:themeColor="text1"/>
          <w:szCs w:val="24"/>
          <w:lang w:val="es-ES_tradnl" w:eastAsia="es-ES_tradnl"/>
        </w:rPr>
        <w:t xml:space="preserve">i. </w:t>
      </w:r>
      <w:r w:rsidRPr="00F145EE">
        <w:rPr>
          <w:rFonts w:ascii="Verdana" w:eastAsia="Calibri" w:hAnsi="Verdana" w:cs="Arial"/>
          <w:color w:val="000000" w:themeColor="text1"/>
          <w:szCs w:val="24"/>
          <w:lang w:val="es-ES_tradnl" w:eastAsia="es-ES_tradnl"/>
        </w:rPr>
        <w:t>P</w:t>
      </w:r>
      <w:r w:rsidRPr="00F145EE">
        <w:rPr>
          <w:rFonts w:ascii="Verdana" w:hAnsi="Verdana" w:cs="Arial"/>
          <w:color w:val="000000" w:themeColor="text1"/>
          <w:lang w:val="es-ES"/>
        </w:rPr>
        <w:t xml:space="preserve">ara las entidades sometidas al Estatuto General de Contratación de la Administración Pública, los procesos de selección se rigen por </w:t>
      </w:r>
      <w:r w:rsidRPr="00F145EE">
        <w:rPr>
          <w:rFonts w:ascii="Verdana" w:hAnsi="Verdana" w:cs="Arial"/>
          <w:bCs/>
          <w:color w:val="000000" w:themeColor="text1"/>
          <w:lang w:val="es-ES_tradnl"/>
        </w:rPr>
        <w:t>el artículo 2 de la Ley 1150 de 2007</w:t>
      </w:r>
      <w:r w:rsidRPr="00F145EE">
        <w:rPr>
          <w:rFonts w:ascii="Verdana" w:hAnsi="Verdana" w:cs="Arial"/>
          <w:color w:val="000000" w:themeColor="text1"/>
          <w:lang w:val="es-ES"/>
        </w:rPr>
        <w:t xml:space="preserve">. El </w:t>
      </w:r>
      <w:r w:rsidRPr="00F145EE">
        <w:rPr>
          <w:rFonts w:ascii="Verdana" w:eastAsia="Calibri" w:hAnsi="Verdana" w:cs="Arial"/>
          <w:bCs/>
          <w:color w:val="000000" w:themeColor="text1"/>
          <w:lang w:val="es-MX" w:eastAsia="es-ES_tradnl"/>
        </w:rPr>
        <w:t>numeral uno, inciso primero, de la norma citada</w:t>
      </w:r>
      <w:r w:rsidRPr="00F145EE">
        <w:rPr>
          <w:rFonts w:ascii="Verdana" w:hAnsi="Verdana" w:cs="Arial"/>
          <w:bCs/>
          <w:color w:val="000000" w:themeColor="text1"/>
          <w:lang w:val="es-ES_tradnl"/>
        </w:rPr>
        <w:t xml:space="preserve"> </w:t>
      </w:r>
      <w:r w:rsidRPr="00F145EE">
        <w:rPr>
          <w:rFonts w:ascii="Verdana" w:eastAsia="Calibri" w:hAnsi="Verdana" w:cs="Arial"/>
          <w:bCs/>
          <w:color w:val="000000" w:themeColor="text1"/>
          <w:lang w:val="es-MX" w:eastAsia="es-ES_tradnl"/>
        </w:rPr>
        <w:t xml:space="preserve">dispone que “La escogencia del contratista se efectuará por </w:t>
      </w:r>
      <w:r w:rsidRPr="00F145EE">
        <w:rPr>
          <w:rFonts w:ascii="Verdana" w:eastAsia="Calibri" w:hAnsi="Verdana" w:cs="Arial"/>
          <w:bCs/>
          <w:i/>
          <w:iCs/>
          <w:color w:val="000000" w:themeColor="text1"/>
          <w:lang w:val="es-MX" w:eastAsia="es-ES_tradnl"/>
        </w:rPr>
        <w:t>regla general</w:t>
      </w:r>
      <w:r w:rsidRPr="00F145EE">
        <w:rPr>
          <w:rFonts w:ascii="Verdana" w:eastAsia="Calibri" w:hAnsi="Verdana" w:cs="Arial"/>
          <w:bCs/>
          <w:color w:val="000000" w:themeColor="text1"/>
          <w:lang w:val="es-MX" w:eastAsia="es-ES_tradnl"/>
        </w:rPr>
        <w:t xml:space="preserve"> a través de licitación pública, con las </w:t>
      </w:r>
      <w:r w:rsidRPr="00F145EE">
        <w:rPr>
          <w:rFonts w:ascii="Verdana" w:eastAsia="Calibri" w:hAnsi="Verdana" w:cs="Arial"/>
          <w:bCs/>
          <w:i/>
          <w:iCs/>
          <w:color w:val="000000" w:themeColor="text1"/>
          <w:lang w:val="es-MX" w:eastAsia="es-ES_tradnl"/>
        </w:rPr>
        <w:t>excepciones</w:t>
      </w:r>
      <w:r w:rsidRPr="00F145EE">
        <w:rPr>
          <w:rFonts w:ascii="Verdana" w:eastAsia="Calibri" w:hAnsi="Verdana" w:cs="Arial"/>
          <w:bCs/>
          <w:color w:val="000000" w:themeColor="text1"/>
          <w:lang w:val="es-MX" w:eastAsia="es-ES_tradnl"/>
        </w:rPr>
        <w:t xml:space="preserve"> que se señalan en los numerales 2, 3 y 4 </w:t>
      </w:r>
      <w:r w:rsidRPr="00F145EE">
        <w:rPr>
          <w:rFonts w:ascii="Verdana" w:eastAsia="Calibri" w:hAnsi="Verdana" w:cs="Arial"/>
          <w:bCs/>
          <w:color w:val="000000" w:themeColor="text1"/>
          <w:lang w:val="es-MX" w:eastAsia="es-ES_tradnl"/>
        </w:rPr>
        <w:lastRenderedPageBreak/>
        <w:t>del presente artículo”, norma que sustituye el derogado numeral 1 del artículo 24 de la Ley 80 de 1993 sobre el principio de transparencia</w:t>
      </w:r>
      <w:r w:rsidRPr="00F145EE">
        <w:rPr>
          <w:rStyle w:val="Refdenotaalpie"/>
          <w:rFonts w:ascii="Verdana" w:eastAsia="Calibri" w:hAnsi="Verdana" w:cs="Arial"/>
          <w:bCs/>
          <w:color w:val="000000" w:themeColor="text1"/>
          <w:lang w:val="es-MX" w:eastAsia="es-ES_tradnl"/>
        </w:rPr>
        <w:footnoteReference w:id="1"/>
      </w:r>
      <w:r w:rsidRPr="00F145EE">
        <w:rPr>
          <w:rFonts w:ascii="Verdana" w:eastAsia="Calibri" w:hAnsi="Verdana" w:cs="Arial"/>
          <w:bCs/>
          <w:color w:val="000000" w:themeColor="text1"/>
          <w:lang w:val="es-MX" w:eastAsia="es-ES_tradnl"/>
        </w:rPr>
        <w:t xml:space="preserve">. </w:t>
      </w:r>
    </w:p>
    <w:p w14:paraId="52E70148" w14:textId="77777777" w:rsidR="00770781" w:rsidRPr="00F145EE" w:rsidRDefault="00770781" w:rsidP="00770781">
      <w:pPr>
        <w:spacing w:after="120" w:line="276" w:lineRule="auto"/>
        <w:ind w:firstLine="708"/>
        <w:jc w:val="both"/>
        <w:rPr>
          <w:rFonts w:ascii="Verdana" w:eastAsia="Calibri" w:hAnsi="Verdana" w:cs="Arial"/>
          <w:bCs/>
          <w:color w:val="000000" w:themeColor="text1"/>
          <w:lang w:val="es-MX" w:eastAsia="es-ES_tradnl"/>
        </w:rPr>
      </w:pPr>
      <w:r w:rsidRPr="00F145EE">
        <w:rPr>
          <w:rFonts w:ascii="Verdana" w:eastAsia="Calibri" w:hAnsi="Verdana" w:cs="Arial"/>
          <w:bCs/>
          <w:color w:val="000000" w:themeColor="text1"/>
          <w:lang w:val="es-MX" w:eastAsia="es-ES_tradnl"/>
        </w:rPr>
        <w:t>Salvo norma especial que ordene la celebración del negocio jurídico por otra modalidad de selección, debe aplicarse la regla general de licitación pública</w:t>
      </w:r>
      <w:r w:rsidRPr="00F145EE">
        <w:rPr>
          <w:rStyle w:val="Refdenotaalpie"/>
          <w:rFonts w:ascii="Verdana" w:eastAsia="Calibri" w:hAnsi="Verdana" w:cs="Arial"/>
          <w:bCs/>
          <w:color w:val="000000" w:themeColor="text1"/>
          <w:lang w:val="es-MX" w:eastAsia="es-ES_tradnl"/>
        </w:rPr>
        <w:footnoteReference w:id="2"/>
      </w:r>
      <w:r w:rsidRPr="00F145EE">
        <w:rPr>
          <w:rFonts w:ascii="Verdana" w:eastAsia="Calibri" w:hAnsi="Verdana" w:cs="Arial"/>
          <w:bCs/>
          <w:color w:val="000000" w:themeColor="text1"/>
          <w:lang w:val="es-MX" w:eastAsia="es-ES_tradnl"/>
        </w:rPr>
        <w:t>.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0328F6F5" w14:textId="77777777" w:rsidR="00770781" w:rsidRPr="00F145EE" w:rsidRDefault="00770781" w:rsidP="00770781">
      <w:pPr>
        <w:spacing w:after="120" w:line="276" w:lineRule="auto"/>
        <w:ind w:firstLine="708"/>
        <w:jc w:val="both"/>
        <w:rPr>
          <w:rFonts w:ascii="Verdana" w:eastAsia="Calibri" w:hAnsi="Verdana" w:cs="Arial"/>
          <w:color w:val="000000" w:themeColor="text1"/>
        </w:rPr>
      </w:pPr>
      <w:r w:rsidRPr="00F145EE">
        <w:rPr>
          <w:rFonts w:ascii="Verdana" w:eastAsia="Calibri" w:hAnsi="Verdana" w:cs="Arial"/>
          <w:bCs/>
          <w:color w:val="000000" w:themeColor="text1"/>
          <w:lang w:val="es-MX" w:eastAsia="es-ES_tradnl"/>
        </w:rPr>
        <w:t xml:space="preserve">Respecto de la selección abreviada, </w:t>
      </w:r>
      <w:r w:rsidRPr="00F145EE">
        <w:rPr>
          <w:rFonts w:ascii="Verdana" w:eastAsia="Calibri" w:hAnsi="Verdana" w:cs="Arial"/>
          <w:color w:val="000000" w:themeColor="text1"/>
        </w:rPr>
        <w:t>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F145EE">
        <w:rPr>
          <w:rStyle w:val="Refdenotaalpie"/>
          <w:rFonts w:ascii="Verdana" w:eastAsia="Calibri" w:hAnsi="Verdana" w:cs="Arial"/>
          <w:color w:val="000000" w:themeColor="text1"/>
        </w:rPr>
        <w:footnoteReference w:id="3"/>
      </w:r>
      <w:r w:rsidRPr="00F145EE">
        <w:rPr>
          <w:rFonts w:ascii="Verdana" w:eastAsia="Calibri" w:hAnsi="Verdana" w:cs="Arial"/>
          <w:color w:val="000000" w:themeColor="text1"/>
        </w:rPr>
        <w:t xml:space="preserve">. </w:t>
      </w:r>
    </w:p>
    <w:p w14:paraId="5596D9A3" w14:textId="77777777" w:rsidR="00770781" w:rsidRPr="00F145EE" w:rsidRDefault="00770781" w:rsidP="00770781">
      <w:pPr>
        <w:spacing w:after="0" w:line="276" w:lineRule="auto"/>
        <w:ind w:firstLine="708"/>
        <w:jc w:val="both"/>
        <w:rPr>
          <w:rFonts w:ascii="Verdana" w:eastAsia="Calibri" w:hAnsi="Verdana" w:cs="Arial"/>
          <w:color w:val="000000" w:themeColor="text1"/>
        </w:rPr>
      </w:pPr>
      <w:r w:rsidRPr="00F145EE">
        <w:rPr>
          <w:rFonts w:ascii="Verdana" w:eastAsia="Calibri" w:hAnsi="Verdana" w:cs="Arial"/>
          <w:color w:val="000000" w:themeColor="text1"/>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 En la exposición de motivos se explica lo siguiente:</w:t>
      </w:r>
    </w:p>
    <w:p w14:paraId="17282ABF" w14:textId="77777777" w:rsidR="00770781" w:rsidRPr="00F145EE" w:rsidRDefault="00770781" w:rsidP="00770781">
      <w:pPr>
        <w:spacing w:after="0" w:line="276" w:lineRule="auto"/>
        <w:jc w:val="both"/>
        <w:rPr>
          <w:rFonts w:ascii="Verdana" w:eastAsia="Calibri" w:hAnsi="Verdana" w:cs="Arial"/>
          <w:color w:val="000000" w:themeColor="text1"/>
        </w:rPr>
      </w:pPr>
    </w:p>
    <w:p w14:paraId="7AFC9469" w14:textId="77777777" w:rsidR="00770781" w:rsidRPr="00F145EE" w:rsidRDefault="00770781" w:rsidP="00770781">
      <w:pPr>
        <w:spacing w:after="120" w:line="240" w:lineRule="auto"/>
        <w:ind w:left="709" w:right="709"/>
        <w:jc w:val="both"/>
        <w:rPr>
          <w:rFonts w:ascii="Verdana" w:eastAsia="Calibri" w:hAnsi="Verdana" w:cs="Arial"/>
          <w:color w:val="000000" w:themeColor="text1"/>
          <w:sz w:val="21"/>
          <w:szCs w:val="21"/>
        </w:rPr>
      </w:pPr>
      <w:r w:rsidRPr="00F145EE">
        <w:rPr>
          <w:rFonts w:ascii="Verdana" w:eastAsia="Calibri" w:hAnsi="Verdana" w:cs="Arial"/>
          <w:color w:val="000000" w:themeColor="text1"/>
          <w:sz w:val="21"/>
          <w:szCs w:val="21"/>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46D674BC" w14:textId="77777777" w:rsidR="00770781" w:rsidRPr="00F145EE" w:rsidRDefault="00770781" w:rsidP="00770781">
      <w:pPr>
        <w:spacing w:after="0" w:line="240" w:lineRule="auto"/>
        <w:ind w:left="709" w:right="709"/>
        <w:jc w:val="both"/>
        <w:rPr>
          <w:rFonts w:ascii="Verdana" w:eastAsia="Calibri" w:hAnsi="Verdana" w:cs="Arial"/>
          <w:color w:val="000000" w:themeColor="text1"/>
          <w:sz w:val="21"/>
          <w:szCs w:val="21"/>
        </w:rPr>
      </w:pPr>
      <w:r w:rsidRPr="00F145EE">
        <w:rPr>
          <w:rFonts w:ascii="Verdana" w:eastAsia="Calibri" w:hAnsi="Verdana" w:cs="Arial"/>
          <w:color w:val="000000" w:themeColor="text1"/>
          <w:sz w:val="21"/>
          <w:szCs w:val="21"/>
        </w:rPr>
        <w:t>– Se crea la llamada ‘selección abreviada’, para permitir la existencia de procedimientos de selección que, basados estrictamente en los principios cardinales de la contratación pública, permitan de manera ágil la adopción de decisiones de selección […]”</w:t>
      </w:r>
      <w:r w:rsidRPr="00F145EE">
        <w:rPr>
          <w:rStyle w:val="Refdenotaalpie"/>
          <w:rFonts w:ascii="Verdana" w:eastAsia="Calibri" w:hAnsi="Verdana" w:cs="Arial"/>
          <w:color w:val="000000" w:themeColor="text1"/>
          <w:sz w:val="21"/>
          <w:szCs w:val="21"/>
        </w:rPr>
        <w:footnoteReference w:id="4"/>
      </w:r>
      <w:r w:rsidRPr="00F145EE">
        <w:rPr>
          <w:rFonts w:ascii="Verdana" w:eastAsia="Calibri" w:hAnsi="Verdana" w:cs="Arial"/>
          <w:color w:val="000000" w:themeColor="text1"/>
          <w:sz w:val="21"/>
          <w:szCs w:val="21"/>
        </w:rPr>
        <w:t>.</w:t>
      </w:r>
    </w:p>
    <w:p w14:paraId="2C491C0D" w14:textId="77777777" w:rsidR="00770781" w:rsidRPr="00F145EE" w:rsidRDefault="00770781" w:rsidP="00770781">
      <w:pPr>
        <w:spacing w:after="0" w:line="276" w:lineRule="auto"/>
        <w:jc w:val="both"/>
        <w:rPr>
          <w:rFonts w:ascii="Verdana" w:eastAsia="Calibri" w:hAnsi="Verdana" w:cs="Arial"/>
          <w:color w:val="000000" w:themeColor="text1"/>
        </w:rPr>
      </w:pPr>
    </w:p>
    <w:p w14:paraId="0BC5EAB4" w14:textId="77777777" w:rsidR="00770781" w:rsidRPr="00F145EE" w:rsidRDefault="00770781" w:rsidP="00770781">
      <w:pPr>
        <w:spacing w:after="120" w:line="276" w:lineRule="auto"/>
        <w:ind w:firstLine="709"/>
        <w:jc w:val="both"/>
        <w:rPr>
          <w:rFonts w:ascii="Verdana" w:eastAsia="Calibri" w:hAnsi="Verdana" w:cs="Arial"/>
          <w:color w:val="000000" w:themeColor="text1"/>
        </w:rPr>
      </w:pPr>
      <w:r w:rsidRPr="00F145EE">
        <w:rPr>
          <w:rFonts w:ascii="Verdana" w:eastAsia="Calibri" w:hAnsi="Verdana" w:cs="Arial"/>
          <w:color w:val="000000" w:themeColor="text1"/>
        </w:rPr>
        <w:t>La selección abreviada se caracteriza por tener etapas un poco más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F145EE">
        <w:rPr>
          <w:rStyle w:val="Refdenotaalpie"/>
          <w:rFonts w:ascii="Verdana" w:eastAsia="Calibri" w:hAnsi="Verdana" w:cs="Arial"/>
          <w:color w:val="000000" w:themeColor="text1"/>
        </w:rPr>
        <w:footnoteReference w:id="5"/>
      </w:r>
      <w:r w:rsidRPr="00F145EE">
        <w:rPr>
          <w:rFonts w:ascii="Verdana" w:eastAsia="Calibri" w:hAnsi="Verdana" w:cs="Arial"/>
          <w:color w:val="000000" w:themeColor="text1"/>
        </w:rPr>
        <w:t xml:space="preserve">. </w:t>
      </w:r>
    </w:p>
    <w:p w14:paraId="42C9B5E9" w14:textId="77777777" w:rsidR="00770781" w:rsidRPr="00F145EE" w:rsidRDefault="00770781" w:rsidP="00770781">
      <w:pPr>
        <w:spacing w:after="120" w:line="276" w:lineRule="auto"/>
        <w:ind w:firstLine="709"/>
        <w:jc w:val="both"/>
        <w:rPr>
          <w:rFonts w:ascii="Verdana" w:eastAsia="Calibri" w:hAnsi="Verdana" w:cs="Arial"/>
          <w:color w:val="000000" w:themeColor="text1"/>
          <w:szCs w:val="24"/>
          <w:lang w:val="es-ES_tradnl" w:eastAsia="es-ES_tradnl"/>
        </w:rPr>
      </w:pPr>
      <w:r w:rsidRPr="00F145EE">
        <w:rPr>
          <w:rFonts w:ascii="Verdana" w:eastAsia="Calibri" w:hAnsi="Verdana" w:cs="Arial"/>
          <w:color w:val="000000" w:themeColor="text1"/>
          <w:szCs w:val="24"/>
          <w:lang w:val="es-ES_tradnl" w:eastAsia="es-ES_tradnl"/>
        </w:rPr>
        <w:t xml:space="preserve">Así, </w:t>
      </w:r>
      <w:bookmarkStart w:id="2" w:name="_Hlk216255774"/>
      <w:r w:rsidRPr="00F145EE">
        <w:rPr>
          <w:rFonts w:ascii="Verdana" w:eastAsia="Calibri" w:hAnsi="Verdana" w:cs="Arial"/>
          <w:color w:val="000000" w:themeColor="text1"/>
          <w:szCs w:val="24"/>
          <w:lang w:val="es-ES_tradnl" w:eastAsia="es-ES_tradnl"/>
        </w:rPr>
        <w:t xml:space="preserve">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F145EE">
        <w:rPr>
          <w:rFonts w:ascii="Verdana" w:eastAsia="Calibri" w:hAnsi="Verdana" w:cs="Arial"/>
          <w:bCs/>
          <w:color w:val="000000" w:themeColor="text1"/>
        </w:rPr>
        <w:t xml:space="preserve">el artículo 28 del Código Civil dispone que “Las palabras de la ley se entenderán en su sentido natural y obvio, según el uso general de las mismas palabras; pero cuando el legislador las haya definido expresamente para ciertas materias, se les dará en éstas su </w:t>
      </w:r>
      <w:r w:rsidRPr="00F145EE">
        <w:rPr>
          <w:rFonts w:ascii="Verdana" w:eastAsia="Calibri" w:hAnsi="Verdana" w:cs="Arial"/>
          <w:bCs/>
          <w:color w:val="000000" w:themeColor="text1"/>
        </w:rPr>
        <w:lastRenderedPageBreak/>
        <w:t xml:space="preserve">significado legal”; igualmente, el artículo 29 </w:t>
      </w:r>
      <w:r w:rsidRPr="00F145EE">
        <w:rPr>
          <w:rFonts w:ascii="Verdana" w:eastAsia="Calibri" w:hAnsi="Verdana" w:cs="Arial"/>
          <w:bCs/>
          <w:i/>
          <w:iCs/>
          <w:color w:val="000000" w:themeColor="text1"/>
        </w:rPr>
        <w:t>ibidem</w:t>
      </w:r>
      <w:r w:rsidRPr="00F145EE">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F145EE">
        <w:rPr>
          <w:rStyle w:val="Refdenotaalpie"/>
          <w:rFonts w:ascii="Verdana" w:eastAsia="Calibri" w:hAnsi="Verdana" w:cs="Arial"/>
          <w:bCs/>
          <w:color w:val="000000" w:themeColor="text1"/>
        </w:rPr>
        <w:footnoteReference w:id="6"/>
      </w:r>
      <w:r w:rsidRPr="00F145EE">
        <w:rPr>
          <w:rFonts w:ascii="Verdana" w:eastAsia="Calibri" w:hAnsi="Verdana" w:cs="Arial"/>
          <w:bCs/>
          <w:color w:val="000000" w:themeColor="text1"/>
        </w:rPr>
        <w:t xml:space="preserve">. </w:t>
      </w:r>
    </w:p>
    <w:p w14:paraId="4F54802A" w14:textId="77777777" w:rsidR="00770781" w:rsidRPr="00F145EE" w:rsidRDefault="00770781" w:rsidP="00770781">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w:t>
      </w:r>
      <w:r w:rsidRPr="00F145EE">
        <w:rPr>
          <w:rFonts w:ascii="Verdana" w:eastAsia="Calibri" w:hAnsi="Verdana" w:cs="Arial"/>
          <w:bCs/>
          <w:color w:val="000000" w:themeColor="text1"/>
        </w:rPr>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77C5A0E6" w14:textId="77777777" w:rsidR="00770781" w:rsidRPr="00F145EE" w:rsidRDefault="00770781" w:rsidP="00770781">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F145EE">
        <w:rPr>
          <w:rFonts w:ascii="Verdana" w:eastAsia="Calibri" w:hAnsi="Verdana" w:cs="Arial"/>
          <w:bCs/>
          <w:i/>
          <w:iCs/>
          <w:color w:val="000000" w:themeColor="text1"/>
        </w:rPr>
        <w:t>común utilización</w:t>
      </w:r>
      <w:r w:rsidRPr="00F145EE">
        <w:rPr>
          <w:rFonts w:ascii="Verdana" w:eastAsia="Calibri" w:hAnsi="Verdana" w:cs="Arial"/>
          <w:bCs/>
          <w:color w:val="000000" w:themeColor="text1"/>
        </w:rPr>
        <w:t xml:space="preserve"> “[…] busca que los bienes o servicios que se compren en esta categoría sean de los que se ofrecen en un mercado con un estándar para quienes los demandan, o lo que es igual, que la oferta de </w:t>
      </w:r>
      <w:proofErr w:type="gramStart"/>
      <w:r w:rsidRPr="00F145EE">
        <w:rPr>
          <w:rFonts w:ascii="Verdana" w:eastAsia="Calibri" w:hAnsi="Verdana" w:cs="Arial"/>
          <w:bCs/>
          <w:color w:val="000000" w:themeColor="text1"/>
        </w:rPr>
        <w:t>los mismos</w:t>
      </w:r>
      <w:proofErr w:type="gramEnd"/>
      <w:r w:rsidRPr="00F145EE">
        <w:rPr>
          <w:rFonts w:ascii="Verdana" w:eastAsia="Calibri" w:hAnsi="Verdana" w:cs="Arial"/>
          <w:bCs/>
          <w:color w:val="000000" w:themeColor="text1"/>
        </w:rPr>
        <w:t xml:space="preserve"> en el mercado ocurriese en condiciones equivalentes para todo interesado en adquirirlos”</w:t>
      </w:r>
      <w:r w:rsidRPr="00F145EE">
        <w:rPr>
          <w:rStyle w:val="Refdenotaalpie"/>
          <w:rFonts w:ascii="Verdana" w:eastAsia="Calibri" w:hAnsi="Verdana" w:cs="Arial"/>
          <w:bCs/>
          <w:color w:val="000000" w:themeColor="text1"/>
        </w:rPr>
        <w:footnoteReference w:id="7"/>
      </w:r>
      <w:r w:rsidRPr="00F145EE">
        <w:rPr>
          <w:rFonts w:ascii="Verdana" w:eastAsia="Calibri" w:hAnsi="Verdana" w:cs="Arial"/>
          <w:bCs/>
          <w:color w:val="000000" w:themeColor="text1"/>
        </w:rPr>
        <w:t xml:space="preserve">. Por su parte, la </w:t>
      </w:r>
      <w:r w:rsidRPr="00F145EE">
        <w:rPr>
          <w:rFonts w:ascii="Verdana" w:eastAsia="Calibri" w:hAnsi="Verdana" w:cs="Arial"/>
          <w:bCs/>
          <w:i/>
          <w:iCs/>
          <w:color w:val="000000" w:themeColor="text1"/>
        </w:rPr>
        <w:t>homogeneidad</w:t>
      </w:r>
      <w:r w:rsidRPr="00F145EE">
        <w:rPr>
          <w:rFonts w:ascii="Verdana" w:eastAsia="Calibri" w:hAnsi="Verdana" w:cs="Arial"/>
          <w:bCs/>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F145EE">
        <w:rPr>
          <w:rStyle w:val="Refdenotaalpie"/>
          <w:rFonts w:ascii="Verdana" w:eastAsia="Calibri" w:hAnsi="Verdana" w:cs="Arial"/>
          <w:bCs/>
          <w:color w:val="000000" w:themeColor="text1"/>
        </w:rPr>
        <w:footnoteReference w:id="8"/>
      </w:r>
      <w:r w:rsidRPr="00F145EE">
        <w:rPr>
          <w:rFonts w:ascii="Verdana" w:eastAsia="Calibri" w:hAnsi="Verdana" w:cs="Arial"/>
          <w:bCs/>
          <w:color w:val="000000" w:themeColor="text1"/>
        </w:rPr>
        <w:t>.</w:t>
      </w:r>
    </w:p>
    <w:p w14:paraId="73BA88FE" w14:textId="77777777" w:rsidR="00770781" w:rsidRPr="00F145EE" w:rsidRDefault="00770781" w:rsidP="00770781">
      <w:pPr>
        <w:spacing w:after="0" w:line="276" w:lineRule="auto"/>
        <w:ind w:firstLine="708"/>
        <w:jc w:val="both"/>
        <w:rPr>
          <w:rFonts w:ascii="Verdana" w:eastAsia="Calibri" w:hAnsi="Verdana" w:cs="Arial"/>
          <w:color w:val="000000" w:themeColor="text1"/>
        </w:rPr>
      </w:pPr>
      <w:r w:rsidRPr="00F145EE">
        <w:rPr>
          <w:rFonts w:ascii="Verdana" w:eastAsia="Calibri" w:hAnsi="Verdana" w:cs="Arial"/>
          <w:bCs/>
          <w:color w:val="000000" w:themeColor="text1"/>
        </w:rPr>
        <w:lastRenderedPageBreak/>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estas no afectan su funcionalidad. La forma en que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Al respecto, la exposición de motivos de la Ley 1150 de 2007 explica que: </w:t>
      </w:r>
    </w:p>
    <w:p w14:paraId="562678C6" w14:textId="77777777" w:rsidR="00770781" w:rsidRPr="00F145EE" w:rsidRDefault="00770781" w:rsidP="00770781">
      <w:pPr>
        <w:spacing w:after="0" w:line="276" w:lineRule="auto"/>
        <w:jc w:val="both"/>
        <w:rPr>
          <w:rFonts w:ascii="Verdana" w:eastAsia="Calibri" w:hAnsi="Verdana" w:cs="Arial"/>
          <w:color w:val="000000" w:themeColor="text1"/>
        </w:rPr>
      </w:pPr>
    </w:p>
    <w:p w14:paraId="1CF4318D" w14:textId="77777777" w:rsidR="00770781" w:rsidRPr="00F145EE" w:rsidRDefault="00770781" w:rsidP="00770781">
      <w:pPr>
        <w:spacing w:after="0" w:line="240" w:lineRule="auto"/>
        <w:ind w:left="709" w:right="709"/>
        <w:jc w:val="both"/>
        <w:rPr>
          <w:rFonts w:ascii="Verdana" w:eastAsia="Calibri" w:hAnsi="Verdana" w:cs="Arial"/>
          <w:color w:val="000000" w:themeColor="text1"/>
          <w:sz w:val="21"/>
          <w:szCs w:val="21"/>
        </w:rPr>
      </w:pPr>
      <w:r w:rsidRPr="00F145EE">
        <w:rPr>
          <w:rFonts w:ascii="Verdana" w:eastAsia="Calibri" w:hAnsi="Verdana" w:cs="Arial"/>
          <w:color w:val="000000" w:themeColor="text1"/>
          <w:sz w:val="21"/>
          <w:szCs w:val="21"/>
        </w:rPr>
        <w:t xml:space="preserve">“[…] las innovaciones del proceso de selección abreviada empiezan por una medida trascendental, para llevar a sólo horas los contratos referidos a la adquisición de bienes de ‘características técnicas uniformes y de común utilización’ </w:t>
      </w:r>
      <w:proofErr w:type="gramStart"/>
      <w:r w:rsidRPr="00F145EE">
        <w:rPr>
          <w:rFonts w:ascii="Verdana" w:eastAsia="Calibri" w:hAnsi="Verdana" w:cs="Arial"/>
          <w:color w:val="000000" w:themeColor="text1"/>
          <w:sz w:val="21"/>
          <w:szCs w:val="21"/>
        </w:rPr>
        <w:t>que</w:t>
      </w:r>
      <w:proofErr w:type="gramEnd"/>
      <w:r w:rsidRPr="00F145EE">
        <w:rPr>
          <w:rFonts w:ascii="Verdana" w:eastAsia="Calibri" w:hAnsi="Verdana" w:cs="Arial"/>
          <w:color w:val="000000" w:themeColor="text1"/>
          <w:sz w:val="21"/>
          <w:szCs w:val="21"/>
        </w:rPr>
        <w:t xml:space="preserve"> según cálculos del Departamento Nacional de Planeación, corresponden a más del 80% en número de contratos. </w:t>
      </w:r>
      <w:r w:rsidRPr="00F145EE">
        <w:rPr>
          <w:rFonts w:ascii="Verdana" w:eastAsia="Calibri" w:hAnsi="Verdana" w:cs="Arial"/>
          <w:i/>
          <w:iCs/>
          <w:color w:val="000000" w:themeColor="text1"/>
          <w:sz w:val="21"/>
          <w:szCs w:val="21"/>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F145EE">
        <w:rPr>
          <w:rFonts w:ascii="Verdana" w:eastAsia="Calibri" w:hAnsi="Verdana" w:cs="Arial"/>
          <w:color w:val="000000" w:themeColor="text1"/>
          <w:sz w:val="21"/>
          <w:szCs w:val="21"/>
        </w:rPr>
        <w:t xml:space="preserve"> […]”</w:t>
      </w:r>
      <w:r w:rsidRPr="00F145EE">
        <w:rPr>
          <w:rStyle w:val="Refdenotaalpie"/>
          <w:rFonts w:ascii="Verdana" w:eastAsia="Calibri" w:hAnsi="Verdana" w:cs="Arial"/>
          <w:color w:val="000000" w:themeColor="text1"/>
          <w:sz w:val="21"/>
          <w:szCs w:val="21"/>
        </w:rPr>
        <w:footnoteReference w:id="9"/>
      </w:r>
      <w:r w:rsidRPr="00F145EE">
        <w:rPr>
          <w:rFonts w:ascii="Verdana" w:eastAsia="Calibri" w:hAnsi="Verdana" w:cs="Arial"/>
          <w:color w:val="000000" w:themeColor="text1"/>
          <w:sz w:val="21"/>
          <w:szCs w:val="21"/>
        </w:rPr>
        <w:t>. (Énfasis fuera de texto)</w:t>
      </w:r>
    </w:p>
    <w:p w14:paraId="5F1DBE18" w14:textId="77777777" w:rsidR="00770781" w:rsidRPr="00F145EE" w:rsidRDefault="00770781" w:rsidP="00770781">
      <w:pPr>
        <w:spacing w:after="0" w:line="276" w:lineRule="auto"/>
        <w:jc w:val="both"/>
        <w:rPr>
          <w:rFonts w:ascii="Verdana" w:eastAsia="Calibri" w:hAnsi="Verdana" w:cs="Arial"/>
          <w:color w:val="000000" w:themeColor="text1"/>
        </w:rPr>
      </w:pPr>
    </w:p>
    <w:p w14:paraId="131290B0" w14:textId="77777777" w:rsidR="00770781" w:rsidRPr="00F145EE" w:rsidRDefault="00770781" w:rsidP="00770781">
      <w:pPr>
        <w:spacing w:after="120" w:line="276" w:lineRule="auto"/>
        <w:ind w:firstLine="709"/>
        <w:jc w:val="both"/>
        <w:rPr>
          <w:rFonts w:ascii="Verdana" w:eastAsia="Calibri" w:hAnsi="Verdana" w:cs="Arial"/>
          <w:color w:val="000000" w:themeColor="text1"/>
        </w:rPr>
      </w:pPr>
      <w:r w:rsidRPr="00F145EE">
        <w:rPr>
          <w:rFonts w:ascii="Verdana" w:eastAsia="Calibri" w:hAnsi="Verdana" w:cs="Arial"/>
          <w:color w:val="000000" w:themeColor="text1"/>
        </w:rPr>
        <w:t>En este contexto, la doctrina identifica como bienes o servicios de características técnicas los insumos de oficina –bolígrafos,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F145EE">
        <w:rPr>
          <w:rStyle w:val="Refdenotaalpie"/>
          <w:rFonts w:ascii="Verdana" w:eastAsia="Calibri" w:hAnsi="Verdana" w:cs="Arial"/>
          <w:color w:val="000000" w:themeColor="text1"/>
        </w:rPr>
        <w:footnoteReference w:id="10"/>
      </w:r>
    </w:p>
    <w:p w14:paraId="4A456DFA" w14:textId="77777777" w:rsidR="00770781" w:rsidRPr="00F145EE" w:rsidRDefault="00770781" w:rsidP="00770781">
      <w:pPr>
        <w:spacing w:after="120" w:line="276" w:lineRule="auto"/>
        <w:ind w:firstLine="709"/>
        <w:jc w:val="both"/>
        <w:rPr>
          <w:rFonts w:ascii="Verdana" w:eastAsia="Calibri" w:hAnsi="Verdana" w:cs="Times New Roman"/>
          <w:iCs/>
          <w:color w:val="000000" w:themeColor="text1"/>
          <w:lang w:val="es-ES"/>
        </w:rPr>
      </w:pPr>
      <w:r w:rsidRPr="00F145EE">
        <w:rPr>
          <w:rFonts w:ascii="Verdana" w:eastAsia="Calibri" w:hAnsi="Verdana" w:cs="Times New Roman"/>
          <w:iCs/>
          <w:color w:val="000000" w:themeColor="text1"/>
          <w:lang w:val="es-ES"/>
        </w:rPr>
        <w:t xml:space="preserve">Ahora bien, como indica su denominación normativa, no basta con que el bien o servicio de que se trate sea de características técnicas uniformes, sino </w:t>
      </w:r>
      <w:r w:rsidRPr="00F145EE">
        <w:rPr>
          <w:rFonts w:ascii="Verdana" w:eastAsia="Calibri" w:hAnsi="Verdana" w:cs="Times New Roman"/>
          <w:iCs/>
          <w:color w:val="000000" w:themeColor="text1"/>
          <w:lang w:val="es-ES"/>
        </w:rPr>
        <w:lastRenderedPageBreak/>
        <w:t xml:space="preserve">que, además, es necesario que sea de “común utilización”. Esta expresión, tal como ha indicado la doctrina especializada, debe interpretarse en el sentido de que el bien o servicio se ofrezca en el mercado en forma equivalente para quienes deseen adquirirlo y usarlo. Eso no quiere decir que el bien o servicio deba ser usado por toda la sociedad, inexorablemente. Lo importante es que se encuentre estandarizado en el mercado para todo aquel que desee adquirirlo. </w:t>
      </w:r>
    </w:p>
    <w:p w14:paraId="6498F8F1" w14:textId="77777777" w:rsidR="00770781" w:rsidRPr="00F145EE" w:rsidRDefault="00770781" w:rsidP="00770781">
      <w:pPr>
        <w:spacing w:after="120" w:line="276" w:lineRule="auto"/>
        <w:ind w:firstLine="709"/>
        <w:jc w:val="both"/>
        <w:rPr>
          <w:rFonts w:ascii="Verdana" w:eastAsia="Calibri" w:hAnsi="Verdana" w:cs="Times New Roman"/>
          <w:iCs/>
          <w:color w:val="000000" w:themeColor="text1"/>
          <w:lang w:val="es-ES"/>
        </w:rPr>
      </w:pPr>
      <w:r w:rsidRPr="00F145EE">
        <w:rPr>
          <w:rFonts w:ascii="Verdana" w:eastAsia="Calibri" w:hAnsi="Verdana" w:cs="Times New Roman"/>
          <w:iCs/>
          <w:color w:val="000000" w:themeColor="text1"/>
          <w:lang w:val="es-ES"/>
        </w:rPr>
        <w:t>Por ejemplo, una impresora o un proyector no son ni, quizá, serán usados por todas las personas, pero son de común utilización porque cualquier sujeto interesado puede buscarlos y adquirirlos según la oferta estándar que de esos bienes hay en el mercado. Es este el análisis que debe efectuar cada entidad estatal contratante para tipificar el bien o servicio que pretende adquirir y determinar si es de características técnicas uniformes y de común utilización. Para ello es recomendable que se sirva de la información que aporten los estudios previos, especialmente la suministrada por el personal de la entidad encargado de definir las especificaciones técnicas del contrato y de analizar sus condiciones de oferta en el mercado.</w:t>
      </w:r>
    </w:p>
    <w:p w14:paraId="5B932FAF" w14:textId="77777777" w:rsidR="00770781" w:rsidRPr="00F145EE" w:rsidRDefault="00770781" w:rsidP="00770781">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 numeral 2 de la Ley 1150 de 2007 dispone que “</w:t>
      </w:r>
      <w:r w:rsidRPr="00F145EE">
        <w:rPr>
          <w:rFonts w:ascii="Verdana" w:eastAsia="Calibri" w:hAnsi="Verdana" w:cs="Arial"/>
          <w:bCs/>
          <w:i/>
          <w:iCs/>
          <w:color w:val="000000" w:themeColor="text1"/>
        </w:rPr>
        <w:t>Para la adquisición de estos bienes y servicios las entidades deberán</w:t>
      </w:r>
      <w:r w:rsidRPr="00F145EE">
        <w:rPr>
          <w:rFonts w:ascii="Verdana" w:eastAsia="Calibri" w:hAnsi="Verdana" w:cs="Arial"/>
          <w:bCs/>
          <w:color w:val="000000" w:themeColor="text1"/>
        </w:rPr>
        <w:t xml:space="preserve">, siempre que el reglamento así lo señale, </w:t>
      </w:r>
      <w:r w:rsidRPr="00F145EE">
        <w:rPr>
          <w:rFonts w:ascii="Verdana" w:eastAsia="Calibri" w:hAnsi="Verdana" w:cs="Arial"/>
          <w:bCs/>
          <w:i/>
          <w:iCs/>
          <w:color w:val="000000" w:themeColor="text1"/>
        </w:rPr>
        <w:t>hacer uso</w:t>
      </w:r>
      <w:r w:rsidRPr="00F145EE">
        <w:rPr>
          <w:rFonts w:ascii="Verdana" w:eastAsia="Calibri" w:hAnsi="Verdana" w:cs="Arial"/>
          <w:bCs/>
          <w:color w:val="000000" w:themeColor="text1"/>
        </w:rPr>
        <w:t xml:space="preserve"> de procedimientos de subasta inversa o de instrumentos de compra por catálogo derivados de la celebración de acuerdos marco de precios o </w:t>
      </w:r>
      <w:r w:rsidRPr="00F145EE">
        <w:rPr>
          <w:rFonts w:ascii="Verdana" w:eastAsia="Calibri" w:hAnsi="Verdana" w:cs="Arial"/>
          <w:bCs/>
          <w:i/>
          <w:iCs/>
          <w:color w:val="000000" w:themeColor="text1"/>
        </w:rPr>
        <w:t xml:space="preserve">de </w:t>
      </w:r>
      <w:r w:rsidRPr="00F145EE">
        <w:rPr>
          <w:rFonts w:ascii="Verdana" w:eastAsia="Calibri" w:hAnsi="Verdana" w:cs="Arial"/>
          <w:bCs/>
          <w:color w:val="000000" w:themeColor="text1"/>
        </w:rPr>
        <w:t>procedimientos de adquisición en bolsas de productos” (Énfasis fuera de texto). Estos mecanismos se aplicarán en la forma que disponga el Decreto 1082 de 2015 para para cada uno de ellos.</w:t>
      </w:r>
    </w:p>
    <w:p w14:paraId="38992943" w14:textId="77777777" w:rsidR="00770781" w:rsidRPr="00F145EE" w:rsidRDefault="00770781" w:rsidP="00770781">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Si los bienes o servicios no son de características técnicas uniformes </w:t>
      </w:r>
      <w:r w:rsidRPr="00F145EE">
        <w:rPr>
          <w:rFonts w:ascii="Verdana" w:eastAsia="Calibri" w:hAnsi="Verdana" w:cs="Arial"/>
          <w:bCs/>
          <w:i/>
          <w:iCs/>
          <w:color w:val="000000" w:themeColor="text1"/>
        </w:rPr>
        <w:t xml:space="preserve">y </w:t>
      </w:r>
      <w:r w:rsidRPr="00F145EE">
        <w:rPr>
          <w:rFonts w:ascii="Verdana" w:eastAsia="Calibri" w:hAnsi="Verdana" w:cs="Arial"/>
          <w:bCs/>
          <w:color w:val="000000" w:themeColor="text1"/>
        </w:rPr>
        <w:t xml:space="preserve">de </w:t>
      </w:r>
      <w:r w:rsidRPr="00F145EE">
        <w:rPr>
          <w:rFonts w:ascii="Verdana" w:eastAsia="Calibri" w:hAnsi="Verdana" w:cs="Arial"/>
          <w:bCs/>
          <w:i/>
          <w:iCs/>
          <w:color w:val="000000" w:themeColor="text1"/>
        </w:rPr>
        <w:t>común utilización</w:t>
      </w:r>
      <w:r w:rsidRPr="00F145EE">
        <w:rPr>
          <w:rFonts w:ascii="Verdana" w:eastAsia="Calibri" w:hAnsi="Verdana" w:cs="Arial"/>
          <w:bCs/>
          <w:color w:val="000000" w:themeColor="text1"/>
        </w:rPr>
        <w:t xml:space="preserve">, faltándoles uno u otro atributo, la entidad estatal debe determinar, según las circunstancias concretas, en cuál de las otras causales y modalidades de contratación puede fundamentarse la adquisición. Por ejemplo, la licitación pública, prevista en el numeral 1 del artículo 2 de la Ley 1150 de 2007, es la regla general para objetos no sujetos a alguna modalidad en específico o que superen la menor cuantía. Por su parte, la modalidad de selección abreviada de menor cuantía se debe emplear cuando se requiera contratar por valores que se ubiquen dentro de la menor cuantía de la respectiva entidad estatal, de acuerdo con los rangos establecidos en el literal b) del </w:t>
      </w:r>
      <w:r w:rsidRPr="00F145EE">
        <w:rPr>
          <w:rFonts w:ascii="Verdana" w:eastAsia="Calibri" w:hAnsi="Verdana" w:cs="Arial"/>
          <w:bCs/>
          <w:color w:val="000000" w:themeColor="text1"/>
        </w:rPr>
        <w:lastRenderedPageBreak/>
        <w:t xml:space="preserve">numeral 2 del artículo 2 de la Ley 1150 de 2007. La mínima cuantía, a su vez, según el artículo 2, numeral 5, de la Ley 1150 de 2007, es la procedente cuando el bien o servicio no supere el diez por ciento de la menor cuantía, independientemente de su objeto. En estas modalidades la oferta más favorable se determina de acuerdo con lo establecido en el numeral 2 del artículo 5 de la Ley 1150 de 2007, esto es, en atención a la mejor relación calidad-precio. </w:t>
      </w:r>
    </w:p>
    <w:p w14:paraId="66D0BD43" w14:textId="77777777" w:rsidR="00770781" w:rsidRDefault="00770781" w:rsidP="00770781">
      <w:pPr>
        <w:spacing w:after="120" w:line="276" w:lineRule="auto"/>
        <w:ind w:firstLine="709"/>
        <w:jc w:val="both"/>
        <w:rPr>
          <w:rFonts w:ascii="Verdana" w:eastAsia="Calibri" w:hAnsi="Verdana" w:cs="Arial"/>
          <w:bCs/>
          <w:color w:val="000000" w:themeColor="text1"/>
        </w:rPr>
      </w:pPr>
      <w:r w:rsidRPr="00F145EE">
        <w:rPr>
          <w:rFonts w:ascii="Verdana" w:eastAsia="Calibri" w:hAnsi="Verdana" w:cs="Arial"/>
          <w:bCs/>
          <w:color w:val="000000" w:themeColor="text1"/>
        </w:rPr>
        <w:t xml:space="preserve">En este sentido, v.g. si el bien y servicio que pretende adquirirse no es de características técnicas uniformes y de común utilización, no debe aplicarse el procedimiento de selección abreviada en </w:t>
      </w:r>
      <w:r w:rsidRPr="00F145EE">
        <w:rPr>
          <w:rFonts w:ascii="Verdana" w:eastAsia="Calibri" w:hAnsi="Verdana" w:cs="Arial"/>
          <w:bCs/>
          <w:i/>
          <w:iCs/>
          <w:color w:val="000000" w:themeColor="text1"/>
        </w:rPr>
        <w:t>bolsa de productos</w:t>
      </w:r>
      <w:r w:rsidRPr="00F145EE">
        <w:rPr>
          <w:rFonts w:ascii="Verdana" w:eastAsia="Calibri" w:hAnsi="Verdana" w:cs="Arial"/>
          <w:bCs/>
          <w:color w:val="000000" w:themeColor="text1"/>
        </w:rPr>
        <w:t>, porque el artículo 2, numeral 2, literal a) de la Ley 1150 de 2007 establece que esta metodología debe emplearse para la adquisición o suministro de bienes y servicios que sí cumplan con esos rasgos. Aunque los artículos 2.2.1.2.1.2.11. y 2.2.1.2.1.2.12 del Decreto 1082 de 2015 emplean la expresión “Bienes y Servicios de Características Técnicas Uniformes”, el mismo Decreto, en el artículo 2.2.1.1.1.3.1. establece que los términos señalados en dicho reglamento con mayúscula inicial deben entenderse según el significado establecido en ese enunciado normativo. Pues bien, el referido artículo 2.2.1.1.1.3.1. categoriza el concepto, de forma completa, como “Bienes y Servicios de Características Técnicas Uniformes y Común Utilización”, razón por la cual todas las expresiones del Decreto 1082 de 2015 que aludan a ella habrán de entenderse según la definición de este término.</w:t>
      </w:r>
    </w:p>
    <w:p w14:paraId="70F9AFF1" w14:textId="77777777" w:rsidR="00770781" w:rsidRPr="004904C8" w:rsidRDefault="00770781" w:rsidP="00770781">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En suma, e</w:t>
      </w:r>
      <w:r w:rsidRPr="004904C8">
        <w:rPr>
          <w:rFonts w:ascii="Verdana" w:eastAsia="Calibri" w:hAnsi="Verdana" w:cs="Arial"/>
          <w:bCs/>
          <w:color w:val="000000" w:themeColor="text1"/>
        </w:rPr>
        <w:t>sta Agencia ha reiterado que la clasificación de un bien o servicio dentro de esta categoría no puede establecerse de manera abstracta ni general. Por el contrario, exige un ejercicio propio de cada entidad estatal contratante, sustentado en los estudios previos y en el análisis del mercado disponible para la necesidad específica que se pretende satisfacer. Lo determinante es la forma en que el objeto se ofrece en el mercado: si existen especificaciones técnicas comunes, patrones de calidad verificables y condiciones similares de prestación, será posible considerarlo como un servicio de características técnicas uniformes y de común utilización; si por el contrario las características varían de manera sustancial, o la prestación presenta diferenciaciones técnicas que inciden en la calidad o el desempeño, no se configura dicha categoría.</w:t>
      </w:r>
    </w:p>
    <w:p w14:paraId="35DFB360" w14:textId="77777777" w:rsidR="00770781" w:rsidRPr="004904C8" w:rsidRDefault="00770781" w:rsidP="00770781">
      <w:pPr>
        <w:spacing w:after="120" w:line="276" w:lineRule="auto"/>
        <w:ind w:firstLine="709"/>
        <w:jc w:val="both"/>
        <w:rPr>
          <w:rFonts w:ascii="Verdana" w:eastAsia="Calibri" w:hAnsi="Verdana" w:cs="Arial"/>
          <w:bCs/>
          <w:color w:val="000000" w:themeColor="text1"/>
        </w:rPr>
      </w:pPr>
      <w:r w:rsidRPr="004904C8">
        <w:rPr>
          <w:rFonts w:ascii="Verdana" w:eastAsia="Calibri" w:hAnsi="Verdana" w:cs="Arial"/>
          <w:bCs/>
          <w:color w:val="000000" w:themeColor="text1"/>
        </w:rPr>
        <w:t xml:space="preserve">En el caso de los </w:t>
      </w:r>
      <w:r w:rsidRPr="004904C8">
        <w:rPr>
          <w:rFonts w:ascii="Verdana" w:eastAsia="Calibri" w:hAnsi="Verdana" w:cs="Arial"/>
          <w:bCs/>
          <w:i/>
          <w:iCs/>
          <w:color w:val="000000" w:themeColor="text1"/>
        </w:rPr>
        <w:t>servicios de fumigación de oficinas y áreas de trabajo</w:t>
      </w:r>
      <w:r w:rsidRPr="004904C8">
        <w:rPr>
          <w:rFonts w:ascii="Verdana" w:eastAsia="Calibri" w:hAnsi="Verdana" w:cs="Arial"/>
          <w:bCs/>
          <w:color w:val="000000" w:themeColor="text1"/>
        </w:rPr>
        <w:t xml:space="preserve">, la normativa y la doctrina no incluyen este servicio como ejemplo típico o paradigmático de la categoría. La práctica del mercado muestra que su prestación puede abarcar tratamientos diferenciados según la plaga a controlar, productos químicos distintos, protocolos técnicos variables, certificaciones </w:t>
      </w:r>
      <w:r w:rsidRPr="004904C8">
        <w:rPr>
          <w:rFonts w:ascii="Verdana" w:eastAsia="Calibri" w:hAnsi="Verdana" w:cs="Arial"/>
          <w:bCs/>
          <w:color w:val="000000" w:themeColor="text1"/>
        </w:rPr>
        <w:lastRenderedPageBreak/>
        <w:t>ambientales o sanitarias específicas, frecuencias diversas y metodologías de intervención que no siempre son uniformes entre prestadores. No obstante, también es cierto que existen segmentos del mercado, especialmente en fumigación preventiva o periódica de espacios de oficina, en los que se observan patrones de estandarización en los insumos, equipos, procedimientos y resultados esperados, lo cual puede permitir su agrupación bajo parámetros homogéneos.</w:t>
      </w:r>
    </w:p>
    <w:p w14:paraId="61F14968" w14:textId="77777777" w:rsidR="00770781" w:rsidRPr="004904C8" w:rsidRDefault="00770781" w:rsidP="00770781">
      <w:pPr>
        <w:spacing w:after="120" w:line="276" w:lineRule="auto"/>
        <w:ind w:firstLine="709"/>
        <w:jc w:val="both"/>
        <w:rPr>
          <w:rFonts w:ascii="Verdana" w:eastAsia="Calibri" w:hAnsi="Verdana" w:cs="Arial"/>
          <w:bCs/>
          <w:color w:val="000000" w:themeColor="text1"/>
        </w:rPr>
      </w:pPr>
      <w:r w:rsidRPr="004904C8">
        <w:rPr>
          <w:rFonts w:ascii="Verdana" w:eastAsia="Calibri" w:hAnsi="Verdana" w:cs="Arial"/>
          <w:bCs/>
          <w:color w:val="000000" w:themeColor="text1"/>
        </w:rPr>
        <w:t>En este escenario, no es posible afirmar desde una perspectiva exclusivamente doctrinal si la fumigación constituye o no un servicio de características técnicas uniformes y de común utilización. La definición depende del análisis técnico que realice la entidad estatal, con base en la evidencia del mercado en el que pretenda contratar, la naturaleza del tratamiento requerido, la regularidad de la prestación, los estándares mínimos de calidad exigibles y el grado de comparabilidad entre oferentes para satisfacer la misma necesidad.</w:t>
      </w:r>
    </w:p>
    <w:p w14:paraId="009A0B54" w14:textId="77777777" w:rsidR="00770781" w:rsidRDefault="00770781" w:rsidP="00770781">
      <w:pPr>
        <w:spacing w:after="120" w:line="276" w:lineRule="auto"/>
        <w:ind w:firstLine="709"/>
        <w:jc w:val="both"/>
        <w:rPr>
          <w:rFonts w:ascii="Verdana" w:eastAsia="Calibri" w:hAnsi="Verdana" w:cs="Arial"/>
          <w:bCs/>
          <w:color w:val="000000" w:themeColor="text1"/>
        </w:rPr>
      </w:pPr>
      <w:r w:rsidRPr="004904C8">
        <w:rPr>
          <w:rFonts w:ascii="Verdana" w:eastAsia="Calibri" w:hAnsi="Verdana" w:cs="Arial"/>
          <w:bCs/>
          <w:color w:val="000000" w:themeColor="text1"/>
        </w:rPr>
        <w:t>En consecuencia, el marco normativo y doctrinal permite a la entidad establecer los criterios relevantes, pero la decisión final requiere un estudio de mercado que determine si, en el contexto específico de la necesidad a contratar, la fumigación presenta homogeneidad suficiente y se ofrece en condiciones de común utilización, o si, por el contrario, su variabilidad técnica impide su clasificación dentro de dicha categoría.</w:t>
      </w:r>
    </w:p>
    <w:p w14:paraId="30B14240" w14:textId="77777777" w:rsidR="00770781" w:rsidRPr="00F145EE" w:rsidRDefault="00770781" w:rsidP="00770781">
      <w:pPr>
        <w:spacing w:after="120" w:line="276" w:lineRule="auto"/>
        <w:ind w:firstLine="709"/>
        <w:jc w:val="both"/>
        <w:rPr>
          <w:rFonts w:ascii="Verdana" w:eastAsia="Calibri" w:hAnsi="Verdana" w:cs="Arial"/>
          <w:bCs/>
          <w:color w:val="000000" w:themeColor="text1"/>
        </w:rPr>
      </w:pPr>
      <w:r w:rsidRPr="009D764D">
        <w:rPr>
          <w:rFonts w:ascii="Verdana" w:eastAsia="Calibri" w:hAnsi="Verdana" w:cs="Arial"/>
          <w:bCs/>
          <w:color w:val="000000" w:themeColor="text1"/>
        </w:rPr>
        <w:t>A partir del marco normativo aplicable y de la línea doctrinal de esta Agencia, no es posible sostener de manera categórica que el servicio de fumigación de oficinas y áreas de trabajo constituye, por sí mismo y en abstracto, un servicio de características técnicas uniformes y de común utilización. Su clasificación depende del análisis que realice la entidad contratante sobre el mercado pertinente, las especificaciones técnicas del tratamiento requerido, la estandarización observable en los insumos, procedimientos y resultados, y la posibilidad de describir el objeto mediante parámetros homogéneos y verificables. Si el estudio de mercado evidencia patrones de desempeño y calidad equivalentes y una oferta estandarizada, podrá emplearse la causal de selección abreviada prevista para esta categoría; si no es así, corresponderá acudir a la modalidad de selección que resulte procedente según la naturaleza y cuantía del objeto contractual.</w:t>
      </w:r>
    </w:p>
    <w:bookmarkEnd w:id="2"/>
    <w:p w14:paraId="1B475597" w14:textId="77777777" w:rsidR="00770781" w:rsidRPr="00A869FE" w:rsidRDefault="00770781" w:rsidP="00770781">
      <w:pPr>
        <w:spacing w:after="0" w:line="276" w:lineRule="auto"/>
        <w:ind w:firstLine="708"/>
        <w:jc w:val="both"/>
        <w:rPr>
          <w:rFonts w:ascii="Verdana" w:hAnsi="Verdana" w:cs="Arial"/>
          <w:bCs/>
          <w:color w:val="000000" w:themeColor="text1"/>
        </w:rPr>
      </w:pPr>
    </w:p>
    <w:p w14:paraId="1AAB33A6" w14:textId="77777777" w:rsidR="00770781" w:rsidRPr="00A869FE" w:rsidRDefault="00770781" w:rsidP="00770781">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Referencias normativas:</w:t>
      </w:r>
    </w:p>
    <w:p w14:paraId="34E92276" w14:textId="77777777" w:rsidR="00770781" w:rsidRPr="00A869FE" w:rsidRDefault="00770781" w:rsidP="00770781">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70781" w:rsidRPr="00A869FE" w14:paraId="6F8F28DC" w14:textId="77777777" w:rsidTr="00C33D7A">
        <w:trPr>
          <w:trHeight w:val="491"/>
          <w:jc w:val="center"/>
        </w:trPr>
        <w:tc>
          <w:tcPr>
            <w:tcW w:w="8647" w:type="dxa"/>
          </w:tcPr>
          <w:p w14:paraId="6EDBDF12" w14:textId="77777777" w:rsidR="00770781" w:rsidRPr="00E401B8" w:rsidRDefault="00770781" w:rsidP="00770781">
            <w:pPr>
              <w:widowControl w:val="0"/>
              <w:numPr>
                <w:ilvl w:val="0"/>
                <w:numId w:val="3"/>
              </w:numPr>
              <w:autoSpaceDE w:val="0"/>
              <w:autoSpaceDN w:val="0"/>
              <w:spacing w:line="276" w:lineRule="auto"/>
              <w:jc w:val="both"/>
              <w:rPr>
                <w:rFonts w:ascii="Verdana" w:hAnsi="Verdana" w:cs="Arial"/>
              </w:rPr>
            </w:pPr>
            <w:r w:rsidRPr="00E401B8">
              <w:rPr>
                <w:rFonts w:ascii="Verdana" w:hAnsi="Verdana" w:cs="Arial"/>
              </w:rPr>
              <w:lastRenderedPageBreak/>
              <w:t xml:space="preserve">Ley 1150 de 2007, artículo 2. </w:t>
            </w:r>
          </w:p>
          <w:p w14:paraId="0409A1B4" w14:textId="77777777" w:rsidR="00770781" w:rsidRPr="00E401B8" w:rsidRDefault="00770781" w:rsidP="00770781">
            <w:pPr>
              <w:widowControl w:val="0"/>
              <w:numPr>
                <w:ilvl w:val="0"/>
                <w:numId w:val="3"/>
              </w:numPr>
              <w:autoSpaceDE w:val="0"/>
              <w:autoSpaceDN w:val="0"/>
              <w:spacing w:line="276" w:lineRule="auto"/>
              <w:jc w:val="both"/>
              <w:rPr>
                <w:rFonts w:ascii="Verdana" w:hAnsi="Verdana" w:cs="Arial"/>
              </w:rPr>
            </w:pPr>
            <w:r w:rsidRPr="00E401B8">
              <w:rPr>
                <w:rFonts w:ascii="Verdana" w:hAnsi="Verdana" w:cs="Arial"/>
              </w:rPr>
              <w:t>Decreto 1082 de 2015, artículos 2.2.2.1.1.1.3.1, 2.2.1.1.2.2.2 2.2.1.2.4.2.10, 2.2.1.2.4.2.11, 2.2.1.2.4.2.12 y 2.2.1.2.4.2.13</w:t>
            </w:r>
          </w:p>
          <w:p w14:paraId="008D1E55" w14:textId="77777777" w:rsidR="00770781" w:rsidRDefault="00770781" w:rsidP="00770781">
            <w:pPr>
              <w:widowControl w:val="0"/>
              <w:numPr>
                <w:ilvl w:val="0"/>
                <w:numId w:val="3"/>
              </w:numPr>
              <w:autoSpaceDE w:val="0"/>
              <w:autoSpaceDN w:val="0"/>
              <w:spacing w:line="276" w:lineRule="auto"/>
              <w:jc w:val="both"/>
              <w:rPr>
                <w:rFonts w:ascii="Verdana" w:hAnsi="Verdana" w:cs="Arial"/>
              </w:rPr>
            </w:pPr>
            <w:r w:rsidRPr="00E401B8">
              <w:rPr>
                <w:rFonts w:ascii="Verdana" w:hAnsi="Verdana" w:cs="Arial"/>
              </w:rPr>
              <w:t>Código Civil, artículos 28 y 29.</w:t>
            </w:r>
          </w:p>
          <w:p w14:paraId="40D14F3D" w14:textId="77777777" w:rsidR="00770781" w:rsidRDefault="00770781" w:rsidP="00770781">
            <w:pPr>
              <w:widowControl w:val="0"/>
              <w:numPr>
                <w:ilvl w:val="0"/>
                <w:numId w:val="3"/>
              </w:numPr>
              <w:autoSpaceDE w:val="0"/>
              <w:autoSpaceDN w:val="0"/>
              <w:spacing w:line="276" w:lineRule="auto"/>
              <w:jc w:val="both"/>
              <w:rPr>
                <w:rFonts w:ascii="Verdana" w:hAnsi="Verdana" w:cs="Arial"/>
              </w:rPr>
            </w:pPr>
            <w:r w:rsidRPr="00D50889">
              <w:rPr>
                <w:rFonts w:ascii="Verdana" w:hAnsi="Verdana" w:cs="Arial"/>
              </w:rPr>
              <w:t>CONGRESO DE LA REPÚBLICA. Exposición de motivos de la Ley 1150 de 2007. Gaceta del Congreso No. 458 del 1º de agosto de 2005. p. 8.</w:t>
            </w:r>
          </w:p>
          <w:p w14:paraId="38D99F05" w14:textId="77777777" w:rsidR="00770781" w:rsidRDefault="00770781" w:rsidP="00770781">
            <w:pPr>
              <w:widowControl w:val="0"/>
              <w:numPr>
                <w:ilvl w:val="0"/>
                <w:numId w:val="3"/>
              </w:numPr>
              <w:autoSpaceDE w:val="0"/>
              <w:autoSpaceDN w:val="0"/>
              <w:spacing w:line="276" w:lineRule="auto"/>
              <w:jc w:val="both"/>
              <w:rPr>
                <w:rFonts w:ascii="Verdana" w:hAnsi="Verdana" w:cs="Arial"/>
              </w:rPr>
            </w:pPr>
            <w:r w:rsidRPr="00E401B8">
              <w:rPr>
                <w:rFonts w:ascii="Verdana" w:hAnsi="Verdana" w:cs="Arial"/>
              </w:rPr>
              <w:t>Corte Constitucional mediante la Sentencia C-400 de 1999, con ponencia del Magistrado Vladimiro Naranjo Mesa</w:t>
            </w:r>
          </w:p>
          <w:p w14:paraId="0FB6492D" w14:textId="77777777" w:rsidR="00770781" w:rsidRDefault="00770781" w:rsidP="00770781">
            <w:pPr>
              <w:widowControl w:val="0"/>
              <w:numPr>
                <w:ilvl w:val="0"/>
                <w:numId w:val="3"/>
              </w:numPr>
              <w:autoSpaceDE w:val="0"/>
              <w:autoSpaceDN w:val="0"/>
              <w:spacing w:line="276" w:lineRule="auto"/>
              <w:jc w:val="both"/>
              <w:rPr>
                <w:rFonts w:ascii="Verdana" w:hAnsi="Verdana" w:cs="Arial"/>
              </w:rPr>
            </w:pPr>
            <w:r w:rsidRPr="00380DDC">
              <w:rPr>
                <w:rFonts w:ascii="Verdana" w:hAnsi="Verdana" w:cs="Arial"/>
              </w:rPr>
              <w:t xml:space="preserve">CONSEJO DE ESTADO. Sección Tercera. Subsección A. Sentencia del 23 de julio de 2015. </w:t>
            </w:r>
            <w:proofErr w:type="spellStart"/>
            <w:r w:rsidRPr="00380DDC">
              <w:rPr>
                <w:rFonts w:ascii="Verdana" w:hAnsi="Verdana" w:cs="Arial"/>
              </w:rPr>
              <w:t>Exp</w:t>
            </w:r>
            <w:proofErr w:type="spellEnd"/>
            <w:r w:rsidRPr="00380DDC">
              <w:rPr>
                <w:rFonts w:ascii="Verdana" w:hAnsi="Verdana" w:cs="Arial"/>
              </w:rPr>
              <w:t>. 36.805. C. P. Hernán Andrade Rincón.</w:t>
            </w:r>
          </w:p>
          <w:p w14:paraId="5F220C54" w14:textId="77777777" w:rsidR="00770781" w:rsidRDefault="00770781" w:rsidP="00770781">
            <w:pPr>
              <w:widowControl w:val="0"/>
              <w:numPr>
                <w:ilvl w:val="0"/>
                <w:numId w:val="3"/>
              </w:numPr>
              <w:autoSpaceDE w:val="0"/>
              <w:autoSpaceDN w:val="0"/>
              <w:spacing w:line="276" w:lineRule="auto"/>
              <w:jc w:val="both"/>
              <w:rPr>
                <w:rFonts w:ascii="Verdana" w:hAnsi="Verdana" w:cs="Arial"/>
              </w:rPr>
            </w:pPr>
            <w:r w:rsidRPr="00E401B8">
              <w:rPr>
                <w:rFonts w:ascii="Verdana" w:hAnsi="Verdana" w:cs="Arial"/>
              </w:rPr>
              <w:t>DÁVILA VINUEZA, Luis Guillermo. Régimen jurídico de la contratación estatal. Tercera Edición. Bogotá: Legis, 2016. p. 463</w:t>
            </w:r>
          </w:p>
          <w:p w14:paraId="383FC935" w14:textId="77777777" w:rsidR="00770781" w:rsidRDefault="00770781" w:rsidP="00770781">
            <w:pPr>
              <w:widowControl w:val="0"/>
              <w:numPr>
                <w:ilvl w:val="0"/>
                <w:numId w:val="3"/>
              </w:numPr>
              <w:autoSpaceDE w:val="0"/>
              <w:autoSpaceDN w:val="0"/>
              <w:spacing w:line="276" w:lineRule="auto"/>
              <w:jc w:val="both"/>
              <w:rPr>
                <w:rFonts w:ascii="Verdana" w:hAnsi="Verdana" w:cs="Arial"/>
              </w:rPr>
            </w:pPr>
            <w:r w:rsidRPr="00380DDC">
              <w:rPr>
                <w:rFonts w:ascii="Verdana" w:hAnsi="Verdana" w:cs="Arial"/>
              </w:rPr>
              <w:t>CLARO SOLAR, Luis. Explicaciones de derecho civil chileno y comparado. Volumen I. Tomo I. Santiago: Editorial Jurídica de Chile, 2013. p. 117. Énfasis dentro del texto</w:t>
            </w:r>
          </w:p>
          <w:p w14:paraId="0216D62B" w14:textId="77777777" w:rsidR="00770781" w:rsidRDefault="00770781" w:rsidP="00770781">
            <w:pPr>
              <w:widowControl w:val="0"/>
              <w:numPr>
                <w:ilvl w:val="0"/>
                <w:numId w:val="3"/>
              </w:numPr>
              <w:autoSpaceDE w:val="0"/>
              <w:autoSpaceDN w:val="0"/>
              <w:spacing w:line="276" w:lineRule="auto"/>
              <w:jc w:val="both"/>
              <w:rPr>
                <w:rFonts w:ascii="Verdana" w:hAnsi="Verdana" w:cs="Arial"/>
              </w:rPr>
            </w:pPr>
            <w:r w:rsidRPr="00380DDC">
              <w:rPr>
                <w:rFonts w:ascii="Verdana" w:hAnsi="Verdana" w:cs="Arial"/>
              </w:rPr>
              <w:t>SUÁREZ BELTRÁN, Gonzalo. Estudios de derecho contractual público. Colombia: Bogotá, 2014. p. 72.</w:t>
            </w:r>
          </w:p>
          <w:p w14:paraId="4122CFEA" w14:textId="77777777" w:rsidR="00770781" w:rsidRPr="003905DF" w:rsidRDefault="00770781" w:rsidP="00770781">
            <w:pPr>
              <w:widowControl w:val="0"/>
              <w:numPr>
                <w:ilvl w:val="0"/>
                <w:numId w:val="3"/>
              </w:numPr>
              <w:autoSpaceDE w:val="0"/>
              <w:autoSpaceDN w:val="0"/>
              <w:spacing w:line="276" w:lineRule="auto"/>
              <w:jc w:val="both"/>
              <w:rPr>
                <w:rFonts w:ascii="Verdana" w:hAnsi="Verdana" w:cs="Arial"/>
              </w:rPr>
            </w:pPr>
            <w:r w:rsidRPr="00380DDC">
              <w:rPr>
                <w:rFonts w:ascii="Verdana" w:hAnsi="Verdana" w:cs="Arial"/>
              </w:rPr>
              <w:t>DÁVILA VINUEZA, Luis Guillermo. Régimen jurídico de la contratación estatal. Tercera Edición. Bogotá: Legis, 2016. pp. 466-467.</w:t>
            </w:r>
          </w:p>
        </w:tc>
      </w:tr>
    </w:tbl>
    <w:p w14:paraId="621F837F" w14:textId="77777777" w:rsidR="00770781" w:rsidRPr="00A869FE" w:rsidRDefault="00770781" w:rsidP="00770781">
      <w:pPr>
        <w:widowControl w:val="0"/>
        <w:autoSpaceDE w:val="0"/>
        <w:autoSpaceDN w:val="0"/>
        <w:spacing w:after="0" w:line="276" w:lineRule="auto"/>
        <w:jc w:val="both"/>
        <w:rPr>
          <w:rFonts w:ascii="Verdana" w:hAnsi="Verdana" w:cs="Arial"/>
        </w:rPr>
      </w:pPr>
    </w:p>
    <w:p w14:paraId="6E04777A" w14:textId="77777777" w:rsidR="00770781" w:rsidRPr="00A869FE" w:rsidRDefault="00770781" w:rsidP="00770781">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Doctrina de la Agencia Nacional de Contratación Pública:</w:t>
      </w:r>
    </w:p>
    <w:p w14:paraId="3C686314" w14:textId="77777777" w:rsidR="00770781" w:rsidRPr="00A869FE" w:rsidRDefault="00770781" w:rsidP="00770781">
      <w:pPr>
        <w:widowControl w:val="0"/>
        <w:autoSpaceDE w:val="0"/>
        <w:autoSpaceDN w:val="0"/>
        <w:spacing w:after="0" w:line="276" w:lineRule="auto"/>
        <w:jc w:val="both"/>
        <w:rPr>
          <w:rFonts w:ascii="Verdana" w:hAnsi="Verdana" w:cs="Arial"/>
        </w:rPr>
      </w:pPr>
    </w:p>
    <w:p w14:paraId="0BADD581" w14:textId="77777777" w:rsidR="00770781" w:rsidRDefault="00770781" w:rsidP="00770781">
      <w:pPr>
        <w:widowControl w:val="0"/>
        <w:autoSpaceDE w:val="0"/>
        <w:autoSpaceDN w:val="0"/>
        <w:spacing w:after="0" w:line="276" w:lineRule="auto"/>
        <w:jc w:val="both"/>
        <w:rPr>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definición de los </w:t>
      </w:r>
      <w:r w:rsidRPr="00CC71AC">
        <w:rPr>
          <w:rFonts w:ascii="Verdana" w:hAnsi="Verdana" w:cs="Arial"/>
          <w:shd w:val="clear" w:color="auto" w:fill="FFFFFF"/>
        </w:rPr>
        <w:t>bienes y servicios de características técnicas uniformes</w:t>
      </w:r>
      <w:r>
        <w:rPr>
          <w:rFonts w:ascii="Verdana" w:hAnsi="Verdana" w:cs="Arial"/>
          <w:shd w:val="clear" w:color="auto" w:fill="FFFFFF"/>
        </w:rPr>
        <w:t xml:space="preserve"> en los Conceptos </w:t>
      </w:r>
      <w:r w:rsidRPr="001816D5">
        <w:rPr>
          <w:rFonts w:ascii="Verdana" w:hAnsi="Verdana" w:cs="Arial"/>
          <w:shd w:val="clear" w:color="auto" w:fill="FFFFFF"/>
        </w:rPr>
        <w:t>C-678 de 24 de noviembre de 2020</w:t>
      </w:r>
      <w:r>
        <w:rPr>
          <w:rFonts w:ascii="Verdana" w:hAnsi="Verdana" w:cs="Arial"/>
          <w:shd w:val="clear" w:color="auto" w:fill="FFFFFF"/>
        </w:rPr>
        <w:t>, C-024 de 24 de febrero de 2021, C-123 de 5 de abril de 2021, C-565 de 12 de septiembre de 2022, C-669 de 18 de octubre de 2022, C-850 de 16 de diciembre de 2022, C-905 de 28 de diciembre de 2022, C-957 de 30 de enero de 2023, C-064 de 5 de junio de 2023, C-456 del 27 de octubre de 2023, C-597 de 8 de noviembre de 2024, C-628 de 30 de octubre de 2024, C-749 de 12 de noviembre de 2024, C-787 de 19 de noviembre de 2024, C-103 del 14 de febrero de 2025, entre otros.</w:t>
      </w:r>
      <w:r w:rsidRPr="00A869FE">
        <w:rPr>
          <w:rFonts w:ascii="Verdana" w:hAnsi="Verdana" w:cs="Arial"/>
          <w:shd w:val="clear" w:color="auto" w:fill="FFFFFF"/>
        </w:rPr>
        <w:t xml:space="preserve"> Estos conceptos se encuentran disponibles para consulta en el Sistema de relatoría de la Agencia, al cual puede accederse a través del siguiente enlace:</w:t>
      </w:r>
    </w:p>
    <w:p w14:paraId="26E4642C" w14:textId="77777777" w:rsidR="00770781" w:rsidRDefault="00770781" w:rsidP="00770781">
      <w:pPr>
        <w:widowControl w:val="0"/>
        <w:autoSpaceDE w:val="0"/>
        <w:autoSpaceDN w:val="0"/>
        <w:spacing w:after="0" w:line="276" w:lineRule="auto"/>
        <w:jc w:val="both"/>
        <w:rPr>
          <w:rFonts w:ascii="Verdana" w:hAnsi="Verdana" w:cs="Arial"/>
          <w:shd w:val="clear" w:color="auto" w:fill="FFFFFF"/>
        </w:rPr>
      </w:pPr>
    </w:p>
    <w:p w14:paraId="22E3A934" w14:textId="77777777" w:rsidR="00770781" w:rsidRPr="00A869FE" w:rsidRDefault="00770781" w:rsidP="00770781">
      <w:pPr>
        <w:widowControl w:val="0"/>
        <w:autoSpaceDE w:val="0"/>
        <w:autoSpaceDN w:val="0"/>
        <w:spacing w:after="0" w:line="276" w:lineRule="auto"/>
        <w:jc w:val="both"/>
        <w:rPr>
          <w:rFonts w:ascii="Verdana" w:hAnsi="Verdana" w:cs="Arial"/>
          <w:color w:val="FF0000"/>
          <w:shd w:val="clear" w:color="auto" w:fill="FFFFFF"/>
        </w:rPr>
      </w:pPr>
      <w:hyperlink r:id="rId12"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12DEF2BB" w14:textId="77777777" w:rsidR="00770781" w:rsidRPr="00A869FE" w:rsidRDefault="00770781" w:rsidP="00770781">
      <w:pPr>
        <w:widowControl w:val="0"/>
        <w:autoSpaceDE w:val="0"/>
        <w:autoSpaceDN w:val="0"/>
        <w:spacing w:after="0" w:line="276" w:lineRule="auto"/>
        <w:jc w:val="both"/>
        <w:rPr>
          <w:rFonts w:ascii="Verdana" w:hAnsi="Verdana" w:cs="Arial"/>
          <w:color w:val="FF0000"/>
          <w:shd w:val="clear" w:color="auto" w:fill="FFFFFF"/>
        </w:rPr>
      </w:pPr>
    </w:p>
    <w:p w14:paraId="0E12A450" w14:textId="77777777" w:rsidR="00770781" w:rsidRPr="00A869FE" w:rsidRDefault="00770781" w:rsidP="00770781">
      <w:pPr>
        <w:shd w:val="clear" w:color="auto" w:fill="FFFFFF"/>
        <w:spacing w:after="0" w:line="276" w:lineRule="auto"/>
        <w:jc w:val="both"/>
        <w:rPr>
          <w:rFonts w:ascii="Verdana" w:hAnsi="Verdana"/>
          <w:color w:val="467886"/>
          <w:u w:val="single"/>
        </w:rPr>
      </w:pPr>
      <w:r w:rsidRPr="00A869FE">
        <w:rPr>
          <w:rFonts w:ascii="Verdana" w:hAnsi="Verdana"/>
          <w:color w:val="000000"/>
        </w:rPr>
        <w:lastRenderedPageBreak/>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7C364343" w14:textId="77777777" w:rsidR="00770781" w:rsidRPr="00A869FE" w:rsidRDefault="00770781" w:rsidP="00770781">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48BF5601" w14:textId="77777777" w:rsidR="00770781" w:rsidRPr="00A869FE" w:rsidRDefault="00770781" w:rsidP="00770781">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F533728" w14:textId="77777777" w:rsidR="00770781" w:rsidRPr="00A869FE" w:rsidRDefault="00770781" w:rsidP="00770781">
      <w:pPr>
        <w:spacing w:after="0" w:line="276" w:lineRule="auto"/>
        <w:jc w:val="both"/>
        <w:rPr>
          <w:rFonts w:ascii="Verdana" w:hAnsi="Verdana"/>
        </w:rPr>
      </w:pPr>
    </w:p>
    <w:p w14:paraId="6677EEB8" w14:textId="77777777" w:rsidR="00770781" w:rsidRPr="00A869FE" w:rsidRDefault="00770781" w:rsidP="00770781">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220DE5FB" w14:textId="77777777" w:rsidR="00770781" w:rsidRPr="00A869FE" w:rsidRDefault="00770781" w:rsidP="00770781">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0A3C9F8F" w14:textId="77777777" w:rsidR="00770781" w:rsidRPr="00A869FE" w:rsidRDefault="00770781" w:rsidP="00770781">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4" w:history="1">
        <w:r w:rsidRPr="00A869FE">
          <w:rPr>
            <w:rFonts w:ascii="Verdana" w:eastAsia="Verdana" w:hAnsi="Verdana" w:cs="Verdana"/>
            <w:color w:val="0000FF"/>
            <w:u w:val="single"/>
          </w:rPr>
          <w:t>ventanilladeradicacion@colombiacompra.gov.co</w:t>
        </w:r>
      </w:hyperlink>
    </w:p>
    <w:p w14:paraId="52C1EE77" w14:textId="77777777" w:rsidR="00770781" w:rsidRPr="00A869FE" w:rsidRDefault="00770781" w:rsidP="00770781">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5" w:history="1">
        <w:r w:rsidRPr="00A869FE">
          <w:rPr>
            <w:rFonts w:ascii="Verdana" w:eastAsia="Verdana" w:hAnsi="Verdana" w:cs="Verdana"/>
            <w:color w:val="0000FF"/>
            <w:u w:val="single"/>
          </w:rPr>
          <w:t>https://www.colombiacompra.gov.co/pqrsd/informacion-importante-antes-de-formular-una-pqrsd</w:t>
        </w:r>
      </w:hyperlink>
    </w:p>
    <w:p w14:paraId="74E629F0" w14:textId="77777777" w:rsidR="00770781" w:rsidRPr="00A869FE" w:rsidRDefault="00770781" w:rsidP="00770781">
      <w:pPr>
        <w:spacing w:after="0" w:line="276" w:lineRule="auto"/>
        <w:ind w:left="720"/>
        <w:jc w:val="both"/>
        <w:rPr>
          <w:rFonts w:ascii="Verdana" w:hAnsi="Verdana"/>
        </w:rPr>
      </w:pPr>
    </w:p>
    <w:p w14:paraId="3CE3CCCE" w14:textId="77777777" w:rsidR="00770781" w:rsidRPr="00A869FE" w:rsidRDefault="00770781" w:rsidP="00770781">
      <w:pPr>
        <w:spacing w:after="0" w:line="276" w:lineRule="auto"/>
        <w:rPr>
          <w:rFonts w:ascii="Verdana" w:hAnsi="Verdana"/>
        </w:rPr>
      </w:pPr>
      <w:r w:rsidRPr="00A869FE">
        <w:rPr>
          <w:rFonts w:ascii="Verdana" w:hAnsi="Verdana"/>
        </w:rPr>
        <w:t xml:space="preserve">Evalúa el servicio que ofrece la Agencia por el canal de atención de PQRSD en el siguiente </w:t>
      </w:r>
      <w:proofErr w:type="gramStart"/>
      <w:r w:rsidRPr="00A869FE">
        <w:rPr>
          <w:rFonts w:ascii="Verdana" w:hAnsi="Verdana"/>
        </w:rPr>
        <w:t>enlace :</w:t>
      </w:r>
      <w:proofErr w:type="gramEnd"/>
      <w:hyperlink r:id="rId16"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0A34D4FA" w14:textId="77777777" w:rsidR="00770781" w:rsidRPr="00A869FE" w:rsidRDefault="00770781" w:rsidP="00770781">
      <w:pPr>
        <w:spacing w:after="0" w:line="276" w:lineRule="auto"/>
        <w:rPr>
          <w:rFonts w:ascii="Verdana" w:hAnsi="Verdana"/>
        </w:rPr>
      </w:pPr>
    </w:p>
    <w:p w14:paraId="27DB4201" w14:textId="77777777" w:rsidR="00770781" w:rsidRPr="00A869FE" w:rsidRDefault="00770781" w:rsidP="00770781">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217FE945" w14:textId="77777777" w:rsidR="00770781" w:rsidRPr="00A869FE" w:rsidRDefault="00770781" w:rsidP="00770781">
      <w:pPr>
        <w:spacing w:after="0" w:line="276" w:lineRule="auto"/>
        <w:jc w:val="both"/>
        <w:rPr>
          <w:rFonts w:ascii="Verdana" w:hAnsi="Verdana"/>
        </w:rPr>
      </w:pPr>
    </w:p>
    <w:p w14:paraId="4324CBCA" w14:textId="77777777" w:rsidR="00770781" w:rsidRPr="00A869FE" w:rsidRDefault="00770781" w:rsidP="00770781">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75AAE869" w14:textId="77777777" w:rsidR="00770781" w:rsidRPr="00A869FE" w:rsidRDefault="00770781" w:rsidP="00770781">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38A2F0CB" w14:textId="77777777" w:rsidR="00770781" w:rsidRPr="00A869FE" w:rsidRDefault="00770781" w:rsidP="00770781">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5DFC5DE8" w14:textId="77777777" w:rsidR="00770781" w:rsidRPr="00A869FE" w:rsidRDefault="00770781" w:rsidP="00770781">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lastRenderedPageBreak/>
        <w:t xml:space="preserve">        </w:t>
      </w:r>
    </w:p>
    <w:p w14:paraId="35AB7608" w14:textId="77777777" w:rsidR="00770781" w:rsidRPr="00A869FE" w:rsidRDefault="00770781" w:rsidP="00770781">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0DDBE833" w14:textId="77777777" w:rsidR="00770781" w:rsidRPr="00A869FE" w:rsidRDefault="00770781" w:rsidP="00770781">
      <w:pPr>
        <w:widowControl w:val="0"/>
        <w:autoSpaceDE w:val="0"/>
        <w:autoSpaceDN w:val="0"/>
        <w:spacing w:after="0" w:line="276" w:lineRule="auto"/>
        <w:jc w:val="both"/>
        <w:rPr>
          <w:rFonts w:ascii="Verdana" w:hAnsi="Verdana" w:cs="Arial"/>
        </w:rPr>
      </w:pPr>
    </w:p>
    <w:p w14:paraId="4867B775" w14:textId="77777777" w:rsidR="00770781" w:rsidRPr="00A869FE" w:rsidRDefault="00770781" w:rsidP="00770781">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bookmarkEnd w:id="0"/>
    </w:p>
    <w:p w14:paraId="4DF5CF8E" w14:textId="60EDC152" w:rsidR="00770781" w:rsidRPr="00A869FE" w:rsidRDefault="009C35D8" w:rsidP="00770781">
      <w:pPr>
        <w:spacing w:after="0" w:line="240" w:lineRule="auto"/>
        <w:jc w:val="center"/>
      </w:pPr>
      <w:r w:rsidRPr="004D5C25">
        <w:rPr>
          <w:rFonts w:ascii="Century Gothic" w:hAnsi="Century Gothic"/>
          <w:noProof/>
        </w:rPr>
        <w:drawing>
          <wp:inline distT="0" distB="0" distL="0" distR="0" wp14:anchorId="1C1E52D7" wp14:editId="525CB2BC">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70781" w:rsidRPr="00A869FE" w14:paraId="05819FA6" w14:textId="77777777" w:rsidTr="00C33D7A">
        <w:trPr>
          <w:trHeight w:val="315"/>
        </w:trPr>
        <w:tc>
          <w:tcPr>
            <w:tcW w:w="893" w:type="dxa"/>
            <w:vAlign w:val="center"/>
            <w:hideMark/>
          </w:tcPr>
          <w:p w14:paraId="6A28626F" w14:textId="77777777" w:rsidR="00770781" w:rsidRPr="00A869FE" w:rsidRDefault="00770781" w:rsidP="00C33D7A">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A553316" w14:textId="77777777" w:rsidR="00770781" w:rsidRPr="00A869FE" w:rsidRDefault="00770781" w:rsidP="00C33D7A">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2195A903" w14:textId="77777777" w:rsidR="00770781" w:rsidRPr="00A869FE" w:rsidRDefault="00770781" w:rsidP="00C33D7A">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770781" w:rsidRPr="00A869FE" w14:paraId="01400DF9" w14:textId="77777777" w:rsidTr="00C33D7A">
        <w:trPr>
          <w:trHeight w:val="330"/>
        </w:trPr>
        <w:tc>
          <w:tcPr>
            <w:tcW w:w="893" w:type="dxa"/>
            <w:vAlign w:val="center"/>
            <w:hideMark/>
          </w:tcPr>
          <w:p w14:paraId="58D668B0" w14:textId="77777777" w:rsidR="00770781" w:rsidRPr="00A869FE" w:rsidRDefault="00770781" w:rsidP="00C33D7A">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47B096C" w14:textId="77777777" w:rsidR="00770781" w:rsidRPr="00A869FE" w:rsidRDefault="00770781" w:rsidP="00C33D7A">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6F2533C5" w14:textId="77777777" w:rsidR="00770781" w:rsidRPr="00A869FE" w:rsidRDefault="00770781" w:rsidP="00C33D7A">
            <w:pPr>
              <w:pStyle w:val="paragraph"/>
              <w:spacing w:before="0" w:beforeAutospacing="0" w:after="0" w:afterAutospacing="0"/>
              <w:contextualSpacing/>
              <w:textAlignment w:val="baseline"/>
              <w:rPr>
                <w:rFonts w:ascii="Verdana" w:hAnsi="Verdana" w:cs="Segoe UI"/>
                <w:sz w:val="16"/>
                <w:szCs w:val="16"/>
              </w:rPr>
            </w:pPr>
            <w:r w:rsidRPr="00A869FE">
              <w:rPr>
                <w:rFonts w:ascii="Verdana" w:eastAsia="Calibri" w:hAnsi="Verdana"/>
                <w:sz w:val="16"/>
                <w:szCs w:val="16"/>
              </w:rPr>
              <w:t>Contratista de la Subdirección de Gestión Contractual </w:t>
            </w:r>
          </w:p>
        </w:tc>
      </w:tr>
      <w:tr w:rsidR="00770781" w:rsidRPr="00A869FE" w14:paraId="4CF500D2" w14:textId="77777777" w:rsidTr="00C33D7A">
        <w:trPr>
          <w:trHeight w:val="300"/>
        </w:trPr>
        <w:tc>
          <w:tcPr>
            <w:tcW w:w="893" w:type="dxa"/>
            <w:vAlign w:val="center"/>
          </w:tcPr>
          <w:p w14:paraId="1164B13F" w14:textId="77777777" w:rsidR="00770781" w:rsidRPr="00A869FE" w:rsidRDefault="00770781" w:rsidP="00C33D7A">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EF082AC" w14:textId="77777777" w:rsidR="00770781" w:rsidRPr="00A869FE" w:rsidRDefault="00770781" w:rsidP="00C33D7A">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4BD1DC15" w14:textId="77777777" w:rsidR="00770781" w:rsidRPr="00A869FE" w:rsidRDefault="00770781" w:rsidP="00C33D7A">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6E2D6768" w14:textId="77777777" w:rsidR="00770781" w:rsidRPr="00CE53B2" w:rsidRDefault="00770781" w:rsidP="00770781"/>
    <w:p w14:paraId="5EE4E8EE" w14:textId="77777777" w:rsidR="00770781" w:rsidRPr="007B3EA2" w:rsidRDefault="00770781" w:rsidP="00770781"/>
    <w:p w14:paraId="00BAACB8" w14:textId="77777777" w:rsidR="00274079" w:rsidRDefault="00274079"/>
    <w:sectPr w:rsidR="00274079" w:rsidSect="00770781">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B9A9C" w14:textId="77777777" w:rsidR="009A4CF4" w:rsidRDefault="009A4CF4" w:rsidP="00770781">
      <w:pPr>
        <w:spacing w:after="0" w:line="240" w:lineRule="auto"/>
      </w:pPr>
      <w:r>
        <w:separator/>
      </w:r>
    </w:p>
  </w:endnote>
  <w:endnote w:type="continuationSeparator" w:id="0">
    <w:p w14:paraId="71CC6411" w14:textId="77777777" w:rsidR="009A4CF4" w:rsidRDefault="009A4CF4" w:rsidP="007707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7ECEA" w14:textId="77777777" w:rsidR="00770781" w:rsidRDefault="00770781">
    <w:pPr>
      <w:pStyle w:val="Piedepgina"/>
    </w:pPr>
  </w:p>
  <w:p w14:paraId="4A9888BA" w14:textId="77777777" w:rsidR="00770781" w:rsidRPr="00174B77" w:rsidRDefault="00770781"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8C2187E" w14:textId="77777777" w:rsidR="00770781" w:rsidRDefault="00770781"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9327A35" w14:textId="77777777" w:rsidR="00770781" w:rsidRPr="00E41027" w:rsidRDefault="00770781" w:rsidP="00D520D8">
    <w:pPr>
      <w:spacing w:after="0"/>
      <w:jc w:val="both"/>
      <w:rPr>
        <w:rFonts w:ascii="Verdana" w:hAnsi="Verdana"/>
        <w:sz w:val="18"/>
        <w:szCs w:val="18"/>
      </w:rPr>
    </w:pPr>
    <w:r w:rsidRPr="00E41027">
      <w:rPr>
        <w:rFonts w:ascii="Verdana" w:hAnsi="Verdana"/>
        <w:sz w:val="18"/>
        <w:szCs w:val="18"/>
      </w:rPr>
      <w:t>Mesa de servicio: (+57) 601 7456788</w:t>
    </w:r>
  </w:p>
  <w:p w14:paraId="10871454" w14:textId="77777777" w:rsidR="00770781" w:rsidRPr="007B3EA2" w:rsidRDefault="00770781" w:rsidP="356CEDFD">
    <w:pPr>
      <w:pBdr>
        <w:top w:val="nil"/>
        <w:left w:val="nil"/>
        <w:bottom w:val="nil"/>
        <w:right w:val="nil"/>
        <w:between w:val="nil"/>
      </w:pBdr>
      <w:tabs>
        <w:tab w:val="center" w:pos="4419"/>
        <w:tab w:val="right" w:pos="8838"/>
        <w:tab w:val="center" w:pos="5400"/>
      </w:tabs>
      <w:spacing w:after="0"/>
      <w:jc w:val="right"/>
      <w:rPr>
        <w:lang w:val="pt-BR"/>
      </w:rPr>
    </w:pPr>
    <w:r w:rsidRPr="007B3EA2">
      <w:rPr>
        <w:rFonts w:ascii="Century Gothic" w:eastAsia="Geo" w:hAnsi="Century Gothic" w:cs="Geo"/>
        <w:b/>
        <w:bCs/>
        <w:color w:val="000000" w:themeColor="text1"/>
        <w:sz w:val="16"/>
        <w:szCs w:val="16"/>
        <w:lang w:val="pt-BR" w:eastAsia="es-CO"/>
      </w:rPr>
      <w:t xml:space="preserve">Código: </w:t>
    </w:r>
    <w:r w:rsidRPr="007B3EA2">
      <w:rPr>
        <w:rFonts w:ascii="Century Gothic" w:eastAsia="Geo" w:hAnsi="Century Gothic" w:cs="Geo"/>
        <w:color w:val="000000" w:themeColor="text1"/>
        <w:sz w:val="16"/>
        <w:szCs w:val="16"/>
        <w:lang w:val="pt-BR" w:eastAsia="es-CO"/>
      </w:rPr>
      <w:t xml:space="preserve">CCE-REC-FM-17 </w:t>
    </w:r>
    <w:r w:rsidRPr="007B3EA2">
      <w:rPr>
        <w:rFonts w:ascii="Century Gothic" w:eastAsia="Geo" w:hAnsi="Century Gothic" w:cs="Geo"/>
        <w:b/>
        <w:bCs/>
        <w:color w:val="000000" w:themeColor="text1"/>
        <w:sz w:val="16"/>
        <w:szCs w:val="16"/>
        <w:lang w:val="pt-BR" w:eastAsia="es-CO"/>
      </w:rPr>
      <w:t>V</w:t>
    </w:r>
    <w:r w:rsidRPr="007B3EA2">
      <w:rPr>
        <w:rFonts w:ascii="Century Gothic" w:eastAsia="Arial Nova" w:hAnsi="Century Gothic" w:cs="Arial Nova"/>
        <w:b/>
        <w:bCs/>
        <w:color w:val="000000" w:themeColor="text1"/>
        <w:sz w:val="16"/>
        <w:szCs w:val="16"/>
        <w:lang w:val="pt-BR" w:eastAsia="es-CO"/>
      </w:rPr>
      <w:t xml:space="preserve">: </w:t>
    </w:r>
    <w:r w:rsidRPr="007B3EA2">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6A2D11" w14:textId="77777777" w:rsidR="009A4CF4" w:rsidRDefault="009A4CF4" w:rsidP="00770781">
      <w:pPr>
        <w:spacing w:after="0" w:line="240" w:lineRule="auto"/>
      </w:pPr>
      <w:r>
        <w:separator/>
      </w:r>
    </w:p>
  </w:footnote>
  <w:footnote w:type="continuationSeparator" w:id="0">
    <w:p w14:paraId="42F10F40" w14:textId="77777777" w:rsidR="009A4CF4" w:rsidRDefault="009A4CF4" w:rsidP="00770781">
      <w:pPr>
        <w:spacing w:after="0" w:line="240" w:lineRule="auto"/>
      </w:pPr>
      <w:r>
        <w:continuationSeparator/>
      </w:r>
    </w:p>
  </w:footnote>
  <w:footnote w:id="1">
    <w:p w14:paraId="72FB6336" w14:textId="77777777" w:rsidR="00770781" w:rsidRPr="00B3246D" w:rsidRDefault="00770781" w:rsidP="00770781">
      <w:pPr>
        <w:pStyle w:val="Textonotapie"/>
        <w:ind w:firstLine="708"/>
        <w:jc w:val="both"/>
        <w:rPr>
          <w:rFonts w:ascii="Verdana" w:hAnsi="Verdana" w:cs="Arial"/>
          <w:sz w:val="12"/>
          <w:szCs w:val="12"/>
        </w:rPr>
      </w:pPr>
      <w:r w:rsidRPr="00B3246D">
        <w:rPr>
          <w:rStyle w:val="Refdenotaalpie"/>
          <w:rFonts w:ascii="Verdana" w:hAnsi="Verdana" w:cs="Arial"/>
          <w:sz w:val="12"/>
          <w:szCs w:val="12"/>
        </w:rPr>
        <w:footnoteRef/>
      </w:r>
      <w:r w:rsidRPr="00B3246D">
        <w:rPr>
          <w:rFonts w:ascii="Verdana" w:hAnsi="Verdana" w:cs="Arial"/>
          <w:sz w:val="12"/>
          <w:szCs w:val="12"/>
        </w:rPr>
        <w:t xml:space="preserve"> El inciso primero de la norma disponía que, conforme al principio de transparencia, “</w:t>
      </w:r>
      <w:r w:rsidRPr="00B3246D">
        <w:rPr>
          <w:rFonts w:ascii="Verdana" w:hAnsi="Verdana" w:cs="Arial"/>
          <w:i/>
          <w:iCs/>
          <w:sz w:val="12"/>
          <w:szCs w:val="12"/>
        </w:rPr>
        <w:t>La escogencia del contratista se efectuará siempre a través de licitación o concurso públicos</w:t>
      </w:r>
      <w:r w:rsidRPr="00B3246D">
        <w:rPr>
          <w:rFonts w:ascii="Verdana" w:hAnsi="Verdana" w:cs="Arial"/>
          <w:sz w:val="12"/>
          <w:szCs w:val="12"/>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2">
    <w:p w14:paraId="311A1364" w14:textId="77777777" w:rsidR="00770781" w:rsidRPr="00B3246D" w:rsidRDefault="00770781" w:rsidP="00770781">
      <w:pPr>
        <w:pStyle w:val="Textonotapie"/>
        <w:ind w:firstLine="708"/>
        <w:jc w:val="both"/>
        <w:rPr>
          <w:rFonts w:ascii="Verdana" w:hAnsi="Verdana" w:cs="Arial"/>
          <w:sz w:val="12"/>
          <w:szCs w:val="12"/>
        </w:rPr>
      </w:pPr>
      <w:r w:rsidRPr="00B3246D">
        <w:rPr>
          <w:rStyle w:val="Refdenotaalpie"/>
          <w:rFonts w:ascii="Verdana" w:hAnsi="Verdana" w:cs="Arial"/>
          <w:sz w:val="12"/>
          <w:szCs w:val="12"/>
        </w:rPr>
        <w:footnoteRef/>
      </w:r>
      <w:r w:rsidRPr="00B3246D">
        <w:rPr>
          <w:rFonts w:ascii="Verdana" w:hAnsi="Verdana" w:cs="Arial"/>
          <w:sz w:val="12"/>
          <w:szCs w:val="12"/>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B3246D">
        <w:rPr>
          <w:rFonts w:ascii="Verdana" w:hAnsi="Verdana" w:cs="Arial"/>
          <w:i/>
          <w:iCs/>
          <w:sz w:val="12"/>
          <w:szCs w:val="12"/>
        </w:rPr>
        <w:t>Presentación de la oferta de manera dinámica</w:t>
      </w:r>
      <w:r w:rsidRPr="00B3246D">
        <w:rPr>
          <w:rFonts w:ascii="Verdana" w:hAnsi="Verdana" w:cs="Arial"/>
          <w:sz w:val="12"/>
          <w:szCs w:val="12"/>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3">
    <w:p w14:paraId="5066B812" w14:textId="77777777" w:rsidR="00770781" w:rsidRPr="00B3246D" w:rsidRDefault="00770781" w:rsidP="00770781">
      <w:pPr>
        <w:pStyle w:val="Textonotapie"/>
        <w:ind w:firstLine="708"/>
        <w:jc w:val="both"/>
        <w:rPr>
          <w:rFonts w:ascii="Verdana" w:hAnsi="Verdana" w:cs="Arial"/>
          <w:sz w:val="12"/>
          <w:szCs w:val="12"/>
        </w:rPr>
      </w:pPr>
      <w:r w:rsidRPr="00B3246D">
        <w:rPr>
          <w:rStyle w:val="Refdenotaalpie"/>
          <w:rFonts w:ascii="Verdana" w:hAnsi="Verdana"/>
          <w:sz w:val="12"/>
          <w:szCs w:val="12"/>
        </w:rPr>
        <w:footnoteRef/>
      </w:r>
      <w:r w:rsidRPr="00B3246D">
        <w:rPr>
          <w:rFonts w:ascii="Verdana" w:hAnsi="Verdana"/>
          <w:sz w:val="12"/>
          <w:szCs w:val="12"/>
        </w:rPr>
        <w:t xml:space="preserve"> </w:t>
      </w:r>
      <w:r w:rsidRPr="00B3246D">
        <w:rPr>
          <w:rFonts w:ascii="Verdana" w:hAnsi="Verdana" w:cs="Arial"/>
          <w:sz w:val="12"/>
          <w:szCs w:val="12"/>
        </w:rPr>
        <w:t xml:space="preserve">El numeral 2 del artículo 2 de la Ley 1150 de 2007 prescribe: </w:t>
      </w:r>
      <w:r w:rsidRPr="00B3246D">
        <w:rPr>
          <w:rFonts w:ascii="Verdana" w:hAnsi="Verdana"/>
          <w:sz w:val="12"/>
          <w:szCs w:val="12"/>
        </w:rPr>
        <w:t xml:space="preserve">“[…] </w:t>
      </w:r>
      <w:r w:rsidRPr="00B3246D">
        <w:rPr>
          <w:rFonts w:ascii="Verdana" w:hAnsi="Verdana" w:cs="Arial"/>
          <w:sz w:val="12"/>
          <w:szCs w:val="12"/>
        </w:rPr>
        <w:t>Serán causales de selección abreviada las siguientes:</w:t>
      </w:r>
    </w:p>
    <w:p w14:paraId="0FB07517"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7F88B211"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3A2437A7"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b) La contratación de menor cuantía. Se entenderá por menor cuantía los valores que a continuación se relacionan, determinados en función de los presupuestos anuales de las entidades públicas expresados en salarios mínimos legales mensuales.</w:t>
      </w:r>
    </w:p>
    <w:p w14:paraId="1A77D6B7"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w:t>
      </w:r>
    </w:p>
    <w:p w14:paraId="0274E42E"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596266F1"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d) La contratación cuyo proceso de licitación pública haya sido declarado desierto; en cuyo caso la entidad deberá iniciar la selección abreviada dentro de los cuatro meses siguientes a la declaración de desierta del proceso inicial;</w:t>
      </w:r>
    </w:p>
    <w:p w14:paraId="2F14082A"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e) La enajenación de bienes del Estado, con excepción de aquellos a que se refiere la Ley 226 de 1995.</w:t>
      </w:r>
    </w:p>
    <w:p w14:paraId="2E8A1138"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 xml:space="preserve">[…]; </w:t>
      </w:r>
    </w:p>
    <w:p w14:paraId="01C362A5"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 xml:space="preserve">f) Productos de origen o destinación agropecuarios que se ofrezcan en las bolsas de productos legalmente constituidas; </w:t>
      </w:r>
    </w:p>
    <w:p w14:paraId="3FAC0A7D"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461B403E"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1E7C6B68"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i) La contratación de bienes y servicios que se requieran para la defensa y seguridad nacional.</w:t>
      </w:r>
    </w:p>
    <w:p w14:paraId="2631494D" w14:textId="77777777" w:rsidR="00770781" w:rsidRPr="00B3246D" w:rsidRDefault="00770781" w:rsidP="00770781">
      <w:pPr>
        <w:pStyle w:val="Textonotapie"/>
        <w:ind w:firstLine="708"/>
        <w:jc w:val="both"/>
        <w:rPr>
          <w:rFonts w:ascii="Verdana" w:hAnsi="Verdana" w:cs="Arial"/>
          <w:sz w:val="12"/>
          <w:szCs w:val="12"/>
        </w:rPr>
      </w:pPr>
      <w:r w:rsidRPr="00B3246D">
        <w:rPr>
          <w:rFonts w:ascii="Verdana" w:hAnsi="Verdana" w:cs="Arial"/>
          <w:sz w:val="12"/>
          <w:szCs w:val="12"/>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4">
    <w:p w14:paraId="4BD5E49E" w14:textId="77777777" w:rsidR="00770781" w:rsidRPr="00B3246D" w:rsidRDefault="00770781" w:rsidP="00770781">
      <w:pPr>
        <w:pStyle w:val="Textonotapie"/>
        <w:ind w:firstLine="708"/>
        <w:jc w:val="both"/>
        <w:rPr>
          <w:rFonts w:ascii="Verdana" w:hAnsi="Verdana" w:cs="Arial"/>
          <w:sz w:val="12"/>
          <w:szCs w:val="12"/>
        </w:rPr>
      </w:pPr>
      <w:r w:rsidRPr="00B3246D">
        <w:rPr>
          <w:rStyle w:val="Refdenotaalpie"/>
          <w:rFonts w:ascii="Verdana" w:hAnsi="Verdana"/>
          <w:sz w:val="12"/>
          <w:szCs w:val="12"/>
        </w:rPr>
        <w:footnoteRef/>
      </w:r>
      <w:r w:rsidRPr="00B3246D">
        <w:rPr>
          <w:rFonts w:ascii="Verdana" w:hAnsi="Verdana"/>
          <w:sz w:val="12"/>
          <w:szCs w:val="12"/>
        </w:rPr>
        <w:t xml:space="preserve"> </w:t>
      </w:r>
      <w:r w:rsidRPr="00B3246D">
        <w:rPr>
          <w:rFonts w:ascii="Verdana" w:hAnsi="Verdana" w:cs="Arial"/>
          <w:sz w:val="12"/>
          <w:szCs w:val="12"/>
        </w:rPr>
        <w:t xml:space="preserve">CONGRESO DE LA REPÚBLICA. Exposición de motivos de la Ley 1150 de 2007. Gaceta del Congreso No. 458 del 1º de agosto de 2005. p. 8. </w:t>
      </w:r>
    </w:p>
  </w:footnote>
  <w:footnote w:id="5">
    <w:p w14:paraId="67B04C79" w14:textId="77777777" w:rsidR="00770781" w:rsidRPr="00B3246D" w:rsidRDefault="00770781" w:rsidP="00770781">
      <w:pPr>
        <w:pStyle w:val="Textonotapie"/>
        <w:ind w:firstLine="708"/>
        <w:jc w:val="both"/>
        <w:rPr>
          <w:rFonts w:ascii="Verdana" w:hAnsi="Verdana" w:cs="Arial"/>
          <w:sz w:val="12"/>
          <w:szCs w:val="12"/>
        </w:rPr>
      </w:pPr>
      <w:r w:rsidRPr="00B3246D">
        <w:rPr>
          <w:rStyle w:val="Refdenotaalpie"/>
          <w:rFonts w:ascii="Verdana" w:hAnsi="Verdana"/>
          <w:sz w:val="12"/>
          <w:szCs w:val="12"/>
        </w:rPr>
        <w:footnoteRef/>
      </w:r>
      <w:r w:rsidRPr="00B3246D">
        <w:rPr>
          <w:rFonts w:ascii="Verdana" w:hAnsi="Verdana"/>
          <w:sz w:val="12"/>
          <w:szCs w:val="12"/>
        </w:rPr>
        <w:t xml:space="preserve"> </w:t>
      </w:r>
      <w:r w:rsidRPr="00B3246D">
        <w:rPr>
          <w:rFonts w:ascii="Verdana" w:hAnsi="Verdana" w:cs="Arial"/>
          <w:sz w:val="12"/>
          <w:szCs w:val="12"/>
        </w:rPr>
        <w:t xml:space="preserve">CONSEJO DE ESTADO. Sección Tercera. Subsección A. Sentencia del 23 de julio de 2015. Exp. 36.805. C. P. Hernán Andrade Rincón. </w:t>
      </w:r>
    </w:p>
  </w:footnote>
  <w:footnote w:id="6">
    <w:p w14:paraId="7172BE4E" w14:textId="77777777" w:rsidR="00770781" w:rsidRPr="00B3246D" w:rsidRDefault="00770781" w:rsidP="00770781">
      <w:pPr>
        <w:pStyle w:val="Textonotapie"/>
        <w:ind w:firstLine="708"/>
        <w:jc w:val="both"/>
        <w:rPr>
          <w:rFonts w:ascii="Verdana" w:hAnsi="Verdana"/>
          <w:sz w:val="12"/>
          <w:szCs w:val="12"/>
          <w:lang w:val="es-CO"/>
        </w:rPr>
      </w:pPr>
      <w:r w:rsidRPr="00B3246D">
        <w:rPr>
          <w:rStyle w:val="Refdenotaalpie"/>
          <w:rFonts w:ascii="Verdana" w:hAnsi="Verdana"/>
          <w:sz w:val="12"/>
          <w:szCs w:val="12"/>
        </w:rPr>
        <w:footnoteRef/>
      </w:r>
      <w:r w:rsidRPr="00B3246D">
        <w:rPr>
          <w:rFonts w:ascii="Verdana" w:hAnsi="Verdana"/>
          <w:sz w:val="12"/>
          <w:szCs w:val="12"/>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B3246D">
        <w:rPr>
          <w:rFonts w:ascii="Verdana" w:hAnsi="Verdana"/>
          <w:i/>
          <w:iCs/>
          <w:sz w:val="12"/>
          <w:szCs w:val="12"/>
        </w:rPr>
        <w:t>las palabras de la ley se entenderán en su sentido natural y obvio, según el uso general de las mismas palabras</w:t>
      </w:r>
      <w:r w:rsidRPr="00B3246D">
        <w:rPr>
          <w:rFonts w:ascii="Verdana" w:hAnsi="Verdana"/>
          <w:sz w:val="12"/>
          <w:szCs w:val="12"/>
        </w:rPr>
        <w:t>’, es decir, el uso de la gente educada. El Diccionario de la Lengua publicado por la Real Academia Española goza a este respecto de gran autoridad. ‘</w:t>
      </w:r>
      <w:r w:rsidRPr="00B3246D">
        <w:rPr>
          <w:rFonts w:ascii="Verdana" w:hAnsi="Verdana"/>
          <w:i/>
          <w:iCs/>
          <w:sz w:val="12"/>
          <w:szCs w:val="12"/>
        </w:rPr>
        <w:t>Pero cuando el legislador</w:t>
      </w:r>
      <w:r w:rsidRPr="00B3246D">
        <w:rPr>
          <w:rFonts w:ascii="Verdana" w:hAnsi="Verdana"/>
          <w:sz w:val="12"/>
          <w:szCs w:val="12"/>
        </w:rPr>
        <w:t xml:space="preserve">, agrega el artículo 20, </w:t>
      </w:r>
      <w:r w:rsidRPr="00B3246D">
        <w:rPr>
          <w:rFonts w:ascii="Verdana" w:hAnsi="Verdana"/>
          <w:i/>
          <w:iCs/>
          <w:sz w:val="12"/>
          <w:szCs w:val="12"/>
        </w:rPr>
        <w:t>las haya definido expresamente para ciertas materias se les dará en éstas su significado legal</w:t>
      </w:r>
      <w:r w:rsidRPr="00B3246D">
        <w:rPr>
          <w:rFonts w:ascii="Verdana" w:hAnsi="Verdana"/>
          <w:sz w:val="12"/>
          <w:szCs w:val="12"/>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7">
    <w:p w14:paraId="59FBBC4E" w14:textId="77777777" w:rsidR="00770781" w:rsidRPr="00B3246D" w:rsidRDefault="00770781" w:rsidP="00770781">
      <w:pPr>
        <w:pStyle w:val="Textonotapie"/>
        <w:ind w:firstLine="708"/>
        <w:jc w:val="both"/>
        <w:rPr>
          <w:rFonts w:ascii="Verdana" w:hAnsi="Verdana"/>
          <w:sz w:val="12"/>
          <w:szCs w:val="12"/>
        </w:rPr>
      </w:pPr>
      <w:r w:rsidRPr="00B3246D">
        <w:rPr>
          <w:rStyle w:val="Refdenotaalpie"/>
          <w:rFonts w:ascii="Verdana" w:hAnsi="Verdana"/>
          <w:sz w:val="12"/>
          <w:szCs w:val="12"/>
        </w:rPr>
        <w:footnoteRef/>
      </w:r>
      <w:r w:rsidRPr="00B3246D">
        <w:rPr>
          <w:rFonts w:ascii="Verdana" w:hAnsi="Verdana"/>
          <w:sz w:val="12"/>
          <w:szCs w:val="12"/>
        </w:rPr>
        <w:t xml:space="preserve"> SUÁREZ BELTRÁN, Gonzalo. Estudios de derecho contractual público. Colombia: Bogotá, 2014. p. 72.</w:t>
      </w:r>
    </w:p>
  </w:footnote>
  <w:footnote w:id="8">
    <w:p w14:paraId="2973F3D9" w14:textId="77777777" w:rsidR="00770781" w:rsidRPr="00B3246D" w:rsidRDefault="00770781" w:rsidP="00770781">
      <w:pPr>
        <w:pStyle w:val="Textonotapie"/>
        <w:ind w:firstLine="708"/>
        <w:jc w:val="both"/>
        <w:rPr>
          <w:rFonts w:ascii="Verdana" w:hAnsi="Verdana"/>
          <w:sz w:val="12"/>
          <w:szCs w:val="12"/>
          <w:lang w:val="es-CO"/>
        </w:rPr>
      </w:pPr>
      <w:r w:rsidRPr="00B3246D">
        <w:rPr>
          <w:rStyle w:val="Refdenotaalpie"/>
          <w:rFonts w:ascii="Verdana" w:hAnsi="Verdana"/>
          <w:sz w:val="12"/>
          <w:szCs w:val="12"/>
        </w:rPr>
        <w:footnoteRef/>
      </w:r>
      <w:r w:rsidRPr="00B3246D">
        <w:rPr>
          <w:rFonts w:ascii="Verdana" w:hAnsi="Verdana"/>
          <w:sz w:val="12"/>
          <w:szCs w:val="12"/>
        </w:rPr>
        <w:t xml:space="preserve"> </w:t>
      </w:r>
      <w:r w:rsidRPr="00B3246D">
        <w:rPr>
          <w:rFonts w:ascii="Verdana" w:hAnsi="Verdana"/>
          <w:i/>
          <w:iCs/>
          <w:sz w:val="12"/>
          <w:szCs w:val="12"/>
        </w:rPr>
        <w:t>Ibidem</w:t>
      </w:r>
      <w:r w:rsidRPr="00B3246D">
        <w:rPr>
          <w:rFonts w:ascii="Verdana" w:hAnsi="Verdana"/>
          <w:sz w:val="12"/>
          <w:szCs w:val="12"/>
        </w:rPr>
        <w:t>.</w:t>
      </w:r>
    </w:p>
  </w:footnote>
  <w:footnote w:id="9">
    <w:p w14:paraId="605E9ACE" w14:textId="77777777" w:rsidR="00770781" w:rsidRPr="00B3246D" w:rsidRDefault="00770781" w:rsidP="00770781">
      <w:pPr>
        <w:pStyle w:val="Textonotapie"/>
        <w:ind w:firstLine="708"/>
        <w:jc w:val="both"/>
        <w:rPr>
          <w:rFonts w:ascii="Verdana" w:hAnsi="Verdana" w:cs="Arial"/>
          <w:sz w:val="12"/>
          <w:szCs w:val="12"/>
        </w:rPr>
      </w:pPr>
      <w:r w:rsidRPr="00B3246D">
        <w:rPr>
          <w:rStyle w:val="Refdenotaalpie"/>
          <w:rFonts w:ascii="Verdana" w:hAnsi="Verdana"/>
          <w:sz w:val="12"/>
          <w:szCs w:val="12"/>
        </w:rPr>
        <w:footnoteRef/>
      </w:r>
      <w:r w:rsidRPr="00B3246D">
        <w:rPr>
          <w:rFonts w:ascii="Verdana" w:hAnsi="Verdana"/>
          <w:sz w:val="12"/>
          <w:szCs w:val="12"/>
        </w:rPr>
        <w:t xml:space="preserve"> </w:t>
      </w:r>
      <w:r w:rsidRPr="00B3246D">
        <w:rPr>
          <w:rFonts w:ascii="Verdana" w:hAnsi="Verdana" w:cs="Arial"/>
          <w:sz w:val="12"/>
          <w:szCs w:val="12"/>
        </w:rPr>
        <w:t xml:space="preserve">CONGRESO DE LA REPÚBLICA. Exposición de motivos de la Ley 1150 de 2007. Gaceta del Congreso No. 458 del 1º de agosto de 2005. p. 8. </w:t>
      </w:r>
    </w:p>
  </w:footnote>
  <w:footnote w:id="10">
    <w:p w14:paraId="2865BBE9" w14:textId="77777777" w:rsidR="00770781" w:rsidRPr="00B3246D" w:rsidRDefault="00770781" w:rsidP="00770781">
      <w:pPr>
        <w:pStyle w:val="Textonotapie"/>
        <w:ind w:firstLine="708"/>
        <w:jc w:val="both"/>
        <w:rPr>
          <w:rFonts w:ascii="Verdana" w:hAnsi="Verdana"/>
          <w:sz w:val="12"/>
          <w:szCs w:val="12"/>
          <w:lang w:val="es-CO"/>
        </w:rPr>
      </w:pPr>
      <w:r w:rsidRPr="00B3246D">
        <w:rPr>
          <w:rStyle w:val="Refdenotaalpie"/>
          <w:rFonts w:ascii="Verdana" w:hAnsi="Verdana"/>
          <w:sz w:val="12"/>
          <w:szCs w:val="12"/>
        </w:rPr>
        <w:footnoteRef/>
      </w:r>
      <w:r w:rsidRPr="00B3246D">
        <w:rPr>
          <w:rFonts w:ascii="Verdana" w:hAnsi="Verdana"/>
          <w:sz w:val="12"/>
          <w:szCs w:val="12"/>
        </w:rPr>
        <w:t xml:space="preserve"> DÁVILA VINUEZA, Luis Guillermo. Régimen jurídico de la contratación estatal. </w:t>
      </w:r>
      <w:r w:rsidRPr="00B3246D">
        <w:rPr>
          <w:rFonts w:ascii="Verdana" w:hAnsi="Verdana" w:cs="Arial"/>
          <w:sz w:val="12"/>
          <w:szCs w:val="12"/>
          <w:lang w:val="es-CO"/>
        </w:rPr>
        <w:t>Tercera Edición</w:t>
      </w:r>
      <w:r w:rsidRPr="00B3246D">
        <w:rPr>
          <w:rFonts w:ascii="Verdana" w:hAnsi="Verdana"/>
          <w:sz w:val="12"/>
          <w:szCs w:val="12"/>
          <w:lang w:val="es-CO"/>
        </w:rPr>
        <w:t>. Bogotá: Legis, 2016. pp. 466-467.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6A2C6" w14:textId="77777777" w:rsidR="00770781" w:rsidRDefault="00770781"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71EB782" wp14:editId="5072E558">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2D5491E" wp14:editId="2B62F02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7FF6A8E" w14:textId="77777777" w:rsidR="00770781" w:rsidRDefault="00770781">
    <w:pPr>
      <w:pStyle w:val="Encabezado"/>
    </w:pPr>
  </w:p>
  <w:p w14:paraId="4CA7C79D" w14:textId="77777777" w:rsidR="00770781" w:rsidRPr="004A305D" w:rsidRDefault="00770781" w:rsidP="00B01B1A">
    <w:pPr>
      <w:spacing w:after="0" w:line="120" w:lineRule="auto"/>
      <w:rPr>
        <w:rFonts w:ascii="Century Gothic" w:eastAsia="Geo" w:hAnsi="Century Gothic" w:cs="Geo"/>
        <w:sz w:val="16"/>
        <w:szCs w:val="16"/>
        <w:lang w:eastAsia="es-CO"/>
      </w:rPr>
    </w:pPr>
  </w:p>
  <w:p w14:paraId="5BA1BFCE" w14:textId="77777777" w:rsidR="00770781" w:rsidRDefault="00770781" w:rsidP="00844AE9">
    <w:pPr>
      <w:spacing w:after="0" w:line="240" w:lineRule="auto"/>
      <w:rPr>
        <w:rFonts w:ascii="Verdana" w:hAnsi="Verdana"/>
        <w:sz w:val="24"/>
        <w:szCs w:val="24"/>
      </w:rPr>
    </w:pPr>
  </w:p>
  <w:p w14:paraId="67481FA5" w14:textId="77777777" w:rsidR="00770781" w:rsidRPr="00C925AC" w:rsidRDefault="00770781"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781"/>
    <w:rsid w:val="00274079"/>
    <w:rsid w:val="003C55D4"/>
    <w:rsid w:val="005072EA"/>
    <w:rsid w:val="00770781"/>
    <w:rsid w:val="00915BD7"/>
    <w:rsid w:val="009A4CF4"/>
    <w:rsid w:val="009C35D8"/>
    <w:rsid w:val="00AA11C3"/>
    <w:rsid w:val="00B85B1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7A1E1"/>
  <w15:chartTrackingRefBased/>
  <w15:docId w15:val="{D2755917-8D87-4D43-8E70-E54F2B36B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781"/>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7078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0781"/>
    <w:rPr>
      <w:kern w:val="0"/>
      <w14:ligatures w14:val="none"/>
    </w:rPr>
  </w:style>
  <w:style w:type="paragraph" w:styleId="Piedepgina">
    <w:name w:val="footer"/>
    <w:basedOn w:val="Normal"/>
    <w:link w:val="PiedepginaCar"/>
    <w:uiPriority w:val="99"/>
    <w:unhideWhenUsed/>
    <w:rsid w:val="0077078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0781"/>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7078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77078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7078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770781"/>
    <w:rPr>
      <w:vertAlign w:val="superscript"/>
    </w:rPr>
  </w:style>
  <w:style w:type="table" w:styleId="Tablaconcuadrcula">
    <w:name w:val="Table Grid"/>
    <w:basedOn w:val="Tablanormal"/>
    <w:uiPriority w:val="39"/>
    <w:qFormat/>
    <w:rsid w:val="0077078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70781"/>
    <w:rPr>
      <w:color w:val="0000FF"/>
      <w:u w:val="single"/>
    </w:rPr>
  </w:style>
  <w:style w:type="paragraph" w:customStyle="1" w:styleId="paragraph">
    <w:name w:val="paragraph"/>
    <w:basedOn w:val="Normal"/>
    <w:rsid w:val="00770781"/>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770781"/>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770781"/>
    <w:pPr>
      <w:spacing w:after="0" w:line="240" w:lineRule="auto"/>
    </w:pPr>
    <w:rPr>
      <w:kern w:val="0"/>
      <w14:ligatures w14:val="none"/>
    </w:rPr>
    <w:tblPr/>
  </w:style>
  <w:style w:type="paragraph" w:styleId="Textoindependiente">
    <w:name w:val="Body Text"/>
    <w:basedOn w:val="Normal"/>
    <w:link w:val="TextoindependienteCar"/>
    <w:uiPriority w:val="99"/>
    <w:unhideWhenUsed/>
    <w:rsid w:val="00770781"/>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770781"/>
    <w:rPr>
      <w:rFonts w:eastAsiaTheme="minorEastAsia"/>
      <w:kern w:val="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uryhernandez@copnia.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5EC097-6385-4121-A12B-399F2668DD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0C13F7-EA90-4207-9C1F-C9668548097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0EB4E3E4-F5DB-43E5-B3D3-A61B41A577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15</Pages>
  <Words>5241</Words>
  <Characters>28984</Characters>
  <Application>Microsoft Office Word</Application>
  <DocSecurity>0</DocSecurity>
  <Lines>557</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4</cp:revision>
  <dcterms:created xsi:type="dcterms:W3CDTF">2025-12-19T21:10:00Z</dcterms:created>
  <dcterms:modified xsi:type="dcterms:W3CDTF">2025-12-29T17:35:00Z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