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BD342" w14:textId="57F47885" w:rsidR="00E02C10" w:rsidRPr="00D17578" w:rsidRDefault="00E02C10" w:rsidP="00E02C10">
      <w:pPr>
        <w:jc w:val="both"/>
        <w:rPr>
          <w:rFonts w:ascii="Verdana" w:eastAsia="Times New Roman" w:hAnsi="Verdana" w:cs="Arial"/>
          <w:b/>
          <w:bCs/>
          <w:sz w:val="21"/>
          <w:szCs w:val="21"/>
          <w:lang w:eastAsia="es-ES_tradnl"/>
        </w:rPr>
      </w:pPr>
      <w:bookmarkStart w:id="0" w:name="_Hlk186494164"/>
      <w:bookmarkStart w:id="1" w:name="_Hlk216344465"/>
      <w:r w:rsidRPr="00D17578">
        <w:rPr>
          <w:rFonts w:ascii="Verdana" w:eastAsia="Times New Roman" w:hAnsi="Verdana" w:cs="Arial"/>
          <w:b/>
          <w:bCs/>
          <w:sz w:val="21"/>
          <w:szCs w:val="21"/>
          <w:lang w:eastAsia="es-ES_tradnl"/>
        </w:rPr>
        <w:t>RÉGIMEN DE INHABILIDADES E INCOMPATIBILIDADES – Concepto – Principio de legalidad / INHABILIDADES E INCOMPATIBILIDADES ― Interpretación restrictiva</w:t>
      </w:r>
    </w:p>
    <w:p w14:paraId="33811947" w14:textId="77777777" w:rsidR="00E02C10" w:rsidRPr="00D17578" w:rsidRDefault="00E02C10" w:rsidP="00E02C10">
      <w:pPr>
        <w:spacing w:after="120" w:line="276" w:lineRule="auto"/>
        <w:jc w:val="both"/>
        <w:rPr>
          <w:rFonts w:ascii="Verdana" w:eastAsia="Calibri" w:hAnsi="Verdana" w:cs="Arial"/>
          <w:color w:val="000000" w:themeColor="text1"/>
          <w:sz w:val="21"/>
          <w:szCs w:val="21"/>
          <w:lang w:eastAsia="es-ES"/>
        </w:rPr>
      </w:pPr>
      <w:r w:rsidRPr="00D17578">
        <w:rPr>
          <w:rFonts w:ascii="Verdana" w:eastAsia="Calibri" w:hAnsi="Verdana" w:cs="Arial"/>
          <w:color w:val="000000" w:themeColor="text1"/>
          <w:sz w:val="21"/>
          <w:szCs w:val="21"/>
          <w:lang w:eastAsia="es-ES"/>
        </w:rPr>
        <w:t>En este punto es fundamental resaltar que el régimen de inhabilidades e incompatibilidades en materia contractual debe interpretarse con sujeción estricta al principio de legalidad, consagrado en el artículo 6º de la Constitución Política, según el cual los particulares solo son responsables por infringir la Constitución y la ley, y las autoridades solo pueden ejercer las funciones expresamente atribuidas por el ordenamiento jurídico.</w:t>
      </w:r>
    </w:p>
    <w:p w14:paraId="3CC382E3" w14:textId="7AB39853" w:rsidR="00E02C10" w:rsidRPr="00D17578" w:rsidRDefault="00E02C10" w:rsidP="00E02C10">
      <w:pPr>
        <w:jc w:val="both"/>
        <w:rPr>
          <w:rFonts w:ascii="Verdana" w:eastAsia="Times New Roman" w:hAnsi="Verdana" w:cs="Arial"/>
          <w:b/>
          <w:bCs/>
          <w:sz w:val="21"/>
          <w:szCs w:val="21"/>
          <w:lang w:eastAsia="es-ES_tradnl"/>
        </w:rPr>
      </w:pPr>
      <w:r w:rsidRPr="00D17578">
        <w:rPr>
          <w:rFonts w:ascii="Verdana" w:eastAsia="Calibri" w:hAnsi="Verdana" w:cs="Arial"/>
          <w:color w:val="000000" w:themeColor="text1"/>
          <w:sz w:val="21"/>
          <w:szCs w:val="21"/>
          <w:lang w:eastAsia="es-ES"/>
        </w:rPr>
        <w:t>En consecuencia, las inhabilidades para contratar con el Estado deben estar claramente previstas en la ley, con carácter taxativo y de aplicación restrictiva. Así lo exige también el principio de interpretación restrictiva de las normas que limitan derechos, y el principio pro homine, que impone que ante dudas o ambigüedades en la norma debe adoptarse la interpretación más favorable a la persona. No es jurídicamente admisible aplicar interpretaciones extensivas o analógicas para derivar efectos no previstos expresamente, como extender el alcance de una suspensión a una inhabilidad no contemplada por la ley. Por lo tanto, no se configuran los elementos de ninguna de las causales de inhabilidad previstas en el artículo 8 de la Ley 80 de 1993, ni se evidencia otra inhabilidad legal que impida al ciudadano celebrar el contrato y/o convenio desde dicha calidad que ostenta.</w:t>
      </w:r>
    </w:p>
    <w:p w14:paraId="0DD9B7EA" w14:textId="77777777" w:rsidR="00E02C10" w:rsidRDefault="00E02C10" w:rsidP="00482887">
      <w:pPr>
        <w:rPr>
          <w:rFonts w:ascii="Verdana" w:eastAsia="Times New Roman" w:hAnsi="Verdana" w:cs="Arial"/>
          <w:lang w:eastAsia="es-ES_tradnl"/>
        </w:rPr>
      </w:pPr>
    </w:p>
    <w:p w14:paraId="367AF6C8" w14:textId="77777777" w:rsidR="00E02C10" w:rsidRDefault="00E02C10" w:rsidP="00482887">
      <w:pPr>
        <w:rPr>
          <w:rFonts w:ascii="Verdana" w:eastAsia="Times New Roman" w:hAnsi="Verdana" w:cs="Arial"/>
          <w:lang w:eastAsia="es-ES_tradnl"/>
        </w:rPr>
      </w:pPr>
    </w:p>
    <w:p w14:paraId="6C179469" w14:textId="77777777" w:rsidR="00E02C10" w:rsidRDefault="00E02C10" w:rsidP="00482887">
      <w:pPr>
        <w:rPr>
          <w:rFonts w:ascii="Verdana" w:eastAsia="Times New Roman" w:hAnsi="Verdana" w:cs="Arial"/>
          <w:lang w:eastAsia="es-ES_tradnl"/>
        </w:rPr>
      </w:pPr>
    </w:p>
    <w:p w14:paraId="6A0EB587" w14:textId="77777777" w:rsidR="00E02C10" w:rsidRDefault="00E02C10" w:rsidP="00482887">
      <w:pPr>
        <w:rPr>
          <w:rFonts w:ascii="Verdana" w:eastAsia="Times New Roman" w:hAnsi="Verdana" w:cs="Arial"/>
          <w:lang w:eastAsia="es-ES_tradnl"/>
        </w:rPr>
      </w:pPr>
    </w:p>
    <w:p w14:paraId="0D4F1A25" w14:textId="77777777" w:rsidR="00E02C10" w:rsidRDefault="00E02C10" w:rsidP="00482887">
      <w:pPr>
        <w:rPr>
          <w:rFonts w:ascii="Verdana" w:eastAsia="Times New Roman" w:hAnsi="Verdana" w:cs="Arial"/>
          <w:lang w:eastAsia="es-ES_tradnl"/>
        </w:rPr>
      </w:pPr>
    </w:p>
    <w:p w14:paraId="6668CC7F" w14:textId="77777777" w:rsidR="00E02C10" w:rsidRDefault="00E02C10" w:rsidP="00482887">
      <w:pPr>
        <w:rPr>
          <w:rFonts w:ascii="Verdana" w:eastAsia="Times New Roman" w:hAnsi="Verdana" w:cs="Arial"/>
          <w:lang w:eastAsia="es-ES_tradnl"/>
        </w:rPr>
      </w:pPr>
    </w:p>
    <w:p w14:paraId="2F55ABDC" w14:textId="77777777" w:rsidR="00E02C10" w:rsidRDefault="00E02C10" w:rsidP="00482887">
      <w:pPr>
        <w:rPr>
          <w:rFonts w:ascii="Verdana" w:eastAsia="Times New Roman" w:hAnsi="Verdana" w:cs="Arial"/>
          <w:lang w:eastAsia="es-ES_tradnl"/>
        </w:rPr>
      </w:pPr>
    </w:p>
    <w:p w14:paraId="44C7AC7D" w14:textId="77777777" w:rsidR="00E02C10" w:rsidRDefault="00E02C10" w:rsidP="00482887">
      <w:pPr>
        <w:rPr>
          <w:rFonts w:ascii="Verdana" w:eastAsia="Times New Roman" w:hAnsi="Verdana" w:cs="Arial"/>
          <w:lang w:eastAsia="es-ES_tradnl"/>
        </w:rPr>
      </w:pPr>
    </w:p>
    <w:p w14:paraId="63F9BB39" w14:textId="77777777" w:rsidR="00E02C10" w:rsidRDefault="00E02C10" w:rsidP="00482887">
      <w:pPr>
        <w:rPr>
          <w:rFonts w:ascii="Verdana" w:eastAsia="Times New Roman" w:hAnsi="Verdana" w:cs="Arial"/>
          <w:lang w:eastAsia="es-ES_tradnl"/>
        </w:rPr>
      </w:pPr>
    </w:p>
    <w:p w14:paraId="0423B98A" w14:textId="77777777" w:rsidR="00E02C10" w:rsidRDefault="00E02C10" w:rsidP="00482887">
      <w:pPr>
        <w:rPr>
          <w:rFonts w:ascii="Verdana" w:eastAsia="Times New Roman" w:hAnsi="Verdana" w:cs="Arial"/>
          <w:lang w:eastAsia="es-ES_tradnl"/>
        </w:rPr>
      </w:pPr>
    </w:p>
    <w:p w14:paraId="2D090BA4" w14:textId="77777777" w:rsidR="00D17578" w:rsidRDefault="00D17578" w:rsidP="00482887">
      <w:pPr>
        <w:rPr>
          <w:rFonts w:ascii="Verdana" w:eastAsia="Times New Roman" w:hAnsi="Verdana" w:cs="Arial"/>
          <w:lang w:eastAsia="es-ES_tradnl"/>
        </w:rPr>
      </w:pPr>
    </w:p>
    <w:p w14:paraId="7A74C6E0" w14:textId="3D0CBF06" w:rsidR="00482887" w:rsidRPr="006F44C3" w:rsidRDefault="00482887" w:rsidP="00482887">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B05B0B">
        <w:rPr>
          <w:rFonts w:ascii="Verdana" w:eastAsia="Times New Roman" w:hAnsi="Verdana" w:cs="Arial"/>
          <w:lang w:eastAsia="es-ES_tradnl"/>
        </w:rPr>
        <w:t>16</w:t>
      </w:r>
      <w:r w:rsidRPr="00093B55">
        <w:rPr>
          <w:rFonts w:ascii="Verdana" w:eastAsia="Times New Roman" w:hAnsi="Verdana" w:cs="Arial"/>
          <w:lang w:eastAsia="es-ES_tradnl"/>
        </w:rPr>
        <w:t xml:space="preserve"> d</w:t>
      </w:r>
      <w:r w:rsidR="00B05B0B">
        <w:rPr>
          <w:rFonts w:ascii="Verdana" w:eastAsia="Times New Roman" w:hAnsi="Verdana" w:cs="Arial"/>
          <w:lang w:eastAsia="es-ES_tradnl"/>
        </w:rPr>
        <w:t>e diciembre</w:t>
      </w:r>
      <w:r w:rsidRPr="00093B55">
        <w:rPr>
          <w:rFonts w:ascii="Verdana" w:eastAsia="Times New Roman" w:hAnsi="Verdana" w:cs="Arial"/>
          <w:lang w:eastAsia="es-ES_tradnl"/>
        </w:rPr>
        <w:t xml:space="preserve"> de </w:t>
      </w:r>
      <w:r w:rsidR="00B05B0B">
        <w:rPr>
          <w:rFonts w:ascii="Verdana" w:eastAsia="Times New Roman" w:hAnsi="Verdana" w:cs="Arial"/>
          <w:lang w:eastAsia="es-ES_tradnl"/>
        </w:rPr>
        <w:t>2025</w:t>
      </w:r>
    </w:p>
    <w:p w14:paraId="6CFE7708" w14:textId="77777777" w:rsidR="00482887" w:rsidRPr="00644843" w:rsidRDefault="00482887" w:rsidP="00482887">
      <w:pPr>
        <w:spacing w:after="0" w:line="256" w:lineRule="auto"/>
        <w:ind w:right="900"/>
        <w:rPr>
          <w:rFonts w:ascii="Verdana" w:eastAsia="Calibri" w:hAnsi="Verdana" w:cs="Times New Roman"/>
        </w:rPr>
      </w:pPr>
    </w:p>
    <w:p w14:paraId="4CA23147" w14:textId="29F084AA" w:rsidR="00B05B0B" w:rsidRDefault="00B05B0B" w:rsidP="00B05B0B">
      <w:pPr>
        <w:spacing w:after="0" w:line="256" w:lineRule="auto"/>
        <w:ind w:left="3540" w:right="900"/>
        <w:rPr>
          <w:rFonts w:ascii="Verdana" w:eastAsia="Calibri" w:hAnsi="Verdana" w:cs="Times New Roman"/>
          <w:lang w:val="es-MX"/>
        </w:rPr>
      </w:pPr>
      <w:r w:rsidRPr="00B05B0B">
        <w:rPr>
          <w:rFonts w:ascii="Verdana" w:eastAsia="Calibri" w:hAnsi="Verdana" w:cs="Times New Roman"/>
          <w:lang w:val="es-MX"/>
        </w:rPr>
        <w:drawing>
          <wp:inline distT="0" distB="0" distL="0" distR="0" wp14:anchorId="0B1E4940" wp14:editId="23ECC769">
            <wp:extent cx="3315163" cy="1047896"/>
            <wp:effectExtent l="0" t="0" r="0" b="0"/>
            <wp:docPr id="15529553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955334" name=""/>
                    <pic:cNvPicPr/>
                  </pic:nvPicPr>
                  <pic:blipFill>
                    <a:blip r:embed="rId10"/>
                    <a:stretch>
                      <a:fillRect/>
                    </a:stretch>
                  </pic:blipFill>
                  <pic:spPr>
                    <a:xfrm>
                      <a:off x="0" y="0"/>
                      <a:ext cx="3315163" cy="1047896"/>
                    </a:xfrm>
                    <a:prstGeom prst="rect">
                      <a:avLst/>
                    </a:prstGeom>
                  </pic:spPr>
                </pic:pic>
              </a:graphicData>
            </a:graphic>
          </wp:inline>
        </w:drawing>
      </w:r>
    </w:p>
    <w:p w14:paraId="79297141" w14:textId="084EA87B" w:rsidR="00482887" w:rsidRPr="00CE62FF" w:rsidRDefault="00482887" w:rsidP="00482887">
      <w:pPr>
        <w:spacing w:after="0" w:line="256" w:lineRule="auto"/>
        <w:ind w:right="900"/>
        <w:rPr>
          <w:rFonts w:ascii="Verdana" w:eastAsia="Calibri" w:hAnsi="Verdana" w:cs="Times New Roman"/>
          <w:lang w:val="es-MX"/>
        </w:rPr>
      </w:pPr>
      <w:r>
        <w:rPr>
          <w:rFonts w:ascii="Verdana" w:eastAsia="Calibri" w:hAnsi="Verdana" w:cs="Times New Roman"/>
          <w:lang w:val="es-MX"/>
        </w:rPr>
        <w:t>Señor</w:t>
      </w:r>
    </w:p>
    <w:p w14:paraId="45EAB47D" w14:textId="77777777" w:rsidR="00482887" w:rsidRPr="00640340" w:rsidRDefault="00482887" w:rsidP="00482887">
      <w:pPr>
        <w:spacing w:after="0" w:line="256" w:lineRule="auto"/>
        <w:ind w:right="900"/>
        <w:rPr>
          <w:rFonts w:ascii="Verdana" w:eastAsia="Calibri" w:hAnsi="Verdana" w:cs="Times New Roman"/>
          <w:b/>
        </w:rPr>
      </w:pPr>
      <w:r>
        <w:rPr>
          <w:rFonts w:ascii="Verdana" w:eastAsia="Calibri" w:hAnsi="Verdana" w:cs="Times New Roman"/>
          <w:b/>
        </w:rPr>
        <w:t>Salomón Alvira Valderrama</w:t>
      </w:r>
    </w:p>
    <w:p w14:paraId="581AEC36" w14:textId="77777777" w:rsidR="00482887" w:rsidRPr="00885FB8" w:rsidRDefault="00482887" w:rsidP="00482887">
      <w:pPr>
        <w:spacing w:after="0" w:line="256" w:lineRule="auto"/>
        <w:ind w:right="900"/>
        <w:rPr>
          <w:rFonts w:ascii="Verdana" w:hAnsi="Verdana"/>
        </w:rPr>
      </w:pPr>
      <w:hyperlink r:id="rId11" w:history="1">
        <w:r w:rsidRPr="00885FB8">
          <w:rPr>
            <w:rStyle w:val="Hipervnculo"/>
            <w:rFonts w:ascii="Verdana" w:hAnsi="Verdana"/>
          </w:rPr>
          <w:t>salomonalvirabalderrama@gmail.com</w:t>
        </w:r>
      </w:hyperlink>
      <w:r w:rsidRPr="00885FB8">
        <w:rPr>
          <w:rFonts w:ascii="Verdana" w:hAnsi="Verdana"/>
        </w:rPr>
        <w:t xml:space="preserve">;  </w:t>
      </w:r>
    </w:p>
    <w:p w14:paraId="1BE4B46D" w14:textId="77777777" w:rsidR="00482887" w:rsidRPr="00CE62FF" w:rsidRDefault="00482887" w:rsidP="00482887">
      <w:pPr>
        <w:spacing w:after="0" w:line="256" w:lineRule="auto"/>
        <w:ind w:right="900"/>
        <w:rPr>
          <w:rFonts w:ascii="Verdana" w:eastAsia="Calibri" w:hAnsi="Verdana" w:cs="Times New Roman"/>
        </w:rPr>
      </w:pPr>
      <w:r>
        <w:rPr>
          <w:rFonts w:ascii="Verdana" w:eastAsia="Calibri" w:hAnsi="Verdana" w:cs="Times New Roman"/>
        </w:rPr>
        <w:t>Acevedo, Huila</w:t>
      </w:r>
      <w:r w:rsidRPr="00CE62FF">
        <w:rPr>
          <w:rFonts w:ascii="Verdana" w:eastAsia="Calibri" w:hAnsi="Verdana" w:cs="Times New Roman"/>
        </w:rPr>
        <w:t>.</w:t>
      </w:r>
    </w:p>
    <w:p w14:paraId="2FEA8726" w14:textId="77777777" w:rsidR="00482887" w:rsidRPr="00CE62FF" w:rsidRDefault="00482887" w:rsidP="00482887">
      <w:pPr>
        <w:spacing w:after="0" w:line="256" w:lineRule="auto"/>
        <w:ind w:right="900"/>
        <w:rPr>
          <w:rFonts w:ascii="Verdana" w:eastAsia="Calibri" w:hAnsi="Verdana" w:cs="Times New Roman"/>
        </w:rPr>
      </w:pPr>
    </w:p>
    <w:p w14:paraId="534F9691" w14:textId="77777777" w:rsidR="00482887" w:rsidRPr="00CE62FF" w:rsidRDefault="00482887" w:rsidP="00482887">
      <w:pPr>
        <w:spacing w:after="0" w:line="256" w:lineRule="auto"/>
        <w:ind w:right="900"/>
        <w:rPr>
          <w:rFonts w:ascii="Verdana" w:eastAsia="Calibri" w:hAnsi="Verdana" w:cs="Times New Roman"/>
          <w:b/>
          <w:bCs/>
          <w:lang w:val="es-ES"/>
        </w:rPr>
      </w:pPr>
      <w:r w:rsidRPr="00CE62FF">
        <w:rPr>
          <w:rFonts w:ascii="Verdana" w:eastAsia="Calibri" w:hAnsi="Verdana" w:cs="Times New Roman"/>
          <w:b/>
          <w:bCs/>
          <w:lang w:val="es-ES"/>
        </w:rPr>
        <w:t xml:space="preserve">                                    Concepto C–</w:t>
      </w:r>
      <w:r>
        <w:rPr>
          <w:rFonts w:ascii="Verdana" w:eastAsia="Calibri" w:hAnsi="Verdana" w:cs="Times New Roman"/>
          <w:b/>
          <w:bCs/>
          <w:lang w:val="es-ES"/>
        </w:rPr>
        <w:t>1673</w:t>
      </w:r>
      <w:r w:rsidRPr="00CE62FF">
        <w:rPr>
          <w:rFonts w:ascii="Verdana" w:eastAsia="Calibri" w:hAnsi="Verdana" w:cs="Times New Roman"/>
          <w:b/>
          <w:bCs/>
          <w:lang w:val="es-ES"/>
        </w:rPr>
        <w:t xml:space="preserve"> de 2025</w:t>
      </w:r>
    </w:p>
    <w:p w14:paraId="2F5029BE" w14:textId="77777777" w:rsidR="00482887" w:rsidRPr="00CE62FF" w:rsidRDefault="00482887" w:rsidP="00482887">
      <w:pPr>
        <w:spacing w:after="0" w:line="256" w:lineRule="auto"/>
        <w:ind w:right="900"/>
        <w:rPr>
          <w:rFonts w:ascii="Verdana" w:eastAsia="Calibri" w:hAnsi="Verdana" w:cs="Times New Roman"/>
          <w:lang w:val="es-ES_tradnl"/>
        </w:rPr>
      </w:pPr>
    </w:p>
    <w:tbl>
      <w:tblPr>
        <w:tblStyle w:val="Tablaconcuadrcula1"/>
        <w:tblW w:w="1516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26"/>
        <w:gridCol w:w="2190"/>
        <w:gridCol w:w="5385"/>
        <w:gridCol w:w="5263"/>
      </w:tblGrid>
      <w:tr w:rsidR="00482887" w:rsidRPr="00CE62FF" w14:paraId="3DA30E34" w14:textId="77777777" w:rsidTr="007D411D">
        <w:trPr>
          <w:trHeight w:val="300"/>
        </w:trPr>
        <w:tc>
          <w:tcPr>
            <w:tcW w:w="2216" w:type="dxa"/>
            <w:hideMark/>
          </w:tcPr>
          <w:p w14:paraId="315E3B89" w14:textId="77777777" w:rsidR="00482887" w:rsidRPr="00CE62FF" w:rsidRDefault="00482887" w:rsidP="007D411D">
            <w:pPr>
              <w:ind w:right="900"/>
              <w:rPr>
                <w:rFonts w:ascii="Verdana" w:hAnsi="Verdana"/>
                <w:b/>
                <w:bCs/>
                <w:lang w:val="es-ES_tradnl"/>
              </w:rPr>
            </w:pPr>
            <w:r w:rsidRPr="00CE62FF">
              <w:rPr>
                <w:rFonts w:ascii="Verdana" w:hAnsi="Verdana"/>
                <w:b/>
                <w:bCs/>
                <w:lang w:val="es-ES_tradnl"/>
              </w:rPr>
              <w:t xml:space="preserve">Temas:                   </w:t>
            </w:r>
          </w:p>
        </w:tc>
        <w:tc>
          <w:tcPr>
            <w:tcW w:w="2216" w:type="dxa"/>
          </w:tcPr>
          <w:p w14:paraId="071EC4A0" w14:textId="77777777" w:rsidR="00482887" w:rsidRDefault="00482887" w:rsidP="007D411D">
            <w:pPr>
              <w:ind w:right="900"/>
              <w:rPr>
                <w:rFonts w:ascii="Verdana" w:hAnsi="Verdana"/>
                <w:b/>
                <w:bCs/>
                <w:lang w:val="es-ES"/>
              </w:rPr>
            </w:pPr>
          </w:p>
        </w:tc>
        <w:tc>
          <w:tcPr>
            <w:tcW w:w="5406" w:type="dxa"/>
            <w:hideMark/>
          </w:tcPr>
          <w:p w14:paraId="4269D709" w14:textId="77777777" w:rsidR="00482887" w:rsidRPr="00CE62FF" w:rsidRDefault="00482887" w:rsidP="007D411D">
            <w:pPr>
              <w:ind w:left="21" w:right="1111" w:hanging="21"/>
              <w:jc w:val="both"/>
              <w:rPr>
                <w:rFonts w:ascii="Verdana" w:hAnsi="Verdana"/>
                <w:highlight w:val="yellow"/>
              </w:rPr>
            </w:pPr>
            <w:r w:rsidRPr="003D455F">
              <w:rPr>
                <w:rFonts w:ascii="Verdana" w:eastAsia="Times New Roman" w:hAnsi="Verdana" w:cs="Arial"/>
                <w:lang w:eastAsia="es-ES_tradnl"/>
              </w:rPr>
              <w:t xml:space="preserve">RÉGIMEN DE INHABILIDADES E INCOMPATIBILIDADES – Concepto – Principio de legalidad / INHABILIDADES E INCOMPATIBILIDADES ― Interpretación restrictiva </w:t>
            </w:r>
          </w:p>
        </w:tc>
        <w:tc>
          <w:tcPr>
            <w:tcW w:w="5326" w:type="dxa"/>
          </w:tcPr>
          <w:p w14:paraId="716B54D9" w14:textId="77777777" w:rsidR="00482887" w:rsidRPr="00CE62FF" w:rsidRDefault="00482887" w:rsidP="007D411D">
            <w:pPr>
              <w:spacing w:line="256" w:lineRule="auto"/>
              <w:ind w:right="900"/>
              <w:rPr>
                <w:rFonts w:ascii="Verdana" w:hAnsi="Verdana"/>
              </w:rPr>
            </w:pPr>
          </w:p>
        </w:tc>
      </w:tr>
      <w:tr w:rsidR="00482887" w:rsidRPr="00CE62FF" w14:paraId="0D5DFB23" w14:textId="77777777" w:rsidTr="007D411D">
        <w:trPr>
          <w:trHeight w:val="80"/>
        </w:trPr>
        <w:tc>
          <w:tcPr>
            <w:tcW w:w="2216" w:type="dxa"/>
          </w:tcPr>
          <w:p w14:paraId="3364C705" w14:textId="77777777" w:rsidR="00482887" w:rsidRPr="00CE62FF" w:rsidRDefault="00482887" w:rsidP="007D411D">
            <w:pPr>
              <w:spacing w:line="256" w:lineRule="auto"/>
              <w:ind w:right="900"/>
              <w:rPr>
                <w:rFonts w:ascii="Verdana" w:hAnsi="Verdana"/>
                <w:lang w:val="es-ES_tradnl"/>
              </w:rPr>
            </w:pPr>
          </w:p>
          <w:p w14:paraId="3C33D466" w14:textId="77777777" w:rsidR="00482887" w:rsidRPr="00CE62FF" w:rsidRDefault="00482887" w:rsidP="007D411D">
            <w:pPr>
              <w:spacing w:line="256" w:lineRule="auto"/>
              <w:ind w:right="900"/>
              <w:rPr>
                <w:rFonts w:ascii="Verdana" w:hAnsi="Verdana"/>
                <w:b/>
                <w:bCs/>
                <w:lang w:val="es-ES_tradnl"/>
              </w:rPr>
            </w:pPr>
            <w:r w:rsidRPr="00CE62FF">
              <w:rPr>
                <w:rFonts w:ascii="Verdana" w:hAnsi="Verdana"/>
                <w:b/>
                <w:bCs/>
                <w:lang w:val="es-ES_tradnl"/>
              </w:rPr>
              <w:t xml:space="preserve">Radicación:               </w:t>
            </w:r>
          </w:p>
        </w:tc>
        <w:tc>
          <w:tcPr>
            <w:tcW w:w="2216" w:type="dxa"/>
          </w:tcPr>
          <w:p w14:paraId="2B680EC5" w14:textId="77777777" w:rsidR="00482887" w:rsidRDefault="00482887" w:rsidP="007D411D">
            <w:pPr>
              <w:spacing w:line="256" w:lineRule="auto"/>
              <w:ind w:right="900"/>
              <w:rPr>
                <w:rFonts w:ascii="Verdana" w:hAnsi="Verdana"/>
                <w:lang w:val="es-ES"/>
              </w:rPr>
            </w:pPr>
          </w:p>
        </w:tc>
        <w:tc>
          <w:tcPr>
            <w:tcW w:w="5406" w:type="dxa"/>
          </w:tcPr>
          <w:p w14:paraId="520B5A81" w14:textId="77777777" w:rsidR="00482887" w:rsidRPr="00CE62FF" w:rsidRDefault="00482887" w:rsidP="007D411D">
            <w:pPr>
              <w:spacing w:line="257" w:lineRule="auto"/>
              <w:ind w:right="900"/>
              <w:rPr>
                <w:rFonts w:ascii="Verdana" w:hAnsi="Verdana"/>
                <w:lang w:val="es-ES_tradnl"/>
              </w:rPr>
            </w:pPr>
          </w:p>
          <w:p w14:paraId="189BF6E2" w14:textId="77777777" w:rsidR="00482887" w:rsidRPr="00CE62FF" w:rsidDel="00426FD7" w:rsidRDefault="00482887" w:rsidP="007D411D">
            <w:pPr>
              <w:spacing w:line="257" w:lineRule="auto"/>
              <w:ind w:right="900"/>
              <w:jc w:val="both"/>
              <w:rPr>
                <w:rFonts w:ascii="Verdana" w:hAnsi="Verdana"/>
              </w:rPr>
            </w:pPr>
            <w:r w:rsidRPr="00CE62FF">
              <w:rPr>
                <w:rFonts w:ascii="Verdana" w:hAnsi="Verdana"/>
                <w:lang w:val="es-ES_tradnl"/>
              </w:rPr>
              <w:t xml:space="preserve">Respuesta a consulta con radicado No. </w:t>
            </w:r>
          </w:p>
          <w:p w14:paraId="325B04C8" w14:textId="77777777" w:rsidR="00482887" w:rsidRPr="00CE62FF" w:rsidRDefault="00482887" w:rsidP="007D411D">
            <w:pPr>
              <w:spacing w:line="257" w:lineRule="auto"/>
              <w:ind w:right="900"/>
              <w:jc w:val="both"/>
              <w:rPr>
                <w:rFonts w:ascii="Verdana" w:hAnsi="Verdana"/>
              </w:rPr>
            </w:pPr>
            <w:r w:rsidRPr="00885FB8">
              <w:rPr>
                <w:rFonts w:ascii="Verdana" w:hAnsi="Verdana"/>
              </w:rPr>
              <w:t>1_2025_11_12_012777</w:t>
            </w:r>
          </w:p>
        </w:tc>
        <w:tc>
          <w:tcPr>
            <w:tcW w:w="5326" w:type="dxa"/>
          </w:tcPr>
          <w:p w14:paraId="68D34DD6" w14:textId="77777777" w:rsidR="00482887" w:rsidRPr="00CE62FF" w:rsidRDefault="00482887" w:rsidP="007D411D">
            <w:pPr>
              <w:spacing w:line="256" w:lineRule="auto"/>
              <w:ind w:right="900"/>
              <w:rPr>
                <w:rFonts w:ascii="Verdana" w:hAnsi="Verdana"/>
                <w:lang w:val="es-ES_tradnl"/>
              </w:rPr>
            </w:pPr>
          </w:p>
        </w:tc>
      </w:tr>
    </w:tbl>
    <w:p w14:paraId="697832DF" w14:textId="77777777" w:rsidR="00482887" w:rsidRPr="00CE62FF" w:rsidRDefault="00482887" w:rsidP="00482887">
      <w:pPr>
        <w:spacing w:after="0" w:line="256" w:lineRule="auto"/>
        <w:rPr>
          <w:rFonts w:ascii="Verdana" w:eastAsia="Calibri" w:hAnsi="Verdana" w:cs="Times New Roman"/>
          <w:lang w:val="es-ES_tradnl"/>
        </w:rPr>
      </w:pPr>
    </w:p>
    <w:p w14:paraId="434487F4" w14:textId="19CD82AB" w:rsidR="00482887" w:rsidRPr="00CE62FF" w:rsidRDefault="00482887" w:rsidP="00482887">
      <w:pPr>
        <w:spacing w:after="0" w:line="256" w:lineRule="auto"/>
        <w:rPr>
          <w:rFonts w:ascii="Verdana" w:eastAsia="Calibri" w:hAnsi="Verdana" w:cs="Times New Roman"/>
          <w:lang w:val="es-ES"/>
        </w:rPr>
      </w:pPr>
      <w:r w:rsidRPr="00CE62FF">
        <w:rPr>
          <w:rFonts w:ascii="Verdana" w:eastAsia="Calibri" w:hAnsi="Verdana" w:cs="Times New Roman"/>
          <w:lang w:val="es-ES"/>
        </w:rPr>
        <w:t>Estimad</w:t>
      </w:r>
      <w:r>
        <w:rPr>
          <w:rFonts w:ascii="Verdana" w:eastAsia="Calibri" w:hAnsi="Verdana" w:cs="Times New Roman"/>
          <w:lang w:val="es-ES"/>
        </w:rPr>
        <w:t>o</w:t>
      </w:r>
      <w:r w:rsidR="0016570C">
        <w:rPr>
          <w:rFonts w:ascii="Verdana" w:eastAsia="Calibri" w:hAnsi="Verdana" w:cs="Times New Roman"/>
          <w:lang w:val="es-ES"/>
        </w:rPr>
        <w:t xml:space="preserve"> señor</w:t>
      </w:r>
      <w:r w:rsidRPr="00CE62FF">
        <w:rPr>
          <w:rFonts w:ascii="Verdana" w:eastAsia="Calibri" w:hAnsi="Verdana" w:cs="Times New Roman"/>
          <w:lang w:val="es-ES"/>
        </w:rPr>
        <w:t xml:space="preserve"> </w:t>
      </w:r>
      <w:r>
        <w:rPr>
          <w:rFonts w:ascii="Verdana" w:eastAsia="Calibri" w:hAnsi="Verdana" w:cs="Times New Roman"/>
          <w:lang w:val="es-ES"/>
        </w:rPr>
        <w:t>Alvira Valderrama</w:t>
      </w:r>
      <w:r w:rsidRPr="00CE62FF">
        <w:rPr>
          <w:rFonts w:ascii="Verdana" w:eastAsia="Calibri" w:hAnsi="Verdana" w:cs="Times New Roman"/>
          <w:lang w:val="es-ES"/>
        </w:rPr>
        <w:t xml:space="preserve">: </w:t>
      </w:r>
    </w:p>
    <w:p w14:paraId="3720678B" w14:textId="77777777" w:rsidR="00482887" w:rsidRPr="00CE62FF" w:rsidRDefault="00482887" w:rsidP="00482887">
      <w:pPr>
        <w:spacing w:after="0" w:line="256" w:lineRule="auto"/>
        <w:rPr>
          <w:rFonts w:ascii="Verdana" w:eastAsia="Calibri" w:hAnsi="Verdana" w:cs="Times New Roman"/>
          <w:lang w:val="es-ES"/>
        </w:rPr>
      </w:pPr>
    </w:p>
    <w:p w14:paraId="71311968" w14:textId="77777777" w:rsidR="00482887" w:rsidRPr="00A639A4" w:rsidRDefault="00482887" w:rsidP="00482887">
      <w:pPr>
        <w:spacing w:after="0" w:line="276" w:lineRule="auto"/>
        <w:jc w:val="both"/>
        <w:rPr>
          <w:rFonts w:ascii="Verdana" w:eastAsia="Calibri" w:hAnsi="Verdana" w:cs="Times New Roman"/>
        </w:rPr>
      </w:pPr>
      <w:r w:rsidRPr="00CE62FF">
        <w:rPr>
          <w:rFonts w:ascii="Verdana" w:eastAsia="Calibri" w:hAnsi="Verdana" w:cs="Times New Roman"/>
          <w:lang w:val="es-ES"/>
        </w:rPr>
        <w:t>En ejercicio de la competencia otorgada por</w:t>
      </w:r>
      <w:r w:rsidRPr="00A12061">
        <w:rPr>
          <w:rFonts w:ascii="Verdana" w:eastAsia="Calibri" w:hAnsi="Verdana" w:cs="Times New Roman"/>
          <w:lang w:val="es-ES"/>
        </w:rPr>
        <w:t xml:space="preserve"> los artículos 3, numeral 5º, y 11, numeral 8º, del Decreto Ley 4170 de 2011, la Agencia Nacional de Contratación Pública – Colombia Compra Eficiente– responde la solici</w:t>
      </w:r>
      <w:r>
        <w:rPr>
          <w:rFonts w:ascii="Verdana" w:eastAsia="Calibri" w:hAnsi="Verdana" w:cs="Times New Roman"/>
          <w:lang w:val="es-ES"/>
        </w:rPr>
        <w:t xml:space="preserve">tud de consulta presentada el 12 de noviembre </w:t>
      </w:r>
      <w:r w:rsidRPr="00A12061">
        <w:rPr>
          <w:rFonts w:ascii="Verdana" w:eastAsia="Calibri" w:hAnsi="Verdana" w:cs="Times New Roman"/>
          <w:lang w:val="es-ES"/>
        </w:rPr>
        <w:t xml:space="preserve"> de 2025, en la cual manifiesta lo siguiente:</w:t>
      </w:r>
      <w:r w:rsidRPr="000D6D0E">
        <w:rPr>
          <w:rFonts w:ascii="Verdana" w:eastAsia="Calibri" w:hAnsi="Verdana" w:cs="Times New Roman"/>
        </w:rPr>
        <w:t xml:space="preserve"> </w:t>
      </w:r>
      <w:r w:rsidRPr="00A639A4">
        <w:rPr>
          <w:rFonts w:ascii="Verdana" w:eastAsia="Calibri" w:hAnsi="Verdana" w:cs="Times New Roman"/>
          <w:i/>
          <w:iCs/>
          <w:sz w:val="20"/>
          <w:szCs w:val="20"/>
        </w:rPr>
        <w:t xml:space="preserve">“ […] Buenos día, ¿Un presidente de una junta de acción comunal, que tiene un contrato </w:t>
      </w:r>
      <w:proofErr w:type="spellStart"/>
      <w:r w:rsidRPr="00A639A4">
        <w:rPr>
          <w:rFonts w:ascii="Verdana" w:eastAsia="Calibri" w:hAnsi="Verdana" w:cs="Times New Roman"/>
          <w:i/>
          <w:iCs/>
          <w:sz w:val="20"/>
          <w:szCs w:val="20"/>
        </w:rPr>
        <w:t>e</w:t>
      </w:r>
      <w:proofErr w:type="spellEnd"/>
      <w:r w:rsidRPr="00A639A4">
        <w:rPr>
          <w:rFonts w:ascii="Verdana" w:eastAsia="Calibri" w:hAnsi="Verdana" w:cs="Times New Roman"/>
          <w:i/>
          <w:iCs/>
          <w:sz w:val="20"/>
          <w:szCs w:val="20"/>
        </w:rPr>
        <w:t xml:space="preserve"> prestación de servicios como persona natural, puede celebrar convenios como presidente con el mismo municipio?.?</w:t>
      </w:r>
      <w:r w:rsidRPr="00A639A4">
        <w:rPr>
          <w:rFonts w:ascii="Verdana" w:eastAsia="Calibri" w:hAnsi="Verdana" w:cs="Times New Roman"/>
          <w:i/>
          <w:iCs/>
          <w:sz w:val="20"/>
          <w:szCs w:val="20"/>
          <w:lang w:val="es-ES"/>
        </w:rPr>
        <w:t xml:space="preserve">”. </w:t>
      </w:r>
    </w:p>
    <w:p w14:paraId="03A8A9CA" w14:textId="77777777" w:rsidR="00482887" w:rsidRPr="00AC0317" w:rsidRDefault="00482887" w:rsidP="00482887">
      <w:pPr>
        <w:spacing w:after="0" w:line="276" w:lineRule="auto"/>
        <w:ind w:left="709" w:right="618"/>
        <w:jc w:val="both"/>
        <w:rPr>
          <w:rFonts w:ascii="Verdana" w:eastAsia="Calibri" w:hAnsi="Verdana" w:cs="Arial"/>
          <w:sz w:val="20"/>
          <w:szCs w:val="20"/>
          <w:lang w:eastAsia="es-ES"/>
        </w:rPr>
      </w:pPr>
    </w:p>
    <w:p w14:paraId="7886595C" w14:textId="77777777" w:rsidR="00482887" w:rsidRPr="00C45C5D" w:rsidRDefault="00482887" w:rsidP="00482887">
      <w:pPr>
        <w:spacing w:after="12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C45C5D">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45C5D">
        <w:rPr>
          <w:rFonts w:ascii="Verdana" w:eastAsia="Calibri" w:hAnsi="Verdana" w:cs="Arial"/>
          <w:color w:val="000000"/>
          <w:szCs w:val="24"/>
          <w:lang w:val="es-ES_tradnl" w:eastAsia="es-ES_tradnl"/>
        </w:rPr>
        <w:tab/>
      </w:r>
    </w:p>
    <w:p w14:paraId="551F1A5A" w14:textId="77777777" w:rsidR="00482887" w:rsidRPr="00C45C5D" w:rsidRDefault="00482887" w:rsidP="00482887">
      <w:pPr>
        <w:spacing w:after="0" w:line="276" w:lineRule="auto"/>
        <w:ind w:firstLine="709"/>
        <w:jc w:val="both"/>
        <w:rPr>
          <w:rFonts w:ascii="Verdana" w:eastAsia="Calibri" w:hAnsi="Verdana" w:cs="Arial"/>
          <w:color w:val="000000"/>
          <w:lang w:val="es-ES" w:eastAsia="es-ES"/>
        </w:rPr>
      </w:pPr>
      <w:r w:rsidRPr="00C45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problema</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jurídico</w:t>
      </w:r>
      <w:r w:rsidRPr="00C45C5D">
        <w:rPr>
          <w:rFonts w:ascii="Verdana" w:eastAsia="Calibri" w:hAnsi="Verdana" w:cs="Arial"/>
          <w:color w:val="7030A0"/>
          <w:lang w:val="es-ES" w:eastAsia="es-ES"/>
        </w:rPr>
        <w:t xml:space="preserve"> </w:t>
      </w:r>
      <w:r w:rsidRPr="00C45C5D">
        <w:rPr>
          <w:rFonts w:ascii="Verdana" w:eastAsia="Calibri" w:hAnsi="Verdana" w:cs="Arial"/>
          <w:color w:val="000000"/>
          <w:lang w:val="es-ES" w:eastAsia="es-ES"/>
        </w:rPr>
        <w:t xml:space="preserve">de su consulta. </w:t>
      </w:r>
    </w:p>
    <w:p w14:paraId="2542D952" w14:textId="77777777" w:rsidR="00482887" w:rsidRPr="00C45C5D" w:rsidRDefault="00482887" w:rsidP="00482887">
      <w:pPr>
        <w:spacing w:after="0" w:line="276" w:lineRule="auto"/>
        <w:ind w:firstLine="709"/>
        <w:jc w:val="both"/>
        <w:rPr>
          <w:rFonts w:ascii="Verdana" w:eastAsia="Calibri" w:hAnsi="Verdana" w:cs="Arial"/>
          <w:color w:val="000000"/>
          <w:lang w:val="es-ES" w:eastAsia="es-ES"/>
        </w:rPr>
      </w:pPr>
    </w:p>
    <w:p w14:paraId="1097E47A" w14:textId="77777777" w:rsidR="00482887" w:rsidRPr="00C45C5D" w:rsidRDefault="00482887" w:rsidP="0048288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C45C5D">
        <w:rPr>
          <w:rFonts w:ascii="Verdana" w:eastAsia="Century Gothic" w:hAnsi="Verdana" w:cs="Century Gothic"/>
          <w:b/>
          <w:bCs/>
          <w:lang w:val="es-ES"/>
        </w:rPr>
        <w:t>Problemas planteados:</w:t>
      </w:r>
    </w:p>
    <w:p w14:paraId="2E24CCF3" w14:textId="77777777" w:rsidR="00482887" w:rsidRPr="00C45C5D" w:rsidRDefault="00482887" w:rsidP="00482887">
      <w:pPr>
        <w:tabs>
          <w:tab w:val="left" w:pos="426"/>
        </w:tabs>
        <w:spacing w:after="0" w:line="276" w:lineRule="auto"/>
        <w:jc w:val="both"/>
        <w:rPr>
          <w:rFonts w:ascii="Verdana" w:eastAsia="Century Gothic" w:hAnsi="Verdana" w:cs="Century Gothic"/>
          <w:lang w:val="es-ES"/>
        </w:rPr>
      </w:pPr>
    </w:p>
    <w:p w14:paraId="54D75BB2" w14:textId="21703719" w:rsidR="00482887" w:rsidRDefault="00482887" w:rsidP="00482887">
      <w:pPr>
        <w:spacing w:after="0" w:line="276" w:lineRule="auto"/>
        <w:jc w:val="both"/>
        <w:rPr>
          <w:rFonts w:ascii="Verdana" w:hAnsi="Verdana"/>
        </w:rPr>
      </w:pPr>
      <w:r w:rsidRPr="00C45C5D">
        <w:rPr>
          <w:rFonts w:ascii="Verdana" w:eastAsia="Century Gothic" w:hAnsi="Verdana" w:cs="Century Gothic"/>
        </w:rPr>
        <w:t xml:space="preserve">De acuerdo con el contenido de su solicitud, esta Agencia resolverá el siguiente problema jurídico: </w:t>
      </w:r>
      <w:r>
        <w:rPr>
          <w:rFonts w:ascii="Verdana" w:hAnsi="Verdana"/>
        </w:rPr>
        <w:t xml:space="preserve">¿Se configura alguna causal de inhabilidad e incompatibilidad, o conflicto de intereses </w:t>
      </w:r>
      <w:r w:rsidR="3AFDF17B" w:rsidRPr="65EB14E2">
        <w:rPr>
          <w:rFonts w:ascii="Verdana" w:hAnsi="Verdana"/>
        </w:rPr>
        <w:t xml:space="preserve">para </w:t>
      </w:r>
      <w:r w:rsidRPr="00624BD6">
        <w:rPr>
          <w:rFonts w:ascii="Verdana" w:hAnsi="Verdana"/>
        </w:rPr>
        <w:t xml:space="preserve">que el presidente de una Junta de Acción Comunal, que además es contratista </w:t>
      </w:r>
      <w:r w:rsidR="1217E4E4" w:rsidRPr="65EB14E2">
        <w:rPr>
          <w:rFonts w:ascii="Verdana" w:hAnsi="Verdana"/>
        </w:rPr>
        <w:t xml:space="preserve">de prestación de servicios </w:t>
      </w:r>
      <w:r w:rsidRPr="00624BD6">
        <w:rPr>
          <w:rFonts w:ascii="Verdana" w:hAnsi="Verdana"/>
        </w:rPr>
        <w:t xml:space="preserve">del municipio, celebre </w:t>
      </w:r>
      <w:r w:rsidR="7DD1BA08" w:rsidRPr="65EB14E2">
        <w:rPr>
          <w:rFonts w:ascii="Verdana" w:hAnsi="Verdana"/>
        </w:rPr>
        <w:t xml:space="preserve">en su calidad de representante legal de la JAC </w:t>
      </w:r>
      <w:r w:rsidRPr="00624BD6">
        <w:rPr>
          <w:rFonts w:ascii="Verdana" w:hAnsi="Verdana"/>
        </w:rPr>
        <w:t>convenios con el mismo ente territorial?</w:t>
      </w:r>
    </w:p>
    <w:p w14:paraId="64E59833" w14:textId="77777777" w:rsidR="00482887" w:rsidRPr="00C45C5D" w:rsidRDefault="00482887" w:rsidP="00482887">
      <w:pPr>
        <w:spacing w:after="0" w:line="276" w:lineRule="auto"/>
        <w:jc w:val="both"/>
        <w:rPr>
          <w:rFonts w:ascii="Verdana" w:eastAsia="Calibri" w:hAnsi="Verdana" w:cs="Arial"/>
          <w:color w:val="7030A0"/>
        </w:rPr>
      </w:pPr>
    </w:p>
    <w:p w14:paraId="570CC2E1" w14:textId="77777777" w:rsidR="00482887" w:rsidRPr="00C45C5D" w:rsidRDefault="00482887" w:rsidP="0048288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Respuestas:</w:t>
      </w:r>
    </w:p>
    <w:p w14:paraId="1F9D103A" w14:textId="77777777" w:rsidR="00482887" w:rsidRPr="00C45C5D" w:rsidRDefault="00482887" w:rsidP="0048288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82887" w:rsidRPr="00C45C5D" w14:paraId="027717AC" w14:textId="77777777" w:rsidTr="007D411D">
        <w:trPr>
          <w:jc w:val="center"/>
        </w:trPr>
        <w:tc>
          <w:tcPr>
            <w:tcW w:w="8828" w:type="dxa"/>
          </w:tcPr>
          <w:p w14:paraId="6784366B" w14:textId="5C0ABB05" w:rsidR="00482887" w:rsidRDefault="00482887" w:rsidP="007D411D">
            <w:pPr>
              <w:spacing w:after="120" w:line="276" w:lineRule="auto"/>
              <w:jc w:val="both"/>
              <w:rPr>
                <w:rFonts w:ascii="Verdana" w:eastAsia="Arial MT" w:hAnsi="Verdana" w:cs="Arial"/>
                <w:lang w:eastAsia="es-ES" w:bidi="es-ES"/>
              </w:rPr>
            </w:pPr>
            <w:bookmarkStart w:id="2" w:name="_Hlk171694685"/>
            <w:r>
              <w:rPr>
                <w:rFonts w:ascii="Verdana" w:eastAsia="Arial MT" w:hAnsi="Verdana" w:cs="Arial"/>
                <w:lang w:eastAsia="es-ES" w:bidi="es-ES"/>
              </w:rPr>
              <w:t>En primera medida a juicio de la Agencia, n</w:t>
            </w:r>
            <w:r w:rsidRPr="00E15E22">
              <w:rPr>
                <w:rFonts w:ascii="Verdana" w:eastAsia="Arial MT" w:hAnsi="Verdana" w:cs="Arial"/>
                <w:lang w:eastAsia="es-ES" w:bidi="es-ES"/>
              </w:rPr>
              <w:t>o existe restricción de orden legal o reglamentari</w:t>
            </w:r>
            <w:r>
              <w:rPr>
                <w:rFonts w:ascii="Verdana" w:eastAsia="Arial MT" w:hAnsi="Verdana" w:cs="Arial"/>
                <w:lang w:eastAsia="es-ES" w:bidi="es-ES"/>
              </w:rPr>
              <w:t>a</w:t>
            </w:r>
            <w:r w:rsidRPr="00E15E22">
              <w:rPr>
                <w:rFonts w:ascii="Verdana" w:eastAsia="Arial MT" w:hAnsi="Verdana" w:cs="Arial"/>
                <w:lang w:eastAsia="es-ES" w:bidi="es-ES"/>
              </w:rPr>
              <w:t xml:space="preserve">, ni causal de inhabilidad o incompatibilidad que prohíba </w:t>
            </w:r>
            <w:r>
              <w:rPr>
                <w:rFonts w:ascii="Verdana" w:eastAsia="Arial MT" w:hAnsi="Verdana" w:cs="Arial"/>
                <w:lang w:eastAsia="es-ES" w:bidi="es-ES"/>
              </w:rPr>
              <w:t xml:space="preserve">y/o </w:t>
            </w:r>
            <w:r w:rsidRPr="00624BD6">
              <w:rPr>
                <w:rFonts w:ascii="Verdana" w:eastAsia="Arial MT" w:hAnsi="Verdana" w:cs="Arial"/>
                <w:lang w:eastAsia="es-ES" w:bidi="es-ES"/>
              </w:rPr>
              <w:t xml:space="preserve">impida que quien preside una JAC tenga simultáneamente un contrato de prestación de servicios con el municipio y </w:t>
            </w:r>
            <w:r w:rsidR="58A77AAB" w:rsidRPr="65EB14E2">
              <w:rPr>
                <w:rFonts w:ascii="Verdana" w:eastAsia="Arial MT" w:hAnsi="Verdana" w:cs="Arial"/>
                <w:lang w:eastAsia="es-ES" w:bidi="es-ES"/>
              </w:rPr>
              <w:t xml:space="preserve">como representante legal </w:t>
            </w:r>
            <w:r w:rsidRPr="00624BD6">
              <w:rPr>
                <w:rFonts w:ascii="Verdana" w:eastAsia="Arial MT" w:hAnsi="Verdana" w:cs="Arial"/>
                <w:lang w:eastAsia="es-ES" w:bidi="es-ES"/>
              </w:rPr>
              <w:t>la JAC celebre un convenio con ese mismo municipio.</w:t>
            </w:r>
          </w:p>
          <w:p w14:paraId="56288D4C" w14:textId="77777777" w:rsidR="00482887" w:rsidRDefault="00482887" w:rsidP="007D411D">
            <w:pPr>
              <w:spacing w:after="120" w:line="276" w:lineRule="auto"/>
              <w:ind w:firstLine="743"/>
              <w:jc w:val="both"/>
              <w:rPr>
                <w:rFonts w:ascii="Verdana" w:eastAsia="Arial MT" w:hAnsi="Verdana" w:cs="Arial"/>
                <w:lang w:eastAsia="es-ES" w:bidi="es-ES"/>
              </w:rPr>
            </w:pPr>
            <w:r w:rsidRPr="00A711E0">
              <w:rPr>
                <w:rFonts w:ascii="Verdana" w:eastAsia="Arial MT" w:hAnsi="Verdana" w:cs="Arial"/>
                <w:lang w:eastAsia="es-ES" w:bidi="es-ES"/>
              </w:rPr>
              <w:t xml:space="preserve">Sin embargo, la entidad contratante deberá identificar cualquier conducta que pueda llegar a tener la connotación de un conflicto de interés, derivado de la concurrencia de intereses antagónicos en el contratista que </w:t>
            </w:r>
            <w:r w:rsidRPr="00A711E0">
              <w:rPr>
                <w:rFonts w:ascii="Verdana" w:eastAsia="Arial MT" w:hAnsi="Verdana" w:cs="Arial"/>
                <w:lang w:eastAsia="es-ES" w:bidi="es-ES"/>
              </w:rPr>
              <w:lastRenderedPageBreak/>
              <w:t>presta sus servicios en</w:t>
            </w:r>
            <w:r>
              <w:rPr>
                <w:rFonts w:ascii="Verdana" w:eastAsia="Arial MT" w:hAnsi="Verdana" w:cs="Arial"/>
                <w:lang w:eastAsia="es-ES" w:bidi="es-ES"/>
              </w:rPr>
              <w:t xml:space="preserve"> el ente territorial</w:t>
            </w:r>
            <w:r w:rsidRPr="00A711E0">
              <w:rPr>
                <w:rFonts w:ascii="Verdana" w:eastAsia="Arial MT" w:hAnsi="Verdana" w:cs="Arial"/>
                <w:lang w:eastAsia="es-ES" w:bidi="es-ES"/>
              </w:rPr>
              <w:t>, y que afecten la transparencia de las decisiones que le competen o lo lleven a adoptar determinaciones orientadas al aprovechamiento personal, familiar o particular, en detrimento del interés público.</w:t>
            </w:r>
          </w:p>
          <w:p w14:paraId="6CC1820F" w14:textId="77777777" w:rsidR="00482887" w:rsidRDefault="00482887" w:rsidP="007D411D">
            <w:pPr>
              <w:spacing w:after="120" w:line="276" w:lineRule="auto"/>
              <w:ind w:firstLine="743"/>
              <w:jc w:val="both"/>
              <w:rPr>
                <w:rFonts w:ascii="Verdana" w:eastAsia="Arial MT" w:hAnsi="Verdana" w:cs="Arial"/>
                <w:lang w:eastAsia="es-ES" w:bidi="es-ES"/>
              </w:rPr>
            </w:pPr>
            <w:r w:rsidRPr="00A711E0">
              <w:rPr>
                <w:rFonts w:ascii="Verdana" w:eastAsia="Arial MT" w:hAnsi="Verdana" w:cs="Arial"/>
                <w:lang w:eastAsia="es-ES" w:bidi="es-ES"/>
              </w:rPr>
              <w:t xml:space="preserve">Tales situaciones de conflicto de intereses suelen expresarse en prohibiciones, de manera similar a lo que ocurre con las inhabilidades e incompatibilidades. Por ello, su consagración —en el caso de los procesos </w:t>
            </w:r>
            <w:r>
              <w:rPr>
                <w:rFonts w:ascii="Verdana" w:eastAsia="Arial MT" w:hAnsi="Verdana" w:cs="Arial"/>
                <w:lang w:eastAsia="es-ES" w:bidi="es-ES"/>
              </w:rPr>
              <w:t>contractuales</w:t>
            </w:r>
            <w:r w:rsidRPr="00A711E0">
              <w:rPr>
                <w:rFonts w:ascii="Verdana" w:eastAsia="Arial MT" w:hAnsi="Verdana" w:cs="Arial"/>
                <w:lang w:eastAsia="es-ES" w:bidi="es-ES"/>
              </w:rPr>
              <w:t>, a través del pliego de condiciones y</w:t>
            </w:r>
            <w:r>
              <w:rPr>
                <w:rFonts w:ascii="Verdana" w:eastAsia="Arial MT" w:hAnsi="Verdana" w:cs="Arial"/>
                <w:lang w:eastAsia="es-ES" w:bidi="es-ES"/>
              </w:rPr>
              <w:t xml:space="preserve">/o </w:t>
            </w:r>
            <w:r w:rsidRPr="00A711E0">
              <w:rPr>
                <w:rFonts w:ascii="Verdana" w:eastAsia="Arial MT" w:hAnsi="Verdana" w:cs="Arial"/>
                <w:lang w:eastAsia="es-ES" w:bidi="es-ES"/>
              </w:rPr>
              <w:t>de la minuta contractual— debe ser expresa, y su interpretación necesariamente restrictiva. En consecuencia, su deducción y aplicación debe ajustarse a los presupuestos establecidos por el constituyente o el legislador (para las inhabilidades e incompatibilidades) y por la entidad contratante (para los conflictos de intereses), razón por la cual no es posible una aplicación extensiva o analógica.</w:t>
            </w:r>
            <w:r>
              <w:rPr>
                <w:rFonts w:ascii="Verdana" w:eastAsia="Arial MT" w:hAnsi="Verdana" w:cs="Arial"/>
                <w:lang w:eastAsia="es-ES" w:bidi="es-ES"/>
              </w:rPr>
              <w:t xml:space="preserve"> </w:t>
            </w:r>
          </w:p>
          <w:p w14:paraId="56A77767" w14:textId="77777777" w:rsidR="00482887" w:rsidRDefault="00482887" w:rsidP="007D411D">
            <w:pPr>
              <w:spacing w:after="120" w:line="276" w:lineRule="auto"/>
              <w:ind w:firstLine="743"/>
              <w:jc w:val="both"/>
              <w:rPr>
                <w:rFonts w:ascii="Verdana" w:eastAsia="Century Gothic" w:hAnsi="Verdana" w:cs="Century Gothic"/>
                <w:bCs/>
              </w:rPr>
            </w:pPr>
            <w:r w:rsidRPr="00DF123D">
              <w:rPr>
                <w:rFonts w:ascii="Verdana" w:eastAsia="Calibri" w:hAnsi="Verdana" w:cs="Arial"/>
              </w:rPr>
              <w:t>En ese sentido, únicamente es posible aplicar las causales de conflicto de interés que se encuentren tipificadas y que hayan sido expresamente establecidas en los estudios previos, en el pliego de condiciones o en el contrato</w:t>
            </w:r>
            <w:r>
              <w:rPr>
                <w:rFonts w:ascii="Verdana" w:eastAsia="Calibri" w:hAnsi="Verdana" w:cs="Arial"/>
              </w:rPr>
              <w:t xml:space="preserve"> y/o convenio</w:t>
            </w:r>
            <w:r w:rsidRPr="00DF123D">
              <w:rPr>
                <w:rFonts w:ascii="Verdana" w:eastAsia="Calibri" w:hAnsi="Verdana" w:cs="Arial"/>
              </w:rPr>
              <w:t>. Por tanto, corresponde a cada entidad estatal —en este caso, tanto a la Alcaldía como al Concejo Municipal— verificar en el caso concreto si la naturaleza de las funciones asignadas al contratista en ambos contratos configura alguno de los conflictos de interés definidos en sus propios instrumentos contractuales.</w:t>
            </w:r>
            <w:r>
              <w:rPr>
                <w:rFonts w:ascii="Verdana" w:eastAsia="Century Gothic" w:hAnsi="Verdana" w:cs="Century Gothic"/>
                <w:bCs/>
              </w:rPr>
              <w:t xml:space="preserve"> </w:t>
            </w:r>
          </w:p>
          <w:p w14:paraId="719C914B" w14:textId="77777777" w:rsidR="00482887" w:rsidRPr="0031186C" w:rsidRDefault="00482887" w:rsidP="007D411D">
            <w:pPr>
              <w:spacing w:after="120" w:line="276" w:lineRule="auto"/>
              <w:ind w:firstLine="708"/>
              <w:jc w:val="both"/>
              <w:rPr>
                <w:rFonts w:ascii="Verdana" w:eastAsia="Calibri" w:hAnsi="Verdana" w:cs="Arial"/>
                <w:color w:val="000000" w:themeColor="text1"/>
                <w:lang w:eastAsia="es-ES"/>
              </w:rPr>
            </w:pPr>
            <w:r w:rsidRPr="0031186C">
              <w:rPr>
                <w:rFonts w:ascii="Verdana" w:eastAsia="Calibri" w:hAnsi="Verdana" w:cs="Arial"/>
                <w:color w:val="000000" w:themeColor="text1"/>
                <w:lang w:eastAsia="es-ES"/>
              </w:rPr>
              <w:t>En este punto es fundamental resaltar que el régimen de inhabilidades e incompatibilidades en materia contractual debe interpretarse con sujeción estricta al principio de legalidad, consagrado en el artículo 6º de la Constitución Política, según el cual los particulares solo son responsables por infringir la Constitución y la ley, y las autoridades solo pueden ejercer las funciones expresamente atribuidas por el ordenamiento jurídico.</w:t>
            </w:r>
          </w:p>
          <w:p w14:paraId="1E7ED326" w14:textId="77777777" w:rsidR="00482887" w:rsidRPr="00AB76F7" w:rsidRDefault="00482887" w:rsidP="007D411D">
            <w:pPr>
              <w:spacing w:after="120" w:line="276" w:lineRule="auto"/>
              <w:ind w:firstLine="708"/>
              <w:jc w:val="both"/>
              <w:rPr>
                <w:rFonts w:ascii="Verdana" w:eastAsia="Calibri" w:hAnsi="Verdana" w:cs="Arial"/>
                <w:color w:val="000000" w:themeColor="text1"/>
                <w:lang w:eastAsia="es-ES"/>
              </w:rPr>
            </w:pPr>
            <w:r w:rsidRPr="0031186C">
              <w:rPr>
                <w:rFonts w:ascii="Verdana" w:eastAsia="Calibri" w:hAnsi="Verdana" w:cs="Arial"/>
                <w:color w:val="000000" w:themeColor="text1"/>
                <w:lang w:eastAsia="es-ES"/>
              </w:rPr>
              <w:t xml:space="preserve">En consecuencia, las inhabilidades para contratar con el Estado deben estar claramente previstas en la ley, con carácter taxativo y de aplicación restrictiva. Así lo exige también el principio de interpretación restrictiva de las normas que limitan derechos, y el principio pro homine, que impone que ante dudas o ambigüedades en la norma debe adoptarse la interpretación más favorable a la persona. No es jurídicamente admisible aplicar interpretaciones extensivas o analógicas para derivar efectos no previstos expresamente, como </w:t>
            </w:r>
            <w:r w:rsidRPr="0031186C">
              <w:rPr>
                <w:rFonts w:ascii="Verdana" w:eastAsia="Calibri" w:hAnsi="Verdana" w:cs="Arial"/>
                <w:color w:val="000000" w:themeColor="text1"/>
                <w:lang w:eastAsia="es-ES"/>
              </w:rPr>
              <w:lastRenderedPageBreak/>
              <w:t>extender el alcance de una suspensión a una inhabilidad no contemplada por la ley.</w:t>
            </w:r>
            <w:r w:rsidRPr="009C16A7">
              <w:rPr>
                <w:rFonts w:ascii="Verdana" w:eastAsia="Calibri" w:hAnsi="Verdana" w:cs="Arial"/>
                <w:color w:val="000000" w:themeColor="text1"/>
                <w:lang w:eastAsia="es-ES"/>
              </w:rPr>
              <w:t xml:space="preserve"> Por lo tanto, no se configuran los elementos de ninguna de las causales de inhabilidad previstas en el artículo 8 de la Ley 80 de 1993, ni se evidencia otra inhabilidad legal que impida al ciudadano celebrar </w:t>
            </w:r>
            <w:r>
              <w:rPr>
                <w:rFonts w:ascii="Verdana" w:eastAsia="Calibri" w:hAnsi="Verdana" w:cs="Arial"/>
                <w:color w:val="000000" w:themeColor="text1"/>
                <w:lang w:eastAsia="es-ES"/>
              </w:rPr>
              <w:t xml:space="preserve">el </w:t>
            </w:r>
            <w:r w:rsidRPr="009C16A7">
              <w:rPr>
                <w:rFonts w:ascii="Verdana" w:eastAsia="Calibri" w:hAnsi="Verdana" w:cs="Arial"/>
                <w:color w:val="000000" w:themeColor="text1"/>
                <w:lang w:eastAsia="es-ES"/>
              </w:rPr>
              <w:t xml:space="preserve">contrato </w:t>
            </w:r>
            <w:r>
              <w:rPr>
                <w:rFonts w:ascii="Verdana" w:eastAsia="Calibri" w:hAnsi="Verdana" w:cs="Arial"/>
                <w:color w:val="000000" w:themeColor="text1"/>
                <w:lang w:eastAsia="es-ES"/>
              </w:rPr>
              <w:t xml:space="preserve">y/o convenio desde dicha calidad que ostenta. </w:t>
            </w:r>
          </w:p>
        </w:tc>
      </w:tr>
    </w:tbl>
    <w:p w14:paraId="2DD3E42C" w14:textId="77777777" w:rsidR="00482887" w:rsidRPr="00C45C5D" w:rsidRDefault="00482887" w:rsidP="00482887">
      <w:pPr>
        <w:tabs>
          <w:tab w:val="left" w:pos="142"/>
          <w:tab w:val="left" w:pos="284"/>
        </w:tabs>
        <w:spacing w:after="0" w:line="276" w:lineRule="auto"/>
        <w:jc w:val="both"/>
        <w:rPr>
          <w:rFonts w:ascii="Verdana" w:eastAsia="Century Gothic" w:hAnsi="Verdana" w:cs="Century Gothic"/>
          <w:b/>
          <w:bCs/>
          <w:lang w:val="es-ES"/>
        </w:rPr>
      </w:pPr>
    </w:p>
    <w:bookmarkEnd w:id="2"/>
    <w:p w14:paraId="34E538CA" w14:textId="77777777" w:rsidR="00482887" w:rsidRPr="00C45C5D" w:rsidRDefault="00482887" w:rsidP="0048288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Razones de las respuestas:</w:t>
      </w:r>
    </w:p>
    <w:p w14:paraId="58C06ED4" w14:textId="77777777" w:rsidR="00482887" w:rsidRPr="00C45C5D" w:rsidRDefault="00482887" w:rsidP="00482887">
      <w:pPr>
        <w:spacing w:after="0" w:line="276" w:lineRule="auto"/>
        <w:jc w:val="both"/>
        <w:rPr>
          <w:rFonts w:ascii="Verdana" w:eastAsia="Calibri" w:hAnsi="Verdana" w:cs="Arial"/>
          <w:color w:val="7030A0"/>
          <w:lang w:val="es-ES"/>
        </w:rPr>
      </w:pPr>
    </w:p>
    <w:p w14:paraId="6968A5DC" w14:textId="77777777" w:rsidR="00482887" w:rsidRDefault="00482887" w:rsidP="00482887">
      <w:pPr>
        <w:spacing w:after="0" w:line="276" w:lineRule="auto"/>
        <w:jc w:val="both"/>
        <w:rPr>
          <w:rFonts w:ascii="Verdana" w:eastAsia="Calibri" w:hAnsi="Verdana" w:cs="Arial"/>
          <w:lang w:val="es-ES"/>
        </w:rPr>
      </w:pPr>
      <w:r w:rsidRPr="00C45C5D">
        <w:rPr>
          <w:rFonts w:ascii="Verdana" w:eastAsia="Calibri" w:hAnsi="Verdana" w:cs="Arial"/>
          <w:lang w:val="es-ES"/>
        </w:rPr>
        <w:t>Lo anterior se sustenta en las siguientes consideraciones:</w:t>
      </w:r>
    </w:p>
    <w:p w14:paraId="6EAFE9DF" w14:textId="77777777" w:rsidR="00482887" w:rsidRDefault="00482887" w:rsidP="00482887">
      <w:pPr>
        <w:spacing w:after="0" w:line="276" w:lineRule="auto"/>
        <w:jc w:val="both"/>
        <w:rPr>
          <w:rFonts w:ascii="Verdana" w:eastAsia="Calibri" w:hAnsi="Verdana" w:cs="Arial"/>
          <w:lang w:val="es-ES"/>
        </w:rPr>
      </w:pPr>
    </w:p>
    <w:p w14:paraId="6DAC0100" w14:textId="77777777" w:rsidR="00482887" w:rsidRPr="006530B9" w:rsidRDefault="00482887" w:rsidP="00482887">
      <w:pPr>
        <w:spacing w:after="120" w:line="276" w:lineRule="auto"/>
        <w:jc w:val="both"/>
        <w:rPr>
          <w:rFonts w:ascii="Verdana" w:eastAsia="Calibri" w:hAnsi="Verdana" w:cs="Arial"/>
          <w:color w:val="000000" w:themeColor="text1"/>
        </w:rPr>
      </w:pPr>
      <w:r w:rsidRPr="00135CB1">
        <w:rPr>
          <w:rFonts w:ascii="Verdana" w:eastAsia="Calibri" w:hAnsi="Verdana" w:cs="Arial"/>
          <w:color w:val="000000" w:themeColor="text1"/>
          <w:lang w:val="es-ES_tradnl"/>
        </w:rPr>
        <w:t xml:space="preserve">En la contratación estatal, la </w:t>
      </w:r>
      <w:r w:rsidRPr="00135CB1">
        <w:rPr>
          <w:rFonts w:ascii="Verdana" w:eastAsia="Calibri" w:hAnsi="Verdana" w:cs="Arial"/>
          <w:i/>
          <w:iCs/>
          <w:color w:val="000000" w:themeColor="text1"/>
          <w:lang w:val="es-ES_tradnl"/>
        </w:rPr>
        <w:t>capacidad</w:t>
      </w:r>
      <w:r w:rsidRPr="00135CB1">
        <w:rPr>
          <w:rFonts w:ascii="Verdana" w:eastAsia="Calibri" w:hAnsi="Verdana" w:cs="Arial"/>
          <w:color w:val="000000" w:themeColor="text1"/>
          <w:lang w:val="es-ES_tradnl"/>
        </w:rPr>
        <w:t xml:space="preserve"> también es un requisito de validez de los contratos, tanto en el régimen de las entidades sujetas al Estatuto General de Contratación de la Administración Pública</w:t>
      </w:r>
      <w:r w:rsidRPr="00135CB1">
        <w:rPr>
          <w:rFonts w:ascii="Verdana" w:eastAsia="Calibri" w:hAnsi="Verdana" w:cs="Arial"/>
          <w:color w:val="000000" w:themeColor="text1"/>
          <w:vertAlign w:val="superscript"/>
          <w:lang w:val="es-ES_tradnl"/>
        </w:rPr>
        <w:footnoteReference w:id="1"/>
      </w:r>
      <w:r w:rsidRPr="00135CB1">
        <w:rPr>
          <w:rFonts w:ascii="Verdana" w:eastAsia="Calibri" w:hAnsi="Verdana" w:cs="Arial"/>
          <w:color w:val="000000" w:themeColor="text1"/>
          <w:lang w:val="es-ES_tradnl"/>
        </w:rPr>
        <w:t xml:space="preserve"> como en el de las entidades exceptuadas de aquel</w:t>
      </w:r>
      <w:r w:rsidRPr="00135CB1">
        <w:rPr>
          <w:rFonts w:ascii="Verdana" w:eastAsia="Calibri" w:hAnsi="Verdana" w:cs="Arial"/>
          <w:color w:val="000000" w:themeColor="text1"/>
          <w:vertAlign w:val="superscript"/>
          <w:lang w:val="es-ES_tradnl"/>
        </w:rPr>
        <w:footnoteReference w:id="2"/>
      </w:r>
      <w:r w:rsidRPr="00135CB1">
        <w:rPr>
          <w:rFonts w:ascii="Verdana" w:eastAsia="Calibri" w:hAnsi="Verdana" w:cs="Arial"/>
          <w:color w:val="000000" w:themeColor="text1"/>
          <w:lang w:val="es-ES_tradnl"/>
        </w:rPr>
        <w:t xml:space="preserve">. </w:t>
      </w:r>
      <w:r w:rsidRPr="00937D3B">
        <w:rPr>
          <w:rFonts w:ascii="Verdana" w:eastAsia="Calibri" w:hAnsi="Verdana" w:cs="Arial"/>
          <w:color w:val="000000" w:themeColor="text1"/>
        </w:rPr>
        <w:t xml:space="preserve">Si bien la regulación de la capacidad </w:t>
      </w:r>
      <w:r>
        <w:rPr>
          <w:rFonts w:ascii="Verdana" w:eastAsia="Calibri" w:hAnsi="Verdana" w:cs="Arial"/>
          <w:color w:val="000000" w:themeColor="text1"/>
        </w:rPr>
        <w:t xml:space="preserve">en el contrato de prestación de servicios </w:t>
      </w:r>
      <w:r w:rsidRPr="00937D3B">
        <w:rPr>
          <w:rFonts w:ascii="Verdana" w:eastAsia="Calibri" w:hAnsi="Verdana" w:cs="Arial"/>
          <w:color w:val="000000" w:themeColor="text1"/>
        </w:rPr>
        <w:t xml:space="preserve">se integra por varias disposiciones y exigencias especiales, se destaca el régimen de inhabilidades e incompatibilidades como un conjunto de normas que imponen restricciones para </w:t>
      </w:r>
      <w:r>
        <w:rPr>
          <w:rFonts w:ascii="Verdana" w:eastAsia="Calibri" w:hAnsi="Verdana" w:cs="Arial"/>
          <w:color w:val="000000" w:themeColor="text1"/>
        </w:rPr>
        <w:t>l</w:t>
      </w:r>
      <w:r w:rsidRPr="00937D3B">
        <w:rPr>
          <w:rFonts w:ascii="Verdana" w:eastAsia="Calibri" w:hAnsi="Verdana" w:cs="Arial"/>
          <w:color w:val="000000" w:themeColor="text1"/>
        </w:rPr>
        <w:t>os sujetos que, eventualmente, pretendan participar en los procedimientos de selección o celebrar contratos con las entidades estatales</w:t>
      </w:r>
      <w:r w:rsidRPr="00135CB1">
        <w:rPr>
          <w:rFonts w:ascii="Verdana" w:eastAsia="Calibri" w:hAnsi="Verdana" w:cs="Arial"/>
          <w:color w:val="000000" w:themeColor="text1"/>
          <w:vertAlign w:val="superscript"/>
          <w:lang w:val="es-ES_tradnl"/>
        </w:rPr>
        <w:footnoteReference w:id="3"/>
      </w:r>
      <w:r w:rsidRPr="00135CB1">
        <w:rPr>
          <w:rFonts w:ascii="Verdana" w:eastAsia="Calibri" w:hAnsi="Verdana" w:cs="Arial"/>
          <w:color w:val="000000" w:themeColor="text1"/>
          <w:lang w:val="es-ES_tradnl"/>
        </w:rPr>
        <w:t>.</w:t>
      </w:r>
    </w:p>
    <w:p w14:paraId="7AAF59E7" w14:textId="77777777" w:rsidR="00482887" w:rsidRPr="00135CB1" w:rsidRDefault="00482887" w:rsidP="00482887">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Las inhabilidades son prohibiciones para concurrir a los procedimientos de selección y para contratar con el Estado, que se derivan i) de la existencia de comportamientos reprochables o de sanciones anteriormente impuestas</w:t>
      </w:r>
      <w:r w:rsidRPr="00135CB1">
        <w:rPr>
          <w:rFonts w:ascii="Verdana" w:eastAsia="Calibri" w:hAnsi="Verdana" w:cs="Arial"/>
          <w:color w:val="000000" w:themeColor="text1"/>
          <w:vertAlign w:val="superscript"/>
          <w:lang w:val="es-ES"/>
        </w:rPr>
        <w:footnoteReference w:id="4"/>
      </w:r>
      <w:r w:rsidRPr="00135CB1">
        <w:rPr>
          <w:rFonts w:ascii="Verdana" w:eastAsia="Calibri" w:hAnsi="Verdana" w:cs="Arial"/>
          <w:color w:val="000000" w:themeColor="text1"/>
          <w:lang w:val="es-ES"/>
        </w:rPr>
        <w:t xml:space="preserve">, </w:t>
      </w:r>
      <w:proofErr w:type="spellStart"/>
      <w:r w:rsidRPr="00135CB1">
        <w:rPr>
          <w:rFonts w:ascii="Verdana" w:eastAsia="Calibri" w:hAnsi="Verdana" w:cs="Arial"/>
          <w:color w:val="000000" w:themeColor="text1"/>
          <w:lang w:val="es-ES"/>
        </w:rPr>
        <w:t>ii</w:t>
      </w:r>
      <w:proofErr w:type="spellEnd"/>
      <w:r w:rsidRPr="00135CB1">
        <w:rPr>
          <w:rFonts w:ascii="Verdana" w:eastAsia="Calibri" w:hAnsi="Verdana" w:cs="Arial"/>
          <w:color w:val="000000" w:themeColor="text1"/>
          <w:lang w:val="es-ES"/>
        </w:rPr>
        <w:t>) de vínculos personales relativos al parentesco o al estado civil</w:t>
      </w:r>
      <w:r w:rsidRPr="00135CB1">
        <w:rPr>
          <w:rFonts w:ascii="Verdana" w:eastAsia="Calibri" w:hAnsi="Verdana" w:cs="Arial"/>
          <w:color w:val="000000" w:themeColor="text1"/>
          <w:vertAlign w:val="superscript"/>
          <w:lang w:val="es-ES"/>
        </w:rPr>
        <w:footnoteReference w:id="5"/>
      </w:r>
      <w:r w:rsidRPr="00135CB1">
        <w:rPr>
          <w:rFonts w:ascii="Verdana" w:eastAsia="Calibri" w:hAnsi="Verdana" w:cs="Arial"/>
          <w:color w:val="000000" w:themeColor="text1"/>
          <w:lang w:val="es-ES"/>
        </w:rPr>
        <w:t xml:space="preserve"> o </w:t>
      </w:r>
      <w:proofErr w:type="spellStart"/>
      <w:r w:rsidRPr="00135CB1">
        <w:rPr>
          <w:rFonts w:ascii="Verdana" w:eastAsia="Calibri" w:hAnsi="Verdana" w:cs="Arial"/>
          <w:color w:val="000000" w:themeColor="text1"/>
          <w:lang w:val="es-ES"/>
        </w:rPr>
        <w:t>iii</w:t>
      </w:r>
      <w:proofErr w:type="spellEnd"/>
      <w:r w:rsidRPr="00135CB1">
        <w:rPr>
          <w:rFonts w:ascii="Verdana" w:eastAsia="Calibri" w:hAnsi="Verdana" w:cs="Arial"/>
          <w:color w:val="000000" w:themeColor="text1"/>
          <w:lang w:val="es-ES"/>
        </w:rPr>
        <w:t xml:space="preserve">) de una </w:t>
      </w:r>
      <w:r w:rsidRPr="00135CB1">
        <w:rPr>
          <w:rFonts w:ascii="Verdana" w:eastAsia="Calibri" w:hAnsi="Verdana" w:cs="Arial"/>
          <w:color w:val="000000" w:themeColor="text1"/>
          <w:lang w:val="es-ES"/>
        </w:rPr>
        <w:lastRenderedPageBreak/>
        <w:t>actividad u oficio que se desempeñó en el pasado</w:t>
      </w:r>
      <w:r w:rsidRPr="00135CB1">
        <w:rPr>
          <w:rFonts w:ascii="Verdana" w:eastAsia="Calibri" w:hAnsi="Verdana" w:cs="Arial"/>
          <w:color w:val="000000" w:themeColor="text1"/>
          <w:vertAlign w:val="superscript"/>
          <w:lang w:val="es-ES"/>
        </w:rPr>
        <w:footnoteReference w:id="6"/>
      </w:r>
      <w:r w:rsidRPr="00135CB1">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135CB1">
        <w:rPr>
          <w:rFonts w:ascii="Verdana" w:eastAsia="Calibri" w:hAnsi="Verdana" w:cs="Arial"/>
          <w:color w:val="000000" w:themeColor="text1"/>
          <w:vertAlign w:val="superscript"/>
          <w:lang w:val="es-ES"/>
        </w:rPr>
        <w:footnoteReference w:id="7"/>
      </w:r>
      <w:r w:rsidRPr="00135CB1">
        <w:rPr>
          <w:rFonts w:ascii="Verdana" w:eastAsia="Calibri" w:hAnsi="Verdana" w:cs="Arial"/>
          <w:color w:val="000000" w:themeColor="text1"/>
          <w:lang w:val="es-ES"/>
        </w:rPr>
        <w:t xml:space="preserve">. </w:t>
      </w:r>
    </w:p>
    <w:p w14:paraId="3418EB54" w14:textId="77777777" w:rsidR="00482887" w:rsidRPr="00135CB1" w:rsidRDefault="00482887" w:rsidP="00482887">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w:t>
      </w:r>
      <w:proofErr w:type="gramStart"/>
      <w:r w:rsidRPr="00135CB1">
        <w:rPr>
          <w:rFonts w:ascii="Verdana" w:eastAsia="Calibri" w:hAnsi="Verdana" w:cs="Arial"/>
          <w:color w:val="000000" w:themeColor="text1"/>
          <w:lang w:val="es-ES"/>
        </w:rPr>
        <w:t>que</w:t>
      </w:r>
      <w:proofErr w:type="gramEnd"/>
      <w:r w:rsidRPr="00135CB1">
        <w:rPr>
          <w:rFonts w:ascii="Verdana" w:eastAsia="Calibri" w:hAnsi="Verdana" w:cs="Arial"/>
          <w:color w:val="000000" w:themeColor="text1"/>
          <w:lang w:val="es-ES"/>
        </w:rPr>
        <w:t xml:space="preserve">, como lo ha destacado la doctrina, las inhabilidades e incompatibilidades son herramientas en la lucha contra la corrupción, adoptando paulatinamente un carácter sancionatorio o </w:t>
      </w:r>
      <w:r>
        <w:rPr>
          <w:rFonts w:ascii="Verdana" w:eastAsia="Calibri" w:hAnsi="Verdana" w:cs="Arial"/>
          <w:color w:val="000000" w:themeColor="text1"/>
          <w:lang w:val="es-ES"/>
        </w:rPr>
        <w:t>“</w:t>
      </w:r>
      <w:proofErr w:type="spellStart"/>
      <w:r w:rsidRPr="00135CB1">
        <w:rPr>
          <w:rFonts w:ascii="Verdana" w:eastAsia="Calibri" w:hAnsi="Verdana" w:cs="Arial"/>
          <w:color w:val="000000" w:themeColor="text1"/>
          <w:lang w:val="es-ES"/>
        </w:rPr>
        <w:t>neopunitivo</w:t>
      </w:r>
      <w:proofErr w:type="spellEnd"/>
      <w:r>
        <w:rPr>
          <w:rFonts w:ascii="Verdana" w:eastAsia="Calibri" w:hAnsi="Verdana" w:cs="Arial"/>
          <w:color w:val="000000" w:themeColor="text1"/>
          <w:lang w:val="es-ES"/>
        </w:rPr>
        <w:t>”</w:t>
      </w:r>
      <w:r w:rsidRPr="00135CB1">
        <w:rPr>
          <w:rFonts w:ascii="Verdana" w:eastAsia="Calibri" w:hAnsi="Verdana" w:cs="Arial"/>
          <w:color w:val="000000" w:themeColor="text1"/>
          <w:vertAlign w:val="superscript"/>
          <w:lang w:val="es-ES"/>
        </w:rPr>
        <w:footnoteReference w:id="8"/>
      </w:r>
      <w:r w:rsidRPr="00135CB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3B08CB76" w14:textId="77777777" w:rsidR="00482887" w:rsidRPr="00135CB1" w:rsidRDefault="00482887" w:rsidP="00482887">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w:t>
      </w:r>
      <w:r w:rsidRPr="00135CB1">
        <w:rPr>
          <w:rFonts w:ascii="Verdana" w:eastAsia="Calibri" w:hAnsi="Verdana" w:cs="Arial"/>
          <w:color w:val="000000" w:themeColor="text1"/>
          <w:lang w:val="es-ES_tradnl"/>
        </w:rPr>
        <w:lastRenderedPageBreak/>
        <w:t xml:space="preserve">satisfacer el principio de legalidad– y su interpretación debe ser </w:t>
      </w:r>
      <w:r w:rsidRPr="00135CB1">
        <w:rPr>
          <w:rFonts w:ascii="Verdana" w:eastAsia="Calibri" w:hAnsi="Verdana" w:cs="Arial"/>
          <w:i/>
          <w:iCs/>
          <w:color w:val="000000" w:themeColor="text1"/>
          <w:lang w:val="es-ES_tradnl"/>
        </w:rPr>
        <w:t>restrictiva</w:t>
      </w:r>
      <w:r w:rsidRPr="00135CB1">
        <w:rPr>
          <w:rFonts w:ascii="Verdana" w:eastAsia="Calibri" w:hAnsi="Verdana" w:cs="Arial"/>
          <w:color w:val="000000" w:themeColor="text1"/>
          <w:vertAlign w:val="superscript"/>
          <w:lang w:val="es-ES_tradnl"/>
        </w:rPr>
        <w:footnoteReference w:id="9"/>
      </w:r>
      <w:r w:rsidRPr="00135CB1">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5B722E74" w14:textId="77777777" w:rsidR="00482887" w:rsidRDefault="00482887" w:rsidP="00482887">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w:t>
      </w:r>
      <w:r>
        <w:rPr>
          <w:rFonts w:ascii="Verdana" w:eastAsia="Calibri" w:hAnsi="Verdana" w:cs="Arial"/>
          <w:color w:val="000000" w:themeColor="text1"/>
          <w:lang w:val="es-ES_tradnl"/>
        </w:rPr>
        <w:t xml:space="preserve"> o</w:t>
      </w:r>
      <w:r w:rsidRPr="00135CB1">
        <w:rPr>
          <w:rFonts w:ascii="Verdana" w:eastAsia="Calibri" w:hAnsi="Verdana" w:cs="Arial"/>
          <w:color w:val="000000" w:themeColor="text1"/>
          <w:lang w:val="es-ES_tradnl"/>
        </w:rPr>
        <w:t xml:space="preserve"> la interpretación extensiva para ampliar el alcance de las causales legalmente fijadas</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0"/>
      </w:r>
      <w:r w:rsidRPr="00135CB1">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1"/>
      </w:r>
      <w:r w:rsidRPr="00135CB1">
        <w:rPr>
          <w:rFonts w:ascii="Verdana" w:eastAsia="Calibri" w:hAnsi="Verdana" w:cs="Arial"/>
          <w:color w:val="000000" w:themeColor="text1"/>
          <w:lang w:val="es-ES_tradnl"/>
        </w:rPr>
        <w:t>. En tal sentido, la Sección Tercera ha señalado que:</w:t>
      </w:r>
    </w:p>
    <w:p w14:paraId="466D0802" w14:textId="77777777" w:rsidR="00482887" w:rsidRPr="00135CB1" w:rsidRDefault="00482887" w:rsidP="00482887">
      <w:pPr>
        <w:spacing w:after="0" w:line="276" w:lineRule="auto"/>
        <w:ind w:firstLine="709"/>
        <w:rPr>
          <w:rFonts w:ascii="Verdana" w:eastAsia="Calibri" w:hAnsi="Verdana" w:cs="Arial"/>
          <w:color w:val="000000" w:themeColor="text1"/>
          <w:lang w:val="es-ES_tradnl"/>
        </w:rPr>
      </w:pPr>
    </w:p>
    <w:p w14:paraId="5FD915D5" w14:textId="77777777" w:rsidR="00482887" w:rsidRDefault="00482887" w:rsidP="00482887">
      <w:pPr>
        <w:spacing w:after="0"/>
        <w:ind w:left="709" w:right="709"/>
        <w:jc w:val="both"/>
        <w:rPr>
          <w:rFonts w:ascii="Verdana" w:hAnsi="Verdana" w:cs="Arial"/>
          <w:color w:val="000000" w:themeColor="text1"/>
          <w:sz w:val="21"/>
          <w:szCs w:val="21"/>
          <w:lang w:val="es-ES_tradnl"/>
        </w:rPr>
      </w:pPr>
      <w:r w:rsidRPr="00135CB1">
        <w:rPr>
          <w:rFonts w:ascii="Verdana" w:hAnsi="Verdana" w:cs="Arial"/>
          <w:color w:val="000000" w:themeColor="text1"/>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135CB1">
        <w:rPr>
          <w:rFonts w:ascii="Verdana" w:hAnsi="Verdana" w:cs="Arial"/>
          <w:color w:val="000000" w:themeColor="text1"/>
          <w:sz w:val="21"/>
          <w:szCs w:val="21"/>
          <w:vertAlign w:val="superscript"/>
          <w:lang w:val="es-ES_tradnl"/>
        </w:rPr>
        <w:footnoteReference w:id="12"/>
      </w:r>
      <w:r w:rsidRPr="00135CB1">
        <w:rPr>
          <w:rFonts w:ascii="Verdana" w:hAnsi="Verdana" w:cs="Arial"/>
          <w:color w:val="000000" w:themeColor="text1"/>
          <w:sz w:val="21"/>
          <w:szCs w:val="21"/>
          <w:lang w:val="es-ES_tradnl"/>
        </w:rPr>
        <w:t>.</w:t>
      </w:r>
    </w:p>
    <w:p w14:paraId="262775CE" w14:textId="77777777" w:rsidR="00482887" w:rsidRPr="00135CB1" w:rsidRDefault="00482887" w:rsidP="00482887">
      <w:pPr>
        <w:spacing w:after="0"/>
        <w:ind w:left="709" w:right="709"/>
        <w:jc w:val="both"/>
        <w:rPr>
          <w:rFonts w:ascii="Verdana" w:hAnsi="Verdana" w:cs="Arial"/>
          <w:bCs/>
          <w:color w:val="000000" w:themeColor="text1"/>
          <w:sz w:val="21"/>
          <w:szCs w:val="21"/>
          <w:lang w:val="es-ES_tradnl"/>
        </w:rPr>
      </w:pPr>
    </w:p>
    <w:p w14:paraId="52DF291D" w14:textId="77777777" w:rsidR="00482887" w:rsidRPr="00135CB1" w:rsidRDefault="00482887" w:rsidP="00482887">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También ha dicho que:</w:t>
      </w:r>
    </w:p>
    <w:p w14:paraId="56393019" w14:textId="77777777" w:rsidR="00482887" w:rsidRPr="00135CB1" w:rsidRDefault="00482887" w:rsidP="00482887">
      <w:pPr>
        <w:spacing w:after="0"/>
        <w:ind w:firstLine="709"/>
        <w:jc w:val="both"/>
        <w:rPr>
          <w:rFonts w:ascii="Verdana" w:eastAsia="Calibri" w:hAnsi="Verdana" w:cs="Arial"/>
          <w:color w:val="000000" w:themeColor="text1"/>
          <w:sz w:val="21"/>
          <w:szCs w:val="21"/>
          <w:lang w:val="es-ES_tradnl"/>
        </w:rPr>
      </w:pPr>
    </w:p>
    <w:p w14:paraId="6AF724DE" w14:textId="77777777" w:rsidR="00482887" w:rsidRPr="00135CB1" w:rsidRDefault="00482887" w:rsidP="00482887">
      <w:pPr>
        <w:spacing w:after="0"/>
        <w:ind w:left="709" w:right="709"/>
        <w:jc w:val="both"/>
        <w:rPr>
          <w:rFonts w:ascii="Verdana" w:hAnsi="Verdana" w:cs="Arial"/>
          <w:color w:val="000000" w:themeColor="text1"/>
          <w:sz w:val="21"/>
          <w:szCs w:val="21"/>
          <w:lang w:val="es-ES"/>
        </w:rPr>
      </w:pPr>
      <w:r w:rsidRPr="00135CB1">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135CB1">
        <w:rPr>
          <w:rFonts w:ascii="Verdana" w:hAnsi="Verdana" w:cs="Arial"/>
          <w:i/>
          <w:iCs/>
          <w:color w:val="000000" w:themeColor="text1"/>
          <w:sz w:val="21"/>
          <w:szCs w:val="21"/>
          <w:lang w:val="es-ES"/>
        </w:rPr>
        <w:t xml:space="preserve">pro </w:t>
      </w:r>
      <w:proofErr w:type="spellStart"/>
      <w:r w:rsidRPr="00135CB1">
        <w:rPr>
          <w:rFonts w:ascii="Verdana" w:hAnsi="Verdana" w:cs="Arial"/>
          <w:i/>
          <w:iCs/>
          <w:color w:val="000000" w:themeColor="text1"/>
          <w:sz w:val="21"/>
          <w:szCs w:val="21"/>
          <w:lang w:val="es-ES"/>
        </w:rPr>
        <w:t>libertate</w:t>
      </w:r>
      <w:proofErr w:type="spellEnd"/>
      <w:r w:rsidRPr="00135CB1">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135CB1">
        <w:rPr>
          <w:rFonts w:ascii="Verdana" w:hAnsi="Verdana" w:cs="Arial"/>
          <w:color w:val="000000" w:themeColor="text1"/>
          <w:sz w:val="21"/>
          <w:szCs w:val="21"/>
          <w:vertAlign w:val="superscript"/>
          <w:lang w:val="es-ES"/>
        </w:rPr>
        <w:footnoteReference w:id="13"/>
      </w:r>
      <w:r w:rsidRPr="00135CB1">
        <w:rPr>
          <w:rFonts w:ascii="Verdana" w:hAnsi="Verdana" w:cs="Arial"/>
          <w:color w:val="000000" w:themeColor="text1"/>
          <w:sz w:val="21"/>
          <w:szCs w:val="21"/>
          <w:lang w:val="es-ES"/>
        </w:rPr>
        <w:t>.</w:t>
      </w:r>
    </w:p>
    <w:p w14:paraId="264E472B" w14:textId="77777777" w:rsidR="00482887" w:rsidRPr="00135CB1" w:rsidRDefault="00482887" w:rsidP="00482887">
      <w:pPr>
        <w:spacing w:after="0" w:line="276" w:lineRule="auto"/>
        <w:ind w:left="709" w:right="709"/>
        <w:jc w:val="both"/>
        <w:rPr>
          <w:rFonts w:ascii="Verdana" w:hAnsi="Verdana" w:cs="Arial"/>
          <w:color w:val="000000" w:themeColor="text1"/>
          <w:sz w:val="21"/>
          <w:szCs w:val="21"/>
          <w:lang w:val="es-ES_tradnl"/>
        </w:rPr>
      </w:pPr>
    </w:p>
    <w:p w14:paraId="240D1377" w14:textId="77777777" w:rsidR="00482887" w:rsidRDefault="00482887" w:rsidP="00482887">
      <w:pPr>
        <w:spacing w:after="120" w:line="276" w:lineRule="auto"/>
        <w:ind w:firstLine="709"/>
        <w:jc w:val="both"/>
        <w:rPr>
          <w:rFonts w:ascii="Verdana" w:eastAsia="Calibri" w:hAnsi="Verdana" w:cs="Arial"/>
          <w:color w:val="000000" w:themeColor="text1"/>
          <w:lang w:val="es-ES"/>
        </w:rPr>
      </w:pPr>
      <w:r w:rsidRPr="6EF52751">
        <w:rPr>
          <w:rFonts w:ascii="Verdana" w:eastAsia="Calibri" w:hAnsi="Verdana" w:cs="Arial"/>
          <w:color w:val="000000" w:themeColor="text1"/>
          <w:lang w:val="es-ES"/>
        </w:rPr>
        <w:t xml:space="preserve">Como se aprecia, el principio </w:t>
      </w:r>
      <w:r w:rsidRPr="6EF52751">
        <w:rPr>
          <w:rFonts w:ascii="Verdana" w:eastAsia="Calibri" w:hAnsi="Verdana" w:cs="Arial"/>
          <w:i/>
          <w:iCs/>
          <w:color w:val="000000" w:themeColor="text1"/>
          <w:lang w:val="es-ES"/>
        </w:rPr>
        <w:t xml:space="preserve">pro </w:t>
      </w:r>
      <w:proofErr w:type="spellStart"/>
      <w:r w:rsidRPr="6EF52751">
        <w:rPr>
          <w:rFonts w:ascii="Verdana" w:eastAsia="Calibri" w:hAnsi="Verdana" w:cs="Arial"/>
          <w:i/>
          <w:iCs/>
          <w:color w:val="000000" w:themeColor="text1"/>
          <w:lang w:val="es-ES"/>
        </w:rPr>
        <w:t>libertate</w:t>
      </w:r>
      <w:proofErr w:type="spellEnd"/>
      <w:r w:rsidRPr="6EF52751">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24B083B7" w14:textId="77777777" w:rsidR="00482887" w:rsidRPr="00423B2E" w:rsidRDefault="00482887" w:rsidP="00482887">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w:t>
      </w:r>
      <w:r w:rsidRPr="00764EAD">
        <w:rPr>
          <w:rFonts w:ascii="Verdana" w:hAnsi="Verdana" w:cs="Arial"/>
          <w:color w:val="000000" w:themeColor="text1"/>
        </w:rPr>
        <w:t>que impida que un contratista de la Alcaldía Municipal celebre y ejecute simultáneamente un contrato de prestación de servicios con el Concejo Municipal, o viceversa.</w:t>
      </w:r>
      <w:r>
        <w:rPr>
          <w:rFonts w:ascii="Verdana" w:hAnsi="Verdana" w:cs="Arial"/>
          <w:color w:val="000000" w:themeColor="text1"/>
        </w:rPr>
        <w:t xml:space="preserve"> </w:t>
      </w:r>
      <w:r w:rsidRPr="007D6FA3">
        <w:rPr>
          <w:rFonts w:ascii="Verdana" w:eastAsia="Arial MT" w:hAnsi="Verdana" w:cs="Arial"/>
          <w:lang w:eastAsia="es-ES" w:bidi="es-ES"/>
        </w:rPr>
        <w:t>La coexistencia de tales contratos no se subsume en ninguno de los supuestos previstos en el artículo 8 de la Ley 80 de 1993 ni en las demás disposiciones que regulan las limitaciones a la capacidad contractual, aun cuando exista entre dichos órganos una relación de tipo funcional dentro del mismo ente territorial.</w:t>
      </w:r>
    </w:p>
    <w:p w14:paraId="22B9C1E6" w14:textId="77777777" w:rsidR="00482887" w:rsidRPr="00AB76F7" w:rsidRDefault="00482887" w:rsidP="00482887">
      <w:pPr>
        <w:spacing w:after="120" w:line="276" w:lineRule="auto"/>
        <w:ind w:firstLine="709"/>
        <w:jc w:val="both"/>
        <w:rPr>
          <w:rFonts w:ascii="Verdana" w:hAnsi="Verdana" w:cs="Arial"/>
          <w:color w:val="000000" w:themeColor="text1"/>
          <w:lang w:val="es-ES"/>
        </w:rPr>
      </w:pPr>
      <w:bookmarkStart w:id="3" w:name="_Hlk192056119"/>
      <w:r w:rsidRPr="008C3435">
        <w:rPr>
          <w:rFonts w:ascii="Verdana" w:hAnsi="Verdana" w:cs="Arial"/>
          <w:color w:val="000000" w:themeColor="text1"/>
        </w:rPr>
        <w:t xml:space="preserve">En esa misma línea, debe recordarse que las inhabilidades e incompatibilidades, por constituir restricciones a la capacidad contractual y, por tanto, limitar derechos como la libre concurrencia y la libertad en el ejercicio de la profesión u oficio, deben ser interpretadas de manera estricta. En cuanto enunciados normativos de carácter gravoso, no admiten interpretaciones </w:t>
      </w:r>
      <w:r w:rsidRPr="008C3435">
        <w:rPr>
          <w:rFonts w:ascii="Verdana" w:hAnsi="Verdana" w:cs="Arial"/>
          <w:color w:val="000000" w:themeColor="text1"/>
        </w:rPr>
        <w:lastRenderedPageBreak/>
        <w:t xml:space="preserve">extensivas, amplias o analógicas. Así, al revisar las causales previstas en la Constitución Política, en el artículo 8 de la Ley 80 de 1993 y en normas complementarias, no se evidencia prohibición que impida que una persona natural preste sus servicios profesionales </w:t>
      </w:r>
      <w:r>
        <w:rPr>
          <w:rFonts w:ascii="Verdana" w:hAnsi="Verdana" w:cs="Arial"/>
          <w:color w:val="000000" w:themeColor="text1"/>
        </w:rPr>
        <w:t>con un ente territorial y que simultáneamente</w:t>
      </w:r>
      <w:r w:rsidRPr="008C3435">
        <w:rPr>
          <w:rFonts w:ascii="Verdana" w:hAnsi="Verdana" w:cs="Arial"/>
          <w:color w:val="000000" w:themeColor="text1"/>
        </w:rPr>
        <w:t xml:space="preserve"> </w:t>
      </w:r>
      <w:r>
        <w:rPr>
          <w:rFonts w:ascii="Verdana" w:hAnsi="Verdana" w:cs="Arial"/>
          <w:color w:val="000000" w:themeColor="text1"/>
        </w:rPr>
        <w:t xml:space="preserve">celebré como presidente de una Junta de Acción Comunal un convenio con dicha entidad. </w:t>
      </w:r>
      <w:bookmarkEnd w:id="3"/>
    </w:p>
    <w:p w14:paraId="4B5053CB" w14:textId="77777777" w:rsidR="00482887" w:rsidRDefault="00482887" w:rsidP="00482887">
      <w:pPr>
        <w:spacing w:after="120" w:line="276" w:lineRule="auto"/>
        <w:ind w:firstLine="709"/>
        <w:jc w:val="both"/>
        <w:rPr>
          <w:rFonts w:ascii="Verdana" w:eastAsia="Arial MT" w:hAnsi="Verdana" w:cs="Arial"/>
          <w:lang w:eastAsia="es-ES" w:bidi="es-ES"/>
        </w:rPr>
      </w:pPr>
      <w:r>
        <w:rPr>
          <w:rFonts w:ascii="Verdana" w:hAnsi="Verdana" w:cs="Arial"/>
          <w:color w:val="000000" w:themeColor="text1"/>
          <w:lang w:val="es-ES"/>
        </w:rPr>
        <w:t>Ahora bien, y aunado a lo anterior</w:t>
      </w:r>
      <w:r>
        <w:rPr>
          <w:rFonts w:ascii="Verdana" w:eastAsia="Arial MT" w:hAnsi="Verdana" w:cs="Arial"/>
          <w:lang w:eastAsia="es-ES" w:bidi="es-ES"/>
        </w:rPr>
        <w:t xml:space="preserve">, la entidad contratante tiene el deber de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presta los servicios parala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Style w:val="Refdenotaalpie"/>
          <w:rFonts w:ascii="Verdana" w:eastAsia="Arial MT" w:hAnsi="Verdana" w:cs="Arial"/>
          <w:lang w:eastAsia="es-ES" w:bidi="es-ES"/>
        </w:rPr>
        <w:footnoteReference w:id="14"/>
      </w:r>
      <w:r>
        <w:rPr>
          <w:rFonts w:ascii="Verdana" w:eastAsia="Arial MT" w:hAnsi="Verdana" w:cs="Arial"/>
          <w:lang w:eastAsia="es-ES" w:bidi="es-ES"/>
        </w:rPr>
        <w:t xml:space="preserve">. </w:t>
      </w:r>
    </w:p>
    <w:p w14:paraId="63AB7846" w14:textId="77777777" w:rsidR="00482887" w:rsidRDefault="00482887" w:rsidP="00482887">
      <w:pPr>
        <w:widowControl w:val="0"/>
        <w:autoSpaceDE w:val="0"/>
        <w:autoSpaceDN w:val="0"/>
        <w:spacing w:after="120" w:line="276" w:lineRule="auto"/>
        <w:ind w:firstLine="708"/>
        <w:jc w:val="both"/>
        <w:rPr>
          <w:rFonts w:ascii="Verdana" w:hAnsi="Verdana" w:cs="Arial"/>
          <w:color w:val="000000" w:themeColor="text1"/>
          <w:lang w:val="es-ES_tradnl"/>
        </w:rPr>
      </w:pPr>
      <w:r>
        <w:rPr>
          <w:rFonts w:ascii="Verdana" w:eastAsia="Arial MT" w:hAnsi="Verdana" w:cs="Arial"/>
          <w:lang w:eastAsia="es-ES" w:bidi="es-ES"/>
        </w:rPr>
        <w:t xml:space="preserve">Al respecto, </w:t>
      </w:r>
      <w:bookmarkStart w:id="4" w:name="_Hlk192056166"/>
      <w:r>
        <w:rPr>
          <w:rFonts w:ascii="Verdana" w:eastAsia="Arial MT" w:hAnsi="Verdana" w:cs="Arial"/>
          <w:lang w:eastAsia="es-ES" w:bidi="es-ES"/>
        </w:rPr>
        <w:t xml:space="preserve">es importante señalar que </w:t>
      </w:r>
      <w:r w:rsidRPr="002A4195">
        <w:rPr>
          <w:rFonts w:ascii="Verdana" w:hAnsi="Verdana" w:cs="Arial"/>
          <w:color w:val="000000" w:themeColor="text1"/>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5" w:name="_Hlk36672204"/>
      <w:r w:rsidRPr="002A4195">
        <w:rPr>
          <w:rFonts w:ascii="Verdana" w:hAnsi="Verdana" w:cs="Arial"/>
          <w:color w:val="000000" w:themeColor="text1"/>
          <w:lang w:val="es-ES_tradnl"/>
        </w:rPr>
        <w:t xml:space="preserve">el régimen de los </w:t>
      </w:r>
      <w:r w:rsidRPr="002A4195">
        <w:rPr>
          <w:rFonts w:ascii="Verdana" w:hAnsi="Verdana" w:cs="Arial"/>
          <w:i/>
          <w:iCs/>
          <w:color w:val="000000" w:themeColor="text1"/>
          <w:lang w:val="es-ES_tradnl"/>
        </w:rPr>
        <w:t>conflictos de interés</w:t>
      </w:r>
      <w:r w:rsidRPr="002A4195">
        <w:rPr>
          <w:rFonts w:ascii="Verdana" w:hAnsi="Verdana" w:cs="Arial"/>
          <w:color w:val="000000" w:themeColor="text1"/>
          <w:lang w:val="es-ES_tradn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w:t>
      </w:r>
      <w:bookmarkEnd w:id="5"/>
    </w:p>
    <w:bookmarkEnd w:id="4"/>
    <w:p w14:paraId="4431F3FD" w14:textId="77777777" w:rsidR="00482887" w:rsidRDefault="00482887" w:rsidP="00482887">
      <w:pPr>
        <w:widowControl w:val="0"/>
        <w:autoSpaceDE w:val="0"/>
        <w:autoSpaceDN w:val="0"/>
        <w:spacing w:after="120" w:line="276" w:lineRule="auto"/>
        <w:ind w:firstLine="708"/>
        <w:jc w:val="both"/>
        <w:rPr>
          <w:rFonts w:ascii="Verdana" w:hAnsi="Verdana" w:cs="Arial"/>
          <w:color w:val="000000" w:themeColor="text1"/>
          <w:lang w:val="es-ES_tradnl"/>
        </w:rPr>
      </w:pPr>
      <w:r w:rsidRPr="002A4195">
        <w:rPr>
          <w:rFonts w:ascii="Verdana" w:hAnsi="Verdana" w:cs="Arial"/>
          <w:color w:val="000000" w:themeColor="text1"/>
          <w:lang w:val="es-ES"/>
        </w:rPr>
        <w:t xml:space="preserve">La institución jurídica de los conflictos de interés no está definida con carácter general en el ordenamiento jurídico y tampoco de forma precisa en las normas que regulan la contratación estatal, por lo que es un asunto ausente en el EGCAP.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w:t>
      </w:r>
      <w:r w:rsidRPr="002A4195">
        <w:rPr>
          <w:rFonts w:ascii="Verdana" w:hAnsi="Verdana" w:cs="Arial"/>
          <w:color w:val="000000" w:themeColor="text1"/>
          <w:lang w:val="es-ES"/>
        </w:rPr>
        <w:lastRenderedPageBreak/>
        <w:t xml:space="preserve">numeral 2 del artículo 5 del EGCAP dispone que aquellos obrarán con lealtad y buena fe en las distintas etapas contractuales. </w:t>
      </w:r>
    </w:p>
    <w:p w14:paraId="4B6A1397" w14:textId="77777777" w:rsidR="00482887" w:rsidRDefault="00482887" w:rsidP="00482887">
      <w:pPr>
        <w:widowControl w:val="0"/>
        <w:autoSpaceDE w:val="0"/>
        <w:autoSpaceDN w:val="0"/>
        <w:spacing w:after="120" w:line="276" w:lineRule="auto"/>
        <w:ind w:firstLine="708"/>
        <w:jc w:val="both"/>
        <w:rPr>
          <w:rFonts w:ascii="Verdana" w:hAnsi="Verdana" w:cs="Arial"/>
        </w:rPr>
      </w:pPr>
      <w:r>
        <w:rPr>
          <w:rFonts w:ascii="Verdana" w:eastAsia="Arial MT" w:hAnsi="Verdana" w:cs="Arial"/>
          <w:lang w:eastAsia="es-ES" w:bidi="es-ES"/>
        </w:rPr>
        <w:t xml:space="preserve">Tales situaciones de conflicto de intereses suelen expresarse en prohibiciones, similar a lo que ocurre con las inhabilidades e incompatibilidades, por lo que su consagración </w:t>
      </w:r>
      <w:r w:rsidRPr="002A4195">
        <w:rPr>
          <w:rFonts w:ascii="Verdana" w:hAnsi="Verdana" w:cs="Arial"/>
          <w:color w:val="000000" w:themeColor="text1"/>
          <w:lang w:val="es-ES_tradnl"/>
        </w:rPr>
        <w:t>–</w:t>
      </w:r>
      <w:r>
        <w:rPr>
          <w:rFonts w:ascii="Verdana" w:eastAsia="Arial MT" w:hAnsi="Verdana" w:cs="Arial"/>
          <w:lang w:eastAsia="es-ES" w:bidi="es-ES"/>
        </w:rPr>
        <w:t>para los procesos de contratación se materializa en el pliego de condiciones y en la minuta del contrato y/o convenio</w:t>
      </w:r>
      <w:r w:rsidRPr="002A4195">
        <w:rPr>
          <w:rFonts w:ascii="Verdana" w:hAnsi="Verdana" w:cs="Arial"/>
          <w:color w:val="000000" w:themeColor="text1"/>
          <w:lang w:val="es-ES_tradnl"/>
        </w:rPr>
        <w:t>–</w:t>
      </w:r>
      <w:r>
        <w:rPr>
          <w:rFonts w:ascii="Verdana" w:eastAsia="Arial MT" w:hAnsi="Verdana" w:cs="Arial"/>
          <w:lang w:eastAsia="es-ES" w:bidi="es-ES"/>
        </w:rPr>
        <w:t xml:space="preserve"> también debe ser expresa y su interpretación restrictiva, de manera que su deducción y aplicación siempre debe </w:t>
      </w:r>
      <w:r w:rsidRPr="003C349B">
        <w:rPr>
          <w:rFonts w:ascii="Verdana" w:eastAsia="Arial MT" w:hAnsi="Verdana" w:cs="Arial"/>
          <w:lang w:eastAsia="es-ES" w:bidi="es-ES"/>
        </w:rPr>
        <w:t>estar ajustada a los presupuestos que para cada causal haya señalado el constituyente o el legislador</w:t>
      </w:r>
      <w:r>
        <w:rPr>
          <w:rFonts w:ascii="Verdana" w:eastAsia="Arial MT" w:hAnsi="Verdana" w:cs="Arial"/>
          <w:lang w:eastAsia="es-ES" w:bidi="es-ES"/>
        </w:rPr>
        <w:t xml:space="preserve"> </w:t>
      </w:r>
      <w:r w:rsidRPr="002A4195">
        <w:rPr>
          <w:rFonts w:ascii="Verdana" w:hAnsi="Verdana" w:cs="Arial"/>
          <w:color w:val="000000" w:themeColor="text1"/>
          <w:lang w:val="es-ES_tradnl"/>
        </w:rPr>
        <w:t>–</w:t>
      </w:r>
      <w:r>
        <w:rPr>
          <w:rFonts w:ascii="Verdana" w:eastAsia="Arial MT" w:hAnsi="Verdana" w:cs="Arial"/>
          <w:lang w:eastAsia="es-ES" w:bidi="es-ES"/>
        </w:rPr>
        <w:t>en el caso de las inhabilidades e incompatibilidades</w:t>
      </w:r>
      <w:r w:rsidRPr="002A4195">
        <w:rPr>
          <w:rFonts w:ascii="Verdana" w:hAnsi="Verdana" w:cs="Arial"/>
          <w:color w:val="000000" w:themeColor="text1"/>
          <w:lang w:val="es-ES_tradnl"/>
        </w:rPr>
        <w:t>–</w:t>
      </w:r>
      <w:r>
        <w:rPr>
          <w:rFonts w:ascii="Verdana" w:eastAsia="Arial MT" w:hAnsi="Verdana" w:cs="Arial"/>
          <w:lang w:eastAsia="es-ES" w:bidi="es-ES"/>
        </w:rPr>
        <w:t xml:space="preserve"> y la entidad contratante </w:t>
      </w:r>
      <w:r w:rsidRPr="002A4195">
        <w:rPr>
          <w:rFonts w:ascii="Verdana" w:hAnsi="Verdana" w:cs="Arial"/>
          <w:color w:val="000000" w:themeColor="text1"/>
          <w:lang w:val="es-ES_tradnl"/>
        </w:rPr>
        <w:t>–</w:t>
      </w:r>
      <w:r>
        <w:rPr>
          <w:rFonts w:ascii="Verdana" w:eastAsia="Arial MT" w:hAnsi="Verdana" w:cs="Arial"/>
          <w:lang w:eastAsia="es-ES" w:bidi="es-ES"/>
        </w:rPr>
        <w:t>en el caso de los conflictos de intereses</w:t>
      </w:r>
      <w:r w:rsidRPr="002A4195">
        <w:rPr>
          <w:rFonts w:ascii="Verdana" w:hAnsi="Verdana" w:cs="Arial"/>
          <w:color w:val="000000" w:themeColor="text1"/>
          <w:lang w:val="es-ES_tradnl"/>
        </w:rPr>
        <w:t>–</w:t>
      </w:r>
      <w:r w:rsidRPr="003C349B">
        <w:rPr>
          <w:rFonts w:ascii="Verdana" w:eastAsia="Arial MT" w:hAnsi="Verdana" w:cs="Arial"/>
          <w:lang w:eastAsia="es-ES" w:bidi="es-ES"/>
        </w:rPr>
        <w:t>, dado que no es posible su aplicación extensiva o analógica</w:t>
      </w:r>
      <w:r>
        <w:rPr>
          <w:rFonts w:ascii="Verdana" w:eastAsia="Arial MT" w:hAnsi="Verdana" w:cs="Arial"/>
          <w:lang w:eastAsia="es-ES" w:bidi="es-ES"/>
        </w:rPr>
        <w:t>.</w:t>
      </w:r>
      <w:r>
        <w:rPr>
          <w:rFonts w:ascii="Verdana" w:hAnsi="Verdana" w:cs="Arial"/>
        </w:rPr>
        <w:t xml:space="preserve"> </w:t>
      </w:r>
    </w:p>
    <w:p w14:paraId="3F7E6A29" w14:textId="77777777" w:rsidR="00482887" w:rsidRPr="00F21CBC" w:rsidRDefault="00482887" w:rsidP="00482887">
      <w:pPr>
        <w:widowControl w:val="0"/>
        <w:autoSpaceDE w:val="0"/>
        <w:autoSpaceDN w:val="0"/>
        <w:spacing w:after="120" w:line="276" w:lineRule="auto"/>
        <w:jc w:val="both"/>
        <w:rPr>
          <w:rFonts w:ascii="Verdana" w:eastAsia="Calibri" w:hAnsi="Verdana" w:cs="Arial"/>
        </w:rPr>
      </w:pPr>
      <w:r>
        <w:rPr>
          <w:rFonts w:ascii="Arial" w:eastAsia="Calibri" w:hAnsi="Arial" w:cs="Arial"/>
        </w:rPr>
        <w:tab/>
      </w:r>
      <w:r w:rsidRPr="00F21CBC">
        <w:rPr>
          <w:rFonts w:ascii="Verdana" w:eastAsia="Calibri" w:hAnsi="Verdana" w:cs="Arial"/>
        </w:rPr>
        <w:t xml:space="preserve">Sobre la configuración de los conflictos de interés, es preciso señalar que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F21CBC">
        <w:rPr>
          <w:rFonts w:ascii="Verdana" w:eastAsia="Calibri" w:hAnsi="Verdana" w:cs="Arial"/>
          <w:i/>
          <w:iCs/>
        </w:rPr>
        <w:t xml:space="preserve">tipicidad </w:t>
      </w:r>
      <w:r w:rsidRPr="00F21CBC">
        <w:rPr>
          <w:rFonts w:ascii="Verdana" w:eastAsia="Calibri" w:hAnsi="Verdana" w:cs="Arial"/>
        </w:rPr>
        <w:t xml:space="preserve">y </w:t>
      </w:r>
      <w:r w:rsidRPr="00F21CBC">
        <w:rPr>
          <w:rFonts w:ascii="Verdana" w:eastAsia="Calibri" w:hAnsi="Verdana" w:cs="Arial"/>
          <w:i/>
          <w:iCs/>
        </w:rPr>
        <w:t xml:space="preserve">objetividad. </w:t>
      </w:r>
      <w:r w:rsidRPr="00F21CBC">
        <w:rPr>
          <w:rFonts w:ascii="Verdana" w:eastAsia="Calibri" w:hAnsi="Verdana" w:cs="Arial"/>
        </w:rPr>
        <w:t xml:space="preserve">Por la relevancia de las consideraciones de dicho concepto, estas se transcriben </w:t>
      </w:r>
      <w:proofErr w:type="gramStart"/>
      <w:r w:rsidRPr="00F21CBC">
        <w:rPr>
          <w:rFonts w:ascii="Verdana" w:eastAsia="Calibri" w:hAnsi="Verdana" w:cs="Arial"/>
          <w:i/>
          <w:iCs/>
        </w:rPr>
        <w:t>in extenso</w:t>
      </w:r>
      <w:proofErr w:type="gramEnd"/>
      <w:r w:rsidRPr="00F21CBC">
        <w:rPr>
          <w:rFonts w:ascii="Verdana" w:eastAsia="Calibri" w:hAnsi="Verdana" w:cs="Arial"/>
          <w:i/>
          <w:iCs/>
        </w:rPr>
        <w:t>:</w:t>
      </w:r>
    </w:p>
    <w:p w14:paraId="6FBB8CB8" w14:textId="77777777" w:rsidR="00482887" w:rsidRPr="00F21CBC" w:rsidRDefault="00482887" w:rsidP="00482887">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Para efectos del concepto que ahora se rinde, la Sala resalta dos elementos contenidos en el texto transcrito, a saber: </w:t>
      </w:r>
      <w:r w:rsidRPr="00F21CBC">
        <w:rPr>
          <w:rFonts w:ascii="Verdana" w:eastAsia="Calibri" w:hAnsi="Verdana" w:cs="Arial"/>
          <w:i/>
          <w:iCs/>
          <w:sz w:val="20"/>
          <w:szCs w:val="20"/>
        </w:rPr>
        <w:t>la «tipicidad» y la «objetividad»,</w:t>
      </w:r>
      <w:r w:rsidRPr="00F21CBC">
        <w:rPr>
          <w:rFonts w:ascii="Verdana" w:eastAsia="Calibri" w:hAnsi="Verdana" w:cs="Arial"/>
          <w:sz w:val="20"/>
          <w:szCs w:val="20"/>
        </w:rPr>
        <w:t xml:space="preserve"> que deben predicarse de las causales que se establezcan en cada caso particular, para preservar y hacer eficaz la selección objetiva del contratista, como se explica a continuación.</w:t>
      </w:r>
    </w:p>
    <w:p w14:paraId="09126948" w14:textId="77777777" w:rsidR="00482887" w:rsidRPr="00F21CBC" w:rsidRDefault="00482887" w:rsidP="00482887">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La «identificación de actividades incompatibles» con las obligaciones del contratista, significa jurídicamente, </w:t>
      </w:r>
      <w:r w:rsidRPr="00F21CBC">
        <w:rPr>
          <w:rFonts w:ascii="Verdana" w:eastAsia="Calibri" w:hAnsi="Verdana" w:cs="Arial"/>
          <w:i/>
          <w:iCs/>
          <w:sz w:val="20"/>
          <w:szCs w:val="20"/>
        </w:rPr>
        <w:t>«tipificarlas», esto es, definirlas de manera concreta para derivar de ellas una consecuencia que, en el caso en estudio, tiene una naturaleza restrictiva, prohibitiva o sancionatoria</w:t>
      </w:r>
      <w:r w:rsidRPr="00F21CBC">
        <w:rPr>
          <w:rFonts w:ascii="Verdana" w:eastAsia="Calibri" w:hAnsi="Verdana" w:cs="Arial"/>
          <w:sz w:val="20"/>
          <w:szCs w:val="20"/>
        </w:rPr>
        <w:t>.</w:t>
      </w:r>
    </w:p>
    <w:p w14:paraId="225D9B24" w14:textId="77777777" w:rsidR="00482887" w:rsidRPr="00F21CBC" w:rsidRDefault="00482887" w:rsidP="00482887">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La «evaluación estrictamente objetiva» que debe garantizarse con las causales que se definan en un proceso contractual dado, exige, por supuesto, la «objetividad» en la determinación de las causales que se adopten.</w:t>
      </w:r>
    </w:p>
    <w:p w14:paraId="7C157F74" w14:textId="77777777" w:rsidR="00482887" w:rsidRPr="00F21CBC" w:rsidRDefault="00482887" w:rsidP="00482887">
      <w:pPr>
        <w:widowControl w:val="0"/>
        <w:autoSpaceDE w:val="0"/>
        <w:autoSpaceDN w:val="0"/>
        <w:spacing w:after="120"/>
        <w:ind w:left="709" w:right="709"/>
        <w:jc w:val="both"/>
        <w:rPr>
          <w:rFonts w:ascii="Verdana" w:eastAsia="Calibri" w:hAnsi="Verdana" w:cs="Arial"/>
          <w:sz w:val="20"/>
          <w:szCs w:val="20"/>
        </w:rPr>
      </w:pPr>
      <w:r w:rsidRPr="00F21CBC">
        <w:rPr>
          <w:rFonts w:ascii="Verdana" w:eastAsia="Calibri" w:hAnsi="Verdana" w:cs="Arial"/>
          <w:sz w:val="20"/>
          <w:szCs w:val="20"/>
        </w:rPr>
        <w:t xml:space="preserve">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w:t>
      </w:r>
      <w:r w:rsidRPr="00F21CBC">
        <w:rPr>
          <w:rFonts w:ascii="Verdana" w:eastAsia="Calibri" w:hAnsi="Verdana" w:cs="Arial"/>
          <w:sz w:val="20"/>
          <w:szCs w:val="20"/>
        </w:rPr>
        <w:lastRenderedPageBreak/>
        <w:t>nuestro modo de pensar o de sentir, y no al objeto en sí mismo.</w:t>
      </w:r>
      <w:bookmarkStart w:id="6" w:name="_ftnref18"/>
      <w:r w:rsidRPr="00F21CBC">
        <w:rPr>
          <w:rFonts w:ascii="Verdana" w:eastAsia="Calibri" w:hAnsi="Verdana" w:cs="Arial"/>
          <w:sz w:val="20"/>
          <w:szCs w:val="20"/>
        </w:rPr>
        <w:t>»</w:t>
      </w:r>
      <w:bookmarkEnd w:id="6"/>
      <w:r w:rsidRPr="00F21CBC">
        <w:rPr>
          <w:rFonts w:ascii="Verdana" w:eastAsia="Calibri" w:hAnsi="Verdana" w:cs="Arial"/>
          <w:sz w:val="20"/>
          <w:szCs w:val="20"/>
        </w:rPr>
        <w:t xml:space="preserve"> </w:t>
      </w:r>
    </w:p>
    <w:p w14:paraId="5FC77B00" w14:textId="77777777" w:rsidR="00482887" w:rsidRPr="00F21CBC" w:rsidRDefault="00482887" w:rsidP="00482887">
      <w:pPr>
        <w:widowControl w:val="0"/>
        <w:autoSpaceDE w:val="0"/>
        <w:autoSpaceDN w:val="0"/>
        <w:spacing w:after="120"/>
        <w:ind w:left="709" w:right="709"/>
        <w:jc w:val="both"/>
        <w:rPr>
          <w:rFonts w:ascii="Verdana" w:eastAsia="Calibri" w:hAnsi="Verdana" w:cs="Arial"/>
          <w:i/>
          <w:iCs/>
          <w:sz w:val="20"/>
          <w:szCs w:val="20"/>
        </w:rPr>
      </w:pPr>
      <w:r w:rsidRPr="00F21CBC">
        <w:rPr>
          <w:rFonts w:ascii="Verdana" w:eastAsia="Calibri" w:hAnsi="Verdana" w:cs="Arial"/>
          <w:sz w:val="20"/>
          <w:szCs w:val="20"/>
        </w:rPr>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F21CBC">
        <w:rPr>
          <w:rFonts w:ascii="Verdana" w:eastAsia="Calibri" w:hAnsi="Verdana" w:cs="Arial"/>
          <w:i/>
          <w:iCs/>
          <w:sz w:val="20"/>
          <w:szCs w:val="20"/>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02C6A491" w14:textId="77777777" w:rsidR="00482887" w:rsidRPr="00F21CBC" w:rsidRDefault="00482887" w:rsidP="00482887">
      <w:pPr>
        <w:widowControl w:val="0"/>
        <w:autoSpaceDE w:val="0"/>
        <w:autoSpaceDN w:val="0"/>
        <w:ind w:left="709" w:right="709"/>
        <w:jc w:val="both"/>
        <w:rPr>
          <w:rFonts w:ascii="Verdana" w:eastAsia="Calibri" w:hAnsi="Verdana" w:cs="Arial"/>
          <w:sz w:val="20"/>
          <w:szCs w:val="20"/>
        </w:rPr>
      </w:pPr>
      <w:r w:rsidRPr="00F21CBC">
        <w:rPr>
          <w:rFonts w:ascii="Verdana" w:eastAsia="Calibri" w:hAnsi="Verdana" w:cs="Arial"/>
          <w:sz w:val="20"/>
          <w:szCs w:val="20"/>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w:t>
      </w:r>
      <w:proofErr w:type="gramStart"/>
      <w:r w:rsidRPr="00F21CBC">
        <w:rPr>
          <w:rFonts w:ascii="Verdana" w:eastAsia="Calibri" w:hAnsi="Verdana" w:cs="Arial"/>
          <w:sz w:val="20"/>
          <w:szCs w:val="20"/>
        </w:rPr>
        <w:t>en razón de</w:t>
      </w:r>
      <w:proofErr w:type="gramEnd"/>
      <w:r w:rsidRPr="00F21CBC">
        <w:rPr>
          <w:rFonts w:ascii="Verdana" w:eastAsia="Calibri" w:hAnsi="Verdana" w:cs="Arial"/>
          <w:sz w:val="20"/>
          <w:szCs w:val="20"/>
        </w:rPr>
        <w:t xml:space="preserve"> este efecto </w:t>
      </w:r>
      <w:r w:rsidRPr="00F21CBC">
        <w:rPr>
          <w:rFonts w:ascii="Verdana" w:eastAsia="Calibri" w:hAnsi="Verdana" w:cs="Arial"/>
          <w:i/>
          <w:iCs/>
          <w:sz w:val="20"/>
          <w:szCs w:val="20"/>
        </w:rPr>
        <w:t>que el conflicto de intereses no puede cimentarse en definiciones ambiguas, abstractas o que permitan un margen de subjetividad en su examen</w:t>
      </w:r>
      <w:r w:rsidRPr="00F21CBC">
        <w:rPr>
          <w:rStyle w:val="Refdenotaalpie"/>
          <w:rFonts w:ascii="Verdana" w:eastAsia="Calibri" w:hAnsi="Verdana" w:cs="Arial"/>
          <w:i/>
          <w:iCs/>
        </w:rPr>
        <w:footnoteReference w:id="15"/>
      </w:r>
      <w:r w:rsidRPr="00F21CBC">
        <w:rPr>
          <w:rFonts w:ascii="Verdana" w:eastAsia="Calibri" w:hAnsi="Verdana" w:cs="Arial"/>
          <w:sz w:val="20"/>
          <w:szCs w:val="20"/>
        </w:rPr>
        <w:t xml:space="preserve">. </w:t>
      </w:r>
      <w:r>
        <w:rPr>
          <w:rFonts w:ascii="Verdana" w:eastAsia="Calibri" w:hAnsi="Verdana" w:cs="Arial"/>
          <w:sz w:val="20"/>
          <w:szCs w:val="20"/>
        </w:rPr>
        <w:t>[</w:t>
      </w:r>
      <w:r w:rsidRPr="00F21CBC">
        <w:rPr>
          <w:rFonts w:ascii="Verdana" w:eastAsia="Calibri" w:hAnsi="Verdana" w:cs="Arial"/>
          <w:sz w:val="20"/>
          <w:szCs w:val="20"/>
        </w:rPr>
        <w:t>Cursiva fuera del original</w:t>
      </w:r>
      <w:r>
        <w:rPr>
          <w:rFonts w:ascii="Verdana" w:eastAsia="Calibri" w:hAnsi="Verdana" w:cs="Arial"/>
          <w:sz w:val="20"/>
          <w:szCs w:val="20"/>
        </w:rPr>
        <w:t>]</w:t>
      </w:r>
      <w:r w:rsidRPr="00F21CBC">
        <w:rPr>
          <w:rFonts w:ascii="Verdana" w:eastAsia="Calibri" w:hAnsi="Verdana" w:cs="Arial"/>
          <w:sz w:val="20"/>
          <w:szCs w:val="20"/>
        </w:rPr>
        <w:t>.</w:t>
      </w:r>
    </w:p>
    <w:p w14:paraId="19A401EE" w14:textId="77777777" w:rsidR="00482887" w:rsidRPr="00A3149F" w:rsidRDefault="00482887" w:rsidP="00482887">
      <w:pPr>
        <w:widowControl w:val="0"/>
        <w:autoSpaceDE w:val="0"/>
        <w:autoSpaceDN w:val="0"/>
        <w:spacing w:after="120" w:line="276" w:lineRule="auto"/>
        <w:ind w:firstLine="709"/>
        <w:jc w:val="both"/>
        <w:rPr>
          <w:rFonts w:ascii="Verdana" w:eastAsia="Calibri" w:hAnsi="Verdana" w:cs="Arial"/>
        </w:rPr>
      </w:pPr>
      <w:r w:rsidRPr="00F21CBC">
        <w:rPr>
          <w:rFonts w:ascii="Verdana" w:eastAsia="Calibri" w:hAnsi="Verdana" w:cs="Arial"/>
        </w:rPr>
        <w:t xml:space="preserve">De conformidad con lo anterior, es posible extraer las siguientes conclusiones en relación con la regulación de los conflictos de intereses en la contratación estatal: i) es posible que los pliegos de condiciones establezcan, si bien de forma restrictiva, conflictos de interés; </w:t>
      </w:r>
      <w:proofErr w:type="spellStart"/>
      <w:r w:rsidRPr="00F21CBC">
        <w:rPr>
          <w:rFonts w:ascii="Verdana" w:eastAsia="Calibri" w:hAnsi="Verdana" w:cs="Arial"/>
        </w:rPr>
        <w:t>ii</w:t>
      </w:r>
      <w:proofErr w:type="spellEnd"/>
      <w:r w:rsidRPr="00F21CBC">
        <w:rPr>
          <w:rFonts w:ascii="Verdana" w:eastAsia="Calibri" w:hAnsi="Verdana" w:cs="Arial"/>
        </w:rPr>
        <w:t xml:space="preserve">) estos deben </w:t>
      </w:r>
      <w:r w:rsidRPr="00F21CBC">
        <w:rPr>
          <w:rFonts w:ascii="Verdana" w:eastAsia="Calibri" w:hAnsi="Verdana" w:cs="Arial"/>
          <w:i/>
          <w:iCs/>
        </w:rPr>
        <w:t>tipificarse</w:t>
      </w:r>
      <w:r w:rsidRPr="00F21CBC">
        <w:rPr>
          <w:rFonts w:ascii="Verdana" w:eastAsia="Calibri" w:hAnsi="Verdana" w:cs="Arial"/>
        </w:rPr>
        <w:t xml:space="preserve">, esto es, establecerse de forma expresa y concreta en los pliegos de condiciones; </w:t>
      </w:r>
      <w:proofErr w:type="spellStart"/>
      <w:r w:rsidRPr="00F21CBC">
        <w:rPr>
          <w:rFonts w:ascii="Verdana" w:eastAsia="Calibri" w:hAnsi="Verdana" w:cs="Arial"/>
        </w:rPr>
        <w:t>iii</w:t>
      </w:r>
      <w:proofErr w:type="spellEnd"/>
      <w:r w:rsidRPr="00F21CBC">
        <w:rPr>
          <w:rFonts w:ascii="Verdana" w:eastAsia="Calibri" w:hAnsi="Verdana" w:cs="Arial"/>
        </w:rPr>
        <w:t xml:space="preserve">) las causales deben ser </w:t>
      </w:r>
      <w:r w:rsidRPr="00F21CBC">
        <w:rPr>
          <w:rFonts w:ascii="Verdana" w:eastAsia="Calibri" w:hAnsi="Verdana" w:cs="Arial"/>
          <w:i/>
          <w:iCs/>
        </w:rPr>
        <w:t>objetivas</w:t>
      </w:r>
      <w:r w:rsidRPr="00F21CBC">
        <w:rPr>
          <w:rFonts w:ascii="Verdana" w:eastAsia="Calibri" w:hAnsi="Verdana" w:cs="Arial"/>
        </w:rPr>
        <w:t xml:space="preserve">, esto es, que se describan con claridad, de manera que no resulten ambiguos dando lugar a que los intérpretes extraigan consecuencias diferentes; </w:t>
      </w:r>
      <w:proofErr w:type="spellStart"/>
      <w:r w:rsidRPr="00F21CBC">
        <w:rPr>
          <w:rFonts w:ascii="Verdana" w:eastAsia="Calibri" w:hAnsi="Verdana" w:cs="Arial"/>
        </w:rPr>
        <w:t>iv</w:t>
      </w:r>
      <w:proofErr w:type="spellEnd"/>
      <w:r w:rsidRPr="00F21CBC">
        <w:rPr>
          <w:rFonts w:ascii="Verdana" w:eastAsia="Calibri" w:hAnsi="Verdana" w:cs="Arial"/>
        </w:rPr>
        <w:t xml:space="preserve">)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w:t>
      </w:r>
      <w:r w:rsidRPr="00A3149F">
        <w:rPr>
          <w:rFonts w:ascii="Verdana" w:eastAsia="Calibri" w:hAnsi="Verdana" w:cs="Arial"/>
        </w:rPr>
        <w:t xml:space="preserve">su ausencia da lugar a que se parta del principio general de la capacidad contractual del proponente o contratista, de manera que la entidad no puede </w:t>
      </w:r>
      <w:r w:rsidRPr="00A3149F">
        <w:rPr>
          <w:rFonts w:ascii="Verdana" w:eastAsia="Calibri" w:hAnsi="Verdana" w:cs="Arial"/>
        </w:rPr>
        <w:lastRenderedPageBreak/>
        <w:t>crear o aplicar causales que no incluyó en el pliego de condiciones</w:t>
      </w:r>
      <w:r w:rsidRPr="00A3149F">
        <w:rPr>
          <w:rStyle w:val="Refdenotaalpie"/>
          <w:rFonts w:ascii="Verdana" w:eastAsia="Calibri" w:hAnsi="Verdana" w:cs="Arial"/>
        </w:rPr>
        <w:footnoteReference w:id="16"/>
      </w:r>
      <w:r w:rsidRPr="00A3149F">
        <w:rPr>
          <w:rFonts w:ascii="Verdana" w:eastAsia="Calibri" w:hAnsi="Verdana" w:cs="Arial"/>
        </w:rPr>
        <w:t>.</w:t>
      </w:r>
    </w:p>
    <w:p w14:paraId="43EAC43B" w14:textId="77777777" w:rsidR="00482887" w:rsidRDefault="00482887" w:rsidP="00482887">
      <w:pPr>
        <w:widowControl w:val="0"/>
        <w:autoSpaceDE w:val="0"/>
        <w:autoSpaceDN w:val="0"/>
        <w:spacing w:after="120" w:line="276" w:lineRule="auto"/>
        <w:ind w:firstLine="709"/>
        <w:jc w:val="both"/>
        <w:rPr>
          <w:rFonts w:ascii="Verdana" w:eastAsia="Century Gothic" w:hAnsi="Verdana" w:cs="Century Gothic"/>
          <w:bCs/>
        </w:rPr>
      </w:pPr>
      <w:r w:rsidRPr="00A3149F">
        <w:rPr>
          <w:rFonts w:ascii="Verdana" w:eastAsia="Calibri" w:hAnsi="Verdana" w:cs="Arial"/>
        </w:rPr>
        <w:t>En este sentido,</w:t>
      </w:r>
      <w:r w:rsidRPr="00A3149F">
        <w:rPr>
          <w:rFonts w:ascii="Verdana" w:eastAsia="Calibri" w:hAnsi="Verdana" w:cs="Arial"/>
          <w:color w:val="000000" w:themeColor="text1"/>
          <w:lang w:val="es-ES_tradnl"/>
        </w:rPr>
        <w:t xml:space="preserve"> solo es posible aplicar las causales de conflicto de interés que se encuentre tipificadas y que expresamente se hayan establecido en el pliego de condiciones o estudios previos. De esta manera, </w:t>
      </w:r>
      <w:r w:rsidRPr="00A3149F">
        <w:rPr>
          <w:rFonts w:ascii="Verdana" w:eastAsia="Century Gothic" w:hAnsi="Verdana" w:cs="Century Gothic"/>
          <w:bCs/>
        </w:rPr>
        <w:t>corresponde a las Entidades Estatales, al verificar la capacidad</w:t>
      </w:r>
      <w:r w:rsidRPr="00E0405E">
        <w:rPr>
          <w:rFonts w:ascii="Verdana" w:eastAsia="Century Gothic" w:hAnsi="Verdana" w:cs="Century Gothic"/>
          <w:bCs/>
        </w:rPr>
        <w:t xml:space="preserve"> jurídica de las personas con quienes pretenden suscribir contratos, determinar en cada caso concreto si se configura algún conflicto de interés</w:t>
      </w:r>
      <w:r>
        <w:rPr>
          <w:rFonts w:ascii="Verdana" w:eastAsia="Century Gothic" w:hAnsi="Verdana" w:cs="Century Gothic"/>
          <w:bCs/>
        </w:rPr>
        <w:t xml:space="preserve"> de acuerdo con las causales que haya tipificado en el pliego de condiciones o en el contrato</w:t>
      </w:r>
      <w:r w:rsidRPr="00E0405E">
        <w:rPr>
          <w:rFonts w:ascii="Verdana" w:eastAsia="Century Gothic" w:hAnsi="Verdana" w:cs="Century Gothic"/>
          <w:bCs/>
        </w:rPr>
        <w:t xml:space="preserve">. </w:t>
      </w:r>
      <w:r>
        <w:rPr>
          <w:rFonts w:ascii="Verdana" w:eastAsia="Century Gothic" w:hAnsi="Verdana" w:cs="Century Gothic"/>
          <w:bCs/>
        </w:rPr>
        <w:t>Por tanto</w:t>
      </w:r>
      <w:r w:rsidRPr="00E0405E">
        <w:rPr>
          <w:rFonts w:ascii="Verdana" w:eastAsia="Century Gothic" w:hAnsi="Verdana" w:cs="Century Gothic"/>
          <w:bCs/>
        </w:rPr>
        <w:t xml:space="preserve">, la conclusión aquí expuesta no remplaza el deber de verificación de las Entidades Estatales, ni puede ser tomada como un juicio de valor sobre alguna situación de orden particular. </w:t>
      </w:r>
    </w:p>
    <w:p w14:paraId="2076E1D4" w14:textId="77777777" w:rsidR="00482887" w:rsidRDefault="00482887" w:rsidP="00482887">
      <w:pPr>
        <w:spacing w:after="0" w:line="276" w:lineRule="auto"/>
        <w:ind w:firstLine="708"/>
        <w:jc w:val="both"/>
        <w:rPr>
          <w:rFonts w:ascii="Verdana" w:eastAsia="Arial MT" w:hAnsi="Verdana" w:cs="Arial"/>
          <w:lang w:eastAsia="es-ES" w:bidi="es-ES"/>
        </w:rPr>
      </w:pPr>
      <w:r w:rsidRPr="00D764A1">
        <w:rPr>
          <w:rFonts w:ascii="Verdana" w:eastAsia="Arial MT" w:hAnsi="Verdana" w:cs="Arial"/>
          <w:lang w:eastAsia="es-ES" w:bidi="es-ES"/>
        </w:rPr>
        <w:t>No obstante,</w:t>
      </w:r>
      <w:r>
        <w:rPr>
          <w:rFonts w:ascii="Verdana" w:eastAsia="Arial MT" w:hAnsi="Verdana" w:cs="Arial"/>
          <w:lang w:eastAsia="es-ES" w:bidi="es-ES"/>
        </w:rPr>
        <w:t xml:space="preserve"> de acuerdo a los lineamentos generales que preceden, le corresponde a</w:t>
      </w:r>
      <w:r w:rsidRPr="00D764A1">
        <w:rPr>
          <w:rFonts w:ascii="Verdana" w:eastAsia="Arial MT" w:hAnsi="Verdana" w:cs="Arial"/>
          <w:lang w:eastAsia="es-ES" w:bidi="es-ES"/>
        </w:rPr>
        <w:t xml:space="preserve"> cada entidad contratante</w:t>
      </w:r>
      <w:r>
        <w:rPr>
          <w:rFonts w:ascii="Verdana" w:eastAsia="Arial MT" w:hAnsi="Verdana" w:cs="Arial"/>
          <w:lang w:eastAsia="es-ES" w:bidi="es-ES"/>
        </w:rPr>
        <w:t xml:space="preserve"> </w:t>
      </w:r>
      <w:r w:rsidRPr="00D764A1">
        <w:rPr>
          <w:rFonts w:ascii="Verdana" w:eastAsia="Arial MT" w:hAnsi="Verdana" w:cs="Arial"/>
          <w:lang w:eastAsia="es-ES" w:bidi="es-ES"/>
        </w:rPr>
        <w:t xml:space="preserve">verificar si, en el marco concreto de las funciones asignadas al contratista </w:t>
      </w:r>
      <w:r>
        <w:rPr>
          <w:rFonts w:ascii="Verdana" w:eastAsia="Arial MT" w:hAnsi="Verdana" w:cs="Arial"/>
          <w:lang w:eastAsia="es-ES" w:bidi="es-ES"/>
        </w:rPr>
        <w:t>en el contrato</w:t>
      </w:r>
      <w:r w:rsidRPr="00D764A1">
        <w:rPr>
          <w:rFonts w:ascii="Verdana" w:eastAsia="Arial MT" w:hAnsi="Verdana" w:cs="Arial"/>
          <w:lang w:eastAsia="es-ES" w:bidi="es-ES"/>
        </w:rPr>
        <w:t>, pudiera configurarse una conducta que revista la connotación de conflicto de interés, derivada de la existencia de intereses contrapuestos que comprometan la transparencia, independencia o rectitud de las actuaciones a su cargo, o que lo puedan llevar a adoptar decisiones orientadas al beneficio personal, familiar o particular en detrimento del interés público. En tales eventos, el eventual conflicto de interés debe analizarse bajo los criterios de tipicidad y objetividad que exige la doctrina y la jurisprudencia en la materia.</w:t>
      </w:r>
    </w:p>
    <w:p w14:paraId="0BC2460E" w14:textId="77777777" w:rsidR="00482887" w:rsidRPr="00C45C5D" w:rsidRDefault="00482887" w:rsidP="00482887">
      <w:pPr>
        <w:spacing w:after="0" w:line="276" w:lineRule="auto"/>
        <w:jc w:val="both"/>
        <w:rPr>
          <w:rFonts w:ascii="Verdana" w:eastAsia="Calibri" w:hAnsi="Verdana" w:cs="Arial"/>
          <w:color w:val="000000" w:themeColor="text1"/>
        </w:rPr>
      </w:pPr>
    </w:p>
    <w:p w14:paraId="370637DD" w14:textId="77777777" w:rsidR="00482887" w:rsidRPr="00C45C5D" w:rsidRDefault="00482887" w:rsidP="0048288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Referencias normativas y jurisprudenciales:</w:t>
      </w:r>
    </w:p>
    <w:p w14:paraId="0499FCA5" w14:textId="77777777" w:rsidR="00482887" w:rsidRPr="00C45C5D" w:rsidRDefault="00482887" w:rsidP="0048288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82887" w:rsidRPr="00C45C5D" w14:paraId="295EC844" w14:textId="77777777" w:rsidTr="007D411D">
        <w:trPr>
          <w:trHeight w:val="3254"/>
          <w:jc w:val="center"/>
        </w:trPr>
        <w:tc>
          <w:tcPr>
            <w:tcW w:w="8647" w:type="dxa"/>
          </w:tcPr>
          <w:p w14:paraId="227DF3E0" w14:textId="77777777" w:rsidR="00482887" w:rsidRPr="00DC7C22" w:rsidRDefault="00482887" w:rsidP="00482887">
            <w:pPr>
              <w:numPr>
                <w:ilvl w:val="0"/>
                <w:numId w:val="17"/>
              </w:numPr>
              <w:spacing w:line="256" w:lineRule="auto"/>
              <w:contextualSpacing/>
              <w:jc w:val="both"/>
              <w:rPr>
                <w:rFonts w:ascii="Verdana" w:hAnsi="Verdana" w:cs="Arial"/>
                <w:lang w:val="es-ES_tradnl"/>
              </w:rPr>
            </w:pPr>
            <w:r w:rsidRPr="00DC7C22">
              <w:rPr>
                <w:rFonts w:ascii="Verdana" w:hAnsi="Verdana" w:cs="Arial"/>
                <w:lang w:val="es-ES_tradnl"/>
              </w:rPr>
              <w:lastRenderedPageBreak/>
              <w:t xml:space="preserve">Ley 80 de 1993, artículos </w:t>
            </w:r>
            <w:r>
              <w:rPr>
                <w:rFonts w:ascii="Verdana" w:hAnsi="Verdana" w:cs="Arial"/>
                <w:lang w:val="es-ES_tradnl"/>
              </w:rPr>
              <w:t xml:space="preserve">3, </w:t>
            </w:r>
            <w:r w:rsidRPr="00DC7C22">
              <w:rPr>
                <w:rFonts w:ascii="Verdana" w:hAnsi="Verdana" w:cs="Arial"/>
                <w:lang w:val="es-ES_tradnl"/>
              </w:rPr>
              <w:t>6</w:t>
            </w:r>
            <w:r>
              <w:rPr>
                <w:rFonts w:ascii="Verdana" w:hAnsi="Verdana" w:cs="Arial"/>
                <w:lang w:val="es-ES_tradnl"/>
              </w:rPr>
              <w:t xml:space="preserve"> y </w:t>
            </w:r>
            <w:r w:rsidRPr="00DC7C22">
              <w:rPr>
                <w:rFonts w:ascii="Verdana" w:hAnsi="Verdana" w:cs="Arial"/>
                <w:lang w:val="es-ES_tradnl"/>
              </w:rPr>
              <w:t>8</w:t>
            </w:r>
          </w:p>
          <w:p w14:paraId="5501991D" w14:textId="77777777" w:rsidR="00482887" w:rsidRPr="00DC7C22" w:rsidRDefault="00482887" w:rsidP="00482887">
            <w:pPr>
              <w:numPr>
                <w:ilvl w:val="0"/>
                <w:numId w:val="17"/>
              </w:numPr>
              <w:spacing w:line="256" w:lineRule="auto"/>
              <w:contextualSpacing/>
              <w:jc w:val="both"/>
              <w:rPr>
                <w:rFonts w:ascii="Verdana" w:hAnsi="Verdana" w:cs="Arial"/>
                <w:lang w:val="es-ES_tradnl"/>
              </w:rPr>
            </w:pPr>
            <w:r w:rsidRPr="00DC7C22">
              <w:rPr>
                <w:rFonts w:ascii="Verdana" w:hAnsi="Verdana" w:cs="Arial"/>
                <w:lang w:val="es-ES_tradnl"/>
              </w:rPr>
              <w:t>Código Civil, artículo 150</w:t>
            </w:r>
            <w:r>
              <w:rPr>
                <w:rFonts w:ascii="Verdana" w:hAnsi="Verdana" w:cs="Arial"/>
                <w:lang w:val="es-ES_tradnl"/>
              </w:rPr>
              <w:t>2</w:t>
            </w:r>
          </w:p>
          <w:p w14:paraId="395BC4FA" w14:textId="77777777" w:rsidR="00482887" w:rsidRPr="00DC7C22" w:rsidRDefault="00482887" w:rsidP="00482887">
            <w:pPr>
              <w:numPr>
                <w:ilvl w:val="0"/>
                <w:numId w:val="17"/>
              </w:numPr>
              <w:spacing w:line="256" w:lineRule="auto"/>
              <w:contextualSpacing/>
              <w:jc w:val="both"/>
              <w:rPr>
                <w:rFonts w:ascii="Verdana" w:hAnsi="Verdana" w:cs="Arial"/>
                <w:lang w:val="es-ES_tradnl"/>
              </w:rPr>
            </w:pPr>
            <w:r w:rsidRPr="00DC7C22">
              <w:rPr>
                <w:rFonts w:ascii="Verdana" w:hAnsi="Verdana" w:cs="Arial"/>
                <w:lang w:val="es-ES_tradnl"/>
              </w:rPr>
              <w:t>Corte Constitucional. Sentencia T-1039 de 2006 Magistrado Ponente: Humberto Sierra Porto</w:t>
            </w:r>
          </w:p>
          <w:p w14:paraId="10A083B0" w14:textId="77777777" w:rsidR="00482887" w:rsidRPr="00DC7C22" w:rsidRDefault="00482887" w:rsidP="00482887">
            <w:pPr>
              <w:numPr>
                <w:ilvl w:val="0"/>
                <w:numId w:val="17"/>
              </w:numPr>
              <w:spacing w:line="256" w:lineRule="auto"/>
              <w:contextualSpacing/>
              <w:jc w:val="both"/>
              <w:rPr>
                <w:rFonts w:ascii="Verdana" w:hAnsi="Verdana" w:cs="Arial"/>
                <w:lang w:val="es-ES"/>
              </w:rPr>
            </w:pPr>
            <w:r w:rsidRPr="6EF52751">
              <w:rPr>
                <w:rFonts w:ascii="Verdana" w:hAnsi="Verdana" w:cs="Arial"/>
                <w:lang w:val="es-ES"/>
              </w:rPr>
              <w:t xml:space="preserve">Consejo de Estado. Sala de Consulta y Servicio Civil. Concepto del 30 de abril de 2015. Expediente: 2251. Consejero Ponente: Álvaro </w:t>
            </w:r>
            <w:proofErr w:type="spellStart"/>
            <w:r w:rsidRPr="6EF52751">
              <w:rPr>
                <w:rFonts w:ascii="Verdana" w:hAnsi="Verdana" w:cs="Arial"/>
                <w:lang w:val="es-ES"/>
              </w:rPr>
              <w:t>Namén</w:t>
            </w:r>
            <w:proofErr w:type="spellEnd"/>
            <w:r w:rsidRPr="6EF52751">
              <w:rPr>
                <w:rFonts w:ascii="Verdana" w:hAnsi="Verdana" w:cs="Arial"/>
                <w:lang w:val="es-ES"/>
              </w:rPr>
              <w:t xml:space="preserve"> Vargas</w:t>
            </w:r>
          </w:p>
          <w:p w14:paraId="78E8BABF" w14:textId="77777777" w:rsidR="00482887" w:rsidRPr="00DC7C22" w:rsidRDefault="00482887" w:rsidP="00482887">
            <w:pPr>
              <w:numPr>
                <w:ilvl w:val="0"/>
                <w:numId w:val="17"/>
              </w:numPr>
              <w:spacing w:line="256" w:lineRule="auto"/>
              <w:contextualSpacing/>
              <w:jc w:val="both"/>
              <w:rPr>
                <w:rFonts w:ascii="Verdana" w:hAnsi="Verdana" w:cs="Arial"/>
                <w:lang w:val="es-ES"/>
              </w:rPr>
            </w:pPr>
            <w:r w:rsidRPr="6EF52751">
              <w:rPr>
                <w:rFonts w:ascii="Verdana" w:hAnsi="Verdana" w:cs="Arial"/>
                <w:lang w:val="es-ES"/>
              </w:rPr>
              <w:t xml:space="preserve">Consejo de Estado. Sección Tercera. Subsección A. Sentencia del 24 de junio de 2015. </w:t>
            </w:r>
            <w:proofErr w:type="spellStart"/>
            <w:r w:rsidRPr="6EF52751">
              <w:rPr>
                <w:rFonts w:ascii="Verdana" w:hAnsi="Verdana" w:cs="Arial"/>
                <w:lang w:val="es-ES"/>
              </w:rPr>
              <w:t>Exp</w:t>
            </w:r>
            <w:proofErr w:type="spellEnd"/>
            <w:r w:rsidRPr="6EF52751">
              <w:rPr>
                <w:rFonts w:ascii="Verdana" w:hAnsi="Verdana" w:cs="Arial"/>
                <w:lang w:val="es-ES"/>
              </w:rPr>
              <w:t>. 40.635. Consejero Ponente: Hernán Andrade Rincón (E).</w:t>
            </w:r>
          </w:p>
          <w:p w14:paraId="135119FD" w14:textId="77777777" w:rsidR="00482887" w:rsidRPr="00187F2B" w:rsidRDefault="00482887" w:rsidP="00482887">
            <w:pPr>
              <w:numPr>
                <w:ilvl w:val="0"/>
                <w:numId w:val="17"/>
              </w:numPr>
              <w:spacing w:line="256" w:lineRule="auto"/>
              <w:contextualSpacing/>
              <w:jc w:val="both"/>
              <w:rPr>
                <w:rFonts w:ascii="Verdana" w:hAnsi="Verdana" w:cs="Arial"/>
                <w:lang w:val="es-ES"/>
              </w:rPr>
            </w:pPr>
            <w:r w:rsidRPr="6EF52751">
              <w:rPr>
                <w:rFonts w:ascii="Verdana" w:hAnsi="Verdana" w:cs="Arial"/>
                <w:lang w:val="es-ES"/>
              </w:rPr>
              <w:t xml:space="preserve">Consejo de Estado. Sección Tercera. Subsección C. Sentencia del 22 de mayo de 2013. </w:t>
            </w:r>
            <w:proofErr w:type="spellStart"/>
            <w:r w:rsidRPr="6EF52751">
              <w:rPr>
                <w:rFonts w:ascii="Verdana" w:hAnsi="Verdana" w:cs="Arial"/>
                <w:lang w:val="es-ES"/>
              </w:rPr>
              <w:t>Exp</w:t>
            </w:r>
            <w:proofErr w:type="spellEnd"/>
            <w:r w:rsidRPr="6EF52751">
              <w:rPr>
                <w:rFonts w:ascii="Verdana" w:hAnsi="Verdana" w:cs="Arial"/>
                <w:lang w:val="es-ES"/>
              </w:rPr>
              <w:t xml:space="preserve">. 24.057. Consejera Ponente: Olga </w:t>
            </w:r>
            <w:proofErr w:type="spellStart"/>
            <w:r w:rsidRPr="6EF52751">
              <w:rPr>
                <w:rFonts w:ascii="Verdana" w:hAnsi="Verdana" w:cs="Arial"/>
                <w:lang w:val="es-ES"/>
              </w:rPr>
              <w:t>Melida</w:t>
            </w:r>
            <w:proofErr w:type="spellEnd"/>
            <w:r w:rsidRPr="6EF52751">
              <w:rPr>
                <w:rFonts w:ascii="Verdana" w:hAnsi="Verdana" w:cs="Arial"/>
                <w:lang w:val="es-ES"/>
              </w:rPr>
              <w:t xml:space="preserve"> Valle De </w:t>
            </w:r>
            <w:proofErr w:type="spellStart"/>
            <w:r w:rsidRPr="6EF52751">
              <w:rPr>
                <w:rFonts w:ascii="Verdana" w:hAnsi="Verdana" w:cs="Arial"/>
                <w:lang w:val="es-ES"/>
              </w:rPr>
              <w:t>De</w:t>
            </w:r>
            <w:proofErr w:type="spellEnd"/>
            <w:r w:rsidRPr="6EF52751">
              <w:rPr>
                <w:rFonts w:ascii="Verdana" w:hAnsi="Verdana" w:cs="Arial"/>
                <w:lang w:val="es-ES"/>
              </w:rPr>
              <w:t xml:space="preserve"> La Hoz.</w:t>
            </w:r>
          </w:p>
        </w:tc>
      </w:tr>
    </w:tbl>
    <w:p w14:paraId="3435ABE0" w14:textId="77777777" w:rsidR="00482887" w:rsidRPr="00C45C5D" w:rsidRDefault="00482887" w:rsidP="00482887">
      <w:pPr>
        <w:widowControl w:val="0"/>
        <w:autoSpaceDE w:val="0"/>
        <w:autoSpaceDN w:val="0"/>
        <w:spacing w:after="0" w:line="276" w:lineRule="auto"/>
        <w:jc w:val="both"/>
        <w:rPr>
          <w:rFonts w:ascii="Verdana" w:hAnsi="Verdana" w:cs="Arial"/>
        </w:rPr>
      </w:pPr>
    </w:p>
    <w:p w14:paraId="0A0F7BAE" w14:textId="77777777" w:rsidR="00482887" w:rsidRPr="00C45C5D" w:rsidRDefault="00482887" w:rsidP="0048288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C45C5D">
        <w:rPr>
          <w:rFonts w:ascii="Verdana" w:eastAsia="Century Gothic" w:hAnsi="Verdana" w:cs="Century Gothic"/>
          <w:b/>
          <w:bCs/>
          <w:lang w:val="es-ES"/>
        </w:rPr>
        <w:t>Doctrina de la Agencia Nacional de Contratación Pública:</w:t>
      </w:r>
    </w:p>
    <w:p w14:paraId="0F088ABF" w14:textId="77777777" w:rsidR="00482887" w:rsidRPr="00C45C5D" w:rsidRDefault="00482887" w:rsidP="00482887">
      <w:pPr>
        <w:widowControl w:val="0"/>
        <w:autoSpaceDE w:val="0"/>
        <w:autoSpaceDN w:val="0"/>
        <w:spacing w:after="0" w:line="276" w:lineRule="auto"/>
        <w:jc w:val="both"/>
        <w:rPr>
          <w:rFonts w:ascii="Verdana" w:hAnsi="Verdana" w:cs="Arial"/>
        </w:rPr>
      </w:pPr>
    </w:p>
    <w:p w14:paraId="55BF6E45" w14:textId="77777777" w:rsidR="00482887" w:rsidRDefault="00482887" w:rsidP="00482887">
      <w:pPr>
        <w:widowControl w:val="0"/>
        <w:autoSpaceDE w:val="0"/>
        <w:autoSpaceDN w:val="0"/>
        <w:spacing w:after="120" w:line="276" w:lineRule="auto"/>
        <w:jc w:val="both"/>
        <w:rPr>
          <w:rFonts w:ascii="Verdana" w:hAnsi="Verdana"/>
        </w:rPr>
      </w:pPr>
      <w:r w:rsidRPr="0053731C">
        <w:rPr>
          <w:rFonts w:ascii="Verdana" w:eastAsia="Calibri" w:hAnsi="Verdana" w:cs="Arial"/>
          <w:lang w:val="es-ES_tradnl" w:eastAsia="es-ES_tradnl"/>
        </w:rPr>
        <w:t xml:space="preserve">Sobre el régimen de inhabilidades e incompatibilidades se pronunció esta Subdirección en los conceptos </w:t>
      </w:r>
      <w:r w:rsidRPr="0053731C">
        <w:rPr>
          <w:rFonts w:ascii="Verdana" w:eastAsia="Calibri" w:hAnsi="Verdana" w:cs="Arial"/>
          <w:lang w:val="es-MX"/>
        </w:rPr>
        <w:t>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53731C">
        <w:rPr>
          <w:rFonts w:ascii="Verdana" w:hAnsi="Verdana" w:cs="Arial"/>
        </w:rPr>
        <w:t xml:space="preserve">. También se ha pronunciado sobre </w:t>
      </w:r>
      <w:r>
        <w:rPr>
          <w:rFonts w:ascii="Verdana" w:hAnsi="Verdana" w:cs="Arial"/>
        </w:rPr>
        <w:t>el conflicto de interés</w:t>
      </w:r>
      <w:r w:rsidRPr="0053731C">
        <w:rPr>
          <w:rFonts w:ascii="Verdana" w:hAnsi="Verdana" w:cs="Arial"/>
        </w:rPr>
        <w:t xml:space="preserve"> en los conceptos </w:t>
      </w:r>
      <w:r w:rsidRPr="007440AE">
        <w:rPr>
          <w:rFonts w:ascii="Verdana" w:hAnsi="Verdana" w:cs="Arial"/>
        </w:rPr>
        <w:t>C-229 del 16 de abril de 2020, C-815 del 18 de febrero de 2021</w:t>
      </w:r>
      <w:r>
        <w:rPr>
          <w:rFonts w:ascii="Verdana" w:hAnsi="Verdana" w:cs="Arial"/>
        </w:rPr>
        <w:t>,</w:t>
      </w:r>
      <w:r w:rsidRPr="007440AE">
        <w:rPr>
          <w:rFonts w:ascii="Verdana" w:hAnsi="Verdana" w:cs="Arial"/>
        </w:rPr>
        <w:t xml:space="preserve"> C-449 del 31 de agosto de 2021</w:t>
      </w:r>
      <w:r>
        <w:rPr>
          <w:rFonts w:ascii="Verdana" w:hAnsi="Verdana" w:cs="Arial"/>
        </w:rPr>
        <w:t>,</w:t>
      </w:r>
      <w:r w:rsidRPr="0053731C">
        <w:rPr>
          <w:rFonts w:ascii="Verdana" w:hAnsi="Verdana" w:cs="Arial"/>
        </w:rPr>
        <w:t xml:space="preserve"> C-</w:t>
      </w:r>
      <w:r>
        <w:rPr>
          <w:rFonts w:ascii="Verdana" w:hAnsi="Verdana" w:cs="Arial"/>
        </w:rPr>
        <w:t>288</w:t>
      </w:r>
      <w:r w:rsidRPr="0053731C">
        <w:rPr>
          <w:rFonts w:ascii="Verdana" w:hAnsi="Verdana" w:cs="Arial"/>
        </w:rPr>
        <w:t xml:space="preserve"> del </w:t>
      </w:r>
      <w:r>
        <w:rPr>
          <w:rFonts w:ascii="Verdana" w:hAnsi="Verdana" w:cs="Arial"/>
        </w:rPr>
        <w:t>14</w:t>
      </w:r>
      <w:r w:rsidRPr="0053731C">
        <w:rPr>
          <w:rFonts w:ascii="Verdana" w:hAnsi="Verdana" w:cs="Arial"/>
        </w:rPr>
        <w:t xml:space="preserve"> de</w:t>
      </w:r>
      <w:r>
        <w:rPr>
          <w:rFonts w:ascii="Verdana" w:hAnsi="Verdana" w:cs="Arial"/>
        </w:rPr>
        <w:t xml:space="preserve"> julio </w:t>
      </w:r>
      <w:r w:rsidRPr="0053731C">
        <w:rPr>
          <w:rFonts w:ascii="Verdana" w:hAnsi="Verdana" w:cs="Arial"/>
        </w:rPr>
        <w:t>de 202</w:t>
      </w:r>
      <w:r>
        <w:rPr>
          <w:rFonts w:ascii="Verdana" w:hAnsi="Verdana" w:cs="Arial"/>
        </w:rPr>
        <w:t>3, C-651 del 22 de octubre de 2024, C-680 del 15 de noviembre de 2024, C-693 del 19 de noviembre de 2024 y C-839 del 13 de diciembre de 2024</w:t>
      </w:r>
      <w:r w:rsidRPr="00C45C5D">
        <w:rPr>
          <w:rFonts w:ascii="Verdana" w:hAnsi="Verdana" w:cs="Arial"/>
          <w:shd w:val="clear" w:color="auto" w:fill="FFFFFF"/>
          <w:lang w:val="es-ES"/>
        </w:rPr>
        <w:t>. Es</w:t>
      </w:r>
      <w:r w:rsidRPr="00C45C5D">
        <w:rPr>
          <w:rFonts w:ascii="Verdana" w:hAnsi="Verdana"/>
        </w:rPr>
        <w:t xml:space="preserve">tos y otros conceptos se encuentran disponibles para </w:t>
      </w:r>
      <w:r w:rsidRPr="00C45C5D">
        <w:rPr>
          <w:rFonts w:ascii="Verdana" w:hAnsi="Verdana"/>
        </w:rPr>
        <w:lastRenderedPageBreak/>
        <w:t>consulta en el Sistema de relatoría de la Agencia, al cual se puede acceder a través del siguiente enlace:</w:t>
      </w:r>
    </w:p>
    <w:p w14:paraId="2BF61F57" w14:textId="77777777" w:rsidR="00482887" w:rsidRPr="00062436" w:rsidRDefault="00482887" w:rsidP="00482887">
      <w:pPr>
        <w:widowControl w:val="0"/>
        <w:autoSpaceDE w:val="0"/>
        <w:autoSpaceDN w:val="0"/>
        <w:spacing w:after="120" w:line="276" w:lineRule="auto"/>
        <w:jc w:val="both"/>
        <w:rPr>
          <w:rFonts w:ascii="Verdana" w:hAnsi="Verdana" w:cs="Arial"/>
        </w:rPr>
      </w:pPr>
      <w:hyperlink r:id="rId12" w:history="1">
        <w:r w:rsidRPr="00C45C5D">
          <w:rPr>
            <w:rFonts w:ascii="Verdana" w:hAnsi="Verdana" w:cs="Arial"/>
            <w:color w:val="0563C1" w:themeColor="hyperlink"/>
            <w:u w:val="single"/>
            <w:shd w:val="clear" w:color="auto" w:fill="FFFFFF"/>
            <w:lang w:val="es-ES"/>
          </w:rPr>
          <w:t>https://relatoria.colombiacompra.gov.co/busqueda/conceptos</w:t>
        </w:r>
      </w:hyperlink>
      <w:r w:rsidRPr="00C45C5D">
        <w:rPr>
          <w:rFonts w:ascii="Verdana" w:hAnsi="Verdana" w:cs="Arial"/>
          <w:shd w:val="clear" w:color="auto" w:fill="FFFFFF"/>
          <w:lang w:val="es-ES"/>
        </w:rPr>
        <w:t>.</w:t>
      </w:r>
      <w:r w:rsidRPr="00C45C5D">
        <w:rPr>
          <w:rFonts w:ascii="Verdana" w:hAnsi="Verdana" w:cs="Arial"/>
          <w:color w:val="FF0000"/>
          <w:shd w:val="clear" w:color="auto" w:fill="FFFFFF"/>
          <w:lang w:val="es-ES"/>
        </w:rPr>
        <w:t xml:space="preserve"> </w:t>
      </w:r>
      <w:r w:rsidRPr="00C45C5D">
        <w:rPr>
          <w:rFonts w:ascii="Verdana" w:hAnsi="Verdana" w:cs="Arial"/>
          <w:color w:val="000000" w:themeColor="text1"/>
          <w:shd w:val="clear" w:color="auto" w:fill="FFFFFF"/>
        </w:rPr>
        <w:t>  </w:t>
      </w:r>
    </w:p>
    <w:p w14:paraId="1C1D1104" w14:textId="77777777" w:rsidR="00482887" w:rsidRPr="00E3533A" w:rsidRDefault="00482887" w:rsidP="00482887">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2229A13" w14:textId="77777777" w:rsidR="00482887" w:rsidRDefault="00482887" w:rsidP="00482887">
      <w:pPr>
        <w:widowControl w:val="0"/>
        <w:autoSpaceDE w:val="0"/>
        <w:autoSpaceDN w:val="0"/>
        <w:spacing w:after="0" w:line="276" w:lineRule="auto"/>
        <w:jc w:val="both"/>
        <w:rPr>
          <w:rFonts w:ascii="Verdana" w:hAnsi="Verdana" w:cs="Arial"/>
        </w:rPr>
      </w:pPr>
    </w:p>
    <w:p w14:paraId="247D99A7" w14:textId="77777777" w:rsidR="00482887" w:rsidRPr="00116940" w:rsidRDefault="00482887" w:rsidP="00482887">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17C71D7" w14:textId="77777777" w:rsidR="00482887" w:rsidRPr="00116940" w:rsidRDefault="00482887" w:rsidP="00482887">
      <w:pPr>
        <w:spacing w:after="0"/>
        <w:jc w:val="both"/>
        <w:rPr>
          <w:rFonts w:ascii="Verdana" w:hAnsi="Verdana"/>
        </w:rPr>
      </w:pPr>
    </w:p>
    <w:p w14:paraId="1E27F43D" w14:textId="77777777" w:rsidR="00482887" w:rsidRPr="00116940" w:rsidRDefault="00482887" w:rsidP="00482887">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DD1854D" w14:textId="77777777" w:rsidR="00482887" w:rsidRPr="00116940" w:rsidRDefault="00482887" w:rsidP="00482887">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9F3C8B4" w14:textId="77777777" w:rsidR="00482887" w:rsidRPr="00116940" w:rsidRDefault="00482887" w:rsidP="0048288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48678F03" w14:textId="77777777" w:rsidR="00482887" w:rsidRPr="00116940" w:rsidRDefault="00482887" w:rsidP="0048288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47E635F7" w14:textId="77777777" w:rsidR="00482887" w:rsidRPr="00116940" w:rsidRDefault="00482887" w:rsidP="00482887">
      <w:pPr>
        <w:spacing w:after="0" w:line="240" w:lineRule="auto"/>
        <w:ind w:left="720"/>
        <w:jc w:val="both"/>
        <w:rPr>
          <w:rFonts w:ascii="Verdana" w:hAnsi="Verdana"/>
        </w:rPr>
      </w:pPr>
    </w:p>
    <w:p w14:paraId="65B11055" w14:textId="77777777" w:rsidR="00482887" w:rsidRPr="00116940" w:rsidRDefault="00482887" w:rsidP="00482887">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4CC7148" w14:textId="77777777" w:rsidR="00482887" w:rsidRPr="00116940" w:rsidRDefault="00482887" w:rsidP="00482887">
      <w:pPr>
        <w:spacing w:after="0" w:line="240" w:lineRule="auto"/>
        <w:rPr>
          <w:rFonts w:ascii="Verdana" w:hAnsi="Verdana"/>
        </w:rPr>
      </w:pPr>
    </w:p>
    <w:p w14:paraId="4222C048" w14:textId="77777777" w:rsidR="00482887" w:rsidRPr="00116940" w:rsidRDefault="00482887" w:rsidP="00482887">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A375DED" w14:textId="77777777" w:rsidR="00482887" w:rsidRPr="00116940" w:rsidRDefault="00482887" w:rsidP="00482887">
      <w:pPr>
        <w:spacing w:after="0" w:line="240" w:lineRule="auto"/>
        <w:jc w:val="both"/>
        <w:rPr>
          <w:rFonts w:ascii="Verdana" w:hAnsi="Verdana"/>
        </w:rPr>
      </w:pPr>
    </w:p>
    <w:p w14:paraId="491B29C9" w14:textId="77777777" w:rsidR="00482887" w:rsidRPr="00116940" w:rsidRDefault="00482887" w:rsidP="0048288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21ED1F2" w14:textId="77777777" w:rsidR="00482887" w:rsidRPr="00116940" w:rsidRDefault="00482887" w:rsidP="00482887">
      <w:pPr>
        <w:spacing w:after="0" w:line="240" w:lineRule="auto"/>
        <w:jc w:val="both"/>
        <w:rPr>
          <w:rFonts w:ascii="Verdana" w:hAnsi="Verdana"/>
        </w:rPr>
      </w:pPr>
      <w:r w:rsidRPr="00116940">
        <w:rPr>
          <w:rFonts w:ascii="Verdana" w:hAnsi="Verdana"/>
        </w:rPr>
        <w:lastRenderedPageBreak/>
        <w:t xml:space="preserve">Facebook: </w:t>
      </w:r>
      <w:proofErr w:type="spellStart"/>
      <w:r w:rsidRPr="00116940">
        <w:rPr>
          <w:rStyle w:val="Hipervnculo"/>
          <w:rFonts w:ascii="Verdana" w:hAnsi="Verdana"/>
        </w:rPr>
        <w:t>ColombiaCompraEficiente</w:t>
      </w:r>
      <w:proofErr w:type="spellEnd"/>
    </w:p>
    <w:p w14:paraId="63690728" w14:textId="77777777" w:rsidR="00482887" w:rsidRPr="00116940" w:rsidRDefault="00482887" w:rsidP="0048288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F4465FE" w14:textId="77777777" w:rsidR="00482887" w:rsidRPr="00116940" w:rsidRDefault="00482887" w:rsidP="00482887">
      <w:pPr>
        <w:spacing w:after="0" w:line="240" w:lineRule="auto"/>
        <w:jc w:val="both"/>
        <w:rPr>
          <w:rFonts w:ascii="Verdana" w:hAnsi="Verdana"/>
        </w:rPr>
      </w:pPr>
    </w:p>
    <w:p w14:paraId="0E09A0A9" w14:textId="77777777" w:rsidR="00482887" w:rsidRPr="00593A5F" w:rsidRDefault="00482887" w:rsidP="0048288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2652FA4" w14:textId="77777777" w:rsidR="00482887" w:rsidRPr="00606FF7" w:rsidRDefault="00482887" w:rsidP="00482887">
      <w:pPr>
        <w:spacing w:after="0" w:line="276" w:lineRule="auto"/>
        <w:jc w:val="both"/>
        <w:rPr>
          <w:rFonts w:ascii="Verdana" w:hAnsi="Verdana"/>
          <w:lang w:val="es-ES_tradnl"/>
        </w:rPr>
      </w:pPr>
    </w:p>
    <w:p w14:paraId="1EE15B8E" w14:textId="77777777" w:rsidR="00482887" w:rsidRPr="00606FF7" w:rsidRDefault="00482887" w:rsidP="00482887">
      <w:pPr>
        <w:spacing w:after="0" w:line="276" w:lineRule="auto"/>
        <w:jc w:val="both"/>
        <w:rPr>
          <w:rFonts w:ascii="Verdana" w:hAnsi="Verdana"/>
          <w:lang w:val="es-MX"/>
        </w:rPr>
      </w:pPr>
      <w:r w:rsidRPr="00606FF7">
        <w:rPr>
          <w:rFonts w:ascii="Verdana" w:hAnsi="Verdana"/>
          <w:lang w:val="es-MX"/>
        </w:rPr>
        <w:t>Cordialmente,</w:t>
      </w:r>
    </w:p>
    <w:p w14:paraId="46821A2C" w14:textId="4AE90BE8" w:rsidR="00482887" w:rsidRPr="00C45C5D" w:rsidRDefault="00B05B0B" w:rsidP="00482887">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97A9D91" wp14:editId="1FFBBF2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82887" w:rsidRPr="00E3533A" w14:paraId="5D9FD618" w14:textId="77777777" w:rsidTr="007D411D">
        <w:trPr>
          <w:trHeight w:val="315"/>
        </w:trPr>
        <w:tc>
          <w:tcPr>
            <w:tcW w:w="893" w:type="dxa"/>
            <w:vAlign w:val="center"/>
            <w:hideMark/>
          </w:tcPr>
          <w:p w14:paraId="0832DDAF" w14:textId="77777777" w:rsidR="00482887" w:rsidRPr="00E3533A" w:rsidRDefault="00482887" w:rsidP="007D411D">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26F31EE" w14:textId="77777777" w:rsidR="00482887" w:rsidRPr="00E3533A" w:rsidRDefault="00482887" w:rsidP="007D411D">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1EDB4983" w14:textId="77777777" w:rsidR="00482887" w:rsidRPr="00E3533A" w:rsidRDefault="00482887" w:rsidP="007D411D">
            <w:pPr>
              <w:contextualSpacing/>
              <w:rPr>
                <w:rFonts w:ascii="Verdana" w:eastAsia="Arial" w:hAnsi="Verdana" w:cs="Arial"/>
                <w:sz w:val="16"/>
                <w:szCs w:val="16"/>
              </w:rPr>
            </w:pPr>
            <w:r>
              <w:rPr>
                <w:rFonts w:ascii="Verdana" w:eastAsia="Calibri" w:hAnsi="Verdana" w:cs="Times New Roman"/>
                <w:sz w:val="16"/>
                <w:szCs w:val="16"/>
              </w:rPr>
              <w:t xml:space="preserve">Contratista </w:t>
            </w:r>
            <w:r w:rsidRPr="00E3533A">
              <w:rPr>
                <w:rFonts w:ascii="Verdana" w:eastAsia="Calibri" w:hAnsi="Verdana" w:cs="Times New Roman"/>
                <w:sz w:val="16"/>
                <w:szCs w:val="16"/>
              </w:rPr>
              <w:t>de la Subdirección de Gestión Contractual</w:t>
            </w:r>
          </w:p>
        </w:tc>
      </w:tr>
      <w:tr w:rsidR="00482887" w:rsidRPr="00E3533A" w14:paraId="63E59705" w14:textId="77777777" w:rsidTr="007D411D">
        <w:trPr>
          <w:trHeight w:val="330"/>
        </w:trPr>
        <w:tc>
          <w:tcPr>
            <w:tcW w:w="893" w:type="dxa"/>
            <w:vAlign w:val="center"/>
            <w:hideMark/>
          </w:tcPr>
          <w:p w14:paraId="57E536B3" w14:textId="77777777" w:rsidR="00482887" w:rsidRPr="00E3533A" w:rsidRDefault="00482887" w:rsidP="007D411D">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706505" w14:textId="77777777" w:rsidR="00482887" w:rsidRPr="002B5C7D" w:rsidRDefault="00482887" w:rsidP="007D411D">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65E02B2F" w14:textId="77777777" w:rsidR="00482887" w:rsidRPr="00E3533A" w:rsidRDefault="00482887" w:rsidP="007D411D">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482887" w:rsidRPr="00E3533A" w14:paraId="033EADD6" w14:textId="77777777" w:rsidTr="007D411D">
        <w:trPr>
          <w:trHeight w:val="300"/>
        </w:trPr>
        <w:tc>
          <w:tcPr>
            <w:tcW w:w="893" w:type="dxa"/>
            <w:vAlign w:val="center"/>
          </w:tcPr>
          <w:p w14:paraId="79DF78B3" w14:textId="77777777" w:rsidR="00482887" w:rsidRPr="00E3533A" w:rsidRDefault="00482887" w:rsidP="007D411D">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D265BB9" w14:textId="77777777" w:rsidR="00482887" w:rsidRPr="00E3533A" w:rsidRDefault="00482887" w:rsidP="007D411D">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 xml:space="preserve">Carolina Quintero </w:t>
            </w:r>
            <w:proofErr w:type="spellStart"/>
            <w:r w:rsidRPr="00E3533A">
              <w:rPr>
                <w:rFonts w:ascii="Verdana" w:eastAsia="Calibri" w:hAnsi="Verdana" w:cs="Arial"/>
                <w:sz w:val="16"/>
                <w:szCs w:val="16"/>
                <w:lang w:eastAsia="es-ES"/>
              </w:rPr>
              <w:t>Gacharná</w:t>
            </w:r>
            <w:proofErr w:type="spellEnd"/>
          </w:p>
          <w:p w14:paraId="139982E1" w14:textId="77777777" w:rsidR="00482887" w:rsidRPr="00E3533A" w:rsidRDefault="00482887" w:rsidP="007D411D">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169F91C8" w14:textId="77777777" w:rsidR="00482887" w:rsidRPr="00C45C5D" w:rsidRDefault="00482887" w:rsidP="00482887"/>
    <w:p w14:paraId="02A8717D" w14:textId="77777777" w:rsidR="00482887" w:rsidRPr="00C45C5D" w:rsidRDefault="00482887" w:rsidP="00482887">
      <w:pPr>
        <w:spacing w:after="0" w:line="240" w:lineRule="auto"/>
        <w:rPr>
          <w:rFonts w:ascii="Verdana" w:hAnsi="Verdana" w:cs="Arial"/>
          <w:b/>
          <w:color w:val="000000" w:themeColor="text1"/>
          <w:sz w:val="20"/>
          <w:szCs w:val="20"/>
        </w:rPr>
      </w:pPr>
    </w:p>
    <w:bookmarkEnd w:id="0"/>
    <w:p w14:paraId="13168C00" w14:textId="77777777" w:rsidR="00482887" w:rsidRPr="00C45C5D" w:rsidRDefault="00482887" w:rsidP="00482887">
      <w:pPr>
        <w:spacing w:after="0" w:line="240" w:lineRule="auto"/>
        <w:rPr>
          <w:rFonts w:ascii="Verdana" w:hAnsi="Verdana" w:cs="Arial"/>
          <w:b/>
          <w:color w:val="000000" w:themeColor="text1"/>
          <w:sz w:val="20"/>
          <w:szCs w:val="20"/>
        </w:rPr>
      </w:pPr>
    </w:p>
    <w:p w14:paraId="63058955" w14:textId="77777777" w:rsidR="00482887" w:rsidRPr="00C45C5D" w:rsidRDefault="00482887" w:rsidP="00482887"/>
    <w:p w14:paraId="66726E99" w14:textId="77777777" w:rsidR="00482887" w:rsidRPr="00C45C5D" w:rsidRDefault="00482887" w:rsidP="00482887"/>
    <w:p w14:paraId="4F09D2ED" w14:textId="77777777" w:rsidR="00482887" w:rsidRPr="00A278E4" w:rsidRDefault="00482887" w:rsidP="00482887"/>
    <w:p w14:paraId="46EDA4CA" w14:textId="77777777" w:rsidR="00482887" w:rsidRPr="00337DF3" w:rsidRDefault="00482887" w:rsidP="00482887"/>
    <w:p w14:paraId="25D7B94B" w14:textId="77777777" w:rsidR="00482887" w:rsidRPr="006D2C49" w:rsidRDefault="00482887" w:rsidP="00482887"/>
    <w:bookmarkEnd w:id="1"/>
    <w:p w14:paraId="5FEC38E7" w14:textId="77777777" w:rsidR="00482887" w:rsidRDefault="00482887" w:rsidP="00482887"/>
    <w:p w14:paraId="0F293BF4" w14:textId="5907318C" w:rsidR="00127233" w:rsidRPr="00482887" w:rsidRDefault="00127233" w:rsidP="00482887"/>
    <w:sectPr w:rsidR="00127233" w:rsidRPr="0048288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6EC91" w14:textId="77777777" w:rsidR="00D04F15" w:rsidRDefault="00D04F15" w:rsidP="004A1847">
      <w:pPr>
        <w:spacing w:after="0" w:line="240" w:lineRule="auto"/>
      </w:pPr>
      <w:r>
        <w:separator/>
      </w:r>
    </w:p>
  </w:endnote>
  <w:endnote w:type="continuationSeparator" w:id="0">
    <w:p w14:paraId="60195EF6" w14:textId="77777777" w:rsidR="00D04F15" w:rsidRDefault="00D04F1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7B67DF"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7B67DF">
      <w:rPr>
        <w:rFonts w:ascii="Century Gothic" w:eastAsia="Geo" w:hAnsi="Century Gothic" w:cs="Geo"/>
        <w:b/>
        <w:bCs/>
        <w:color w:val="000000" w:themeColor="text1"/>
        <w:sz w:val="16"/>
        <w:szCs w:val="16"/>
        <w:lang w:val="pt-PT" w:eastAsia="es-CO"/>
      </w:rPr>
      <w:t xml:space="preserve">Código: </w:t>
    </w:r>
    <w:r w:rsidRPr="007B67DF">
      <w:rPr>
        <w:rFonts w:ascii="Century Gothic" w:eastAsia="Geo" w:hAnsi="Century Gothic" w:cs="Geo"/>
        <w:color w:val="000000" w:themeColor="text1"/>
        <w:sz w:val="16"/>
        <w:szCs w:val="16"/>
        <w:lang w:val="pt-PT" w:eastAsia="es-CO"/>
      </w:rPr>
      <w:t xml:space="preserve">CCE-REC-FM-17 </w:t>
    </w:r>
    <w:r w:rsidRPr="007B67DF">
      <w:rPr>
        <w:rFonts w:ascii="Century Gothic" w:eastAsia="Geo" w:hAnsi="Century Gothic" w:cs="Geo"/>
        <w:b/>
        <w:bCs/>
        <w:color w:val="000000" w:themeColor="text1"/>
        <w:sz w:val="16"/>
        <w:szCs w:val="16"/>
        <w:lang w:val="pt-PT" w:eastAsia="es-CO"/>
      </w:rPr>
      <w:t>V</w:t>
    </w:r>
    <w:r w:rsidRPr="007B67DF">
      <w:rPr>
        <w:rFonts w:ascii="Century Gothic" w:eastAsia="Arial Nova" w:hAnsi="Century Gothic" w:cs="Arial Nova"/>
        <w:b/>
        <w:bCs/>
        <w:color w:val="000000" w:themeColor="text1"/>
        <w:sz w:val="16"/>
        <w:szCs w:val="16"/>
        <w:lang w:val="pt-PT" w:eastAsia="es-CO"/>
      </w:rPr>
      <w:t xml:space="preserve">: </w:t>
    </w:r>
    <w:r w:rsidRPr="007B67DF">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796AA" w14:textId="77777777" w:rsidR="00D04F15" w:rsidRDefault="00D04F15" w:rsidP="004A1847">
      <w:pPr>
        <w:spacing w:after="0" w:line="240" w:lineRule="auto"/>
      </w:pPr>
      <w:r>
        <w:separator/>
      </w:r>
    </w:p>
  </w:footnote>
  <w:footnote w:type="continuationSeparator" w:id="0">
    <w:p w14:paraId="1EBCE00B" w14:textId="77777777" w:rsidR="00D04F15" w:rsidRDefault="00D04F15" w:rsidP="004A1847">
      <w:pPr>
        <w:spacing w:after="0" w:line="240" w:lineRule="auto"/>
      </w:pPr>
      <w:r>
        <w:continuationSeparator/>
      </w:r>
    </w:p>
  </w:footnote>
  <w:footnote w:id="1">
    <w:p w14:paraId="430DB41F"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7FC3E831"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Las personas jurídicas nacionales y extranjeras deberán acreditar que su duración no será inferior a la del plazo del contrato y un año más”.</w:t>
      </w:r>
    </w:p>
    <w:p w14:paraId="19AFA553" w14:textId="77777777" w:rsidR="00482887" w:rsidRPr="00644843" w:rsidRDefault="00482887" w:rsidP="00482887">
      <w:pPr>
        <w:pStyle w:val="Textonotapie"/>
        <w:ind w:firstLine="709"/>
        <w:jc w:val="both"/>
        <w:rPr>
          <w:rFonts w:ascii="Verdana" w:hAnsi="Verdana" w:cs="Arial"/>
          <w:color w:val="000000" w:themeColor="text1"/>
          <w:sz w:val="10"/>
          <w:szCs w:val="10"/>
        </w:rPr>
      </w:pPr>
    </w:p>
  </w:footnote>
  <w:footnote w:id="2">
    <w:p w14:paraId="02662F02"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El artículo 1502 del Código Civil prevé la capacidad legal como requisito para obligarse contractualmente, en los siguientes términos: “Para que una persona se obligue a otra por un acto o declaración de voluntad, es necesario:</w:t>
      </w:r>
    </w:p>
    <w:p w14:paraId="252608A4"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1o.) que sea legalmente capaz.</w:t>
      </w:r>
    </w:p>
    <w:p w14:paraId="3F2635CD"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w:t>
      </w:r>
    </w:p>
    <w:p w14:paraId="37EAC91F"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Fonts w:ascii="Verdana" w:hAnsi="Verdana" w:cs="Arial"/>
          <w:color w:val="000000" w:themeColor="text1"/>
          <w:sz w:val="10"/>
          <w:szCs w:val="10"/>
        </w:rPr>
        <w:t>La capacidad legal de una persona consiste en poderse obligar por sí misma, sin el ministerio o la autorización de otra”.</w:t>
      </w:r>
    </w:p>
    <w:p w14:paraId="45328753" w14:textId="77777777" w:rsidR="00482887" w:rsidRPr="00644843" w:rsidRDefault="00482887" w:rsidP="00482887">
      <w:pPr>
        <w:pStyle w:val="Textonotapie"/>
        <w:ind w:firstLine="709"/>
        <w:jc w:val="both"/>
        <w:rPr>
          <w:rFonts w:ascii="Verdana" w:hAnsi="Verdana" w:cs="Arial"/>
          <w:color w:val="000000" w:themeColor="text1"/>
          <w:sz w:val="10"/>
          <w:szCs w:val="10"/>
          <w:lang w:val="es-CO"/>
        </w:rPr>
      </w:pPr>
    </w:p>
  </w:footnote>
  <w:footnote w:id="3">
    <w:p w14:paraId="3E7E458E" w14:textId="77777777" w:rsidR="00482887" w:rsidRPr="00644843" w:rsidRDefault="00482887" w:rsidP="00482887">
      <w:pPr>
        <w:pStyle w:val="Textonotapie"/>
        <w:jc w:val="both"/>
        <w:rPr>
          <w:rFonts w:ascii="Verdana" w:hAnsi="Verdana" w:cs="Arial"/>
          <w:color w:val="000000" w:themeColor="text1"/>
          <w:sz w:val="10"/>
          <w:szCs w:val="10"/>
          <w:lang w:val="es-ES"/>
        </w:rPr>
      </w:pPr>
    </w:p>
  </w:footnote>
  <w:footnote w:id="4">
    <w:p w14:paraId="0D3F4097" w14:textId="77777777" w:rsidR="00482887" w:rsidRPr="00644843" w:rsidRDefault="00482887" w:rsidP="00482887">
      <w:pPr>
        <w:spacing w:after="0" w:line="240" w:lineRule="auto"/>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4E9D98D4" w14:textId="77777777" w:rsidR="00482887" w:rsidRPr="00644843" w:rsidRDefault="00482887" w:rsidP="00482887">
      <w:pPr>
        <w:spacing w:after="0" w:line="240" w:lineRule="auto"/>
        <w:ind w:firstLine="709"/>
        <w:jc w:val="both"/>
        <w:rPr>
          <w:rFonts w:ascii="Verdana" w:hAnsi="Verdana" w:cs="Arial"/>
          <w:color w:val="000000" w:themeColor="text1"/>
          <w:sz w:val="10"/>
          <w:szCs w:val="10"/>
          <w:lang w:val="es-ES"/>
        </w:rPr>
      </w:pPr>
    </w:p>
  </w:footnote>
  <w:footnote w:id="5">
    <w:p w14:paraId="0EFCCACB"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12FC960E" w14:textId="77777777" w:rsidR="00482887" w:rsidRPr="00644843" w:rsidRDefault="00482887" w:rsidP="00482887">
      <w:pPr>
        <w:pStyle w:val="Textonotapie"/>
        <w:ind w:firstLine="709"/>
        <w:jc w:val="both"/>
        <w:rPr>
          <w:rFonts w:ascii="Verdana" w:hAnsi="Verdana" w:cs="Arial"/>
          <w:color w:val="000000" w:themeColor="text1"/>
          <w:sz w:val="10"/>
          <w:szCs w:val="10"/>
          <w:lang w:val="es-CO"/>
        </w:rPr>
      </w:pPr>
    </w:p>
  </w:footnote>
  <w:footnote w:id="6">
    <w:p w14:paraId="7F15556C"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707B153B" w14:textId="77777777" w:rsidR="00482887" w:rsidRPr="001A625A" w:rsidRDefault="00482887" w:rsidP="00482887">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7">
    <w:p w14:paraId="3CEA6228" w14:textId="77777777" w:rsidR="00482887" w:rsidRPr="00644843" w:rsidRDefault="00482887" w:rsidP="00482887">
      <w:pPr>
        <w:spacing w:after="0" w:line="240" w:lineRule="auto"/>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06C47DC3" w14:textId="77777777" w:rsidR="00482887" w:rsidRPr="00644843" w:rsidRDefault="00482887" w:rsidP="00482887">
      <w:pPr>
        <w:spacing w:after="0" w:line="240" w:lineRule="auto"/>
        <w:ind w:firstLine="709"/>
        <w:jc w:val="both"/>
        <w:rPr>
          <w:rFonts w:ascii="Verdana" w:hAnsi="Verdana" w:cs="Arial"/>
          <w:color w:val="000000" w:themeColor="text1"/>
          <w:sz w:val="10"/>
          <w:szCs w:val="10"/>
          <w:lang w:val="es-ES"/>
        </w:rPr>
      </w:pPr>
    </w:p>
  </w:footnote>
  <w:footnote w:id="8">
    <w:p w14:paraId="3B196487"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58325BD8"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p>
  </w:footnote>
  <w:footnote w:id="9">
    <w:p w14:paraId="1EFA4E47"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Ibíd., p. 69.</w:t>
      </w:r>
    </w:p>
    <w:p w14:paraId="0399C759"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p>
  </w:footnote>
  <w:footnote w:id="10">
    <w:p w14:paraId="3D8154BC"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259C7B01" w14:textId="77777777" w:rsidR="00482887" w:rsidRPr="001A625A" w:rsidRDefault="00482887" w:rsidP="00482887">
      <w:pPr>
        <w:pStyle w:val="Textonotapie"/>
        <w:ind w:firstLine="709"/>
        <w:jc w:val="both"/>
        <w:rPr>
          <w:rFonts w:ascii="Verdana" w:hAnsi="Verdana" w:cs="Arial"/>
          <w:color w:val="000000" w:themeColor="text1"/>
          <w:sz w:val="16"/>
          <w:szCs w:val="16"/>
          <w:lang w:val="es-ES"/>
        </w:rPr>
      </w:pPr>
    </w:p>
  </w:footnote>
  <w:footnote w:id="11">
    <w:p w14:paraId="7F278C82"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w:t>
      </w:r>
      <w:r w:rsidRPr="00644843">
        <w:rPr>
          <w:rFonts w:ascii="Verdana" w:hAnsi="Verdana" w:cs="Arial"/>
          <w:color w:val="000000" w:themeColor="text1"/>
          <w:sz w:val="10"/>
          <w:szCs w:val="10"/>
          <w:lang w:val="es-ES"/>
        </w:rPr>
        <w:t>Consejo de Estado. Sala de Consulta y Servicio Civil. Concepto del 30 de abril de 2015. Expediente: 2251. Consejero Ponente: Álvaro Namén Vargas.</w:t>
      </w:r>
    </w:p>
    <w:p w14:paraId="2B464B71"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p>
  </w:footnote>
  <w:footnote w:id="12">
    <w:p w14:paraId="42C8FD66"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Consejo de Estado. Sección Tercera. Subsección A. Sentencia del 24 de junio de 2015. Exp. 40.635. Consejero Ponente: Hernán Andrade Rincón (E).</w:t>
      </w:r>
    </w:p>
    <w:p w14:paraId="33AE199B"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p>
  </w:footnote>
  <w:footnote w:id="13">
    <w:p w14:paraId="39192A33" w14:textId="77777777" w:rsidR="00482887" w:rsidRPr="00644843" w:rsidRDefault="00482887" w:rsidP="00482887">
      <w:pPr>
        <w:pStyle w:val="Textonotapie"/>
        <w:ind w:firstLine="709"/>
        <w:jc w:val="both"/>
        <w:rPr>
          <w:rFonts w:ascii="Verdana" w:hAnsi="Verdana" w:cs="Arial"/>
          <w:color w:val="000000" w:themeColor="text1"/>
          <w:sz w:val="10"/>
          <w:szCs w:val="10"/>
        </w:rPr>
      </w:pPr>
      <w:r w:rsidRPr="00644843">
        <w:rPr>
          <w:rStyle w:val="Refdenotaalpie"/>
          <w:rFonts w:ascii="Verdana" w:hAnsi="Verdana" w:cs="Arial"/>
          <w:color w:val="000000" w:themeColor="text1"/>
          <w:sz w:val="10"/>
          <w:szCs w:val="10"/>
        </w:rPr>
        <w:footnoteRef/>
      </w:r>
      <w:r w:rsidRPr="00644843">
        <w:rPr>
          <w:rFonts w:ascii="Verdana" w:hAnsi="Verdana" w:cs="Arial"/>
          <w:color w:val="000000" w:themeColor="text1"/>
          <w:sz w:val="10"/>
          <w:szCs w:val="10"/>
        </w:rPr>
        <w:t xml:space="preserve"> Consejo de Estado. Sección Tercera. Subsección C. Sentencia del 22 de mayo de 2013. Exp. 24.057. Consejera Ponente: Olga Melida Valle De De La Hoz.</w:t>
      </w:r>
    </w:p>
    <w:p w14:paraId="1574A6AB" w14:textId="77777777" w:rsidR="00482887" w:rsidRPr="00644843" w:rsidRDefault="00482887" w:rsidP="00482887">
      <w:pPr>
        <w:pStyle w:val="Textonotapie"/>
        <w:ind w:firstLine="709"/>
        <w:jc w:val="both"/>
        <w:rPr>
          <w:rFonts w:ascii="Verdana" w:hAnsi="Verdana" w:cs="Arial"/>
          <w:color w:val="000000" w:themeColor="text1"/>
          <w:sz w:val="10"/>
          <w:szCs w:val="10"/>
          <w:lang w:val="es-ES"/>
        </w:rPr>
      </w:pPr>
    </w:p>
  </w:footnote>
  <w:footnote w:id="14">
    <w:p w14:paraId="372AB42E" w14:textId="77777777" w:rsidR="00482887" w:rsidRPr="00644843" w:rsidRDefault="00482887" w:rsidP="00482887">
      <w:pPr>
        <w:pStyle w:val="Textonotapie"/>
        <w:ind w:firstLine="709"/>
        <w:rPr>
          <w:rFonts w:ascii="Verdana" w:hAnsi="Verdana"/>
          <w:sz w:val="10"/>
          <w:szCs w:val="10"/>
          <w:lang w:val="es-CO"/>
        </w:rPr>
      </w:pPr>
      <w:r w:rsidRPr="00644843">
        <w:rPr>
          <w:rStyle w:val="Refdenotaalpie"/>
          <w:rFonts w:ascii="Verdana" w:hAnsi="Verdana"/>
          <w:sz w:val="10"/>
          <w:szCs w:val="10"/>
        </w:rPr>
        <w:footnoteRef/>
      </w:r>
      <w:r w:rsidRPr="00644843">
        <w:rPr>
          <w:rFonts w:ascii="Verdana" w:hAnsi="Verdana"/>
          <w:sz w:val="10"/>
          <w:szCs w:val="10"/>
        </w:rPr>
        <w:t xml:space="preserve"> </w:t>
      </w:r>
      <w:r w:rsidRPr="00644843">
        <w:rPr>
          <w:rFonts w:ascii="Verdana" w:hAnsi="Verdana" w:cs="Arial"/>
          <w:color w:val="000000"/>
          <w:sz w:val="10"/>
          <w:szCs w:val="10"/>
        </w:rPr>
        <w:t>Consejo de Estado. Sala de Consulta y de Servicio Civil. Concepto del 23 de marzo de 2011. Rad. 2.045. C.P. Enrique José Arboleda Perdomo.</w:t>
      </w:r>
    </w:p>
  </w:footnote>
  <w:footnote w:id="15">
    <w:p w14:paraId="7C4F1C2D" w14:textId="77777777" w:rsidR="00482887" w:rsidRPr="00644843" w:rsidRDefault="00482887" w:rsidP="00482887">
      <w:pPr>
        <w:pStyle w:val="Textonotapie"/>
        <w:ind w:firstLine="708"/>
        <w:jc w:val="both"/>
        <w:rPr>
          <w:rFonts w:ascii="Verdana" w:hAnsi="Verdana" w:cs="Arial"/>
          <w:color w:val="000000" w:themeColor="text1"/>
          <w:sz w:val="10"/>
          <w:szCs w:val="10"/>
        </w:rPr>
      </w:pPr>
      <w:r w:rsidRPr="00644843">
        <w:rPr>
          <w:rStyle w:val="Refdenotaalpie"/>
          <w:rFonts w:ascii="Verdana" w:hAnsi="Verdana" w:cs="Arial"/>
          <w:sz w:val="10"/>
          <w:szCs w:val="10"/>
        </w:rPr>
        <w:footnoteRef/>
      </w:r>
      <w:r w:rsidRPr="00644843">
        <w:rPr>
          <w:rFonts w:ascii="Verdana" w:hAnsi="Verdana" w:cs="Arial"/>
          <w:sz w:val="10"/>
          <w:szCs w:val="10"/>
        </w:rPr>
        <w:t xml:space="preserve"> CONSEJO DE ESTADO. Sala de Consulta y Servicio Civil. Concepto del </w:t>
      </w:r>
      <w:r w:rsidRPr="00644843">
        <w:rPr>
          <w:rFonts w:ascii="Verdana" w:hAnsi="Verdana" w:cs="Arial"/>
          <w:color w:val="000000" w:themeColor="text1"/>
          <w:sz w:val="10"/>
          <w:szCs w:val="10"/>
        </w:rPr>
        <w:t>10 de agosto de 2006. Exp. 1.767. C.P. Luis Fernando Álvarez Jaramillo.</w:t>
      </w:r>
    </w:p>
    <w:p w14:paraId="01F8F7E4" w14:textId="77777777" w:rsidR="00482887" w:rsidRPr="00644843" w:rsidRDefault="00482887" w:rsidP="00482887">
      <w:pPr>
        <w:pStyle w:val="Textonotapie"/>
        <w:ind w:firstLine="708"/>
        <w:jc w:val="both"/>
        <w:rPr>
          <w:rFonts w:ascii="Verdana" w:hAnsi="Verdana" w:cs="Arial"/>
          <w:sz w:val="10"/>
          <w:szCs w:val="10"/>
          <w:lang w:val="es-CO"/>
        </w:rPr>
      </w:pPr>
    </w:p>
  </w:footnote>
  <w:footnote w:id="16">
    <w:p w14:paraId="474A9DF3" w14:textId="77777777" w:rsidR="00482887" w:rsidRPr="00644843" w:rsidRDefault="00482887" w:rsidP="00482887">
      <w:pPr>
        <w:pStyle w:val="Textonotapie"/>
        <w:ind w:firstLine="708"/>
        <w:jc w:val="both"/>
        <w:rPr>
          <w:rFonts w:ascii="Verdana" w:eastAsia="Calibri" w:hAnsi="Verdana" w:cs="Arial"/>
          <w:sz w:val="10"/>
          <w:szCs w:val="10"/>
          <w:lang w:val="es-CO"/>
        </w:rPr>
      </w:pPr>
      <w:r w:rsidRPr="00644843">
        <w:rPr>
          <w:rStyle w:val="Refdenotaalpie"/>
          <w:rFonts w:ascii="Verdana" w:hAnsi="Verdana" w:cs="Arial"/>
          <w:sz w:val="10"/>
          <w:szCs w:val="10"/>
        </w:rPr>
        <w:footnoteRef/>
      </w:r>
      <w:r w:rsidRPr="00644843">
        <w:rPr>
          <w:rFonts w:ascii="Verdana" w:hAnsi="Verdana" w:cs="Arial"/>
          <w:sz w:val="10"/>
          <w:szCs w:val="10"/>
        </w:rPr>
        <w:t xml:space="preserve"> Como expresa DÁVILA: «[…] </w:t>
      </w:r>
      <w:r w:rsidRPr="00644843">
        <w:rPr>
          <w:rFonts w:ascii="Verdana" w:eastAsia="Calibri" w:hAnsi="Verdana" w:cs="Arial"/>
          <w:sz w:val="10"/>
          <w:szCs w:val="10"/>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149A4EFF" w14:textId="77777777" w:rsidR="00482887" w:rsidRPr="00644843" w:rsidRDefault="00482887" w:rsidP="00482887">
      <w:pPr>
        <w:pStyle w:val="Textonotapie"/>
        <w:ind w:firstLine="708"/>
        <w:jc w:val="both"/>
        <w:rPr>
          <w:rFonts w:ascii="Verdana" w:hAnsi="Verdana" w:cs="Arial"/>
          <w:sz w:val="10"/>
          <w:szCs w:val="10"/>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6570C"/>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0338"/>
    <w:rsid w:val="003D0F4D"/>
    <w:rsid w:val="003D5B0D"/>
    <w:rsid w:val="003E0499"/>
    <w:rsid w:val="003E4F80"/>
    <w:rsid w:val="003E6439"/>
    <w:rsid w:val="003F3941"/>
    <w:rsid w:val="00406575"/>
    <w:rsid w:val="00414C74"/>
    <w:rsid w:val="0042722E"/>
    <w:rsid w:val="0044528D"/>
    <w:rsid w:val="00466E39"/>
    <w:rsid w:val="00482887"/>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67DF"/>
    <w:rsid w:val="007B7171"/>
    <w:rsid w:val="007C0C0F"/>
    <w:rsid w:val="007C3DC2"/>
    <w:rsid w:val="007E5497"/>
    <w:rsid w:val="00806F5F"/>
    <w:rsid w:val="00820278"/>
    <w:rsid w:val="008258C9"/>
    <w:rsid w:val="00844AE9"/>
    <w:rsid w:val="00867F95"/>
    <w:rsid w:val="008843B6"/>
    <w:rsid w:val="00891928"/>
    <w:rsid w:val="008A446D"/>
    <w:rsid w:val="008B25F1"/>
    <w:rsid w:val="008C1148"/>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74A0"/>
    <w:rsid w:val="00A33C78"/>
    <w:rsid w:val="00A960C0"/>
    <w:rsid w:val="00AB0ADB"/>
    <w:rsid w:val="00B00C0E"/>
    <w:rsid w:val="00B01B1A"/>
    <w:rsid w:val="00B0381D"/>
    <w:rsid w:val="00B05B0B"/>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4F15"/>
    <w:rsid w:val="00D17578"/>
    <w:rsid w:val="00D361FD"/>
    <w:rsid w:val="00D423A2"/>
    <w:rsid w:val="00D44E26"/>
    <w:rsid w:val="00D520D8"/>
    <w:rsid w:val="00D63AC2"/>
    <w:rsid w:val="00D7383B"/>
    <w:rsid w:val="00D7788A"/>
    <w:rsid w:val="00DA231B"/>
    <w:rsid w:val="00DC39FC"/>
    <w:rsid w:val="00DF5254"/>
    <w:rsid w:val="00E02524"/>
    <w:rsid w:val="00E02C10"/>
    <w:rsid w:val="00E16408"/>
    <w:rsid w:val="00E20894"/>
    <w:rsid w:val="00E245AB"/>
    <w:rsid w:val="00E2764C"/>
    <w:rsid w:val="00E27F2E"/>
    <w:rsid w:val="00E50AFE"/>
    <w:rsid w:val="00E62555"/>
    <w:rsid w:val="00E75C92"/>
    <w:rsid w:val="00E771DC"/>
    <w:rsid w:val="00E8772A"/>
    <w:rsid w:val="00E90F6B"/>
    <w:rsid w:val="00E92C27"/>
    <w:rsid w:val="00EA0E3D"/>
    <w:rsid w:val="00EC0889"/>
    <w:rsid w:val="00EC38A7"/>
    <w:rsid w:val="00ED3D9E"/>
    <w:rsid w:val="00EE1AA8"/>
    <w:rsid w:val="00F23FEA"/>
    <w:rsid w:val="00F31EDC"/>
    <w:rsid w:val="00F462B3"/>
    <w:rsid w:val="00F5664F"/>
    <w:rsid w:val="00F666C4"/>
    <w:rsid w:val="00F76977"/>
    <w:rsid w:val="00F76AFC"/>
    <w:rsid w:val="00FA47C0"/>
    <w:rsid w:val="00FB5DD1"/>
    <w:rsid w:val="00FC2B5D"/>
    <w:rsid w:val="00FF1449"/>
    <w:rsid w:val="00FF7963"/>
    <w:rsid w:val="071B8F93"/>
    <w:rsid w:val="09908A09"/>
    <w:rsid w:val="0FF4CCA8"/>
    <w:rsid w:val="1217E4E4"/>
    <w:rsid w:val="13CFC91B"/>
    <w:rsid w:val="14B2B83F"/>
    <w:rsid w:val="19A2EC2C"/>
    <w:rsid w:val="2859CA1B"/>
    <w:rsid w:val="2903DE1D"/>
    <w:rsid w:val="2D2AE6F2"/>
    <w:rsid w:val="32A4F9CF"/>
    <w:rsid w:val="356CEDFD"/>
    <w:rsid w:val="3AFDF17B"/>
    <w:rsid w:val="3D2DE619"/>
    <w:rsid w:val="4C623691"/>
    <w:rsid w:val="4DD5A373"/>
    <w:rsid w:val="58A77AAB"/>
    <w:rsid w:val="65EB14E2"/>
    <w:rsid w:val="66149DE9"/>
    <w:rsid w:val="69614A15"/>
    <w:rsid w:val="7BB183BC"/>
    <w:rsid w:val="7DD1BA0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D3D9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D3D9E"/>
    <w:rPr>
      <w:rFonts w:ascii="Geomanist Light" w:hAnsi="Geomanist Light"/>
      <w:lang w:val="es-ES"/>
    </w:rPr>
  </w:style>
  <w:style w:type="table" w:customStyle="1" w:styleId="Tablaconcuadrcula1">
    <w:name w:val="Tabla con cuadrícula1"/>
    <w:basedOn w:val="Tablanormal"/>
    <w:next w:val="Tablaconcuadrcula"/>
    <w:uiPriority w:val="39"/>
    <w:qFormat/>
    <w:rsid w:val="00ED3D9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lomonalvirabalderrama@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6488C2D-AA6C-4E48-A736-7C309AFC1F6C}"/>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15</Pages>
  <Words>4544</Words>
  <Characters>24674</Characters>
  <Application>Microsoft Office Word</Application>
  <DocSecurity>0</DocSecurity>
  <Lines>493</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2025-12-21T22:55:00Z</dcterms:created>
  <dcterms:modified xsi:type="dcterms:W3CDTF">2025-12-21T22:55:00Z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