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6A130D" w14:textId="7169B163" w:rsidR="00C91AAC" w:rsidRDefault="00C91AAC" w:rsidP="000906F1">
      <w:pPr>
        <w:rPr>
          <w:rFonts w:ascii="Verdana" w:eastAsia="Times New Roman" w:hAnsi="Verdana" w:cs="Arial"/>
          <w:b/>
          <w:bCs/>
          <w:lang w:eastAsia="es-ES_tradnl"/>
        </w:rPr>
      </w:pPr>
      <w:bookmarkStart w:id="0" w:name="_Hlk186494164"/>
      <w:bookmarkStart w:id="1" w:name="_Hlk216344465"/>
      <w:bookmarkStart w:id="2" w:name="_Hlk216344669"/>
      <w:r w:rsidRPr="00C91AAC">
        <w:rPr>
          <w:rFonts w:ascii="Verdana" w:eastAsia="Times New Roman" w:hAnsi="Verdana" w:cs="Arial"/>
          <w:b/>
          <w:bCs/>
          <w:lang w:eastAsia="es-ES_tradnl"/>
        </w:rPr>
        <w:t>RÉGIMEN DE INHABILIDADES E INCOMPATIBILIDADES – Concepto – Principio de legalidad</w:t>
      </w:r>
    </w:p>
    <w:p w14:paraId="6C00B78C" w14:textId="30113ED1" w:rsidR="00C91AAC" w:rsidRPr="00C91AAC" w:rsidRDefault="00C91AAC" w:rsidP="00C91AAC">
      <w:pPr>
        <w:spacing w:after="120" w:line="276" w:lineRule="auto"/>
        <w:jc w:val="both"/>
        <w:rPr>
          <w:rFonts w:ascii="Verdana" w:eastAsia="Calibri" w:hAnsi="Verdana" w:cs="Arial"/>
          <w:color w:val="000000" w:themeColor="text1"/>
          <w:sz w:val="21"/>
          <w:szCs w:val="21"/>
          <w:lang w:val="es-ES"/>
        </w:rPr>
      </w:pPr>
      <w:r w:rsidRPr="00C91AAC">
        <w:rPr>
          <w:rFonts w:ascii="Verdana" w:eastAsia="Calibri" w:hAnsi="Verdana" w:cs="Arial"/>
          <w:color w:val="000000" w:themeColor="text1"/>
          <w:sz w:val="21"/>
          <w:szCs w:val="21"/>
          <w:lang w:val="es-ES"/>
        </w:rPr>
        <w:t xml:space="preserve">Las inhabilidades son prohibiciones para concurrir a los procedimientos de selección y para contratar con el Estado, que se derivan i) de la existencia de comportamientos reprochables o de sanciones anteriormente impuestas, </w:t>
      </w:r>
      <w:proofErr w:type="spellStart"/>
      <w:r w:rsidRPr="00C91AAC">
        <w:rPr>
          <w:rFonts w:ascii="Verdana" w:eastAsia="Calibri" w:hAnsi="Verdana" w:cs="Arial"/>
          <w:color w:val="000000" w:themeColor="text1"/>
          <w:sz w:val="21"/>
          <w:szCs w:val="21"/>
          <w:lang w:val="es-ES"/>
        </w:rPr>
        <w:t>ii</w:t>
      </w:r>
      <w:proofErr w:type="spellEnd"/>
      <w:r w:rsidRPr="00C91AAC">
        <w:rPr>
          <w:rFonts w:ascii="Verdana" w:eastAsia="Calibri" w:hAnsi="Verdana" w:cs="Arial"/>
          <w:color w:val="000000" w:themeColor="text1"/>
          <w:sz w:val="21"/>
          <w:szCs w:val="21"/>
          <w:lang w:val="es-ES"/>
        </w:rPr>
        <w:t xml:space="preserve">) de vínculos personales relativos al parentesco o al estado civil o </w:t>
      </w:r>
      <w:proofErr w:type="spellStart"/>
      <w:r w:rsidRPr="00C91AAC">
        <w:rPr>
          <w:rFonts w:ascii="Verdana" w:eastAsia="Calibri" w:hAnsi="Verdana" w:cs="Arial"/>
          <w:color w:val="000000" w:themeColor="text1"/>
          <w:sz w:val="21"/>
          <w:szCs w:val="21"/>
          <w:lang w:val="es-ES"/>
        </w:rPr>
        <w:t>iii</w:t>
      </w:r>
      <w:proofErr w:type="spellEnd"/>
      <w:r w:rsidRPr="00C91AAC">
        <w:rPr>
          <w:rFonts w:ascii="Verdana" w:eastAsia="Calibri" w:hAnsi="Verdana" w:cs="Arial"/>
          <w:color w:val="000000" w:themeColor="text1"/>
          <w:sz w:val="21"/>
          <w:szCs w:val="21"/>
          <w:lang w:val="es-ES"/>
        </w:rPr>
        <w:t xml:space="preserve">) de una actividad u oficio que se desempeñó en el pasado. De otro lado, las incompatibilidades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 </w:t>
      </w:r>
    </w:p>
    <w:p w14:paraId="728E7682" w14:textId="308C48E8" w:rsidR="00C91AAC" w:rsidRPr="00C91AAC" w:rsidRDefault="00C91AAC" w:rsidP="00C91AAC">
      <w:pPr>
        <w:spacing w:after="120" w:line="276" w:lineRule="auto"/>
        <w:jc w:val="both"/>
        <w:rPr>
          <w:rFonts w:ascii="Verdana" w:eastAsia="Calibri" w:hAnsi="Verdana" w:cs="Arial"/>
          <w:color w:val="000000" w:themeColor="text1"/>
          <w:sz w:val="21"/>
          <w:szCs w:val="21"/>
          <w:lang w:val="es-ES"/>
        </w:rPr>
      </w:pPr>
      <w:r w:rsidRPr="00C91AAC">
        <w:rPr>
          <w:rFonts w:ascii="Verdana" w:eastAsia="Calibri" w:hAnsi="Verdana" w:cs="Arial"/>
          <w:color w:val="000000" w:themeColor="text1"/>
          <w:sz w:val="21"/>
          <w:szCs w:val="21"/>
          <w:lang w:val="es-ES"/>
        </w:rPr>
        <w:t xml:space="preserve">El régimen de inhabilidades e incompatibilidades en la contratación pública responde a la tendencia de asegurar que la provisión de los bienes y servicios por parte de las entidades estatales se efectúe cumpliendo con los principios de la función administrativa y de la gestión fiscal, especialmente con probidad y transparencia. Es por eso </w:t>
      </w:r>
      <w:proofErr w:type="gramStart"/>
      <w:r w:rsidRPr="00C91AAC">
        <w:rPr>
          <w:rFonts w:ascii="Verdana" w:eastAsia="Calibri" w:hAnsi="Verdana" w:cs="Arial"/>
          <w:color w:val="000000" w:themeColor="text1"/>
          <w:sz w:val="21"/>
          <w:szCs w:val="21"/>
          <w:lang w:val="es-ES"/>
        </w:rPr>
        <w:t>que</w:t>
      </w:r>
      <w:proofErr w:type="gramEnd"/>
      <w:r w:rsidRPr="00C91AAC">
        <w:rPr>
          <w:rFonts w:ascii="Verdana" w:eastAsia="Calibri" w:hAnsi="Verdana" w:cs="Arial"/>
          <w:color w:val="000000" w:themeColor="text1"/>
          <w:sz w:val="21"/>
          <w:szCs w:val="21"/>
          <w:lang w:val="es-ES"/>
        </w:rPr>
        <w:t>, como lo ha destacado la doctrina, las inhabilidades e incompatibilidades son herramientas en la lucha contra la corrupción, adoptando paulatinamente un carácter sancionatorio o “</w:t>
      </w:r>
      <w:proofErr w:type="spellStart"/>
      <w:r w:rsidRPr="00C91AAC">
        <w:rPr>
          <w:rFonts w:ascii="Verdana" w:eastAsia="Calibri" w:hAnsi="Verdana" w:cs="Arial"/>
          <w:color w:val="000000" w:themeColor="text1"/>
          <w:sz w:val="21"/>
          <w:szCs w:val="21"/>
          <w:lang w:val="es-ES"/>
        </w:rPr>
        <w:t>neopunitivo</w:t>
      </w:r>
      <w:proofErr w:type="spellEnd"/>
      <w:r w:rsidRPr="00C91AAC">
        <w:rPr>
          <w:rFonts w:ascii="Verdana" w:eastAsia="Calibri" w:hAnsi="Verdana" w:cs="Arial"/>
          <w:color w:val="000000" w:themeColor="text1"/>
          <w:sz w:val="21"/>
          <w:szCs w:val="21"/>
          <w:lang w:val="es-ES"/>
        </w:rPr>
        <w:t>”. Si bien no todas las causales de inhabilidad y de incompatibilidad son consecuencia de una medida de reproche ni de una sanción previa, como ya se explicó, es indiscutible que en los años más recientes los lamentables hechos de corrupción han generado, como respuesta del legislador, un incremento de las restricciones a la capacidad contractual, dirigidas a prevenir este tipo de situaciones o a sancionar tales conductas.</w:t>
      </w:r>
    </w:p>
    <w:p w14:paraId="2A968889" w14:textId="2A7C83F9" w:rsidR="00C91AAC" w:rsidRPr="00C91AAC" w:rsidRDefault="00C91AAC" w:rsidP="00C91AAC">
      <w:pPr>
        <w:jc w:val="both"/>
        <w:rPr>
          <w:rFonts w:ascii="Verdana" w:eastAsia="Times New Roman" w:hAnsi="Verdana" w:cs="Arial"/>
          <w:b/>
          <w:bCs/>
          <w:lang w:val="es-ES" w:eastAsia="es-ES_tradnl"/>
        </w:rPr>
      </w:pPr>
      <w:r w:rsidRPr="00C91AAC">
        <w:rPr>
          <w:rFonts w:ascii="Verdana" w:eastAsia="Times New Roman" w:hAnsi="Verdana" w:cs="Arial"/>
          <w:b/>
          <w:bCs/>
          <w:lang w:eastAsia="es-ES_tradnl"/>
        </w:rPr>
        <w:t>INHABILIDADES E INCOMPATIBILIDADES ― CONFLICTO DE INTERESES-Interpretación restrictiva</w:t>
      </w:r>
    </w:p>
    <w:p w14:paraId="72DD5943" w14:textId="77777777" w:rsidR="00C91AAC" w:rsidRPr="00C91AAC" w:rsidRDefault="00C91AAC" w:rsidP="00C91AAC">
      <w:pPr>
        <w:spacing w:after="120" w:line="276" w:lineRule="auto"/>
        <w:jc w:val="both"/>
        <w:rPr>
          <w:rFonts w:ascii="Verdana" w:eastAsia="Century Gothic" w:hAnsi="Verdana" w:cs="Century Gothic"/>
          <w:bCs/>
          <w:sz w:val="21"/>
          <w:szCs w:val="21"/>
        </w:rPr>
      </w:pPr>
      <w:r w:rsidRPr="00C91AAC">
        <w:rPr>
          <w:rFonts w:ascii="Verdana" w:eastAsia="Calibri" w:hAnsi="Verdana" w:cs="Arial"/>
          <w:sz w:val="21"/>
          <w:szCs w:val="21"/>
        </w:rPr>
        <w:t>En ese sentido, únicamente es posible aplicar las causales de conflicto de interés que se encuentren tipificadas y que hayan sido expresamente establecidas en los estudios previos, en el pliego de condiciones o en el contrato y/o convenio y/o documento equivalente. Por tanto, corresponde a cada entidad estatal verificar en el caso concreto si la naturaleza de las funciones asignadas al contratista en ejecución del contrato estatal y la vinculación de sus familiares configura alguno de los conflictos de interés definidos en sus propios instrumentos contractuales.</w:t>
      </w:r>
      <w:r w:rsidRPr="00C91AAC">
        <w:rPr>
          <w:rFonts w:ascii="Verdana" w:eastAsia="Century Gothic" w:hAnsi="Verdana" w:cs="Century Gothic"/>
          <w:bCs/>
          <w:sz w:val="21"/>
          <w:szCs w:val="21"/>
        </w:rPr>
        <w:t xml:space="preserve"> </w:t>
      </w:r>
    </w:p>
    <w:p w14:paraId="30B6647D" w14:textId="77777777" w:rsidR="00C91AAC" w:rsidRPr="00C91AAC" w:rsidRDefault="00C91AAC" w:rsidP="00C91AAC">
      <w:pPr>
        <w:spacing w:after="120" w:line="276" w:lineRule="auto"/>
        <w:jc w:val="both"/>
        <w:rPr>
          <w:rFonts w:ascii="Verdana" w:eastAsia="Calibri" w:hAnsi="Verdana" w:cs="Arial"/>
          <w:color w:val="000000" w:themeColor="text1"/>
          <w:sz w:val="21"/>
          <w:szCs w:val="21"/>
          <w:lang w:eastAsia="es-ES"/>
        </w:rPr>
      </w:pPr>
      <w:r w:rsidRPr="00C91AAC">
        <w:rPr>
          <w:rFonts w:ascii="Verdana" w:eastAsia="Calibri" w:hAnsi="Verdana" w:cs="Arial"/>
          <w:color w:val="000000" w:themeColor="text1"/>
          <w:sz w:val="21"/>
          <w:szCs w:val="21"/>
          <w:lang w:eastAsia="es-ES"/>
        </w:rPr>
        <w:t xml:space="preserve">En este punto es fundamental resaltar que el régimen de inhabilidades e incompatibilidades en materia contractual debe interpretarse con sujeción estricta al principio de legalidad, consagrado en el artículo 6º de la Constitución Política, según el cual los particulares solo son responsables por infringir la Constitución y la </w:t>
      </w:r>
      <w:r w:rsidRPr="00C91AAC">
        <w:rPr>
          <w:rFonts w:ascii="Verdana" w:eastAsia="Calibri" w:hAnsi="Verdana" w:cs="Arial"/>
          <w:color w:val="000000" w:themeColor="text1"/>
          <w:sz w:val="21"/>
          <w:szCs w:val="21"/>
          <w:lang w:eastAsia="es-ES"/>
        </w:rPr>
        <w:lastRenderedPageBreak/>
        <w:t>ley, y las autoridades solo pueden ejercer las funciones expresamente atribuidas por el ordenamiento jurídico.</w:t>
      </w:r>
    </w:p>
    <w:p w14:paraId="40C55672" w14:textId="6039E0B5" w:rsidR="00C91AAC" w:rsidRPr="00C91AAC" w:rsidRDefault="00C91AAC" w:rsidP="00C91AAC">
      <w:pPr>
        <w:jc w:val="both"/>
        <w:rPr>
          <w:rFonts w:ascii="Verdana" w:eastAsia="Times New Roman" w:hAnsi="Verdana" w:cs="Arial"/>
          <w:sz w:val="21"/>
          <w:szCs w:val="21"/>
          <w:lang w:eastAsia="es-ES_tradnl"/>
        </w:rPr>
      </w:pPr>
      <w:r w:rsidRPr="00C91AAC">
        <w:rPr>
          <w:rFonts w:ascii="Verdana" w:eastAsia="Calibri" w:hAnsi="Verdana" w:cs="Arial"/>
          <w:color w:val="000000" w:themeColor="text1"/>
          <w:sz w:val="21"/>
          <w:szCs w:val="21"/>
          <w:lang w:eastAsia="es-ES"/>
        </w:rPr>
        <w:t xml:space="preserve">En consecuencia, las inhabilidades para contratar con el Estado deben estar claramente previstas en la ley, con carácter taxativo y de aplicación restrictiva. Así lo exige también el principio de interpretación restrictiva de las normas que limitan derechos, y el principio pro homine, que impone que ante dudas o ambigüedades en la norma debe adoptarse la interpretación más favorable a la persona. No es jurídicamente admisible aplicar interpretaciones extensivas o analógicas para derivar efectos no previstos expresamente, como extender el alcance de una suspensión a una inhabilidad no contemplada por la ley. Por lo tanto, no se configuran los elementos de ninguna de las causales de inhabilidad previstas en el artículo 8 de la Ley 80 de 1993, ni se evidencia otra inhabilidad legal que impida la vinculación de familiares de un contratista en ejecución de un contrato estatal.  </w:t>
      </w:r>
    </w:p>
    <w:p w14:paraId="1E294DE8" w14:textId="77777777" w:rsidR="00C91AAC" w:rsidRDefault="00C91AAC" w:rsidP="000906F1">
      <w:pPr>
        <w:rPr>
          <w:rFonts w:ascii="Verdana" w:eastAsia="Times New Roman" w:hAnsi="Verdana" w:cs="Arial"/>
          <w:lang w:eastAsia="es-ES_tradnl"/>
        </w:rPr>
      </w:pPr>
    </w:p>
    <w:p w14:paraId="26CB8EFA" w14:textId="77777777" w:rsidR="00C91AAC" w:rsidRDefault="00C91AAC" w:rsidP="000906F1">
      <w:pPr>
        <w:rPr>
          <w:rFonts w:ascii="Verdana" w:eastAsia="Times New Roman" w:hAnsi="Verdana" w:cs="Arial"/>
          <w:lang w:eastAsia="es-ES_tradnl"/>
        </w:rPr>
      </w:pPr>
    </w:p>
    <w:p w14:paraId="222F8781" w14:textId="77777777" w:rsidR="00C91AAC" w:rsidRDefault="00C91AAC" w:rsidP="000906F1">
      <w:pPr>
        <w:rPr>
          <w:rFonts w:ascii="Verdana" w:eastAsia="Times New Roman" w:hAnsi="Verdana" w:cs="Arial"/>
          <w:lang w:eastAsia="es-ES_tradnl"/>
        </w:rPr>
      </w:pPr>
    </w:p>
    <w:p w14:paraId="5DAF44DD" w14:textId="77777777" w:rsidR="00C91AAC" w:rsidRDefault="00C91AAC" w:rsidP="000906F1">
      <w:pPr>
        <w:rPr>
          <w:rFonts w:ascii="Verdana" w:eastAsia="Times New Roman" w:hAnsi="Verdana" w:cs="Arial"/>
          <w:lang w:eastAsia="es-ES_tradnl"/>
        </w:rPr>
      </w:pPr>
    </w:p>
    <w:p w14:paraId="7E2E503E" w14:textId="77777777" w:rsidR="00C91AAC" w:rsidRDefault="00C91AAC" w:rsidP="000906F1">
      <w:pPr>
        <w:rPr>
          <w:rFonts w:ascii="Verdana" w:eastAsia="Times New Roman" w:hAnsi="Verdana" w:cs="Arial"/>
          <w:lang w:eastAsia="es-ES_tradnl"/>
        </w:rPr>
      </w:pPr>
    </w:p>
    <w:p w14:paraId="319C867F" w14:textId="77777777" w:rsidR="00C91AAC" w:rsidRDefault="00C91AAC" w:rsidP="000906F1">
      <w:pPr>
        <w:rPr>
          <w:rFonts w:ascii="Verdana" w:eastAsia="Times New Roman" w:hAnsi="Verdana" w:cs="Arial"/>
          <w:lang w:eastAsia="es-ES_tradnl"/>
        </w:rPr>
      </w:pPr>
    </w:p>
    <w:p w14:paraId="4FE5C896" w14:textId="77777777" w:rsidR="00C91AAC" w:rsidRDefault="00C91AAC" w:rsidP="000906F1">
      <w:pPr>
        <w:rPr>
          <w:rFonts w:ascii="Verdana" w:eastAsia="Times New Roman" w:hAnsi="Verdana" w:cs="Arial"/>
          <w:lang w:eastAsia="es-ES_tradnl"/>
        </w:rPr>
      </w:pPr>
    </w:p>
    <w:p w14:paraId="50D493E2" w14:textId="77777777" w:rsidR="00C91AAC" w:rsidRDefault="00C91AAC" w:rsidP="000906F1">
      <w:pPr>
        <w:rPr>
          <w:rFonts w:ascii="Verdana" w:eastAsia="Times New Roman" w:hAnsi="Verdana" w:cs="Arial"/>
          <w:lang w:eastAsia="es-ES_tradnl"/>
        </w:rPr>
      </w:pPr>
    </w:p>
    <w:p w14:paraId="7E013DE2" w14:textId="77777777" w:rsidR="00C91AAC" w:rsidRDefault="00C91AAC" w:rsidP="000906F1">
      <w:pPr>
        <w:rPr>
          <w:rFonts w:ascii="Verdana" w:eastAsia="Times New Roman" w:hAnsi="Verdana" w:cs="Arial"/>
          <w:lang w:eastAsia="es-ES_tradnl"/>
        </w:rPr>
      </w:pPr>
    </w:p>
    <w:p w14:paraId="4D2620DF" w14:textId="77777777" w:rsidR="00C91AAC" w:rsidRDefault="00C91AAC" w:rsidP="000906F1">
      <w:pPr>
        <w:rPr>
          <w:rFonts w:ascii="Verdana" w:eastAsia="Times New Roman" w:hAnsi="Verdana" w:cs="Arial"/>
          <w:lang w:eastAsia="es-ES_tradnl"/>
        </w:rPr>
      </w:pPr>
    </w:p>
    <w:p w14:paraId="727AE72A" w14:textId="77777777" w:rsidR="00C91AAC" w:rsidRDefault="00C91AAC" w:rsidP="000906F1">
      <w:pPr>
        <w:rPr>
          <w:rFonts w:ascii="Verdana" w:eastAsia="Times New Roman" w:hAnsi="Verdana" w:cs="Arial"/>
          <w:lang w:eastAsia="es-ES_tradnl"/>
        </w:rPr>
      </w:pPr>
    </w:p>
    <w:p w14:paraId="45E88311" w14:textId="77777777" w:rsidR="00C91AAC" w:rsidRDefault="00C91AAC" w:rsidP="000906F1">
      <w:pPr>
        <w:rPr>
          <w:rFonts w:ascii="Verdana" w:eastAsia="Times New Roman" w:hAnsi="Verdana" w:cs="Arial"/>
          <w:lang w:eastAsia="es-ES_tradnl"/>
        </w:rPr>
      </w:pPr>
    </w:p>
    <w:p w14:paraId="009F64AF" w14:textId="77777777" w:rsidR="00C91AAC" w:rsidRDefault="00C91AAC" w:rsidP="000906F1">
      <w:pPr>
        <w:rPr>
          <w:rFonts w:ascii="Verdana" w:eastAsia="Times New Roman" w:hAnsi="Verdana" w:cs="Arial"/>
          <w:lang w:eastAsia="es-ES_tradnl"/>
        </w:rPr>
      </w:pPr>
    </w:p>
    <w:p w14:paraId="03D932BB" w14:textId="77777777" w:rsidR="00C91AAC" w:rsidRDefault="00C91AAC" w:rsidP="000906F1">
      <w:pPr>
        <w:rPr>
          <w:rFonts w:ascii="Verdana" w:eastAsia="Times New Roman" w:hAnsi="Verdana" w:cs="Arial"/>
          <w:lang w:eastAsia="es-ES_tradnl"/>
        </w:rPr>
      </w:pPr>
    </w:p>
    <w:p w14:paraId="2FFE59C5" w14:textId="77777777" w:rsidR="00C91AAC" w:rsidRDefault="00C91AAC" w:rsidP="000906F1">
      <w:pPr>
        <w:rPr>
          <w:rFonts w:ascii="Verdana" w:eastAsia="Times New Roman" w:hAnsi="Verdana" w:cs="Arial"/>
          <w:lang w:eastAsia="es-ES_tradnl"/>
        </w:rPr>
      </w:pPr>
    </w:p>
    <w:p w14:paraId="1D82F3CE" w14:textId="77777777" w:rsidR="00C91AAC" w:rsidRDefault="00C91AAC" w:rsidP="000906F1">
      <w:pPr>
        <w:rPr>
          <w:rFonts w:ascii="Verdana" w:eastAsia="Times New Roman" w:hAnsi="Verdana" w:cs="Arial"/>
          <w:lang w:eastAsia="es-ES_tradnl"/>
        </w:rPr>
      </w:pPr>
    </w:p>
    <w:p w14:paraId="5888DE5A" w14:textId="2E2F960B" w:rsidR="000906F1" w:rsidRPr="00B739CF" w:rsidRDefault="000906F1" w:rsidP="000906F1">
      <w:pPr>
        <w:rPr>
          <w:rFonts w:ascii="Verdana" w:eastAsia="Times New Roman" w:hAnsi="Verdana" w:cs="Times New Roman"/>
          <w:lang w:eastAsia="es-ES"/>
        </w:rPr>
      </w:pPr>
      <w:r w:rsidRPr="00B739CF">
        <w:rPr>
          <w:rFonts w:ascii="Verdana" w:eastAsia="Times New Roman" w:hAnsi="Verdana" w:cs="Arial"/>
          <w:lang w:eastAsia="es-ES_tradnl"/>
        </w:rPr>
        <w:lastRenderedPageBreak/>
        <w:t>Bogotá D.C., </w:t>
      </w:r>
      <w:r w:rsidR="00C91AAC">
        <w:rPr>
          <w:rFonts w:ascii="Verdana" w:eastAsia="Times New Roman" w:hAnsi="Verdana" w:cs="Arial"/>
          <w:lang w:eastAsia="es-ES_tradnl"/>
        </w:rPr>
        <w:t>29</w:t>
      </w:r>
      <w:r w:rsidRPr="00B739CF">
        <w:rPr>
          <w:rFonts w:ascii="Verdana" w:eastAsia="Times New Roman" w:hAnsi="Verdana" w:cs="Arial"/>
          <w:lang w:eastAsia="es-ES_tradnl"/>
        </w:rPr>
        <w:t xml:space="preserve"> de</w:t>
      </w:r>
      <w:r w:rsidR="00C91AAC">
        <w:rPr>
          <w:rFonts w:ascii="Verdana" w:eastAsia="Times New Roman" w:hAnsi="Verdana" w:cs="Arial"/>
          <w:lang w:eastAsia="es-ES_tradnl"/>
        </w:rPr>
        <w:t xml:space="preserve"> diciembre</w:t>
      </w:r>
      <w:r w:rsidRPr="00B739CF">
        <w:rPr>
          <w:rFonts w:ascii="Verdana" w:eastAsia="Times New Roman" w:hAnsi="Verdana" w:cs="Arial"/>
          <w:lang w:eastAsia="es-ES_tradnl"/>
        </w:rPr>
        <w:t xml:space="preserve"> de </w:t>
      </w:r>
      <w:r w:rsidR="00C91AAC">
        <w:rPr>
          <w:rFonts w:ascii="Verdana" w:eastAsia="Times New Roman" w:hAnsi="Verdana" w:cs="Arial"/>
          <w:lang w:eastAsia="es-ES_tradnl"/>
        </w:rPr>
        <w:t>2025</w:t>
      </w:r>
    </w:p>
    <w:p w14:paraId="15C70C92" w14:textId="742E58C4" w:rsidR="000906F1" w:rsidRPr="00B739CF" w:rsidRDefault="00C91AAC" w:rsidP="00C91AAC">
      <w:pPr>
        <w:spacing w:after="0" w:line="256" w:lineRule="auto"/>
        <w:ind w:left="3540" w:right="900"/>
        <w:rPr>
          <w:rFonts w:ascii="Verdana" w:eastAsia="Calibri" w:hAnsi="Verdana" w:cs="Times New Roman"/>
        </w:rPr>
      </w:pPr>
      <w:r w:rsidRPr="00C91AAC">
        <w:rPr>
          <w:rFonts w:ascii="Verdana" w:eastAsia="Calibri" w:hAnsi="Verdana" w:cs="Times New Roman"/>
        </w:rPr>
        <w:drawing>
          <wp:inline distT="0" distB="0" distL="0" distR="0" wp14:anchorId="31104187" wp14:editId="57AEA84A">
            <wp:extent cx="3458058" cy="1105054"/>
            <wp:effectExtent l="0" t="0" r="9525" b="0"/>
            <wp:docPr id="150686773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6867739" name=""/>
                    <pic:cNvPicPr/>
                  </pic:nvPicPr>
                  <pic:blipFill>
                    <a:blip r:embed="rId10"/>
                    <a:stretch>
                      <a:fillRect/>
                    </a:stretch>
                  </pic:blipFill>
                  <pic:spPr>
                    <a:xfrm>
                      <a:off x="0" y="0"/>
                      <a:ext cx="3458058" cy="1105054"/>
                    </a:xfrm>
                    <a:prstGeom prst="rect">
                      <a:avLst/>
                    </a:prstGeom>
                  </pic:spPr>
                </pic:pic>
              </a:graphicData>
            </a:graphic>
          </wp:inline>
        </w:drawing>
      </w:r>
    </w:p>
    <w:p w14:paraId="103A09C5" w14:textId="77777777" w:rsidR="000906F1" w:rsidRPr="00B739CF" w:rsidRDefault="000906F1" w:rsidP="000906F1">
      <w:pPr>
        <w:spacing w:after="0" w:line="256" w:lineRule="auto"/>
        <w:ind w:right="900"/>
        <w:rPr>
          <w:rFonts w:ascii="Verdana" w:eastAsia="Calibri" w:hAnsi="Verdana" w:cs="Times New Roman"/>
          <w:lang w:val="pt-PT"/>
        </w:rPr>
      </w:pPr>
      <w:r w:rsidRPr="00B739CF">
        <w:rPr>
          <w:rFonts w:ascii="Verdana" w:eastAsia="Calibri" w:hAnsi="Verdana" w:cs="Times New Roman"/>
          <w:lang w:val="pt-PT"/>
        </w:rPr>
        <w:t>Señor</w:t>
      </w:r>
    </w:p>
    <w:p w14:paraId="1D957E0B" w14:textId="77777777" w:rsidR="000906F1" w:rsidRPr="00B739CF" w:rsidRDefault="000906F1" w:rsidP="000906F1">
      <w:pPr>
        <w:spacing w:after="0" w:line="256" w:lineRule="auto"/>
        <w:ind w:right="900"/>
        <w:rPr>
          <w:rFonts w:ascii="Verdana" w:eastAsia="Calibri" w:hAnsi="Verdana" w:cs="Times New Roman"/>
          <w:b/>
          <w:lang w:val="pt-PT"/>
        </w:rPr>
      </w:pPr>
      <w:r w:rsidRPr="00B739CF">
        <w:rPr>
          <w:rFonts w:ascii="Verdana" w:eastAsia="Calibri" w:hAnsi="Verdana" w:cs="Times New Roman"/>
          <w:b/>
          <w:lang w:val="pt-PT"/>
        </w:rPr>
        <w:t>Miguel Andrés Ramirez Roa</w:t>
      </w:r>
    </w:p>
    <w:p w14:paraId="0B113DAC" w14:textId="77777777" w:rsidR="000906F1" w:rsidRPr="00B739CF" w:rsidRDefault="000906F1" w:rsidP="000906F1">
      <w:pPr>
        <w:spacing w:after="0" w:line="256" w:lineRule="auto"/>
        <w:ind w:right="900"/>
        <w:rPr>
          <w:rFonts w:ascii="Verdana" w:hAnsi="Verdana"/>
          <w:lang w:val="pt-PT"/>
        </w:rPr>
      </w:pPr>
      <w:hyperlink r:id="rId11" w:history="1">
        <w:r w:rsidRPr="00B739CF">
          <w:rPr>
            <w:rStyle w:val="Hipervnculo"/>
            <w:rFonts w:ascii="Verdana" w:hAnsi="Verdana"/>
            <w:lang w:val="pt-PT"/>
          </w:rPr>
          <w:t>salomonalvirabalderrama@gmail.com</w:t>
        </w:r>
      </w:hyperlink>
      <w:r w:rsidRPr="00B739CF">
        <w:rPr>
          <w:rFonts w:ascii="Verdana" w:hAnsi="Verdana"/>
          <w:lang w:val="pt-PT"/>
        </w:rPr>
        <w:t xml:space="preserve">;  </w:t>
      </w:r>
    </w:p>
    <w:p w14:paraId="2F77A283" w14:textId="77777777" w:rsidR="000906F1" w:rsidRPr="00FB7FD5" w:rsidRDefault="000906F1" w:rsidP="000906F1">
      <w:pPr>
        <w:spacing w:after="0" w:line="256" w:lineRule="auto"/>
        <w:ind w:right="900"/>
        <w:rPr>
          <w:rFonts w:ascii="Verdana" w:eastAsia="Calibri" w:hAnsi="Verdana" w:cs="Times New Roman"/>
          <w:lang w:val="pt-PT"/>
        </w:rPr>
      </w:pPr>
      <w:r w:rsidRPr="00FB7FD5">
        <w:rPr>
          <w:rFonts w:ascii="Verdana" w:eastAsia="Calibri" w:hAnsi="Verdana" w:cs="Times New Roman"/>
          <w:lang w:val="pt-PT"/>
        </w:rPr>
        <w:t>Acevedo, Huila.</w:t>
      </w:r>
    </w:p>
    <w:p w14:paraId="1BA249D1" w14:textId="487C4658" w:rsidR="000906F1" w:rsidRPr="00B739CF" w:rsidRDefault="000906F1" w:rsidP="000906F1">
      <w:pPr>
        <w:spacing w:after="0" w:line="256" w:lineRule="auto"/>
        <w:ind w:right="900"/>
        <w:rPr>
          <w:rFonts w:ascii="Verdana" w:eastAsia="Calibri" w:hAnsi="Verdana" w:cs="Times New Roman"/>
          <w:lang w:val="pt-PT"/>
        </w:rPr>
      </w:pPr>
    </w:p>
    <w:p w14:paraId="62A38152" w14:textId="77777777" w:rsidR="00B739CF" w:rsidRPr="00B739CF" w:rsidRDefault="00B739CF" w:rsidP="000906F1">
      <w:pPr>
        <w:spacing w:after="0" w:line="256" w:lineRule="auto"/>
        <w:ind w:right="900"/>
        <w:rPr>
          <w:rFonts w:ascii="Verdana" w:eastAsia="Calibri" w:hAnsi="Verdana" w:cs="Times New Roman"/>
          <w:lang w:val="pt-PT"/>
        </w:rPr>
      </w:pPr>
    </w:p>
    <w:p w14:paraId="3BF6A2AE" w14:textId="77777777" w:rsidR="000906F1" w:rsidRPr="00B739CF" w:rsidRDefault="000906F1" w:rsidP="000906F1">
      <w:pPr>
        <w:spacing w:after="0" w:line="256" w:lineRule="auto"/>
        <w:ind w:right="900"/>
        <w:rPr>
          <w:rFonts w:ascii="Verdana" w:eastAsia="Calibri" w:hAnsi="Verdana" w:cs="Times New Roman"/>
          <w:b/>
          <w:bCs/>
          <w:lang w:val="es-ES"/>
        </w:rPr>
      </w:pPr>
      <w:r w:rsidRPr="00B739CF">
        <w:rPr>
          <w:rFonts w:ascii="Verdana" w:eastAsia="Calibri" w:hAnsi="Verdana" w:cs="Times New Roman"/>
          <w:b/>
          <w:bCs/>
          <w:lang w:val="pt-PT"/>
        </w:rPr>
        <w:t xml:space="preserve">                                    </w:t>
      </w:r>
      <w:r w:rsidRPr="00B739CF">
        <w:rPr>
          <w:rFonts w:ascii="Verdana" w:eastAsia="Calibri" w:hAnsi="Verdana" w:cs="Times New Roman"/>
          <w:b/>
          <w:bCs/>
          <w:lang w:val="es-ES"/>
        </w:rPr>
        <w:t>Concepto C–1752 de 2025</w:t>
      </w:r>
    </w:p>
    <w:p w14:paraId="7FCBB92F" w14:textId="77777777" w:rsidR="000906F1" w:rsidRPr="00B739CF" w:rsidRDefault="000906F1" w:rsidP="000906F1">
      <w:pPr>
        <w:spacing w:after="0" w:line="256" w:lineRule="auto"/>
        <w:ind w:right="900"/>
        <w:rPr>
          <w:rFonts w:ascii="Verdana" w:eastAsia="Calibri" w:hAnsi="Verdana" w:cs="Times New Roman"/>
          <w:lang w:val="es-ES_tradnl"/>
        </w:rPr>
      </w:pPr>
    </w:p>
    <w:tbl>
      <w:tblPr>
        <w:tblStyle w:val="Tablaconcuadrcula1"/>
        <w:tblW w:w="15164"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326"/>
        <w:gridCol w:w="368"/>
        <w:gridCol w:w="7207"/>
        <w:gridCol w:w="5263"/>
      </w:tblGrid>
      <w:tr w:rsidR="000906F1" w:rsidRPr="00B739CF" w14:paraId="1C6CBE8E" w14:textId="77777777" w:rsidTr="006F08BD">
        <w:trPr>
          <w:trHeight w:val="300"/>
        </w:trPr>
        <w:tc>
          <w:tcPr>
            <w:tcW w:w="2326" w:type="dxa"/>
            <w:hideMark/>
          </w:tcPr>
          <w:p w14:paraId="458C4752" w14:textId="77777777" w:rsidR="000906F1" w:rsidRPr="00B739CF" w:rsidRDefault="000906F1" w:rsidP="004966D6">
            <w:pPr>
              <w:ind w:right="900"/>
              <w:rPr>
                <w:rFonts w:ascii="Verdana" w:hAnsi="Verdana"/>
                <w:b/>
                <w:bCs/>
                <w:lang w:val="es-ES_tradnl"/>
              </w:rPr>
            </w:pPr>
            <w:r w:rsidRPr="00B739CF">
              <w:rPr>
                <w:rFonts w:ascii="Verdana" w:hAnsi="Verdana"/>
                <w:b/>
                <w:bCs/>
                <w:lang w:val="es-ES_tradnl"/>
              </w:rPr>
              <w:t xml:space="preserve">Temas:                   </w:t>
            </w:r>
          </w:p>
        </w:tc>
        <w:tc>
          <w:tcPr>
            <w:tcW w:w="368" w:type="dxa"/>
          </w:tcPr>
          <w:p w14:paraId="3198E962" w14:textId="77777777" w:rsidR="000906F1" w:rsidRPr="00B739CF" w:rsidRDefault="000906F1" w:rsidP="004966D6">
            <w:pPr>
              <w:ind w:right="900"/>
              <w:rPr>
                <w:rFonts w:ascii="Verdana" w:hAnsi="Verdana"/>
                <w:b/>
                <w:bCs/>
                <w:lang w:val="es-ES"/>
              </w:rPr>
            </w:pPr>
          </w:p>
        </w:tc>
        <w:tc>
          <w:tcPr>
            <w:tcW w:w="7207" w:type="dxa"/>
            <w:hideMark/>
          </w:tcPr>
          <w:p w14:paraId="523E3136" w14:textId="77777777" w:rsidR="000906F1" w:rsidRPr="00B739CF" w:rsidRDefault="000906F1" w:rsidP="004966D6">
            <w:pPr>
              <w:ind w:left="21" w:right="1111" w:hanging="21"/>
              <w:jc w:val="both"/>
              <w:rPr>
                <w:rFonts w:ascii="Verdana" w:hAnsi="Verdana"/>
                <w:highlight w:val="yellow"/>
              </w:rPr>
            </w:pPr>
            <w:r w:rsidRPr="00B739CF">
              <w:rPr>
                <w:rFonts w:ascii="Verdana" w:eastAsia="Times New Roman" w:hAnsi="Verdana" w:cs="Arial"/>
                <w:lang w:eastAsia="es-ES_tradnl"/>
              </w:rPr>
              <w:t xml:space="preserve">RÉGIMEN DE INHABILIDADES E INCOMPATIBILIDADES – Concepto – Principio de legalidad / INHABILIDADES E INCOMPATIBILIDADES ― CONFLICTO DE INTERESES-Interpretación restrictiva </w:t>
            </w:r>
          </w:p>
        </w:tc>
        <w:tc>
          <w:tcPr>
            <w:tcW w:w="5263" w:type="dxa"/>
          </w:tcPr>
          <w:p w14:paraId="36F2D1F0" w14:textId="77777777" w:rsidR="000906F1" w:rsidRPr="00B739CF" w:rsidRDefault="000906F1" w:rsidP="004966D6">
            <w:pPr>
              <w:spacing w:line="256" w:lineRule="auto"/>
              <w:ind w:right="900"/>
              <w:rPr>
                <w:rFonts w:ascii="Verdana" w:hAnsi="Verdana"/>
              </w:rPr>
            </w:pPr>
          </w:p>
        </w:tc>
      </w:tr>
      <w:tr w:rsidR="000906F1" w:rsidRPr="00B739CF" w14:paraId="22BD777D" w14:textId="77777777" w:rsidTr="006F08BD">
        <w:trPr>
          <w:trHeight w:val="80"/>
        </w:trPr>
        <w:tc>
          <w:tcPr>
            <w:tcW w:w="2326" w:type="dxa"/>
          </w:tcPr>
          <w:p w14:paraId="12D70350" w14:textId="77777777" w:rsidR="000906F1" w:rsidRPr="00B739CF" w:rsidRDefault="000906F1" w:rsidP="004966D6">
            <w:pPr>
              <w:spacing w:line="256" w:lineRule="auto"/>
              <w:ind w:right="900"/>
              <w:rPr>
                <w:rFonts w:ascii="Verdana" w:hAnsi="Verdana"/>
                <w:lang w:val="es-ES_tradnl"/>
              </w:rPr>
            </w:pPr>
          </w:p>
          <w:p w14:paraId="5DA6D09A" w14:textId="77777777" w:rsidR="000906F1" w:rsidRPr="00FB7FD5" w:rsidRDefault="000906F1" w:rsidP="004966D6">
            <w:pPr>
              <w:spacing w:line="256" w:lineRule="auto"/>
              <w:ind w:right="900"/>
              <w:rPr>
                <w:rFonts w:ascii="Verdana" w:hAnsi="Verdana"/>
                <w:b/>
                <w:bCs/>
                <w:lang w:val="es-ES_tradnl"/>
              </w:rPr>
            </w:pPr>
            <w:r w:rsidRPr="00FB7FD5">
              <w:rPr>
                <w:rFonts w:ascii="Verdana" w:hAnsi="Verdana"/>
                <w:b/>
                <w:bCs/>
                <w:lang w:val="es-ES_tradnl"/>
              </w:rPr>
              <w:t xml:space="preserve">Radicación:               </w:t>
            </w:r>
          </w:p>
        </w:tc>
        <w:tc>
          <w:tcPr>
            <w:tcW w:w="368" w:type="dxa"/>
          </w:tcPr>
          <w:p w14:paraId="639D9B28" w14:textId="77777777" w:rsidR="000906F1" w:rsidRPr="00FB7FD5" w:rsidRDefault="000906F1" w:rsidP="004966D6">
            <w:pPr>
              <w:spacing w:line="256" w:lineRule="auto"/>
              <w:ind w:right="900"/>
              <w:rPr>
                <w:rFonts w:ascii="Verdana" w:hAnsi="Verdana"/>
                <w:lang w:val="es-ES"/>
              </w:rPr>
            </w:pPr>
          </w:p>
        </w:tc>
        <w:tc>
          <w:tcPr>
            <w:tcW w:w="7207" w:type="dxa"/>
          </w:tcPr>
          <w:p w14:paraId="305626FF" w14:textId="77777777" w:rsidR="000906F1" w:rsidRPr="003B654B" w:rsidRDefault="000906F1" w:rsidP="004966D6">
            <w:pPr>
              <w:spacing w:line="257" w:lineRule="auto"/>
              <w:ind w:right="900"/>
              <w:rPr>
                <w:rFonts w:ascii="Verdana" w:hAnsi="Verdana"/>
                <w:lang w:val="es-ES_tradnl"/>
              </w:rPr>
            </w:pPr>
          </w:p>
          <w:p w14:paraId="7422D9D4" w14:textId="77777777" w:rsidR="000906F1" w:rsidRPr="00B739CF" w:rsidDel="00426FD7" w:rsidRDefault="000906F1" w:rsidP="004966D6">
            <w:pPr>
              <w:spacing w:line="257" w:lineRule="auto"/>
              <w:ind w:right="900"/>
              <w:jc w:val="both"/>
              <w:rPr>
                <w:rFonts w:ascii="Verdana" w:hAnsi="Verdana"/>
              </w:rPr>
            </w:pPr>
            <w:r w:rsidRPr="00B739CF">
              <w:rPr>
                <w:rFonts w:ascii="Verdana" w:hAnsi="Verdana"/>
                <w:lang w:val="es-ES_tradnl"/>
              </w:rPr>
              <w:t xml:space="preserve">Respuesta a consulta con radicado No. </w:t>
            </w:r>
          </w:p>
          <w:p w14:paraId="780B8802" w14:textId="77777777" w:rsidR="000906F1" w:rsidRPr="00B739CF" w:rsidRDefault="000906F1" w:rsidP="004966D6">
            <w:pPr>
              <w:spacing w:line="257" w:lineRule="auto"/>
              <w:ind w:right="900"/>
              <w:jc w:val="both"/>
              <w:rPr>
                <w:rFonts w:ascii="Verdana" w:hAnsi="Verdana"/>
              </w:rPr>
            </w:pPr>
            <w:r w:rsidRPr="00B739CF">
              <w:rPr>
                <w:rFonts w:ascii="Verdana" w:hAnsi="Verdana"/>
              </w:rPr>
              <w:t>1_2025_11_25_013314</w:t>
            </w:r>
          </w:p>
        </w:tc>
        <w:tc>
          <w:tcPr>
            <w:tcW w:w="5263" w:type="dxa"/>
          </w:tcPr>
          <w:p w14:paraId="6D6DA770" w14:textId="77777777" w:rsidR="000906F1" w:rsidRPr="00B739CF" w:rsidRDefault="000906F1" w:rsidP="004966D6">
            <w:pPr>
              <w:spacing w:line="256" w:lineRule="auto"/>
              <w:ind w:right="900"/>
              <w:rPr>
                <w:rFonts w:ascii="Verdana" w:hAnsi="Verdana"/>
                <w:lang w:val="es-ES_tradnl"/>
              </w:rPr>
            </w:pPr>
          </w:p>
        </w:tc>
      </w:tr>
    </w:tbl>
    <w:p w14:paraId="599DBD5E" w14:textId="2E0CAEEF" w:rsidR="000906F1" w:rsidRDefault="000906F1" w:rsidP="000906F1">
      <w:pPr>
        <w:spacing w:after="0" w:line="256" w:lineRule="auto"/>
        <w:rPr>
          <w:rFonts w:ascii="Verdana" w:eastAsia="Calibri" w:hAnsi="Verdana" w:cs="Times New Roman"/>
          <w:lang w:val="es-ES_tradnl"/>
        </w:rPr>
      </w:pPr>
    </w:p>
    <w:p w14:paraId="379FC504" w14:textId="77777777" w:rsidR="003B654B" w:rsidRPr="00B739CF" w:rsidRDefault="003B654B" w:rsidP="000906F1">
      <w:pPr>
        <w:spacing w:after="0" w:line="256" w:lineRule="auto"/>
        <w:rPr>
          <w:rFonts w:ascii="Verdana" w:eastAsia="Calibri" w:hAnsi="Verdana" w:cs="Times New Roman"/>
          <w:lang w:val="es-ES_tradnl"/>
        </w:rPr>
      </w:pPr>
    </w:p>
    <w:p w14:paraId="13769984" w14:textId="77777777" w:rsidR="000906F1" w:rsidRPr="00CE62FF" w:rsidRDefault="000906F1" w:rsidP="000906F1">
      <w:pPr>
        <w:spacing w:after="0" w:line="256" w:lineRule="auto"/>
        <w:rPr>
          <w:rFonts w:ascii="Verdana" w:eastAsia="Calibri" w:hAnsi="Verdana" w:cs="Times New Roman"/>
          <w:lang w:val="es-ES"/>
        </w:rPr>
      </w:pPr>
      <w:r w:rsidRPr="00CE62FF">
        <w:rPr>
          <w:rFonts w:ascii="Verdana" w:eastAsia="Calibri" w:hAnsi="Verdana" w:cs="Times New Roman"/>
          <w:lang w:val="es-ES"/>
        </w:rPr>
        <w:t>Estimad</w:t>
      </w:r>
      <w:r>
        <w:rPr>
          <w:rFonts w:ascii="Verdana" w:eastAsia="Calibri" w:hAnsi="Verdana" w:cs="Times New Roman"/>
          <w:lang w:val="es-ES"/>
        </w:rPr>
        <w:t>o señor</w:t>
      </w:r>
      <w:r w:rsidRPr="00CE62FF">
        <w:rPr>
          <w:rFonts w:ascii="Verdana" w:eastAsia="Calibri" w:hAnsi="Verdana" w:cs="Times New Roman"/>
          <w:lang w:val="es-ES"/>
        </w:rPr>
        <w:t xml:space="preserve"> </w:t>
      </w:r>
      <w:r>
        <w:rPr>
          <w:rFonts w:ascii="Verdana" w:eastAsia="Calibri" w:hAnsi="Verdana" w:cs="Times New Roman"/>
          <w:lang w:val="es-ES"/>
        </w:rPr>
        <w:t>Ramírez</w:t>
      </w:r>
      <w:r w:rsidRPr="00CE62FF">
        <w:rPr>
          <w:rFonts w:ascii="Verdana" w:eastAsia="Calibri" w:hAnsi="Verdana" w:cs="Times New Roman"/>
          <w:lang w:val="es-ES"/>
        </w:rPr>
        <w:t xml:space="preserve">: </w:t>
      </w:r>
    </w:p>
    <w:p w14:paraId="47EC12AD" w14:textId="77777777" w:rsidR="000906F1" w:rsidRPr="00CE62FF" w:rsidRDefault="000906F1" w:rsidP="000906F1">
      <w:pPr>
        <w:spacing w:after="0" w:line="256" w:lineRule="auto"/>
        <w:rPr>
          <w:rFonts w:ascii="Verdana" w:eastAsia="Calibri" w:hAnsi="Verdana" w:cs="Times New Roman"/>
          <w:lang w:val="es-ES"/>
        </w:rPr>
      </w:pPr>
    </w:p>
    <w:p w14:paraId="469559C1" w14:textId="77777777" w:rsidR="000906F1" w:rsidRDefault="000906F1" w:rsidP="000906F1">
      <w:pPr>
        <w:spacing w:after="0" w:line="276" w:lineRule="auto"/>
        <w:jc w:val="both"/>
        <w:rPr>
          <w:rFonts w:ascii="Verdana" w:eastAsia="Calibri" w:hAnsi="Verdana" w:cs="Times New Roman"/>
          <w:lang w:val="es-ES"/>
        </w:rPr>
      </w:pPr>
      <w:r w:rsidRPr="00CE62FF">
        <w:rPr>
          <w:rFonts w:ascii="Verdana" w:eastAsia="Calibri" w:hAnsi="Verdana" w:cs="Times New Roman"/>
          <w:lang w:val="es-ES"/>
        </w:rPr>
        <w:t>En ejercicio de la competencia otorgada por</w:t>
      </w:r>
      <w:r w:rsidRPr="00A12061">
        <w:rPr>
          <w:rFonts w:ascii="Verdana" w:eastAsia="Calibri" w:hAnsi="Verdana" w:cs="Times New Roman"/>
          <w:lang w:val="es-ES"/>
        </w:rPr>
        <w:t xml:space="preserve"> los artículos 3, numeral 5º, y 11, numeral 8º, del Decreto Ley 4170 de 2011, la Agencia Nacional de Contratación Pública – Colombia Compra Eficiente– responde la solici</w:t>
      </w:r>
      <w:r>
        <w:rPr>
          <w:rFonts w:ascii="Verdana" w:eastAsia="Calibri" w:hAnsi="Verdana" w:cs="Times New Roman"/>
          <w:lang w:val="es-ES"/>
        </w:rPr>
        <w:t xml:space="preserve">tud de consulta presentada el 25 de noviembre </w:t>
      </w:r>
      <w:r w:rsidRPr="00A12061">
        <w:rPr>
          <w:rFonts w:ascii="Verdana" w:eastAsia="Calibri" w:hAnsi="Verdana" w:cs="Times New Roman"/>
          <w:lang w:val="es-ES"/>
        </w:rPr>
        <w:t>de 2025, en la cual manifiesta lo siguiente:</w:t>
      </w:r>
    </w:p>
    <w:p w14:paraId="6AA111F5" w14:textId="77777777" w:rsidR="000906F1" w:rsidRDefault="000906F1" w:rsidP="000906F1">
      <w:pPr>
        <w:spacing w:after="0" w:line="276" w:lineRule="auto"/>
        <w:jc w:val="both"/>
        <w:rPr>
          <w:rFonts w:ascii="Verdana" w:eastAsia="Calibri" w:hAnsi="Verdana" w:cs="Times New Roman"/>
          <w:lang w:val="es-ES"/>
        </w:rPr>
      </w:pPr>
    </w:p>
    <w:p w14:paraId="403AE3D5" w14:textId="77777777" w:rsidR="000906F1" w:rsidRPr="001F0930" w:rsidRDefault="000906F1" w:rsidP="006F08BD">
      <w:pPr>
        <w:spacing w:after="0" w:line="240" w:lineRule="auto"/>
        <w:ind w:left="709" w:right="709"/>
        <w:jc w:val="both"/>
        <w:rPr>
          <w:rFonts w:ascii="Verdana" w:eastAsia="Calibri" w:hAnsi="Verdana" w:cs="Times New Roman"/>
          <w:b/>
          <w:bCs/>
          <w:i/>
          <w:iCs/>
          <w:sz w:val="20"/>
          <w:szCs w:val="20"/>
        </w:rPr>
      </w:pPr>
      <w:r w:rsidRPr="000D6D0E">
        <w:rPr>
          <w:rFonts w:ascii="Verdana" w:eastAsia="Calibri" w:hAnsi="Verdana" w:cs="Times New Roman"/>
        </w:rPr>
        <w:t xml:space="preserve"> </w:t>
      </w:r>
      <w:r w:rsidRPr="00A639A4">
        <w:rPr>
          <w:rFonts w:ascii="Verdana" w:eastAsia="Calibri" w:hAnsi="Verdana" w:cs="Times New Roman"/>
          <w:i/>
          <w:iCs/>
          <w:sz w:val="20"/>
          <w:szCs w:val="20"/>
        </w:rPr>
        <w:t xml:space="preserve">“ […] </w:t>
      </w:r>
      <w:r w:rsidRPr="001F0930">
        <w:rPr>
          <w:rFonts w:ascii="Verdana" w:eastAsia="Calibri" w:hAnsi="Verdana" w:cs="Times New Roman"/>
          <w:i/>
          <w:iCs/>
          <w:sz w:val="20"/>
          <w:szCs w:val="20"/>
        </w:rPr>
        <w:t>Buenos días, quiero consultar si una Entidad sin Ánimo de Lucro (ESAL), que tiene a su cargo un contrato desde un proceso licitatorio tipo Contratación régimen especial (con ofertas), y en el anexo técnico indica que deben contratarse diferentes perfiles técnicos y operativos (</w:t>
      </w:r>
      <w:proofErr w:type="spellStart"/>
      <w:r w:rsidRPr="001F0930">
        <w:rPr>
          <w:rFonts w:ascii="Verdana" w:eastAsia="Calibri" w:hAnsi="Verdana" w:cs="Times New Roman"/>
          <w:i/>
          <w:iCs/>
          <w:sz w:val="20"/>
          <w:szCs w:val="20"/>
        </w:rPr>
        <w:t>prifesional</w:t>
      </w:r>
      <w:proofErr w:type="spellEnd"/>
      <w:r w:rsidRPr="001F0930">
        <w:rPr>
          <w:rFonts w:ascii="Verdana" w:eastAsia="Calibri" w:hAnsi="Verdana" w:cs="Times New Roman"/>
          <w:i/>
          <w:iCs/>
          <w:sz w:val="20"/>
          <w:szCs w:val="20"/>
        </w:rPr>
        <w:t xml:space="preserve">, técnico, bachiller, entre otros), tiene alguna restricción o </w:t>
      </w:r>
      <w:proofErr w:type="spellStart"/>
      <w:r w:rsidRPr="001F0930">
        <w:rPr>
          <w:rFonts w:ascii="Verdana" w:eastAsia="Calibri" w:hAnsi="Verdana" w:cs="Times New Roman"/>
          <w:i/>
          <w:iCs/>
          <w:sz w:val="20"/>
          <w:szCs w:val="20"/>
        </w:rPr>
        <w:t>onhabilidad</w:t>
      </w:r>
      <w:proofErr w:type="spellEnd"/>
      <w:r w:rsidRPr="001F0930">
        <w:rPr>
          <w:rFonts w:ascii="Verdana" w:eastAsia="Calibri" w:hAnsi="Verdana" w:cs="Times New Roman"/>
          <w:i/>
          <w:iCs/>
          <w:sz w:val="20"/>
          <w:szCs w:val="20"/>
        </w:rPr>
        <w:t xml:space="preserve"> para lo siguiente: Dentro del personal que indica el anexo técnico, en el cual hay una clausula que libera a la entidad contratante de toda relación laboral, está una familiar tanto de la </w:t>
      </w:r>
      <w:proofErr w:type="spellStart"/>
      <w:r w:rsidRPr="001F0930">
        <w:rPr>
          <w:rFonts w:ascii="Verdana" w:eastAsia="Calibri" w:hAnsi="Verdana" w:cs="Times New Roman"/>
          <w:i/>
          <w:iCs/>
          <w:sz w:val="20"/>
          <w:szCs w:val="20"/>
        </w:rPr>
        <w:t>represenante</w:t>
      </w:r>
      <w:proofErr w:type="spellEnd"/>
      <w:r w:rsidRPr="001F0930">
        <w:rPr>
          <w:rFonts w:ascii="Verdana" w:eastAsia="Calibri" w:hAnsi="Verdana" w:cs="Times New Roman"/>
          <w:i/>
          <w:iCs/>
          <w:sz w:val="20"/>
          <w:szCs w:val="20"/>
        </w:rPr>
        <w:t xml:space="preserve"> legal como </w:t>
      </w:r>
      <w:r w:rsidRPr="001F0930">
        <w:rPr>
          <w:rFonts w:ascii="Verdana" w:eastAsia="Calibri" w:hAnsi="Verdana" w:cs="Times New Roman"/>
          <w:i/>
          <w:iCs/>
          <w:sz w:val="20"/>
          <w:szCs w:val="20"/>
        </w:rPr>
        <w:lastRenderedPageBreak/>
        <w:t xml:space="preserve">de una persona contratada así en el rol de coordinación. Es posible contratar a otra familiar, aún cuando cumple con los mínimos exigidos por anexo técnico tanto de experiencia profesional como de trayectoria o formación académica? pregunto, porque no sé si le aplica algún tipo de régimen de incompatibilidad o inhabilidad particular, o bien, si le es aplicable </w:t>
      </w:r>
      <w:proofErr w:type="spellStart"/>
      <w:r w:rsidRPr="001F0930">
        <w:rPr>
          <w:rFonts w:ascii="Verdana" w:eastAsia="Calibri" w:hAnsi="Verdana" w:cs="Times New Roman"/>
          <w:i/>
          <w:iCs/>
          <w:sz w:val="20"/>
          <w:szCs w:val="20"/>
        </w:rPr>
        <w:t>algúno</w:t>
      </w:r>
      <w:proofErr w:type="spellEnd"/>
      <w:r w:rsidRPr="001F0930">
        <w:rPr>
          <w:rFonts w:ascii="Verdana" w:eastAsia="Calibri" w:hAnsi="Verdana" w:cs="Times New Roman"/>
          <w:i/>
          <w:iCs/>
          <w:sz w:val="20"/>
          <w:szCs w:val="20"/>
        </w:rPr>
        <w:t xml:space="preserve"> extensible de una entidad pública de la ciudad de Bogotá</w:t>
      </w:r>
      <w:r w:rsidRPr="000906F1">
        <w:rPr>
          <w:rFonts w:ascii="Verdana" w:eastAsia="Calibri" w:hAnsi="Verdana" w:cs="Times New Roman"/>
          <w:i/>
          <w:iCs/>
          <w:sz w:val="20"/>
          <w:szCs w:val="20"/>
        </w:rPr>
        <w:t>. (SIC)”</w:t>
      </w:r>
    </w:p>
    <w:p w14:paraId="2E433793" w14:textId="77777777" w:rsidR="000906F1" w:rsidRPr="00AC0317" w:rsidRDefault="000906F1" w:rsidP="000906F1">
      <w:pPr>
        <w:spacing w:after="0" w:line="276" w:lineRule="auto"/>
        <w:ind w:left="709" w:right="618"/>
        <w:jc w:val="both"/>
        <w:rPr>
          <w:rFonts w:ascii="Verdana" w:eastAsia="Calibri" w:hAnsi="Verdana" w:cs="Arial"/>
          <w:sz w:val="20"/>
          <w:szCs w:val="20"/>
          <w:lang w:eastAsia="es-ES"/>
        </w:rPr>
      </w:pPr>
    </w:p>
    <w:p w14:paraId="63B7CA08" w14:textId="77777777" w:rsidR="000906F1" w:rsidRPr="00C45C5D" w:rsidRDefault="000906F1" w:rsidP="000906F1">
      <w:pPr>
        <w:spacing w:after="120" w:line="276" w:lineRule="auto"/>
        <w:ind w:firstLine="709"/>
        <w:jc w:val="both"/>
        <w:rPr>
          <w:rFonts w:ascii="Verdana" w:eastAsia="Calibri" w:hAnsi="Verdana" w:cs="Arial"/>
          <w:color w:val="000000"/>
          <w:lang w:val="es-ES" w:eastAsia="es-ES"/>
        </w:rPr>
      </w:pPr>
      <w:r w:rsidRPr="00C45C5D">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45C5D">
        <w:rPr>
          <w:rFonts w:ascii="Verdana" w:eastAsia="Calibri" w:hAnsi="Verdana" w:cs="Arial"/>
          <w:color w:val="000000"/>
          <w:szCs w:val="24"/>
          <w:lang w:val="es-ES_tradnl" w:eastAsia="es-ES_tradnl"/>
        </w:rPr>
        <w:tab/>
      </w:r>
    </w:p>
    <w:p w14:paraId="1CCE87A0" w14:textId="77777777" w:rsidR="000906F1" w:rsidRPr="00C45C5D" w:rsidRDefault="000906F1" w:rsidP="000906F1">
      <w:pPr>
        <w:spacing w:after="0" w:line="276" w:lineRule="auto"/>
        <w:ind w:firstLine="709"/>
        <w:jc w:val="both"/>
        <w:rPr>
          <w:rFonts w:ascii="Verdana" w:eastAsia="Calibri" w:hAnsi="Verdana" w:cs="Arial"/>
          <w:color w:val="000000"/>
          <w:lang w:val="es-ES" w:eastAsia="es-ES"/>
        </w:rPr>
      </w:pPr>
      <w:r w:rsidRPr="00C45C5D">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el</w:t>
      </w:r>
      <w:r w:rsidRPr="00C45C5D">
        <w:rPr>
          <w:rFonts w:ascii="Verdana" w:eastAsia="Calibri" w:hAnsi="Verdana" w:cs="Arial"/>
          <w:color w:val="7030A0"/>
          <w:lang w:val="es-ES" w:eastAsia="es-ES"/>
        </w:rPr>
        <w:t xml:space="preserve"> </w:t>
      </w:r>
      <w:r w:rsidRPr="00C45C5D">
        <w:rPr>
          <w:rFonts w:ascii="Verdana" w:eastAsia="Calibri" w:hAnsi="Verdana" w:cs="Arial"/>
          <w:color w:val="000000"/>
          <w:lang w:val="es-ES" w:eastAsia="es-ES"/>
        </w:rPr>
        <w:t>problema</w:t>
      </w:r>
      <w:r w:rsidRPr="00C45C5D">
        <w:rPr>
          <w:rFonts w:ascii="Verdana" w:eastAsia="Calibri" w:hAnsi="Verdana" w:cs="Arial"/>
          <w:color w:val="7030A0"/>
          <w:lang w:val="es-ES" w:eastAsia="es-ES"/>
        </w:rPr>
        <w:t xml:space="preserve"> </w:t>
      </w:r>
      <w:r w:rsidRPr="00C45C5D">
        <w:rPr>
          <w:rFonts w:ascii="Verdana" w:eastAsia="Calibri" w:hAnsi="Verdana" w:cs="Arial"/>
          <w:color w:val="000000"/>
          <w:lang w:val="es-ES" w:eastAsia="es-ES"/>
        </w:rPr>
        <w:t>jurídico</w:t>
      </w:r>
      <w:r w:rsidRPr="00C45C5D">
        <w:rPr>
          <w:rFonts w:ascii="Verdana" w:eastAsia="Calibri" w:hAnsi="Verdana" w:cs="Arial"/>
          <w:color w:val="7030A0"/>
          <w:lang w:val="es-ES" w:eastAsia="es-ES"/>
        </w:rPr>
        <w:t xml:space="preserve"> </w:t>
      </w:r>
      <w:r w:rsidRPr="00C45C5D">
        <w:rPr>
          <w:rFonts w:ascii="Verdana" w:eastAsia="Calibri" w:hAnsi="Verdana" w:cs="Arial"/>
          <w:color w:val="000000"/>
          <w:lang w:val="es-ES" w:eastAsia="es-ES"/>
        </w:rPr>
        <w:t xml:space="preserve">de su consulta. </w:t>
      </w:r>
    </w:p>
    <w:p w14:paraId="3A35BC20" w14:textId="77777777" w:rsidR="000906F1" w:rsidRPr="00C45C5D" w:rsidRDefault="000906F1" w:rsidP="00B739CF">
      <w:pPr>
        <w:spacing w:after="0" w:line="276" w:lineRule="auto"/>
        <w:ind w:firstLine="709"/>
        <w:jc w:val="both"/>
        <w:rPr>
          <w:rFonts w:ascii="Verdana" w:eastAsia="Calibri" w:hAnsi="Verdana" w:cs="Arial"/>
          <w:color w:val="000000"/>
          <w:lang w:val="es-ES" w:eastAsia="es-ES"/>
        </w:rPr>
      </w:pPr>
    </w:p>
    <w:p w14:paraId="3A7ED78A" w14:textId="77777777" w:rsidR="000906F1" w:rsidRPr="00C45C5D" w:rsidRDefault="000906F1" w:rsidP="006F08BD">
      <w:pPr>
        <w:numPr>
          <w:ilvl w:val="0"/>
          <w:numId w:val="16"/>
        </w:numPr>
        <w:tabs>
          <w:tab w:val="left" w:pos="142"/>
          <w:tab w:val="left" w:pos="284"/>
        </w:tabs>
        <w:spacing w:after="0" w:line="276" w:lineRule="auto"/>
        <w:jc w:val="both"/>
        <w:rPr>
          <w:rFonts w:ascii="Verdana" w:eastAsia="Century Gothic" w:hAnsi="Verdana" w:cs="Century Gothic"/>
          <w:b/>
          <w:bCs/>
          <w:lang w:val="es-ES"/>
        </w:rPr>
      </w:pPr>
      <w:r w:rsidRPr="00C45C5D">
        <w:rPr>
          <w:rFonts w:ascii="Verdana" w:eastAsia="Century Gothic" w:hAnsi="Verdana" w:cs="Century Gothic"/>
          <w:b/>
          <w:bCs/>
          <w:lang w:val="es-ES"/>
        </w:rPr>
        <w:t>Problemas planteados:</w:t>
      </w:r>
    </w:p>
    <w:p w14:paraId="2F1FA0A7" w14:textId="77777777" w:rsidR="000906F1" w:rsidRPr="00C45C5D" w:rsidRDefault="000906F1" w:rsidP="00B739CF">
      <w:pPr>
        <w:tabs>
          <w:tab w:val="left" w:pos="426"/>
        </w:tabs>
        <w:spacing w:after="0" w:line="276" w:lineRule="auto"/>
        <w:jc w:val="both"/>
        <w:rPr>
          <w:rFonts w:ascii="Verdana" w:eastAsia="Century Gothic" w:hAnsi="Verdana" w:cs="Century Gothic"/>
          <w:lang w:val="es-ES"/>
        </w:rPr>
      </w:pPr>
    </w:p>
    <w:p w14:paraId="6B62E023" w14:textId="77777777" w:rsidR="000906F1" w:rsidRDefault="000906F1" w:rsidP="00FB7FD5">
      <w:pPr>
        <w:spacing w:after="0" w:line="276" w:lineRule="auto"/>
        <w:jc w:val="both"/>
        <w:rPr>
          <w:rFonts w:ascii="Verdana" w:hAnsi="Verdana"/>
        </w:rPr>
      </w:pPr>
      <w:r w:rsidRPr="00C45C5D">
        <w:rPr>
          <w:rFonts w:ascii="Verdana" w:eastAsia="Century Gothic" w:hAnsi="Verdana" w:cs="Century Gothic"/>
        </w:rPr>
        <w:t xml:space="preserve">De acuerdo con el contenido de su solicitud, esta Agencia resolverá el siguiente problema jurídico: </w:t>
      </w:r>
      <w:r w:rsidRPr="00881021">
        <w:rPr>
          <w:rFonts w:ascii="Verdana" w:hAnsi="Verdana"/>
        </w:rPr>
        <w:t>¿La vinculación de familiares del representante legal y</w:t>
      </w:r>
      <w:r>
        <w:rPr>
          <w:rFonts w:ascii="Verdana" w:hAnsi="Verdana"/>
        </w:rPr>
        <w:t>/o</w:t>
      </w:r>
      <w:r w:rsidRPr="00881021">
        <w:rPr>
          <w:rFonts w:ascii="Verdana" w:hAnsi="Verdana"/>
        </w:rPr>
        <w:t xml:space="preserve"> de </w:t>
      </w:r>
      <w:r>
        <w:rPr>
          <w:rFonts w:ascii="Verdana" w:hAnsi="Verdana"/>
        </w:rPr>
        <w:t>otro trabajador</w:t>
      </w:r>
      <w:r w:rsidRPr="00881021">
        <w:rPr>
          <w:rFonts w:ascii="Verdana" w:hAnsi="Verdana"/>
        </w:rPr>
        <w:t xml:space="preserve"> por parte d</w:t>
      </w:r>
      <w:r>
        <w:rPr>
          <w:rFonts w:ascii="Verdana" w:hAnsi="Verdana"/>
        </w:rPr>
        <w:t>el contratista</w:t>
      </w:r>
      <w:r w:rsidRPr="00881021">
        <w:rPr>
          <w:rFonts w:ascii="Verdana" w:hAnsi="Verdana"/>
        </w:rPr>
        <w:t xml:space="preserve"> </w:t>
      </w:r>
      <w:r>
        <w:rPr>
          <w:rFonts w:ascii="Verdana" w:hAnsi="Verdana"/>
        </w:rPr>
        <w:t xml:space="preserve">en ejecución de dicho contrato </w:t>
      </w:r>
      <w:r w:rsidRPr="00881021">
        <w:rPr>
          <w:rFonts w:ascii="Verdana" w:hAnsi="Verdana"/>
        </w:rPr>
        <w:t>genera inhabilidad, incompatibilidad o conflicto de intereses?</w:t>
      </w:r>
    </w:p>
    <w:p w14:paraId="4B3D84C4" w14:textId="77777777" w:rsidR="000906F1" w:rsidRPr="00C45C5D" w:rsidRDefault="000906F1">
      <w:pPr>
        <w:spacing w:after="0" w:line="276" w:lineRule="auto"/>
        <w:jc w:val="both"/>
        <w:rPr>
          <w:rFonts w:ascii="Verdana" w:eastAsia="Calibri" w:hAnsi="Verdana" w:cs="Arial"/>
          <w:color w:val="7030A0"/>
        </w:rPr>
      </w:pPr>
    </w:p>
    <w:p w14:paraId="121B3C55" w14:textId="77777777" w:rsidR="000906F1" w:rsidRPr="00C45C5D" w:rsidRDefault="000906F1">
      <w:pPr>
        <w:numPr>
          <w:ilvl w:val="0"/>
          <w:numId w:val="16"/>
        </w:numPr>
        <w:tabs>
          <w:tab w:val="left" w:pos="142"/>
          <w:tab w:val="left" w:pos="284"/>
        </w:tabs>
        <w:spacing w:after="0" w:line="276" w:lineRule="auto"/>
        <w:jc w:val="both"/>
        <w:rPr>
          <w:rFonts w:ascii="Verdana" w:eastAsia="Century Gothic" w:hAnsi="Verdana" w:cs="Century Gothic"/>
          <w:b/>
          <w:bCs/>
          <w:lang w:val="es-ES"/>
        </w:rPr>
      </w:pPr>
      <w:r w:rsidRPr="00C45C5D">
        <w:rPr>
          <w:rFonts w:ascii="Verdana" w:eastAsia="Century Gothic" w:hAnsi="Verdana" w:cs="Century Gothic"/>
          <w:b/>
          <w:bCs/>
          <w:lang w:val="es-ES"/>
        </w:rPr>
        <w:t>Respuestas:</w:t>
      </w:r>
    </w:p>
    <w:p w14:paraId="39E63649" w14:textId="77777777" w:rsidR="000906F1" w:rsidRPr="00C45C5D" w:rsidRDefault="000906F1">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906F1" w:rsidRPr="00C45C5D" w14:paraId="26FD7F1A" w14:textId="77777777" w:rsidTr="004966D6">
        <w:trPr>
          <w:jc w:val="center"/>
        </w:trPr>
        <w:tc>
          <w:tcPr>
            <w:tcW w:w="8828" w:type="dxa"/>
          </w:tcPr>
          <w:p w14:paraId="4FBD6B35" w14:textId="438D9830" w:rsidR="000906F1" w:rsidRDefault="000906F1" w:rsidP="004966D6">
            <w:pPr>
              <w:spacing w:after="120" w:line="276" w:lineRule="auto"/>
              <w:jc w:val="both"/>
              <w:rPr>
                <w:rFonts w:ascii="Verdana" w:eastAsia="Arial MT" w:hAnsi="Verdana" w:cs="Arial"/>
                <w:lang w:eastAsia="es-ES" w:bidi="es-ES"/>
              </w:rPr>
            </w:pPr>
            <w:bookmarkStart w:id="3" w:name="_Hlk171694685"/>
            <w:r>
              <w:rPr>
                <w:rFonts w:ascii="Verdana" w:eastAsia="Arial MT" w:hAnsi="Verdana" w:cs="Arial"/>
                <w:lang w:eastAsia="es-ES" w:bidi="es-ES"/>
              </w:rPr>
              <w:lastRenderedPageBreak/>
              <w:t>En primera medida a juicio de la Agencia, n</w:t>
            </w:r>
            <w:r w:rsidRPr="00E15E22">
              <w:rPr>
                <w:rFonts w:ascii="Verdana" w:eastAsia="Arial MT" w:hAnsi="Verdana" w:cs="Arial"/>
                <w:lang w:eastAsia="es-ES" w:bidi="es-ES"/>
              </w:rPr>
              <w:t>o existe restricción de orden legal o reglamentari</w:t>
            </w:r>
            <w:r>
              <w:rPr>
                <w:rFonts w:ascii="Verdana" w:eastAsia="Arial MT" w:hAnsi="Verdana" w:cs="Arial"/>
                <w:lang w:eastAsia="es-ES" w:bidi="es-ES"/>
              </w:rPr>
              <w:t>a</w:t>
            </w:r>
            <w:r w:rsidRPr="00E15E22">
              <w:rPr>
                <w:rFonts w:ascii="Verdana" w:eastAsia="Arial MT" w:hAnsi="Verdana" w:cs="Arial"/>
                <w:lang w:eastAsia="es-ES" w:bidi="es-ES"/>
              </w:rPr>
              <w:t xml:space="preserve">, ni causal de inhabilidad o incompatibilidad que prohíba </w:t>
            </w:r>
            <w:r>
              <w:rPr>
                <w:rFonts w:ascii="Verdana" w:eastAsia="Arial MT" w:hAnsi="Verdana" w:cs="Arial"/>
                <w:lang w:eastAsia="es-ES" w:bidi="es-ES"/>
              </w:rPr>
              <w:t xml:space="preserve">y/o </w:t>
            </w:r>
            <w:r w:rsidRPr="00624BD6">
              <w:rPr>
                <w:rFonts w:ascii="Verdana" w:eastAsia="Arial MT" w:hAnsi="Verdana" w:cs="Arial"/>
                <w:lang w:eastAsia="es-ES" w:bidi="es-ES"/>
              </w:rPr>
              <w:t>impida que</w:t>
            </w:r>
            <w:r w:rsidR="00B739CF">
              <w:rPr>
                <w:rFonts w:ascii="Verdana" w:eastAsia="Arial MT" w:hAnsi="Verdana" w:cs="Arial"/>
                <w:lang w:eastAsia="es-ES" w:bidi="es-ES"/>
              </w:rPr>
              <w:t>,</w:t>
            </w:r>
            <w:r w:rsidRPr="00624BD6">
              <w:rPr>
                <w:rFonts w:ascii="Verdana" w:eastAsia="Arial MT" w:hAnsi="Verdana" w:cs="Arial"/>
                <w:lang w:eastAsia="es-ES" w:bidi="es-ES"/>
              </w:rPr>
              <w:t xml:space="preserve"> </w:t>
            </w:r>
            <w:r w:rsidR="00B739CF">
              <w:rPr>
                <w:rFonts w:ascii="Verdana" w:eastAsia="Arial MT" w:hAnsi="Verdana" w:cs="Arial"/>
                <w:lang w:eastAsia="es-ES" w:bidi="es-ES"/>
              </w:rPr>
              <w:t>el contratista,</w:t>
            </w:r>
            <w:r w:rsidR="00B739CF" w:rsidRPr="00624BD6">
              <w:rPr>
                <w:rFonts w:ascii="Verdana" w:eastAsia="Arial MT" w:hAnsi="Verdana" w:cs="Arial"/>
                <w:lang w:eastAsia="es-ES" w:bidi="es-ES"/>
              </w:rPr>
              <w:t xml:space="preserve"> </w:t>
            </w:r>
            <w:r>
              <w:rPr>
                <w:rFonts w:ascii="Verdana" w:eastAsia="Arial MT" w:hAnsi="Verdana" w:cs="Arial"/>
                <w:lang w:eastAsia="es-ES" w:bidi="es-ES"/>
              </w:rPr>
              <w:t>en ejercicio de la ejecución de un contrato estatal</w:t>
            </w:r>
            <w:r w:rsidR="00B739CF">
              <w:rPr>
                <w:rFonts w:ascii="Verdana" w:eastAsia="Arial MT" w:hAnsi="Verdana" w:cs="Arial"/>
                <w:lang w:eastAsia="es-ES" w:bidi="es-ES"/>
              </w:rPr>
              <w:t>,</w:t>
            </w:r>
            <w:r>
              <w:rPr>
                <w:rFonts w:ascii="Verdana" w:eastAsia="Arial MT" w:hAnsi="Verdana" w:cs="Arial"/>
                <w:lang w:eastAsia="es-ES" w:bidi="es-ES"/>
              </w:rPr>
              <w:t xml:space="preserve"> pueda dentro de su equipo de trabajo vincular a familiares tanto del representante legal como de cualquier otro trabajador perteneciente al equipo de trabajo. </w:t>
            </w:r>
          </w:p>
          <w:p w14:paraId="30C69E2E" w14:textId="77777777" w:rsidR="000906F1" w:rsidRDefault="000906F1" w:rsidP="004966D6">
            <w:pPr>
              <w:spacing w:after="120" w:line="276" w:lineRule="auto"/>
              <w:ind w:firstLine="743"/>
              <w:jc w:val="both"/>
              <w:rPr>
                <w:rFonts w:ascii="Verdana" w:eastAsia="Arial MT" w:hAnsi="Verdana" w:cs="Arial"/>
                <w:lang w:eastAsia="es-ES" w:bidi="es-ES"/>
              </w:rPr>
            </w:pPr>
            <w:r w:rsidRPr="00A711E0">
              <w:rPr>
                <w:rFonts w:ascii="Verdana" w:eastAsia="Arial MT" w:hAnsi="Verdana" w:cs="Arial"/>
                <w:lang w:eastAsia="es-ES" w:bidi="es-ES"/>
              </w:rPr>
              <w:t>Sin embargo, la entidad contratante deberá identificar cualquier conducta que pueda llegar a tener la connotación de un conflicto de interés, derivado de la concurrencia de intereses antagónicos en el contratista que presta sus servicios en</w:t>
            </w:r>
            <w:r>
              <w:rPr>
                <w:rFonts w:ascii="Verdana" w:eastAsia="Arial MT" w:hAnsi="Verdana" w:cs="Arial"/>
                <w:lang w:eastAsia="es-ES" w:bidi="es-ES"/>
              </w:rPr>
              <w:t xml:space="preserve"> el ente estatal</w:t>
            </w:r>
            <w:r w:rsidRPr="00A711E0">
              <w:rPr>
                <w:rFonts w:ascii="Verdana" w:eastAsia="Arial MT" w:hAnsi="Verdana" w:cs="Arial"/>
                <w:lang w:eastAsia="es-ES" w:bidi="es-ES"/>
              </w:rPr>
              <w:t xml:space="preserve"> y que afecten la transparencia de las decisiones que le competen o lo lleven a adoptar determinaciones orientadas al aprovechamiento personal, familiar o particular, en detrimento del interés público.</w:t>
            </w:r>
          </w:p>
          <w:p w14:paraId="4EAF20F4" w14:textId="77777777" w:rsidR="000906F1" w:rsidRDefault="000906F1" w:rsidP="004966D6">
            <w:pPr>
              <w:spacing w:after="120" w:line="276" w:lineRule="auto"/>
              <w:ind w:firstLine="743"/>
              <w:jc w:val="both"/>
              <w:rPr>
                <w:rFonts w:ascii="Verdana" w:eastAsia="Arial MT" w:hAnsi="Verdana" w:cs="Arial"/>
                <w:lang w:eastAsia="es-ES" w:bidi="es-ES"/>
              </w:rPr>
            </w:pPr>
            <w:r w:rsidRPr="00A711E0">
              <w:rPr>
                <w:rFonts w:ascii="Verdana" w:eastAsia="Arial MT" w:hAnsi="Verdana" w:cs="Arial"/>
                <w:lang w:eastAsia="es-ES" w:bidi="es-ES"/>
              </w:rPr>
              <w:t xml:space="preserve">Tales situaciones de conflicto de intereses suelen expresarse en prohibiciones, de manera similar a lo que ocurre con las inhabilidades e incompatibilidades. Por ello, su consagración —en el caso de los procesos </w:t>
            </w:r>
            <w:r>
              <w:rPr>
                <w:rFonts w:ascii="Verdana" w:eastAsia="Arial MT" w:hAnsi="Verdana" w:cs="Arial"/>
                <w:lang w:eastAsia="es-ES" w:bidi="es-ES"/>
              </w:rPr>
              <w:t>contractuales</w:t>
            </w:r>
            <w:r w:rsidRPr="00A711E0">
              <w:rPr>
                <w:rFonts w:ascii="Verdana" w:eastAsia="Arial MT" w:hAnsi="Verdana" w:cs="Arial"/>
                <w:lang w:eastAsia="es-ES" w:bidi="es-ES"/>
              </w:rPr>
              <w:t>, a través del pliego de condiciones y</w:t>
            </w:r>
            <w:r>
              <w:rPr>
                <w:rFonts w:ascii="Verdana" w:eastAsia="Arial MT" w:hAnsi="Verdana" w:cs="Arial"/>
                <w:lang w:eastAsia="es-ES" w:bidi="es-ES"/>
              </w:rPr>
              <w:t xml:space="preserve">/o </w:t>
            </w:r>
            <w:r w:rsidRPr="00A711E0">
              <w:rPr>
                <w:rFonts w:ascii="Verdana" w:eastAsia="Arial MT" w:hAnsi="Verdana" w:cs="Arial"/>
                <w:lang w:eastAsia="es-ES" w:bidi="es-ES"/>
              </w:rPr>
              <w:t>de la minuta contractual— debe ser expresa, y su interpretación necesariamente restrictiva. En consecuencia, su deducción y aplicación debe ajustarse a los presupuestos establecidos por el constituyente o el legislador (para las inhabilidades e incompatibilidades) y por la entidad contratante (para los conflictos de intereses), razón por la cual no es posible una aplicación extensiva o analógica.</w:t>
            </w:r>
            <w:r>
              <w:rPr>
                <w:rFonts w:ascii="Verdana" w:eastAsia="Arial MT" w:hAnsi="Verdana" w:cs="Arial"/>
                <w:lang w:eastAsia="es-ES" w:bidi="es-ES"/>
              </w:rPr>
              <w:t xml:space="preserve"> </w:t>
            </w:r>
          </w:p>
          <w:p w14:paraId="2F900D1A" w14:textId="77777777" w:rsidR="000906F1" w:rsidRDefault="000906F1" w:rsidP="004966D6">
            <w:pPr>
              <w:spacing w:after="120" w:line="276" w:lineRule="auto"/>
              <w:ind w:firstLine="743"/>
              <w:jc w:val="both"/>
              <w:rPr>
                <w:rFonts w:ascii="Verdana" w:eastAsia="Century Gothic" w:hAnsi="Verdana" w:cs="Century Gothic"/>
                <w:bCs/>
              </w:rPr>
            </w:pPr>
            <w:r w:rsidRPr="00DF123D">
              <w:rPr>
                <w:rFonts w:ascii="Verdana" w:eastAsia="Calibri" w:hAnsi="Verdana" w:cs="Arial"/>
              </w:rPr>
              <w:t>En ese sentido, únicamente es posible aplicar las causales de conflicto de interés que se encuentren tipificadas y que hayan sido expresamente establecidas en los estudios previos, en el pliego de condiciones o en el contrato</w:t>
            </w:r>
            <w:r>
              <w:rPr>
                <w:rFonts w:ascii="Verdana" w:eastAsia="Calibri" w:hAnsi="Verdana" w:cs="Arial"/>
              </w:rPr>
              <w:t xml:space="preserve"> y/o convenio y/o documento equivalente</w:t>
            </w:r>
            <w:r w:rsidRPr="00DF123D">
              <w:rPr>
                <w:rFonts w:ascii="Verdana" w:eastAsia="Calibri" w:hAnsi="Verdana" w:cs="Arial"/>
              </w:rPr>
              <w:t>. Por tanto, corresponde a cada entidad estatal verificar en el caso concreto si la naturaleza de las funciones asignadas a</w:t>
            </w:r>
            <w:r>
              <w:rPr>
                <w:rFonts w:ascii="Verdana" w:eastAsia="Calibri" w:hAnsi="Verdana" w:cs="Arial"/>
              </w:rPr>
              <w:t>l</w:t>
            </w:r>
            <w:r w:rsidRPr="00DF123D">
              <w:rPr>
                <w:rFonts w:ascii="Verdana" w:eastAsia="Calibri" w:hAnsi="Verdana" w:cs="Arial"/>
              </w:rPr>
              <w:t xml:space="preserve"> contratista </w:t>
            </w:r>
            <w:r>
              <w:rPr>
                <w:rFonts w:ascii="Verdana" w:eastAsia="Calibri" w:hAnsi="Verdana" w:cs="Arial"/>
              </w:rPr>
              <w:t>en ejecución del contrato estatal y la vinculación de sus familiares</w:t>
            </w:r>
            <w:r w:rsidRPr="00DF123D">
              <w:rPr>
                <w:rFonts w:ascii="Verdana" w:eastAsia="Calibri" w:hAnsi="Verdana" w:cs="Arial"/>
              </w:rPr>
              <w:t xml:space="preserve"> configura alguno de los conflictos de interés definidos en sus propios instrumentos contractuales.</w:t>
            </w:r>
            <w:r>
              <w:rPr>
                <w:rFonts w:ascii="Verdana" w:eastAsia="Century Gothic" w:hAnsi="Verdana" w:cs="Century Gothic"/>
                <w:bCs/>
              </w:rPr>
              <w:t xml:space="preserve"> </w:t>
            </w:r>
          </w:p>
          <w:p w14:paraId="44537DD4" w14:textId="77777777" w:rsidR="000906F1" w:rsidRPr="0031186C" w:rsidRDefault="000906F1" w:rsidP="004966D6">
            <w:pPr>
              <w:spacing w:after="120" w:line="276" w:lineRule="auto"/>
              <w:ind w:firstLine="708"/>
              <w:jc w:val="both"/>
              <w:rPr>
                <w:rFonts w:ascii="Verdana" w:eastAsia="Calibri" w:hAnsi="Verdana" w:cs="Arial"/>
                <w:color w:val="000000" w:themeColor="text1"/>
                <w:lang w:eastAsia="es-ES"/>
              </w:rPr>
            </w:pPr>
            <w:r w:rsidRPr="0031186C">
              <w:rPr>
                <w:rFonts w:ascii="Verdana" w:eastAsia="Calibri" w:hAnsi="Verdana" w:cs="Arial"/>
                <w:color w:val="000000" w:themeColor="text1"/>
                <w:lang w:eastAsia="es-ES"/>
              </w:rPr>
              <w:t xml:space="preserve">En este punto es fundamental resaltar que el régimen de inhabilidades e incompatibilidades en materia contractual debe interpretarse con sujeción estricta al principio de legalidad, consagrado en el artículo 6º de la Constitución Política, según el cual los particulares solo son responsables por </w:t>
            </w:r>
            <w:r w:rsidRPr="0031186C">
              <w:rPr>
                <w:rFonts w:ascii="Verdana" w:eastAsia="Calibri" w:hAnsi="Verdana" w:cs="Arial"/>
                <w:color w:val="000000" w:themeColor="text1"/>
                <w:lang w:eastAsia="es-ES"/>
              </w:rPr>
              <w:lastRenderedPageBreak/>
              <w:t>infringir la Constitución y la ley, y las autoridades solo pueden ejercer las funciones expresamente atribuidas por el ordenamiento jurídico.</w:t>
            </w:r>
          </w:p>
          <w:p w14:paraId="520F109F" w14:textId="77777777" w:rsidR="000906F1" w:rsidRPr="00AB76F7" w:rsidRDefault="000906F1" w:rsidP="004966D6">
            <w:pPr>
              <w:spacing w:after="120" w:line="276" w:lineRule="auto"/>
              <w:ind w:firstLine="708"/>
              <w:jc w:val="both"/>
              <w:rPr>
                <w:rFonts w:ascii="Verdana" w:eastAsia="Calibri" w:hAnsi="Verdana" w:cs="Arial"/>
                <w:color w:val="000000" w:themeColor="text1"/>
                <w:lang w:eastAsia="es-ES"/>
              </w:rPr>
            </w:pPr>
            <w:r w:rsidRPr="0031186C">
              <w:rPr>
                <w:rFonts w:ascii="Verdana" w:eastAsia="Calibri" w:hAnsi="Verdana" w:cs="Arial"/>
                <w:color w:val="000000" w:themeColor="text1"/>
                <w:lang w:eastAsia="es-ES"/>
              </w:rPr>
              <w:t>En consecuencia, las inhabilidades para contratar con el Estado deben estar claramente previstas en la ley, con carácter taxativo y de aplicación restrictiva. Así lo exige también el principio de interpretación restrictiva de las normas que limitan derechos, y el principio pro homine, que impone que ante dudas o ambigüedades en la norma debe adoptarse la interpretación más favorable a la persona. No es jurídicamente admisible aplicar interpretaciones extensivas o analógicas para derivar efectos no previstos expresamente, como extender el alcance de una suspensión a una inhabilidad no contemplada por la ley.</w:t>
            </w:r>
            <w:r w:rsidRPr="009C16A7">
              <w:rPr>
                <w:rFonts w:ascii="Verdana" w:eastAsia="Calibri" w:hAnsi="Verdana" w:cs="Arial"/>
                <w:color w:val="000000" w:themeColor="text1"/>
                <w:lang w:eastAsia="es-ES"/>
              </w:rPr>
              <w:t xml:space="preserve"> Por lo tanto, no se configuran los elementos de ninguna de las causales de inhabilidad previstas en el artículo 8 de la Ley 80 de 1993, ni se evidencia otra inhabilidad legal que impida </w:t>
            </w:r>
            <w:r>
              <w:rPr>
                <w:rFonts w:ascii="Verdana" w:eastAsia="Calibri" w:hAnsi="Verdana" w:cs="Arial"/>
                <w:color w:val="000000" w:themeColor="text1"/>
                <w:lang w:eastAsia="es-ES"/>
              </w:rPr>
              <w:t xml:space="preserve">la vinculación de familiares de un contratista en ejecución de un contrato estatal.  </w:t>
            </w:r>
          </w:p>
        </w:tc>
      </w:tr>
    </w:tbl>
    <w:p w14:paraId="6601CC07" w14:textId="77777777" w:rsidR="000906F1" w:rsidRPr="00C45C5D" w:rsidRDefault="000906F1" w:rsidP="000906F1">
      <w:pPr>
        <w:tabs>
          <w:tab w:val="left" w:pos="142"/>
          <w:tab w:val="left" w:pos="284"/>
        </w:tabs>
        <w:spacing w:after="0" w:line="276" w:lineRule="auto"/>
        <w:jc w:val="both"/>
        <w:rPr>
          <w:rFonts w:ascii="Verdana" w:eastAsia="Century Gothic" w:hAnsi="Verdana" w:cs="Century Gothic"/>
          <w:b/>
          <w:bCs/>
          <w:lang w:val="es-ES"/>
        </w:rPr>
      </w:pPr>
    </w:p>
    <w:bookmarkEnd w:id="3"/>
    <w:p w14:paraId="6DFD2299" w14:textId="77777777" w:rsidR="000906F1" w:rsidRPr="00C45C5D" w:rsidRDefault="000906F1" w:rsidP="000906F1">
      <w:pPr>
        <w:numPr>
          <w:ilvl w:val="0"/>
          <w:numId w:val="16"/>
        </w:numPr>
        <w:tabs>
          <w:tab w:val="left" w:pos="142"/>
          <w:tab w:val="left" w:pos="284"/>
        </w:tabs>
        <w:spacing w:after="0" w:line="276" w:lineRule="auto"/>
        <w:jc w:val="both"/>
        <w:rPr>
          <w:rFonts w:ascii="Verdana" w:eastAsia="Century Gothic" w:hAnsi="Verdana" w:cs="Century Gothic"/>
          <w:b/>
          <w:bCs/>
          <w:lang w:val="es-ES"/>
        </w:rPr>
      </w:pPr>
      <w:r w:rsidRPr="00C45C5D">
        <w:rPr>
          <w:rFonts w:ascii="Verdana" w:eastAsia="Century Gothic" w:hAnsi="Verdana" w:cs="Century Gothic"/>
          <w:b/>
          <w:bCs/>
          <w:lang w:val="es-ES"/>
        </w:rPr>
        <w:t>Razones de las respuestas:</w:t>
      </w:r>
    </w:p>
    <w:p w14:paraId="232543AA" w14:textId="77777777" w:rsidR="000906F1" w:rsidRPr="00C45C5D" w:rsidRDefault="000906F1" w:rsidP="000906F1">
      <w:pPr>
        <w:spacing w:after="0" w:line="276" w:lineRule="auto"/>
        <w:jc w:val="both"/>
        <w:rPr>
          <w:rFonts w:ascii="Verdana" w:eastAsia="Calibri" w:hAnsi="Verdana" w:cs="Arial"/>
          <w:color w:val="7030A0"/>
          <w:lang w:val="es-ES"/>
        </w:rPr>
      </w:pPr>
    </w:p>
    <w:p w14:paraId="67A1A2CD" w14:textId="77777777" w:rsidR="000906F1" w:rsidRDefault="000906F1" w:rsidP="000906F1">
      <w:pPr>
        <w:spacing w:after="0" w:line="276" w:lineRule="auto"/>
        <w:jc w:val="both"/>
        <w:rPr>
          <w:rFonts w:ascii="Verdana" w:eastAsia="Calibri" w:hAnsi="Verdana" w:cs="Arial"/>
          <w:lang w:val="es-ES"/>
        </w:rPr>
      </w:pPr>
      <w:r w:rsidRPr="00C45C5D">
        <w:rPr>
          <w:rFonts w:ascii="Verdana" w:eastAsia="Calibri" w:hAnsi="Verdana" w:cs="Arial"/>
          <w:lang w:val="es-ES"/>
        </w:rPr>
        <w:t>Lo anterior se sustenta en las siguientes consideraciones:</w:t>
      </w:r>
    </w:p>
    <w:p w14:paraId="3EEF8EB4" w14:textId="77777777" w:rsidR="000906F1" w:rsidRDefault="000906F1" w:rsidP="000906F1">
      <w:pPr>
        <w:spacing w:after="0" w:line="276" w:lineRule="auto"/>
        <w:jc w:val="both"/>
        <w:rPr>
          <w:rFonts w:ascii="Verdana" w:eastAsia="Calibri" w:hAnsi="Verdana" w:cs="Arial"/>
          <w:lang w:val="es-ES"/>
        </w:rPr>
      </w:pPr>
    </w:p>
    <w:p w14:paraId="07426F61" w14:textId="77777777" w:rsidR="000906F1" w:rsidRPr="006530B9" w:rsidRDefault="000906F1" w:rsidP="000906F1">
      <w:pPr>
        <w:spacing w:after="120" w:line="276" w:lineRule="auto"/>
        <w:jc w:val="both"/>
        <w:rPr>
          <w:rFonts w:ascii="Verdana" w:eastAsia="Calibri" w:hAnsi="Verdana" w:cs="Arial"/>
          <w:color w:val="000000" w:themeColor="text1"/>
        </w:rPr>
      </w:pPr>
      <w:r w:rsidRPr="00135CB1">
        <w:rPr>
          <w:rFonts w:ascii="Verdana" w:eastAsia="Calibri" w:hAnsi="Verdana" w:cs="Arial"/>
          <w:color w:val="000000" w:themeColor="text1"/>
          <w:lang w:val="es-ES_tradnl"/>
        </w:rPr>
        <w:t xml:space="preserve">En la contratación estatal, la </w:t>
      </w:r>
      <w:r w:rsidRPr="00135CB1">
        <w:rPr>
          <w:rFonts w:ascii="Verdana" w:eastAsia="Calibri" w:hAnsi="Verdana" w:cs="Arial"/>
          <w:i/>
          <w:iCs/>
          <w:color w:val="000000" w:themeColor="text1"/>
          <w:lang w:val="es-ES_tradnl"/>
        </w:rPr>
        <w:t>capacidad</w:t>
      </w:r>
      <w:r w:rsidRPr="00135CB1">
        <w:rPr>
          <w:rFonts w:ascii="Verdana" w:eastAsia="Calibri" w:hAnsi="Verdana" w:cs="Arial"/>
          <w:color w:val="000000" w:themeColor="text1"/>
          <w:lang w:val="es-ES_tradnl"/>
        </w:rPr>
        <w:t xml:space="preserve"> también es un requisito de validez de los contratos, tanto en el régimen de las entidades sujetas al Estatuto General de Contratación de la Administración Pública</w:t>
      </w:r>
      <w:r w:rsidRPr="00135CB1">
        <w:rPr>
          <w:rFonts w:ascii="Verdana" w:eastAsia="Calibri" w:hAnsi="Verdana" w:cs="Arial"/>
          <w:color w:val="000000" w:themeColor="text1"/>
          <w:vertAlign w:val="superscript"/>
          <w:lang w:val="es-ES_tradnl"/>
        </w:rPr>
        <w:footnoteReference w:id="1"/>
      </w:r>
      <w:r w:rsidRPr="00135CB1">
        <w:rPr>
          <w:rFonts w:ascii="Verdana" w:eastAsia="Calibri" w:hAnsi="Verdana" w:cs="Arial"/>
          <w:color w:val="000000" w:themeColor="text1"/>
          <w:lang w:val="es-ES_tradnl"/>
        </w:rPr>
        <w:t xml:space="preserve"> como en el de las entidades exceptuadas de aquel</w:t>
      </w:r>
      <w:r w:rsidRPr="00135CB1">
        <w:rPr>
          <w:rFonts w:ascii="Verdana" w:eastAsia="Calibri" w:hAnsi="Verdana" w:cs="Arial"/>
          <w:color w:val="000000" w:themeColor="text1"/>
          <w:vertAlign w:val="superscript"/>
          <w:lang w:val="es-ES_tradnl"/>
        </w:rPr>
        <w:footnoteReference w:id="2"/>
      </w:r>
      <w:r w:rsidRPr="00135CB1">
        <w:rPr>
          <w:rFonts w:ascii="Verdana" w:eastAsia="Calibri" w:hAnsi="Verdana" w:cs="Arial"/>
          <w:color w:val="000000" w:themeColor="text1"/>
          <w:lang w:val="es-ES_tradnl"/>
        </w:rPr>
        <w:t xml:space="preserve">. </w:t>
      </w:r>
      <w:r w:rsidRPr="00937D3B">
        <w:rPr>
          <w:rFonts w:ascii="Verdana" w:eastAsia="Calibri" w:hAnsi="Verdana" w:cs="Arial"/>
          <w:color w:val="000000" w:themeColor="text1"/>
        </w:rPr>
        <w:t xml:space="preserve">Si bien la regulación de la capacidad </w:t>
      </w:r>
      <w:r>
        <w:rPr>
          <w:rFonts w:ascii="Verdana" w:eastAsia="Calibri" w:hAnsi="Verdana" w:cs="Arial"/>
          <w:color w:val="000000" w:themeColor="text1"/>
        </w:rPr>
        <w:t xml:space="preserve">en el contrato de prestación de servicios </w:t>
      </w:r>
      <w:r w:rsidRPr="00937D3B">
        <w:rPr>
          <w:rFonts w:ascii="Verdana" w:eastAsia="Calibri" w:hAnsi="Verdana" w:cs="Arial"/>
          <w:color w:val="000000" w:themeColor="text1"/>
        </w:rPr>
        <w:t xml:space="preserve">se integra por varias disposiciones y exigencias especiales, se destaca el régimen de inhabilidades e incompatibilidades como un conjunto de normas que imponen restricciones para </w:t>
      </w:r>
      <w:r>
        <w:rPr>
          <w:rFonts w:ascii="Verdana" w:eastAsia="Calibri" w:hAnsi="Verdana" w:cs="Arial"/>
          <w:color w:val="000000" w:themeColor="text1"/>
        </w:rPr>
        <w:t>l</w:t>
      </w:r>
      <w:r w:rsidRPr="00937D3B">
        <w:rPr>
          <w:rFonts w:ascii="Verdana" w:eastAsia="Calibri" w:hAnsi="Verdana" w:cs="Arial"/>
          <w:color w:val="000000" w:themeColor="text1"/>
        </w:rPr>
        <w:t>os sujetos que, eventualmente, pretendan participar en los procedimientos de selección o celebrar contratos con las entidades estatales</w:t>
      </w:r>
      <w:r w:rsidRPr="00135CB1">
        <w:rPr>
          <w:rFonts w:ascii="Verdana" w:eastAsia="Calibri" w:hAnsi="Verdana" w:cs="Arial"/>
          <w:color w:val="000000" w:themeColor="text1"/>
          <w:vertAlign w:val="superscript"/>
          <w:lang w:val="es-ES_tradnl"/>
        </w:rPr>
        <w:footnoteReference w:id="3"/>
      </w:r>
      <w:r w:rsidRPr="00135CB1">
        <w:rPr>
          <w:rFonts w:ascii="Verdana" w:eastAsia="Calibri" w:hAnsi="Verdana" w:cs="Arial"/>
          <w:color w:val="000000" w:themeColor="text1"/>
          <w:lang w:val="es-ES_tradnl"/>
        </w:rPr>
        <w:t>.</w:t>
      </w:r>
    </w:p>
    <w:p w14:paraId="1AB78381" w14:textId="77777777" w:rsidR="000906F1" w:rsidRPr="00135CB1" w:rsidRDefault="000906F1" w:rsidP="000906F1">
      <w:pPr>
        <w:spacing w:after="120" w:line="276" w:lineRule="auto"/>
        <w:ind w:firstLine="709"/>
        <w:jc w:val="both"/>
        <w:rPr>
          <w:rFonts w:ascii="Verdana" w:eastAsia="Calibri" w:hAnsi="Verdana" w:cs="Arial"/>
          <w:color w:val="000000" w:themeColor="text1"/>
          <w:lang w:val="es-ES"/>
        </w:rPr>
      </w:pPr>
      <w:r w:rsidRPr="00135CB1">
        <w:rPr>
          <w:rFonts w:ascii="Verdana" w:eastAsia="Calibri" w:hAnsi="Verdana" w:cs="Arial"/>
          <w:color w:val="000000" w:themeColor="text1"/>
          <w:lang w:val="es-ES"/>
        </w:rPr>
        <w:t xml:space="preserve">Las inhabilidades son prohibiciones para concurrir a los procedimientos de selección y para contratar con el Estado, que se derivan i) de la existencia de </w:t>
      </w:r>
      <w:r w:rsidRPr="00135CB1">
        <w:rPr>
          <w:rFonts w:ascii="Verdana" w:eastAsia="Calibri" w:hAnsi="Verdana" w:cs="Arial"/>
          <w:color w:val="000000" w:themeColor="text1"/>
          <w:lang w:val="es-ES"/>
        </w:rPr>
        <w:lastRenderedPageBreak/>
        <w:t>comportamientos reprochables o de sanciones anteriormente impuestas</w:t>
      </w:r>
      <w:r w:rsidRPr="00135CB1">
        <w:rPr>
          <w:rFonts w:ascii="Verdana" w:eastAsia="Calibri" w:hAnsi="Verdana" w:cs="Arial"/>
          <w:color w:val="000000" w:themeColor="text1"/>
          <w:vertAlign w:val="superscript"/>
          <w:lang w:val="es-ES"/>
        </w:rPr>
        <w:footnoteReference w:id="4"/>
      </w:r>
      <w:r w:rsidRPr="00135CB1">
        <w:rPr>
          <w:rFonts w:ascii="Verdana" w:eastAsia="Calibri" w:hAnsi="Verdana" w:cs="Arial"/>
          <w:color w:val="000000" w:themeColor="text1"/>
          <w:lang w:val="es-ES"/>
        </w:rPr>
        <w:t>, ii) de vínculos personales relativos al parentesco o al estado civil</w:t>
      </w:r>
      <w:r w:rsidRPr="00135CB1">
        <w:rPr>
          <w:rFonts w:ascii="Verdana" w:eastAsia="Calibri" w:hAnsi="Verdana" w:cs="Arial"/>
          <w:color w:val="000000" w:themeColor="text1"/>
          <w:vertAlign w:val="superscript"/>
          <w:lang w:val="es-ES"/>
        </w:rPr>
        <w:footnoteReference w:id="5"/>
      </w:r>
      <w:r w:rsidRPr="00135CB1">
        <w:rPr>
          <w:rFonts w:ascii="Verdana" w:eastAsia="Calibri" w:hAnsi="Verdana" w:cs="Arial"/>
          <w:color w:val="000000" w:themeColor="text1"/>
          <w:lang w:val="es-ES"/>
        </w:rPr>
        <w:t xml:space="preserve"> o iii) de una actividad u oficio que se desempeñó en el pasado</w:t>
      </w:r>
      <w:r w:rsidRPr="00135CB1">
        <w:rPr>
          <w:rFonts w:ascii="Verdana" w:eastAsia="Calibri" w:hAnsi="Verdana" w:cs="Arial"/>
          <w:color w:val="000000" w:themeColor="text1"/>
          <w:vertAlign w:val="superscript"/>
          <w:lang w:val="es-ES"/>
        </w:rPr>
        <w:footnoteReference w:id="6"/>
      </w:r>
      <w:r w:rsidRPr="00135CB1">
        <w:rPr>
          <w:rFonts w:ascii="Verdana" w:eastAsia="Calibri" w:hAnsi="Verdana" w:cs="Arial"/>
          <w:color w:val="000000" w:themeColor="text1"/>
          <w:lang w:val="es-ES"/>
        </w:rPr>
        <w:t>. De otro lado, las incompatibilidades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w:t>
      </w:r>
      <w:r w:rsidRPr="00135CB1">
        <w:rPr>
          <w:rFonts w:ascii="Verdana" w:eastAsia="Calibri" w:hAnsi="Verdana" w:cs="Arial"/>
          <w:color w:val="000000" w:themeColor="text1"/>
          <w:vertAlign w:val="superscript"/>
          <w:lang w:val="es-ES"/>
        </w:rPr>
        <w:footnoteReference w:id="7"/>
      </w:r>
      <w:r w:rsidRPr="00135CB1">
        <w:rPr>
          <w:rFonts w:ascii="Verdana" w:eastAsia="Calibri" w:hAnsi="Verdana" w:cs="Arial"/>
          <w:color w:val="000000" w:themeColor="text1"/>
          <w:lang w:val="es-ES"/>
        </w:rPr>
        <w:t xml:space="preserve">. </w:t>
      </w:r>
    </w:p>
    <w:p w14:paraId="0D3CA63C" w14:textId="77777777" w:rsidR="000906F1" w:rsidRPr="00135CB1" w:rsidRDefault="000906F1" w:rsidP="000906F1">
      <w:pPr>
        <w:spacing w:after="120" w:line="276" w:lineRule="auto"/>
        <w:ind w:firstLine="709"/>
        <w:jc w:val="both"/>
        <w:rPr>
          <w:rFonts w:ascii="Verdana" w:eastAsia="Calibri" w:hAnsi="Verdana" w:cs="Arial"/>
          <w:color w:val="000000" w:themeColor="text1"/>
          <w:lang w:val="es-ES"/>
        </w:rPr>
      </w:pPr>
      <w:r w:rsidRPr="00135CB1">
        <w:rPr>
          <w:rFonts w:ascii="Verdana" w:eastAsia="Calibri" w:hAnsi="Verdana" w:cs="Arial"/>
          <w:color w:val="000000" w:themeColor="text1"/>
          <w:lang w:val="es-ES"/>
        </w:rPr>
        <w:t xml:space="preserve">El régimen de inhabilidades e incompatibilidades en la contratación pública responde a la tendencia de asegurar que la provisión de los bienes y servicios por parte de las entidades estatales se efectúe cumpliendo con los principios de la función administrativa y de la gestión fiscal, especialmente con probidad y transparencia. Es por eso que, como lo ha destacado la doctrina, las inhabilidades e incompatibilidades son herramientas en la lucha contra la corrupción, adoptando paulatinamente un carácter sancionatorio o </w:t>
      </w:r>
      <w:r>
        <w:rPr>
          <w:rFonts w:ascii="Verdana" w:eastAsia="Calibri" w:hAnsi="Verdana" w:cs="Arial"/>
          <w:color w:val="000000" w:themeColor="text1"/>
          <w:lang w:val="es-ES"/>
        </w:rPr>
        <w:t>“</w:t>
      </w:r>
      <w:proofErr w:type="spellStart"/>
      <w:r w:rsidRPr="00135CB1">
        <w:rPr>
          <w:rFonts w:ascii="Verdana" w:eastAsia="Calibri" w:hAnsi="Verdana" w:cs="Arial"/>
          <w:color w:val="000000" w:themeColor="text1"/>
          <w:lang w:val="es-ES"/>
        </w:rPr>
        <w:t>neopunitivo</w:t>
      </w:r>
      <w:proofErr w:type="spellEnd"/>
      <w:r>
        <w:rPr>
          <w:rFonts w:ascii="Verdana" w:eastAsia="Calibri" w:hAnsi="Verdana" w:cs="Arial"/>
          <w:color w:val="000000" w:themeColor="text1"/>
          <w:lang w:val="es-ES"/>
        </w:rPr>
        <w:t>”</w:t>
      </w:r>
      <w:r w:rsidRPr="00135CB1">
        <w:rPr>
          <w:rFonts w:ascii="Verdana" w:eastAsia="Calibri" w:hAnsi="Verdana" w:cs="Arial"/>
          <w:color w:val="000000" w:themeColor="text1"/>
          <w:vertAlign w:val="superscript"/>
          <w:lang w:val="es-ES"/>
        </w:rPr>
        <w:footnoteReference w:id="8"/>
      </w:r>
      <w:r w:rsidRPr="00135CB1">
        <w:rPr>
          <w:rFonts w:ascii="Verdana" w:eastAsia="Calibri" w:hAnsi="Verdana" w:cs="Arial"/>
          <w:color w:val="000000" w:themeColor="text1"/>
          <w:lang w:val="es-ES"/>
        </w:rPr>
        <w:t xml:space="preserve">. Si bien no todas las causales de inhabilidad y de incompatibilidad </w:t>
      </w:r>
      <w:r w:rsidRPr="00135CB1">
        <w:rPr>
          <w:rFonts w:ascii="Verdana" w:eastAsia="Calibri" w:hAnsi="Verdana" w:cs="Arial"/>
          <w:color w:val="000000" w:themeColor="text1"/>
          <w:lang w:val="es-ES"/>
        </w:rPr>
        <w:lastRenderedPageBreak/>
        <w:t>son consecuencia de una medida de reproche ni de una sanción previa, como ya se explicó, es indiscutible que en los años más recientes los lamentables hechos de corrupción han generado, como respuesta del legislador, un incremento de las restricciones a la capacidad contractual, dirigidas a prevenir este tipo de situaciones o a sancionar tales conductas.</w:t>
      </w:r>
    </w:p>
    <w:p w14:paraId="6AC21261" w14:textId="77777777" w:rsidR="000906F1" w:rsidRPr="00135CB1" w:rsidRDefault="000906F1" w:rsidP="000906F1">
      <w:pPr>
        <w:spacing w:after="120" w:line="276" w:lineRule="auto"/>
        <w:ind w:firstLine="709"/>
        <w:jc w:val="both"/>
        <w:rPr>
          <w:rFonts w:ascii="Verdana" w:eastAsia="Calibri" w:hAnsi="Verdana" w:cs="Arial"/>
          <w:color w:val="000000" w:themeColor="text1"/>
          <w:lang w:val="es-ES_tradnl"/>
        </w:rPr>
      </w:pPr>
      <w:r w:rsidRPr="00135CB1">
        <w:rPr>
          <w:rFonts w:ascii="Verdana" w:eastAsia="Calibri" w:hAnsi="Verdana" w:cs="Arial"/>
          <w:color w:val="000000" w:themeColor="text1"/>
          <w:lang w:val="es-ES_tradnl"/>
        </w:rPr>
        <w:t xml:space="preserve">Ahora bien, las inhabilidades e incompatibilidades –como ya se dijo– al ser restricciones o límites especiales a la capacidad para presentar ofertas y celebrar contratos estatales, solo pueden tipificarse en la ley –o sea, deben satisfacer el principio de legalidad– y su interpretación debe ser </w:t>
      </w:r>
      <w:r w:rsidRPr="00135CB1">
        <w:rPr>
          <w:rFonts w:ascii="Verdana" w:eastAsia="Calibri" w:hAnsi="Verdana" w:cs="Arial"/>
          <w:i/>
          <w:iCs/>
          <w:color w:val="000000" w:themeColor="text1"/>
          <w:lang w:val="es-ES_tradnl"/>
        </w:rPr>
        <w:t>restrictiva</w:t>
      </w:r>
      <w:r w:rsidRPr="00135CB1">
        <w:rPr>
          <w:rFonts w:ascii="Verdana" w:eastAsia="Calibri" w:hAnsi="Verdana" w:cs="Arial"/>
          <w:color w:val="000000" w:themeColor="text1"/>
          <w:vertAlign w:val="superscript"/>
          <w:lang w:val="es-ES_tradnl"/>
        </w:rPr>
        <w:footnoteReference w:id="9"/>
      </w:r>
      <w:r w:rsidRPr="00135CB1">
        <w:rPr>
          <w:rFonts w:ascii="Verdana" w:eastAsia="Calibri" w:hAnsi="Verdana" w:cs="Arial"/>
          <w:color w:val="000000" w:themeColor="text1"/>
          <w:lang w:val="es-ES_tradnl"/>
        </w:rPr>
        <w:t xml:space="preserve">. En efecto, si se admitiera una interpretación amplia, extensiva o finalista de las mismas, tales enunciados normativos podrían contemplar múltiples supuestos indeterminados, según el parecer o el sentido común de los operadores jurídicos, poniendo en riesgo principios como la igualdad, el debido proceso, la libre concurrencia y el ejercicio de la profesión u oficio. Tal ha sido la postura al interior de la jurisprudencia, tanto de la Corte Constitucional como de la Sección Tercera del Consejo de Estado. </w:t>
      </w:r>
    </w:p>
    <w:p w14:paraId="3247F120" w14:textId="77777777" w:rsidR="000906F1" w:rsidRDefault="000906F1" w:rsidP="000906F1">
      <w:pPr>
        <w:spacing w:after="0" w:line="276" w:lineRule="auto"/>
        <w:ind w:firstLine="709"/>
        <w:jc w:val="both"/>
        <w:rPr>
          <w:rFonts w:ascii="Verdana" w:eastAsia="Calibri" w:hAnsi="Verdana" w:cs="Arial"/>
          <w:color w:val="000000" w:themeColor="text1"/>
          <w:lang w:val="es-ES_tradnl"/>
        </w:rPr>
      </w:pPr>
      <w:r w:rsidRPr="00135CB1">
        <w:rPr>
          <w:rFonts w:ascii="Verdana" w:eastAsia="Calibri" w:hAnsi="Verdana" w:cs="Arial"/>
          <w:color w:val="000000" w:themeColor="text1"/>
          <w:lang w:val="es-ES_tradnl"/>
        </w:rPr>
        <w:t xml:space="preserve">En efecto, el máximo tribunal constitucional ha indicado que, al tratar de precisar el sentido de este tipo de normas, </w:t>
      </w:r>
      <w:r>
        <w:rPr>
          <w:rFonts w:ascii="Verdana" w:eastAsia="Calibri" w:hAnsi="Verdana" w:cs="Arial"/>
          <w:color w:val="000000" w:themeColor="text1"/>
          <w:lang w:val="es-ES_tradnl"/>
        </w:rPr>
        <w:t>“</w:t>
      </w:r>
      <w:r w:rsidRPr="00135CB1">
        <w:rPr>
          <w:rFonts w:ascii="Verdana" w:eastAsia="Calibri" w:hAnsi="Verdana" w:cs="Arial"/>
          <w:color w:val="000000" w:themeColor="text1"/>
          <w:lang w:val="es-ES_tradnl"/>
        </w:rPr>
        <w:t xml:space="preserve">[…] el intérprete de las disposiciones legislativas en la materia ha de ceñirse en la mayor medida posible al tenor literal y gramatical de los enunciados normativos, sin que pueda acudir </w:t>
      </w:r>
      <w:r w:rsidRPr="006B79A9">
        <w:rPr>
          <w:rFonts w:ascii="Verdana" w:eastAsia="Calibri" w:hAnsi="Verdana" w:cs="Arial"/>
          <w:i/>
          <w:iCs/>
          <w:color w:val="000000" w:themeColor="text1"/>
          <w:lang w:val="es-ES_tradnl"/>
        </w:rPr>
        <w:t>prima facie</w:t>
      </w:r>
      <w:r w:rsidRPr="00135CB1">
        <w:rPr>
          <w:rFonts w:ascii="Verdana" w:eastAsia="Calibri" w:hAnsi="Verdana" w:cs="Arial"/>
          <w:color w:val="000000" w:themeColor="text1"/>
          <w:lang w:val="es-ES_tradnl"/>
        </w:rPr>
        <w:t xml:space="preserve"> a criterios interpretativos tales como la analogía</w:t>
      </w:r>
      <w:r>
        <w:rPr>
          <w:rFonts w:ascii="Verdana" w:eastAsia="Calibri" w:hAnsi="Verdana" w:cs="Arial"/>
          <w:color w:val="000000" w:themeColor="text1"/>
          <w:lang w:val="es-ES_tradnl"/>
        </w:rPr>
        <w:t xml:space="preserve"> o</w:t>
      </w:r>
      <w:r w:rsidRPr="00135CB1">
        <w:rPr>
          <w:rFonts w:ascii="Verdana" w:eastAsia="Calibri" w:hAnsi="Verdana" w:cs="Arial"/>
          <w:color w:val="000000" w:themeColor="text1"/>
          <w:lang w:val="es-ES_tradnl"/>
        </w:rPr>
        <w:t xml:space="preserve"> la interpretación extensiva para ampliar el alcance de las causales legalmente fijadas</w:t>
      </w:r>
      <w:r>
        <w:rPr>
          <w:rFonts w:ascii="Verdana" w:eastAsia="Calibri" w:hAnsi="Verdana" w:cs="Arial"/>
          <w:color w:val="000000" w:themeColor="text1"/>
          <w:lang w:val="es-ES_tradnl"/>
        </w:rPr>
        <w:t>”</w:t>
      </w:r>
      <w:r w:rsidRPr="00135CB1">
        <w:rPr>
          <w:rFonts w:ascii="Verdana" w:eastAsia="Calibri" w:hAnsi="Verdana" w:cs="Arial"/>
          <w:color w:val="000000" w:themeColor="text1"/>
          <w:vertAlign w:val="superscript"/>
          <w:lang w:val="es-ES_tradnl"/>
        </w:rPr>
        <w:footnoteReference w:id="10"/>
      </w:r>
      <w:r w:rsidRPr="00135CB1">
        <w:rPr>
          <w:rFonts w:ascii="Verdana" w:eastAsia="Calibri" w:hAnsi="Verdana" w:cs="Arial"/>
          <w:color w:val="000000" w:themeColor="text1"/>
          <w:lang w:val="es-ES_tradnl"/>
        </w:rPr>
        <w:t xml:space="preserve">. Por su parte, el Consejo de Estado ha acogido también este criterio, considerando –como expresa la Sala de Consulta y Servicio Civil–, que </w:t>
      </w:r>
      <w:r>
        <w:rPr>
          <w:rFonts w:ascii="Verdana" w:eastAsia="Calibri" w:hAnsi="Verdana" w:cs="Arial"/>
          <w:color w:val="000000" w:themeColor="text1"/>
          <w:lang w:val="es-ES_tradnl"/>
        </w:rPr>
        <w:t>“</w:t>
      </w:r>
      <w:r w:rsidRPr="00135CB1">
        <w:rPr>
          <w:rFonts w:ascii="Verdana" w:eastAsia="Calibri" w:hAnsi="Verdana" w:cs="Arial"/>
          <w:color w:val="000000" w:themeColor="text1"/>
          <w:lang w:val="es-ES_tradnl"/>
        </w:rPr>
        <w:t>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Pr>
          <w:rFonts w:ascii="Verdana" w:eastAsia="Calibri" w:hAnsi="Verdana" w:cs="Arial"/>
          <w:color w:val="000000" w:themeColor="text1"/>
          <w:lang w:val="es-ES_tradnl"/>
        </w:rPr>
        <w:t>”</w:t>
      </w:r>
      <w:r w:rsidRPr="00135CB1">
        <w:rPr>
          <w:rFonts w:ascii="Verdana" w:eastAsia="Calibri" w:hAnsi="Verdana" w:cs="Arial"/>
          <w:color w:val="000000" w:themeColor="text1"/>
          <w:vertAlign w:val="superscript"/>
          <w:lang w:val="es-ES_tradnl"/>
        </w:rPr>
        <w:footnoteReference w:id="11"/>
      </w:r>
      <w:r w:rsidRPr="00135CB1">
        <w:rPr>
          <w:rFonts w:ascii="Verdana" w:eastAsia="Calibri" w:hAnsi="Verdana" w:cs="Arial"/>
          <w:color w:val="000000" w:themeColor="text1"/>
          <w:lang w:val="es-ES_tradnl"/>
        </w:rPr>
        <w:t>. En tal sentido, la Sección Tercera ha señalado que:</w:t>
      </w:r>
    </w:p>
    <w:p w14:paraId="0CFA22F5" w14:textId="77777777" w:rsidR="000906F1" w:rsidRPr="00135CB1" w:rsidRDefault="000906F1" w:rsidP="000906F1">
      <w:pPr>
        <w:spacing w:after="0" w:line="276" w:lineRule="auto"/>
        <w:ind w:firstLine="709"/>
        <w:rPr>
          <w:rFonts w:ascii="Verdana" w:eastAsia="Calibri" w:hAnsi="Verdana" w:cs="Arial"/>
          <w:color w:val="000000" w:themeColor="text1"/>
          <w:lang w:val="es-ES_tradnl"/>
        </w:rPr>
      </w:pPr>
    </w:p>
    <w:p w14:paraId="731BCBAC" w14:textId="77777777" w:rsidR="000906F1" w:rsidRDefault="000906F1" w:rsidP="000906F1">
      <w:pPr>
        <w:spacing w:after="0"/>
        <w:ind w:left="709" w:right="709"/>
        <w:jc w:val="both"/>
        <w:rPr>
          <w:rFonts w:ascii="Verdana" w:hAnsi="Verdana" w:cs="Arial"/>
          <w:color w:val="000000" w:themeColor="text1"/>
          <w:sz w:val="21"/>
          <w:szCs w:val="21"/>
          <w:lang w:val="es-ES_tradnl"/>
        </w:rPr>
      </w:pPr>
      <w:r w:rsidRPr="00135CB1">
        <w:rPr>
          <w:rFonts w:ascii="Verdana" w:hAnsi="Verdana" w:cs="Arial"/>
          <w:color w:val="000000" w:themeColor="text1"/>
          <w:sz w:val="21"/>
          <w:szCs w:val="21"/>
          <w:lang w:val="es-ES_tradnl"/>
        </w:rPr>
        <w:lastRenderedPageBreak/>
        <w:t>[…] de conformidad con la jurisprudencia uniforme y reiterada de esta Corporación, la aplicación de las normas que contemplan inhabilidades e incompatibilidades, como en general de todas aquellas que comportan prohibiciones o limitaciones, deben responder a una interpretación restrictiva que no permite su extensión, por vía de la figura de la analogía, a supuestos no contemplados por el ordenamiento</w:t>
      </w:r>
      <w:r w:rsidRPr="00135CB1">
        <w:rPr>
          <w:rFonts w:ascii="Verdana" w:hAnsi="Verdana" w:cs="Arial"/>
          <w:color w:val="000000" w:themeColor="text1"/>
          <w:sz w:val="21"/>
          <w:szCs w:val="21"/>
          <w:vertAlign w:val="superscript"/>
          <w:lang w:val="es-ES_tradnl"/>
        </w:rPr>
        <w:footnoteReference w:id="12"/>
      </w:r>
      <w:r w:rsidRPr="00135CB1">
        <w:rPr>
          <w:rFonts w:ascii="Verdana" w:hAnsi="Verdana" w:cs="Arial"/>
          <w:color w:val="000000" w:themeColor="text1"/>
          <w:sz w:val="21"/>
          <w:szCs w:val="21"/>
          <w:lang w:val="es-ES_tradnl"/>
        </w:rPr>
        <w:t>.</w:t>
      </w:r>
    </w:p>
    <w:p w14:paraId="0C6167F2" w14:textId="77777777" w:rsidR="000906F1" w:rsidRPr="00135CB1" w:rsidRDefault="000906F1" w:rsidP="000906F1">
      <w:pPr>
        <w:spacing w:after="0"/>
        <w:ind w:left="709" w:right="709"/>
        <w:jc w:val="both"/>
        <w:rPr>
          <w:rFonts w:ascii="Verdana" w:hAnsi="Verdana" w:cs="Arial"/>
          <w:bCs/>
          <w:color w:val="000000" w:themeColor="text1"/>
          <w:sz w:val="21"/>
          <w:szCs w:val="21"/>
          <w:lang w:val="es-ES_tradnl"/>
        </w:rPr>
      </w:pPr>
    </w:p>
    <w:p w14:paraId="0FDD561B" w14:textId="77777777" w:rsidR="000906F1" w:rsidRPr="00135CB1" w:rsidRDefault="000906F1" w:rsidP="000906F1">
      <w:pPr>
        <w:spacing w:after="0" w:line="276" w:lineRule="auto"/>
        <w:ind w:firstLine="709"/>
        <w:jc w:val="both"/>
        <w:rPr>
          <w:rFonts w:ascii="Verdana" w:eastAsia="Calibri" w:hAnsi="Verdana" w:cs="Arial"/>
          <w:color w:val="000000" w:themeColor="text1"/>
          <w:lang w:val="es-ES_tradnl"/>
        </w:rPr>
      </w:pPr>
      <w:r w:rsidRPr="00135CB1">
        <w:rPr>
          <w:rFonts w:ascii="Verdana" w:eastAsia="Calibri" w:hAnsi="Verdana" w:cs="Arial"/>
          <w:color w:val="000000" w:themeColor="text1"/>
          <w:lang w:val="es-ES_tradnl"/>
        </w:rPr>
        <w:t>También ha dicho que:</w:t>
      </w:r>
    </w:p>
    <w:p w14:paraId="393CFD36" w14:textId="77777777" w:rsidR="000906F1" w:rsidRPr="00135CB1" w:rsidRDefault="000906F1" w:rsidP="000906F1">
      <w:pPr>
        <w:spacing w:after="0"/>
        <w:ind w:firstLine="709"/>
        <w:jc w:val="both"/>
        <w:rPr>
          <w:rFonts w:ascii="Verdana" w:eastAsia="Calibri" w:hAnsi="Verdana" w:cs="Arial"/>
          <w:color w:val="000000" w:themeColor="text1"/>
          <w:sz w:val="21"/>
          <w:szCs w:val="21"/>
          <w:lang w:val="es-ES_tradnl"/>
        </w:rPr>
      </w:pPr>
    </w:p>
    <w:p w14:paraId="73CACB51" w14:textId="77777777" w:rsidR="000906F1" w:rsidRPr="00135CB1" w:rsidRDefault="000906F1" w:rsidP="000906F1">
      <w:pPr>
        <w:spacing w:after="0"/>
        <w:ind w:left="709" w:right="709"/>
        <w:jc w:val="both"/>
        <w:rPr>
          <w:rFonts w:ascii="Verdana" w:hAnsi="Verdana" w:cs="Arial"/>
          <w:color w:val="000000" w:themeColor="text1"/>
          <w:sz w:val="21"/>
          <w:szCs w:val="21"/>
          <w:lang w:val="es-ES"/>
        </w:rPr>
      </w:pPr>
      <w:r w:rsidRPr="00135CB1">
        <w:rPr>
          <w:rFonts w:ascii="Verdana" w:hAnsi="Verdana" w:cs="Arial"/>
          <w:color w:val="000000" w:themeColor="text1"/>
          <w:sz w:val="21"/>
          <w:szCs w:val="21"/>
          <w:lang w:val="es-ES"/>
        </w:rPr>
        <w:t xml:space="preserve">[…] la aplicación de estos preceptos exige una interpretación restrictiva, dado que según el principio hermenéutico </w:t>
      </w:r>
      <w:r w:rsidRPr="00135CB1">
        <w:rPr>
          <w:rFonts w:ascii="Verdana" w:hAnsi="Verdana" w:cs="Arial"/>
          <w:i/>
          <w:iCs/>
          <w:color w:val="000000" w:themeColor="text1"/>
          <w:sz w:val="21"/>
          <w:szCs w:val="21"/>
          <w:lang w:val="es-ES"/>
        </w:rPr>
        <w:t xml:space="preserve">pro </w:t>
      </w:r>
      <w:proofErr w:type="spellStart"/>
      <w:r w:rsidRPr="00135CB1">
        <w:rPr>
          <w:rFonts w:ascii="Verdana" w:hAnsi="Verdana" w:cs="Arial"/>
          <w:i/>
          <w:iCs/>
          <w:color w:val="000000" w:themeColor="text1"/>
          <w:sz w:val="21"/>
          <w:szCs w:val="21"/>
          <w:lang w:val="es-ES"/>
        </w:rPr>
        <w:t>libertate</w:t>
      </w:r>
      <w:proofErr w:type="spellEnd"/>
      <w:r w:rsidRPr="00135CB1">
        <w:rPr>
          <w:rFonts w:ascii="Verdana" w:hAnsi="Verdana" w:cs="Arial"/>
          <w:color w:val="000000" w:themeColor="text1"/>
          <w:sz w:val="21"/>
          <w:szCs w:val="21"/>
          <w:lang w:val="es-ES"/>
        </w:rPr>
        <w:t>,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de las mismas, pues de hacerlo se vulnerarían los derechos fundamentales al debido proceso (art. 29 CN) y a la igualdad (art. 13 Ibid.); […]</w:t>
      </w:r>
      <w:r w:rsidRPr="00135CB1">
        <w:rPr>
          <w:rFonts w:ascii="Verdana" w:hAnsi="Verdana" w:cs="Arial"/>
          <w:color w:val="000000" w:themeColor="text1"/>
          <w:sz w:val="21"/>
          <w:szCs w:val="21"/>
          <w:vertAlign w:val="superscript"/>
          <w:lang w:val="es-ES"/>
        </w:rPr>
        <w:footnoteReference w:id="13"/>
      </w:r>
      <w:r w:rsidRPr="00135CB1">
        <w:rPr>
          <w:rFonts w:ascii="Verdana" w:hAnsi="Verdana" w:cs="Arial"/>
          <w:color w:val="000000" w:themeColor="text1"/>
          <w:sz w:val="21"/>
          <w:szCs w:val="21"/>
          <w:lang w:val="es-ES"/>
        </w:rPr>
        <w:t>.</w:t>
      </w:r>
    </w:p>
    <w:p w14:paraId="45E6E64D" w14:textId="77777777" w:rsidR="000906F1" w:rsidRPr="00135CB1" w:rsidRDefault="000906F1" w:rsidP="000906F1">
      <w:pPr>
        <w:spacing w:after="0" w:line="276" w:lineRule="auto"/>
        <w:ind w:left="709" w:right="709"/>
        <w:jc w:val="both"/>
        <w:rPr>
          <w:rFonts w:ascii="Verdana" w:hAnsi="Verdana" w:cs="Arial"/>
          <w:color w:val="000000" w:themeColor="text1"/>
          <w:sz w:val="21"/>
          <w:szCs w:val="21"/>
          <w:lang w:val="es-ES_tradnl"/>
        </w:rPr>
      </w:pPr>
    </w:p>
    <w:p w14:paraId="461DE5D3" w14:textId="77777777" w:rsidR="000906F1" w:rsidRDefault="000906F1" w:rsidP="000906F1">
      <w:pPr>
        <w:spacing w:after="120" w:line="276" w:lineRule="auto"/>
        <w:ind w:firstLine="709"/>
        <w:jc w:val="both"/>
        <w:rPr>
          <w:rFonts w:ascii="Verdana" w:eastAsia="Calibri" w:hAnsi="Verdana" w:cs="Arial"/>
          <w:color w:val="000000" w:themeColor="text1"/>
          <w:lang w:val="es-ES"/>
        </w:rPr>
      </w:pPr>
      <w:r w:rsidRPr="6EF52751">
        <w:rPr>
          <w:rFonts w:ascii="Verdana" w:eastAsia="Calibri" w:hAnsi="Verdana" w:cs="Arial"/>
          <w:color w:val="000000" w:themeColor="text1"/>
          <w:lang w:val="es-ES"/>
        </w:rPr>
        <w:t xml:space="preserve">Como se aprecia, el principio </w:t>
      </w:r>
      <w:r w:rsidRPr="6EF52751">
        <w:rPr>
          <w:rFonts w:ascii="Verdana" w:eastAsia="Calibri" w:hAnsi="Verdana" w:cs="Arial"/>
          <w:i/>
          <w:iCs/>
          <w:color w:val="000000" w:themeColor="text1"/>
          <w:lang w:val="es-ES"/>
        </w:rPr>
        <w:t xml:space="preserve">pro </w:t>
      </w:r>
      <w:proofErr w:type="spellStart"/>
      <w:r w:rsidRPr="6EF52751">
        <w:rPr>
          <w:rFonts w:ascii="Verdana" w:eastAsia="Calibri" w:hAnsi="Verdana" w:cs="Arial"/>
          <w:i/>
          <w:iCs/>
          <w:color w:val="000000" w:themeColor="text1"/>
          <w:lang w:val="es-ES"/>
        </w:rPr>
        <w:t>libertate</w:t>
      </w:r>
      <w:proofErr w:type="spellEnd"/>
      <w:r w:rsidRPr="6EF52751">
        <w:rPr>
          <w:rFonts w:ascii="Verdana" w:eastAsia="Calibri" w:hAnsi="Verdana" w:cs="Arial"/>
          <w:color w:val="000000" w:themeColor="text1"/>
          <w:lang w:val="es-ES"/>
        </w:rPr>
        <w:t xml:space="preserve"> es el que debe dirigir la interpretación de las disposiciones normativas que consagran restricciones de derechos, como sucede con las causales de inhabilidad e incompatibilidad en la contratación estatal. El carácter reconocidamente taxativo y restrictivo de régimen de inhabilidades obedece a la necesidad de salvaguardar el interés general inherente en la contratación pública, de forma que implique el menor sacrificio posible al derecho de igualdad y de reconocimiento de la personalidad jurídica de quienes aspiran a contratar con el Estado.</w:t>
      </w:r>
    </w:p>
    <w:p w14:paraId="04069EEE" w14:textId="77777777" w:rsidR="000906F1" w:rsidRPr="00423B2E" w:rsidRDefault="000906F1" w:rsidP="000906F1">
      <w:pPr>
        <w:spacing w:after="120" w:line="276" w:lineRule="auto"/>
        <w:ind w:firstLine="709"/>
        <w:jc w:val="both"/>
        <w:rPr>
          <w:rFonts w:ascii="Verdana" w:eastAsia="Arial MT" w:hAnsi="Verdana" w:cs="Arial"/>
          <w:lang w:eastAsia="es-ES" w:bidi="es-ES"/>
        </w:rPr>
      </w:pPr>
      <w:r>
        <w:rPr>
          <w:rFonts w:ascii="Verdana" w:hAnsi="Verdana" w:cs="Arial"/>
          <w:color w:val="000000" w:themeColor="text1"/>
          <w:lang w:val="es-ES"/>
        </w:rPr>
        <w:t xml:space="preserve">En este contexto, analizado el </w:t>
      </w:r>
      <w:r w:rsidRPr="00966C6B">
        <w:rPr>
          <w:rFonts w:ascii="Verdana" w:hAnsi="Verdana" w:cs="Arial"/>
          <w:color w:val="000000" w:themeColor="text1"/>
          <w:lang w:val="es-ES"/>
        </w:rPr>
        <w:t xml:space="preserve">régimen de inhabilidades e incompatibilidades previsto para la contratación estatal, </w:t>
      </w:r>
      <w:r w:rsidRPr="00CA3CC2">
        <w:rPr>
          <w:rFonts w:ascii="Verdana" w:hAnsi="Verdana" w:cs="Arial"/>
          <w:color w:val="000000" w:themeColor="text1"/>
          <w:lang w:val="es-ES_tradnl"/>
        </w:rPr>
        <w:t xml:space="preserve">se concluye que no existe una inhabilidad, incompatibilidad o prohibición de otra naturaleza </w:t>
      </w:r>
      <w:r w:rsidRPr="00764EAD">
        <w:rPr>
          <w:rFonts w:ascii="Verdana" w:hAnsi="Verdana" w:cs="Arial"/>
          <w:color w:val="000000" w:themeColor="text1"/>
        </w:rPr>
        <w:t xml:space="preserve">que impida que un contratista </w:t>
      </w:r>
      <w:r>
        <w:rPr>
          <w:rFonts w:ascii="Verdana" w:hAnsi="Verdana" w:cs="Arial"/>
          <w:color w:val="000000" w:themeColor="text1"/>
        </w:rPr>
        <w:t xml:space="preserve">en ejecución de un contrato estatal pueda vincular a su equipo de trabajo a familiares tanto del representante legal y/o de otra persona perteneciente al equipo de trabajo. </w:t>
      </w:r>
    </w:p>
    <w:p w14:paraId="0D0BCAAF" w14:textId="77777777" w:rsidR="000906F1" w:rsidRPr="00AB76F7" w:rsidRDefault="000906F1" w:rsidP="000906F1">
      <w:pPr>
        <w:spacing w:after="120" w:line="276" w:lineRule="auto"/>
        <w:ind w:firstLine="709"/>
        <w:jc w:val="both"/>
        <w:rPr>
          <w:rFonts w:ascii="Verdana" w:hAnsi="Verdana" w:cs="Arial"/>
          <w:color w:val="000000" w:themeColor="text1"/>
          <w:lang w:val="es-ES"/>
        </w:rPr>
      </w:pPr>
      <w:bookmarkStart w:id="4" w:name="_Hlk192056119"/>
      <w:r w:rsidRPr="008C3435">
        <w:rPr>
          <w:rFonts w:ascii="Verdana" w:hAnsi="Verdana" w:cs="Arial"/>
          <w:color w:val="000000" w:themeColor="text1"/>
        </w:rPr>
        <w:lastRenderedPageBreak/>
        <w:t xml:space="preserve">En esa misma línea, debe recordarse que las inhabilidades e incompatibilidades, por constituir restricciones a la capacidad contractual y, por tanto, limitar derechos como la libre concurrencia y la libertad en el ejercicio de la profesión u oficio, deben ser interpretadas de manera estricta. En cuanto enunciados normativos de carácter gravoso, no admiten interpretaciones extensivas, amplias o analógicas. Así, al revisar las causales previstas en la Constitución Política, en el artículo 8 de la Ley 80 de 1993 y en normas complementarias, no se evidencia prohibición que impida que una persona natural preste sus servicios profesionales </w:t>
      </w:r>
      <w:r>
        <w:rPr>
          <w:rFonts w:ascii="Verdana" w:hAnsi="Verdana" w:cs="Arial"/>
          <w:color w:val="000000" w:themeColor="text1"/>
        </w:rPr>
        <w:t>con un ente territorial y que simultáneamente</w:t>
      </w:r>
      <w:r w:rsidRPr="008C3435">
        <w:rPr>
          <w:rFonts w:ascii="Verdana" w:hAnsi="Verdana" w:cs="Arial"/>
          <w:color w:val="000000" w:themeColor="text1"/>
        </w:rPr>
        <w:t xml:space="preserve"> </w:t>
      </w:r>
      <w:r>
        <w:rPr>
          <w:rFonts w:ascii="Verdana" w:hAnsi="Verdana" w:cs="Arial"/>
          <w:color w:val="000000" w:themeColor="text1"/>
        </w:rPr>
        <w:t xml:space="preserve">celebré como presidente de una Junta de Acción Comunal un convenio con dicha entidad. </w:t>
      </w:r>
      <w:bookmarkEnd w:id="4"/>
    </w:p>
    <w:p w14:paraId="186B5439" w14:textId="77777777" w:rsidR="000906F1" w:rsidRDefault="000906F1" w:rsidP="000906F1">
      <w:pPr>
        <w:spacing w:after="120" w:line="276" w:lineRule="auto"/>
        <w:ind w:firstLine="709"/>
        <w:jc w:val="both"/>
        <w:rPr>
          <w:rFonts w:ascii="Verdana" w:eastAsia="Arial MT" w:hAnsi="Verdana" w:cs="Arial"/>
          <w:lang w:eastAsia="es-ES" w:bidi="es-ES"/>
        </w:rPr>
      </w:pPr>
      <w:r>
        <w:rPr>
          <w:rFonts w:ascii="Verdana" w:hAnsi="Verdana" w:cs="Arial"/>
          <w:color w:val="000000" w:themeColor="text1"/>
          <w:lang w:val="es-ES"/>
        </w:rPr>
        <w:t>Ahora bien, y aunado a lo anterior</w:t>
      </w:r>
      <w:r>
        <w:rPr>
          <w:rFonts w:ascii="Verdana" w:eastAsia="Arial MT" w:hAnsi="Verdana" w:cs="Arial"/>
          <w:lang w:eastAsia="es-ES" w:bidi="es-ES"/>
        </w:rPr>
        <w:t xml:space="preserve">, la entidad contratante tiene el deber de identificar cualquier conducta que pueda llegar a tener la connotación de un conflicto de interés, producto de la concurrencia </w:t>
      </w:r>
      <w:r w:rsidRPr="00583EF1">
        <w:rPr>
          <w:rFonts w:ascii="Verdana" w:eastAsia="Arial MT" w:hAnsi="Verdana" w:cs="Arial"/>
          <w:lang w:eastAsia="es-ES" w:bidi="es-ES"/>
        </w:rPr>
        <w:t xml:space="preserve">de intereses antagónicos en </w:t>
      </w:r>
      <w:r>
        <w:rPr>
          <w:rFonts w:ascii="Verdana" w:eastAsia="Arial MT" w:hAnsi="Verdana" w:cs="Arial"/>
          <w:lang w:eastAsia="es-ES" w:bidi="es-ES"/>
        </w:rPr>
        <w:t>el contratista que presta los servicios parala entidad y que afecten</w:t>
      </w:r>
      <w:r w:rsidRPr="00583EF1">
        <w:rPr>
          <w:rFonts w:ascii="Verdana" w:eastAsia="Arial MT" w:hAnsi="Verdana" w:cs="Arial"/>
          <w:lang w:eastAsia="es-ES" w:bidi="es-ES"/>
        </w:rPr>
        <w:t xml:space="preserve"> la transparencia de las decisiones que le competen </w:t>
      </w:r>
      <w:r>
        <w:rPr>
          <w:rFonts w:ascii="Verdana" w:eastAsia="Arial MT" w:hAnsi="Verdana" w:cs="Arial"/>
          <w:lang w:eastAsia="es-ES" w:bidi="es-ES"/>
        </w:rPr>
        <w:t>o lo lleven</w:t>
      </w:r>
      <w:r w:rsidRPr="00583EF1">
        <w:rPr>
          <w:rFonts w:ascii="Verdana" w:eastAsia="Arial MT" w:hAnsi="Verdana" w:cs="Arial"/>
          <w:lang w:eastAsia="es-ES" w:bidi="es-ES"/>
        </w:rPr>
        <w:t xml:space="preserve"> a adoptar determinaciones de aprovechamiento personal, familiar o particular, en detrimento del interés público</w:t>
      </w:r>
      <w:r>
        <w:rPr>
          <w:rStyle w:val="Refdenotaalpie"/>
          <w:rFonts w:ascii="Verdana" w:eastAsia="Arial MT" w:hAnsi="Verdana" w:cs="Arial"/>
          <w:lang w:eastAsia="es-ES" w:bidi="es-ES"/>
        </w:rPr>
        <w:footnoteReference w:id="14"/>
      </w:r>
      <w:r>
        <w:rPr>
          <w:rFonts w:ascii="Verdana" w:eastAsia="Arial MT" w:hAnsi="Verdana" w:cs="Arial"/>
          <w:lang w:eastAsia="es-ES" w:bidi="es-ES"/>
        </w:rPr>
        <w:t xml:space="preserve">. </w:t>
      </w:r>
    </w:p>
    <w:p w14:paraId="688ACE78" w14:textId="77777777" w:rsidR="000906F1" w:rsidRDefault="000906F1" w:rsidP="000906F1">
      <w:pPr>
        <w:widowControl w:val="0"/>
        <w:autoSpaceDE w:val="0"/>
        <w:autoSpaceDN w:val="0"/>
        <w:spacing w:after="120" w:line="276" w:lineRule="auto"/>
        <w:ind w:firstLine="708"/>
        <w:jc w:val="both"/>
        <w:rPr>
          <w:rFonts w:ascii="Verdana" w:hAnsi="Verdana" w:cs="Arial"/>
          <w:color w:val="000000" w:themeColor="text1"/>
          <w:lang w:val="es-ES_tradnl"/>
        </w:rPr>
      </w:pPr>
      <w:r>
        <w:rPr>
          <w:rFonts w:ascii="Verdana" w:eastAsia="Arial MT" w:hAnsi="Verdana" w:cs="Arial"/>
          <w:lang w:eastAsia="es-ES" w:bidi="es-ES"/>
        </w:rPr>
        <w:t xml:space="preserve">Al respecto, </w:t>
      </w:r>
      <w:bookmarkStart w:id="5" w:name="_Hlk192056166"/>
      <w:r>
        <w:rPr>
          <w:rFonts w:ascii="Verdana" w:eastAsia="Arial MT" w:hAnsi="Verdana" w:cs="Arial"/>
          <w:lang w:eastAsia="es-ES" w:bidi="es-ES"/>
        </w:rPr>
        <w:t xml:space="preserve">es importante señalar que </w:t>
      </w:r>
      <w:bookmarkEnd w:id="5"/>
      <w:r>
        <w:rPr>
          <w:rFonts w:ascii="Verdana" w:hAnsi="Verdana" w:cs="Arial"/>
          <w:color w:val="000000" w:themeColor="text1"/>
        </w:rPr>
        <w:t>l</w:t>
      </w:r>
      <w:r w:rsidRPr="002A4195">
        <w:rPr>
          <w:rFonts w:ascii="Verdana" w:hAnsi="Verdana" w:cs="Arial"/>
          <w:color w:val="000000" w:themeColor="text1"/>
          <w:lang w:val="es-ES"/>
        </w:rPr>
        <w:t xml:space="preserve">a institución jurídica de los conflictos de interés no está definida con carácter general en el ordenamiento jurídico y tampoco de forma precisa en las normas que regulan la contratación estatal, por lo que es un asunto ausente en el EGCAP. En todo caso, la satisfacción del principio de moralidad, el deber de probidad y rectitud también se exige a los contratistas. Al respecto, el artículo 3 de la Ley 80 de 1993 dispone que la actividad contractual del Estado se dirige tanto al cumplimiento de los fines estatales como a la continua y eficiente prestación de los servicios públicos, precisando que “Los particulares, por su parte, tendrán en cuenta al celebrar y ejecutar contratos con las entidades estatales que colaboran con ellas en el logro de sus fines y cumplen una función social que, como tal, implica obligaciones”. En concordancia con lo anterior, el numeral 2 del artículo 5 del EGCAP dispone que aquellos obrarán con lealtad y buena fe en las distintas etapas contractuales. </w:t>
      </w:r>
    </w:p>
    <w:p w14:paraId="301FC18A" w14:textId="77777777" w:rsidR="000906F1" w:rsidRDefault="000906F1" w:rsidP="000906F1">
      <w:pPr>
        <w:widowControl w:val="0"/>
        <w:autoSpaceDE w:val="0"/>
        <w:autoSpaceDN w:val="0"/>
        <w:spacing w:after="120" w:line="276" w:lineRule="auto"/>
        <w:ind w:firstLine="708"/>
        <w:jc w:val="both"/>
        <w:rPr>
          <w:rFonts w:ascii="Verdana" w:hAnsi="Verdana" w:cs="Arial"/>
        </w:rPr>
      </w:pPr>
      <w:r>
        <w:rPr>
          <w:rFonts w:ascii="Verdana" w:eastAsia="Arial MT" w:hAnsi="Verdana" w:cs="Arial"/>
          <w:lang w:eastAsia="es-ES" w:bidi="es-ES"/>
        </w:rPr>
        <w:t xml:space="preserve">Tales situaciones de conflicto de intereses suelen expresarse en prohibiciones, similar a lo que ocurre con las inhabilidades e incompatibilidades, por lo que su consagración </w:t>
      </w:r>
      <w:r w:rsidRPr="002A4195">
        <w:rPr>
          <w:rFonts w:ascii="Verdana" w:hAnsi="Verdana" w:cs="Arial"/>
          <w:color w:val="000000" w:themeColor="text1"/>
          <w:lang w:val="es-ES_tradnl"/>
        </w:rPr>
        <w:t>–</w:t>
      </w:r>
      <w:r>
        <w:rPr>
          <w:rFonts w:ascii="Verdana" w:eastAsia="Arial MT" w:hAnsi="Verdana" w:cs="Arial"/>
          <w:lang w:eastAsia="es-ES" w:bidi="es-ES"/>
        </w:rPr>
        <w:t xml:space="preserve">para los procesos de contratación se materializa en </w:t>
      </w:r>
      <w:r>
        <w:rPr>
          <w:rFonts w:ascii="Verdana" w:eastAsia="Arial MT" w:hAnsi="Verdana" w:cs="Arial"/>
          <w:lang w:eastAsia="es-ES" w:bidi="es-ES"/>
        </w:rPr>
        <w:lastRenderedPageBreak/>
        <w:t>el pliego de condiciones y en la minuta del contrato y/o convenio</w:t>
      </w:r>
      <w:r w:rsidRPr="002A4195">
        <w:rPr>
          <w:rFonts w:ascii="Verdana" w:hAnsi="Verdana" w:cs="Arial"/>
          <w:color w:val="000000" w:themeColor="text1"/>
          <w:lang w:val="es-ES_tradnl"/>
        </w:rPr>
        <w:t>–</w:t>
      </w:r>
      <w:r>
        <w:rPr>
          <w:rFonts w:ascii="Verdana" w:eastAsia="Arial MT" w:hAnsi="Verdana" w:cs="Arial"/>
          <w:lang w:eastAsia="es-ES" w:bidi="es-ES"/>
        </w:rPr>
        <w:t xml:space="preserve"> también debe ser expresa y su interpretación restrictiva, de manera que su deducción y aplicación siempre debe </w:t>
      </w:r>
      <w:r w:rsidRPr="003C349B">
        <w:rPr>
          <w:rFonts w:ascii="Verdana" w:eastAsia="Arial MT" w:hAnsi="Verdana" w:cs="Arial"/>
          <w:lang w:eastAsia="es-ES" w:bidi="es-ES"/>
        </w:rPr>
        <w:t>estar ajustada a los presupuestos que para cada causal haya señalado el constituyente o el legislador</w:t>
      </w:r>
      <w:r>
        <w:rPr>
          <w:rFonts w:ascii="Verdana" w:eastAsia="Arial MT" w:hAnsi="Verdana" w:cs="Arial"/>
          <w:lang w:eastAsia="es-ES" w:bidi="es-ES"/>
        </w:rPr>
        <w:t xml:space="preserve"> </w:t>
      </w:r>
      <w:r w:rsidRPr="002A4195">
        <w:rPr>
          <w:rFonts w:ascii="Verdana" w:hAnsi="Verdana" w:cs="Arial"/>
          <w:color w:val="000000" w:themeColor="text1"/>
          <w:lang w:val="es-ES_tradnl"/>
        </w:rPr>
        <w:t>–</w:t>
      </w:r>
      <w:r>
        <w:rPr>
          <w:rFonts w:ascii="Verdana" w:eastAsia="Arial MT" w:hAnsi="Verdana" w:cs="Arial"/>
          <w:lang w:eastAsia="es-ES" w:bidi="es-ES"/>
        </w:rPr>
        <w:t>en el caso de las inhabilidades e incompatibilidades</w:t>
      </w:r>
      <w:r w:rsidRPr="002A4195">
        <w:rPr>
          <w:rFonts w:ascii="Verdana" w:hAnsi="Verdana" w:cs="Arial"/>
          <w:color w:val="000000" w:themeColor="text1"/>
          <w:lang w:val="es-ES_tradnl"/>
        </w:rPr>
        <w:t>–</w:t>
      </w:r>
      <w:r>
        <w:rPr>
          <w:rFonts w:ascii="Verdana" w:eastAsia="Arial MT" w:hAnsi="Verdana" w:cs="Arial"/>
          <w:lang w:eastAsia="es-ES" w:bidi="es-ES"/>
        </w:rPr>
        <w:t xml:space="preserve"> y la entidad contratante </w:t>
      </w:r>
      <w:r w:rsidRPr="002A4195">
        <w:rPr>
          <w:rFonts w:ascii="Verdana" w:hAnsi="Verdana" w:cs="Arial"/>
          <w:color w:val="000000" w:themeColor="text1"/>
          <w:lang w:val="es-ES_tradnl"/>
        </w:rPr>
        <w:t>–</w:t>
      </w:r>
      <w:r>
        <w:rPr>
          <w:rFonts w:ascii="Verdana" w:eastAsia="Arial MT" w:hAnsi="Verdana" w:cs="Arial"/>
          <w:lang w:eastAsia="es-ES" w:bidi="es-ES"/>
        </w:rPr>
        <w:t>en el caso de los conflictos de intereses</w:t>
      </w:r>
      <w:r w:rsidRPr="002A4195">
        <w:rPr>
          <w:rFonts w:ascii="Verdana" w:hAnsi="Verdana" w:cs="Arial"/>
          <w:color w:val="000000" w:themeColor="text1"/>
          <w:lang w:val="es-ES_tradnl"/>
        </w:rPr>
        <w:t>–</w:t>
      </w:r>
      <w:r w:rsidRPr="003C349B">
        <w:rPr>
          <w:rFonts w:ascii="Verdana" w:eastAsia="Arial MT" w:hAnsi="Verdana" w:cs="Arial"/>
          <w:lang w:eastAsia="es-ES" w:bidi="es-ES"/>
        </w:rPr>
        <w:t>, dado que no es posible su aplicación extensiva o analógica</w:t>
      </w:r>
      <w:r>
        <w:rPr>
          <w:rFonts w:ascii="Verdana" w:eastAsia="Arial MT" w:hAnsi="Verdana" w:cs="Arial"/>
          <w:lang w:eastAsia="es-ES" w:bidi="es-ES"/>
        </w:rPr>
        <w:t>.</w:t>
      </w:r>
      <w:r>
        <w:rPr>
          <w:rFonts w:ascii="Verdana" w:hAnsi="Verdana" w:cs="Arial"/>
        </w:rPr>
        <w:t xml:space="preserve"> </w:t>
      </w:r>
    </w:p>
    <w:p w14:paraId="4D508CD8" w14:textId="77777777" w:rsidR="000906F1" w:rsidRPr="00F21CBC" w:rsidRDefault="000906F1" w:rsidP="000906F1">
      <w:pPr>
        <w:widowControl w:val="0"/>
        <w:autoSpaceDE w:val="0"/>
        <w:autoSpaceDN w:val="0"/>
        <w:spacing w:after="120" w:line="276" w:lineRule="auto"/>
        <w:jc w:val="both"/>
        <w:rPr>
          <w:rFonts w:ascii="Verdana" w:eastAsia="Calibri" w:hAnsi="Verdana" w:cs="Arial"/>
        </w:rPr>
      </w:pPr>
      <w:r>
        <w:rPr>
          <w:rFonts w:ascii="Arial" w:eastAsia="Calibri" w:hAnsi="Arial" w:cs="Arial"/>
        </w:rPr>
        <w:tab/>
      </w:r>
      <w:r w:rsidRPr="00F21CBC">
        <w:rPr>
          <w:rFonts w:ascii="Verdana" w:eastAsia="Calibri" w:hAnsi="Verdana" w:cs="Arial"/>
        </w:rPr>
        <w:t xml:space="preserve">Sobre la configuración de los conflictos de interés, es preciso señalar que la Sala de Consulta y Servicio Civil del Consejo de Estado claramente han admitido la inclusión de causales de conflicto de interés en los pliegos de condiciones o en los contratos de las entidades estatales, siempre y cuando estas satisfagan, entre otros requisitos, los criterios de </w:t>
      </w:r>
      <w:r w:rsidRPr="00F21CBC">
        <w:rPr>
          <w:rFonts w:ascii="Verdana" w:eastAsia="Calibri" w:hAnsi="Verdana" w:cs="Arial"/>
          <w:i/>
          <w:iCs/>
        </w:rPr>
        <w:t xml:space="preserve">tipicidad </w:t>
      </w:r>
      <w:r w:rsidRPr="00F21CBC">
        <w:rPr>
          <w:rFonts w:ascii="Verdana" w:eastAsia="Calibri" w:hAnsi="Verdana" w:cs="Arial"/>
        </w:rPr>
        <w:t xml:space="preserve">y </w:t>
      </w:r>
      <w:r w:rsidRPr="00F21CBC">
        <w:rPr>
          <w:rFonts w:ascii="Verdana" w:eastAsia="Calibri" w:hAnsi="Verdana" w:cs="Arial"/>
          <w:i/>
          <w:iCs/>
        </w:rPr>
        <w:t xml:space="preserve">objetividad. </w:t>
      </w:r>
      <w:r w:rsidRPr="00F21CBC">
        <w:rPr>
          <w:rFonts w:ascii="Verdana" w:eastAsia="Calibri" w:hAnsi="Verdana" w:cs="Arial"/>
        </w:rPr>
        <w:t xml:space="preserve">Por la relevancia de las consideraciones de dicho concepto, estas se transcriben </w:t>
      </w:r>
      <w:r w:rsidRPr="00F21CBC">
        <w:rPr>
          <w:rFonts w:ascii="Verdana" w:eastAsia="Calibri" w:hAnsi="Verdana" w:cs="Arial"/>
          <w:i/>
          <w:iCs/>
        </w:rPr>
        <w:t>in extenso:</w:t>
      </w:r>
    </w:p>
    <w:p w14:paraId="26381FC6" w14:textId="77777777" w:rsidR="000906F1" w:rsidRPr="00F21CBC" w:rsidRDefault="000906F1" w:rsidP="000906F1">
      <w:pPr>
        <w:widowControl w:val="0"/>
        <w:autoSpaceDE w:val="0"/>
        <w:autoSpaceDN w:val="0"/>
        <w:spacing w:after="120"/>
        <w:ind w:left="709" w:right="709"/>
        <w:jc w:val="both"/>
        <w:rPr>
          <w:rFonts w:ascii="Verdana" w:eastAsia="Calibri" w:hAnsi="Verdana" w:cs="Arial"/>
          <w:sz w:val="20"/>
          <w:szCs w:val="20"/>
        </w:rPr>
      </w:pPr>
      <w:r w:rsidRPr="00F21CBC">
        <w:rPr>
          <w:rFonts w:ascii="Verdana" w:eastAsia="Calibri" w:hAnsi="Verdana" w:cs="Arial"/>
          <w:sz w:val="20"/>
          <w:szCs w:val="20"/>
        </w:rPr>
        <w:t xml:space="preserve">Para efectos del concepto que ahora se rinde, la Sala resalta dos elementos contenidos en el texto transcrito, a saber: </w:t>
      </w:r>
      <w:r w:rsidRPr="00F21CBC">
        <w:rPr>
          <w:rFonts w:ascii="Verdana" w:eastAsia="Calibri" w:hAnsi="Verdana" w:cs="Arial"/>
          <w:i/>
          <w:iCs/>
          <w:sz w:val="20"/>
          <w:szCs w:val="20"/>
        </w:rPr>
        <w:t>la «tipicidad» y la «objetividad»,</w:t>
      </w:r>
      <w:r w:rsidRPr="00F21CBC">
        <w:rPr>
          <w:rFonts w:ascii="Verdana" w:eastAsia="Calibri" w:hAnsi="Verdana" w:cs="Arial"/>
          <w:sz w:val="20"/>
          <w:szCs w:val="20"/>
        </w:rPr>
        <w:t xml:space="preserve"> que deben predicarse de las causales que se establezcan en cada caso particular, para preservar y hacer eficaz la selección objetiva del contratista, como se explica a continuación.</w:t>
      </w:r>
    </w:p>
    <w:p w14:paraId="5227B895" w14:textId="77777777" w:rsidR="000906F1" w:rsidRPr="00F21CBC" w:rsidRDefault="000906F1" w:rsidP="000906F1">
      <w:pPr>
        <w:widowControl w:val="0"/>
        <w:autoSpaceDE w:val="0"/>
        <w:autoSpaceDN w:val="0"/>
        <w:spacing w:after="120"/>
        <w:ind w:left="709" w:right="709"/>
        <w:jc w:val="both"/>
        <w:rPr>
          <w:rFonts w:ascii="Verdana" w:eastAsia="Calibri" w:hAnsi="Verdana" w:cs="Arial"/>
          <w:sz w:val="20"/>
          <w:szCs w:val="20"/>
        </w:rPr>
      </w:pPr>
      <w:r w:rsidRPr="00F21CBC">
        <w:rPr>
          <w:rFonts w:ascii="Verdana" w:eastAsia="Calibri" w:hAnsi="Verdana" w:cs="Arial"/>
          <w:sz w:val="20"/>
          <w:szCs w:val="20"/>
        </w:rPr>
        <w:t xml:space="preserve">La «identificación de actividades incompatibles» con las obligaciones del contratista, significa jurídicamente, </w:t>
      </w:r>
      <w:r w:rsidRPr="00F21CBC">
        <w:rPr>
          <w:rFonts w:ascii="Verdana" w:eastAsia="Calibri" w:hAnsi="Verdana" w:cs="Arial"/>
          <w:i/>
          <w:iCs/>
          <w:sz w:val="20"/>
          <w:szCs w:val="20"/>
        </w:rPr>
        <w:t>«tipificarlas», esto es, definirlas de manera concreta para derivar de ellas una consecuencia que, en el caso en estudio, tiene una naturaleza restrictiva, prohibitiva o sancionatoria</w:t>
      </w:r>
      <w:r w:rsidRPr="00F21CBC">
        <w:rPr>
          <w:rFonts w:ascii="Verdana" w:eastAsia="Calibri" w:hAnsi="Verdana" w:cs="Arial"/>
          <w:sz w:val="20"/>
          <w:szCs w:val="20"/>
        </w:rPr>
        <w:t>.</w:t>
      </w:r>
    </w:p>
    <w:p w14:paraId="58E11B2C" w14:textId="77777777" w:rsidR="000906F1" w:rsidRPr="00F21CBC" w:rsidRDefault="000906F1" w:rsidP="000906F1">
      <w:pPr>
        <w:widowControl w:val="0"/>
        <w:autoSpaceDE w:val="0"/>
        <w:autoSpaceDN w:val="0"/>
        <w:spacing w:after="120"/>
        <w:ind w:left="709" w:right="709"/>
        <w:jc w:val="both"/>
        <w:rPr>
          <w:rFonts w:ascii="Verdana" w:eastAsia="Calibri" w:hAnsi="Verdana" w:cs="Arial"/>
          <w:sz w:val="20"/>
          <w:szCs w:val="20"/>
        </w:rPr>
      </w:pPr>
      <w:r w:rsidRPr="00F21CBC">
        <w:rPr>
          <w:rFonts w:ascii="Verdana" w:eastAsia="Calibri" w:hAnsi="Verdana" w:cs="Arial"/>
          <w:sz w:val="20"/>
          <w:szCs w:val="20"/>
        </w:rPr>
        <w:t>La «evaluación estrictamente objetiva» que debe garantizarse con las causales que se definan en un proceso contractual dado, exige, por supuesto, la «objetividad» en la determinación de las causales que se adopten.</w:t>
      </w:r>
    </w:p>
    <w:p w14:paraId="4EDC482A" w14:textId="77777777" w:rsidR="000906F1" w:rsidRPr="00F21CBC" w:rsidRDefault="000906F1" w:rsidP="000906F1">
      <w:pPr>
        <w:widowControl w:val="0"/>
        <w:autoSpaceDE w:val="0"/>
        <w:autoSpaceDN w:val="0"/>
        <w:spacing w:after="120"/>
        <w:ind w:left="709" w:right="709"/>
        <w:jc w:val="both"/>
        <w:rPr>
          <w:rFonts w:ascii="Verdana" w:eastAsia="Calibri" w:hAnsi="Verdana" w:cs="Arial"/>
          <w:sz w:val="20"/>
          <w:szCs w:val="20"/>
        </w:rPr>
      </w:pPr>
      <w:r w:rsidRPr="00F21CBC">
        <w:rPr>
          <w:rFonts w:ascii="Verdana" w:eastAsia="Calibri" w:hAnsi="Verdana" w:cs="Arial"/>
          <w:sz w:val="20"/>
          <w:szCs w:val="20"/>
        </w:rPr>
        <w:t>En términos gramaticales, el vocablo «objetivo» tiene, entre sus acepciones, las de «perteneciente o relativo al objeto en sí mismo, con independencia de la propia manera de pensar o de sentir» y «que existe realmente, fuera del sujeto que lo conoce». En tanto que la palabra «subjetivo» se define como «perteneciente o relativo al sujeto, considerado en oposición al mundo externo» y «perteneciente o relativo a nuestro modo de pensar o de sentir, y no al objeto en sí mismo.</w:t>
      </w:r>
      <w:bookmarkStart w:id="6" w:name="_ftnref18"/>
      <w:r w:rsidRPr="00F21CBC">
        <w:rPr>
          <w:rFonts w:ascii="Verdana" w:eastAsia="Calibri" w:hAnsi="Verdana" w:cs="Arial"/>
          <w:sz w:val="20"/>
          <w:szCs w:val="20"/>
        </w:rPr>
        <w:t>»</w:t>
      </w:r>
      <w:bookmarkEnd w:id="6"/>
      <w:r w:rsidRPr="00F21CBC">
        <w:rPr>
          <w:rFonts w:ascii="Verdana" w:eastAsia="Calibri" w:hAnsi="Verdana" w:cs="Arial"/>
          <w:sz w:val="20"/>
          <w:szCs w:val="20"/>
        </w:rPr>
        <w:t xml:space="preserve"> </w:t>
      </w:r>
    </w:p>
    <w:p w14:paraId="73C963A6" w14:textId="77777777" w:rsidR="000906F1" w:rsidRPr="00F21CBC" w:rsidRDefault="000906F1" w:rsidP="000906F1">
      <w:pPr>
        <w:widowControl w:val="0"/>
        <w:autoSpaceDE w:val="0"/>
        <w:autoSpaceDN w:val="0"/>
        <w:spacing w:after="120"/>
        <w:ind w:left="709" w:right="709"/>
        <w:jc w:val="both"/>
        <w:rPr>
          <w:rFonts w:ascii="Verdana" w:eastAsia="Calibri" w:hAnsi="Verdana" w:cs="Arial"/>
          <w:i/>
          <w:iCs/>
          <w:sz w:val="20"/>
          <w:szCs w:val="20"/>
        </w:rPr>
      </w:pPr>
      <w:r w:rsidRPr="00F21CBC">
        <w:rPr>
          <w:rFonts w:ascii="Verdana" w:eastAsia="Calibri" w:hAnsi="Verdana" w:cs="Arial"/>
          <w:sz w:val="20"/>
          <w:szCs w:val="20"/>
        </w:rPr>
        <w:t xml:space="preserve">Siguiendo el significado gramatical de los citados términos y la exigencia legal de la objetividad en la selección de contratistas, las cláusulas o reglas que se incorporen en los pliegos de condiciones y en los contratos para regular el conflicto de intereses deben tipificar las acciones u omisiones </w:t>
      </w:r>
      <w:r w:rsidRPr="00F21CBC">
        <w:rPr>
          <w:rFonts w:ascii="Verdana" w:eastAsia="Calibri" w:hAnsi="Verdana" w:cs="Arial"/>
          <w:sz w:val="20"/>
          <w:szCs w:val="20"/>
        </w:rPr>
        <w:lastRenderedPageBreak/>
        <w:t xml:space="preserve">que lo generen, en forma tal que </w:t>
      </w:r>
      <w:r w:rsidRPr="00F21CBC">
        <w:rPr>
          <w:rFonts w:ascii="Verdana" w:eastAsia="Calibri" w:hAnsi="Verdana" w:cs="Arial"/>
          <w:i/>
          <w:iCs/>
          <w:sz w:val="20"/>
          <w:szCs w:val="20"/>
        </w:rPr>
        <w:t>los hechos o situaciones que se invoquen como causales del conflicto puedan ser evaluados en sí mismos, esto es, objetivamente, y no queden sujetos al criterio, opinión o juicio de las personas que, por distintas razones, pueden o deben intervenir en el proceso de que se trate. A lo cual ha de agregarse que esas cualidades de la regla permitirán que, desde el inicio del proceso contractual, los interesados estén en condiciones de decidir libremente su participación.</w:t>
      </w:r>
    </w:p>
    <w:p w14:paraId="1000C2D4" w14:textId="77777777" w:rsidR="000906F1" w:rsidRPr="00F21CBC" w:rsidRDefault="000906F1" w:rsidP="000906F1">
      <w:pPr>
        <w:widowControl w:val="0"/>
        <w:autoSpaceDE w:val="0"/>
        <w:autoSpaceDN w:val="0"/>
        <w:ind w:left="709" w:right="709"/>
        <w:jc w:val="both"/>
        <w:rPr>
          <w:rFonts w:ascii="Verdana" w:eastAsia="Calibri" w:hAnsi="Verdana" w:cs="Arial"/>
          <w:sz w:val="20"/>
          <w:szCs w:val="20"/>
        </w:rPr>
      </w:pPr>
      <w:r w:rsidRPr="00F21CBC">
        <w:rPr>
          <w:rFonts w:ascii="Verdana" w:eastAsia="Calibri" w:hAnsi="Verdana" w:cs="Arial"/>
          <w:sz w:val="20"/>
          <w:szCs w:val="20"/>
        </w:rPr>
        <w:t xml:space="preserve">Aplicando los anteriores criterios a la regulación del conflicto de intereses en los pliegos que rijan un determinado proceso de selección, resulta evidente la necesidad de señalar, de manera clara y precisa, las acciones u omisiones a las que se dé como efecto prohibir la participación de una persona en el proceso de que se trate. Es en razón de este efecto </w:t>
      </w:r>
      <w:r w:rsidRPr="00F21CBC">
        <w:rPr>
          <w:rFonts w:ascii="Verdana" w:eastAsia="Calibri" w:hAnsi="Verdana" w:cs="Arial"/>
          <w:i/>
          <w:iCs/>
          <w:sz w:val="20"/>
          <w:szCs w:val="20"/>
        </w:rPr>
        <w:t>que el conflicto de intereses no puede cimentarse en definiciones ambiguas, abstractas o que permitan un margen de subjetividad en su examen</w:t>
      </w:r>
      <w:r w:rsidRPr="00F21CBC">
        <w:rPr>
          <w:rStyle w:val="Refdenotaalpie"/>
          <w:rFonts w:ascii="Verdana" w:eastAsia="Calibri" w:hAnsi="Verdana" w:cs="Arial"/>
          <w:i/>
          <w:iCs/>
        </w:rPr>
        <w:footnoteReference w:id="15"/>
      </w:r>
      <w:r w:rsidRPr="00F21CBC">
        <w:rPr>
          <w:rFonts w:ascii="Verdana" w:eastAsia="Calibri" w:hAnsi="Verdana" w:cs="Arial"/>
          <w:sz w:val="20"/>
          <w:szCs w:val="20"/>
        </w:rPr>
        <w:t xml:space="preserve">. </w:t>
      </w:r>
      <w:r>
        <w:rPr>
          <w:rFonts w:ascii="Verdana" w:eastAsia="Calibri" w:hAnsi="Verdana" w:cs="Arial"/>
          <w:sz w:val="20"/>
          <w:szCs w:val="20"/>
        </w:rPr>
        <w:t>[</w:t>
      </w:r>
      <w:r w:rsidRPr="00F21CBC">
        <w:rPr>
          <w:rFonts w:ascii="Verdana" w:eastAsia="Calibri" w:hAnsi="Verdana" w:cs="Arial"/>
          <w:sz w:val="20"/>
          <w:szCs w:val="20"/>
        </w:rPr>
        <w:t>Cursiva fuera del original</w:t>
      </w:r>
      <w:r>
        <w:rPr>
          <w:rFonts w:ascii="Verdana" w:eastAsia="Calibri" w:hAnsi="Verdana" w:cs="Arial"/>
          <w:sz w:val="20"/>
          <w:szCs w:val="20"/>
        </w:rPr>
        <w:t>]</w:t>
      </w:r>
      <w:r w:rsidRPr="00F21CBC">
        <w:rPr>
          <w:rFonts w:ascii="Verdana" w:eastAsia="Calibri" w:hAnsi="Verdana" w:cs="Arial"/>
          <w:sz w:val="20"/>
          <w:szCs w:val="20"/>
        </w:rPr>
        <w:t>.</w:t>
      </w:r>
    </w:p>
    <w:p w14:paraId="083F0BAC" w14:textId="77777777" w:rsidR="000906F1" w:rsidRPr="00A3149F" w:rsidRDefault="000906F1" w:rsidP="000906F1">
      <w:pPr>
        <w:widowControl w:val="0"/>
        <w:autoSpaceDE w:val="0"/>
        <w:autoSpaceDN w:val="0"/>
        <w:spacing w:after="120" w:line="276" w:lineRule="auto"/>
        <w:ind w:firstLine="709"/>
        <w:jc w:val="both"/>
        <w:rPr>
          <w:rFonts w:ascii="Verdana" w:eastAsia="Calibri" w:hAnsi="Verdana" w:cs="Arial"/>
        </w:rPr>
      </w:pPr>
      <w:r w:rsidRPr="00F21CBC">
        <w:rPr>
          <w:rFonts w:ascii="Verdana" w:eastAsia="Calibri" w:hAnsi="Verdana" w:cs="Arial"/>
        </w:rPr>
        <w:t xml:space="preserve">De conformidad con lo anterior, es posible extraer las siguientes conclusiones en relación con la regulación de los conflictos de intereses en la contratación estatal: i) es posible que los pliegos de condiciones establezcan, si bien de forma restrictiva, conflictos de interés; ii) estos deben </w:t>
      </w:r>
      <w:r w:rsidRPr="00F21CBC">
        <w:rPr>
          <w:rFonts w:ascii="Verdana" w:eastAsia="Calibri" w:hAnsi="Verdana" w:cs="Arial"/>
          <w:i/>
          <w:iCs/>
        </w:rPr>
        <w:t>tipificarse</w:t>
      </w:r>
      <w:r w:rsidRPr="00F21CBC">
        <w:rPr>
          <w:rFonts w:ascii="Verdana" w:eastAsia="Calibri" w:hAnsi="Verdana" w:cs="Arial"/>
        </w:rPr>
        <w:t xml:space="preserve">, esto es, establecerse de forma expresa y concreta en los pliegos de condiciones; iii) las causales deben ser </w:t>
      </w:r>
      <w:r w:rsidRPr="00F21CBC">
        <w:rPr>
          <w:rFonts w:ascii="Verdana" w:eastAsia="Calibri" w:hAnsi="Verdana" w:cs="Arial"/>
          <w:i/>
          <w:iCs/>
        </w:rPr>
        <w:t>objetivas</w:t>
      </w:r>
      <w:r w:rsidRPr="00F21CBC">
        <w:rPr>
          <w:rFonts w:ascii="Verdana" w:eastAsia="Calibri" w:hAnsi="Verdana" w:cs="Arial"/>
        </w:rPr>
        <w:t xml:space="preserve">, esto es, que se describan con claridad, de manera que no resulten ambiguos dando lugar a que los intérpretes extraigan consecuencias diferentes; iv) las causales no pueden ser caprichosas, por lo que su inclusión debe justificarse en salvaguardar principios superiores, como la igualdad, la imparcialidad, la transparencia, la moralidad o la selección objetiva; v) su interpretación, al igual que las causales de inhabilidad o incompatibilidad, debe ser estricta o restrictiva; vi) solo se pueden aplicar los conflictos de interés tipificados en el pliego de condiciones, en la Constitución o en la ley, de manera que </w:t>
      </w:r>
      <w:r w:rsidRPr="00A3149F">
        <w:rPr>
          <w:rFonts w:ascii="Verdana" w:eastAsia="Calibri" w:hAnsi="Verdana" w:cs="Arial"/>
        </w:rPr>
        <w:t>su ausencia da lugar a que se parta del principio general de la capacidad contractual del proponente o contratista, de manera que la entidad no puede crear o aplicar causales que no incluyó en el pliego de condiciones</w:t>
      </w:r>
      <w:r w:rsidRPr="00A3149F">
        <w:rPr>
          <w:rStyle w:val="Refdenotaalpie"/>
          <w:rFonts w:ascii="Verdana" w:eastAsia="Calibri" w:hAnsi="Verdana" w:cs="Arial"/>
        </w:rPr>
        <w:footnoteReference w:id="16"/>
      </w:r>
      <w:r w:rsidRPr="00A3149F">
        <w:rPr>
          <w:rFonts w:ascii="Verdana" w:eastAsia="Calibri" w:hAnsi="Verdana" w:cs="Arial"/>
        </w:rPr>
        <w:t>.</w:t>
      </w:r>
    </w:p>
    <w:p w14:paraId="75AF71FD" w14:textId="77777777" w:rsidR="000906F1" w:rsidRDefault="000906F1" w:rsidP="000906F1">
      <w:pPr>
        <w:widowControl w:val="0"/>
        <w:autoSpaceDE w:val="0"/>
        <w:autoSpaceDN w:val="0"/>
        <w:spacing w:after="120" w:line="276" w:lineRule="auto"/>
        <w:ind w:firstLine="709"/>
        <w:jc w:val="both"/>
        <w:rPr>
          <w:rFonts w:ascii="Verdana" w:eastAsia="Century Gothic" w:hAnsi="Verdana" w:cs="Century Gothic"/>
          <w:bCs/>
        </w:rPr>
      </w:pPr>
      <w:r w:rsidRPr="00A3149F">
        <w:rPr>
          <w:rFonts w:ascii="Verdana" w:eastAsia="Calibri" w:hAnsi="Verdana" w:cs="Arial"/>
        </w:rPr>
        <w:t>En este sentido,</w:t>
      </w:r>
      <w:r w:rsidRPr="00A3149F">
        <w:rPr>
          <w:rFonts w:ascii="Verdana" w:eastAsia="Calibri" w:hAnsi="Verdana" w:cs="Arial"/>
          <w:color w:val="000000" w:themeColor="text1"/>
          <w:lang w:val="es-ES_tradnl"/>
        </w:rPr>
        <w:t xml:space="preserve"> solo es posible aplicar las causales de conflicto de interés que se encuentre tipificadas y que expresamente se hayan establecido en el </w:t>
      </w:r>
      <w:r w:rsidRPr="00A3149F">
        <w:rPr>
          <w:rFonts w:ascii="Verdana" w:eastAsia="Calibri" w:hAnsi="Verdana" w:cs="Arial"/>
          <w:color w:val="000000" w:themeColor="text1"/>
          <w:lang w:val="es-ES_tradnl"/>
        </w:rPr>
        <w:lastRenderedPageBreak/>
        <w:t xml:space="preserve">pliego de condiciones o estudios previos. De esta manera, </w:t>
      </w:r>
      <w:r w:rsidRPr="00A3149F">
        <w:rPr>
          <w:rFonts w:ascii="Verdana" w:eastAsia="Century Gothic" w:hAnsi="Verdana" w:cs="Century Gothic"/>
          <w:bCs/>
        </w:rPr>
        <w:t>corresponde a las Entidades Estatales, al verificar la capacidad</w:t>
      </w:r>
      <w:r w:rsidRPr="00E0405E">
        <w:rPr>
          <w:rFonts w:ascii="Verdana" w:eastAsia="Century Gothic" w:hAnsi="Verdana" w:cs="Century Gothic"/>
          <w:bCs/>
        </w:rPr>
        <w:t xml:space="preserve"> jurídica de las personas con quienes pretenden suscribir contratos, determinar en cada caso concreto si se configura algún conflicto de interés</w:t>
      </w:r>
      <w:r>
        <w:rPr>
          <w:rFonts w:ascii="Verdana" w:eastAsia="Century Gothic" w:hAnsi="Verdana" w:cs="Century Gothic"/>
          <w:bCs/>
        </w:rPr>
        <w:t xml:space="preserve"> de acuerdo con las causales que haya tipificado en el pliego de condiciones o en el contrato</w:t>
      </w:r>
      <w:r w:rsidRPr="00E0405E">
        <w:rPr>
          <w:rFonts w:ascii="Verdana" w:eastAsia="Century Gothic" w:hAnsi="Verdana" w:cs="Century Gothic"/>
          <w:bCs/>
        </w:rPr>
        <w:t xml:space="preserve">. </w:t>
      </w:r>
      <w:r>
        <w:rPr>
          <w:rFonts w:ascii="Verdana" w:eastAsia="Century Gothic" w:hAnsi="Verdana" w:cs="Century Gothic"/>
          <w:bCs/>
        </w:rPr>
        <w:t>Por tanto</w:t>
      </w:r>
      <w:r w:rsidRPr="00E0405E">
        <w:rPr>
          <w:rFonts w:ascii="Verdana" w:eastAsia="Century Gothic" w:hAnsi="Verdana" w:cs="Century Gothic"/>
          <w:bCs/>
        </w:rPr>
        <w:t xml:space="preserve">, la conclusión aquí expuesta no remplaza el deber de verificación de las Entidades Estatales, ni puede ser tomada como un juicio de valor sobre alguna situación de orden particular. </w:t>
      </w:r>
    </w:p>
    <w:p w14:paraId="66B4F310" w14:textId="77777777" w:rsidR="000906F1" w:rsidRDefault="000906F1" w:rsidP="000906F1">
      <w:pPr>
        <w:spacing w:after="0" w:line="276" w:lineRule="auto"/>
        <w:ind w:firstLine="708"/>
        <w:jc w:val="both"/>
        <w:rPr>
          <w:rFonts w:ascii="Verdana" w:eastAsia="Arial MT" w:hAnsi="Verdana" w:cs="Arial"/>
          <w:lang w:eastAsia="es-ES" w:bidi="es-ES"/>
        </w:rPr>
      </w:pPr>
      <w:r w:rsidRPr="00D764A1">
        <w:rPr>
          <w:rFonts w:ascii="Verdana" w:eastAsia="Arial MT" w:hAnsi="Verdana" w:cs="Arial"/>
          <w:lang w:eastAsia="es-ES" w:bidi="es-ES"/>
        </w:rPr>
        <w:t>No obstante,</w:t>
      </w:r>
      <w:r>
        <w:rPr>
          <w:rFonts w:ascii="Verdana" w:eastAsia="Arial MT" w:hAnsi="Verdana" w:cs="Arial"/>
          <w:lang w:eastAsia="es-ES" w:bidi="es-ES"/>
        </w:rPr>
        <w:t xml:space="preserve"> de acuerdo a los lineamentos generales que preceden, le corresponde a</w:t>
      </w:r>
      <w:r w:rsidRPr="00D764A1">
        <w:rPr>
          <w:rFonts w:ascii="Verdana" w:eastAsia="Arial MT" w:hAnsi="Verdana" w:cs="Arial"/>
          <w:lang w:eastAsia="es-ES" w:bidi="es-ES"/>
        </w:rPr>
        <w:t xml:space="preserve"> cada entidad contratante</w:t>
      </w:r>
      <w:r>
        <w:rPr>
          <w:rFonts w:ascii="Verdana" w:eastAsia="Arial MT" w:hAnsi="Verdana" w:cs="Arial"/>
          <w:lang w:eastAsia="es-ES" w:bidi="es-ES"/>
        </w:rPr>
        <w:t xml:space="preserve"> </w:t>
      </w:r>
      <w:r w:rsidRPr="00D764A1">
        <w:rPr>
          <w:rFonts w:ascii="Verdana" w:eastAsia="Arial MT" w:hAnsi="Verdana" w:cs="Arial"/>
          <w:lang w:eastAsia="es-ES" w:bidi="es-ES"/>
        </w:rPr>
        <w:t xml:space="preserve">verificar si, en el marco concreto de las funciones asignadas al contratista </w:t>
      </w:r>
      <w:r>
        <w:rPr>
          <w:rFonts w:ascii="Verdana" w:eastAsia="Arial MT" w:hAnsi="Verdana" w:cs="Arial"/>
          <w:lang w:eastAsia="es-ES" w:bidi="es-ES"/>
        </w:rPr>
        <w:t>en el contrato</w:t>
      </w:r>
      <w:r w:rsidRPr="00D764A1">
        <w:rPr>
          <w:rFonts w:ascii="Verdana" w:eastAsia="Arial MT" w:hAnsi="Verdana" w:cs="Arial"/>
          <w:lang w:eastAsia="es-ES" w:bidi="es-ES"/>
        </w:rPr>
        <w:t>, pudiera configurarse una conducta que revista la connotación de conflicto de interés, derivada de la existencia de intereses contrapuestos que comprometan la transparencia, independencia o rectitud de las actuaciones a su cargo, o que lo puedan llevar a adoptar decisiones orientadas al beneficio personal, familiar o particular en detrimento del interés público. En tales eventos, el eventual conflicto de interés debe analizarse bajo los criterios de tipicidad y objetividad que exige la doctrina y la jurisprudencia en la materia.</w:t>
      </w:r>
    </w:p>
    <w:p w14:paraId="46DDAC44" w14:textId="77777777" w:rsidR="000906F1" w:rsidRPr="00C45C5D" w:rsidRDefault="000906F1" w:rsidP="000906F1">
      <w:pPr>
        <w:spacing w:after="0" w:line="276" w:lineRule="auto"/>
        <w:jc w:val="both"/>
        <w:rPr>
          <w:rFonts w:ascii="Verdana" w:eastAsia="Calibri" w:hAnsi="Verdana" w:cs="Arial"/>
          <w:color w:val="000000" w:themeColor="text1"/>
        </w:rPr>
      </w:pPr>
    </w:p>
    <w:p w14:paraId="4126856B" w14:textId="77777777" w:rsidR="000906F1" w:rsidRPr="00C45C5D" w:rsidRDefault="000906F1" w:rsidP="000906F1">
      <w:pPr>
        <w:numPr>
          <w:ilvl w:val="0"/>
          <w:numId w:val="16"/>
        </w:numPr>
        <w:tabs>
          <w:tab w:val="left" w:pos="142"/>
          <w:tab w:val="left" w:pos="284"/>
        </w:tabs>
        <w:spacing w:after="0" w:line="276" w:lineRule="auto"/>
        <w:jc w:val="both"/>
        <w:rPr>
          <w:rFonts w:ascii="Verdana" w:eastAsia="Century Gothic" w:hAnsi="Verdana" w:cs="Century Gothic"/>
          <w:b/>
          <w:bCs/>
          <w:lang w:val="es-ES"/>
        </w:rPr>
      </w:pPr>
      <w:r w:rsidRPr="00C45C5D">
        <w:rPr>
          <w:rFonts w:ascii="Verdana" w:eastAsia="Century Gothic" w:hAnsi="Verdana" w:cs="Century Gothic"/>
          <w:b/>
          <w:bCs/>
          <w:lang w:val="es-ES"/>
        </w:rPr>
        <w:t>Referencias normativas y jurisprudenciales:</w:t>
      </w:r>
    </w:p>
    <w:p w14:paraId="7DD9361B" w14:textId="77777777" w:rsidR="000906F1" w:rsidRPr="00C45C5D" w:rsidRDefault="000906F1" w:rsidP="000906F1">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906F1" w:rsidRPr="00C45C5D" w14:paraId="2E115918" w14:textId="77777777" w:rsidTr="004966D6">
        <w:trPr>
          <w:trHeight w:val="3254"/>
          <w:jc w:val="center"/>
        </w:trPr>
        <w:tc>
          <w:tcPr>
            <w:tcW w:w="8647" w:type="dxa"/>
          </w:tcPr>
          <w:p w14:paraId="10FD9AA7" w14:textId="77777777" w:rsidR="000906F1" w:rsidRPr="00DC7C22" w:rsidRDefault="000906F1" w:rsidP="000906F1">
            <w:pPr>
              <w:numPr>
                <w:ilvl w:val="0"/>
                <w:numId w:val="17"/>
              </w:numPr>
              <w:spacing w:line="256" w:lineRule="auto"/>
              <w:contextualSpacing/>
              <w:jc w:val="both"/>
              <w:rPr>
                <w:rFonts w:ascii="Verdana" w:hAnsi="Verdana" w:cs="Arial"/>
                <w:lang w:val="es-ES_tradnl"/>
              </w:rPr>
            </w:pPr>
            <w:r w:rsidRPr="00DC7C22">
              <w:rPr>
                <w:rFonts w:ascii="Verdana" w:hAnsi="Verdana" w:cs="Arial"/>
                <w:lang w:val="es-ES_tradnl"/>
              </w:rPr>
              <w:t xml:space="preserve">Ley 80 de 1993, artículos </w:t>
            </w:r>
            <w:r>
              <w:rPr>
                <w:rFonts w:ascii="Verdana" w:hAnsi="Verdana" w:cs="Arial"/>
                <w:lang w:val="es-ES_tradnl"/>
              </w:rPr>
              <w:t xml:space="preserve">3, </w:t>
            </w:r>
            <w:r w:rsidRPr="00DC7C22">
              <w:rPr>
                <w:rFonts w:ascii="Verdana" w:hAnsi="Verdana" w:cs="Arial"/>
                <w:lang w:val="es-ES_tradnl"/>
              </w:rPr>
              <w:t>6</w:t>
            </w:r>
            <w:r>
              <w:rPr>
                <w:rFonts w:ascii="Verdana" w:hAnsi="Verdana" w:cs="Arial"/>
                <w:lang w:val="es-ES_tradnl"/>
              </w:rPr>
              <w:t xml:space="preserve"> y </w:t>
            </w:r>
            <w:r w:rsidRPr="00DC7C22">
              <w:rPr>
                <w:rFonts w:ascii="Verdana" w:hAnsi="Verdana" w:cs="Arial"/>
                <w:lang w:val="es-ES_tradnl"/>
              </w:rPr>
              <w:t>8</w:t>
            </w:r>
          </w:p>
          <w:p w14:paraId="6C22C16C" w14:textId="77777777" w:rsidR="000906F1" w:rsidRPr="00DC7C22" w:rsidRDefault="000906F1" w:rsidP="000906F1">
            <w:pPr>
              <w:numPr>
                <w:ilvl w:val="0"/>
                <w:numId w:val="17"/>
              </w:numPr>
              <w:spacing w:line="256" w:lineRule="auto"/>
              <w:contextualSpacing/>
              <w:jc w:val="both"/>
              <w:rPr>
                <w:rFonts w:ascii="Verdana" w:hAnsi="Verdana" w:cs="Arial"/>
                <w:lang w:val="es-ES_tradnl"/>
              </w:rPr>
            </w:pPr>
            <w:r w:rsidRPr="00DC7C22">
              <w:rPr>
                <w:rFonts w:ascii="Verdana" w:hAnsi="Verdana" w:cs="Arial"/>
                <w:lang w:val="es-ES_tradnl"/>
              </w:rPr>
              <w:t>Código Civil, artículo 150</w:t>
            </w:r>
            <w:r>
              <w:rPr>
                <w:rFonts w:ascii="Verdana" w:hAnsi="Verdana" w:cs="Arial"/>
                <w:lang w:val="es-ES_tradnl"/>
              </w:rPr>
              <w:t>2</w:t>
            </w:r>
          </w:p>
          <w:p w14:paraId="0C633463" w14:textId="77777777" w:rsidR="000906F1" w:rsidRPr="00DC7C22" w:rsidRDefault="000906F1" w:rsidP="000906F1">
            <w:pPr>
              <w:numPr>
                <w:ilvl w:val="0"/>
                <w:numId w:val="17"/>
              </w:numPr>
              <w:spacing w:line="256" w:lineRule="auto"/>
              <w:contextualSpacing/>
              <w:jc w:val="both"/>
              <w:rPr>
                <w:rFonts w:ascii="Verdana" w:hAnsi="Verdana" w:cs="Arial"/>
                <w:lang w:val="es-ES_tradnl"/>
              </w:rPr>
            </w:pPr>
            <w:r w:rsidRPr="00DC7C22">
              <w:rPr>
                <w:rFonts w:ascii="Verdana" w:hAnsi="Verdana" w:cs="Arial"/>
                <w:lang w:val="es-ES_tradnl"/>
              </w:rPr>
              <w:t>Corte Constitucional. Sentencia T-1039 de 2006 Magistrado Ponente: Humberto Sierra Porto</w:t>
            </w:r>
          </w:p>
          <w:p w14:paraId="54DD8006" w14:textId="77777777" w:rsidR="000906F1" w:rsidRPr="00DC7C22" w:rsidRDefault="000906F1" w:rsidP="000906F1">
            <w:pPr>
              <w:numPr>
                <w:ilvl w:val="0"/>
                <w:numId w:val="17"/>
              </w:numPr>
              <w:spacing w:line="256" w:lineRule="auto"/>
              <w:contextualSpacing/>
              <w:jc w:val="both"/>
              <w:rPr>
                <w:rFonts w:ascii="Verdana" w:hAnsi="Verdana" w:cs="Arial"/>
                <w:lang w:val="es-ES"/>
              </w:rPr>
            </w:pPr>
            <w:r w:rsidRPr="6EF52751">
              <w:rPr>
                <w:rFonts w:ascii="Verdana" w:hAnsi="Verdana" w:cs="Arial"/>
                <w:lang w:val="es-ES"/>
              </w:rPr>
              <w:t xml:space="preserve">Consejo de Estado. Sala de Consulta y Servicio Civil. Concepto del 30 de abril de 2015. Expediente: 2251. Consejero Ponente: Álvaro </w:t>
            </w:r>
            <w:proofErr w:type="spellStart"/>
            <w:r w:rsidRPr="6EF52751">
              <w:rPr>
                <w:rFonts w:ascii="Verdana" w:hAnsi="Verdana" w:cs="Arial"/>
                <w:lang w:val="es-ES"/>
              </w:rPr>
              <w:t>Namén</w:t>
            </w:r>
            <w:proofErr w:type="spellEnd"/>
            <w:r w:rsidRPr="6EF52751">
              <w:rPr>
                <w:rFonts w:ascii="Verdana" w:hAnsi="Verdana" w:cs="Arial"/>
                <w:lang w:val="es-ES"/>
              </w:rPr>
              <w:t xml:space="preserve"> Vargas</w:t>
            </w:r>
          </w:p>
          <w:p w14:paraId="508539A6" w14:textId="77777777" w:rsidR="000906F1" w:rsidRPr="00DC7C22" w:rsidRDefault="000906F1" w:rsidP="000906F1">
            <w:pPr>
              <w:numPr>
                <w:ilvl w:val="0"/>
                <w:numId w:val="17"/>
              </w:numPr>
              <w:spacing w:line="256" w:lineRule="auto"/>
              <w:contextualSpacing/>
              <w:jc w:val="both"/>
              <w:rPr>
                <w:rFonts w:ascii="Verdana" w:hAnsi="Verdana" w:cs="Arial"/>
                <w:lang w:val="es-ES"/>
              </w:rPr>
            </w:pPr>
            <w:r w:rsidRPr="6EF52751">
              <w:rPr>
                <w:rFonts w:ascii="Verdana" w:hAnsi="Verdana" w:cs="Arial"/>
                <w:lang w:val="es-ES"/>
              </w:rPr>
              <w:t xml:space="preserve">Consejo de Estado. Sección Tercera. Subsección A. Sentencia del 24 de junio de 2015. </w:t>
            </w:r>
            <w:proofErr w:type="spellStart"/>
            <w:r w:rsidRPr="6EF52751">
              <w:rPr>
                <w:rFonts w:ascii="Verdana" w:hAnsi="Verdana" w:cs="Arial"/>
                <w:lang w:val="es-ES"/>
              </w:rPr>
              <w:t>Exp</w:t>
            </w:r>
            <w:proofErr w:type="spellEnd"/>
            <w:r w:rsidRPr="6EF52751">
              <w:rPr>
                <w:rFonts w:ascii="Verdana" w:hAnsi="Verdana" w:cs="Arial"/>
                <w:lang w:val="es-ES"/>
              </w:rPr>
              <w:t>. 40.635. Consejero Ponente: Hernán Andrade Rincón (E).</w:t>
            </w:r>
          </w:p>
          <w:p w14:paraId="22017C7C" w14:textId="77777777" w:rsidR="000906F1" w:rsidRPr="00187F2B" w:rsidRDefault="000906F1" w:rsidP="000906F1">
            <w:pPr>
              <w:numPr>
                <w:ilvl w:val="0"/>
                <w:numId w:val="17"/>
              </w:numPr>
              <w:spacing w:line="256" w:lineRule="auto"/>
              <w:contextualSpacing/>
              <w:jc w:val="both"/>
              <w:rPr>
                <w:rFonts w:ascii="Verdana" w:hAnsi="Verdana" w:cs="Arial"/>
                <w:lang w:val="es-ES"/>
              </w:rPr>
            </w:pPr>
            <w:r w:rsidRPr="6EF52751">
              <w:rPr>
                <w:rFonts w:ascii="Verdana" w:hAnsi="Verdana" w:cs="Arial"/>
                <w:lang w:val="es-ES"/>
              </w:rPr>
              <w:t xml:space="preserve">Consejo de Estado. Sección Tercera. Subsección C. Sentencia del 22 de mayo de 2013. </w:t>
            </w:r>
            <w:proofErr w:type="spellStart"/>
            <w:r w:rsidRPr="6EF52751">
              <w:rPr>
                <w:rFonts w:ascii="Verdana" w:hAnsi="Verdana" w:cs="Arial"/>
                <w:lang w:val="es-ES"/>
              </w:rPr>
              <w:t>Exp</w:t>
            </w:r>
            <w:proofErr w:type="spellEnd"/>
            <w:r w:rsidRPr="6EF52751">
              <w:rPr>
                <w:rFonts w:ascii="Verdana" w:hAnsi="Verdana" w:cs="Arial"/>
                <w:lang w:val="es-ES"/>
              </w:rPr>
              <w:t xml:space="preserve">. 24.057. Consejera Ponente: Olga </w:t>
            </w:r>
            <w:proofErr w:type="spellStart"/>
            <w:r w:rsidRPr="6EF52751">
              <w:rPr>
                <w:rFonts w:ascii="Verdana" w:hAnsi="Verdana" w:cs="Arial"/>
                <w:lang w:val="es-ES"/>
              </w:rPr>
              <w:t>Melida</w:t>
            </w:r>
            <w:proofErr w:type="spellEnd"/>
            <w:r w:rsidRPr="6EF52751">
              <w:rPr>
                <w:rFonts w:ascii="Verdana" w:hAnsi="Verdana" w:cs="Arial"/>
                <w:lang w:val="es-ES"/>
              </w:rPr>
              <w:t xml:space="preserve"> Valle De </w:t>
            </w:r>
            <w:proofErr w:type="spellStart"/>
            <w:r w:rsidRPr="6EF52751">
              <w:rPr>
                <w:rFonts w:ascii="Verdana" w:hAnsi="Verdana" w:cs="Arial"/>
                <w:lang w:val="es-ES"/>
              </w:rPr>
              <w:t>De</w:t>
            </w:r>
            <w:proofErr w:type="spellEnd"/>
            <w:r w:rsidRPr="6EF52751">
              <w:rPr>
                <w:rFonts w:ascii="Verdana" w:hAnsi="Verdana" w:cs="Arial"/>
                <w:lang w:val="es-ES"/>
              </w:rPr>
              <w:t xml:space="preserve"> La Hoz.</w:t>
            </w:r>
          </w:p>
        </w:tc>
      </w:tr>
    </w:tbl>
    <w:p w14:paraId="6A93C276" w14:textId="77777777" w:rsidR="000906F1" w:rsidRPr="00C45C5D" w:rsidRDefault="000906F1" w:rsidP="000906F1">
      <w:pPr>
        <w:widowControl w:val="0"/>
        <w:autoSpaceDE w:val="0"/>
        <w:autoSpaceDN w:val="0"/>
        <w:spacing w:after="0" w:line="276" w:lineRule="auto"/>
        <w:jc w:val="both"/>
        <w:rPr>
          <w:rFonts w:ascii="Verdana" w:hAnsi="Verdana" w:cs="Arial"/>
        </w:rPr>
      </w:pPr>
    </w:p>
    <w:p w14:paraId="4198136A" w14:textId="77777777" w:rsidR="000906F1" w:rsidRPr="00C45C5D" w:rsidRDefault="000906F1" w:rsidP="000906F1">
      <w:pPr>
        <w:numPr>
          <w:ilvl w:val="0"/>
          <w:numId w:val="16"/>
        </w:numPr>
        <w:tabs>
          <w:tab w:val="left" w:pos="142"/>
          <w:tab w:val="left" w:pos="284"/>
        </w:tabs>
        <w:spacing w:after="0" w:line="276" w:lineRule="auto"/>
        <w:jc w:val="both"/>
        <w:rPr>
          <w:rFonts w:ascii="Verdana" w:eastAsia="Century Gothic" w:hAnsi="Verdana" w:cs="Century Gothic"/>
          <w:b/>
          <w:bCs/>
          <w:lang w:val="es-ES"/>
        </w:rPr>
      </w:pPr>
      <w:r w:rsidRPr="00C45C5D">
        <w:rPr>
          <w:rFonts w:ascii="Verdana" w:eastAsia="Century Gothic" w:hAnsi="Verdana" w:cs="Century Gothic"/>
          <w:b/>
          <w:bCs/>
          <w:lang w:val="es-ES"/>
        </w:rPr>
        <w:t>Doctrina de la Agencia Nacional de Contratación Pública:</w:t>
      </w:r>
    </w:p>
    <w:p w14:paraId="022DAE97" w14:textId="77777777" w:rsidR="000906F1" w:rsidRPr="00C45C5D" w:rsidRDefault="000906F1" w:rsidP="000906F1">
      <w:pPr>
        <w:widowControl w:val="0"/>
        <w:autoSpaceDE w:val="0"/>
        <w:autoSpaceDN w:val="0"/>
        <w:spacing w:after="0" w:line="276" w:lineRule="auto"/>
        <w:jc w:val="both"/>
        <w:rPr>
          <w:rFonts w:ascii="Verdana" w:hAnsi="Verdana" w:cs="Arial"/>
        </w:rPr>
      </w:pPr>
    </w:p>
    <w:p w14:paraId="2D8F8B9B" w14:textId="77777777" w:rsidR="000906F1" w:rsidRDefault="000906F1" w:rsidP="000906F1">
      <w:pPr>
        <w:widowControl w:val="0"/>
        <w:autoSpaceDE w:val="0"/>
        <w:autoSpaceDN w:val="0"/>
        <w:spacing w:after="120" w:line="276" w:lineRule="auto"/>
        <w:jc w:val="both"/>
        <w:rPr>
          <w:rFonts w:ascii="Verdana" w:hAnsi="Verdana"/>
        </w:rPr>
      </w:pPr>
      <w:r w:rsidRPr="0053731C">
        <w:rPr>
          <w:rFonts w:ascii="Verdana" w:eastAsia="Calibri" w:hAnsi="Verdana" w:cs="Arial"/>
          <w:lang w:val="es-ES_tradnl" w:eastAsia="es-ES_tradnl"/>
        </w:rPr>
        <w:t xml:space="preserve">Sobre el régimen de inhabilidades e incompatibilidades se pronunció esta </w:t>
      </w:r>
      <w:r w:rsidRPr="0053731C">
        <w:rPr>
          <w:rFonts w:ascii="Verdana" w:eastAsia="Calibri" w:hAnsi="Verdana" w:cs="Arial"/>
          <w:lang w:val="es-ES_tradnl" w:eastAsia="es-ES_tradnl"/>
        </w:rPr>
        <w:lastRenderedPageBreak/>
        <w:t xml:space="preserve">Subdirección en los conceptos </w:t>
      </w:r>
      <w:r w:rsidRPr="0053731C">
        <w:rPr>
          <w:rFonts w:ascii="Verdana" w:eastAsia="Calibri" w:hAnsi="Verdana" w:cs="Arial"/>
          <w:lang w:val="es-MX"/>
        </w:rPr>
        <w:t>C−402 del 26 de junio de 2020, C−365 del 30 de junio de 2020, C−386 del 24 de julio de 2020, C-585 del 14 de septiembre de 2020, C–592 del 14 de septiembre de 2020, C−551 de 24 de septiembre de 2020, C−709 del 7 de diciembre de 2020, C–721 de 14 de diciembre de 2020, C–004 del 12 de febrero de 2021, C–815 del 18 de febrero de 2021, C–047 del 8 de marzo de 2021, C–113 del 30 de marzo de 2021, C–122 del 30 de marzo de 2021, C–178 del 28 de abril de 2021, C−190 del 30 de abril de 2021, C−210 del 12 de mayo de 2021, C−275 del 11 de junio de 2021, C−293 del 28 de junio de 2021, C−321 del 2 de julio de 2021, C−410 del 7 de julio de 2021, C−491 del 14 de septiembre de 2021, C−522 del 1 de octubre de 2021, C−128 del 25 de marzo de 2022, C−252 del 3 de mayo de 2022, C−376 del 14 de junio de 2022, C−413 del 24 de junio de 2022, C−691 del 20 de octubre de 2022, C−731 del 10 de noviembre de 2022, C−928 del 26 de enero de 2023, C−126 del 24 de abril de 2023, C−175 del 4 de mayo de 2023, C−234 del 5 de julio de 2023, C−010 del 31 de enero de 2024 y C-039 del 23 de abril de 2024</w:t>
      </w:r>
      <w:r w:rsidRPr="0053731C">
        <w:rPr>
          <w:rFonts w:ascii="Verdana" w:hAnsi="Verdana" w:cs="Arial"/>
        </w:rPr>
        <w:t xml:space="preserve">. También se ha pronunciado sobre </w:t>
      </w:r>
      <w:r>
        <w:rPr>
          <w:rFonts w:ascii="Verdana" w:hAnsi="Verdana" w:cs="Arial"/>
        </w:rPr>
        <w:t>el conflicto de interés</w:t>
      </w:r>
      <w:r w:rsidRPr="0053731C">
        <w:rPr>
          <w:rFonts w:ascii="Verdana" w:hAnsi="Verdana" w:cs="Arial"/>
        </w:rPr>
        <w:t xml:space="preserve"> en los conceptos </w:t>
      </w:r>
      <w:r w:rsidRPr="007440AE">
        <w:rPr>
          <w:rFonts w:ascii="Verdana" w:hAnsi="Verdana" w:cs="Arial"/>
        </w:rPr>
        <w:t>C-229 del 16 de abril de 2020, C-815 del 18 de febrero de 2021</w:t>
      </w:r>
      <w:r>
        <w:rPr>
          <w:rFonts w:ascii="Verdana" w:hAnsi="Verdana" w:cs="Arial"/>
        </w:rPr>
        <w:t>,</w:t>
      </w:r>
      <w:r w:rsidRPr="007440AE">
        <w:rPr>
          <w:rFonts w:ascii="Verdana" w:hAnsi="Verdana" w:cs="Arial"/>
        </w:rPr>
        <w:t xml:space="preserve"> C-449 del 31 de agosto de 2021</w:t>
      </w:r>
      <w:r>
        <w:rPr>
          <w:rFonts w:ascii="Verdana" w:hAnsi="Verdana" w:cs="Arial"/>
        </w:rPr>
        <w:t>,</w:t>
      </w:r>
      <w:r w:rsidRPr="0053731C">
        <w:rPr>
          <w:rFonts w:ascii="Verdana" w:hAnsi="Verdana" w:cs="Arial"/>
        </w:rPr>
        <w:t xml:space="preserve"> C-</w:t>
      </w:r>
      <w:r>
        <w:rPr>
          <w:rFonts w:ascii="Verdana" w:hAnsi="Verdana" w:cs="Arial"/>
        </w:rPr>
        <w:t>288</w:t>
      </w:r>
      <w:r w:rsidRPr="0053731C">
        <w:rPr>
          <w:rFonts w:ascii="Verdana" w:hAnsi="Verdana" w:cs="Arial"/>
        </w:rPr>
        <w:t xml:space="preserve"> del </w:t>
      </w:r>
      <w:r>
        <w:rPr>
          <w:rFonts w:ascii="Verdana" w:hAnsi="Verdana" w:cs="Arial"/>
        </w:rPr>
        <w:t>14</w:t>
      </w:r>
      <w:r w:rsidRPr="0053731C">
        <w:rPr>
          <w:rFonts w:ascii="Verdana" w:hAnsi="Verdana" w:cs="Arial"/>
        </w:rPr>
        <w:t xml:space="preserve"> de</w:t>
      </w:r>
      <w:r>
        <w:rPr>
          <w:rFonts w:ascii="Verdana" w:hAnsi="Verdana" w:cs="Arial"/>
        </w:rPr>
        <w:t xml:space="preserve"> julio </w:t>
      </w:r>
      <w:r w:rsidRPr="0053731C">
        <w:rPr>
          <w:rFonts w:ascii="Verdana" w:hAnsi="Verdana" w:cs="Arial"/>
        </w:rPr>
        <w:t>de 202</w:t>
      </w:r>
      <w:r>
        <w:rPr>
          <w:rFonts w:ascii="Verdana" w:hAnsi="Verdana" w:cs="Arial"/>
        </w:rPr>
        <w:t>3, C-651 del 22 de octubre de 2024, C-680 del 15 de noviembre de 2024, C-693 del 19 de noviembre de 2024 y C-839 del 13 de diciembre de 2024</w:t>
      </w:r>
      <w:r w:rsidRPr="00C45C5D">
        <w:rPr>
          <w:rFonts w:ascii="Verdana" w:hAnsi="Verdana" w:cs="Arial"/>
          <w:shd w:val="clear" w:color="auto" w:fill="FFFFFF"/>
          <w:lang w:val="es-ES"/>
        </w:rPr>
        <w:t>. Es</w:t>
      </w:r>
      <w:r w:rsidRPr="00C45C5D">
        <w:rPr>
          <w:rFonts w:ascii="Verdana" w:hAnsi="Verdana"/>
        </w:rPr>
        <w:t>tos y otros conceptos se encuentran disponibles para consulta en el Sistema de relatoría de la Agencia, al cual se puede acceder a través del siguiente enlace:</w:t>
      </w:r>
    </w:p>
    <w:p w14:paraId="76EB8E5A" w14:textId="77777777" w:rsidR="000906F1" w:rsidRPr="00062436" w:rsidRDefault="000906F1" w:rsidP="000906F1">
      <w:pPr>
        <w:widowControl w:val="0"/>
        <w:autoSpaceDE w:val="0"/>
        <w:autoSpaceDN w:val="0"/>
        <w:spacing w:after="120" w:line="276" w:lineRule="auto"/>
        <w:jc w:val="both"/>
        <w:rPr>
          <w:rFonts w:ascii="Verdana" w:hAnsi="Verdana" w:cs="Arial"/>
        </w:rPr>
      </w:pPr>
      <w:hyperlink r:id="rId12" w:history="1">
        <w:r w:rsidRPr="00C45C5D">
          <w:rPr>
            <w:rFonts w:ascii="Verdana" w:hAnsi="Verdana" w:cs="Arial"/>
            <w:color w:val="0563C1" w:themeColor="hyperlink"/>
            <w:u w:val="single"/>
            <w:shd w:val="clear" w:color="auto" w:fill="FFFFFF"/>
            <w:lang w:val="es-ES"/>
          </w:rPr>
          <w:t>https://relatoria.colombiacompra.gov.co/busqueda/conceptos</w:t>
        </w:r>
      </w:hyperlink>
      <w:r w:rsidRPr="00C45C5D">
        <w:rPr>
          <w:rFonts w:ascii="Verdana" w:hAnsi="Verdana" w:cs="Arial"/>
          <w:shd w:val="clear" w:color="auto" w:fill="FFFFFF"/>
          <w:lang w:val="es-ES"/>
        </w:rPr>
        <w:t>.</w:t>
      </w:r>
      <w:r w:rsidRPr="00C45C5D">
        <w:rPr>
          <w:rFonts w:ascii="Verdana" w:hAnsi="Verdana" w:cs="Arial"/>
          <w:color w:val="FF0000"/>
          <w:shd w:val="clear" w:color="auto" w:fill="FFFFFF"/>
          <w:lang w:val="es-ES"/>
        </w:rPr>
        <w:t xml:space="preserve"> </w:t>
      </w:r>
      <w:r w:rsidRPr="00C45C5D">
        <w:rPr>
          <w:rFonts w:ascii="Verdana" w:hAnsi="Verdana" w:cs="Arial"/>
          <w:color w:val="000000" w:themeColor="text1"/>
          <w:shd w:val="clear" w:color="auto" w:fill="FFFFFF"/>
        </w:rPr>
        <w:t>  </w:t>
      </w:r>
    </w:p>
    <w:p w14:paraId="45C109C2" w14:textId="77777777" w:rsidR="000906F1" w:rsidRPr="00E3533A" w:rsidRDefault="000906F1" w:rsidP="000906F1">
      <w:pPr>
        <w:spacing w:after="0" w:line="256" w:lineRule="auto"/>
        <w:jc w:val="both"/>
        <w:rPr>
          <w:rFonts w:ascii="Verdana" w:eastAsia="Calibri" w:hAnsi="Verdana" w:cs="Times New Roman"/>
        </w:rPr>
      </w:pPr>
      <w:r w:rsidRPr="00E3533A">
        <w:rPr>
          <w:rFonts w:ascii="Verdana" w:eastAsia="Calibri" w:hAnsi="Verdana" w:cs="Times New Roman"/>
        </w:rPr>
        <w:t xml:space="preserve">Te informamos que ya se encuentra disponible la </w:t>
      </w:r>
      <w:r w:rsidRPr="00E3533A">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E3533A">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E3533A">
        <w:rPr>
          <w:rFonts w:ascii="Verdana" w:eastAsia="Calibri" w:hAnsi="Verdana" w:cs="Times New Roman"/>
        </w:rPr>
        <w:t>Wayúu</w:t>
      </w:r>
      <w:proofErr w:type="spellEnd"/>
      <w:r w:rsidRPr="00E3533A">
        <w:rPr>
          <w:rFonts w:ascii="Verdana" w:eastAsia="Calibri" w:hAnsi="Verdana" w:cs="Times New Roman"/>
        </w:rPr>
        <w:t xml:space="preserve">. Puede consultar la guía en el siguiente enlace: Guía de lineamientos de transparencia y selección objetiva para el departamento de La Guajira – Objetivo sexto constitucional de la Sentencia T-302 del 2017". </w:t>
      </w:r>
    </w:p>
    <w:p w14:paraId="19A02315" w14:textId="77777777" w:rsidR="000906F1" w:rsidRDefault="000906F1" w:rsidP="000906F1">
      <w:pPr>
        <w:widowControl w:val="0"/>
        <w:autoSpaceDE w:val="0"/>
        <w:autoSpaceDN w:val="0"/>
        <w:spacing w:after="0" w:line="276" w:lineRule="auto"/>
        <w:jc w:val="both"/>
        <w:rPr>
          <w:rFonts w:ascii="Verdana" w:hAnsi="Verdana" w:cs="Arial"/>
        </w:rPr>
      </w:pPr>
    </w:p>
    <w:p w14:paraId="2F6E9AAC" w14:textId="77777777" w:rsidR="000906F1" w:rsidRPr="00116940" w:rsidRDefault="000906F1" w:rsidP="000906F1">
      <w:pPr>
        <w:spacing w:after="0"/>
        <w:jc w:val="both"/>
        <w:rPr>
          <w:rFonts w:ascii="Verdana" w:hAnsi="Verdana"/>
        </w:rPr>
      </w:pPr>
      <w:r w:rsidRPr="00E02524">
        <w:rPr>
          <w:rFonts w:ascii="Verdana" w:hAnsi="Verdana"/>
        </w:rPr>
        <w:lastRenderedPageBreak/>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41307B3F" w14:textId="77777777" w:rsidR="000906F1" w:rsidRPr="00116940" w:rsidRDefault="000906F1" w:rsidP="000906F1">
      <w:pPr>
        <w:spacing w:after="0"/>
        <w:jc w:val="both"/>
        <w:rPr>
          <w:rFonts w:ascii="Verdana" w:hAnsi="Verdana"/>
        </w:rPr>
      </w:pPr>
    </w:p>
    <w:p w14:paraId="7BF4F3A7" w14:textId="77777777" w:rsidR="000906F1" w:rsidRPr="00116940" w:rsidRDefault="000906F1" w:rsidP="000906F1">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7F3450B7" w14:textId="77777777" w:rsidR="000906F1" w:rsidRPr="00116940" w:rsidRDefault="000906F1" w:rsidP="000906F1">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150970D9" w14:textId="77777777" w:rsidR="000906F1" w:rsidRPr="00116940" w:rsidRDefault="000906F1" w:rsidP="000906F1">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3">
        <w:r w:rsidRPr="00116940">
          <w:rPr>
            <w:rStyle w:val="Hipervnculo"/>
            <w:rFonts w:ascii="Verdana" w:eastAsia="Verdana" w:hAnsi="Verdana" w:cs="Verdana"/>
            <w:lang w:val="es-MX"/>
          </w:rPr>
          <w:t>ventanilladeradicacion@colombiacompra.gov.co</w:t>
        </w:r>
      </w:hyperlink>
    </w:p>
    <w:p w14:paraId="263AEBC2" w14:textId="77777777" w:rsidR="000906F1" w:rsidRPr="00116940" w:rsidRDefault="000906F1" w:rsidP="000906F1">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4">
        <w:r w:rsidRPr="00116940">
          <w:rPr>
            <w:rStyle w:val="Hipervnculo"/>
            <w:rFonts w:ascii="Verdana" w:eastAsia="Verdana" w:hAnsi="Verdana" w:cs="Verdana"/>
            <w:lang w:val="es-MX"/>
          </w:rPr>
          <w:t>https://www.colombiacompra.gov.co/pqrsd/informacion-importante-antes-de-formular-una-pqrsd</w:t>
        </w:r>
      </w:hyperlink>
    </w:p>
    <w:p w14:paraId="3D732A6C" w14:textId="77777777" w:rsidR="000906F1" w:rsidRPr="00116940" w:rsidRDefault="000906F1" w:rsidP="000906F1">
      <w:pPr>
        <w:spacing w:after="0" w:line="240" w:lineRule="auto"/>
        <w:ind w:left="720"/>
        <w:jc w:val="both"/>
        <w:rPr>
          <w:rFonts w:ascii="Verdana" w:hAnsi="Verdana"/>
        </w:rPr>
      </w:pPr>
    </w:p>
    <w:p w14:paraId="062F4CE0" w14:textId="77777777" w:rsidR="000906F1" w:rsidRPr="00116940" w:rsidRDefault="000906F1" w:rsidP="000906F1">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5"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5FA4E678" w14:textId="77777777" w:rsidR="000906F1" w:rsidRPr="00116940" w:rsidRDefault="000906F1" w:rsidP="000906F1">
      <w:pPr>
        <w:spacing w:after="0" w:line="240" w:lineRule="auto"/>
        <w:rPr>
          <w:rFonts w:ascii="Verdana" w:hAnsi="Verdana"/>
        </w:rPr>
      </w:pPr>
    </w:p>
    <w:p w14:paraId="542A732B" w14:textId="77777777" w:rsidR="000906F1" w:rsidRPr="00116940" w:rsidRDefault="000906F1" w:rsidP="000906F1">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7B910FD6" w14:textId="77777777" w:rsidR="000906F1" w:rsidRPr="00116940" w:rsidRDefault="000906F1" w:rsidP="000906F1">
      <w:pPr>
        <w:spacing w:after="0" w:line="240" w:lineRule="auto"/>
        <w:jc w:val="both"/>
        <w:rPr>
          <w:rFonts w:ascii="Verdana" w:hAnsi="Verdana"/>
        </w:rPr>
      </w:pPr>
    </w:p>
    <w:p w14:paraId="07196F12" w14:textId="77777777" w:rsidR="000906F1" w:rsidRPr="00116940" w:rsidRDefault="000906F1" w:rsidP="000906F1">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75C6AF6C" w14:textId="77777777" w:rsidR="000906F1" w:rsidRPr="00116940" w:rsidRDefault="000906F1" w:rsidP="000906F1">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6244B0AD" w14:textId="77777777" w:rsidR="000906F1" w:rsidRPr="00116940" w:rsidRDefault="000906F1" w:rsidP="000906F1">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003AD32A" w14:textId="77777777" w:rsidR="000906F1" w:rsidRPr="00116940" w:rsidRDefault="000906F1" w:rsidP="000906F1">
      <w:pPr>
        <w:spacing w:after="0" w:line="240" w:lineRule="auto"/>
        <w:jc w:val="both"/>
        <w:rPr>
          <w:rFonts w:ascii="Verdana" w:hAnsi="Verdana"/>
        </w:rPr>
      </w:pPr>
    </w:p>
    <w:p w14:paraId="6BC39E77" w14:textId="77777777" w:rsidR="000906F1" w:rsidRPr="00593A5F" w:rsidRDefault="000906F1" w:rsidP="000906F1">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4AA31B84" w14:textId="77777777" w:rsidR="000906F1" w:rsidRPr="00606FF7" w:rsidRDefault="000906F1" w:rsidP="000906F1">
      <w:pPr>
        <w:spacing w:after="0" w:line="276" w:lineRule="auto"/>
        <w:jc w:val="both"/>
        <w:rPr>
          <w:rFonts w:ascii="Verdana" w:hAnsi="Verdana"/>
          <w:lang w:val="es-ES_tradnl"/>
        </w:rPr>
      </w:pPr>
    </w:p>
    <w:p w14:paraId="6E63688C" w14:textId="77777777" w:rsidR="000906F1" w:rsidRPr="00606FF7" w:rsidRDefault="000906F1" w:rsidP="000906F1">
      <w:pPr>
        <w:spacing w:after="0" w:line="276" w:lineRule="auto"/>
        <w:jc w:val="both"/>
        <w:rPr>
          <w:rFonts w:ascii="Verdana" w:hAnsi="Verdana"/>
          <w:lang w:val="es-MX"/>
        </w:rPr>
      </w:pPr>
      <w:r w:rsidRPr="00606FF7">
        <w:rPr>
          <w:rFonts w:ascii="Verdana" w:hAnsi="Verdana"/>
          <w:lang w:val="es-MX"/>
        </w:rPr>
        <w:t>Cordialmente,</w:t>
      </w:r>
    </w:p>
    <w:p w14:paraId="76AEBBA4" w14:textId="65F13C0D" w:rsidR="000906F1" w:rsidRPr="00C45C5D" w:rsidRDefault="00C91AAC" w:rsidP="000906F1">
      <w:pPr>
        <w:spacing w:line="276" w:lineRule="auto"/>
        <w:jc w:val="center"/>
        <w:rPr>
          <w:rFonts w:ascii="Verdana" w:hAnsi="Verdana" w:cs="Arial"/>
          <w:color w:val="000000"/>
          <w:lang w:val="es-ES_tradnl" w:eastAsia="es-CO"/>
        </w:rPr>
      </w:pPr>
      <w:r w:rsidRPr="002C3AD6">
        <w:rPr>
          <w:rFonts w:ascii="Century Gothic" w:hAnsi="Century Gothic"/>
          <w:noProof/>
        </w:rPr>
        <w:lastRenderedPageBreak/>
        <w:drawing>
          <wp:inline distT="0" distB="0" distL="0" distR="0" wp14:anchorId="7299BE06" wp14:editId="0F1BDD53">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906F1" w:rsidRPr="00E3533A" w14:paraId="1D901F1F" w14:textId="77777777" w:rsidTr="004966D6">
        <w:trPr>
          <w:trHeight w:val="315"/>
        </w:trPr>
        <w:tc>
          <w:tcPr>
            <w:tcW w:w="893" w:type="dxa"/>
            <w:vAlign w:val="center"/>
            <w:hideMark/>
          </w:tcPr>
          <w:p w14:paraId="28617B4A" w14:textId="77777777" w:rsidR="000906F1" w:rsidRPr="00E3533A" w:rsidRDefault="000906F1" w:rsidP="004966D6">
            <w:pPr>
              <w:contextualSpacing/>
              <w:rPr>
                <w:rFonts w:ascii="Verdana" w:hAnsi="Verdana" w:cs="Arial"/>
                <w:sz w:val="16"/>
                <w:szCs w:val="16"/>
                <w:lang w:eastAsia="es-ES"/>
              </w:rPr>
            </w:pPr>
            <w:r w:rsidRPr="00E3533A">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3EC39156" w14:textId="77777777" w:rsidR="000906F1" w:rsidRPr="00E3533A" w:rsidRDefault="000906F1" w:rsidP="004966D6">
            <w:pPr>
              <w:spacing w:line="256" w:lineRule="auto"/>
              <w:rPr>
                <w:rFonts w:ascii="Verdana" w:eastAsia="Calibri" w:hAnsi="Verdana" w:cs="Times New Roman"/>
                <w:sz w:val="16"/>
                <w:szCs w:val="16"/>
              </w:rPr>
            </w:pPr>
            <w:r>
              <w:rPr>
                <w:rFonts w:ascii="Verdana" w:eastAsia="Calibri" w:hAnsi="Verdana" w:cs="Times New Roman"/>
                <w:sz w:val="16"/>
                <w:szCs w:val="16"/>
              </w:rPr>
              <w:t>Richard Andrés Montenegro Siefken</w:t>
            </w:r>
          </w:p>
          <w:p w14:paraId="6FAB66B5" w14:textId="77777777" w:rsidR="000906F1" w:rsidRPr="00E3533A" w:rsidRDefault="000906F1" w:rsidP="004966D6">
            <w:pPr>
              <w:contextualSpacing/>
              <w:rPr>
                <w:rFonts w:ascii="Verdana" w:eastAsia="Arial" w:hAnsi="Verdana" w:cs="Arial"/>
                <w:sz w:val="16"/>
                <w:szCs w:val="16"/>
              </w:rPr>
            </w:pPr>
            <w:r>
              <w:rPr>
                <w:rFonts w:ascii="Verdana" w:eastAsia="Calibri" w:hAnsi="Verdana" w:cs="Times New Roman"/>
                <w:sz w:val="16"/>
                <w:szCs w:val="16"/>
              </w:rPr>
              <w:t xml:space="preserve">Contratista </w:t>
            </w:r>
            <w:r w:rsidRPr="00E3533A">
              <w:rPr>
                <w:rFonts w:ascii="Verdana" w:eastAsia="Calibri" w:hAnsi="Verdana" w:cs="Times New Roman"/>
                <w:sz w:val="16"/>
                <w:szCs w:val="16"/>
              </w:rPr>
              <w:t>de la Subdirección de Gestión Contractual</w:t>
            </w:r>
          </w:p>
        </w:tc>
      </w:tr>
      <w:tr w:rsidR="000906F1" w:rsidRPr="00E3533A" w14:paraId="598D23DC" w14:textId="77777777" w:rsidTr="004966D6">
        <w:trPr>
          <w:trHeight w:val="330"/>
        </w:trPr>
        <w:tc>
          <w:tcPr>
            <w:tcW w:w="893" w:type="dxa"/>
            <w:vAlign w:val="center"/>
            <w:hideMark/>
          </w:tcPr>
          <w:p w14:paraId="3D06BB5C" w14:textId="77777777" w:rsidR="000906F1" w:rsidRPr="00E3533A" w:rsidRDefault="000906F1" w:rsidP="004966D6">
            <w:pPr>
              <w:contextualSpacing/>
              <w:rPr>
                <w:rFonts w:ascii="Verdana" w:hAnsi="Verdana" w:cs="Arial"/>
                <w:sz w:val="16"/>
                <w:szCs w:val="16"/>
                <w:lang w:eastAsia="es-ES"/>
              </w:rPr>
            </w:pPr>
            <w:r w:rsidRPr="00E3533A">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64E7CC2" w14:textId="77777777" w:rsidR="000906F1" w:rsidRPr="002B5C7D" w:rsidRDefault="000906F1" w:rsidP="004966D6">
            <w:pPr>
              <w:spacing w:line="256" w:lineRule="auto"/>
              <w:rPr>
                <w:rFonts w:ascii="Verdana" w:eastAsia="Calibri" w:hAnsi="Verdana" w:cs="Times New Roman"/>
                <w:sz w:val="16"/>
                <w:szCs w:val="16"/>
              </w:rPr>
            </w:pPr>
            <w:r>
              <w:rPr>
                <w:rFonts w:ascii="Verdana" w:eastAsia="Calibri" w:hAnsi="Verdana" w:cs="Times New Roman"/>
                <w:sz w:val="16"/>
                <w:szCs w:val="16"/>
              </w:rPr>
              <w:t>Diana Lucia Saavedra Castañeda</w:t>
            </w:r>
          </w:p>
          <w:p w14:paraId="4C14EB21" w14:textId="77777777" w:rsidR="000906F1" w:rsidRPr="00E3533A" w:rsidRDefault="000906F1" w:rsidP="004966D6">
            <w:pPr>
              <w:pStyle w:val="paragraph"/>
              <w:spacing w:before="0" w:beforeAutospacing="0" w:after="0" w:afterAutospacing="0"/>
              <w:contextualSpacing/>
              <w:textAlignment w:val="baseline"/>
              <w:rPr>
                <w:rFonts w:ascii="Verdana" w:hAnsi="Verdana" w:cs="Segoe UI"/>
                <w:sz w:val="16"/>
                <w:szCs w:val="16"/>
              </w:rPr>
            </w:pPr>
            <w:r w:rsidRPr="00E3533A">
              <w:rPr>
                <w:rFonts w:ascii="Verdana" w:eastAsia="Calibri" w:hAnsi="Verdana"/>
                <w:sz w:val="16"/>
                <w:szCs w:val="16"/>
              </w:rPr>
              <w:t>Contratista de la Subdirección de Gestión Contractual </w:t>
            </w:r>
          </w:p>
        </w:tc>
      </w:tr>
      <w:tr w:rsidR="000906F1" w:rsidRPr="00E3533A" w14:paraId="44E15476" w14:textId="77777777" w:rsidTr="004966D6">
        <w:trPr>
          <w:trHeight w:val="300"/>
        </w:trPr>
        <w:tc>
          <w:tcPr>
            <w:tcW w:w="893" w:type="dxa"/>
            <w:vAlign w:val="center"/>
          </w:tcPr>
          <w:p w14:paraId="16A584B8" w14:textId="77777777" w:rsidR="000906F1" w:rsidRPr="00E3533A" w:rsidRDefault="000906F1" w:rsidP="004966D6">
            <w:pPr>
              <w:contextualSpacing/>
              <w:rPr>
                <w:rFonts w:ascii="Verdana" w:hAnsi="Verdana" w:cs="Arial"/>
                <w:sz w:val="16"/>
                <w:szCs w:val="16"/>
                <w:lang w:eastAsia="es-ES"/>
              </w:rPr>
            </w:pPr>
            <w:r w:rsidRPr="00E3533A">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6E1397E" w14:textId="77777777" w:rsidR="000906F1" w:rsidRPr="00E3533A" w:rsidRDefault="000906F1" w:rsidP="004966D6">
            <w:pPr>
              <w:contextualSpacing/>
              <w:rPr>
                <w:rFonts w:ascii="Verdana" w:eastAsia="Calibri" w:hAnsi="Verdana" w:cs="Arial"/>
                <w:sz w:val="16"/>
                <w:szCs w:val="16"/>
                <w:lang w:eastAsia="es-ES"/>
              </w:rPr>
            </w:pPr>
            <w:r w:rsidRPr="00E3533A">
              <w:rPr>
                <w:rFonts w:ascii="Verdana" w:eastAsia="Calibri" w:hAnsi="Verdana" w:cs="Arial"/>
                <w:sz w:val="16"/>
                <w:szCs w:val="16"/>
                <w:lang w:eastAsia="es-ES"/>
              </w:rPr>
              <w:t xml:space="preserve">Carolina Quintero </w:t>
            </w:r>
            <w:proofErr w:type="spellStart"/>
            <w:r w:rsidRPr="00E3533A">
              <w:rPr>
                <w:rFonts w:ascii="Verdana" w:eastAsia="Calibri" w:hAnsi="Verdana" w:cs="Arial"/>
                <w:sz w:val="16"/>
                <w:szCs w:val="16"/>
                <w:lang w:eastAsia="es-ES"/>
              </w:rPr>
              <w:t>Gacharná</w:t>
            </w:r>
            <w:proofErr w:type="spellEnd"/>
          </w:p>
          <w:p w14:paraId="69678EE2" w14:textId="77777777" w:rsidR="000906F1" w:rsidRPr="00E3533A" w:rsidRDefault="000906F1" w:rsidP="004966D6">
            <w:pPr>
              <w:contextualSpacing/>
              <w:rPr>
                <w:rFonts w:ascii="Verdana" w:eastAsia="Calibri" w:hAnsi="Verdana" w:cs="Arial"/>
                <w:sz w:val="16"/>
                <w:szCs w:val="16"/>
                <w:lang w:eastAsia="es-ES"/>
              </w:rPr>
            </w:pPr>
            <w:r w:rsidRPr="00E3533A">
              <w:rPr>
                <w:rFonts w:ascii="Verdana" w:eastAsia="Calibri" w:hAnsi="Verdana" w:cs="Arial"/>
                <w:sz w:val="16"/>
                <w:szCs w:val="16"/>
                <w:lang w:eastAsia="es-ES"/>
              </w:rPr>
              <w:t>Subdirectora de Gestión Contractual ANCP – CCE</w:t>
            </w:r>
          </w:p>
        </w:tc>
      </w:tr>
      <w:bookmarkEnd w:id="0"/>
      <w:bookmarkEnd w:id="1"/>
      <w:bookmarkEnd w:id="2"/>
    </w:tbl>
    <w:p w14:paraId="0F293BF4" w14:textId="0305E328" w:rsidR="00127233" w:rsidRPr="00653659" w:rsidRDefault="00127233" w:rsidP="000906F1"/>
    <w:sectPr w:rsidR="00127233" w:rsidRPr="00653659"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E9840A" w14:textId="77777777" w:rsidR="004B1C44" w:rsidRDefault="004B1C44" w:rsidP="004A1847">
      <w:pPr>
        <w:spacing w:after="0" w:line="240" w:lineRule="auto"/>
      </w:pPr>
      <w:r>
        <w:separator/>
      </w:r>
    </w:p>
  </w:endnote>
  <w:endnote w:type="continuationSeparator" w:id="0">
    <w:p w14:paraId="143310D8" w14:textId="77777777" w:rsidR="004B1C44" w:rsidRDefault="004B1C4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Arial"/>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Pr="00653659" w:rsidRDefault="356CEDFD" w:rsidP="356CEDFD">
    <w:pPr>
      <w:pBdr>
        <w:top w:val="nil"/>
        <w:left w:val="nil"/>
        <w:bottom w:val="nil"/>
        <w:right w:val="nil"/>
        <w:between w:val="nil"/>
      </w:pBdr>
      <w:tabs>
        <w:tab w:val="center" w:pos="4419"/>
        <w:tab w:val="right" w:pos="8838"/>
        <w:tab w:val="center" w:pos="5400"/>
      </w:tabs>
      <w:spacing w:after="0"/>
      <w:jc w:val="right"/>
      <w:rPr>
        <w:lang w:val="pt-PT"/>
      </w:rPr>
    </w:pPr>
    <w:r w:rsidRPr="00653659">
      <w:rPr>
        <w:rFonts w:ascii="Century Gothic" w:eastAsia="Geo" w:hAnsi="Century Gothic" w:cs="Geo"/>
        <w:b/>
        <w:bCs/>
        <w:color w:val="000000" w:themeColor="text1"/>
        <w:sz w:val="16"/>
        <w:szCs w:val="16"/>
        <w:lang w:val="pt-PT" w:eastAsia="es-CO"/>
      </w:rPr>
      <w:t xml:space="preserve">Código: </w:t>
    </w:r>
    <w:r w:rsidRPr="00653659">
      <w:rPr>
        <w:rFonts w:ascii="Century Gothic" w:eastAsia="Geo" w:hAnsi="Century Gothic" w:cs="Geo"/>
        <w:color w:val="000000" w:themeColor="text1"/>
        <w:sz w:val="16"/>
        <w:szCs w:val="16"/>
        <w:lang w:val="pt-PT" w:eastAsia="es-CO"/>
      </w:rPr>
      <w:t xml:space="preserve">CCE-REC-FM-17 </w:t>
    </w:r>
    <w:r w:rsidRPr="00653659">
      <w:rPr>
        <w:rFonts w:ascii="Century Gothic" w:eastAsia="Geo" w:hAnsi="Century Gothic" w:cs="Geo"/>
        <w:b/>
        <w:bCs/>
        <w:color w:val="000000" w:themeColor="text1"/>
        <w:sz w:val="16"/>
        <w:szCs w:val="16"/>
        <w:lang w:val="pt-PT" w:eastAsia="es-CO"/>
      </w:rPr>
      <w:t>V</w:t>
    </w:r>
    <w:r w:rsidRPr="00653659">
      <w:rPr>
        <w:rFonts w:ascii="Century Gothic" w:eastAsia="Arial Nova" w:hAnsi="Century Gothic" w:cs="Arial Nova"/>
        <w:b/>
        <w:bCs/>
        <w:color w:val="000000" w:themeColor="text1"/>
        <w:sz w:val="16"/>
        <w:szCs w:val="16"/>
        <w:lang w:val="pt-PT" w:eastAsia="es-CO"/>
      </w:rPr>
      <w:t xml:space="preserve">: </w:t>
    </w:r>
    <w:r w:rsidRPr="00653659">
      <w:rPr>
        <w:rFonts w:ascii="Century Gothic" w:eastAsia="Geo" w:hAnsi="Century Gothic" w:cs="Geo"/>
        <w:sz w:val="16"/>
        <w:szCs w:val="16"/>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FE6CD6" w14:textId="77777777" w:rsidR="004B1C44" w:rsidRDefault="004B1C44" w:rsidP="004A1847">
      <w:pPr>
        <w:spacing w:after="0" w:line="240" w:lineRule="auto"/>
      </w:pPr>
      <w:r>
        <w:separator/>
      </w:r>
    </w:p>
  </w:footnote>
  <w:footnote w:type="continuationSeparator" w:id="0">
    <w:p w14:paraId="656B781E" w14:textId="77777777" w:rsidR="004B1C44" w:rsidRDefault="004B1C44" w:rsidP="004A1847">
      <w:pPr>
        <w:spacing w:after="0" w:line="240" w:lineRule="auto"/>
      </w:pPr>
      <w:r>
        <w:continuationSeparator/>
      </w:r>
    </w:p>
  </w:footnote>
  <w:footnote w:id="1">
    <w:p w14:paraId="01772F47" w14:textId="77777777" w:rsidR="000906F1" w:rsidRPr="00644843" w:rsidRDefault="000906F1" w:rsidP="000906F1">
      <w:pPr>
        <w:pStyle w:val="Textonotapie"/>
        <w:ind w:firstLine="709"/>
        <w:jc w:val="both"/>
        <w:rPr>
          <w:rFonts w:ascii="Verdana" w:hAnsi="Verdana" w:cs="Arial"/>
          <w:color w:val="000000" w:themeColor="text1"/>
          <w:sz w:val="10"/>
          <w:szCs w:val="10"/>
        </w:rPr>
      </w:pPr>
      <w:r w:rsidRPr="00644843">
        <w:rPr>
          <w:rStyle w:val="Refdenotaalpie"/>
          <w:rFonts w:ascii="Verdana" w:hAnsi="Verdana" w:cs="Arial"/>
          <w:color w:val="000000" w:themeColor="text1"/>
          <w:sz w:val="10"/>
          <w:szCs w:val="10"/>
        </w:rPr>
        <w:footnoteRef/>
      </w:r>
      <w:r w:rsidRPr="00644843">
        <w:rPr>
          <w:rFonts w:ascii="Verdana" w:hAnsi="Verdana" w:cs="Arial"/>
          <w:color w:val="000000" w:themeColor="text1"/>
          <w:sz w:val="10"/>
          <w:szCs w:val="10"/>
        </w:rPr>
        <w:t xml:space="preserve"> El artículo 6 de la Ley 80 de 1993 expresa: “Pueden celebrar contratos con las entidades estatales las personas consideradas legalmente capaces en las disposiciones vigentes. También podrán celebrar contratos con las entidades estatales, los consorcios y uniones temporales.</w:t>
      </w:r>
    </w:p>
    <w:p w14:paraId="545D791B" w14:textId="77777777" w:rsidR="000906F1" w:rsidRPr="00644843" w:rsidRDefault="000906F1" w:rsidP="000906F1">
      <w:pPr>
        <w:pStyle w:val="Textonotapie"/>
        <w:ind w:firstLine="709"/>
        <w:jc w:val="both"/>
        <w:rPr>
          <w:rFonts w:ascii="Verdana" w:hAnsi="Verdana" w:cs="Arial"/>
          <w:color w:val="000000" w:themeColor="text1"/>
          <w:sz w:val="10"/>
          <w:szCs w:val="10"/>
        </w:rPr>
      </w:pPr>
      <w:r w:rsidRPr="00644843">
        <w:rPr>
          <w:rFonts w:ascii="Verdana" w:hAnsi="Verdana" w:cs="Arial"/>
          <w:color w:val="000000" w:themeColor="text1"/>
          <w:sz w:val="10"/>
          <w:szCs w:val="10"/>
        </w:rPr>
        <w:t>Las personas jurídicas nacionales y extranjeras deberán acreditar que su duración no será inferior a la del plazo del contrato y un año más”.</w:t>
      </w:r>
    </w:p>
    <w:p w14:paraId="20FBD123" w14:textId="77777777" w:rsidR="000906F1" w:rsidRPr="00644843" w:rsidRDefault="000906F1" w:rsidP="000906F1">
      <w:pPr>
        <w:pStyle w:val="Textonotapie"/>
        <w:ind w:firstLine="709"/>
        <w:jc w:val="both"/>
        <w:rPr>
          <w:rFonts w:ascii="Verdana" w:hAnsi="Verdana" w:cs="Arial"/>
          <w:color w:val="000000" w:themeColor="text1"/>
          <w:sz w:val="10"/>
          <w:szCs w:val="10"/>
        </w:rPr>
      </w:pPr>
    </w:p>
  </w:footnote>
  <w:footnote w:id="2">
    <w:p w14:paraId="7792DFDD" w14:textId="77777777" w:rsidR="000906F1" w:rsidRPr="00644843" w:rsidRDefault="000906F1" w:rsidP="000906F1">
      <w:pPr>
        <w:pStyle w:val="Textonotapie"/>
        <w:ind w:firstLine="709"/>
        <w:jc w:val="both"/>
        <w:rPr>
          <w:rFonts w:ascii="Verdana" w:hAnsi="Verdana" w:cs="Arial"/>
          <w:color w:val="000000" w:themeColor="text1"/>
          <w:sz w:val="10"/>
          <w:szCs w:val="10"/>
        </w:rPr>
      </w:pPr>
      <w:r w:rsidRPr="00644843">
        <w:rPr>
          <w:rStyle w:val="Refdenotaalpie"/>
          <w:rFonts w:ascii="Verdana" w:hAnsi="Verdana" w:cs="Arial"/>
          <w:color w:val="000000" w:themeColor="text1"/>
          <w:sz w:val="10"/>
          <w:szCs w:val="10"/>
        </w:rPr>
        <w:footnoteRef/>
      </w:r>
      <w:r w:rsidRPr="00644843">
        <w:rPr>
          <w:rFonts w:ascii="Verdana" w:hAnsi="Verdana" w:cs="Arial"/>
          <w:color w:val="000000" w:themeColor="text1"/>
          <w:sz w:val="10"/>
          <w:szCs w:val="10"/>
        </w:rPr>
        <w:t xml:space="preserve"> El artículo 1502 del Código Civil prevé la capacidad legal como requisito para obligarse contractualmente, en los siguientes términos: “Para que una persona se obligue a otra por un acto o declaración de voluntad, es necesario:</w:t>
      </w:r>
    </w:p>
    <w:p w14:paraId="58A30B4F" w14:textId="77777777" w:rsidR="000906F1" w:rsidRPr="00644843" w:rsidRDefault="000906F1" w:rsidP="000906F1">
      <w:pPr>
        <w:pStyle w:val="Textonotapie"/>
        <w:ind w:firstLine="709"/>
        <w:jc w:val="both"/>
        <w:rPr>
          <w:rFonts w:ascii="Verdana" w:hAnsi="Verdana" w:cs="Arial"/>
          <w:color w:val="000000" w:themeColor="text1"/>
          <w:sz w:val="10"/>
          <w:szCs w:val="10"/>
        </w:rPr>
      </w:pPr>
      <w:r w:rsidRPr="00644843">
        <w:rPr>
          <w:rFonts w:ascii="Verdana" w:hAnsi="Verdana" w:cs="Arial"/>
          <w:color w:val="000000" w:themeColor="text1"/>
          <w:sz w:val="10"/>
          <w:szCs w:val="10"/>
        </w:rPr>
        <w:t>1o.) que sea legalmente capaz.</w:t>
      </w:r>
    </w:p>
    <w:p w14:paraId="01F5B071" w14:textId="77777777" w:rsidR="000906F1" w:rsidRPr="00644843" w:rsidRDefault="000906F1" w:rsidP="000906F1">
      <w:pPr>
        <w:pStyle w:val="Textonotapie"/>
        <w:ind w:firstLine="709"/>
        <w:jc w:val="both"/>
        <w:rPr>
          <w:rFonts w:ascii="Verdana" w:hAnsi="Verdana" w:cs="Arial"/>
          <w:color w:val="000000" w:themeColor="text1"/>
          <w:sz w:val="10"/>
          <w:szCs w:val="10"/>
        </w:rPr>
      </w:pPr>
      <w:r w:rsidRPr="00644843">
        <w:rPr>
          <w:rFonts w:ascii="Verdana" w:hAnsi="Verdana" w:cs="Arial"/>
          <w:color w:val="000000" w:themeColor="text1"/>
          <w:sz w:val="10"/>
          <w:szCs w:val="10"/>
        </w:rPr>
        <w:t>[…]</w:t>
      </w:r>
    </w:p>
    <w:p w14:paraId="497E9141" w14:textId="77777777" w:rsidR="000906F1" w:rsidRPr="00644843" w:rsidRDefault="000906F1" w:rsidP="000906F1">
      <w:pPr>
        <w:pStyle w:val="Textonotapie"/>
        <w:ind w:firstLine="709"/>
        <w:jc w:val="both"/>
        <w:rPr>
          <w:rFonts w:ascii="Verdana" w:hAnsi="Verdana" w:cs="Arial"/>
          <w:color w:val="000000" w:themeColor="text1"/>
          <w:sz w:val="10"/>
          <w:szCs w:val="10"/>
        </w:rPr>
      </w:pPr>
      <w:r w:rsidRPr="00644843">
        <w:rPr>
          <w:rFonts w:ascii="Verdana" w:hAnsi="Verdana" w:cs="Arial"/>
          <w:color w:val="000000" w:themeColor="text1"/>
          <w:sz w:val="10"/>
          <w:szCs w:val="10"/>
        </w:rPr>
        <w:t>La capacidad legal de una persona consiste en poderse obligar por sí misma, sin el ministerio o la autorización de otra”.</w:t>
      </w:r>
    </w:p>
    <w:p w14:paraId="179738EB" w14:textId="77777777" w:rsidR="000906F1" w:rsidRPr="00644843" w:rsidRDefault="000906F1" w:rsidP="000906F1">
      <w:pPr>
        <w:pStyle w:val="Textonotapie"/>
        <w:ind w:firstLine="709"/>
        <w:jc w:val="both"/>
        <w:rPr>
          <w:rFonts w:ascii="Verdana" w:hAnsi="Verdana" w:cs="Arial"/>
          <w:color w:val="000000" w:themeColor="text1"/>
          <w:sz w:val="10"/>
          <w:szCs w:val="10"/>
          <w:lang w:val="es-CO"/>
        </w:rPr>
      </w:pPr>
    </w:p>
  </w:footnote>
  <w:footnote w:id="3">
    <w:p w14:paraId="1F6F52BC" w14:textId="77777777" w:rsidR="000906F1" w:rsidRPr="00644843" w:rsidRDefault="000906F1" w:rsidP="000906F1">
      <w:pPr>
        <w:pStyle w:val="Textonotapie"/>
        <w:jc w:val="both"/>
        <w:rPr>
          <w:rFonts w:ascii="Verdana" w:hAnsi="Verdana" w:cs="Arial"/>
          <w:color w:val="000000" w:themeColor="text1"/>
          <w:sz w:val="10"/>
          <w:szCs w:val="10"/>
          <w:lang w:val="es-ES"/>
        </w:rPr>
      </w:pPr>
    </w:p>
  </w:footnote>
  <w:footnote w:id="4">
    <w:p w14:paraId="0CC5B517" w14:textId="77777777" w:rsidR="000906F1" w:rsidRPr="00644843" w:rsidRDefault="000906F1" w:rsidP="000906F1">
      <w:pPr>
        <w:spacing w:after="0" w:line="240" w:lineRule="auto"/>
        <w:ind w:firstLine="709"/>
        <w:jc w:val="both"/>
        <w:rPr>
          <w:rFonts w:ascii="Verdana" w:hAnsi="Verdana" w:cs="Arial"/>
          <w:color w:val="000000" w:themeColor="text1"/>
          <w:sz w:val="10"/>
          <w:szCs w:val="10"/>
          <w:lang w:val="es-ES"/>
        </w:rPr>
      </w:pPr>
      <w:r w:rsidRPr="00644843">
        <w:rPr>
          <w:rStyle w:val="Refdenotaalpie"/>
          <w:rFonts w:ascii="Verdana" w:hAnsi="Verdana" w:cs="Arial"/>
          <w:color w:val="000000" w:themeColor="text1"/>
          <w:sz w:val="10"/>
          <w:szCs w:val="10"/>
        </w:rPr>
        <w:footnoteRef/>
      </w:r>
      <w:r w:rsidRPr="00644843">
        <w:rPr>
          <w:rFonts w:ascii="Verdana" w:hAnsi="Verdana" w:cs="Arial"/>
          <w:color w:val="000000" w:themeColor="text1"/>
          <w:sz w:val="10"/>
          <w:szCs w:val="10"/>
        </w:rPr>
        <w:t xml:space="preserve"> </w:t>
      </w:r>
      <w:r w:rsidRPr="00644843">
        <w:rPr>
          <w:rFonts w:ascii="Verdana" w:hAnsi="Verdana" w:cs="Arial"/>
          <w:color w:val="000000" w:themeColor="text1"/>
          <w:sz w:val="10"/>
          <w:szCs w:val="10"/>
          <w:lang w:val="es-ES"/>
        </w:rPr>
        <w:t>Son inhabilidades que responden a esta circunstancia, entre otras, las siguientes: “Quienes participaron en las licitaciones o celebraron los contratos de que trata el literal anterior estando inhabilitados” (art. 8, num. 1º, lit. b, Ley 80/93); “Quienes dieron lugar a la declaratoria de caducidad” (art. 8, num. 1º, lit. c), Ley 80/93); “Quienes en sentencia judicial hayan sido condenados a la pena accesoria de interdicción de derechos y funciones públicas y quienes hayan sido sancionados disciplinariamente con destitución” (art. 8, num. 1º, lit. d), Ley 80/93); “Quienes sin justa causa se abstengan de suscribir el contrato estatal adjudicado” (art. 8, num. 1º, lit. e), Ley 80/93); “i) Los socios de sociedades de personas a las cuales se haya declarado la caducidad, así como las sociedades de personas de las que aquellos formen parte con posterioridad a dicha declaratoria” (art. 8, num. 1º, lit. i), Ley 80/93); “Las personas naturales que hayan sido declaradas responsables judicialmente por la comisión de delitos contra la Administración Pública o de cualquiera de los delitos o faltas contemplados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 (art. 8, num. 1º, lit. j), Ley 80/93); “El interventor que incumpla el deber de entregar información a la entidad contratante relacionada con el incumplimiento del contrato, con hechos o circunstancias que puedan constituir actos de corrupción tipificados como conductas punibles, o que puedan poner o pongan en riesgo el cumplimiento del contrato” (art. 8, num. 1º, lit. k), Ley 80/93); “Haber sido objeto de imposición de cinco (5) o más multas durante la ejecución de uno o varios contratos, con una o varias entidades estatales, durante los últimos tres (3) años; […] Haber sido objeto de declaratorias de incumplimiento contractual en por lo menos dos (2) contratos, con una o varias entidades estatales, durante los últimos tres (3) años; […] Haber sido objeto de imposición de dos (2) multas y un (1) incumplimiento durante una misma vigencia fiscal, con una o varias entidades estatales” (art. 90, lit. a), b) y c), Ley 1474/11, modificado por el art. 43, Ley 1955/19).</w:t>
      </w:r>
    </w:p>
    <w:p w14:paraId="17C0EF13" w14:textId="77777777" w:rsidR="000906F1" w:rsidRPr="00644843" w:rsidRDefault="000906F1" w:rsidP="000906F1">
      <w:pPr>
        <w:spacing w:after="0" w:line="240" w:lineRule="auto"/>
        <w:ind w:firstLine="709"/>
        <w:jc w:val="both"/>
        <w:rPr>
          <w:rFonts w:ascii="Verdana" w:hAnsi="Verdana" w:cs="Arial"/>
          <w:color w:val="000000" w:themeColor="text1"/>
          <w:sz w:val="10"/>
          <w:szCs w:val="10"/>
          <w:lang w:val="es-ES"/>
        </w:rPr>
      </w:pPr>
    </w:p>
  </w:footnote>
  <w:footnote w:id="5">
    <w:p w14:paraId="5FA07CD3" w14:textId="77777777" w:rsidR="000906F1" w:rsidRPr="00644843" w:rsidRDefault="000906F1" w:rsidP="000906F1">
      <w:pPr>
        <w:pStyle w:val="Textonotapie"/>
        <w:ind w:firstLine="709"/>
        <w:jc w:val="both"/>
        <w:rPr>
          <w:rFonts w:ascii="Verdana" w:hAnsi="Verdana" w:cs="Arial"/>
          <w:color w:val="000000" w:themeColor="text1"/>
          <w:sz w:val="10"/>
          <w:szCs w:val="10"/>
          <w:lang w:val="es-ES"/>
        </w:rPr>
      </w:pPr>
      <w:r w:rsidRPr="00644843">
        <w:rPr>
          <w:rStyle w:val="Refdenotaalpie"/>
          <w:rFonts w:ascii="Verdana" w:hAnsi="Verdana" w:cs="Arial"/>
          <w:color w:val="000000" w:themeColor="text1"/>
          <w:sz w:val="10"/>
          <w:szCs w:val="10"/>
        </w:rPr>
        <w:footnoteRef/>
      </w:r>
      <w:r w:rsidRPr="00644843">
        <w:rPr>
          <w:rFonts w:ascii="Verdana" w:hAnsi="Verdana" w:cs="Arial"/>
          <w:color w:val="000000" w:themeColor="text1"/>
          <w:sz w:val="10"/>
          <w:szCs w:val="10"/>
        </w:rPr>
        <w:t xml:space="preserve"> </w:t>
      </w:r>
      <w:r w:rsidRPr="00644843">
        <w:rPr>
          <w:rFonts w:ascii="Verdana" w:hAnsi="Verdana" w:cs="Arial"/>
          <w:color w:val="000000" w:themeColor="text1"/>
          <w:sz w:val="10"/>
          <w:szCs w:val="10"/>
          <w:lang w:val="es-ES"/>
        </w:rPr>
        <w:t>Por ejemplo, a título enunciativo, las siguientes: “Quienes sean cónyuges o compañeros permanentes y quienes se encuentren dentro del segundo grado de consanguinidad o segundo de afinidad con cualquier otra persona que formalmente haya presentado propuesta para una misma licitación” (art. 8, num. 1º, lit. g), Ley 80/93);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 (art. 8, num. 1º, lit. h), Ley 80/93);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(art. 8, num. 2º, lit. b), Ley 80/93); “El cónyuge, compañero o compañera permanente del servidor público en los niveles directivo, asesor, ejecutivo, o de un miembro de la junta o consejo directivo, o de quien ejerza funciones de control interno o de control fiscal” (art. 8, num. 2º, lit. c),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num. 2º, lit. d), Ley 80/93).</w:t>
      </w:r>
    </w:p>
    <w:p w14:paraId="2AE18B16" w14:textId="77777777" w:rsidR="000906F1" w:rsidRPr="00644843" w:rsidRDefault="000906F1" w:rsidP="000906F1">
      <w:pPr>
        <w:pStyle w:val="Textonotapie"/>
        <w:ind w:firstLine="709"/>
        <w:jc w:val="both"/>
        <w:rPr>
          <w:rFonts w:ascii="Verdana" w:hAnsi="Verdana" w:cs="Arial"/>
          <w:color w:val="000000" w:themeColor="text1"/>
          <w:sz w:val="10"/>
          <w:szCs w:val="10"/>
          <w:lang w:val="es-CO"/>
        </w:rPr>
      </w:pPr>
    </w:p>
  </w:footnote>
  <w:footnote w:id="6">
    <w:p w14:paraId="29A19C11" w14:textId="77777777" w:rsidR="000906F1" w:rsidRPr="00644843" w:rsidRDefault="000906F1" w:rsidP="000906F1">
      <w:pPr>
        <w:pStyle w:val="Textonotapie"/>
        <w:ind w:firstLine="709"/>
        <w:jc w:val="both"/>
        <w:rPr>
          <w:rFonts w:ascii="Verdana" w:hAnsi="Verdana" w:cs="Arial"/>
          <w:color w:val="000000" w:themeColor="text1"/>
          <w:sz w:val="10"/>
          <w:szCs w:val="10"/>
          <w:lang w:val="es-ES"/>
        </w:rPr>
      </w:pPr>
      <w:r w:rsidRPr="00644843">
        <w:rPr>
          <w:rStyle w:val="Refdenotaalpie"/>
          <w:rFonts w:ascii="Verdana" w:hAnsi="Verdana" w:cs="Arial"/>
          <w:color w:val="000000" w:themeColor="text1"/>
          <w:sz w:val="10"/>
          <w:szCs w:val="10"/>
        </w:rPr>
        <w:footnoteRef/>
      </w:r>
      <w:r w:rsidRPr="00644843">
        <w:rPr>
          <w:rFonts w:ascii="Verdana" w:hAnsi="Verdana" w:cs="Arial"/>
          <w:color w:val="000000" w:themeColor="text1"/>
          <w:sz w:val="10"/>
          <w:szCs w:val="10"/>
        </w:rPr>
        <w:t xml:space="preserve"> </w:t>
      </w:r>
      <w:r w:rsidRPr="00644843">
        <w:rPr>
          <w:rFonts w:ascii="Verdana" w:hAnsi="Verdana" w:cs="Arial"/>
          <w:color w:val="000000" w:themeColor="text1"/>
          <w:sz w:val="10"/>
          <w:szCs w:val="10"/>
          <w:lang w:val="es-ES"/>
        </w:rPr>
        <w:t xml:space="preserve">Verbigracia, entre otras, las que se indican a continuación: “Las personas que hayan financiado campañas políticas a la Presidencia de la República, a las gobernaciones o a las alcaldías con aportes superiores al dos punto cinco por ciento (2.5%) de las sumas máximas a invertir por los candidatos en las campañas electorales en cada circunscripción electoral, quienes no podrán celebrar contratos con las entidades públicas, incluso descentralizadas, del respectivo nivel administrativo para el cual fue elegido el candidato” (art. 8, num. 1º, lit. k), Ley 80/93, modificado por el art. 33, Ley 1778/16); “Quienes fueron miembros de la junta o consejo directivo o servidores públicos de la entidad contratante” (art. 8, num. 2º, lit. a), Ley 80/93) [a pesar de que la norma la califica como una incompatibilidad, en realidad se trata de una inhabilidad, ya que en dicha causal no existe concurrencia de calidades en un sujeto]; “Directa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 (art. 8, num. 2º, lit. f), Ley 80/93, adicionado por el art. 4º, Ley 1474/2011) [a pesar de que la norma la califica como una incompatibilidad, en realidad se trata de una inhabilidad, ya que en dicha causal no existe concurrencia de calidades en un sujeto]. </w:t>
      </w:r>
    </w:p>
    <w:p w14:paraId="37ED002F" w14:textId="77777777" w:rsidR="000906F1" w:rsidRPr="001A625A" w:rsidRDefault="000906F1" w:rsidP="000906F1">
      <w:pPr>
        <w:pStyle w:val="Textonotapie"/>
        <w:ind w:firstLine="709"/>
        <w:jc w:val="both"/>
        <w:rPr>
          <w:rFonts w:ascii="Verdana" w:hAnsi="Verdana" w:cs="Arial"/>
          <w:color w:val="000000" w:themeColor="text1"/>
          <w:sz w:val="16"/>
          <w:szCs w:val="16"/>
          <w:lang w:val="es-CO"/>
        </w:rPr>
      </w:pPr>
      <w:r w:rsidRPr="001A625A">
        <w:rPr>
          <w:rFonts w:ascii="Verdana" w:hAnsi="Verdana" w:cs="Arial"/>
          <w:color w:val="000000" w:themeColor="text1"/>
          <w:sz w:val="16"/>
          <w:szCs w:val="16"/>
          <w:lang w:val="es-ES"/>
        </w:rPr>
        <w:t xml:space="preserve">  </w:t>
      </w:r>
    </w:p>
  </w:footnote>
  <w:footnote w:id="7">
    <w:p w14:paraId="1A2CD3E8" w14:textId="77777777" w:rsidR="000906F1" w:rsidRPr="00644843" w:rsidRDefault="000906F1" w:rsidP="000906F1">
      <w:pPr>
        <w:spacing w:after="0" w:line="240" w:lineRule="auto"/>
        <w:ind w:firstLine="709"/>
        <w:jc w:val="both"/>
        <w:rPr>
          <w:rFonts w:ascii="Verdana" w:hAnsi="Verdana" w:cs="Arial"/>
          <w:color w:val="000000" w:themeColor="text1"/>
          <w:sz w:val="10"/>
          <w:szCs w:val="10"/>
          <w:lang w:val="es-ES"/>
        </w:rPr>
      </w:pPr>
      <w:r w:rsidRPr="00644843">
        <w:rPr>
          <w:rStyle w:val="Refdenotaalpie"/>
          <w:rFonts w:ascii="Verdana" w:hAnsi="Verdana" w:cs="Arial"/>
          <w:color w:val="000000" w:themeColor="text1"/>
          <w:sz w:val="10"/>
          <w:szCs w:val="10"/>
        </w:rPr>
        <w:footnoteRef/>
      </w:r>
      <w:r w:rsidRPr="00644843">
        <w:rPr>
          <w:rFonts w:ascii="Verdana" w:hAnsi="Verdana" w:cs="Arial"/>
          <w:color w:val="000000" w:themeColor="text1"/>
          <w:sz w:val="10"/>
          <w:szCs w:val="10"/>
        </w:rPr>
        <w:t xml:space="preserve"> </w:t>
      </w:r>
      <w:r w:rsidRPr="00644843">
        <w:rPr>
          <w:rFonts w:ascii="Verdana" w:hAnsi="Verdana" w:cs="Arial"/>
          <w:color w:val="000000" w:themeColor="text1"/>
          <w:sz w:val="10"/>
          <w:szCs w:val="10"/>
          <w:lang w:val="es-ES"/>
        </w:rPr>
        <w:t xml:space="preserve">Como las señaladas a continuación: “Los servidores públicos” (art. 8, num. 1º, lit. f),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num. 2º, lit. d), Ley 80/93); “Los miembros de las juntas o consejos directivos. Esta incompatibilidad sólo se predica respecto de la entidad a la cual prestan sus servicios y de las del sector administrativo al que la misma esté adscrita o vinculada” (art. 8, num. 2º, lit. e), Ley 80/93); “Quien haya celebrado un contrato estatal de obra pública, de concesión, suministro de medicamentos y de alimentos o su cónyuge, compañero o compañera permanente, pariente hasta el segundo grado de consaguinidad, segundo de afinidad y/o primero civil o sus socios en sociedades distintas de las anónimas abiertas, con las entidades a que se refiere el artículo 2o de la Ley 80 de 1993, durante el plazo de ejecución y hasta la liquidación del mismo, no podrán celebrar contratos de interventoría con la misma entidad” (art. 5, Ley 1474/11). </w:t>
      </w:r>
    </w:p>
    <w:p w14:paraId="44CA3409" w14:textId="77777777" w:rsidR="000906F1" w:rsidRPr="00644843" w:rsidRDefault="000906F1" w:rsidP="000906F1">
      <w:pPr>
        <w:spacing w:after="0" w:line="240" w:lineRule="auto"/>
        <w:ind w:firstLine="709"/>
        <w:jc w:val="both"/>
        <w:rPr>
          <w:rFonts w:ascii="Verdana" w:hAnsi="Verdana" w:cs="Arial"/>
          <w:color w:val="000000" w:themeColor="text1"/>
          <w:sz w:val="10"/>
          <w:szCs w:val="10"/>
          <w:lang w:val="es-ES"/>
        </w:rPr>
      </w:pPr>
    </w:p>
  </w:footnote>
  <w:footnote w:id="8">
    <w:p w14:paraId="1C3B256C" w14:textId="77777777" w:rsidR="000906F1" w:rsidRPr="00644843" w:rsidRDefault="000906F1" w:rsidP="000906F1">
      <w:pPr>
        <w:pStyle w:val="Textonotapie"/>
        <w:ind w:firstLine="709"/>
        <w:jc w:val="both"/>
        <w:rPr>
          <w:rFonts w:ascii="Verdana" w:hAnsi="Verdana" w:cs="Arial"/>
          <w:color w:val="000000" w:themeColor="text1"/>
          <w:sz w:val="10"/>
          <w:szCs w:val="10"/>
          <w:lang w:val="es-ES"/>
        </w:rPr>
      </w:pPr>
      <w:r w:rsidRPr="00644843">
        <w:rPr>
          <w:rStyle w:val="Refdenotaalpie"/>
          <w:rFonts w:ascii="Verdana" w:hAnsi="Verdana" w:cs="Arial"/>
          <w:color w:val="000000" w:themeColor="text1"/>
          <w:sz w:val="10"/>
          <w:szCs w:val="10"/>
        </w:rPr>
        <w:footnoteRef/>
      </w:r>
      <w:r w:rsidRPr="00644843">
        <w:rPr>
          <w:rFonts w:ascii="Verdana" w:hAnsi="Verdana" w:cs="Arial"/>
          <w:color w:val="000000" w:themeColor="text1"/>
          <w:sz w:val="10"/>
          <w:szCs w:val="10"/>
        </w:rPr>
        <w:t xml:space="preserve"> </w:t>
      </w:r>
      <w:r w:rsidRPr="00644843">
        <w:rPr>
          <w:rFonts w:ascii="Verdana" w:hAnsi="Verdana" w:cs="Arial"/>
          <w:color w:val="000000" w:themeColor="text1"/>
          <w:sz w:val="10"/>
          <w:szCs w:val="10"/>
          <w:lang w:val="es-ES"/>
        </w:rPr>
        <w:t>BARRETO ROZO, Antonio Alejandro. Inhabilidades de la contratación estatal, efectos y neopunitivismo en el Estatuto Anticorrupción. En: ALVIAR GARCÍA, Helena (Coordinadora). Nuevas tendencias del Derecho administrativo. Bogotá: Universidad de los Andes; Temis, 2016. pp. 63-99.</w:t>
      </w:r>
    </w:p>
    <w:p w14:paraId="24176625" w14:textId="77777777" w:rsidR="000906F1" w:rsidRPr="00644843" w:rsidRDefault="000906F1" w:rsidP="000906F1">
      <w:pPr>
        <w:pStyle w:val="Textonotapie"/>
        <w:ind w:firstLine="709"/>
        <w:jc w:val="both"/>
        <w:rPr>
          <w:rFonts w:ascii="Verdana" w:hAnsi="Verdana" w:cs="Arial"/>
          <w:color w:val="000000" w:themeColor="text1"/>
          <w:sz w:val="10"/>
          <w:szCs w:val="10"/>
          <w:lang w:val="es-ES"/>
        </w:rPr>
      </w:pPr>
    </w:p>
  </w:footnote>
  <w:footnote w:id="9">
    <w:p w14:paraId="30B65EFA" w14:textId="77777777" w:rsidR="000906F1" w:rsidRPr="00644843" w:rsidRDefault="000906F1" w:rsidP="000906F1">
      <w:pPr>
        <w:pStyle w:val="Textonotapie"/>
        <w:ind w:firstLine="709"/>
        <w:jc w:val="both"/>
        <w:rPr>
          <w:rFonts w:ascii="Verdana" w:hAnsi="Verdana" w:cs="Arial"/>
          <w:color w:val="000000" w:themeColor="text1"/>
          <w:sz w:val="10"/>
          <w:szCs w:val="10"/>
          <w:lang w:val="es-ES"/>
        </w:rPr>
      </w:pPr>
      <w:r w:rsidRPr="00644843">
        <w:rPr>
          <w:rStyle w:val="Refdenotaalpie"/>
          <w:rFonts w:ascii="Verdana" w:hAnsi="Verdana" w:cs="Arial"/>
          <w:color w:val="000000" w:themeColor="text1"/>
          <w:sz w:val="10"/>
          <w:szCs w:val="10"/>
        </w:rPr>
        <w:footnoteRef/>
      </w:r>
      <w:r w:rsidRPr="00644843">
        <w:rPr>
          <w:rFonts w:ascii="Verdana" w:hAnsi="Verdana" w:cs="Arial"/>
          <w:color w:val="000000" w:themeColor="text1"/>
          <w:sz w:val="10"/>
          <w:szCs w:val="10"/>
        </w:rPr>
        <w:t xml:space="preserve"> </w:t>
      </w:r>
      <w:r w:rsidRPr="00644843">
        <w:rPr>
          <w:rFonts w:ascii="Verdana" w:hAnsi="Verdana" w:cs="Arial"/>
          <w:color w:val="000000" w:themeColor="text1"/>
          <w:sz w:val="10"/>
          <w:szCs w:val="10"/>
          <w:lang w:val="es-ES"/>
        </w:rPr>
        <w:t>Ibíd., p. 69.</w:t>
      </w:r>
    </w:p>
    <w:p w14:paraId="5F6665E0" w14:textId="77777777" w:rsidR="000906F1" w:rsidRPr="00644843" w:rsidRDefault="000906F1" w:rsidP="000906F1">
      <w:pPr>
        <w:pStyle w:val="Textonotapie"/>
        <w:ind w:firstLine="709"/>
        <w:jc w:val="both"/>
        <w:rPr>
          <w:rFonts w:ascii="Verdana" w:hAnsi="Verdana" w:cs="Arial"/>
          <w:color w:val="000000" w:themeColor="text1"/>
          <w:sz w:val="10"/>
          <w:szCs w:val="10"/>
          <w:lang w:val="es-ES"/>
        </w:rPr>
      </w:pPr>
    </w:p>
  </w:footnote>
  <w:footnote w:id="10">
    <w:p w14:paraId="765F2008" w14:textId="77777777" w:rsidR="000906F1" w:rsidRPr="00644843" w:rsidRDefault="000906F1" w:rsidP="000906F1">
      <w:pPr>
        <w:pStyle w:val="Textonotapie"/>
        <w:ind w:firstLine="709"/>
        <w:jc w:val="both"/>
        <w:rPr>
          <w:rFonts w:ascii="Verdana" w:hAnsi="Verdana" w:cs="Arial"/>
          <w:color w:val="000000" w:themeColor="text1"/>
          <w:sz w:val="10"/>
          <w:szCs w:val="10"/>
          <w:lang w:val="es-ES"/>
        </w:rPr>
      </w:pPr>
      <w:r w:rsidRPr="00644843">
        <w:rPr>
          <w:rStyle w:val="Refdenotaalpie"/>
          <w:rFonts w:ascii="Verdana" w:hAnsi="Verdana" w:cs="Arial"/>
          <w:color w:val="000000" w:themeColor="text1"/>
          <w:sz w:val="10"/>
          <w:szCs w:val="10"/>
        </w:rPr>
        <w:footnoteRef/>
      </w:r>
      <w:r w:rsidRPr="00644843">
        <w:rPr>
          <w:rFonts w:ascii="Verdana" w:hAnsi="Verdana" w:cs="Arial"/>
          <w:color w:val="000000" w:themeColor="text1"/>
          <w:sz w:val="10"/>
          <w:szCs w:val="10"/>
        </w:rPr>
        <w:t xml:space="preserve"> </w:t>
      </w:r>
      <w:r w:rsidRPr="00644843">
        <w:rPr>
          <w:rFonts w:ascii="Verdana" w:hAnsi="Verdana" w:cs="Arial"/>
          <w:color w:val="000000" w:themeColor="text1"/>
          <w:sz w:val="10"/>
          <w:szCs w:val="10"/>
          <w:lang w:val="es-ES"/>
        </w:rPr>
        <w:t xml:space="preserve">Corte Constitucional. Sentencia T-1039 de 2006. Magistrado Ponente: Humberto Sierra Porto. La Corte ha mantenido este criterio en las sentencias: C-903 de 2008. Magistrado Ponente: Jaime Araujo Rentería; C-101 de 2018. Magistrada Ponente Gloria Stella Ortiz Delgado; entre otras. </w:t>
      </w:r>
    </w:p>
    <w:p w14:paraId="3A5CD50F" w14:textId="77777777" w:rsidR="000906F1" w:rsidRPr="001A625A" w:rsidRDefault="000906F1" w:rsidP="000906F1">
      <w:pPr>
        <w:pStyle w:val="Textonotapie"/>
        <w:ind w:firstLine="709"/>
        <w:jc w:val="both"/>
        <w:rPr>
          <w:rFonts w:ascii="Verdana" w:hAnsi="Verdana" w:cs="Arial"/>
          <w:color w:val="000000" w:themeColor="text1"/>
          <w:sz w:val="16"/>
          <w:szCs w:val="16"/>
          <w:lang w:val="es-ES"/>
        </w:rPr>
      </w:pPr>
    </w:p>
  </w:footnote>
  <w:footnote w:id="11">
    <w:p w14:paraId="1666678F" w14:textId="77777777" w:rsidR="000906F1" w:rsidRPr="00644843" w:rsidRDefault="000906F1" w:rsidP="000906F1">
      <w:pPr>
        <w:pStyle w:val="Textonotapie"/>
        <w:ind w:firstLine="709"/>
        <w:jc w:val="both"/>
        <w:rPr>
          <w:rFonts w:ascii="Verdana" w:hAnsi="Verdana" w:cs="Arial"/>
          <w:color w:val="000000" w:themeColor="text1"/>
          <w:sz w:val="10"/>
          <w:szCs w:val="10"/>
          <w:lang w:val="es-ES"/>
        </w:rPr>
      </w:pPr>
      <w:r w:rsidRPr="00644843">
        <w:rPr>
          <w:rStyle w:val="Refdenotaalpie"/>
          <w:rFonts w:ascii="Verdana" w:hAnsi="Verdana" w:cs="Arial"/>
          <w:color w:val="000000" w:themeColor="text1"/>
          <w:sz w:val="10"/>
          <w:szCs w:val="10"/>
        </w:rPr>
        <w:footnoteRef/>
      </w:r>
      <w:r w:rsidRPr="00644843">
        <w:rPr>
          <w:rFonts w:ascii="Verdana" w:hAnsi="Verdana" w:cs="Arial"/>
          <w:color w:val="000000" w:themeColor="text1"/>
          <w:sz w:val="10"/>
          <w:szCs w:val="10"/>
        </w:rPr>
        <w:t xml:space="preserve"> </w:t>
      </w:r>
      <w:r w:rsidRPr="00644843">
        <w:rPr>
          <w:rFonts w:ascii="Verdana" w:hAnsi="Verdana" w:cs="Arial"/>
          <w:color w:val="000000" w:themeColor="text1"/>
          <w:sz w:val="10"/>
          <w:szCs w:val="10"/>
          <w:lang w:val="es-ES"/>
        </w:rPr>
        <w:t>Consejo de Estado. Sala de Consulta y Servicio Civil. Concepto del 30 de abril de 2015. Expediente: 2251. Consejero Ponente: Álvaro Namén Vargas.</w:t>
      </w:r>
    </w:p>
    <w:p w14:paraId="719F9AE2" w14:textId="77777777" w:rsidR="000906F1" w:rsidRPr="00644843" w:rsidRDefault="000906F1" w:rsidP="000906F1">
      <w:pPr>
        <w:pStyle w:val="Textonotapie"/>
        <w:ind w:firstLine="709"/>
        <w:jc w:val="both"/>
        <w:rPr>
          <w:rFonts w:ascii="Verdana" w:hAnsi="Verdana" w:cs="Arial"/>
          <w:color w:val="000000" w:themeColor="text1"/>
          <w:sz w:val="10"/>
          <w:szCs w:val="10"/>
          <w:lang w:val="es-ES"/>
        </w:rPr>
      </w:pPr>
    </w:p>
  </w:footnote>
  <w:footnote w:id="12">
    <w:p w14:paraId="1305CA50" w14:textId="77777777" w:rsidR="000906F1" w:rsidRPr="00644843" w:rsidRDefault="000906F1" w:rsidP="000906F1">
      <w:pPr>
        <w:pStyle w:val="Textonotapie"/>
        <w:ind w:firstLine="709"/>
        <w:jc w:val="both"/>
        <w:rPr>
          <w:rFonts w:ascii="Verdana" w:hAnsi="Verdana" w:cs="Arial"/>
          <w:color w:val="000000" w:themeColor="text1"/>
          <w:sz w:val="10"/>
          <w:szCs w:val="10"/>
        </w:rPr>
      </w:pPr>
      <w:r w:rsidRPr="00644843">
        <w:rPr>
          <w:rStyle w:val="Refdenotaalpie"/>
          <w:rFonts w:ascii="Verdana" w:hAnsi="Verdana" w:cs="Arial"/>
          <w:color w:val="000000" w:themeColor="text1"/>
          <w:sz w:val="10"/>
          <w:szCs w:val="10"/>
        </w:rPr>
        <w:footnoteRef/>
      </w:r>
      <w:r w:rsidRPr="00644843">
        <w:rPr>
          <w:rFonts w:ascii="Verdana" w:hAnsi="Verdana" w:cs="Arial"/>
          <w:color w:val="000000" w:themeColor="text1"/>
          <w:sz w:val="10"/>
          <w:szCs w:val="10"/>
        </w:rPr>
        <w:t xml:space="preserve"> Consejo de Estado. Sección Tercera. Subsección A. Sentencia del 24 de junio de 2015. Exp. 40.635. Consejero Ponente: Hernán Andrade Rincón (E).</w:t>
      </w:r>
    </w:p>
    <w:p w14:paraId="602F1C6D" w14:textId="77777777" w:rsidR="000906F1" w:rsidRPr="00644843" w:rsidRDefault="000906F1" w:rsidP="000906F1">
      <w:pPr>
        <w:pStyle w:val="Textonotapie"/>
        <w:ind w:firstLine="709"/>
        <w:jc w:val="both"/>
        <w:rPr>
          <w:rFonts w:ascii="Verdana" w:hAnsi="Verdana" w:cs="Arial"/>
          <w:color w:val="000000" w:themeColor="text1"/>
          <w:sz w:val="10"/>
          <w:szCs w:val="10"/>
          <w:lang w:val="es-ES"/>
        </w:rPr>
      </w:pPr>
    </w:p>
  </w:footnote>
  <w:footnote w:id="13">
    <w:p w14:paraId="0A6278BD" w14:textId="77777777" w:rsidR="000906F1" w:rsidRPr="00644843" w:rsidRDefault="000906F1" w:rsidP="000906F1">
      <w:pPr>
        <w:pStyle w:val="Textonotapie"/>
        <w:ind w:firstLine="709"/>
        <w:jc w:val="both"/>
        <w:rPr>
          <w:rFonts w:ascii="Verdana" w:hAnsi="Verdana" w:cs="Arial"/>
          <w:color w:val="000000" w:themeColor="text1"/>
          <w:sz w:val="10"/>
          <w:szCs w:val="10"/>
        </w:rPr>
      </w:pPr>
      <w:r w:rsidRPr="00644843">
        <w:rPr>
          <w:rStyle w:val="Refdenotaalpie"/>
          <w:rFonts w:ascii="Verdana" w:hAnsi="Verdana" w:cs="Arial"/>
          <w:color w:val="000000" w:themeColor="text1"/>
          <w:sz w:val="10"/>
          <w:szCs w:val="10"/>
        </w:rPr>
        <w:footnoteRef/>
      </w:r>
      <w:r w:rsidRPr="00644843">
        <w:rPr>
          <w:rFonts w:ascii="Verdana" w:hAnsi="Verdana" w:cs="Arial"/>
          <w:color w:val="000000" w:themeColor="text1"/>
          <w:sz w:val="10"/>
          <w:szCs w:val="10"/>
        </w:rPr>
        <w:t xml:space="preserve"> Consejo de Estado. Sección Tercera. Subsección C. Sentencia del 22 de mayo de 2013. Exp. 24.057. Consejera Ponente: Olga Melida Valle De De La Hoz.</w:t>
      </w:r>
    </w:p>
    <w:p w14:paraId="7EBE96CA" w14:textId="77777777" w:rsidR="000906F1" w:rsidRPr="00644843" w:rsidRDefault="000906F1" w:rsidP="000906F1">
      <w:pPr>
        <w:pStyle w:val="Textonotapie"/>
        <w:ind w:firstLine="709"/>
        <w:jc w:val="both"/>
        <w:rPr>
          <w:rFonts w:ascii="Verdana" w:hAnsi="Verdana" w:cs="Arial"/>
          <w:color w:val="000000" w:themeColor="text1"/>
          <w:sz w:val="10"/>
          <w:szCs w:val="10"/>
          <w:lang w:val="es-ES"/>
        </w:rPr>
      </w:pPr>
    </w:p>
  </w:footnote>
  <w:footnote w:id="14">
    <w:p w14:paraId="70ABC30F" w14:textId="77777777" w:rsidR="000906F1" w:rsidRPr="00644843" w:rsidRDefault="000906F1" w:rsidP="000906F1">
      <w:pPr>
        <w:pStyle w:val="Textonotapie"/>
        <w:ind w:firstLine="709"/>
        <w:rPr>
          <w:rFonts w:ascii="Verdana" w:hAnsi="Verdana"/>
          <w:sz w:val="10"/>
          <w:szCs w:val="10"/>
          <w:lang w:val="es-CO"/>
        </w:rPr>
      </w:pPr>
      <w:r w:rsidRPr="00644843">
        <w:rPr>
          <w:rStyle w:val="Refdenotaalpie"/>
          <w:rFonts w:ascii="Verdana" w:hAnsi="Verdana"/>
          <w:sz w:val="10"/>
          <w:szCs w:val="10"/>
        </w:rPr>
        <w:footnoteRef/>
      </w:r>
      <w:r w:rsidRPr="00644843">
        <w:rPr>
          <w:rFonts w:ascii="Verdana" w:hAnsi="Verdana"/>
          <w:sz w:val="10"/>
          <w:szCs w:val="10"/>
        </w:rPr>
        <w:t xml:space="preserve"> </w:t>
      </w:r>
      <w:r w:rsidRPr="00644843">
        <w:rPr>
          <w:rFonts w:ascii="Verdana" w:hAnsi="Verdana" w:cs="Arial"/>
          <w:color w:val="000000"/>
          <w:sz w:val="10"/>
          <w:szCs w:val="10"/>
        </w:rPr>
        <w:t>Consejo de Estado. Sala de Consulta y de Servicio Civil. Concepto del 23 de marzo de 2011. Rad. 2.045. C.P. Enrique José Arboleda Perdomo.</w:t>
      </w:r>
    </w:p>
  </w:footnote>
  <w:footnote w:id="15">
    <w:p w14:paraId="08670413" w14:textId="77777777" w:rsidR="000906F1" w:rsidRPr="00644843" w:rsidRDefault="000906F1" w:rsidP="000906F1">
      <w:pPr>
        <w:pStyle w:val="Textonotapie"/>
        <w:ind w:firstLine="708"/>
        <w:jc w:val="both"/>
        <w:rPr>
          <w:rFonts w:ascii="Verdana" w:hAnsi="Verdana" w:cs="Arial"/>
          <w:color w:val="000000" w:themeColor="text1"/>
          <w:sz w:val="10"/>
          <w:szCs w:val="10"/>
        </w:rPr>
      </w:pPr>
      <w:r w:rsidRPr="00644843">
        <w:rPr>
          <w:rStyle w:val="Refdenotaalpie"/>
          <w:rFonts w:ascii="Verdana" w:hAnsi="Verdana" w:cs="Arial"/>
          <w:sz w:val="10"/>
          <w:szCs w:val="10"/>
        </w:rPr>
        <w:footnoteRef/>
      </w:r>
      <w:r w:rsidRPr="00644843">
        <w:rPr>
          <w:rFonts w:ascii="Verdana" w:hAnsi="Verdana" w:cs="Arial"/>
          <w:sz w:val="10"/>
          <w:szCs w:val="10"/>
        </w:rPr>
        <w:t xml:space="preserve"> CONSEJO DE ESTADO. Sala de Consulta y Servicio Civil. Concepto del </w:t>
      </w:r>
      <w:r w:rsidRPr="00644843">
        <w:rPr>
          <w:rFonts w:ascii="Verdana" w:hAnsi="Verdana" w:cs="Arial"/>
          <w:color w:val="000000" w:themeColor="text1"/>
          <w:sz w:val="10"/>
          <w:szCs w:val="10"/>
        </w:rPr>
        <w:t>10 de agosto de 2006. Exp. 1.767. C.P. Luis Fernando Álvarez Jaramillo.</w:t>
      </w:r>
    </w:p>
    <w:p w14:paraId="7313F67C" w14:textId="77777777" w:rsidR="000906F1" w:rsidRPr="00644843" w:rsidRDefault="000906F1" w:rsidP="000906F1">
      <w:pPr>
        <w:pStyle w:val="Textonotapie"/>
        <w:ind w:firstLine="708"/>
        <w:jc w:val="both"/>
        <w:rPr>
          <w:rFonts w:ascii="Verdana" w:hAnsi="Verdana" w:cs="Arial"/>
          <w:sz w:val="10"/>
          <w:szCs w:val="10"/>
          <w:lang w:val="es-CO"/>
        </w:rPr>
      </w:pPr>
    </w:p>
  </w:footnote>
  <w:footnote w:id="16">
    <w:p w14:paraId="5FE3EBFB" w14:textId="77777777" w:rsidR="000906F1" w:rsidRPr="00644843" w:rsidRDefault="000906F1" w:rsidP="000906F1">
      <w:pPr>
        <w:pStyle w:val="Textonotapie"/>
        <w:ind w:firstLine="708"/>
        <w:jc w:val="both"/>
        <w:rPr>
          <w:rFonts w:ascii="Verdana" w:eastAsia="Calibri" w:hAnsi="Verdana" w:cs="Arial"/>
          <w:sz w:val="10"/>
          <w:szCs w:val="10"/>
          <w:lang w:val="es-CO"/>
        </w:rPr>
      </w:pPr>
      <w:r w:rsidRPr="00644843">
        <w:rPr>
          <w:rStyle w:val="Refdenotaalpie"/>
          <w:rFonts w:ascii="Verdana" w:hAnsi="Verdana" w:cs="Arial"/>
          <w:sz w:val="10"/>
          <w:szCs w:val="10"/>
        </w:rPr>
        <w:footnoteRef/>
      </w:r>
      <w:r w:rsidRPr="00644843">
        <w:rPr>
          <w:rFonts w:ascii="Verdana" w:hAnsi="Verdana" w:cs="Arial"/>
          <w:sz w:val="10"/>
          <w:szCs w:val="10"/>
        </w:rPr>
        <w:t xml:space="preserve"> Como expresa DÁVILA: «[…] </w:t>
      </w:r>
      <w:r w:rsidRPr="00644843">
        <w:rPr>
          <w:rFonts w:ascii="Verdana" w:eastAsia="Calibri" w:hAnsi="Verdana" w:cs="Arial"/>
          <w:sz w:val="10"/>
          <w:szCs w:val="10"/>
          <w:lang w:val="es-CO"/>
        </w:rPr>
        <w:t>la entidad estatal en la etapa previa o de planeación debe advertir situaciones concretas y reales que puedan implicar un conflicto de interés. Una vez hecho, debe tipificarlas de manera objetiva, clara y completa en el pliego de condiciones y consecuentemente aplicarlas de manera restrictiva y taxativa al momento de evaluar y adjudicar el contrato, no pudiéndose, so pena de violar la ley, diseñarse, crearse o inventarse alguna nueva» (DÁVILA VINUEZA, Luis Guillermo. Op. Cit., p. 151.</w:t>
      </w:r>
    </w:p>
    <w:p w14:paraId="45E0DC9E" w14:textId="77777777" w:rsidR="000906F1" w:rsidRPr="00644843" w:rsidRDefault="000906F1" w:rsidP="000906F1">
      <w:pPr>
        <w:pStyle w:val="Textonotapie"/>
        <w:ind w:firstLine="708"/>
        <w:jc w:val="both"/>
        <w:rPr>
          <w:rFonts w:ascii="Verdana" w:hAnsi="Verdana" w:cs="Arial"/>
          <w:sz w:val="10"/>
          <w:szCs w:val="10"/>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71504937">
    <w:abstractNumId w:val="6"/>
  </w:num>
  <w:num w:numId="2" w16cid:durableId="824711242">
    <w:abstractNumId w:val="2"/>
  </w:num>
  <w:num w:numId="3" w16cid:durableId="1438677348">
    <w:abstractNumId w:val="4"/>
  </w:num>
  <w:num w:numId="4" w16cid:durableId="58768830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599605408">
    <w:abstractNumId w:val="2"/>
  </w:num>
  <w:num w:numId="6" w16cid:durableId="469519319">
    <w:abstractNumId w:val="13"/>
  </w:num>
  <w:num w:numId="7" w16cid:durableId="2080130762">
    <w:abstractNumId w:val="5"/>
  </w:num>
  <w:num w:numId="8" w16cid:durableId="226034591">
    <w:abstractNumId w:val="12"/>
  </w:num>
  <w:num w:numId="9" w16cid:durableId="685449989">
    <w:abstractNumId w:val="7"/>
  </w:num>
  <w:num w:numId="10" w16cid:durableId="1940216977">
    <w:abstractNumId w:val="11"/>
  </w:num>
  <w:num w:numId="11" w16cid:durableId="2073112059">
    <w:abstractNumId w:val="8"/>
  </w:num>
  <w:num w:numId="12" w16cid:durableId="2064676460">
    <w:abstractNumId w:val="1"/>
  </w:num>
  <w:num w:numId="13" w16cid:durableId="173299749">
    <w:abstractNumId w:val="3"/>
  </w:num>
  <w:num w:numId="14" w16cid:durableId="907492320">
    <w:abstractNumId w:val="14"/>
  </w:num>
  <w:num w:numId="15" w16cid:durableId="714815021">
    <w:abstractNumId w:val="10"/>
  </w:num>
  <w:num w:numId="16" w16cid:durableId="340863691">
    <w:abstractNumId w:val="0"/>
  </w:num>
  <w:num w:numId="17" w16cid:durableId="139527318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906F1"/>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2E5427"/>
    <w:rsid w:val="0030657A"/>
    <w:rsid w:val="00322A85"/>
    <w:rsid w:val="00324168"/>
    <w:rsid w:val="00330834"/>
    <w:rsid w:val="003448F4"/>
    <w:rsid w:val="00374F5E"/>
    <w:rsid w:val="00377E3E"/>
    <w:rsid w:val="003A779E"/>
    <w:rsid w:val="003B654B"/>
    <w:rsid w:val="003D0F4D"/>
    <w:rsid w:val="003D5B0D"/>
    <w:rsid w:val="003E0499"/>
    <w:rsid w:val="003E4F80"/>
    <w:rsid w:val="003E6439"/>
    <w:rsid w:val="003F3941"/>
    <w:rsid w:val="00406575"/>
    <w:rsid w:val="00414C74"/>
    <w:rsid w:val="0042722E"/>
    <w:rsid w:val="0044528D"/>
    <w:rsid w:val="00466E39"/>
    <w:rsid w:val="004A1847"/>
    <w:rsid w:val="004A305D"/>
    <w:rsid w:val="004B1C44"/>
    <w:rsid w:val="004F21C4"/>
    <w:rsid w:val="004F685F"/>
    <w:rsid w:val="005566E8"/>
    <w:rsid w:val="00574867"/>
    <w:rsid w:val="00591460"/>
    <w:rsid w:val="005A65E0"/>
    <w:rsid w:val="005C3777"/>
    <w:rsid w:val="005C5CDC"/>
    <w:rsid w:val="005D476C"/>
    <w:rsid w:val="006200BF"/>
    <w:rsid w:val="006219F8"/>
    <w:rsid w:val="006302F7"/>
    <w:rsid w:val="00646B9F"/>
    <w:rsid w:val="00653659"/>
    <w:rsid w:val="00665D70"/>
    <w:rsid w:val="006900D9"/>
    <w:rsid w:val="006F08BD"/>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66B7E"/>
    <w:rsid w:val="00B72CD3"/>
    <w:rsid w:val="00B72FFF"/>
    <w:rsid w:val="00B739CF"/>
    <w:rsid w:val="00BC3D36"/>
    <w:rsid w:val="00BD54A6"/>
    <w:rsid w:val="00BD7F72"/>
    <w:rsid w:val="00BF7425"/>
    <w:rsid w:val="00C04FB3"/>
    <w:rsid w:val="00C11D8B"/>
    <w:rsid w:val="00C15139"/>
    <w:rsid w:val="00C330EB"/>
    <w:rsid w:val="00C50D69"/>
    <w:rsid w:val="00C5365C"/>
    <w:rsid w:val="00C754BE"/>
    <w:rsid w:val="00C76B1C"/>
    <w:rsid w:val="00C91AAC"/>
    <w:rsid w:val="00C925AC"/>
    <w:rsid w:val="00CB6357"/>
    <w:rsid w:val="00CC1B26"/>
    <w:rsid w:val="00D27492"/>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B2D11"/>
    <w:rsid w:val="00EC38A7"/>
    <w:rsid w:val="00EE1AA8"/>
    <w:rsid w:val="00F23FEA"/>
    <w:rsid w:val="00F31EDC"/>
    <w:rsid w:val="00F462B3"/>
    <w:rsid w:val="00F5664F"/>
    <w:rsid w:val="00F666C4"/>
    <w:rsid w:val="00F76AFC"/>
    <w:rsid w:val="00FA47C0"/>
    <w:rsid w:val="00FB5DD1"/>
    <w:rsid w:val="00FB7FD5"/>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906F1"/>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906F1"/>
    <w:rPr>
      <w:rFonts w:ascii="Geomanist Light" w:hAnsi="Geomanist Light"/>
      <w:lang w:val="es-ES"/>
    </w:rPr>
  </w:style>
  <w:style w:type="table" w:customStyle="1" w:styleId="Tablaconcuadrcula1">
    <w:name w:val="Tabla con cuadrícula1"/>
    <w:basedOn w:val="Tablanormal"/>
    <w:next w:val="Tablaconcuadrcula"/>
    <w:uiPriority w:val="39"/>
    <w:qFormat/>
    <w:rsid w:val="000906F1"/>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ventanilladeradicacion@colombiacompra.gov.c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alomonalvirabalderrama@gmail.com" TargetMode="External"/><Relationship Id="rId5" Type="http://schemas.openxmlformats.org/officeDocument/2006/relationships/styles" Target="styles.xml"/><Relationship Id="rId15" Type="http://schemas.openxmlformats.org/officeDocument/2006/relationships/hyperlink" Target="https://forms.office.com/r/pPHyWVs2SZ"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pqrsd/informacion-importante-antes-de-formular-una-pqrsd"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d8f5e815-0076-445a-b727-5225634d30bd"/>
    <ds:schemaRef ds:uri="8ae15d26-076e-464e-81a7-6f76a0fb3917"/>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EE29A71A-AD77-424F-B047-F10CE5416B29}"/>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10</TotalTime>
  <Pages>16</Pages>
  <Words>4859</Words>
  <Characters>26386</Characters>
  <Application>Microsoft Office Word</Application>
  <DocSecurity>0</DocSecurity>
  <Lines>517</Lines>
  <Paragraphs>114</Paragraphs>
  <ScaleCrop>false</ScaleCrop>
  <Company/>
  <LinksUpToDate>false</LinksUpToDate>
  <CharactersWithSpaces>31131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Richard Andrés Montenegro Siefken</cp:lastModifiedBy>
  <cp:revision>3</cp:revision>
  <cp:lastPrinted>2023-01-10T21:18:00Z</cp:lastPrinted>
  <dcterms:created xsi:type="dcterms:W3CDTF">2025-12-29T22:24:00Z</dcterms:created>
  <dcterms:modified xsi:type="dcterms:W3CDTF">2025-12-30T15:20:00Z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