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2C50C"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b/>
          <w:bCs/>
          <w:lang w:eastAsia="es-MX"/>
        </w:rPr>
      </w:pPr>
      <w:r w:rsidRPr="000C7295">
        <w:rPr>
          <w:rFonts w:ascii="Verdana" w:eastAsia="Times New Roman" w:hAnsi="Verdana" w:cs="Times New Roman"/>
          <w:b/>
          <w:bCs/>
          <w:lang w:eastAsia="es-MX"/>
        </w:rPr>
        <w:t xml:space="preserve">LEY DE GARANTÍAS ELECTORALES – Suscripción de contratos y convenios antes de la restricción </w:t>
      </w:r>
    </w:p>
    <w:p w14:paraId="6B43F5C1" w14:textId="187F49EE" w:rsidR="000C7295" w:rsidRPr="003349BA" w:rsidRDefault="000C7295" w:rsidP="000C7295">
      <w:pPr>
        <w:spacing w:before="100" w:beforeAutospacing="1" w:after="100" w:afterAutospacing="1" w:line="240" w:lineRule="auto"/>
        <w:jc w:val="both"/>
        <w:rPr>
          <w:rFonts w:ascii="Verdana" w:eastAsia="Times New Roman" w:hAnsi="Verdana" w:cs="Times New Roman"/>
          <w:sz w:val="20"/>
          <w:szCs w:val="20"/>
          <w:lang w:eastAsia="es-MX"/>
        </w:rPr>
      </w:pPr>
      <w:r w:rsidRPr="003349BA">
        <w:rPr>
          <w:rFonts w:ascii="Verdana" w:eastAsia="Times New Roman" w:hAnsi="Verdana" w:cs="Times New Roman"/>
          <w:sz w:val="20"/>
          <w:szCs w:val="20"/>
          <w:lang w:eastAsia="es-MX"/>
        </w:rPr>
        <w:t>La suscripción de convenios interadministrativos o contratos estatales bajo la modalidad de contratación directa antes de que cobren vigencia las respectivas restricciones de la Ley de Garantías, es posible aun cuando su ejecución inicie con posterioridad. Lo anterior, por cuanto la prohibición legal recae sobre la conducta de celebrar el negocio jurídico dentro del periodo restringido,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p>
    <w:p w14:paraId="04B855BE"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b/>
          <w:bCs/>
          <w:lang w:eastAsia="es-MX"/>
        </w:rPr>
        <w:t>LEY DE GARANTÍAS ELECTORALES – Planeación contractual – Diferimiento del acta de inicio – Límite a la elusión de controles</w:t>
      </w:r>
      <w:r w:rsidRPr="000C7295">
        <w:rPr>
          <w:rFonts w:ascii="Verdana" w:eastAsia="Times New Roman" w:hAnsi="Verdana" w:cs="Times New Roman"/>
          <w:lang w:eastAsia="es-MX"/>
        </w:rPr>
        <w:t xml:space="preserve"> </w:t>
      </w:r>
    </w:p>
    <w:p w14:paraId="2937D471" w14:textId="498B6BEE" w:rsidR="000C7295" w:rsidRPr="003349BA" w:rsidRDefault="000C7295" w:rsidP="000C7295">
      <w:pPr>
        <w:spacing w:before="100" w:beforeAutospacing="1" w:after="100" w:afterAutospacing="1" w:line="240" w:lineRule="auto"/>
        <w:jc w:val="both"/>
        <w:rPr>
          <w:rFonts w:ascii="Verdana" w:eastAsia="Times New Roman" w:hAnsi="Verdana" w:cs="Times New Roman"/>
          <w:sz w:val="20"/>
          <w:szCs w:val="20"/>
          <w:lang w:eastAsia="es-MX"/>
        </w:rPr>
      </w:pPr>
      <w:r w:rsidRPr="003349BA">
        <w:rPr>
          <w:rFonts w:ascii="Verdana" w:eastAsia="Times New Roman" w:hAnsi="Verdana" w:cs="Times New Roman"/>
          <w:sz w:val="20"/>
          <w:szCs w:val="20"/>
          <w:lang w:eastAsia="es-MX"/>
        </w:rPr>
        <w:t>Por consiguiente, diferir el acta de inicio o la ejecución material para una fecha posterior no vicia la legalidad del contrato, siempre que dicha programación obedezca a una juiciosa planeación contractual que garantice el cumplimiento de los fines estatales y no a una forma para eludir el control de las restricciones electorales".</w:t>
      </w:r>
    </w:p>
    <w:p w14:paraId="26E67C1E"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b/>
          <w:bCs/>
          <w:lang w:eastAsia="es-MX"/>
        </w:rPr>
        <w:t>LEY DE GARANTÍAS ELECTORALES – Prohibición de contratación directa – Definición amplia – Sistemas sin convocatoria pública</w:t>
      </w:r>
      <w:r w:rsidRPr="000C7295">
        <w:rPr>
          <w:rFonts w:ascii="Verdana" w:eastAsia="Times New Roman" w:hAnsi="Verdana" w:cs="Times New Roman"/>
          <w:lang w:eastAsia="es-MX"/>
        </w:rPr>
        <w:t xml:space="preserve"> </w:t>
      </w:r>
    </w:p>
    <w:p w14:paraId="5DDDB91B" w14:textId="78887B13" w:rsidR="000C7295" w:rsidRPr="003349BA" w:rsidRDefault="000C7295" w:rsidP="000C7295">
      <w:pPr>
        <w:spacing w:before="100" w:beforeAutospacing="1" w:after="100" w:afterAutospacing="1" w:line="240" w:lineRule="auto"/>
        <w:jc w:val="both"/>
        <w:rPr>
          <w:rFonts w:ascii="Verdana" w:eastAsia="Times New Roman" w:hAnsi="Verdana" w:cs="Times New Roman"/>
          <w:sz w:val="20"/>
          <w:szCs w:val="20"/>
          <w:lang w:eastAsia="es-MX"/>
        </w:rPr>
      </w:pPr>
      <w:r w:rsidRPr="003349BA">
        <w:rPr>
          <w:rFonts w:ascii="Verdana" w:eastAsia="Times New Roman" w:hAnsi="Verdana" w:cs="Times New Roman"/>
          <w:sz w:val="20"/>
          <w:szCs w:val="20"/>
          <w:lang w:eastAsia="es-MX"/>
        </w:rPr>
        <w:t>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24E80B70" w14:textId="77777777" w:rsidR="000C7295" w:rsidRDefault="000C7295" w:rsidP="00966CEE">
      <w:pPr>
        <w:pStyle w:val="Textoindependiente"/>
        <w:spacing w:before="50" w:line="578" w:lineRule="exact"/>
        <w:ind w:right="5644"/>
        <w:rPr>
          <w:rFonts w:ascii="Verdana" w:hAnsi="Verdana"/>
          <w:sz w:val="20"/>
          <w:szCs w:val="20"/>
        </w:rPr>
      </w:pPr>
    </w:p>
    <w:p w14:paraId="58076352" w14:textId="77777777" w:rsidR="000C7295" w:rsidRDefault="000C7295" w:rsidP="00966CEE">
      <w:pPr>
        <w:pStyle w:val="Textoindependiente"/>
        <w:spacing w:before="50" w:line="578" w:lineRule="exact"/>
        <w:ind w:right="5644"/>
        <w:rPr>
          <w:rFonts w:ascii="Verdana" w:hAnsi="Verdana"/>
          <w:sz w:val="20"/>
          <w:szCs w:val="20"/>
        </w:rPr>
      </w:pPr>
    </w:p>
    <w:p w14:paraId="1ED7D317" w14:textId="77777777" w:rsidR="000C7295" w:rsidRDefault="000C7295" w:rsidP="00966CEE">
      <w:pPr>
        <w:pStyle w:val="Textoindependiente"/>
        <w:spacing w:before="50" w:line="578" w:lineRule="exact"/>
        <w:ind w:right="5644"/>
        <w:rPr>
          <w:rFonts w:ascii="Verdana" w:hAnsi="Verdana"/>
          <w:sz w:val="20"/>
          <w:szCs w:val="20"/>
        </w:rPr>
      </w:pPr>
    </w:p>
    <w:p w14:paraId="438CB6EA" w14:textId="77777777" w:rsidR="003349BA" w:rsidRDefault="003349BA" w:rsidP="00966CEE">
      <w:pPr>
        <w:pStyle w:val="Textoindependiente"/>
        <w:spacing w:before="50" w:line="578" w:lineRule="exact"/>
        <w:ind w:right="5644"/>
        <w:rPr>
          <w:rFonts w:ascii="Verdana" w:hAnsi="Verdana"/>
          <w:sz w:val="20"/>
          <w:szCs w:val="20"/>
        </w:rPr>
      </w:pPr>
    </w:p>
    <w:p w14:paraId="3FAD0D3D" w14:textId="54277D05" w:rsidR="00966CEE" w:rsidRPr="00966CEE" w:rsidRDefault="00966CEE" w:rsidP="00966CEE">
      <w:pPr>
        <w:pStyle w:val="Textoindependiente"/>
        <w:spacing w:before="50" w:line="578" w:lineRule="exact"/>
        <w:ind w:right="5644"/>
        <w:rPr>
          <w:rFonts w:ascii="Verdana" w:hAnsi="Verdana"/>
          <w:sz w:val="20"/>
          <w:szCs w:val="20"/>
        </w:rPr>
      </w:pPr>
      <w:r w:rsidRPr="00966CEE">
        <w:rPr>
          <w:rFonts w:ascii="Verdana" w:hAnsi="Verdana"/>
          <w:sz w:val="20"/>
          <w:szCs w:val="20"/>
        </w:rPr>
        <w:lastRenderedPageBreak/>
        <w:t>Bogotá</w:t>
      </w:r>
      <w:r w:rsidRPr="00966CEE">
        <w:rPr>
          <w:rFonts w:ascii="Verdana" w:hAnsi="Verdana"/>
          <w:spacing w:val="-12"/>
          <w:sz w:val="20"/>
          <w:szCs w:val="20"/>
        </w:rPr>
        <w:t xml:space="preserve"> </w:t>
      </w:r>
      <w:r w:rsidRPr="00966CEE">
        <w:rPr>
          <w:rFonts w:ascii="Verdana" w:hAnsi="Verdana"/>
          <w:sz w:val="20"/>
          <w:szCs w:val="20"/>
        </w:rPr>
        <w:t>D.C.,</w:t>
      </w:r>
      <w:r w:rsidRPr="00966CEE">
        <w:rPr>
          <w:rFonts w:ascii="Verdana" w:hAnsi="Verdana"/>
          <w:spacing w:val="-8"/>
          <w:sz w:val="20"/>
          <w:szCs w:val="20"/>
        </w:rPr>
        <w:t xml:space="preserve"> </w:t>
      </w:r>
      <w:r w:rsidRPr="00966CEE">
        <w:rPr>
          <w:rFonts w:ascii="Verdana" w:hAnsi="Verdana"/>
          <w:sz w:val="20"/>
          <w:szCs w:val="20"/>
        </w:rPr>
        <w:t>04</w:t>
      </w:r>
      <w:r w:rsidRPr="00966CEE">
        <w:rPr>
          <w:rFonts w:ascii="Verdana" w:hAnsi="Verdana"/>
          <w:spacing w:val="-12"/>
          <w:sz w:val="20"/>
          <w:szCs w:val="20"/>
        </w:rPr>
        <w:t xml:space="preserve"> </w:t>
      </w:r>
      <w:r w:rsidRPr="00966CEE">
        <w:rPr>
          <w:rFonts w:ascii="Verdana" w:hAnsi="Verdana"/>
          <w:sz w:val="20"/>
          <w:szCs w:val="20"/>
        </w:rPr>
        <w:t xml:space="preserve">Diciembre2025 </w:t>
      </w:r>
    </w:p>
    <w:p w14:paraId="576E5B2F" w14:textId="09F3FFE3" w:rsidR="00966CEE" w:rsidRDefault="003349BA" w:rsidP="00871B59">
      <w:pPr>
        <w:spacing w:after="0" w:line="240" w:lineRule="auto"/>
        <w:jc w:val="both"/>
        <w:rPr>
          <w:rFonts w:ascii="Verdana" w:eastAsia="Calibri" w:hAnsi="Verdana" w:cs="Arial"/>
          <w:lang w:val="es-ES" w:eastAsia="es-ES"/>
        </w:rPr>
      </w:pPr>
      <w:r w:rsidRPr="00966CEE">
        <w:rPr>
          <w:rFonts w:ascii="Verdana" w:hAnsi="Verdana"/>
          <w:noProof/>
          <w:sz w:val="20"/>
          <w:szCs w:val="20"/>
        </w:rPr>
        <w:drawing>
          <wp:anchor distT="0" distB="0" distL="0" distR="0" simplePos="0" relativeHeight="251659264" behindDoc="0" locked="0" layoutInCell="1" allowOverlap="1" wp14:anchorId="6CE1BDF7" wp14:editId="40FA9BBD">
            <wp:simplePos x="0" y="0"/>
            <wp:positionH relativeFrom="page">
              <wp:posOffset>3927944</wp:posOffset>
            </wp:positionH>
            <wp:positionV relativeFrom="paragraph">
              <wp:posOffset>7786</wp:posOffset>
            </wp:positionV>
            <wp:extent cx="2722431" cy="899795"/>
            <wp:effectExtent l="0" t="0" r="1905"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722431" cy="899795"/>
                    </a:xfrm>
                    <a:prstGeom prst="rect">
                      <a:avLst/>
                    </a:prstGeom>
                  </pic:spPr>
                </pic:pic>
              </a:graphicData>
            </a:graphic>
            <wp14:sizeRelH relativeFrom="margin">
              <wp14:pctWidth>0</wp14:pctWidth>
            </wp14:sizeRelH>
            <wp14:sizeRelV relativeFrom="margin">
              <wp14:pctHeight>0</wp14:pctHeight>
            </wp14:sizeRelV>
          </wp:anchor>
        </w:drawing>
      </w:r>
    </w:p>
    <w:p w14:paraId="0170D820" w14:textId="128D7280"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61200410" w14:textId="4A105D05" w:rsidR="00871B59" w:rsidRDefault="00871B59" w:rsidP="00871B59">
      <w:pPr>
        <w:spacing w:after="0" w:line="240" w:lineRule="auto"/>
        <w:rPr>
          <w:rFonts w:ascii="Verdana" w:eastAsia="Calibri" w:hAnsi="Verdana" w:cs="Arial"/>
          <w:b/>
          <w:lang w:val="es-ES_tradnl" w:eastAsia="es-ES_tradnl"/>
        </w:rPr>
      </w:pPr>
      <w:r w:rsidRPr="00B96799">
        <w:rPr>
          <w:rFonts w:ascii="Verdana" w:eastAsia="Calibri" w:hAnsi="Verdana" w:cs="Arial"/>
          <w:b/>
          <w:lang w:val="es-ES_tradnl" w:eastAsia="es-ES_tradnl"/>
        </w:rPr>
        <w:t xml:space="preserve">Juan </w:t>
      </w:r>
      <w:r w:rsidR="00F34219">
        <w:rPr>
          <w:rFonts w:ascii="Verdana" w:eastAsia="Calibri" w:hAnsi="Verdana" w:cs="Arial"/>
          <w:b/>
          <w:lang w:val="es-ES_tradnl" w:eastAsia="es-ES_tradnl"/>
        </w:rPr>
        <w:t>Diego Jaramillo Giraldo</w:t>
      </w:r>
    </w:p>
    <w:p w14:paraId="10578F57" w14:textId="434A6643" w:rsidR="00F34219" w:rsidRPr="00F34219" w:rsidRDefault="00F34219" w:rsidP="00871B59">
      <w:pPr>
        <w:spacing w:after="0" w:line="240" w:lineRule="auto"/>
        <w:rPr>
          <w:rFonts w:ascii="Verdana" w:eastAsia="Calibri" w:hAnsi="Verdana" w:cs="Arial"/>
          <w:bCs/>
          <w:lang w:val="es-ES_tradnl" w:eastAsia="es-ES_tradnl"/>
        </w:rPr>
      </w:pPr>
      <w:hyperlink r:id="rId12" w:history="1">
        <w:r w:rsidRPr="00F34219">
          <w:rPr>
            <w:rStyle w:val="Hipervnculo"/>
            <w:rFonts w:ascii="Verdana" w:eastAsia="Calibri" w:hAnsi="Verdana" w:cs="Arial"/>
            <w:bCs/>
            <w:lang w:val="es-ES_tradnl" w:eastAsia="es-ES_tradnl"/>
          </w:rPr>
          <w:t>jaramillojuandiego05@gmail.com</w:t>
        </w:r>
      </w:hyperlink>
      <w:r w:rsidRPr="00F34219">
        <w:rPr>
          <w:rFonts w:ascii="Verdana" w:eastAsia="Calibri" w:hAnsi="Verdana" w:cs="Arial"/>
          <w:bCs/>
          <w:lang w:val="es-ES_tradnl" w:eastAsia="es-ES_tradnl"/>
        </w:rPr>
        <w:t xml:space="preserve"> </w:t>
      </w:r>
    </w:p>
    <w:p w14:paraId="15575CD7" w14:textId="0AA8CA97" w:rsidR="00871B59" w:rsidRPr="00B96799" w:rsidRDefault="00F34219"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Peque</w:t>
      </w:r>
      <w:r w:rsidR="00871B59" w:rsidRPr="00B96799">
        <w:rPr>
          <w:rFonts w:ascii="Verdana" w:eastAsia="Calibri" w:hAnsi="Verdana" w:cs="Arial"/>
          <w:lang w:val="es-ES" w:eastAsia="es-ES"/>
        </w:rPr>
        <w:t>,</w:t>
      </w:r>
      <w:r>
        <w:rPr>
          <w:rFonts w:ascii="Verdana" w:eastAsia="Calibri" w:hAnsi="Verdana" w:cs="Arial"/>
          <w:lang w:val="es-ES" w:eastAsia="es-ES"/>
        </w:rPr>
        <w:t xml:space="preserve"> Antioquia </w:t>
      </w:r>
    </w:p>
    <w:p w14:paraId="53915E66"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0ADF5509"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48650EB" w14:textId="77777777" w:rsidTr="002607A7">
        <w:trPr>
          <w:trHeight w:val="884"/>
        </w:trPr>
        <w:tc>
          <w:tcPr>
            <w:tcW w:w="2689" w:type="dxa"/>
          </w:tcPr>
          <w:p w14:paraId="34CDF5EA"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5C5FDBF6" w14:textId="72B03D85"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F34219">
              <w:rPr>
                <w:rFonts w:ascii="Verdana" w:eastAsia="Calibri" w:hAnsi="Verdana" w:cs="Arial"/>
                <w:b/>
                <w:bCs/>
                <w:lang w:val="es-ES" w:eastAsia="es-ES"/>
              </w:rPr>
              <w:t xml:space="preserve"> 1622 </w:t>
            </w:r>
            <w:r w:rsidRPr="00247BDE">
              <w:rPr>
                <w:rFonts w:ascii="Verdana" w:eastAsia="Calibri" w:hAnsi="Verdana" w:cs="Arial"/>
                <w:b/>
                <w:bCs/>
                <w:lang w:val="es-ES" w:eastAsia="es-ES"/>
              </w:rPr>
              <w:t>de</w:t>
            </w:r>
            <w:r w:rsidR="00F34219">
              <w:rPr>
                <w:rFonts w:ascii="Verdana" w:eastAsia="Calibri" w:hAnsi="Verdana" w:cs="Arial"/>
                <w:b/>
                <w:bCs/>
                <w:lang w:val="es-ES" w:eastAsia="es-ES"/>
              </w:rPr>
              <w:t xml:space="preserve"> 2025</w:t>
            </w:r>
          </w:p>
        </w:tc>
      </w:tr>
      <w:tr w:rsidR="00871B59" w:rsidRPr="00593A5F" w14:paraId="452B40BC" w14:textId="77777777" w:rsidTr="002607A7">
        <w:trPr>
          <w:trHeight w:val="884"/>
        </w:trPr>
        <w:tc>
          <w:tcPr>
            <w:tcW w:w="2689" w:type="dxa"/>
          </w:tcPr>
          <w:p w14:paraId="0FDB3E6F"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F38DEA8" w14:textId="77777777" w:rsidR="00871B59" w:rsidRDefault="00482605" w:rsidP="00482605">
            <w:pPr>
              <w:spacing w:line="276" w:lineRule="auto"/>
              <w:jc w:val="both"/>
              <w:rPr>
                <w:rFonts w:ascii="Verdana" w:hAnsi="Verdana"/>
              </w:rPr>
            </w:pPr>
            <w:r w:rsidRPr="00482605">
              <w:rPr>
                <w:rFonts w:ascii="Verdana" w:hAnsi="Verdana"/>
              </w:rPr>
              <w:t>LEY DE GARANTÍAS ELECTORALES ─ Prohibición ‒ Contratación directa ‒ Alcance / LEY DE GARANTÍAS ELECTORALES ─ Restricciones ‒ Ámbito temporal / LEY DE GARANTÍAS ELECTORALES ─ Convenios interadministrativos ‒ Celebración y ejecución</w:t>
            </w:r>
            <w:r>
              <w:rPr>
                <w:rFonts w:ascii="Verdana" w:hAnsi="Verdana"/>
              </w:rPr>
              <w:t>.</w:t>
            </w:r>
          </w:p>
          <w:p w14:paraId="64F5CFA1" w14:textId="569048D1" w:rsidR="00482605" w:rsidRPr="00482605" w:rsidRDefault="00482605" w:rsidP="00482605">
            <w:pPr>
              <w:spacing w:line="276" w:lineRule="auto"/>
              <w:jc w:val="both"/>
              <w:rPr>
                <w:rFonts w:ascii="Verdana" w:eastAsia="Calibri" w:hAnsi="Verdana" w:cs="Arial"/>
                <w:lang w:eastAsia="es-ES"/>
              </w:rPr>
            </w:pPr>
          </w:p>
        </w:tc>
      </w:tr>
      <w:tr w:rsidR="00871B59" w:rsidRPr="00593A5F" w14:paraId="0DDFE2C3" w14:textId="77777777" w:rsidTr="00966CEE">
        <w:trPr>
          <w:trHeight w:val="436"/>
        </w:trPr>
        <w:tc>
          <w:tcPr>
            <w:tcW w:w="2689" w:type="dxa"/>
          </w:tcPr>
          <w:p w14:paraId="275F3FB2" w14:textId="77777777" w:rsidR="00871B59" w:rsidRPr="00F34219" w:rsidRDefault="00871B59" w:rsidP="002607A7">
            <w:pPr>
              <w:jc w:val="both"/>
              <w:rPr>
                <w:rFonts w:ascii="Verdana" w:eastAsia="Calibri" w:hAnsi="Verdana" w:cs="Arial"/>
                <w:b/>
                <w:color w:val="000000" w:themeColor="text1"/>
                <w:lang w:val="es-ES_tradnl" w:eastAsia="es-ES_tradnl"/>
              </w:rPr>
            </w:pPr>
            <w:r w:rsidRPr="00F34219">
              <w:rPr>
                <w:rFonts w:ascii="Verdana" w:eastAsia="Calibri" w:hAnsi="Verdana" w:cs="Arial"/>
                <w:b/>
                <w:color w:val="000000" w:themeColor="text1"/>
                <w:lang w:val="es-ES_tradnl" w:eastAsia="es-ES_tradnl"/>
              </w:rPr>
              <w:t>Radicación:</w:t>
            </w:r>
            <w:r w:rsidRPr="00F34219">
              <w:rPr>
                <w:rFonts w:ascii="Verdana" w:eastAsia="Calibri" w:hAnsi="Verdana" w:cs="Arial"/>
                <w:color w:val="000000" w:themeColor="text1"/>
                <w:lang w:val="es-ES_tradnl" w:eastAsia="es-ES_tradnl"/>
              </w:rPr>
              <w:t xml:space="preserve">               </w:t>
            </w:r>
          </w:p>
        </w:tc>
        <w:tc>
          <w:tcPr>
            <w:tcW w:w="6100" w:type="dxa"/>
          </w:tcPr>
          <w:p w14:paraId="0C1B4983" w14:textId="71D8ACE3" w:rsidR="00871B59" w:rsidRPr="00F34219" w:rsidRDefault="00871B59" w:rsidP="002607A7">
            <w:pPr>
              <w:jc w:val="both"/>
              <w:rPr>
                <w:rFonts w:ascii="Verdana" w:eastAsia="Calibri" w:hAnsi="Verdana" w:cs="Arial"/>
                <w:color w:val="000000" w:themeColor="text1"/>
                <w:lang w:val="es-ES_tradnl" w:eastAsia="es-ES_tradnl"/>
              </w:rPr>
            </w:pPr>
            <w:r w:rsidRPr="00F34219">
              <w:rPr>
                <w:rFonts w:ascii="Verdana" w:eastAsia="Calibri" w:hAnsi="Verdana" w:cs="Arial"/>
                <w:color w:val="000000" w:themeColor="text1"/>
                <w:lang w:val="es-ES_tradnl" w:eastAsia="es-ES_tradnl"/>
              </w:rPr>
              <w:t xml:space="preserve">Respuesta a consulta con radicado No. </w:t>
            </w:r>
            <w:r w:rsidR="00F34219" w:rsidRPr="00F34219">
              <w:rPr>
                <w:rFonts w:ascii="Verdana" w:hAnsi="Verdana" w:cs="Segoe UI"/>
                <w:color w:val="000000" w:themeColor="text1"/>
                <w:shd w:val="clear" w:color="auto" w:fill="FFFFFF"/>
              </w:rPr>
              <w:t>1_2025_11_04_012393</w:t>
            </w:r>
          </w:p>
        </w:tc>
      </w:tr>
    </w:tbl>
    <w:p w14:paraId="610B00D8"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7E2C4C89"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4811D75" w14:textId="755A877C" w:rsidR="00871B59" w:rsidRPr="00F34219" w:rsidRDefault="00871B59" w:rsidP="00871B59">
      <w:pPr>
        <w:spacing w:after="0" w:line="276" w:lineRule="auto"/>
        <w:jc w:val="both"/>
        <w:rPr>
          <w:rFonts w:ascii="Verdana" w:eastAsia="Calibri" w:hAnsi="Verdana" w:cs="Arial"/>
          <w:color w:val="000000" w:themeColor="text1"/>
          <w:lang w:val="es-ES" w:eastAsia="es-ES"/>
        </w:rPr>
      </w:pPr>
      <w:r w:rsidRPr="00F34219">
        <w:rPr>
          <w:rFonts w:ascii="Verdana" w:eastAsia="Calibri" w:hAnsi="Verdana" w:cs="Arial"/>
          <w:color w:val="000000" w:themeColor="text1"/>
          <w:lang w:val="es-ES" w:eastAsia="es-ES"/>
        </w:rPr>
        <w:t>Estimado señor</w:t>
      </w:r>
      <w:r w:rsidR="00F34219" w:rsidRPr="00F34219">
        <w:rPr>
          <w:rFonts w:ascii="Verdana" w:eastAsia="Calibri" w:hAnsi="Verdana" w:cs="Arial"/>
          <w:color w:val="000000" w:themeColor="text1"/>
          <w:lang w:val="es-ES" w:eastAsia="es-ES"/>
        </w:rPr>
        <w:t xml:space="preserve"> Jaramillo:</w:t>
      </w:r>
    </w:p>
    <w:p w14:paraId="6853C46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0A1A3E3" w14:textId="5E0F0AB3"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F34219">
        <w:rPr>
          <w:rFonts w:ascii="Verdana" w:eastAsia="Calibri" w:hAnsi="Verdana" w:cs="Arial"/>
          <w:color w:val="000000" w:themeColor="text1"/>
          <w:lang w:val="es-ES" w:eastAsia="es-ES"/>
        </w:rPr>
        <w:t xml:space="preserve">fecha </w:t>
      </w:r>
      <w:r w:rsidR="00F34219" w:rsidRPr="00F34219">
        <w:rPr>
          <w:rFonts w:ascii="Verdana" w:eastAsia="Calibri" w:hAnsi="Verdana" w:cs="Arial"/>
          <w:color w:val="000000" w:themeColor="text1"/>
          <w:lang w:val="es-ES" w:eastAsia="es-ES"/>
        </w:rPr>
        <w:t>4</w:t>
      </w:r>
      <w:r w:rsidRPr="00F34219">
        <w:rPr>
          <w:rFonts w:ascii="Verdana" w:eastAsia="Calibri" w:hAnsi="Verdana" w:cs="Arial"/>
          <w:color w:val="000000" w:themeColor="text1"/>
          <w:lang w:val="es-ES" w:eastAsia="es-ES"/>
        </w:rPr>
        <w:t xml:space="preserve"> de </w:t>
      </w:r>
      <w:r w:rsidR="00F34219" w:rsidRPr="00F34219">
        <w:rPr>
          <w:rFonts w:ascii="Verdana" w:eastAsia="Calibri" w:hAnsi="Verdana" w:cs="Arial"/>
          <w:color w:val="000000" w:themeColor="text1"/>
          <w:lang w:val="es-ES" w:eastAsia="es-ES"/>
        </w:rPr>
        <w:t>noviembre</w:t>
      </w:r>
      <w:r w:rsidRPr="00F34219">
        <w:rPr>
          <w:rFonts w:ascii="Verdana" w:eastAsia="Calibri" w:hAnsi="Verdana" w:cs="Arial"/>
          <w:color w:val="000000" w:themeColor="text1"/>
          <w:lang w:val="es-ES" w:eastAsia="es-ES"/>
        </w:rPr>
        <w:t xml:space="preserve"> de 20</w:t>
      </w:r>
      <w:r w:rsidR="00F34219" w:rsidRPr="00F34219">
        <w:rPr>
          <w:rFonts w:ascii="Verdana" w:eastAsia="Calibri" w:hAnsi="Verdana" w:cs="Arial"/>
          <w:color w:val="000000" w:themeColor="text1"/>
          <w:lang w:val="es-ES" w:eastAsia="es-ES"/>
        </w:rPr>
        <w:t>25</w:t>
      </w:r>
      <w:r w:rsidRPr="00F34219">
        <w:rPr>
          <w:rFonts w:ascii="Verdana" w:eastAsia="Calibri" w:hAnsi="Verdana" w:cs="Arial"/>
          <w:color w:val="000000" w:themeColor="text1"/>
          <w:lang w:val="es-ES" w:eastAsia="es-ES"/>
        </w:rPr>
        <w:t>, en la cual manifiesta lo siguiente:</w:t>
      </w:r>
      <w:r w:rsidR="00F34219" w:rsidRPr="00F34219">
        <w:rPr>
          <w:rFonts w:ascii="Verdana" w:eastAsia="Calibri" w:hAnsi="Verdana" w:cs="Arial"/>
          <w:color w:val="000000" w:themeColor="text1"/>
          <w:lang w:val="es-ES" w:eastAsia="es-ES"/>
        </w:rPr>
        <w:t xml:space="preserve"> </w:t>
      </w:r>
    </w:p>
    <w:p w14:paraId="041935D4" w14:textId="77777777" w:rsidR="00871B59" w:rsidRPr="00F34219" w:rsidRDefault="00871B59" w:rsidP="00871B59">
      <w:pPr>
        <w:pStyle w:val="Prrafodelista"/>
        <w:tabs>
          <w:tab w:val="left" w:pos="142"/>
          <w:tab w:val="left" w:pos="284"/>
        </w:tabs>
        <w:spacing w:line="276" w:lineRule="auto"/>
        <w:ind w:left="0"/>
        <w:jc w:val="both"/>
        <w:rPr>
          <w:rFonts w:ascii="Verdana" w:eastAsia="Century Gothic" w:hAnsi="Verdana" w:cs="Century Gothic"/>
          <w:b/>
          <w:bCs/>
          <w:sz w:val="20"/>
          <w:szCs w:val="20"/>
          <w:lang w:val="es-ES"/>
        </w:rPr>
      </w:pPr>
    </w:p>
    <w:p w14:paraId="5632AAF4" w14:textId="609291EA" w:rsidR="00871B59" w:rsidRPr="00F34219" w:rsidRDefault="00871B59" w:rsidP="00871B59">
      <w:pPr>
        <w:spacing w:after="0" w:line="240" w:lineRule="auto"/>
        <w:ind w:left="709" w:right="709"/>
        <w:jc w:val="both"/>
        <w:rPr>
          <w:rFonts w:ascii="Verdana" w:eastAsia="Century Gothic" w:hAnsi="Verdana" w:cs="Century Gothic"/>
          <w:color w:val="7030A0"/>
          <w:sz w:val="20"/>
          <w:szCs w:val="20"/>
          <w:lang w:val="es-ES"/>
        </w:rPr>
      </w:pPr>
      <w:bookmarkStart w:id="0" w:name="_Hlk95313578"/>
      <w:r w:rsidRPr="00F34219">
        <w:rPr>
          <w:rFonts w:ascii="Verdana" w:eastAsia="Century Gothic" w:hAnsi="Verdana" w:cs="Century Gothic"/>
          <w:color w:val="7030A0"/>
          <w:sz w:val="20"/>
          <w:szCs w:val="20"/>
          <w:lang w:val="es-ES"/>
        </w:rPr>
        <w:t>“</w:t>
      </w:r>
      <w:bookmarkEnd w:id="0"/>
      <w:r w:rsidR="00F34219" w:rsidRPr="00F34219">
        <w:rPr>
          <w:rFonts w:ascii="Verdana" w:hAnsi="Verdana"/>
          <w:sz w:val="20"/>
          <w:szCs w:val="20"/>
        </w:rPr>
        <w:t xml:space="preserve">¿Es jurídicamente procedente </w:t>
      </w:r>
      <w:proofErr w:type="gramStart"/>
      <w:r w:rsidR="00F34219" w:rsidRPr="00F34219">
        <w:rPr>
          <w:rFonts w:ascii="Verdana" w:hAnsi="Verdana"/>
          <w:sz w:val="20"/>
          <w:szCs w:val="20"/>
        </w:rPr>
        <w:t>que</w:t>
      </w:r>
      <w:proofErr w:type="gramEnd"/>
      <w:r w:rsidR="00F34219" w:rsidRPr="00F34219">
        <w:rPr>
          <w:rFonts w:ascii="Verdana" w:hAnsi="Verdana"/>
          <w:sz w:val="20"/>
          <w:szCs w:val="20"/>
        </w:rPr>
        <w:t xml:space="preserve"> durante el año 2025, antes de la </w:t>
      </w:r>
      <w:proofErr w:type="gramStart"/>
      <w:r w:rsidR="00F34219" w:rsidRPr="00F34219">
        <w:rPr>
          <w:rFonts w:ascii="Verdana" w:hAnsi="Verdana"/>
          <w:sz w:val="20"/>
          <w:szCs w:val="20"/>
        </w:rPr>
        <w:t>entrada en vigencia</w:t>
      </w:r>
      <w:proofErr w:type="gramEnd"/>
      <w:r w:rsidR="00F34219" w:rsidRPr="00F34219">
        <w:rPr>
          <w:rFonts w:ascii="Verdana" w:hAnsi="Verdana"/>
          <w:sz w:val="20"/>
          <w:szCs w:val="20"/>
        </w:rPr>
        <w:t xml:space="preserve"> de la Ley de Garantías, se suscriben convenios interadministrativos cuya ejecución iniciará una vez dicha norma ya se encuentre vigente? Asimismo, ¿en el mes de enero de 2026 resulta viable suscribir contratos mediante la modalidad de contratación directa antes </w:t>
      </w:r>
      <w:r w:rsidR="00F34219" w:rsidRPr="00F34219">
        <w:rPr>
          <w:rFonts w:ascii="Verdana" w:hAnsi="Verdana"/>
          <w:sz w:val="20"/>
          <w:szCs w:val="20"/>
        </w:rPr>
        <w:lastRenderedPageBreak/>
        <w:t>de la entrada en vigencia de la Ley de Garantías e iniciar su ejecución con posterioridad, es decir, cuando la misma ya está vigente?”</w:t>
      </w:r>
    </w:p>
    <w:p w14:paraId="70D54188"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03FF804"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13F1ADA" w14:textId="43B8D995"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49C3080" w14:textId="77777777" w:rsidR="00D96018" w:rsidRPr="00593A5F" w:rsidRDefault="00D96018" w:rsidP="00871B59">
      <w:pPr>
        <w:spacing w:after="0" w:line="276" w:lineRule="auto"/>
        <w:ind w:firstLine="709"/>
        <w:jc w:val="both"/>
        <w:rPr>
          <w:rFonts w:ascii="Verdana" w:eastAsia="Calibri" w:hAnsi="Verdana" w:cs="Arial"/>
          <w:color w:val="000000"/>
          <w:lang w:val="es-ES" w:eastAsia="es-ES"/>
        </w:rPr>
      </w:pPr>
    </w:p>
    <w:p w14:paraId="0CF5ECB3"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518637CA"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25171308" w14:textId="27BD4518" w:rsidR="00871B59" w:rsidRPr="00593A5F"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siguiente problema jurídico: </w:t>
      </w:r>
      <w:r w:rsidR="00D96018" w:rsidRPr="00D96018">
        <w:rPr>
          <w:rFonts w:ascii="Verdana" w:eastAsia="Century Gothic" w:hAnsi="Verdana" w:cs="Century Gothic"/>
        </w:rPr>
        <w:t>¿</w:t>
      </w:r>
      <w:r w:rsidR="00D96018" w:rsidRPr="00D96018">
        <w:rPr>
          <w:rFonts w:ascii="Verdana" w:hAnsi="Verdana"/>
        </w:rPr>
        <w:t>Es jurídicamente procedente suscribir convenios o contratos de prestación de servicios antes de la Ley de Garantías para ejecutarlos durante su vigencia?</w:t>
      </w:r>
    </w:p>
    <w:p w14:paraId="0141DACC" w14:textId="77777777" w:rsidR="00871B59" w:rsidRPr="00593A5F" w:rsidRDefault="00871B59" w:rsidP="00871B59">
      <w:pPr>
        <w:spacing w:after="0" w:line="276" w:lineRule="auto"/>
        <w:jc w:val="both"/>
        <w:rPr>
          <w:rFonts w:ascii="Verdana" w:eastAsia="Calibri" w:hAnsi="Verdana" w:cs="Arial"/>
          <w:color w:val="7030A0"/>
          <w:lang w:val="es-ES"/>
        </w:rPr>
      </w:pPr>
    </w:p>
    <w:p w14:paraId="5673831F"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287A3340"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521DCCF8" w14:textId="77777777" w:rsidTr="002607A7">
        <w:tc>
          <w:tcPr>
            <w:tcW w:w="8828" w:type="dxa"/>
          </w:tcPr>
          <w:p w14:paraId="79C2E530" w14:textId="5E63A37B" w:rsidR="00553192" w:rsidRDefault="00C838B3" w:rsidP="00553192">
            <w:pPr>
              <w:spacing w:after="120" w:line="276" w:lineRule="auto"/>
              <w:jc w:val="both"/>
              <w:rPr>
                <w:rFonts w:ascii="Verdana" w:eastAsia="Times New Roman" w:hAnsi="Verdana" w:cs="Arial"/>
                <w:lang w:val="es-MX" w:eastAsia="es-CO"/>
              </w:rPr>
            </w:pPr>
            <w:r>
              <w:rPr>
                <w:rFonts w:ascii="Verdana" w:eastAsia="Times New Roman" w:hAnsi="Verdana" w:cs="Arial"/>
                <w:lang w:val="es-MX" w:eastAsia="es-CO"/>
              </w:rPr>
              <w:t>C</w:t>
            </w:r>
            <w:r w:rsidR="00553192">
              <w:rPr>
                <w:rFonts w:ascii="Verdana" w:eastAsia="Times New Roman" w:hAnsi="Verdana" w:cs="Arial"/>
                <w:lang w:val="es-MX" w:eastAsia="es-CO"/>
              </w:rPr>
              <w:t xml:space="preserve">on el </w:t>
            </w:r>
            <w:proofErr w:type="spellStart"/>
            <w:r w:rsidR="00553192">
              <w:rPr>
                <w:rFonts w:ascii="Verdana" w:eastAsia="Times New Roman" w:hAnsi="Verdana" w:cs="Arial"/>
                <w:lang w:val="es-MX" w:eastAsia="es-CO"/>
              </w:rPr>
              <w:t>proposito</w:t>
            </w:r>
            <w:proofErr w:type="spellEnd"/>
            <w:r w:rsidR="00553192">
              <w:rPr>
                <w:rFonts w:ascii="Verdana" w:eastAsia="Times New Roman" w:hAnsi="Verdana" w:cs="Arial"/>
                <w:lang w:val="es-MX" w:eastAsia="es-CO"/>
              </w:rPr>
              <w:t xml:space="preserve"> de responder al objeto de la consulta </w:t>
            </w:r>
            <w:r w:rsidR="00553192" w:rsidRPr="00F02C5A">
              <w:rPr>
                <w:rFonts w:ascii="Verdana" w:eastAsia="Times New Roman" w:hAnsi="Verdana" w:cs="Arial"/>
                <w:lang w:val="es-MX" w:eastAsia="es-CO"/>
              </w:rPr>
              <w:t xml:space="preserve">esta Agencia, </w:t>
            </w:r>
            <w:r w:rsidR="00553192">
              <w:rPr>
                <w:rFonts w:ascii="Verdana" w:eastAsia="Times New Roman" w:hAnsi="Verdana" w:cs="Arial"/>
                <w:lang w:val="es-MX" w:eastAsia="es-CO"/>
              </w:rPr>
              <w:t xml:space="preserve">ha sostenido que </w:t>
            </w:r>
            <w:r w:rsidR="00553192" w:rsidRPr="00F02C5A">
              <w:rPr>
                <w:rFonts w:ascii="Verdana" w:eastAsia="Times New Roman" w:hAnsi="Verdana" w:cs="Arial"/>
                <w:lang w:val="es-MX" w:eastAsia="es-CO"/>
              </w:rPr>
              <w:t xml:space="preserve">las prórrogas, modificaciones o adiciones de los contratos suscritos antes de la </w:t>
            </w:r>
            <w:proofErr w:type="gramStart"/>
            <w:r w:rsidR="00553192" w:rsidRPr="00F02C5A">
              <w:rPr>
                <w:rFonts w:ascii="Verdana" w:eastAsia="Times New Roman" w:hAnsi="Verdana" w:cs="Arial"/>
                <w:lang w:val="es-MX" w:eastAsia="es-CO"/>
              </w:rPr>
              <w:t>entrada en vigencia</w:t>
            </w:r>
            <w:proofErr w:type="gramEnd"/>
            <w:r w:rsidR="00553192" w:rsidRPr="00F02C5A">
              <w:rPr>
                <w:rFonts w:ascii="Verdana" w:eastAsia="Times New Roman" w:hAnsi="Verdana" w:cs="Arial"/>
                <w:lang w:val="es-MX" w:eastAsia="es-CO"/>
              </w:rPr>
              <w:t xml:space="preserve"> de las prohibiciones anotadas, así </w:t>
            </w:r>
            <w:r w:rsidR="00553192" w:rsidRPr="00F02C5A">
              <w:rPr>
                <w:rFonts w:ascii="Verdana" w:eastAsia="Times New Roman" w:hAnsi="Verdana" w:cs="Arial"/>
                <w:lang w:val="es-MX" w:eastAsia="es-CO"/>
              </w:rPr>
              <w:lastRenderedPageBreak/>
              <w:t xml:space="preserve">como la cesión de </w:t>
            </w:r>
            <w:proofErr w:type="gramStart"/>
            <w:r w:rsidR="00553192" w:rsidRPr="00F02C5A">
              <w:rPr>
                <w:rFonts w:ascii="Verdana" w:eastAsia="Times New Roman" w:hAnsi="Verdana" w:cs="Arial"/>
                <w:lang w:val="es-MX" w:eastAsia="es-CO"/>
              </w:rPr>
              <w:t>los mismos</w:t>
            </w:r>
            <w:proofErr w:type="gramEnd"/>
            <w:r w:rsidR="00553192"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p>
          <w:p w14:paraId="44DF5108" w14:textId="77777777" w:rsidR="00553192" w:rsidRDefault="00553192" w:rsidP="00553192">
            <w:pPr>
              <w:spacing w:after="120" w:line="276" w:lineRule="auto"/>
              <w:ind w:firstLine="709"/>
              <w:jc w:val="both"/>
              <w:rPr>
                <w:rFonts w:ascii="Verdana" w:eastAsia="Times New Roman" w:hAnsi="Verdana" w:cs="Arial"/>
                <w:lang w:val="es-MX" w:eastAsia="es-CO"/>
              </w:rPr>
            </w:pPr>
            <w:r w:rsidRPr="00553192">
              <w:rPr>
                <w:rFonts w:ascii="Verdana" w:hAnsi="Verdana"/>
              </w:rPr>
              <w:t>En este sentido,</w:t>
            </w:r>
            <w:r>
              <w:rPr>
                <w:rFonts w:ascii="Verdana" w:hAnsi="Verdana"/>
              </w:rPr>
              <w:t xml:space="preserve"> si</w:t>
            </w:r>
            <w:r w:rsidRPr="00553192">
              <w:rPr>
                <w:rFonts w:ascii="Verdana" w:hAnsi="Verdana"/>
              </w:rPr>
              <w:t xml:space="preserve"> la modificación y ejecución de contratos perfeccionados con anterioridad, resulta jurídicamente procedente</w:t>
            </w:r>
            <w:r>
              <w:rPr>
                <w:rFonts w:ascii="Verdana" w:hAnsi="Verdana"/>
              </w:rPr>
              <w:t xml:space="preserve">, </w:t>
            </w:r>
            <w:r w:rsidRPr="00553192">
              <w:rPr>
                <w:rFonts w:ascii="Verdana" w:hAnsi="Verdana"/>
              </w:rPr>
              <w:t xml:space="preserve">la suscripción de convenios interadministrativos o contratos estatales bajo la modalidad de contratación directa antes de que cobren vigencia las respectivas restricciones de la Ley de Garantías, </w:t>
            </w:r>
            <w:r>
              <w:rPr>
                <w:rFonts w:ascii="Verdana" w:hAnsi="Verdana"/>
              </w:rPr>
              <w:t xml:space="preserve">es posible </w:t>
            </w:r>
            <w:r w:rsidRPr="00553192">
              <w:rPr>
                <w:rFonts w:ascii="Verdana" w:hAnsi="Verdana"/>
              </w:rPr>
              <w:t xml:space="preserve">aun cuando su ejecución inicie con posterioridad. </w:t>
            </w:r>
            <w:r w:rsidRPr="00553192">
              <w:rPr>
                <w:rStyle w:val="citation-188"/>
                <w:rFonts w:ascii="Verdana" w:hAnsi="Verdana"/>
              </w:rPr>
              <w:t>Lo anterior, por cuanto la prohibición legal recae sobre la conducta de celebrar el negocio jurídico dentro del periodo</w:t>
            </w:r>
            <w:r>
              <w:rPr>
                <w:rStyle w:val="citation-188"/>
                <w:rFonts w:ascii="Verdana" w:hAnsi="Verdana"/>
              </w:rPr>
              <w:t xml:space="preserve"> restringido</w:t>
            </w:r>
            <w:r w:rsidRPr="00553192">
              <w:rPr>
                <w:rStyle w:val="citation-188"/>
                <w:rFonts w:ascii="Verdana" w:hAnsi="Verdana"/>
              </w:rPr>
              <w:t>,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r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Pr>
                <w:rFonts w:ascii="Verdana" w:hAnsi="Verdana"/>
              </w:rPr>
              <w:t xml:space="preserve"> forma </w:t>
            </w:r>
            <w:r w:rsidRPr="00553192">
              <w:rPr>
                <w:rFonts w:ascii="Verdana" w:hAnsi="Verdana"/>
              </w:rPr>
              <w:t>para eludir el control de las restricciones electorales.</w:t>
            </w:r>
          </w:p>
          <w:p w14:paraId="730CEE45" w14:textId="147CBC97" w:rsidR="00871B59" w:rsidRPr="00D96018" w:rsidRDefault="00553192" w:rsidP="003611B7">
            <w:pPr>
              <w:spacing w:after="120" w:line="276" w:lineRule="auto"/>
              <w:jc w:val="both"/>
              <w:rPr>
                <w:rFonts w:ascii="Verdana" w:hAnsi="Verdana"/>
              </w:rPr>
            </w:pPr>
            <w:r w:rsidRPr="00DD78F1">
              <w:rPr>
                <w:rFonts w:ascii="Verdana" w:hAnsi="Verdana"/>
              </w:rPr>
              <w:t xml:space="preserve">Finalmente, la Agencia Nacional de Contratación Pública – Colombia Compra Eficiente, en conjunto con el Ministerio de Hacienda y Crédito Público, el Departamento Nacional de Planeación y el Departamento Administrativo de la Función Pública, llevó a cabo una maratón de capacitaciones sobre la Ley de Garantías Electorales los días 7 y 8 de octubre de 2025, en la cual se presentaron lineamientos dirigidos a las entidades estatales de cara a la aplicación de las restricciones durante este periodo. </w:t>
            </w:r>
          </w:p>
        </w:tc>
      </w:tr>
    </w:tbl>
    <w:p w14:paraId="5C4D2254"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162AE15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06144F08" w14:textId="77777777" w:rsidR="00871B59" w:rsidRPr="00593A5F" w:rsidRDefault="00871B59" w:rsidP="00871B59">
      <w:pPr>
        <w:spacing w:after="0" w:line="276" w:lineRule="auto"/>
        <w:jc w:val="both"/>
        <w:rPr>
          <w:rFonts w:ascii="Verdana" w:eastAsia="Calibri" w:hAnsi="Verdana" w:cs="Arial"/>
          <w:color w:val="7030A0"/>
          <w:lang w:val="es-ES"/>
        </w:rPr>
      </w:pPr>
    </w:p>
    <w:p w14:paraId="542899C1" w14:textId="77777777"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4654A4F" w14:textId="77777777" w:rsidR="00622650" w:rsidRDefault="00622650" w:rsidP="00871B59">
      <w:pPr>
        <w:spacing w:after="0" w:line="276" w:lineRule="auto"/>
        <w:jc w:val="both"/>
        <w:rPr>
          <w:rFonts w:ascii="Verdana" w:eastAsia="Calibri" w:hAnsi="Verdana" w:cs="Arial"/>
          <w:lang w:val="es-ES"/>
        </w:rPr>
      </w:pPr>
    </w:p>
    <w:p w14:paraId="35362024" w14:textId="77777777" w:rsidR="00F34219" w:rsidRPr="00F02C5A" w:rsidRDefault="00F34219" w:rsidP="00F34219">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lastRenderedPageBreak/>
        <w:t xml:space="preserve">El ámbito material de la prohibición contenida </w:t>
      </w:r>
      <w:bookmarkStart w:id="1" w:name="_Hlk75628761"/>
      <w:r w:rsidRPr="00F02C5A">
        <w:rPr>
          <w:rFonts w:ascii="Verdana" w:eastAsia="Times New Roman" w:hAnsi="Verdana" w:cs="Arial"/>
          <w:lang w:val="es-MX" w:eastAsia="x-none"/>
        </w:rPr>
        <w:t xml:space="preserve">en el artículo 33 de la Ley 996 de 2005 </w:t>
      </w:r>
      <w:bookmarkEnd w:id="1"/>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787BCD4E" w14:textId="77777777" w:rsidR="00F34219" w:rsidRPr="00F02C5A" w:rsidRDefault="00F34219" w:rsidP="00F34219">
      <w:pPr>
        <w:spacing w:after="0" w:line="276" w:lineRule="auto"/>
        <w:ind w:left="708" w:right="709"/>
        <w:contextualSpacing/>
        <w:jc w:val="both"/>
        <w:rPr>
          <w:rFonts w:ascii="Verdana" w:eastAsia="Calibri" w:hAnsi="Verdana" w:cs="Arial"/>
          <w:sz w:val="21"/>
          <w:szCs w:val="21"/>
          <w:lang w:val="es-MX"/>
        </w:rPr>
      </w:pPr>
    </w:p>
    <w:p w14:paraId="40802D6F" w14:textId="77777777" w:rsidR="00F34219" w:rsidRPr="00F02C5A" w:rsidRDefault="00F34219" w:rsidP="00F34219">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2"/>
      </w:r>
      <w:r w:rsidRPr="00F02C5A">
        <w:rPr>
          <w:rFonts w:ascii="Verdana" w:eastAsia="Calibri" w:hAnsi="Verdana" w:cs="Arial"/>
          <w:sz w:val="21"/>
          <w:szCs w:val="21"/>
          <w:lang w:val="es-MX"/>
        </w:rPr>
        <w:t>.</w:t>
      </w:r>
    </w:p>
    <w:p w14:paraId="105BDE28" w14:textId="77777777" w:rsidR="00F34219" w:rsidRPr="00F02C5A" w:rsidRDefault="00F34219" w:rsidP="00F34219">
      <w:pPr>
        <w:spacing w:after="0" w:line="240" w:lineRule="auto"/>
        <w:ind w:left="709" w:right="709"/>
        <w:contextualSpacing/>
        <w:jc w:val="both"/>
        <w:rPr>
          <w:rFonts w:ascii="Verdana" w:eastAsia="Calibri" w:hAnsi="Verdana" w:cs="Arial"/>
          <w:sz w:val="12"/>
          <w:szCs w:val="12"/>
          <w:lang w:val="es-MX"/>
        </w:rPr>
      </w:pPr>
    </w:p>
    <w:p w14:paraId="2F666E69" w14:textId="77777777" w:rsidR="00F34219" w:rsidRPr="00F02C5A" w:rsidRDefault="00F34219" w:rsidP="00F34219">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2"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2"/>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3"/>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4"/>
      </w:r>
      <w:r w:rsidRPr="00F02C5A">
        <w:rPr>
          <w:rFonts w:ascii="Verdana" w:eastAsia="Calibri" w:hAnsi="Verdana" w:cs="Arial"/>
          <w:sz w:val="21"/>
          <w:szCs w:val="21"/>
          <w:lang w:val="es-MX"/>
        </w:rPr>
        <w:t xml:space="preserve"> .</w:t>
      </w:r>
    </w:p>
    <w:p w14:paraId="07A68FBC" w14:textId="77777777" w:rsidR="00F34219" w:rsidRPr="00F02C5A" w:rsidRDefault="00F34219" w:rsidP="00F34219">
      <w:pPr>
        <w:shd w:val="clear" w:color="auto" w:fill="FFFFFF"/>
        <w:spacing w:after="0" w:line="276" w:lineRule="auto"/>
        <w:ind w:firstLine="709"/>
        <w:contextualSpacing/>
        <w:jc w:val="both"/>
        <w:rPr>
          <w:rFonts w:ascii="Verdana" w:eastAsia="Times New Roman" w:hAnsi="Verdana" w:cs="Arial"/>
          <w:lang w:eastAsia="x-none"/>
        </w:rPr>
      </w:pPr>
    </w:p>
    <w:p w14:paraId="1BE4CDC1" w14:textId="77777777" w:rsidR="00F34219" w:rsidRPr="00F02C5A" w:rsidRDefault="00F34219" w:rsidP="00F34219">
      <w:pPr>
        <w:spacing w:after="120" w:line="276" w:lineRule="auto"/>
        <w:ind w:firstLine="709"/>
        <w:jc w:val="both"/>
        <w:rPr>
          <w:rFonts w:ascii="Verdana" w:eastAsia="Times New Roman" w:hAnsi="Verdana" w:cs="Arial"/>
          <w:lang w:eastAsia="x-none"/>
        </w:rPr>
      </w:pPr>
      <w:bookmarkStart w:id="4"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w:t>
      </w:r>
      <w:r w:rsidRPr="00F02C5A">
        <w:rPr>
          <w:rFonts w:ascii="Verdana" w:eastAsia="Times New Roman" w:hAnsi="Verdana" w:cs="Arial"/>
          <w:lang w:eastAsia="x-none"/>
        </w:rPr>
        <w:lastRenderedPageBreak/>
        <w:t xml:space="preserve">previstos en normas especiales. </w:t>
      </w:r>
      <w:bookmarkEnd w:id="4"/>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xml:space="preserve">. </w:t>
      </w:r>
    </w:p>
    <w:p w14:paraId="33B63044" w14:textId="77777777" w:rsidR="00F34219" w:rsidRPr="00F02C5A" w:rsidRDefault="00F34219" w:rsidP="00F3421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7"/>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6F6681A8" w14:textId="77777777" w:rsidR="00F34219" w:rsidRPr="00F02C5A" w:rsidRDefault="00F34219" w:rsidP="00F3421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5"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5"/>
      <w:r w:rsidRPr="00F02C5A">
        <w:rPr>
          <w:rFonts w:ascii="Verdana" w:eastAsia="Times New Roman" w:hAnsi="Verdana" w:cs="Arial"/>
          <w:vertAlign w:val="superscript"/>
          <w:lang w:eastAsia="x-none"/>
        </w:rPr>
        <w:footnoteReference w:id="8"/>
      </w:r>
      <w:r w:rsidRPr="00F02C5A">
        <w:rPr>
          <w:rFonts w:ascii="Verdana" w:eastAsia="Times New Roman" w:hAnsi="Verdana" w:cs="Arial"/>
          <w:lang w:eastAsia="x-none"/>
        </w:rPr>
        <w:t xml:space="preserve">. </w:t>
      </w:r>
    </w:p>
    <w:p w14:paraId="4A890BE2" w14:textId="77777777" w:rsidR="00F34219" w:rsidRPr="00F02C5A" w:rsidRDefault="00F34219" w:rsidP="00F3421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w:t>
      </w:r>
      <w:r w:rsidRPr="00F02C5A">
        <w:rPr>
          <w:rFonts w:ascii="Verdana" w:eastAsia="Times New Roman" w:hAnsi="Verdana" w:cs="Arial"/>
          <w:lang w:val="es-MX" w:eastAsia="es-CO"/>
        </w:rPr>
        <w:lastRenderedPageBreak/>
        <w:t>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699AEB4" w14:textId="77777777" w:rsidR="00F34219" w:rsidRPr="00F02C5A" w:rsidRDefault="00F34219" w:rsidP="00F34219">
      <w:pPr>
        <w:spacing w:after="120" w:line="276" w:lineRule="auto"/>
        <w:ind w:firstLine="709"/>
        <w:jc w:val="both"/>
        <w:rPr>
          <w:rFonts w:ascii="Verdana" w:eastAsia="Times New Roman" w:hAnsi="Verdana" w:cs="Arial"/>
          <w:lang w:val="es-MX" w:eastAsia="x-none"/>
        </w:rPr>
      </w:pPr>
      <w:bookmarkStart w:id="6" w:name="_Hlk78818796"/>
      <w:r w:rsidRPr="00F02C5A">
        <w:rPr>
          <w:rFonts w:ascii="Verdana" w:eastAsia="Times New Roman" w:hAnsi="Verdana" w:cs="Arial"/>
          <w:lang w:val="es-MX" w:eastAsia="x-none"/>
        </w:rPr>
        <w:t xml:space="preserve"> Así las cosas, </w:t>
      </w:r>
      <w:bookmarkStart w:id="7"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9"/>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6"/>
    <w:p w14:paraId="50CFDB73" w14:textId="77777777" w:rsidR="00F34219" w:rsidRPr="00F02C5A" w:rsidRDefault="00F34219" w:rsidP="00F34219">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1229D1F" w14:textId="1932221E" w:rsidR="00F34219" w:rsidRDefault="00553192" w:rsidP="00F34219">
      <w:pPr>
        <w:spacing w:after="120" w:line="276" w:lineRule="auto"/>
        <w:ind w:firstLine="709"/>
        <w:jc w:val="both"/>
        <w:rPr>
          <w:rFonts w:ascii="Verdana" w:eastAsia="Times New Roman" w:hAnsi="Verdana" w:cs="Arial"/>
          <w:lang w:val="es-MX" w:eastAsia="es-CO"/>
        </w:rPr>
      </w:pPr>
      <w:bookmarkStart w:id="8" w:name="_Hlk77237094"/>
      <w:bookmarkStart w:id="9" w:name="OLE_LINK2"/>
      <w:bookmarkEnd w:id="7"/>
      <w:r>
        <w:rPr>
          <w:rFonts w:ascii="Verdana" w:eastAsia="Times New Roman" w:hAnsi="Verdana" w:cs="Arial"/>
          <w:lang w:val="es-MX" w:eastAsia="es-CO"/>
        </w:rPr>
        <w:t xml:space="preserve">Ahora bien, con el proposito de responder al objeto de la consulta </w:t>
      </w:r>
      <w:r w:rsidR="00F34219" w:rsidRPr="00F02C5A">
        <w:rPr>
          <w:rFonts w:ascii="Verdana" w:eastAsia="Times New Roman" w:hAnsi="Verdana" w:cs="Arial"/>
          <w:lang w:val="es-MX" w:eastAsia="es-CO"/>
        </w:rPr>
        <w:t xml:space="preserve">esta Agencia, </w:t>
      </w:r>
      <w:r>
        <w:rPr>
          <w:rFonts w:ascii="Verdana" w:eastAsia="Times New Roman" w:hAnsi="Verdana" w:cs="Arial"/>
          <w:lang w:val="es-MX" w:eastAsia="es-CO"/>
        </w:rPr>
        <w:t xml:space="preserve">ha sostenido que </w:t>
      </w:r>
      <w:r w:rsidR="00F34219" w:rsidRPr="00F02C5A">
        <w:rPr>
          <w:rFonts w:ascii="Verdana" w:eastAsia="Times New Roman" w:hAnsi="Verdana" w:cs="Arial"/>
          <w:lang w:val="es-MX" w:eastAsia="es-CO"/>
        </w:rPr>
        <w:t>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8"/>
    </w:p>
    <w:p w14:paraId="363CF8A0" w14:textId="456ED043" w:rsidR="00811900" w:rsidRDefault="00553192" w:rsidP="00553192">
      <w:pPr>
        <w:spacing w:after="120" w:line="276" w:lineRule="auto"/>
        <w:ind w:firstLine="709"/>
        <w:jc w:val="both"/>
        <w:rPr>
          <w:rFonts w:ascii="Verdana" w:eastAsia="Times New Roman" w:hAnsi="Verdana" w:cs="Arial"/>
          <w:lang w:val="es-MX" w:eastAsia="es-CO"/>
        </w:rPr>
      </w:pPr>
      <w:r w:rsidRPr="00553192">
        <w:rPr>
          <w:rFonts w:ascii="Verdana" w:hAnsi="Verdana"/>
        </w:rPr>
        <w:t>En este sentido,</w:t>
      </w:r>
      <w:r>
        <w:rPr>
          <w:rFonts w:ascii="Verdana" w:hAnsi="Verdana"/>
        </w:rPr>
        <w:t xml:space="preserve"> si</w:t>
      </w:r>
      <w:r w:rsidRPr="00553192">
        <w:rPr>
          <w:rFonts w:ascii="Verdana" w:hAnsi="Verdana"/>
        </w:rPr>
        <w:t xml:space="preserve"> la modificación y ejecución de contratos perfeccionados con anterioridad, resulta jurídicamente procedente</w:t>
      </w:r>
      <w:r>
        <w:rPr>
          <w:rFonts w:ascii="Verdana" w:hAnsi="Verdana"/>
        </w:rPr>
        <w:t xml:space="preserve">, </w:t>
      </w:r>
      <w:r w:rsidRPr="00553192">
        <w:rPr>
          <w:rFonts w:ascii="Verdana" w:hAnsi="Verdana"/>
        </w:rPr>
        <w:t xml:space="preserve">la suscripción de convenios interadministrativos o contratos estatales bajo la modalidad de contratación directa antes de que cobren vigencia las respectivas restricciones de la Ley de </w:t>
      </w:r>
      <w:r w:rsidRPr="00553192">
        <w:rPr>
          <w:rFonts w:ascii="Verdana" w:hAnsi="Verdana"/>
        </w:rPr>
        <w:lastRenderedPageBreak/>
        <w:t xml:space="preserve">Garantías, </w:t>
      </w:r>
      <w:r>
        <w:rPr>
          <w:rFonts w:ascii="Verdana" w:hAnsi="Verdana"/>
        </w:rPr>
        <w:t xml:space="preserve">es posible </w:t>
      </w:r>
      <w:r w:rsidRPr="00553192">
        <w:rPr>
          <w:rFonts w:ascii="Verdana" w:hAnsi="Verdana"/>
        </w:rPr>
        <w:t xml:space="preserve">aun cuando su ejecución inicie con posterioridad. </w:t>
      </w:r>
      <w:r w:rsidRPr="00553192">
        <w:rPr>
          <w:rStyle w:val="citation-188"/>
          <w:rFonts w:ascii="Verdana" w:hAnsi="Verdana"/>
        </w:rPr>
        <w:t>Lo anterior, por cuanto la prohibición legal recae sobre la conducta de celebrar el negocio jurídico dentro del periodo</w:t>
      </w:r>
      <w:r>
        <w:rPr>
          <w:rStyle w:val="citation-188"/>
          <w:rFonts w:ascii="Verdana" w:hAnsi="Verdana"/>
        </w:rPr>
        <w:t xml:space="preserve"> restringido</w:t>
      </w:r>
      <w:r w:rsidRPr="00553192">
        <w:rPr>
          <w:rStyle w:val="citation-188"/>
          <w:rFonts w:ascii="Verdana" w:hAnsi="Verdana"/>
        </w:rPr>
        <w:t>,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r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Pr>
          <w:rFonts w:ascii="Verdana" w:hAnsi="Verdana"/>
        </w:rPr>
        <w:t xml:space="preserve"> forma </w:t>
      </w:r>
      <w:r w:rsidRPr="00553192">
        <w:rPr>
          <w:rFonts w:ascii="Verdana" w:hAnsi="Verdana"/>
        </w:rPr>
        <w:t>para eludir el control de las restricciones electorales.</w:t>
      </w:r>
      <w:bookmarkEnd w:id="9"/>
    </w:p>
    <w:p w14:paraId="349F75A1" w14:textId="5E743BDC" w:rsidR="00983695" w:rsidRPr="00553192" w:rsidRDefault="00811900" w:rsidP="00553192">
      <w:pPr>
        <w:spacing w:after="120" w:line="276" w:lineRule="auto"/>
        <w:ind w:firstLine="709"/>
        <w:jc w:val="both"/>
        <w:rPr>
          <w:rFonts w:ascii="Verdana" w:hAnsi="Verdana"/>
        </w:rPr>
      </w:pPr>
      <w:r w:rsidRPr="00DD78F1">
        <w:rPr>
          <w:rFonts w:ascii="Verdana" w:hAnsi="Verdana"/>
        </w:rPr>
        <w:t xml:space="preserve">Finalmente, la Agencia Nacional de Contratación Pública – Colombia Compra Eficiente, en conjunto con el Ministerio de Hacienda y Crédito Público, el Departamento Nacional de Planeación y el Departamento Administrativo de la Función Pública, llevó a cabo una maratón de capacitaciones sobre la Ley de Garantías Electorales los días 7 y 8 de octubre de 2025, en la cual se presentaron lineamientos dirigidos a las entidades estatales de cara a la aplicación de las restricciones durante este periodo. </w:t>
      </w:r>
    </w:p>
    <w:p w14:paraId="4F12F710"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59CFB1A"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7880921B" w14:textId="77777777" w:rsidTr="002607A7">
        <w:trPr>
          <w:trHeight w:val="870"/>
        </w:trPr>
        <w:tc>
          <w:tcPr>
            <w:tcW w:w="8647" w:type="dxa"/>
          </w:tcPr>
          <w:p w14:paraId="27DD6FFC"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745CAA">
              <w:rPr>
                <w:rFonts w:ascii="Verdana" w:hAnsi="Verdana" w:cs="Arial"/>
              </w:rPr>
              <w:t xml:space="preserve">Ley </w:t>
            </w:r>
            <w:r>
              <w:rPr>
                <w:rFonts w:ascii="Verdana" w:hAnsi="Verdana" w:cs="Arial"/>
              </w:rPr>
              <w:t>996</w:t>
            </w:r>
            <w:r w:rsidRPr="00745CAA">
              <w:rPr>
                <w:rFonts w:ascii="Verdana" w:hAnsi="Verdana" w:cs="Arial"/>
              </w:rPr>
              <w:t xml:space="preserve"> de 200</w:t>
            </w:r>
            <w:r>
              <w:rPr>
                <w:rFonts w:ascii="Verdana" w:hAnsi="Verdana" w:cs="Arial"/>
              </w:rPr>
              <w:t>5</w:t>
            </w:r>
            <w:r w:rsidRPr="00745CAA">
              <w:rPr>
                <w:rFonts w:ascii="Verdana" w:hAnsi="Verdana" w:cs="Arial"/>
              </w:rPr>
              <w:t>, artículo</w:t>
            </w:r>
            <w:r>
              <w:rPr>
                <w:rFonts w:ascii="Verdana" w:hAnsi="Verdana" w:cs="Arial"/>
              </w:rPr>
              <w:t>s 33 y 38</w:t>
            </w:r>
            <w:r w:rsidRPr="00745CAA">
              <w:rPr>
                <w:rFonts w:ascii="Verdana" w:hAnsi="Verdana" w:cs="Arial"/>
              </w:rPr>
              <w:t>.</w:t>
            </w:r>
          </w:p>
          <w:p w14:paraId="751DDA5B" w14:textId="77777777" w:rsidR="00F34219" w:rsidRPr="003E412A"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154EBDA9" w14:textId="77777777" w:rsidR="00F34219" w:rsidRPr="003E412A"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Consejo de Estado. Sala de Consulta y Servicio Civil, Concepto de 8 de mayo de 2018. Radicación Número: 11001-03-06-000-2018-00095-00(2382). Consejero Ponente: Álvaro Namén Vargas.</w:t>
            </w:r>
          </w:p>
          <w:p w14:paraId="08CEC5C1"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2.382. C.P. Álvaro Namén Vargas.</w:t>
            </w:r>
          </w:p>
          <w:p w14:paraId="7F8529EB" w14:textId="77777777" w:rsidR="00F34219" w:rsidRPr="007E43EB"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32A60E0A" w14:textId="77777777" w:rsidR="00F34219" w:rsidRPr="007E43EB"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27755E3D"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7E43EB">
              <w:rPr>
                <w:rFonts w:ascii="Verdana" w:hAnsi="Verdana" w:cs="Arial"/>
              </w:rPr>
              <w:lastRenderedPageBreak/>
              <w:t>Consejo de Estado. Sala de Consulta y Servicio Civil. Concepto del 2 de septiembre de 2013. Radicación número: 11001-03-06-000-2013-00412-00 (2168). Consejero Ponente: Álvaro Namén Vargas.</w:t>
            </w:r>
          </w:p>
          <w:p w14:paraId="72C2FE6C" w14:textId="77777777" w:rsidR="00871B59" w:rsidRPr="00F34219" w:rsidRDefault="00F34219" w:rsidP="00F34219">
            <w:pPr>
              <w:pStyle w:val="Prrafodelista"/>
              <w:widowControl w:val="0"/>
              <w:numPr>
                <w:ilvl w:val="0"/>
                <w:numId w:val="8"/>
              </w:numPr>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3" w:history="1">
              <w:r w:rsidRPr="008D4636">
                <w:rPr>
                  <w:rStyle w:val="Hipervnculo"/>
                  <w:rFonts w:ascii="Verdana" w:hAnsi="Verdana" w:cs="Arial"/>
                </w:rPr>
                <w:t>https://colombiacompra.gov.co/sites/cce_public/files/cce_circulares/cce-eicp-ma-06_circular_externa_con_comentarios_de_ciudadanos-_v2f_002.pdf</w:t>
              </w:r>
            </w:hyperlink>
          </w:p>
          <w:p w14:paraId="360853B8" w14:textId="355CC077" w:rsidR="00F34219" w:rsidRPr="00AC742F" w:rsidRDefault="00811900" w:rsidP="00F3421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811900">
              <w:rPr>
                <w:rFonts w:ascii="Verdana" w:hAnsi="Verdana"/>
              </w:rPr>
              <w:t xml:space="preserve">Gran Maratón de Capacitaciones Ley de Garantías | Día 1 – YouTubehttps://www.youtube.com/watch?v=qjJQGDgFQis. </w:t>
            </w:r>
            <w:r w:rsidRPr="00811900">
              <w:rPr>
                <w:rStyle w:val="s1"/>
                <w:rFonts w:ascii="Verdana" w:hAnsi="Verdana"/>
              </w:rPr>
              <w:t xml:space="preserve"> Gran Maratón de </w:t>
            </w:r>
            <w:r w:rsidRPr="00811900">
              <w:rPr>
                <w:rFonts w:ascii="Verdana" w:hAnsi="Verdana"/>
              </w:rPr>
              <w:t xml:space="preserve">Capacitaciones | Ley de Garantías | (Día 2) - 8 de octubre 9:00 am. </w:t>
            </w:r>
            <w:hyperlink r:id="rId14" w:history="1">
              <w:r w:rsidRPr="00811900">
                <w:rPr>
                  <w:rStyle w:val="Hipervnculo"/>
                  <w:rFonts w:ascii="Verdana" w:hAnsi="Verdana"/>
                </w:rPr>
                <w:t>https://www.youtube.com/watch?v=X4oPgRxH9bU</w:t>
              </w:r>
            </w:hyperlink>
            <w:r w:rsidRPr="00811900">
              <w:rPr>
                <w:rFonts w:ascii="Verdana" w:hAnsi="Verdana"/>
              </w:rPr>
              <w:t xml:space="preserve"> </w:t>
            </w:r>
            <w:r w:rsidRPr="00811900">
              <w:rPr>
                <w:rStyle w:val="s1"/>
                <w:rFonts w:ascii="Verdana" w:hAnsi="Verdana"/>
              </w:rPr>
              <w:t>.</w:t>
            </w:r>
          </w:p>
        </w:tc>
      </w:tr>
    </w:tbl>
    <w:p w14:paraId="777214F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E9B04A5"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691F8539" w14:textId="77777777" w:rsidR="00811900" w:rsidRDefault="00811900" w:rsidP="0081190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423E408D" w14:textId="77777777" w:rsidR="00811900" w:rsidRPr="00CC5C68" w:rsidRDefault="00811900" w:rsidP="00811900">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F02C5A">
        <w:rPr>
          <w:rStyle w:val="normaltextrun"/>
          <w:rFonts w:ascii="Verdana" w:hAnsi="Verdana" w:cs="Arial"/>
          <w:color w:val="000000"/>
          <w:shd w:val="clear" w:color="auto" w:fill="FFFFFF"/>
        </w:rPr>
        <w:t xml:space="preserve">C-715 del 21 de enero de 2022, C-718 del 24 de enero de 2022 y C-726 del 24 de </w:t>
      </w:r>
      <w:r w:rsidRPr="00F02C5A">
        <w:rPr>
          <w:rStyle w:val="normaltextrun"/>
          <w:rFonts w:ascii="Verdana" w:hAnsi="Verdana" w:cs="Arial"/>
          <w:color w:val="000000"/>
          <w:shd w:val="clear" w:color="auto" w:fill="FFFFFF"/>
        </w:rPr>
        <w:lastRenderedPageBreak/>
        <w:t>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Pr>
          <w:rStyle w:val="normaltextrun"/>
          <w:rFonts w:ascii="Verdana" w:hAnsi="Verdana" w:cs="Arial"/>
          <w:color w:val="000000"/>
          <w:shd w:val="clear" w:color="auto" w:fill="FFFFFF"/>
        </w:rPr>
        <w:t xml:space="preserve">, </w:t>
      </w:r>
      <w:r w:rsidRPr="00F02C5A">
        <w:rPr>
          <w:rStyle w:val="normaltextrun"/>
          <w:rFonts w:ascii="Verdana" w:hAnsi="Verdana" w:cs="Arial"/>
          <w:color w:val="000000"/>
          <w:shd w:val="clear" w:color="auto" w:fill="FFFFFF"/>
        </w:rPr>
        <w:t>C-149 del 1° de junio de 2023</w:t>
      </w:r>
      <w:r>
        <w:rPr>
          <w:rStyle w:val="normaltextrun"/>
          <w:rFonts w:ascii="Verdana" w:hAnsi="Verdana" w:cs="Arial"/>
          <w:color w:val="000000"/>
          <w:shd w:val="clear" w:color="auto" w:fill="FFFFFF"/>
        </w:rPr>
        <w:t>, C-345 del 14 de julio de 2023, C-317 del 25 de abril de 2025 y C-584 del 24 de junio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5" w:history="1">
        <w:r w:rsidRPr="00CC5C68">
          <w:rPr>
            <w:rStyle w:val="Hipervnculo"/>
            <w:rFonts w:ascii="Verdana" w:hAnsi="Verdana" w:cs="Arial"/>
            <w:shd w:val="clear" w:color="auto" w:fill="FFFFFF"/>
            <w:lang w:val="es-ES"/>
          </w:rPr>
          <w:t>https://relatoria.colombiacompra.gov.co/busqueda/conceptos</w:t>
        </w:r>
      </w:hyperlink>
    </w:p>
    <w:p w14:paraId="2A90ADC9" w14:textId="77777777" w:rsidR="00811900" w:rsidRPr="00CC5C68" w:rsidRDefault="00811900" w:rsidP="00811900">
      <w:pPr>
        <w:spacing w:after="0" w:line="240" w:lineRule="auto"/>
        <w:jc w:val="both"/>
        <w:rPr>
          <w:rFonts w:ascii="Verdana" w:hAnsi="Verdana"/>
        </w:rPr>
      </w:pPr>
    </w:p>
    <w:p w14:paraId="0B67B637"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24C60651" w14:textId="77777777" w:rsidR="00811900" w:rsidRPr="00CC5C68" w:rsidRDefault="00811900" w:rsidP="00811900">
      <w:pPr>
        <w:spacing w:after="0" w:line="240" w:lineRule="auto"/>
        <w:jc w:val="both"/>
        <w:rPr>
          <w:rFonts w:ascii="Verdana" w:hAnsi="Verdana"/>
        </w:rPr>
      </w:pPr>
    </w:p>
    <w:p w14:paraId="5BED1CF4"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327C9A14"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712FB825"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4EB85D33" w14:textId="77777777" w:rsidR="00811900" w:rsidRPr="0044528D" w:rsidRDefault="00811900" w:rsidP="00811900">
      <w:pPr>
        <w:widowControl w:val="0"/>
        <w:autoSpaceDE w:val="0"/>
        <w:autoSpaceDN w:val="0"/>
        <w:spacing w:after="0" w:line="276" w:lineRule="auto"/>
        <w:jc w:val="both"/>
        <w:rPr>
          <w:rFonts w:ascii="Verdana" w:hAnsi="Verdana"/>
        </w:rPr>
      </w:pPr>
    </w:p>
    <w:p w14:paraId="11DC4DD0" w14:textId="77777777" w:rsidR="00811900" w:rsidRPr="00CC5C68" w:rsidRDefault="00811900" w:rsidP="00811900">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 xml:space="preserve">y las expresiones aquí utilizadas con mayúscula inicial deben ser entendidas con el </w:t>
      </w:r>
      <w:r w:rsidRPr="00CC5C68">
        <w:rPr>
          <w:rFonts w:ascii="Verdana" w:hAnsi="Verdana" w:cs="Arial"/>
          <w:lang w:val="es-ES_tradnl"/>
        </w:rPr>
        <w:lastRenderedPageBreak/>
        <w:t>significado que les otorga el artículo 2.2.1.1.1.3.1. del Decreto 1082 de 2015.</w:t>
      </w:r>
    </w:p>
    <w:p w14:paraId="4BA1E7B3" w14:textId="77777777" w:rsidR="00811900" w:rsidRPr="00CC5C68" w:rsidRDefault="00811900" w:rsidP="00811900">
      <w:pPr>
        <w:spacing w:after="0" w:line="276" w:lineRule="auto"/>
        <w:ind w:firstLine="709"/>
        <w:jc w:val="both"/>
        <w:rPr>
          <w:rFonts w:ascii="Verdana" w:eastAsia="Times New Roman" w:hAnsi="Verdana" w:cs="Arial"/>
          <w:szCs w:val="24"/>
          <w:lang w:val="es-ES_tradnl" w:eastAsia="es-ES_tradnl"/>
        </w:rPr>
      </w:pPr>
    </w:p>
    <w:p w14:paraId="2AA976C6" w14:textId="42B96CE5" w:rsidR="00811900" w:rsidRPr="00966CEE" w:rsidRDefault="00811900" w:rsidP="00966CEE">
      <w:pPr>
        <w:spacing w:after="0" w:line="276" w:lineRule="auto"/>
        <w:jc w:val="both"/>
        <w:rPr>
          <w:rFonts w:ascii="Verdana" w:eastAsia="Times New Roman" w:hAnsi="Verdana" w:cs="Arial"/>
          <w:lang w:val="es-ES_tradnl" w:eastAsia="es-CO"/>
        </w:rPr>
      </w:pPr>
      <w:bookmarkStart w:id="10" w:name="_Hlk117695077"/>
      <w:r w:rsidRPr="00CC5C68">
        <w:rPr>
          <w:rFonts w:ascii="Verdana" w:eastAsia="Times New Roman" w:hAnsi="Verdana" w:cs="Arial"/>
          <w:lang w:val="es-ES_tradnl" w:eastAsia="es-CO"/>
        </w:rPr>
        <w:t>Atentamente,</w:t>
      </w:r>
      <w:bookmarkEnd w:id="10"/>
    </w:p>
    <w:p w14:paraId="4C0E21B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10997E" w14:textId="46FEF081" w:rsidR="00871B59" w:rsidRPr="00811900" w:rsidRDefault="00966CEE" w:rsidP="00811900">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D5D6F69" wp14:editId="4487F43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35DCB5E7" w14:textId="77777777" w:rsidR="00811900" w:rsidRPr="00593A5F" w:rsidRDefault="00811900" w:rsidP="00811900">
      <w:pPr>
        <w:spacing w:after="0" w:line="240" w:lineRule="auto"/>
        <w:rPr>
          <w:rFonts w:ascii="Verdana" w:eastAsia="Times New Roman" w:hAnsi="Verdana" w:cs="Arial"/>
          <w:sz w:val="24"/>
          <w:szCs w:val="24"/>
          <w:lang w:eastAsia="es-ES"/>
        </w:rPr>
      </w:pP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11900" w:rsidRPr="00EA1223" w14:paraId="31434892" w14:textId="77777777" w:rsidTr="00634EFB">
        <w:trPr>
          <w:trHeight w:val="315"/>
        </w:trPr>
        <w:tc>
          <w:tcPr>
            <w:tcW w:w="893" w:type="dxa"/>
            <w:vAlign w:val="center"/>
            <w:hideMark/>
          </w:tcPr>
          <w:p w14:paraId="6F3B2D5E"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C484FCE" w14:textId="77777777" w:rsidR="00811900" w:rsidRPr="00EA1223" w:rsidRDefault="00811900" w:rsidP="00634EFB">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0D2A77D1" w14:textId="77777777" w:rsidR="00811900" w:rsidRPr="00EA1223" w:rsidRDefault="00811900" w:rsidP="00634EFB">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811900" w:rsidRPr="00EA1223" w14:paraId="22010703" w14:textId="77777777" w:rsidTr="00634EFB">
        <w:trPr>
          <w:trHeight w:val="330"/>
        </w:trPr>
        <w:tc>
          <w:tcPr>
            <w:tcW w:w="893" w:type="dxa"/>
            <w:vAlign w:val="center"/>
            <w:hideMark/>
          </w:tcPr>
          <w:p w14:paraId="7D43D2FD"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023ED4" w14:textId="77777777" w:rsidR="00811900" w:rsidRPr="00EA1223" w:rsidRDefault="00811900" w:rsidP="00634EFB">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27311BB7" w14:textId="77777777" w:rsidR="00811900" w:rsidRPr="00EA1223" w:rsidRDefault="00811900" w:rsidP="00634EFB">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811900" w:rsidRPr="00EA1223" w14:paraId="640A052A" w14:textId="77777777" w:rsidTr="00634EFB">
        <w:trPr>
          <w:trHeight w:val="300"/>
        </w:trPr>
        <w:tc>
          <w:tcPr>
            <w:tcW w:w="893" w:type="dxa"/>
            <w:vAlign w:val="center"/>
          </w:tcPr>
          <w:p w14:paraId="1C76B52A"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10D325" w14:textId="77777777" w:rsidR="00811900" w:rsidRPr="00EA1223" w:rsidRDefault="00811900" w:rsidP="00634EF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Gacherná</w:t>
            </w:r>
            <w:proofErr w:type="spellEnd"/>
          </w:p>
          <w:p w14:paraId="4D80DF79" w14:textId="5746FD76" w:rsidR="00811900" w:rsidRPr="00EA1223" w:rsidRDefault="00811900" w:rsidP="00634EFB">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Pr>
                <w:rFonts w:ascii="Verdana" w:eastAsia="Calibri" w:hAnsi="Verdana" w:cs="Arial"/>
                <w:sz w:val="16"/>
                <w:szCs w:val="16"/>
                <w:lang w:val="pt-BR" w:eastAsia="es-ES"/>
              </w:rPr>
              <w:t xml:space="preserve"> </w:t>
            </w:r>
          </w:p>
        </w:tc>
      </w:tr>
    </w:tbl>
    <w:p w14:paraId="5FDD5E40" w14:textId="77777777"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64BD6" w14:textId="77777777" w:rsidR="00C50AAF" w:rsidRDefault="00C50AAF" w:rsidP="00B30448">
      <w:pPr>
        <w:spacing w:after="0" w:line="240" w:lineRule="auto"/>
      </w:pPr>
      <w:r>
        <w:separator/>
      </w:r>
    </w:p>
  </w:endnote>
  <w:endnote w:type="continuationSeparator" w:id="0">
    <w:p w14:paraId="3EC1458C" w14:textId="77777777" w:rsidR="00C50AAF" w:rsidRDefault="00C50AAF" w:rsidP="00B30448">
      <w:pPr>
        <w:spacing w:after="0" w:line="240" w:lineRule="auto"/>
      </w:pPr>
      <w:r>
        <w:continuationSeparator/>
      </w:r>
    </w:p>
  </w:endnote>
  <w:endnote w:type="continuationNotice" w:id="1">
    <w:p w14:paraId="6AD969DF" w14:textId="77777777" w:rsidR="00C50AAF" w:rsidRDefault="00C50A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E35B6" w14:textId="77777777" w:rsidR="000849D5" w:rsidRDefault="000849D5" w:rsidP="000849D5">
    <w:pPr>
      <w:spacing w:after="0"/>
      <w:rPr>
        <w:rFonts w:ascii="Verdana" w:hAnsi="Verdana"/>
        <w:b/>
        <w:bCs/>
        <w:sz w:val="20"/>
        <w:szCs w:val="20"/>
      </w:rPr>
    </w:pPr>
  </w:p>
  <w:p w14:paraId="1F6F574B"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D74995D"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D2C3257"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33941E3B"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458831E" w14:textId="77777777" w:rsidR="000849D5" w:rsidRPr="007D04B2" w:rsidRDefault="000849D5" w:rsidP="000849D5">
    <w:pPr>
      <w:pStyle w:val="Piedepgina"/>
    </w:pPr>
  </w:p>
  <w:p w14:paraId="62AAECE3"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8ADA9" w14:textId="77777777" w:rsidR="00C50AAF" w:rsidRDefault="00C50AAF" w:rsidP="00B30448">
      <w:pPr>
        <w:spacing w:after="0" w:line="240" w:lineRule="auto"/>
      </w:pPr>
      <w:r>
        <w:separator/>
      </w:r>
    </w:p>
  </w:footnote>
  <w:footnote w:type="continuationSeparator" w:id="0">
    <w:p w14:paraId="622BBC10" w14:textId="77777777" w:rsidR="00C50AAF" w:rsidRDefault="00C50AAF" w:rsidP="00B30448">
      <w:pPr>
        <w:spacing w:after="0" w:line="240" w:lineRule="auto"/>
      </w:pPr>
      <w:r>
        <w:continuationSeparator/>
      </w:r>
    </w:p>
  </w:footnote>
  <w:footnote w:type="continuationNotice" w:id="1">
    <w:p w14:paraId="550F98A2" w14:textId="77777777" w:rsidR="00C50AAF" w:rsidRDefault="00C50AAF">
      <w:pPr>
        <w:spacing w:after="0" w:line="240" w:lineRule="auto"/>
      </w:pPr>
    </w:p>
  </w:footnote>
  <w:footnote w:id="2">
    <w:p w14:paraId="37F2A001" w14:textId="77777777" w:rsidR="00F34219" w:rsidRPr="00B93D47" w:rsidRDefault="00F34219" w:rsidP="00F34219">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[25] </w:t>
      </w:r>
      <w:r w:rsidRPr="00B93D47">
        <w:rPr>
          <w:rFonts w:ascii="Verdana" w:hAnsi="Verdana" w:cs="Arial"/>
          <w:sz w:val="16"/>
          <w:szCs w:val="16"/>
        </w:rPr>
        <w:t>Cfr. Consejo de Estado. Sección Tercera. Sentencia de 3 de diciembre de 2007. Radicados: 24.715, 25.206, 25.409, 24.524, 27.834, 25.410, 26.105, 28.244, 31.447 -acumulados-”.</w:t>
      </w:r>
    </w:p>
    <w:p w14:paraId="71F115DC" w14:textId="77777777" w:rsidR="00F34219" w:rsidRPr="00B93D47" w:rsidRDefault="00F34219" w:rsidP="00F34219">
      <w:pPr>
        <w:pStyle w:val="Textonotapie"/>
        <w:ind w:right="51" w:firstLine="709"/>
        <w:contextualSpacing/>
        <w:jc w:val="both"/>
        <w:rPr>
          <w:rFonts w:ascii="Verdana" w:hAnsi="Verdana" w:cs="Arial"/>
          <w:sz w:val="16"/>
          <w:szCs w:val="16"/>
        </w:rPr>
      </w:pPr>
    </w:p>
  </w:footnote>
  <w:footnote w:id="3">
    <w:p w14:paraId="48E08E69" w14:textId="77777777" w:rsidR="00F34219" w:rsidRPr="00B93D47" w:rsidRDefault="00F34219" w:rsidP="00F34219">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3" w:name="_Hlk74294506"/>
      <w:r w:rsidRPr="00B93D47">
        <w:rPr>
          <w:rFonts w:ascii="Verdana" w:hAnsi="Verdana" w:cs="Arial"/>
          <w:sz w:val="16"/>
          <w:szCs w:val="16"/>
        </w:rPr>
        <w:t>“</w:t>
      </w:r>
      <w:r w:rsidRPr="00B93D47">
        <w:rPr>
          <w:rFonts w:ascii="Verdana" w:hAnsi="Verdana" w:cs="Arial"/>
          <w:sz w:val="16"/>
          <w:szCs w:val="16"/>
          <w:lang w:val="es-ES"/>
        </w:rPr>
        <w:t xml:space="preserve">[26] </w:t>
      </w:r>
      <w:bookmarkEnd w:id="3"/>
      <w:r w:rsidRPr="00B93D47">
        <w:rPr>
          <w:rFonts w:ascii="Verdana" w:hAnsi="Verdana" w:cs="Arial"/>
          <w:sz w:val="16"/>
          <w:szCs w:val="16"/>
        </w:rPr>
        <w:t>Al respecto ver el concepto 1712 de 2 de febrero de 2006. Consejo de Estado Sala de Consulta y Servicio Civil”.</w:t>
      </w:r>
    </w:p>
    <w:p w14:paraId="69C424CA" w14:textId="77777777" w:rsidR="00F34219" w:rsidRPr="00B93D47" w:rsidRDefault="00F34219" w:rsidP="00F34219">
      <w:pPr>
        <w:pStyle w:val="Textonotapie"/>
        <w:ind w:right="51" w:firstLine="709"/>
        <w:contextualSpacing/>
        <w:jc w:val="both"/>
        <w:rPr>
          <w:rFonts w:ascii="Verdana" w:hAnsi="Verdana" w:cs="Arial"/>
          <w:sz w:val="16"/>
          <w:szCs w:val="16"/>
        </w:rPr>
      </w:pPr>
    </w:p>
  </w:footnote>
  <w:footnote w:id="4">
    <w:p w14:paraId="24C440A3" w14:textId="77777777" w:rsidR="00F34219" w:rsidRPr="00B93D47" w:rsidRDefault="00F34219" w:rsidP="00F3421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17F06C3B" w14:textId="77777777" w:rsidR="00F34219" w:rsidRPr="00B93D47" w:rsidRDefault="00F34219" w:rsidP="00F34219">
      <w:pPr>
        <w:pStyle w:val="Textonotapie"/>
        <w:ind w:firstLine="709"/>
        <w:contextualSpacing/>
        <w:jc w:val="both"/>
        <w:rPr>
          <w:rFonts w:ascii="Verdana" w:hAnsi="Verdana" w:cs="Arial"/>
          <w:sz w:val="16"/>
          <w:szCs w:val="16"/>
        </w:rPr>
      </w:pPr>
    </w:p>
  </w:footnote>
  <w:footnote w:id="5">
    <w:p w14:paraId="7D74E40E" w14:textId="77777777" w:rsidR="00F34219" w:rsidRPr="00B93D47"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6">
    <w:p w14:paraId="085DD803" w14:textId="77777777" w:rsidR="00F34219" w:rsidRPr="00B93D47" w:rsidRDefault="00F34219" w:rsidP="00F34219">
      <w:pPr>
        <w:pStyle w:val="Textonotapie"/>
        <w:ind w:firstLine="709"/>
        <w:contextualSpacing/>
        <w:jc w:val="both"/>
        <w:rPr>
          <w:rFonts w:ascii="Verdana" w:hAnsi="Verdana" w:cs="Arial"/>
          <w:sz w:val="16"/>
          <w:szCs w:val="16"/>
        </w:rPr>
      </w:pPr>
    </w:p>
    <w:p w14:paraId="1334A65C" w14:textId="77777777" w:rsidR="00F34219" w:rsidRPr="00B93D47"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7">
    <w:p w14:paraId="65DEE4E5" w14:textId="77777777" w:rsidR="00F34219"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33001E5A" w14:textId="77777777" w:rsidR="00F34219" w:rsidRPr="00B93D47" w:rsidRDefault="00F34219" w:rsidP="00F34219">
      <w:pPr>
        <w:pStyle w:val="Textonotapie"/>
        <w:ind w:firstLine="709"/>
        <w:contextualSpacing/>
        <w:jc w:val="both"/>
        <w:rPr>
          <w:rFonts w:ascii="Verdana" w:hAnsi="Verdana" w:cs="Arial"/>
          <w:sz w:val="16"/>
          <w:szCs w:val="16"/>
          <w:lang w:val="es-ES"/>
        </w:rPr>
      </w:pPr>
    </w:p>
  </w:footnote>
  <w:footnote w:id="8">
    <w:p w14:paraId="26993186" w14:textId="77777777" w:rsidR="00F34219" w:rsidRPr="00B93D47" w:rsidRDefault="00F34219" w:rsidP="00F34219">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9">
    <w:p w14:paraId="5E0D9873" w14:textId="77777777" w:rsidR="00F34219" w:rsidRDefault="00F34219" w:rsidP="00F34219">
      <w:pPr>
        <w:pStyle w:val="Textonotapie"/>
        <w:ind w:firstLine="709"/>
        <w:contextualSpacing/>
        <w:jc w:val="both"/>
        <w:rPr>
          <w:rFonts w:ascii="Verdana" w:hAnsi="Verdana" w:cs="Arial"/>
          <w:sz w:val="16"/>
          <w:szCs w:val="16"/>
        </w:rPr>
      </w:pPr>
    </w:p>
    <w:p w14:paraId="4A9E6B83" w14:textId="77777777" w:rsidR="00F34219" w:rsidRDefault="00F34219" w:rsidP="00F3421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Exp. 2.382. C.P. Álvaro Namén Vargas.</w:t>
      </w:r>
    </w:p>
    <w:p w14:paraId="3A8F6478" w14:textId="77777777" w:rsidR="00F34219" w:rsidRPr="00B93D47" w:rsidRDefault="00F34219" w:rsidP="00F34219">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BC960"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4642AA96" wp14:editId="06971AFB">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6DF2C488" wp14:editId="156A7BD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790998" w14:textId="77777777" w:rsidR="00515FB5" w:rsidRDefault="00515FB5" w:rsidP="00515FB5">
    <w:pPr>
      <w:pStyle w:val="Encabezado"/>
    </w:pPr>
  </w:p>
  <w:p w14:paraId="2E71DC05" w14:textId="77777777" w:rsidR="00515FB5" w:rsidRDefault="00515FB5" w:rsidP="00515FB5">
    <w:pPr>
      <w:pStyle w:val="Encabezado"/>
    </w:pPr>
  </w:p>
  <w:p w14:paraId="61128774" w14:textId="77777777" w:rsidR="00515FB5" w:rsidRDefault="00515FB5" w:rsidP="00515FB5">
    <w:pPr>
      <w:pStyle w:val="Encabezado"/>
    </w:pPr>
  </w:p>
  <w:p w14:paraId="1EE34C9A" w14:textId="77777777" w:rsidR="00515FB5" w:rsidRPr="00AB7B56" w:rsidRDefault="00515FB5" w:rsidP="00515FB5">
    <w:pPr>
      <w:pStyle w:val="Encabezado"/>
    </w:pPr>
  </w:p>
  <w:p w14:paraId="10FE7329"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219"/>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91A75"/>
    <w:rsid w:val="000A6E0C"/>
    <w:rsid w:val="000A7A56"/>
    <w:rsid w:val="000B1FF7"/>
    <w:rsid w:val="000B2513"/>
    <w:rsid w:val="000B4024"/>
    <w:rsid w:val="000C3C51"/>
    <w:rsid w:val="000C7262"/>
    <w:rsid w:val="000C7295"/>
    <w:rsid w:val="000D2A7F"/>
    <w:rsid w:val="000D4FCE"/>
    <w:rsid w:val="0011037E"/>
    <w:rsid w:val="00116E34"/>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9BA"/>
    <w:rsid w:val="00334EF8"/>
    <w:rsid w:val="00336408"/>
    <w:rsid w:val="00340DFB"/>
    <w:rsid w:val="0034404F"/>
    <w:rsid w:val="00356980"/>
    <w:rsid w:val="003611B7"/>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82605"/>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3192"/>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2650"/>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0AEF"/>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A7265"/>
    <w:rsid w:val="007B285D"/>
    <w:rsid w:val="007C6BC6"/>
    <w:rsid w:val="00801DCA"/>
    <w:rsid w:val="00807D79"/>
    <w:rsid w:val="00811900"/>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66CEE"/>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07D4"/>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0B67"/>
    <w:rsid w:val="00C0174E"/>
    <w:rsid w:val="00C0511C"/>
    <w:rsid w:val="00C20ACF"/>
    <w:rsid w:val="00C22307"/>
    <w:rsid w:val="00C23469"/>
    <w:rsid w:val="00C30C62"/>
    <w:rsid w:val="00C371DF"/>
    <w:rsid w:val="00C42055"/>
    <w:rsid w:val="00C44B4C"/>
    <w:rsid w:val="00C46734"/>
    <w:rsid w:val="00C47A86"/>
    <w:rsid w:val="00C50AAF"/>
    <w:rsid w:val="00C53220"/>
    <w:rsid w:val="00C838B3"/>
    <w:rsid w:val="00CA3347"/>
    <w:rsid w:val="00CC299A"/>
    <w:rsid w:val="00CD03E3"/>
    <w:rsid w:val="00CE6BDA"/>
    <w:rsid w:val="00D03DBE"/>
    <w:rsid w:val="00D072C0"/>
    <w:rsid w:val="00D34C82"/>
    <w:rsid w:val="00D3757A"/>
    <w:rsid w:val="00D504A9"/>
    <w:rsid w:val="00D5206D"/>
    <w:rsid w:val="00D7177D"/>
    <w:rsid w:val="00D73D7C"/>
    <w:rsid w:val="00D81311"/>
    <w:rsid w:val="00D96018"/>
    <w:rsid w:val="00DB201E"/>
    <w:rsid w:val="00DB3AEC"/>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219"/>
    <w:rsid w:val="00F34E90"/>
    <w:rsid w:val="00F356D6"/>
    <w:rsid w:val="00F53BE2"/>
    <w:rsid w:val="00F55684"/>
    <w:rsid w:val="00F57948"/>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95931"/>
  <w15:docId w15:val="{3C82BD0F-EDA0-3647-AE10-F006887AA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paragraph" w:customStyle="1" w:styleId="p1">
    <w:name w:val="p1"/>
    <w:basedOn w:val="Normal"/>
    <w:rsid w:val="00811900"/>
    <w:pPr>
      <w:spacing w:after="0" w:line="240" w:lineRule="auto"/>
    </w:pPr>
    <w:rPr>
      <w:rFonts w:ascii="Verdana" w:eastAsia="Times New Roman" w:hAnsi="Verdana" w:cs="Times New Roman"/>
      <w:color w:val="000000"/>
      <w:sz w:val="17"/>
      <w:szCs w:val="17"/>
      <w:lang w:eastAsia="es-MX"/>
    </w:rPr>
  </w:style>
  <w:style w:type="paragraph" w:customStyle="1" w:styleId="p2">
    <w:name w:val="p2"/>
    <w:basedOn w:val="Normal"/>
    <w:rsid w:val="00811900"/>
    <w:pPr>
      <w:spacing w:after="0" w:line="240" w:lineRule="auto"/>
    </w:pPr>
    <w:rPr>
      <w:rFonts w:ascii="Verdana" w:eastAsia="Times New Roman" w:hAnsi="Verdana" w:cs="Times New Roman"/>
      <w:color w:val="0000FF"/>
      <w:sz w:val="17"/>
      <w:szCs w:val="17"/>
      <w:lang w:eastAsia="es-MX"/>
    </w:rPr>
  </w:style>
  <w:style w:type="character" w:customStyle="1" w:styleId="s1">
    <w:name w:val="s1"/>
    <w:basedOn w:val="Fuentedeprrafopredeter"/>
    <w:rsid w:val="00811900"/>
    <w:rPr>
      <w:color w:val="000000"/>
    </w:rPr>
  </w:style>
  <w:style w:type="character" w:customStyle="1" w:styleId="citation-188">
    <w:name w:val="citation-188"/>
    <w:basedOn w:val="Fuentedeprrafopredeter"/>
    <w:rsid w:val="00553192"/>
  </w:style>
  <w:style w:type="character" w:customStyle="1" w:styleId="citation-117">
    <w:name w:val="citation-117"/>
    <w:basedOn w:val="Fuentedeprrafopredeter"/>
    <w:rsid w:val="000C7295"/>
  </w:style>
  <w:style w:type="character" w:customStyle="1" w:styleId="citation-116">
    <w:name w:val="citation-116"/>
    <w:basedOn w:val="Fuentedeprrafopredeter"/>
    <w:rsid w:val="000C7295"/>
  </w:style>
  <w:style w:type="character" w:customStyle="1" w:styleId="citation-115">
    <w:name w:val="citation-115"/>
    <w:basedOn w:val="Fuentedeprrafopredeter"/>
    <w:rsid w:val="000C7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circulares/cce-eicp-ma-06_circular_externa_con_comentarios_de_ciudadanos-_v2f_002.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ramillojuandiego05@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utube.com/watch?v=X4oPgRxH9b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CF497D8-7D00-4B8D-B570-BC971E0CF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infopath/2007/PartnerControls"/>
    <ds:schemaRef ds:uri="http://purl.org/dc/terms/"/>
    <ds:schemaRef ds:uri="http://schemas.microsoft.com/office/2006/metadata/properties"/>
    <ds:schemaRef ds:uri="http://schemas.microsoft.com/office/2006/documentManagement/types"/>
    <ds:schemaRef ds:uri="http://www.w3.org/XML/1998/namespace"/>
    <ds:schemaRef ds:uri="http://purl.org/dc/elements/1.1/"/>
    <ds:schemaRef ds:uri="http://schemas.openxmlformats.org/package/2006/metadata/core-properties"/>
    <ds:schemaRef ds:uri="a6cb9e4b-f1d1-4245-83ec-6cad768d538a"/>
    <ds:schemaRef ds:uri="9d85dbaf-23eb-4e57-a637-93dcacc8b1a1"/>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11</Pages>
  <Words>3258</Words>
  <Characters>16977</Characters>
  <Application>Microsoft Office Word</Application>
  <DocSecurity>0</DocSecurity>
  <Lines>339</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Sergio Andrés Rivera Cano</cp:lastModifiedBy>
  <cp:revision>2</cp:revision>
  <dcterms:created xsi:type="dcterms:W3CDTF">2026-02-02T19:05:00Z</dcterms:created>
  <dcterms:modified xsi:type="dcterms:W3CDTF">2026-02-02T19:05:00Z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