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body>
    <w:p w:rsidRPr="00AF1555" w:rsidR="00950D97" w:rsidP="00950D97" w:rsidRDefault="00950D97" w14:paraId="3BD0F223" w14:textId="77777777">
      <w:pPr>
        <w:tabs>
          <w:tab w:val="left" w:pos="709"/>
        </w:tabs>
        <w:spacing w:after="0" w:line="240" w:lineRule="auto"/>
        <w:jc w:val="both"/>
        <w:rPr>
          <w:rFonts w:ascii="Verdana" w:hAnsi="Verdana" w:eastAsia="Calibri" w:cs="Arial"/>
          <w:bCs/>
          <w:sz w:val="20"/>
          <w:szCs w:val="20"/>
          <w:lang w:val="es-ES_tradnl" w:eastAsia="es-ES_tradnl"/>
        </w:rPr>
      </w:pPr>
    </w:p>
    <w:p w:rsidRPr="00AF1555" w:rsidR="00950D97" w:rsidP="00950D97" w:rsidRDefault="00950D97" w14:paraId="59E5F36B" w14:textId="77777777">
      <w:pPr>
        <w:spacing w:after="0" w:line="240" w:lineRule="auto"/>
        <w:jc w:val="both"/>
        <w:rPr>
          <w:rFonts w:ascii="Verdana" w:hAnsi="Verdana" w:eastAsia="Calibri" w:cs="Arial"/>
          <w:b/>
          <w:color w:val="000000" w:themeColor="text1"/>
          <w:lang w:val="es-ES"/>
        </w:rPr>
      </w:pPr>
      <w:r>
        <w:rPr>
          <w:rFonts w:ascii="Verdana" w:hAnsi="Verdana" w:eastAsia="Calibri" w:cs="Arial"/>
          <w:b/>
          <w:color w:val="000000" w:themeColor="text1"/>
          <w:lang w:val="es-ES"/>
        </w:rPr>
        <w:t>EGCAP</w:t>
      </w:r>
      <w:r w:rsidRPr="00E95799">
        <w:rPr>
          <w:rFonts w:ascii="Verdana" w:hAnsi="Verdana" w:eastAsia="Calibri" w:cs="Arial"/>
          <w:b/>
          <w:color w:val="000000" w:themeColor="text1"/>
          <w:lang w:val="es-ES"/>
        </w:rPr>
        <w:t xml:space="preserve"> – </w:t>
      </w:r>
      <w:r>
        <w:rPr>
          <w:rFonts w:ascii="Verdana" w:hAnsi="Verdana" w:eastAsia="Calibri" w:cs="Arial"/>
          <w:b/>
          <w:color w:val="000000" w:themeColor="text1"/>
          <w:lang w:val="es-ES"/>
        </w:rPr>
        <w:t>Ámbito de aplicación</w:t>
      </w:r>
      <w:r w:rsidRPr="00E95799">
        <w:rPr>
          <w:rFonts w:ascii="Verdana" w:hAnsi="Verdana" w:eastAsia="Calibri" w:cs="Arial"/>
          <w:b/>
          <w:color w:val="000000" w:themeColor="text1"/>
          <w:lang w:val="es-ES"/>
        </w:rPr>
        <w:t xml:space="preserve"> – </w:t>
      </w:r>
      <w:r>
        <w:rPr>
          <w:rFonts w:ascii="Verdana" w:hAnsi="Verdana" w:eastAsia="Calibri" w:cs="Arial"/>
          <w:b/>
          <w:color w:val="000000" w:themeColor="text1"/>
          <w:lang w:val="es-ES"/>
        </w:rPr>
        <w:t>Entidades estatales</w:t>
      </w:r>
      <w:r w:rsidRPr="00AF1555">
        <w:rPr>
          <w:rFonts w:ascii="Verdana" w:hAnsi="Verdana" w:eastAsia="Calibri" w:cs="Arial"/>
          <w:b/>
          <w:color w:val="000000" w:themeColor="text1"/>
          <w:lang w:val="es-ES"/>
        </w:rPr>
        <w:t xml:space="preserve"> </w:t>
      </w:r>
    </w:p>
    <w:p w:rsidRPr="00AF1555" w:rsidR="00950D97" w:rsidP="00950D97" w:rsidRDefault="00950D97" w14:paraId="65B82D61" w14:textId="77777777">
      <w:pPr>
        <w:spacing w:after="0" w:line="240" w:lineRule="auto"/>
        <w:jc w:val="both"/>
        <w:rPr>
          <w:rFonts w:ascii="Verdana" w:hAnsi="Verdana" w:eastAsia="Calibri" w:cs="Arial"/>
          <w:bCs/>
          <w:color w:val="000000" w:themeColor="text1"/>
          <w:sz w:val="20"/>
          <w:szCs w:val="20"/>
          <w:lang w:val="es-ES"/>
        </w:rPr>
      </w:pPr>
    </w:p>
    <w:p w:rsidR="00950D97" w:rsidP="00950D97" w:rsidRDefault="00950D97" w14:paraId="65B1D673" w14:textId="77777777">
      <w:pPr>
        <w:spacing w:after="0" w:line="240" w:lineRule="auto"/>
        <w:jc w:val="both"/>
        <w:rPr>
          <w:rFonts w:ascii="Verdana" w:hAnsi="Verdana" w:eastAsia="Calibri" w:cs="Arial"/>
          <w:bCs/>
          <w:color w:val="000000" w:themeColor="text1"/>
          <w:sz w:val="20"/>
          <w:szCs w:val="20"/>
          <w:lang w:val="es-ES" w:eastAsia="es-ES_tradnl"/>
        </w:rPr>
      </w:pPr>
      <w:r w:rsidRPr="0006328C">
        <w:rPr>
          <w:rFonts w:ascii="Verdana" w:hAnsi="Verdana" w:eastAsia="Calibri" w:cs="Arial"/>
          <w:bCs/>
          <w:color w:val="000000" w:themeColor="text1"/>
          <w:sz w:val="20"/>
          <w:szCs w:val="20"/>
          <w:lang w:val="es-ES" w:eastAsia="es-ES_tradnl"/>
        </w:rPr>
        <w:t xml:space="preserve">De acuerdo con el inciso final del artículo 150 superior, corresponde al Congreso de la República expedir el Estatuto General de Contratación de la Administración Pública y, en especial, de la Administración Nacional. Esta competencia fue ejercida con la expedición de la Ley 80 de 1993, la cual rige para las </w:t>
      </w:r>
      <w:r w:rsidRPr="0006328C">
        <w:rPr>
          <w:rFonts w:ascii="Verdana" w:hAnsi="Verdana" w:eastAsia="Calibri" w:cs="Arial"/>
          <w:bCs/>
          <w:i/>
          <w:iCs/>
          <w:color w:val="000000" w:themeColor="text1"/>
          <w:sz w:val="20"/>
          <w:szCs w:val="20"/>
          <w:lang w:val="es-ES" w:eastAsia="es-ES_tradnl"/>
        </w:rPr>
        <w:t>entidades estatales</w:t>
      </w:r>
      <w:r w:rsidRPr="0006328C">
        <w:rPr>
          <w:rFonts w:ascii="Verdana" w:hAnsi="Verdana" w:eastAsia="Calibri" w:cs="Arial"/>
          <w:bCs/>
          <w:color w:val="000000" w:themeColor="text1"/>
          <w:sz w:val="20"/>
          <w:szCs w:val="20"/>
          <w:lang w:val="es-ES" w:eastAsia="es-ES_tradnl"/>
        </w:rPr>
        <w:t xml:space="preserve">, esto es, aquellas previstas en los literales a) y b) del numeral 1 del artículo 2 </w:t>
      </w:r>
      <w:r w:rsidRPr="0006328C">
        <w:rPr>
          <w:rFonts w:ascii="Verdana" w:hAnsi="Verdana" w:eastAsia="Calibri" w:cs="Arial"/>
          <w:bCs/>
          <w:i/>
          <w:iCs/>
          <w:color w:val="000000" w:themeColor="text1"/>
          <w:sz w:val="20"/>
          <w:szCs w:val="20"/>
          <w:lang w:val="es-ES" w:eastAsia="es-ES_tradnl"/>
        </w:rPr>
        <w:t>ibidem</w:t>
      </w:r>
      <w:r w:rsidRPr="0006328C">
        <w:rPr>
          <w:rFonts w:ascii="Verdana" w:hAnsi="Verdana" w:eastAsia="Calibri" w:cs="Arial"/>
          <w:bCs/>
          <w:color w:val="000000" w:themeColor="text1"/>
          <w:sz w:val="20"/>
          <w:szCs w:val="20"/>
          <w:lang w:val="es-ES" w:eastAsia="es-ES_tradnl"/>
        </w:rPr>
        <w:t xml:space="preserve">. La norma citada define la competencia contractual en los siguientes términos: </w:t>
      </w:r>
    </w:p>
    <w:p w:rsidRPr="0006328C" w:rsidR="00950D97" w:rsidP="00950D97" w:rsidRDefault="00950D97" w14:paraId="727CEF69" w14:textId="77777777">
      <w:pPr>
        <w:spacing w:after="0" w:line="240" w:lineRule="auto"/>
        <w:jc w:val="both"/>
        <w:rPr>
          <w:rFonts w:ascii="Verdana" w:hAnsi="Verdana" w:eastAsia="Calibri" w:cs="Arial"/>
          <w:bCs/>
          <w:color w:val="000000" w:themeColor="text1"/>
          <w:sz w:val="20"/>
          <w:szCs w:val="20"/>
          <w:lang w:val="es-ES" w:eastAsia="es-ES_tradnl"/>
        </w:rPr>
      </w:pPr>
    </w:p>
    <w:p w:rsidR="00950D97" w:rsidP="00950D97" w:rsidRDefault="00950D97" w14:paraId="3DF99617" w14:textId="77777777">
      <w:pPr>
        <w:spacing w:after="0" w:line="240" w:lineRule="auto"/>
        <w:jc w:val="both"/>
        <w:rPr>
          <w:rFonts w:ascii="Verdana" w:hAnsi="Verdana" w:eastAsia="Calibri" w:cs="Arial"/>
          <w:bCs/>
          <w:color w:val="000000" w:themeColor="text1"/>
          <w:sz w:val="20"/>
          <w:szCs w:val="20"/>
          <w:lang w:val="es-ES" w:eastAsia="es-ES_tradnl"/>
        </w:rPr>
      </w:pPr>
      <w:r w:rsidRPr="0006328C">
        <w:rPr>
          <w:rFonts w:ascii="Verdana" w:hAnsi="Verdana" w:eastAsia="Calibri" w:cs="Arial"/>
          <w:bCs/>
          <w:color w:val="000000" w:themeColor="text1"/>
          <w:sz w:val="20"/>
          <w:szCs w:val="20"/>
          <w:lang w:val="es-ES" w:eastAsia="es-ES_tradnl"/>
        </w:rPr>
        <w:t xml:space="preserve">El literal a) aplica a las entidades con personería jurídica. Alude 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w:t>
      </w:r>
    </w:p>
    <w:p w:rsidRPr="0006328C" w:rsidR="00950D97" w:rsidP="00950D97" w:rsidRDefault="00950D97" w14:paraId="2AFFCF71" w14:textId="77777777">
      <w:pPr>
        <w:spacing w:after="0" w:line="240" w:lineRule="auto"/>
        <w:jc w:val="both"/>
        <w:rPr>
          <w:rFonts w:ascii="Verdana" w:hAnsi="Verdana" w:eastAsia="Calibri" w:cs="Arial"/>
          <w:bCs/>
          <w:color w:val="000000" w:themeColor="text1"/>
          <w:sz w:val="20"/>
          <w:szCs w:val="20"/>
          <w:lang w:val="es-ES" w:eastAsia="es-ES_tradnl"/>
        </w:rPr>
      </w:pPr>
      <w:r w:rsidRPr="0006328C">
        <w:rPr>
          <w:rFonts w:ascii="Verdana" w:hAnsi="Verdana" w:eastAsia="Calibri" w:cs="Arial"/>
          <w:bCs/>
          <w:color w:val="000000" w:themeColor="text1"/>
          <w:sz w:val="20"/>
          <w:szCs w:val="20"/>
          <w:lang w:val="es-ES" w:eastAsia="es-ES_tradnl"/>
        </w:rPr>
        <w:t xml:space="preserve"> </w:t>
      </w:r>
    </w:p>
    <w:p w:rsidRPr="00EB0B5F" w:rsidR="00950D97" w:rsidP="00950D97" w:rsidRDefault="00950D97" w14:paraId="32C5E8C9" w14:textId="77777777">
      <w:pPr>
        <w:spacing w:after="0" w:line="240" w:lineRule="auto"/>
        <w:jc w:val="both"/>
        <w:rPr>
          <w:rFonts w:ascii="Verdana" w:hAnsi="Verdana" w:eastAsia="Calibri" w:cs="Arial"/>
          <w:iCs/>
          <w:color w:val="000000" w:themeColor="text1"/>
          <w:sz w:val="20"/>
          <w:szCs w:val="20"/>
          <w:lang w:eastAsia="es-ES_tradnl"/>
        </w:rPr>
      </w:pPr>
      <w:r w:rsidRPr="0006328C">
        <w:rPr>
          <w:rFonts w:ascii="Verdana" w:hAnsi="Verdana" w:eastAsia="Calibri" w:cs="Arial"/>
          <w:bCs/>
          <w:color w:val="000000" w:themeColor="text1"/>
          <w:sz w:val="20"/>
          <w:szCs w:val="20"/>
          <w:lang w:val="es-ES" w:eastAsia="es-ES_tradnl"/>
        </w:rPr>
        <w:t>En contraste, el literal b) rige para las autoridades que carecen de personería, pero a las que el ordenamiento les otorga “capacidad” para celebrar contratos. Estas entidades son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De acuerdo con el artículo 352 superior, este último apartado debe armonizarse con el artículo 110 del Decreto 111 de 1996, modificado por el artículo 124 de la Ley 1957 de 2019</w:t>
      </w:r>
      <w:r w:rsidRPr="00AF1555">
        <w:rPr>
          <w:rFonts w:ascii="Verdana" w:hAnsi="Verdana" w:eastAsia="Calibri" w:cs="Arial"/>
          <w:color w:val="000000" w:themeColor="text1"/>
          <w:sz w:val="20"/>
          <w:szCs w:val="20"/>
          <w:lang w:val="es-ES_tradnl"/>
        </w:rPr>
        <w:t>.</w:t>
      </w:r>
    </w:p>
    <w:p w:rsidRPr="00AF1555" w:rsidR="00950D97" w:rsidP="00950D97" w:rsidRDefault="00950D97" w14:paraId="6D802C7A" w14:textId="77777777">
      <w:pPr>
        <w:spacing w:after="0" w:line="240" w:lineRule="auto"/>
        <w:jc w:val="both"/>
        <w:rPr>
          <w:rFonts w:ascii="Verdana" w:hAnsi="Verdana" w:eastAsia="Geomanist Light" w:cs="Arial"/>
          <w:color w:val="000000" w:themeColor="text1"/>
          <w:sz w:val="20"/>
          <w:szCs w:val="20"/>
          <w:lang w:val="es-ES_tradnl"/>
        </w:rPr>
      </w:pPr>
    </w:p>
    <w:p w:rsidRPr="00AF1555" w:rsidR="00950D97" w:rsidP="00950D97" w:rsidRDefault="00950D97" w14:paraId="69372CC5" w14:textId="77777777">
      <w:pPr>
        <w:spacing w:after="0" w:line="240" w:lineRule="auto"/>
        <w:jc w:val="both"/>
        <w:rPr>
          <w:rFonts w:ascii="Verdana" w:hAnsi="Verdana" w:eastAsia="Calibri" w:cs="Arial"/>
          <w:b/>
          <w:lang w:val="es-ES"/>
        </w:rPr>
      </w:pPr>
      <w:r>
        <w:rPr>
          <w:rFonts w:ascii="Verdana" w:hAnsi="Verdana" w:eastAsia="Calibri" w:cs="Arial"/>
          <w:b/>
          <w:lang w:val="es-ES"/>
        </w:rPr>
        <w:t>ENTIDADES EXCEPTUADAS</w:t>
      </w:r>
      <w:r w:rsidRPr="00E95799">
        <w:rPr>
          <w:rFonts w:ascii="Verdana" w:hAnsi="Verdana" w:eastAsia="Calibri" w:cs="Arial"/>
          <w:b/>
          <w:lang w:val="es-ES"/>
        </w:rPr>
        <w:t xml:space="preserve"> – </w:t>
      </w:r>
      <w:r>
        <w:rPr>
          <w:rFonts w:ascii="Verdana" w:hAnsi="Verdana" w:eastAsia="Calibri" w:cs="Arial"/>
          <w:b/>
          <w:lang w:val="es-ES"/>
        </w:rPr>
        <w:t>Aplicación de normas de derecho público</w:t>
      </w:r>
    </w:p>
    <w:p w:rsidRPr="00AF1555" w:rsidR="00950D97" w:rsidP="00950D97" w:rsidRDefault="00950D97" w14:paraId="04BD635A" w14:textId="77777777">
      <w:pPr>
        <w:spacing w:after="0" w:line="240" w:lineRule="auto"/>
        <w:jc w:val="both"/>
        <w:rPr>
          <w:rFonts w:ascii="Verdana" w:hAnsi="Verdana" w:eastAsia="Calibri" w:cs="Arial"/>
          <w:b/>
          <w:sz w:val="20"/>
          <w:szCs w:val="20"/>
          <w:lang w:val="es-ES"/>
        </w:rPr>
      </w:pPr>
    </w:p>
    <w:p w:rsidRPr="00EB0B5F" w:rsidR="00950D97" w:rsidP="00950D97" w:rsidRDefault="00950D97" w14:paraId="709928BE" w14:textId="77777777">
      <w:pPr>
        <w:spacing w:after="0" w:line="240" w:lineRule="auto"/>
        <w:jc w:val="both"/>
        <w:rPr>
          <w:rFonts w:ascii="Verdana" w:hAnsi="Verdana" w:eastAsia="Calibri" w:cs="Arial"/>
          <w:bCs/>
          <w:sz w:val="20"/>
          <w:szCs w:val="20"/>
        </w:rPr>
      </w:pPr>
      <w:r>
        <w:rPr>
          <w:rFonts w:ascii="Verdana" w:hAnsi="Verdana" w:eastAsia="Calibri" w:cs="Arial"/>
          <w:bCs/>
          <w:sz w:val="20"/>
          <w:szCs w:val="20"/>
        </w:rPr>
        <w:t xml:space="preserve">[…] </w:t>
      </w:r>
      <w:r w:rsidRPr="00FB2E1F">
        <w:rPr>
          <w:rFonts w:ascii="Verdana" w:hAnsi="Verdana" w:eastAsia="Calibri" w:cs="Arial"/>
          <w:bCs/>
          <w:sz w:val="20"/>
          <w:szCs w:val="20"/>
        </w:rPr>
        <w:t xml:space="preserve">aunque tenga una influencia limitada, las </w:t>
      </w:r>
      <w:r w:rsidRPr="00FB2E1F">
        <w:rPr>
          <w:rFonts w:ascii="Verdana" w:hAnsi="Verdana" w:eastAsia="Calibri" w:cs="Arial"/>
          <w:bCs/>
          <w:i/>
          <w:iCs/>
          <w:sz w:val="20"/>
          <w:szCs w:val="20"/>
        </w:rPr>
        <w:t>entidades del régimen exceptuado</w:t>
      </w:r>
      <w:r w:rsidRPr="00FB2E1F">
        <w:rPr>
          <w:rFonts w:ascii="Verdana" w:hAnsi="Verdana" w:eastAsia="Calibri" w:cs="Arial"/>
          <w:bCs/>
          <w:sz w:val="20"/>
          <w:szCs w:val="20"/>
        </w:rPr>
        <w:t xml:space="preserve"> no se deslingan por completo de las normas de derecho público. Esto en la medida que el inciso primero del artículo 13 de la Ley 1150 de 2007 prescribe lo siguiente: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r w:rsidRPr="00AF1555">
        <w:rPr>
          <w:rFonts w:ascii="Verdana" w:hAnsi="Verdana" w:eastAsia="Calibri" w:cs="Arial"/>
          <w:color w:val="000000"/>
          <w:sz w:val="20"/>
          <w:szCs w:val="20"/>
          <w:lang w:val="es-ES_tradnl"/>
        </w:rPr>
        <w:t>.</w:t>
      </w:r>
    </w:p>
    <w:p w:rsidRPr="00F70F88" w:rsidR="00950D97" w:rsidP="00950D97" w:rsidRDefault="00950D97" w14:paraId="3EBCF1F1" w14:textId="77777777">
      <w:pPr>
        <w:spacing w:after="0" w:line="240" w:lineRule="auto"/>
        <w:jc w:val="both"/>
        <w:rPr>
          <w:rFonts w:ascii="Verdana" w:hAnsi="Verdana" w:cs="Arial"/>
          <w:color w:val="000000" w:themeColor="text1"/>
          <w:sz w:val="21"/>
          <w:szCs w:val="21"/>
        </w:rPr>
      </w:pPr>
    </w:p>
    <w:p w:rsidRPr="009B46EA" w:rsidR="00950D97" w:rsidP="00950D97" w:rsidRDefault="00950D97" w14:paraId="719A7A32" w14:textId="77777777">
      <w:pPr>
        <w:spacing w:after="0" w:line="240" w:lineRule="auto"/>
        <w:jc w:val="both"/>
        <w:rPr>
          <w:rFonts w:ascii="Verdana" w:hAnsi="Verdana" w:eastAsia="Calibri" w:cs="Arial"/>
          <w:b/>
          <w:color w:val="000000" w:themeColor="text1"/>
          <w:lang w:val="es-ES_tradnl"/>
        </w:rPr>
      </w:pPr>
      <w:bookmarkStart w:name="_Hlk109118876" w:id="0"/>
      <w:r>
        <w:rPr>
          <w:rFonts w:ascii="Verdana" w:hAnsi="Verdana" w:eastAsia="Calibri" w:cs="Arial"/>
          <w:b/>
          <w:color w:val="000000" w:themeColor="text1"/>
          <w:lang w:val="es-ES_tradnl"/>
        </w:rPr>
        <w:t>CONTRATOS ESTATALES</w:t>
      </w:r>
      <w:r w:rsidRPr="009B46EA">
        <w:rPr>
          <w:rFonts w:ascii="Verdana" w:hAnsi="Verdana" w:eastAsia="Calibri" w:cs="Arial"/>
          <w:b/>
          <w:color w:val="000000" w:themeColor="text1"/>
          <w:lang w:val="es-ES_tradnl"/>
        </w:rPr>
        <w:t xml:space="preserve"> –</w:t>
      </w:r>
      <w:bookmarkEnd w:id="0"/>
      <w:r w:rsidRPr="009B46EA">
        <w:rPr>
          <w:rFonts w:ascii="Verdana" w:hAnsi="Verdana" w:eastAsia="Calibri" w:cs="Arial"/>
          <w:b/>
          <w:color w:val="000000" w:themeColor="text1"/>
          <w:lang w:val="es-ES_tradnl"/>
        </w:rPr>
        <w:t xml:space="preserve"> </w:t>
      </w:r>
      <w:r>
        <w:rPr>
          <w:rFonts w:ascii="Verdana" w:hAnsi="Verdana" w:eastAsia="Calibri" w:cs="Arial"/>
          <w:b/>
          <w:color w:val="000000" w:themeColor="text1"/>
          <w:lang w:val="es-ES_tradnl"/>
        </w:rPr>
        <w:t>Régimen especial</w:t>
      </w:r>
      <w:r w:rsidRPr="009B46EA">
        <w:rPr>
          <w:rFonts w:ascii="Verdana" w:hAnsi="Verdana" w:eastAsia="Calibri" w:cs="Arial"/>
          <w:b/>
          <w:color w:val="000000" w:themeColor="text1"/>
          <w:lang w:val="es-ES_tradnl"/>
        </w:rPr>
        <w:t xml:space="preserve"> – </w:t>
      </w:r>
      <w:r>
        <w:rPr>
          <w:rFonts w:ascii="Verdana" w:hAnsi="Verdana" w:eastAsia="Calibri" w:cs="Arial"/>
          <w:b/>
          <w:color w:val="000000" w:themeColor="text1"/>
          <w:lang w:val="es-ES_tradnl"/>
        </w:rPr>
        <w:t>Obligaciones transversales – Manual de contratación – Límites</w:t>
      </w:r>
      <w:r w:rsidRPr="009B46EA">
        <w:rPr>
          <w:rFonts w:ascii="Verdana" w:hAnsi="Verdana" w:eastAsia="Calibri" w:cs="Arial"/>
          <w:b/>
          <w:color w:val="000000" w:themeColor="text1"/>
          <w:lang w:val="es-ES_tradnl"/>
        </w:rPr>
        <w:t xml:space="preserve"> </w:t>
      </w:r>
    </w:p>
    <w:p w:rsidRPr="009B46EA" w:rsidR="00950D97" w:rsidP="00950D97" w:rsidRDefault="00950D97" w14:paraId="4E4ED396" w14:textId="77777777">
      <w:pPr>
        <w:spacing w:after="0" w:line="240" w:lineRule="auto"/>
        <w:jc w:val="both"/>
        <w:rPr>
          <w:rFonts w:ascii="Verdana" w:hAnsi="Verdana" w:eastAsia="Calibri" w:cs="Arial"/>
          <w:b/>
          <w:color w:val="000000" w:themeColor="text1"/>
          <w:lang w:val="es-ES_tradnl"/>
        </w:rPr>
      </w:pPr>
    </w:p>
    <w:p w:rsidR="00950D97" w:rsidP="00950D97" w:rsidRDefault="00950D97" w14:paraId="41181242" w14:textId="77777777">
      <w:pPr>
        <w:spacing w:after="0" w:line="240" w:lineRule="auto"/>
        <w:jc w:val="both"/>
        <w:rPr>
          <w:rFonts w:ascii="Verdana" w:hAnsi="Verdana" w:cs="Arial"/>
          <w:color w:val="000000" w:themeColor="text1"/>
          <w:sz w:val="20"/>
          <w:szCs w:val="20"/>
          <w:lang w:val="es-ES"/>
        </w:rPr>
      </w:pPr>
      <w:r>
        <w:rPr>
          <w:rFonts w:ascii="Verdana" w:hAnsi="Verdana" w:cs="Arial"/>
          <w:color w:val="000000" w:themeColor="text1"/>
          <w:sz w:val="20"/>
          <w:szCs w:val="20"/>
          <w:lang w:val="es-ES"/>
        </w:rPr>
        <w:t>E</w:t>
      </w:r>
      <w:r w:rsidRPr="00F70F88">
        <w:rPr>
          <w:rFonts w:ascii="Verdana" w:hAnsi="Verdana" w:cs="Arial"/>
          <w:color w:val="000000" w:themeColor="text1"/>
          <w:sz w:val="20"/>
          <w:szCs w:val="20"/>
          <w:lang w:val="es-ES"/>
        </w:rPr>
        <w:t>l hecho de que algunas entidades estatales se rijan por el derecho privado en materia contractual no puede entenderse como una negación de lo que establece el artículo 13 de la Ley 1150 de 2007. Este enunciado normativo significó un “retorno del derecho administrativo” para las entidades excluidas, al reiterar que deben cumplir los principios constitucionales de la función administrativa y de la gestión fiscal, así como el régimen de inhabilidades e incompatibilidades previsto legalmente para la contratación estatal; y ahora también publicar su actividad contractual en el SECOP II, de conformidad con el artículo 53 de la Ley 2195 de 2022.</w:t>
      </w:r>
    </w:p>
    <w:p w:rsidRPr="00F70F88" w:rsidR="00950D97" w:rsidP="00950D97" w:rsidRDefault="00950D97" w14:paraId="538155FA" w14:textId="77777777">
      <w:pPr>
        <w:spacing w:after="0" w:line="240" w:lineRule="auto"/>
        <w:jc w:val="both"/>
        <w:rPr>
          <w:rFonts w:ascii="Verdana" w:hAnsi="Verdana" w:cs="Arial"/>
          <w:color w:val="000000" w:themeColor="text1"/>
          <w:sz w:val="20"/>
          <w:szCs w:val="20"/>
        </w:rPr>
      </w:pPr>
    </w:p>
    <w:p w:rsidRPr="00F70F88" w:rsidR="00950D97" w:rsidP="00950D97" w:rsidRDefault="00950D97" w14:paraId="23CC3628" w14:textId="77777777">
      <w:pPr>
        <w:spacing w:after="0" w:line="240" w:lineRule="auto"/>
        <w:jc w:val="both"/>
        <w:rPr>
          <w:rFonts w:ascii="Verdana" w:hAnsi="Verdana" w:cs="Arial"/>
          <w:color w:val="000000" w:themeColor="text1"/>
          <w:sz w:val="20"/>
          <w:szCs w:val="20"/>
          <w:lang w:val="es-ES_tradnl"/>
        </w:rPr>
      </w:pPr>
      <w:r w:rsidRPr="00F70F88">
        <w:rPr>
          <w:rFonts w:ascii="Verdana" w:hAnsi="Verdana" w:cs="Arial"/>
          <w:color w:val="000000" w:themeColor="text1"/>
          <w:sz w:val="20"/>
          <w:szCs w:val="20"/>
          <w:lang w:val="es-ES_tradnl"/>
        </w:rPr>
        <w:t xml:space="preserve">Adicionalmente, las entidades estatales que, por disposición legal, cuentan con un régimen especial, exceptuado del Estatuto General de Contratación de la Administración Pública –Leyes 80 de 1993, 1150 de 2007 y normas complementarias– pueden expedir un reglamento interno de contratación –comúnmente denominado </w:t>
      </w:r>
      <w:r w:rsidRPr="00F70F88">
        <w:rPr>
          <w:rFonts w:ascii="Verdana" w:hAnsi="Verdana" w:cs="Arial"/>
          <w:i/>
          <w:color w:val="000000" w:themeColor="text1"/>
          <w:sz w:val="20"/>
          <w:szCs w:val="20"/>
          <w:lang w:val="es-ES_tradnl"/>
        </w:rPr>
        <w:t>manual de contratación</w:t>
      </w:r>
      <w:r w:rsidRPr="00F70F88">
        <w:rPr>
          <w:rFonts w:ascii="Verdana" w:hAnsi="Verdana" w:cs="Arial"/>
          <w:color w:val="000000" w:themeColor="text1"/>
          <w:sz w:val="20"/>
          <w:szCs w:val="20"/>
          <w:lang w:val="es-ES_tradnl"/>
        </w:rPr>
        <w:t>–, que regule aspectos asociados a la actividad contractual, como los procedimientos de selección, los requisitos de participación, las condiciones de ejecución del contrato, etc. En otras palabras, el manual de contratación de las entidades exceptuadas es un acto administrativo y, de manera más concreta, un reglamento, pues, además de consistir en una manifestación unilateral de voluntad efectuada por la entidad estatal, en ejercicio de función administrativa, dirigida a producir efectos jurídicos, tiene vocación de permanencia en el tiempo. Esto significa que el manual de contratación despliega sus efectos de manera indefinida en el futuro, no agotándose con una sola aplicación.</w:t>
      </w:r>
    </w:p>
    <w:p w:rsidR="00950D97" w:rsidP="00950D97" w:rsidRDefault="00950D97" w14:paraId="6C466A4E" w14:textId="77777777">
      <w:pPr>
        <w:spacing w:after="0" w:line="240" w:lineRule="auto"/>
        <w:jc w:val="both"/>
        <w:rPr>
          <w:rFonts w:ascii="Verdana" w:hAnsi="Verdana" w:cs="Arial"/>
          <w:color w:val="000000" w:themeColor="text1"/>
          <w:sz w:val="20"/>
          <w:szCs w:val="20"/>
          <w:lang w:val="es-ES_tradnl"/>
        </w:rPr>
      </w:pPr>
    </w:p>
    <w:p w:rsidRPr="009B46EA" w:rsidR="00950D97" w:rsidP="2DF9937D" w:rsidRDefault="00950D97" w14:paraId="64692101" w14:textId="77777777">
      <w:pPr>
        <w:spacing w:after="0" w:line="240" w:lineRule="auto"/>
        <w:jc w:val="both"/>
        <w:rPr>
          <w:rFonts w:ascii="Verdana" w:hAnsi="Verdana" w:cs="Arial"/>
          <w:color w:val="000000" w:themeColor="text1"/>
          <w:sz w:val="20"/>
          <w:szCs w:val="20"/>
          <w:lang w:val="es-ES"/>
        </w:rPr>
      </w:pPr>
      <w:r w:rsidRPr="2DF9937D" w:rsidR="00950D97">
        <w:rPr>
          <w:rFonts w:ascii="Verdana" w:hAnsi="Verdana" w:cs="Arial"/>
          <w:color w:val="000000" w:themeColor="text1" w:themeTint="FF" w:themeShade="FF"/>
          <w:sz w:val="20"/>
          <w:szCs w:val="20"/>
          <w:lang w:val="es-ES"/>
        </w:rPr>
        <w:t>Sin embargo, la libertad de configuración reglamentaria de las entidades estatales, expresada en el manual de contratación, no es absoluta, ya que, a pesar de que están facultadas para regular ciertos temas relacionados con la actividad contractual, deben hacerlo respetando la reserva legal de la que gozan ciertas materias.</w:t>
      </w:r>
      <w:r w:rsidRPr="2DF9937D" w:rsidR="00950D97">
        <w:rPr>
          <w:rFonts w:ascii="Verdana" w:hAnsi="Verdana" w:cs="Arial"/>
          <w:color w:val="000000" w:themeColor="text1" w:themeTint="FF" w:themeShade="FF"/>
          <w:sz w:val="20"/>
          <w:szCs w:val="20"/>
          <w:lang w:val="es-ES"/>
        </w:rPr>
        <w:t xml:space="preserve"> En tal sentido, asuntos como: i) los requisitos de existencia y validez del contrato, </w:t>
      </w:r>
      <w:r w:rsidRPr="2DF9937D" w:rsidR="00950D97">
        <w:rPr>
          <w:rFonts w:ascii="Verdana" w:hAnsi="Verdana" w:cs="Arial"/>
          <w:color w:val="000000" w:themeColor="text1" w:themeTint="FF" w:themeShade="FF"/>
          <w:sz w:val="20"/>
          <w:szCs w:val="20"/>
          <w:lang w:val="es-ES"/>
        </w:rPr>
        <w:t>ii</w:t>
      </w:r>
      <w:r w:rsidRPr="2DF9937D" w:rsidR="00950D97">
        <w:rPr>
          <w:rFonts w:ascii="Verdana" w:hAnsi="Verdana" w:cs="Arial"/>
          <w:color w:val="000000" w:themeColor="text1" w:themeTint="FF" w:themeShade="FF"/>
          <w:sz w:val="20"/>
          <w:szCs w:val="20"/>
          <w:lang w:val="es-ES"/>
        </w:rPr>
        <w:t xml:space="preserve">) sanciones, sin perjuicio de las que pueden pactar de acuerdo con las normas civiles y comerciales, </w:t>
      </w:r>
      <w:r w:rsidRPr="2DF9937D" w:rsidR="00950D97">
        <w:rPr>
          <w:rFonts w:ascii="Verdana" w:hAnsi="Verdana" w:cs="Arial"/>
          <w:color w:val="000000" w:themeColor="text1" w:themeTint="FF" w:themeShade="FF"/>
          <w:sz w:val="20"/>
          <w:szCs w:val="20"/>
          <w:lang w:val="es-ES"/>
        </w:rPr>
        <w:t>iii</w:t>
      </w:r>
      <w:r w:rsidRPr="2DF9937D" w:rsidR="00950D97">
        <w:rPr>
          <w:rFonts w:ascii="Verdana" w:hAnsi="Verdana" w:cs="Arial"/>
          <w:color w:val="000000" w:themeColor="text1" w:themeTint="FF" w:themeShade="FF"/>
          <w:sz w:val="20"/>
          <w:szCs w:val="20"/>
          <w:lang w:val="es-ES"/>
        </w:rPr>
        <w:t xml:space="preserve">) procedimientos para su imposición, </w:t>
      </w:r>
      <w:r w:rsidRPr="2DF9937D" w:rsidR="00950D97">
        <w:rPr>
          <w:rFonts w:ascii="Verdana" w:hAnsi="Verdana" w:cs="Arial"/>
          <w:color w:val="000000" w:themeColor="text1" w:themeTint="FF" w:themeShade="FF"/>
          <w:sz w:val="20"/>
          <w:szCs w:val="20"/>
          <w:lang w:val="es-ES"/>
        </w:rPr>
        <w:t>iv</w:t>
      </w:r>
      <w:r w:rsidRPr="2DF9937D" w:rsidR="00950D97">
        <w:rPr>
          <w:rFonts w:ascii="Verdana" w:hAnsi="Verdana" w:cs="Arial"/>
          <w:color w:val="000000" w:themeColor="text1" w:themeTint="FF" w:themeShade="FF"/>
          <w:sz w:val="20"/>
          <w:szCs w:val="20"/>
          <w:lang w:val="es-ES"/>
        </w:rPr>
        <w:t>) causales de inhabilidad e incompatibilidad, v) el principio de anualidad del gasto, y vi) restricciones al acceso a la administración de justicia para discutir las controversias contractuales, son, entre otros, temas cuya regulación está reservada al legislador y que, por tanto, las entidades exceptuadas no pueden reglamentar en su manual de contratación</w:t>
      </w:r>
      <w:r w:rsidRPr="2DF9937D" w:rsidR="00950D97">
        <w:rPr>
          <w:rFonts w:ascii="Verdana" w:hAnsi="Verdana" w:cs="Arial"/>
          <w:color w:val="000000" w:themeColor="text1" w:themeTint="FF" w:themeShade="FF"/>
          <w:sz w:val="20"/>
          <w:szCs w:val="20"/>
          <w:lang w:val="es-ES"/>
        </w:rPr>
        <w:t>.</w:t>
      </w:r>
    </w:p>
    <w:p w:rsidRPr="00107753" w:rsidR="00950D97" w:rsidP="00950D97" w:rsidRDefault="00950D97" w14:paraId="30240825" w14:textId="77777777">
      <w:pPr>
        <w:spacing w:after="0" w:line="240" w:lineRule="auto"/>
        <w:jc w:val="both"/>
        <w:rPr>
          <w:rFonts w:ascii="Verdana" w:hAnsi="Verdana" w:eastAsia="Calibri" w:cs="Arial"/>
          <w:color w:val="000000" w:themeColor="text1"/>
          <w:sz w:val="20"/>
          <w:szCs w:val="20"/>
          <w:lang w:val="es-ES_tradnl"/>
        </w:rPr>
      </w:pPr>
    </w:p>
    <w:p w:rsidRPr="00107753" w:rsidR="00950D97" w:rsidP="00950D97" w:rsidRDefault="00950D97" w14:paraId="715932AE" w14:textId="77777777">
      <w:pPr>
        <w:spacing w:after="0" w:line="240" w:lineRule="auto"/>
        <w:jc w:val="both"/>
        <w:rPr>
          <w:rFonts w:ascii="Verdana" w:hAnsi="Verdana" w:eastAsia="Calibri" w:cs="Arial"/>
          <w:b/>
          <w:lang w:val="es-ES_tradnl" w:eastAsia="es-ES_tradnl"/>
        </w:rPr>
      </w:pPr>
      <w:r w:rsidRPr="00107753">
        <w:rPr>
          <w:rFonts w:ascii="Verdana" w:hAnsi="Verdana" w:eastAsia="Calibri" w:cs="Arial"/>
          <w:b/>
          <w:lang w:val="es-ES_tradnl" w:eastAsia="es-ES_tradnl"/>
        </w:rPr>
        <w:t>PUBLICIDAD – SECOP – Fundamento Normativo – Ley 1712 de 2014 –</w:t>
      </w:r>
      <w:r w:rsidRPr="00107753">
        <w:rPr>
          <w:rFonts w:ascii="Verdana" w:hAnsi="Verdana" w:eastAsia="Calibri" w:cs="Arial"/>
          <w:b/>
          <w:lang w:val="es-ES_tradnl"/>
        </w:rPr>
        <w:t xml:space="preserve"> Decreto 1081 de 2015</w:t>
      </w:r>
      <w:r w:rsidRPr="00107753">
        <w:rPr>
          <w:rFonts w:ascii="Verdana" w:hAnsi="Verdana" w:eastAsia="Calibri" w:cs="Arial"/>
          <w:b/>
          <w:lang w:val="es-ES_tradnl" w:eastAsia="es-ES_tradnl"/>
        </w:rPr>
        <w:t xml:space="preserve"> </w:t>
      </w:r>
    </w:p>
    <w:p w:rsidRPr="00107753" w:rsidR="00950D97" w:rsidP="00950D97" w:rsidRDefault="00950D97" w14:paraId="05FA22BE" w14:textId="77777777">
      <w:pPr>
        <w:spacing w:after="0" w:line="240" w:lineRule="auto"/>
        <w:jc w:val="both"/>
        <w:rPr>
          <w:rFonts w:ascii="Verdana" w:hAnsi="Verdana" w:eastAsia="Calibri" w:cs="Arial"/>
          <w:b/>
          <w:sz w:val="20"/>
          <w:szCs w:val="20"/>
          <w:lang w:val="es-ES_tradnl"/>
        </w:rPr>
      </w:pPr>
    </w:p>
    <w:p w:rsidR="00950D97" w:rsidP="2DF9937D" w:rsidRDefault="00950D97" w14:paraId="68138B4B" w14:textId="77777777" w14:noSpellErr="1">
      <w:pPr>
        <w:spacing w:after="0" w:line="240" w:lineRule="auto"/>
        <w:jc w:val="both"/>
        <w:rPr>
          <w:rFonts w:ascii="Verdana" w:hAnsi="Verdana" w:eastAsia="Calibri" w:cs="Arial"/>
          <w:sz w:val="20"/>
          <w:szCs w:val="20"/>
          <w:lang w:val="es-ES"/>
        </w:rPr>
      </w:pPr>
      <w:r w:rsidRPr="2DF9937D" w:rsidR="00950D97">
        <w:rPr>
          <w:rFonts w:ascii="Verdana" w:hAnsi="Verdana" w:eastAsia="Calibri" w:cs="Arial"/>
          <w:sz w:val="20"/>
          <w:szCs w:val="20"/>
          <w:lang w:val="es-ES"/>
        </w:rPr>
        <w:t xml:space="preserve">De otra parte, la Ley 1712 de 2014, por medio de la cual se regula la transparencia el derecho de acceso a la información pública nacional y se dictan otras disposiciones, identifica como principios que orientan el derecho de acceso a la información pública el de máxima publicidad y el de transparencia en la información. De acuerdo con el primero, </w:t>
      </w:r>
      <w:r w:rsidRPr="2DF9937D" w:rsidR="00950D97">
        <w:rPr>
          <w:rFonts w:ascii="Verdana" w:hAnsi="Verdana" w:eastAsia="Calibri" w:cs="Arial"/>
          <w:sz w:val="20"/>
          <w:szCs w:val="20"/>
          <w:lang w:val="es-ES"/>
        </w:rPr>
        <w:t xml:space="preserve">toda información en posesión, bajo control o custodia de un sujeto obligado es pública y no podrá ser reservada o limitada sino por disposición constitucional o legal. </w:t>
      </w:r>
      <w:r w:rsidRPr="2DF9937D" w:rsidR="00950D97">
        <w:rPr>
          <w:rFonts w:ascii="Verdana" w:hAnsi="Verdana" w:eastAsia="Calibri" w:cs="Arial"/>
          <w:sz w:val="20"/>
          <w:szCs w:val="20"/>
          <w:lang w:val="es-ES"/>
        </w:rPr>
        <w:t>Por su parte, el segundo alude al deber de los sujetos de proporcionar y facilitar el acceso a la misma en los términos más amplios posibles, y a través de los medios y procedimientos que establezca la ley.</w:t>
      </w:r>
      <w:r w:rsidRPr="2DF9937D" w:rsidR="00950D97">
        <w:rPr>
          <w:rFonts w:ascii="Verdana" w:hAnsi="Verdana" w:eastAsia="Calibri" w:cs="Arial"/>
          <w:sz w:val="20"/>
          <w:szCs w:val="20"/>
          <w:lang w:val="es-ES"/>
        </w:rPr>
        <w:t xml:space="preserve">  La ley citada establece, en el literal e) del artículo 9, que los sujetos obligados, que son todas las entidades públicas, deben publicar la información relativa a su contratación. Esta obligación fue en principio desarrollada por el Decreto 103 de 2015, hoy compilado en el Decreto Único Reglamentario 1081 de 2015, el cual dispuso que la publicación de la información contractual de los sujetos obligados, que contratan con cargo a recursos públicos, debe hacerse en el Sistema Electrónico de Contratación Pública –SECOP– .Asimismo, de acuerdo con el literal g) del artículo 11 de la misma Ley, los destinatarios de la ley de transparencia deben garantizar la publicidad de “sus procedimientos, lineamientos, políticas en materia de adquisiciones y compras, así como todos los datos de adjudicación y ejecución de contratos, incluidos concursos y licitaciones”, y esta información también debe estar en el SECOP conforme a lo explicado en el párrafo precedente. El derecho de acceso a la información pública o de interés público permite a toda persona, sin necesidad de acreditar calidad, interés o condición particular, conocer la existencia de información pública, acceder a la misma y difundirla o publicarla, según su interés.</w:t>
      </w:r>
    </w:p>
    <w:p w:rsidRPr="00107753" w:rsidR="00950D97" w:rsidP="00950D97" w:rsidRDefault="00950D97" w14:paraId="50D3A5E5" w14:textId="77777777">
      <w:pPr>
        <w:spacing w:after="0" w:line="240" w:lineRule="auto"/>
        <w:jc w:val="both"/>
        <w:rPr>
          <w:rFonts w:ascii="Verdana" w:hAnsi="Verdana" w:eastAsia="Calibri" w:cs="Arial"/>
          <w:bCs/>
          <w:sz w:val="20"/>
          <w:szCs w:val="20"/>
          <w:lang w:val="es-ES_tradnl"/>
        </w:rPr>
      </w:pPr>
    </w:p>
    <w:p w:rsidRPr="00107753" w:rsidR="00950D97" w:rsidP="00950D97" w:rsidRDefault="00950D97" w14:paraId="62902060" w14:textId="77777777">
      <w:pPr>
        <w:spacing w:after="0" w:line="240" w:lineRule="auto"/>
        <w:jc w:val="both"/>
        <w:rPr>
          <w:rFonts w:ascii="Verdana" w:hAnsi="Verdana" w:eastAsia="Calibri" w:cs="Arial"/>
          <w:b/>
          <w:lang w:val="es-ES_tradnl" w:eastAsia="es-ES_tradnl"/>
        </w:rPr>
      </w:pPr>
      <w:r w:rsidRPr="00107753">
        <w:rPr>
          <w:rFonts w:ascii="Verdana" w:hAnsi="Verdana" w:eastAsia="Calibri" w:cs="Arial"/>
          <w:b/>
          <w:lang w:val="es-ES_tradnl" w:eastAsia="es-ES_tradnl"/>
        </w:rPr>
        <w:t xml:space="preserve">PUBLICIDAD – SECOP – Fundamento Normativo – </w:t>
      </w:r>
      <w:r w:rsidRPr="00107753">
        <w:rPr>
          <w:rFonts w:ascii="Verdana" w:hAnsi="Verdana" w:eastAsia="Calibri" w:cs="Arial"/>
          <w:b/>
          <w:lang w:val="es-ES_tradnl"/>
        </w:rPr>
        <w:t xml:space="preserve">Ley 1150 de 2007 </w:t>
      </w:r>
      <w:r>
        <w:rPr>
          <w:rFonts w:ascii="Verdana" w:hAnsi="Verdana" w:eastAsia="Calibri" w:cs="Arial"/>
          <w:b/>
          <w:lang w:val="es-ES_tradnl"/>
        </w:rPr>
        <w:t>–</w:t>
      </w:r>
      <w:r w:rsidRPr="00107753">
        <w:rPr>
          <w:rFonts w:ascii="Verdana" w:hAnsi="Verdana" w:eastAsia="Calibri" w:cs="Arial"/>
          <w:b/>
          <w:lang w:val="es-ES_tradnl"/>
        </w:rPr>
        <w:t xml:space="preserve"> </w:t>
      </w:r>
      <w:r w:rsidRPr="00107753">
        <w:rPr>
          <w:rFonts w:ascii="Verdana" w:hAnsi="Verdana" w:eastAsia="Calibri" w:cs="Arial"/>
          <w:b/>
          <w:lang w:val="es-ES_tradnl" w:eastAsia="es-ES_tradnl"/>
        </w:rPr>
        <w:t xml:space="preserve">Ley 2195 de 2022 </w:t>
      </w:r>
    </w:p>
    <w:p w:rsidRPr="00107753" w:rsidR="00950D97" w:rsidP="00950D97" w:rsidRDefault="00950D97" w14:paraId="4E36E914" w14:textId="77777777">
      <w:pPr>
        <w:spacing w:after="0" w:line="240" w:lineRule="auto"/>
        <w:jc w:val="both"/>
        <w:rPr>
          <w:rFonts w:ascii="Verdana" w:hAnsi="Verdana" w:eastAsia="Calibri" w:cs="Arial"/>
          <w:b/>
          <w:sz w:val="20"/>
          <w:szCs w:val="20"/>
          <w:lang w:val="es-ES_tradnl"/>
        </w:rPr>
      </w:pPr>
    </w:p>
    <w:p w:rsidRPr="00107753" w:rsidR="00950D97" w:rsidP="00950D97" w:rsidRDefault="00950D97" w14:paraId="2B9874D1" w14:textId="77777777">
      <w:pPr>
        <w:spacing w:after="0" w:line="240" w:lineRule="auto"/>
        <w:contextualSpacing/>
        <w:jc w:val="both"/>
        <w:rPr>
          <w:rFonts w:ascii="Verdana" w:hAnsi="Verdana" w:eastAsia="Calibri" w:cs="Arial"/>
          <w:sz w:val="20"/>
          <w:szCs w:val="20"/>
          <w:lang w:val="es-ES_tradnl" w:eastAsia="es-ES_tradnl"/>
        </w:rPr>
      </w:pPr>
      <w:r w:rsidRPr="00107753">
        <w:rPr>
          <w:rFonts w:ascii="Verdana" w:hAnsi="Verdana" w:cs="Arial"/>
          <w:sz w:val="20"/>
          <w:szCs w:val="20"/>
          <w:lang w:val="es-ES"/>
        </w:rPr>
        <w:t>Tratándose de los contratos de régimen exceptuado, el deber de publicidad y transparencia fue complementado</w:t>
      </w:r>
      <w:r w:rsidRPr="00107753">
        <w:rPr>
          <w:rFonts w:ascii="Verdana" w:hAnsi="Verdana" w:cs="Arial"/>
          <w:sz w:val="20"/>
          <w:szCs w:val="20"/>
        </w:rPr>
        <w:t xml:space="preserve"> con la Ley 2195 de 2022. </w:t>
      </w:r>
      <w:r w:rsidRPr="00107753">
        <w:rPr>
          <w:rFonts w:ascii="Verdana" w:hAnsi="Verdana" w:eastAsia="Calibri" w:cs="Arial"/>
          <w:sz w:val="20"/>
          <w:szCs w:val="20"/>
          <w:lang w:val="es-ES_tradnl" w:eastAsia="es-ES_tradnl"/>
        </w:rPr>
        <w:t>Según el artículo 1, esta Ley “</w:t>
      </w:r>
      <w:r w:rsidRPr="00107753">
        <w:rPr>
          <w:rFonts w:ascii="Verdana" w:hAnsi="Verdana" w:eastAsia="Times New Roman" w:cs="Arial"/>
          <w:sz w:val="20"/>
          <w:szCs w:val="20"/>
          <w:lang w:val="es-ES_tradnl" w:eastAsia="es-ES_tradnl"/>
        </w:rPr>
        <w:t xml:space="preserve">[…] </w:t>
      </w:r>
      <w:r w:rsidRPr="00107753">
        <w:rPr>
          <w:rFonts w:ascii="Verdana" w:hAnsi="Verdana" w:eastAsia="Calibri" w:cs="Arial"/>
          <w:sz w:val="20"/>
          <w:szCs w:val="20"/>
          <w:lang w:val="es-ES_tradnl" w:eastAsia="es-ES_tradnl"/>
        </w:rPr>
        <w:t xml:space="preserve">tiene por objeto adoptar disposiciones tendientes a prevenir los actos de corrupción, a reforzar la articulación y coordinación de las entidades del Estado y a recuperar los daños ocasionados por dichos actos con el fin de asegurar promover la cultura de la legalidad e integridad y recuperar la confianza ciudadana y el respeto por lo público”. </w:t>
      </w:r>
    </w:p>
    <w:p w:rsidRPr="00107753" w:rsidR="00950D97" w:rsidP="00950D97" w:rsidRDefault="00950D97" w14:paraId="12C63385" w14:textId="77777777">
      <w:pPr>
        <w:spacing w:after="0" w:line="240" w:lineRule="auto"/>
        <w:ind w:firstLine="709"/>
        <w:contextualSpacing/>
        <w:jc w:val="both"/>
        <w:rPr>
          <w:rFonts w:ascii="Verdana" w:hAnsi="Verdana" w:eastAsia="Calibri" w:cs="Arial"/>
          <w:sz w:val="20"/>
          <w:szCs w:val="20"/>
          <w:lang w:val="es-ES_tradnl" w:eastAsia="es-ES_tradnl"/>
        </w:rPr>
      </w:pPr>
    </w:p>
    <w:p w:rsidRPr="009B46EA" w:rsidR="00950D97" w:rsidP="00950D97" w:rsidRDefault="00950D97" w14:paraId="58B334A1" w14:textId="77777777">
      <w:pPr>
        <w:spacing w:after="0" w:line="240" w:lineRule="auto"/>
        <w:jc w:val="both"/>
        <w:rPr>
          <w:rFonts w:ascii="Verdana" w:hAnsi="Verdana" w:cs="Arial"/>
          <w:color w:val="000000" w:themeColor="text1"/>
          <w:sz w:val="20"/>
          <w:szCs w:val="20"/>
          <w:lang w:val="es-ES_tradnl"/>
        </w:rPr>
      </w:pPr>
      <w:r w:rsidRPr="00107753">
        <w:rPr>
          <w:rFonts w:ascii="Verdana" w:hAnsi="Verdana" w:eastAsia="Calibri" w:cs="Arial"/>
          <w:sz w:val="20"/>
          <w:szCs w:val="20"/>
          <w:lang w:val="es-ES_tradnl" w:eastAsia="es-ES_tradnl"/>
        </w:rPr>
        <w:t xml:space="preserve">Dentro del capítulo VIII, por el cual se expiden “Disposiciones en materia contractual para la moralización y la transparencia”, se ubica </w:t>
      </w:r>
      <w:r w:rsidRPr="00107753">
        <w:rPr>
          <w:rFonts w:ascii="Verdana" w:hAnsi="Verdana" w:cs="Arial"/>
          <w:sz w:val="20"/>
          <w:szCs w:val="20"/>
        </w:rPr>
        <w:t xml:space="preserve">el artículo 53. Este adiciona el artículo 13 de la Ley 1150 de 2007, y obliga a las entidades estatales que por disposición legal cuenten con un régimen contractual excepcional al del Estatuto General de Contratación de la Administración Pública a publicar los documentos relacionados con su actividad contractual en el Sistema Electrónico para la Contratación Pública –SECOP II– o la plataforma transaccional que haga sus veces. Cabe destacar que cuando la norma trascrita hace referencia a que el mencionado deber de publicidad debe cumplirse en el SECOP II o “la plataforma transaccional que haga sus veces”, esta expresión debe interpretarse bajo el entendido de que si bien el SECOP II es la plataforma oficial que actualmente se utiliza como mecanismo transaccional, en caso de que dicha plataforma sea remplazada por otra que tenga una denominación distinta, las entidades que tienen un régimen exceptuado deben continuar publicando la documentación de su actividad contractual en la nueva plataforma. En ese sentido, la locución “la plataforma que haga sus veces” no puede interpretarse como una autorización para que las entidades </w:t>
      </w:r>
      <w:r w:rsidRPr="00107753">
        <w:rPr>
          <w:rFonts w:ascii="Verdana" w:hAnsi="Verdana" w:cs="Arial"/>
          <w:sz w:val="20"/>
          <w:szCs w:val="20"/>
        </w:rPr>
        <w:t>obligadas en virtud del artículo 53 de la Ley 2195 de 2022 puedan emplear sus páginas web o sus propios portales electrónicos para cumplir con el deber de publicidad que les asiste. Con esto se logra que la ciudadanía pueda encontrar en un mismo sistema la gestión de la actividad contractual del Estado, garantizándose en mayor grado la transparencia y el acceso a la información y documentación pública.</w:t>
      </w:r>
    </w:p>
    <w:p w:rsidRPr="00107753" w:rsidR="00950D97" w:rsidP="00950D97" w:rsidRDefault="00950D97" w14:paraId="6DF6F0FB" w14:textId="77777777">
      <w:pPr>
        <w:spacing w:after="0" w:line="240" w:lineRule="auto"/>
        <w:jc w:val="both"/>
        <w:rPr>
          <w:rFonts w:ascii="Verdana" w:hAnsi="Verdana" w:eastAsia="Calibri" w:cs="Arial"/>
          <w:bCs/>
          <w:sz w:val="20"/>
          <w:szCs w:val="20"/>
          <w:lang w:val="es-ES_tradnl"/>
        </w:rPr>
      </w:pPr>
      <w:r w:rsidRPr="00FD1291">
        <w:rPr>
          <w:rFonts w:ascii="Verdana" w:hAnsi="Verdana" w:cs="Arial"/>
          <w:color w:val="000000" w:themeColor="text1"/>
          <w:sz w:val="20"/>
          <w:szCs w:val="20"/>
          <w:lang w:val="es-ES"/>
        </w:rPr>
        <w:t xml:space="preserve">  </w:t>
      </w:r>
      <w:r w:rsidRPr="00CC1214">
        <w:rPr>
          <w:rFonts w:ascii="Verdana" w:hAnsi="Verdana" w:eastAsia="Calibri" w:cs="Arial"/>
          <w:noProof/>
          <w:sz w:val="20"/>
          <w:szCs w:val="20"/>
          <w:lang w:val="es-ES_tradnl"/>
        </w:rPr>
        <w:t xml:space="preserve"> </w:t>
      </w:r>
      <w:r w:rsidRPr="009673B4">
        <w:rPr>
          <w:rFonts w:ascii="Verdana" w:hAnsi="Verdana" w:eastAsia="Calibri" w:cs="Arial"/>
          <w:noProof/>
          <w:sz w:val="20"/>
          <w:szCs w:val="20"/>
          <w:lang w:val="es-ES_tradnl"/>
        </w:rPr>
        <w:t xml:space="preserve">  </w:t>
      </w:r>
      <w:r w:rsidRPr="00782519">
        <w:rPr>
          <w:rFonts w:ascii="Verdana" w:hAnsi="Verdana" w:eastAsia="Calibri" w:cs="Arial"/>
          <w:noProof/>
          <w:sz w:val="20"/>
          <w:szCs w:val="20"/>
          <w:lang w:val="es-ES_tradnl"/>
        </w:rPr>
        <w:t xml:space="preserve"> </w:t>
      </w:r>
    </w:p>
    <w:p w:rsidRPr="00107753" w:rsidR="00950D97" w:rsidP="00950D97" w:rsidRDefault="00950D97" w14:paraId="3587CDFC" w14:textId="77777777">
      <w:pPr>
        <w:spacing w:after="0" w:line="240" w:lineRule="auto"/>
        <w:jc w:val="both"/>
        <w:rPr>
          <w:rFonts w:ascii="Verdana" w:hAnsi="Verdana" w:eastAsia="Calibri" w:cs="Arial"/>
          <w:b/>
          <w:lang w:val="es-ES_tradnl" w:eastAsia="es-ES_tradnl"/>
        </w:rPr>
      </w:pPr>
      <w:r>
        <w:rPr>
          <w:rFonts w:ascii="Verdana" w:hAnsi="Verdana" w:eastAsia="Calibri" w:cs="Arial"/>
          <w:b/>
          <w:lang w:val="es-ES_tradnl" w:eastAsia="es-ES_tradnl"/>
        </w:rPr>
        <w:t>CONTRATOS DE RÉGIMEN ESPECIAL</w:t>
      </w:r>
      <w:r w:rsidRPr="00107753">
        <w:rPr>
          <w:rFonts w:ascii="Verdana" w:hAnsi="Verdana" w:eastAsia="Calibri" w:cs="Arial"/>
          <w:b/>
          <w:lang w:val="es-ES_tradnl" w:eastAsia="es-ES_tradnl"/>
        </w:rPr>
        <w:t xml:space="preserve"> – </w:t>
      </w:r>
      <w:r>
        <w:rPr>
          <w:rFonts w:ascii="Verdana" w:hAnsi="Verdana" w:eastAsia="Calibri" w:cs="Arial"/>
          <w:b/>
          <w:lang w:val="es-ES_tradnl" w:eastAsia="es-ES_tradnl"/>
        </w:rPr>
        <w:t>Perfeccionamiento</w:t>
      </w:r>
      <w:r w:rsidRPr="00107753">
        <w:rPr>
          <w:rFonts w:ascii="Verdana" w:hAnsi="Verdana" w:eastAsia="Calibri" w:cs="Arial"/>
          <w:b/>
          <w:lang w:val="es-ES_tradnl" w:eastAsia="es-ES_tradnl"/>
        </w:rPr>
        <w:t xml:space="preserve"> – </w:t>
      </w:r>
      <w:r>
        <w:rPr>
          <w:rFonts w:ascii="Verdana" w:hAnsi="Verdana" w:eastAsia="Calibri" w:cs="Arial"/>
          <w:b/>
          <w:lang w:val="es-ES_tradnl"/>
        </w:rPr>
        <w:t>Consentimiento</w:t>
      </w:r>
      <w:r w:rsidRPr="00107753">
        <w:rPr>
          <w:rFonts w:ascii="Verdana" w:hAnsi="Verdana" w:eastAsia="Calibri" w:cs="Arial"/>
          <w:b/>
          <w:lang w:val="es-ES_tradnl"/>
        </w:rPr>
        <w:t xml:space="preserve"> </w:t>
      </w:r>
      <w:r>
        <w:rPr>
          <w:rFonts w:ascii="Verdana" w:hAnsi="Verdana" w:eastAsia="Calibri" w:cs="Arial"/>
          <w:b/>
          <w:lang w:val="es-ES_tradnl"/>
        </w:rPr>
        <w:t>–</w:t>
      </w:r>
      <w:r w:rsidRPr="00107753">
        <w:rPr>
          <w:rFonts w:ascii="Verdana" w:hAnsi="Verdana" w:eastAsia="Calibri" w:cs="Arial"/>
          <w:b/>
          <w:lang w:val="es-ES_tradnl"/>
        </w:rPr>
        <w:t xml:space="preserve"> </w:t>
      </w:r>
      <w:r>
        <w:rPr>
          <w:rFonts w:ascii="Verdana" w:hAnsi="Verdana" w:eastAsia="Calibri" w:cs="Arial"/>
          <w:b/>
          <w:lang w:val="es-ES_tradnl" w:eastAsia="es-ES_tradnl"/>
        </w:rPr>
        <w:t>Regla general – Solemnidad probatoria</w:t>
      </w:r>
      <w:r w:rsidRPr="00107753">
        <w:rPr>
          <w:rFonts w:ascii="Verdana" w:hAnsi="Verdana" w:eastAsia="Calibri" w:cs="Arial"/>
          <w:b/>
          <w:lang w:val="es-ES_tradnl" w:eastAsia="es-ES_tradnl"/>
        </w:rPr>
        <w:t xml:space="preserve"> </w:t>
      </w:r>
    </w:p>
    <w:p w:rsidRPr="00107753" w:rsidR="00950D97" w:rsidP="00950D97" w:rsidRDefault="00950D97" w14:paraId="35F61FAE" w14:textId="77777777">
      <w:pPr>
        <w:spacing w:after="0" w:line="240" w:lineRule="auto"/>
        <w:jc w:val="both"/>
        <w:rPr>
          <w:rFonts w:ascii="Verdana" w:hAnsi="Verdana" w:eastAsia="Calibri" w:cs="Arial"/>
          <w:b/>
          <w:sz w:val="20"/>
          <w:szCs w:val="20"/>
          <w:lang w:val="es-ES_tradnl"/>
        </w:rPr>
      </w:pPr>
    </w:p>
    <w:p w:rsidR="00950D97" w:rsidP="00950D97" w:rsidRDefault="00950D97" w14:paraId="3E2A159A" w14:textId="77777777">
      <w:pPr>
        <w:spacing w:after="0" w:line="240" w:lineRule="auto"/>
        <w:contextualSpacing/>
        <w:jc w:val="both"/>
        <w:rPr>
          <w:rFonts w:ascii="Verdana" w:hAnsi="Verdana" w:cs="Arial"/>
          <w:bCs/>
          <w:sz w:val="20"/>
          <w:szCs w:val="20"/>
          <w:lang w:val="es-ES_tradnl"/>
        </w:rPr>
      </w:pPr>
      <w:r w:rsidRPr="00DF6ECB">
        <w:rPr>
          <w:rFonts w:ascii="Verdana" w:hAnsi="Verdana" w:cs="Arial"/>
          <w:bCs/>
          <w:sz w:val="20"/>
          <w:szCs w:val="20"/>
          <w:lang w:val="es-ES_tradnl"/>
        </w:rPr>
        <w:t xml:space="preserve">En los regímenes especiales, por regla general, los contratos se perfeccionan con la aceptación de la oferta –artículos 845, 853 y 854 del Código de Comercio–. Asimismo, el artículo 860 </w:t>
      </w:r>
      <w:r w:rsidRPr="00DF6ECB">
        <w:rPr>
          <w:rFonts w:ascii="Verdana" w:hAnsi="Verdana" w:cs="Arial"/>
          <w:bCs/>
          <w:i/>
          <w:iCs/>
          <w:sz w:val="20"/>
          <w:szCs w:val="20"/>
          <w:lang w:val="es-ES_tradnl"/>
        </w:rPr>
        <w:t xml:space="preserve">ibidem </w:t>
      </w:r>
      <w:r w:rsidRPr="00DF6ECB">
        <w:rPr>
          <w:rFonts w:ascii="Verdana" w:hAnsi="Verdana" w:cs="Arial"/>
          <w:bCs/>
          <w:sz w:val="20"/>
          <w:szCs w:val="20"/>
          <w:lang w:val="es-ES_tradnl"/>
        </w:rPr>
        <w:t>dispone que “En todo género de licitaciones, públicas o privadas, el pliego de cargos constituye una oferta de contrato y cada postura implica la celebración de un contrato condicionado a que no haya postura mejor. Hecha la adjudicación al mejor postor, se desecharán las demás”. Luego, salvo que el contrato sea real o solemne, el solo consenso obliga a las partes en los términos del artículo 1500 del Código Civil. Sin embargo, las partes pueden acordar la suscripción de minutas contractuales después de la aceptación de la propuesta. Aunque el contrato se encuentre perfeccionado, dicha formalidad solo tiene carácter probatorio.</w:t>
      </w:r>
    </w:p>
    <w:p w:rsidRPr="00DF6ECB" w:rsidR="00950D97" w:rsidP="00950D97" w:rsidRDefault="00950D97" w14:paraId="6F8B820B" w14:textId="77777777">
      <w:pPr>
        <w:spacing w:after="0" w:line="240" w:lineRule="auto"/>
        <w:contextualSpacing/>
        <w:jc w:val="both"/>
        <w:rPr>
          <w:rFonts w:ascii="Verdana" w:hAnsi="Verdana" w:cs="Arial"/>
          <w:bCs/>
          <w:sz w:val="20"/>
          <w:szCs w:val="20"/>
          <w:lang w:val="es-ES_tradnl"/>
        </w:rPr>
      </w:pPr>
    </w:p>
    <w:p w:rsidR="00950D97" w:rsidP="00950D97" w:rsidRDefault="00950D97" w14:paraId="65CB7C22" w14:textId="5608DCAD">
      <w:pPr>
        <w:spacing w:after="0" w:line="240" w:lineRule="auto"/>
        <w:jc w:val="both"/>
        <w:rPr>
          <w:rFonts w:ascii="Verdana" w:hAnsi="Verdana" w:eastAsia="Geomanist Light" w:cs="Arial"/>
          <w:color w:val="000000" w:themeColor="text1"/>
          <w:lang w:val="es-MX"/>
        </w:rPr>
      </w:pPr>
      <w:r w:rsidRPr="00DF6ECB">
        <w:rPr>
          <w:rFonts w:ascii="Verdana" w:hAnsi="Verdana" w:cs="Arial"/>
          <w:bCs/>
          <w:sz w:val="20"/>
          <w:szCs w:val="20"/>
          <w:lang w:val="es-ES_tradnl"/>
        </w:rPr>
        <w:t xml:space="preserve">Si no se cumple con la suscripción de la minuta en el </w:t>
      </w:r>
      <w:r w:rsidRPr="00DF6ECB">
        <w:rPr>
          <w:rFonts w:ascii="Verdana" w:hAnsi="Verdana" w:cs="Arial"/>
          <w:bCs/>
          <w:i/>
          <w:iCs/>
          <w:sz w:val="20"/>
          <w:szCs w:val="20"/>
          <w:lang w:val="es-ES_tradnl"/>
        </w:rPr>
        <w:t>módulo de publicidad</w:t>
      </w:r>
      <w:r w:rsidRPr="00DF6ECB">
        <w:rPr>
          <w:rFonts w:ascii="Verdana" w:hAnsi="Verdana" w:cs="Arial"/>
          <w:bCs/>
          <w:sz w:val="20"/>
          <w:szCs w:val="20"/>
          <w:lang w:val="es-ES_tradnl"/>
        </w:rPr>
        <w:t xml:space="preserve">, es necesario dejar constancia de ello en el expediente contractual, teniendo en cuenta que si se emplea en el </w:t>
      </w:r>
      <w:r w:rsidRPr="00DF6ECB">
        <w:rPr>
          <w:rFonts w:ascii="Verdana" w:hAnsi="Verdana" w:cs="Arial"/>
          <w:bCs/>
          <w:i/>
          <w:iCs/>
          <w:sz w:val="20"/>
          <w:szCs w:val="20"/>
          <w:lang w:val="es-ES_tradnl"/>
        </w:rPr>
        <w:t>módulo transaccional</w:t>
      </w:r>
      <w:r w:rsidRPr="00DF6ECB">
        <w:rPr>
          <w:rFonts w:ascii="Verdana" w:hAnsi="Verdana" w:cs="Arial"/>
          <w:bCs/>
          <w:sz w:val="20"/>
          <w:szCs w:val="20"/>
          <w:lang w:val="es-ES_tradnl"/>
        </w:rPr>
        <w:t>, es necesaria la suscripción para que la plataforma entre en la fase de ejecución. En caso de que el proceso no finalice con la aceptación de la propuesta, basta con la publicación del acto que revoca la invitación o del que lo declara desierto, pues en estos casos no puede surgir ningún negocio jurídico. Finalmente, las minutas debe suscribirlas el representante legal a través de la cuenta del proveedor del SECOP II, en los plazos que disponga el cronograma del proceso de selección. Lo anterior, en la medida solo éste puede obligar a la persona jurídica, ya que “Lo que una persona ejecuta a nombre de otra, estando facultada por ella o por la ley para representarla, produce respecto del representado iguales efectos que si hubiese contratado él mismo” –artículo 1505 del Código Civil–.</w:t>
      </w:r>
    </w:p>
    <w:p w:rsidR="00950D97" w:rsidP="006B036C" w:rsidRDefault="00950D97" w14:paraId="49C66214" w14:textId="77777777">
      <w:pPr>
        <w:spacing w:after="0" w:line="240" w:lineRule="auto"/>
        <w:rPr>
          <w:rFonts w:ascii="Verdana" w:hAnsi="Verdana" w:eastAsia="Geomanist Light" w:cs="Arial"/>
          <w:color w:val="000000" w:themeColor="text1"/>
          <w:lang w:val="es-MX"/>
        </w:rPr>
      </w:pPr>
    </w:p>
    <w:p w:rsidR="00950D97" w:rsidP="006B036C" w:rsidRDefault="00950D97" w14:paraId="4CC671BA" w14:textId="77777777">
      <w:pPr>
        <w:spacing w:after="0" w:line="240" w:lineRule="auto"/>
        <w:rPr>
          <w:rFonts w:ascii="Verdana" w:hAnsi="Verdana" w:eastAsia="Geomanist Light" w:cs="Arial"/>
          <w:color w:val="000000" w:themeColor="text1"/>
          <w:lang w:val="es-MX"/>
        </w:rPr>
      </w:pPr>
    </w:p>
    <w:p w:rsidR="00950D97" w:rsidP="006B036C" w:rsidRDefault="00950D97" w14:paraId="6223D420" w14:textId="77777777">
      <w:pPr>
        <w:spacing w:after="0" w:line="240" w:lineRule="auto"/>
        <w:rPr>
          <w:rFonts w:ascii="Verdana" w:hAnsi="Verdana" w:eastAsia="Geomanist Light" w:cs="Arial"/>
          <w:color w:val="000000" w:themeColor="text1"/>
          <w:lang w:val="es-MX"/>
        </w:rPr>
      </w:pPr>
    </w:p>
    <w:p w:rsidR="00950D97" w:rsidP="006B036C" w:rsidRDefault="00950D97" w14:paraId="3EDE728E" w14:textId="77777777">
      <w:pPr>
        <w:spacing w:after="0" w:line="240" w:lineRule="auto"/>
        <w:rPr>
          <w:rFonts w:ascii="Verdana" w:hAnsi="Verdana" w:eastAsia="Geomanist Light" w:cs="Arial"/>
          <w:color w:val="000000" w:themeColor="text1"/>
          <w:lang w:val="es-MX"/>
        </w:rPr>
      </w:pPr>
    </w:p>
    <w:p w:rsidR="00950D97" w:rsidP="006B036C" w:rsidRDefault="00950D97" w14:paraId="2BD8EAAB" w14:textId="77777777">
      <w:pPr>
        <w:spacing w:after="0" w:line="240" w:lineRule="auto"/>
        <w:rPr>
          <w:rFonts w:ascii="Verdana" w:hAnsi="Verdana" w:eastAsia="Geomanist Light" w:cs="Arial"/>
          <w:color w:val="000000" w:themeColor="text1"/>
          <w:lang w:val="es-MX"/>
        </w:rPr>
      </w:pPr>
    </w:p>
    <w:p w:rsidR="00950D97" w:rsidP="006B036C" w:rsidRDefault="00950D97" w14:paraId="542275D6" w14:textId="77777777">
      <w:pPr>
        <w:spacing w:after="0" w:line="240" w:lineRule="auto"/>
        <w:rPr>
          <w:rFonts w:ascii="Verdana" w:hAnsi="Verdana" w:eastAsia="Geomanist Light" w:cs="Arial"/>
          <w:color w:val="000000" w:themeColor="text1"/>
          <w:lang w:val="es-MX"/>
        </w:rPr>
      </w:pPr>
    </w:p>
    <w:p w:rsidR="00950D97" w:rsidP="006B036C" w:rsidRDefault="00950D97" w14:paraId="6E5B3218" w14:textId="77777777">
      <w:pPr>
        <w:spacing w:after="0" w:line="240" w:lineRule="auto"/>
        <w:rPr>
          <w:rFonts w:ascii="Verdana" w:hAnsi="Verdana" w:eastAsia="Geomanist Light" w:cs="Arial"/>
          <w:color w:val="000000" w:themeColor="text1"/>
          <w:lang w:val="es-MX"/>
        </w:rPr>
      </w:pPr>
    </w:p>
    <w:p w:rsidR="00950D97" w:rsidP="006B036C" w:rsidRDefault="00950D97" w14:paraId="2B8E490A" w14:textId="77777777">
      <w:pPr>
        <w:spacing w:after="0" w:line="240" w:lineRule="auto"/>
        <w:rPr>
          <w:rFonts w:ascii="Verdana" w:hAnsi="Verdana" w:eastAsia="Geomanist Light" w:cs="Arial"/>
          <w:color w:val="000000" w:themeColor="text1"/>
          <w:lang w:val="es-MX"/>
        </w:rPr>
      </w:pPr>
    </w:p>
    <w:p w:rsidR="00950D97" w:rsidP="006B036C" w:rsidRDefault="00950D97" w14:paraId="429862A0" w14:textId="77777777">
      <w:pPr>
        <w:spacing w:after="0" w:line="240" w:lineRule="auto"/>
        <w:rPr>
          <w:rFonts w:ascii="Verdana" w:hAnsi="Verdana" w:eastAsia="Geomanist Light" w:cs="Arial"/>
          <w:color w:val="000000" w:themeColor="text1"/>
          <w:lang w:val="es-MX"/>
        </w:rPr>
      </w:pPr>
    </w:p>
    <w:p w:rsidR="00950D97" w:rsidP="006B036C" w:rsidRDefault="00950D97" w14:paraId="571FCBAF" w14:textId="77777777">
      <w:pPr>
        <w:spacing w:after="0" w:line="240" w:lineRule="auto"/>
        <w:rPr>
          <w:rFonts w:ascii="Verdana" w:hAnsi="Verdana" w:eastAsia="Geomanist Light" w:cs="Arial"/>
          <w:color w:val="000000" w:themeColor="text1"/>
          <w:lang w:val="es-MX"/>
        </w:rPr>
      </w:pPr>
    </w:p>
    <w:p w:rsidR="00950D97" w:rsidP="006B036C" w:rsidRDefault="00950D97" w14:paraId="1F2ECD8E" w14:textId="77777777">
      <w:pPr>
        <w:spacing w:after="0" w:line="240" w:lineRule="auto"/>
        <w:rPr>
          <w:rFonts w:ascii="Verdana" w:hAnsi="Verdana" w:eastAsia="Geomanist Light" w:cs="Arial"/>
          <w:color w:val="000000" w:themeColor="text1"/>
          <w:lang w:val="es-MX"/>
        </w:rPr>
      </w:pPr>
    </w:p>
    <w:p w:rsidR="00950D97" w:rsidP="006B036C" w:rsidRDefault="00950D97" w14:paraId="0130F3EA" w14:textId="77777777">
      <w:pPr>
        <w:spacing w:after="0" w:line="240" w:lineRule="auto"/>
        <w:rPr>
          <w:rFonts w:ascii="Verdana" w:hAnsi="Verdana" w:eastAsia="Geomanist Light" w:cs="Arial"/>
          <w:color w:val="000000" w:themeColor="text1"/>
          <w:lang w:val="es-MX"/>
        </w:rPr>
      </w:pPr>
    </w:p>
    <w:p w:rsidRPr="00593A5F" w:rsidR="006B036C" w:rsidP="006B036C" w:rsidRDefault="006B036C" w14:paraId="414B917B" w14:textId="61908AFD">
      <w:pPr>
        <w:spacing w:after="0" w:line="240" w:lineRule="auto"/>
        <w:rPr>
          <w:rFonts w:ascii="Verdana" w:hAnsi="Verdana" w:eastAsia="Geomanist Light" w:cs="Arial"/>
          <w:color w:val="201F1E"/>
          <w:lang w:val="es-MX"/>
        </w:rPr>
      </w:pPr>
      <w:r w:rsidRPr="00593A5F">
        <w:rPr>
          <w:rFonts w:ascii="Verdana" w:hAnsi="Verdana" w:eastAsia="Geomanist Light" w:cs="Arial"/>
          <w:color w:val="000000" w:themeColor="text1"/>
          <w:lang w:val="es-MX"/>
        </w:rPr>
        <w:t>Bogotá D.C., </w:t>
      </w:r>
      <w:r w:rsidR="00633030">
        <w:rPr>
          <w:rFonts w:ascii="Verdana" w:hAnsi="Verdana" w:eastAsia="Geomanist Light" w:cs="Arial"/>
          <w:color w:val="000000" w:themeColor="text1"/>
          <w:lang w:val="es-MX"/>
        </w:rPr>
        <w:t>13 de Noviembre de 2025</w:t>
      </w:r>
    </w:p>
    <w:p w:rsidR="006B036C" w:rsidP="006B036C" w:rsidRDefault="006B036C" w14:paraId="0B18FE4B" w14:textId="77777777">
      <w:pPr>
        <w:spacing w:after="0" w:line="240" w:lineRule="auto"/>
        <w:jc w:val="both"/>
        <w:rPr>
          <w:rFonts w:ascii="Verdana" w:hAnsi="Verdana" w:eastAsia="Calibri" w:cs="Arial"/>
          <w:color w:val="000000"/>
          <w:lang w:val="es-ES"/>
        </w:rPr>
      </w:pPr>
    </w:p>
    <w:p w:rsidR="00D447F4" w:rsidP="00D447F4" w:rsidRDefault="00D447F4" w14:paraId="4109B092" w14:textId="66DEF2E7">
      <w:pPr>
        <w:spacing w:after="0" w:line="240" w:lineRule="auto"/>
        <w:jc w:val="right"/>
        <w:rPr>
          <w:rFonts w:ascii="Verdana" w:hAnsi="Verdana" w:eastAsia="Calibri" w:cs="Arial"/>
          <w:color w:val="000000"/>
          <w:lang w:val="es-ES"/>
        </w:rPr>
      </w:pPr>
      <w:r w:rsidRPr="00D447F4">
        <w:rPr>
          <w:rFonts w:ascii="Verdana" w:hAnsi="Verdana" w:eastAsia="Calibri" w:cs="Arial"/>
          <w:noProof/>
          <w:color w:val="000000"/>
          <w:lang w:val="es-ES"/>
        </w:rPr>
        <w:drawing>
          <wp:inline distT="0" distB="0" distL="0" distR="0" wp14:anchorId="1219697A" wp14:editId="73F033D3">
            <wp:extent cx="2400300" cy="622300"/>
            <wp:effectExtent l="0" t="0" r="0" b="0"/>
            <wp:docPr id="125913426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9134269" name=""/>
                    <pic:cNvPicPr/>
                  </pic:nvPicPr>
                  <pic:blipFill>
                    <a:blip r:embed="rId10"/>
                    <a:stretch>
                      <a:fillRect/>
                    </a:stretch>
                  </pic:blipFill>
                  <pic:spPr>
                    <a:xfrm>
                      <a:off x="0" y="0"/>
                      <a:ext cx="2400300" cy="622300"/>
                    </a:xfrm>
                    <a:prstGeom prst="rect">
                      <a:avLst/>
                    </a:prstGeom>
                  </pic:spPr>
                </pic:pic>
              </a:graphicData>
            </a:graphic>
          </wp:inline>
        </w:drawing>
      </w:r>
    </w:p>
    <w:p w:rsidRPr="00593A5F" w:rsidR="006B036C" w:rsidP="006B036C" w:rsidRDefault="006B036C" w14:paraId="58E03838" w14:textId="77777777">
      <w:pPr>
        <w:spacing w:after="0" w:line="240" w:lineRule="auto"/>
        <w:jc w:val="both"/>
        <w:rPr>
          <w:rFonts w:ascii="Verdana" w:hAnsi="Verdana" w:eastAsia="Calibri" w:cs="Arial"/>
          <w:color w:val="000000"/>
          <w:lang w:val="es-ES"/>
        </w:rPr>
      </w:pPr>
    </w:p>
    <w:p w:rsidRPr="00B96799" w:rsidR="006B036C" w:rsidP="006B036C" w:rsidRDefault="006B036C" w14:paraId="2CD9A64B" w14:textId="77777777">
      <w:pPr>
        <w:spacing w:after="0" w:line="240" w:lineRule="auto"/>
        <w:jc w:val="both"/>
        <w:rPr>
          <w:rFonts w:ascii="Verdana" w:hAnsi="Verdana" w:eastAsia="Calibri" w:cs="Arial"/>
          <w:lang w:val="es-ES" w:eastAsia="es-ES"/>
        </w:rPr>
      </w:pPr>
      <w:r>
        <w:rPr>
          <w:rFonts w:ascii="Verdana" w:hAnsi="Verdana" w:eastAsia="Calibri" w:cs="Arial"/>
          <w:lang w:val="es-ES" w:eastAsia="es-ES"/>
        </w:rPr>
        <w:t>Señor</w:t>
      </w:r>
    </w:p>
    <w:p w:rsidRPr="0085423D" w:rsidR="006B036C" w:rsidP="006B036C" w:rsidRDefault="006B036C" w14:paraId="34CD5EF1" w14:textId="77777777">
      <w:pPr>
        <w:spacing w:after="0" w:line="240" w:lineRule="auto"/>
        <w:rPr>
          <w:rFonts w:ascii="Verdana" w:hAnsi="Verdana" w:eastAsia="Calibri" w:cs="Arial"/>
          <w:b/>
          <w:lang w:val="es-ES" w:eastAsia="es-ES"/>
        </w:rPr>
      </w:pPr>
      <w:r w:rsidRPr="50365B4C">
        <w:rPr>
          <w:rFonts w:ascii="Verdana" w:hAnsi="Verdana" w:eastAsia="Calibri" w:cs="Arial"/>
          <w:b/>
          <w:lang w:val="es-ES" w:eastAsia="es-ES"/>
        </w:rPr>
        <w:t xml:space="preserve">Diego Fernando Beltrán </w:t>
      </w:r>
      <w:proofErr w:type="spellStart"/>
      <w:r w:rsidRPr="50365B4C">
        <w:rPr>
          <w:rFonts w:ascii="Verdana" w:hAnsi="Verdana" w:eastAsia="Calibri" w:cs="Arial"/>
          <w:b/>
          <w:lang w:val="es-ES" w:eastAsia="es-ES"/>
        </w:rPr>
        <w:t>Laiton</w:t>
      </w:r>
      <w:proofErr w:type="spellEnd"/>
      <w:r w:rsidRPr="50365B4C">
        <w:rPr>
          <w:rFonts w:ascii="Verdana" w:hAnsi="Verdana" w:eastAsia="Calibri" w:cs="Arial"/>
          <w:b/>
          <w:lang w:val="es-ES" w:eastAsia="es-ES"/>
        </w:rPr>
        <w:t xml:space="preserve">  </w:t>
      </w:r>
    </w:p>
    <w:p w:rsidRPr="00655A5F" w:rsidR="006B036C" w:rsidP="006B036C" w:rsidRDefault="006B036C" w14:paraId="45C01945" w14:textId="77777777">
      <w:pPr>
        <w:spacing w:after="0" w:line="240" w:lineRule="auto"/>
        <w:rPr>
          <w:rFonts w:ascii="Verdana" w:hAnsi="Verdana" w:eastAsia="Calibri" w:cs="Arial"/>
          <w:lang w:val="es-ES" w:eastAsia="es-ES"/>
        </w:rPr>
      </w:pPr>
      <w:hyperlink w:history="1" r:id="rId11">
        <w:r w:rsidRPr="0098440C">
          <w:rPr>
            <w:rStyle w:val="Hipervnculo"/>
            <w:rFonts w:ascii="Verdana" w:hAnsi="Verdana"/>
          </w:rPr>
          <w:t>laitonbeltran98@gmail.com</w:t>
        </w:r>
      </w:hyperlink>
      <w:r>
        <w:rPr>
          <w:rFonts w:ascii="Verdana" w:hAnsi="Verdana"/>
        </w:rPr>
        <w:t xml:space="preserve"> </w:t>
      </w:r>
      <w:r w:rsidRPr="00655A5F">
        <w:rPr>
          <w:rFonts w:ascii="Verdana" w:hAnsi="Verdana"/>
        </w:rPr>
        <w:t xml:space="preserve">             </w:t>
      </w:r>
      <w:r w:rsidRPr="00655A5F">
        <w:rPr>
          <w:rFonts w:ascii="Verdana" w:hAnsi="Verdana" w:eastAsia="Calibri" w:cs="Arial"/>
          <w:lang w:val="es-ES" w:eastAsia="es-ES"/>
        </w:rPr>
        <w:t xml:space="preserve">    </w:t>
      </w:r>
    </w:p>
    <w:p w:rsidR="006B036C" w:rsidP="006B036C" w:rsidRDefault="006B036C" w14:paraId="75963E1C" w14:textId="77777777">
      <w:pPr>
        <w:spacing w:after="0" w:line="240" w:lineRule="auto"/>
        <w:rPr>
          <w:rFonts w:ascii="Verdana" w:hAnsi="Verdana" w:eastAsia="Calibri" w:cs="Arial"/>
          <w:lang w:val="es-ES" w:eastAsia="es-ES"/>
        </w:rPr>
      </w:pPr>
      <w:r>
        <w:rPr>
          <w:rFonts w:ascii="Verdana" w:hAnsi="Verdana" w:eastAsia="Geomanist Light" w:cs="Arial"/>
          <w:color w:val="000000" w:themeColor="text1"/>
          <w:lang w:val="es-MX"/>
        </w:rPr>
        <w:t>Moniquirá, Boyacá</w:t>
      </w:r>
      <w:r>
        <w:rPr>
          <w:rFonts w:ascii="Verdana" w:hAnsi="Verdana" w:eastAsia="Calibri" w:cs="Arial"/>
          <w:lang w:val="es-ES" w:eastAsia="es-ES"/>
        </w:rPr>
        <w:t xml:space="preserve"> </w:t>
      </w:r>
    </w:p>
    <w:p w:rsidRPr="00593A5F" w:rsidR="006B036C" w:rsidP="006B036C" w:rsidRDefault="006B036C" w14:paraId="1FD9B468" w14:textId="77777777">
      <w:pPr>
        <w:spacing w:after="0" w:line="240" w:lineRule="auto"/>
        <w:rPr>
          <w:rFonts w:ascii="Verdana" w:hAnsi="Verdana" w:eastAsia="Calibri" w:cs="Arial"/>
          <w:b/>
          <w:bCs/>
          <w:color w:val="000000"/>
          <w:lang w:val="es-ES_tradnl" w:eastAsia="es-ES_tradnl"/>
        </w:rPr>
      </w:pPr>
    </w:p>
    <w:p w:rsidRPr="00593A5F" w:rsidR="006B036C" w:rsidP="006B036C" w:rsidRDefault="006B036C" w14:paraId="7DEAB366" w14:textId="77777777">
      <w:pPr>
        <w:spacing w:after="0" w:line="240" w:lineRule="auto"/>
        <w:rPr>
          <w:rFonts w:ascii="Verdana" w:hAnsi="Verdana" w:eastAsia="Calibri" w:cs="Arial"/>
          <w:b/>
          <w:bCs/>
          <w:color w:val="000000"/>
          <w:lang w:val="es-ES_tradnl" w:eastAsia="es-ES_tradnl"/>
        </w:rPr>
      </w:pPr>
    </w:p>
    <w:tbl>
      <w:tblPr>
        <w:tblStyle w:val="Tablaconcuadrcula"/>
        <w:tblW w:w="878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2689"/>
        <w:gridCol w:w="6100"/>
      </w:tblGrid>
      <w:tr w:rsidRPr="00593A5F" w:rsidR="006B036C" w:rsidTr="003129F5" w14:paraId="16F5DE85" w14:textId="77777777">
        <w:trPr>
          <w:trHeight w:val="884"/>
        </w:trPr>
        <w:tc>
          <w:tcPr>
            <w:tcW w:w="2689" w:type="dxa"/>
          </w:tcPr>
          <w:p w:rsidRPr="00C00976" w:rsidR="006B036C" w:rsidP="003129F5" w:rsidRDefault="006B036C" w14:paraId="2FF1440C" w14:textId="77777777">
            <w:pPr>
              <w:jc w:val="both"/>
              <w:rPr>
                <w:rFonts w:ascii="Verdana" w:hAnsi="Verdana" w:eastAsia="Calibri" w:cs="Arial"/>
                <w:b/>
                <w:bCs/>
                <w:color w:val="7030A0"/>
                <w:lang w:val="es-ES_tradnl" w:eastAsia="es-ES_tradnl"/>
              </w:rPr>
            </w:pPr>
          </w:p>
        </w:tc>
        <w:tc>
          <w:tcPr>
            <w:tcW w:w="6100" w:type="dxa"/>
          </w:tcPr>
          <w:p w:rsidRPr="00C00976" w:rsidR="006B036C" w:rsidP="003129F5" w:rsidRDefault="006B036C" w14:paraId="55CC3ABA" w14:textId="787472F6">
            <w:pPr>
              <w:jc w:val="both"/>
              <w:rPr>
                <w:rFonts w:ascii="Verdana" w:hAnsi="Verdana" w:eastAsia="Calibri" w:cs="Arial"/>
                <w:b/>
                <w:bCs/>
                <w:color w:val="7030A0"/>
                <w:lang w:val="es-ES" w:eastAsia="es-ES"/>
              </w:rPr>
            </w:pPr>
            <w:r w:rsidRPr="008E6AD9">
              <w:rPr>
                <w:rFonts w:ascii="Verdana" w:hAnsi="Verdana" w:eastAsia="Calibri" w:cs="Arial"/>
                <w:b/>
                <w:bCs/>
                <w:lang w:val="es-ES" w:eastAsia="es-ES"/>
              </w:rPr>
              <w:t xml:space="preserve">Concepto C – </w:t>
            </w:r>
            <w:r w:rsidR="00977609">
              <w:rPr>
                <w:rFonts w:ascii="Verdana" w:hAnsi="Verdana" w:eastAsia="Calibri" w:cs="Arial"/>
                <w:b/>
                <w:bCs/>
                <w:lang w:val="es-ES" w:eastAsia="es-ES"/>
              </w:rPr>
              <w:t>1633</w:t>
            </w:r>
            <w:r>
              <w:rPr>
                <w:rFonts w:ascii="Verdana" w:hAnsi="Verdana" w:eastAsia="Calibri" w:cs="Arial"/>
                <w:b/>
                <w:bCs/>
                <w:lang w:val="es-ES" w:eastAsia="es-ES"/>
              </w:rPr>
              <w:t xml:space="preserve"> </w:t>
            </w:r>
            <w:r w:rsidRPr="008E6AD9">
              <w:rPr>
                <w:rFonts w:ascii="Verdana" w:hAnsi="Verdana" w:eastAsia="Calibri" w:cs="Arial"/>
                <w:b/>
                <w:bCs/>
                <w:lang w:val="es-ES" w:eastAsia="es-ES"/>
              </w:rPr>
              <w:t>de 202</w:t>
            </w:r>
            <w:r>
              <w:rPr>
                <w:rFonts w:ascii="Verdana" w:hAnsi="Verdana" w:eastAsia="Calibri" w:cs="Arial"/>
                <w:b/>
                <w:bCs/>
                <w:lang w:val="es-ES" w:eastAsia="es-ES"/>
              </w:rPr>
              <w:t>5</w:t>
            </w:r>
          </w:p>
        </w:tc>
      </w:tr>
      <w:tr w:rsidRPr="00593A5F" w:rsidR="006B036C" w:rsidTr="003129F5" w14:paraId="57AD2597" w14:textId="77777777">
        <w:trPr>
          <w:trHeight w:val="884"/>
        </w:trPr>
        <w:tc>
          <w:tcPr>
            <w:tcW w:w="2689" w:type="dxa"/>
          </w:tcPr>
          <w:p w:rsidRPr="00593A5F" w:rsidR="006B036C" w:rsidP="003129F5" w:rsidRDefault="006B036C" w14:paraId="71664BD6" w14:textId="77777777">
            <w:pPr>
              <w:jc w:val="both"/>
              <w:rPr>
                <w:rFonts w:ascii="Verdana" w:hAnsi="Verdana" w:eastAsia="Calibri" w:cs="Arial"/>
                <w:color w:val="000000"/>
                <w:lang w:val="es-ES_tradnl" w:eastAsia="es-ES_tradnl"/>
              </w:rPr>
            </w:pPr>
            <w:r w:rsidRPr="00593A5F">
              <w:rPr>
                <w:rFonts w:ascii="Verdana" w:hAnsi="Verdana" w:eastAsia="Calibri" w:cs="Arial"/>
                <w:b/>
                <w:color w:val="000000"/>
                <w:lang w:val="es-ES_tradnl" w:eastAsia="es-ES_tradnl"/>
              </w:rPr>
              <w:t>Temas:</w:t>
            </w:r>
            <w:r w:rsidRPr="00593A5F">
              <w:rPr>
                <w:rFonts w:ascii="Verdana" w:hAnsi="Verdana" w:eastAsia="Calibri" w:cs="Arial"/>
                <w:color w:val="000000"/>
                <w:lang w:val="es-ES_tradnl" w:eastAsia="es-ES_tradnl"/>
              </w:rPr>
              <w:t xml:space="preserve">                   </w:t>
            </w:r>
          </w:p>
        </w:tc>
        <w:tc>
          <w:tcPr>
            <w:tcW w:w="6100" w:type="dxa"/>
          </w:tcPr>
          <w:p w:rsidRPr="00A11406" w:rsidR="006B036C" w:rsidP="003129F5" w:rsidRDefault="006B036C" w14:paraId="7C78416E" w14:textId="77777777">
            <w:pPr>
              <w:spacing w:line="276" w:lineRule="auto"/>
              <w:jc w:val="both"/>
              <w:rPr>
                <w:rFonts w:ascii="Verdana" w:hAnsi="Verdana" w:eastAsia="Calibri" w:cs="Arial"/>
                <w:lang w:val="es-ES" w:eastAsia="es-ES"/>
              </w:rPr>
            </w:pPr>
            <w:r w:rsidRPr="00C353D9">
              <w:rPr>
                <w:rFonts w:ascii="Verdana" w:hAnsi="Verdana" w:eastAsia="Calibri" w:cs="Arial"/>
                <w:lang w:val="es-ES" w:eastAsia="es-ES"/>
              </w:rPr>
              <w:t>EGCAP – Ámbito de aplicación – Entidades estatales / ENTIDADES EXCEPTUADAS – Aplicación de normas de derecho público / CONTRATOS ESTATALES – Régimen especial – Obligaciones transversales – Manual de contratación – Límites /</w:t>
            </w:r>
            <w:r>
              <w:rPr>
                <w:rFonts w:ascii="Verdana" w:hAnsi="Verdana" w:eastAsia="Calibri" w:cs="Arial"/>
                <w:lang w:val="es-ES" w:eastAsia="es-ES"/>
              </w:rPr>
              <w:t xml:space="preserve"> </w:t>
            </w:r>
            <w:r w:rsidRPr="00FA383F">
              <w:rPr>
                <w:rFonts w:ascii="Verdana" w:hAnsi="Verdana" w:eastAsia="Calibri" w:cs="Arial"/>
                <w:lang w:val="es-ES" w:eastAsia="es-ES"/>
              </w:rPr>
              <w:t xml:space="preserve">PUBLICIDAD – SECOP – Fundamento Normativo – Ley 1712 de 2014 – Decreto 1081 de 2015 / PUBLICIDAD – SECOP – Fundamento Normativo – Ley 1150 de 2007 </w:t>
            </w:r>
            <w:r>
              <w:rPr>
                <w:rFonts w:ascii="Verdana" w:hAnsi="Verdana" w:eastAsia="Calibri" w:cs="Arial"/>
                <w:lang w:val="es-ES" w:eastAsia="es-ES"/>
              </w:rPr>
              <w:t>–</w:t>
            </w:r>
            <w:r w:rsidRPr="00FA383F">
              <w:rPr>
                <w:rFonts w:ascii="Verdana" w:hAnsi="Verdana" w:eastAsia="Calibri" w:cs="Arial"/>
                <w:lang w:val="es-ES" w:eastAsia="es-ES"/>
              </w:rPr>
              <w:t xml:space="preserve"> Ley 2195 de 2022</w:t>
            </w:r>
            <w:r>
              <w:rPr>
                <w:rFonts w:ascii="Verdana" w:hAnsi="Verdana" w:eastAsia="Calibri" w:cs="Arial"/>
                <w:lang w:val="es-ES" w:eastAsia="es-ES"/>
              </w:rPr>
              <w:t xml:space="preserve"> / </w:t>
            </w:r>
            <w:r w:rsidRPr="00DF6ECB">
              <w:rPr>
                <w:rFonts w:ascii="Verdana" w:hAnsi="Verdana" w:eastAsia="Calibri" w:cs="Arial"/>
                <w:lang w:val="es-ES" w:eastAsia="es-ES"/>
              </w:rPr>
              <w:t>CONTRATOS DE RÉGIMEN ESPECIAL</w:t>
            </w:r>
            <w:r>
              <w:rPr>
                <w:rFonts w:ascii="Verdana" w:hAnsi="Verdana" w:eastAsia="Calibri" w:cs="Arial"/>
                <w:lang w:val="es-ES" w:eastAsia="es-ES"/>
              </w:rPr>
              <w:t xml:space="preserve"> </w:t>
            </w:r>
            <w:r w:rsidRPr="00DF6ECB">
              <w:rPr>
                <w:rFonts w:ascii="Verdana" w:hAnsi="Verdana" w:eastAsia="Calibri" w:cs="Arial"/>
                <w:lang w:val="es-ES" w:eastAsia="es-ES"/>
              </w:rPr>
              <w:t>– Perfeccionamiento – Consentimiento – Regla general – Solemnidad probatoria</w:t>
            </w:r>
            <w:r w:rsidRPr="00D9782E">
              <w:rPr>
                <w:rFonts w:ascii="Verdana" w:hAnsi="Verdana" w:eastAsia="Calibri" w:cs="Arial"/>
                <w:lang w:val="es-ES" w:eastAsia="es-ES"/>
              </w:rPr>
              <w:t xml:space="preserve"> </w:t>
            </w:r>
            <w:r w:rsidRPr="00FD1291">
              <w:rPr>
                <w:rFonts w:ascii="Verdana" w:hAnsi="Verdana" w:eastAsia="Calibri" w:cs="Arial"/>
                <w:lang w:val="es-ES" w:eastAsia="es-ES"/>
              </w:rPr>
              <w:t xml:space="preserve"> </w:t>
            </w:r>
            <w:r w:rsidRPr="006A662D">
              <w:rPr>
                <w:rFonts w:ascii="Verdana" w:hAnsi="Verdana" w:eastAsia="Calibri" w:cs="Arial"/>
                <w:lang w:val="es-ES" w:eastAsia="es-ES"/>
              </w:rPr>
              <w:t xml:space="preserve"> </w:t>
            </w:r>
            <w:r w:rsidRPr="009673B4">
              <w:rPr>
                <w:rFonts w:ascii="Verdana" w:hAnsi="Verdana" w:eastAsia="Calibri" w:cs="Arial"/>
                <w:lang w:val="es-ES" w:eastAsia="es-ES"/>
              </w:rPr>
              <w:t xml:space="preserve">  </w:t>
            </w:r>
            <w:r w:rsidRPr="00B24DBE">
              <w:rPr>
                <w:rFonts w:ascii="Verdana" w:hAnsi="Verdana" w:eastAsia="Calibri" w:cs="Arial"/>
                <w:lang w:val="es-ES" w:eastAsia="es-ES"/>
              </w:rPr>
              <w:t xml:space="preserve"> </w:t>
            </w:r>
            <w:r w:rsidRPr="00BE364D">
              <w:rPr>
                <w:rFonts w:ascii="Verdana" w:hAnsi="Verdana" w:eastAsia="Calibri" w:cs="Arial"/>
                <w:lang w:val="es-ES" w:eastAsia="es-ES"/>
              </w:rPr>
              <w:t xml:space="preserve">  </w:t>
            </w:r>
            <w:r w:rsidRPr="00E23D97">
              <w:rPr>
                <w:rFonts w:ascii="Verdana" w:hAnsi="Verdana" w:eastAsia="Calibri" w:cs="Arial"/>
                <w:lang w:val="es-ES" w:eastAsia="es-ES"/>
              </w:rPr>
              <w:t xml:space="preserve"> </w:t>
            </w:r>
            <w:r w:rsidRPr="009E03E6">
              <w:rPr>
                <w:rFonts w:ascii="Verdana" w:hAnsi="Verdana" w:eastAsia="Calibri" w:cs="Arial"/>
                <w:lang w:val="es-ES" w:eastAsia="es-ES"/>
              </w:rPr>
              <w:t xml:space="preserve">  </w:t>
            </w:r>
            <w:r w:rsidRPr="006E6F30">
              <w:rPr>
                <w:rFonts w:ascii="Verdana" w:hAnsi="Verdana" w:eastAsia="Calibri" w:cs="Arial"/>
                <w:lang w:val="es-ES" w:eastAsia="es-ES"/>
              </w:rPr>
              <w:t xml:space="preserve"> </w:t>
            </w:r>
            <w:r w:rsidRPr="00FA3A97">
              <w:rPr>
                <w:rFonts w:ascii="Verdana" w:hAnsi="Verdana" w:eastAsia="Calibri" w:cs="Arial"/>
                <w:lang w:val="es-ES" w:eastAsia="es-ES"/>
              </w:rPr>
              <w:t xml:space="preserve">  </w:t>
            </w:r>
            <w:r w:rsidRPr="00BE364D">
              <w:rPr>
                <w:rFonts w:ascii="Verdana" w:hAnsi="Verdana" w:eastAsia="Calibri" w:cs="Arial"/>
                <w:lang w:val="es-ES" w:eastAsia="es-ES"/>
              </w:rPr>
              <w:t xml:space="preserve">  </w:t>
            </w:r>
            <w:r w:rsidRPr="00E23D97">
              <w:rPr>
                <w:rFonts w:ascii="Verdana" w:hAnsi="Verdana" w:eastAsia="Calibri" w:cs="Arial"/>
                <w:lang w:val="es-ES" w:eastAsia="es-ES"/>
              </w:rPr>
              <w:t xml:space="preserve"> </w:t>
            </w:r>
            <w:r w:rsidRPr="009E03E6">
              <w:rPr>
                <w:rFonts w:ascii="Verdana" w:hAnsi="Verdana" w:eastAsia="Calibri" w:cs="Arial"/>
                <w:lang w:val="es-ES" w:eastAsia="es-ES"/>
              </w:rPr>
              <w:t xml:space="preserve">  </w:t>
            </w:r>
            <w:r w:rsidRPr="006E6F30">
              <w:rPr>
                <w:rFonts w:ascii="Verdana" w:hAnsi="Verdana" w:eastAsia="Calibri" w:cs="Arial"/>
                <w:lang w:val="es-ES" w:eastAsia="es-ES"/>
              </w:rPr>
              <w:t xml:space="preserve"> </w:t>
            </w:r>
            <w:r w:rsidRPr="00FA3A97">
              <w:rPr>
                <w:rFonts w:ascii="Verdana" w:hAnsi="Verdana" w:eastAsia="Calibri" w:cs="Arial"/>
                <w:lang w:val="es-ES" w:eastAsia="es-ES"/>
              </w:rPr>
              <w:t xml:space="preserve">  </w:t>
            </w:r>
          </w:p>
          <w:p w:rsidRPr="00593A5F" w:rsidR="006B036C" w:rsidP="003129F5" w:rsidRDefault="006B036C" w14:paraId="2C73205C" w14:textId="77777777">
            <w:pPr>
              <w:spacing w:line="276" w:lineRule="auto"/>
              <w:jc w:val="both"/>
              <w:rPr>
                <w:rFonts w:ascii="Verdana" w:hAnsi="Verdana" w:eastAsia="Calibri" w:cs="Arial"/>
                <w:lang w:val="es-ES" w:eastAsia="es-ES"/>
              </w:rPr>
            </w:pPr>
            <w:r w:rsidRPr="00A11406">
              <w:rPr>
                <w:rFonts w:ascii="Verdana" w:hAnsi="Verdana" w:eastAsia="Calibri" w:cs="Arial"/>
                <w:lang w:val="es-ES" w:eastAsia="es-ES"/>
              </w:rPr>
              <w:t xml:space="preserve"> </w:t>
            </w:r>
            <w:r w:rsidRPr="00D1484F">
              <w:rPr>
                <w:rFonts w:ascii="Verdana" w:hAnsi="Verdana" w:eastAsia="Calibri" w:cs="Arial"/>
                <w:lang w:val="es-ES" w:eastAsia="es-ES"/>
              </w:rPr>
              <w:t xml:space="preserve"> </w:t>
            </w:r>
          </w:p>
        </w:tc>
      </w:tr>
      <w:tr w:rsidRPr="008E6AD9" w:rsidR="006B036C" w:rsidTr="003129F5" w14:paraId="6348D39D" w14:textId="77777777">
        <w:tc>
          <w:tcPr>
            <w:tcW w:w="2689" w:type="dxa"/>
          </w:tcPr>
          <w:p w:rsidRPr="008E6AD9" w:rsidR="006B036C" w:rsidP="003129F5" w:rsidRDefault="006B036C" w14:paraId="2887E63A" w14:textId="77777777">
            <w:pPr>
              <w:jc w:val="both"/>
              <w:rPr>
                <w:rFonts w:ascii="Verdana" w:hAnsi="Verdana" w:eastAsia="Calibri" w:cs="Arial"/>
                <w:b/>
                <w:lang w:val="es-ES_tradnl" w:eastAsia="es-ES_tradnl"/>
              </w:rPr>
            </w:pPr>
            <w:r w:rsidRPr="008E6AD9">
              <w:rPr>
                <w:rFonts w:ascii="Verdana" w:hAnsi="Verdana" w:eastAsia="Calibri" w:cs="Arial"/>
                <w:b/>
                <w:lang w:val="es-ES_tradnl" w:eastAsia="es-ES_tradnl"/>
              </w:rPr>
              <w:t>Radicación:</w:t>
            </w:r>
            <w:r w:rsidRPr="008E6AD9">
              <w:rPr>
                <w:rFonts w:ascii="Verdana" w:hAnsi="Verdana" w:eastAsia="Calibri" w:cs="Arial"/>
                <w:lang w:val="es-ES_tradnl" w:eastAsia="es-ES_tradnl"/>
              </w:rPr>
              <w:t xml:space="preserve">               </w:t>
            </w:r>
          </w:p>
        </w:tc>
        <w:tc>
          <w:tcPr>
            <w:tcW w:w="6100" w:type="dxa"/>
          </w:tcPr>
          <w:p w:rsidRPr="008E6AD9" w:rsidR="006B036C" w:rsidP="003129F5" w:rsidRDefault="006B036C" w14:paraId="009806C8" w14:textId="77777777">
            <w:pPr>
              <w:spacing w:line="276" w:lineRule="auto"/>
              <w:jc w:val="both"/>
              <w:rPr>
                <w:rFonts w:ascii="Verdana" w:hAnsi="Verdana" w:eastAsia="Calibri" w:cs="Arial"/>
                <w:lang w:eastAsia="es-ES_tradnl"/>
              </w:rPr>
            </w:pPr>
            <w:r w:rsidRPr="008E6AD9">
              <w:rPr>
                <w:rFonts w:ascii="Verdana" w:hAnsi="Verdana" w:eastAsia="Calibri" w:cs="Arial"/>
                <w:lang w:val="es-ES_tradnl" w:eastAsia="es-ES_tradnl"/>
              </w:rPr>
              <w:t xml:space="preserve">Respuesta a </w:t>
            </w:r>
            <w:r>
              <w:rPr>
                <w:rFonts w:ascii="Verdana" w:hAnsi="Verdana" w:eastAsia="Calibri" w:cs="Arial"/>
                <w:lang w:val="es-ES_tradnl" w:eastAsia="es-ES_tradnl"/>
              </w:rPr>
              <w:t xml:space="preserve">la </w:t>
            </w:r>
            <w:r w:rsidRPr="008E6AD9">
              <w:rPr>
                <w:rFonts w:ascii="Verdana" w:hAnsi="Verdana" w:eastAsia="Calibri" w:cs="Arial"/>
                <w:lang w:val="es-ES_tradnl" w:eastAsia="es-ES_tradnl"/>
              </w:rPr>
              <w:t>consulta con radicado No.</w:t>
            </w:r>
            <w:r>
              <w:rPr>
                <w:rFonts w:ascii="Verdana" w:hAnsi="Verdana" w:eastAsia="Calibri" w:cs="Arial"/>
                <w:lang w:val="es-ES_tradnl" w:eastAsia="es-ES_tradnl"/>
              </w:rPr>
              <w:t xml:space="preserve"> </w:t>
            </w:r>
            <w:r w:rsidRPr="00B26EBE">
              <w:rPr>
                <w:rFonts w:ascii="Verdana" w:hAnsi="Verdana" w:eastAsia="Calibri" w:cs="Arial"/>
                <w:lang w:val="es-ES_tradnl" w:eastAsia="es-ES_tradnl"/>
              </w:rPr>
              <w:t>1_2025_11_05_012472</w:t>
            </w:r>
            <w:r w:rsidRPr="0085423D">
              <w:rPr>
                <w:rFonts w:ascii="Verdana" w:hAnsi="Verdana" w:eastAsia="Calibri" w:cs="Arial"/>
                <w:lang w:val="es-ES_tradnl" w:eastAsia="es-ES_tradnl"/>
              </w:rPr>
              <w:t xml:space="preserve"> </w:t>
            </w:r>
            <w:r w:rsidRPr="008E6AD9">
              <w:rPr>
                <w:rFonts w:ascii="Verdana" w:hAnsi="Verdana" w:eastAsia="Calibri" w:cs="Arial"/>
                <w:lang w:val="es-ES_tradnl" w:eastAsia="es-ES_tradnl"/>
              </w:rPr>
              <w:t xml:space="preserve"> </w:t>
            </w:r>
            <w:r>
              <w:rPr>
                <w:rFonts w:ascii="Verdana" w:hAnsi="Verdana" w:eastAsia="Calibri" w:cs="Arial"/>
                <w:lang w:val="es-ES_tradnl" w:eastAsia="es-ES_tradnl"/>
              </w:rPr>
              <w:t xml:space="preserve">                                   </w:t>
            </w:r>
          </w:p>
        </w:tc>
      </w:tr>
    </w:tbl>
    <w:p w:rsidRPr="00593A5F" w:rsidR="006B036C" w:rsidP="006B036C" w:rsidRDefault="006B036C" w14:paraId="7BEB0746" w14:textId="77777777">
      <w:pPr>
        <w:spacing w:after="0" w:line="240" w:lineRule="auto"/>
        <w:jc w:val="both"/>
        <w:rPr>
          <w:rFonts w:ascii="Verdana" w:hAnsi="Verdana" w:eastAsia="Calibri" w:cs="Arial"/>
          <w:color w:val="000000"/>
          <w:lang w:val="es-ES_tradnl" w:eastAsia="es-ES_tradnl"/>
        </w:rPr>
      </w:pPr>
    </w:p>
    <w:p w:rsidRPr="00593A5F" w:rsidR="006B036C" w:rsidP="006B036C" w:rsidRDefault="006B036C" w14:paraId="0282FA8D" w14:textId="77777777">
      <w:pPr>
        <w:spacing w:after="0" w:line="240" w:lineRule="auto"/>
        <w:jc w:val="both"/>
        <w:rPr>
          <w:rFonts w:ascii="Verdana" w:hAnsi="Verdana" w:eastAsia="Calibri" w:cs="Arial"/>
          <w:color w:val="000000"/>
          <w:lang w:val="es-ES_tradnl" w:eastAsia="es-ES_tradnl"/>
        </w:rPr>
      </w:pPr>
    </w:p>
    <w:p w:rsidRPr="008E6AD9" w:rsidR="006B036C" w:rsidP="006B036C" w:rsidRDefault="006B036C" w14:paraId="75D298E9" w14:textId="77777777">
      <w:pPr>
        <w:spacing w:after="0" w:line="276" w:lineRule="auto"/>
        <w:jc w:val="both"/>
        <w:rPr>
          <w:rFonts w:ascii="Verdana" w:hAnsi="Verdana" w:eastAsia="Calibri" w:cs="Arial"/>
          <w:lang w:val="es-ES" w:eastAsia="es-ES"/>
        </w:rPr>
      </w:pPr>
      <w:r w:rsidRPr="008E6AD9">
        <w:rPr>
          <w:rFonts w:ascii="Verdana" w:hAnsi="Verdana" w:eastAsia="Calibri" w:cs="Arial"/>
          <w:lang w:val="es-ES" w:eastAsia="es-ES"/>
        </w:rPr>
        <w:t>Estimad</w:t>
      </w:r>
      <w:r>
        <w:rPr>
          <w:rFonts w:ascii="Verdana" w:hAnsi="Verdana" w:eastAsia="Calibri" w:cs="Arial"/>
          <w:lang w:val="es-ES" w:eastAsia="es-ES"/>
        </w:rPr>
        <w:t>o</w:t>
      </w:r>
      <w:r w:rsidRPr="008E6AD9">
        <w:rPr>
          <w:rFonts w:ascii="Verdana" w:hAnsi="Verdana" w:eastAsia="Calibri" w:cs="Arial"/>
          <w:lang w:val="es-ES" w:eastAsia="es-ES"/>
        </w:rPr>
        <w:t xml:space="preserve"> </w:t>
      </w:r>
      <w:r>
        <w:rPr>
          <w:rFonts w:ascii="Verdana" w:hAnsi="Verdana" w:eastAsia="Calibri" w:cs="Arial"/>
          <w:lang w:val="es-ES" w:eastAsia="es-ES"/>
        </w:rPr>
        <w:t xml:space="preserve">señor </w:t>
      </w:r>
      <w:r w:rsidRPr="002133D6">
        <w:rPr>
          <w:rFonts w:ascii="Verdana" w:hAnsi="Verdana" w:eastAsia="Calibri" w:cs="Arial"/>
          <w:lang w:val="es-ES" w:eastAsia="es-ES"/>
        </w:rPr>
        <w:t xml:space="preserve">Beltrán </w:t>
      </w:r>
      <w:proofErr w:type="spellStart"/>
      <w:r w:rsidRPr="002133D6">
        <w:rPr>
          <w:rFonts w:ascii="Verdana" w:hAnsi="Verdana" w:eastAsia="Calibri" w:cs="Arial"/>
          <w:lang w:val="es-ES" w:eastAsia="es-ES"/>
        </w:rPr>
        <w:t>Laiton</w:t>
      </w:r>
      <w:proofErr w:type="spellEnd"/>
      <w:r w:rsidRPr="008E6AD9">
        <w:rPr>
          <w:rFonts w:ascii="Verdana" w:hAnsi="Verdana" w:eastAsia="Calibri" w:cs="Arial"/>
          <w:lang w:val="es-ES" w:eastAsia="es-ES"/>
        </w:rPr>
        <w:t xml:space="preserve">: </w:t>
      </w:r>
    </w:p>
    <w:p w:rsidR="006B036C" w:rsidP="006B036C" w:rsidRDefault="006B036C" w14:paraId="2B410A80" w14:textId="77777777">
      <w:pPr>
        <w:tabs>
          <w:tab w:val="left" w:pos="3768"/>
        </w:tabs>
        <w:spacing w:after="0" w:line="276" w:lineRule="auto"/>
        <w:jc w:val="both"/>
        <w:rPr>
          <w:rFonts w:ascii="Verdana" w:hAnsi="Verdana" w:eastAsia="Calibri" w:cs="Arial"/>
          <w:color w:val="000000" w:themeColor="text1"/>
          <w:lang w:val="es-ES" w:eastAsia="es-ES"/>
        </w:rPr>
      </w:pPr>
      <w:r>
        <w:rPr>
          <w:rFonts w:ascii="Verdana" w:hAnsi="Verdana" w:eastAsia="Calibri" w:cs="Arial"/>
          <w:color w:val="000000" w:themeColor="text1"/>
          <w:lang w:val="es-ES" w:eastAsia="es-ES"/>
        </w:rPr>
        <w:tab/>
      </w:r>
    </w:p>
    <w:p w:rsidRPr="00593A5F" w:rsidR="006B036C" w:rsidP="006B036C" w:rsidRDefault="006B036C" w14:paraId="793C9176" w14:textId="77777777">
      <w:pPr>
        <w:spacing w:after="0" w:line="276" w:lineRule="auto"/>
        <w:jc w:val="both"/>
        <w:rPr>
          <w:rFonts w:ascii="Verdana" w:hAnsi="Verdana" w:eastAsia="Calibri" w:cs="Arial"/>
          <w:color w:val="7030A0"/>
          <w:lang w:val="es-ES" w:eastAsia="es-ES"/>
        </w:rPr>
      </w:pPr>
      <w:r w:rsidRPr="00593A5F">
        <w:rPr>
          <w:rFonts w:ascii="Verdana" w:hAnsi="Verdana" w:eastAsia="Calibri" w:cs="Arial"/>
          <w:color w:val="000000" w:themeColor="text1"/>
          <w:lang w:val="es-ES" w:eastAsia="es-ES"/>
        </w:rPr>
        <w:t>En ejercicio de la competencia otorgada por los artículos 3, numeral 5º, y 11, numeral 8º, del Decreto Ley 4170 de 2011,</w:t>
      </w:r>
      <w:r w:rsidRPr="00593A5F">
        <w:rPr>
          <w:rFonts w:ascii="Verdana" w:hAnsi="Verdana" w:eastAsia="Arial MT"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hAnsi="Verdana" w:eastAsia="Calibri" w:cs="Arial"/>
          <w:color w:val="000000" w:themeColor="text1"/>
          <w:lang w:val="es-ES" w:eastAsia="es-ES"/>
        </w:rPr>
        <w:t xml:space="preserve">la Agencia Nacional de Contratación Pública – Colombia Compra Eficiente responde </w:t>
      </w:r>
      <w:r>
        <w:rPr>
          <w:rFonts w:ascii="Verdana" w:hAnsi="Verdana" w:eastAsia="Calibri" w:cs="Arial"/>
          <w:color w:val="000000" w:themeColor="text1"/>
          <w:lang w:val="es-ES" w:eastAsia="es-ES"/>
        </w:rPr>
        <w:t>la</w:t>
      </w:r>
      <w:r w:rsidRPr="00593A5F">
        <w:rPr>
          <w:rFonts w:ascii="Verdana" w:hAnsi="Verdana" w:eastAsia="Calibri" w:cs="Arial"/>
          <w:color w:val="000000" w:themeColor="text1"/>
          <w:lang w:val="es-ES" w:eastAsia="es-ES"/>
        </w:rPr>
        <w:t xml:space="preserve"> solicitud de</w:t>
      </w:r>
      <w:r>
        <w:rPr>
          <w:rFonts w:ascii="Verdana" w:hAnsi="Verdana" w:eastAsia="Calibri" w:cs="Arial"/>
          <w:color w:val="000000" w:themeColor="text1"/>
          <w:lang w:val="es-ES" w:eastAsia="es-ES"/>
        </w:rPr>
        <w:t xml:space="preserve"> consulta de </w:t>
      </w:r>
      <w:r w:rsidRPr="008E6AD9">
        <w:rPr>
          <w:rFonts w:ascii="Verdana" w:hAnsi="Verdana" w:eastAsia="Calibri" w:cs="Arial"/>
          <w:lang w:val="es-ES" w:eastAsia="es-ES"/>
        </w:rPr>
        <w:t>fecha</w:t>
      </w:r>
      <w:r>
        <w:rPr>
          <w:rFonts w:ascii="Verdana" w:hAnsi="Verdana" w:eastAsia="Calibri" w:cs="Arial"/>
          <w:lang w:val="es-ES" w:eastAsia="es-ES"/>
        </w:rPr>
        <w:t xml:space="preserve"> 21 de octubre de 2025 frente a la Contraloría General de la </w:t>
      </w:r>
      <w:r>
        <w:rPr>
          <w:rFonts w:ascii="Verdana" w:hAnsi="Verdana" w:eastAsia="Calibri" w:cs="Arial"/>
          <w:lang w:val="es-ES" w:eastAsia="es-ES"/>
        </w:rPr>
        <w:t>República</w:t>
      </w:r>
      <w:r w:rsidRPr="008E6AD9">
        <w:rPr>
          <w:rFonts w:ascii="Verdana" w:hAnsi="Verdana" w:eastAsia="Calibri" w:cs="Arial"/>
          <w:lang w:val="es-ES" w:eastAsia="es-ES"/>
        </w:rPr>
        <w:t>,</w:t>
      </w:r>
      <w:r>
        <w:rPr>
          <w:rFonts w:ascii="Verdana" w:hAnsi="Verdana" w:eastAsia="Calibri" w:cs="Arial"/>
          <w:lang w:val="es-ES" w:eastAsia="es-ES"/>
        </w:rPr>
        <w:t xml:space="preserve"> remitida por competencia a esta entidad –conforme al artículo 21 de la Ley 1437 de 2011– mediante correo electrónico del 5 de noviembre de la presente anualidad, </w:t>
      </w:r>
      <w:r w:rsidRPr="008E6AD9">
        <w:rPr>
          <w:rFonts w:ascii="Verdana" w:hAnsi="Verdana" w:eastAsia="Calibri" w:cs="Arial"/>
          <w:lang w:val="es-ES" w:eastAsia="es-ES"/>
        </w:rPr>
        <w:t xml:space="preserve">en </w:t>
      </w:r>
      <w:r>
        <w:rPr>
          <w:rFonts w:ascii="Verdana" w:hAnsi="Verdana" w:eastAsia="Calibri" w:cs="Arial"/>
          <w:lang w:val="es-ES" w:eastAsia="es-ES"/>
        </w:rPr>
        <w:t>la cual plantea que:</w:t>
      </w:r>
      <w:r w:rsidRPr="008E6AD9">
        <w:rPr>
          <w:rFonts w:ascii="Verdana" w:hAnsi="Verdana" w:eastAsia="Calibri" w:cs="Arial"/>
          <w:lang w:val="es-ES" w:eastAsia="es-ES"/>
        </w:rPr>
        <w:t xml:space="preserve"> </w:t>
      </w:r>
    </w:p>
    <w:p w:rsidRPr="00272A7B" w:rsidR="006B036C" w:rsidP="006B036C" w:rsidRDefault="006B036C" w14:paraId="23A54837" w14:textId="77777777">
      <w:pPr>
        <w:pStyle w:val="Prrafodelista"/>
        <w:tabs>
          <w:tab w:val="left" w:pos="142"/>
          <w:tab w:val="left" w:pos="284"/>
        </w:tabs>
        <w:spacing w:after="0" w:line="276" w:lineRule="auto"/>
        <w:ind w:left="0"/>
        <w:jc w:val="both"/>
        <w:rPr>
          <w:rFonts w:ascii="Verdana" w:hAnsi="Verdana" w:eastAsia="Century Gothic" w:cs="Century Gothic"/>
          <w:b/>
          <w:bCs/>
        </w:rPr>
      </w:pPr>
    </w:p>
    <w:p w:rsidRPr="001D5897" w:rsidR="006B036C" w:rsidP="006B036C" w:rsidRDefault="006B036C" w14:paraId="16D0327C" w14:textId="77777777">
      <w:pPr>
        <w:spacing w:after="120" w:line="240" w:lineRule="auto"/>
        <w:ind w:left="709" w:right="709"/>
        <w:jc w:val="both"/>
        <w:rPr>
          <w:rFonts w:ascii="Verdana" w:hAnsi="Verdana" w:eastAsia="Century Gothic" w:cs="Century Gothic"/>
          <w:sz w:val="20"/>
          <w:szCs w:val="20"/>
          <w:lang w:val="es-ES"/>
        </w:rPr>
      </w:pPr>
      <w:bookmarkStart w:name="_Hlk95313578" w:id="1"/>
      <w:r w:rsidRPr="006623D1">
        <w:rPr>
          <w:rFonts w:ascii="Verdana" w:hAnsi="Verdana" w:eastAsia="Century Gothic" w:cs="Century Gothic"/>
          <w:sz w:val="20"/>
          <w:szCs w:val="20"/>
          <w:lang w:val="es-ES"/>
        </w:rPr>
        <w:t>“</w:t>
      </w:r>
      <w:bookmarkEnd w:id="1"/>
      <w:r>
        <w:rPr>
          <w:rFonts w:ascii="Verdana" w:hAnsi="Verdana" w:eastAsia="Century Gothic" w:cs="Century Gothic"/>
          <w:sz w:val="20"/>
          <w:szCs w:val="20"/>
          <w:lang w:val="es-ES"/>
        </w:rPr>
        <w:t xml:space="preserve">[…] </w:t>
      </w:r>
      <w:r w:rsidRPr="001D5897">
        <w:rPr>
          <w:rFonts w:ascii="Verdana" w:hAnsi="Verdana" w:eastAsia="Century Gothic" w:cs="Century Gothic"/>
          <w:sz w:val="20"/>
          <w:szCs w:val="20"/>
          <w:lang w:val="es-ES"/>
        </w:rPr>
        <w:t>con el fin de prevenir posibles observaciones o hallazgos administrativos o fiscales,</w:t>
      </w:r>
      <w:r>
        <w:rPr>
          <w:rFonts w:ascii="Verdana" w:hAnsi="Verdana" w:eastAsia="Century Gothic" w:cs="Century Gothic"/>
          <w:sz w:val="20"/>
          <w:szCs w:val="20"/>
          <w:lang w:val="es-ES"/>
        </w:rPr>
        <w:t xml:space="preserve"> </w:t>
      </w:r>
      <w:r w:rsidRPr="001D5897">
        <w:rPr>
          <w:rFonts w:ascii="Verdana" w:hAnsi="Verdana" w:eastAsia="Century Gothic" w:cs="Century Gothic"/>
          <w:sz w:val="20"/>
          <w:szCs w:val="20"/>
          <w:lang w:val="es-ES"/>
        </w:rPr>
        <w:t>se formulan las siguientes consultas, solicitando de manera expresa que las respuestas no se emitan</w:t>
      </w:r>
      <w:r>
        <w:rPr>
          <w:rFonts w:ascii="Verdana" w:hAnsi="Verdana" w:eastAsia="Century Gothic" w:cs="Century Gothic"/>
          <w:sz w:val="20"/>
          <w:szCs w:val="20"/>
          <w:lang w:val="es-ES"/>
        </w:rPr>
        <w:t xml:space="preserve"> </w:t>
      </w:r>
      <w:r w:rsidRPr="001D5897">
        <w:rPr>
          <w:rFonts w:ascii="Verdana" w:hAnsi="Verdana" w:eastAsia="Century Gothic" w:cs="Century Gothic"/>
          <w:sz w:val="20"/>
          <w:szCs w:val="20"/>
          <w:lang w:val="es-ES"/>
        </w:rPr>
        <w:t>con fundamento en la Ley 80 de 1993, sino con base en la normativa aplicable a las E.S.E. como</w:t>
      </w:r>
      <w:r>
        <w:rPr>
          <w:rFonts w:ascii="Verdana" w:hAnsi="Verdana" w:eastAsia="Century Gothic" w:cs="Century Gothic"/>
          <w:sz w:val="20"/>
          <w:szCs w:val="20"/>
          <w:lang w:val="es-ES"/>
        </w:rPr>
        <w:t xml:space="preserve"> </w:t>
      </w:r>
      <w:r w:rsidRPr="001D5897">
        <w:rPr>
          <w:rFonts w:ascii="Verdana" w:hAnsi="Verdana" w:eastAsia="Century Gothic" w:cs="Century Gothic"/>
          <w:sz w:val="20"/>
          <w:szCs w:val="20"/>
          <w:lang w:val="es-ES"/>
        </w:rPr>
        <w:t>entidades de régimen especial:</w:t>
      </w:r>
    </w:p>
    <w:p w:rsidRPr="001D5897" w:rsidR="006B036C" w:rsidP="006B036C" w:rsidRDefault="006B036C" w14:paraId="4C2D83FB" w14:textId="77777777">
      <w:pPr>
        <w:spacing w:after="120" w:line="240" w:lineRule="auto"/>
        <w:ind w:left="709" w:right="709"/>
        <w:jc w:val="both"/>
        <w:rPr>
          <w:rFonts w:ascii="Verdana" w:hAnsi="Verdana" w:eastAsia="Century Gothic" w:cs="Century Gothic"/>
          <w:sz w:val="20"/>
          <w:szCs w:val="20"/>
          <w:lang w:val="es-ES"/>
        </w:rPr>
      </w:pPr>
      <w:r w:rsidRPr="001D5897">
        <w:rPr>
          <w:rFonts w:ascii="Verdana" w:hAnsi="Verdana" w:eastAsia="Century Gothic" w:cs="Century Gothic"/>
          <w:sz w:val="20"/>
          <w:szCs w:val="20"/>
          <w:lang w:val="es-ES"/>
        </w:rPr>
        <w:t>1. Indicar si, desde el punto de vista del control fiscal, el hecho de que los contratos sean</w:t>
      </w:r>
      <w:r>
        <w:rPr>
          <w:rFonts w:ascii="Verdana" w:hAnsi="Verdana" w:eastAsia="Century Gothic" w:cs="Century Gothic"/>
          <w:sz w:val="20"/>
          <w:szCs w:val="20"/>
          <w:lang w:val="es-ES"/>
        </w:rPr>
        <w:t xml:space="preserve"> </w:t>
      </w:r>
      <w:r w:rsidRPr="001D5897">
        <w:rPr>
          <w:rFonts w:ascii="Verdana" w:hAnsi="Verdana" w:eastAsia="Century Gothic" w:cs="Century Gothic"/>
          <w:sz w:val="20"/>
          <w:szCs w:val="20"/>
          <w:lang w:val="es-ES"/>
        </w:rPr>
        <w:t>suscritos en un orden distinto al consecutivo interno asignado puede considerarse una</w:t>
      </w:r>
      <w:r>
        <w:rPr>
          <w:rFonts w:ascii="Verdana" w:hAnsi="Verdana" w:eastAsia="Century Gothic" w:cs="Century Gothic"/>
          <w:sz w:val="20"/>
          <w:szCs w:val="20"/>
          <w:lang w:val="es-ES"/>
        </w:rPr>
        <w:t xml:space="preserve"> </w:t>
      </w:r>
      <w:r w:rsidRPr="001D5897">
        <w:rPr>
          <w:rFonts w:ascii="Verdana" w:hAnsi="Verdana" w:eastAsia="Century Gothic" w:cs="Century Gothic"/>
          <w:sz w:val="20"/>
          <w:szCs w:val="20"/>
          <w:lang w:val="es-ES"/>
        </w:rPr>
        <w:t>irregularidad o una práctica reprochable.</w:t>
      </w:r>
    </w:p>
    <w:p w:rsidRPr="001D5897" w:rsidR="006B036C" w:rsidP="006B036C" w:rsidRDefault="006B036C" w14:paraId="092D1239" w14:textId="77777777">
      <w:pPr>
        <w:spacing w:after="120" w:line="240" w:lineRule="auto"/>
        <w:ind w:left="709" w:right="709"/>
        <w:jc w:val="both"/>
        <w:rPr>
          <w:rFonts w:ascii="Verdana" w:hAnsi="Verdana" w:eastAsia="Century Gothic" w:cs="Century Gothic"/>
          <w:sz w:val="20"/>
          <w:szCs w:val="20"/>
          <w:lang w:val="es-ES"/>
        </w:rPr>
      </w:pPr>
      <w:r w:rsidRPr="001D5897">
        <w:rPr>
          <w:rFonts w:ascii="Verdana" w:hAnsi="Verdana" w:eastAsia="Century Gothic" w:cs="Century Gothic"/>
          <w:sz w:val="20"/>
          <w:szCs w:val="20"/>
          <w:lang w:val="es-ES"/>
        </w:rPr>
        <w:t>2. Precisar si la asignación de un número consecutivo a un contrato que finalmente no se</w:t>
      </w:r>
      <w:r>
        <w:rPr>
          <w:rFonts w:ascii="Verdana" w:hAnsi="Verdana" w:eastAsia="Century Gothic" w:cs="Century Gothic"/>
          <w:sz w:val="20"/>
          <w:szCs w:val="20"/>
          <w:lang w:val="es-ES"/>
        </w:rPr>
        <w:t xml:space="preserve"> </w:t>
      </w:r>
      <w:r w:rsidRPr="001D5897">
        <w:rPr>
          <w:rFonts w:ascii="Verdana" w:hAnsi="Verdana" w:eastAsia="Century Gothic" w:cs="Century Gothic"/>
          <w:sz w:val="20"/>
          <w:szCs w:val="20"/>
          <w:lang w:val="es-ES"/>
        </w:rPr>
        <w:t>suscribe —por desistimiento o demora del contratista— puede generar observaciones</w:t>
      </w:r>
      <w:r>
        <w:rPr>
          <w:rFonts w:ascii="Verdana" w:hAnsi="Verdana" w:eastAsia="Century Gothic" w:cs="Century Gothic"/>
          <w:sz w:val="20"/>
          <w:szCs w:val="20"/>
          <w:lang w:val="es-ES"/>
        </w:rPr>
        <w:t xml:space="preserve"> </w:t>
      </w:r>
      <w:r w:rsidRPr="001D5897">
        <w:rPr>
          <w:rFonts w:ascii="Verdana" w:hAnsi="Verdana" w:eastAsia="Century Gothic" w:cs="Century Gothic"/>
          <w:sz w:val="20"/>
          <w:szCs w:val="20"/>
          <w:lang w:val="es-ES"/>
        </w:rPr>
        <w:t>fiscales o si basta con dejar constancia en el expediente contractual.</w:t>
      </w:r>
    </w:p>
    <w:p w:rsidR="006B036C" w:rsidP="006B036C" w:rsidRDefault="006B036C" w14:paraId="2120C69D" w14:textId="77777777">
      <w:pPr>
        <w:spacing w:after="120" w:line="240" w:lineRule="auto"/>
        <w:ind w:left="709" w:right="709"/>
        <w:jc w:val="both"/>
        <w:rPr>
          <w:rFonts w:ascii="Verdana" w:hAnsi="Verdana" w:eastAsia="Century Gothic" w:cs="Century Gothic"/>
          <w:sz w:val="20"/>
          <w:szCs w:val="20"/>
          <w:lang w:val="es-ES"/>
        </w:rPr>
      </w:pPr>
      <w:r w:rsidRPr="001D5897">
        <w:rPr>
          <w:rFonts w:ascii="Verdana" w:hAnsi="Verdana" w:eastAsia="Century Gothic" w:cs="Century Gothic"/>
          <w:sz w:val="20"/>
          <w:szCs w:val="20"/>
          <w:lang w:val="es-ES"/>
        </w:rPr>
        <w:t>3. Señalar si es jurídicamente procedente expedir actos administrativos (resoluciones) para</w:t>
      </w:r>
      <w:r>
        <w:rPr>
          <w:rFonts w:ascii="Verdana" w:hAnsi="Verdana" w:eastAsia="Century Gothic" w:cs="Century Gothic"/>
          <w:sz w:val="20"/>
          <w:szCs w:val="20"/>
          <w:lang w:val="es-ES"/>
        </w:rPr>
        <w:t xml:space="preserve"> </w:t>
      </w:r>
      <w:r w:rsidRPr="001D5897">
        <w:rPr>
          <w:rFonts w:ascii="Verdana" w:hAnsi="Verdana" w:eastAsia="Century Gothic" w:cs="Century Gothic"/>
          <w:sz w:val="20"/>
          <w:szCs w:val="20"/>
          <w:lang w:val="es-ES"/>
        </w:rPr>
        <w:t>anular procesos precontractuales no suscritos o si existen mecanismos más eficientes que</w:t>
      </w:r>
      <w:r>
        <w:rPr>
          <w:rFonts w:ascii="Verdana" w:hAnsi="Verdana" w:eastAsia="Century Gothic" w:cs="Century Gothic"/>
          <w:sz w:val="20"/>
          <w:szCs w:val="20"/>
          <w:lang w:val="es-ES"/>
        </w:rPr>
        <w:t xml:space="preserve"> </w:t>
      </w:r>
      <w:r w:rsidRPr="001D5897">
        <w:rPr>
          <w:rFonts w:ascii="Verdana" w:hAnsi="Verdana" w:eastAsia="Century Gothic" w:cs="Century Gothic"/>
          <w:sz w:val="20"/>
          <w:szCs w:val="20"/>
          <w:lang w:val="es-ES"/>
        </w:rPr>
        <w:t>no generen riesgos en materia de control fiscal</w:t>
      </w:r>
    </w:p>
    <w:p w:rsidRPr="001D5897" w:rsidR="006B036C" w:rsidP="006B036C" w:rsidRDefault="006B036C" w14:paraId="01702777" w14:textId="77777777">
      <w:pPr>
        <w:spacing w:after="120" w:line="240" w:lineRule="auto"/>
        <w:ind w:left="709" w:right="709"/>
        <w:jc w:val="both"/>
        <w:rPr>
          <w:rFonts w:ascii="Verdana" w:hAnsi="Verdana" w:eastAsia="Century Gothic" w:cs="Century Gothic"/>
          <w:sz w:val="20"/>
          <w:szCs w:val="20"/>
          <w:lang w:val="es-ES"/>
        </w:rPr>
      </w:pPr>
      <w:r w:rsidRPr="001D5897">
        <w:rPr>
          <w:rFonts w:ascii="Verdana" w:hAnsi="Verdana" w:eastAsia="Century Gothic" w:cs="Century Gothic"/>
          <w:sz w:val="20"/>
          <w:szCs w:val="20"/>
          <w:lang w:val="es-ES"/>
        </w:rPr>
        <w:t>4. Indicar si, en contratos celebrados con personas jurídicas, el contrato debe ser firmado</w:t>
      </w:r>
      <w:r>
        <w:rPr>
          <w:rFonts w:ascii="Verdana" w:hAnsi="Verdana" w:eastAsia="Century Gothic" w:cs="Century Gothic"/>
          <w:sz w:val="20"/>
          <w:szCs w:val="20"/>
          <w:lang w:val="es-ES"/>
        </w:rPr>
        <w:t xml:space="preserve"> </w:t>
      </w:r>
      <w:r w:rsidRPr="001D5897">
        <w:rPr>
          <w:rFonts w:ascii="Verdana" w:hAnsi="Verdana" w:eastAsia="Century Gothic" w:cs="Century Gothic"/>
          <w:sz w:val="20"/>
          <w:szCs w:val="20"/>
          <w:lang w:val="es-ES"/>
        </w:rPr>
        <w:t>desde el usuario del representante legal o si puede ser suscrito desde el usuario general de</w:t>
      </w:r>
      <w:r>
        <w:rPr>
          <w:rFonts w:ascii="Verdana" w:hAnsi="Verdana" w:eastAsia="Century Gothic" w:cs="Century Gothic"/>
          <w:sz w:val="20"/>
          <w:szCs w:val="20"/>
          <w:lang w:val="es-ES"/>
        </w:rPr>
        <w:t xml:space="preserve"> </w:t>
      </w:r>
      <w:r w:rsidRPr="001D5897">
        <w:rPr>
          <w:rFonts w:ascii="Verdana" w:hAnsi="Verdana" w:eastAsia="Century Gothic" w:cs="Century Gothic"/>
          <w:sz w:val="20"/>
          <w:szCs w:val="20"/>
          <w:lang w:val="es-ES"/>
        </w:rPr>
        <w:t>la empresa, y si ello tiene relevancia en materia de responsabilidad o validez contractual.</w:t>
      </w:r>
    </w:p>
    <w:p w:rsidRPr="001D5897" w:rsidR="006B036C" w:rsidP="006B036C" w:rsidRDefault="006B036C" w14:paraId="46A6BD12" w14:textId="77777777">
      <w:pPr>
        <w:spacing w:after="120" w:line="240" w:lineRule="auto"/>
        <w:ind w:left="709" w:right="709"/>
        <w:jc w:val="both"/>
        <w:rPr>
          <w:rFonts w:ascii="Verdana" w:hAnsi="Verdana" w:eastAsia="Century Gothic" w:cs="Century Gothic"/>
          <w:sz w:val="20"/>
          <w:szCs w:val="20"/>
          <w:lang w:val="es-ES"/>
        </w:rPr>
      </w:pPr>
      <w:r w:rsidRPr="001D5897">
        <w:rPr>
          <w:rFonts w:ascii="Verdana" w:hAnsi="Verdana" w:eastAsia="Century Gothic" w:cs="Century Gothic"/>
          <w:sz w:val="20"/>
          <w:szCs w:val="20"/>
          <w:lang w:val="es-ES"/>
        </w:rPr>
        <w:t>5. Determinar si existe un término prudencial o razonable para la firma de los contratos en el</w:t>
      </w:r>
      <w:r>
        <w:rPr>
          <w:rFonts w:ascii="Verdana" w:hAnsi="Verdana" w:eastAsia="Century Gothic" w:cs="Century Gothic"/>
          <w:sz w:val="20"/>
          <w:szCs w:val="20"/>
          <w:lang w:val="es-ES"/>
        </w:rPr>
        <w:t xml:space="preserve"> </w:t>
      </w:r>
      <w:r w:rsidRPr="001D5897">
        <w:rPr>
          <w:rFonts w:ascii="Verdana" w:hAnsi="Verdana" w:eastAsia="Century Gothic" w:cs="Century Gothic"/>
          <w:sz w:val="20"/>
          <w:szCs w:val="20"/>
          <w:lang w:val="es-ES"/>
        </w:rPr>
        <w:t>SECOP II, sin que la demora constituya una conducta reprochable o un hallazgo de gestión.</w:t>
      </w:r>
    </w:p>
    <w:p w:rsidRPr="001D5897" w:rsidR="006B036C" w:rsidP="006B036C" w:rsidRDefault="006B036C" w14:paraId="05B04844" w14:textId="77777777">
      <w:pPr>
        <w:spacing w:after="0" w:line="240" w:lineRule="auto"/>
        <w:ind w:left="709" w:right="709"/>
        <w:jc w:val="both"/>
        <w:rPr>
          <w:rFonts w:ascii="Verdana" w:hAnsi="Verdana" w:eastAsia="Century Gothic" w:cs="Century Gothic"/>
          <w:sz w:val="20"/>
          <w:szCs w:val="20"/>
          <w:lang w:val="es-ES"/>
        </w:rPr>
      </w:pPr>
      <w:r w:rsidRPr="001D5897">
        <w:rPr>
          <w:rFonts w:ascii="Verdana" w:hAnsi="Verdana" w:eastAsia="Century Gothic" w:cs="Century Gothic"/>
          <w:sz w:val="20"/>
          <w:szCs w:val="20"/>
          <w:lang w:val="es-ES"/>
        </w:rPr>
        <w:t>6. Solicitar que la respuesta se fundamente expresamente en conceptos, pronunciamientos y</w:t>
      </w:r>
      <w:r>
        <w:rPr>
          <w:rFonts w:ascii="Verdana" w:hAnsi="Verdana" w:eastAsia="Century Gothic" w:cs="Century Gothic"/>
          <w:sz w:val="20"/>
          <w:szCs w:val="20"/>
          <w:lang w:val="es-ES"/>
        </w:rPr>
        <w:t xml:space="preserve"> </w:t>
      </w:r>
      <w:r w:rsidRPr="001D5897">
        <w:rPr>
          <w:rFonts w:ascii="Verdana" w:hAnsi="Verdana" w:eastAsia="Century Gothic" w:cs="Century Gothic"/>
          <w:sz w:val="20"/>
          <w:szCs w:val="20"/>
          <w:lang w:val="es-ES"/>
        </w:rPr>
        <w:t>normatividad vigente aplicable a las entidades con régimen especial de contratación, y no</w:t>
      </w:r>
      <w:r>
        <w:rPr>
          <w:rFonts w:ascii="Verdana" w:hAnsi="Verdana" w:eastAsia="Century Gothic" w:cs="Century Gothic"/>
          <w:sz w:val="20"/>
          <w:szCs w:val="20"/>
          <w:lang w:val="es-ES"/>
        </w:rPr>
        <w:t xml:space="preserve"> </w:t>
      </w:r>
      <w:r w:rsidRPr="001D5897">
        <w:rPr>
          <w:rFonts w:ascii="Verdana" w:hAnsi="Verdana" w:eastAsia="Century Gothic" w:cs="Century Gothic"/>
          <w:sz w:val="20"/>
          <w:szCs w:val="20"/>
          <w:lang w:val="es-ES"/>
        </w:rPr>
        <w:t>en el marco de la Ley 80 de 1993</w:t>
      </w:r>
      <w:r w:rsidRPr="006623D1">
        <w:rPr>
          <w:rFonts w:ascii="Verdana" w:hAnsi="Verdana" w:eastAsia="Century Gothic" w:cs="Century Gothic"/>
          <w:sz w:val="20"/>
          <w:szCs w:val="20"/>
          <w:lang w:val="es-ES"/>
        </w:rPr>
        <w:t>”.</w:t>
      </w:r>
      <w:r>
        <w:rPr>
          <w:rFonts w:ascii="Verdana" w:hAnsi="Verdana" w:eastAsia="Century Gothic" w:cs="Century Gothic"/>
          <w:sz w:val="20"/>
          <w:szCs w:val="20"/>
          <w:lang w:val="es-ES"/>
        </w:rPr>
        <w:t xml:space="preserve"> </w:t>
      </w:r>
    </w:p>
    <w:p w:rsidRPr="008E6AD9" w:rsidR="006B036C" w:rsidP="006B036C" w:rsidRDefault="006B036C" w14:paraId="56D106C8" w14:textId="77777777">
      <w:pPr>
        <w:pStyle w:val="Prrafodelista"/>
        <w:tabs>
          <w:tab w:val="left" w:pos="142"/>
          <w:tab w:val="left" w:pos="284"/>
        </w:tabs>
        <w:spacing w:after="0" w:line="276" w:lineRule="auto"/>
        <w:ind w:left="0"/>
        <w:jc w:val="both"/>
        <w:rPr>
          <w:rFonts w:ascii="Verdana" w:hAnsi="Verdana" w:eastAsia="Century Gothic" w:cs="Century Gothic"/>
          <w:b/>
          <w:bCs/>
        </w:rPr>
      </w:pPr>
    </w:p>
    <w:p w:rsidRPr="00A652FF" w:rsidR="006B036C" w:rsidP="006B036C" w:rsidRDefault="006B036C" w14:paraId="2BFE1BB2" w14:textId="77777777">
      <w:pPr>
        <w:spacing w:after="120" w:line="276" w:lineRule="auto"/>
        <w:ind w:firstLine="709"/>
        <w:jc w:val="both"/>
        <w:rPr>
          <w:rFonts w:ascii="Verdana" w:hAnsi="Verdana" w:eastAsia="Calibri" w:cs="Arial"/>
          <w:color w:val="000000"/>
          <w:lang w:val="es-ES" w:eastAsia="es-ES"/>
        </w:rPr>
      </w:pPr>
      <w:r>
        <w:rPr>
          <w:rFonts w:ascii="Verdana" w:hAnsi="Verdana" w:eastAsia="Calibri" w:cs="Arial"/>
          <w:color w:val="000000"/>
          <w:lang w:val="es-ES" w:eastAsia="es-ES"/>
        </w:rPr>
        <w:t>De manera preliminar</w:t>
      </w:r>
      <w:r w:rsidRPr="00593A5F">
        <w:rPr>
          <w:rFonts w:ascii="Verdana" w:hAnsi="Verdana" w:eastAsia="Calibri" w:cs="Arial"/>
          <w:color w:val="000000"/>
          <w:lang w:val="es-ES" w:eastAsia="es-ES"/>
        </w:rPr>
        <w:t>, resulta necesario acotar que esta entidad s</w:t>
      </w:r>
      <w:r>
        <w:rPr>
          <w:rFonts w:ascii="Verdana" w:hAnsi="Verdana" w:eastAsia="Calibri" w:cs="Arial"/>
          <w:color w:val="000000"/>
          <w:lang w:val="es-ES" w:eastAsia="es-ES"/>
        </w:rPr>
        <w:t>ó</w:t>
      </w:r>
      <w:r w:rsidRPr="00593A5F">
        <w:rPr>
          <w:rFonts w:ascii="Verdana" w:hAnsi="Verdana" w:eastAsia="Calibri"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hAnsi="Verdana" w:eastAsia="Calibri" w:cs="Arial"/>
          <w:color w:val="000000"/>
          <w:lang w:val="es-ES" w:eastAsia="es-ES"/>
        </w:rPr>
        <w:t>concretos</w:t>
      </w:r>
      <w:r w:rsidRPr="00593A5F">
        <w:rPr>
          <w:rFonts w:ascii="Verdana" w:hAnsi="Verdana" w:eastAsia="Calibri"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w:t>
      </w:r>
      <w:r w:rsidRPr="00593A5F">
        <w:rPr>
          <w:rFonts w:ascii="Verdana" w:hAnsi="Verdana" w:eastAsia="Calibri" w:cs="Arial"/>
          <w:color w:val="000000"/>
          <w:lang w:val="es-ES" w:eastAsia="es-ES"/>
        </w:rPr>
        <w:t xml:space="preserve">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hAnsi="Verdana" w:eastAsia="Calibri" w:cs="Arial"/>
          <w:color w:val="000000"/>
          <w:szCs w:val="24"/>
          <w:lang w:val="es-ES_tradnl" w:eastAsia="es-ES_tradnl"/>
        </w:rPr>
        <w:tab/>
      </w:r>
    </w:p>
    <w:p w:rsidR="006B036C" w:rsidP="006B036C" w:rsidRDefault="006B036C" w14:paraId="4E794ADD" w14:textId="77777777">
      <w:pPr>
        <w:spacing w:after="0" w:line="276" w:lineRule="auto"/>
        <w:ind w:firstLine="709"/>
        <w:jc w:val="both"/>
        <w:rPr>
          <w:rFonts w:ascii="Verdana" w:hAnsi="Verdana" w:eastAsia="Calibri" w:cs="Arial"/>
          <w:color w:val="000000"/>
          <w:lang w:val="es-ES" w:eastAsia="es-ES"/>
        </w:rPr>
      </w:pPr>
      <w:r w:rsidRPr="00593A5F">
        <w:rPr>
          <w:rFonts w:ascii="Verdana" w:hAnsi="Verdana" w:eastAsia="Calibri"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hAnsi="Verdana" w:eastAsia="Calibri" w:cs="Arial"/>
          <w:color w:val="000000"/>
          <w:lang w:val="es-ES" w:eastAsia="es-ES"/>
        </w:rPr>
        <w:t>s circunstancias</w:t>
      </w:r>
      <w:r w:rsidRPr="00593A5F">
        <w:rPr>
          <w:rFonts w:ascii="Verdana" w:hAnsi="Verdana" w:eastAsia="Calibri" w:cs="Arial"/>
          <w:color w:val="000000"/>
          <w:lang w:val="es-ES" w:eastAsia="es-ES"/>
        </w:rPr>
        <w:t xml:space="preserve"> </w:t>
      </w:r>
      <w:r>
        <w:rPr>
          <w:rFonts w:ascii="Verdana" w:hAnsi="Verdana" w:eastAsia="Calibri" w:cs="Arial"/>
          <w:color w:val="000000"/>
          <w:lang w:val="es-ES" w:eastAsia="es-ES"/>
        </w:rPr>
        <w:t>específicas que la hayan motivado</w:t>
      </w:r>
      <w:r w:rsidRPr="00593A5F">
        <w:rPr>
          <w:rFonts w:ascii="Verdana" w:hAnsi="Verdana" w:eastAsia="Calibri" w:cs="Arial"/>
          <w:color w:val="000000"/>
          <w:lang w:val="es-ES" w:eastAsia="es-ES"/>
        </w:rPr>
        <w:t xml:space="preserve">, pero haciendo unas consideraciones sobre las normas generales relacionadas con </w:t>
      </w:r>
      <w:r>
        <w:rPr>
          <w:rFonts w:ascii="Verdana" w:hAnsi="Verdana" w:eastAsia="Calibri" w:cs="Arial"/>
          <w:color w:val="000000"/>
          <w:lang w:val="es-ES" w:eastAsia="es-ES"/>
        </w:rPr>
        <w:t>el</w:t>
      </w:r>
      <w:r w:rsidRPr="00247BDE">
        <w:rPr>
          <w:rFonts w:ascii="Verdana" w:hAnsi="Verdana" w:eastAsia="Calibri" w:cs="Arial"/>
          <w:color w:val="7030A0"/>
          <w:lang w:val="es-ES" w:eastAsia="es-ES"/>
        </w:rPr>
        <w:t xml:space="preserve"> </w:t>
      </w:r>
      <w:r>
        <w:rPr>
          <w:rFonts w:ascii="Verdana" w:hAnsi="Verdana" w:eastAsia="Calibri" w:cs="Arial"/>
          <w:color w:val="000000"/>
          <w:lang w:val="es-ES" w:eastAsia="es-ES"/>
        </w:rPr>
        <w:t>problema</w:t>
      </w:r>
      <w:r w:rsidRPr="00247BDE">
        <w:rPr>
          <w:rFonts w:ascii="Verdana" w:hAnsi="Verdana" w:eastAsia="Calibri" w:cs="Arial"/>
          <w:color w:val="7030A0"/>
          <w:lang w:val="es-ES" w:eastAsia="es-ES"/>
        </w:rPr>
        <w:t xml:space="preserve"> </w:t>
      </w:r>
      <w:r>
        <w:rPr>
          <w:rFonts w:ascii="Verdana" w:hAnsi="Verdana" w:eastAsia="Calibri" w:cs="Arial"/>
          <w:color w:val="000000"/>
          <w:lang w:val="es-ES" w:eastAsia="es-ES"/>
        </w:rPr>
        <w:t>jurídico</w:t>
      </w:r>
      <w:r w:rsidRPr="00247BDE">
        <w:rPr>
          <w:rFonts w:ascii="Verdana" w:hAnsi="Verdana" w:eastAsia="Calibri" w:cs="Arial"/>
          <w:color w:val="7030A0"/>
          <w:lang w:val="es-ES" w:eastAsia="es-ES"/>
        </w:rPr>
        <w:t xml:space="preserve"> </w:t>
      </w:r>
      <w:r>
        <w:rPr>
          <w:rFonts w:ascii="Verdana" w:hAnsi="Verdana" w:eastAsia="Calibri" w:cs="Arial"/>
          <w:color w:val="000000"/>
          <w:lang w:val="es-ES" w:eastAsia="es-ES"/>
        </w:rPr>
        <w:t>de su</w:t>
      </w:r>
      <w:r w:rsidRPr="00593A5F">
        <w:rPr>
          <w:rFonts w:ascii="Verdana" w:hAnsi="Verdana" w:eastAsia="Calibri" w:cs="Arial"/>
          <w:color w:val="000000"/>
          <w:lang w:val="es-ES" w:eastAsia="es-ES"/>
        </w:rPr>
        <w:t xml:space="preserve"> consulta.</w:t>
      </w:r>
      <w:r>
        <w:rPr>
          <w:rFonts w:ascii="Verdana" w:hAnsi="Verdana" w:eastAsia="Calibri" w:cs="Arial"/>
          <w:color w:val="000000"/>
          <w:lang w:val="es-ES" w:eastAsia="es-ES"/>
        </w:rPr>
        <w:t xml:space="preserve"> </w:t>
      </w:r>
      <w:r w:rsidRPr="00593A5F">
        <w:rPr>
          <w:rFonts w:ascii="Verdana" w:hAnsi="Verdana" w:eastAsia="Calibri" w:cs="Arial"/>
          <w:color w:val="000000"/>
          <w:lang w:val="es-ES" w:eastAsia="es-ES"/>
        </w:rPr>
        <w:t xml:space="preserve"> </w:t>
      </w:r>
    </w:p>
    <w:p w:rsidRPr="00593A5F" w:rsidR="006B036C" w:rsidP="006B036C" w:rsidRDefault="006B036C" w14:paraId="1E39D9E7" w14:textId="77777777">
      <w:pPr>
        <w:spacing w:after="0" w:line="276" w:lineRule="auto"/>
        <w:ind w:firstLine="709"/>
        <w:jc w:val="both"/>
        <w:rPr>
          <w:rFonts w:ascii="Verdana" w:hAnsi="Verdana" w:eastAsia="Calibri" w:cs="Arial"/>
          <w:color w:val="000000"/>
          <w:lang w:val="es-ES" w:eastAsia="es-ES"/>
        </w:rPr>
      </w:pPr>
    </w:p>
    <w:p w:rsidRPr="00593A5F" w:rsidR="006B036C" w:rsidP="006B036C" w:rsidRDefault="006B036C" w14:paraId="2C692FB0" w14:textId="77777777">
      <w:pPr>
        <w:pStyle w:val="Prrafodelista"/>
        <w:numPr>
          <w:ilvl w:val="0"/>
          <w:numId w:val="16"/>
        </w:numPr>
        <w:tabs>
          <w:tab w:val="left" w:pos="142"/>
          <w:tab w:val="left" w:pos="284"/>
        </w:tabs>
        <w:spacing w:after="0" w:line="276" w:lineRule="auto"/>
        <w:ind w:left="0" w:firstLine="0"/>
        <w:jc w:val="both"/>
        <w:rPr>
          <w:rFonts w:ascii="Verdana" w:hAnsi="Verdana" w:eastAsia="Century Gothic" w:cs="Century Gothic"/>
          <w:b/>
          <w:bCs/>
        </w:rPr>
      </w:pPr>
      <w:r w:rsidRPr="00593A5F">
        <w:rPr>
          <w:rFonts w:ascii="Verdana" w:hAnsi="Verdana" w:eastAsia="Century Gothic" w:cs="Century Gothic"/>
          <w:b/>
          <w:bCs/>
        </w:rPr>
        <w:t>Problema planteado:</w:t>
      </w:r>
    </w:p>
    <w:p w:rsidRPr="00593A5F" w:rsidR="006B036C" w:rsidP="006B036C" w:rsidRDefault="006B036C" w14:paraId="5A573253" w14:textId="77777777">
      <w:pPr>
        <w:tabs>
          <w:tab w:val="left" w:pos="426"/>
        </w:tabs>
        <w:spacing w:after="0" w:line="276" w:lineRule="auto"/>
        <w:jc w:val="both"/>
        <w:rPr>
          <w:rFonts w:ascii="Verdana" w:hAnsi="Verdana" w:eastAsia="Century Gothic" w:cs="Century Gothic"/>
          <w:lang w:val="es-ES"/>
        </w:rPr>
      </w:pPr>
    </w:p>
    <w:p w:rsidRPr="00593A5F" w:rsidR="006B036C" w:rsidP="006B036C" w:rsidRDefault="006B036C" w14:paraId="5E328D9E" w14:textId="3053C62C">
      <w:pPr>
        <w:spacing w:after="0" w:line="276" w:lineRule="auto"/>
        <w:jc w:val="both"/>
        <w:rPr>
          <w:rFonts w:ascii="Verdana" w:hAnsi="Verdana" w:eastAsia="Century Gothic" w:cs="Century Gothic"/>
        </w:rPr>
      </w:pPr>
      <w:r w:rsidRPr="00906BE9">
        <w:rPr>
          <w:rFonts w:ascii="Verdana" w:hAnsi="Verdana" w:eastAsia="Century Gothic" w:cs="Century Gothic"/>
        </w:rPr>
        <w:t xml:space="preserve">De acuerdo con el contenido de su solicitud, esta Agencia resolverá </w:t>
      </w:r>
      <w:r>
        <w:rPr>
          <w:rFonts w:ascii="Verdana" w:hAnsi="Verdana" w:eastAsia="Century Gothic" w:cs="Century Gothic"/>
        </w:rPr>
        <w:t>el</w:t>
      </w:r>
      <w:r w:rsidRPr="00906BE9">
        <w:rPr>
          <w:rFonts w:ascii="Verdana" w:hAnsi="Verdana" w:eastAsia="Century Gothic" w:cs="Century Gothic"/>
        </w:rPr>
        <w:t xml:space="preserve"> siguiente problema jurídico:</w:t>
      </w:r>
      <w:r>
        <w:rPr>
          <w:rFonts w:ascii="Verdana" w:hAnsi="Verdana" w:eastAsia="Century Gothic" w:cs="Century Gothic"/>
        </w:rPr>
        <w:t xml:space="preserve"> ¿cómo se realiza la gestión contractual en el SECOP para las entidades exceptuadas del Estatuto General de Contratación de la Administración Pública?</w:t>
      </w:r>
    </w:p>
    <w:p w:rsidRPr="004B140F" w:rsidR="006B036C" w:rsidP="006B036C" w:rsidRDefault="001A5B38" w14:paraId="546FBCB7" w14:textId="49B7958B">
      <w:pPr>
        <w:spacing w:after="0" w:line="276" w:lineRule="auto"/>
        <w:jc w:val="both"/>
        <w:rPr>
          <w:rFonts w:ascii="Verdana" w:hAnsi="Verdana" w:eastAsia="Calibri" w:cs="Arial"/>
          <w:color w:val="7030A0"/>
        </w:rPr>
      </w:pPr>
      <w:r>
        <w:rPr>
          <w:rFonts w:ascii="Verdana" w:hAnsi="Verdana" w:eastAsia="Calibri" w:cs="Arial"/>
          <w:color w:val="7030A0"/>
        </w:rPr>
        <w:t xml:space="preserve"> </w:t>
      </w:r>
    </w:p>
    <w:p w:rsidRPr="00593A5F" w:rsidR="006B036C" w:rsidP="006B036C" w:rsidRDefault="006B036C" w14:paraId="5DA79BE9" w14:textId="77777777">
      <w:pPr>
        <w:pStyle w:val="Prrafodelista"/>
        <w:numPr>
          <w:ilvl w:val="0"/>
          <w:numId w:val="16"/>
        </w:numPr>
        <w:tabs>
          <w:tab w:val="left" w:pos="142"/>
          <w:tab w:val="left" w:pos="284"/>
        </w:tabs>
        <w:spacing w:after="0" w:line="276" w:lineRule="auto"/>
        <w:ind w:left="0" w:firstLine="0"/>
        <w:contextualSpacing w:val="0"/>
        <w:jc w:val="both"/>
        <w:rPr>
          <w:rFonts w:ascii="Verdana" w:hAnsi="Verdana" w:eastAsia="Century Gothic" w:cs="Century Gothic"/>
          <w:b/>
          <w:bCs/>
        </w:rPr>
      </w:pPr>
      <w:r w:rsidRPr="00593A5F">
        <w:rPr>
          <w:rFonts w:ascii="Verdana" w:hAnsi="Verdana" w:eastAsia="Century Gothic" w:cs="Century Gothic"/>
          <w:b/>
          <w:bCs/>
        </w:rPr>
        <w:t>Respuesta:</w:t>
      </w:r>
    </w:p>
    <w:p w:rsidRPr="00593A5F" w:rsidR="006B036C" w:rsidP="006B036C" w:rsidRDefault="006B036C" w14:paraId="021514E9" w14:textId="77777777">
      <w:pPr>
        <w:tabs>
          <w:tab w:val="left" w:pos="142"/>
          <w:tab w:val="left" w:pos="284"/>
        </w:tabs>
        <w:spacing w:after="0" w:line="276" w:lineRule="auto"/>
        <w:jc w:val="both"/>
        <w:rPr>
          <w:rFonts w:ascii="Verdana" w:hAnsi="Verdana" w:eastAsia="Century Gothic" w:cs="Century Gothic"/>
          <w:b/>
          <w:bCs/>
          <w:lang w:val="es-ES"/>
        </w:rPr>
      </w:pPr>
    </w:p>
    <w:tbl>
      <w:tblPr>
        <w:tblStyle w:val="Tablaconcuadrcula"/>
        <w:tblW w:w="0" w:type="auto"/>
        <w:jc w:val="center"/>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ook w:val="04A0" w:firstRow="1" w:lastRow="0" w:firstColumn="1" w:lastColumn="0" w:noHBand="0" w:noVBand="1"/>
      </w:tblPr>
      <w:tblGrid>
        <w:gridCol w:w="8828"/>
      </w:tblGrid>
      <w:tr w:rsidRPr="00593A5F" w:rsidR="006B036C" w:rsidTr="50365B4C" w14:paraId="1F194F08" w14:textId="77777777">
        <w:trPr>
          <w:jc w:val="center"/>
        </w:trPr>
        <w:tc>
          <w:tcPr>
            <w:tcW w:w="8828" w:type="dxa"/>
          </w:tcPr>
          <w:p w:rsidR="006B036C" w:rsidP="003129F5" w:rsidRDefault="006B036C" w14:paraId="7DCFEB42" w14:textId="77777777">
            <w:pPr>
              <w:spacing w:after="120" w:line="276" w:lineRule="auto"/>
              <w:jc w:val="both"/>
              <w:rPr>
                <w:rFonts w:ascii="Verdana" w:hAnsi="Verdana" w:eastAsia="Calibri" w:cs="Arial"/>
                <w:bCs/>
                <w:color w:val="000000" w:themeColor="text1"/>
                <w:lang w:val="es-ES_tradnl"/>
              </w:rPr>
            </w:pPr>
            <w:bookmarkStart w:name="_Hlk171694685" w:id="2"/>
            <w:r>
              <w:rPr>
                <w:rFonts w:ascii="Verdana" w:hAnsi="Verdana" w:eastAsia="Calibri" w:cs="Times New Roman"/>
                <w:iCs/>
                <w:lang w:val="es-ES"/>
              </w:rPr>
              <w:t xml:space="preserve">Conforme a la interpretación general de las normas del sistema de compras públicas, </w:t>
            </w:r>
            <w:r>
              <w:rPr>
                <w:rFonts w:ascii="Verdana" w:hAnsi="Verdana" w:eastAsia="Calibri" w:cs="Arial"/>
                <w:bCs/>
                <w:color w:val="000000" w:themeColor="text1"/>
                <w:lang w:val="es-ES_tradnl"/>
              </w:rPr>
              <w:t xml:space="preserve">más allá de la gestión y publicidad de los contratos estatales en el SECOP II, el consecutivo interno de los negocios suscritos es un tema del resorte exclusivo de las entidades contratantes. Al respecto, es necesario tener en cuenta que el consecutivo de los procesos de selección rara vez coincide con el de los contratos, pues aquellos terminan por causas como la revocatoria directa de la invitación, la declaratoria de desierta, etc., situaciones en la cuales no se suscribe negocio alguno. El manejo dicho aspecto hace parte de la gestión documental; razón por la cual, son un insumo para rendir informes a los órganos de control. </w:t>
            </w:r>
          </w:p>
          <w:p w:rsidR="006B036C" w:rsidP="003129F5" w:rsidRDefault="006B036C" w14:paraId="2C814129" w14:textId="77777777">
            <w:pPr>
              <w:spacing w:after="120" w:line="276" w:lineRule="auto"/>
              <w:ind w:firstLine="737"/>
              <w:jc w:val="both"/>
              <w:rPr>
                <w:rFonts w:ascii="Verdana" w:hAnsi="Verdana" w:eastAsia="Calibri" w:cs="Arial"/>
                <w:bCs/>
                <w:color w:val="000000" w:themeColor="text1"/>
                <w:lang w:val="es-ES_tradnl"/>
              </w:rPr>
            </w:pPr>
            <w:r>
              <w:rPr>
                <w:rFonts w:ascii="Verdana" w:hAnsi="Verdana" w:eastAsia="Calibri" w:cs="Arial"/>
                <w:bCs/>
                <w:color w:val="000000" w:themeColor="text1"/>
                <w:lang w:val="es-ES_tradnl"/>
              </w:rPr>
              <w:t xml:space="preserve">La asignación de los consecutivos no depende de la fecha de perfeccionamiento, sino de la asignación alfanumérica que adopte la entidad, pues lo normal es que la contratación directa sea más ágil y expedita que los demás procesos con pluralidad de oferentes previstos en el manual. En estos casos, a diferencia del orden que se adopta para la expedición de resoluciones </w:t>
            </w:r>
            <w:r>
              <w:rPr>
                <w:rFonts w:ascii="Verdana" w:hAnsi="Verdana" w:eastAsia="Calibri" w:cs="Arial"/>
                <w:bCs/>
                <w:color w:val="000000" w:themeColor="text1"/>
                <w:lang w:val="es-ES_tradnl"/>
              </w:rPr>
              <w:t>u otros actos administrativos, el orden los consecutivos de los contratos no necesariamente coincide con el orden de las fechas de perfeccionamiento.</w:t>
            </w:r>
          </w:p>
          <w:p w:rsidR="006B036C" w:rsidP="003129F5" w:rsidRDefault="006B036C" w14:paraId="75AD87CD" w14:textId="77777777">
            <w:pPr>
              <w:spacing w:after="120" w:line="276" w:lineRule="auto"/>
              <w:ind w:firstLine="737"/>
              <w:jc w:val="both"/>
              <w:rPr>
                <w:rFonts w:ascii="Verdana" w:hAnsi="Verdana" w:eastAsia="Calibri" w:cs="Arial"/>
                <w:bCs/>
                <w:color w:val="000000" w:themeColor="text1"/>
                <w:lang w:val="es-ES_tradnl"/>
              </w:rPr>
            </w:pPr>
            <w:r>
              <w:rPr>
                <w:rFonts w:ascii="Verdana" w:hAnsi="Verdana" w:eastAsia="Calibri" w:cs="Arial"/>
                <w:bCs/>
                <w:color w:val="000000" w:themeColor="text1"/>
                <w:lang w:val="es-ES_tradnl"/>
              </w:rPr>
              <w:t xml:space="preserve">En los regímenes especiales, por regla general, los contratos se perfeccionan con la aceptación de la oferta –artículos 845, 853 y 854 del Código de Comercio–. Asimismo, el artículo 860 </w:t>
            </w:r>
            <w:r w:rsidRPr="00760E10">
              <w:rPr>
                <w:rFonts w:ascii="Verdana" w:hAnsi="Verdana" w:eastAsia="Calibri" w:cs="Arial"/>
                <w:bCs/>
                <w:i/>
                <w:iCs/>
                <w:color w:val="000000" w:themeColor="text1"/>
                <w:lang w:val="es-ES_tradnl"/>
              </w:rPr>
              <w:t>ibidem</w:t>
            </w:r>
            <w:r>
              <w:rPr>
                <w:rFonts w:ascii="Verdana" w:hAnsi="Verdana" w:eastAsia="Calibri" w:cs="Arial"/>
                <w:bCs/>
                <w:i/>
                <w:iCs/>
                <w:color w:val="000000" w:themeColor="text1"/>
                <w:lang w:val="es-ES_tradnl"/>
              </w:rPr>
              <w:t xml:space="preserve"> </w:t>
            </w:r>
            <w:r>
              <w:rPr>
                <w:rFonts w:ascii="Verdana" w:hAnsi="Verdana" w:eastAsia="Calibri" w:cs="Arial"/>
                <w:bCs/>
                <w:color w:val="000000" w:themeColor="text1"/>
                <w:lang w:val="es-ES_tradnl"/>
              </w:rPr>
              <w:t>dispone que “</w:t>
            </w:r>
            <w:r w:rsidRPr="00760E10">
              <w:rPr>
                <w:rFonts w:ascii="Verdana" w:hAnsi="Verdana" w:eastAsia="Calibri" w:cs="Arial"/>
                <w:bCs/>
                <w:color w:val="000000" w:themeColor="text1"/>
                <w:lang w:val="es-ES_tradnl"/>
              </w:rPr>
              <w:t>En todo género de licitaciones, públicas o privadas, el pliego de cargos constituye una oferta de contrato y cada postura implica la celebración de un contrato condicionado a que no haya postura mejor. Hecha la adjudicación al mejor postor, se desecharán las demás</w:t>
            </w:r>
            <w:r>
              <w:rPr>
                <w:rFonts w:ascii="Verdana" w:hAnsi="Verdana" w:eastAsia="Calibri" w:cs="Arial"/>
                <w:bCs/>
                <w:color w:val="000000" w:themeColor="text1"/>
                <w:lang w:val="es-ES_tradnl"/>
              </w:rPr>
              <w:t>”</w:t>
            </w:r>
            <w:r w:rsidRPr="00760E10">
              <w:rPr>
                <w:rFonts w:ascii="Verdana" w:hAnsi="Verdana" w:eastAsia="Calibri" w:cs="Arial"/>
                <w:bCs/>
                <w:color w:val="000000" w:themeColor="text1"/>
                <w:lang w:val="es-ES_tradnl"/>
              </w:rPr>
              <w:t>.</w:t>
            </w:r>
            <w:r>
              <w:rPr>
                <w:rFonts w:ascii="Verdana" w:hAnsi="Verdana" w:eastAsia="Calibri" w:cs="Arial"/>
                <w:bCs/>
                <w:color w:val="000000" w:themeColor="text1"/>
                <w:lang w:val="es-ES_tradnl"/>
              </w:rPr>
              <w:t xml:space="preserve"> Luego, salvo que el contrato sea real o solemne, el solo consenso obliga a las partes en los términos del artículo 1500 del Código Civil. Sin embargo, las partes pueden acordar la suscripción de minutas contractuales después de la aceptación de la propuesta. Aunque el contrato se encuentre perfeccionado, dicha formalidad solo tiene carácter probatorio.</w:t>
            </w:r>
          </w:p>
          <w:p w:rsidR="006B036C" w:rsidP="003129F5" w:rsidRDefault="006B036C" w14:paraId="1D3FAF5F" w14:textId="2BB689A3">
            <w:pPr>
              <w:spacing w:after="120" w:line="276" w:lineRule="auto"/>
              <w:ind w:firstLine="709"/>
              <w:jc w:val="both"/>
              <w:rPr>
                <w:rFonts w:ascii="Verdana" w:hAnsi="Verdana" w:eastAsia="Calibri" w:cs="Arial"/>
                <w:color w:val="000000" w:themeColor="text1"/>
                <w:lang w:val="es-ES"/>
              </w:rPr>
            </w:pPr>
            <w:r w:rsidRPr="50365B4C">
              <w:rPr>
                <w:rFonts w:ascii="Verdana" w:hAnsi="Verdana" w:eastAsia="Calibri" w:cs="Arial"/>
                <w:color w:val="000000" w:themeColor="text1"/>
                <w:lang w:val="es-ES"/>
              </w:rPr>
              <w:t xml:space="preserve">Si no se cumple con la suscripción de la minuta en el </w:t>
            </w:r>
            <w:r w:rsidRPr="50365B4C">
              <w:rPr>
                <w:rFonts w:ascii="Verdana" w:hAnsi="Verdana" w:eastAsia="Calibri" w:cs="Arial"/>
                <w:i/>
                <w:color w:val="000000" w:themeColor="text1"/>
                <w:lang w:val="es-ES"/>
              </w:rPr>
              <w:t>módulo de publicidad</w:t>
            </w:r>
            <w:r w:rsidRPr="50365B4C">
              <w:rPr>
                <w:rFonts w:ascii="Verdana" w:hAnsi="Verdana" w:eastAsia="Calibri" w:cs="Arial"/>
                <w:color w:val="000000" w:themeColor="text1"/>
                <w:lang w:val="es-ES"/>
              </w:rPr>
              <w:t xml:space="preserve">, </w:t>
            </w:r>
            <w:r w:rsidRPr="50365B4C" w:rsidR="00FD58F2">
              <w:rPr>
                <w:rFonts w:ascii="Verdana" w:hAnsi="Verdana" w:eastAsia="Calibri" w:cs="Arial"/>
                <w:color w:val="000000" w:themeColor="text1"/>
                <w:lang w:val="es-ES"/>
              </w:rPr>
              <w:t>debe</w:t>
            </w:r>
            <w:r w:rsidRPr="50365B4C">
              <w:rPr>
                <w:rFonts w:ascii="Verdana" w:hAnsi="Verdana" w:eastAsia="Calibri" w:cs="Arial"/>
                <w:color w:val="000000" w:themeColor="text1"/>
                <w:lang w:val="es-ES"/>
              </w:rPr>
              <w:t xml:space="preserve"> dejar</w:t>
            </w:r>
            <w:r w:rsidRPr="50365B4C" w:rsidR="00FD58F2">
              <w:rPr>
                <w:rFonts w:ascii="Verdana" w:hAnsi="Verdana" w:eastAsia="Calibri" w:cs="Arial"/>
                <w:color w:val="000000" w:themeColor="text1"/>
                <w:lang w:val="es-ES"/>
              </w:rPr>
              <w:t>se</w:t>
            </w:r>
            <w:r w:rsidRPr="50365B4C">
              <w:rPr>
                <w:rFonts w:ascii="Verdana" w:hAnsi="Verdana" w:eastAsia="Calibri" w:cs="Arial"/>
                <w:color w:val="000000" w:themeColor="text1"/>
                <w:lang w:val="es-ES"/>
              </w:rPr>
              <w:t xml:space="preserve"> constancia de ello en el expediente contractual, teniendo en cuenta que</w:t>
            </w:r>
            <w:r w:rsidRPr="50365B4C" w:rsidR="00AE24D0">
              <w:rPr>
                <w:rFonts w:ascii="Verdana" w:hAnsi="Verdana" w:eastAsia="Calibri" w:cs="Arial"/>
                <w:color w:val="000000" w:themeColor="text1"/>
                <w:lang w:val="es-ES"/>
              </w:rPr>
              <w:t>,</w:t>
            </w:r>
            <w:r w:rsidRPr="50365B4C">
              <w:rPr>
                <w:rFonts w:ascii="Verdana" w:hAnsi="Verdana" w:eastAsia="Calibri" w:cs="Arial"/>
                <w:color w:val="000000" w:themeColor="text1"/>
                <w:lang w:val="es-ES"/>
              </w:rPr>
              <w:t xml:space="preserve"> si se emplea en el </w:t>
            </w:r>
            <w:r w:rsidRPr="50365B4C">
              <w:rPr>
                <w:rFonts w:ascii="Verdana" w:hAnsi="Verdana" w:eastAsia="Calibri" w:cs="Arial"/>
                <w:i/>
                <w:color w:val="000000" w:themeColor="text1"/>
                <w:lang w:val="es-ES"/>
              </w:rPr>
              <w:t>módulo transaccional</w:t>
            </w:r>
            <w:r w:rsidRPr="50365B4C">
              <w:rPr>
                <w:rFonts w:ascii="Verdana" w:hAnsi="Verdana" w:eastAsia="Calibri" w:cs="Arial"/>
                <w:color w:val="000000" w:themeColor="text1"/>
                <w:lang w:val="es-ES"/>
              </w:rPr>
              <w:t xml:space="preserve">, es necesaria la suscripción para que la plataforma entre en la fase de ejecución. En caso de que el proceso no finalice con la aceptación de la propuesta, basta con la publicación del acto que revoca la invitación o del que lo declara desierto, pues en estos casos no puede surgir ningún negocio jurídico. Finalmente, las minutas debe suscribirlas el representante legal a través de la cuenta del proveedor del SECOP II, en los plazos que disponga el cronograma del proceso de selección. Lo anterior, en la medida solo éste puede obligar a la persona jurídica, ya que “Lo que una persona ejecuta a nombre de otra, estando facultada por ella o por la ley para representarla, produce respecto del representado iguales efectos que si hubiese contratado él mismo” –artículo 1505 del Código Civil–. </w:t>
            </w:r>
          </w:p>
          <w:p w:rsidRPr="00DF6ECB" w:rsidR="006B036C" w:rsidP="003129F5" w:rsidRDefault="006B036C" w14:paraId="2F379891" w14:textId="77777777">
            <w:pPr>
              <w:spacing w:line="276" w:lineRule="auto"/>
              <w:ind w:firstLine="737"/>
              <w:jc w:val="both"/>
              <w:rPr>
                <w:rFonts w:ascii="Verdana" w:hAnsi="Verdana" w:eastAsia="Calibri" w:cs="Arial"/>
                <w:color w:val="000000" w:themeColor="text1"/>
              </w:rPr>
            </w:pPr>
            <w:r>
              <w:rPr>
                <w:rFonts w:ascii="Verdana" w:hAnsi="Verdana" w:eastAsia="Calibri" w:cs="Arial"/>
                <w:color w:val="000000" w:themeColor="text1"/>
              </w:rPr>
              <w:t>L</w:t>
            </w:r>
            <w:r w:rsidRPr="00651574">
              <w:rPr>
                <w:rFonts w:ascii="Verdana" w:hAnsi="Verdana" w:eastAsia="Calibri" w:cs="Arial"/>
                <w:color w:val="000000" w:themeColor="text1"/>
              </w:rPr>
              <w:t xml:space="preserve">a Agencia Nacional de Contratación Pública – Colombia Compra Eficiente fue creada por el Decreto Ley 4170 de 2011, como una Unidad Administrativa Especial, descentralizada de la Rama Ejecutiva del orden nacional, adscrita al Departamento Nacional de Planeación. El legislador determinó que su objetivo sería servir como ente rector de la política de compras y contratación, al ser consciente de la necesidad de contar en la estructura del Estado con un órgano técnico especializado que asumiera la </w:t>
            </w:r>
            <w:r w:rsidRPr="00651574">
              <w:rPr>
                <w:rFonts w:ascii="Verdana" w:hAnsi="Verdana" w:eastAsia="Calibri" w:cs="Arial"/>
                <w:color w:val="000000" w:themeColor="text1"/>
              </w:rPr>
              <w:t xml:space="preserve">tarea de </w:t>
            </w:r>
            <w:r>
              <w:rPr>
                <w:rFonts w:ascii="Verdana" w:hAnsi="Verdana" w:eastAsia="Calibri" w:cs="Arial"/>
                <w:color w:val="000000" w:themeColor="text1"/>
              </w:rPr>
              <w:t>asesorar a las entidades públicas en la formulación de</w:t>
            </w:r>
            <w:r w:rsidRPr="00651574">
              <w:rPr>
                <w:rFonts w:ascii="Verdana" w:hAnsi="Verdana" w:eastAsia="Calibri" w:cs="Arial"/>
                <w:color w:val="000000" w:themeColor="text1"/>
              </w:rPr>
              <w:t xml:space="preserve"> políticas </w:t>
            </w:r>
            <w:r>
              <w:rPr>
                <w:rFonts w:ascii="Verdana" w:hAnsi="Verdana" w:eastAsia="Calibri" w:cs="Arial"/>
                <w:color w:val="000000" w:themeColor="text1"/>
              </w:rPr>
              <w:t>y</w:t>
            </w:r>
            <w:r w:rsidRPr="00651574">
              <w:rPr>
                <w:rFonts w:ascii="Verdana" w:hAnsi="Verdana" w:eastAsia="Calibri" w:cs="Arial"/>
                <w:color w:val="000000" w:themeColor="text1"/>
              </w:rPr>
              <w:t xml:space="preserve"> normas </w:t>
            </w:r>
            <w:r>
              <w:rPr>
                <w:rFonts w:ascii="Verdana" w:hAnsi="Verdana" w:eastAsia="Calibri" w:cs="Arial"/>
                <w:color w:val="000000" w:themeColor="text1"/>
              </w:rPr>
              <w:t>para</w:t>
            </w:r>
            <w:r w:rsidRPr="00651574">
              <w:rPr>
                <w:rFonts w:ascii="Verdana" w:hAnsi="Verdana" w:eastAsia="Calibri" w:cs="Arial"/>
                <w:color w:val="000000" w:themeColor="text1"/>
              </w:rPr>
              <w:t xml:space="preserve"> unificar los procesos de contratación estatal</w:t>
            </w:r>
            <w:r>
              <w:rPr>
                <w:rFonts w:ascii="Verdana" w:hAnsi="Verdana" w:eastAsia="Calibri" w:cs="Arial"/>
                <w:color w:val="000000" w:themeColor="text1"/>
              </w:rPr>
              <w:t>. De acuerdo con esta naturaleza jurídica</w:t>
            </w:r>
            <w:r w:rsidRPr="00651574">
              <w:rPr>
                <w:rFonts w:ascii="Verdana" w:hAnsi="Verdana" w:eastAsia="Calibri" w:cs="Arial"/>
                <w:color w:val="000000" w:themeColor="text1"/>
              </w:rPr>
              <w:t xml:space="preserve">, se aclara que la Agencia </w:t>
            </w:r>
            <w:r>
              <w:rPr>
                <w:rFonts w:ascii="Verdana" w:hAnsi="Verdana" w:eastAsia="Calibri" w:cs="Arial"/>
                <w:color w:val="000000" w:themeColor="text1"/>
              </w:rPr>
              <w:t>no es titular del control fiscal, por lo cual corresponde a la Contraloría General de la República determinar qué conductas son constitutivas de irregularidad, responsabilidad o hallazgo de gestión.</w:t>
            </w:r>
            <w:r>
              <w:rPr>
                <w:rFonts w:ascii="Verdana" w:hAnsi="Verdana" w:eastAsia="Calibri" w:cs="Arial"/>
                <w:bCs/>
                <w:color w:val="000000" w:themeColor="text1"/>
                <w:lang w:val="es-ES_tradnl"/>
              </w:rPr>
              <w:t xml:space="preserve"> </w:t>
            </w:r>
          </w:p>
          <w:p w:rsidRPr="001A09C8" w:rsidR="006B036C" w:rsidP="003129F5" w:rsidRDefault="006B036C" w14:paraId="02E4D057" w14:textId="77777777">
            <w:pPr>
              <w:spacing w:before="120" w:line="276" w:lineRule="auto"/>
              <w:ind w:firstLine="737"/>
              <w:jc w:val="both"/>
              <w:rPr>
                <w:rFonts w:ascii="Verdana" w:hAnsi="Verdana" w:eastAsia="Calibri" w:cs="Arial"/>
                <w:bCs/>
                <w:color w:val="000000" w:themeColor="text1"/>
              </w:rPr>
            </w:pPr>
            <w:r w:rsidRPr="00E853DE">
              <w:rPr>
                <w:rFonts w:ascii="Verdana" w:hAnsi="Verdana" w:eastAsia="Calibri" w:cs="Arial"/>
                <w:bCs/>
                <w:color w:val="000000" w:themeColor="text1"/>
              </w:rPr>
              <w:t xml:space="preserve">Al margen de la explicación precedente debe advertirse que </w:t>
            </w:r>
            <w:r w:rsidRPr="001941FD">
              <w:rPr>
                <w:rStyle w:val="s15"/>
                <w:rFonts w:ascii="Verdana" w:hAnsi="Verdana"/>
                <w:color w:val="000000"/>
              </w:rPr>
              <w:t xml:space="preserve">el análisis requerido para resolver problemas específicos en torno </w:t>
            </w:r>
            <w:r>
              <w:rPr>
                <w:rStyle w:val="s15"/>
                <w:rFonts w:ascii="Verdana" w:hAnsi="Verdana"/>
                <w:color w:val="000000"/>
              </w:rPr>
              <w:t>a la gestión contractual</w:t>
            </w:r>
            <w:r w:rsidRPr="001941FD">
              <w:rPr>
                <w:rStyle w:val="s15"/>
                <w:rFonts w:ascii="Verdana" w:hAnsi="Verdana"/>
                <w:color w:val="000000"/>
              </w:rPr>
              <w:t xml:space="preserve"> debe ser realizado por quienes tengan interés en ello, de acuerdo con lo explicado la aclaración preliminar del presente oficio.</w:t>
            </w:r>
            <w:r w:rsidRPr="001941FD">
              <w:rPr>
                <w:rStyle w:val="apple-converted-space"/>
                <w:rFonts w:ascii="Verdana" w:hAnsi="Verdana"/>
                <w:color w:val="000000"/>
              </w:rPr>
              <w:t> </w:t>
            </w:r>
            <w:r w:rsidRPr="001941FD">
              <w:rPr>
                <w:rStyle w:val="s15"/>
                <w:rFonts w:ascii="Verdana" w:hAnsi="Verdana"/>
                <w:color w:val="000000"/>
              </w:rPr>
              <w:t>Por lo anterior, previo</w:t>
            </w:r>
            <w:r w:rsidRPr="001941FD">
              <w:rPr>
                <w:rStyle w:val="apple-converted-space"/>
                <w:rFonts w:ascii="Verdana" w:hAnsi="Verdana"/>
                <w:color w:val="000000"/>
              </w:rPr>
              <w:t> </w:t>
            </w:r>
            <w:r w:rsidRPr="001941FD">
              <w:rPr>
                <w:rStyle w:val="s15"/>
                <w:rFonts w:ascii="Verdana" w:hAnsi="Verdana"/>
                <w:color w:val="000000"/>
              </w:rPr>
              <w:t>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r>
              <w:rPr>
                <w:rStyle w:val="s15"/>
                <w:rFonts w:ascii="Verdana" w:hAnsi="Verdana"/>
                <w:color w:val="000000"/>
              </w:rPr>
              <w:t xml:space="preserve"> </w:t>
            </w:r>
            <w:r>
              <w:rPr>
                <w:rFonts w:ascii="Verdana" w:hAnsi="Verdana" w:eastAsia="Calibri" w:cs="Arial"/>
                <w:bCs/>
                <w:color w:val="000000" w:themeColor="text1"/>
              </w:rPr>
              <w:t xml:space="preserve">Cualquier consulta adicional sobre el manejo operativo del SECOP debe dirigirse a la </w:t>
            </w:r>
            <w:r w:rsidRPr="000F6273">
              <w:rPr>
                <w:rFonts w:ascii="Verdana" w:hAnsi="Verdana" w:eastAsia="Calibri" w:cs="Arial"/>
                <w:bCs/>
                <w:color w:val="000000" w:themeColor="text1"/>
              </w:rPr>
              <w:t>Subdirección de Información y Desarrollo Tecnológico</w:t>
            </w:r>
            <w:r>
              <w:rPr>
                <w:rFonts w:ascii="Verdana" w:hAnsi="Verdana" w:eastAsia="Calibri" w:cs="Arial"/>
                <w:bCs/>
                <w:color w:val="000000" w:themeColor="text1"/>
              </w:rPr>
              <w:t xml:space="preserve"> de la ANCP – CCE conforme al artículo 13.4 del Decreto Ley 4170 de 2011.</w:t>
            </w:r>
          </w:p>
        </w:tc>
      </w:tr>
    </w:tbl>
    <w:p w:rsidRPr="00593A5F" w:rsidR="006B036C" w:rsidP="006B036C" w:rsidRDefault="006B036C" w14:paraId="28F9ACF1" w14:textId="77777777">
      <w:pPr>
        <w:tabs>
          <w:tab w:val="left" w:pos="142"/>
          <w:tab w:val="left" w:pos="284"/>
        </w:tabs>
        <w:spacing w:after="0" w:line="276" w:lineRule="auto"/>
        <w:jc w:val="both"/>
        <w:rPr>
          <w:rFonts w:ascii="Verdana" w:hAnsi="Verdana" w:eastAsia="Century Gothic" w:cs="Century Gothic"/>
          <w:b/>
          <w:bCs/>
          <w:lang w:val="es-ES"/>
        </w:rPr>
      </w:pPr>
    </w:p>
    <w:bookmarkEnd w:id="2"/>
    <w:p w:rsidRPr="00593A5F" w:rsidR="006B036C" w:rsidP="006B036C" w:rsidRDefault="006B036C" w14:paraId="0D6C6B87" w14:textId="77777777">
      <w:pPr>
        <w:pStyle w:val="Prrafodelista"/>
        <w:numPr>
          <w:ilvl w:val="0"/>
          <w:numId w:val="16"/>
        </w:numPr>
        <w:tabs>
          <w:tab w:val="left" w:pos="142"/>
          <w:tab w:val="left" w:pos="284"/>
        </w:tabs>
        <w:spacing w:after="0" w:line="276" w:lineRule="auto"/>
        <w:ind w:left="0" w:firstLine="0"/>
        <w:contextualSpacing w:val="0"/>
        <w:jc w:val="both"/>
        <w:rPr>
          <w:rFonts w:ascii="Verdana" w:hAnsi="Verdana" w:eastAsia="Century Gothic" w:cs="Century Gothic"/>
          <w:b/>
          <w:bCs/>
        </w:rPr>
      </w:pPr>
      <w:r w:rsidRPr="00593A5F">
        <w:rPr>
          <w:rFonts w:ascii="Verdana" w:hAnsi="Verdana" w:eastAsia="Century Gothic" w:cs="Century Gothic"/>
          <w:b/>
          <w:bCs/>
        </w:rPr>
        <w:t>Razones de la respuesta:</w:t>
      </w:r>
    </w:p>
    <w:p w:rsidRPr="00593A5F" w:rsidR="006B036C" w:rsidP="006B036C" w:rsidRDefault="006B036C" w14:paraId="1365C295" w14:textId="77777777">
      <w:pPr>
        <w:spacing w:after="0" w:line="276" w:lineRule="auto"/>
        <w:jc w:val="both"/>
        <w:rPr>
          <w:rFonts w:ascii="Verdana" w:hAnsi="Verdana" w:eastAsia="Calibri" w:cs="Arial"/>
          <w:color w:val="7030A0"/>
          <w:lang w:val="es-ES"/>
        </w:rPr>
      </w:pPr>
    </w:p>
    <w:p w:rsidR="006B036C" w:rsidP="006B036C" w:rsidRDefault="006B036C" w14:paraId="41E68BDF" w14:textId="77777777">
      <w:pPr>
        <w:spacing w:after="0" w:line="276" w:lineRule="auto"/>
        <w:jc w:val="both"/>
        <w:rPr>
          <w:rFonts w:ascii="Verdana" w:hAnsi="Verdana" w:eastAsia="Calibri" w:cs="Arial"/>
          <w:lang w:val="es-ES"/>
        </w:rPr>
      </w:pPr>
      <w:r w:rsidRPr="00B96799">
        <w:rPr>
          <w:rFonts w:ascii="Verdana" w:hAnsi="Verdana" w:eastAsia="Calibri" w:cs="Arial"/>
          <w:lang w:val="es-ES"/>
        </w:rPr>
        <w:t>Lo anterior se sustenta en las siguientes consideraciones:</w:t>
      </w:r>
    </w:p>
    <w:p w:rsidRPr="00415608" w:rsidR="006B036C" w:rsidP="006B036C" w:rsidRDefault="006B036C" w14:paraId="4490B743" w14:textId="77777777">
      <w:pPr>
        <w:spacing w:after="0" w:line="276" w:lineRule="auto"/>
        <w:jc w:val="both"/>
        <w:rPr>
          <w:rFonts w:ascii="Verdana" w:hAnsi="Verdana" w:eastAsia="Calibri" w:cs="Arial"/>
          <w:lang w:val="es-ES"/>
        </w:rPr>
      </w:pPr>
    </w:p>
    <w:p w:rsidRPr="0035328D" w:rsidR="006B036C" w:rsidP="006B036C" w:rsidRDefault="006B036C" w14:paraId="7ED36997" w14:textId="77777777">
      <w:pPr>
        <w:spacing w:after="120" w:line="276" w:lineRule="auto"/>
        <w:jc w:val="both"/>
        <w:rPr>
          <w:rFonts w:ascii="Verdana" w:hAnsi="Verdana" w:cs="Arial"/>
          <w:lang w:val="es-ES"/>
        </w:rPr>
      </w:pPr>
      <w:r>
        <w:rPr>
          <w:rFonts w:ascii="Verdana" w:hAnsi="Verdana" w:cs="Arial"/>
          <w:lang w:val="es-ES"/>
        </w:rPr>
        <w:t>i. D</w:t>
      </w:r>
      <w:r w:rsidRPr="0035328D">
        <w:rPr>
          <w:rFonts w:ascii="Verdana" w:hAnsi="Verdana" w:cs="Arial"/>
          <w:lang w:val="es-ES"/>
        </w:rPr>
        <w:t xml:space="preserve">e acuerdo con el inciso final del artículo 150 superior, corresponde al Congreso de la República expedir el </w:t>
      </w:r>
      <w:r>
        <w:rPr>
          <w:rFonts w:ascii="Verdana" w:hAnsi="Verdana" w:cs="Arial"/>
          <w:lang w:val="es-ES"/>
        </w:rPr>
        <w:t>E</w:t>
      </w:r>
      <w:r w:rsidRPr="0035328D">
        <w:rPr>
          <w:rFonts w:ascii="Verdana" w:hAnsi="Verdana" w:cs="Arial"/>
          <w:lang w:val="es-ES"/>
        </w:rPr>
        <w:t xml:space="preserve">statuto </w:t>
      </w:r>
      <w:r>
        <w:rPr>
          <w:rFonts w:ascii="Verdana" w:hAnsi="Verdana" w:cs="Arial"/>
          <w:lang w:val="es-ES"/>
        </w:rPr>
        <w:t>G</w:t>
      </w:r>
      <w:r w:rsidRPr="0035328D">
        <w:rPr>
          <w:rFonts w:ascii="Verdana" w:hAnsi="Verdana" w:cs="Arial"/>
          <w:lang w:val="es-ES"/>
        </w:rPr>
        <w:t xml:space="preserve">eneral de </w:t>
      </w:r>
      <w:r>
        <w:rPr>
          <w:rFonts w:ascii="Verdana" w:hAnsi="Verdana" w:cs="Arial"/>
          <w:lang w:val="es-ES"/>
        </w:rPr>
        <w:t>C</w:t>
      </w:r>
      <w:r w:rsidRPr="0035328D">
        <w:rPr>
          <w:rFonts w:ascii="Verdana" w:hAnsi="Verdana" w:cs="Arial"/>
          <w:lang w:val="es-ES"/>
        </w:rPr>
        <w:t xml:space="preserve">ontratación de la </w:t>
      </w:r>
      <w:r>
        <w:rPr>
          <w:rFonts w:ascii="Verdana" w:hAnsi="Verdana" w:cs="Arial"/>
          <w:lang w:val="es-ES"/>
        </w:rPr>
        <w:t>A</w:t>
      </w:r>
      <w:r w:rsidRPr="0035328D">
        <w:rPr>
          <w:rFonts w:ascii="Verdana" w:hAnsi="Verdana" w:cs="Arial"/>
          <w:lang w:val="es-ES"/>
        </w:rPr>
        <w:t xml:space="preserve">dministración </w:t>
      </w:r>
      <w:r>
        <w:rPr>
          <w:rFonts w:ascii="Verdana" w:hAnsi="Verdana" w:cs="Arial"/>
          <w:lang w:val="es-ES"/>
        </w:rPr>
        <w:t>P</w:t>
      </w:r>
      <w:r w:rsidRPr="0035328D">
        <w:rPr>
          <w:rFonts w:ascii="Verdana" w:hAnsi="Verdana" w:cs="Arial"/>
          <w:lang w:val="es-ES"/>
        </w:rPr>
        <w:t xml:space="preserve">ública y, en especial, de la </w:t>
      </w:r>
      <w:r>
        <w:rPr>
          <w:rFonts w:ascii="Verdana" w:hAnsi="Verdana" w:cs="Arial"/>
          <w:lang w:val="es-ES"/>
        </w:rPr>
        <w:t>A</w:t>
      </w:r>
      <w:r w:rsidRPr="0035328D">
        <w:rPr>
          <w:rFonts w:ascii="Verdana" w:hAnsi="Verdana" w:cs="Arial"/>
          <w:lang w:val="es-ES"/>
        </w:rPr>
        <w:t xml:space="preserve">dministración </w:t>
      </w:r>
      <w:r>
        <w:rPr>
          <w:rFonts w:ascii="Verdana" w:hAnsi="Verdana" w:cs="Arial"/>
          <w:lang w:val="es-ES"/>
        </w:rPr>
        <w:t>N</w:t>
      </w:r>
      <w:r w:rsidRPr="0035328D">
        <w:rPr>
          <w:rFonts w:ascii="Verdana" w:hAnsi="Verdana" w:cs="Arial"/>
          <w:lang w:val="es-ES"/>
        </w:rPr>
        <w:t xml:space="preserve">acional. Esta competencia fue ejercida con la expedición de la Ley 80 de 1993, la cual rige para las </w:t>
      </w:r>
      <w:r w:rsidRPr="00F34258">
        <w:rPr>
          <w:rFonts w:ascii="Verdana" w:hAnsi="Verdana" w:cs="Arial"/>
          <w:i/>
          <w:iCs/>
          <w:lang w:val="es-ES"/>
        </w:rPr>
        <w:t>entidades estatales</w:t>
      </w:r>
      <w:r w:rsidRPr="0035328D">
        <w:rPr>
          <w:rFonts w:ascii="Verdana" w:hAnsi="Verdana" w:cs="Arial"/>
          <w:lang w:val="es-ES"/>
        </w:rPr>
        <w:t xml:space="preserve">, esto es, aquellas previstas en los literales a) y b) del numeral 1 del artículo 2 </w:t>
      </w:r>
      <w:r w:rsidRPr="0035328D">
        <w:rPr>
          <w:rFonts w:ascii="Verdana" w:hAnsi="Verdana" w:cs="Arial"/>
          <w:i/>
          <w:iCs/>
          <w:lang w:val="es-ES"/>
        </w:rPr>
        <w:t>ibidem</w:t>
      </w:r>
      <w:r w:rsidRPr="0035328D">
        <w:rPr>
          <w:rFonts w:ascii="Verdana" w:hAnsi="Verdana" w:cs="Arial"/>
          <w:lang w:val="es-ES"/>
        </w:rPr>
        <w:t xml:space="preserve">. La norma citada define la competencia contractual en los siguientes términos: </w:t>
      </w:r>
    </w:p>
    <w:p w:rsidRPr="0035328D" w:rsidR="006B036C" w:rsidP="006B036C" w:rsidRDefault="006B036C" w14:paraId="0F86C769" w14:textId="77777777">
      <w:pPr>
        <w:spacing w:after="120" w:line="276" w:lineRule="auto"/>
        <w:ind w:firstLine="708"/>
        <w:jc w:val="both"/>
        <w:rPr>
          <w:rFonts w:ascii="Verdana" w:hAnsi="Verdana" w:cs="Arial"/>
          <w:lang w:val="es-ES"/>
        </w:rPr>
      </w:pPr>
      <w:r w:rsidRPr="0035328D">
        <w:rPr>
          <w:rFonts w:ascii="Verdana" w:hAnsi="Verdana" w:cs="Arial"/>
          <w:lang w:val="es-ES"/>
        </w:rPr>
        <w:t>El literal a) aplica a las entidades con personería jurídica</w:t>
      </w:r>
      <w:r>
        <w:rPr>
          <w:rFonts w:ascii="Verdana" w:hAnsi="Verdana" w:cs="Arial"/>
          <w:lang w:val="es-ES"/>
        </w:rPr>
        <w:t>.</w:t>
      </w:r>
      <w:r w:rsidRPr="0035328D">
        <w:rPr>
          <w:rFonts w:ascii="Verdana" w:hAnsi="Verdana" w:cs="Arial"/>
          <w:lang w:val="es-ES"/>
        </w:rPr>
        <w:t xml:space="preserve"> </w:t>
      </w:r>
      <w:r>
        <w:rPr>
          <w:rFonts w:ascii="Verdana" w:hAnsi="Verdana" w:cs="Arial"/>
          <w:lang w:val="es-ES"/>
        </w:rPr>
        <w:t>A</w:t>
      </w:r>
      <w:r w:rsidRPr="0035328D">
        <w:rPr>
          <w:rFonts w:ascii="Verdana" w:hAnsi="Verdana" w:cs="Arial"/>
          <w:lang w:val="es-ES"/>
        </w:rPr>
        <w:t xml:space="preserve">lude 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w:t>
      </w:r>
      <w:r w:rsidRPr="0035328D">
        <w:rPr>
          <w:rFonts w:ascii="Verdana" w:hAnsi="Verdana" w:cs="Arial"/>
          <w:lang w:val="es-ES"/>
        </w:rPr>
        <w:t xml:space="preserve">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w:t>
      </w:r>
    </w:p>
    <w:p w:rsidR="006B036C" w:rsidP="006B036C" w:rsidRDefault="006B036C" w14:paraId="409CBCDE" w14:textId="77777777">
      <w:pPr>
        <w:spacing w:after="120" w:line="276" w:lineRule="auto"/>
        <w:ind w:firstLine="708"/>
        <w:jc w:val="both"/>
        <w:rPr>
          <w:rFonts w:ascii="Verdana" w:hAnsi="Verdana" w:cs="Arial"/>
          <w:lang w:val="es-ES"/>
        </w:rPr>
      </w:pPr>
      <w:r w:rsidRPr="0035328D">
        <w:rPr>
          <w:rFonts w:ascii="Verdana" w:hAnsi="Verdana" w:cs="Arial"/>
          <w:lang w:val="es-ES"/>
        </w:rPr>
        <w:t>En contraste, el literal b) rige para las autoridades que carecen de personería, pero a las que el ordenamiento les otorga “capacidad” para celebrar contratos. Estas entidades son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De acuerdo con el artículo 352 superior, este último apartado debe armonizarse con el artículo 110 del Decreto 111 de 1996, modificado por el artículo 124 de la Ley 1957 de 2019</w:t>
      </w:r>
      <w:r w:rsidRPr="0035328D">
        <w:rPr>
          <w:rStyle w:val="Refdenotaalpie"/>
          <w:rFonts w:ascii="Verdana" w:hAnsi="Verdana" w:cs="Arial"/>
          <w:lang w:val="es-ES"/>
        </w:rPr>
        <w:footnoteReference w:id="2"/>
      </w:r>
      <w:r w:rsidRPr="0035328D">
        <w:rPr>
          <w:rFonts w:ascii="Verdana" w:hAnsi="Verdana" w:cs="Arial"/>
          <w:lang w:val="es-ES"/>
        </w:rPr>
        <w:t xml:space="preserve">. </w:t>
      </w:r>
    </w:p>
    <w:p w:rsidR="006B036C" w:rsidP="006B036C" w:rsidRDefault="006B036C" w14:paraId="5806738D" w14:textId="77777777">
      <w:pPr>
        <w:spacing w:after="0" w:line="276" w:lineRule="auto"/>
        <w:ind w:firstLine="709"/>
        <w:jc w:val="both"/>
        <w:rPr>
          <w:rFonts w:ascii="Verdana" w:hAnsi="Verdana" w:cs="Arial"/>
          <w:bCs/>
          <w:lang w:val="es-MX"/>
        </w:rPr>
      </w:pPr>
      <w:r w:rsidRPr="00F34258">
        <w:rPr>
          <w:rFonts w:ascii="Verdana" w:hAnsi="Verdana" w:cs="Arial"/>
          <w:lang w:val="es-ES"/>
        </w:rPr>
        <w:t xml:space="preserve">Para las entidades de los párrafos anteriores, </w:t>
      </w:r>
      <w:r>
        <w:rPr>
          <w:rFonts w:ascii="Verdana" w:hAnsi="Verdana" w:cs="Arial"/>
          <w:lang w:val="es-ES"/>
        </w:rPr>
        <w:t xml:space="preserve">sin perjuicio de las excepciones puntales a la aplicación del EGCAP, </w:t>
      </w:r>
      <w:r w:rsidRPr="00F34258">
        <w:rPr>
          <w:rFonts w:ascii="Verdana" w:hAnsi="Verdana" w:cs="Arial"/>
          <w:lang w:val="es-ES"/>
        </w:rPr>
        <w:t xml:space="preserve">los procesos de selección se rigen por el artículo 2 de la Ley 1150 de 2007. El </w:t>
      </w:r>
      <w:r w:rsidRPr="00F34258">
        <w:rPr>
          <w:rFonts w:ascii="Verdana" w:hAnsi="Verdana" w:cs="Arial"/>
          <w:bCs/>
          <w:lang w:val="es-MX"/>
        </w:rPr>
        <w:t xml:space="preserve">numeral uno, inciso primero, dispone que “La escogencia del contratista se efectuará por </w:t>
      </w:r>
      <w:r w:rsidRPr="00F34258">
        <w:rPr>
          <w:rFonts w:ascii="Verdana" w:hAnsi="Verdana" w:cs="Arial"/>
          <w:bCs/>
          <w:i/>
          <w:iCs/>
          <w:lang w:val="es-MX"/>
        </w:rPr>
        <w:t>regla general</w:t>
      </w:r>
      <w:r w:rsidRPr="00F34258">
        <w:rPr>
          <w:rFonts w:ascii="Verdana" w:hAnsi="Verdana" w:cs="Arial"/>
          <w:bCs/>
          <w:lang w:val="es-MX"/>
        </w:rPr>
        <w:t xml:space="preserve"> a través de licitación pública, con las </w:t>
      </w:r>
      <w:r w:rsidRPr="00F34258">
        <w:rPr>
          <w:rFonts w:ascii="Verdana" w:hAnsi="Verdana" w:cs="Arial"/>
          <w:bCs/>
          <w:i/>
          <w:iCs/>
          <w:lang w:val="es-MX"/>
        </w:rPr>
        <w:t>excepciones</w:t>
      </w:r>
      <w:r w:rsidRPr="00F34258">
        <w:rPr>
          <w:rFonts w:ascii="Verdana" w:hAnsi="Verdana" w:cs="Arial"/>
          <w:bCs/>
          <w:lang w:val="es-MX"/>
        </w:rPr>
        <w:t xml:space="preserve"> que se señalan en los numerales 2, 3 y 4 del presente artículo”</w:t>
      </w:r>
      <w:r>
        <w:rPr>
          <w:rFonts w:ascii="Verdana" w:hAnsi="Verdana" w:cs="Arial"/>
          <w:bCs/>
          <w:lang w:val="es-MX"/>
        </w:rPr>
        <w:t xml:space="preserve"> (Énfasis fuera de texto)</w:t>
      </w:r>
      <w:r w:rsidRPr="00F34258">
        <w:rPr>
          <w:rFonts w:ascii="Verdana" w:hAnsi="Verdana" w:cs="Arial"/>
          <w:bCs/>
          <w:lang w:val="es-MX"/>
        </w:rPr>
        <w:t>, norma que sustituye el derogado numeral 1 del artículo 24 de la Ley 80 de 1993 sobre el principio de transparencia</w:t>
      </w:r>
      <w:r w:rsidRPr="00F34258">
        <w:rPr>
          <w:rFonts w:ascii="Verdana" w:hAnsi="Verdana" w:cs="Arial"/>
          <w:bCs/>
          <w:vertAlign w:val="superscript"/>
          <w:lang w:val="es-MX"/>
        </w:rPr>
        <w:footnoteReference w:id="3"/>
      </w:r>
      <w:r w:rsidRPr="00F34258">
        <w:rPr>
          <w:rFonts w:ascii="Verdana" w:hAnsi="Verdana" w:cs="Arial"/>
          <w:bCs/>
          <w:lang w:val="es-MX"/>
        </w:rPr>
        <w:t xml:space="preserve">. En este contexto, salvo norma especial que ordene la celebración </w:t>
      </w:r>
      <w:r w:rsidRPr="00F34258">
        <w:rPr>
          <w:rFonts w:ascii="Verdana" w:hAnsi="Verdana" w:cs="Arial"/>
          <w:bCs/>
          <w:lang w:val="es-MX"/>
        </w:rPr>
        <w:t xml:space="preserve">del negocio jurídico por </w:t>
      </w:r>
      <w:r>
        <w:rPr>
          <w:rFonts w:ascii="Verdana" w:hAnsi="Verdana" w:cs="Arial"/>
          <w:bCs/>
          <w:lang w:val="es-MX"/>
        </w:rPr>
        <w:t>selección abreviada, concurso de méritos, mínima cuantía o contratación directa</w:t>
      </w:r>
      <w:r w:rsidRPr="00F34258">
        <w:rPr>
          <w:rFonts w:ascii="Verdana" w:hAnsi="Verdana" w:cs="Arial"/>
          <w:bCs/>
          <w:lang w:val="es-MX"/>
        </w:rPr>
        <w:t>, debe aplicarse la regla general de licitación pública</w:t>
      </w:r>
      <w:r w:rsidRPr="00F34258">
        <w:rPr>
          <w:rFonts w:ascii="Verdana" w:hAnsi="Verdana" w:cs="Arial"/>
          <w:bCs/>
          <w:vertAlign w:val="superscript"/>
          <w:lang w:val="es-MX"/>
        </w:rPr>
        <w:footnoteReference w:id="4"/>
      </w:r>
      <w:r w:rsidRPr="00F34258">
        <w:rPr>
          <w:rFonts w:ascii="Verdana" w:hAnsi="Verdana" w:cs="Arial"/>
          <w:bCs/>
          <w:lang w:val="es-MX"/>
        </w:rPr>
        <w:t>.</w:t>
      </w:r>
    </w:p>
    <w:p w:rsidR="006B036C" w:rsidP="006B036C" w:rsidRDefault="006B036C" w14:paraId="0A8BDF70" w14:textId="77777777">
      <w:pPr>
        <w:spacing w:after="0" w:line="276" w:lineRule="auto"/>
        <w:ind w:firstLine="709"/>
        <w:jc w:val="both"/>
        <w:rPr>
          <w:rFonts w:ascii="Verdana" w:hAnsi="Verdana" w:cs="Arial"/>
          <w:bCs/>
          <w:lang w:val="es-MX"/>
        </w:rPr>
      </w:pPr>
    </w:p>
    <w:p w:rsidRPr="00AD2699" w:rsidR="006B036C" w:rsidP="006B036C" w:rsidRDefault="006B036C" w14:paraId="33077ECA" w14:textId="77777777">
      <w:pPr>
        <w:spacing w:after="120" w:line="276" w:lineRule="auto"/>
        <w:jc w:val="both"/>
        <w:rPr>
          <w:rFonts w:ascii="Verdana" w:hAnsi="Verdana" w:cs="Arial"/>
          <w:bCs/>
          <w:lang w:val="es-MX"/>
        </w:rPr>
      </w:pPr>
      <w:proofErr w:type="spellStart"/>
      <w:r>
        <w:rPr>
          <w:rFonts w:ascii="Verdana" w:hAnsi="Verdana" w:cs="Arial"/>
          <w:bCs/>
        </w:rPr>
        <w:t>ii</w:t>
      </w:r>
      <w:proofErr w:type="spellEnd"/>
      <w:r>
        <w:rPr>
          <w:rFonts w:ascii="Verdana" w:hAnsi="Verdana" w:cs="Arial"/>
          <w:bCs/>
        </w:rPr>
        <w:t>. Pese a lo anterior, no resulta extraño que el sistema de compras públicas</w:t>
      </w:r>
      <w:r w:rsidRPr="00FB2E1F">
        <w:rPr>
          <w:rFonts w:ascii="Verdana" w:hAnsi="Verdana" w:cs="Arial"/>
          <w:bCs/>
        </w:rPr>
        <w:t xml:space="preserve"> se apoy</w:t>
      </w:r>
      <w:r>
        <w:rPr>
          <w:rFonts w:ascii="Verdana" w:hAnsi="Verdana" w:cs="Arial"/>
          <w:bCs/>
        </w:rPr>
        <w:t>e</w:t>
      </w:r>
      <w:r w:rsidRPr="00FB2E1F">
        <w:rPr>
          <w:rFonts w:ascii="Verdana" w:hAnsi="Verdana" w:cs="Arial"/>
          <w:bCs/>
        </w:rPr>
        <w:t xml:space="preserve"> en normas de derecho civil y comercial, ya que la figura del contrato es transversal a todo el ordenamiento jurídico. Respecto a las </w:t>
      </w:r>
      <w:r w:rsidRPr="00FB2E1F">
        <w:rPr>
          <w:rFonts w:ascii="Verdana" w:hAnsi="Verdana" w:cs="Arial"/>
          <w:bCs/>
          <w:i/>
          <w:iCs/>
        </w:rPr>
        <w:t>entidades sometidas a la Ley 80 de 1993</w:t>
      </w:r>
      <w:r w:rsidRPr="00FB2E1F">
        <w:rPr>
          <w:rFonts w:ascii="Verdana" w:hAnsi="Verdana" w:cs="Arial"/>
          <w:bCs/>
        </w:rPr>
        <w:t>, el inciso primero del artículo 13 dispone que “Los contratos que celebren las entidades a que se refiere el artículo 2o. del presente estatuto se regirán por las disposiciones comerciales y civiles pertinentes, salvo en las materias particularmente reguladas en esta ley”. 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y que “Las estipulaciones de los contratos serán las que de acuerdo con las normas civiles, comerciales y las previstas en esta ley, correspondan a su esencia y naturaleza” –art. 40, inciso primero–.</w:t>
      </w:r>
    </w:p>
    <w:p w:rsidRPr="00FB2E1F" w:rsidR="006B036C" w:rsidP="006B036C" w:rsidRDefault="006B036C" w14:paraId="4197E094" w14:textId="77777777">
      <w:pPr>
        <w:spacing w:after="120" w:line="276" w:lineRule="auto"/>
        <w:ind w:firstLine="708"/>
        <w:jc w:val="both"/>
        <w:rPr>
          <w:rFonts w:ascii="Verdana" w:hAnsi="Verdana" w:cs="Arial"/>
          <w:bCs/>
        </w:rPr>
      </w:pPr>
      <w:r w:rsidRPr="00FB2E1F">
        <w:rPr>
          <w:rFonts w:ascii="Verdana" w:hAnsi="Verdana" w:cs="Arial"/>
          <w:bCs/>
        </w:rPr>
        <w:t xml:space="preserve">No obstante, aunque tenga una influencia limitada, las </w:t>
      </w:r>
      <w:r w:rsidRPr="00FB2E1F">
        <w:rPr>
          <w:rFonts w:ascii="Verdana" w:hAnsi="Verdana" w:cs="Arial"/>
          <w:bCs/>
          <w:i/>
          <w:iCs/>
        </w:rPr>
        <w:t>entidades del régimen exceptuado</w:t>
      </w:r>
      <w:r w:rsidRPr="00FB2E1F">
        <w:rPr>
          <w:rFonts w:ascii="Verdana" w:hAnsi="Verdana" w:cs="Arial"/>
          <w:bCs/>
        </w:rPr>
        <w:t xml:space="preserve"> no se deslingan por completo de las normas de derecho público. Esto en la medida que el inciso primero del artículo 13 de la Ley 1150 de 2007 prescribe lo siguiente: “Las entidades estatales que por disposición legal cuenten con un régimen contractual excepcional al del Estatuto General de Contratación de la Administración Pública, aplicarán en desarrollo de su actividad </w:t>
      </w:r>
      <w:r w:rsidRPr="00FB2E1F">
        <w:rPr>
          <w:rFonts w:ascii="Verdana" w:hAnsi="Verdana" w:cs="Arial"/>
          <w:bCs/>
        </w:rPr>
        <w:t>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rsidR="006B036C" w:rsidP="006B036C" w:rsidRDefault="006B036C" w14:paraId="7A8F5565" w14:textId="77777777">
      <w:pPr>
        <w:spacing w:after="0" w:line="276" w:lineRule="auto"/>
        <w:ind w:firstLine="709"/>
        <w:jc w:val="both"/>
        <w:rPr>
          <w:rFonts w:ascii="Verdana" w:hAnsi="Verdana" w:cs="Arial"/>
          <w:bCs/>
        </w:rPr>
      </w:pPr>
      <w:r w:rsidRPr="00FB2E1F">
        <w:rPr>
          <w:rFonts w:ascii="Verdana" w:hAnsi="Verdana" w:cs="Arial"/>
          <w:bCs/>
        </w:rPr>
        <w:t xml:space="preserve">La existencia de entidades exceptuadas del EGCAP se ha justificado por alguna de las siguientes tres (3) circunstancias: i) facilitar la competencia económica –como ocurre actualmente respecto al régimen de los servicios públicos domiciliarios–, </w:t>
      </w:r>
      <w:proofErr w:type="spellStart"/>
      <w:r w:rsidRPr="00FB2E1F">
        <w:rPr>
          <w:rFonts w:ascii="Verdana" w:hAnsi="Verdana" w:cs="Arial"/>
          <w:bCs/>
        </w:rPr>
        <w:t>ii</w:t>
      </w:r>
      <w:proofErr w:type="spellEnd"/>
      <w:r w:rsidRPr="00FB2E1F">
        <w:rPr>
          <w:rFonts w:ascii="Verdana" w:hAnsi="Verdana" w:cs="Arial"/>
          <w:bCs/>
        </w:rPr>
        <w:t xml:space="preserve">) flexibilizar el ejercicio de la función administrativa –como en los contratos del Banco de la República o los de ciencia y tecnología– o </w:t>
      </w:r>
      <w:proofErr w:type="spellStart"/>
      <w:r w:rsidRPr="00FB2E1F">
        <w:rPr>
          <w:rFonts w:ascii="Verdana" w:hAnsi="Verdana" w:cs="Arial"/>
          <w:bCs/>
        </w:rPr>
        <w:t>iii</w:t>
      </w:r>
      <w:proofErr w:type="spellEnd"/>
      <w:r w:rsidRPr="00FB2E1F">
        <w:rPr>
          <w:rFonts w:ascii="Verdana" w:hAnsi="Verdana" w:cs="Arial"/>
          <w:bCs/>
        </w:rPr>
        <w:t>) establecer un régimen especial sin excluir por completo la aplicación de la Ley 80 de 1993 –como ocurre en la operaciones del crédito público–</w:t>
      </w:r>
      <w:r w:rsidRPr="00FB2E1F">
        <w:rPr>
          <w:rFonts w:ascii="Verdana" w:hAnsi="Verdana" w:cs="Arial"/>
          <w:bCs/>
          <w:vertAlign w:val="superscript"/>
        </w:rPr>
        <w:footnoteReference w:id="5"/>
      </w:r>
      <w:r w:rsidRPr="00FB2E1F">
        <w:rPr>
          <w:rFonts w:ascii="Verdana" w:hAnsi="Verdana" w:cs="Arial"/>
          <w:bCs/>
        </w:rPr>
        <w:t xml:space="preserve">.  Para estos efectos, la doctrina ha identificado 171 entidades y contratos que manejan un régimen excepcional, los cuales se clasifican de acuerdo i) al sector económico, </w:t>
      </w:r>
      <w:proofErr w:type="spellStart"/>
      <w:r w:rsidRPr="00FB2E1F">
        <w:rPr>
          <w:rFonts w:ascii="Verdana" w:hAnsi="Verdana" w:cs="Arial"/>
          <w:bCs/>
        </w:rPr>
        <w:t>ii</w:t>
      </w:r>
      <w:proofErr w:type="spellEnd"/>
      <w:r w:rsidRPr="00FB2E1F">
        <w:rPr>
          <w:rFonts w:ascii="Verdana" w:hAnsi="Verdana" w:cs="Arial"/>
          <w:bCs/>
        </w:rPr>
        <w:t xml:space="preserve">) la asignación de un esquema legal especial, </w:t>
      </w:r>
      <w:proofErr w:type="spellStart"/>
      <w:r w:rsidRPr="00FB2E1F">
        <w:rPr>
          <w:rFonts w:ascii="Verdana" w:hAnsi="Verdana" w:cs="Arial"/>
          <w:bCs/>
        </w:rPr>
        <w:t>iii</w:t>
      </w:r>
      <w:proofErr w:type="spellEnd"/>
      <w:r w:rsidRPr="00FB2E1F">
        <w:rPr>
          <w:rFonts w:ascii="Verdana" w:hAnsi="Verdana" w:cs="Arial"/>
          <w:bCs/>
        </w:rPr>
        <w:t xml:space="preserve">) el objeto del contrato celebrado y </w:t>
      </w:r>
      <w:proofErr w:type="spellStart"/>
      <w:r w:rsidRPr="00FB2E1F">
        <w:rPr>
          <w:rFonts w:ascii="Verdana" w:hAnsi="Verdana" w:cs="Arial"/>
          <w:bCs/>
        </w:rPr>
        <w:t>iv</w:t>
      </w:r>
      <w:proofErr w:type="spellEnd"/>
      <w:r w:rsidRPr="00FB2E1F">
        <w:rPr>
          <w:rFonts w:ascii="Verdana" w:hAnsi="Verdana" w:cs="Arial"/>
          <w:bCs/>
        </w:rPr>
        <w:t>) la existencia de fondos que administran recursos públicos</w:t>
      </w:r>
      <w:r w:rsidRPr="00FB2E1F">
        <w:rPr>
          <w:rFonts w:ascii="Verdana" w:hAnsi="Verdana" w:cs="Arial"/>
          <w:bCs/>
          <w:vertAlign w:val="superscript"/>
        </w:rPr>
        <w:footnoteReference w:id="6"/>
      </w:r>
      <w:r w:rsidRPr="00FB2E1F">
        <w:rPr>
          <w:rFonts w:ascii="Verdana" w:hAnsi="Verdana" w:cs="Arial"/>
          <w:bCs/>
        </w:rPr>
        <w:t>.</w:t>
      </w:r>
    </w:p>
    <w:p w:rsidR="006B036C" w:rsidP="006B036C" w:rsidRDefault="006B036C" w14:paraId="67CBF668" w14:textId="77777777">
      <w:pPr>
        <w:spacing w:after="0" w:line="276" w:lineRule="auto"/>
        <w:ind w:firstLine="709"/>
        <w:jc w:val="both"/>
        <w:rPr>
          <w:rFonts w:ascii="Verdana" w:hAnsi="Verdana" w:cs="Arial"/>
          <w:bCs/>
        </w:rPr>
      </w:pPr>
    </w:p>
    <w:p w:rsidRPr="00E33D48" w:rsidR="006B036C" w:rsidP="006B036C" w:rsidRDefault="006B036C" w14:paraId="16B8D138" w14:textId="77777777">
      <w:pPr>
        <w:tabs>
          <w:tab w:val="left" w:pos="426"/>
        </w:tabs>
        <w:spacing w:line="276" w:lineRule="auto"/>
        <w:jc w:val="both"/>
        <w:rPr>
          <w:rFonts w:ascii="Verdana" w:hAnsi="Verdana" w:eastAsia="Calibri" w:cs="Arial"/>
          <w:b/>
          <w:bCs/>
          <w:color w:val="000000" w:themeColor="text1"/>
          <w:lang w:val="es-ES"/>
        </w:rPr>
      </w:pPr>
      <w:proofErr w:type="spellStart"/>
      <w:r w:rsidRPr="00E33D48">
        <w:rPr>
          <w:rFonts w:ascii="Verdana" w:hAnsi="Verdana" w:cs="Arial"/>
          <w:bCs/>
        </w:rPr>
        <w:t>iii</w:t>
      </w:r>
      <w:proofErr w:type="spellEnd"/>
      <w:r w:rsidRPr="00E33D48">
        <w:rPr>
          <w:rFonts w:ascii="Verdana" w:hAnsi="Verdana" w:cs="Arial"/>
          <w:bCs/>
        </w:rPr>
        <w:t xml:space="preserve">. </w:t>
      </w:r>
      <w:r w:rsidRPr="00E33D48">
        <w:rPr>
          <w:rFonts w:ascii="Verdana" w:hAnsi="Verdana" w:eastAsia="Calibri" w:cs="Arial"/>
          <w:color w:val="000000" w:themeColor="text1"/>
          <w:lang w:val="es-ES"/>
        </w:rPr>
        <w:t>Las entidades de régimen especial son aquellas que, por expresa disposición legal y por su naturaleza o situación de competencia, tienen condiciones diferenciales respecto de la normativa de contratación pública. Esto quiere decir que no están sometidas al Estatuto General de Contratación de la Administración Pública, y por ende sus procedimientos contractuales tienen su normativa propia para su desarrollo, esto es, el derecho privado, lo cual está determinado en las normas de creación de las entidades de régimen especial y en sus manuales de contratación.</w:t>
      </w:r>
    </w:p>
    <w:p w:rsidRPr="00E33D48" w:rsidR="006B036C" w:rsidP="006B036C" w:rsidRDefault="006B036C" w14:paraId="4B3F183A" w14:textId="77777777">
      <w:pPr>
        <w:spacing w:before="120" w:after="120" w:line="276" w:lineRule="auto"/>
        <w:jc w:val="both"/>
        <w:rPr>
          <w:rFonts w:ascii="Verdana" w:hAnsi="Verdana" w:eastAsia="Calibri" w:cs="Arial"/>
          <w:color w:val="000000" w:themeColor="text1"/>
          <w:lang w:val="es-ES"/>
        </w:rPr>
      </w:pPr>
      <w:r w:rsidRPr="00E33D48">
        <w:rPr>
          <w:rFonts w:ascii="Verdana" w:hAnsi="Verdana" w:eastAsia="Calibri" w:cs="Arial"/>
          <w:color w:val="000000" w:themeColor="text1"/>
          <w:lang w:val="es-ES_tradnl"/>
        </w:rPr>
        <w:tab/>
      </w:r>
      <w:r w:rsidRPr="00E33D48">
        <w:rPr>
          <w:rFonts w:ascii="Verdana" w:hAnsi="Verdana" w:eastAsia="Calibri" w:cs="Arial"/>
          <w:color w:val="000000" w:themeColor="text1"/>
          <w:lang w:val="es-ES"/>
        </w:rPr>
        <w:t xml:space="preserve">Teniendo en cuenta que las entidades de régimen especial están facultadas legalmente para aplicar reglas distintas a las establecidas en la Ley 80 de 1993 y sus normas complementarias, su régimen contractual estará definido en la noma que crea el régimen especial y será desarrollado en el manual de contratación de la respectiva entidad, con el fin de que se puedan identificar las reglas que aplican en la contratación. La Agencia Nacional de Contratación Pública </w:t>
      </w:r>
      <w:r>
        <w:rPr>
          <w:rFonts w:ascii="Verdana" w:hAnsi="Verdana" w:eastAsia="Calibri" w:cs="Arial"/>
          <w:color w:val="000000" w:themeColor="text1"/>
          <w:lang w:val="es-ES"/>
        </w:rPr>
        <w:t>–</w:t>
      </w:r>
      <w:r w:rsidRPr="00E33D48">
        <w:rPr>
          <w:rFonts w:ascii="Verdana" w:hAnsi="Verdana" w:eastAsia="Calibri" w:cs="Arial"/>
          <w:color w:val="000000" w:themeColor="text1"/>
          <w:lang w:val="es-ES"/>
        </w:rPr>
        <w:t xml:space="preserve"> Colombia Compra Eficiente expidió la Guía para las </w:t>
      </w:r>
      <w:r w:rsidRPr="00E33D48">
        <w:rPr>
          <w:rFonts w:ascii="Verdana" w:hAnsi="Verdana" w:eastAsia="Calibri" w:cs="Arial"/>
          <w:color w:val="000000" w:themeColor="text1"/>
          <w:lang w:val="es-ES"/>
        </w:rPr>
        <w:t>entidades estatales con régimen especial de contratación, que las define como aquellas que contratan con un régimen distinto a las Leyes 80 de 1993 y 1150 de 2007</w:t>
      </w:r>
      <w:r w:rsidRPr="00E33D48">
        <w:rPr>
          <w:rStyle w:val="Refdenotaalpie"/>
          <w:rFonts w:ascii="Verdana" w:hAnsi="Verdana" w:eastAsia="Calibri" w:cs="Arial"/>
          <w:color w:val="000000" w:themeColor="text1"/>
          <w:lang w:val="es-ES"/>
        </w:rPr>
        <w:footnoteReference w:id="7"/>
      </w:r>
      <w:r w:rsidRPr="00E33D48">
        <w:rPr>
          <w:rFonts w:ascii="Verdana" w:hAnsi="Verdana" w:eastAsia="Calibri" w:cs="Arial"/>
          <w:color w:val="000000" w:themeColor="text1"/>
          <w:lang w:val="es-ES"/>
        </w:rPr>
        <w:t>.</w:t>
      </w:r>
    </w:p>
    <w:p w:rsidR="006B036C" w:rsidP="006B036C" w:rsidRDefault="006B036C" w14:paraId="4E913C77" w14:textId="77777777">
      <w:pPr>
        <w:spacing w:after="0" w:line="276" w:lineRule="auto"/>
        <w:jc w:val="both"/>
        <w:rPr>
          <w:rFonts w:ascii="Verdana" w:hAnsi="Verdana" w:eastAsia="Calibri" w:cs="Arial"/>
          <w:color w:val="000000" w:themeColor="text1"/>
          <w:lang w:val="es-ES"/>
        </w:rPr>
      </w:pPr>
      <w:r w:rsidRPr="00E33D48">
        <w:rPr>
          <w:rFonts w:ascii="Verdana" w:hAnsi="Verdana" w:eastAsia="Calibri" w:cs="Arial"/>
          <w:color w:val="000000" w:themeColor="text1"/>
          <w:lang w:val="es-ES_tradnl"/>
        </w:rPr>
        <w:tab/>
      </w:r>
      <w:r w:rsidRPr="00E33D48">
        <w:rPr>
          <w:rFonts w:ascii="Verdana" w:hAnsi="Verdana" w:eastAsia="Calibri" w:cs="Arial"/>
          <w:color w:val="000000" w:themeColor="text1"/>
          <w:lang w:val="es-ES"/>
        </w:rPr>
        <w:t>No obstante, las entidades de régimen especial cumplen una finalidad pública y utilizan recursos públicos para lograrlo, por lo que no son ajenas a los principios de la función administrativa y de la gestión fiscal, entre otras reglas dispuestas en la normativa de contratación pública que son transversales a todas las entidades, sin importar su régimen contractual. Lo anterior es reafirmado por el Consejo de Estado, que destaca las reglas que sigue la contratación de las entidades de régimen especial:</w:t>
      </w:r>
    </w:p>
    <w:p w:rsidRPr="00E33D48" w:rsidR="006B036C" w:rsidP="006B036C" w:rsidRDefault="006B036C" w14:paraId="34C98170" w14:textId="77777777">
      <w:pPr>
        <w:spacing w:after="0" w:line="276" w:lineRule="auto"/>
        <w:jc w:val="both"/>
        <w:rPr>
          <w:rFonts w:ascii="Verdana" w:hAnsi="Verdana" w:eastAsia="Calibri" w:cs="Arial"/>
          <w:color w:val="000000" w:themeColor="text1"/>
          <w:lang w:val="es-ES"/>
        </w:rPr>
      </w:pPr>
    </w:p>
    <w:p w:rsidRPr="002B11B2" w:rsidR="006B036C" w:rsidP="006B036C" w:rsidRDefault="006B036C" w14:paraId="31778838" w14:textId="77777777">
      <w:pPr>
        <w:spacing w:line="240" w:lineRule="auto"/>
        <w:ind w:left="709" w:right="709"/>
        <w:jc w:val="both"/>
        <w:rPr>
          <w:rFonts w:ascii="Verdana" w:hAnsi="Verdana" w:eastAsia="Calibri" w:cs="Arial"/>
          <w:color w:val="000000" w:themeColor="text1"/>
          <w:sz w:val="20"/>
          <w:szCs w:val="20"/>
          <w:lang w:val="es-ES_tradnl"/>
        </w:rPr>
      </w:pPr>
      <w:r w:rsidRPr="002B11B2">
        <w:rPr>
          <w:rFonts w:ascii="Verdana" w:hAnsi="Verdana" w:eastAsia="Calibri" w:cs="Arial"/>
          <w:color w:val="000000" w:themeColor="text1"/>
          <w:sz w:val="20"/>
          <w:szCs w:val="20"/>
          <w:lang w:val="es-ES_tradnl"/>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rsidRPr="002B11B2" w:rsidR="006B036C" w:rsidP="006B036C" w:rsidRDefault="006B036C" w14:paraId="51B1A0B6" w14:textId="77777777">
      <w:pPr>
        <w:spacing w:line="240" w:lineRule="auto"/>
        <w:ind w:left="709" w:right="709"/>
        <w:jc w:val="both"/>
        <w:rPr>
          <w:rFonts w:ascii="Verdana" w:hAnsi="Verdana" w:eastAsia="Calibri" w:cs="Arial"/>
          <w:color w:val="000000" w:themeColor="text1"/>
          <w:sz w:val="20"/>
          <w:szCs w:val="20"/>
          <w:lang w:val="es-ES"/>
        </w:rPr>
      </w:pPr>
      <w:r w:rsidRPr="002B11B2">
        <w:rPr>
          <w:rFonts w:ascii="Verdana" w:hAnsi="Verdana" w:eastAsia="Calibri" w:cs="Arial"/>
          <w:color w:val="000000" w:themeColor="text1"/>
          <w:sz w:val="20"/>
          <w:szCs w:val="20"/>
          <w:lang w:val="es-ES"/>
        </w:rPr>
        <w:t xml:space="preserve">La Sala entiende que el régimen preponderante domina y aporta el gran volumen de normas contractuales y que el régimen inspirador influye y ayuda a interpretar pero también transforma parte de esas instituciones, porque se suma a ellas, lo que no siempre se logra conservando intacta la institución privada sino introduciéndole modificaciones. </w:t>
      </w:r>
    </w:p>
    <w:p w:rsidRPr="002B11B2" w:rsidR="006B036C" w:rsidP="006B036C" w:rsidRDefault="006B036C" w14:paraId="266F5430" w14:textId="77777777">
      <w:pPr>
        <w:spacing w:after="0" w:line="240" w:lineRule="auto"/>
        <w:ind w:left="709" w:right="709"/>
        <w:jc w:val="both"/>
        <w:rPr>
          <w:rFonts w:ascii="Verdana" w:hAnsi="Verdana" w:eastAsia="Calibri" w:cs="Arial"/>
          <w:color w:val="000000" w:themeColor="text1"/>
          <w:sz w:val="20"/>
          <w:szCs w:val="20"/>
          <w:lang w:val="es-ES_tradnl"/>
        </w:rPr>
      </w:pPr>
      <w:r w:rsidRPr="002B11B2">
        <w:rPr>
          <w:rFonts w:ascii="Verdana" w:hAnsi="Verdana" w:eastAsia="Calibri" w:cs="Arial"/>
          <w:color w:val="000000" w:themeColor="text1"/>
          <w:sz w:val="20"/>
          <w:szCs w:val="20"/>
          <w:lang w:val="es-ES_tradnl"/>
        </w:rPr>
        <w:t>La función que cumplen los principios públicos también se representa en la necesidad práctica —normalmente no por orden de una norma— de expedir un reglamento interno de contratación que concrete la mayor parte de aportes de esos principios a la transformación de las reglas del derecho privado. Es por esta influencia que surge la necesidad de contar con procesos de selección de contratistas que garanticen la libre concurrencia, la igualdad de oportunidades de acceso a los negocios del Estado, la trasparencia y en general los demás valores propios de la gestión de lo público”</w:t>
      </w:r>
      <w:r w:rsidRPr="002B11B2">
        <w:rPr>
          <w:rStyle w:val="Refdenotaalpie"/>
          <w:rFonts w:ascii="Verdana" w:hAnsi="Verdana" w:eastAsia="Calibri" w:cs="Arial"/>
          <w:color w:val="000000" w:themeColor="text1"/>
          <w:sz w:val="20"/>
          <w:szCs w:val="20"/>
          <w:lang w:val="es-ES_tradnl"/>
        </w:rPr>
        <w:footnoteReference w:id="8"/>
      </w:r>
      <w:r w:rsidRPr="002B11B2">
        <w:rPr>
          <w:rFonts w:ascii="Verdana" w:hAnsi="Verdana" w:eastAsia="Calibri" w:cs="Arial"/>
          <w:color w:val="000000" w:themeColor="text1"/>
          <w:sz w:val="20"/>
          <w:szCs w:val="20"/>
          <w:lang w:val="es-ES_tradnl"/>
        </w:rPr>
        <w:t>.</w:t>
      </w:r>
    </w:p>
    <w:p w:rsidRPr="00E33D48" w:rsidR="006B036C" w:rsidP="006B036C" w:rsidRDefault="006B036C" w14:paraId="17FD88C3" w14:textId="77777777">
      <w:pPr>
        <w:spacing w:after="0" w:line="276" w:lineRule="auto"/>
        <w:ind w:left="709" w:right="709"/>
        <w:jc w:val="both"/>
        <w:rPr>
          <w:rFonts w:ascii="Verdana" w:hAnsi="Verdana" w:eastAsia="Calibri" w:cs="Arial"/>
          <w:color w:val="000000" w:themeColor="text1"/>
          <w:lang w:val="es-ES_tradnl"/>
        </w:rPr>
      </w:pPr>
    </w:p>
    <w:p w:rsidRPr="00E33D48" w:rsidR="006B036C" w:rsidP="006B036C" w:rsidRDefault="006B036C" w14:paraId="747453B7" w14:textId="77777777">
      <w:pPr>
        <w:spacing w:line="276" w:lineRule="auto"/>
        <w:ind w:firstLine="708"/>
        <w:jc w:val="both"/>
        <w:rPr>
          <w:rFonts w:ascii="Verdana" w:hAnsi="Verdana" w:eastAsia="Calibri" w:cs="Arial"/>
          <w:color w:val="000000" w:themeColor="text1"/>
          <w:lang w:val="es-ES_tradnl"/>
        </w:rPr>
      </w:pPr>
      <w:r w:rsidRPr="00E33D48">
        <w:rPr>
          <w:rFonts w:ascii="Verdana" w:hAnsi="Verdana" w:eastAsia="Calibri" w:cs="Arial"/>
          <w:color w:val="000000" w:themeColor="text1"/>
          <w:lang w:val="es-ES_tradnl"/>
        </w:rPr>
        <w:t>Considerando que las entidades de régimen especial administran recursos públicos, sus manuales de contratación deben ceñirse a unas reglas mínimas que garanticen el cumplimiento de los principios de la función pública, el control fiscal y los principios rectores de la contratación estatal. Dentro de estas reglas deben indicar el contenido de las propuestas y los procedimientos de selección, llevar una descripción precisa del procedimiento, los plazos de las etapas y los criterios de evaluación y desempate, y todos los criterios necesarios para garantizar la selección objetiva y la protección del interés general. Lo anterior, sin perjuicio de que algunas de estas reglas se establezcan, complementen o detallen en los documentos que se expiden en desarrollo de sus procedimientos contractuales.</w:t>
      </w:r>
    </w:p>
    <w:p w:rsidRPr="00E33D48" w:rsidR="006B036C" w:rsidP="006B036C" w:rsidRDefault="006B036C" w14:paraId="2DBC7A22" w14:textId="77777777">
      <w:pPr>
        <w:spacing w:before="120" w:after="120" w:line="276" w:lineRule="auto"/>
        <w:ind w:firstLine="708"/>
        <w:jc w:val="both"/>
        <w:rPr>
          <w:rFonts w:ascii="Verdana" w:hAnsi="Verdana" w:eastAsia="Calibri" w:cs="Arial"/>
          <w:color w:val="000000" w:themeColor="text1"/>
          <w:lang w:val="es-ES"/>
        </w:rPr>
      </w:pPr>
      <w:r w:rsidRPr="00E33D48">
        <w:rPr>
          <w:rFonts w:ascii="Verdana" w:hAnsi="Verdana" w:eastAsia="Calibri" w:cs="Arial"/>
          <w:color w:val="000000" w:themeColor="text1"/>
          <w:lang w:val="es-ES"/>
        </w:rPr>
        <w:t>As</w:t>
      </w:r>
      <w:r>
        <w:rPr>
          <w:rFonts w:ascii="Verdana" w:hAnsi="Verdana" w:eastAsia="Calibri" w:cs="Arial"/>
          <w:color w:val="000000" w:themeColor="text1"/>
          <w:lang w:val="es-ES"/>
        </w:rPr>
        <w:t>i</w:t>
      </w:r>
      <w:r w:rsidRPr="00E33D48">
        <w:rPr>
          <w:rFonts w:ascii="Verdana" w:hAnsi="Verdana" w:eastAsia="Calibri" w:cs="Arial"/>
          <w:color w:val="000000" w:themeColor="text1"/>
          <w:lang w:val="es-ES"/>
        </w:rPr>
        <w:t xml:space="preserve">mismo, estas entidades deben cumplir unas obligaciones transversales a la contratación pública, entre ellas la elaboración del Plan Anual de Adquisiciones, la publicación de sus procedimientos de selección a través de la herramienta SECOP </w:t>
      </w:r>
      <w:r>
        <w:rPr>
          <w:rFonts w:ascii="Verdana" w:hAnsi="Verdana" w:eastAsia="Calibri" w:cs="Arial"/>
          <w:color w:val="000000" w:themeColor="text1"/>
          <w:lang w:val="es-ES"/>
        </w:rPr>
        <w:t>–</w:t>
      </w:r>
      <w:r w:rsidRPr="00E33D48">
        <w:rPr>
          <w:rFonts w:ascii="Verdana" w:hAnsi="Verdana" w:eastAsia="Calibri" w:cs="Arial"/>
          <w:color w:val="000000" w:themeColor="text1"/>
          <w:lang w:val="es-ES"/>
        </w:rPr>
        <w:t>en la sección Régimen Especial</w:t>
      </w:r>
      <w:r>
        <w:rPr>
          <w:rFonts w:ascii="Verdana" w:hAnsi="Verdana" w:eastAsia="Calibri" w:cs="Arial"/>
          <w:color w:val="000000" w:themeColor="text1"/>
          <w:lang w:val="es-ES"/>
        </w:rPr>
        <w:t>–</w:t>
      </w:r>
      <w:r w:rsidRPr="00E33D48">
        <w:rPr>
          <w:rFonts w:ascii="Verdana" w:hAnsi="Verdana" w:eastAsia="Calibri" w:cs="Arial"/>
          <w:color w:val="000000" w:themeColor="text1"/>
          <w:lang w:val="es-ES"/>
        </w:rPr>
        <w:t>, hacer uso del clasificador de bienes y servicios de las Naciones Unidas, reportar inhabilidades e incompatibilidades de los proveedores de la entidad y analizar el sector económico de los oferentes, entre otras.</w:t>
      </w:r>
    </w:p>
    <w:p w:rsidRPr="00E33D48" w:rsidR="006B036C" w:rsidP="006B036C" w:rsidRDefault="006B036C" w14:paraId="32A63E59" w14:textId="77777777">
      <w:pPr>
        <w:spacing w:line="276" w:lineRule="auto"/>
        <w:ind w:firstLine="709"/>
        <w:jc w:val="both"/>
        <w:rPr>
          <w:rFonts w:ascii="Verdana" w:hAnsi="Verdana" w:eastAsia="Calibri" w:cs="Arial"/>
          <w:color w:val="000000" w:themeColor="text1"/>
          <w:lang w:val="es-ES"/>
        </w:rPr>
      </w:pPr>
      <w:r w:rsidRPr="00E33D48">
        <w:rPr>
          <w:rFonts w:ascii="Verdana" w:hAnsi="Verdana" w:eastAsia="Calibri" w:cs="Arial"/>
          <w:color w:val="000000" w:themeColor="text1"/>
          <w:lang w:val="es-ES"/>
        </w:rPr>
        <w:t>Además, debe tener</w:t>
      </w:r>
      <w:r>
        <w:rPr>
          <w:rFonts w:ascii="Verdana" w:hAnsi="Verdana" w:eastAsia="Calibri" w:cs="Arial"/>
          <w:color w:val="000000" w:themeColor="text1"/>
          <w:lang w:val="es-ES"/>
        </w:rPr>
        <w:t>se</w:t>
      </w:r>
      <w:r w:rsidRPr="00E33D48">
        <w:rPr>
          <w:rFonts w:ascii="Verdana" w:hAnsi="Verdana" w:eastAsia="Calibri" w:cs="Arial"/>
          <w:color w:val="000000" w:themeColor="text1"/>
          <w:lang w:val="es-ES"/>
        </w:rPr>
        <w:t xml:space="preserve"> en cuenta que las cláusulas excepcionales no están contempladas en el derecho común. Estas se encuentran limitadas no solo al uso del Estatuto General de Contratación de la Administración Pública sino a algunos tipos de contratos específicos. En ese sentido, la única forma en que una entidad sujeta a un régimen especial pueda usar estas cláusulas es si su norma de creación lo establece, como sucede con las empresas sociales del Estado. De modo que si una Entidad sujeta al régimen especial requiere sancionar o dar por terminado el contrato, por regla general, debe acudir al juez competente.</w:t>
      </w:r>
    </w:p>
    <w:p w:rsidRPr="00E33D48" w:rsidR="006B036C" w:rsidP="006B036C" w:rsidRDefault="006B036C" w14:paraId="2EB2A790" w14:textId="77777777">
      <w:pPr>
        <w:spacing w:before="120" w:line="276" w:lineRule="auto"/>
        <w:ind w:firstLine="709"/>
        <w:jc w:val="both"/>
        <w:rPr>
          <w:rFonts w:ascii="Verdana" w:hAnsi="Verdana" w:eastAsia="Calibri" w:cs="Arial"/>
          <w:color w:val="000000" w:themeColor="text1"/>
          <w:lang w:val="es-ES"/>
        </w:rPr>
      </w:pPr>
      <w:r w:rsidRPr="00E33D48">
        <w:rPr>
          <w:rFonts w:ascii="Verdana" w:hAnsi="Verdana" w:eastAsia="Calibri" w:cs="Arial"/>
          <w:color w:val="000000" w:themeColor="text1"/>
          <w:lang w:val="es-ES"/>
        </w:rPr>
        <w:t xml:space="preserve">Como se explicó, el hecho de que algunas entidades estatales se rijan por el derecho privado en materia contractual no puede entenderse como una negación de lo que establece el artículo 13 de la Ley 1150 de 2007. Este enunciado normativo significó un </w:t>
      </w:r>
      <w:r>
        <w:rPr>
          <w:rFonts w:ascii="Verdana" w:hAnsi="Verdana" w:eastAsia="Calibri" w:cs="Arial"/>
          <w:color w:val="000000" w:themeColor="text1"/>
          <w:lang w:val="es-ES"/>
        </w:rPr>
        <w:t>“</w:t>
      </w:r>
      <w:r w:rsidRPr="00E33D48">
        <w:rPr>
          <w:rFonts w:ascii="Verdana" w:hAnsi="Verdana" w:eastAsia="Calibri" w:cs="Arial"/>
          <w:color w:val="000000" w:themeColor="text1"/>
          <w:lang w:val="es-ES"/>
        </w:rPr>
        <w:t>retorno del derecho administrativo</w:t>
      </w:r>
      <w:r>
        <w:rPr>
          <w:rFonts w:ascii="Verdana" w:hAnsi="Verdana" w:eastAsia="Calibri" w:cs="Arial"/>
          <w:color w:val="000000" w:themeColor="text1"/>
          <w:lang w:val="es-ES"/>
        </w:rPr>
        <w:t>”</w:t>
      </w:r>
      <w:r w:rsidRPr="00E33D48">
        <w:rPr>
          <w:rFonts w:ascii="Verdana" w:hAnsi="Verdana" w:eastAsia="Calibri" w:cs="Arial"/>
          <w:color w:val="000000" w:themeColor="text1"/>
          <w:lang w:val="es-ES"/>
        </w:rPr>
        <w:t xml:space="preserve"> para las entidades excluidas, al reiterar que deben cumplir los principios constitucionales de la función administrativa y de la gestión fiscal, así como el régimen de inhabilidades e incompatibilidades previsto legalmente para la contratación </w:t>
      </w:r>
      <w:r w:rsidRPr="00E33D48">
        <w:rPr>
          <w:rFonts w:ascii="Verdana" w:hAnsi="Verdana" w:eastAsia="Calibri" w:cs="Arial"/>
          <w:color w:val="000000" w:themeColor="text1"/>
          <w:lang w:val="es-ES"/>
        </w:rPr>
        <w:t>estatal; y ahora también publicar su actividad contractual en el SECOP II, de conformidad con el artículo 53 de la Ley 2195 de 2022</w:t>
      </w:r>
      <w:r w:rsidRPr="00E33D48">
        <w:rPr>
          <w:rStyle w:val="Refdenotaalpie"/>
          <w:rFonts w:ascii="Verdana" w:hAnsi="Verdana" w:eastAsia="Calibri" w:cs="Arial"/>
          <w:color w:val="000000" w:themeColor="text1"/>
          <w:lang w:val="es-ES"/>
        </w:rPr>
        <w:footnoteReference w:id="9"/>
      </w:r>
      <w:r w:rsidRPr="00E33D48">
        <w:rPr>
          <w:rFonts w:ascii="Verdana" w:hAnsi="Verdana" w:eastAsia="Calibri" w:cs="Arial"/>
          <w:color w:val="000000" w:themeColor="text1"/>
          <w:lang w:val="es-ES"/>
        </w:rPr>
        <w:t xml:space="preserve">. </w:t>
      </w:r>
    </w:p>
    <w:p w:rsidR="006B036C" w:rsidP="006B036C" w:rsidRDefault="006B036C" w14:paraId="16D300E1" w14:textId="77777777">
      <w:pPr>
        <w:spacing w:before="120" w:line="276" w:lineRule="auto"/>
        <w:ind w:firstLine="709"/>
        <w:jc w:val="both"/>
        <w:rPr>
          <w:rFonts w:ascii="Verdana" w:hAnsi="Verdana" w:eastAsia="Calibri" w:cs="Arial"/>
          <w:color w:val="000000" w:themeColor="text1"/>
          <w:lang w:val="es-ES_tradnl"/>
        </w:rPr>
      </w:pPr>
      <w:r w:rsidRPr="00E33D48">
        <w:rPr>
          <w:rFonts w:ascii="Verdana" w:hAnsi="Verdana" w:eastAsia="Calibri" w:cs="Arial"/>
          <w:color w:val="000000" w:themeColor="text1"/>
          <w:lang w:val="es-ES_tradnl"/>
        </w:rPr>
        <w:t>Adicionalmente, las entidades estatales que, por disposición legal, cuentan con un régimen especial</w:t>
      </w:r>
      <w:r w:rsidRPr="00E33D48">
        <w:rPr>
          <w:rStyle w:val="Refdenotaalpie"/>
          <w:rFonts w:ascii="Verdana" w:hAnsi="Verdana" w:eastAsia="Calibri" w:cs="Arial"/>
          <w:color w:val="000000" w:themeColor="text1"/>
          <w:lang w:val="es-ES_tradnl"/>
        </w:rPr>
        <w:footnoteReference w:id="10"/>
      </w:r>
      <w:r w:rsidRPr="00E33D48">
        <w:rPr>
          <w:rFonts w:ascii="Verdana" w:hAnsi="Verdana" w:eastAsia="Calibri" w:cs="Arial"/>
          <w:color w:val="000000" w:themeColor="text1"/>
          <w:lang w:val="es-ES_tradnl"/>
        </w:rPr>
        <w:t>, exceptuado del Estatuto General de Contratación de la Administración Pública –Leyes 80 de 1993, 1150 de 2007 y normas complementarias</w:t>
      </w:r>
      <w:r w:rsidRPr="00E33D48">
        <w:rPr>
          <w:rStyle w:val="Refdenotaalpie"/>
          <w:rFonts w:ascii="Verdana" w:hAnsi="Verdana" w:eastAsia="Calibri" w:cs="Arial"/>
          <w:color w:val="000000" w:themeColor="text1"/>
          <w:lang w:val="es-ES_tradnl"/>
        </w:rPr>
        <w:footnoteReference w:id="11"/>
      </w:r>
      <w:r w:rsidRPr="00E33D48">
        <w:rPr>
          <w:rFonts w:ascii="Verdana" w:hAnsi="Verdana" w:eastAsia="Calibri" w:cs="Arial"/>
          <w:color w:val="000000" w:themeColor="text1"/>
          <w:lang w:val="es-ES_tradnl"/>
        </w:rPr>
        <w:t xml:space="preserve">– pueden expedir un reglamento interno de contratación –comúnmente denominado </w:t>
      </w:r>
      <w:r w:rsidRPr="00E33D48">
        <w:rPr>
          <w:rFonts w:ascii="Verdana" w:hAnsi="Verdana" w:eastAsia="Calibri" w:cs="Arial"/>
          <w:i/>
          <w:color w:val="000000" w:themeColor="text1"/>
          <w:lang w:val="es-ES_tradnl"/>
        </w:rPr>
        <w:t>manual de contratación</w:t>
      </w:r>
      <w:r w:rsidRPr="00E33D48">
        <w:rPr>
          <w:rFonts w:ascii="Verdana" w:hAnsi="Verdana" w:eastAsia="Calibri" w:cs="Arial"/>
          <w:color w:val="000000" w:themeColor="text1"/>
          <w:lang w:val="es-ES_tradnl"/>
        </w:rPr>
        <w:t>–, que regule aspectos asociados a la actividad contractual, como los procedimientos de selección, los requisitos de participación, las condiciones de ejecución del contrato, etc. En otras palabras, el manual de contratación de las entidades exceptuadas es un acto administrativo y, de manera más concreta, un reglamento, pues, además de consistir en una manifestación unilateral de voluntad efectuada por la entidad estatal, en ejercicio de función administrativa, dirigida a producir efectos jurídicos, tiene vocación de permanencia en el tiempo. Esto significa que el manual de contratación despliega sus efectos de manera indefinida en el futuro, no agotándose con una sola aplicación.</w:t>
      </w:r>
    </w:p>
    <w:p w:rsidR="006B036C" w:rsidP="006B036C" w:rsidRDefault="006B036C" w14:paraId="37D568BE" w14:textId="77777777">
      <w:pPr>
        <w:spacing w:after="0" w:line="276" w:lineRule="auto"/>
        <w:ind w:firstLine="709"/>
        <w:jc w:val="both"/>
        <w:rPr>
          <w:rFonts w:ascii="Verdana" w:hAnsi="Verdana" w:eastAsia="Calibri" w:cs="Arial"/>
          <w:color w:val="000000" w:themeColor="text1"/>
          <w:lang w:val="es-ES"/>
        </w:rPr>
      </w:pPr>
      <w:r w:rsidRPr="00E33D48">
        <w:rPr>
          <w:rFonts w:ascii="Verdana" w:hAnsi="Verdana" w:eastAsia="Calibri" w:cs="Arial"/>
          <w:color w:val="000000" w:themeColor="text1"/>
          <w:lang w:val="es-ES"/>
        </w:rPr>
        <w:t xml:space="preserve">Sin embargo, la libertad de configuración reglamentaria de las entidades estatales, expresada en el manual de contratación, no es absoluta, ya que, a pesar de que están facultadas para regular ciertos temas relacionados con la actividad contractual, deben hacerlo respetando la reserva legal de la que gozan ciertas materias. En tal sentido, asuntos como: i) los requisitos de existencia y validez del contrato, </w:t>
      </w:r>
      <w:proofErr w:type="spellStart"/>
      <w:r w:rsidRPr="00E33D48">
        <w:rPr>
          <w:rFonts w:ascii="Verdana" w:hAnsi="Verdana" w:eastAsia="Calibri" w:cs="Arial"/>
          <w:color w:val="000000" w:themeColor="text1"/>
          <w:lang w:val="es-ES"/>
        </w:rPr>
        <w:t>ii</w:t>
      </w:r>
      <w:proofErr w:type="spellEnd"/>
      <w:r w:rsidRPr="00E33D48">
        <w:rPr>
          <w:rFonts w:ascii="Verdana" w:hAnsi="Verdana" w:eastAsia="Calibri" w:cs="Arial"/>
          <w:color w:val="000000" w:themeColor="text1"/>
          <w:lang w:val="es-ES"/>
        </w:rPr>
        <w:t xml:space="preserve">) sanciones, sin perjuicio de las que pueden pactar de acuerdo con las normas civiles y comerciales, </w:t>
      </w:r>
      <w:proofErr w:type="spellStart"/>
      <w:r w:rsidRPr="00E33D48">
        <w:rPr>
          <w:rFonts w:ascii="Verdana" w:hAnsi="Verdana" w:eastAsia="Calibri" w:cs="Arial"/>
          <w:color w:val="000000" w:themeColor="text1"/>
          <w:lang w:val="es-ES"/>
        </w:rPr>
        <w:t>iii</w:t>
      </w:r>
      <w:proofErr w:type="spellEnd"/>
      <w:r w:rsidRPr="00E33D48">
        <w:rPr>
          <w:rFonts w:ascii="Verdana" w:hAnsi="Verdana" w:eastAsia="Calibri" w:cs="Arial"/>
          <w:color w:val="000000" w:themeColor="text1"/>
          <w:lang w:val="es-ES"/>
        </w:rPr>
        <w:t xml:space="preserve">) procedimientos para su imposición, </w:t>
      </w:r>
      <w:proofErr w:type="spellStart"/>
      <w:r w:rsidRPr="00E33D48">
        <w:rPr>
          <w:rFonts w:ascii="Verdana" w:hAnsi="Verdana" w:eastAsia="Calibri" w:cs="Arial"/>
          <w:color w:val="000000" w:themeColor="text1"/>
          <w:lang w:val="es-ES"/>
        </w:rPr>
        <w:t>iv</w:t>
      </w:r>
      <w:proofErr w:type="spellEnd"/>
      <w:r w:rsidRPr="00E33D48">
        <w:rPr>
          <w:rFonts w:ascii="Verdana" w:hAnsi="Verdana" w:eastAsia="Calibri" w:cs="Arial"/>
          <w:color w:val="000000" w:themeColor="text1"/>
          <w:lang w:val="es-ES"/>
        </w:rPr>
        <w:t xml:space="preserve">) causales de inhabilidad e incompatibilidad, v) el principio de anualidad del gasto, y vi) restricciones al acceso a la administración de justicia para discutir las controversias contractuales, son, entre otros, temas cuya </w:t>
      </w:r>
      <w:r w:rsidRPr="00E33D48">
        <w:rPr>
          <w:rFonts w:ascii="Verdana" w:hAnsi="Verdana" w:eastAsia="Calibri" w:cs="Arial"/>
          <w:color w:val="000000" w:themeColor="text1"/>
          <w:lang w:val="es-ES"/>
        </w:rPr>
        <w:t>regulación está reservada al legislador y que, por tanto, las entidades exceptuadas no pueden reglamentar en su manual de contratación</w:t>
      </w:r>
      <w:r w:rsidRPr="00E33D48">
        <w:rPr>
          <w:rStyle w:val="Refdenotaalpie"/>
          <w:rFonts w:ascii="Verdana" w:hAnsi="Verdana" w:eastAsia="Calibri" w:cs="Arial"/>
          <w:color w:val="000000" w:themeColor="text1"/>
          <w:lang w:val="es-ES"/>
        </w:rPr>
        <w:footnoteReference w:id="12"/>
      </w:r>
      <w:r w:rsidRPr="00E33D48">
        <w:rPr>
          <w:rFonts w:ascii="Verdana" w:hAnsi="Verdana" w:eastAsia="Calibri" w:cs="Arial"/>
          <w:color w:val="000000" w:themeColor="text1"/>
          <w:lang w:val="es-ES"/>
        </w:rPr>
        <w:t>.</w:t>
      </w:r>
    </w:p>
    <w:p w:rsidR="006B036C" w:rsidP="006B036C" w:rsidRDefault="006B036C" w14:paraId="112012EC" w14:textId="77777777">
      <w:pPr>
        <w:spacing w:after="0" w:line="276" w:lineRule="auto"/>
        <w:jc w:val="both"/>
        <w:rPr>
          <w:rFonts w:ascii="Verdana" w:hAnsi="Verdana" w:eastAsia="Calibri" w:cs="Arial"/>
          <w:color w:val="000000" w:themeColor="text1"/>
          <w:lang w:val="es-ES"/>
        </w:rPr>
      </w:pPr>
    </w:p>
    <w:p w:rsidRPr="008304D7" w:rsidR="006B036C" w:rsidP="006B036C" w:rsidRDefault="006B036C" w14:paraId="1682AFAB" w14:textId="77777777">
      <w:pPr>
        <w:spacing w:line="276" w:lineRule="auto"/>
        <w:jc w:val="both"/>
        <w:rPr>
          <w:rFonts w:ascii="Verdana" w:hAnsi="Verdana" w:cs="Arial"/>
        </w:rPr>
      </w:pPr>
      <w:proofErr w:type="spellStart"/>
      <w:r>
        <w:rPr>
          <w:rFonts w:ascii="Verdana" w:hAnsi="Verdana" w:eastAsia="Calibri" w:cs="Arial"/>
          <w:color w:val="000000" w:themeColor="text1"/>
          <w:lang w:val="es-ES"/>
        </w:rPr>
        <w:t>iv</w:t>
      </w:r>
      <w:proofErr w:type="spellEnd"/>
      <w:r>
        <w:rPr>
          <w:rFonts w:ascii="Verdana" w:hAnsi="Verdana" w:eastAsia="Calibri" w:cs="Arial"/>
          <w:color w:val="000000" w:themeColor="text1"/>
          <w:lang w:val="es-ES"/>
        </w:rPr>
        <w:t xml:space="preserve">. </w:t>
      </w:r>
      <w:r>
        <w:rPr>
          <w:rFonts w:ascii="Verdana" w:hAnsi="Verdana" w:cs="Arial"/>
        </w:rPr>
        <w:t>E</w:t>
      </w:r>
      <w:r w:rsidRPr="008304D7">
        <w:rPr>
          <w:rFonts w:ascii="Verdana" w:hAnsi="Verdana" w:cs="Arial"/>
        </w:rPr>
        <w:t xml:space="preserve">n armonía con el artículo 209 constitucional, el numeral 8 del artículo 3 de la Ley 1437 de 2011 dispone que “En virtud del principio de transparencia, la actividad administrativa es del dominio público, por consiguiente, toda persona puede conocer las actuaciones de la administración, salvo reserva legal”. Además, el numeral 9 </w:t>
      </w:r>
      <w:r w:rsidRPr="008304D7">
        <w:rPr>
          <w:rFonts w:ascii="Verdana" w:hAnsi="Verdana" w:cs="Arial"/>
          <w:i/>
          <w:iCs/>
        </w:rPr>
        <w:t>ibidem</w:t>
      </w:r>
      <w:r w:rsidRPr="008304D7">
        <w:rPr>
          <w:rFonts w:ascii="Verdana" w:hAnsi="Verdana" w:cs="Arial"/>
        </w:rPr>
        <w:t xml:space="preserve"> precisa lo siguiente: “En virtud del principio de publicidad, las autoridades darán a conocer al público y a los interesados, en forma sistemática y permanente, sin que medie petición alguna, sus actos, contratos y resoluciones, mediante las comunicaciones, notificaciones y publicaciones que ordene la ley, incluyendo el empleo de tecnologías que permitan difundir de manera masiva tal información de conformidad con lo dispuesto en este Código […]”.  </w:t>
      </w:r>
    </w:p>
    <w:p w:rsidR="006B036C" w:rsidP="006B036C" w:rsidRDefault="006B036C" w14:paraId="2E99F4FC" w14:textId="77777777">
      <w:pPr>
        <w:widowControl w:val="0"/>
        <w:tabs>
          <w:tab w:val="left" w:pos="728"/>
        </w:tabs>
        <w:autoSpaceDE w:val="0"/>
        <w:autoSpaceDN w:val="0"/>
        <w:spacing w:after="0" w:line="276" w:lineRule="auto"/>
        <w:jc w:val="both"/>
        <w:rPr>
          <w:rFonts w:ascii="Verdana" w:hAnsi="Verdana" w:eastAsia="Arial" w:cs="Arial"/>
          <w:lang w:val="es-ES"/>
        </w:rPr>
      </w:pPr>
      <w:r w:rsidRPr="008304D7">
        <w:rPr>
          <w:rFonts w:ascii="Verdana" w:hAnsi="Verdana" w:cs="Arial"/>
        </w:rPr>
        <w:tab/>
      </w:r>
      <w:r w:rsidRPr="008304D7">
        <w:rPr>
          <w:rFonts w:ascii="Verdana" w:hAnsi="Verdana" w:eastAsia="Arial" w:cs="Arial"/>
          <w:lang w:val="es-ES"/>
        </w:rPr>
        <w:t xml:space="preserve">Para la Corte Constitucional el principio de publicidad es la garantía de las personas de conocer las actuaciones judiciales y administrativas y, con base en ese conocimiento, tener la posibilidad de exigir que se realicen conforme a la </w:t>
      </w:r>
      <w:r w:rsidRPr="008304D7">
        <w:rPr>
          <w:rFonts w:ascii="Verdana" w:hAnsi="Verdana" w:eastAsia="Arial" w:cs="Arial"/>
          <w:lang w:val="es-ES"/>
        </w:rPr>
        <w:t>ley</w:t>
      </w:r>
      <w:r w:rsidRPr="008304D7">
        <w:rPr>
          <w:rFonts w:ascii="Verdana" w:hAnsi="Verdana" w:eastAsia="Arial" w:cs="Arial"/>
          <w:sz w:val="21"/>
          <w:szCs w:val="21"/>
          <w:vertAlign w:val="superscript"/>
          <w:lang w:val="es-ES"/>
        </w:rPr>
        <w:footnoteReference w:id="13"/>
      </w:r>
      <w:r w:rsidRPr="008304D7">
        <w:rPr>
          <w:rFonts w:ascii="Verdana" w:hAnsi="Verdana" w:eastAsia="Arial" w:cs="Arial"/>
          <w:sz w:val="21"/>
          <w:szCs w:val="21"/>
          <w:lang w:val="es-ES"/>
        </w:rPr>
        <w:t>.</w:t>
      </w:r>
      <w:r w:rsidRPr="008304D7">
        <w:rPr>
          <w:rFonts w:ascii="Verdana" w:hAnsi="Verdana" w:eastAsia="Arial" w:cs="Arial"/>
          <w:b/>
          <w:lang w:val="es-ES"/>
        </w:rPr>
        <w:t xml:space="preserve"> </w:t>
      </w:r>
      <w:r w:rsidRPr="008304D7">
        <w:rPr>
          <w:rFonts w:ascii="Verdana" w:hAnsi="Verdana" w:eastAsia="Arial" w:cs="Arial"/>
          <w:bCs/>
          <w:lang w:val="es-ES"/>
        </w:rPr>
        <w:t xml:space="preserve">Este </w:t>
      </w:r>
      <w:r w:rsidRPr="008304D7">
        <w:rPr>
          <w:rFonts w:ascii="Verdana" w:hAnsi="Verdana" w:eastAsia="Arial" w:cs="Arial"/>
          <w:lang w:val="es-ES"/>
        </w:rPr>
        <w:t>impone a las autoridades administrativas el deber de dar a conocer sus actos, contratos y decisiones, para que se divulguen y eventualmente se controlen las actuaciones. El literal c) del artículo 3 de la Ley 1150 de 2007 establece que el Sistema Electrónico para la Contratación Pública –SECOP– “contará con la información oficial de la contratación realizada con dineros públicos, para lo cual establecerá los patrones a que haya lugar y se encargará de su difusión a través de canales electrónicos”</w:t>
      </w:r>
      <w:r w:rsidRPr="008304D7">
        <w:rPr>
          <w:rFonts w:ascii="Verdana" w:hAnsi="Verdana" w:eastAsia="Arial" w:cs="Arial"/>
          <w:vertAlign w:val="superscript"/>
          <w:lang w:val="es-ES"/>
        </w:rPr>
        <w:footnoteReference w:id="14"/>
      </w:r>
      <w:r w:rsidRPr="008304D7">
        <w:rPr>
          <w:rFonts w:ascii="Verdana" w:hAnsi="Verdana" w:eastAsia="Arial" w:cs="Arial"/>
          <w:lang w:val="es-ES"/>
        </w:rPr>
        <w:t xml:space="preserve">. </w:t>
      </w:r>
    </w:p>
    <w:p w:rsidR="006B036C" w:rsidP="006B036C" w:rsidRDefault="006B036C" w14:paraId="6358346C" w14:textId="77777777">
      <w:pPr>
        <w:widowControl w:val="0"/>
        <w:tabs>
          <w:tab w:val="left" w:pos="728"/>
        </w:tabs>
        <w:autoSpaceDE w:val="0"/>
        <w:autoSpaceDN w:val="0"/>
        <w:spacing w:after="0" w:line="276" w:lineRule="auto"/>
        <w:jc w:val="both"/>
        <w:rPr>
          <w:rFonts w:ascii="Verdana" w:hAnsi="Verdana" w:eastAsia="Arial" w:cs="Arial"/>
          <w:lang w:val="es-ES"/>
        </w:rPr>
      </w:pPr>
    </w:p>
    <w:p w:rsidRPr="008304D7" w:rsidR="006B036C" w:rsidP="006B036C" w:rsidRDefault="006B036C" w14:paraId="49DFFB03" w14:textId="77777777">
      <w:pPr>
        <w:widowControl w:val="0"/>
        <w:tabs>
          <w:tab w:val="left" w:pos="728"/>
        </w:tabs>
        <w:autoSpaceDE w:val="0"/>
        <w:autoSpaceDN w:val="0"/>
        <w:spacing w:after="120" w:line="276" w:lineRule="auto"/>
        <w:jc w:val="both"/>
        <w:rPr>
          <w:rFonts w:ascii="Verdana" w:hAnsi="Verdana" w:eastAsia="Arial" w:cs="Arial"/>
          <w:lang w:val="es-ES"/>
        </w:rPr>
      </w:pPr>
      <w:r>
        <w:rPr>
          <w:rFonts w:ascii="Verdana" w:hAnsi="Verdana" w:eastAsia="Arial" w:cs="Arial"/>
          <w:lang w:val="es-ES"/>
        </w:rPr>
        <w:t xml:space="preserve">v. </w:t>
      </w:r>
      <w:r w:rsidRPr="008304D7">
        <w:rPr>
          <w:rFonts w:ascii="Verdana" w:hAnsi="Verdana" w:eastAsia="Arial" w:cs="Arial"/>
          <w:lang w:val="es-ES"/>
        </w:rPr>
        <w:t xml:space="preserve">De otra parte, la Ley 1712 de 2014, por medio de la cual se regula la transparencia el derecho de acceso a la información pública nacional y se dictan otras disposiciones, identifica como principios que orientan el derecho de acceso a la información pública el de máxima publicidad y el de transparencia en la información. De acuerdo con el primero, toda información en posesión, bajo control o custodia de un sujeto obligado es pública y no podrá ser reservada o limitada sino por disposición constitucional o legal. Por su parte, el segundo alude al deber de los sujetos de proporcionar y facilitar el acceso a la misma en los términos más amplios posibles, y a través de los medios y procedimientos que establezca la ley. </w:t>
      </w:r>
    </w:p>
    <w:p w:rsidRPr="008304D7" w:rsidR="006B036C" w:rsidP="006B036C" w:rsidRDefault="006B036C" w14:paraId="30AD6B85" w14:textId="77777777">
      <w:pPr>
        <w:widowControl w:val="0"/>
        <w:tabs>
          <w:tab w:val="left" w:pos="728"/>
        </w:tabs>
        <w:autoSpaceDE w:val="0"/>
        <w:autoSpaceDN w:val="0"/>
        <w:spacing w:after="120" w:line="276" w:lineRule="auto"/>
        <w:jc w:val="both"/>
        <w:rPr>
          <w:rFonts w:ascii="Verdana" w:hAnsi="Verdana" w:eastAsia="Arial" w:cs="Arial"/>
          <w:lang w:val="es-ES"/>
        </w:rPr>
      </w:pPr>
      <w:r w:rsidRPr="008304D7">
        <w:rPr>
          <w:rFonts w:ascii="Verdana" w:hAnsi="Verdana" w:eastAsia="Arial" w:cs="Arial"/>
          <w:lang w:val="es-ES"/>
        </w:rPr>
        <w:tab/>
      </w:r>
      <w:r w:rsidRPr="008304D7">
        <w:rPr>
          <w:rFonts w:ascii="Verdana" w:hAnsi="Verdana" w:eastAsia="Arial" w:cs="Arial"/>
          <w:lang w:val="es-ES"/>
        </w:rPr>
        <w:t xml:space="preserve">La ley citada establece, en el literal </w:t>
      </w:r>
      <w:r>
        <w:rPr>
          <w:rFonts w:ascii="Verdana" w:hAnsi="Verdana" w:eastAsia="Arial" w:cs="Arial"/>
          <w:lang w:val="es-ES"/>
        </w:rPr>
        <w:t>a</w:t>
      </w:r>
      <w:r w:rsidRPr="008304D7">
        <w:rPr>
          <w:rFonts w:ascii="Verdana" w:hAnsi="Verdana" w:eastAsia="Arial" w:cs="Arial"/>
          <w:lang w:val="es-ES"/>
        </w:rPr>
        <w:t xml:space="preserve">) del artículo </w:t>
      </w:r>
      <w:r>
        <w:rPr>
          <w:rFonts w:ascii="Verdana" w:hAnsi="Verdana" w:eastAsia="Arial" w:cs="Arial"/>
          <w:lang w:val="es-ES"/>
        </w:rPr>
        <w:t>5</w:t>
      </w:r>
      <w:r w:rsidRPr="008304D7">
        <w:rPr>
          <w:rFonts w:ascii="Verdana" w:hAnsi="Verdana" w:eastAsia="Arial" w:cs="Arial"/>
          <w:lang w:val="es-ES"/>
        </w:rPr>
        <w:t>, que los sujetos obligados, que son todas las entidades públicas, deben publicar la información relativa a su contratación</w:t>
      </w:r>
      <w:r w:rsidRPr="008304D7">
        <w:rPr>
          <w:rFonts w:ascii="Verdana" w:hAnsi="Verdana" w:eastAsia="Arial" w:cs="Arial"/>
          <w:vertAlign w:val="superscript"/>
          <w:lang w:val="es-ES"/>
        </w:rPr>
        <w:footnoteReference w:id="15"/>
      </w:r>
      <w:r w:rsidRPr="008304D7">
        <w:rPr>
          <w:rFonts w:ascii="Verdana" w:hAnsi="Verdana" w:eastAsia="Arial" w:cs="Arial"/>
          <w:lang w:val="es-ES"/>
        </w:rPr>
        <w:t xml:space="preserve">. Esta obligación fue en principio desarrollada por el Decreto 103 de 2015, hoy compilado en el Decreto Único Reglamentario 1081 </w:t>
      </w:r>
      <w:r w:rsidRPr="008304D7">
        <w:rPr>
          <w:rFonts w:ascii="Verdana" w:hAnsi="Verdana" w:eastAsia="Arial" w:cs="Arial"/>
          <w:lang w:val="es-ES"/>
        </w:rPr>
        <w:t>de 2015, el cual dispuso que la publicación de la información contractual de los sujetos obligados, que contratan con cargo a recursos públicos, debe hacerse en el Sistema Electrónico de Contratación Pública –SECOP–</w:t>
      </w:r>
      <w:r w:rsidRPr="008304D7">
        <w:rPr>
          <w:rFonts w:ascii="Verdana" w:hAnsi="Verdana" w:eastAsia="Arial" w:cs="Arial"/>
          <w:vertAlign w:val="superscript"/>
          <w:lang w:val="es-ES"/>
        </w:rPr>
        <w:footnoteReference w:id="16"/>
      </w:r>
      <w:r w:rsidRPr="008304D7">
        <w:rPr>
          <w:rFonts w:ascii="Verdana" w:hAnsi="Verdana" w:eastAsia="Arial" w:cs="Arial"/>
          <w:lang w:val="es-ES"/>
        </w:rPr>
        <w:t>.</w:t>
      </w:r>
    </w:p>
    <w:p w:rsidR="006B036C" w:rsidP="006B036C" w:rsidRDefault="006B036C" w14:paraId="0802A775" w14:textId="77777777">
      <w:pPr>
        <w:widowControl w:val="0"/>
        <w:tabs>
          <w:tab w:val="left" w:pos="728"/>
        </w:tabs>
        <w:autoSpaceDE w:val="0"/>
        <w:autoSpaceDN w:val="0"/>
        <w:spacing w:after="0" w:line="276" w:lineRule="auto"/>
        <w:jc w:val="both"/>
        <w:rPr>
          <w:rFonts w:ascii="Verdana" w:hAnsi="Verdana" w:eastAsia="Arial" w:cs="Arial"/>
          <w:lang w:val="es-ES"/>
        </w:rPr>
      </w:pPr>
      <w:r w:rsidRPr="008304D7">
        <w:rPr>
          <w:rFonts w:ascii="Verdana" w:hAnsi="Verdana" w:eastAsia="Arial" w:cs="Arial"/>
          <w:lang w:val="es-ES"/>
        </w:rPr>
        <w:tab/>
      </w:r>
      <w:r w:rsidRPr="008304D7">
        <w:rPr>
          <w:rFonts w:ascii="Verdana" w:hAnsi="Verdana" w:eastAsia="Arial" w:cs="Arial"/>
          <w:lang w:val="es-ES"/>
        </w:rPr>
        <w:t>Asimismo, de acuerdo con el literal g) del artículo 11 de la misma Ley, los destinatarios de la ley de transparencia deben garantizar la publicidad de “sus procedimientos, lineamientos, políticas en materia de adquisiciones y compras, así como todos los datos de adjudicación y ejecución de contratos, incluidos concursos y licitaciones”, y esta información también debe estar en el SECOP conforme a lo explicado en el párrafo precedente. El derecho de acceso a la información pública o de interés público permite a toda persona, sin necesidad de acreditar calidad, interés o condición particular, conocer la existencia de información pública, acceder a la misma y difundirla o publicarla, según su interés</w:t>
      </w:r>
      <w:r w:rsidRPr="008304D7">
        <w:rPr>
          <w:rFonts w:ascii="Verdana" w:hAnsi="Verdana" w:eastAsia="Arial" w:cs="Arial"/>
          <w:vertAlign w:val="superscript"/>
          <w:lang w:val="es-ES"/>
        </w:rPr>
        <w:footnoteReference w:id="17"/>
      </w:r>
      <w:r w:rsidRPr="008304D7">
        <w:rPr>
          <w:rFonts w:ascii="Verdana" w:hAnsi="Verdana" w:eastAsia="Arial" w:cs="Arial"/>
          <w:lang w:val="es-ES"/>
        </w:rPr>
        <w:t>.</w:t>
      </w:r>
    </w:p>
    <w:p w:rsidRPr="008304D7" w:rsidR="006B036C" w:rsidP="006B036C" w:rsidRDefault="006B036C" w14:paraId="68DEFAAF" w14:textId="77777777">
      <w:pPr>
        <w:widowControl w:val="0"/>
        <w:tabs>
          <w:tab w:val="left" w:pos="728"/>
        </w:tabs>
        <w:autoSpaceDE w:val="0"/>
        <w:autoSpaceDN w:val="0"/>
        <w:spacing w:after="0" w:line="276" w:lineRule="auto"/>
        <w:jc w:val="both"/>
        <w:rPr>
          <w:rFonts w:ascii="Verdana" w:hAnsi="Verdana" w:eastAsia="Arial" w:cs="Arial"/>
          <w:lang w:val="es-ES"/>
        </w:rPr>
      </w:pPr>
    </w:p>
    <w:p w:rsidRPr="008304D7" w:rsidR="006B036C" w:rsidP="006B036C" w:rsidRDefault="006B036C" w14:paraId="4D43FAD8" w14:textId="77777777">
      <w:pPr>
        <w:spacing w:line="276" w:lineRule="auto"/>
        <w:contextualSpacing/>
        <w:jc w:val="both"/>
        <w:rPr>
          <w:rFonts w:ascii="Verdana" w:hAnsi="Verdana" w:eastAsia="Calibri" w:cs="Arial"/>
          <w:lang w:val="es-ES_tradnl" w:eastAsia="es-ES_tradnl"/>
        </w:rPr>
      </w:pPr>
      <w:r>
        <w:rPr>
          <w:rFonts w:ascii="Verdana" w:hAnsi="Verdana" w:cs="Arial"/>
          <w:lang w:val="es-ES"/>
        </w:rPr>
        <w:t xml:space="preserve">vi. </w:t>
      </w:r>
      <w:r w:rsidRPr="008304D7">
        <w:rPr>
          <w:rFonts w:ascii="Verdana" w:hAnsi="Verdana" w:cs="Arial"/>
          <w:lang w:val="es-ES"/>
        </w:rPr>
        <w:t xml:space="preserve">Tratándose de los contratos de régimen exceptuado, el deber de publicidad y transparencia </w:t>
      </w:r>
      <w:bookmarkStart w:name="_Hlk114572097" w:id="4"/>
      <w:bookmarkStart w:name="_Hlk112856043" w:id="5"/>
      <w:bookmarkStart w:name="_Hlk112245356" w:id="6"/>
      <w:r w:rsidRPr="008304D7">
        <w:rPr>
          <w:rFonts w:ascii="Verdana" w:hAnsi="Verdana" w:cs="Arial"/>
          <w:lang w:val="es-ES"/>
        </w:rPr>
        <w:t>fue complementado</w:t>
      </w:r>
      <w:r w:rsidRPr="008304D7">
        <w:rPr>
          <w:rFonts w:ascii="Verdana" w:hAnsi="Verdana" w:cs="Arial"/>
        </w:rPr>
        <w:t xml:space="preserve"> con la Ley 2195 de 2022. </w:t>
      </w:r>
      <w:r w:rsidRPr="008304D7">
        <w:rPr>
          <w:rFonts w:ascii="Verdana" w:hAnsi="Verdana" w:eastAsia="Calibri" w:cs="Arial"/>
          <w:lang w:val="es-ES_tradnl" w:eastAsia="es-ES_tradnl"/>
        </w:rPr>
        <w:t>Según el artículo 1, esta Ley “</w:t>
      </w:r>
      <w:r w:rsidRPr="008304D7">
        <w:rPr>
          <w:rFonts w:ascii="Verdana" w:hAnsi="Verdana" w:eastAsia="Times New Roman" w:cs="Arial"/>
          <w:lang w:val="es-ES_tradnl" w:eastAsia="es-ES_tradnl"/>
        </w:rPr>
        <w:t xml:space="preserve">[…] </w:t>
      </w:r>
      <w:r w:rsidRPr="008304D7">
        <w:rPr>
          <w:rFonts w:ascii="Verdana" w:hAnsi="Verdana" w:eastAsia="Calibri" w:cs="Arial"/>
          <w:lang w:val="es-ES_tradnl" w:eastAsia="es-ES_tradnl"/>
        </w:rPr>
        <w:t xml:space="preserve">tiene por objeto adoptar disposiciones tendientes a prevenir los actos de corrupción, a reforzar la articulación y coordinación de las entidades del Estado y a recuperar los daños ocasionados por dichos actos con el fin de asegurar promover la cultura de la legalidad e integridad y recuperar la confianza ciudadana y el respeto por lo público”. </w:t>
      </w:r>
    </w:p>
    <w:p w:rsidRPr="008304D7" w:rsidR="006B036C" w:rsidP="006B036C" w:rsidRDefault="006B036C" w14:paraId="43FB0031" w14:textId="77777777">
      <w:pPr>
        <w:spacing w:line="276" w:lineRule="auto"/>
        <w:ind w:firstLine="709"/>
        <w:contextualSpacing/>
        <w:jc w:val="both"/>
        <w:rPr>
          <w:rFonts w:ascii="Verdana" w:hAnsi="Verdana" w:eastAsia="Calibri" w:cs="Arial"/>
          <w:sz w:val="12"/>
          <w:szCs w:val="12"/>
          <w:lang w:val="es-ES_tradnl" w:eastAsia="es-ES_tradnl"/>
        </w:rPr>
      </w:pPr>
    </w:p>
    <w:p w:rsidRPr="008304D7" w:rsidR="006B036C" w:rsidP="006B036C" w:rsidRDefault="006B036C" w14:paraId="0F433BD5" w14:textId="77777777">
      <w:pPr>
        <w:spacing w:line="276" w:lineRule="auto"/>
        <w:ind w:firstLine="709"/>
        <w:contextualSpacing/>
        <w:jc w:val="both"/>
        <w:rPr>
          <w:rFonts w:ascii="Verdana" w:hAnsi="Verdana" w:cs="Arial"/>
        </w:rPr>
      </w:pPr>
      <w:r w:rsidRPr="008304D7">
        <w:rPr>
          <w:rFonts w:ascii="Verdana" w:hAnsi="Verdana" w:eastAsia="Calibri" w:cs="Arial"/>
          <w:lang w:val="es-ES_tradnl" w:eastAsia="es-ES_tradnl"/>
        </w:rPr>
        <w:t xml:space="preserve">Dentro del capítulo VIII, por el cual se expiden “Disposiciones en materia contractual para la moralización y la transparencia”, se ubica </w:t>
      </w:r>
      <w:r w:rsidRPr="008304D7">
        <w:rPr>
          <w:rFonts w:ascii="Verdana" w:hAnsi="Verdana" w:cs="Arial"/>
        </w:rPr>
        <w:t>el artículo 53. Este adiciona el artículo 13 de la Ley 1150 de 2007, y obliga a las entidades estatales que por disposición legal cuenten con un régimen contractual excepcional al del Estatuto General de Contratación de la Administración Pública a publicar los documentos relacionados con su actividad contractual en el Sistema Electrónico para la Contratación Pública –SECOP II– o la plataforma transaccional que haga sus veces.</w:t>
      </w:r>
      <w:bookmarkEnd w:id="4"/>
      <w:r w:rsidRPr="008304D7">
        <w:rPr>
          <w:rFonts w:ascii="Verdana" w:hAnsi="Verdana" w:cs="Arial"/>
        </w:rPr>
        <w:t xml:space="preserve"> </w:t>
      </w:r>
      <w:bookmarkEnd w:id="5"/>
      <w:bookmarkEnd w:id="6"/>
      <w:r w:rsidRPr="008304D7">
        <w:rPr>
          <w:rFonts w:ascii="Verdana" w:hAnsi="Verdana" w:cs="Arial"/>
        </w:rPr>
        <w:t>Al respecto, la norma citada dispone lo siguiente:</w:t>
      </w:r>
    </w:p>
    <w:p w:rsidRPr="008304D7" w:rsidR="006B036C" w:rsidP="006B036C" w:rsidRDefault="006B036C" w14:paraId="215B20AA" w14:textId="77777777">
      <w:pPr>
        <w:spacing w:line="276" w:lineRule="auto"/>
        <w:ind w:firstLine="301"/>
        <w:contextualSpacing/>
        <w:rPr>
          <w:rFonts w:ascii="Verdana" w:hAnsi="Verdana" w:cs="Arial"/>
        </w:rPr>
      </w:pPr>
    </w:p>
    <w:p w:rsidRPr="00FA383F" w:rsidR="006B036C" w:rsidP="006B036C" w:rsidRDefault="006B036C" w14:paraId="4000DBC5" w14:textId="77777777">
      <w:pPr>
        <w:spacing w:line="240" w:lineRule="auto"/>
        <w:ind w:left="709" w:right="709"/>
        <w:contextualSpacing/>
        <w:jc w:val="both"/>
        <w:rPr>
          <w:rFonts w:ascii="Verdana" w:hAnsi="Verdana" w:eastAsia="Calibri" w:cs="Arial"/>
          <w:sz w:val="20"/>
          <w:szCs w:val="20"/>
        </w:rPr>
      </w:pPr>
      <w:r w:rsidRPr="008304D7">
        <w:rPr>
          <w:rFonts w:ascii="Verdana" w:hAnsi="Verdana" w:eastAsia="Calibri" w:cs="Arial"/>
          <w:sz w:val="21"/>
          <w:szCs w:val="21"/>
        </w:rPr>
        <w:t>“</w:t>
      </w:r>
      <w:r w:rsidRPr="00FA383F">
        <w:rPr>
          <w:rFonts w:ascii="Verdana" w:hAnsi="Verdana" w:eastAsia="Calibri" w:cs="Arial"/>
          <w:sz w:val="20"/>
          <w:szCs w:val="20"/>
        </w:rPr>
        <w:t>Adiciónese los siguientes incisos al artículo 13 de la Ley 1150 de 2007, el cual quedará así:</w:t>
      </w:r>
    </w:p>
    <w:p w:rsidRPr="008304D7" w:rsidR="006B036C" w:rsidP="006B036C" w:rsidRDefault="006B036C" w14:paraId="7BFBEF60" w14:textId="77777777">
      <w:pPr>
        <w:spacing w:line="240" w:lineRule="auto"/>
        <w:ind w:left="709" w:right="709"/>
        <w:contextualSpacing/>
        <w:jc w:val="both"/>
        <w:rPr>
          <w:rFonts w:ascii="Verdana" w:hAnsi="Verdana" w:eastAsia="Calibri" w:cs="Arial"/>
          <w:sz w:val="12"/>
          <w:szCs w:val="12"/>
        </w:rPr>
      </w:pPr>
    </w:p>
    <w:p w:rsidRPr="00FA383F" w:rsidR="006B036C" w:rsidP="006B036C" w:rsidRDefault="006B036C" w14:paraId="0B1B3BC7" w14:textId="77777777">
      <w:pPr>
        <w:spacing w:line="240" w:lineRule="auto"/>
        <w:ind w:left="709" w:right="709"/>
        <w:contextualSpacing/>
        <w:jc w:val="both"/>
        <w:rPr>
          <w:rFonts w:ascii="Verdana" w:hAnsi="Verdana" w:eastAsia="Calibri" w:cs="Arial"/>
          <w:sz w:val="20"/>
          <w:szCs w:val="20"/>
        </w:rPr>
      </w:pPr>
      <w:r w:rsidRPr="00FA383F">
        <w:rPr>
          <w:rFonts w:ascii="Verdana" w:hAnsi="Verdana" w:eastAsia="Calibri" w:cs="Arial"/>
          <w:sz w:val="20"/>
          <w:szCs w:val="20"/>
        </w:rPr>
        <w:t xml:space="preserve">Artículo 13. PRINCIPIOS GENERALES DE LA ACTIVIDAD CONTRACTUAL PARA ENTIDADES NO SOMETIDAS AL ESTATUTO GENERAL DE CONTRATACIÓN DE LA ADMINISTRACIÓN PÚBLICA. </w:t>
      </w:r>
      <w:bookmarkStart w:name="_Hlk153374976" w:id="7"/>
      <w:r w:rsidRPr="00FA383F">
        <w:rPr>
          <w:rFonts w:ascii="Verdana" w:hAnsi="Verdana" w:eastAsia="Calibri" w:cs="Arial"/>
          <w:sz w:val="20"/>
          <w:szCs w:val="20"/>
        </w:rPr>
        <w:t>Las entidades estatales que por disposición legal cuenten con un régimen contractual excepcional al del Estatuto General de Contratación de la Administración Pública</w:t>
      </w:r>
      <w:bookmarkEnd w:id="7"/>
      <w:r w:rsidRPr="00FA383F">
        <w:rPr>
          <w:rFonts w:ascii="Verdana" w:hAnsi="Verdana" w:eastAsia="Calibri" w:cs="Arial"/>
          <w:sz w:val="20"/>
          <w:szCs w:val="20"/>
        </w:rPr>
        <w:t>,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rsidRPr="008304D7" w:rsidR="006B036C" w:rsidP="006B036C" w:rsidRDefault="006B036C" w14:paraId="2ED0E52F" w14:textId="77777777">
      <w:pPr>
        <w:spacing w:line="240" w:lineRule="auto"/>
        <w:ind w:left="709" w:right="709"/>
        <w:contextualSpacing/>
        <w:jc w:val="both"/>
        <w:rPr>
          <w:rFonts w:ascii="Verdana" w:hAnsi="Verdana" w:eastAsia="Calibri" w:cs="Arial"/>
          <w:sz w:val="12"/>
          <w:szCs w:val="12"/>
        </w:rPr>
      </w:pPr>
    </w:p>
    <w:p w:rsidRPr="00FA383F" w:rsidR="006B036C" w:rsidP="006B036C" w:rsidRDefault="006B036C" w14:paraId="1EF51624" w14:textId="77777777">
      <w:pPr>
        <w:spacing w:line="240" w:lineRule="auto"/>
        <w:ind w:left="709" w:right="709"/>
        <w:contextualSpacing/>
        <w:jc w:val="both"/>
        <w:rPr>
          <w:rFonts w:ascii="Verdana" w:hAnsi="Verdana" w:eastAsia="Calibri" w:cs="Arial"/>
          <w:sz w:val="20"/>
          <w:szCs w:val="20"/>
        </w:rPr>
      </w:pPr>
      <w:r w:rsidRPr="00FA383F">
        <w:rPr>
          <w:rFonts w:ascii="Verdana" w:hAnsi="Verdana" w:eastAsia="Calibri" w:cs="Arial"/>
          <w:sz w:val="20"/>
          <w:szCs w:val="20"/>
        </w:rPr>
        <w:t xml:space="preserve">En desarrollo de los anteriores principios, </w:t>
      </w:r>
      <w:bookmarkStart w:name="_Hlk153375008" w:id="8"/>
      <w:r w:rsidRPr="00FA383F">
        <w:rPr>
          <w:rFonts w:ascii="Verdana" w:hAnsi="Verdana" w:eastAsia="Calibri" w:cs="Arial"/>
          <w:sz w:val="20"/>
          <w:szCs w:val="20"/>
        </w:rPr>
        <w:t>deberán publicar los documentos relacionados con su actividad contractual en el Sistema Electrónico para la Contratación Pública –SECOP II– o la plataforma transaccional que haga sus veces</w:t>
      </w:r>
      <w:bookmarkEnd w:id="8"/>
      <w:r w:rsidRPr="00FA383F">
        <w:rPr>
          <w:rFonts w:ascii="Verdana" w:hAnsi="Verdana" w:eastAsia="Calibri" w:cs="Arial"/>
          <w:sz w:val="20"/>
          <w:szCs w:val="20"/>
        </w:rPr>
        <w:t xml:space="preserve">. Para los efectos de este artículo, se entiende por actividad contractual </w:t>
      </w:r>
      <w:bookmarkStart w:name="_Hlk153375262" w:id="9"/>
      <w:r w:rsidRPr="00FA383F">
        <w:rPr>
          <w:rFonts w:ascii="Verdana" w:hAnsi="Verdana" w:eastAsia="Calibri" w:cs="Arial"/>
          <w:sz w:val="20"/>
          <w:szCs w:val="20"/>
        </w:rPr>
        <w:t xml:space="preserve">los documentos, contratos, actos e información generada por oferentes, contratista, contratante, supervisor o interventor, tanto en la etapa precontractual, como en la contractual y la </w:t>
      </w:r>
      <w:proofErr w:type="spellStart"/>
      <w:r w:rsidRPr="00FA383F">
        <w:rPr>
          <w:rFonts w:ascii="Verdana" w:hAnsi="Verdana" w:eastAsia="Calibri" w:cs="Arial"/>
          <w:sz w:val="20"/>
          <w:szCs w:val="20"/>
        </w:rPr>
        <w:t>postcontractual</w:t>
      </w:r>
      <w:bookmarkEnd w:id="9"/>
      <w:proofErr w:type="spellEnd"/>
      <w:r w:rsidRPr="00FA383F">
        <w:rPr>
          <w:rFonts w:ascii="Verdana" w:hAnsi="Verdana" w:eastAsia="Calibri" w:cs="Arial"/>
          <w:sz w:val="20"/>
          <w:szCs w:val="20"/>
        </w:rPr>
        <w:t>.</w:t>
      </w:r>
    </w:p>
    <w:p w:rsidRPr="008304D7" w:rsidR="006B036C" w:rsidP="006B036C" w:rsidRDefault="006B036C" w14:paraId="3B5F234B" w14:textId="77777777">
      <w:pPr>
        <w:spacing w:line="240" w:lineRule="auto"/>
        <w:ind w:left="709" w:right="709"/>
        <w:contextualSpacing/>
        <w:jc w:val="both"/>
        <w:rPr>
          <w:rFonts w:ascii="Verdana" w:hAnsi="Verdana" w:eastAsia="Calibri" w:cs="Arial"/>
          <w:i/>
          <w:iCs/>
          <w:sz w:val="12"/>
          <w:szCs w:val="12"/>
        </w:rPr>
      </w:pPr>
    </w:p>
    <w:p w:rsidRPr="00FA383F" w:rsidR="006B036C" w:rsidP="006B036C" w:rsidRDefault="006B036C" w14:paraId="4BD9C146" w14:textId="77777777">
      <w:pPr>
        <w:spacing w:line="240" w:lineRule="auto"/>
        <w:ind w:left="709" w:right="709"/>
        <w:contextualSpacing/>
        <w:jc w:val="both"/>
        <w:rPr>
          <w:rFonts w:ascii="Verdana" w:hAnsi="Verdana" w:eastAsia="Calibri" w:cs="Arial"/>
          <w:sz w:val="20"/>
          <w:szCs w:val="20"/>
        </w:rPr>
      </w:pPr>
      <w:r w:rsidRPr="00FA383F">
        <w:rPr>
          <w:rFonts w:ascii="Verdana" w:hAnsi="Verdana" w:eastAsia="Calibri" w:cs="Arial"/>
          <w:sz w:val="20"/>
          <w:szCs w:val="20"/>
        </w:rPr>
        <w:t>A partir de la entrada en vigencia de la presente Ley, se establecerá un periodo de transición de seis (6) meses, para que las entidades den cumplimiento efectivo a lo aquí establecido”.</w:t>
      </w:r>
    </w:p>
    <w:p w:rsidRPr="008304D7" w:rsidR="006B036C" w:rsidP="006B036C" w:rsidRDefault="006B036C" w14:paraId="7BD869C7" w14:textId="77777777">
      <w:pPr>
        <w:spacing w:line="276" w:lineRule="auto"/>
        <w:ind w:firstLine="709"/>
        <w:contextualSpacing/>
        <w:jc w:val="both"/>
        <w:rPr>
          <w:rFonts w:ascii="Verdana" w:hAnsi="Verdana" w:eastAsia="Calibri" w:cs="Arial"/>
          <w:lang w:val="es-ES_tradnl"/>
        </w:rPr>
      </w:pPr>
    </w:p>
    <w:p w:rsidRPr="00904EDB" w:rsidR="006B036C" w:rsidP="006B036C" w:rsidRDefault="006B036C" w14:paraId="385EDED8" w14:textId="77777777">
      <w:pPr>
        <w:spacing w:after="120" w:line="276" w:lineRule="auto"/>
        <w:ind w:firstLine="709"/>
        <w:jc w:val="both"/>
        <w:rPr>
          <w:rFonts w:ascii="Verdana" w:hAnsi="Verdana" w:eastAsia="Calibri" w:cs="Arial"/>
          <w:lang w:val="es-ES_tradnl"/>
        </w:rPr>
      </w:pPr>
      <w:bookmarkStart w:name="_Hlk114556636" w:id="10"/>
      <w:r w:rsidRPr="00904EDB">
        <w:rPr>
          <w:rFonts w:ascii="Verdana" w:hAnsi="Verdana" w:cs="Arial"/>
        </w:rPr>
        <w:t xml:space="preserve">Conforme a lo anterior, a partir del 18 de julio de 2022, las entidades exceptuadas se encuentran obligadas a publicar todos los documentos de su actividad contractual en el SECOP II, sin perjuicio de estar sometidas a regímenes de derecho privado. Siendo este el efecto de la disposición bajo estudio se destaca que </w:t>
      </w:r>
      <w:r w:rsidRPr="00904EDB">
        <w:rPr>
          <w:rFonts w:ascii="Verdana" w:hAnsi="Verdana" w:eastAsia="Calibri" w:cs="Arial"/>
          <w:lang w:val="es-ES_tradnl"/>
        </w:rPr>
        <w:t xml:space="preserve">la modificación introducida por el artículo 53 de la Ley 2195 de 2022 de ninguna manera puede ser interpretada como una modificación del régimen jurídico de las entidades exceptuadas, ni como una norma que regule la forma en la que se perfeccionan los contratos de régimen especial. </w:t>
      </w:r>
    </w:p>
    <w:bookmarkEnd w:id="10"/>
    <w:p w:rsidR="006B036C" w:rsidP="006B036C" w:rsidRDefault="006B036C" w14:paraId="2A97DF5C" w14:textId="77777777">
      <w:pPr>
        <w:spacing w:after="0" w:line="276" w:lineRule="auto"/>
        <w:ind w:firstLine="708"/>
        <w:jc w:val="both"/>
        <w:rPr>
          <w:rFonts w:ascii="Verdana" w:hAnsi="Verdana" w:eastAsia="Calibri" w:cs="Arial"/>
          <w:color w:val="000000" w:themeColor="text1"/>
          <w:lang w:val="es-ES"/>
        </w:rPr>
      </w:pPr>
      <w:r w:rsidRPr="00904EDB">
        <w:rPr>
          <w:rFonts w:ascii="Verdana" w:hAnsi="Verdana" w:eastAsia="Calibri" w:cs="Arial"/>
          <w:lang w:val="es-ES_tradnl"/>
        </w:rPr>
        <w:t xml:space="preserve">El efecto de la norma tampoco es el de imponer formalidades propias del régimen de contratación público en detrimento de las regulaciones establecidas en los manuales de contratación de las entidades exceptuadas. Esto dado que la referida disposición se limita a señalar el SECOP II –o la plataforma transaccional que haga sus veces– como el medio a través del cual les corresponderá a las entidades realizar la publicidad de los documentos que expidan en el curso de </w:t>
      </w:r>
      <w:r w:rsidRPr="00904EDB">
        <w:rPr>
          <w:rFonts w:ascii="Verdana" w:hAnsi="Verdana" w:eastAsia="Calibri" w:cs="Arial"/>
          <w:lang w:val="es-ES_tradnl"/>
        </w:rPr>
        <w:t>su actividad contractual desarrollada al margen del Estatuto General de Contratación de la Administración Pública.</w:t>
      </w:r>
    </w:p>
    <w:p w:rsidR="006B036C" w:rsidP="006B036C" w:rsidRDefault="006B036C" w14:paraId="1F608C90" w14:textId="77777777">
      <w:pPr>
        <w:spacing w:after="0" w:line="276" w:lineRule="auto"/>
        <w:jc w:val="both"/>
        <w:rPr>
          <w:rFonts w:ascii="Verdana" w:hAnsi="Verdana" w:eastAsia="Calibri" w:cs="Arial"/>
          <w:bCs/>
          <w:color w:val="000000" w:themeColor="text1"/>
          <w:lang w:val="es-ES"/>
        </w:rPr>
      </w:pPr>
    </w:p>
    <w:p w:rsidRPr="00F95B1D" w:rsidR="006B036C" w:rsidP="006B036C" w:rsidRDefault="006B036C" w14:paraId="55FD365F" w14:textId="77777777">
      <w:pPr>
        <w:spacing w:after="120" w:line="276" w:lineRule="auto"/>
        <w:jc w:val="both"/>
        <w:rPr>
          <w:rFonts w:ascii="Verdana" w:hAnsi="Verdana" w:eastAsia="Calibri" w:cs="Arial"/>
          <w:bCs/>
          <w:color w:val="000000" w:themeColor="text1"/>
          <w:lang w:val="es-ES_tradnl"/>
        </w:rPr>
      </w:pPr>
      <w:r>
        <w:rPr>
          <w:rFonts w:ascii="Verdana" w:hAnsi="Verdana" w:eastAsia="Calibri" w:cs="Arial"/>
          <w:bCs/>
          <w:color w:val="000000" w:themeColor="text1"/>
          <w:lang w:val="es-ES"/>
        </w:rPr>
        <w:t xml:space="preserve">vi. </w:t>
      </w:r>
      <w:r>
        <w:rPr>
          <w:rFonts w:ascii="Verdana" w:hAnsi="Verdana" w:eastAsia="Calibri" w:cs="Arial"/>
          <w:lang w:val="es-ES_tradnl"/>
        </w:rPr>
        <w:t>El módulo de “régimen especial” existe en tanto en SECOP I</w:t>
      </w:r>
      <w:r>
        <w:rPr>
          <w:rStyle w:val="Refdenotaalpie"/>
          <w:rFonts w:ascii="Verdana" w:hAnsi="Verdana" w:eastAsia="Calibri" w:cs="Arial"/>
          <w:lang w:val="es-ES_tradnl"/>
        </w:rPr>
        <w:footnoteReference w:id="18"/>
      </w:r>
      <w:r>
        <w:rPr>
          <w:rFonts w:ascii="Verdana" w:hAnsi="Verdana" w:eastAsia="Calibri" w:cs="Arial"/>
          <w:lang w:val="es-ES_tradnl"/>
        </w:rPr>
        <w:t xml:space="preserve"> como en SECOP II, incluso, en esta última plataforma, distingue entre “régimen especial con ofertas”</w:t>
      </w:r>
      <w:r>
        <w:rPr>
          <w:rStyle w:val="Refdenotaalpie"/>
          <w:rFonts w:ascii="Verdana" w:hAnsi="Verdana" w:eastAsia="Calibri" w:cs="Arial"/>
          <w:lang w:val="es-ES_tradnl"/>
        </w:rPr>
        <w:footnoteReference w:id="19"/>
      </w:r>
      <w:r>
        <w:rPr>
          <w:rFonts w:ascii="Verdana" w:hAnsi="Verdana" w:eastAsia="Calibri" w:cs="Arial"/>
          <w:lang w:val="es-ES_tradnl"/>
        </w:rPr>
        <w:t xml:space="preserve"> y “régimen especial sin ofertas”</w:t>
      </w:r>
      <w:r>
        <w:rPr>
          <w:rStyle w:val="Refdenotaalpie"/>
          <w:rFonts w:ascii="Verdana" w:hAnsi="Verdana" w:eastAsia="Calibri" w:cs="Arial"/>
          <w:lang w:val="es-ES_tradnl"/>
        </w:rPr>
        <w:footnoteReference w:id="20"/>
      </w:r>
      <w:r>
        <w:rPr>
          <w:rFonts w:ascii="Verdana" w:hAnsi="Verdana" w:eastAsia="Calibri" w:cs="Arial"/>
          <w:lang w:val="es-ES_tradnl"/>
        </w:rPr>
        <w:t xml:space="preserve">. La diferencia es jurídicamente relevante, porque </w:t>
      </w:r>
      <w:r w:rsidRPr="00F95B1D">
        <w:rPr>
          <w:rFonts w:ascii="Verdana" w:hAnsi="Verdana" w:eastAsia="Calibri" w:cs="Arial"/>
          <w:bCs/>
          <w:color w:val="000000" w:themeColor="text1"/>
          <w:lang w:val="es-ES_tradnl"/>
        </w:rPr>
        <w:t>el SECOP I solo funciona como medio de publicidad, es decir, no tiene carácter transaccional. Esto significa que el procedimiento contractual se adelanta fuera de la plataforma a través de un expediente físico. No obstante, las actuaciones y los documentos se convierten en electrónicos para cargarse posteriormente a la plataforma</w:t>
      </w:r>
      <w:r>
        <w:rPr>
          <w:rFonts w:ascii="Verdana" w:hAnsi="Verdana" w:eastAsia="Calibri" w:cs="Arial"/>
          <w:bCs/>
          <w:color w:val="000000" w:themeColor="text1"/>
          <w:lang w:val="es-ES_tradnl"/>
        </w:rPr>
        <w:t>.</w:t>
      </w:r>
    </w:p>
    <w:p w:rsidR="006B036C" w:rsidP="006B036C" w:rsidRDefault="006B036C" w14:paraId="6E1BADFB" w14:textId="77777777">
      <w:pPr>
        <w:spacing w:after="120" w:line="276" w:lineRule="auto"/>
        <w:ind w:firstLine="709"/>
        <w:jc w:val="both"/>
        <w:rPr>
          <w:rFonts w:ascii="Verdana" w:hAnsi="Verdana" w:eastAsia="Calibri" w:cs="Arial"/>
          <w:bCs/>
          <w:color w:val="000000" w:themeColor="text1"/>
          <w:lang w:val="es-ES_tradnl"/>
        </w:rPr>
      </w:pPr>
      <w:r w:rsidRPr="00F95B1D">
        <w:rPr>
          <w:rFonts w:ascii="Verdana" w:hAnsi="Verdana" w:eastAsia="Calibri" w:cs="Arial"/>
          <w:bCs/>
          <w:color w:val="000000" w:themeColor="text1"/>
          <w:lang w:val="es-ES_tradnl"/>
        </w:rPr>
        <w:t>En contraste, el SECOP II permite generar contratos en línea y realizar la firma electrónica de los mismos. Tiene funciones que permiten al proveedor presentar garantías y facturas; y a la entidad, realizar la revisión y aprobación de ambos tipos de documentos en línea. Además, el módulo permite hacer modificaciones contractuales, tanto unilaterales como bilaterales –estas últimas son enviadas para aprobación del proveedor antes de la publicación por parte de la entidad estatal–. Para registrar el seguimiento al avance de la ejecución, el módulo de gestión contractual habilita el registro de planes de ejecución por porcentaje de avance y el cargue de documentos tanto a proveedor como a la entidad estatal, la cual puede crear usuarios para que los supervisores de los contratos carguen la información pertinente. Finalmente, la liquidación y el cierre de los expedientes contractuales también puede realizarse a través del SECOP II. Es de destacar que la plataforma tiene un módulo de búsqueda pública que permite a los ciudadanos y entes de control revisar el avance en tiempo real de cualquier contrato realizado a través del SECOP II, sin necesidad de tener usuarios creados en la plataforma.</w:t>
      </w:r>
    </w:p>
    <w:p w:rsidR="006B036C" w:rsidP="006B036C" w:rsidRDefault="006B036C" w14:paraId="36EE5D5C" w14:textId="77777777">
      <w:pPr>
        <w:spacing w:after="0" w:line="276" w:lineRule="auto"/>
        <w:ind w:firstLine="709"/>
        <w:jc w:val="both"/>
        <w:rPr>
          <w:rFonts w:ascii="Verdana" w:hAnsi="Verdana" w:eastAsia="Calibri" w:cs="Arial"/>
          <w:color w:val="000000" w:themeColor="text1"/>
        </w:rPr>
      </w:pPr>
      <w:r w:rsidRPr="50365B4C">
        <w:rPr>
          <w:rFonts w:ascii="Verdana" w:hAnsi="Verdana" w:eastAsia="Calibri" w:cs="Arial"/>
          <w:color w:val="000000" w:themeColor="text1"/>
        </w:rPr>
        <w:t xml:space="preserve">Lo anterior no obsta para que el SECOP II pueda utilizarse como un medio de publicidad de la actividad contractual de las entidades excluidas del EGCAP.  En este caso, el numeral 1.4 de la Circular Externa Única de la ANCP – CCE explica que se “[…] debe crear el proceso de contratación en el SECOP II </w:t>
      </w:r>
      <w:r w:rsidRPr="50365B4C">
        <w:rPr>
          <w:rFonts w:ascii="Verdana" w:hAnsi="Verdana" w:eastAsia="Calibri" w:cs="Arial"/>
          <w:color w:val="000000" w:themeColor="text1"/>
        </w:rPr>
        <w:t>mediante el módulo ‘Contratación Régimen Especial (sin ofertas)’, cargar todos los documentos del proceso en la sección predispuesta para ello y publicar el proceso. La publicación de los documentos de la gestión contractual, incluido el contrato firmado manuscritamente, se debe realizar mediante modificaciones al proceso a través de la opción ‘Modificaciones/Adendas’”</w:t>
      </w:r>
      <w:r w:rsidRPr="50365B4C">
        <w:rPr>
          <w:rStyle w:val="Refdenotaalpie"/>
          <w:rFonts w:ascii="Verdana" w:hAnsi="Verdana" w:eastAsia="Calibri" w:cs="Arial"/>
          <w:color w:val="000000" w:themeColor="text1"/>
        </w:rPr>
        <w:footnoteReference w:id="21"/>
      </w:r>
      <w:r w:rsidRPr="50365B4C">
        <w:rPr>
          <w:rFonts w:ascii="Verdana" w:hAnsi="Verdana" w:eastAsia="Calibri" w:cs="Arial"/>
          <w:color w:val="000000" w:themeColor="text1"/>
        </w:rPr>
        <w:t xml:space="preserve">. </w:t>
      </w:r>
    </w:p>
    <w:p w:rsidR="006B036C" w:rsidP="006B036C" w:rsidRDefault="006B036C" w14:paraId="718070E7" w14:textId="77777777">
      <w:pPr>
        <w:spacing w:after="0" w:line="276" w:lineRule="auto"/>
        <w:ind w:firstLine="709"/>
        <w:jc w:val="both"/>
        <w:rPr>
          <w:rFonts w:ascii="Verdana" w:hAnsi="Verdana" w:eastAsia="Calibri" w:cs="Arial"/>
          <w:bCs/>
          <w:color w:val="000000" w:themeColor="text1"/>
          <w:lang w:val="es-ES_tradnl"/>
        </w:rPr>
      </w:pPr>
    </w:p>
    <w:p w:rsidR="006B036C" w:rsidP="006B036C" w:rsidRDefault="006B036C" w14:paraId="67784FFE" w14:textId="77777777">
      <w:pPr>
        <w:spacing w:after="120" w:line="276" w:lineRule="auto"/>
        <w:jc w:val="both"/>
        <w:rPr>
          <w:rFonts w:ascii="Verdana" w:hAnsi="Verdana" w:eastAsia="Calibri" w:cs="Arial"/>
          <w:color w:val="000000" w:themeColor="text1"/>
          <w:lang w:val="es-ES"/>
        </w:rPr>
      </w:pPr>
      <w:proofErr w:type="spellStart"/>
      <w:r w:rsidRPr="50365B4C">
        <w:rPr>
          <w:rFonts w:ascii="Verdana" w:hAnsi="Verdana" w:eastAsia="Calibri" w:cs="Arial"/>
          <w:color w:val="000000" w:themeColor="text1"/>
          <w:lang w:val="es-ES"/>
        </w:rPr>
        <w:t>vii</w:t>
      </w:r>
      <w:proofErr w:type="spellEnd"/>
      <w:r w:rsidRPr="50365B4C">
        <w:rPr>
          <w:rFonts w:ascii="Verdana" w:hAnsi="Verdana" w:eastAsia="Calibri" w:cs="Arial"/>
          <w:color w:val="000000" w:themeColor="text1"/>
          <w:lang w:val="es-ES"/>
        </w:rPr>
        <w:t xml:space="preserve">. Lo mencionado anteriormente es importante, porque –más allá de la gestión y publicidad de los contratos estatales en el SECOP II– el consecutivo interno de los negocios suscritos es un tema del resorte exclusivo de las entidades contratantes. Al respecto, es necesario tener en cuenta que el consecutivo de los procesos de selección rara vez coincide con el de los contratos, pues aquellos terminan por causas como la revocatoria directa de la invitación, la declaratoria de desierta, etc., situaciones en la cuales no se suscribe negocio alguno. El manejo dicho aspecto hace parte de la gestión documental; razón por la cual, son un insumo para rendir informes a los órganos de control. </w:t>
      </w:r>
    </w:p>
    <w:p w:rsidR="006B036C" w:rsidP="006B036C" w:rsidRDefault="006B036C" w14:paraId="0DA1A9B4" w14:textId="77777777">
      <w:pPr>
        <w:spacing w:after="120" w:line="276" w:lineRule="auto"/>
        <w:ind w:firstLine="708"/>
        <w:jc w:val="both"/>
        <w:rPr>
          <w:rFonts w:ascii="Verdana" w:hAnsi="Verdana" w:eastAsia="Calibri" w:cs="Arial"/>
          <w:bCs/>
          <w:color w:val="000000" w:themeColor="text1"/>
          <w:lang w:val="es-ES_tradnl"/>
        </w:rPr>
      </w:pPr>
      <w:r>
        <w:rPr>
          <w:rFonts w:ascii="Verdana" w:hAnsi="Verdana" w:eastAsia="Calibri" w:cs="Arial"/>
          <w:bCs/>
          <w:color w:val="000000" w:themeColor="text1"/>
          <w:lang w:val="es-ES_tradnl"/>
        </w:rPr>
        <w:t>La asignación de los consecutivos no depende de la fecha de perfeccionamiento, sino de la asignación alfanumérica que adopte la entidad, pues lo normal es que la contratación directa sea más ágil y expedita que los demás procesos con pluralidad de oferentes previstos en el manual. En estos casos, a diferencia del orden que se adopta para la expedición de resoluciones u otros actos administrativos, el orden los consecutivos de los contratos no necesariamente coincide con el orden de las fechas de perfeccionamiento.</w:t>
      </w:r>
    </w:p>
    <w:p w:rsidR="006B036C" w:rsidP="006B036C" w:rsidRDefault="006B036C" w14:paraId="0DF81D7C" w14:textId="77777777">
      <w:pPr>
        <w:spacing w:after="120" w:line="276" w:lineRule="auto"/>
        <w:jc w:val="both"/>
        <w:rPr>
          <w:rFonts w:ascii="Verdana" w:hAnsi="Verdana" w:eastAsia="Calibri" w:cs="Arial"/>
          <w:bCs/>
          <w:color w:val="000000" w:themeColor="text1"/>
          <w:lang w:val="es-ES_tradnl"/>
        </w:rPr>
      </w:pPr>
      <w:r>
        <w:rPr>
          <w:rFonts w:ascii="Verdana" w:hAnsi="Verdana" w:eastAsia="Calibri" w:cs="Arial"/>
          <w:bCs/>
          <w:color w:val="000000" w:themeColor="text1"/>
          <w:lang w:val="es-ES_tradnl"/>
        </w:rPr>
        <w:tab/>
      </w:r>
      <w:r>
        <w:rPr>
          <w:rFonts w:ascii="Verdana" w:hAnsi="Verdana" w:eastAsia="Calibri" w:cs="Arial"/>
          <w:bCs/>
          <w:color w:val="000000" w:themeColor="text1"/>
          <w:lang w:val="es-ES_tradnl"/>
        </w:rPr>
        <w:t xml:space="preserve">En los regímenes especiales, por regla general, los contratos se perfeccionan con la aceptación de la oferta –artículos 845, 853 y 854 del Código de Comercio–. Asimismo, el artículo 860 </w:t>
      </w:r>
      <w:r w:rsidRPr="00760E10">
        <w:rPr>
          <w:rFonts w:ascii="Verdana" w:hAnsi="Verdana" w:eastAsia="Calibri" w:cs="Arial"/>
          <w:bCs/>
          <w:i/>
          <w:iCs/>
          <w:color w:val="000000" w:themeColor="text1"/>
          <w:lang w:val="es-ES_tradnl"/>
        </w:rPr>
        <w:t>ibidem</w:t>
      </w:r>
      <w:r>
        <w:rPr>
          <w:rFonts w:ascii="Verdana" w:hAnsi="Verdana" w:eastAsia="Calibri" w:cs="Arial"/>
          <w:bCs/>
          <w:i/>
          <w:iCs/>
          <w:color w:val="000000" w:themeColor="text1"/>
          <w:lang w:val="es-ES_tradnl"/>
        </w:rPr>
        <w:t xml:space="preserve"> </w:t>
      </w:r>
      <w:r>
        <w:rPr>
          <w:rFonts w:ascii="Verdana" w:hAnsi="Verdana" w:eastAsia="Calibri" w:cs="Arial"/>
          <w:bCs/>
          <w:color w:val="000000" w:themeColor="text1"/>
          <w:lang w:val="es-ES_tradnl"/>
        </w:rPr>
        <w:t>dispone que “</w:t>
      </w:r>
      <w:r w:rsidRPr="00760E10">
        <w:rPr>
          <w:rFonts w:ascii="Verdana" w:hAnsi="Verdana" w:eastAsia="Calibri" w:cs="Arial"/>
          <w:bCs/>
          <w:color w:val="000000" w:themeColor="text1"/>
          <w:lang w:val="es-ES_tradnl"/>
        </w:rPr>
        <w:t>En todo género de licitaciones, públicas o privadas, el pliego de cargos constituye una oferta de contrato y cada postura implica la celebración de un contrato condicionado a que no haya postura mejor. Hecha la adjudicación al mejor postor, se desecharán las demás</w:t>
      </w:r>
      <w:r>
        <w:rPr>
          <w:rFonts w:ascii="Verdana" w:hAnsi="Verdana" w:eastAsia="Calibri" w:cs="Arial"/>
          <w:bCs/>
          <w:color w:val="000000" w:themeColor="text1"/>
          <w:lang w:val="es-ES_tradnl"/>
        </w:rPr>
        <w:t>”</w:t>
      </w:r>
      <w:r w:rsidRPr="00760E10">
        <w:rPr>
          <w:rFonts w:ascii="Verdana" w:hAnsi="Verdana" w:eastAsia="Calibri" w:cs="Arial"/>
          <w:bCs/>
          <w:color w:val="000000" w:themeColor="text1"/>
          <w:lang w:val="es-ES_tradnl"/>
        </w:rPr>
        <w:t>.</w:t>
      </w:r>
      <w:r>
        <w:rPr>
          <w:rFonts w:ascii="Verdana" w:hAnsi="Verdana" w:eastAsia="Calibri" w:cs="Arial"/>
          <w:bCs/>
          <w:color w:val="000000" w:themeColor="text1"/>
          <w:lang w:val="es-ES_tradnl"/>
        </w:rPr>
        <w:t xml:space="preserve"> Como explica la doctrina, “[…] </w:t>
      </w:r>
      <w:r w:rsidRPr="00E347D3">
        <w:rPr>
          <w:rFonts w:ascii="Verdana" w:hAnsi="Verdana" w:eastAsia="Calibri" w:cs="Arial"/>
          <w:bCs/>
          <w:color w:val="000000" w:themeColor="text1"/>
          <w:lang w:val="es-ES_tradnl"/>
        </w:rPr>
        <w:t>Es</w:t>
      </w:r>
      <w:r>
        <w:rPr>
          <w:rFonts w:ascii="Verdana" w:hAnsi="Verdana" w:eastAsia="Calibri" w:cs="Arial"/>
          <w:bCs/>
          <w:color w:val="000000" w:themeColor="text1"/>
          <w:lang w:val="es-ES_tradnl"/>
        </w:rPr>
        <w:t xml:space="preserve"> </w:t>
      </w:r>
      <w:r w:rsidRPr="00E347D3">
        <w:rPr>
          <w:rFonts w:ascii="Verdana" w:hAnsi="Verdana" w:eastAsia="Calibri" w:cs="Arial"/>
          <w:bCs/>
          <w:color w:val="000000" w:themeColor="text1"/>
          <w:lang w:val="es-ES_tradnl"/>
        </w:rPr>
        <w:t>necesario que uno de los interesados le proponga a otro u otros la celebración</w:t>
      </w:r>
      <w:r>
        <w:rPr>
          <w:rFonts w:ascii="Verdana" w:hAnsi="Verdana" w:eastAsia="Calibri" w:cs="Arial"/>
          <w:bCs/>
          <w:color w:val="000000" w:themeColor="text1"/>
          <w:lang w:val="es-ES_tradnl"/>
        </w:rPr>
        <w:t xml:space="preserve"> </w:t>
      </w:r>
      <w:r w:rsidRPr="00E347D3">
        <w:rPr>
          <w:rFonts w:ascii="Verdana" w:hAnsi="Verdana" w:eastAsia="Calibri" w:cs="Arial"/>
          <w:bCs/>
          <w:color w:val="000000" w:themeColor="text1"/>
          <w:lang w:val="es-ES_tradnl"/>
        </w:rPr>
        <w:t>de la convención y que este o estos, a su turno, manifiesten que están de acuerdo</w:t>
      </w:r>
      <w:r>
        <w:rPr>
          <w:rFonts w:ascii="Verdana" w:hAnsi="Verdana" w:eastAsia="Calibri" w:cs="Arial"/>
          <w:bCs/>
          <w:color w:val="000000" w:themeColor="text1"/>
          <w:lang w:val="es-ES_tradnl"/>
        </w:rPr>
        <w:t xml:space="preserve"> </w:t>
      </w:r>
      <w:r w:rsidRPr="00E347D3">
        <w:rPr>
          <w:rFonts w:ascii="Verdana" w:hAnsi="Verdana" w:eastAsia="Calibri" w:cs="Arial"/>
          <w:bCs/>
          <w:color w:val="000000" w:themeColor="text1"/>
          <w:lang w:val="es-ES_tradnl"/>
        </w:rPr>
        <w:t>con tal propuesta y que adhieren a ella. Así, el encuentro y la unificación de la</w:t>
      </w:r>
      <w:r>
        <w:rPr>
          <w:rFonts w:ascii="Verdana" w:hAnsi="Verdana" w:eastAsia="Calibri" w:cs="Arial"/>
          <w:bCs/>
          <w:color w:val="000000" w:themeColor="text1"/>
          <w:lang w:val="es-ES_tradnl"/>
        </w:rPr>
        <w:t xml:space="preserve"> </w:t>
      </w:r>
      <w:r w:rsidRPr="00E347D3">
        <w:rPr>
          <w:rFonts w:ascii="Verdana" w:hAnsi="Verdana" w:eastAsia="Calibri" w:cs="Arial"/>
          <w:bCs/>
          <w:color w:val="000000" w:themeColor="text1"/>
          <w:lang w:val="es-ES_tradnl"/>
        </w:rPr>
        <w:t xml:space="preserve">propuesta y su aceptación </w:t>
      </w:r>
      <w:r w:rsidRPr="00E347D3">
        <w:rPr>
          <w:rFonts w:ascii="Verdana" w:hAnsi="Verdana" w:eastAsia="Calibri" w:cs="Arial"/>
          <w:bCs/>
          <w:color w:val="000000" w:themeColor="text1"/>
          <w:lang w:val="es-ES_tradnl"/>
        </w:rPr>
        <w:t>es lo que genera el consentimiento</w:t>
      </w:r>
      <w:r>
        <w:rPr>
          <w:rFonts w:ascii="Verdana" w:hAnsi="Verdana" w:eastAsia="Calibri" w:cs="Arial"/>
          <w:bCs/>
          <w:color w:val="000000" w:themeColor="text1"/>
          <w:lang w:val="es-ES_tradnl"/>
        </w:rPr>
        <w:t>”</w:t>
      </w:r>
      <w:r>
        <w:rPr>
          <w:rStyle w:val="Refdenotaalpie"/>
          <w:rFonts w:ascii="Verdana" w:hAnsi="Verdana" w:eastAsia="Calibri" w:cs="Arial"/>
          <w:bCs/>
          <w:color w:val="000000" w:themeColor="text1"/>
          <w:lang w:val="es-ES_tradnl"/>
        </w:rPr>
        <w:footnoteReference w:id="22"/>
      </w:r>
      <w:r w:rsidRPr="00E347D3">
        <w:rPr>
          <w:rFonts w:ascii="Verdana" w:hAnsi="Verdana" w:eastAsia="Calibri" w:cs="Arial"/>
          <w:bCs/>
          <w:color w:val="000000" w:themeColor="text1"/>
          <w:lang w:val="es-ES_tradnl"/>
        </w:rPr>
        <w:t>.</w:t>
      </w:r>
      <w:r>
        <w:rPr>
          <w:rFonts w:ascii="Verdana" w:hAnsi="Verdana" w:eastAsia="Calibri" w:cs="Arial"/>
          <w:bCs/>
          <w:color w:val="000000" w:themeColor="text1"/>
          <w:lang w:val="es-ES_tradnl"/>
        </w:rPr>
        <w:t xml:space="preserve"> Luego, salvo que el contrato sea real o solemne, el solo consenso obliga a las partes en los términos del artículo 1500 del Código Civil</w:t>
      </w:r>
      <w:r>
        <w:rPr>
          <w:rStyle w:val="Refdenotaalpie"/>
          <w:rFonts w:ascii="Verdana" w:hAnsi="Verdana" w:eastAsia="Calibri" w:cs="Arial"/>
          <w:bCs/>
          <w:color w:val="000000" w:themeColor="text1"/>
          <w:lang w:val="es-ES_tradnl"/>
        </w:rPr>
        <w:footnoteReference w:id="23"/>
      </w:r>
      <w:r>
        <w:rPr>
          <w:rFonts w:ascii="Verdana" w:hAnsi="Verdana" w:eastAsia="Calibri" w:cs="Arial"/>
          <w:bCs/>
          <w:color w:val="000000" w:themeColor="text1"/>
          <w:lang w:val="es-ES_tradnl"/>
        </w:rPr>
        <w:t>.</w:t>
      </w:r>
      <w:r w:rsidRPr="00760E10">
        <w:rPr>
          <w:rFonts w:ascii="Verdana" w:hAnsi="Verdana" w:eastAsia="Calibri" w:cs="Arial"/>
          <w:bCs/>
          <w:color w:val="000000" w:themeColor="text1"/>
          <w:lang w:val="es-ES_tradnl"/>
        </w:rPr>
        <w:t xml:space="preserve"> </w:t>
      </w:r>
    </w:p>
    <w:p w:rsidR="006B036C" w:rsidP="006B036C" w:rsidRDefault="006B036C" w14:paraId="028FCF47" w14:textId="77777777">
      <w:pPr>
        <w:spacing w:after="120" w:line="276" w:lineRule="auto"/>
        <w:ind w:firstLine="708"/>
        <w:jc w:val="both"/>
        <w:rPr>
          <w:rFonts w:ascii="Verdana" w:hAnsi="Verdana" w:eastAsia="Calibri" w:cs="Arial"/>
          <w:color w:val="000000" w:themeColor="text1"/>
        </w:rPr>
      </w:pPr>
      <w:r w:rsidRPr="50365B4C">
        <w:rPr>
          <w:rFonts w:ascii="Verdana" w:hAnsi="Verdana" w:eastAsia="Calibri" w:cs="Arial"/>
          <w:color w:val="000000" w:themeColor="text1"/>
        </w:rPr>
        <w:t>Sin embargo, las partes pueden acordar la suscripción de minutas contractuales después de la aceptación de la propuesta. Aunque el contrato se encuentre perfeccionado, dicha formalidad solo tiene carácter probatorio. En efecto, “[…] el formalismo ad probationem difiere fundamentalmente del formalismo ad solemnitatem, en cuanto aquel no incide o repercute en la formación y perfeccionamiento de los respectivos actos, sino únicamente en la prueba de ellos, vale decir, en la manera de acreditarlos judicialmente. El acto formal ad probationem nace perfecto y válido, independientemente de la forma legal prescrita; solo que la inobservancia de esta forma dificulta y hasta puede impedir totalmente la demostración judicial de aquel […]”</w:t>
      </w:r>
      <w:r w:rsidRPr="50365B4C">
        <w:rPr>
          <w:rStyle w:val="Refdenotaalpie"/>
          <w:rFonts w:ascii="Verdana" w:hAnsi="Verdana" w:eastAsia="Calibri" w:cs="Arial"/>
          <w:color w:val="000000" w:themeColor="text1"/>
        </w:rPr>
        <w:footnoteReference w:id="24"/>
      </w:r>
      <w:r w:rsidRPr="50365B4C">
        <w:rPr>
          <w:rFonts w:ascii="Verdana" w:hAnsi="Verdana" w:eastAsia="Calibri" w:cs="Arial"/>
          <w:color w:val="000000" w:themeColor="text1"/>
        </w:rPr>
        <w:t xml:space="preserve">. </w:t>
      </w:r>
    </w:p>
    <w:p w:rsidR="006B036C" w:rsidP="006B036C" w:rsidRDefault="005C0560" w14:paraId="620F973B" w14:textId="401E298D">
      <w:pPr>
        <w:spacing w:after="0" w:line="276" w:lineRule="auto"/>
        <w:ind w:firstLine="708"/>
        <w:jc w:val="both"/>
        <w:rPr>
          <w:rFonts w:ascii="Verdana" w:hAnsi="Verdana" w:eastAsia="Calibri" w:cs="Arial"/>
          <w:color w:val="000000" w:themeColor="text1"/>
          <w:lang w:val="es-ES"/>
        </w:rPr>
      </w:pPr>
      <w:r w:rsidRPr="50365B4C">
        <w:rPr>
          <w:rFonts w:ascii="Verdana" w:hAnsi="Verdana" w:eastAsia="Calibri" w:cs="Arial"/>
          <w:color w:val="000000" w:themeColor="text1"/>
          <w:lang w:val="es-ES"/>
        </w:rPr>
        <w:t xml:space="preserve">Si no se cumple con la suscripción de la minuta en el </w:t>
      </w:r>
      <w:r w:rsidRPr="50365B4C">
        <w:rPr>
          <w:rFonts w:ascii="Verdana" w:hAnsi="Verdana" w:eastAsia="Calibri" w:cs="Arial"/>
          <w:i/>
          <w:color w:val="000000" w:themeColor="text1"/>
          <w:lang w:val="es-ES"/>
        </w:rPr>
        <w:t>módulo de publicidad</w:t>
      </w:r>
      <w:r w:rsidRPr="50365B4C">
        <w:rPr>
          <w:rFonts w:ascii="Verdana" w:hAnsi="Verdana" w:eastAsia="Calibri" w:cs="Arial"/>
          <w:color w:val="000000" w:themeColor="text1"/>
          <w:lang w:val="es-ES"/>
        </w:rPr>
        <w:t xml:space="preserve">, debe dejarse constancia de ello en el expediente contractual, teniendo en cuenta que si se emplea en el </w:t>
      </w:r>
      <w:r w:rsidRPr="50365B4C">
        <w:rPr>
          <w:rFonts w:ascii="Verdana" w:hAnsi="Verdana" w:eastAsia="Calibri" w:cs="Arial"/>
          <w:i/>
          <w:color w:val="000000" w:themeColor="text1"/>
          <w:lang w:val="es-ES"/>
        </w:rPr>
        <w:t>módulo transaccional</w:t>
      </w:r>
      <w:r w:rsidRPr="50365B4C">
        <w:rPr>
          <w:rFonts w:ascii="Verdana" w:hAnsi="Verdana" w:eastAsia="Calibri" w:cs="Arial"/>
          <w:color w:val="000000" w:themeColor="text1"/>
          <w:lang w:val="es-ES"/>
        </w:rPr>
        <w:t>, es necesaria la suscripción para que la plataforma entre en la fase de ejecución. En caso de que el proceso no finalice con la aceptación de la propuesta, basta con la publicación del acto que revoca la invitación o del que lo declara desierto, pues en estos casos no puede surgir ningún negocio jurídico. Finalmente, las minutas debe suscribirlas el representante legal a través de la cuenta del proveedor del SECOP II, en los plazos que disponga el cronograma del proceso de selección. Lo anterior, en la medida solo éste puede obligar a la persona jurídica, ya que “Lo que una persona ejecuta a nombre de otra, estando facultada por ella o por la ley para representarla, produce respecto del representado iguales efectos que si hubiese contratado él mismo” –artículo 1505 del Código Civil–.</w:t>
      </w:r>
      <w:r w:rsidRPr="50365B4C" w:rsidR="006B036C">
        <w:rPr>
          <w:rFonts w:ascii="Verdana" w:hAnsi="Verdana" w:eastAsia="Calibri" w:cs="Arial"/>
          <w:color w:val="000000" w:themeColor="text1"/>
          <w:lang w:val="es-ES"/>
        </w:rPr>
        <w:t xml:space="preserve"> </w:t>
      </w:r>
    </w:p>
    <w:p w:rsidR="006B036C" w:rsidP="006B036C" w:rsidRDefault="006B036C" w14:paraId="0B29945F" w14:textId="77777777">
      <w:pPr>
        <w:spacing w:after="0" w:line="276" w:lineRule="auto"/>
        <w:jc w:val="both"/>
        <w:rPr>
          <w:rFonts w:ascii="Verdana" w:hAnsi="Verdana" w:eastAsia="Calibri" w:cs="Arial"/>
          <w:bCs/>
          <w:color w:val="000000" w:themeColor="text1"/>
          <w:lang w:val="es-ES"/>
        </w:rPr>
      </w:pPr>
    </w:p>
    <w:p w:rsidRPr="00290568" w:rsidR="006B036C" w:rsidP="006B036C" w:rsidRDefault="006B036C" w14:paraId="552DB423" w14:textId="77777777">
      <w:pPr>
        <w:spacing w:after="0" w:line="276" w:lineRule="auto"/>
        <w:jc w:val="both"/>
        <w:rPr>
          <w:rFonts w:ascii="Verdana" w:hAnsi="Verdana" w:eastAsia="Calibri" w:cs="Arial"/>
          <w:color w:val="000000" w:themeColor="text1"/>
        </w:rPr>
      </w:pPr>
      <w:proofErr w:type="spellStart"/>
      <w:r>
        <w:rPr>
          <w:rFonts w:ascii="Verdana" w:hAnsi="Verdana" w:eastAsia="Calibri" w:cs="Arial"/>
          <w:bCs/>
          <w:color w:val="000000" w:themeColor="text1"/>
        </w:rPr>
        <w:t>viii</w:t>
      </w:r>
      <w:proofErr w:type="spellEnd"/>
      <w:r>
        <w:rPr>
          <w:rFonts w:ascii="Verdana" w:hAnsi="Verdana" w:eastAsia="Calibri" w:cs="Arial"/>
          <w:bCs/>
          <w:color w:val="000000" w:themeColor="text1"/>
        </w:rPr>
        <w:t xml:space="preserve">. </w:t>
      </w:r>
      <w:r>
        <w:rPr>
          <w:rFonts w:ascii="Verdana" w:hAnsi="Verdana" w:eastAsia="Calibri" w:cs="Arial"/>
          <w:color w:val="000000" w:themeColor="text1"/>
        </w:rPr>
        <w:t>L</w:t>
      </w:r>
      <w:r w:rsidRPr="00651574">
        <w:rPr>
          <w:rFonts w:ascii="Verdana" w:hAnsi="Verdana" w:eastAsia="Calibri" w:cs="Arial"/>
          <w:color w:val="000000" w:themeColor="text1"/>
        </w:rPr>
        <w:t xml:space="preserve">a Agencia Nacional de Contratación Pública – Colombia Compra Eficiente fue creada por el Decreto Ley 4170 de 2011, como una Unidad Administrativa Especial, descentralizada de la Rama Ejecutiva del orden nacional, adscrita al </w:t>
      </w:r>
      <w:r w:rsidRPr="00651574">
        <w:rPr>
          <w:rFonts w:ascii="Verdana" w:hAnsi="Verdana" w:eastAsia="Calibri" w:cs="Arial"/>
          <w:color w:val="000000" w:themeColor="text1"/>
        </w:rPr>
        <w:t xml:space="preserve">Departamento Nacional de Planeación. El legislador determinó que su objetivo sería servir como ente rector de la política de compras y contratación, al ser consciente de la necesidad de contar en la estructura del Estado con un órgano técnico especializado que asumiera la tarea de </w:t>
      </w:r>
      <w:r>
        <w:rPr>
          <w:rFonts w:ascii="Verdana" w:hAnsi="Verdana" w:eastAsia="Calibri" w:cs="Arial"/>
          <w:color w:val="000000" w:themeColor="text1"/>
        </w:rPr>
        <w:t>asesorar a las entidades públicas en la formulación de</w:t>
      </w:r>
      <w:r w:rsidRPr="00651574">
        <w:rPr>
          <w:rFonts w:ascii="Verdana" w:hAnsi="Verdana" w:eastAsia="Calibri" w:cs="Arial"/>
          <w:color w:val="000000" w:themeColor="text1"/>
        </w:rPr>
        <w:t xml:space="preserve"> políticas </w:t>
      </w:r>
      <w:r>
        <w:rPr>
          <w:rFonts w:ascii="Verdana" w:hAnsi="Verdana" w:eastAsia="Calibri" w:cs="Arial"/>
          <w:color w:val="000000" w:themeColor="text1"/>
        </w:rPr>
        <w:t>y</w:t>
      </w:r>
      <w:r w:rsidRPr="00651574">
        <w:rPr>
          <w:rFonts w:ascii="Verdana" w:hAnsi="Verdana" w:eastAsia="Calibri" w:cs="Arial"/>
          <w:color w:val="000000" w:themeColor="text1"/>
        </w:rPr>
        <w:t xml:space="preserve"> normas </w:t>
      </w:r>
      <w:r>
        <w:rPr>
          <w:rFonts w:ascii="Verdana" w:hAnsi="Verdana" w:eastAsia="Calibri" w:cs="Arial"/>
          <w:color w:val="000000" w:themeColor="text1"/>
        </w:rPr>
        <w:t>para</w:t>
      </w:r>
      <w:r w:rsidRPr="00651574">
        <w:rPr>
          <w:rFonts w:ascii="Verdana" w:hAnsi="Verdana" w:eastAsia="Calibri" w:cs="Arial"/>
          <w:color w:val="000000" w:themeColor="text1"/>
        </w:rPr>
        <w:t xml:space="preserve"> unificar los procesos de contratación estatal</w:t>
      </w:r>
      <w:r>
        <w:rPr>
          <w:rFonts w:ascii="Verdana" w:hAnsi="Verdana" w:eastAsia="Calibri" w:cs="Arial"/>
          <w:color w:val="000000" w:themeColor="text1"/>
        </w:rPr>
        <w:t>. De acuerdo con esta naturaleza jurídica</w:t>
      </w:r>
      <w:r w:rsidRPr="00651574">
        <w:rPr>
          <w:rFonts w:ascii="Verdana" w:hAnsi="Verdana" w:eastAsia="Calibri" w:cs="Arial"/>
          <w:color w:val="000000" w:themeColor="text1"/>
        </w:rPr>
        <w:t xml:space="preserve">, se aclara que la Agencia </w:t>
      </w:r>
      <w:r>
        <w:rPr>
          <w:rFonts w:ascii="Verdana" w:hAnsi="Verdana" w:eastAsia="Calibri" w:cs="Arial"/>
          <w:color w:val="000000" w:themeColor="text1"/>
        </w:rPr>
        <w:t>no es titular del control fiscal, por lo cual corresponde a la Contraloría General de la República determinar qué conductas son constitutivas de irregularidad, responsabilidad o hallazgo de gestión.</w:t>
      </w:r>
    </w:p>
    <w:p w:rsidR="006B036C" w:rsidP="006B036C" w:rsidRDefault="006B036C" w14:paraId="55648253" w14:textId="77777777">
      <w:pPr>
        <w:spacing w:after="0" w:line="276" w:lineRule="auto"/>
        <w:jc w:val="both"/>
        <w:rPr>
          <w:rFonts w:ascii="Verdana" w:hAnsi="Verdana" w:eastAsia="Calibri" w:cs="Arial"/>
          <w:bCs/>
          <w:color w:val="000000" w:themeColor="text1"/>
        </w:rPr>
      </w:pPr>
    </w:p>
    <w:p w:rsidR="006B036C" w:rsidP="006B036C" w:rsidRDefault="006B036C" w14:paraId="0BE87B4E" w14:textId="77777777">
      <w:pPr>
        <w:spacing w:after="120" w:line="276" w:lineRule="auto"/>
        <w:jc w:val="both"/>
        <w:rPr>
          <w:rFonts w:ascii="Verdana" w:hAnsi="Verdana" w:eastAsia="Calibri" w:cs="Arial"/>
          <w:bCs/>
          <w:color w:val="000000" w:themeColor="text1"/>
        </w:rPr>
      </w:pPr>
      <w:proofErr w:type="spellStart"/>
      <w:r>
        <w:rPr>
          <w:rFonts w:ascii="Verdana" w:hAnsi="Verdana" w:eastAsia="Calibri" w:cs="Arial"/>
          <w:bCs/>
          <w:color w:val="000000" w:themeColor="text1"/>
        </w:rPr>
        <w:t>ix</w:t>
      </w:r>
      <w:proofErr w:type="spellEnd"/>
      <w:r>
        <w:rPr>
          <w:rFonts w:ascii="Verdana" w:hAnsi="Verdana" w:eastAsia="Calibri" w:cs="Arial"/>
          <w:bCs/>
          <w:color w:val="000000" w:themeColor="text1"/>
        </w:rPr>
        <w:t xml:space="preserve">. </w:t>
      </w:r>
      <w:r w:rsidRPr="00E853DE">
        <w:rPr>
          <w:rFonts w:ascii="Verdana" w:hAnsi="Verdana" w:eastAsia="Calibri" w:cs="Arial"/>
          <w:bCs/>
          <w:color w:val="000000" w:themeColor="text1"/>
        </w:rPr>
        <w:t xml:space="preserve">Al margen de la explicación precedente debe advertirse que </w:t>
      </w:r>
      <w:r w:rsidRPr="001941FD">
        <w:rPr>
          <w:rStyle w:val="s15"/>
          <w:rFonts w:ascii="Verdana" w:hAnsi="Verdana"/>
          <w:color w:val="000000"/>
        </w:rPr>
        <w:t xml:space="preserve">el análisis requerido para resolver problemas específicos en torno </w:t>
      </w:r>
      <w:r>
        <w:rPr>
          <w:rStyle w:val="s15"/>
          <w:rFonts w:ascii="Verdana" w:hAnsi="Verdana"/>
          <w:color w:val="000000"/>
        </w:rPr>
        <w:t>a la gestión contractual</w:t>
      </w:r>
      <w:r w:rsidRPr="001941FD">
        <w:rPr>
          <w:rStyle w:val="s15"/>
          <w:rFonts w:ascii="Verdana" w:hAnsi="Verdana"/>
          <w:color w:val="000000"/>
        </w:rPr>
        <w:t xml:space="preserve"> debe ser realizado por quienes tengan interés en ello, de acuerdo con lo explicado la aclaración preliminar del presente oficio</w:t>
      </w:r>
      <w:r w:rsidRPr="00E853DE">
        <w:rPr>
          <w:rFonts w:ascii="Verdana" w:hAnsi="Verdana" w:eastAsia="Calibri" w:cs="Arial"/>
          <w:bCs/>
          <w:color w:val="000000" w:themeColor="text1"/>
        </w:rPr>
        <w:t>.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rsidRPr="00185EE9" w:rsidR="006B036C" w:rsidP="006B036C" w:rsidRDefault="006B036C" w14:paraId="70CF07F2" w14:textId="77777777">
      <w:pPr>
        <w:spacing w:after="0" w:line="276" w:lineRule="auto"/>
        <w:ind w:firstLine="708"/>
        <w:jc w:val="both"/>
        <w:rPr>
          <w:rFonts w:ascii="Verdana" w:hAnsi="Verdana" w:eastAsia="Calibri" w:cs="Arial"/>
          <w:bCs/>
          <w:color w:val="000000" w:themeColor="text1"/>
        </w:rPr>
      </w:pPr>
      <w:r w:rsidRPr="00E853DE">
        <w:rPr>
          <w:rFonts w:ascii="Verdana" w:hAnsi="Verdana" w:eastAsia="Calibri"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hAnsi="Verdana" w:eastAsia="Calibri" w:cs="Arial"/>
          <w:bCs/>
          <w:color w:val="000000" w:themeColor="text1"/>
        </w:rPr>
        <w:t xml:space="preserve"> </w:t>
      </w:r>
      <w:r>
        <w:rPr>
          <w:rFonts w:ascii="Verdana" w:hAnsi="Verdana" w:eastAsia="Calibri" w:cs="Arial"/>
          <w:bCs/>
          <w:color w:val="000000" w:themeColor="text1"/>
        </w:rPr>
        <w:t xml:space="preserve">Cualquier consulta adicional sobre el manejo operativo del SECOP debe dirigirse a la </w:t>
      </w:r>
      <w:r w:rsidRPr="000F6273">
        <w:rPr>
          <w:rFonts w:ascii="Verdana" w:hAnsi="Verdana" w:eastAsia="Calibri" w:cs="Arial"/>
          <w:bCs/>
          <w:color w:val="000000" w:themeColor="text1"/>
        </w:rPr>
        <w:t>Subdirección de Información y Desarrollo Tecnológico</w:t>
      </w:r>
      <w:r>
        <w:rPr>
          <w:rFonts w:ascii="Verdana" w:hAnsi="Verdana" w:eastAsia="Calibri" w:cs="Arial"/>
          <w:bCs/>
          <w:color w:val="000000" w:themeColor="text1"/>
        </w:rPr>
        <w:t xml:space="preserve"> de la ANCP – CCE conforme al artículo 13.4 del Decreto Ley 4170 de 2011. </w:t>
      </w:r>
    </w:p>
    <w:p w:rsidRPr="00182C89" w:rsidR="006B036C" w:rsidP="006B036C" w:rsidRDefault="006B036C" w14:paraId="5170B9FC" w14:textId="77777777">
      <w:pPr>
        <w:tabs>
          <w:tab w:val="left" w:pos="709"/>
        </w:tabs>
        <w:spacing w:after="0" w:line="276" w:lineRule="auto"/>
        <w:jc w:val="both"/>
        <w:rPr>
          <w:rFonts w:ascii="Verdana" w:hAnsi="Verdana" w:eastAsia="Calibri" w:cs="Arial"/>
          <w:color w:val="000000" w:themeColor="text1"/>
        </w:rPr>
      </w:pPr>
    </w:p>
    <w:p w:rsidRPr="00593A5F" w:rsidR="006B036C" w:rsidP="006B036C" w:rsidRDefault="006B036C" w14:paraId="6C9BE81D" w14:textId="77777777">
      <w:pPr>
        <w:pStyle w:val="Prrafodelista"/>
        <w:numPr>
          <w:ilvl w:val="0"/>
          <w:numId w:val="16"/>
        </w:numPr>
        <w:tabs>
          <w:tab w:val="left" w:pos="142"/>
          <w:tab w:val="left" w:pos="284"/>
        </w:tabs>
        <w:spacing w:after="0" w:line="276" w:lineRule="auto"/>
        <w:ind w:left="0" w:firstLine="0"/>
        <w:contextualSpacing w:val="0"/>
        <w:jc w:val="both"/>
        <w:rPr>
          <w:rFonts w:ascii="Verdana" w:hAnsi="Verdana" w:eastAsia="Century Gothic" w:cs="Century Gothic"/>
          <w:b/>
          <w:bCs/>
        </w:rPr>
      </w:pPr>
      <w:r w:rsidRPr="004D411D">
        <w:rPr>
          <w:rFonts w:ascii="Verdana" w:hAnsi="Verdana" w:eastAsia="Century Gothic" w:cs="Century Gothic"/>
          <w:b/>
          <w:bCs/>
        </w:rPr>
        <w:t>Referencias normativas</w:t>
      </w:r>
      <w:r w:rsidRPr="00593A5F">
        <w:rPr>
          <w:rFonts w:ascii="Verdana" w:hAnsi="Verdana" w:eastAsia="Century Gothic" w:cs="Century Gothic"/>
          <w:b/>
          <w:bCs/>
        </w:rPr>
        <w:t>:</w:t>
      </w:r>
    </w:p>
    <w:p w:rsidRPr="00593A5F" w:rsidR="006B036C" w:rsidP="006B036C" w:rsidRDefault="006B036C" w14:paraId="34248C22" w14:textId="77777777">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Look w:val="04A0" w:firstRow="1" w:lastRow="0" w:firstColumn="1" w:lastColumn="0" w:noHBand="0" w:noVBand="1"/>
      </w:tblPr>
      <w:tblGrid>
        <w:gridCol w:w="8647"/>
      </w:tblGrid>
      <w:tr w:rsidRPr="002407CE" w:rsidR="006B036C" w:rsidTr="003129F5" w14:paraId="56760C18" w14:textId="77777777">
        <w:trPr>
          <w:trHeight w:val="870"/>
          <w:jc w:val="center"/>
        </w:trPr>
        <w:tc>
          <w:tcPr>
            <w:tcW w:w="8647" w:type="dxa"/>
          </w:tcPr>
          <w:p w:rsidRPr="00B954AE" w:rsidR="006B036C" w:rsidP="003129F5" w:rsidRDefault="006B036C" w14:paraId="7920C7E5" w14:textId="77777777">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1991, artículos 150, 209 y 267.</w:t>
            </w:r>
          </w:p>
          <w:p w:rsidRPr="00666BC2" w:rsidR="006B036C" w:rsidP="003129F5" w:rsidRDefault="006B036C" w14:paraId="79A18A55" w14:textId="77777777">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artículos 2, 13, 32 y 40.</w:t>
            </w:r>
          </w:p>
          <w:p w:rsidR="006B036C" w:rsidP="003129F5" w:rsidRDefault="006B036C" w14:paraId="4544DF88" w14:textId="77777777">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artículos 2, 3 y 13.</w:t>
            </w:r>
          </w:p>
          <w:p w:rsidR="006B036C" w:rsidP="003129F5" w:rsidRDefault="006B036C" w14:paraId="7E403999" w14:textId="77777777">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1437 de 2011, artículo 3.</w:t>
            </w:r>
          </w:p>
          <w:p w:rsidR="006B036C" w:rsidP="003129F5" w:rsidRDefault="006B036C" w14:paraId="00EE9095" w14:textId="77777777">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1712 de 2014, artículos 5 y 11.</w:t>
            </w:r>
          </w:p>
          <w:p w:rsidRPr="00666BC2" w:rsidR="006B036C" w:rsidP="003129F5" w:rsidRDefault="006B036C" w14:paraId="5B2D4A1E" w14:textId="77777777">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2195 de 2022, artículo 53.</w:t>
            </w:r>
          </w:p>
          <w:p w:rsidRPr="0037493D" w:rsidR="006B036C" w:rsidP="003129F5" w:rsidRDefault="006B036C" w14:paraId="73813E42" w14:textId="77777777">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rPr>
              <w:t>Decreto Ley 111 de 1996, artículo 110.</w:t>
            </w:r>
          </w:p>
          <w:p w:rsidRPr="0037493D" w:rsidR="006B036C" w:rsidP="003129F5" w:rsidRDefault="006B036C" w14:paraId="403E5BB8" w14:textId="77777777">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rPr>
              <w:t>Código Civil, artículos 1500 y 1505.</w:t>
            </w:r>
          </w:p>
          <w:p w:rsidRPr="0037493D" w:rsidR="006B036C" w:rsidP="003129F5" w:rsidRDefault="006B036C" w14:paraId="33517158" w14:textId="77777777">
            <w:pPr>
              <w:pStyle w:val="Prrafodelista"/>
              <w:widowControl w:val="0"/>
              <w:numPr>
                <w:ilvl w:val="0"/>
                <w:numId w:val="17"/>
              </w:numPr>
              <w:autoSpaceDE w:val="0"/>
              <w:autoSpaceDN w:val="0"/>
              <w:spacing w:line="276" w:lineRule="auto"/>
              <w:ind w:left="714" w:hanging="357"/>
              <w:contextualSpacing w:val="0"/>
              <w:jc w:val="both"/>
              <w:rPr>
                <w:rFonts w:ascii="Verdana" w:hAnsi="Verdana" w:cs="Arial"/>
                <w:color w:val="000000" w:themeColor="text1"/>
                <w:lang w:val="es-ES_tradnl"/>
              </w:rPr>
            </w:pPr>
            <w:r>
              <w:rPr>
                <w:rFonts w:ascii="Verdana" w:hAnsi="Verdana" w:cs="Arial"/>
              </w:rPr>
              <w:t xml:space="preserve">Código de Comercio, </w:t>
            </w:r>
            <w:r w:rsidRPr="0037493D">
              <w:rPr>
                <w:rFonts w:ascii="Verdana" w:hAnsi="Verdana" w:cs="Arial"/>
              </w:rPr>
              <w:t>artículos 845, 853</w:t>
            </w:r>
            <w:r>
              <w:rPr>
                <w:rFonts w:ascii="Verdana" w:hAnsi="Verdana" w:cs="Arial"/>
              </w:rPr>
              <w:t>,</w:t>
            </w:r>
            <w:r w:rsidRPr="0037493D">
              <w:rPr>
                <w:rFonts w:ascii="Verdana" w:hAnsi="Verdana" w:cs="Arial"/>
              </w:rPr>
              <w:t xml:space="preserve"> 85</w:t>
            </w:r>
            <w:r>
              <w:rPr>
                <w:rFonts w:ascii="Verdana" w:hAnsi="Verdana" w:cs="Arial"/>
              </w:rPr>
              <w:t>4 y 860.</w:t>
            </w:r>
          </w:p>
        </w:tc>
      </w:tr>
    </w:tbl>
    <w:p w:rsidRPr="002407CE" w:rsidR="006B036C" w:rsidP="006B036C" w:rsidRDefault="006B036C" w14:paraId="09BAC75E" w14:textId="77777777">
      <w:pPr>
        <w:widowControl w:val="0"/>
        <w:autoSpaceDE w:val="0"/>
        <w:autoSpaceDN w:val="0"/>
        <w:spacing w:after="0" w:line="276" w:lineRule="auto"/>
        <w:jc w:val="both"/>
        <w:rPr>
          <w:rFonts w:ascii="Verdana" w:hAnsi="Verdana" w:cs="Arial"/>
        </w:rPr>
      </w:pPr>
    </w:p>
    <w:p w:rsidRPr="00593A5F" w:rsidR="006B036C" w:rsidP="006B036C" w:rsidRDefault="006B036C" w14:paraId="5D7F2209" w14:textId="77777777">
      <w:pPr>
        <w:pStyle w:val="Prrafodelista"/>
        <w:numPr>
          <w:ilvl w:val="0"/>
          <w:numId w:val="16"/>
        </w:numPr>
        <w:tabs>
          <w:tab w:val="left" w:pos="142"/>
          <w:tab w:val="left" w:pos="284"/>
        </w:tabs>
        <w:spacing w:after="0" w:line="276" w:lineRule="auto"/>
        <w:ind w:left="0" w:firstLine="0"/>
        <w:contextualSpacing w:val="0"/>
        <w:jc w:val="both"/>
        <w:rPr>
          <w:rFonts w:ascii="Verdana" w:hAnsi="Verdana" w:eastAsia="Century Gothic" w:cs="Century Gothic"/>
          <w:b/>
          <w:bCs/>
        </w:rPr>
      </w:pPr>
      <w:r>
        <w:rPr>
          <w:rFonts w:ascii="Verdana" w:hAnsi="Verdana" w:eastAsia="Century Gothic" w:cs="Century Gothic"/>
          <w:b/>
          <w:bCs/>
        </w:rPr>
        <w:t>Doctrina de la Agencia Nacional de Contratación Pública</w:t>
      </w:r>
      <w:r w:rsidRPr="00593A5F">
        <w:rPr>
          <w:rFonts w:ascii="Verdana" w:hAnsi="Verdana" w:eastAsia="Century Gothic" w:cs="Century Gothic"/>
          <w:b/>
          <w:bCs/>
        </w:rPr>
        <w:t>:</w:t>
      </w:r>
    </w:p>
    <w:p w:rsidRPr="00593A5F" w:rsidR="006B036C" w:rsidP="006B036C" w:rsidRDefault="006B036C" w14:paraId="714998A5" w14:textId="77777777">
      <w:pPr>
        <w:widowControl w:val="0"/>
        <w:autoSpaceDE w:val="0"/>
        <w:autoSpaceDN w:val="0"/>
        <w:spacing w:after="0" w:line="276" w:lineRule="auto"/>
        <w:jc w:val="both"/>
        <w:rPr>
          <w:rFonts w:ascii="Verdana" w:hAnsi="Verdana" w:cs="Arial"/>
        </w:rPr>
      </w:pPr>
    </w:p>
    <w:p w:rsidRPr="00ED0098" w:rsidR="006B036C" w:rsidP="006B036C" w:rsidRDefault="006B036C" w14:paraId="2F71E8EE" w14:textId="77777777">
      <w:pPr>
        <w:widowControl w:val="0"/>
        <w:autoSpaceDE w:val="0"/>
        <w:autoSpaceDN w:val="0"/>
        <w:spacing w:after="0" w:line="276" w:lineRule="auto"/>
        <w:jc w:val="both"/>
        <w:rPr>
          <w:rStyle w:val="normaltextrun"/>
          <w:rFonts w:ascii="Verdana" w:hAnsi="Verdana" w:cs="Arial"/>
          <w:shd w:val="clear" w:color="auto" w:fill="FFFFFF"/>
        </w:rPr>
      </w:pPr>
      <w:r w:rsidRPr="00DD0AFF">
        <w:rPr>
          <w:rFonts w:ascii="Verdana" w:hAnsi="Verdana" w:cs="Arial"/>
          <w:shd w:val="clear" w:color="auto" w:fill="FFFFFF"/>
        </w:rPr>
        <w:t>Est</w:t>
      </w:r>
      <w:r>
        <w:rPr>
          <w:rFonts w:ascii="Verdana" w:hAnsi="Verdana" w:cs="Arial"/>
          <w:shd w:val="clear" w:color="auto" w:fill="FFFFFF"/>
        </w:rPr>
        <w:t>e</w:t>
      </w:r>
      <w:r w:rsidRPr="00DD0AFF">
        <w:rPr>
          <w:rFonts w:ascii="Verdana" w:hAnsi="Verdana" w:cs="Arial"/>
          <w:shd w:val="clear" w:color="auto" w:fill="FFFFFF"/>
        </w:rPr>
        <w:t xml:space="preserve"> y otros</w:t>
      </w:r>
      <w:r>
        <w:rPr>
          <w:rFonts w:ascii="Verdana" w:hAnsi="Verdana" w:cs="Arial"/>
          <w:shd w:val="clear" w:color="auto" w:fill="FFFFFF"/>
        </w:rPr>
        <w:t xml:space="preserve"> conceptos de la Subdirección de Gestión Contractual</w:t>
      </w:r>
      <w:r w:rsidRPr="00DD0AFF">
        <w:rPr>
          <w:rFonts w:ascii="Verdana" w:hAnsi="Verdana" w:cs="Arial"/>
          <w:shd w:val="clear" w:color="auto" w:fill="FFFFFF"/>
        </w:rPr>
        <w:t>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w:history="1" r:id="rId12">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rsidRPr="00096788" w:rsidR="006B036C" w:rsidP="006B036C" w:rsidRDefault="006B036C" w14:paraId="4001B705" w14:textId="77777777">
      <w:pPr>
        <w:widowControl w:val="0"/>
        <w:autoSpaceDE w:val="0"/>
        <w:autoSpaceDN w:val="0"/>
        <w:spacing w:after="0" w:line="276" w:lineRule="auto"/>
        <w:jc w:val="both"/>
        <w:rPr>
          <w:rFonts w:ascii="Verdana" w:hAnsi="Verdana" w:cs="Arial"/>
          <w:color w:val="000000" w:themeColor="text1"/>
          <w:shd w:val="clear" w:color="auto" w:fill="FFFFFF"/>
        </w:rPr>
      </w:pPr>
    </w:p>
    <w:p w:rsidRPr="00E440FD" w:rsidR="006B036C" w:rsidP="006B036C" w:rsidRDefault="006B036C" w14:paraId="1CD71C60" w14:textId="77777777">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w:tgtFrame="_blank" w:tooltip="Dirección URL original: https://www.colombiacompra.gov.co/wp-content/uploads/2025/05/GUIA-DE-LINEAMIENTOS-DE-TRANSPARENCIA-Y-SELECCION-OBJETIVA-1.0.pdf. Haga clic o pulse si confía en este vínculo." w:history="1" r:id="rId13">
        <w:r w:rsidRPr="00032009">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rsidRPr="009C4035" w:rsidR="006B036C" w:rsidP="006B036C" w:rsidRDefault="006B036C" w14:paraId="03685563" w14:textId="77777777">
      <w:pPr>
        <w:widowControl w:val="0"/>
        <w:autoSpaceDE w:val="0"/>
        <w:autoSpaceDN w:val="0"/>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rsidRPr="00593A5F" w:rsidR="006B036C" w:rsidP="006B036C" w:rsidRDefault="006B036C" w14:paraId="54A06784" w14:textId="77777777">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rsidRPr="00593A5F" w:rsidR="006B036C" w:rsidP="006B036C" w:rsidRDefault="006B036C" w14:paraId="28B027C5" w14:textId="77777777">
      <w:pPr>
        <w:widowControl w:val="0"/>
        <w:autoSpaceDE w:val="0"/>
        <w:autoSpaceDN w:val="0"/>
        <w:spacing w:after="0" w:line="276" w:lineRule="auto"/>
        <w:jc w:val="both"/>
        <w:rPr>
          <w:rFonts w:ascii="Verdana" w:hAnsi="Verdana" w:cs="Arial"/>
        </w:rPr>
      </w:pPr>
    </w:p>
    <w:p w:rsidRPr="00593A5F" w:rsidR="006B036C" w:rsidP="006B036C" w:rsidRDefault="006B036C" w14:paraId="08F26ADD" w14:textId="77777777">
      <w:pPr>
        <w:spacing w:after="0" w:line="240" w:lineRule="auto"/>
        <w:rPr>
          <w:rFonts w:ascii="Verdana" w:hAnsi="Verdana" w:cs="Arial"/>
          <w:lang w:eastAsia="es-CO"/>
        </w:rPr>
      </w:pPr>
      <w:r w:rsidRPr="00593A5F">
        <w:rPr>
          <w:rFonts w:ascii="Verdana" w:hAnsi="Verdana" w:eastAsia="Times New Roman" w:cs="Arial"/>
          <w:lang w:eastAsia="es-CO"/>
        </w:rPr>
        <w:t>Atentamente,</w:t>
      </w:r>
      <w:r w:rsidRPr="00593A5F">
        <w:rPr>
          <w:rFonts w:ascii="Verdana" w:hAnsi="Verdana" w:cs="Arial"/>
          <w:lang w:eastAsia="es-CO"/>
        </w:rPr>
        <w:t xml:space="preserve"> </w:t>
      </w:r>
    </w:p>
    <w:p w:rsidRPr="00593A5F" w:rsidR="006B036C" w:rsidP="006B036C" w:rsidRDefault="00A461B5" w14:paraId="56FA5FE6" w14:textId="6047CB70">
      <w:pPr>
        <w:spacing w:line="276" w:lineRule="auto"/>
        <w:jc w:val="center"/>
        <w:rPr>
          <w:rFonts w:ascii="Verdana" w:hAnsi="Verdana" w:cs="Arial"/>
          <w:color w:val="000000"/>
          <w:lang w:val="es-ES_tradnl" w:eastAsia="es-CO"/>
        </w:rPr>
      </w:pPr>
      <w:r>
        <w:rPr>
          <w:noProof/>
        </w:rPr>
        <w:drawing>
          <wp:inline distT="0" distB="0" distL="0" distR="0" wp14:anchorId="3D5473EC" wp14:editId="6BEFFA00">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4"/>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893"/>
        <w:gridCol w:w="5628"/>
      </w:tblGrid>
      <w:tr w:rsidRPr="00593A5F" w:rsidR="006B036C" w:rsidTr="003129F5" w14:paraId="2E0E6FAD" w14:textId="77777777">
        <w:trPr>
          <w:trHeight w:val="315"/>
        </w:trPr>
        <w:tc>
          <w:tcPr>
            <w:tcW w:w="893" w:type="dxa"/>
            <w:vAlign w:val="center"/>
            <w:hideMark/>
          </w:tcPr>
          <w:p w:rsidRPr="003751C7" w:rsidR="006B036C" w:rsidP="003129F5" w:rsidRDefault="006B036C" w14:paraId="5E3DDC8F" w14:textId="77777777">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color="7F7F7F" w:themeColor="text1" w:themeTint="80" w:sz="4" w:space="0"/>
              <w:right w:val="nil"/>
            </w:tcBorders>
            <w:vAlign w:val="center"/>
            <w:hideMark/>
          </w:tcPr>
          <w:p w:rsidRPr="00254A7A" w:rsidR="006B036C" w:rsidP="003129F5" w:rsidRDefault="006B036C" w14:paraId="06434A45" w14:textId="77777777">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rsidRPr="00254A7A" w:rsidR="006B036C" w:rsidP="003129F5" w:rsidRDefault="006B036C" w14:paraId="5E84F741" w14:textId="77777777">
            <w:pPr>
              <w:contextualSpacing/>
              <w:rPr>
                <w:rFonts w:ascii="Verdana" w:hAnsi="Verdana" w:eastAsia="Arial" w:cs="Arial"/>
                <w:sz w:val="16"/>
                <w:szCs w:val="16"/>
              </w:rPr>
            </w:pPr>
            <w:r w:rsidRPr="00254A7A">
              <w:rPr>
                <w:rStyle w:val="normaltextrun"/>
                <w:rFonts w:ascii="Verdana" w:hAnsi="Verdana"/>
                <w:sz w:val="16"/>
                <w:szCs w:val="16"/>
              </w:rPr>
              <w:t>Contratista de la Subdirección de Gestión Contractual</w:t>
            </w:r>
          </w:p>
        </w:tc>
      </w:tr>
      <w:tr w:rsidRPr="00593A5F" w:rsidR="006B036C" w:rsidTr="003129F5" w14:paraId="7EBD452D" w14:textId="77777777">
        <w:trPr>
          <w:trHeight w:val="330"/>
        </w:trPr>
        <w:tc>
          <w:tcPr>
            <w:tcW w:w="893" w:type="dxa"/>
            <w:vAlign w:val="center"/>
            <w:hideMark/>
          </w:tcPr>
          <w:p w:rsidRPr="003751C7" w:rsidR="006B036C" w:rsidP="003129F5" w:rsidRDefault="006B036C" w14:paraId="7ADF0B5F" w14:textId="77777777">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color="7F7F7F" w:themeColor="text1" w:themeTint="80" w:sz="4" w:space="0"/>
              <w:left w:val="nil"/>
              <w:bottom w:val="dotted" w:color="7F7F7F" w:themeColor="text1" w:themeTint="80" w:sz="4" w:space="0"/>
              <w:right w:val="nil"/>
            </w:tcBorders>
            <w:vAlign w:val="center"/>
            <w:hideMark/>
          </w:tcPr>
          <w:p w:rsidRPr="0033383A" w:rsidR="006B036C" w:rsidP="003129F5" w:rsidRDefault="006B036C" w14:paraId="59C43F4F" w14:textId="77777777">
            <w:pPr>
              <w:pStyle w:val="paragraph"/>
              <w:spacing w:after="0"/>
              <w:contextualSpacing/>
              <w:textAlignment w:val="baseline"/>
              <w:rPr>
                <w:rStyle w:val="normaltextrun"/>
                <w:rFonts w:ascii="Verdana" w:hAnsi="Verdana" w:cs="Arial"/>
                <w:sz w:val="16"/>
                <w:szCs w:val="16"/>
                <w:lang w:val="es-ES_tradnl"/>
              </w:rPr>
            </w:pPr>
            <w:r w:rsidRPr="0033383A">
              <w:rPr>
                <w:rStyle w:val="normaltextrun"/>
                <w:rFonts w:ascii="Verdana" w:hAnsi="Verdana" w:cs="Arial"/>
                <w:sz w:val="16"/>
                <w:szCs w:val="16"/>
                <w:lang w:val="es-ES_tradnl"/>
              </w:rPr>
              <w:t>Alejandro Sarmiento Cantillo</w:t>
            </w:r>
          </w:p>
          <w:p w:rsidRPr="00254A7A" w:rsidR="006B036C" w:rsidP="003129F5" w:rsidRDefault="006B036C" w14:paraId="58BDA705" w14:textId="77777777">
            <w:pPr>
              <w:pStyle w:val="paragraph"/>
              <w:spacing w:before="0" w:beforeAutospacing="0" w:after="0" w:afterAutospacing="0"/>
              <w:contextualSpacing/>
              <w:textAlignment w:val="baseline"/>
              <w:rPr>
                <w:rFonts w:ascii="Verdana" w:hAnsi="Verdana" w:cs="Segoe UI"/>
                <w:sz w:val="16"/>
                <w:szCs w:val="16"/>
              </w:rPr>
            </w:pPr>
            <w:r w:rsidRPr="0033383A">
              <w:rPr>
                <w:rStyle w:val="normaltextrun"/>
                <w:rFonts w:ascii="Verdana" w:hAnsi="Verdana" w:cs="Arial"/>
                <w:sz w:val="16"/>
                <w:szCs w:val="16"/>
                <w:lang w:val="es-ES_tradnl"/>
              </w:rPr>
              <w:t>Gestor T1 ‒ 15 de la Subdirección de Gestión Contractual</w:t>
            </w:r>
          </w:p>
        </w:tc>
      </w:tr>
      <w:tr w:rsidRPr="00593A5F" w:rsidR="006B036C" w:rsidTr="003129F5" w14:paraId="05254155" w14:textId="77777777">
        <w:trPr>
          <w:trHeight w:val="300"/>
        </w:trPr>
        <w:tc>
          <w:tcPr>
            <w:tcW w:w="893" w:type="dxa"/>
            <w:vAlign w:val="center"/>
          </w:tcPr>
          <w:p w:rsidRPr="003751C7" w:rsidR="006B036C" w:rsidP="003129F5" w:rsidRDefault="006B036C" w14:paraId="3E13D1CC" w14:textId="77777777">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color="7F7F7F" w:themeColor="text1" w:themeTint="80" w:sz="4" w:space="0"/>
              <w:left w:val="nil"/>
              <w:bottom w:val="dotted" w:color="7F7F7F" w:themeColor="text1" w:themeTint="80" w:sz="4" w:space="0"/>
              <w:right w:val="nil"/>
            </w:tcBorders>
            <w:vAlign w:val="center"/>
          </w:tcPr>
          <w:p w:rsidRPr="00731523" w:rsidR="006B036C" w:rsidP="003129F5" w:rsidRDefault="006B036C" w14:paraId="19646218" w14:textId="77777777">
            <w:pPr>
              <w:contextualSpacing/>
              <w:rPr>
                <w:rFonts w:ascii="Verdana" w:hAnsi="Verdana" w:eastAsia="Calibri" w:cs="Arial"/>
                <w:sz w:val="16"/>
                <w:szCs w:val="16"/>
                <w:lang w:val="es-ES" w:eastAsia="es-ES"/>
              </w:rPr>
            </w:pPr>
            <w:r w:rsidRPr="50365B4C">
              <w:rPr>
                <w:rFonts w:ascii="Verdana" w:hAnsi="Verdana" w:eastAsia="Calibri" w:cs="Arial"/>
                <w:sz w:val="16"/>
                <w:szCs w:val="16"/>
                <w:lang w:val="es-ES" w:eastAsia="es-ES"/>
              </w:rPr>
              <w:t xml:space="preserve">Carolina Quintero </w:t>
            </w:r>
            <w:proofErr w:type="spellStart"/>
            <w:r w:rsidRPr="50365B4C">
              <w:rPr>
                <w:rFonts w:ascii="Verdana" w:hAnsi="Verdana" w:eastAsia="Calibri" w:cs="Arial"/>
                <w:sz w:val="16"/>
                <w:szCs w:val="16"/>
                <w:lang w:val="es-ES" w:eastAsia="es-ES"/>
              </w:rPr>
              <w:t>Gacharná</w:t>
            </w:r>
            <w:proofErr w:type="spellEnd"/>
          </w:p>
          <w:p w:rsidRPr="003751C7" w:rsidR="006B036C" w:rsidP="003129F5" w:rsidRDefault="006B036C" w14:paraId="3B13E42C" w14:textId="77777777">
            <w:pPr>
              <w:contextualSpacing/>
              <w:rPr>
                <w:rFonts w:ascii="Verdana" w:hAnsi="Verdana" w:eastAsia="Calibri" w:cs="Arial"/>
                <w:sz w:val="16"/>
                <w:szCs w:val="16"/>
                <w:lang w:val="pt-BR" w:eastAsia="es-ES"/>
              </w:rPr>
            </w:pPr>
            <w:r w:rsidRPr="00731523">
              <w:rPr>
                <w:rFonts w:ascii="Verdana" w:hAnsi="Verdana" w:eastAsia="Calibri" w:cs="Arial"/>
                <w:sz w:val="16"/>
                <w:szCs w:val="16"/>
                <w:lang w:val="es-ES_tradnl" w:eastAsia="es-ES"/>
              </w:rPr>
              <w:t>Subdirectora de Gestión Contractual ANCP – CCE</w:t>
            </w:r>
          </w:p>
        </w:tc>
      </w:tr>
    </w:tbl>
    <w:p w:rsidRPr="00543BFE" w:rsidR="006B036C" w:rsidP="006B036C" w:rsidRDefault="006B036C" w14:paraId="01480916" w14:textId="77777777"/>
    <w:p w:rsidRPr="00505D72" w:rsidR="00127233" w:rsidP="00505D72" w:rsidRDefault="00127233" w14:paraId="0F293BF4" w14:textId="6992FF7C"/>
    <w:sectPr w:rsidRPr="00505D72" w:rsidR="00127233" w:rsidSect="007C0C0F">
      <w:headerReference w:type="default" r:id="rId15"/>
      <w:footerReference w:type="default" r:id="rId16"/>
      <w:pgSz w:w="12240" w:h="15840" w:orient="portrait"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05260" w:rsidP="004A1847" w:rsidRDefault="00805260" w14:paraId="539D0825" w14:textId="77777777">
      <w:pPr>
        <w:spacing w:after="0" w:line="240" w:lineRule="auto"/>
      </w:pPr>
      <w:r>
        <w:separator/>
      </w:r>
    </w:p>
  </w:endnote>
  <w:endnote w:type="continuationSeparator" w:id="0">
    <w:p w:rsidR="00805260" w:rsidP="004A1847" w:rsidRDefault="00805260" w14:paraId="37F7C057" w14:textId="77777777">
      <w:pPr>
        <w:spacing w:after="0" w:line="240" w:lineRule="auto"/>
      </w:pPr>
      <w:r>
        <w:continuationSeparator/>
      </w:r>
    </w:p>
  </w:endnote>
  <w:endnote w:type="continuationNotice" w:id="1">
    <w:p w:rsidR="00805260" w:rsidRDefault="00805260" w14:paraId="62E51BF5"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A1847" w:rsidRDefault="004A1847" w14:paraId="18911A32" w14:textId="6CE791A4">
    <w:pPr>
      <w:pStyle w:val="Piedepgina"/>
    </w:pPr>
  </w:p>
  <w:p w:rsidRPr="00174B77" w:rsidR="00D520D8" w:rsidP="00D520D8" w:rsidRDefault="00D520D8" w14:paraId="594D6D9F" w14:textId="77777777">
    <w:pPr>
      <w:pBdr>
        <w:top w:val="single" w:color="auto" w:sz="4" w:space="1"/>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hAnsi="Verdana" w:eastAsiaTheme="majorEastAsia" w:cstheme="majorBidi"/>
        <w:b/>
        <w:bCs/>
        <w:sz w:val="16"/>
        <w:szCs w:val="16"/>
        <w:lang w:val="es-ES"/>
      </w:rPr>
      <w:t xml:space="preserve">pág. </w:t>
    </w:r>
    <w:r w:rsidRPr="002E1330">
      <w:rPr>
        <w:rFonts w:ascii="Verdana" w:hAnsi="Verdana" w:eastAsiaTheme="minorEastAsia"/>
        <w:b/>
        <w:bCs/>
        <w:sz w:val="16"/>
        <w:szCs w:val="16"/>
      </w:rPr>
      <w:fldChar w:fldCharType="begin"/>
    </w:r>
    <w:r w:rsidRPr="002E1330">
      <w:rPr>
        <w:rFonts w:ascii="Verdana" w:hAnsi="Verdana"/>
        <w:b/>
        <w:bCs/>
        <w:sz w:val="16"/>
        <w:szCs w:val="16"/>
      </w:rPr>
      <w:instrText>PAGE    \* MERGEFORMAT</w:instrText>
    </w:r>
    <w:r w:rsidRPr="002E1330">
      <w:rPr>
        <w:rFonts w:ascii="Verdana" w:hAnsi="Verdana" w:eastAsiaTheme="minorEastAsia"/>
        <w:b/>
        <w:bCs/>
        <w:sz w:val="16"/>
        <w:szCs w:val="16"/>
      </w:rPr>
      <w:fldChar w:fldCharType="separate"/>
    </w:r>
    <w:r>
      <w:rPr>
        <w:rFonts w:ascii="Verdana" w:hAnsi="Verdana" w:eastAsiaTheme="minorEastAsia"/>
        <w:b/>
        <w:bCs/>
        <w:sz w:val="16"/>
        <w:szCs w:val="16"/>
      </w:rPr>
      <w:t>1</w:t>
    </w:r>
    <w:r w:rsidRPr="002E1330">
      <w:rPr>
        <w:rFonts w:ascii="Verdana" w:hAnsi="Verdana" w:eastAsiaTheme="majorEastAsi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rsidR="00D520D8" w:rsidP="00D520D8" w:rsidRDefault="00D520D8" w14:paraId="0A735DD5" w14:textId="77777777">
    <w:pPr>
      <w:spacing w:after="0"/>
      <w:jc w:val="both"/>
      <w:rPr>
        <w:rFonts w:ascii="Verdana" w:hAnsi="Verdana"/>
        <w:sz w:val="18"/>
        <w:szCs w:val="18"/>
      </w:rPr>
    </w:pPr>
    <w:r w:rsidRPr="00E41027">
      <w:rPr>
        <w:rFonts w:ascii="Verdana" w:hAnsi="Verdana"/>
        <w:sz w:val="18"/>
        <w:szCs w:val="18"/>
      </w:rPr>
      <w:t>Dirección: Carrera 7 # 26 – 20 - Bogotá, Colombia</w:t>
    </w:r>
  </w:p>
  <w:p w:rsidRPr="00E41027" w:rsidR="00D520D8" w:rsidP="00D520D8" w:rsidRDefault="00D520D8" w14:paraId="06E36B88" w14:textId="77777777">
    <w:pPr>
      <w:spacing w:after="0"/>
      <w:jc w:val="both"/>
      <w:rPr>
        <w:rFonts w:ascii="Verdana" w:hAnsi="Verdana"/>
        <w:sz w:val="18"/>
        <w:szCs w:val="18"/>
      </w:rPr>
    </w:pPr>
    <w:r w:rsidRPr="00E41027">
      <w:rPr>
        <w:rFonts w:ascii="Verdana" w:hAnsi="Verdana"/>
        <w:sz w:val="18"/>
        <w:szCs w:val="18"/>
      </w:rPr>
      <w:t>Mesa de servicio: (+57) 601 7456788</w:t>
    </w:r>
  </w:p>
  <w:p w:rsidRPr="00E70AB0" w:rsidR="006219F8" w:rsidP="356CEDFD" w:rsidRDefault="356CEDFD" w14:paraId="744661F5" w14:textId="22B9E88F">
    <w:pPr>
      <w:pBdr>
        <w:top w:val="nil"/>
        <w:left w:val="nil"/>
        <w:bottom w:val="nil"/>
        <w:right w:val="nil"/>
        <w:between w:val="nil"/>
      </w:pBdr>
      <w:tabs>
        <w:tab w:val="center" w:pos="4419"/>
        <w:tab w:val="right" w:pos="8838"/>
        <w:tab w:val="center" w:pos="5400"/>
      </w:tabs>
      <w:spacing w:after="0"/>
      <w:jc w:val="right"/>
      <w:rPr>
        <w:lang w:val="pt-BR"/>
      </w:rPr>
    </w:pPr>
    <w:r w:rsidRPr="00E70AB0">
      <w:rPr>
        <w:rFonts w:ascii="Century Gothic" w:hAnsi="Century Gothic" w:eastAsia="Geo" w:cs="Geo"/>
        <w:b/>
        <w:color w:val="000000" w:themeColor="text1"/>
        <w:sz w:val="16"/>
        <w:szCs w:val="16"/>
        <w:lang w:val="pt-BR" w:eastAsia="es-CO"/>
      </w:rPr>
      <w:t xml:space="preserve">Código: </w:t>
    </w:r>
    <w:r w:rsidRPr="00E70AB0">
      <w:rPr>
        <w:rFonts w:ascii="Century Gothic" w:hAnsi="Century Gothic" w:eastAsia="Geo" w:cs="Geo"/>
        <w:color w:val="000000" w:themeColor="text1"/>
        <w:sz w:val="16"/>
        <w:szCs w:val="16"/>
        <w:lang w:val="pt-BR" w:eastAsia="es-CO"/>
      </w:rPr>
      <w:t xml:space="preserve">CCE-REC-FM-17 </w:t>
    </w:r>
    <w:r w:rsidRPr="00E70AB0">
      <w:rPr>
        <w:rFonts w:ascii="Century Gothic" w:hAnsi="Century Gothic" w:eastAsia="Geo" w:cs="Geo"/>
        <w:b/>
        <w:color w:val="000000" w:themeColor="text1"/>
        <w:sz w:val="16"/>
        <w:szCs w:val="16"/>
        <w:lang w:val="pt-BR" w:eastAsia="es-CO"/>
      </w:rPr>
      <w:t>V</w:t>
    </w:r>
    <w:r w:rsidRPr="00E70AB0">
      <w:rPr>
        <w:rFonts w:ascii="Century Gothic" w:hAnsi="Century Gothic" w:eastAsia="Arial Nova" w:cs="Arial Nova"/>
        <w:b/>
        <w:color w:val="000000" w:themeColor="text1"/>
        <w:sz w:val="16"/>
        <w:szCs w:val="16"/>
        <w:lang w:val="pt-BR" w:eastAsia="es-CO"/>
      </w:rPr>
      <w:t xml:space="preserve">: </w:t>
    </w:r>
    <w:r w:rsidRPr="00E70AB0">
      <w:rPr>
        <w:rFonts w:ascii="Century Gothic" w:hAnsi="Century Gothic" w:eastAsia="Geo" w:cs="Geo"/>
        <w:sz w:val="16"/>
        <w:szCs w:val="16"/>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05260" w:rsidP="004A1847" w:rsidRDefault="00805260" w14:paraId="64493AE8" w14:textId="77777777">
      <w:pPr>
        <w:spacing w:after="0" w:line="240" w:lineRule="auto"/>
      </w:pPr>
      <w:r>
        <w:separator/>
      </w:r>
    </w:p>
  </w:footnote>
  <w:footnote w:type="continuationSeparator" w:id="0">
    <w:p w:rsidR="00805260" w:rsidP="004A1847" w:rsidRDefault="00805260" w14:paraId="221F300C" w14:textId="77777777">
      <w:pPr>
        <w:spacing w:after="0" w:line="240" w:lineRule="auto"/>
      </w:pPr>
      <w:r>
        <w:continuationSeparator/>
      </w:r>
    </w:p>
  </w:footnote>
  <w:footnote w:type="continuationNotice" w:id="1">
    <w:p w:rsidR="00805260" w:rsidRDefault="00805260" w14:paraId="37125819" w14:textId="77777777">
      <w:pPr>
        <w:spacing w:after="0" w:line="240" w:lineRule="auto"/>
      </w:pPr>
    </w:p>
  </w:footnote>
  <w:footnote w:id="2">
    <w:p w:rsidRPr="001244F3" w:rsidR="006B036C" w:rsidP="006B036C" w:rsidRDefault="006B036C" w14:paraId="3107C649" w14:textId="77777777">
      <w:pPr>
        <w:pStyle w:val="Textonotapie"/>
        <w:ind w:firstLine="708"/>
        <w:jc w:val="both"/>
        <w:rPr>
          <w:rFonts w:ascii="Verdana" w:hAnsi="Verdana"/>
          <w:sz w:val="16"/>
          <w:szCs w:val="16"/>
        </w:rPr>
      </w:pPr>
      <w:r w:rsidRPr="001244F3">
        <w:rPr>
          <w:rStyle w:val="Refdenotaalpie"/>
          <w:rFonts w:ascii="Verdana" w:hAnsi="Verdana"/>
          <w:sz w:val="16"/>
          <w:szCs w:val="16"/>
        </w:rPr>
        <w:footnoteRef/>
      </w:r>
      <w:r w:rsidRPr="001244F3">
        <w:rPr>
          <w:rFonts w:ascii="Verdana" w:hAnsi="Verdana"/>
          <w:sz w:val="16"/>
          <w:szCs w:val="16"/>
        </w:rPr>
        <w:t xml:space="preserve"> En lo pertinente, la norma prescribe que “Los órganos que son una sección en el Presupuesto General de la Nación, tendrán la capacidad de contratar y comprometer a nombre de la persona jurídica de la cual hagan parte, y ordenar el gasto en desarrollo de las apropiaciones incorporadas en la respectiva sección, lo que constituye la autonomía presupuestal a que se refieren la Constitución Política y la ley. Estas facultades estarán en cabeza del jefe de cada órgano quien podrá delegarlas en funcionarios del nivel directivo, o quien haga sus veces, y serán ejercidas teniendo en cuenta las normas consagradas en el Estatuto General de Contratación de la Administración Pública y en las disposiciones legales vigentes.</w:t>
      </w:r>
    </w:p>
    <w:p w:rsidRPr="001244F3" w:rsidR="006B036C" w:rsidP="006B036C" w:rsidRDefault="006B036C" w14:paraId="124EAB2D" w14:textId="77777777">
      <w:pPr>
        <w:pStyle w:val="Textonotapie"/>
        <w:ind w:firstLine="708"/>
        <w:jc w:val="both"/>
        <w:rPr>
          <w:rFonts w:ascii="Verdana" w:hAnsi="Verdana"/>
          <w:sz w:val="16"/>
          <w:szCs w:val="16"/>
        </w:rPr>
      </w:pPr>
      <w:r w:rsidRPr="001244F3">
        <w:rPr>
          <w:rFonts w:ascii="Verdana" w:hAnsi="Verdana"/>
          <w:sz w:val="16"/>
          <w:szCs w:val="16"/>
        </w:rPr>
        <w:t>[…]</w:t>
      </w:r>
    </w:p>
    <w:p w:rsidRPr="001244F3" w:rsidR="006B036C" w:rsidP="006B036C" w:rsidRDefault="006B036C" w14:paraId="6F0989DA" w14:textId="77777777">
      <w:pPr>
        <w:pStyle w:val="Textonotapie"/>
        <w:ind w:firstLine="708"/>
        <w:jc w:val="both"/>
        <w:rPr>
          <w:rFonts w:ascii="Verdana" w:hAnsi="Verdana"/>
          <w:sz w:val="16"/>
          <w:szCs w:val="16"/>
        </w:rPr>
      </w:pPr>
      <w:r w:rsidRPr="001244F3">
        <w:rPr>
          <w:rFonts w:ascii="Verdana" w:hAnsi="Verdana"/>
          <w:sz w:val="16"/>
          <w:szCs w:val="16"/>
        </w:rPr>
        <w:t>En los mismos términos y condiciones tendrán estas capacidades las Superintendencias, Unidades Administrativas Especiales, las Entidades Territoriales, Asambleas y Concejos, las Contralorías y Personerías Territoriales y todos los demás órganos estatales de cualquier nivel que tengan personería jurídica.</w:t>
      </w:r>
    </w:p>
    <w:p w:rsidRPr="001244F3" w:rsidR="006B036C" w:rsidP="006B036C" w:rsidRDefault="006B036C" w14:paraId="5BFA6C5A" w14:textId="77777777">
      <w:pPr>
        <w:pStyle w:val="Textonotapie"/>
        <w:ind w:firstLine="708"/>
        <w:jc w:val="both"/>
        <w:rPr>
          <w:rFonts w:ascii="Verdana" w:hAnsi="Verdana"/>
          <w:sz w:val="16"/>
          <w:szCs w:val="16"/>
        </w:rPr>
      </w:pPr>
      <w:r w:rsidRPr="001244F3">
        <w:rPr>
          <w:rFonts w:ascii="Verdana" w:hAnsi="Verdana"/>
          <w:sz w:val="16"/>
          <w:szCs w:val="16"/>
        </w:rPr>
        <w:t>En todo caso, el Presidente de la República podrá celebrar contratos a nombre de la Nación”.</w:t>
      </w:r>
    </w:p>
  </w:footnote>
  <w:footnote w:id="3">
    <w:p w:rsidRPr="001244F3" w:rsidR="006B036C" w:rsidP="006B036C" w:rsidRDefault="006B036C" w14:paraId="311B91C9" w14:textId="77777777">
      <w:pPr>
        <w:pStyle w:val="Textonotapie"/>
        <w:ind w:firstLine="708"/>
        <w:jc w:val="both"/>
        <w:rPr>
          <w:rFonts w:ascii="Verdana" w:hAnsi="Verdana" w:cs="Arial"/>
          <w:sz w:val="16"/>
          <w:szCs w:val="16"/>
        </w:rPr>
      </w:pPr>
      <w:r w:rsidRPr="001244F3">
        <w:rPr>
          <w:rStyle w:val="Refdenotaalpie"/>
          <w:rFonts w:ascii="Verdana" w:hAnsi="Verdana" w:cs="Arial"/>
          <w:sz w:val="16"/>
          <w:szCs w:val="16"/>
        </w:rPr>
        <w:footnoteRef/>
      </w:r>
      <w:r w:rsidRPr="001244F3">
        <w:rPr>
          <w:rFonts w:ascii="Verdana" w:hAnsi="Verdana" w:cs="Arial"/>
          <w:sz w:val="16"/>
          <w:szCs w:val="16"/>
        </w:rPr>
        <w:t xml:space="preserve"> El inciso primero de norma disponía que, conforme al principio de transparencia, “</w:t>
      </w:r>
      <w:r w:rsidRPr="001244F3">
        <w:rPr>
          <w:rFonts w:ascii="Verdana" w:hAnsi="Verdana" w:cs="Arial"/>
          <w:i/>
          <w:iCs/>
          <w:sz w:val="16"/>
          <w:szCs w:val="16"/>
        </w:rPr>
        <w:t>La escogencia del contratista se efectuará siempre a través de licitación o concurso públicos</w:t>
      </w:r>
      <w:r w:rsidRPr="001244F3">
        <w:rPr>
          <w:rFonts w:ascii="Verdana" w:hAnsi="Verdana" w:cs="Arial"/>
          <w:sz w:val="16"/>
          <w:szCs w:val="16"/>
        </w:rPr>
        <w:t>, salvo en los siguientes casos en los que se podrá contratar directamente” (Énfasis fuera de texto). La expresión en cursiva fue declarada exequible por la Corte Constitucional mediante la Sentencia C-400 de 1999, con ponencia del Magistrado Vladimiro Naranjo Mesa, y derogado integralmente por el artículo 32 de la Ley 1150 de 2007.</w:t>
      </w:r>
    </w:p>
  </w:footnote>
  <w:footnote w:id="4">
    <w:p w:rsidRPr="001244F3" w:rsidR="006B036C" w:rsidP="006B036C" w:rsidRDefault="006B036C" w14:paraId="09B4A4BD" w14:textId="77777777">
      <w:pPr>
        <w:pStyle w:val="Textonotapie"/>
        <w:ind w:firstLine="708"/>
        <w:jc w:val="both"/>
        <w:rPr>
          <w:rFonts w:ascii="Verdana" w:hAnsi="Verdana" w:cs="Arial"/>
          <w:sz w:val="16"/>
          <w:szCs w:val="16"/>
        </w:rPr>
      </w:pPr>
      <w:r w:rsidRPr="001244F3">
        <w:rPr>
          <w:rStyle w:val="Refdenotaalpie"/>
          <w:rFonts w:ascii="Verdana" w:hAnsi="Verdana" w:cs="Arial"/>
          <w:sz w:val="16"/>
          <w:szCs w:val="16"/>
        </w:rPr>
        <w:footnoteRef/>
      </w:r>
      <w:r w:rsidRPr="001244F3">
        <w:rPr>
          <w:rFonts w:ascii="Verdana" w:hAnsi="Verdana" w:cs="Arial"/>
          <w:sz w:val="16"/>
          <w:szCs w:val="16"/>
        </w:rPr>
        <w:t xml:space="preserve"> Sobre la articulación de los diferentes procesos de selección previstos en el artículo 2 de la Ley 1150 de 2007, DÁVILA VINUEZA considera lo siguiente: “En las leyes 80 de 1993 y 1150 de 2007 los demás procedimientos de selección distintos a la licitación pública, se convierten en procedimientos excepcionales y procedentes únicamente en los casos taxativamente contemplados en la ley. Pero la excepción no es respecto de los principios de transparencia, economía y responsabilidad y del deber de selección objetiva como parece lo han entendido algunas entidades estales. Estos principios que […] desarrollan los rectores de la función pública de orden constitucional y legal (art. 209 C.N., y art. 3° Cpaca) son aplicables con todo rigor a los procedimientos de excepción. Siendo ello así, la excepción de que se habla es respecto del proceso licitatorio regulado en el artículo 30 de la Ley 80 de 1993 con las variantes introducidas por el artículo 2°, numeral 1, de la ley 1150 de 2007, en concordancia con el artículo 2.2.1.2.1.1.1 del Decreto 1082 de 2015 (</w:t>
      </w:r>
      <w:r w:rsidRPr="001244F3">
        <w:rPr>
          <w:rFonts w:ascii="Verdana" w:hAnsi="Verdana" w:cs="Arial"/>
          <w:i/>
          <w:iCs/>
          <w:sz w:val="16"/>
          <w:szCs w:val="16"/>
        </w:rPr>
        <w:t>Presentación de la oferta de manera dinámica</w:t>
      </w:r>
      <w:r w:rsidRPr="001244F3">
        <w:rPr>
          <w:rFonts w:ascii="Verdana" w:hAnsi="Verdana" w:cs="Arial"/>
          <w:sz w:val="16"/>
          <w:szCs w:val="16"/>
        </w:rPr>
        <w:t xml:space="preserve">). Es decir, que ante la ausencia de una causal concreta para un determinado evento específico, la selección debe asumir la que el ordenamiento jurídico regula como licitación pública. Por eso es que, además, las causas excepcionales de selección son de interpretación restrictiva y no admiten analogía ni la interpretación extensiva. Genera nulidad absoluta del contrato, por abuso o desviación de poder, y nulidad del acto administrativo de selección cualquier artilugio que implique socavar la principal manifestación del principio de transparencia, cual es la selección por vía de licitación”. (DÁVILA VINUEZA, Luis Guillermo. Régimen jurídico de la contratación estatal. Tercera Edición. Bogotá: Legis, 2016. p. 463).      </w:t>
      </w:r>
    </w:p>
  </w:footnote>
  <w:footnote w:id="5">
    <w:p w:rsidRPr="001244F3" w:rsidR="006B036C" w:rsidP="006B036C" w:rsidRDefault="006B036C" w14:paraId="72209C88" w14:textId="77777777">
      <w:pPr>
        <w:pStyle w:val="Textonotapie"/>
        <w:ind w:firstLine="708"/>
        <w:jc w:val="both"/>
        <w:rPr>
          <w:rFonts w:ascii="Verdana" w:hAnsi="Verdana" w:cs="Arial"/>
          <w:sz w:val="16"/>
          <w:szCs w:val="16"/>
        </w:rPr>
      </w:pPr>
      <w:r w:rsidRPr="001244F3">
        <w:rPr>
          <w:rStyle w:val="Refdenotaalpie"/>
          <w:rFonts w:ascii="Verdana" w:hAnsi="Verdana" w:cs="Arial"/>
          <w:sz w:val="16"/>
          <w:szCs w:val="16"/>
        </w:rPr>
        <w:footnoteRef/>
      </w:r>
      <w:r w:rsidRPr="001244F3">
        <w:rPr>
          <w:rFonts w:ascii="Verdana" w:hAnsi="Verdana" w:cs="Arial"/>
          <w:sz w:val="16"/>
          <w:szCs w:val="16"/>
        </w:rPr>
        <w:t xml:space="preserve"> JOJOA BOLAÑOS, Alexander. Los regímenes exceptuados en los contratos estatales. Bogotá: Grupo Editorial Ibáñez, 2012. p. 89.</w:t>
      </w:r>
    </w:p>
  </w:footnote>
  <w:footnote w:id="6">
    <w:p w:rsidRPr="001244F3" w:rsidR="006B036C" w:rsidP="006B036C" w:rsidRDefault="006B036C" w14:paraId="6821FE3F" w14:textId="77777777">
      <w:pPr>
        <w:pStyle w:val="Textonotapie"/>
        <w:ind w:firstLine="708"/>
        <w:jc w:val="both"/>
        <w:rPr>
          <w:rFonts w:ascii="Verdana" w:hAnsi="Verdana" w:cs="Arial"/>
          <w:sz w:val="16"/>
          <w:szCs w:val="16"/>
        </w:rPr>
      </w:pPr>
      <w:r w:rsidRPr="001244F3">
        <w:rPr>
          <w:rStyle w:val="Refdenotaalpie"/>
          <w:rFonts w:ascii="Verdana" w:hAnsi="Verdana" w:cs="Arial"/>
          <w:sz w:val="16"/>
          <w:szCs w:val="16"/>
        </w:rPr>
        <w:footnoteRef/>
      </w:r>
      <w:r w:rsidRPr="001244F3">
        <w:rPr>
          <w:rFonts w:ascii="Verdana" w:hAnsi="Verdana" w:cs="Arial"/>
          <w:sz w:val="16"/>
          <w:szCs w:val="16"/>
        </w:rPr>
        <w:t xml:space="preserve"> BARRETO MORENO, Antonio Alejandro. El derecho de la compra pública: estudio jurídico de un mercado imperfecto. Bogotá: Legis, 2019. pp. 281 y ss.</w:t>
      </w:r>
    </w:p>
  </w:footnote>
  <w:footnote w:id="7">
    <w:p w:rsidRPr="001244F3" w:rsidR="006B036C" w:rsidP="006B036C" w:rsidRDefault="006B036C" w14:paraId="7B23A5DA" w14:textId="77777777">
      <w:pPr>
        <w:pStyle w:val="Textonotapie"/>
        <w:ind w:firstLine="709"/>
        <w:jc w:val="both"/>
        <w:rPr>
          <w:rFonts w:ascii="Verdana" w:hAnsi="Verdana" w:cs="Arial"/>
          <w:color w:val="000000" w:themeColor="text1"/>
          <w:sz w:val="16"/>
          <w:szCs w:val="16"/>
        </w:rPr>
      </w:pPr>
      <w:r w:rsidRPr="001244F3">
        <w:rPr>
          <w:rStyle w:val="Refdenotaalpie"/>
          <w:rFonts w:ascii="Verdana" w:hAnsi="Verdana" w:cs="Arial"/>
          <w:color w:val="000000" w:themeColor="text1"/>
          <w:sz w:val="16"/>
          <w:szCs w:val="16"/>
        </w:rPr>
        <w:footnoteRef/>
      </w:r>
      <w:r w:rsidRPr="001244F3">
        <w:rPr>
          <w:rFonts w:ascii="Verdana" w:hAnsi="Verdana" w:cs="Arial"/>
          <w:color w:val="000000" w:themeColor="text1"/>
          <w:sz w:val="16"/>
          <w:szCs w:val="16"/>
        </w:rPr>
        <w:t xml:space="preserve"> Agencia Nacional de Contratación Pública - Colombia Compra Eficiente. Guía para las Entidades Estatales con régimen especial de contratación: </w:t>
      </w:r>
      <w:r>
        <w:rPr>
          <w:rFonts w:ascii="Verdana" w:hAnsi="Verdana" w:cs="Arial"/>
          <w:color w:val="000000" w:themeColor="text1"/>
          <w:sz w:val="16"/>
          <w:szCs w:val="16"/>
        </w:rPr>
        <w:t>“</w:t>
      </w:r>
      <w:r w:rsidRPr="001244F3">
        <w:rPr>
          <w:rFonts w:ascii="Verdana" w:hAnsi="Verdana" w:cs="Arial"/>
          <w:color w:val="000000" w:themeColor="text1"/>
          <w:sz w:val="16"/>
          <w:szCs w:val="16"/>
        </w:rPr>
        <w:t>Entidad Estatal de régimen especial: Entidad Estatal que realiza sus Procesos de Contratación con un régimen distinto al previsto en las Leyes 80 de 1993 y 1150 de 2007</w:t>
      </w:r>
      <w:r>
        <w:rPr>
          <w:rFonts w:ascii="Verdana" w:hAnsi="Verdana" w:cs="Arial"/>
          <w:color w:val="000000" w:themeColor="text1"/>
          <w:sz w:val="16"/>
          <w:szCs w:val="16"/>
        </w:rPr>
        <w:t>”</w:t>
      </w:r>
      <w:r w:rsidRPr="001244F3">
        <w:rPr>
          <w:rFonts w:ascii="Verdana" w:hAnsi="Verdana" w:cs="Arial"/>
          <w:color w:val="000000" w:themeColor="text1"/>
          <w:sz w:val="16"/>
          <w:szCs w:val="16"/>
        </w:rPr>
        <w:t>.</w:t>
      </w:r>
    </w:p>
  </w:footnote>
  <w:footnote w:id="8">
    <w:p w:rsidRPr="001244F3" w:rsidR="006B036C" w:rsidP="006B036C" w:rsidRDefault="006B036C" w14:paraId="219E9CC6" w14:textId="77777777">
      <w:pPr>
        <w:pStyle w:val="Textonotapie"/>
        <w:ind w:firstLine="709"/>
        <w:jc w:val="both"/>
        <w:rPr>
          <w:rFonts w:ascii="Verdana" w:hAnsi="Verdana" w:cs="Arial"/>
          <w:color w:val="000000" w:themeColor="text1"/>
          <w:sz w:val="16"/>
          <w:szCs w:val="16"/>
        </w:rPr>
      </w:pPr>
      <w:r w:rsidRPr="001244F3">
        <w:rPr>
          <w:rStyle w:val="Refdenotaalpie"/>
          <w:rFonts w:ascii="Verdana" w:hAnsi="Verdana" w:cs="Arial"/>
          <w:color w:val="000000" w:themeColor="text1"/>
          <w:sz w:val="16"/>
          <w:szCs w:val="16"/>
        </w:rPr>
        <w:footnoteRef/>
      </w:r>
      <w:r w:rsidRPr="001244F3">
        <w:rPr>
          <w:rFonts w:ascii="Verdana" w:hAnsi="Verdana" w:cs="Arial"/>
          <w:color w:val="000000" w:themeColor="text1"/>
          <w:sz w:val="16"/>
          <w:szCs w:val="16"/>
        </w:rPr>
        <w:t xml:space="preserve"> CONSEJO DE ESTADO. Sección Tercera. Radicado No. 45.607 del 24 de octubre de 2016. Consejera Ponente: María Nubia Velásquez Rico.</w:t>
      </w:r>
    </w:p>
  </w:footnote>
  <w:footnote w:id="9">
    <w:p w:rsidRPr="001244F3" w:rsidR="006B036C" w:rsidP="006B036C" w:rsidRDefault="006B036C" w14:paraId="5CF12614" w14:textId="77777777">
      <w:pPr>
        <w:pStyle w:val="Textonotapie"/>
        <w:ind w:firstLine="709"/>
        <w:jc w:val="both"/>
        <w:rPr>
          <w:rFonts w:ascii="Verdana" w:hAnsi="Verdana" w:cs="Arial"/>
          <w:color w:val="000000" w:themeColor="text1"/>
          <w:sz w:val="16"/>
          <w:szCs w:val="16"/>
        </w:rPr>
      </w:pPr>
      <w:r w:rsidRPr="001244F3">
        <w:rPr>
          <w:rStyle w:val="Refdenotaalpie"/>
          <w:rFonts w:ascii="Verdana" w:hAnsi="Verdana" w:cs="Arial"/>
          <w:color w:val="000000" w:themeColor="text1"/>
          <w:sz w:val="16"/>
          <w:szCs w:val="16"/>
        </w:rPr>
        <w:footnoteRef/>
      </w:r>
      <w:r w:rsidRPr="001244F3">
        <w:rPr>
          <w:rFonts w:ascii="Verdana" w:hAnsi="Verdana" w:cs="Arial"/>
          <w:color w:val="000000" w:themeColor="text1"/>
          <w:sz w:val="16"/>
          <w:szCs w:val="16"/>
        </w:rPr>
        <w:t xml:space="preserve"> Este fenómeno también se ha presentado, en los últimos años, en España. Al respecto, ver: SÁNCHEZ MORÓN, Miguel. El retorno del derecho administrativo. En: Revista de Administración Pública. Nº 216 (2018). Disponible en: </w:t>
      </w:r>
      <w:hyperlink w:history="1" r:id="rId1">
        <w:r w:rsidRPr="000C3FF3">
          <w:rPr>
            <w:rStyle w:val="Hipervnculo"/>
            <w:rFonts w:ascii="Verdana" w:hAnsi="Verdana" w:cs="Arial"/>
            <w:sz w:val="16"/>
            <w:szCs w:val="16"/>
          </w:rPr>
          <w:t>https://recyt.fecyt.es/index.php/RAP/article/view/67033</w:t>
        </w:r>
      </w:hyperlink>
      <w:r w:rsidRPr="001244F3">
        <w:rPr>
          <w:rFonts w:ascii="Verdana" w:hAnsi="Verdana" w:cs="Arial"/>
          <w:color w:val="000000" w:themeColor="text1"/>
          <w:sz w:val="16"/>
          <w:szCs w:val="16"/>
        </w:rPr>
        <w:t>.</w:t>
      </w:r>
    </w:p>
  </w:footnote>
  <w:footnote w:id="10">
    <w:p w:rsidRPr="001244F3" w:rsidR="006B036C" w:rsidP="006B036C" w:rsidRDefault="006B036C" w14:paraId="2A4EB86A" w14:textId="77777777">
      <w:pPr>
        <w:pStyle w:val="Textonotapie"/>
        <w:ind w:firstLine="708"/>
        <w:jc w:val="both"/>
        <w:rPr>
          <w:rFonts w:ascii="Verdana" w:hAnsi="Verdana" w:cs="Arial"/>
          <w:color w:val="000000" w:themeColor="text1"/>
          <w:sz w:val="16"/>
          <w:szCs w:val="16"/>
          <w:lang w:val="es-ES"/>
        </w:rPr>
      </w:pPr>
      <w:r w:rsidRPr="001244F3">
        <w:rPr>
          <w:rStyle w:val="Refdenotaalpie"/>
          <w:rFonts w:ascii="Verdana" w:hAnsi="Verdana" w:cs="Arial"/>
          <w:color w:val="000000" w:themeColor="text1"/>
          <w:sz w:val="16"/>
          <w:szCs w:val="16"/>
        </w:rPr>
        <w:footnoteRef/>
      </w:r>
      <w:r w:rsidRPr="001244F3">
        <w:rPr>
          <w:rFonts w:ascii="Verdana" w:hAnsi="Verdana" w:cs="Arial"/>
          <w:color w:val="000000" w:themeColor="text1"/>
          <w:sz w:val="16"/>
          <w:szCs w:val="16"/>
        </w:rPr>
        <w:t xml:space="preserve"> </w:t>
      </w:r>
      <w:r w:rsidRPr="001244F3">
        <w:rPr>
          <w:rFonts w:ascii="Verdana" w:hAnsi="Verdana" w:cs="Arial"/>
          <w:color w:val="000000" w:themeColor="text1"/>
          <w:sz w:val="16"/>
          <w:szCs w:val="16"/>
          <w:lang w:val="es-ES"/>
        </w:rPr>
        <w:t>Es el caso de: i) las empresas sociales del Estado (art. 195, num. 6, Ley 100/1993), ii) las empresas prestadoras de servicios públicos domiciliarios (arts. 31 y 32, Ley 142/94); iii) las empresas industriales y comerciales del Estado, sociedades públicas y sociedades de economía mixta con capital público mayoritario, siempre que las tres entidades mencionadas anteriormente se encuentren en competencia con el sector público o privado, a nivel nacional o internacional, o ejerzan su actividad en un mercado regulado (art. 14, Ley 1150/07); iv) las universidades públicas (art. 93, Ley 30/92); entre otras.</w:t>
      </w:r>
    </w:p>
  </w:footnote>
  <w:footnote w:id="11">
    <w:p w:rsidRPr="001244F3" w:rsidR="006B036C" w:rsidP="006B036C" w:rsidRDefault="006B036C" w14:paraId="29058A9C" w14:textId="77777777">
      <w:pPr>
        <w:pStyle w:val="Textonotapie"/>
        <w:ind w:firstLine="709"/>
        <w:jc w:val="both"/>
        <w:rPr>
          <w:rFonts w:ascii="Verdana" w:hAnsi="Verdana" w:cs="Arial"/>
          <w:color w:val="000000" w:themeColor="text1"/>
          <w:sz w:val="16"/>
          <w:szCs w:val="16"/>
          <w:lang w:val="es-ES"/>
        </w:rPr>
      </w:pPr>
      <w:r w:rsidRPr="001244F3">
        <w:rPr>
          <w:rStyle w:val="Refdenotaalpie"/>
          <w:rFonts w:ascii="Verdana" w:hAnsi="Verdana" w:cs="Arial"/>
          <w:color w:val="000000" w:themeColor="text1"/>
          <w:sz w:val="16"/>
          <w:szCs w:val="16"/>
        </w:rPr>
        <w:footnoteRef/>
      </w:r>
      <w:r w:rsidRPr="001244F3">
        <w:rPr>
          <w:rFonts w:ascii="Verdana" w:hAnsi="Verdana" w:cs="Arial"/>
          <w:color w:val="000000" w:themeColor="text1"/>
          <w:sz w:val="16"/>
          <w:szCs w:val="16"/>
        </w:rPr>
        <w:t xml:space="preserve"> </w:t>
      </w:r>
      <w:r w:rsidRPr="001244F3">
        <w:rPr>
          <w:rFonts w:ascii="Verdana" w:hAnsi="Verdana" w:cs="Arial"/>
          <w:color w:val="000000" w:themeColor="text1"/>
          <w:sz w:val="16"/>
          <w:szCs w:val="16"/>
          <w:lang w:val="es-ES"/>
        </w:rPr>
        <w:t>Leyes que, a su vez, han sido modificadas por otras posteriores, como las Leyes 1474 de 2011 y 1882 de 2018, entre otras. Así mismo, se recuerda que el Estatuto General de Contratación de la Administración Pública se encuentra reglamentado actualmente por el Decreto 1082 de 2015.</w:t>
      </w:r>
    </w:p>
  </w:footnote>
  <w:footnote w:id="12">
    <w:p w:rsidRPr="001244F3" w:rsidR="006B036C" w:rsidP="006B036C" w:rsidRDefault="006B036C" w14:paraId="54A33CD1" w14:textId="77777777">
      <w:pPr>
        <w:pStyle w:val="Textonotapie"/>
        <w:ind w:firstLine="709"/>
        <w:jc w:val="both"/>
        <w:rPr>
          <w:rFonts w:ascii="Verdana" w:hAnsi="Verdana" w:cs="Arial"/>
          <w:color w:val="000000" w:themeColor="text1"/>
          <w:sz w:val="16"/>
          <w:szCs w:val="16"/>
        </w:rPr>
      </w:pPr>
      <w:r w:rsidRPr="001244F3">
        <w:rPr>
          <w:rStyle w:val="Refdenotaalpie"/>
          <w:rFonts w:ascii="Verdana" w:hAnsi="Verdana" w:cs="Arial"/>
          <w:color w:val="000000" w:themeColor="text1"/>
          <w:sz w:val="16"/>
          <w:szCs w:val="16"/>
        </w:rPr>
        <w:footnoteRef/>
      </w:r>
      <w:r w:rsidRPr="001244F3">
        <w:rPr>
          <w:rFonts w:ascii="Verdana" w:hAnsi="Verdana" w:cs="Arial"/>
          <w:color w:val="000000" w:themeColor="text1"/>
          <w:sz w:val="16"/>
          <w:szCs w:val="16"/>
        </w:rPr>
        <w:t xml:space="preserve"> Así lo sostuvo el Consejo de Estado: </w:t>
      </w:r>
      <w:r>
        <w:rPr>
          <w:rFonts w:ascii="Verdana" w:hAnsi="Verdana" w:cs="Arial"/>
          <w:color w:val="000000" w:themeColor="text1"/>
          <w:sz w:val="16"/>
          <w:szCs w:val="16"/>
        </w:rPr>
        <w:t>“</w:t>
      </w:r>
      <w:r w:rsidRPr="001244F3">
        <w:rPr>
          <w:rFonts w:ascii="Verdana" w:hAnsi="Verdana" w:cs="Arial"/>
          <w:color w:val="000000" w:themeColor="text1"/>
          <w:sz w:val="16"/>
          <w:szCs w:val="16"/>
        </w:rPr>
        <w:t xml:space="preserve">Esta Sala, en sentido contrario al del tribunal, recuerda que las normas que establecen la manera como se perfecciona un contrato son de orden público, por tanto indisponibles por las partes, así que para las entidades excluidas de la Ley 80, un contrato existe si cumple las exigencias del ordenamiento privado; ni siquiera las del manual de contratación que expide cada hospital, ni las que prevean las partes en un contrato específico, porque los últimos no pueden reducirlas o adicionarlas, puesto que semejante acuerdo adolecerá de nulidad, al transgredir el derecho público de la nación. </w:t>
      </w:r>
    </w:p>
    <w:p w:rsidRPr="001244F3" w:rsidR="006B036C" w:rsidP="006B036C" w:rsidRDefault="006B036C" w14:paraId="1560F5F8" w14:textId="77777777">
      <w:pPr>
        <w:pStyle w:val="Textonotapie"/>
        <w:ind w:firstLine="709"/>
        <w:jc w:val="both"/>
        <w:rPr>
          <w:rFonts w:ascii="Verdana" w:hAnsi="Verdana" w:cs="Arial"/>
          <w:color w:val="000000" w:themeColor="text1"/>
          <w:sz w:val="16"/>
          <w:szCs w:val="16"/>
        </w:rPr>
      </w:pPr>
      <w:r w:rsidRPr="001244F3">
        <w:rPr>
          <w:rFonts w:ascii="Verdana" w:hAnsi="Verdana" w:cs="Arial"/>
          <w:color w:val="000000" w:themeColor="text1"/>
          <w:sz w:val="16"/>
          <w:szCs w:val="16"/>
        </w:rPr>
        <w:t>Lo anterior explica por qué en el derecho privado las partes no pueden condicionar la existencia de un contrato, que por ley sea consensual, al hecho de que conste por escrito; ni uno que requiere escritura pública al hecho de que el acuerdo verbal sea suficiente. Esto significa que si la ley impuso formalidades especiales para que exista un contrato, las partes no sólo no pueden obviarlas, sino que tampoco las pueden incrementar o adicionar; y a la inversa, si la ley no estableció formalidades especiales para que exista determinado negocio, las partes no las pueden crear con ese propósito –aunque sí podrían hacerlo para otros efectos, pero no para que exista el acuerdo de voluntades-. Lo expresado hasta ahora debe entenderse en los siguientes sentidos:</w:t>
      </w:r>
    </w:p>
    <w:p w:rsidRPr="001244F3" w:rsidR="006B036C" w:rsidP="006B036C" w:rsidRDefault="006B036C" w14:paraId="43C8EEFB" w14:textId="77777777">
      <w:pPr>
        <w:pStyle w:val="Textonotapie"/>
        <w:ind w:firstLine="709"/>
        <w:jc w:val="both"/>
        <w:rPr>
          <w:rFonts w:ascii="Verdana" w:hAnsi="Verdana" w:cs="Arial"/>
          <w:color w:val="000000" w:themeColor="text1"/>
          <w:sz w:val="16"/>
          <w:szCs w:val="16"/>
        </w:rPr>
      </w:pPr>
      <w:r w:rsidRPr="001244F3">
        <w:rPr>
          <w:rFonts w:ascii="Verdana" w:hAnsi="Verdana" w:cs="Arial"/>
          <w:color w:val="000000" w:themeColor="text1"/>
          <w:sz w:val="16"/>
          <w:szCs w:val="16"/>
        </w:rPr>
        <w:t>a. Si la norma aplicable al contrato es la Ley 80, los requisitos de perfeccionamiento son los que ella establezca; de manera que las partes, en ejercicio de la autonomía de la voluntad –que autorizan los arts. 13, 32 y 40- no pueden atenuar ni hacer más exigentes los que contempla.</w:t>
      </w:r>
    </w:p>
    <w:p w:rsidRPr="001244F3" w:rsidR="006B036C" w:rsidP="006B036C" w:rsidRDefault="006B036C" w14:paraId="0E84DC64" w14:textId="77777777">
      <w:pPr>
        <w:pStyle w:val="Textonotapie"/>
        <w:ind w:firstLine="709"/>
        <w:jc w:val="both"/>
        <w:rPr>
          <w:rFonts w:ascii="Verdana" w:hAnsi="Verdana" w:cs="Arial"/>
          <w:color w:val="000000" w:themeColor="text1"/>
          <w:sz w:val="16"/>
          <w:szCs w:val="16"/>
        </w:rPr>
      </w:pPr>
      <w:r w:rsidRPr="001244F3">
        <w:rPr>
          <w:rFonts w:ascii="Verdana" w:hAnsi="Verdana" w:cs="Arial"/>
          <w:color w:val="000000" w:themeColor="text1"/>
          <w:sz w:val="16"/>
          <w:szCs w:val="16"/>
        </w:rPr>
        <w:t>b. Si la norma aplicable al contrato estatal es el derecho privado más los principios de la función administrativa, los requisitos de perfeccionamiento también son los que aquél establezca; por tanto, las partes, en ejercicio de la autonomía de la voluntad, tampoco pueden atenuar ni hacer más exigentes los que contempla.</w:t>
      </w:r>
    </w:p>
    <w:p w:rsidRPr="001244F3" w:rsidR="006B036C" w:rsidP="006B036C" w:rsidRDefault="006B036C" w14:paraId="1A07AD91" w14:textId="77777777">
      <w:pPr>
        <w:pStyle w:val="Textonotapie"/>
        <w:ind w:firstLine="709"/>
        <w:jc w:val="both"/>
        <w:rPr>
          <w:rFonts w:ascii="Verdana" w:hAnsi="Verdana" w:cs="Arial"/>
          <w:color w:val="000000" w:themeColor="text1"/>
          <w:sz w:val="16"/>
          <w:szCs w:val="16"/>
        </w:rPr>
      </w:pPr>
      <w:r w:rsidRPr="001244F3">
        <w:rPr>
          <w:rFonts w:ascii="Verdana" w:hAnsi="Verdana" w:cs="Arial"/>
          <w:color w:val="000000" w:themeColor="text1"/>
          <w:sz w:val="16"/>
          <w:szCs w:val="16"/>
        </w:rPr>
        <w:t>c. Si la entidad excluida de Ley 80 profirió un reglamento o manual de contratación, para señalar con certidumbre la manera como contratará los bienes, obras y servicios de su interés, los requisitos de perfeccionamiento de sus contratos tampoco son disponibles por ese estatuto, porque esta materia está reservada a la ley. Por tanto, cuándo existe un contrato es un aspecto que define el derecho privado, y la entidad no lo puede alterar, ni para atenuar ni para hacer más exigentes los requisitos</w:t>
      </w:r>
      <w:r>
        <w:rPr>
          <w:rFonts w:ascii="Verdana" w:hAnsi="Verdana" w:cs="Arial"/>
          <w:color w:val="000000" w:themeColor="text1"/>
          <w:sz w:val="16"/>
          <w:szCs w:val="16"/>
        </w:rPr>
        <w:t>”</w:t>
      </w:r>
      <w:r w:rsidRPr="001244F3">
        <w:rPr>
          <w:rFonts w:ascii="Verdana" w:hAnsi="Verdana" w:cs="Arial"/>
          <w:color w:val="000000" w:themeColor="text1"/>
          <w:sz w:val="16"/>
          <w:szCs w:val="16"/>
        </w:rPr>
        <w:t xml:space="preserve"> (Consejo de Estado. Sección Tercera. Subsección C. Sentencia del 8 de abril de 2014. Exp. 25.801 C.P. Enrique Gil Botero). </w:t>
      </w:r>
    </w:p>
  </w:footnote>
  <w:footnote w:id="13">
    <w:p w:rsidRPr="008112FA" w:rsidR="006B036C" w:rsidP="006B036C" w:rsidRDefault="006B036C" w14:paraId="339A40DC" w14:textId="77777777">
      <w:pPr>
        <w:pStyle w:val="Textonotapie"/>
        <w:ind w:right="49" w:firstLine="709"/>
        <w:jc w:val="both"/>
        <w:rPr>
          <w:rFonts w:ascii="Verdana" w:hAnsi="Verdana" w:cs="Arial"/>
          <w:color w:val="000000" w:themeColor="text1"/>
          <w:sz w:val="16"/>
          <w:szCs w:val="16"/>
        </w:rPr>
      </w:pPr>
      <w:r w:rsidRPr="008112FA">
        <w:rPr>
          <w:rStyle w:val="Refdenotaalpie"/>
          <w:rFonts w:ascii="Verdana" w:hAnsi="Verdana" w:cs="Arial"/>
          <w:color w:val="000000" w:themeColor="text1"/>
          <w:sz w:val="16"/>
          <w:szCs w:val="16"/>
        </w:rPr>
        <w:footnoteRef/>
      </w:r>
      <w:r w:rsidRPr="008112FA">
        <w:rPr>
          <w:rFonts w:ascii="Verdana" w:hAnsi="Verdana" w:cs="Arial"/>
          <w:color w:val="000000" w:themeColor="text1"/>
          <w:sz w:val="16"/>
          <w:szCs w:val="16"/>
        </w:rPr>
        <w:t xml:space="preserve"> Corte Constitucional. Sentencia C- 341 del 4 de junio de 2014. M. P. Mauricio González Cuervo.</w:t>
      </w:r>
    </w:p>
  </w:footnote>
  <w:footnote w:id="14">
    <w:p w:rsidRPr="008112FA" w:rsidR="006B036C" w:rsidP="006B036C" w:rsidRDefault="006B036C" w14:paraId="3FB6FFB4" w14:textId="77777777">
      <w:pPr>
        <w:pStyle w:val="Textonotapie"/>
        <w:ind w:right="49" w:firstLine="709"/>
        <w:jc w:val="both"/>
        <w:rPr>
          <w:rFonts w:ascii="Verdana" w:hAnsi="Verdana" w:cs="Arial"/>
          <w:color w:val="000000" w:themeColor="text1"/>
          <w:sz w:val="16"/>
          <w:szCs w:val="16"/>
        </w:rPr>
      </w:pPr>
      <w:r w:rsidRPr="008112FA">
        <w:rPr>
          <w:rStyle w:val="Refdenotaalpie"/>
          <w:rFonts w:ascii="Verdana" w:hAnsi="Verdana" w:cs="Arial"/>
          <w:color w:val="000000" w:themeColor="text1"/>
          <w:sz w:val="16"/>
          <w:szCs w:val="16"/>
        </w:rPr>
        <w:footnoteRef/>
      </w:r>
      <w:r w:rsidRPr="008112FA">
        <w:rPr>
          <w:rFonts w:ascii="Verdana" w:hAnsi="Verdana" w:cs="Arial"/>
          <w:color w:val="000000" w:themeColor="text1"/>
          <w:sz w:val="16"/>
          <w:szCs w:val="16"/>
        </w:rPr>
        <w:t xml:space="preserve"> Ley 1150 de 2007: “Artículo 3.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rsidRPr="008112FA" w:rsidR="006B036C" w:rsidP="006B036C" w:rsidRDefault="006B036C" w14:paraId="6A7C76AD" w14:textId="77777777">
      <w:pPr>
        <w:pStyle w:val="Textonotapie"/>
        <w:ind w:right="49" w:firstLine="709"/>
        <w:jc w:val="both"/>
        <w:rPr>
          <w:rFonts w:ascii="Verdana" w:hAnsi="Verdana" w:cs="Arial"/>
          <w:color w:val="000000" w:themeColor="text1"/>
          <w:sz w:val="16"/>
          <w:szCs w:val="16"/>
        </w:rPr>
      </w:pPr>
      <w:r w:rsidRPr="008112FA">
        <w:rPr>
          <w:rFonts w:ascii="Verdana" w:hAnsi="Verdana" w:cs="Arial"/>
          <w:color w:val="000000" w:themeColor="text1"/>
          <w:sz w:val="16"/>
          <w:szCs w:val="16"/>
        </w:rPr>
        <w:t>Lo anterior, sin perjuicio de las publicaciones previstas en el numeral 3 del artículo 30 de la Ley 80 de 1993.</w:t>
      </w:r>
    </w:p>
    <w:p w:rsidRPr="008112FA" w:rsidR="006B036C" w:rsidP="006B036C" w:rsidRDefault="006B036C" w14:paraId="43E1C654" w14:textId="77777777">
      <w:pPr>
        <w:pStyle w:val="Textonotapie"/>
        <w:ind w:right="49" w:firstLine="709"/>
        <w:jc w:val="both"/>
        <w:rPr>
          <w:rFonts w:ascii="Verdana" w:hAnsi="Verdana" w:cs="Arial"/>
          <w:color w:val="000000" w:themeColor="text1"/>
          <w:sz w:val="16"/>
          <w:szCs w:val="16"/>
        </w:rPr>
      </w:pPr>
      <w:r w:rsidRPr="008112FA">
        <w:rPr>
          <w:rFonts w:ascii="Verdana" w:hAnsi="Verdana" w:cs="Arial"/>
          <w:color w:val="000000" w:themeColor="text1"/>
          <w:sz w:val="16"/>
          <w:szCs w:val="16"/>
        </w:rPr>
        <w:t xml:space="preserve">Con el fin de materializar los objetivos a que se refiere el inciso anterior, el Gobierno Nacional desarrollará el Sistema Electrónico para la Contratación Pública, Secop, el cual: </w:t>
      </w:r>
    </w:p>
    <w:p w:rsidRPr="008112FA" w:rsidR="006B036C" w:rsidP="006B036C" w:rsidRDefault="006B036C" w14:paraId="47826B8B" w14:textId="77777777">
      <w:pPr>
        <w:pStyle w:val="Textonotapie"/>
        <w:ind w:right="49" w:firstLine="709"/>
        <w:jc w:val="both"/>
        <w:rPr>
          <w:rFonts w:ascii="Verdana" w:hAnsi="Verdana" w:cs="Arial"/>
          <w:color w:val="000000" w:themeColor="text1"/>
          <w:sz w:val="16"/>
          <w:szCs w:val="16"/>
        </w:rPr>
      </w:pPr>
      <w:r w:rsidRPr="008112FA">
        <w:rPr>
          <w:rFonts w:ascii="Verdana" w:hAnsi="Verdana" w:cs="Arial"/>
          <w:color w:val="000000" w:themeColor="text1"/>
          <w:sz w:val="16"/>
          <w:szCs w:val="16"/>
        </w:rPr>
        <w:t>[…]</w:t>
      </w:r>
    </w:p>
    <w:p w:rsidRPr="008112FA" w:rsidR="006B036C" w:rsidP="006B036C" w:rsidRDefault="006B036C" w14:paraId="716483F7" w14:textId="77777777">
      <w:pPr>
        <w:pStyle w:val="Textonotapie"/>
        <w:ind w:right="49" w:firstLine="709"/>
        <w:jc w:val="both"/>
        <w:rPr>
          <w:rFonts w:ascii="Verdana" w:hAnsi="Verdana" w:cs="Arial"/>
          <w:color w:val="000000" w:themeColor="text1"/>
          <w:sz w:val="16"/>
          <w:szCs w:val="16"/>
        </w:rPr>
      </w:pPr>
      <w:r w:rsidRPr="008112FA">
        <w:rPr>
          <w:rFonts w:ascii="Verdana" w:hAnsi="Verdana" w:cs="Arial"/>
          <w:color w:val="000000" w:themeColor="text1"/>
          <w:sz w:val="16"/>
          <w:szCs w:val="16"/>
        </w:rPr>
        <w:t xml:space="preserve">c) Contará con la información oficial de la contratación realizada con dineros públicos, para lo cual establecerá los patrones a que haya lugar y se encargará de su difusión a través de canales electrónico”. </w:t>
      </w:r>
    </w:p>
  </w:footnote>
  <w:footnote w:id="15">
    <w:p w:rsidRPr="008112FA" w:rsidR="006B036C" w:rsidP="006B036C" w:rsidRDefault="006B036C" w14:paraId="38279E15" w14:textId="77777777">
      <w:pPr>
        <w:pStyle w:val="Textonotapie"/>
        <w:ind w:right="49" w:firstLine="709"/>
        <w:jc w:val="both"/>
        <w:rPr>
          <w:rFonts w:ascii="Verdana" w:hAnsi="Verdana" w:cs="Arial"/>
          <w:color w:val="000000" w:themeColor="text1"/>
          <w:sz w:val="16"/>
          <w:szCs w:val="16"/>
        </w:rPr>
      </w:pPr>
      <w:r w:rsidRPr="008112FA">
        <w:rPr>
          <w:rStyle w:val="Refdenotaalpie"/>
          <w:rFonts w:ascii="Verdana" w:hAnsi="Verdana" w:cs="Arial"/>
          <w:color w:val="000000" w:themeColor="text1"/>
          <w:sz w:val="16"/>
          <w:szCs w:val="16"/>
        </w:rPr>
        <w:footnoteRef/>
      </w:r>
      <w:r w:rsidRPr="008112FA">
        <w:rPr>
          <w:rFonts w:ascii="Verdana" w:hAnsi="Verdana" w:cs="Arial"/>
          <w:color w:val="000000" w:themeColor="text1"/>
          <w:sz w:val="16"/>
          <w:szCs w:val="16"/>
        </w:rPr>
        <w:t xml:space="preserve"> Ley 1712 de 2014: “Artículo 5. Ámbito de aplicación. Las disposiciones de esta ley serán aplicables a las siguientes personas en calidad de sujetos obligados: </w:t>
      </w:r>
    </w:p>
    <w:p w:rsidRPr="008112FA" w:rsidR="006B036C" w:rsidP="006B036C" w:rsidRDefault="006B036C" w14:paraId="62E84F23" w14:textId="77777777">
      <w:pPr>
        <w:pStyle w:val="Textonotapie"/>
        <w:ind w:right="49" w:firstLine="709"/>
        <w:jc w:val="both"/>
        <w:rPr>
          <w:rFonts w:ascii="Verdana" w:hAnsi="Verdana" w:cs="Arial"/>
          <w:color w:val="000000" w:themeColor="text1"/>
          <w:sz w:val="16"/>
          <w:szCs w:val="16"/>
        </w:rPr>
      </w:pPr>
      <w:r w:rsidRPr="008112FA">
        <w:rPr>
          <w:rFonts w:ascii="Verdana" w:hAnsi="Verdana" w:cs="Arial"/>
          <w:color w:val="000000" w:themeColor="text1"/>
          <w:sz w:val="16"/>
          <w:szCs w:val="16"/>
        </w:rPr>
        <w:t>a) Toda entidad pública, incluyendo las pertenecientes a todas las Ramas del Poder Público, en todos los niveles de la estructura estatal, central o descentralizada por servicios o territorialmente, en los órdenes nacional, departamental, municipal y distrital”. Obsérvese que este artículo no efectúa distinción alguna sobre el régimen jurídico aplicable a los sujetos obligados.</w:t>
      </w:r>
    </w:p>
  </w:footnote>
  <w:footnote w:id="16">
    <w:p w:rsidRPr="008112FA" w:rsidR="006B036C" w:rsidP="006B036C" w:rsidRDefault="006B036C" w14:paraId="0530E4CF" w14:textId="77777777">
      <w:pPr>
        <w:pStyle w:val="Textonotapie"/>
        <w:ind w:right="49" w:firstLine="709"/>
        <w:jc w:val="both"/>
        <w:rPr>
          <w:rFonts w:ascii="Verdana" w:hAnsi="Verdana" w:cs="Arial"/>
          <w:color w:val="000000" w:themeColor="text1"/>
          <w:sz w:val="16"/>
          <w:szCs w:val="16"/>
        </w:rPr>
      </w:pPr>
      <w:r w:rsidRPr="008112FA">
        <w:rPr>
          <w:rFonts w:ascii="Verdana" w:hAnsi="Verdana" w:cs="Arial"/>
          <w:color w:val="000000" w:themeColor="text1"/>
          <w:sz w:val="16"/>
          <w:szCs w:val="16"/>
          <w:vertAlign w:val="superscript"/>
          <w:lang w:val="es-ES" w:eastAsia="es-ES"/>
        </w:rPr>
        <w:footnoteRef/>
      </w:r>
      <w:r w:rsidRPr="008112FA">
        <w:rPr>
          <w:rFonts w:ascii="Verdana" w:hAnsi="Verdana" w:cs="Arial"/>
          <w:color w:val="000000" w:themeColor="text1"/>
          <w:sz w:val="16"/>
          <w:szCs w:val="16"/>
          <w:vertAlign w:val="superscript"/>
          <w:lang w:val="es-ES" w:eastAsia="es-ES"/>
        </w:rPr>
        <w:t xml:space="preserve"> </w:t>
      </w:r>
      <w:r w:rsidRPr="008112FA">
        <w:rPr>
          <w:rFonts w:ascii="Verdana" w:hAnsi="Verdana" w:cs="Arial"/>
          <w:color w:val="000000" w:themeColor="text1"/>
          <w:sz w:val="16"/>
          <w:szCs w:val="16"/>
          <w:lang w:val="es-ES" w:eastAsia="es-ES"/>
        </w:rPr>
        <w:t>“</w:t>
      </w:r>
      <w:r w:rsidRPr="008112FA">
        <w:rPr>
          <w:rFonts w:ascii="Verdana" w:hAnsi="Verdana" w:cs="Arial"/>
          <w:color w:val="000000" w:themeColor="text1"/>
          <w:sz w:val="16"/>
          <w:szCs w:val="16"/>
        </w:rPr>
        <w:t xml:space="preserve">Artículo </w:t>
      </w:r>
      <w:bookmarkStart w:name="_Hlk153373407" w:id="3"/>
      <w:r w:rsidRPr="008112FA">
        <w:rPr>
          <w:rFonts w:ascii="Verdana" w:hAnsi="Verdana" w:cs="Arial"/>
          <w:color w:val="000000" w:themeColor="text1"/>
          <w:sz w:val="16"/>
          <w:szCs w:val="16"/>
        </w:rPr>
        <w:t>2.1.1.2.1.7</w:t>
      </w:r>
      <w:bookmarkEnd w:id="3"/>
      <w:r w:rsidRPr="008112FA">
        <w:rPr>
          <w:rFonts w:ascii="Verdana" w:hAnsi="Verdana" w:cs="Arial"/>
          <w:color w:val="000000" w:themeColor="text1"/>
          <w:sz w:val="16"/>
          <w:szCs w:val="16"/>
        </w:rPr>
        <w:t xml:space="preserve">.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rsidRPr="008112FA" w:rsidR="006B036C" w:rsidP="006B036C" w:rsidRDefault="006B036C" w14:paraId="3FC68CAD" w14:textId="77777777">
      <w:pPr>
        <w:pStyle w:val="Textonotapie"/>
        <w:ind w:right="49" w:firstLine="709"/>
        <w:jc w:val="both"/>
        <w:rPr>
          <w:rFonts w:ascii="Verdana" w:hAnsi="Verdana" w:cs="Arial"/>
          <w:color w:val="000000" w:themeColor="text1"/>
          <w:sz w:val="16"/>
          <w:szCs w:val="16"/>
          <w:lang w:val="es-ES" w:eastAsia="es-ES"/>
        </w:rPr>
      </w:pPr>
      <w:r w:rsidRPr="008112FA">
        <w:rPr>
          <w:rFonts w:ascii="Verdana" w:hAnsi="Verdana" w:cs="Arial"/>
          <w:color w:val="000000" w:themeColor="text1"/>
          <w:sz w:val="16"/>
          <w:szCs w:val="16"/>
        </w:rPr>
        <w:t>[…].</w:t>
      </w:r>
    </w:p>
    <w:p w:rsidRPr="008112FA" w:rsidR="006B036C" w:rsidP="006B036C" w:rsidRDefault="006B036C" w14:paraId="3F0F9A85" w14:textId="77777777">
      <w:pPr>
        <w:pStyle w:val="Textonotapie"/>
        <w:ind w:right="49" w:firstLine="709"/>
        <w:jc w:val="both"/>
        <w:rPr>
          <w:rFonts w:ascii="Verdana" w:hAnsi="Verdana" w:cs="Arial"/>
          <w:color w:val="000000" w:themeColor="text1"/>
          <w:sz w:val="16"/>
          <w:szCs w:val="16"/>
          <w:lang w:val="es-ES" w:eastAsia="es-ES"/>
        </w:rPr>
      </w:pPr>
      <w:r w:rsidRPr="008112FA">
        <w:rPr>
          <w:rFonts w:ascii="Verdana" w:hAnsi="Verdana" w:cs="Arial"/>
          <w:color w:val="000000" w:themeColor="text1"/>
          <w:sz w:val="16"/>
          <w:szCs w:val="16"/>
          <w:lang w:val="es-ES" w:eastAsia="es-ES"/>
        </w:rPr>
        <w:t>Los sujetos obligados que contratan con recursos públicos y recursos privados, deben publicar la información de su gestión contractual con cargo a recursos públicos en el Sistema Electrónico para la Contratación Pública [SECOP]”.</w:t>
      </w:r>
    </w:p>
  </w:footnote>
  <w:footnote w:id="17">
    <w:p w:rsidRPr="008112FA" w:rsidR="006B036C" w:rsidP="006B036C" w:rsidRDefault="006B036C" w14:paraId="54A7B9B4" w14:textId="77777777">
      <w:pPr>
        <w:pStyle w:val="Textonotapie"/>
        <w:ind w:right="49" w:firstLine="709"/>
        <w:jc w:val="both"/>
        <w:rPr>
          <w:rFonts w:ascii="Verdana" w:hAnsi="Verdana" w:cs="Arial"/>
          <w:color w:val="000000" w:themeColor="text1"/>
          <w:sz w:val="16"/>
          <w:szCs w:val="16"/>
        </w:rPr>
      </w:pPr>
      <w:r w:rsidRPr="008112FA">
        <w:rPr>
          <w:rStyle w:val="Refdenotaalpie"/>
          <w:rFonts w:ascii="Verdana" w:hAnsi="Verdana" w:cs="Arial"/>
          <w:color w:val="000000" w:themeColor="text1"/>
          <w:sz w:val="16"/>
          <w:szCs w:val="16"/>
        </w:rPr>
        <w:footnoteRef/>
      </w:r>
      <w:r w:rsidRPr="008112FA">
        <w:rPr>
          <w:rFonts w:ascii="Verdana" w:hAnsi="Verdana" w:cs="Arial"/>
          <w:color w:val="000000" w:themeColor="text1"/>
          <w:sz w:val="16"/>
          <w:szCs w:val="16"/>
        </w:rPr>
        <w:t xml:space="preserve"> C</w:t>
      </w:r>
      <w:r w:rsidRPr="008112FA">
        <w:rPr>
          <w:rFonts w:ascii="Verdana" w:hAnsi="Verdana" w:cs="Arial"/>
          <w:color w:val="000000" w:themeColor="text1"/>
          <w:sz w:val="16"/>
          <w:szCs w:val="16"/>
          <w:lang w:val="es-ES" w:eastAsia="es-ES"/>
        </w:rPr>
        <w:t xml:space="preserve">orte Constitucional. Sentencia C-274 de 9 de mayo de 2013. M.P. María Victoria Calle Correa. </w:t>
      </w:r>
    </w:p>
  </w:footnote>
  <w:footnote w:id="18">
    <w:p w:rsidRPr="008112FA" w:rsidR="006B036C" w:rsidP="006B036C" w:rsidRDefault="006B036C" w14:paraId="418C22FB" w14:textId="77777777">
      <w:pPr>
        <w:pStyle w:val="Textonotapie"/>
        <w:ind w:firstLine="708"/>
        <w:jc w:val="both"/>
        <w:rPr>
          <w:rFonts w:ascii="Verdana" w:hAnsi="Verdana"/>
          <w:sz w:val="16"/>
          <w:szCs w:val="16"/>
          <w:lang w:val="es-CO"/>
        </w:rPr>
      </w:pPr>
      <w:r w:rsidRPr="008112FA">
        <w:rPr>
          <w:rStyle w:val="Refdenotaalpie"/>
          <w:rFonts w:ascii="Verdana" w:hAnsi="Verdana"/>
          <w:sz w:val="16"/>
          <w:szCs w:val="16"/>
        </w:rPr>
        <w:footnoteRef/>
      </w:r>
      <w:r w:rsidRPr="008112FA">
        <w:rPr>
          <w:rFonts w:ascii="Verdana" w:hAnsi="Verdana"/>
          <w:sz w:val="16"/>
          <w:szCs w:val="16"/>
        </w:rPr>
        <w:t xml:space="preserve"> La guía puede consultarse en el siguiente enlace </w:t>
      </w:r>
      <w:hyperlink w:history="1" r:id="rId2">
        <w:r w:rsidRPr="008112FA">
          <w:rPr>
            <w:rStyle w:val="Hipervnculo"/>
            <w:rFonts w:ascii="Verdana" w:hAnsi="Verdana"/>
            <w:sz w:val="16"/>
            <w:szCs w:val="16"/>
          </w:rPr>
          <w:t>https://www.colombiacompra.gov.co/archivos/manual/publicacion-regimen-especial</w:t>
        </w:r>
      </w:hyperlink>
      <w:r w:rsidRPr="008112FA">
        <w:rPr>
          <w:rFonts w:ascii="Verdana" w:hAnsi="Verdana"/>
          <w:sz w:val="16"/>
          <w:szCs w:val="16"/>
        </w:rPr>
        <w:t xml:space="preserve">.  </w:t>
      </w:r>
    </w:p>
  </w:footnote>
  <w:footnote w:id="19">
    <w:p w:rsidRPr="008112FA" w:rsidR="006B036C" w:rsidP="006B036C" w:rsidRDefault="006B036C" w14:paraId="3826C2F0" w14:textId="77777777">
      <w:pPr>
        <w:pStyle w:val="Textonotapie"/>
        <w:ind w:firstLine="708"/>
        <w:jc w:val="both"/>
        <w:rPr>
          <w:rFonts w:ascii="Verdana" w:hAnsi="Verdana"/>
          <w:sz w:val="16"/>
          <w:szCs w:val="16"/>
        </w:rPr>
      </w:pPr>
      <w:r w:rsidRPr="008112FA">
        <w:rPr>
          <w:rStyle w:val="Refdenotaalpie"/>
          <w:rFonts w:ascii="Verdana" w:hAnsi="Verdana"/>
          <w:sz w:val="16"/>
          <w:szCs w:val="16"/>
        </w:rPr>
        <w:footnoteRef/>
      </w:r>
      <w:r w:rsidRPr="008112FA">
        <w:rPr>
          <w:rFonts w:ascii="Verdana" w:hAnsi="Verdana"/>
          <w:sz w:val="16"/>
          <w:szCs w:val="16"/>
        </w:rPr>
        <w:t xml:space="preserve"> La guía puede consultarse en el siguiente enlace </w:t>
      </w:r>
      <w:hyperlink w:history="1" r:id="rId3">
        <w:r w:rsidRPr="008112FA">
          <w:rPr>
            <w:rStyle w:val="Hipervnculo"/>
            <w:rFonts w:ascii="Verdana" w:hAnsi="Verdana"/>
            <w:sz w:val="16"/>
            <w:szCs w:val="16"/>
          </w:rPr>
          <w:t>https://www.colombiacompra.gov.co/base-conocimiento/regimen-especial-con-oferta</w:t>
        </w:r>
      </w:hyperlink>
      <w:r w:rsidRPr="008112FA">
        <w:rPr>
          <w:rFonts w:ascii="Verdana" w:hAnsi="Verdana"/>
          <w:sz w:val="16"/>
          <w:szCs w:val="16"/>
        </w:rPr>
        <w:t xml:space="preserve">. </w:t>
      </w:r>
    </w:p>
  </w:footnote>
  <w:footnote w:id="20">
    <w:p w:rsidRPr="008112FA" w:rsidR="006B036C" w:rsidP="006B036C" w:rsidRDefault="006B036C" w14:paraId="42113D2A" w14:textId="77777777">
      <w:pPr>
        <w:pStyle w:val="Textonotapie"/>
        <w:ind w:firstLine="708"/>
        <w:jc w:val="both"/>
        <w:rPr>
          <w:rFonts w:ascii="Verdana" w:hAnsi="Verdana"/>
          <w:sz w:val="16"/>
          <w:szCs w:val="16"/>
          <w:lang w:val="es-CO"/>
        </w:rPr>
      </w:pPr>
      <w:r w:rsidRPr="008112FA">
        <w:rPr>
          <w:rStyle w:val="Refdenotaalpie"/>
          <w:rFonts w:ascii="Verdana" w:hAnsi="Verdana"/>
          <w:sz w:val="16"/>
          <w:szCs w:val="16"/>
        </w:rPr>
        <w:footnoteRef/>
      </w:r>
      <w:r w:rsidRPr="008112FA">
        <w:rPr>
          <w:rFonts w:ascii="Verdana" w:hAnsi="Verdana"/>
          <w:sz w:val="16"/>
          <w:szCs w:val="16"/>
        </w:rPr>
        <w:t xml:space="preserve"> La guía puede consultarse en el siguiente enlace </w:t>
      </w:r>
      <w:hyperlink w:history="1" r:id="rId4">
        <w:r w:rsidRPr="008112FA">
          <w:rPr>
            <w:rStyle w:val="Hipervnculo"/>
            <w:rFonts w:ascii="Verdana" w:hAnsi="Verdana"/>
            <w:sz w:val="16"/>
            <w:szCs w:val="16"/>
          </w:rPr>
          <w:t>https://www.colombiacompra.gov.co/base-conocimiento/regimen-especial-sin-oferta-secop-ii</w:t>
        </w:r>
      </w:hyperlink>
      <w:r w:rsidRPr="008112FA">
        <w:rPr>
          <w:rFonts w:ascii="Verdana" w:hAnsi="Verdana"/>
          <w:sz w:val="16"/>
          <w:szCs w:val="16"/>
        </w:rPr>
        <w:t xml:space="preserve">. </w:t>
      </w:r>
    </w:p>
  </w:footnote>
  <w:footnote w:id="21">
    <w:p w:rsidRPr="00AA4669" w:rsidR="006B036C" w:rsidP="006B036C" w:rsidRDefault="006B036C" w14:paraId="2A645524" w14:textId="77777777">
      <w:pPr>
        <w:pStyle w:val="Textonotapie"/>
        <w:ind w:firstLine="708"/>
        <w:jc w:val="both"/>
        <w:rPr>
          <w:rFonts w:ascii="Verdana" w:hAnsi="Verdana"/>
          <w:sz w:val="16"/>
          <w:szCs w:val="16"/>
          <w:lang w:val="es-CO"/>
        </w:rPr>
      </w:pPr>
      <w:r w:rsidRPr="00AA4669">
        <w:rPr>
          <w:rStyle w:val="Refdenotaalpie"/>
          <w:rFonts w:ascii="Verdana" w:hAnsi="Verdana"/>
          <w:sz w:val="16"/>
          <w:szCs w:val="16"/>
        </w:rPr>
        <w:footnoteRef/>
      </w:r>
      <w:r w:rsidRPr="00AA4669">
        <w:rPr>
          <w:rFonts w:ascii="Verdana" w:hAnsi="Verdana"/>
          <w:sz w:val="16"/>
          <w:szCs w:val="16"/>
        </w:rPr>
        <w:t xml:space="preserve"> </w:t>
      </w:r>
      <w:r>
        <w:rPr>
          <w:rFonts w:ascii="Verdana" w:hAnsi="Verdana"/>
          <w:sz w:val="16"/>
          <w:szCs w:val="16"/>
        </w:rPr>
        <w:t xml:space="preserve">La Circular se encuentra publicada en el siguiente enlace: </w:t>
      </w:r>
      <w:hyperlink w:history="1" r:id="rId5">
        <w:r w:rsidRPr="0098440C">
          <w:rPr>
            <w:rStyle w:val="Hipervnculo"/>
            <w:rFonts w:ascii="Verdana" w:hAnsi="Verdana"/>
            <w:sz w:val="16"/>
            <w:szCs w:val="16"/>
          </w:rPr>
          <w:t>https://www.colombiacompra.gov.co/wp-content/uploads/2024/08/circular_externa_unica_version_3_vf49.pdf</w:t>
        </w:r>
      </w:hyperlink>
      <w:r>
        <w:rPr>
          <w:rFonts w:ascii="Verdana" w:hAnsi="Verdana"/>
          <w:sz w:val="16"/>
          <w:szCs w:val="16"/>
        </w:rPr>
        <w:t xml:space="preserve">. </w:t>
      </w:r>
    </w:p>
  </w:footnote>
  <w:footnote w:id="22">
    <w:p w:rsidRPr="00EF3211" w:rsidR="006B036C" w:rsidP="006B036C" w:rsidRDefault="006B036C" w14:paraId="66231A98" w14:textId="77777777">
      <w:pPr>
        <w:pStyle w:val="Textonotapie"/>
        <w:ind w:firstLine="708"/>
        <w:jc w:val="both"/>
        <w:rPr>
          <w:rFonts w:ascii="Verdana" w:hAnsi="Verdana"/>
          <w:sz w:val="16"/>
          <w:szCs w:val="16"/>
          <w:lang w:val="es-CO"/>
        </w:rPr>
      </w:pPr>
      <w:r w:rsidRPr="00E347D3">
        <w:rPr>
          <w:rStyle w:val="Refdenotaalpie"/>
          <w:rFonts w:ascii="Verdana" w:hAnsi="Verdana"/>
          <w:sz w:val="16"/>
          <w:szCs w:val="16"/>
        </w:rPr>
        <w:footnoteRef/>
      </w:r>
      <w:r w:rsidRPr="00E347D3">
        <w:rPr>
          <w:rFonts w:ascii="Verdana" w:hAnsi="Verdana"/>
          <w:sz w:val="16"/>
          <w:szCs w:val="16"/>
        </w:rPr>
        <w:t xml:space="preserve"> </w:t>
      </w:r>
      <w:r w:rsidRPr="007F1DCB">
        <w:rPr>
          <w:rFonts w:ascii="Verdana" w:hAnsi="Verdana"/>
          <w:sz w:val="16"/>
          <w:szCs w:val="16"/>
        </w:rPr>
        <w:t>OSPINA FERNÁNDEZ, Guillermo y OSPINA ACOSTA, Eduardo. Teoría general del contrato y del negocio jurídico. Séptima edición. Bogotá: Temis, 2021.</w:t>
      </w:r>
      <w:r>
        <w:rPr>
          <w:rFonts w:ascii="Verdana" w:hAnsi="Verdana"/>
          <w:sz w:val="16"/>
          <w:szCs w:val="16"/>
        </w:rPr>
        <w:t xml:space="preserve"> p. 145.</w:t>
      </w:r>
    </w:p>
  </w:footnote>
  <w:footnote w:id="23">
    <w:p w:rsidRPr="007F1DCB" w:rsidR="006B036C" w:rsidP="006B036C" w:rsidRDefault="006B036C" w14:paraId="6BC03539" w14:textId="77777777">
      <w:pPr>
        <w:pStyle w:val="Textonotapie"/>
        <w:ind w:firstLine="708"/>
        <w:jc w:val="both"/>
        <w:rPr>
          <w:rFonts w:ascii="Verdana" w:hAnsi="Verdana"/>
          <w:sz w:val="16"/>
          <w:szCs w:val="16"/>
          <w:lang w:val="es-CO"/>
        </w:rPr>
      </w:pPr>
      <w:r w:rsidRPr="007F1DCB">
        <w:rPr>
          <w:rStyle w:val="Refdenotaalpie"/>
          <w:rFonts w:ascii="Verdana" w:hAnsi="Verdana"/>
          <w:sz w:val="16"/>
          <w:szCs w:val="16"/>
        </w:rPr>
        <w:footnoteRef/>
      </w:r>
      <w:r w:rsidRPr="007F1DCB">
        <w:rPr>
          <w:rFonts w:ascii="Verdana" w:hAnsi="Verdana"/>
          <w:sz w:val="16"/>
          <w:szCs w:val="16"/>
        </w:rPr>
        <w:t xml:space="preserve"> </w:t>
      </w:r>
      <w:r>
        <w:rPr>
          <w:rFonts w:ascii="Verdana" w:hAnsi="Verdana"/>
          <w:sz w:val="16"/>
          <w:szCs w:val="16"/>
        </w:rPr>
        <w:t>El artículo 1500 del Código Civil dispone que “</w:t>
      </w:r>
      <w:r w:rsidRPr="007F1DCB">
        <w:rPr>
          <w:rFonts w:ascii="Verdana" w:hAnsi="Verdana"/>
          <w:sz w:val="16"/>
          <w:szCs w:val="16"/>
        </w:rPr>
        <w:t xml:space="preserve">El contrato es real cuando, para que sea perfecto, es necesaria la tradición de la cosa a que se refiere; es solemne cuando está sujeto a la observancia de ciertas formalidades especiales, de manera que sin ellas no produce ningún efecto civil; </w:t>
      </w:r>
      <w:r>
        <w:rPr>
          <w:rFonts w:ascii="Verdana" w:hAnsi="Verdana"/>
          <w:sz w:val="16"/>
          <w:szCs w:val="16"/>
        </w:rPr>
        <w:t>y</w:t>
      </w:r>
      <w:r w:rsidRPr="007F1DCB">
        <w:rPr>
          <w:rFonts w:ascii="Verdana" w:hAnsi="Verdana"/>
          <w:sz w:val="16"/>
          <w:szCs w:val="16"/>
        </w:rPr>
        <w:t xml:space="preserve"> es consensual cuando se perfecciona por el solo consentimiento</w:t>
      </w:r>
      <w:r>
        <w:rPr>
          <w:rFonts w:ascii="Verdana" w:hAnsi="Verdana"/>
          <w:sz w:val="16"/>
          <w:szCs w:val="16"/>
        </w:rPr>
        <w:t>”</w:t>
      </w:r>
      <w:r w:rsidRPr="007F1DCB">
        <w:rPr>
          <w:rFonts w:ascii="Verdana" w:hAnsi="Verdana"/>
          <w:sz w:val="16"/>
          <w:szCs w:val="16"/>
        </w:rPr>
        <w:t>.</w:t>
      </w:r>
    </w:p>
  </w:footnote>
  <w:footnote w:id="24">
    <w:p w:rsidRPr="008D625C" w:rsidR="006B036C" w:rsidP="006B036C" w:rsidRDefault="006B036C" w14:paraId="47C6BD26" w14:textId="77777777">
      <w:pPr>
        <w:pStyle w:val="Textonotapie"/>
        <w:ind w:firstLine="708"/>
        <w:jc w:val="both"/>
        <w:rPr>
          <w:rFonts w:ascii="Verdana" w:hAnsi="Verdana"/>
          <w:sz w:val="16"/>
          <w:szCs w:val="16"/>
          <w:lang w:val="es-CO"/>
        </w:rPr>
      </w:pPr>
      <w:r w:rsidRPr="008D625C">
        <w:rPr>
          <w:rStyle w:val="Refdenotaalpie"/>
          <w:rFonts w:ascii="Verdana" w:hAnsi="Verdana"/>
          <w:sz w:val="16"/>
          <w:szCs w:val="16"/>
        </w:rPr>
        <w:footnoteRef/>
      </w:r>
      <w:r w:rsidRPr="008D625C">
        <w:rPr>
          <w:rFonts w:ascii="Verdana" w:hAnsi="Verdana"/>
          <w:sz w:val="16"/>
          <w:szCs w:val="16"/>
        </w:rPr>
        <w:t xml:space="preserve"> OSPINA FERNÁNDEZ</w:t>
      </w:r>
      <w:r>
        <w:rPr>
          <w:rFonts w:ascii="Verdana" w:hAnsi="Verdana"/>
          <w:sz w:val="16"/>
          <w:szCs w:val="16"/>
        </w:rPr>
        <w:t xml:space="preserve"> &amp;</w:t>
      </w:r>
      <w:r w:rsidRPr="008D625C">
        <w:rPr>
          <w:rFonts w:ascii="Verdana" w:hAnsi="Verdana"/>
          <w:sz w:val="16"/>
          <w:szCs w:val="16"/>
        </w:rPr>
        <w:t xml:space="preserve"> OSPINA ACOST</w:t>
      </w:r>
      <w:r>
        <w:rPr>
          <w:rFonts w:ascii="Verdana" w:hAnsi="Verdana"/>
          <w:sz w:val="16"/>
          <w:szCs w:val="16"/>
        </w:rPr>
        <w:t xml:space="preserve">A, </w:t>
      </w:r>
      <w:r w:rsidRPr="008D625C">
        <w:rPr>
          <w:rFonts w:ascii="Verdana" w:hAnsi="Verdana"/>
          <w:sz w:val="16"/>
          <w:szCs w:val="16"/>
        </w:rPr>
        <w:t>Teoría general del contrato</w:t>
      </w:r>
      <w:r>
        <w:rPr>
          <w:rFonts w:ascii="Verdana" w:hAnsi="Verdana"/>
          <w:sz w:val="16"/>
          <w:szCs w:val="16"/>
        </w:rPr>
        <w:t xml:space="preserve">… Ob. cit., pp. 228-229.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756841" w:rsidP="00844AE9" w:rsidRDefault="009D3058" w14:paraId="435F4D03" w14:textId="0903BF04">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rsidR="00756841" w:rsidRDefault="00756841" w14:paraId="1BE2B9AE" w14:textId="4B94DB3B">
    <w:pPr>
      <w:pStyle w:val="Encabezado"/>
    </w:pPr>
  </w:p>
  <w:p w:rsidRPr="004A305D" w:rsidR="004A305D" w:rsidP="00B01B1A" w:rsidRDefault="004A305D" w14:paraId="5E18350A" w14:textId="705F7B76">
    <w:pPr>
      <w:spacing w:after="0" w:line="120" w:lineRule="auto"/>
      <w:rPr>
        <w:rFonts w:ascii="Century Gothic" w:hAnsi="Century Gothic" w:eastAsia="Geo" w:cs="Geo"/>
        <w:sz w:val="16"/>
        <w:szCs w:val="16"/>
        <w:lang w:eastAsia="es-CO"/>
      </w:rPr>
    </w:pPr>
  </w:p>
  <w:p w:rsidR="00C925AC" w:rsidP="00844AE9" w:rsidRDefault="00C925AC" w14:paraId="211B7F5D" w14:textId="77777777">
    <w:pPr>
      <w:spacing w:after="0" w:line="240" w:lineRule="auto"/>
      <w:rPr>
        <w:rFonts w:ascii="Verdana" w:hAnsi="Verdana"/>
        <w:sz w:val="24"/>
        <w:szCs w:val="24"/>
      </w:rPr>
    </w:pPr>
  </w:p>
  <w:p w:rsidRPr="00C925AC" w:rsidR="00A14468" w:rsidP="00844AE9" w:rsidRDefault="00A14468" w14:paraId="5A0054B1" w14:textId="77777777">
    <w:pPr>
      <w:spacing w:after="0" w:line="240" w:lineRule="auto"/>
      <w:rPr>
        <w:rFonts w:ascii="Verdana" w:hAnsi="Verdana"/>
        <w:sz w:val="24"/>
        <w:szCs w:val="24"/>
      </w:rPr>
    </w:pPr>
  </w:p>
  <w:p w:rsidRPr="00C925AC" w:rsidR="008A446D" w:rsidP="000D5DA7" w:rsidRDefault="00C925AC" w14:paraId="1FD1C243" w14:textId="37C5500A">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44" style="width:12pt;height:12pt" o:bullet="t" type="#_x0000_t75">
        <v:imagedata o:title="mso1B13" r:id="rId1"/>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hint="default" w:ascii="Arial" w:hAnsi="Arial" w:eastAsia="Times New Roman" w:cs="Arial"/>
        <w:b/>
      </w:rPr>
    </w:lvl>
    <w:lvl w:ilvl="1" w:tplc="0C0A0003" w:tentative="1">
      <w:start w:val="1"/>
      <w:numFmt w:val="bullet"/>
      <w:lvlText w:val="o"/>
      <w:lvlJc w:val="left"/>
      <w:pPr>
        <w:ind w:left="1800" w:hanging="360"/>
      </w:pPr>
      <w:rPr>
        <w:rFonts w:hint="default" w:ascii="Courier New" w:hAnsi="Courier New" w:cs="Courier New"/>
      </w:rPr>
    </w:lvl>
    <w:lvl w:ilvl="2" w:tplc="0C0A0005" w:tentative="1">
      <w:start w:val="1"/>
      <w:numFmt w:val="bullet"/>
      <w:lvlText w:val=""/>
      <w:lvlJc w:val="left"/>
      <w:pPr>
        <w:ind w:left="2520" w:hanging="360"/>
      </w:pPr>
      <w:rPr>
        <w:rFonts w:hint="default" w:ascii="Wingdings" w:hAnsi="Wingdings"/>
      </w:rPr>
    </w:lvl>
    <w:lvl w:ilvl="3" w:tplc="0C0A0001" w:tentative="1">
      <w:start w:val="1"/>
      <w:numFmt w:val="bullet"/>
      <w:lvlText w:val=""/>
      <w:lvlJc w:val="left"/>
      <w:pPr>
        <w:ind w:left="3240" w:hanging="360"/>
      </w:pPr>
      <w:rPr>
        <w:rFonts w:hint="default" w:ascii="Symbol" w:hAnsi="Symbol"/>
      </w:rPr>
    </w:lvl>
    <w:lvl w:ilvl="4" w:tplc="0C0A0003" w:tentative="1">
      <w:start w:val="1"/>
      <w:numFmt w:val="bullet"/>
      <w:lvlText w:val="o"/>
      <w:lvlJc w:val="left"/>
      <w:pPr>
        <w:ind w:left="3960" w:hanging="360"/>
      </w:pPr>
      <w:rPr>
        <w:rFonts w:hint="default" w:ascii="Courier New" w:hAnsi="Courier New" w:cs="Courier New"/>
      </w:rPr>
    </w:lvl>
    <w:lvl w:ilvl="5" w:tplc="0C0A0005" w:tentative="1">
      <w:start w:val="1"/>
      <w:numFmt w:val="bullet"/>
      <w:lvlText w:val=""/>
      <w:lvlJc w:val="left"/>
      <w:pPr>
        <w:ind w:left="4680" w:hanging="360"/>
      </w:pPr>
      <w:rPr>
        <w:rFonts w:hint="default" w:ascii="Wingdings" w:hAnsi="Wingdings"/>
      </w:rPr>
    </w:lvl>
    <w:lvl w:ilvl="6" w:tplc="0C0A0001" w:tentative="1">
      <w:start w:val="1"/>
      <w:numFmt w:val="bullet"/>
      <w:lvlText w:val=""/>
      <w:lvlJc w:val="left"/>
      <w:pPr>
        <w:ind w:left="5400" w:hanging="360"/>
      </w:pPr>
      <w:rPr>
        <w:rFonts w:hint="default" w:ascii="Symbol" w:hAnsi="Symbol"/>
      </w:rPr>
    </w:lvl>
    <w:lvl w:ilvl="7" w:tplc="0C0A0003" w:tentative="1">
      <w:start w:val="1"/>
      <w:numFmt w:val="bullet"/>
      <w:lvlText w:val="o"/>
      <w:lvlJc w:val="left"/>
      <w:pPr>
        <w:ind w:left="6120" w:hanging="360"/>
      </w:pPr>
      <w:rPr>
        <w:rFonts w:hint="default" w:ascii="Courier New" w:hAnsi="Courier New" w:cs="Courier New"/>
      </w:rPr>
    </w:lvl>
    <w:lvl w:ilvl="8" w:tplc="0C0A0005" w:tentative="1">
      <w:start w:val="1"/>
      <w:numFmt w:val="bullet"/>
      <w:lvlText w:val=""/>
      <w:lvlJc w:val="left"/>
      <w:pPr>
        <w:ind w:left="6840" w:hanging="360"/>
      </w:pPr>
      <w:rPr>
        <w:rFonts w:hint="default" w:ascii="Wingdings" w:hAnsi="Wingdings"/>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hint="default" w:ascii="Symbol" w:hAnsi="Symbol"/>
      </w:rPr>
    </w:lvl>
    <w:lvl w:ilvl="1" w:tplc="040A0003" w:tentative="1">
      <w:start w:val="1"/>
      <w:numFmt w:val="bullet"/>
      <w:lvlText w:val="o"/>
      <w:lvlJc w:val="left"/>
      <w:pPr>
        <w:ind w:left="1440" w:hanging="360"/>
      </w:pPr>
      <w:rPr>
        <w:rFonts w:hint="default" w:ascii="Courier New" w:hAnsi="Courier New" w:cs="Courier New"/>
      </w:rPr>
    </w:lvl>
    <w:lvl w:ilvl="2" w:tplc="040A0005" w:tentative="1">
      <w:start w:val="1"/>
      <w:numFmt w:val="bullet"/>
      <w:lvlText w:val=""/>
      <w:lvlJc w:val="left"/>
      <w:pPr>
        <w:ind w:left="2160" w:hanging="360"/>
      </w:pPr>
      <w:rPr>
        <w:rFonts w:hint="default" w:ascii="Wingdings" w:hAnsi="Wingdings"/>
      </w:rPr>
    </w:lvl>
    <w:lvl w:ilvl="3" w:tplc="040A0001" w:tentative="1">
      <w:start w:val="1"/>
      <w:numFmt w:val="bullet"/>
      <w:lvlText w:val=""/>
      <w:lvlJc w:val="left"/>
      <w:pPr>
        <w:ind w:left="2880" w:hanging="360"/>
      </w:pPr>
      <w:rPr>
        <w:rFonts w:hint="default" w:ascii="Symbol" w:hAnsi="Symbol"/>
      </w:rPr>
    </w:lvl>
    <w:lvl w:ilvl="4" w:tplc="040A0003" w:tentative="1">
      <w:start w:val="1"/>
      <w:numFmt w:val="bullet"/>
      <w:lvlText w:val="o"/>
      <w:lvlJc w:val="left"/>
      <w:pPr>
        <w:ind w:left="3600" w:hanging="360"/>
      </w:pPr>
      <w:rPr>
        <w:rFonts w:hint="default" w:ascii="Courier New" w:hAnsi="Courier New" w:cs="Courier New"/>
      </w:rPr>
    </w:lvl>
    <w:lvl w:ilvl="5" w:tplc="040A0005" w:tentative="1">
      <w:start w:val="1"/>
      <w:numFmt w:val="bullet"/>
      <w:lvlText w:val=""/>
      <w:lvlJc w:val="left"/>
      <w:pPr>
        <w:ind w:left="4320" w:hanging="360"/>
      </w:pPr>
      <w:rPr>
        <w:rFonts w:hint="default" w:ascii="Wingdings" w:hAnsi="Wingdings"/>
      </w:rPr>
    </w:lvl>
    <w:lvl w:ilvl="6" w:tplc="040A0001" w:tentative="1">
      <w:start w:val="1"/>
      <w:numFmt w:val="bullet"/>
      <w:lvlText w:val=""/>
      <w:lvlJc w:val="left"/>
      <w:pPr>
        <w:ind w:left="5040" w:hanging="360"/>
      </w:pPr>
      <w:rPr>
        <w:rFonts w:hint="default" w:ascii="Symbol" w:hAnsi="Symbol"/>
      </w:rPr>
    </w:lvl>
    <w:lvl w:ilvl="7" w:tplc="040A0003" w:tentative="1">
      <w:start w:val="1"/>
      <w:numFmt w:val="bullet"/>
      <w:lvlText w:val="o"/>
      <w:lvlJc w:val="left"/>
      <w:pPr>
        <w:ind w:left="5760" w:hanging="360"/>
      </w:pPr>
      <w:rPr>
        <w:rFonts w:hint="default" w:ascii="Courier New" w:hAnsi="Courier New" w:cs="Courier New"/>
      </w:rPr>
    </w:lvl>
    <w:lvl w:ilvl="8" w:tplc="040A0005" w:tentative="1">
      <w:start w:val="1"/>
      <w:numFmt w:val="bullet"/>
      <w:lvlText w:val=""/>
      <w:lvlJc w:val="left"/>
      <w:pPr>
        <w:ind w:left="6480" w:hanging="360"/>
      </w:pPr>
      <w:rPr>
        <w:rFonts w:hint="default" w:ascii="Wingdings" w:hAnsi="Wingdings"/>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hint="default" w:ascii="Symbol" w:hAnsi="Symbol"/>
        <w:color w:val="auto"/>
      </w:rPr>
    </w:lvl>
    <w:lvl w:ilvl="1" w:tplc="240A0003" w:tentative="1">
      <w:start w:val="1"/>
      <w:numFmt w:val="bullet"/>
      <w:lvlText w:val="o"/>
      <w:lvlJc w:val="left"/>
      <w:pPr>
        <w:ind w:left="1505" w:hanging="360"/>
      </w:pPr>
      <w:rPr>
        <w:rFonts w:hint="default" w:ascii="Courier New" w:hAnsi="Courier New" w:cs="Courier New"/>
      </w:rPr>
    </w:lvl>
    <w:lvl w:ilvl="2" w:tplc="240A0005" w:tentative="1">
      <w:start w:val="1"/>
      <w:numFmt w:val="bullet"/>
      <w:lvlText w:val=""/>
      <w:lvlJc w:val="left"/>
      <w:pPr>
        <w:ind w:left="2225" w:hanging="360"/>
      </w:pPr>
      <w:rPr>
        <w:rFonts w:hint="default" w:ascii="Wingdings" w:hAnsi="Wingdings"/>
      </w:rPr>
    </w:lvl>
    <w:lvl w:ilvl="3" w:tplc="240A0001" w:tentative="1">
      <w:start w:val="1"/>
      <w:numFmt w:val="bullet"/>
      <w:lvlText w:val=""/>
      <w:lvlJc w:val="left"/>
      <w:pPr>
        <w:ind w:left="2945" w:hanging="360"/>
      </w:pPr>
      <w:rPr>
        <w:rFonts w:hint="default" w:ascii="Symbol" w:hAnsi="Symbol"/>
      </w:rPr>
    </w:lvl>
    <w:lvl w:ilvl="4" w:tplc="240A0003" w:tentative="1">
      <w:start w:val="1"/>
      <w:numFmt w:val="bullet"/>
      <w:lvlText w:val="o"/>
      <w:lvlJc w:val="left"/>
      <w:pPr>
        <w:ind w:left="3665" w:hanging="360"/>
      </w:pPr>
      <w:rPr>
        <w:rFonts w:hint="default" w:ascii="Courier New" w:hAnsi="Courier New" w:cs="Courier New"/>
      </w:rPr>
    </w:lvl>
    <w:lvl w:ilvl="5" w:tplc="240A0005" w:tentative="1">
      <w:start w:val="1"/>
      <w:numFmt w:val="bullet"/>
      <w:lvlText w:val=""/>
      <w:lvlJc w:val="left"/>
      <w:pPr>
        <w:ind w:left="4385" w:hanging="360"/>
      </w:pPr>
      <w:rPr>
        <w:rFonts w:hint="default" w:ascii="Wingdings" w:hAnsi="Wingdings"/>
      </w:rPr>
    </w:lvl>
    <w:lvl w:ilvl="6" w:tplc="240A0001" w:tentative="1">
      <w:start w:val="1"/>
      <w:numFmt w:val="bullet"/>
      <w:lvlText w:val=""/>
      <w:lvlJc w:val="left"/>
      <w:pPr>
        <w:ind w:left="5105" w:hanging="360"/>
      </w:pPr>
      <w:rPr>
        <w:rFonts w:hint="default" w:ascii="Symbol" w:hAnsi="Symbol"/>
      </w:rPr>
    </w:lvl>
    <w:lvl w:ilvl="7" w:tplc="240A0003" w:tentative="1">
      <w:start w:val="1"/>
      <w:numFmt w:val="bullet"/>
      <w:lvlText w:val="o"/>
      <w:lvlJc w:val="left"/>
      <w:pPr>
        <w:ind w:left="5825" w:hanging="360"/>
      </w:pPr>
      <w:rPr>
        <w:rFonts w:hint="default" w:ascii="Courier New" w:hAnsi="Courier New" w:cs="Courier New"/>
      </w:rPr>
    </w:lvl>
    <w:lvl w:ilvl="8" w:tplc="240A0005" w:tentative="1">
      <w:start w:val="1"/>
      <w:numFmt w:val="bullet"/>
      <w:lvlText w:val=""/>
      <w:lvlJc w:val="left"/>
      <w:pPr>
        <w:ind w:left="6545" w:hanging="360"/>
      </w:pPr>
      <w:rPr>
        <w:rFonts w:hint="default" w:ascii="Wingdings" w:hAnsi="Wingdings"/>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75"/>
  <w:trackRevisions w:val="false"/>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665E3"/>
    <w:rsid w:val="00082362"/>
    <w:rsid w:val="00091884"/>
    <w:rsid w:val="000A5965"/>
    <w:rsid w:val="000A683E"/>
    <w:rsid w:val="000B19B9"/>
    <w:rsid w:val="000D0334"/>
    <w:rsid w:val="000D5DA7"/>
    <w:rsid w:val="000F6486"/>
    <w:rsid w:val="001001CE"/>
    <w:rsid w:val="00116940"/>
    <w:rsid w:val="00125105"/>
    <w:rsid w:val="00127233"/>
    <w:rsid w:val="001345D9"/>
    <w:rsid w:val="00154A4A"/>
    <w:rsid w:val="0015699B"/>
    <w:rsid w:val="001A33BF"/>
    <w:rsid w:val="001A5B38"/>
    <w:rsid w:val="001D2122"/>
    <w:rsid w:val="001E4177"/>
    <w:rsid w:val="001F0B24"/>
    <w:rsid w:val="001F7DC6"/>
    <w:rsid w:val="00200E50"/>
    <w:rsid w:val="0022400B"/>
    <w:rsid w:val="00226C9A"/>
    <w:rsid w:val="002421BB"/>
    <w:rsid w:val="0025796E"/>
    <w:rsid w:val="00265950"/>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551A"/>
    <w:rsid w:val="00406575"/>
    <w:rsid w:val="00414C74"/>
    <w:rsid w:val="0042722E"/>
    <w:rsid w:val="0044528D"/>
    <w:rsid w:val="004609C5"/>
    <w:rsid w:val="00466E39"/>
    <w:rsid w:val="00475A8F"/>
    <w:rsid w:val="004917BB"/>
    <w:rsid w:val="004A1847"/>
    <w:rsid w:val="004A305D"/>
    <w:rsid w:val="004F21C4"/>
    <w:rsid w:val="004F685F"/>
    <w:rsid w:val="00505D72"/>
    <w:rsid w:val="005278D6"/>
    <w:rsid w:val="005566E8"/>
    <w:rsid w:val="00574867"/>
    <w:rsid w:val="00591460"/>
    <w:rsid w:val="005A65E0"/>
    <w:rsid w:val="005C0560"/>
    <w:rsid w:val="005C3777"/>
    <w:rsid w:val="005C5CDC"/>
    <w:rsid w:val="005D476C"/>
    <w:rsid w:val="006200BF"/>
    <w:rsid w:val="006219F8"/>
    <w:rsid w:val="006302F7"/>
    <w:rsid w:val="00633030"/>
    <w:rsid w:val="00646B9F"/>
    <w:rsid w:val="00665D70"/>
    <w:rsid w:val="006900D9"/>
    <w:rsid w:val="00692E7C"/>
    <w:rsid w:val="006B036C"/>
    <w:rsid w:val="006F4005"/>
    <w:rsid w:val="00706C16"/>
    <w:rsid w:val="007340C3"/>
    <w:rsid w:val="0075235A"/>
    <w:rsid w:val="00756841"/>
    <w:rsid w:val="007649AB"/>
    <w:rsid w:val="00771D0C"/>
    <w:rsid w:val="007833AC"/>
    <w:rsid w:val="007B268C"/>
    <w:rsid w:val="007B7171"/>
    <w:rsid w:val="007C0C0F"/>
    <w:rsid w:val="007C3DC2"/>
    <w:rsid w:val="007E5497"/>
    <w:rsid w:val="007F3877"/>
    <w:rsid w:val="00805260"/>
    <w:rsid w:val="00806F5F"/>
    <w:rsid w:val="00820278"/>
    <w:rsid w:val="008258C9"/>
    <w:rsid w:val="008422A5"/>
    <w:rsid w:val="00844AE9"/>
    <w:rsid w:val="00867F95"/>
    <w:rsid w:val="008843B6"/>
    <w:rsid w:val="00891928"/>
    <w:rsid w:val="008A446D"/>
    <w:rsid w:val="008B25F1"/>
    <w:rsid w:val="008D180B"/>
    <w:rsid w:val="008F0EA7"/>
    <w:rsid w:val="00923EEF"/>
    <w:rsid w:val="009419F9"/>
    <w:rsid w:val="00950D97"/>
    <w:rsid w:val="0095685E"/>
    <w:rsid w:val="00961B09"/>
    <w:rsid w:val="00965334"/>
    <w:rsid w:val="0097093E"/>
    <w:rsid w:val="00977609"/>
    <w:rsid w:val="009A0DFA"/>
    <w:rsid w:val="009A1C6F"/>
    <w:rsid w:val="009B2D26"/>
    <w:rsid w:val="009B5C43"/>
    <w:rsid w:val="009C71FA"/>
    <w:rsid w:val="009C72E7"/>
    <w:rsid w:val="009C7F7E"/>
    <w:rsid w:val="009D3058"/>
    <w:rsid w:val="009F3A13"/>
    <w:rsid w:val="00A122D3"/>
    <w:rsid w:val="00A14468"/>
    <w:rsid w:val="00A17F13"/>
    <w:rsid w:val="00A20739"/>
    <w:rsid w:val="00A23AF9"/>
    <w:rsid w:val="00A33C78"/>
    <w:rsid w:val="00A461B5"/>
    <w:rsid w:val="00AB0ADB"/>
    <w:rsid w:val="00AE24D0"/>
    <w:rsid w:val="00B00C0E"/>
    <w:rsid w:val="00B01B1A"/>
    <w:rsid w:val="00B0381D"/>
    <w:rsid w:val="00B44A47"/>
    <w:rsid w:val="00B72CD3"/>
    <w:rsid w:val="00B72FFF"/>
    <w:rsid w:val="00BA48DB"/>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7F4"/>
    <w:rsid w:val="00D44E26"/>
    <w:rsid w:val="00D520D8"/>
    <w:rsid w:val="00D63AC2"/>
    <w:rsid w:val="00D7383B"/>
    <w:rsid w:val="00D7788A"/>
    <w:rsid w:val="00D95AC8"/>
    <w:rsid w:val="00DA231B"/>
    <w:rsid w:val="00DC39FC"/>
    <w:rsid w:val="00DF5254"/>
    <w:rsid w:val="00E02524"/>
    <w:rsid w:val="00E100B7"/>
    <w:rsid w:val="00E16408"/>
    <w:rsid w:val="00E20894"/>
    <w:rsid w:val="00E245AB"/>
    <w:rsid w:val="00E2764C"/>
    <w:rsid w:val="00E27F2E"/>
    <w:rsid w:val="00E4612F"/>
    <w:rsid w:val="00E50AFE"/>
    <w:rsid w:val="00E70AB0"/>
    <w:rsid w:val="00E75C92"/>
    <w:rsid w:val="00E771DC"/>
    <w:rsid w:val="00E8772A"/>
    <w:rsid w:val="00E90F6B"/>
    <w:rsid w:val="00E92C27"/>
    <w:rsid w:val="00EA0E3D"/>
    <w:rsid w:val="00EC38A7"/>
    <w:rsid w:val="00ED4B74"/>
    <w:rsid w:val="00EE1AA8"/>
    <w:rsid w:val="00EF3211"/>
    <w:rsid w:val="00F23FEA"/>
    <w:rsid w:val="00F31EDC"/>
    <w:rsid w:val="00F462B3"/>
    <w:rsid w:val="00F5664F"/>
    <w:rsid w:val="00F666C4"/>
    <w:rsid w:val="00F76AFC"/>
    <w:rsid w:val="00FA47C0"/>
    <w:rsid w:val="00FB5DD1"/>
    <w:rsid w:val="00FC2B5D"/>
    <w:rsid w:val="00FC4556"/>
    <w:rsid w:val="00FD58F2"/>
    <w:rsid w:val="00FE50D1"/>
    <w:rsid w:val="00FF1449"/>
    <w:rsid w:val="00FF7963"/>
    <w:rsid w:val="09908A09"/>
    <w:rsid w:val="13CFC91B"/>
    <w:rsid w:val="19A2EC2C"/>
    <w:rsid w:val="2859CA1B"/>
    <w:rsid w:val="2DF9937D"/>
    <w:rsid w:val="32A4F9CF"/>
    <w:rsid w:val="356CEDFD"/>
    <w:rsid w:val="50365B4C"/>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245AB"/>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4A1847"/>
  </w:style>
  <w:style w:type="paragraph" w:styleId="Default" w:customStyle="1">
    <w:name w:val="Default"/>
    <w:rsid w:val="006219F8"/>
    <w:pPr>
      <w:autoSpaceDE w:val="0"/>
      <w:autoSpaceDN w:val="0"/>
      <w:adjustRightInd w:val="0"/>
      <w:spacing w:after="0" w:line="240" w:lineRule="auto"/>
    </w:pPr>
    <w:rPr>
      <w:rFonts w:ascii="Arial" w:hAnsi="Arial" w:cs="Arial"/>
      <w:color w:val="000000"/>
      <w:sz w:val="24"/>
      <w:szCs w:val="24"/>
    </w:rPr>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styleId="TextonotapieCar1" w:customStyle="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styleId="normaltextrun" w:customStyle="1">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hAnsi="Geomanist" w:eastAsiaTheme="majorEastAsia" w:cstheme="majorBidi"/>
      <w:spacing w:val="-10"/>
      <w:kern w:val="28"/>
      <w:szCs w:val="56"/>
      <w:lang w:val="es-ES"/>
    </w:rPr>
  </w:style>
  <w:style w:type="character" w:styleId="TtuloCar" w:customStyle="1">
    <w:name w:val="Título Car"/>
    <w:basedOn w:val="Fuentedeprrafopredeter"/>
    <w:link w:val="Ttulo"/>
    <w:uiPriority w:val="10"/>
    <w:rsid w:val="005566E8"/>
    <w:rPr>
      <w:rFonts w:ascii="Geomanist" w:hAnsi="Geomanist" w:eastAsiaTheme="majorEastAsia" w:cstheme="majorBidi"/>
      <w:spacing w:val="-10"/>
      <w:kern w:val="28"/>
      <w:szCs w:val="56"/>
      <w:lang w:val="es-ES"/>
    </w:rPr>
  </w:style>
  <w:style w:type="character" w:styleId="ui-provider" w:customStyle="1">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styleId="paragraph" w:customStyle="1">
    <w:name w:val="paragraph"/>
    <w:basedOn w:val="Normal"/>
    <w:rsid w:val="00322A85"/>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tabchar" w:customStyle="1">
    <w:name w:val="tabchar"/>
    <w:basedOn w:val="Fuentedeprrafopredeter"/>
    <w:rsid w:val="00322A85"/>
  </w:style>
  <w:style w:type="character" w:styleId="eop" w:customStyle="1">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blanco" w:customStyle="1">
    <w:name w:val="blanco"/>
    <w:basedOn w:val="Normal"/>
    <w:rsid w:val="00C76B1C"/>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styleId="Appelnotedebasde" w:customStyle="1">
    <w:name w:val="Appel note de bas de..."/>
    <w:basedOn w:val="Normal"/>
    <w:link w:val="Refdenotaalpie"/>
    <w:uiPriority w:val="99"/>
    <w:rsid w:val="006B036C"/>
    <w:pPr>
      <w:spacing w:line="240" w:lineRule="exact"/>
    </w:pPr>
    <w:rPr>
      <w:vertAlign w:val="superscript"/>
    </w:rPr>
  </w:style>
  <w:style w:type="character" w:styleId="PrrafodelistaCar" w:customStyle="1">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6B036C"/>
    <w:rPr>
      <w:rFonts w:ascii="Geomanist Light" w:hAnsi="Geomanist Light"/>
      <w:lang w:val="es-ES"/>
    </w:rPr>
  </w:style>
  <w:style w:type="paragraph" w:styleId="Textoindependiente">
    <w:name w:val="Body Text"/>
    <w:basedOn w:val="Normal"/>
    <w:link w:val="TextoindependienteCar"/>
    <w:uiPriority w:val="99"/>
    <w:unhideWhenUsed/>
    <w:rsid w:val="006B036C"/>
    <w:pPr>
      <w:spacing w:after="120" w:line="276" w:lineRule="auto"/>
    </w:pPr>
    <w:rPr>
      <w:rFonts w:eastAsiaTheme="minorEastAsia"/>
      <w:lang w:eastAsia="es-CO"/>
    </w:rPr>
  </w:style>
  <w:style w:type="character" w:styleId="TextoindependienteCar" w:customStyle="1">
    <w:name w:val="Texto independiente Car"/>
    <w:basedOn w:val="Fuentedeprrafopredeter"/>
    <w:link w:val="Textoindependiente"/>
    <w:uiPriority w:val="99"/>
    <w:rsid w:val="006B036C"/>
    <w:rPr>
      <w:rFonts w:eastAsiaTheme="minorEastAsia"/>
      <w:lang w:eastAsia="es-CO"/>
    </w:rPr>
  </w:style>
  <w:style w:type="paragraph" w:styleId="Textocomentario">
    <w:name w:val="annotation text"/>
    <w:basedOn w:val="Normal"/>
    <w:link w:val="TextocomentarioCar"/>
    <w:uiPriority w:val="99"/>
    <w:semiHidden/>
    <w:unhideWhenUsed/>
    <w:rsid w:val="006B036C"/>
    <w:pPr>
      <w:spacing w:line="240" w:lineRule="auto"/>
    </w:pPr>
    <w:rPr>
      <w:sz w:val="20"/>
      <w:szCs w:val="20"/>
    </w:rPr>
  </w:style>
  <w:style w:type="character" w:styleId="TextocomentarioCar" w:customStyle="1">
    <w:name w:val="Texto comentario Car"/>
    <w:basedOn w:val="Fuentedeprrafopredeter"/>
    <w:link w:val="Textocomentario"/>
    <w:uiPriority w:val="99"/>
    <w:semiHidden/>
    <w:rsid w:val="006B036C"/>
    <w:rPr>
      <w:sz w:val="20"/>
      <w:szCs w:val="20"/>
    </w:rPr>
  </w:style>
  <w:style w:type="paragraph" w:styleId="Asuntodelcomentario">
    <w:name w:val="annotation subject"/>
    <w:basedOn w:val="Textocomentario"/>
    <w:next w:val="Textocomentario"/>
    <w:link w:val="AsuntodelcomentarioCar"/>
    <w:uiPriority w:val="99"/>
    <w:semiHidden/>
    <w:unhideWhenUsed/>
    <w:rsid w:val="006B036C"/>
    <w:rPr>
      <w:b/>
      <w:bCs/>
    </w:rPr>
  </w:style>
  <w:style w:type="character" w:styleId="AsuntodelcomentarioCar" w:customStyle="1">
    <w:name w:val="Asunto del comentario Car"/>
    <w:basedOn w:val="TextocomentarioCar"/>
    <w:link w:val="Asuntodelcomentario"/>
    <w:uiPriority w:val="99"/>
    <w:semiHidden/>
    <w:rsid w:val="006B036C"/>
    <w:rPr>
      <w:b/>
      <w:bCs/>
      <w:sz w:val="20"/>
      <w:szCs w:val="20"/>
    </w:rPr>
  </w:style>
  <w:style w:type="character" w:styleId="s15" w:customStyle="1">
    <w:name w:val="s15"/>
    <w:basedOn w:val="Fuentedeprrafopredeter"/>
    <w:rsid w:val="006B036C"/>
  </w:style>
  <w:style w:type="character" w:styleId="apple-converted-space" w:customStyle="1">
    <w:name w:val="apple-converted-space"/>
    <w:basedOn w:val="Fuentedeprrafopredeter"/>
    <w:rsid w:val="006B036C"/>
  </w:style>
  <w:style w:type="paragraph" w:styleId="Sinespaciado">
    <w:name w:val="No Spacing"/>
    <w:aliases w:val="No Indent"/>
    <w:uiPriority w:val="3"/>
    <w:qFormat/>
    <w:rsid w:val="006B036C"/>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 Id="rId13" /><Relationship Type="http://schemas.openxmlformats.org/officeDocument/2006/relationships/theme" Target="theme/theme1.xml" Id="rId1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yperlink" Target="https://relatoria.colombiacompra.gov.co/busqueda/conceptos" TargetMode="External" Id="rId12" /><Relationship Type="http://schemas.openxmlformats.org/officeDocument/2006/relationships/fontTable" Target="fontTable.xml" Id="rId17" /><Relationship Type="http://schemas.openxmlformats.org/officeDocument/2006/relationships/customXml" Target="../customXml/item2.xml" Id="rId2" /><Relationship Type="http://schemas.openxmlformats.org/officeDocument/2006/relationships/footer" Target="footer1.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mailto:laitonbeltran98@gmail.com" TargetMode="External" Id="rId11" /><Relationship Type="http://schemas.openxmlformats.org/officeDocument/2006/relationships/styles" Target="styles.xml" Id="rId5" /><Relationship Type="http://schemas.openxmlformats.org/officeDocument/2006/relationships/header" Target="header1.xml" Id="rId15" /><Relationship Type="http://schemas.openxmlformats.org/officeDocument/2006/relationships/image" Target="media/image2.png"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image" Target="media/image3.png" Id="rId14" /></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base-conocimiento/regimen-especial-con-oferta" TargetMode="External"/><Relationship Id="rId2" Type="http://schemas.openxmlformats.org/officeDocument/2006/relationships/hyperlink" Target="https://www.colombiacompra.gov.co/archivos/manual/publicacion-regimen-especial" TargetMode="External"/><Relationship Id="rId1" Type="http://schemas.openxmlformats.org/officeDocument/2006/relationships/hyperlink" Target="https://recyt.fecyt.es/index.php/RAP/article/view/67033" TargetMode="External"/><Relationship Id="rId5" Type="http://schemas.openxmlformats.org/officeDocument/2006/relationships/hyperlink" Target="https://www.colombiacompra.gov.co/wp-content/uploads/2024/08/circular_externa_unica_version_3_vf49.pdf" TargetMode="External"/><Relationship Id="rId4" Type="http://schemas.openxmlformats.org/officeDocument/2006/relationships/hyperlink" Target="https://www.colombiacompra.gov.co/base-conocimiento/regimen-especial-sin-oferta-secop-ii"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xmlns:thm15="http://schemas.microsoft.com/office/thememl/2012/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0D35E34-890A-4A74-A815-81B18A774D9C}"/>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7fd6426d-c0fc-47b5-a6b8-86becfa1e099"/>
    <ds:schemaRef ds:uri="8ae15d26-076e-464e-81a7-6f76a0fb3917"/>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Enrique Caballero Lesmes</cp:lastModifiedBy>
  <cp:revision>7</cp:revision>
  <cp:lastPrinted>2023-01-10T21:18:00Z</cp:lastPrinted>
  <dcterms:created xsi:type="dcterms:W3CDTF">2025-11-13T03:41:00Z</dcterms:created>
  <dcterms:modified xsi:type="dcterms:W3CDTF">2025-12-02T19:16:55Z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