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4AB0A1" w14:textId="77777777" w:rsidR="00BA52D3" w:rsidRPr="00682C93" w:rsidRDefault="00BA52D3" w:rsidP="00BA52D3">
      <w:pPr>
        <w:spacing w:after="0" w:line="240" w:lineRule="auto"/>
        <w:jc w:val="both"/>
        <w:rPr>
          <w:rFonts w:ascii="Verdana" w:hAnsi="Verdana" w:cs="Arial"/>
          <w:b/>
          <w:lang w:val="es-MX" w:eastAsia="es-ES_tradnl"/>
        </w:rPr>
      </w:pPr>
      <w:bookmarkStart w:id="0" w:name="_Hlk143780582"/>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Finalidad </w:t>
      </w:r>
    </w:p>
    <w:p w14:paraId="4166FBA3" w14:textId="77777777" w:rsidR="00BA52D3" w:rsidRDefault="00BA52D3" w:rsidP="00BA52D3">
      <w:pPr>
        <w:spacing w:after="0" w:line="240" w:lineRule="auto"/>
        <w:jc w:val="both"/>
        <w:rPr>
          <w:rFonts w:ascii="Verdana" w:hAnsi="Verdana" w:cs="Arial"/>
          <w:b/>
          <w:lang w:val="es-MX" w:eastAsia="es-ES_tradnl"/>
        </w:rPr>
      </w:pPr>
    </w:p>
    <w:p w14:paraId="26D06C77" w14:textId="77777777" w:rsidR="00BA52D3" w:rsidRDefault="00BA52D3" w:rsidP="00BA52D3">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24DDD950" w14:textId="77777777" w:rsidR="00BA52D3" w:rsidRPr="00682C93" w:rsidRDefault="00BA52D3" w:rsidP="00BA52D3">
      <w:pPr>
        <w:spacing w:after="0" w:line="240" w:lineRule="auto"/>
        <w:jc w:val="both"/>
        <w:rPr>
          <w:rFonts w:ascii="Verdana" w:hAnsi="Verdana" w:cs="Arial"/>
          <w:b/>
          <w:sz w:val="20"/>
          <w:lang w:val="es-MX" w:eastAsia="es-ES_tradnl"/>
        </w:rPr>
      </w:pPr>
    </w:p>
    <w:p w14:paraId="6DE6A1DC" w14:textId="77777777" w:rsidR="00BA52D3" w:rsidRPr="00682C93" w:rsidRDefault="00BA52D3" w:rsidP="00BA52D3">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Tipos de restricciones </w:t>
      </w:r>
      <w:r w:rsidRPr="00682C93">
        <w:rPr>
          <w:rFonts w:ascii="Verdana" w:hAnsi="Verdana" w:cs="Arial"/>
          <w:b/>
          <w:bCs/>
          <w:lang w:val="es-MX" w:eastAsia="es-ES_tradnl"/>
        </w:rPr>
        <w:t>‒</w:t>
      </w:r>
      <w:r w:rsidRPr="00682C93">
        <w:rPr>
          <w:rFonts w:ascii="Verdana" w:hAnsi="Verdana" w:cs="Arial"/>
          <w:b/>
          <w:lang w:val="es-MX" w:eastAsia="es-ES_tradnl"/>
        </w:rPr>
        <w:t xml:space="preserve"> Ámbito temporal – celebración- límite</w:t>
      </w:r>
    </w:p>
    <w:p w14:paraId="43DC5FEB" w14:textId="77777777" w:rsidR="00BA52D3" w:rsidRDefault="00BA52D3" w:rsidP="00BA52D3">
      <w:pPr>
        <w:spacing w:after="0" w:line="240" w:lineRule="auto"/>
        <w:jc w:val="both"/>
        <w:rPr>
          <w:rFonts w:ascii="Verdana" w:hAnsi="Verdana" w:cs="Arial"/>
          <w:b/>
          <w:lang w:val="es-MX" w:eastAsia="es-ES_tradnl"/>
        </w:rPr>
      </w:pPr>
    </w:p>
    <w:p w14:paraId="7858A2E5" w14:textId="77777777" w:rsidR="00BA52D3" w:rsidRPr="00E41F23" w:rsidRDefault="00BA52D3" w:rsidP="00BA52D3">
      <w:pPr>
        <w:spacing w:after="0" w:line="240" w:lineRule="auto"/>
        <w:jc w:val="both"/>
        <w:rPr>
          <w:rFonts w:ascii="Verdana" w:eastAsia="Calibri" w:hAnsi="Verdana" w:cs="Arial"/>
          <w:sz w:val="20"/>
        </w:rPr>
      </w:pPr>
      <w:r w:rsidRPr="00E41F23">
        <w:rPr>
          <w:rFonts w:ascii="Verdana" w:eastAsia="Calibri" w:hAnsi="Verdana" w:cs="Arial"/>
          <w:sz w:val="20"/>
        </w:rPr>
        <w:t xml:space="preserve">Por un lado, el </w:t>
      </w:r>
      <w:r w:rsidRPr="00E41F23">
        <w:rPr>
          <w:rFonts w:ascii="Verdana" w:eastAsia="Calibri" w:hAnsi="Verdana" w:cs="Arial"/>
          <w:i/>
          <w:iCs/>
          <w:sz w:val="20"/>
        </w:rPr>
        <w:t>artículo 33 de la Ley 996 de 2005</w:t>
      </w:r>
      <w:r w:rsidRPr="00E41F23">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7B6E13F0" w14:textId="77777777" w:rsidR="00BA52D3" w:rsidRPr="00E41F23" w:rsidRDefault="00BA52D3" w:rsidP="00BA52D3">
      <w:pPr>
        <w:spacing w:after="0" w:line="240" w:lineRule="auto"/>
        <w:jc w:val="both"/>
        <w:rPr>
          <w:rFonts w:ascii="Verdana" w:eastAsia="Calibri" w:hAnsi="Verdana" w:cs="Arial"/>
          <w:sz w:val="20"/>
        </w:rPr>
      </w:pPr>
    </w:p>
    <w:p w14:paraId="48FFDBFE" w14:textId="77777777" w:rsidR="00BA52D3" w:rsidRDefault="00BA52D3" w:rsidP="00BA52D3">
      <w:pPr>
        <w:widowControl w:val="0"/>
        <w:autoSpaceDE w:val="0"/>
        <w:autoSpaceDN w:val="0"/>
        <w:spacing w:after="0" w:line="240" w:lineRule="auto"/>
        <w:ind w:right="113"/>
        <w:jc w:val="both"/>
        <w:rPr>
          <w:rFonts w:ascii="Verdana" w:eastAsia="Arial" w:hAnsi="Verdana" w:cs="Arial"/>
          <w:sz w:val="20"/>
          <w:lang w:val="es-ES" w:eastAsia="es-ES" w:bidi="es-ES"/>
        </w:rPr>
      </w:pPr>
      <w:r w:rsidRPr="00E41F23">
        <w:rPr>
          <w:rFonts w:ascii="Verdana" w:eastAsia="Calibri" w:hAnsi="Verdana" w:cs="Arial"/>
          <w:sz w:val="20"/>
        </w:rPr>
        <w:t xml:space="preserve">Por otro lado, </w:t>
      </w:r>
      <w:r w:rsidRPr="00E41F23">
        <w:rPr>
          <w:rFonts w:ascii="Verdana" w:eastAsia="Calibri" w:hAnsi="Verdana" w:cs="Arial"/>
          <w:i/>
          <w:iCs/>
          <w:sz w:val="20"/>
        </w:rPr>
        <w:t>el parágrafo del artículo 38 de la Ley 996 de 2005</w:t>
      </w:r>
      <w:r w:rsidRPr="00E41F23">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41F23">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41F23">
        <w:rPr>
          <w:rFonts w:ascii="Verdana" w:eastAsia="Calibri" w:hAnsi="Verdana" w:cs="Arial"/>
          <w:sz w:val="20"/>
        </w:rPr>
        <w:t>”</w:t>
      </w:r>
      <w:r w:rsidRPr="00E41F23">
        <w:rPr>
          <w:rFonts w:ascii="Verdana" w:eastAsia="Calibri" w:hAnsi="Verdana" w:cs="Arial"/>
          <w:sz w:val="20"/>
          <w:lang w:val="es-MX"/>
        </w:rPr>
        <w:t>.</w:t>
      </w:r>
      <w:r w:rsidRPr="00E41F23">
        <w:rPr>
          <w:rFonts w:ascii="Verdana" w:eastAsia="Arial" w:hAnsi="Verdana" w:cs="Arial"/>
          <w:sz w:val="20"/>
          <w:lang w:val="es-ES" w:eastAsia="es-ES" w:bidi="es-ES"/>
        </w:rPr>
        <w:t xml:space="preserve"> </w:t>
      </w:r>
    </w:p>
    <w:p w14:paraId="1AA77837" w14:textId="77777777" w:rsidR="00BA52D3" w:rsidRPr="00E41F23" w:rsidRDefault="00BA52D3" w:rsidP="00BA52D3">
      <w:pPr>
        <w:widowControl w:val="0"/>
        <w:autoSpaceDE w:val="0"/>
        <w:autoSpaceDN w:val="0"/>
        <w:spacing w:after="0" w:line="240" w:lineRule="auto"/>
        <w:ind w:right="113"/>
        <w:jc w:val="both"/>
        <w:rPr>
          <w:rFonts w:ascii="Verdana" w:eastAsia="Arial" w:hAnsi="Verdana" w:cs="Arial"/>
          <w:sz w:val="20"/>
          <w:lang w:val="es-ES" w:eastAsia="es-ES" w:bidi="es-ES"/>
        </w:rPr>
      </w:pPr>
    </w:p>
    <w:p w14:paraId="25BBA0C3" w14:textId="77777777" w:rsidR="00BA52D3" w:rsidRPr="00E41F23" w:rsidRDefault="00BA52D3" w:rsidP="00BA52D3">
      <w:pPr>
        <w:spacing w:after="0" w:line="240" w:lineRule="auto"/>
        <w:jc w:val="both"/>
        <w:rPr>
          <w:rFonts w:ascii="Verdana" w:eastAsia="Times New Roman" w:hAnsi="Verdana" w:cs="Arial"/>
          <w:bCs/>
          <w:sz w:val="20"/>
          <w:lang w:val="es-ES" w:eastAsia="es-CO"/>
        </w:rPr>
      </w:pPr>
      <w:r w:rsidRPr="00E41F23">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E41F23">
        <w:rPr>
          <w:rFonts w:ascii="Verdana" w:eastAsia="Times New Roman" w:hAnsi="Verdana" w:cs="Arial"/>
          <w:bCs/>
          <w:sz w:val="20"/>
          <w:lang w:val="es-ES" w:eastAsia="es-CO"/>
        </w:rPr>
        <w:t xml:space="preserve">la existencia de los contratos estatales, es decir, la producción de efectos jurídicos en los términos del artículo 1501 </w:t>
      </w:r>
      <w:proofErr w:type="spellStart"/>
      <w:r w:rsidRPr="00E41F23">
        <w:rPr>
          <w:rFonts w:ascii="Verdana" w:eastAsia="Times New Roman" w:hAnsi="Verdana" w:cs="Arial"/>
          <w:bCs/>
          <w:i/>
          <w:sz w:val="20"/>
          <w:lang w:val="es-ES" w:eastAsia="es-CO"/>
        </w:rPr>
        <w:t>ibídem</w:t>
      </w:r>
      <w:proofErr w:type="spellEnd"/>
      <w:r w:rsidRPr="00E41F23">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2A1316F5" w14:textId="77777777" w:rsidR="00BA52D3" w:rsidRPr="00682C93" w:rsidRDefault="00BA52D3" w:rsidP="00BA52D3">
      <w:pPr>
        <w:spacing w:after="0" w:line="240" w:lineRule="auto"/>
        <w:jc w:val="both"/>
        <w:rPr>
          <w:rFonts w:ascii="Verdana" w:hAnsi="Verdana" w:cs="Arial"/>
          <w:b/>
          <w:lang w:val="es-ES" w:eastAsia="es-ES_tradnl"/>
        </w:rPr>
      </w:pPr>
    </w:p>
    <w:p w14:paraId="39647EBC" w14:textId="77777777" w:rsidR="00BA52D3" w:rsidRPr="00682C93" w:rsidRDefault="00BA52D3" w:rsidP="00BA52D3">
      <w:pPr>
        <w:spacing w:after="0" w:line="240" w:lineRule="auto"/>
        <w:jc w:val="both"/>
        <w:rPr>
          <w:rFonts w:ascii="Verdana" w:hAnsi="Verdana" w:cs="Arial"/>
          <w:b/>
          <w:lang w:val="es-MX" w:eastAsia="es-ES_tradnl"/>
        </w:rPr>
      </w:pPr>
      <w:r w:rsidRPr="00682C93">
        <w:rPr>
          <w:rFonts w:ascii="Verdana" w:hAnsi="Verdana" w:cs="Arial"/>
          <w:b/>
          <w:lang w:val="es-MX" w:eastAsia="es-ES_tradnl"/>
        </w:rPr>
        <w:lastRenderedPageBreak/>
        <w:t xml:space="preserve">LEY DE GARANTÍAS ELECTORALES – Contratos y convenios interadministrativos – Criterio orgánico </w:t>
      </w:r>
    </w:p>
    <w:p w14:paraId="5F5EC1F2" w14:textId="77777777" w:rsidR="00BA52D3" w:rsidRDefault="00BA52D3" w:rsidP="00BA52D3">
      <w:pPr>
        <w:spacing w:after="0" w:line="240" w:lineRule="auto"/>
        <w:jc w:val="both"/>
        <w:rPr>
          <w:rFonts w:ascii="Verdana" w:hAnsi="Verdana" w:cs="Arial"/>
          <w:b/>
          <w:lang w:val="es-MX" w:eastAsia="es-ES_tradnl"/>
        </w:rPr>
      </w:pPr>
    </w:p>
    <w:p w14:paraId="51433DF9" w14:textId="77777777" w:rsidR="00BA52D3" w:rsidRPr="00E41F23" w:rsidRDefault="00BA52D3" w:rsidP="00BA52D3">
      <w:pPr>
        <w:spacing w:after="0" w:line="240" w:lineRule="auto"/>
        <w:jc w:val="both"/>
        <w:rPr>
          <w:rFonts w:ascii="Verdana" w:eastAsia="Calibri" w:hAnsi="Verdana" w:cs="Arial"/>
          <w:sz w:val="20"/>
          <w:lang w:bidi="es-ES"/>
        </w:rPr>
      </w:pPr>
      <w:r w:rsidRPr="00E41F23">
        <w:rPr>
          <w:rFonts w:ascii="Verdana" w:eastAsia="Times New Roman" w:hAnsi="Verdana" w:cs="Arial"/>
          <w:sz w:val="20"/>
          <w:lang w:val="es-MX" w:eastAsia="x-none"/>
        </w:rPr>
        <w:t xml:space="preserve">Sobre este aspecto, es importante señalar que esta Subdirección, en los conceptos emitidos sobre la aplicación de la Ley de Garantías Electorales, ha defendido y mantenido la postura acerca de que la prohibición señalada en </w:t>
      </w:r>
      <w:r w:rsidRPr="00E41F23">
        <w:rPr>
          <w:rFonts w:ascii="Verdana" w:eastAsia="Arial" w:hAnsi="Verdana" w:cs="Arial"/>
          <w:sz w:val="20"/>
          <w:lang w:val="es-ES" w:eastAsia="es-ES" w:bidi="es-ES"/>
        </w:rPr>
        <w:t>e</w:t>
      </w:r>
      <w:r w:rsidRPr="00E41F23">
        <w:rPr>
          <w:rFonts w:ascii="Verdana" w:eastAsia="Calibri" w:hAnsi="Verdana" w:cs="Arial"/>
          <w:sz w:val="20"/>
        </w:rPr>
        <w:t xml:space="preserve">l parágrafo del artículo 38 cobija tanto a los convenios como a los contratos interadministrativos. Esta tesis se fundamenta en que </w:t>
      </w:r>
      <w:r w:rsidRPr="00E41F23">
        <w:rPr>
          <w:rFonts w:ascii="Verdana" w:eastAsia="Calibri" w:hAnsi="Verdana" w:cs="Arial"/>
          <w:sz w:val="20"/>
          <w:lang w:bidi="es-ES"/>
        </w:rPr>
        <w:t xml:space="preserve">si bien actualmente el Estatuto General de Contratación de la Administración Pública – en adelante EGCAP – se refiere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1BAD6A3A" w14:textId="77777777" w:rsidR="00BA52D3" w:rsidRPr="00682C93" w:rsidRDefault="00BA52D3" w:rsidP="00BA52D3">
      <w:pPr>
        <w:spacing w:after="0" w:line="240" w:lineRule="auto"/>
        <w:jc w:val="both"/>
        <w:rPr>
          <w:rFonts w:ascii="Verdana" w:hAnsi="Verdana" w:cs="Arial"/>
          <w:b/>
          <w:lang w:val="es-MX" w:eastAsia="es-ES_tradnl"/>
        </w:rPr>
      </w:pPr>
    </w:p>
    <w:p w14:paraId="66D0F4B5" w14:textId="77777777" w:rsidR="00BA52D3" w:rsidRDefault="00BA52D3" w:rsidP="00BA52D3">
      <w:pPr>
        <w:spacing w:after="0" w:line="240" w:lineRule="auto"/>
        <w:jc w:val="both"/>
        <w:rPr>
          <w:rFonts w:ascii="Verdana" w:hAnsi="Verdana" w:cs="Arial"/>
          <w:b/>
          <w:lang w:val="es-MX" w:eastAsia="es-ES_tradnl"/>
        </w:rPr>
      </w:pPr>
      <w:r w:rsidRPr="00682C93">
        <w:rPr>
          <w:rFonts w:ascii="Verdana" w:hAnsi="Verdana" w:cs="Arial"/>
          <w:b/>
          <w:lang w:val="es-MX" w:eastAsia="es-ES_tradnl"/>
        </w:rPr>
        <w:t>CONTRATOS Y CONVENIOS INTERADMINISTRATIVOS – Definición – Criterio org</w:t>
      </w:r>
      <w:r>
        <w:rPr>
          <w:rFonts w:ascii="Verdana" w:hAnsi="Verdana" w:cs="Arial"/>
          <w:b/>
          <w:lang w:val="es-MX" w:eastAsia="es-ES_tradnl"/>
        </w:rPr>
        <w:t>ánico</w:t>
      </w:r>
    </w:p>
    <w:p w14:paraId="7948A216" w14:textId="77777777" w:rsidR="00BA52D3" w:rsidRDefault="00BA52D3" w:rsidP="00BA52D3">
      <w:pPr>
        <w:spacing w:after="0" w:line="240" w:lineRule="auto"/>
        <w:jc w:val="both"/>
        <w:rPr>
          <w:rFonts w:ascii="Verdana" w:hAnsi="Verdana" w:cs="Arial"/>
          <w:b/>
          <w:lang w:val="es-MX" w:eastAsia="es-ES_tradnl"/>
        </w:rPr>
      </w:pPr>
    </w:p>
    <w:p w14:paraId="727F1A21" w14:textId="77777777" w:rsidR="00BA52D3" w:rsidRPr="003F2A9C" w:rsidRDefault="00BA52D3" w:rsidP="00BA52D3">
      <w:pPr>
        <w:spacing w:after="0" w:line="240" w:lineRule="auto"/>
        <w:jc w:val="both"/>
        <w:rPr>
          <w:rFonts w:ascii="Verdana" w:hAnsi="Verdana" w:cs="Arial"/>
          <w:b/>
          <w:lang w:val="es-MX" w:eastAsia="es-ES_tradnl"/>
        </w:rPr>
      </w:pPr>
      <w:r w:rsidRPr="003F2A9C">
        <w:rPr>
          <w:rFonts w:ascii="Verdana" w:eastAsia="Calibri" w:hAnsi="Verdana" w:cs="Arial"/>
          <w:sz w:val="20"/>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3F2A9C">
        <w:rPr>
          <w:rFonts w:ascii="Verdana" w:eastAsia="Arial" w:hAnsi="Verdana" w:cs="Arial"/>
          <w:sz w:val="20"/>
          <w:lang w:val="es-ES" w:eastAsia="es-ES" w:bidi="es-ES"/>
        </w:rPr>
        <w:t>el legislador y el ordenamiento jurídico, en general, en distintas ocasiones utiliza de forma indistinta los conceptos de contrato o convenio para referirse a la misma institución jurídica. Incluso, la Corte Constitucional fundamenta la posibilidad de celebrar convenios interadministrativos de forma directa, con fundamento en la causal establecida en la Ley 1150 de 2007 respecto a los contratos int</w:t>
      </w:r>
      <w:r>
        <w:rPr>
          <w:rFonts w:ascii="Verdana" w:eastAsia="Arial" w:hAnsi="Verdana" w:cs="Arial"/>
          <w:sz w:val="20"/>
          <w:lang w:val="es-ES" w:eastAsia="es-ES" w:bidi="es-ES"/>
        </w:rPr>
        <w:t>eradministrativos</w:t>
      </w:r>
      <w:r w:rsidRPr="003F2A9C">
        <w:rPr>
          <w:rFonts w:ascii="Verdana" w:eastAsia="Arial" w:hAnsi="Verdana" w:cs="Arial"/>
          <w:sz w:val="20"/>
          <w:lang w:val="es-ES" w:eastAsia="es-ES" w:bidi="es-ES"/>
        </w:rPr>
        <w:t>.</w:t>
      </w:r>
    </w:p>
    <w:p w14:paraId="111A52CF" w14:textId="77777777" w:rsidR="00BA52D3" w:rsidRPr="003F2A9C" w:rsidRDefault="00BA52D3" w:rsidP="00BA52D3">
      <w:pPr>
        <w:spacing w:after="0" w:line="240" w:lineRule="auto"/>
        <w:jc w:val="both"/>
        <w:rPr>
          <w:rFonts w:ascii="Verdana" w:eastAsia="Calibri" w:hAnsi="Verdana" w:cs="Arial"/>
          <w:sz w:val="20"/>
          <w:lang w:bidi="es-ES"/>
        </w:rPr>
      </w:pPr>
    </w:p>
    <w:p w14:paraId="39E79B8D" w14:textId="77777777" w:rsidR="00BA52D3" w:rsidRDefault="00BA52D3" w:rsidP="00BA52D3">
      <w:pPr>
        <w:spacing w:after="0" w:line="240" w:lineRule="auto"/>
        <w:jc w:val="both"/>
        <w:rPr>
          <w:rFonts w:ascii="Verdana" w:eastAsia="Arial" w:hAnsi="Verdana" w:cs="Arial"/>
          <w:sz w:val="20"/>
          <w:lang w:val="es-ES" w:eastAsia="es-ES" w:bidi="es-ES"/>
        </w:rPr>
      </w:pPr>
      <w:r w:rsidRPr="003F2A9C">
        <w:rPr>
          <w:rFonts w:ascii="Verdana" w:eastAsia="Calibri" w:hAnsi="Verdana" w:cs="Arial"/>
          <w:sz w:val="20"/>
          <w:lang w:val="es-ES" w:bidi="es-ES"/>
        </w:rPr>
        <w:t>De este modo, en la Circular Externa</w:t>
      </w:r>
      <w:r w:rsidRPr="003F2A9C">
        <w:rPr>
          <w:rFonts w:ascii="Verdana" w:eastAsia="Arial" w:hAnsi="Verdana" w:cs="Arial"/>
          <w:sz w:val="20"/>
          <w:lang w:val="es-ES" w:eastAsia="es-ES" w:bidi="es-ES"/>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w:t>
      </w:r>
      <w:r>
        <w:rPr>
          <w:rFonts w:ascii="Verdana" w:eastAsia="Arial" w:hAnsi="Verdana" w:cs="Arial"/>
          <w:sz w:val="20"/>
          <w:lang w:val="es-ES" w:eastAsia="es-ES" w:bidi="es-ES"/>
        </w:rPr>
        <w:t>.</w:t>
      </w:r>
    </w:p>
    <w:p w14:paraId="03B6E52A" w14:textId="77777777" w:rsidR="00BA52D3" w:rsidRDefault="00BA52D3" w:rsidP="00C15139">
      <w:pPr>
        <w:spacing w:after="0"/>
        <w:rPr>
          <w:rFonts w:ascii="Verdana" w:hAnsi="Verdana"/>
          <w:lang w:val="es-ES"/>
        </w:rPr>
      </w:pPr>
    </w:p>
    <w:p w14:paraId="12C09E9C" w14:textId="77777777" w:rsidR="00BA52D3" w:rsidRDefault="00BA52D3" w:rsidP="00C15139">
      <w:pPr>
        <w:spacing w:after="0"/>
        <w:rPr>
          <w:rFonts w:ascii="Verdana" w:hAnsi="Verdana"/>
          <w:lang w:val="es-ES"/>
        </w:rPr>
      </w:pPr>
    </w:p>
    <w:p w14:paraId="2374E50E" w14:textId="77777777" w:rsidR="00BA52D3" w:rsidRDefault="00BA52D3" w:rsidP="00C15139">
      <w:pPr>
        <w:spacing w:after="0"/>
        <w:rPr>
          <w:rFonts w:ascii="Verdana" w:hAnsi="Verdana"/>
          <w:lang w:val="es-ES"/>
        </w:rPr>
      </w:pPr>
    </w:p>
    <w:p w14:paraId="22A02F19" w14:textId="77777777" w:rsidR="00BA52D3" w:rsidRDefault="00BA52D3" w:rsidP="00C15139">
      <w:pPr>
        <w:spacing w:after="0"/>
        <w:rPr>
          <w:rFonts w:ascii="Verdana" w:hAnsi="Verdana"/>
          <w:lang w:val="es-ES"/>
        </w:rPr>
      </w:pPr>
    </w:p>
    <w:p w14:paraId="68BE1FBC" w14:textId="77777777" w:rsidR="00BA52D3" w:rsidRDefault="00BA52D3" w:rsidP="00C15139">
      <w:pPr>
        <w:spacing w:after="0"/>
        <w:rPr>
          <w:rFonts w:ascii="Verdana" w:hAnsi="Verdana"/>
          <w:lang w:val="es-ES"/>
        </w:rPr>
      </w:pPr>
    </w:p>
    <w:p w14:paraId="4D39FC0A" w14:textId="77777777" w:rsidR="00BA52D3" w:rsidRDefault="00BA52D3" w:rsidP="00C15139">
      <w:pPr>
        <w:spacing w:after="0"/>
        <w:rPr>
          <w:rFonts w:ascii="Verdana" w:hAnsi="Verdana"/>
          <w:lang w:val="es-ES"/>
        </w:rPr>
      </w:pPr>
    </w:p>
    <w:p w14:paraId="05BC6908" w14:textId="77777777" w:rsidR="00BA52D3" w:rsidRPr="00BA52D3" w:rsidRDefault="00BA52D3" w:rsidP="00C15139">
      <w:pPr>
        <w:spacing w:after="0"/>
        <w:rPr>
          <w:rFonts w:ascii="Verdana" w:hAnsi="Verdana"/>
          <w:lang w:val="es-ES"/>
        </w:rPr>
      </w:pPr>
    </w:p>
    <w:p w14:paraId="0CD8EEB8" w14:textId="77777777" w:rsidR="00BA52D3" w:rsidRDefault="00BA52D3" w:rsidP="00C15139">
      <w:pPr>
        <w:spacing w:after="0"/>
        <w:rPr>
          <w:rFonts w:ascii="Verdana" w:hAnsi="Verdana"/>
        </w:rPr>
      </w:pPr>
    </w:p>
    <w:p w14:paraId="1468C46D" w14:textId="2616CC1B" w:rsidR="00C15139" w:rsidRPr="009F6981" w:rsidRDefault="00C15139" w:rsidP="00C15139">
      <w:pPr>
        <w:spacing w:after="0"/>
        <w:rPr>
          <w:rFonts w:ascii="Verdana" w:hAnsi="Verdana"/>
        </w:rPr>
      </w:pPr>
      <w:r w:rsidRPr="009F6981">
        <w:rPr>
          <w:rFonts w:ascii="Verdana" w:hAnsi="Verdana"/>
        </w:rPr>
        <w:lastRenderedPageBreak/>
        <w:t xml:space="preserve">Bogotá D.C., </w:t>
      </w:r>
      <w:r w:rsidR="001E0036">
        <w:rPr>
          <w:rFonts w:ascii="Verdana" w:hAnsi="Verdana"/>
        </w:rPr>
        <w:t>22 de diciembre del 2025</w:t>
      </w:r>
      <w:r w:rsidRPr="009F6981">
        <w:rPr>
          <w:rFonts w:ascii="Verdana" w:hAnsi="Verdana"/>
        </w:rPr>
        <w:br/>
      </w:r>
      <w:r w:rsidRPr="009F6981">
        <w:rPr>
          <w:rFonts w:ascii="Verdana" w:hAnsi="Verdana"/>
        </w:rPr>
        <w:tab/>
      </w:r>
    </w:p>
    <w:p w14:paraId="5ED53C7F" w14:textId="3987C190" w:rsidR="001E0036" w:rsidRPr="009F6981" w:rsidRDefault="001E0036" w:rsidP="001E0036">
      <w:pPr>
        <w:spacing w:after="0"/>
        <w:jc w:val="right"/>
        <w:rPr>
          <w:rFonts w:ascii="Verdana" w:hAnsi="Verdana"/>
        </w:rPr>
      </w:pPr>
      <w:r w:rsidRPr="001E0036">
        <w:rPr>
          <w:rFonts w:ascii="Verdana" w:hAnsi="Verdana"/>
          <w:noProof/>
        </w:rPr>
        <w:drawing>
          <wp:inline distT="0" distB="0" distL="0" distR="0" wp14:anchorId="37950083" wp14:editId="2CA263B1">
            <wp:extent cx="2686050" cy="876300"/>
            <wp:effectExtent l="0" t="0" r="0" b="0"/>
            <wp:docPr id="207583776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5837764" name="Imagen 1" descr="Texto&#10;&#10;El contenido generado por IA puede ser incorrecto."/>
                    <pic:cNvPicPr/>
                  </pic:nvPicPr>
                  <pic:blipFill>
                    <a:blip r:embed="rId10"/>
                    <a:stretch>
                      <a:fillRect/>
                    </a:stretch>
                  </pic:blipFill>
                  <pic:spPr>
                    <a:xfrm>
                      <a:off x="0" y="0"/>
                      <a:ext cx="2686428" cy="876423"/>
                    </a:xfrm>
                    <a:prstGeom prst="rect">
                      <a:avLst/>
                    </a:prstGeom>
                  </pic:spPr>
                </pic:pic>
              </a:graphicData>
            </a:graphic>
          </wp:inline>
        </w:drawing>
      </w:r>
    </w:p>
    <w:bookmarkEnd w:id="0"/>
    <w:p w14:paraId="436F8CE9" w14:textId="1F0C8007" w:rsidR="001C0382" w:rsidRPr="003F64B8" w:rsidRDefault="009F6981" w:rsidP="001C0382">
      <w:pPr>
        <w:spacing w:after="0"/>
        <w:rPr>
          <w:rFonts w:ascii="Verdana" w:hAnsi="Verdana"/>
        </w:rPr>
      </w:pPr>
      <w:r w:rsidRPr="003F64B8">
        <w:rPr>
          <w:rFonts w:ascii="Verdana" w:eastAsia="Calibri" w:hAnsi="Verdana" w:cs="Arial"/>
          <w:color w:val="000000" w:themeColor="text1"/>
          <w:lang w:val="es-ES" w:eastAsia="es-ES"/>
        </w:rPr>
        <w:t>Señora</w:t>
      </w:r>
      <w:r w:rsidR="001C0382" w:rsidRPr="003F64B8">
        <w:rPr>
          <w:rFonts w:ascii="Verdana" w:eastAsia="Calibri" w:hAnsi="Verdana" w:cs="Arial"/>
          <w:color w:val="000000" w:themeColor="text1"/>
          <w:lang w:val="es-ES" w:eastAsia="es-ES"/>
        </w:rPr>
        <w:t>:</w:t>
      </w:r>
    </w:p>
    <w:p w14:paraId="297DA7D5" w14:textId="478F3485" w:rsidR="001C0382" w:rsidRPr="003F64B8" w:rsidRDefault="009F6981" w:rsidP="001C0382">
      <w:pPr>
        <w:spacing w:after="0" w:line="240" w:lineRule="auto"/>
        <w:jc w:val="both"/>
        <w:rPr>
          <w:rFonts w:ascii="Verdana" w:eastAsia="Calibri" w:hAnsi="Verdana" w:cs="Arial"/>
          <w:b/>
          <w:bCs/>
          <w:color w:val="000000" w:themeColor="text1"/>
          <w:lang w:val="es-ES" w:eastAsia="es-ES"/>
        </w:rPr>
      </w:pPr>
      <w:r w:rsidRPr="003F64B8">
        <w:rPr>
          <w:rFonts w:ascii="Verdana" w:eastAsia="Calibri" w:hAnsi="Verdana" w:cs="Arial"/>
          <w:b/>
          <w:bCs/>
          <w:color w:val="000000" w:themeColor="text1"/>
          <w:lang w:val="es-ES" w:eastAsia="es-ES"/>
        </w:rPr>
        <w:t xml:space="preserve">Daira Rocío Garces López </w:t>
      </w:r>
    </w:p>
    <w:p w14:paraId="5791EFE3" w14:textId="2510F6CA" w:rsidR="003F64B8" w:rsidRPr="003F64B8" w:rsidRDefault="003F64B8" w:rsidP="001C0382">
      <w:pPr>
        <w:spacing w:after="0" w:line="240" w:lineRule="auto"/>
        <w:rPr>
          <w:rFonts w:ascii="Verdana" w:hAnsi="Verdana"/>
        </w:rPr>
      </w:pPr>
      <w:hyperlink r:id="rId11" w:history="1">
        <w:r w:rsidRPr="003F64B8">
          <w:rPr>
            <w:rStyle w:val="Hipervnculo"/>
            <w:rFonts w:ascii="Verdana" w:hAnsi="Verdana"/>
          </w:rPr>
          <w:t>dgarceslopez6@gmail.com</w:t>
        </w:r>
      </w:hyperlink>
    </w:p>
    <w:p w14:paraId="0BDE1BD2" w14:textId="5E114506" w:rsidR="001C0382" w:rsidRPr="003F64B8" w:rsidRDefault="001C0382" w:rsidP="001C0382">
      <w:pPr>
        <w:spacing w:after="0" w:line="240" w:lineRule="auto"/>
        <w:rPr>
          <w:rFonts w:ascii="Verdana" w:eastAsia="Calibri" w:hAnsi="Verdana" w:cs="Arial"/>
          <w:b/>
          <w:bCs/>
          <w:color w:val="000000" w:themeColor="text1"/>
          <w:lang w:val="es-ES_tradnl" w:eastAsia="es-ES"/>
        </w:rPr>
      </w:pPr>
      <w:r w:rsidRPr="003F64B8">
        <w:rPr>
          <w:rFonts w:ascii="Verdana" w:eastAsia="Calibri" w:hAnsi="Verdana" w:cs="Arial"/>
          <w:color w:val="000000" w:themeColor="text1"/>
          <w:lang w:val="es-ES_tradnl" w:eastAsia="es-ES"/>
        </w:rPr>
        <w:t>Bogotá D.C.</w:t>
      </w:r>
    </w:p>
    <w:p w14:paraId="62DDEE53" w14:textId="77777777" w:rsidR="001C0382" w:rsidRPr="003F64B8" w:rsidRDefault="001C0382" w:rsidP="001C0382">
      <w:pPr>
        <w:spacing w:after="0" w:line="240" w:lineRule="auto"/>
        <w:rPr>
          <w:rFonts w:ascii="Verdana" w:eastAsia="Calibri" w:hAnsi="Verdana" w:cs="Arial"/>
          <w:b/>
          <w:bCs/>
          <w:color w:val="000000" w:themeColor="text1"/>
          <w:highlight w:val="cyan"/>
          <w:lang w:val="es-ES_tradnl" w:eastAsia="es-ES_tradnl"/>
        </w:rPr>
      </w:pPr>
    </w:p>
    <w:p w14:paraId="770CD857" w14:textId="072BF36B" w:rsidR="001C0382" w:rsidRPr="003F64B8" w:rsidRDefault="001C0382" w:rsidP="001C0382">
      <w:pPr>
        <w:spacing w:after="0" w:line="240" w:lineRule="auto"/>
        <w:rPr>
          <w:rFonts w:ascii="Verdana" w:eastAsia="Calibri" w:hAnsi="Verdana" w:cs="Arial"/>
          <w:b/>
          <w:bCs/>
          <w:color w:val="000000" w:themeColor="text1"/>
          <w:lang w:val="es-ES_tradnl" w:eastAsia="es-ES_tradnl"/>
        </w:rPr>
      </w:pPr>
      <w:r w:rsidRPr="003F64B8">
        <w:rPr>
          <w:rFonts w:ascii="Verdana" w:eastAsia="Calibri" w:hAnsi="Verdana" w:cs="Arial"/>
          <w:b/>
          <w:bCs/>
          <w:color w:val="000000" w:themeColor="text1"/>
          <w:lang w:val="es-ES_tradnl" w:eastAsia="es-ES_tradnl"/>
        </w:rPr>
        <w:t xml:space="preserve">                                   Concepto </w:t>
      </w:r>
      <w:r w:rsidR="002B3D5A" w:rsidRPr="003F64B8">
        <w:rPr>
          <w:rFonts w:ascii="Verdana" w:eastAsia="Calibri" w:hAnsi="Verdana" w:cs="Arial"/>
          <w:b/>
          <w:bCs/>
          <w:color w:val="000000" w:themeColor="text1"/>
          <w:lang w:val="es-ES_tradnl" w:eastAsia="es-ES_tradnl"/>
        </w:rPr>
        <w:t xml:space="preserve">C-1661 </w:t>
      </w:r>
      <w:r w:rsidRPr="003F64B8">
        <w:rPr>
          <w:rFonts w:ascii="Verdana" w:eastAsia="Calibri" w:hAnsi="Verdana" w:cs="Arial"/>
          <w:b/>
          <w:bCs/>
          <w:color w:val="000000" w:themeColor="text1"/>
          <w:lang w:val="es-ES_tradnl" w:eastAsia="es-ES_tradnl"/>
        </w:rPr>
        <w:t>del 2025</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C0382" w:rsidRPr="003F64B8" w14:paraId="6C7C3FD7" w14:textId="77777777" w:rsidTr="00FB43C2">
        <w:trPr>
          <w:gridAfter w:val="1"/>
          <w:wAfter w:w="6100" w:type="dxa"/>
          <w:trHeight w:val="133"/>
        </w:trPr>
        <w:tc>
          <w:tcPr>
            <w:tcW w:w="2689" w:type="dxa"/>
          </w:tcPr>
          <w:p w14:paraId="42D47AEA" w14:textId="77777777" w:rsidR="001C0382" w:rsidRPr="003F64B8" w:rsidRDefault="001C0382" w:rsidP="00FB43C2">
            <w:pPr>
              <w:jc w:val="both"/>
              <w:rPr>
                <w:rFonts w:ascii="Verdana" w:eastAsia="Calibri" w:hAnsi="Verdana" w:cs="Arial"/>
                <w:b/>
                <w:bCs/>
                <w:color w:val="000000" w:themeColor="text1"/>
                <w:highlight w:val="cyan"/>
                <w:lang w:val="es-ES_tradnl" w:eastAsia="es-ES_tradnl"/>
              </w:rPr>
            </w:pPr>
          </w:p>
        </w:tc>
      </w:tr>
      <w:tr w:rsidR="001C0382" w:rsidRPr="003F64B8" w14:paraId="1701D17E" w14:textId="77777777" w:rsidTr="00FB43C2">
        <w:trPr>
          <w:trHeight w:val="884"/>
        </w:trPr>
        <w:tc>
          <w:tcPr>
            <w:tcW w:w="2689" w:type="dxa"/>
          </w:tcPr>
          <w:p w14:paraId="75AA1D54" w14:textId="77777777" w:rsidR="001C0382" w:rsidRPr="00247F29" w:rsidRDefault="001C0382" w:rsidP="00FB43C2">
            <w:pPr>
              <w:jc w:val="both"/>
              <w:rPr>
                <w:rFonts w:ascii="Verdana" w:eastAsia="Calibri" w:hAnsi="Verdana" w:cs="Arial"/>
                <w:color w:val="000000" w:themeColor="text1"/>
                <w:lang w:val="es-ES_tradnl" w:eastAsia="es-ES_tradnl"/>
              </w:rPr>
            </w:pPr>
            <w:r w:rsidRPr="00247F29">
              <w:rPr>
                <w:rFonts w:ascii="Verdana" w:eastAsia="Calibri" w:hAnsi="Verdana" w:cs="Arial"/>
                <w:b/>
                <w:color w:val="000000" w:themeColor="text1"/>
                <w:lang w:val="es-ES_tradnl" w:eastAsia="es-ES_tradnl"/>
              </w:rPr>
              <w:t>Temas:</w:t>
            </w:r>
            <w:r w:rsidRPr="00247F29">
              <w:rPr>
                <w:rFonts w:ascii="Verdana" w:eastAsia="Calibri" w:hAnsi="Verdana" w:cs="Arial"/>
                <w:color w:val="000000" w:themeColor="text1"/>
                <w:lang w:val="es-ES_tradnl" w:eastAsia="es-ES_tradnl"/>
              </w:rPr>
              <w:t xml:space="preserve">                   </w:t>
            </w:r>
          </w:p>
        </w:tc>
        <w:tc>
          <w:tcPr>
            <w:tcW w:w="6100" w:type="dxa"/>
          </w:tcPr>
          <w:p w14:paraId="2A903678" w14:textId="5AAA4104" w:rsidR="00247F29" w:rsidRPr="00247F29" w:rsidRDefault="00247F29" w:rsidP="00247F29">
            <w:pPr>
              <w:spacing w:line="276" w:lineRule="auto"/>
              <w:jc w:val="both"/>
              <w:rPr>
                <w:rFonts w:ascii="Verdana" w:eastAsia="Calibri" w:hAnsi="Verdana" w:cs="Arial"/>
                <w:lang w:val="es-ES" w:eastAsia="es-ES"/>
              </w:rPr>
            </w:pPr>
            <w:r w:rsidRPr="00247F29">
              <w:rPr>
                <w:rFonts w:ascii="Verdana" w:eastAsia="Calibri" w:hAnsi="Verdana" w:cs="Arial"/>
                <w:lang w:val="es-ES" w:eastAsia="es-ES"/>
              </w:rPr>
              <w:t xml:space="preserve">LEY DE GARANTÍAS ELECTORALES ‒ Finalidad / LEY DE GARANTÍAS ELECTORALES ‒ Tipos de restricciones ‒ Ámbito temporal – </w:t>
            </w:r>
            <w:r w:rsidR="006D12F2">
              <w:rPr>
                <w:rFonts w:ascii="Verdana" w:eastAsia="Calibri" w:hAnsi="Verdana" w:cs="Arial"/>
                <w:lang w:val="es-ES" w:eastAsia="es-ES"/>
              </w:rPr>
              <w:t>C</w:t>
            </w:r>
            <w:r w:rsidRPr="00247F29">
              <w:rPr>
                <w:rFonts w:ascii="Verdana" w:eastAsia="Calibri" w:hAnsi="Verdana" w:cs="Arial"/>
                <w:lang w:val="es-ES" w:eastAsia="es-ES"/>
              </w:rPr>
              <w:t xml:space="preserve">elebración – </w:t>
            </w:r>
            <w:r w:rsidR="006D12F2">
              <w:rPr>
                <w:rFonts w:ascii="Verdana" w:eastAsia="Calibri" w:hAnsi="Verdana" w:cs="Arial"/>
                <w:lang w:val="es-ES" w:eastAsia="es-ES"/>
              </w:rPr>
              <w:t>L</w:t>
            </w:r>
            <w:r w:rsidRPr="00247F29">
              <w:rPr>
                <w:rFonts w:ascii="Verdana" w:eastAsia="Calibri" w:hAnsi="Verdana" w:cs="Arial"/>
                <w:lang w:val="es-ES" w:eastAsia="es-ES"/>
              </w:rPr>
              <w:t xml:space="preserve">ímite / LEY DE GARANTÍAS ELECTORALES – Contratos y convenios interadministrativos – Criterio orgánico / CONTRATOS Y CONVENIOS INTERADMINISTRATIVOS – Definición – Criterio orgánico                    </w:t>
            </w:r>
          </w:p>
          <w:p w14:paraId="5AEB7C06" w14:textId="77777777" w:rsidR="001C0382" w:rsidRPr="00247F29" w:rsidRDefault="001C0382" w:rsidP="00FB43C2">
            <w:pPr>
              <w:spacing w:line="276" w:lineRule="auto"/>
              <w:jc w:val="both"/>
              <w:rPr>
                <w:rFonts w:ascii="Verdana" w:hAnsi="Verdana" w:cs="Arial"/>
                <w:bCs/>
                <w:color w:val="000000" w:themeColor="text1"/>
                <w:lang w:val="es-ES"/>
              </w:rPr>
            </w:pPr>
          </w:p>
        </w:tc>
      </w:tr>
      <w:tr w:rsidR="001C0382" w:rsidRPr="003F64B8" w14:paraId="116B75AD" w14:textId="77777777" w:rsidTr="00FB43C2">
        <w:tc>
          <w:tcPr>
            <w:tcW w:w="2689" w:type="dxa"/>
          </w:tcPr>
          <w:p w14:paraId="3BCE840C" w14:textId="77777777" w:rsidR="001C0382" w:rsidRPr="00247F29" w:rsidRDefault="001C0382" w:rsidP="00FB43C2">
            <w:pPr>
              <w:jc w:val="both"/>
              <w:rPr>
                <w:rFonts w:ascii="Verdana" w:eastAsia="Calibri" w:hAnsi="Verdana" w:cs="Arial"/>
                <w:b/>
                <w:color w:val="000000" w:themeColor="text1"/>
                <w:lang w:val="es-ES_tradnl" w:eastAsia="es-ES_tradnl"/>
              </w:rPr>
            </w:pPr>
            <w:r w:rsidRPr="00247F29">
              <w:rPr>
                <w:rFonts w:ascii="Verdana" w:eastAsia="Calibri" w:hAnsi="Verdana" w:cs="Arial"/>
                <w:b/>
                <w:color w:val="000000" w:themeColor="text1"/>
                <w:lang w:val="es-ES_tradnl" w:eastAsia="es-ES_tradnl"/>
              </w:rPr>
              <w:t>Radicación:</w:t>
            </w:r>
            <w:r w:rsidRPr="00247F29">
              <w:rPr>
                <w:rFonts w:ascii="Verdana" w:eastAsia="Calibri" w:hAnsi="Verdana" w:cs="Arial"/>
                <w:color w:val="000000" w:themeColor="text1"/>
                <w:lang w:val="es-ES_tradnl" w:eastAsia="es-ES_tradnl"/>
              </w:rPr>
              <w:t xml:space="preserve">               </w:t>
            </w:r>
          </w:p>
        </w:tc>
        <w:tc>
          <w:tcPr>
            <w:tcW w:w="6100" w:type="dxa"/>
          </w:tcPr>
          <w:p w14:paraId="7CAC9FD1" w14:textId="630D6D86" w:rsidR="001C0382" w:rsidRPr="00247F29" w:rsidRDefault="001C0382" w:rsidP="00FB43C2">
            <w:pPr>
              <w:jc w:val="both"/>
              <w:rPr>
                <w:rFonts w:ascii="Verdana" w:eastAsia="Calibri" w:hAnsi="Verdana" w:cs="Arial"/>
                <w:color w:val="000000" w:themeColor="text1"/>
                <w:lang w:eastAsia="es-ES_tradnl"/>
              </w:rPr>
            </w:pPr>
            <w:r w:rsidRPr="00247F29">
              <w:rPr>
                <w:rFonts w:ascii="Verdana" w:eastAsia="Calibri" w:hAnsi="Verdana" w:cs="Arial"/>
                <w:color w:val="000000" w:themeColor="text1"/>
                <w:lang w:val="es-ES_tradnl" w:eastAsia="es-ES_tradnl"/>
              </w:rPr>
              <w:t>Respuesta a consulta con radicado No.</w:t>
            </w:r>
            <w:r w:rsidRPr="00247F29">
              <w:rPr>
                <w:rFonts w:ascii="Verdana" w:hAnsi="Verdana"/>
              </w:rPr>
              <w:t xml:space="preserve"> </w:t>
            </w:r>
            <w:r w:rsidR="00AC2411" w:rsidRPr="00247F29">
              <w:rPr>
                <w:rFonts w:ascii="Verdana" w:eastAsia="Calibri" w:hAnsi="Verdana" w:cs="Arial"/>
                <w:color w:val="000000" w:themeColor="text1"/>
                <w:lang w:eastAsia="es-ES_tradnl"/>
              </w:rPr>
              <w:t>1_2025_11_11_012693</w:t>
            </w:r>
          </w:p>
          <w:p w14:paraId="057BFE81" w14:textId="77777777" w:rsidR="001C0382" w:rsidRPr="00247F29" w:rsidRDefault="001C0382" w:rsidP="00FB43C2">
            <w:pPr>
              <w:jc w:val="both"/>
              <w:rPr>
                <w:rFonts w:ascii="Verdana" w:hAnsi="Verdana" w:cs="Arial"/>
              </w:rPr>
            </w:pPr>
          </w:p>
          <w:p w14:paraId="00DF4BCC" w14:textId="77777777" w:rsidR="001C0382" w:rsidRPr="00247F29" w:rsidRDefault="001C0382" w:rsidP="00FB43C2">
            <w:pPr>
              <w:jc w:val="both"/>
              <w:rPr>
                <w:rFonts w:ascii="Verdana" w:hAnsi="Verdana"/>
                <w:color w:val="000000"/>
              </w:rPr>
            </w:pPr>
          </w:p>
        </w:tc>
      </w:tr>
    </w:tbl>
    <w:p w14:paraId="628E39E6" w14:textId="3A83AF4D" w:rsidR="001C0382" w:rsidRPr="00E70A61" w:rsidRDefault="001C0382" w:rsidP="001C0382">
      <w:pPr>
        <w:spacing w:after="0" w:line="276" w:lineRule="auto"/>
        <w:jc w:val="both"/>
        <w:rPr>
          <w:rFonts w:ascii="Verdana" w:eastAsia="Calibri" w:hAnsi="Verdana" w:cs="Arial"/>
          <w:color w:val="000000" w:themeColor="text1"/>
          <w:lang w:val="es-ES" w:eastAsia="es-ES"/>
        </w:rPr>
      </w:pPr>
      <w:r w:rsidRPr="00E70A61">
        <w:rPr>
          <w:rFonts w:ascii="Verdana" w:eastAsia="Calibri" w:hAnsi="Verdana" w:cs="Arial"/>
          <w:color w:val="000000" w:themeColor="text1"/>
          <w:lang w:val="es-ES" w:eastAsia="es-ES"/>
        </w:rPr>
        <w:t xml:space="preserve">Estimado </w:t>
      </w:r>
      <w:r w:rsidR="00E70A61" w:rsidRPr="00E70A61">
        <w:rPr>
          <w:rFonts w:ascii="Verdana" w:eastAsia="Calibri" w:hAnsi="Verdana" w:cs="Arial"/>
          <w:color w:val="000000" w:themeColor="text1"/>
          <w:lang w:val="es-ES" w:eastAsia="es-ES"/>
        </w:rPr>
        <w:t>señor</w:t>
      </w:r>
      <w:r w:rsidRPr="00E70A61">
        <w:rPr>
          <w:rFonts w:ascii="Verdana" w:eastAsia="Calibri" w:hAnsi="Verdana" w:cs="Arial"/>
          <w:color w:val="000000" w:themeColor="text1"/>
          <w:lang w:val="es-ES" w:eastAsia="es-ES"/>
        </w:rPr>
        <w:t xml:space="preserve"> </w:t>
      </w:r>
      <w:r w:rsidR="00E70A61" w:rsidRPr="00E70A61">
        <w:rPr>
          <w:rFonts w:ascii="Verdana" w:eastAsia="Calibri" w:hAnsi="Verdana" w:cs="Arial"/>
          <w:color w:val="000000" w:themeColor="text1"/>
          <w:lang w:val="es-ES" w:eastAsia="es-ES"/>
        </w:rPr>
        <w:t>Garces</w:t>
      </w:r>
      <w:r w:rsidRPr="00E70A61">
        <w:rPr>
          <w:rFonts w:ascii="Verdana" w:eastAsia="Calibri" w:hAnsi="Verdana" w:cs="Arial"/>
          <w:color w:val="000000" w:themeColor="text1"/>
          <w:lang w:val="es-ES" w:eastAsia="es-ES"/>
        </w:rPr>
        <w:t xml:space="preserve">: </w:t>
      </w:r>
    </w:p>
    <w:p w14:paraId="05501FE9" w14:textId="77777777" w:rsidR="001C0382" w:rsidRPr="001C0382" w:rsidRDefault="001C0382" w:rsidP="001C0382">
      <w:pPr>
        <w:spacing w:after="0"/>
        <w:rPr>
          <w:rFonts w:ascii="Verdana" w:eastAsia="Times New Roman" w:hAnsi="Verdana" w:cs="Segoe UI"/>
          <w:highlight w:val="cyan"/>
          <w:lang w:eastAsia="es-CO"/>
        </w:rPr>
      </w:pPr>
    </w:p>
    <w:p w14:paraId="6DE4E65D" w14:textId="14D3A722" w:rsidR="001C0382" w:rsidRPr="00526F61" w:rsidRDefault="001C0382" w:rsidP="001C0382">
      <w:pPr>
        <w:spacing w:after="0" w:line="276" w:lineRule="auto"/>
        <w:jc w:val="both"/>
        <w:rPr>
          <w:rFonts w:ascii="Verdana" w:eastAsia="Calibri" w:hAnsi="Verdana" w:cs="Arial"/>
          <w:color w:val="000000" w:themeColor="text1"/>
          <w:lang w:val="es-ES" w:eastAsia="es-ES"/>
        </w:rPr>
      </w:pPr>
      <w:r w:rsidRPr="00526F61">
        <w:rPr>
          <w:rFonts w:ascii="Verdana" w:eastAsia="Calibri" w:hAnsi="Verdana" w:cs="Arial"/>
          <w:color w:val="000000" w:themeColor="text1"/>
          <w:lang w:val="es-ES" w:eastAsia="es-ES"/>
        </w:rPr>
        <w:t>En ejercicio de la competencia otorgada por los artículos 3, numeral 5º, y 11, numeral 8º, del Decreto Ley 4170 de 2011,</w:t>
      </w:r>
      <w:r w:rsidRPr="00526F61">
        <w:rPr>
          <w:rFonts w:ascii="Verdana" w:eastAsia="Arial MT" w:hAnsi="Verdana" w:cs="Arial MT"/>
          <w:color w:val="000000" w:themeColor="text1"/>
          <w:lang w:val="es-ES" w:eastAsia="es-ES"/>
        </w:rPr>
        <w:t xml:space="preserve"> </w:t>
      </w:r>
      <w:r w:rsidRPr="00526F61">
        <w:rPr>
          <w:rFonts w:ascii="Verdana" w:hAnsi="Verdana" w:cs="Arial"/>
          <w:color w:val="000000" w:themeColor="text1"/>
        </w:rPr>
        <w:t xml:space="preserve">así como lo establecido en el artículo 4 de la Resolución 1707 de 2018 expedida por esta Entidad, </w:t>
      </w:r>
      <w:r w:rsidRPr="00526F61">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00526F61" w:rsidRPr="00526F61">
        <w:rPr>
          <w:rFonts w:ascii="Verdana" w:eastAsia="Calibri" w:hAnsi="Verdana" w:cs="Arial"/>
          <w:color w:val="000000" w:themeColor="text1"/>
          <w:lang w:val="es-ES" w:eastAsia="es-ES"/>
        </w:rPr>
        <w:t>01 de octubre del 2025</w:t>
      </w:r>
      <w:r w:rsidRPr="00526F61">
        <w:rPr>
          <w:rFonts w:ascii="Verdana" w:eastAsia="Calibri" w:hAnsi="Verdana" w:cs="Arial"/>
          <w:color w:val="000000" w:themeColor="text1"/>
          <w:lang w:val="es-ES" w:eastAsia="es-ES"/>
        </w:rPr>
        <w:t xml:space="preserve">, traslada por el Departamento Administrativo de la Función Pública, el </w:t>
      </w:r>
      <w:r w:rsidR="00686C35" w:rsidRPr="00526F61">
        <w:rPr>
          <w:rFonts w:ascii="Verdana" w:eastAsia="Calibri" w:hAnsi="Verdana" w:cs="Arial"/>
          <w:color w:val="000000" w:themeColor="text1"/>
          <w:lang w:val="es-ES" w:eastAsia="es-ES"/>
        </w:rPr>
        <w:t>10 de noviembre del 2025</w:t>
      </w:r>
      <w:r w:rsidRPr="00526F61">
        <w:rPr>
          <w:rFonts w:ascii="Verdana" w:eastAsia="Calibri" w:hAnsi="Verdana" w:cs="Arial"/>
          <w:color w:val="000000" w:themeColor="text1"/>
          <w:lang w:val="es-ES" w:eastAsia="es-ES"/>
        </w:rPr>
        <w:t xml:space="preserve">, en la cual manifiesta lo siguiente: </w:t>
      </w:r>
    </w:p>
    <w:p w14:paraId="01666AE3" w14:textId="77777777" w:rsidR="001C0382" w:rsidRPr="001C0382" w:rsidRDefault="001C0382" w:rsidP="001C0382">
      <w:pPr>
        <w:spacing w:after="0" w:line="276" w:lineRule="auto"/>
        <w:jc w:val="both"/>
        <w:rPr>
          <w:rFonts w:ascii="Verdana" w:eastAsia="Calibri" w:hAnsi="Verdana" w:cs="Arial"/>
          <w:color w:val="000000" w:themeColor="text1"/>
          <w:highlight w:val="cyan"/>
          <w:lang w:val="es-ES" w:eastAsia="es-ES"/>
        </w:rPr>
      </w:pPr>
    </w:p>
    <w:p w14:paraId="4C0D3B9D" w14:textId="636DBD7F" w:rsidR="001C0382" w:rsidRPr="00732024" w:rsidRDefault="001C0382" w:rsidP="00732024">
      <w:pPr>
        <w:spacing w:after="0" w:line="240" w:lineRule="auto"/>
        <w:ind w:left="709" w:right="709"/>
        <w:jc w:val="both"/>
        <w:rPr>
          <w:rFonts w:ascii="Verdana" w:eastAsia="Century Gothic" w:hAnsi="Verdana" w:cs="Century Gothic"/>
          <w:i/>
          <w:iCs/>
          <w:color w:val="000000" w:themeColor="text1"/>
          <w:sz w:val="20"/>
          <w:szCs w:val="20"/>
          <w:lang w:val="es-ES"/>
        </w:rPr>
      </w:pPr>
      <w:bookmarkStart w:id="1" w:name="_Hlk95313578"/>
      <w:r w:rsidRPr="00732024">
        <w:rPr>
          <w:rFonts w:ascii="Verdana" w:eastAsia="Century Gothic" w:hAnsi="Verdana" w:cs="Century Gothic"/>
          <w:i/>
          <w:iCs/>
          <w:color w:val="000000" w:themeColor="text1"/>
          <w:sz w:val="20"/>
          <w:szCs w:val="20"/>
          <w:lang w:val="es-ES"/>
        </w:rPr>
        <w:t>“</w:t>
      </w:r>
      <w:bookmarkEnd w:id="1"/>
      <w:r w:rsidRPr="00732024">
        <w:rPr>
          <w:rFonts w:ascii="Verdana" w:eastAsia="Century Gothic" w:hAnsi="Verdana" w:cs="Century Gothic"/>
          <w:i/>
          <w:iCs/>
          <w:color w:val="000000" w:themeColor="text1"/>
          <w:sz w:val="20"/>
          <w:szCs w:val="20"/>
          <w:lang w:val="es-ES"/>
        </w:rPr>
        <w:t xml:space="preserve">[…] </w:t>
      </w:r>
      <w:r w:rsidR="00732024" w:rsidRPr="00732024">
        <w:rPr>
          <w:rFonts w:ascii="Verdana" w:hAnsi="Verdana"/>
          <w:i/>
          <w:iCs/>
          <w:sz w:val="20"/>
          <w:szCs w:val="20"/>
        </w:rPr>
        <w:t xml:space="preserve">La Corporación Nasa Kiwe es una entidad del orden nacional adscrita al Ministerio del Interior, por lo que en este orden de ideas le aplicaría la ley de garantías para las entidades del orden nacional es decir a partir del </w:t>
      </w:r>
      <w:r w:rsidR="00732024" w:rsidRPr="00732024">
        <w:rPr>
          <w:rFonts w:ascii="Verdana" w:hAnsi="Verdana"/>
          <w:i/>
          <w:iCs/>
          <w:sz w:val="20"/>
          <w:szCs w:val="20"/>
        </w:rPr>
        <w:lastRenderedPageBreak/>
        <w:t xml:space="preserve">30 de enero es decir 4 meses antes de las elecciones para presidencia, sin embargo dicha Corporación Nasa Kiwe aunque es del orden Nacional, tiene su sede en el Departamento del Cauca, más específicamente en Popayán cauca, por lo que las obras que realiza se desarrollan en el departamento de Cauca y Huila, dado lo anterior la consulta consiste en ¿si por tener la sede en el departamento del Cauca esta entidad del orden nacional le aplica el inicio de la ley de garantías desde el 30 de enero de 2026 como las entidades del orden nacional o desde el 8 de noviembre de 2025 como las entidades del orden departamental ? </w:t>
      </w:r>
      <w:r w:rsidRPr="00732024">
        <w:rPr>
          <w:rFonts w:ascii="Verdana" w:eastAsia="Century Gothic" w:hAnsi="Verdana" w:cs="Century Gothic"/>
          <w:i/>
          <w:iCs/>
          <w:color w:val="000000" w:themeColor="text1"/>
          <w:sz w:val="20"/>
          <w:szCs w:val="20"/>
          <w:lang w:val="es-ES"/>
        </w:rPr>
        <w:t>[…]”.</w:t>
      </w:r>
    </w:p>
    <w:p w14:paraId="32B4CF47" w14:textId="77777777" w:rsidR="001C0382" w:rsidRPr="001C0382" w:rsidRDefault="001C0382" w:rsidP="001C0382">
      <w:pPr>
        <w:spacing w:after="0" w:line="240" w:lineRule="auto"/>
        <w:ind w:left="709" w:right="709"/>
        <w:jc w:val="both"/>
        <w:rPr>
          <w:rFonts w:ascii="Verdana" w:eastAsia="Times New Roman" w:hAnsi="Verdana" w:cs="Arial"/>
          <w:i/>
          <w:iCs/>
          <w:sz w:val="20"/>
          <w:szCs w:val="20"/>
          <w:highlight w:val="cyan"/>
          <w:lang w:eastAsia="es-ES_tradnl"/>
        </w:rPr>
      </w:pPr>
    </w:p>
    <w:p w14:paraId="5D809714" w14:textId="77777777" w:rsidR="001C0382" w:rsidRPr="0017044B" w:rsidRDefault="001C0382" w:rsidP="001C0382">
      <w:pPr>
        <w:spacing w:after="120" w:line="276" w:lineRule="auto"/>
        <w:ind w:firstLine="709"/>
        <w:jc w:val="both"/>
        <w:rPr>
          <w:rFonts w:ascii="Verdana" w:eastAsia="Calibri" w:hAnsi="Verdana" w:cs="Arial"/>
          <w:color w:val="000000" w:themeColor="text1"/>
          <w:szCs w:val="24"/>
          <w:lang w:val="es-ES_tradnl" w:eastAsia="es-ES_tradnl"/>
        </w:rPr>
      </w:pPr>
      <w:r w:rsidRPr="0017044B">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7044B">
        <w:rPr>
          <w:rFonts w:ascii="Verdana" w:eastAsia="Calibri" w:hAnsi="Verdana" w:cs="Arial"/>
          <w:color w:val="000000" w:themeColor="text1"/>
          <w:szCs w:val="24"/>
          <w:lang w:val="es-ES_tradnl" w:eastAsia="es-ES_tradnl"/>
        </w:rPr>
        <w:tab/>
      </w:r>
    </w:p>
    <w:p w14:paraId="2930D4A0" w14:textId="77777777" w:rsidR="001C0382" w:rsidRPr="0017044B" w:rsidRDefault="001C0382" w:rsidP="001C0382">
      <w:pPr>
        <w:spacing w:after="0" w:line="276" w:lineRule="auto"/>
        <w:ind w:firstLine="709"/>
        <w:jc w:val="both"/>
        <w:rPr>
          <w:rFonts w:ascii="Verdana" w:eastAsia="Calibri" w:hAnsi="Verdana" w:cs="Arial"/>
          <w:color w:val="000000" w:themeColor="text1"/>
          <w:lang w:val="es-ES" w:eastAsia="es-ES"/>
        </w:rPr>
      </w:pPr>
      <w:r w:rsidRPr="0017044B">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5159C95A" w14:textId="77777777" w:rsidR="001C0382" w:rsidRPr="001C0382" w:rsidRDefault="001C0382" w:rsidP="001C0382">
      <w:pPr>
        <w:spacing w:after="0" w:line="276" w:lineRule="auto"/>
        <w:jc w:val="both"/>
        <w:rPr>
          <w:rFonts w:ascii="Verdana" w:eastAsia="Calibri" w:hAnsi="Verdana" w:cs="Arial"/>
          <w:color w:val="000000" w:themeColor="text1"/>
          <w:highlight w:val="cyan"/>
          <w:lang w:val="es-ES" w:eastAsia="es-ES"/>
        </w:rPr>
      </w:pPr>
    </w:p>
    <w:p w14:paraId="7C8E699E" w14:textId="77777777" w:rsidR="001C0382" w:rsidRPr="0017044B" w:rsidRDefault="001C0382" w:rsidP="001C038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7044B">
        <w:rPr>
          <w:rFonts w:ascii="Verdana" w:eastAsia="Century Gothic" w:hAnsi="Verdana" w:cs="Century Gothic"/>
          <w:b/>
          <w:bCs/>
          <w:color w:val="000000" w:themeColor="text1"/>
        </w:rPr>
        <w:t>Problema planteado:</w:t>
      </w:r>
    </w:p>
    <w:p w14:paraId="7E76D020" w14:textId="77777777" w:rsidR="001C0382" w:rsidRDefault="001C0382" w:rsidP="001C0382">
      <w:pPr>
        <w:tabs>
          <w:tab w:val="left" w:pos="426"/>
        </w:tabs>
        <w:spacing w:after="0" w:line="276" w:lineRule="auto"/>
        <w:jc w:val="both"/>
        <w:rPr>
          <w:rFonts w:ascii="Verdana" w:eastAsia="Century Gothic" w:hAnsi="Verdana" w:cs="Century Gothic"/>
          <w:color w:val="000000" w:themeColor="text1"/>
          <w:lang w:val="es-ES"/>
        </w:rPr>
      </w:pPr>
    </w:p>
    <w:p w14:paraId="6126CD93" w14:textId="77777777" w:rsidR="008A6B9F" w:rsidRPr="00593A5F" w:rsidRDefault="008A6B9F" w:rsidP="008A6B9F">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¿cuál es el marco normativo para interpretación general de las restricciones previstas en los artículos 33 y 38 de la Ley 996 de 2005?</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7541CBC3" w14:textId="77777777" w:rsidR="00252A56" w:rsidRPr="00C55BDE" w:rsidRDefault="00252A56" w:rsidP="00252A56">
      <w:pPr>
        <w:spacing w:after="0" w:line="276" w:lineRule="auto"/>
        <w:jc w:val="both"/>
        <w:rPr>
          <w:rFonts w:ascii="Verdana" w:eastAsia="Century Gothic" w:hAnsi="Verdana" w:cs="Century Gothic"/>
          <w:color w:val="000000" w:themeColor="text1"/>
        </w:rPr>
      </w:pPr>
    </w:p>
    <w:p w14:paraId="7832F38B" w14:textId="77777777" w:rsidR="00252A56" w:rsidRPr="00C55BDE" w:rsidRDefault="00252A56" w:rsidP="00252A5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 xml:space="preserve">Respuesta: </w:t>
      </w:r>
    </w:p>
    <w:p w14:paraId="7CFD2DD4" w14:textId="77777777" w:rsidR="00F54E36" w:rsidRPr="00C55BDE" w:rsidRDefault="00F54E36" w:rsidP="00252A56">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52A56" w:rsidRPr="00C55BDE" w14:paraId="3AB54E41" w14:textId="77777777" w:rsidTr="00FB43C2">
        <w:tc>
          <w:tcPr>
            <w:tcW w:w="8828" w:type="dxa"/>
          </w:tcPr>
          <w:p w14:paraId="45B07B04" w14:textId="77777777" w:rsidR="00252A56" w:rsidRPr="00C55BDE" w:rsidRDefault="00252A56" w:rsidP="00FB43C2">
            <w:pPr>
              <w:spacing w:before="120" w:after="120" w:line="276" w:lineRule="auto"/>
              <w:jc w:val="both"/>
              <w:rPr>
                <w:rFonts w:ascii="Verdana" w:hAnsi="Verdana" w:cs="Arial"/>
                <w:color w:val="000000" w:themeColor="text1"/>
              </w:rPr>
            </w:pPr>
            <w:r w:rsidRPr="00C55BDE">
              <w:rPr>
                <w:rFonts w:ascii="Verdana" w:hAnsi="Verdana" w:cs="Arial"/>
                <w:color w:val="000000" w:themeColor="text1"/>
              </w:rPr>
              <w:lastRenderedPageBreak/>
              <w:t>En respuesta al problema antes planteado esta Subdirección manifiesta lo siguiente:</w:t>
            </w:r>
          </w:p>
          <w:p w14:paraId="1C0300E8" w14:textId="3C5A43E5" w:rsidR="00F54E36" w:rsidRPr="00F54E36" w:rsidRDefault="00F54E36" w:rsidP="00F54E36">
            <w:pPr>
              <w:spacing w:before="120" w:after="120" w:line="276" w:lineRule="auto"/>
              <w:ind w:firstLine="709"/>
              <w:jc w:val="both"/>
              <w:rPr>
                <w:rFonts w:ascii="Verdana" w:hAnsi="Verdana" w:cs="Arial"/>
              </w:rPr>
            </w:pPr>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 xml:space="preserve">, </w:t>
            </w:r>
            <w:r w:rsidRPr="009526D1">
              <w:rPr>
                <w:rFonts w:ascii="Verdana" w:eastAsia="Arial" w:hAnsi="Verdana" w:cs="Arial"/>
                <w:lang w:val="es-MX" w:eastAsia="es-ES" w:bidi="es-ES"/>
              </w:rPr>
              <w:t>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Arial" w:hAnsi="Verdana" w:cs="Arial"/>
                <w:lang w:val="es-MX" w:eastAsia="es-ES" w:bidi="es-ES"/>
              </w:rPr>
              <w:t>.</w:t>
            </w:r>
          </w:p>
          <w:p w14:paraId="3A467882" w14:textId="77777777" w:rsidR="00F54E36" w:rsidRDefault="00F54E36" w:rsidP="00F54E36">
            <w:pPr>
              <w:spacing w:before="120" w:line="276" w:lineRule="auto"/>
              <w:jc w:val="both"/>
              <w:rPr>
                <w:rFonts w:ascii="Verdana" w:eastAsia="Arial" w:hAnsi="Verdana" w:cs="Arial"/>
                <w:lang w:val="es-MX" w:eastAsia="es-ES" w:bidi="es-ES"/>
              </w:rPr>
            </w:pPr>
            <w:r>
              <w:rPr>
                <w:rFonts w:ascii="Verdana" w:eastAsia="Arial" w:hAnsi="Verdana" w:cs="Arial"/>
                <w:lang w:val="es-MX" w:eastAsia="es-ES" w:bidi="es-ES"/>
              </w:rPr>
              <w:tab/>
              <w:t>E</w:t>
            </w:r>
            <w:r w:rsidRPr="009526D1">
              <w:rPr>
                <w:rFonts w:ascii="Verdana" w:eastAsia="Arial" w:hAnsi="Verdana" w:cs="Arial"/>
                <w:lang w:val="es-MX" w:eastAsia="es-ES" w:bidi="es-ES"/>
              </w:rPr>
              <w:t>l artículo 33 de la Ley 996 de 2005 señala expresamente a los destinatarios de la prohibición,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3C89DDDB" w14:textId="77777777" w:rsidR="00F54E36" w:rsidRPr="000955E3" w:rsidRDefault="00F54E36" w:rsidP="00F54E36">
            <w:pPr>
              <w:spacing w:before="120" w:line="276" w:lineRule="auto"/>
              <w:ind w:firstLine="708"/>
              <w:jc w:val="both"/>
              <w:rPr>
                <w:rFonts w:ascii="Verdana" w:eastAsia="Times New Roman" w:hAnsi="Verdana" w:cs="Arial"/>
                <w:lang w:val="es-MX" w:eastAsia="es-CO"/>
              </w:rPr>
            </w:pPr>
            <w:r>
              <w:rPr>
                <w:rFonts w:ascii="Verdana" w:eastAsia="Times New Roman" w:hAnsi="Verdana" w:cs="Arial"/>
                <w:lang w:val="es-MX" w:eastAsia="es-CO"/>
              </w:rPr>
              <w:t xml:space="preserve">Por su parte, </w:t>
            </w:r>
            <w:r w:rsidRPr="000955E3">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0955E3">
              <w:rPr>
                <w:rFonts w:ascii="Verdana" w:eastAsia="Times New Roman" w:hAnsi="Verdana" w:cs="Arial"/>
                <w:i/>
                <w:iCs/>
                <w:lang w:val="es-MX" w:eastAsia="es-CO"/>
              </w:rPr>
              <w:t>convenios interadministrativos</w:t>
            </w:r>
            <w:r w:rsidRPr="000955E3">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0955E3">
              <w:rPr>
                <w:rFonts w:ascii="Verdana" w:eastAsia="Times New Roman" w:hAnsi="Verdana" w:cs="Arial"/>
                <w:i/>
                <w:lang w:val="es-MX" w:eastAsia="es-CO"/>
              </w:rPr>
              <w:t>ibidem</w:t>
            </w:r>
            <w:r w:rsidRPr="000955E3">
              <w:rPr>
                <w:rFonts w:ascii="Verdana" w:eastAsia="Times New Roman" w:hAnsi="Verdana" w:cs="Arial"/>
                <w:lang w:val="es-MX" w:eastAsia="es-CO"/>
              </w:rPr>
              <w:t xml:space="preserve">, no podrá celebrar tales </w:t>
            </w:r>
            <w:r w:rsidRPr="000955E3">
              <w:rPr>
                <w:rFonts w:ascii="Verdana" w:eastAsia="Times New Roman" w:hAnsi="Verdana" w:cs="Arial"/>
                <w:i/>
                <w:iCs/>
                <w:lang w:val="es-MX" w:eastAsia="es-CO"/>
              </w:rPr>
              <w:t>convenios</w:t>
            </w:r>
            <w:r w:rsidRPr="000955E3">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1010F11B" w14:textId="77777777" w:rsidR="00F54E36" w:rsidRDefault="00F54E36" w:rsidP="00F54E36">
            <w:pPr>
              <w:spacing w:before="120" w:line="276" w:lineRule="auto"/>
              <w:ind w:firstLine="708"/>
              <w:jc w:val="both"/>
              <w:rPr>
                <w:rFonts w:ascii="Verdana" w:eastAsia="Times New Roman" w:hAnsi="Verdana" w:cs="Arial"/>
                <w:lang w:eastAsia="es-CO"/>
              </w:rPr>
            </w:pPr>
            <w:r w:rsidRPr="000955E3">
              <w:rPr>
                <w:rFonts w:ascii="Verdana" w:eastAsia="Times New Roman" w:hAnsi="Verdana" w:cs="Arial"/>
                <w:lang w:val="es-MX" w:eastAsia="es-CO"/>
              </w:rPr>
              <w:t xml:space="preserve">Respecto del alcance de esta prohibición la Circular Externa No. 006 de 2025 expedida por la ANCP-CCE, en los literales </w:t>
            </w:r>
            <w:proofErr w:type="spellStart"/>
            <w:r w:rsidRPr="000955E3">
              <w:rPr>
                <w:rFonts w:ascii="Verdana" w:eastAsia="Times New Roman" w:hAnsi="Verdana" w:cs="Arial"/>
                <w:lang w:val="es-MX" w:eastAsia="es-CO"/>
              </w:rPr>
              <w:t>ii</w:t>
            </w:r>
            <w:proofErr w:type="spellEnd"/>
            <w:r w:rsidRPr="000955E3">
              <w:rPr>
                <w:rFonts w:ascii="Verdana" w:eastAsia="Times New Roman" w:hAnsi="Verdana" w:cs="Arial"/>
                <w:lang w:val="es-MX" w:eastAsia="es-CO"/>
              </w:rPr>
              <w:t xml:space="preserve">) y </w:t>
            </w:r>
            <w:proofErr w:type="spellStart"/>
            <w:r w:rsidRPr="000955E3">
              <w:rPr>
                <w:rFonts w:ascii="Verdana" w:eastAsia="Times New Roman" w:hAnsi="Verdana" w:cs="Arial"/>
                <w:lang w:val="es-MX" w:eastAsia="es-CO"/>
              </w:rPr>
              <w:t>iv</w:t>
            </w:r>
            <w:proofErr w:type="spellEnd"/>
            <w:r w:rsidRPr="000955E3">
              <w:rPr>
                <w:rFonts w:ascii="Verdana" w:eastAsia="Times New Roman" w:hAnsi="Verdana" w:cs="Arial"/>
                <w:lang w:val="es-MX" w:eastAsia="es-CO"/>
              </w:rPr>
              <w:t>) del numeral 2</w:t>
            </w:r>
            <w:r w:rsidRPr="000955E3">
              <w:rPr>
                <w:rFonts w:ascii="Verdana" w:eastAsia="Times New Roman" w:hAnsi="Verdana" w:cs="Arial"/>
                <w:lang w:eastAsia="es-CO"/>
              </w:rPr>
              <w:t>,</w:t>
            </w:r>
            <w:r w:rsidRPr="000955E3">
              <w:rPr>
                <w:rFonts w:ascii="Verdana" w:eastAsia="Times New Roman" w:hAnsi="Verdana" w:cs="Arial"/>
                <w:lang w:val="es-MX" w:eastAsia="es-CO"/>
              </w:rPr>
              <w:t xml:space="preserve"> indica </w:t>
            </w:r>
            <w:r w:rsidRPr="000955E3">
              <w:rPr>
                <w:rFonts w:ascii="Verdana" w:eastAsia="Times New Roman" w:hAnsi="Verdana" w:cs="Arial"/>
                <w:lang w:val="es-MX" w:eastAsia="es-CO"/>
              </w:rPr>
              <w:lastRenderedPageBreak/>
              <w:t xml:space="preserve">que el </w:t>
            </w:r>
            <w:r w:rsidRPr="000955E3">
              <w:rPr>
                <w:rFonts w:ascii="Verdana" w:eastAsia="Times New Roman" w:hAnsi="Verdana" w:cs="Arial"/>
                <w:lang w:eastAsia="es-CO"/>
              </w:rPr>
              <w:t xml:space="preserve">parágrafo del artículo 38 de la Ley 996 de 2005 cobija expresamente a los </w:t>
            </w:r>
            <w:r w:rsidRPr="000955E3">
              <w:rPr>
                <w:rFonts w:ascii="Verdana" w:eastAsia="Times New Roman" w:hAnsi="Verdana" w:cs="Arial"/>
                <w:i/>
                <w:iCs/>
                <w:lang w:eastAsia="es-CO"/>
              </w:rPr>
              <w:t>convenios interadministrativos</w:t>
            </w:r>
            <w:r w:rsidRPr="000955E3">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0955E3">
              <w:rPr>
                <w:rFonts w:ascii="Verdana" w:eastAsia="Times New Roman" w:hAnsi="Verdana" w:cs="Arial"/>
                <w:i/>
                <w:iCs/>
                <w:lang w:eastAsia="es-CO"/>
              </w:rPr>
              <w:t>“aunque se configure alguno de los supuestos de excepción que señaló el inciso final del artículo 33”.</w:t>
            </w:r>
            <w:r w:rsidRPr="000955E3">
              <w:rPr>
                <w:rFonts w:ascii="Verdana" w:eastAsia="Times New Roman" w:hAnsi="Verdana" w:cs="Arial"/>
                <w:lang w:eastAsia="es-CO"/>
              </w:rPr>
              <w:t xml:space="preserve"> </w:t>
            </w:r>
            <w:r w:rsidRPr="00DC206C">
              <w:rPr>
                <w:rFonts w:ascii="Verdana" w:eastAsia="Times New Roman" w:hAnsi="Verdana" w:cs="Arial"/>
                <w:lang w:eastAsia="es-CO"/>
              </w:rPr>
              <w:t>Es decir, no aplica</w:t>
            </w:r>
            <w:r>
              <w:rPr>
                <w:rFonts w:ascii="Verdana" w:eastAsia="Times New Roman" w:hAnsi="Verdana" w:cs="Arial"/>
                <w:lang w:eastAsia="es-CO"/>
              </w:rPr>
              <w:t xml:space="preserve"> a</w:t>
            </w:r>
            <w:r w:rsidRPr="00DC206C">
              <w:rPr>
                <w:rFonts w:ascii="Verdana" w:eastAsia="Times New Roman" w:hAnsi="Verdana" w:cs="Arial"/>
                <w:lang w:eastAsia="es-CO"/>
              </w:rPr>
              <w:t xml:space="preserve"> “[…] los requeridos para cubrir las emergencias educativas, sanitarias y desastres […]”</w:t>
            </w:r>
            <w:r>
              <w:rPr>
                <w:rFonts w:ascii="Verdana" w:eastAsia="Times New Roman" w:hAnsi="Verdana" w:cs="Arial"/>
                <w:lang w:eastAsia="es-CO"/>
              </w:rPr>
              <w:t>, expresiones cuyo alcance se determina a partir de las 1523 de 2012 y 1753 de 2015, así como la</w:t>
            </w:r>
            <w:r w:rsidRPr="00DC206C">
              <w:rPr>
                <w:rFonts w:ascii="Verdana" w:eastAsia="Times New Roman" w:hAnsi="Verdana" w:cs="Arial"/>
                <w:lang w:eastAsia="es-CO"/>
              </w:rPr>
              <w:t xml:space="preserve"> Resolución del Ministerio de Educación Nacional 6519 del 1˚ de abril de 2025</w:t>
            </w:r>
            <w:r>
              <w:rPr>
                <w:rFonts w:ascii="Verdana" w:eastAsia="Times New Roman" w:hAnsi="Verdana" w:cs="Arial"/>
                <w:lang w:eastAsia="es-CO"/>
              </w:rPr>
              <w:t xml:space="preserve">. </w:t>
            </w:r>
            <w:r w:rsidRPr="000955E3">
              <w:rPr>
                <w:rFonts w:ascii="Verdana" w:eastAsia="Times New Roman" w:hAnsi="Verdana" w:cs="Arial"/>
                <w:lang w:eastAsia="es-CO"/>
              </w:rPr>
              <w:t>Por lo demás, la norma tampoco contempla excepciones respecto a la contratación con esquemas asociativos territoriales, además de que la restricción rige al margen del contenido de los proyectos que se pretendan ejecutar. Como las excepciones son de reserva legal, tampoco son disponibles por las partes al suscribir el negocio jurídico</w:t>
            </w:r>
            <w:r>
              <w:rPr>
                <w:rFonts w:ascii="Verdana" w:eastAsia="Times New Roman" w:hAnsi="Verdana" w:cs="Arial"/>
                <w:lang w:eastAsia="es-CO"/>
              </w:rPr>
              <w:t>,</w:t>
            </w:r>
            <w:r w:rsidRPr="00DC206C">
              <w:rPr>
                <w:rFonts w:ascii="Verdana" w:eastAsia="Times New Roman" w:hAnsi="Verdana" w:cs="Arial"/>
                <w:lang w:eastAsia="es-CO"/>
              </w:rPr>
              <w:t xml:space="preserve"> por lo que no existe justificación alguna para desconocer la prohibición</w:t>
            </w:r>
            <w:r w:rsidRPr="000955E3">
              <w:rPr>
                <w:rFonts w:ascii="Verdana" w:eastAsia="Times New Roman" w:hAnsi="Verdana" w:cs="Arial"/>
                <w:lang w:eastAsia="es-CO"/>
              </w:rPr>
              <w:t>.</w:t>
            </w:r>
          </w:p>
          <w:p w14:paraId="3BE3C101" w14:textId="77777777" w:rsidR="00F1140D" w:rsidRDefault="00F54E36" w:rsidP="00F1140D">
            <w:pPr>
              <w:spacing w:before="120" w:after="120" w:line="276" w:lineRule="auto"/>
              <w:ind w:firstLine="709"/>
              <w:jc w:val="both"/>
              <w:rPr>
                <w:rFonts w:ascii="Verdana" w:eastAsia="Times New Roman" w:hAnsi="Verdana" w:cs="Arial"/>
                <w:lang w:eastAsia="es-CO"/>
              </w:rPr>
            </w:pPr>
            <w:r>
              <w:rPr>
                <w:rFonts w:ascii="Verdana" w:eastAsia="Times New Roman" w:hAnsi="Verdana" w:cs="Arial"/>
                <w:lang w:eastAsia="es-CO"/>
              </w:rPr>
              <w:t>Dichas prohibiciones</w:t>
            </w:r>
            <w:r w:rsidRPr="0082263C">
              <w:rPr>
                <w:rFonts w:ascii="Verdana" w:eastAsia="Times New Roman" w:hAnsi="Verdana" w:cs="Arial"/>
                <w:lang w:eastAsia="es-CO"/>
              </w:rPr>
              <w:t xml:space="preserve"> coinciden parcialmente. </w:t>
            </w:r>
            <w:r w:rsidRPr="0082263C">
              <w:rPr>
                <w:rFonts w:ascii="Verdana" w:eastAsia="Times New Roman" w:hAnsi="Verdana" w:cs="Arial"/>
                <w:i/>
                <w:iCs/>
                <w:lang w:eastAsia="es-CO"/>
              </w:rPr>
              <w:t>En primer lugar</w:t>
            </w:r>
            <w:r w:rsidRPr="0082263C">
              <w:rPr>
                <w:rFonts w:ascii="Verdana" w:eastAsia="Times New Roman" w:hAnsi="Verdana" w:cs="Arial"/>
                <w:lang w:eastAsia="es-CO"/>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82263C">
              <w:rPr>
                <w:rFonts w:ascii="Verdana" w:eastAsia="Times New Roman" w:hAnsi="Verdana" w:cs="Arial"/>
                <w:i/>
                <w:iCs/>
                <w:lang w:eastAsia="es-CO"/>
              </w:rPr>
              <w:t>En segundo lugar</w:t>
            </w:r>
            <w:r w:rsidRPr="0082263C">
              <w:rPr>
                <w:rFonts w:ascii="Verdana" w:eastAsia="Times New Roman" w:hAnsi="Verdana" w:cs="Arial"/>
                <w:lang w:eastAsia="es-CO"/>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4EC1EAB3" w14:textId="75465365" w:rsidR="00F1140D" w:rsidRPr="00E95688" w:rsidRDefault="00EE3ACB" w:rsidP="00F1140D">
            <w:pPr>
              <w:spacing w:before="120" w:after="120" w:line="276" w:lineRule="auto"/>
              <w:ind w:firstLine="709"/>
              <w:jc w:val="both"/>
              <w:rPr>
                <w:rFonts w:ascii="Verdana" w:eastAsia="Times New Roman" w:hAnsi="Verdana" w:cs="Arial"/>
                <w:lang w:eastAsia="es-CO"/>
              </w:rPr>
            </w:pPr>
            <w:r w:rsidRPr="00E95688">
              <w:rPr>
                <w:rFonts w:ascii="Verdana" w:eastAsia="Times New Roman" w:hAnsi="Verdana" w:cs="Arial"/>
                <w:lang w:eastAsia="es-CO"/>
              </w:rPr>
              <w:t>En armonía con lo anterior</w:t>
            </w:r>
            <w:r w:rsidR="00F1140D" w:rsidRPr="00E95688">
              <w:rPr>
                <w:rFonts w:ascii="Verdana" w:eastAsia="Times New Roman" w:hAnsi="Verdana" w:cs="Arial"/>
                <w:lang w:eastAsia="es-CO"/>
              </w:rPr>
              <w:t xml:space="preserve">, resulta necesario indicar que la restricción a la celebración de convenios interadministrativos aplicable a las entidades territoriales y sus entes descentralizados inicia el 8 de noviembre de 2025, mientras que la restricción general a la contratación directa que cobija a todas </w:t>
            </w:r>
            <w:r w:rsidR="00F1140D" w:rsidRPr="00E95688">
              <w:rPr>
                <w:rFonts w:ascii="Verdana" w:eastAsia="Times New Roman" w:hAnsi="Verdana" w:cs="Arial"/>
                <w:lang w:eastAsia="es-CO"/>
              </w:rPr>
              <w:lastRenderedPageBreak/>
              <w:t>la Entidades Estatales comienza a regir a partir del 31 de enero de 2026. Ambas restricciones se mantendrán hasta el 31 de mayo, o hasta el 21 de junio en caso de requerirse segunda vuelta en las elecciones presidenciales.</w:t>
            </w:r>
          </w:p>
          <w:p w14:paraId="41E9A03E" w14:textId="332FE070" w:rsidR="00252A56" w:rsidRPr="00C55BDE" w:rsidRDefault="00F54E36" w:rsidP="00F1140D">
            <w:pPr>
              <w:spacing w:before="120" w:after="120" w:line="276" w:lineRule="auto"/>
              <w:ind w:firstLine="709"/>
              <w:jc w:val="both"/>
              <w:rPr>
                <w:rFonts w:ascii="Verdana" w:eastAsia="Times New Roman" w:hAnsi="Verdana" w:cs="Arial"/>
                <w:lang w:eastAsia="es-CO"/>
              </w:rPr>
            </w:pPr>
            <w:r w:rsidRPr="00007D0A">
              <w:rPr>
                <w:rStyle w:val="s15"/>
                <w:rFonts w:ascii="Verdana" w:hAnsi="Verdana"/>
                <w:color w:val="000000"/>
              </w:rPr>
              <w:t xml:space="preserve">Al margen de la explicación </w:t>
            </w:r>
            <w:r>
              <w:rPr>
                <w:rStyle w:val="s15"/>
                <w:rFonts w:ascii="Verdana" w:hAnsi="Verdana"/>
                <w:color w:val="000000"/>
              </w:rPr>
              <w:t>precedente,</w:t>
            </w:r>
            <w:r w:rsidRPr="00007D0A">
              <w:rPr>
                <w:rStyle w:val="s15"/>
                <w:rFonts w:ascii="Verdana" w:hAnsi="Verdana"/>
                <w:color w:val="000000"/>
              </w:rPr>
              <w:t xml:space="preserve"> debe advertirse que el análisis requerido para resolver problemas específicos en torno a la gestión contractual de las entidades públicas debe ser realizado por quienes tengan interés en ello, de acuerdo con lo explicado </w:t>
            </w:r>
            <w:r>
              <w:rPr>
                <w:rStyle w:val="s15"/>
                <w:rFonts w:ascii="Verdana" w:hAnsi="Verdana"/>
                <w:color w:val="000000"/>
              </w:rPr>
              <w:t>en la</w:t>
            </w:r>
            <w:r w:rsidRPr="00007D0A">
              <w:rPr>
                <w:rStyle w:val="s15"/>
                <w:rFonts w:ascii="Verdana" w:hAnsi="Verdana"/>
                <w:color w:val="000000"/>
              </w:rPr>
              <w:t xml:space="preserve">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5887E463" w14:textId="77777777" w:rsidR="00252A56" w:rsidRPr="00C55BDE" w:rsidRDefault="00252A56" w:rsidP="00252A56">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70517C75" w14:textId="77777777" w:rsidR="00252A56" w:rsidRPr="00C55BDE" w:rsidRDefault="00252A56" w:rsidP="00252A5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Razones de la respuesta:</w:t>
      </w:r>
    </w:p>
    <w:p w14:paraId="3CD93E8F" w14:textId="77777777" w:rsidR="00252A56" w:rsidRPr="008A6B9F" w:rsidRDefault="00252A56" w:rsidP="001C0382">
      <w:pPr>
        <w:tabs>
          <w:tab w:val="left" w:pos="426"/>
        </w:tabs>
        <w:spacing w:after="0" w:line="276" w:lineRule="auto"/>
        <w:jc w:val="both"/>
        <w:rPr>
          <w:rFonts w:ascii="Verdana" w:eastAsia="Century Gothic" w:hAnsi="Verdana" w:cs="Century Gothic"/>
          <w:color w:val="000000" w:themeColor="text1"/>
        </w:rPr>
      </w:pPr>
    </w:p>
    <w:p w14:paraId="4B8F0AC0" w14:textId="77777777" w:rsidR="00965BFD" w:rsidRDefault="00965BFD" w:rsidP="00965BFD">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499C3AFF" w14:textId="77777777" w:rsidR="00965BFD" w:rsidRPr="00415608" w:rsidRDefault="00965BFD" w:rsidP="00965BFD">
      <w:pPr>
        <w:spacing w:after="0" w:line="276" w:lineRule="auto"/>
        <w:jc w:val="both"/>
        <w:rPr>
          <w:rFonts w:ascii="Verdana" w:eastAsia="Calibri" w:hAnsi="Verdana" w:cs="Arial"/>
          <w:lang w:val="es-ES"/>
        </w:rPr>
      </w:pPr>
    </w:p>
    <w:p w14:paraId="09901AE9" w14:textId="77777777" w:rsidR="00965BFD" w:rsidRPr="009E105D" w:rsidRDefault="00965BFD" w:rsidP="00965BFD">
      <w:pPr>
        <w:tabs>
          <w:tab w:val="left" w:pos="426"/>
        </w:tabs>
        <w:spacing w:after="120" w:line="276" w:lineRule="auto"/>
        <w:jc w:val="both"/>
        <w:rPr>
          <w:rFonts w:ascii="Verdana" w:eastAsia="Times New Roman" w:hAnsi="Verdana" w:cs="Arial"/>
          <w:lang w:eastAsia="es-CO"/>
        </w:rPr>
      </w:pPr>
      <w:r>
        <w:rPr>
          <w:rFonts w:ascii="Verdana" w:eastAsia="Calibri" w:hAnsi="Verdana" w:cs="Arial"/>
          <w:color w:val="000000" w:themeColor="text1"/>
        </w:rPr>
        <w:t xml:space="preserve">i. </w:t>
      </w:r>
      <w:r w:rsidRPr="009E105D">
        <w:rPr>
          <w:rFonts w:ascii="Verdana" w:eastAsia="Calibri" w:hAnsi="Verdana" w:cs="Arial"/>
        </w:rPr>
        <w:t>El ordenamiento jurídico colombiano contempla previsiones claras para evitar la obtención de beneficios personales en asuntos propios de la administración pública</w:t>
      </w:r>
      <w:r w:rsidRPr="009E105D">
        <w:rPr>
          <w:rFonts w:ascii="Verdana" w:eastAsia="Calibri" w:hAnsi="Verdana" w:cs="Arial"/>
          <w:i/>
        </w:rPr>
        <w:t xml:space="preserve">. </w:t>
      </w:r>
      <w:r w:rsidRPr="009E105D">
        <w:rPr>
          <w:rFonts w:ascii="Verdana" w:eastAsia="Calibri" w:hAnsi="Verdana" w:cs="Arial"/>
        </w:rPr>
        <w:t>Por ejemplo, el artículo 127 de la Constitución Política establece una prohibición contractual a los servidores públicos y en cuanto a aspectos políticos consagra restricciones a ciertos empleados del Estado, incluso en época no electoral</w:t>
      </w:r>
      <w:r w:rsidRPr="009E105D">
        <w:rPr>
          <w:rFonts w:ascii="Verdana" w:eastAsia="Calibri" w:hAnsi="Verdana" w:cs="Arial"/>
          <w:vertAlign w:val="superscript"/>
        </w:rPr>
        <w:footnoteReference w:id="1"/>
      </w:r>
      <w:r w:rsidRPr="009E105D">
        <w:rPr>
          <w:rFonts w:ascii="Verdana" w:eastAsia="Calibri" w:hAnsi="Verdana" w:cs="Arial"/>
        </w:rPr>
        <w:t xml:space="preserve">. </w:t>
      </w:r>
    </w:p>
    <w:p w14:paraId="7865210D" w14:textId="77777777" w:rsidR="00965BFD" w:rsidRPr="009E105D" w:rsidRDefault="00965BFD" w:rsidP="00965BFD">
      <w:pPr>
        <w:tabs>
          <w:tab w:val="left" w:pos="426"/>
        </w:tabs>
        <w:spacing w:after="0" w:line="276" w:lineRule="auto"/>
        <w:ind w:firstLine="709"/>
        <w:jc w:val="both"/>
        <w:rPr>
          <w:rFonts w:ascii="Verdana" w:eastAsia="Times New Roman" w:hAnsi="Verdana" w:cs="Arial"/>
          <w:lang w:val="es-MX" w:eastAsia="es-CO"/>
        </w:rPr>
      </w:pPr>
      <w:r w:rsidRPr="009E105D">
        <w:rPr>
          <w:rFonts w:ascii="Verdana" w:eastAsia="Times New Roman" w:hAnsi="Verdana" w:cs="Arial"/>
          <w:lang w:eastAsia="es-CO"/>
        </w:rPr>
        <w:t>En el mismo sentido</w:t>
      </w:r>
      <w:r w:rsidRPr="009E105D">
        <w:rPr>
          <w:rFonts w:ascii="Verdana" w:eastAsia="Times New Roman" w:hAnsi="Verdana" w:cs="Arial"/>
          <w:lang w:val="es-MX" w:eastAsia="es-CO"/>
        </w:rPr>
        <w:t xml:space="preserve">, </w:t>
      </w:r>
      <w:bookmarkStart w:id="2" w:name="_Hlk99576829"/>
      <w:r w:rsidRPr="009E105D">
        <w:rPr>
          <w:rFonts w:ascii="Verdana" w:eastAsia="Times New Roman" w:hAnsi="Verdana" w:cs="Arial"/>
          <w:lang w:val="es-MX" w:eastAsia="es-CO"/>
        </w:rPr>
        <w:t xml:space="preserve">la Ley 996 de 2005, conocida como “Ley de Garantías Electorales”, se suma al andamiaje de orden constitucional y legal que se ha ocupado de evitar la injerencia inadecuada de intereses particulares en el </w:t>
      </w:r>
      <w:r w:rsidRPr="009E105D">
        <w:rPr>
          <w:rFonts w:ascii="Verdana" w:eastAsia="Times New Roman" w:hAnsi="Verdana" w:cs="Arial"/>
          <w:lang w:val="es-MX" w:eastAsia="es-CO"/>
        </w:rPr>
        <w:lastRenderedPageBreak/>
        <w:t>ejercicio de la función pública. Esta ley tiene como propósito evitar cualquier tipo de arbitrariedad, de ventaja injustificada, de uso irregular de los recursos del Estado en las campañas o falta de garantías en la elección presidencial</w:t>
      </w:r>
      <w:r w:rsidRPr="009E105D">
        <w:rPr>
          <w:rFonts w:ascii="Verdana" w:eastAsia="Times New Roman" w:hAnsi="Verdana" w:cs="Arial"/>
          <w:vertAlign w:val="superscript"/>
          <w:lang w:val="es-MX" w:eastAsia="es-CO"/>
        </w:rPr>
        <w:footnoteReference w:id="2"/>
      </w:r>
      <w:r w:rsidRPr="009E105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9E105D">
        <w:rPr>
          <w:rFonts w:ascii="Verdana" w:eastAsia="Calibri" w:hAnsi="Verdana" w:cs="Arial"/>
          <w:lang w:val="es-ES_tradnl"/>
        </w:rPr>
        <w:t xml:space="preserve"> </w:t>
      </w:r>
      <w:bookmarkEnd w:id="2"/>
      <w:r w:rsidRPr="009E105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5AB1E9B4" w14:textId="77777777" w:rsidR="00965BFD" w:rsidRPr="009E105D" w:rsidRDefault="00965BFD" w:rsidP="00965BFD">
      <w:pPr>
        <w:spacing w:after="0" w:line="276" w:lineRule="auto"/>
        <w:ind w:right="709"/>
        <w:contextualSpacing/>
        <w:jc w:val="both"/>
        <w:rPr>
          <w:rFonts w:ascii="Verdana" w:eastAsia="Times New Roman" w:hAnsi="Verdana" w:cs="Arial"/>
          <w:sz w:val="21"/>
          <w:szCs w:val="21"/>
          <w:lang w:val="es-ES" w:eastAsia="es-CO"/>
        </w:rPr>
      </w:pPr>
    </w:p>
    <w:p w14:paraId="765F9380" w14:textId="77777777" w:rsidR="00965BFD" w:rsidRPr="00E066AC" w:rsidRDefault="00965BFD" w:rsidP="00965BFD">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ES" w:eastAsia="es-CO"/>
        </w:rPr>
        <w:t xml:space="preserve">“[…] </w:t>
      </w:r>
      <w:r w:rsidRPr="00E066AC">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4BAA9208" w14:textId="77777777" w:rsidR="00965BFD" w:rsidRDefault="00965BFD" w:rsidP="00965BFD">
      <w:pPr>
        <w:spacing w:after="12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 xml:space="preserve">[…] </w:t>
      </w:r>
    </w:p>
    <w:p w14:paraId="69B1128C" w14:textId="77777777" w:rsidR="00965BFD" w:rsidRPr="00E066AC" w:rsidRDefault="00965BFD" w:rsidP="00965BFD">
      <w:pPr>
        <w:spacing w:after="120" w:line="240" w:lineRule="auto"/>
        <w:ind w:left="709" w:right="709"/>
        <w:contextualSpacing/>
        <w:jc w:val="both"/>
        <w:rPr>
          <w:rFonts w:ascii="Verdana" w:eastAsia="Times New Roman" w:hAnsi="Verdana" w:cs="Arial"/>
          <w:sz w:val="12"/>
          <w:szCs w:val="12"/>
          <w:lang w:val="es-MX" w:eastAsia="es-CO"/>
        </w:rPr>
      </w:pPr>
    </w:p>
    <w:p w14:paraId="4921764D" w14:textId="77777777" w:rsidR="00965BFD" w:rsidRPr="00E066AC" w:rsidRDefault="00965BFD" w:rsidP="00965BFD">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066AC">
        <w:rPr>
          <w:rFonts w:ascii="Verdana" w:eastAsia="Calibri" w:hAnsi="Verdana" w:cs="Arial"/>
          <w:sz w:val="20"/>
          <w:szCs w:val="20"/>
          <w:vertAlign w:val="superscript"/>
          <w:lang w:val="es-MX"/>
        </w:rPr>
        <w:footnoteReference w:id="3"/>
      </w:r>
      <w:r w:rsidRPr="00E066AC">
        <w:rPr>
          <w:rFonts w:ascii="Verdana" w:eastAsia="Times New Roman" w:hAnsi="Verdana" w:cs="Arial"/>
          <w:sz w:val="20"/>
          <w:szCs w:val="20"/>
          <w:lang w:val="es-MX" w:eastAsia="es-CO"/>
        </w:rPr>
        <w:t>.</w:t>
      </w:r>
    </w:p>
    <w:p w14:paraId="23C441F7" w14:textId="77777777" w:rsidR="00965BFD" w:rsidRPr="009E105D" w:rsidRDefault="00965BFD" w:rsidP="00965BFD">
      <w:pPr>
        <w:spacing w:after="0" w:line="276" w:lineRule="auto"/>
        <w:ind w:left="709" w:right="709"/>
        <w:contextualSpacing/>
        <w:jc w:val="both"/>
        <w:rPr>
          <w:rFonts w:ascii="Verdana" w:eastAsia="Times New Roman" w:hAnsi="Verdana" w:cs="Arial"/>
          <w:sz w:val="21"/>
          <w:szCs w:val="21"/>
          <w:lang w:val="es-MX" w:eastAsia="es-CO"/>
        </w:rPr>
      </w:pPr>
    </w:p>
    <w:p w14:paraId="3B2359FA" w14:textId="77777777" w:rsidR="00965BFD" w:rsidRPr="009E105D" w:rsidRDefault="00965BFD" w:rsidP="00965BFD">
      <w:pPr>
        <w:spacing w:after="0" w:line="276" w:lineRule="auto"/>
        <w:ind w:firstLine="709"/>
        <w:jc w:val="both"/>
        <w:rPr>
          <w:rFonts w:ascii="Verdana" w:eastAsia="Times New Roman" w:hAnsi="Verdana" w:cs="Arial"/>
          <w:lang w:val="es-MX" w:eastAsia="es-CO"/>
        </w:rPr>
      </w:pPr>
      <w:bookmarkStart w:id="3" w:name="_Hlk78818186"/>
      <w:r w:rsidRPr="009E105D">
        <w:rPr>
          <w:rFonts w:ascii="Verdana" w:eastAsia="Times New Roman" w:hAnsi="Verdana" w:cs="Arial"/>
          <w:lang w:val="es-MX" w:eastAsia="es-CO"/>
        </w:rPr>
        <w:t xml:space="preserve">De esta manera,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3"/>
      <w:r w:rsidRPr="009E105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563F9CF7" w14:textId="77777777" w:rsidR="00965BFD" w:rsidRPr="009E105D" w:rsidRDefault="00965BFD" w:rsidP="00965BFD">
      <w:pPr>
        <w:spacing w:after="0" w:line="276" w:lineRule="auto"/>
        <w:ind w:firstLine="709"/>
        <w:contextualSpacing/>
        <w:jc w:val="both"/>
        <w:rPr>
          <w:rFonts w:ascii="Verdana" w:eastAsia="Times New Roman" w:hAnsi="Verdana" w:cs="Arial"/>
          <w:lang w:val="es-MX" w:eastAsia="es-CO"/>
        </w:rPr>
      </w:pPr>
    </w:p>
    <w:p w14:paraId="6175A511" w14:textId="77777777" w:rsidR="00965BFD" w:rsidRPr="00E066AC" w:rsidRDefault="00965BFD" w:rsidP="00965BFD">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w:t>
      </w:r>
      <w:r w:rsidRPr="00E066AC">
        <w:rPr>
          <w:rFonts w:ascii="Verdana" w:eastAsia="Times New Roman" w:hAnsi="Verdana" w:cs="Arial"/>
          <w:sz w:val="20"/>
          <w:szCs w:val="20"/>
          <w:lang w:val="es-MX" w:eastAsia="es-CO"/>
        </w:rPr>
        <w:lastRenderedPageBreak/>
        <w:t xml:space="preserve">taxativa; y su aplicación es restrictiva, de manera que excluye la analogía </w:t>
      </w:r>
      <w:proofErr w:type="spellStart"/>
      <w:r w:rsidRPr="00E066AC">
        <w:rPr>
          <w:rFonts w:ascii="Verdana" w:eastAsia="Times New Roman" w:hAnsi="Verdana" w:cs="Arial"/>
          <w:sz w:val="20"/>
          <w:szCs w:val="20"/>
          <w:lang w:val="es-MX" w:eastAsia="es-CO"/>
        </w:rPr>
        <w:t>legis</w:t>
      </w:r>
      <w:proofErr w:type="spellEnd"/>
      <w:r w:rsidRPr="00E066AC">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94A683F" w14:textId="77777777" w:rsidR="00965BFD" w:rsidRPr="00E066AC" w:rsidRDefault="00965BFD" w:rsidP="00965BFD">
      <w:pPr>
        <w:spacing w:after="0" w:line="240" w:lineRule="auto"/>
        <w:ind w:right="709"/>
        <w:contextualSpacing/>
        <w:jc w:val="both"/>
        <w:rPr>
          <w:rFonts w:ascii="Verdana" w:eastAsia="Times New Roman" w:hAnsi="Verdana" w:cs="Arial"/>
          <w:sz w:val="12"/>
          <w:szCs w:val="12"/>
          <w:lang w:val="es-MX" w:eastAsia="es-CO"/>
        </w:rPr>
      </w:pPr>
    </w:p>
    <w:p w14:paraId="368E2862" w14:textId="77777777" w:rsidR="00965BFD" w:rsidRPr="00E066AC" w:rsidRDefault="00965BFD" w:rsidP="00965BFD">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La jurisprudencia de la Corte Constitucional</w:t>
      </w:r>
      <w:r w:rsidRPr="00E066AC">
        <w:rPr>
          <w:rFonts w:ascii="Verdana" w:eastAsia="Times New Roman" w:hAnsi="Verdana" w:cs="Arial"/>
          <w:sz w:val="20"/>
          <w:szCs w:val="20"/>
          <w:vertAlign w:val="superscript"/>
          <w:lang w:val="es-MX" w:eastAsia="es-CO"/>
        </w:rPr>
        <w:footnoteReference w:id="4"/>
      </w:r>
      <w:r w:rsidRPr="00E066AC">
        <w:rPr>
          <w:rFonts w:ascii="Verdana" w:eastAsia="Times New Roman" w:hAnsi="Verdana" w:cs="Arial"/>
          <w:sz w:val="20"/>
          <w:szCs w:val="20"/>
          <w:lang w:val="es-MX" w:eastAsia="es-CO"/>
        </w:rPr>
        <w:t> y del Consejo de Estado</w:t>
      </w:r>
      <w:r w:rsidRPr="00E066AC">
        <w:rPr>
          <w:rFonts w:ascii="Verdana" w:eastAsia="Times New Roman" w:hAnsi="Verdana" w:cs="Arial"/>
          <w:sz w:val="20"/>
          <w:szCs w:val="20"/>
          <w:vertAlign w:val="superscript"/>
          <w:lang w:val="es-MX" w:eastAsia="es-CO"/>
        </w:rPr>
        <w:footnoteReference w:id="5"/>
      </w:r>
      <w:r w:rsidRPr="00E066AC">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066AC">
        <w:rPr>
          <w:rFonts w:ascii="Verdana" w:eastAsia="Times New Roman" w:hAnsi="Verdana" w:cs="Arial"/>
          <w:sz w:val="20"/>
          <w:szCs w:val="20"/>
          <w:vertAlign w:val="superscript"/>
          <w:lang w:val="es-MX" w:eastAsia="es-CO"/>
        </w:rPr>
        <w:footnoteReference w:id="6"/>
      </w:r>
      <w:r w:rsidRPr="00E066AC">
        <w:rPr>
          <w:rFonts w:ascii="Verdana" w:eastAsia="Times New Roman" w:hAnsi="Verdana" w:cs="Arial"/>
          <w:sz w:val="20"/>
          <w:szCs w:val="20"/>
          <w:lang w:val="es-MX" w:eastAsia="es-CO"/>
        </w:rPr>
        <w:t>.</w:t>
      </w:r>
    </w:p>
    <w:p w14:paraId="06AFF5DF" w14:textId="77777777" w:rsidR="00965BFD" w:rsidRPr="009E105D" w:rsidRDefault="00965BFD" w:rsidP="00965BFD">
      <w:pPr>
        <w:spacing w:after="0" w:line="276" w:lineRule="auto"/>
        <w:ind w:right="709"/>
        <w:contextualSpacing/>
        <w:jc w:val="both"/>
        <w:rPr>
          <w:rFonts w:ascii="Verdana" w:eastAsia="Times New Roman" w:hAnsi="Verdana" w:cs="Arial"/>
          <w:sz w:val="21"/>
          <w:szCs w:val="21"/>
          <w:lang w:val="es-MX" w:eastAsia="es-CO"/>
        </w:rPr>
      </w:pPr>
    </w:p>
    <w:p w14:paraId="27781D51" w14:textId="77777777" w:rsidR="00965BFD" w:rsidRPr="009E105D" w:rsidRDefault="00965BFD" w:rsidP="00965BFD">
      <w:pPr>
        <w:spacing w:after="120" w:line="276" w:lineRule="auto"/>
        <w:jc w:val="both"/>
        <w:rPr>
          <w:rFonts w:ascii="Verdana" w:eastAsia="Arial" w:hAnsi="Verdana" w:cs="Arial"/>
          <w:lang w:val="es-ES" w:eastAsia="es-ES" w:bidi="es-ES"/>
        </w:rPr>
      </w:pPr>
      <w:r w:rsidRPr="009E105D">
        <w:rPr>
          <w:rFonts w:ascii="Verdana" w:eastAsia="Times New Roman" w:hAnsi="Verdana" w:cs="Arial"/>
          <w:lang w:val="es-MX" w:eastAsia="es-CO"/>
        </w:rPr>
        <w:tab/>
        <w:t>De</w:t>
      </w:r>
      <w:r w:rsidRPr="009E105D">
        <w:rPr>
          <w:rFonts w:ascii="Verdana" w:eastAsia="Arial" w:hAnsi="Verdana" w:cs="Arial"/>
          <w:lang w:val="es-ES" w:eastAsia="es-ES" w:bidi="es-ES"/>
        </w:rPr>
        <w:t xml:space="preserve"> conformidad con lo anterior, </w:t>
      </w:r>
      <w:bookmarkStart w:id="4" w:name="_Hlk77236098"/>
      <w:bookmarkStart w:id="5" w:name="_Hlk100679383"/>
      <w:r w:rsidRPr="009E105D">
        <w:rPr>
          <w:rFonts w:ascii="Verdana" w:eastAsia="Arial" w:hAnsi="Verdana" w:cs="Arial"/>
          <w:lang w:val="es-ES" w:eastAsia="es-ES" w:bidi="es-ES"/>
        </w:rPr>
        <w:t>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4"/>
    </w:p>
    <w:p w14:paraId="460973D5" w14:textId="77777777" w:rsidR="00965BFD" w:rsidRPr="009E105D" w:rsidRDefault="00965BFD" w:rsidP="00965BFD">
      <w:pPr>
        <w:spacing w:after="120" w:line="276" w:lineRule="auto"/>
        <w:ind w:firstLine="708"/>
        <w:jc w:val="both"/>
        <w:rPr>
          <w:rFonts w:ascii="Verdana" w:eastAsia="Calibri" w:hAnsi="Verdana" w:cs="Arial"/>
        </w:rPr>
      </w:pPr>
      <w:r w:rsidRPr="00C50FB4">
        <w:rPr>
          <w:rFonts w:ascii="Verdana" w:eastAsia="Calibri" w:hAnsi="Verdana" w:cs="Arial"/>
          <w:i/>
          <w:iCs/>
        </w:rPr>
        <w:t>Por un lado</w:t>
      </w:r>
      <w:r w:rsidRPr="009E105D">
        <w:rPr>
          <w:rFonts w:ascii="Verdana" w:eastAsia="Calibri" w:hAnsi="Verdana" w:cs="Arial"/>
        </w:rPr>
        <w:t xml:space="preserve">, el artículo 33 de la Ley 996 de 2005 prohíbe “[…] la contratación directa por parte de todos los entes del Estado” durante los cuatro (4) meses anteriores a las elecciones presidenciales, salvo “[…] lo referente a la </w:t>
      </w:r>
      <w:r w:rsidRPr="009E105D">
        <w:rPr>
          <w:rFonts w:ascii="Verdana" w:eastAsia="Calibri" w:hAnsi="Verdana" w:cs="Arial"/>
        </w:rPr>
        <w:lastRenderedPageBreak/>
        <w:t>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9E105D">
        <w:rPr>
          <w:rFonts w:ascii="Verdana" w:eastAsia="Calibri" w:hAnsi="Verdana" w:cs="Arial"/>
          <w:vertAlign w:val="superscript"/>
        </w:rPr>
        <w:footnoteReference w:id="7"/>
      </w:r>
      <w:r w:rsidRPr="009E105D">
        <w:rPr>
          <w:rFonts w:ascii="Verdana" w:eastAsia="Calibri" w:hAnsi="Verdana" w:cs="Arial"/>
        </w:rPr>
        <w:t>.</w:t>
      </w:r>
    </w:p>
    <w:p w14:paraId="73AD9030" w14:textId="77777777" w:rsidR="00965BFD" w:rsidRPr="009E105D" w:rsidRDefault="00965BFD" w:rsidP="00965BFD">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C50FB4">
        <w:rPr>
          <w:rFonts w:ascii="Verdana" w:eastAsia="Calibri" w:hAnsi="Verdana" w:cs="Arial"/>
          <w:i/>
          <w:iCs/>
        </w:rPr>
        <w:t>Por otro</w:t>
      </w:r>
      <w:r w:rsidRPr="009E105D">
        <w:rPr>
          <w:rFonts w:ascii="Verdana" w:eastAsia="Calibri" w:hAnsi="Verdana" w:cs="Arial"/>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9E105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9E105D">
        <w:rPr>
          <w:rFonts w:ascii="Verdana" w:eastAsia="Calibri" w:hAnsi="Verdana" w:cs="Arial"/>
          <w:sz w:val="19"/>
          <w:szCs w:val="19"/>
        </w:rPr>
        <w:t>”</w:t>
      </w:r>
      <w:bookmarkEnd w:id="5"/>
      <w:r w:rsidRPr="009E105D">
        <w:rPr>
          <w:rFonts w:ascii="Verdana" w:eastAsia="Calibri" w:hAnsi="Verdana" w:cs="Arial"/>
          <w:sz w:val="19"/>
          <w:szCs w:val="19"/>
          <w:vertAlign w:val="superscript"/>
        </w:rPr>
        <w:footnoteReference w:id="8"/>
      </w:r>
      <w:r w:rsidRPr="009E105D">
        <w:rPr>
          <w:rFonts w:ascii="Verdana" w:eastAsia="Calibri" w:hAnsi="Verdana" w:cs="Arial"/>
          <w:lang w:val="es-MX"/>
        </w:rPr>
        <w:t>.</w:t>
      </w:r>
      <w:r w:rsidRPr="009E105D">
        <w:rPr>
          <w:rFonts w:ascii="Verdana" w:eastAsia="Arial" w:hAnsi="Verdana" w:cs="Arial"/>
          <w:lang w:val="es-ES" w:eastAsia="es-ES" w:bidi="es-ES"/>
        </w:rPr>
        <w:t xml:space="preserve"> La Sala de Consulta y Servicio Civil del Consejo de Estado ha aclarado la distinción en la aplicación de las prohibiciones de la Ley 996 de 2005, dependiendo del tipo de elección que se trate. Al respecto, considera que:</w:t>
      </w:r>
    </w:p>
    <w:p w14:paraId="64816B29" w14:textId="77777777" w:rsidR="00965BFD" w:rsidRPr="009E105D" w:rsidRDefault="00965BFD" w:rsidP="00965BFD">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53F8E91F" w14:textId="77777777" w:rsidR="00965BFD" w:rsidRPr="00E066AC" w:rsidRDefault="00965BFD" w:rsidP="00965BFD">
      <w:pPr>
        <w:widowControl w:val="0"/>
        <w:autoSpaceDE w:val="0"/>
        <w:autoSpaceDN w:val="0"/>
        <w:spacing w:after="0" w:line="240" w:lineRule="auto"/>
        <w:ind w:left="709" w:right="709"/>
        <w:contextualSpacing/>
        <w:jc w:val="both"/>
        <w:rPr>
          <w:rFonts w:ascii="Verdana" w:eastAsia="Arial" w:hAnsi="Verdana" w:cs="Arial"/>
          <w:sz w:val="20"/>
          <w:szCs w:val="20"/>
          <w:lang w:val="es-ES" w:eastAsia="es-ES" w:bidi="es-ES"/>
        </w:rPr>
      </w:pPr>
      <w:r w:rsidRPr="00E066AC">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w:t>
      </w:r>
      <w:r w:rsidRPr="00E066AC">
        <w:rPr>
          <w:rFonts w:ascii="Verdana" w:eastAsia="Arial" w:hAnsi="Verdana" w:cs="Arial"/>
          <w:sz w:val="20"/>
          <w:szCs w:val="20"/>
          <w:lang w:val="es-ES" w:eastAsia="es-ES" w:bidi="es-ES"/>
        </w:rPr>
        <w:lastRenderedPageBreak/>
        <w:t xml:space="preserve">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8" w:name="_Hlk76109421"/>
      <w:r w:rsidRPr="00E066AC">
        <w:rPr>
          <w:rFonts w:ascii="Verdana" w:eastAsia="Arial" w:hAnsi="Verdana" w:cs="Arial"/>
          <w:sz w:val="20"/>
          <w:szCs w:val="20"/>
          <w:lang w:val="es-ES" w:eastAsia="es-ES" w:bidi="es-ES"/>
        </w:rPr>
        <w:t>se integran parcialmente</w:t>
      </w:r>
      <w:bookmarkEnd w:id="8"/>
      <w:r w:rsidRPr="00E066AC">
        <w:rPr>
          <w:rFonts w:ascii="Verdana" w:eastAsia="Arial" w:hAnsi="Verdana" w:cs="Arial"/>
          <w:sz w:val="20"/>
          <w:szCs w:val="20"/>
          <w:lang w:val="es-ES"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066AC">
        <w:rPr>
          <w:rFonts w:ascii="Verdana" w:eastAsia="Arial" w:hAnsi="Verdana" w:cs="Arial"/>
          <w:sz w:val="20"/>
          <w:szCs w:val="20"/>
          <w:vertAlign w:val="superscript"/>
          <w:lang w:val="es-ES" w:eastAsia="es-ES" w:bidi="es-ES"/>
        </w:rPr>
        <w:footnoteReference w:id="9"/>
      </w:r>
      <w:r w:rsidRPr="00E066AC">
        <w:rPr>
          <w:rFonts w:ascii="Verdana" w:eastAsia="Arial" w:hAnsi="Verdana" w:cs="Arial"/>
          <w:sz w:val="20"/>
          <w:szCs w:val="20"/>
          <w:lang w:val="es-ES" w:eastAsia="es-ES" w:bidi="es-ES"/>
        </w:rPr>
        <w:t>.</w:t>
      </w:r>
    </w:p>
    <w:p w14:paraId="0F143351" w14:textId="77777777" w:rsidR="00965BFD" w:rsidRPr="009E105D" w:rsidRDefault="00965BFD" w:rsidP="00965BFD">
      <w:pPr>
        <w:widowControl w:val="0"/>
        <w:autoSpaceDE w:val="0"/>
        <w:autoSpaceDN w:val="0"/>
        <w:spacing w:after="0" w:line="276" w:lineRule="auto"/>
        <w:contextualSpacing/>
        <w:rPr>
          <w:rFonts w:ascii="Verdana" w:eastAsia="Arial" w:hAnsi="Verdana" w:cs="Arial"/>
          <w:lang w:val="es-ES" w:eastAsia="es-ES" w:bidi="es-ES"/>
        </w:rPr>
      </w:pPr>
    </w:p>
    <w:p w14:paraId="150150DE" w14:textId="77777777" w:rsidR="00965BFD" w:rsidRPr="009E105D" w:rsidRDefault="00965BFD" w:rsidP="00965BFD">
      <w:pPr>
        <w:spacing w:after="120" w:line="276" w:lineRule="auto"/>
        <w:ind w:firstLine="709"/>
        <w:jc w:val="both"/>
        <w:rPr>
          <w:rFonts w:ascii="Verdana" w:eastAsia="Arial" w:hAnsi="Verdana" w:cs="Arial"/>
          <w:lang w:val="es-ES" w:eastAsia="es-ES" w:bidi="es-ES"/>
        </w:rPr>
      </w:pPr>
      <w:r w:rsidRPr="009E105D">
        <w:rPr>
          <w:rFonts w:ascii="Verdana" w:eastAsia="Arial" w:hAnsi="Verdana" w:cs="Arial"/>
          <w:lang w:val="es-ES" w:eastAsia="es-ES" w:bidi="es-ES"/>
        </w:rPr>
        <w:t xml:space="preserve">De conformidad con lo anterior, </w:t>
      </w:r>
      <w:bookmarkStart w:id="9" w:name="_Hlk77236420"/>
      <w:bookmarkStart w:id="10" w:name="_Hlk78818435"/>
      <w:bookmarkStart w:id="11" w:name="_Hlk75780333"/>
      <w:r w:rsidRPr="009E105D">
        <w:rPr>
          <w:rFonts w:ascii="Verdana" w:eastAsia="Arial" w:hAnsi="Verdana" w:cs="Arial"/>
          <w:lang w:val="es-ES" w:eastAsia="es-ES" w:bidi="es-ES"/>
        </w:rPr>
        <w:t xml:space="preserve">la Ley 996 de 2005 establece dos (2) tipos de restricciones en materia de contratación, las cuales coinciden parcialmente. </w:t>
      </w:r>
      <w:r w:rsidRPr="009E105D">
        <w:rPr>
          <w:rFonts w:ascii="Verdana" w:eastAsia="Arial" w:hAnsi="Verdana" w:cs="Arial"/>
          <w:i/>
          <w:lang w:val="es-ES" w:eastAsia="es-ES" w:bidi="es-ES"/>
        </w:rPr>
        <w:t>En primer lugar</w:t>
      </w:r>
      <w:r w:rsidRPr="009E105D">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9E105D">
        <w:rPr>
          <w:rFonts w:ascii="Verdana" w:eastAsia="Arial" w:hAnsi="Verdana" w:cs="Arial"/>
          <w:i/>
          <w:lang w:val="es-ES" w:eastAsia="es-ES" w:bidi="es-ES"/>
        </w:rPr>
        <w:t>En segundo lugar</w:t>
      </w:r>
      <w:r w:rsidRPr="009E105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9"/>
    </w:p>
    <w:bookmarkEnd w:id="10"/>
    <w:p w14:paraId="6E880F17" w14:textId="77777777" w:rsidR="00965BFD" w:rsidRPr="009E105D" w:rsidRDefault="00965BFD" w:rsidP="00965BFD">
      <w:pPr>
        <w:spacing w:after="120" w:line="276" w:lineRule="auto"/>
        <w:ind w:firstLine="709"/>
        <w:jc w:val="both"/>
        <w:rPr>
          <w:rFonts w:ascii="Verdana" w:eastAsia="Arial" w:hAnsi="Verdana" w:cs="Arial"/>
          <w:lang w:val="es-ES" w:eastAsia="es-ES" w:bidi="es-ES"/>
        </w:rPr>
      </w:pPr>
      <w:r w:rsidRPr="009E105D">
        <w:rPr>
          <w:rFonts w:ascii="Verdana" w:eastAsia="Arial" w:hAnsi="Verdana" w:cs="Arial"/>
          <w:lang w:val="es-ES" w:eastAsia="es-ES" w:bidi="es-ES"/>
        </w:rPr>
        <w:t xml:space="preserve">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w:t>
      </w:r>
      <w:r w:rsidRPr="009E105D">
        <w:rPr>
          <w:rFonts w:ascii="Verdana" w:eastAsia="Arial" w:hAnsi="Verdana" w:cs="Arial"/>
          <w:lang w:val="es-ES" w:eastAsia="es-ES" w:bidi="es-ES"/>
        </w:rPr>
        <w:lastRenderedPageBreak/>
        <w:t>Presidente de la República, las autoridades allí mencionadas sólo deben aplicar las restricciones contenidas en el parágrafo del artículo 38.</w:t>
      </w:r>
    </w:p>
    <w:bookmarkEnd w:id="11"/>
    <w:p w14:paraId="74B7D944" w14:textId="77777777" w:rsidR="00965BFD" w:rsidRDefault="00965BFD" w:rsidP="00965BFD">
      <w:pPr>
        <w:spacing w:after="0" w:line="276" w:lineRule="auto"/>
        <w:ind w:firstLine="708"/>
        <w:jc w:val="both"/>
        <w:rPr>
          <w:rFonts w:ascii="Verdana" w:eastAsia="Arial" w:hAnsi="Verdana" w:cs="Arial"/>
          <w:lang w:val="es-ES" w:eastAsia="es-ES" w:bidi="es-ES"/>
        </w:rPr>
      </w:pPr>
      <w:r w:rsidRPr="009E105D">
        <w:rPr>
          <w:rFonts w:ascii="Verdana" w:eastAsia="Arial" w:hAnsi="Verdana" w:cs="Arial"/>
          <w:lang w:val="es-ES" w:eastAsia="es-ES" w:bidi="es-ES"/>
        </w:rPr>
        <w:t>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w:t>
      </w:r>
    </w:p>
    <w:p w14:paraId="4C1705E8" w14:textId="77777777" w:rsidR="00965BFD" w:rsidRDefault="00965BFD" w:rsidP="00965BFD">
      <w:pPr>
        <w:spacing w:after="0" w:line="276" w:lineRule="auto"/>
        <w:jc w:val="both"/>
        <w:rPr>
          <w:rFonts w:ascii="Verdana" w:eastAsia="Arial" w:hAnsi="Verdana" w:cs="Arial"/>
          <w:lang w:val="es-ES" w:eastAsia="es-ES" w:bidi="es-ES"/>
        </w:rPr>
      </w:pPr>
    </w:p>
    <w:p w14:paraId="2A4A6708" w14:textId="77777777" w:rsidR="00965BFD" w:rsidRPr="00F8199A" w:rsidRDefault="00965BFD" w:rsidP="00965BFD">
      <w:pPr>
        <w:spacing w:after="0" w:line="276" w:lineRule="auto"/>
        <w:jc w:val="both"/>
        <w:rPr>
          <w:rFonts w:ascii="Verdana" w:hAnsi="Verdana" w:cs="Arial"/>
          <w:bCs/>
          <w:lang w:val="es-MX" w:eastAsia="es-CO"/>
        </w:rPr>
      </w:pPr>
      <w:proofErr w:type="spellStart"/>
      <w:r w:rsidRPr="00F8199A">
        <w:rPr>
          <w:rFonts w:ascii="Verdana" w:eastAsia="Arial" w:hAnsi="Verdana" w:cs="Arial"/>
          <w:lang w:val="es-ES" w:eastAsia="es-ES" w:bidi="es-ES"/>
        </w:rPr>
        <w:t>ii</w:t>
      </w:r>
      <w:proofErr w:type="spellEnd"/>
      <w:r w:rsidRPr="00F8199A">
        <w:rPr>
          <w:rFonts w:ascii="Verdana" w:eastAsia="Arial" w:hAnsi="Verdana" w:cs="Arial"/>
          <w:lang w:val="es-ES" w:eastAsia="es-ES" w:bidi="es-ES"/>
        </w:rPr>
        <w:t xml:space="preserve">. </w:t>
      </w:r>
      <w:r w:rsidRPr="00F8199A">
        <w:rPr>
          <w:rFonts w:ascii="Verdana"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F8199A">
        <w:rPr>
          <w:rFonts w:ascii="Verdana" w:hAnsi="Verdana" w:cs="Arial"/>
          <w:bCs/>
          <w:lang w:val="es-MX" w:eastAsia="x-none"/>
        </w:rPr>
        <w:t>queda prohibida la contratación directa</w:t>
      </w:r>
      <w:r>
        <w:rPr>
          <w:rFonts w:ascii="Verdana" w:hAnsi="Verdana" w:cs="Arial"/>
          <w:sz w:val="20"/>
          <w:szCs w:val="20"/>
          <w:lang w:val="es-MX"/>
        </w:rPr>
        <w:t>”</w:t>
      </w:r>
      <w:r w:rsidRPr="00F8199A">
        <w:rPr>
          <w:rFonts w:ascii="Verdana" w:hAnsi="Verdana" w:cs="Arial"/>
          <w:bCs/>
          <w:lang w:val="es-MX" w:eastAsia="x-none"/>
        </w:rPr>
        <w:t xml:space="preserve">. </w:t>
      </w:r>
      <w:r w:rsidRPr="00F8199A">
        <w:rPr>
          <w:rFonts w:ascii="Verdana" w:hAnsi="Verdana" w:cs="Arial"/>
          <w:lang w:val="es-MX" w:eastAsia="es-CO"/>
        </w:rPr>
        <w:t xml:space="preserve"> A propósito de </w:t>
      </w:r>
      <w:r w:rsidRPr="00F8199A">
        <w:rPr>
          <w:rFonts w:ascii="Verdana" w:hAnsi="Verdana" w:cs="Arial"/>
          <w:lang w:eastAsia="es-CO"/>
        </w:rPr>
        <w:t>esta restricción de la Ley de Garantías Electorales, la Sala de Consulta y Servicio Civil del Consejo de Estado ha considerado que:</w:t>
      </w:r>
    </w:p>
    <w:p w14:paraId="035F57E8" w14:textId="77777777" w:rsidR="00965BFD" w:rsidRPr="00F8199A" w:rsidRDefault="00965BFD" w:rsidP="00965BFD">
      <w:pPr>
        <w:spacing w:after="0" w:line="276" w:lineRule="auto"/>
        <w:ind w:left="708" w:right="709"/>
        <w:jc w:val="both"/>
        <w:rPr>
          <w:rFonts w:ascii="Verdana" w:hAnsi="Verdana" w:cs="Arial"/>
          <w:lang w:val="es-MX"/>
        </w:rPr>
      </w:pPr>
    </w:p>
    <w:p w14:paraId="7BBC0305" w14:textId="77777777" w:rsidR="00965BFD" w:rsidRPr="00F8199A" w:rsidRDefault="00965BFD" w:rsidP="00965BFD">
      <w:pPr>
        <w:spacing w:after="120"/>
        <w:ind w:left="709" w:right="709"/>
        <w:jc w:val="both"/>
        <w:rPr>
          <w:rFonts w:ascii="Verdana" w:hAnsi="Verdana" w:cs="Arial"/>
          <w:sz w:val="20"/>
          <w:szCs w:val="20"/>
          <w:lang w:val="es-MX"/>
        </w:rPr>
      </w:pPr>
      <w:r>
        <w:rPr>
          <w:rFonts w:ascii="Verdana" w:hAnsi="Verdana" w:cs="Arial"/>
          <w:sz w:val="18"/>
          <w:szCs w:val="18"/>
          <w:lang w:val="es-MX"/>
        </w:rPr>
        <w:t>“</w:t>
      </w:r>
      <w:r w:rsidRPr="00F8199A">
        <w:rPr>
          <w:rFonts w:ascii="Verdana"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F8199A">
        <w:rPr>
          <w:rFonts w:ascii="Verdana" w:hAnsi="Verdana" w:cs="Arial"/>
          <w:sz w:val="20"/>
          <w:szCs w:val="20"/>
          <w:vertAlign w:val="superscript"/>
          <w:lang w:eastAsia="es-CO"/>
        </w:rPr>
        <w:footnoteReference w:id="10"/>
      </w:r>
      <w:r w:rsidRPr="00F8199A">
        <w:rPr>
          <w:rFonts w:ascii="Verdana" w:hAnsi="Verdana" w:cs="Arial"/>
          <w:sz w:val="20"/>
          <w:szCs w:val="20"/>
          <w:lang w:val="es-MX"/>
        </w:rPr>
        <w:t>.</w:t>
      </w:r>
    </w:p>
    <w:p w14:paraId="76CCC94E" w14:textId="77777777" w:rsidR="00965BFD" w:rsidRPr="00F8199A" w:rsidRDefault="00965BFD" w:rsidP="00965BFD">
      <w:pPr>
        <w:spacing w:after="0"/>
        <w:ind w:left="708" w:right="709"/>
        <w:jc w:val="both"/>
        <w:rPr>
          <w:rFonts w:ascii="Verdana" w:hAnsi="Verdana" w:cs="Arial"/>
          <w:sz w:val="20"/>
          <w:szCs w:val="20"/>
          <w:lang w:val="es-MX"/>
        </w:rPr>
      </w:pPr>
      <w:r w:rsidRPr="00F8199A">
        <w:rPr>
          <w:rFonts w:ascii="Verdana" w:hAnsi="Verdana" w:cs="Arial"/>
          <w:sz w:val="20"/>
          <w:szCs w:val="20"/>
          <w:lang w:val="es-MX"/>
        </w:rPr>
        <w:t xml:space="preserve">Esta Sala ha entendido que para los efectos de la ley de garantías, y dada su finalidad, el enunciado </w:t>
      </w:r>
      <w:r>
        <w:rPr>
          <w:rFonts w:ascii="Verdana" w:hAnsi="Verdana" w:cs="Arial"/>
          <w:sz w:val="20"/>
          <w:szCs w:val="20"/>
          <w:lang w:val="es-MX"/>
        </w:rPr>
        <w:t>‘</w:t>
      </w:r>
      <w:r w:rsidRPr="00F8199A">
        <w:rPr>
          <w:rFonts w:ascii="Verdana" w:hAnsi="Verdana" w:cs="Arial"/>
          <w:sz w:val="20"/>
          <w:szCs w:val="20"/>
          <w:lang w:val="es-MX"/>
        </w:rPr>
        <w:t>contratación direct</w:t>
      </w:r>
      <w:r>
        <w:rPr>
          <w:rFonts w:ascii="Verdana" w:hAnsi="Verdana" w:cs="Arial"/>
          <w:sz w:val="20"/>
          <w:szCs w:val="20"/>
          <w:lang w:val="es-MX"/>
        </w:rPr>
        <w:t>a’</w:t>
      </w:r>
      <w:r w:rsidRPr="00F8199A">
        <w:rPr>
          <w:rFonts w:ascii="Verdana" w:hAnsi="Verdana" w:cs="Arial"/>
          <w:sz w:val="20"/>
          <w:szCs w:val="20"/>
          <w:lang w:val="es-MX"/>
        </w:rPr>
        <w:t xml:space="preserve">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w:t>
      </w:r>
      <w:r w:rsidRPr="00F8199A">
        <w:rPr>
          <w:rFonts w:ascii="Verdana" w:hAnsi="Verdana" w:cs="Arial"/>
          <w:sz w:val="20"/>
          <w:szCs w:val="20"/>
          <w:lang w:val="es-MX"/>
        </w:rPr>
        <w:lastRenderedPageBreak/>
        <w:t>concurso</w:t>
      </w:r>
      <w:r w:rsidRPr="00F8199A">
        <w:rPr>
          <w:rFonts w:ascii="Verdana" w:hAnsi="Verdana" w:cs="Arial"/>
          <w:sz w:val="20"/>
          <w:szCs w:val="20"/>
          <w:vertAlign w:val="superscript"/>
          <w:lang w:val="es-MX"/>
        </w:rPr>
        <w:footnoteReference w:id="11"/>
      </w:r>
      <w:r w:rsidRPr="00F8199A">
        <w:rPr>
          <w:rFonts w:ascii="Verdana" w:hAnsi="Verdana" w:cs="Arial"/>
          <w:sz w:val="20"/>
          <w:szCs w:val="20"/>
          <w:vertAlign w:val="superscript"/>
          <w:lang w:val="es-MX"/>
        </w:rPr>
        <w:t>.</w:t>
      </w:r>
      <w:r w:rsidRPr="00F8199A">
        <w:rPr>
          <w:rFonts w:ascii="Verdana"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w:t>
      </w:r>
      <w:r>
        <w:rPr>
          <w:rFonts w:ascii="Verdana" w:hAnsi="Verdana" w:cs="Arial"/>
          <w:sz w:val="20"/>
          <w:szCs w:val="20"/>
          <w:lang w:val="es-MX"/>
        </w:rPr>
        <w:t xml:space="preserve"> </w:t>
      </w:r>
      <w:r w:rsidRPr="00F8199A">
        <w:rPr>
          <w:rFonts w:ascii="Verdana" w:hAnsi="Verdana" w:cs="Arial"/>
          <w:sz w:val="20"/>
          <w:szCs w:val="20"/>
          <w:lang w:val="es-MX"/>
        </w:rPr>
        <w:t>[...]</w:t>
      </w:r>
      <w:r>
        <w:rPr>
          <w:rFonts w:ascii="Verdana" w:hAnsi="Verdana" w:cs="Arial"/>
          <w:sz w:val="20"/>
          <w:szCs w:val="20"/>
          <w:lang w:val="es-MX"/>
        </w:rPr>
        <w:t>”</w:t>
      </w:r>
      <w:r w:rsidRPr="00F8199A">
        <w:rPr>
          <w:rFonts w:ascii="Verdana" w:hAnsi="Verdana" w:cs="Arial"/>
          <w:sz w:val="20"/>
          <w:szCs w:val="20"/>
          <w:vertAlign w:val="superscript"/>
          <w:lang w:eastAsia="es-CO"/>
        </w:rPr>
        <w:footnoteReference w:id="12"/>
      </w:r>
      <w:r w:rsidRPr="00F8199A">
        <w:rPr>
          <w:rFonts w:ascii="Verdana" w:hAnsi="Verdana" w:cs="Arial"/>
          <w:sz w:val="20"/>
          <w:szCs w:val="20"/>
          <w:lang w:val="es-MX"/>
        </w:rPr>
        <w:t>.</w:t>
      </w:r>
    </w:p>
    <w:p w14:paraId="2953A428" w14:textId="77777777" w:rsidR="00965BFD" w:rsidRPr="00F8199A" w:rsidRDefault="00965BFD" w:rsidP="00965BFD">
      <w:pPr>
        <w:shd w:val="clear" w:color="auto" w:fill="FFFFFF"/>
        <w:spacing w:after="0" w:line="276" w:lineRule="auto"/>
        <w:ind w:firstLine="709"/>
        <w:jc w:val="both"/>
        <w:rPr>
          <w:rFonts w:ascii="Verdana" w:hAnsi="Verdana" w:cs="Arial"/>
          <w:lang w:eastAsia="x-none"/>
        </w:rPr>
      </w:pPr>
    </w:p>
    <w:p w14:paraId="08CD5EE3" w14:textId="77777777" w:rsidR="00965BFD" w:rsidRPr="00F8199A" w:rsidRDefault="00965BFD" w:rsidP="00965BFD">
      <w:pPr>
        <w:spacing w:after="120" w:line="276" w:lineRule="auto"/>
        <w:ind w:firstLine="708"/>
        <w:jc w:val="both"/>
        <w:rPr>
          <w:rFonts w:ascii="Verdana" w:hAnsi="Verdana" w:cs="Arial"/>
          <w:bCs/>
          <w:lang w:eastAsia="x-none"/>
        </w:rPr>
      </w:pPr>
      <w:r w:rsidRPr="00F8199A">
        <w:rPr>
          <w:rFonts w:ascii="Verdana" w:hAnsi="Verdana" w:cs="Arial"/>
          <w:lang w:eastAsia="x-none"/>
        </w:rPr>
        <w:t xml:space="preserve">De acuerdo con el citado concepto, la prohibición del artículo 33 de la Ley de Garantías Electorales se refiere a </w:t>
      </w:r>
      <w:r>
        <w:rPr>
          <w:rFonts w:ascii="Verdana" w:hAnsi="Verdana" w:cs="Arial"/>
          <w:sz w:val="19"/>
          <w:szCs w:val="19"/>
          <w:lang w:eastAsia="en-GB"/>
        </w:rPr>
        <w:t>“</w:t>
      </w:r>
      <w:r w:rsidRPr="00F8199A">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F8199A">
        <w:rPr>
          <w:rFonts w:ascii="Verdana" w:hAnsi="Verdana" w:cs="Arial"/>
          <w:lang w:eastAsia="x-none"/>
        </w:rPr>
        <w:t>,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w:t>
      </w:r>
      <w:r w:rsidRPr="00F8199A">
        <w:rPr>
          <w:rFonts w:ascii="Verdana" w:hAnsi="Verdana" w:cs="Arial"/>
          <w:vertAlign w:val="superscript"/>
          <w:lang w:val="en-GB" w:eastAsia="x-none"/>
        </w:rPr>
        <w:footnoteReference w:id="13"/>
      </w:r>
      <w:r w:rsidRPr="00F8199A">
        <w:rPr>
          <w:rFonts w:ascii="Verdana" w:hAnsi="Verdana" w:cs="Arial"/>
          <w:lang w:eastAsia="x-none"/>
        </w:rPr>
        <w:t xml:space="preserve"> y sistematizó las causales de contratación directa</w:t>
      </w:r>
      <w:r w:rsidRPr="00F8199A">
        <w:rPr>
          <w:rFonts w:ascii="Verdana" w:hAnsi="Verdana" w:cs="Arial"/>
          <w:vertAlign w:val="superscript"/>
          <w:lang w:val="en-GB" w:eastAsia="x-none"/>
        </w:rPr>
        <w:footnoteReference w:id="14"/>
      </w:r>
      <w:r w:rsidRPr="00F8199A">
        <w:rPr>
          <w:rFonts w:ascii="Verdana" w:hAnsi="Verdana" w:cs="Arial"/>
          <w:lang w:eastAsia="x-none"/>
        </w:rPr>
        <w:t xml:space="preserve">. </w:t>
      </w:r>
    </w:p>
    <w:p w14:paraId="49BDE176" w14:textId="77777777" w:rsidR="00965BFD" w:rsidRPr="00F8199A" w:rsidRDefault="00965BFD" w:rsidP="00965BFD">
      <w:pPr>
        <w:spacing w:after="120" w:line="276" w:lineRule="auto"/>
        <w:ind w:firstLine="708"/>
        <w:jc w:val="both"/>
        <w:rPr>
          <w:rFonts w:ascii="Verdana" w:hAnsi="Verdana" w:cs="Arial"/>
          <w:lang w:val="es-MX" w:eastAsia="x-none"/>
        </w:rPr>
      </w:pPr>
      <w:r w:rsidRPr="00F8199A">
        <w:rPr>
          <w:rFonts w:ascii="Verdana" w:hAnsi="Verdana" w:cs="Arial"/>
          <w:lang w:eastAsia="x-none"/>
        </w:rPr>
        <w:t xml:space="preserve">De esta forma, con fundamento en la evolución de la normativa sobre la contratación pública, se ha depurado la noción de </w:t>
      </w:r>
      <w:r>
        <w:rPr>
          <w:rFonts w:ascii="Verdana" w:hAnsi="Verdana" w:cs="Arial"/>
          <w:sz w:val="19"/>
          <w:szCs w:val="19"/>
          <w:lang w:eastAsia="en-GB"/>
        </w:rPr>
        <w:t>“</w:t>
      </w:r>
      <w:r w:rsidRPr="00F8199A">
        <w:rPr>
          <w:rFonts w:ascii="Verdana" w:hAnsi="Verdana" w:cs="Arial"/>
          <w:lang w:eastAsia="x-none"/>
        </w:rPr>
        <w:t>contratación directa</w:t>
      </w:r>
      <w:r>
        <w:rPr>
          <w:rFonts w:ascii="Verdana" w:hAnsi="Verdana" w:cs="Arial"/>
          <w:lang w:eastAsia="en-GB"/>
        </w:rPr>
        <w:t>”</w:t>
      </w:r>
      <w:r w:rsidRPr="00F8199A">
        <w:rPr>
          <w:rFonts w:ascii="Verdana" w:hAnsi="Verdana" w:cs="Arial"/>
          <w:lang w:eastAsia="x-none"/>
        </w:rPr>
        <w:t xml:space="preserve">, precisando el Consejo de Estado –en el concepto citado– que, </w:t>
      </w:r>
      <w:r>
        <w:rPr>
          <w:rFonts w:ascii="Verdana" w:hAnsi="Verdana" w:cs="Arial"/>
          <w:lang w:eastAsia="x-none"/>
        </w:rPr>
        <w:t>“</w:t>
      </w:r>
      <w:r w:rsidRPr="00F8199A">
        <w:rPr>
          <w:rFonts w:ascii="Verdana"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8199A">
        <w:rPr>
          <w:rFonts w:ascii="Verdana" w:hAnsi="Verdana" w:cs="Arial"/>
          <w:vertAlign w:val="superscript"/>
          <w:lang w:val="en-GB" w:eastAsia="x-none"/>
        </w:rPr>
        <w:footnoteReference w:id="15"/>
      </w:r>
      <w:r w:rsidRPr="00F8199A">
        <w:rPr>
          <w:rFonts w:ascii="Verdana" w:hAnsi="Verdana" w:cs="Arial"/>
          <w:lang w:eastAsia="x-none"/>
        </w:rPr>
        <w:t>, han establecido sistemas de contratación que implican convocatoria pública y participación de varios oferentes</w:t>
      </w:r>
      <w:r>
        <w:rPr>
          <w:rFonts w:ascii="Verdana" w:hAnsi="Verdana" w:cs="Arial"/>
          <w:lang w:eastAsia="en-GB"/>
        </w:rPr>
        <w:t>”</w:t>
      </w:r>
      <w:r w:rsidRPr="00F8199A">
        <w:rPr>
          <w:rFonts w:ascii="Verdana" w:hAnsi="Verdana" w:cs="Arial"/>
          <w:lang w:eastAsia="x-none"/>
        </w:rPr>
        <w:t xml:space="preserve">. </w:t>
      </w:r>
    </w:p>
    <w:p w14:paraId="147F5226" w14:textId="77777777" w:rsidR="00965BFD" w:rsidRPr="00F8199A" w:rsidRDefault="00965BFD" w:rsidP="00965BFD">
      <w:pPr>
        <w:spacing w:after="120" w:line="276" w:lineRule="auto"/>
        <w:ind w:firstLine="708"/>
        <w:jc w:val="both"/>
        <w:rPr>
          <w:rFonts w:ascii="Verdana" w:hAnsi="Verdana" w:cs="Arial"/>
          <w:bCs/>
          <w:lang w:val="es-MX" w:eastAsia="es-CO"/>
        </w:rPr>
      </w:pPr>
      <w:r w:rsidRPr="00F8199A">
        <w:rPr>
          <w:rFonts w:ascii="Verdana" w:hAnsi="Verdana" w:cs="Arial"/>
          <w:bCs/>
          <w:lang w:val="es-MX" w:eastAsia="x-none"/>
        </w:rPr>
        <w:t>E</w:t>
      </w:r>
      <w:r w:rsidRPr="00F8199A">
        <w:rPr>
          <w:rFonts w:ascii="Verdana"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w:t>
      </w:r>
      <w:r w:rsidRPr="00F8199A">
        <w:rPr>
          <w:rFonts w:ascii="Verdana" w:hAnsi="Verdana" w:cs="Arial"/>
          <w:lang w:eastAsia="x-none"/>
        </w:rPr>
        <w:lastRenderedPageBreak/>
        <w:t xml:space="preserve">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hAnsi="Verdana" w:cs="Arial"/>
          <w:lang w:eastAsia="x-none"/>
        </w:rPr>
        <w:t>“</w:t>
      </w:r>
      <w:r w:rsidRPr="00F8199A">
        <w:rPr>
          <w:rFonts w:ascii="Verdana" w:hAnsi="Verdana" w:cs="Arial"/>
          <w:lang w:eastAsia="x-none"/>
        </w:rPr>
        <w:t>contratación directa</w:t>
      </w:r>
      <w:r>
        <w:rPr>
          <w:rFonts w:ascii="Verdana" w:hAnsi="Verdana" w:cs="Arial"/>
          <w:lang w:eastAsia="x-none"/>
        </w:rPr>
        <w:t>”</w:t>
      </w:r>
      <w:r w:rsidRPr="00F8199A">
        <w:rPr>
          <w:rFonts w:ascii="Verdana" w:hAnsi="Verdana" w:cs="Arial"/>
          <w:lang w:eastAsia="x-none"/>
        </w:rPr>
        <w:t>, es que la convocatoria para inscribirse en forma previa se haga de manera pública, y que se permita la participación de una pluralidad de oferentes</w:t>
      </w:r>
      <w:r w:rsidRPr="00F8199A">
        <w:rPr>
          <w:rFonts w:ascii="Verdana" w:hAnsi="Verdana" w:cs="Arial"/>
          <w:vertAlign w:val="superscript"/>
          <w:lang w:eastAsia="x-none"/>
        </w:rPr>
        <w:footnoteReference w:id="16"/>
      </w:r>
      <w:r w:rsidRPr="00F8199A">
        <w:rPr>
          <w:rFonts w:ascii="Verdana" w:hAnsi="Verdana" w:cs="Arial"/>
          <w:lang w:eastAsia="x-none"/>
        </w:rPr>
        <w:t xml:space="preserve">. </w:t>
      </w:r>
    </w:p>
    <w:p w14:paraId="737F2CF4" w14:textId="77777777" w:rsidR="00965BFD" w:rsidRPr="00F8199A" w:rsidRDefault="00965BFD" w:rsidP="00965BFD">
      <w:pPr>
        <w:spacing w:after="120" w:line="276" w:lineRule="auto"/>
        <w:ind w:firstLine="708"/>
        <w:jc w:val="both"/>
        <w:rPr>
          <w:rFonts w:ascii="Verdana" w:hAnsi="Verdana" w:cs="Arial"/>
          <w:bCs/>
          <w:lang w:val="es-MX" w:eastAsia="es-CO"/>
        </w:rPr>
      </w:pPr>
      <w:r w:rsidRPr="00F8199A">
        <w:rPr>
          <w:rFonts w:ascii="Verdana"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hAnsi="Verdana" w:cs="Arial"/>
          <w:bCs/>
          <w:lang w:val="es-MX" w:eastAsia="es-CO"/>
        </w:rPr>
        <w:t>“</w:t>
      </w:r>
      <w:r w:rsidRPr="00F8199A">
        <w:rPr>
          <w:rFonts w:ascii="Verdana" w:hAnsi="Verdana" w:cs="Arial"/>
          <w:bCs/>
          <w:lang w:val="es-MX" w:eastAsia="es-CO"/>
        </w:rPr>
        <w:t>contratación directa</w:t>
      </w:r>
      <w:r>
        <w:rPr>
          <w:rFonts w:ascii="Verdana" w:hAnsi="Verdana" w:cs="Arial"/>
          <w:bCs/>
          <w:lang w:val="es-MX" w:eastAsia="es-CO"/>
        </w:rPr>
        <w:t>”</w:t>
      </w:r>
      <w:r w:rsidRPr="00F8199A">
        <w:rPr>
          <w:rFonts w:ascii="Verdana" w:hAnsi="Verdana" w:cs="Arial"/>
          <w:bCs/>
          <w:lang w:val="es-MX" w:eastAsia="es-CO"/>
        </w:rPr>
        <w:t>.</w:t>
      </w:r>
    </w:p>
    <w:p w14:paraId="70EC92D6" w14:textId="77777777" w:rsidR="00965BFD" w:rsidRPr="00F8199A" w:rsidRDefault="00965BFD" w:rsidP="00965BFD">
      <w:pPr>
        <w:spacing w:after="120" w:line="276" w:lineRule="auto"/>
        <w:ind w:firstLine="708"/>
        <w:jc w:val="both"/>
        <w:rPr>
          <w:rFonts w:ascii="Verdana" w:hAnsi="Verdana" w:cs="Arial"/>
          <w:bCs/>
          <w:lang w:val="es-MX" w:eastAsia="x-none"/>
        </w:rPr>
      </w:pPr>
      <w:r w:rsidRPr="00F8199A">
        <w:rPr>
          <w:rFonts w:ascii="Verdana" w:hAnsi="Verdana" w:cs="Arial"/>
          <w:bCs/>
          <w:lang w:val="es-MX" w:eastAsia="x-none"/>
        </w:rPr>
        <w:t xml:space="preserve"> Así las cosas, ha de entenderse que, para los efectos de la Ley de Garantías Electorales y, en particular, para la prohibición o restricción temporal contenida en su artículo 33, </w:t>
      </w:r>
      <w:r>
        <w:rPr>
          <w:rFonts w:ascii="Verdana" w:hAnsi="Verdana" w:cs="Arial"/>
          <w:bCs/>
          <w:lang w:val="es-MX" w:eastAsia="x-none"/>
        </w:rPr>
        <w:t>“</w:t>
      </w:r>
      <w:r w:rsidRPr="00F8199A">
        <w:rPr>
          <w:rFonts w:ascii="Verdana" w:hAnsi="Verdana" w:cs="Arial"/>
          <w:bCs/>
          <w:lang w:val="es-MX" w:eastAsia="x-none"/>
        </w:rPr>
        <w:t>contratación directa</w:t>
      </w:r>
      <w:r>
        <w:rPr>
          <w:rFonts w:ascii="Verdana" w:hAnsi="Verdana" w:cs="Arial"/>
          <w:bCs/>
          <w:lang w:val="es-MX" w:eastAsia="x-none"/>
        </w:rPr>
        <w:t>”</w:t>
      </w:r>
      <w:r w:rsidRPr="00F8199A">
        <w:rPr>
          <w:rFonts w:ascii="Verdana"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F8199A">
        <w:rPr>
          <w:rFonts w:ascii="Verdana" w:hAnsi="Verdana" w:cs="Arial"/>
          <w:vertAlign w:val="superscript"/>
          <w:lang w:eastAsia="x-none"/>
        </w:rPr>
        <w:footnoteReference w:id="17"/>
      </w:r>
      <w:r w:rsidRPr="00F8199A">
        <w:rPr>
          <w:rFonts w:ascii="Verdana" w:hAnsi="Verdana" w:cs="Arial"/>
          <w:bCs/>
          <w:lang w:val="es-MX" w:eastAsia="x-none"/>
        </w:rPr>
        <w:t>.</w:t>
      </w:r>
      <w:r w:rsidRPr="00F8199A">
        <w:rPr>
          <w:rFonts w:ascii="Verdana" w:hAnsi="Verdana" w:cs="Arial"/>
          <w:vertAlign w:val="superscript"/>
          <w:lang w:eastAsia="x-none"/>
        </w:rPr>
        <w:t xml:space="preserve"> </w:t>
      </w:r>
    </w:p>
    <w:p w14:paraId="3ECA01DF" w14:textId="77777777" w:rsidR="00965BFD" w:rsidRPr="00F8199A" w:rsidRDefault="00965BFD" w:rsidP="00965BFD">
      <w:pPr>
        <w:spacing w:after="120" w:line="276" w:lineRule="auto"/>
        <w:ind w:firstLine="708"/>
        <w:jc w:val="both"/>
        <w:rPr>
          <w:rFonts w:ascii="Verdana" w:hAnsi="Verdana" w:cs="Arial"/>
          <w:lang w:eastAsia="x-none"/>
        </w:rPr>
      </w:pPr>
      <w:r w:rsidRPr="00F8199A">
        <w:rPr>
          <w:rFonts w:ascii="Verdana"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8199A">
        <w:rPr>
          <w:rFonts w:ascii="Verdana" w:hAnsi="Verdana" w:cs="Arial"/>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66B691AA" w14:textId="77777777" w:rsidR="00965BFD" w:rsidRPr="00F8199A" w:rsidRDefault="00965BFD" w:rsidP="00965BFD">
      <w:pPr>
        <w:spacing w:after="120" w:line="276" w:lineRule="auto"/>
        <w:ind w:firstLine="708"/>
        <w:jc w:val="both"/>
        <w:rPr>
          <w:rFonts w:ascii="Verdana" w:hAnsi="Verdana" w:cs="Arial"/>
          <w:bCs/>
          <w:lang w:val="es-MX" w:eastAsia="x-none"/>
        </w:rPr>
      </w:pPr>
      <w:bookmarkStart w:id="12" w:name="_Hlk77237094"/>
      <w:r w:rsidRPr="00F8199A">
        <w:rPr>
          <w:rFonts w:ascii="Verdana" w:hAnsi="Verdana" w:cs="Arial"/>
          <w:bCs/>
          <w:lang w:val="es-MX" w:eastAsia="es-CO"/>
        </w:rPr>
        <w:t xml:space="preserve">Como en otras oportunidades lo ha manifestado esta Agencia, las prórrogas, modificaciones o adiciones de los contratos suscritos antes de la </w:t>
      </w:r>
      <w:proofErr w:type="gramStart"/>
      <w:r w:rsidRPr="00F8199A">
        <w:rPr>
          <w:rFonts w:ascii="Verdana" w:hAnsi="Verdana" w:cs="Arial"/>
          <w:bCs/>
          <w:lang w:val="es-MX" w:eastAsia="es-CO"/>
        </w:rPr>
        <w:lastRenderedPageBreak/>
        <w:t>entrada en vigencia</w:t>
      </w:r>
      <w:proofErr w:type="gramEnd"/>
      <w:r w:rsidRPr="00F8199A">
        <w:rPr>
          <w:rFonts w:ascii="Verdana" w:hAnsi="Verdana" w:cs="Arial"/>
          <w:bCs/>
          <w:lang w:val="es-MX" w:eastAsia="es-CO"/>
        </w:rPr>
        <w:t xml:space="preserve"> de las prohibiciones anotadas, así como la cesión de </w:t>
      </w:r>
      <w:proofErr w:type="gramStart"/>
      <w:r w:rsidRPr="00F8199A">
        <w:rPr>
          <w:rFonts w:ascii="Verdana" w:hAnsi="Verdana" w:cs="Arial"/>
          <w:bCs/>
          <w:lang w:val="es-MX" w:eastAsia="es-CO"/>
        </w:rPr>
        <w:t>los mismos</w:t>
      </w:r>
      <w:proofErr w:type="gramEnd"/>
      <w:r w:rsidRPr="00F8199A">
        <w:rPr>
          <w:rFonts w:ascii="Verdana"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bookmarkEnd w:id="12"/>
    </w:p>
    <w:p w14:paraId="04FF15CE" w14:textId="77777777" w:rsidR="00965BFD" w:rsidRPr="00F8199A" w:rsidRDefault="00965BFD" w:rsidP="00965BFD">
      <w:pPr>
        <w:spacing w:after="120" w:line="276" w:lineRule="auto"/>
        <w:ind w:firstLine="708"/>
        <w:jc w:val="both"/>
        <w:rPr>
          <w:rFonts w:ascii="Verdana" w:hAnsi="Verdana" w:cs="Arial"/>
          <w:bCs/>
          <w:lang w:val="es-MX" w:eastAsia="es-CO"/>
        </w:rPr>
      </w:pPr>
      <w:r w:rsidRPr="00F8199A">
        <w:rPr>
          <w:rFonts w:ascii="Verdana"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F8199A">
        <w:rPr>
          <w:rFonts w:ascii="Verdana" w:hAnsi="Verdana" w:cs="Arial"/>
          <w:bCs/>
          <w:lang w:val="es-MX" w:eastAsia="x-none"/>
        </w:rPr>
        <w:t>ii</w:t>
      </w:r>
      <w:proofErr w:type="spellEnd"/>
      <w:r w:rsidRPr="00F8199A">
        <w:rPr>
          <w:rFonts w:ascii="Verdana" w:hAnsi="Verdana" w:cs="Arial"/>
          <w:bCs/>
          <w:lang w:val="es-MX" w:eastAsia="x-none"/>
        </w:rPr>
        <w:t xml:space="preserve">) los contratos de crédito público; </w:t>
      </w:r>
      <w:proofErr w:type="spellStart"/>
      <w:r w:rsidRPr="00F8199A">
        <w:rPr>
          <w:rFonts w:ascii="Verdana" w:hAnsi="Verdana" w:cs="Arial"/>
          <w:bCs/>
          <w:lang w:val="es-MX" w:eastAsia="x-none"/>
        </w:rPr>
        <w:t>iii</w:t>
      </w:r>
      <w:proofErr w:type="spellEnd"/>
      <w:r w:rsidRPr="00F8199A">
        <w:rPr>
          <w:rFonts w:ascii="Verdana" w:hAnsi="Verdana" w:cs="Arial"/>
          <w:bCs/>
          <w:lang w:val="es-MX" w:eastAsia="x-none"/>
        </w:rPr>
        <w:t xml:space="preserve">) los requeridos para cubrir las emergencias educativas, sanitarias y desastres; </w:t>
      </w:r>
      <w:proofErr w:type="spellStart"/>
      <w:r w:rsidRPr="00F8199A">
        <w:rPr>
          <w:rFonts w:ascii="Verdana" w:hAnsi="Verdana" w:cs="Arial"/>
          <w:bCs/>
          <w:lang w:val="es-MX" w:eastAsia="x-none"/>
        </w:rPr>
        <w:t>iv</w:t>
      </w:r>
      <w:proofErr w:type="spellEnd"/>
      <w:r w:rsidRPr="00F8199A">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8199A">
        <w:rPr>
          <w:rFonts w:ascii="Verdana" w:hAnsi="Verdana" w:cs="Arial"/>
          <w:bCs/>
          <w:lang w:val="es-MX" w:eastAsia="es-CO"/>
        </w:rPr>
        <w:t xml:space="preserve"> </w:t>
      </w:r>
      <w:r>
        <w:rPr>
          <w:rFonts w:ascii="Verdana" w:hAnsi="Verdana" w:cs="Arial"/>
          <w:bCs/>
          <w:lang w:val="es-MX" w:eastAsia="es-CO"/>
        </w:rPr>
        <w:t xml:space="preserve">Es </w:t>
      </w:r>
      <w:r w:rsidRPr="00F8199A">
        <w:rPr>
          <w:rFonts w:ascii="Verdana" w:hAnsi="Verdana" w:cs="Arial"/>
          <w:bCs/>
          <w:lang w:val="es-MX" w:eastAsia="es-CO"/>
        </w:rPr>
        <w:t>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8F43AA8" w14:textId="77777777" w:rsidR="00965BFD" w:rsidRDefault="00965BFD" w:rsidP="00965BFD">
      <w:pPr>
        <w:spacing w:after="0" w:line="276" w:lineRule="auto"/>
        <w:ind w:firstLine="708"/>
        <w:jc w:val="both"/>
        <w:rPr>
          <w:rFonts w:ascii="Verdana" w:hAnsi="Verdana" w:cs="Arial"/>
          <w:bCs/>
          <w:lang w:val="es-MX" w:eastAsia="x-none"/>
        </w:rPr>
      </w:pPr>
      <w:r w:rsidRPr="00F8199A">
        <w:rPr>
          <w:rFonts w:ascii="Verdana" w:hAnsi="Verdana" w:cs="Arial"/>
          <w:bCs/>
          <w:lang w:val="es-MX" w:eastAsia="x-none"/>
        </w:rPr>
        <w:t xml:space="preserve">En esta labor es importante tener en cuenta, como lo anotó la Corte Constitucional, en Sentencia C-1153 de noviembre 11 de 2005 </w:t>
      </w:r>
      <w:bookmarkStart w:id="13" w:name="_Hlk74309042"/>
      <w:r w:rsidRPr="00F8199A">
        <w:rPr>
          <w:rFonts w:ascii="Verdana" w:hAnsi="Verdana" w:cs="Arial"/>
          <w:bCs/>
          <w:lang w:val="es-MX" w:eastAsia="x-none"/>
        </w:rPr>
        <w:t xml:space="preserve">que </w:t>
      </w:r>
      <w:r>
        <w:rPr>
          <w:rFonts w:ascii="Verdana" w:hAnsi="Verdana" w:cs="Arial"/>
          <w:bCs/>
          <w:lang w:val="es-MX" w:eastAsia="x-none"/>
        </w:rPr>
        <w:t>“</w:t>
      </w:r>
      <w:bookmarkEnd w:id="13"/>
      <w:r w:rsidRPr="00F8199A">
        <w:rPr>
          <w:rFonts w:ascii="Verdana" w:hAnsi="Verdana" w:cs="Arial"/>
          <w:bCs/>
          <w:lang w:val="es-MX" w:eastAsia="x-none"/>
        </w:rPr>
        <w:t xml:space="preserve">si bien la limitación garantiza la igualdad de condiciones, también es necesario que tal limitación que pretende la igualdad </w:t>
      </w:r>
      <w:bookmarkStart w:id="14" w:name="_Hlk75768308"/>
      <w:r w:rsidRPr="00F8199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bCs/>
          <w:lang w:val="es-MX" w:eastAsia="x-none"/>
        </w:rPr>
        <w:t>”</w:t>
      </w:r>
      <w:r w:rsidRPr="00F8199A">
        <w:rPr>
          <w:rFonts w:ascii="Verdana" w:hAnsi="Verdana" w:cs="Arial"/>
          <w:vertAlign w:val="superscript"/>
          <w:lang w:val="es-MX"/>
        </w:rPr>
        <w:footnoteReference w:id="18"/>
      </w:r>
      <w:r w:rsidRPr="00F8199A">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4"/>
    </w:p>
    <w:p w14:paraId="5C7B090F" w14:textId="77777777" w:rsidR="00965BFD" w:rsidRPr="00F8199A" w:rsidRDefault="00965BFD" w:rsidP="00965BFD">
      <w:pPr>
        <w:spacing w:after="0" w:line="276" w:lineRule="auto"/>
        <w:ind w:firstLine="708"/>
        <w:jc w:val="both"/>
        <w:rPr>
          <w:rFonts w:ascii="Verdana" w:hAnsi="Verdana" w:cs="Arial"/>
          <w:bCs/>
          <w:lang w:val="es-MX" w:eastAsia="x-none"/>
        </w:rPr>
      </w:pPr>
    </w:p>
    <w:p w14:paraId="77176FF8" w14:textId="77777777" w:rsidR="00965BFD" w:rsidRPr="00A45D99" w:rsidRDefault="00965BFD" w:rsidP="00965BFD">
      <w:pPr>
        <w:spacing w:after="0" w:line="276" w:lineRule="auto"/>
        <w:jc w:val="both"/>
        <w:rPr>
          <w:rFonts w:ascii="Verdana" w:hAnsi="Verdana" w:cs="Arial"/>
          <w:bCs/>
          <w:lang w:val="es-MX" w:eastAsia="x-none"/>
        </w:rPr>
      </w:pPr>
      <w:proofErr w:type="spellStart"/>
      <w:r w:rsidRPr="00A45D99">
        <w:rPr>
          <w:rFonts w:ascii="Verdana" w:eastAsia="Arial" w:hAnsi="Verdana" w:cs="Arial"/>
          <w:lang w:val="es-MX" w:eastAsia="es-ES" w:bidi="es-ES"/>
        </w:rPr>
        <w:lastRenderedPageBreak/>
        <w:t>iii</w:t>
      </w:r>
      <w:proofErr w:type="spellEnd"/>
      <w:r w:rsidRPr="00A45D99">
        <w:rPr>
          <w:rFonts w:ascii="Verdana" w:eastAsia="Arial" w:hAnsi="Verdana" w:cs="Arial"/>
          <w:lang w:val="es-MX" w:eastAsia="es-ES" w:bidi="es-ES"/>
        </w:rPr>
        <w:t xml:space="preserve">. </w:t>
      </w:r>
      <w:r w:rsidRPr="00A45D99">
        <w:rPr>
          <w:rFonts w:ascii="Verdana" w:hAnsi="Verdana" w:cs="Arial"/>
          <w:bCs/>
          <w:lang w:val="es-MX" w:eastAsia="x-none"/>
        </w:rPr>
        <w:t xml:space="preserve">El artículo 33 de la Ley 996 de 2005 señala expresamente a los destinatarios de la prohibición, en el sentido de que son </w:t>
      </w:r>
      <w:r>
        <w:rPr>
          <w:rFonts w:ascii="Verdana" w:hAnsi="Verdana" w:cs="Arial"/>
          <w:bCs/>
          <w:lang w:val="es-MX" w:eastAsia="x-none"/>
        </w:rPr>
        <w:t>“</w:t>
      </w:r>
      <w:r w:rsidRPr="00A45D99">
        <w:rPr>
          <w:rFonts w:ascii="Verdana" w:hAnsi="Verdana" w:cs="Arial"/>
          <w:bCs/>
          <w:lang w:val="es-MX" w:eastAsia="x-none"/>
        </w:rPr>
        <w:t>todos los entes del Estado</w:t>
      </w:r>
      <w:r>
        <w:rPr>
          <w:rFonts w:ascii="Verdana" w:hAnsi="Verdana" w:cs="Arial"/>
          <w:bCs/>
          <w:lang w:val="es-MX" w:eastAsia="x-none"/>
        </w:rPr>
        <w:t>”</w:t>
      </w:r>
      <w:r w:rsidRPr="00A45D99">
        <w:rPr>
          <w:rFonts w:ascii="Verdana" w:hAnsi="Verdana" w:cs="Arial"/>
          <w:bCs/>
          <w:lang w:val="es-MX" w:eastAsia="x-none"/>
        </w:rPr>
        <w:t>, expresión que contempla a los diferentes organismos o entidades autorizadas por la ley para suscribir contratos.</w:t>
      </w:r>
      <w:r w:rsidRPr="00A45D99">
        <w:rPr>
          <w:rFonts w:ascii="Verdana" w:hAnsi="Verdana" w:cs="Arial"/>
          <w:lang w:val="es-MX"/>
        </w:rPr>
        <w:t xml:space="preserve"> </w:t>
      </w:r>
      <w:r w:rsidRPr="00A45D99">
        <w:rPr>
          <w:rFonts w:ascii="Verdana" w:hAnsi="Verdana" w:cs="Arial"/>
          <w:bCs/>
          <w:lang w:val="es-MX" w:eastAsia="x-none"/>
        </w:rPr>
        <w:t xml:space="preserve">En efecto, tal como lo ha sostenido el Consejo de Estado, el vocablo </w:t>
      </w:r>
      <w:r>
        <w:rPr>
          <w:rFonts w:ascii="Verdana" w:hAnsi="Verdana" w:cs="Arial"/>
          <w:bCs/>
          <w:lang w:val="es-MX" w:eastAsia="x-none"/>
        </w:rPr>
        <w:t>“</w:t>
      </w:r>
      <w:r w:rsidRPr="00A45D99">
        <w:rPr>
          <w:rFonts w:ascii="Verdana" w:hAnsi="Verdana" w:cs="Arial"/>
          <w:bCs/>
          <w:lang w:val="es-MX" w:eastAsia="x-none"/>
        </w:rPr>
        <w:t>todos</w:t>
      </w:r>
      <w:r>
        <w:rPr>
          <w:rFonts w:ascii="Verdana" w:hAnsi="Verdana" w:cs="Arial"/>
          <w:bCs/>
          <w:lang w:val="es-MX" w:eastAsia="x-none"/>
        </w:rPr>
        <w:t>”</w:t>
      </w:r>
      <w:r w:rsidRPr="00A45D99">
        <w:rPr>
          <w:rFonts w:ascii="Verdana" w:hAnsi="Verdana" w:cs="Arial"/>
          <w:bCs/>
          <w:lang w:val="es-MX" w:eastAsia="x-none"/>
        </w:rPr>
        <w:t xml:space="preserve"> utilizado por el legislador comprende</w:t>
      </w:r>
      <w:r w:rsidRPr="00A45D99">
        <w:rPr>
          <w:rFonts w:ascii="Verdana" w:hAnsi="Verdana" w:cs="Arial"/>
          <w:lang w:val="es-MX"/>
        </w:rPr>
        <w:t xml:space="preserve"> </w:t>
      </w:r>
      <w:r w:rsidRPr="00A45D99">
        <w:rPr>
          <w:rFonts w:ascii="Verdana"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El Consejo de Estado, en Concepto con radicado 1727 de fecha 20 de febrero de 2006, consideró que: </w:t>
      </w:r>
    </w:p>
    <w:p w14:paraId="592F7008" w14:textId="77777777" w:rsidR="00965BFD" w:rsidRPr="00A45D99" w:rsidRDefault="00965BFD" w:rsidP="00965BFD">
      <w:pPr>
        <w:spacing w:after="0" w:line="276" w:lineRule="auto"/>
        <w:ind w:firstLine="708"/>
        <w:jc w:val="both"/>
        <w:rPr>
          <w:rFonts w:ascii="Verdana" w:hAnsi="Verdana" w:cs="Arial"/>
          <w:bCs/>
          <w:lang w:val="es-MX" w:eastAsia="x-none"/>
        </w:rPr>
      </w:pPr>
    </w:p>
    <w:p w14:paraId="0BE9D553" w14:textId="77777777" w:rsidR="00965BFD" w:rsidRPr="00A45D99" w:rsidRDefault="00965BFD" w:rsidP="00965BFD">
      <w:pPr>
        <w:spacing w:after="0" w:line="240" w:lineRule="auto"/>
        <w:ind w:left="708" w:right="709"/>
        <w:jc w:val="both"/>
        <w:rPr>
          <w:rFonts w:ascii="Verdana" w:hAnsi="Verdana" w:cs="Arial"/>
          <w:bCs/>
          <w:sz w:val="20"/>
          <w:szCs w:val="20"/>
          <w:lang w:val="es-MX" w:eastAsia="es-CO"/>
        </w:rPr>
      </w:pPr>
      <w:r w:rsidRPr="00A45D99">
        <w:rPr>
          <w:rFonts w:ascii="Verdana" w:hAnsi="Verdana" w:cs="Arial"/>
          <w:bCs/>
          <w:sz w:val="20"/>
          <w:szCs w:val="20"/>
          <w:lang w:val="es-MX" w:eastAsia="x-none"/>
        </w:rPr>
        <w:t xml:space="preserve">“El artículo 33 de la ley 996 de 2005, </w:t>
      </w:r>
      <w:bookmarkStart w:id="15" w:name="_Hlk75787147"/>
      <w:r w:rsidRPr="00A45D99">
        <w:rPr>
          <w:rFonts w:ascii="Verdana" w:hAnsi="Verdana" w:cs="Arial"/>
          <w:bCs/>
          <w:sz w:val="20"/>
          <w:szCs w:val="20"/>
          <w:lang w:val="es-MX" w:eastAsia="x-none"/>
        </w:rPr>
        <w:t>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A45D99">
        <w:rPr>
          <w:rFonts w:ascii="Verdana" w:hAnsi="Verdana" w:cs="Arial"/>
          <w:bCs/>
          <w:sz w:val="20"/>
          <w:szCs w:val="20"/>
          <w:vertAlign w:val="superscript"/>
          <w:lang w:val="es-MX" w:eastAsia="x-none"/>
        </w:rPr>
        <w:footnoteReference w:id="19"/>
      </w:r>
      <w:r w:rsidRPr="00A45D99">
        <w:rPr>
          <w:rFonts w:ascii="Verdana" w:hAnsi="Verdana" w:cs="Arial"/>
          <w:bCs/>
          <w:sz w:val="20"/>
          <w:szCs w:val="20"/>
          <w:lang w:val="es-MX" w:eastAsia="x-none"/>
        </w:rPr>
        <w:t>.</w:t>
      </w:r>
      <w:r w:rsidRPr="00A45D99">
        <w:rPr>
          <w:rFonts w:ascii="Verdana" w:hAnsi="Verdana" w:cs="Arial"/>
          <w:bCs/>
          <w:sz w:val="20"/>
          <w:szCs w:val="20"/>
          <w:lang w:val="es-MX" w:eastAsia="es-CO"/>
        </w:rPr>
        <w:t xml:space="preserve"> </w:t>
      </w:r>
    </w:p>
    <w:p w14:paraId="24A992A4" w14:textId="77777777" w:rsidR="00965BFD" w:rsidRPr="00A45D99" w:rsidRDefault="00965BFD" w:rsidP="00965BFD">
      <w:pPr>
        <w:spacing w:after="0" w:line="276" w:lineRule="auto"/>
        <w:ind w:firstLine="708"/>
        <w:jc w:val="both"/>
        <w:rPr>
          <w:rFonts w:ascii="Verdana" w:hAnsi="Verdana" w:cs="Arial"/>
          <w:bCs/>
          <w:lang w:val="es-MX" w:eastAsia="es-CO"/>
        </w:rPr>
      </w:pPr>
    </w:p>
    <w:p w14:paraId="186B6DFB" w14:textId="77777777" w:rsidR="00965BFD" w:rsidRPr="00A45D99" w:rsidRDefault="00965BFD" w:rsidP="00965BFD">
      <w:pPr>
        <w:spacing w:after="0" w:line="276" w:lineRule="auto"/>
        <w:ind w:firstLine="708"/>
        <w:jc w:val="both"/>
        <w:rPr>
          <w:rFonts w:ascii="Verdana" w:hAnsi="Verdana" w:cs="Arial"/>
          <w:lang w:val="es-MX"/>
        </w:rPr>
      </w:pPr>
      <w:r w:rsidRPr="00A45D99">
        <w:rPr>
          <w:rFonts w:ascii="Verdana" w:hAnsi="Verdana" w:cs="Arial"/>
          <w:bCs/>
          <w:lang w:val="es-MX" w:eastAsia="x-none"/>
        </w:rPr>
        <w:t xml:space="preserve">De igual forma, en Concepto con radicado 1738 de 6 de abril de 2006, esa misma Corporación manifestó que </w:t>
      </w:r>
      <w:r>
        <w:rPr>
          <w:rFonts w:ascii="Verdana" w:hAnsi="Verdana" w:cs="Arial"/>
          <w:bCs/>
          <w:lang w:val="es-MX" w:eastAsia="x-none"/>
        </w:rPr>
        <w:t>“</w:t>
      </w:r>
      <w:r w:rsidRPr="00A45D99">
        <w:rPr>
          <w:rFonts w:ascii="Verdana" w:hAnsi="Verdana" w:cs="Arial"/>
          <w:bCs/>
          <w:lang w:val="es-MX" w:eastAsia="x-none"/>
        </w:rPr>
        <w:t>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Pr>
          <w:rFonts w:ascii="Verdana" w:hAnsi="Verdana" w:cs="Arial"/>
          <w:bCs/>
          <w:lang w:val="es-MX" w:eastAsia="x-none"/>
        </w:rPr>
        <w:t>”</w:t>
      </w:r>
      <w:bookmarkStart w:id="16" w:name="_Hlk75758868"/>
      <w:bookmarkStart w:id="17" w:name="_Hlk75741220"/>
      <w:r w:rsidRPr="00A45D99">
        <w:rPr>
          <w:rFonts w:ascii="Verdana" w:hAnsi="Verdana" w:cs="Arial"/>
          <w:vertAlign w:val="superscript"/>
          <w:lang w:val="es-MX"/>
        </w:rPr>
        <w:footnoteReference w:id="20"/>
      </w:r>
      <w:bookmarkEnd w:id="16"/>
      <w:bookmarkEnd w:id="17"/>
      <w:r w:rsidRPr="00A45D99">
        <w:rPr>
          <w:rFonts w:ascii="Verdana" w:hAnsi="Verdana" w:cs="Arial"/>
          <w:bCs/>
          <w:lang w:val="es-MX" w:eastAsia="x-none"/>
        </w:rPr>
        <w:t>.</w:t>
      </w:r>
      <w:r w:rsidRPr="00A45D99">
        <w:rPr>
          <w:rFonts w:ascii="Verdana" w:hAnsi="Verdana" w:cs="Arial"/>
          <w:lang w:val="es-MX"/>
        </w:rPr>
        <w:t xml:space="preserve"> Sin </w:t>
      </w:r>
      <w:r w:rsidRPr="00A45D99">
        <w:rPr>
          <w:rFonts w:ascii="Verdana" w:hAnsi="Verdana" w:cs="Arial"/>
          <w:lang w:val="es-MX"/>
        </w:rPr>
        <w:lastRenderedPageBreak/>
        <w:t>embargo, debe precisarse el siguiente aspecto que distinguió la Sala de Consulta y Servicio Civil:</w:t>
      </w:r>
    </w:p>
    <w:p w14:paraId="6C66E5D6" w14:textId="77777777" w:rsidR="00965BFD" w:rsidRPr="00A45D99" w:rsidRDefault="00965BFD" w:rsidP="00965BFD">
      <w:pPr>
        <w:spacing w:after="0" w:line="276" w:lineRule="auto"/>
        <w:jc w:val="both"/>
        <w:rPr>
          <w:rFonts w:ascii="Verdana" w:hAnsi="Verdana" w:cs="Arial"/>
          <w:lang w:val="es-MX"/>
        </w:rPr>
      </w:pPr>
    </w:p>
    <w:p w14:paraId="428C30AA" w14:textId="77777777" w:rsidR="00965BFD" w:rsidRPr="00A45D99" w:rsidRDefault="00965BFD" w:rsidP="00965BFD">
      <w:pPr>
        <w:spacing w:after="0" w:line="240" w:lineRule="auto"/>
        <w:ind w:left="708" w:right="709"/>
        <w:jc w:val="both"/>
        <w:rPr>
          <w:rFonts w:ascii="Verdana" w:hAnsi="Verdana" w:cs="Arial"/>
          <w:sz w:val="20"/>
          <w:szCs w:val="20"/>
          <w:lang w:val="es-MX"/>
        </w:rPr>
      </w:pPr>
      <w:bookmarkStart w:id="19" w:name="_Hlk75811446"/>
      <w:r w:rsidRPr="00A45D99">
        <w:rPr>
          <w:rFonts w:ascii="Verdana"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bookmarkEnd w:id="19"/>
      <w:r w:rsidRPr="00A45D99">
        <w:rPr>
          <w:rFonts w:ascii="Verdana" w:hAnsi="Verdana" w:cs="Arial"/>
          <w:sz w:val="20"/>
          <w:szCs w:val="20"/>
          <w:lang w:val="es-MX"/>
        </w:rPr>
        <w:t>”</w:t>
      </w:r>
      <w:r w:rsidRPr="00A45D99">
        <w:rPr>
          <w:rFonts w:ascii="Verdana" w:hAnsi="Verdana" w:cs="Arial"/>
          <w:sz w:val="20"/>
          <w:szCs w:val="20"/>
          <w:vertAlign w:val="superscript"/>
          <w:lang w:val="es-MX"/>
        </w:rPr>
        <w:footnoteReference w:id="21"/>
      </w:r>
      <w:r w:rsidRPr="00A45D99">
        <w:rPr>
          <w:rFonts w:ascii="Verdana" w:hAnsi="Verdana" w:cs="Arial"/>
          <w:bCs/>
          <w:sz w:val="20"/>
          <w:szCs w:val="20"/>
          <w:lang w:val="es-MX" w:eastAsia="x-none"/>
        </w:rPr>
        <w:t>.</w:t>
      </w:r>
    </w:p>
    <w:p w14:paraId="1733AF38" w14:textId="77777777" w:rsidR="00965BFD" w:rsidRPr="00A45D99" w:rsidRDefault="00965BFD" w:rsidP="00965BFD">
      <w:pPr>
        <w:spacing w:after="0" w:line="276" w:lineRule="auto"/>
        <w:jc w:val="both"/>
        <w:rPr>
          <w:rFonts w:ascii="Verdana" w:hAnsi="Verdana" w:cs="Arial"/>
          <w:lang w:val="es-MX"/>
        </w:rPr>
      </w:pPr>
    </w:p>
    <w:p w14:paraId="34D5B96E" w14:textId="77777777" w:rsidR="00965BFD" w:rsidRPr="00A45D99" w:rsidRDefault="00965BFD" w:rsidP="00965BFD">
      <w:pPr>
        <w:spacing w:after="120" w:line="276" w:lineRule="auto"/>
        <w:ind w:firstLine="709"/>
        <w:jc w:val="both"/>
        <w:rPr>
          <w:rFonts w:ascii="Verdana" w:hAnsi="Verdana" w:cs="Arial"/>
          <w:bCs/>
          <w:lang w:val="es-MX" w:eastAsia="x-none"/>
        </w:rPr>
      </w:pPr>
      <w:r w:rsidRPr="00A45D99">
        <w:rPr>
          <w:rFonts w:ascii="Verdana" w:hAnsi="Verdana" w:cs="Arial"/>
          <w:lang w:val="es-MX"/>
        </w:rPr>
        <w:t>Aplicando este razonamiento,</w:t>
      </w:r>
      <w:bookmarkStart w:id="20" w:name="_Hlk75811096"/>
      <w:r w:rsidRPr="00A45D99">
        <w:rPr>
          <w:rFonts w:ascii="Verdana" w:hAnsi="Verdana" w:cs="Arial"/>
          <w:lang w:val="es-MX"/>
        </w:rPr>
        <w:t xml:space="preserve"> se tiene que las empresas industriales y comerciales del estado y a las empresas de servicios públicos oficiales y mixtas no pueden adquirir los suministros de bienes y servicios necesarios para la realización de su actividad por contratación directa sino por mecanismos competitivos que impliquen convocatoria pública y la posibilidad de pluralidad de oferentes, pero, </w:t>
      </w:r>
      <w:r>
        <w:rPr>
          <w:rFonts w:ascii="Verdana" w:hAnsi="Verdana" w:cs="Arial"/>
          <w:lang w:val="es-MX"/>
        </w:rPr>
        <w:t>“</w:t>
      </w:r>
      <w:r w:rsidRPr="00A45D99">
        <w:rPr>
          <w:rFonts w:ascii="Verdana" w:hAnsi="Verdana" w:cs="Arial"/>
          <w:lang w:val="es-MX"/>
        </w:rPr>
        <w:t>es obvio que si una de estas entidades va a prestar un servicio a un particular, lo puede hacer, pues estos se ofrecen a toda la comunidad en condiciones de igualdad. Si se supusiera que está prohibida su contratación directa, significaría la parálisis de tal actividad de interés público, lo que de ninguna manera es lo querido por la ley 996 de 2005</w:t>
      </w:r>
      <w:bookmarkEnd w:id="20"/>
      <w:r>
        <w:rPr>
          <w:rFonts w:ascii="Verdana" w:hAnsi="Verdana" w:cs="Arial"/>
          <w:lang w:val="es-MX"/>
        </w:rPr>
        <w:t>”</w:t>
      </w:r>
      <w:r w:rsidRPr="00A45D99">
        <w:rPr>
          <w:rFonts w:ascii="Verdana" w:hAnsi="Verdana" w:cs="Arial"/>
          <w:vertAlign w:val="superscript"/>
          <w:lang w:val="es-MX"/>
        </w:rPr>
        <w:t xml:space="preserve"> </w:t>
      </w:r>
      <w:r w:rsidRPr="00A45D99">
        <w:rPr>
          <w:rFonts w:ascii="Verdana" w:hAnsi="Verdana" w:cs="Arial"/>
          <w:vertAlign w:val="superscript"/>
          <w:lang w:val="es-MX"/>
        </w:rPr>
        <w:footnoteReference w:id="22"/>
      </w:r>
      <w:r w:rsidRPr="00A45D99">
        <w:rPr>
          <w:rFonts w:ascii="Verdana" w:hAnsi="Verdana" w:cs="Arial"/>
          <w:lang w:val="es-MX"/>
        </w:rPr>
        <w:t>.</w:t>
      </w:r>
    </w:p>
    <w:p w14:paraId="063792BF" w14:textId="77777777" w:rsidR="00965BFD" w:rsidRDefault="00965BFD" w:rsidP="00965BFD">
      <w:pPr>
        <w:spacing w:after="0" w:line="276" w:lineRule="auto"/>
        <w:ind w:firstLine="708"/>
        <w:jc w:val="both"/>
        <w:rPr>
          <w:rFonts w:ascii="Verdana" w:hAnsi="Verdana" w:cs="Arial"/>
          <w:bCs/>
          <w:lang w:val="es-MX" w:eastAsia="x-none"/>
        </w:rPr>
      </w:pPr>
      <w:bookmarkStart w:id="21" w:name="_Hlk77237229"/>
      <w:bookmarkEnd w:id="15"/>
      <w:r w:rsidRPr="00A45D99">
        <w:rPr>
          <w:rFonts w:ascii="Verdana" w:hAnsi="Verdana" w:cs="Arial"/>
          <w:lang w:val="es-MX"/>
        </w:rPr>
        <w:t>Por lo tanto, la restricción prevista en la Ley 996 de 200</w:t>
      </w:r>
      <w:bookmarkStart w:id="22" w:name="_Hlk75741539"/>
      <w:r w:rsidRPr="00A45D99">
        <w:rPr>
          <w:rFonts w:ascii="Verdana" w:hAnsi="Verdana" w:cs="Arial"/>
          <w:lang w:val="es-MX"/>
        </w:rPr>
        <w:t xml:space="preserve">5, </w:t>
      </w:r>
      <w:r w:rsidRPr="00A45D99">
        <w:rPr>
          <w:rFonts w:ascii="Verdana" w:hAnsi="Verdana" w:cs="Arial"/>
          <w:bCs/>
          <w:lang w:val="es-MX" w:eastAsia="x-none"/>
        </w:rPr>
        <w:t xml:space="preserve">teniendo en cuenta la finalidad de la ley de garantías electorales, cobija a cualquier ente público que pueda a través de la contratación directa romper el equilibrio entre los candidatos en desarrollo de las elecciones presidenciales. Tampoco existe un </w:t>
      </w:r>
      <w:r w:rsidRPr="00A45D99">
        <w:rPr>
          <w:rFonts w:ascii="Verdana" w:hAnsi="Verdana" w:cs="Arial"/>
          <w:bCs/>
          <w:lang w:val="es-MX" w:eastAsia="x-none"/>
        </w:rPr>
        <w:lastRenderedPageBreak/>
        <w:t>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1D055E70" w14:textId="77777777" w:rsidR="00965BFD" w:rsidRDefault="00965BFD" w:rsidP="00965BFD">
      <w:pPr>
        <w:spacing w:after="0" w:line="276" w:lineRule="auto"/>
        <w:ind w:firstLine="708"/>
        <w:jc w:val="both"/>
        <w:rPr>
          <w:rFonts w:ascii="Verdana" w:hAnsi="Verdana" w:cs="Arial"/>
          <w:bCs/>
          <w:lang w:val="es-MX" w:eastAsia="x-none"/>
        </w:rPr>
      </w:pPr>
    </w:p>
    <w:p w14:paraId="7204B93D" w14:textId="77777777" w:rsidR="00965BFD" w:rsidRPr="0004207F" w:rsidRDefault="00965BFD" w:rsidP="00965BFD">
      <w:pPr>
        <w:spacing w:line="276" w:lineRule="auto"/>
        <w:jc w:val="both"/>
        <w:rPr>
          <w:rFonts w:ascii="Verdana" w:hAnsi="Verdana" w:cs="Arial"/>
          <w:bCs/>
          <w:lang w:val="es-MX" w:eastAsia="x-none"/>
        </w:rPr>
      </w:pPr>
      <w:proofErr w:type="spellStart"/>
      <w:r w:rsidRPr="0004207F">
        <w:rPr>
          <w:rFonts w:ascii="Verdana" w:hAnsi="Verdana" w:cs="Arial"/>
          <w:bCs/>
          <w:lang w:val="es-MX" w:eastAsia="x-none"/>
        </w:rPr>
        <w:t>iv</w:t>
      </w:r>
      <w:proofErr w:type="spellEnd"/>
      <w:r w:rsidRPr="0004207F">
        <w:rPr>
          <w:rFonts w:ascii="Verdana" w:hAnsi="Verdana" w:cs="Arial"/>
          <w:bCs/>
          <w:lang w:val="es-MX" w:eastAsia="x-none"/>
        </w:rPr>
        <w:t>. Es importante reiterar que el segundo inciso del artículo 33 de la Ley de Garantías Electorales consagró las excepciones aplicables a la prohibición de contratación directa establecida en el mismo artículo. La Sala de Consulta y Servicio Civil del Consejo de Estado, en Concepto del 4 de febrero de 2010, explica que “[…] Las excepciones establecidas en los artículos 32 y 33 en comento, guardan relación, exclusivamente, con algunos servicios públicos que por su naturaleza no admiten postergaciones en la atención de sus necesidades de personal, bienes y servicios [...]”</w:t>
      </w:r>
      <w:r w:rsidRPr="0004207F">
        <w:rPr>
          <w:rStyle w:val="Refdenotaalpie"/>
          <w:rFonts w:ascii="Verdana" w:hAnsi="Verdana" w:cs="Arial"/>
          <w:lang w:val="es-ES_tradnl" w:eastAsia="es-CO"/>
        </w:rPr>
        <w:footnoteReference w:id="23"/>
      </w:r>
      <w:r w:rsidRPr="0004207F">
        <w:rPr>
          <w:rFonts w:ascii="Verdana" w:hAnsi="Verdana" w:cs="Arial"/>
          <w:bCs/>
          <w:lang w:val="es-MX" w:eastAsia="x-none"/>
        </w:rPr>
        <w:t>.</w:t>
      </w:r>
    </w:p>
    <w:p w14:paraId="3A434F19" w14:textId="77777777" w:rsidR="00965BFD" w:rsidRPr="0004207F" w:rsidRDefault="00965BFD" w:rsidP="00965BFD">
      <w:pPr>
        <w:shd w:val="clear" w:color="auto" w:fill="FFFFFF" w:themeFill="background1"/>
        <w:spacing w:line="276" w:lineRule="auto"/>
        <w:ind w:firstLine="709"/>
        <w:jc w:val="both"/>
        <w:rPr>
          <w:rFonts w:ascii="Verdana" w:hAnsi="Verdana" w:cs="Arial"/>
          <w:lang w:val="es-ES" w:eastAsia="es-CO"/>
        </w:rPr>
      </w:pPr>
      <w:r w:rsidRPr="62118079">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w:t>
      </w:r>
      <w:proofErr w:type="spellStart"/>
      <w:r w:rsidRPr="62118079">
        <w:rPr>
          <w:rFonts w:ascii="Verdana" w:hAnsi="Verdana" w:cs="Arial"/>
          <w:lang w:val="es-ES" w:eastAsia="es-CO"/>
        </w:rPr>
        <w:t>exequibilidad</w:t>
      </w:r>
      <w:proofErr w:type="spellEnd"/>
      <w:r w:rsidRPr="62118079">
        <w:rPr>
          <w:rFonts w:ascii="Verdana" w:hAnsi="Verdana" w:cs="Arial"/>
          <w:lang w:val="es-ES" w:eastAsia="es-CO"/>
        </w:rPr>
        <w:t>. Así, por ejemplo, la Corte Constitucional explicó que “[…]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62118079">
        <w:rPr>
          <w:rStyle w:val="Refdenotaalpie"/>
          <w:rFonts w:ascii="Verdana" w:hAnsi="Verdana" w:cs="Arial"/>
          <w:lang w:val="es-ES" w:eastAsia="es-CO"/>
        </w:rPr>
        <w:footnoteReference w:id="24"/>
      </w:r>
      <w:r w:rsidRPr="62118079">
        <w:rPr>
          <w:rFonts w:ascii="Verdana" w:hAnsi="Verdana" w:cs="Arial"/>
          <w:lang w:val="es-ES" w:eastAsia="es-CO"/>
        </w:rPr>
        <w:t xml:space="preserve">. </w:t>
      </w:r>
    </w:p>
    <w:p w14:paraId="433E4853" w14:textId="77777777" w:rsidR="00965BFD" w:rsidRPr="0004207F" w:rsidRDefault="00965BFD" w:rsidP="00965BFD">
      <w:pPr>
        <w:shd w:val="clear" w:color="auto" w:fill="FFFFFF"/>
        <w:spacing w:line="276" w:lineRule="auto"/>
        <w:ind w:firstLine="709"/>
        <w:jc w:val="both"/>
        <w:rPr>
          <w:rFonts w:ascii="Verdana" w:hAnsi="Verdana" w:cs="Arial"/>
          <w:lang w:val="es-ES_tradnl" w:eastAsia="es-CO"/>
        </w:rPr>
      </w:pPr>
      <w:r w:rsidRPr="0004207F">
        <w:rPr>
          <w:rFonts w:ascii="Verdana" w:hAnsi="Verdana" w:cs="Arial"/>
          <w:bCs/>
          <w:lang w:val="es-ES_tradnl"/>
        </w:rPr>
        <w:t xml:space="preserve">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w:t>
      </w:r>
      <w:r w:rsidRPr="0004207F">
        <w:rPr>
          <w:rFonts w:ascii="Verdana" w:hAnsi="Verdana" w:cs="Arial"/>
          <w:bCs/>
          <w:lang w:val="es-ES_tradnl"/>
        </w:rPr>
        <w:lastRenderedPageBreak/>
        <w:t>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4769749D" w14:textId="77777777" w:rsidR="00965BFD" w:rsidRPr="0004207F" w:rsidRDefault="00965BFD" w:rsidP="00965BFD">
      <w:pPr>
        <w:spacing w:line="276" w:lineRule="auto"/>
        <w:ind w:firstLine="708"/>
        <w:jc w:val="both"/>
        <w:rPr>
          <w:rFonts w:ascii="Verdana" w:eastAsia="Calibri" w:hAnsi="Verdana" w:cs="Arial"/>
        </w:rPr>
      </w:pPr>
      <w:r w:rsidRPr="0004207F">
        <w:rPr>
          <w:rFonts w:ascii="Verdana" w:hAnsi="Verdana" w:cs="Arial"/>
          <w:bCs/>
          <w:lang w:val="es-MX" w:eastAsia="x-none"/>
        </w:rPr>
        <w:t>Entre las excepciones del artículo en comento se encuentran “[…] l</w:t>
      </w:r>
      <w:r w:rsidRPr="0004207F">
        <w:rPr>
          <w:rFonts w:ascii="Verdana" w:hAnsi="Verdana" w:cs="Arial"/>
          <w:bCs/>
          <w:lang w:eastAsia="x-none"/>
        </w:rPr>
        <w:t>os requeridos para cubrir las emergencias educativas, sanitarias y desastres […]</w:t>
      </w:r>
      <w:r w:rsidRPr="0004207F">
        <w:rPr>
          <w:rFonts w:ascii="Verdana" w:hAnsi="Verdana" w:cs="Arial"/>
          <w:bCs/>
          <w:lang w:val="es-MX" w:eastAsia="x-none"/>
        </w:rPr>
        <w:t>”</w:t>
      </w:r>
      <w:r w:rsidRPr="0004207F">
        <w:rPr>
          <w:rFonts w:ascii="Verdana" w:eastAsia="Calibri" w:hAnsi="Verdana" w:cs="Arial"/>
        </w:rPr>
        <w:t xml:space="preserve">. Sobre el alcance de estas excepciones, es necesario tener en cuenta que el </w:t>
      </w:r>
      <w:r w:rsidRPr="0004207F">
        <w:rPr>
          <w:rFonts w:ascii="Verdana" w:eastAsia="Calibri" w:hAnsi="Verdana" w:cs="Arial"/>
          <w:bCs/>
          <w:color w:val="000000" w:themeColor="text1"/>
        </w:rPr>
        <w:t xml:space="preserve">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04207F">
        <w:rPr>
          <w:rFonts w:ascii="Verdana" w:eastAsia="Calibri" w:hAnsi="Verdana" w:cs="Arial"/>
          <w:bCs/>
          <w:i/>
          <w:iCs/>
          <w:color w:val="000000" w:themeColor="text1"/>
        </w:rPr>
        <w:t>ibidem</w:t>
      </w:r>
      <w:r w:rsidRPr="0004207F">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04207F">
        <w:rPr>
          <w:rStyle w:val="Refdenotaalpie"/>
          <w:rFonts w:ascii="Verdana" w:eastAsia="Calibri" w:hAnsi="Verdana" w:cs="Arial"/>
          <w:bCs/>
          <w:color w:val="000000" w:themeColor="text1"/>
        </w:rPr>
        <w:footnoteReference w:id="25"/>
      </w:r>
      <w:r w:rsidRPr="0004207F">
        <w:rPr>
          <w:rFonts w:ascii="Verdana" w:eastAsia="Calibri" w:hAnsi="Verdana" w:cs="Arial"/>
          <w:bCs/>
          <w:color w:val="000000" w:themeColor="text1"/>
        </w:rPr>
        <w:t>.</w:t>
      </w:r>
    </w:p>
    <w:p w14:paraId="33AB8A6C" w14:textId="77777777" w:rsidR="00965BFD" w:rsidRPr="0004207F" w:rsidRDefault="00965BFD" w:rsidP="00965BFD">
      <w:pPr>
        <w:spacing w:line="276" w:lineRule="auto"/>
        <w:jc w:val="both"/>
        <w:rPr>
          <w:rFonts w:ascii="Verdana" w:eastAsia="Calibri" w:hAnsi="Verdana" w:cs="Arial"/>
          <w:bCs/>
          <w:color w:val="000000" w:themeColor="text1"/>
        </w:rPr>
      </w:pPr>
      <w:r w:rsidRPr="0004207F">
        <w:rPr>
          <w:rFonts w:ascii="Verdana" w:eastAsia="Calibri" w:hAnsi="Verdana" w:cs="Arial"/>
          <w:bCs/>
          <w:color w:val="000000" w:themeColor="text1"/>
        </w:rPr>
        <w:tab/>
        <w:t xml:space="preserve">Dentro de este marco, el inciso primero del artículo 69 de la Ley 1753 de 2015 dispone que “El Ministerio de Salud y Protección Social (MSPS) podrá declarar la emergencia sanitaria y/o eventos catastróficos, cuando se presenten situaciones por riesgo de epidemia, epidemia declarada, insuficiencia o desabastecimiento de bienes o servicios de salud o eventos catastróficos que afecten la salud colectiva, u otros cuya magnitud supere la capacidad de adaptación de la comunidad en la que aquel se produce y que la afecten en forma masiva e indiscriminada generando la necesidad de ayuda externa”. </w:t>
      </w:r>
    </w:p>
    <w:p w14:paraId="56EA0D7A" w14:textId="77777777" w:rsidR="00965BFD" w:rsidRPr="00D93A6C" w:rsidRDefault="00965BFD" w:rsidP="00965BFD">
      <w:pPr>
        <w:spacing w:after="120" w:line="276" w:lineRule="auto"/>
        <w:jc w:val="both"/>
        <w:rPr>
          <w:rFonts w:ascii="Verdana" w:eastAsia="Calibri" w:hAnsi="Verdana" w:cs="Arial"/>
          <w:lang w:val="es-ES"/>
        </w:rPr>
      </w:pPr>
      <w:r w:rsidRPr="0004207F">
        <w:rPr>
          <w:rFonts w:ascii="Verdana" w:eastAsia="Calibri" w:hAnsi="Verdana" w:cs="Arial"/>
          <w:bCs/>
          <w:color w:val="000000" w:themeColor="text1"/>
        </w:rPr>
        <w:lastRenderedPageBreak/>
        <w:tab/>
        <w:t xml:space="preserve">Asimismo, </w:t>
      </w:r>
      <w:r>
        <w:rPr>
          <w:rFonts w:ascii="Verdana" w:eastAsia="Calibri" w:hAnsi="Verdana" w:cs="Arial"/>
          <w:lang w:val="es-ES"/>
        </w:rPr>
        <w:t>e</w:t>
      </w:r>
      <w:r w:rsidRPr="3683B926">
        <w:rPr>
          <w:rFonts w:ascii="Verdana" w:eastAsia="Calibri" w:hAnsi="Verdana" w:cs="Arial"/>
          <w:lang w:val="es-ES"/>
        </w:rPr>
        <w:t>l artículo 42 de la Ley 80 de 1993 dispone que la urgencia manifiesta se declara, entre otras tres (3) circunstancias, con la finalidad de “[…] conjurar situaciones excepcionales relacionadas con hechos de calamidad o constitutivos de fuerza mayor o desastre que demanden actuaciones inmediatas […]”.</w:t>
      </w:r>
      <w:r>
        <w:rPr>
          <w:rFonts w:ascii="Verdana" w:eastAsia="Calibri" w:hAnsi="Verdana" w:cs="Arial"/>
          <w:lang w:val="es-ES"/>
        </w:rPr>
        <w:t xml:space="preserve"> E</w:t>
      </w:r>
      <w:r w:rsidRPr="3683B926">
        <w:rPr>
          <w:rFonts w:ascii="Verdana" w:eastAsia="Calibri" w:hAnsi="Verdana" w:cs="Arial"/>
          <w:lang w:val="es-ES"/>
        </w:rPr>
        <w:t xml:space="preserve">n la medida en que la norma utiliza la conjunción “o”, en principio asimilaría la </w:t>
      </w:r>
      <w:r w:rsidRPr="3683B926">
        <w:rPr>
          <w:rFonts w:ascii="Verdana" w:eastAsia="Calibri" w:hAnsi="Verdana" w:cs="Arial"/>
          <w:i/>
          <w:lang w:val="es-ES"/>
        </w:rPr>
        <w:t>calamidad</w:t>
      </w:r>
      <w:r w:rsidRPr="3683B926">
        <w:rPr>
          <w:rFonts w:ascii="Verdana" w:eastAsia="Calibri" w:hAnsi="Verdana" w:cs="Arial"/>
          <w:lang w:val="es-ES"/>
        </w:rPr>
        <w:t xml:space="preserve"> y el </w:t>
      </w:r>
      <w:r w:rsidRPr="3683B926">
        <w:rPr>
          <w:rFonts w:ascii="Verdana" w:eastAsia="Calibri" w:hAnsi="Verdana" w:cs="Arial"/>
          <w:i/>
          <w:lang w:val="es-ES"/>
        </w:rPr>
        <w:t xml:space="preserve">desastre </w:t>
      </w:r>
      <w:r w:rsidRPr="3683B926">
        <w:rPr>
          <w:rFonts w:ascii="Verdana" w:eastAsia="Calibri" w:hAnsi="Verdana" w:cs="Arial"/>
          <w:lang w:val="es-ES"/>
        </w:rPr>
        <w:t xml:space="preserve">con la </w:t>
      </w:r>
      <w:r w:rsidRPr="3683B926">
        <w:rPr>
          <w:rFonts w:ascii="Verdana" w:eastAsia="Calibri" w:hAnsi="Verdana" w:cs="Arial"/>
          <w:i/>
          <w:lang w:val="es-ES"/>
        </w:rPr>
        <w:t>fuerza mayor</w:t>
      </w:r>
      <w:r w:rsidRPr="3683B926">
        <w:rPr>
          <w:rFonts w:ascii="Verdana" w:eastAsia="Calibri" w:hAnsi="Verdana" w:cs="Arial"/>
          <w:lang w:val="es-ES"/>
        </w:rPr>
        <w:t xml:space="preserve"> o el </w:t>
      </w:r>
      <w:r w:rsidRPr="3683B926">
        <w:rPr>
          <w:rFonts w:ascii="Verdana" w:eastAsia="Calibri" w:hAnsi="Verdana" w:cs="Arial"/>
          <w:i/>
          <w:lang w:val="es-ES"/>
        </w:rPr>
        <w:t>caso fortuito</w:t>
      </w:r>
      <w:r w:rsidRPr="3683B926">
        <w:rPr>
          <w:rFonts w:ascii="Verdana" w:eastAsia="Calibri" w:hAnsi="Verdana" w:cs="Arial"/>
          <w:lang w:val="es-ES"/>
        </w:rPr>
        <w:t xml:space="preserve">. </w:t>
      </w:r>
    </w:p>
    <w:p w14:paraId="6C13DCA8" w14:textId="77777777" w:rsidR="00965BFD" w:rsidRPr="00D93A6C" w:rsidRDefault="00965BFD" w:rsidP="00965BFD">
      <w:pPr>
        <w:spacing w:after="0" w:line="276" w:lineRule="auto"/>
        <w:ind w:firstLine="708"/>
        <w:jc w:val="both"/>
        <w:rPr>
          <w:rFonts w:ascii="Verdana" w:eastAsia="Calibri" w:hAnsi="Verdana" w:cs="Arial"/>
          <w:lang w:val="es-ES_tradnl"/>
        </w:rPr>
      </w:pPr>
      <w:r w:rsidRPr="00D93A6C">
        <w:rPr>
          <w:rFonts w:ascii="Verdana" w:eastAsia="Calibri" w:hAnsi="Verdana" w:cs="Arial"/>
          <w:lang w:val="es-ES_tradnl"/>
        </w:rPr>
        <w:t xml:space="preserve">Al respecto, el artículo 64 del Código Civil define como tal “[…] el imprevisto o que no es posible resistir, como un naufragio, un terremoto, </w:t>
      </w:r>
      <w:bookmarkStart w:id="23" w:name="_Hlk35871146"/>
      <w:r w:rsidRPr="00D93A6C">
        <w:rPr>
          <w:rFonts w:ascii="Verdana" w:eastAsia="Calibri" w:hAnsi="Verdana" w:cs="Arial"/>
          <w:lang w:val="es-ES_tradnl"/>
        </w:rPr>
        <w:t>el apresamiento de enemigos, los actos de autoridad ejercidos por un funcionario público</w:t>
      </w:r>
      <w:bookmarkEnd w:id="23"/>
      <w:r w:rsidRPr="00D93A6C">
        <w:rPr>
          <w:rFonts w:ascii="Verdana" w:eastAsia="Calibri" w:hAnsi="Verdana" w:cs="Arial"/>
          <w:lang w:val="es-ES_tradnl"/>
        </w:rPr>
        <w:t>, etc.”</w:t>
      </w:r>
      <w:r w:rsidRPr="00D93A6C">
        <w:rPr>
          <w:rFonts w:ascii="Verdana" w:eastAsia="Calibri" w:hAnsi="Verdana" w:cs="Arial"/>
          <w:sz w:val="21"/>
          <w:szCs w:val="21"/>
          <w:vertAlign w:val="superscript"/>
          <w:lang w:val="es-ES_tradnl"/>
        </w:rPr>
        <w:footnoteReference w:id="26"/>
      </w:r>
      <w:r w:rsidRPr="00D93A6C">
        <w:rPr>
          <w:rFonts w:ascii="Verdana" w:eastAsia="Calibri" w:hAnsi="Verdana" w:cs="Arial"/>
          <w:sz w:val="21"/>
          <w:szCs w:val="21"/>
          <w:lang w:val="es-ES_tradnl"/>
        </w:rPr>
        <w:t>.</w:t>
      </w:r>
      <w:r w:rsidRPr="00D93A6C">
        <w:rPr>
          <w:rFonts w:ascii="Verdana" w:eastAsia="Calibri" w:hAnsi="Verdana" w:cs="Arial"/>
          <w:lang w:val="es-ES_tradnl"/>
        </w:rPr>
        <w:t xml:space="preserve"> Cuando provienen de fenómenos de la naturaleza estas características confluyen con los conceptos de desastre y calamidad, los cuales –conforme al Diccionario de la Real Academia Española– constituyen una “Desgracia grande, suceso infeliz y lamentable” o “Desgracia o infortunio que alcanza a muchas personas”, respectivamente. Conforme al significado natural de las palabras, parece que la diferencia es el mayor alcance de la segunda respecto al primero. No obstante, además de la ocurrencia de desastres y </w:t>
      </w:r>
      <w:r w:rsidRPr="00D93A6C">
        <w:rPr>
          <w:rFonts w:ascii="Verdana" w:eastAsia="Calibri" w:hAnsi="Verdana" w:cs="Arial"/>
          <w:lang w:val="es-ES_tradnl"/>
        </w:rPr>
        <w:lastRenderedPageBreak/>
        <w:t xml:space="preserve">calamidades que –aunque irresistibles– se presentan con cierto grado de previsibilidad o que, incluso, se originan en la actuación humana intencional, estos dos conceptos también los definió </w:t>
      </w:r>
      <w:bookmarkStart w:id="24" w:name="_Hlk35879271"/>
      <w:r w:rsidRPr="00D93A6C">
        <w:rPr>
          <w:rFonts w:ascii="Verdana" w:eastAsia="Calibri" w:hAnsi="Verdana" w:cs="Arial"/>
          <w:lang w:val="es-ES_tradnl"/>
        </w:rPr>
        <w:t>el artículo 4, numerales 5 y 8, de la Ley 1523 de 2012</w:t>
      </w:r>
      <w:bookmarkEnd w:id="24"/>
      <w:r w:rsidRPr="00D93A6C">
        <w:rPr>
          <w:rFonts w:ascii="Verdana" w:eastAsia="Calibri" w:hAnsi="Verdana" w:cs="Arial"/>
          <w:lang w:val="es-ES_tradnl"/>
        </w:rPr>
        <w:t>:</w:t>
      </w:r>
    </w:p>
    <w:p w14:paraId="510502FB" w14:textId="77777777" w:rsidR="00965BFD" w:rsidRPr="00D93A6C" w:rsidRDefault="00965BFD" w:rsidP="00965BFD">
      <w:pPr>
        <w:spacing w:after="0" w:line="276" w:lineRule="auto"/>
        <w:ind w:firstLine="708"/>
        <w:jc w:val="both"/>
        <w:rPr>
          <w:rFonts w:ascii="Verdana" w:eastAsia="Calibri" w:hAnsi="Verdana" w:cs="Arial"/>
          <w:lang w:val="es-ES_tradnl"/>
        </w:rPr>
      </w:pPr>
    </w:p>
    <w:p w14:paraId="48502B07" w14:textId="77777777" w:rsidR="00965BFD" w:rsidRPr="00DB5641" w:rsidRDefault="00965BFD" w:rsidP="00965BFD">
      <w:pPr>
        <w:spacing w:after="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“Art. 4. Para efectos de la presente ley se entenderá por:</w:t>
      </w:r>
    </w:p>
    <w:p w14:paraId="468F8F33" w14:textId="77777777" w:rsidR="00965BFD" w:rsidRPr="00DB5641" w:rsidRDefault="00965BFD" w:rsidP="00965BFD">
      <w:pPr>
        <w:spacing w:after="12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w:t>
      </w:r>
    </w:p>
    <w:p w14:paraId="0C756156" w14:textId="77777777" w:rsidR="00965BFD" w:rsidRPr="00DB5641" w:rsidRDefault="00965BFD" w:rsidP="00965BFD">
      <w:pPr>
        <w:spacing w:after="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 xml:space="preserve">5. Calamidad pública: Es </w:t>
      </w:r>
      <w:bookmarkStart w:id="25" w:name="_Hlk35879333"/>
      <w:r w:rsidRPr="00DB5641">
        <w:rPr>
          <w:rFonts w:ascii="Verdana" w:eastAsia="Calibri" w:hAnsi="Verdana" w:cs="Arial"/>
          <w:sz w:val="20"/>
          <w:szCs w:val="20"/>
          <w:lang w:val="es-ES_tradnl"/>
        </w:rPr>
        <w:t xml:space="preserve">el resultado que se desencadena de la manifestación de uno o varios eventos naturales </w:t>
      </w:r>
      <w:bookmarkStart w:id="26" w:name="_Hlk35870820"/>
      <w:r w:rsidRPr="00DB5641">
        <w:rPr>
          <w:rFonts w:ascii="Verdana" w:eastAsia="Calibri" w:hAnsi="Verdana" w:cs="Arial"/>
          <w:sz w:val="20"/>
          <w:szCs w:val="20"/>
          <w:lang w:val="es-ES_tradnl"/>
        </w:rPr>
        <w:t xml:space="preserve">o antropogénicos no intencionales </w:t>
      </w:r>
      <w:bookmarkEnd w:id="26"/>
      <w:r w:rsidRPr="00DB5641">
        <w:rPr>
          <w:rFonts w:ascii="Verdana" w:eastAsia="Calibri" w:hAnsi="Verdana" w:cs="Arial"/>
          <w:sz w:val="20"/>
          <w:szCs w:val="20"/>
          <w:lang w:val="es-ES_tradnl"/>
        </w:rPr>
        <w:t xml:space="preserve">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w:t>
      </w:r>
      <w:bookmarkEnd w:id="25"/>
      <w:r w:rsidRPr="00DB5641">
        <w:rPr>
          <w:rFonts w:ascii="Verdana" w:eastAsia="Calibri" w:hAnsi="Verdana" w:cs="Arial"/>
          <w:sz w:val="20"/>
          <w:szCs w:val="20"/>
          <w:lang w:val="es-ES_tradnl"/>
        </w:rPr>
        <w:t>de la población, en el respectivo territorio, que exige al municipio, distrito o departamento ejecutar acciones de respuesta a la emergencia, rehabilitación y reconstrucción.</w:t>
      </w:r>
    </w:p>
    <w:p w14:paraId="0E23D080" w14:textId="77777777" w:rsidR="00965BFD" w:rsidRPr="00DB5641" w:rsidRDefault="00965BFD" w:rsidP="00965BFD">
      <w:pPr>
        <w:spacing w:after="12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 xml:space="preserve">[…] </w:t>
      </w:r>
    </w:p>
    <w:p w14:paraId="0F027114" w14:textId="77777777" w:rsidR="00965BFD" w:rsidRPr="00D93A6C" w:rsidRDefault="00965BFD" w:rsidP="00965BFD">
      <w:pPr>
        <w:spacing w:after="0" w:line="240" w:lineRule="auto"/>
        <w:ind w:left="709" w:right="709"/>
        <w:jc w:val="both"/>
        <w:rPr>
          <w:rFonts w:ascii="Verdana" w:eastAsia="Calibri" w:hAnsi="Verdana" w:cs="Arial"/>
          <w:lang w:val="es-ES_tradnl"/>
        </w:rPr>
      </w:pPr>
      <w:r w:rsidRPr="00DB5641">
        <w:rPr>
          <w:rFonts w:ascii="Verdana" w:eastAsia="Calibri" w:hAnsi="Verdana" w:cs="Arial"/>
          <w:sz w:val="20"/>
          <w:szCs w:val="20"/>
          <w:lang w:val="es-ES_tradnl"/>
        </w:rPr>
        <w:t>8. Desastre: Es el resultado que se desencadena de la manifestación de uno o varios eventos naturales o antropogénicos no intencionales 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de la sociedad, que exige del Estado y del sistema nacional ejecutar acciones de respuesta a la emergencia, rehabilitación y reconstrucción”.</w:t>
      </w:r>
    </w:p>
    <w:p w14:paraId="6BB8D70B" w14:textId="77777777" w:rsidR="00965BFD" w:rsidRPr="00D93A6C" w:rsidRDefault="00965BFD" w:rsidP="00965BFD">
      <w:pPr>
        <w:spacing w:after="0" w:line="276" w:lineRule="auto"/>
        <w:ind w:left="709" w:right="709"/>
        <w:jc w:val="both"/>
        <w:rPr>
          <w:rFonts w:ascii="Verdana" w:eastAsia="Calibri" w:hAnsi="Verdana" w:cs="Arial"/>
          <w:lang w:val="es-ES_tradnl"/>
        </w:rPr>
      </w:pPr>
    </w:p>
    <w:p w14:paraId="2D1EA57A" w14:textId="77777777" w:rsidR="00965BFD" w:rsidRDefault="00965BFD" w:rsidP="00965BFD">
      <w:pPr>
        <w:spacing w:after="120" w:line="276" w:lineRule="auto"/>
        <w:ind w:firstLine="709"/>
        <w:jc w:val="both"/>
        <w:rPr>
          <w:rFonts w:ascii="Verdana" w:eastAsia="Calibri" w:hAnsi="Verdana" w:cs="Arial"/>
          <w:lang w:val="es-ES"/>
        </w:rPr>
      </w:pPr>
      <w:r w:rsidRPr="3683B926">
        <w:rPr>
          <w:rFonts w:ascii="Verdana" w:eastAsia="Calibri" w:hAnsi="Verdana" w:cs="Arial"/>
          <w:lang w:val="es-ES"/>
        </w:rPr>
        <w:t xml:space="preserve">Esta norma debe armonizarse con los artículos 56 y 57 </w:t>
      </w:r>
      <w:r w:rsidRPr="3683B926">
        <w:rPr>
          <w:rFonts w:ascii="Verdana" w:eastAsia="Calibri" w:hAnsi="Verdana" w:cs="Arial"/>
          <w:i/>
          <w:lang w:val="es-ES"/>
        </w:rPr>
        <w:t>ibidem</w:t>
      </w:r>
      <w:r w:rsidRPr="3683B926">
        <w:rPr>
          <w:rFonts w:ascii="Verdana" w:eastAsia="Calibri" w:hAnsi="Verdana" w:cs="Arial"/>
          <w:lang w:val="es-ES"/>
        </w:rPr>
        <w:t xml:space="preserve">, que asignan la competencia para declarar la ocurrencia de una situación de </w:t>
      </w:r>
      <w:r w:rsidRPr="3683B926">
        <w:rPr>
          <w:rFonts w:ascii="Verdana" w:eastAsia="Calibri" w:hAnsi="Verdana" w:cs="Arial"/>
          <w:i/>
          <w:lang w:val="es-ES"/>
        </w:rPr>
        <w:t>desastre</w:t>
      </w:r>
      <w:r w:rsidRPr="3683B926">
        <w:rPr>
          <w:rFonts w:ascii="Verdana" w:eastAsia="Calibri" w:hAnsi="Verdana" w:cs="Arial"/>
          <w:lang w:val="es-ES"/>
        </w:rPr>
        <w:t xml:space="preserve"> o una situación de </w:t>
      </w:r>
      <w:r w:rsidRPr="3683B926">
        <w:rPr>
          <w:rFonts w:ascii="Verdana" w:eastAsia="Calibri" w:hAnsi="Verdana" w:cs="Arial"/>
          <w:i/>
          <w:lang w:val="es-ES"/>
        </w:rPr>
        <w:t>calamidad pública</w:t>
      </w:r>
      <w:r w:rsidRPr="3683B926">
        <w:rPr>
          <w:rFonts w:ascii="Verdana" w:eastAsia="Calibri" w:hAnsi="Verdana" w:cs="Arial"/>
          <w:lang w:val="es-ES"/>
        </w:rPr>
        <w:t xml:space="preserve">. Particularmente, disponen que al Presidente de la República le corresponde declarar la situación de </w:t>
      </w:r>
      <w:r w:rsidRPr="3683B926">
        <w:rPr>
          <w:rFonts w:ascii="Verdana" w:eastAsia="Calibri" w:hAnsi="Verdana" w:cs="Arial"/>
          <w:i/>
          <w:lang w:val="es-ES"/>
        </w:rPr>
        <w:t>desastre</w:t>
      </w:r>
      <w:r w:rsidRPr="3683B926">
        <w:rPr>
          <w:rFonts w:ascii="Verdana" w:eastAsia="Calibri" w:hAnsi="Verdana" w:cs="Arial"/>
          <w:lang w:val="es-ES"/>
        </w:rPr>
        <w:t>, tanto en el orden nacional, departamental, como en el municipal y distrital</w:t>
      </w:r>
      <w:r w:rsidRPr="3683B926">
        <w:rPr>
          <w:rStyle w:val="Refdenotaalpie"/>
          <w:rFonts w:ascii="Verdana" w:eastAsia="Calibri" w:hAnsi="Verdana" w:cs="Arial"/>
          <w:lang w:val="es-ES"/>
        </w:rPr>
        <w:footnoteReference w:id="27"/>
      </w:r>
      <w:r w:rsidRPr="3683B926">
        <w:rPr>
          <w:rFonts w:ascii="Verdana" w:eastAsia="Calibri" w:hAnsi="Verdana" w:cs="Arial"/>
          <w:lang w:val="es-ES"/>
        </w:rPr>
        <w:t xml:space="preserve">, facultad </w:t>
      </w:r>
      <w:r w:rsidRPr="3683B926">
        <w:rPr>
          <w:rFonts w:ascii="Verdana" w:eastAsia="Calibri" w:hAnsi="Verdana" w:cs="Arial"/>
          <w:lang w:val="es-ES"/>
        </w:rPr>
        <w:lastRenderedPageBreak/>
        <w:t xml:space="preserve">que no pueden ejercer los gobernadores y alcaldes, porque la norma no les asignó esta competencia. No obstante, a los gobernadores y alcaldes sí les corresponde declarar la </w:t>
      </w:r>
      <w:r w:rsidRPr="3683B926">
        <w:rPr>
          <w:rFonts w:ascii="Verdana" w:eastAsia="Calibri" w:hAnsi="Verdana" w:cs="Arial"/>
          <w:i/>
          <w:lang w:val="es-ES"/>
        </w:rPr>
        <w:t>situación de calamidad pública</w:t>
      </w:r>
      <w:r w:rsidRPr="3683B926">
        <w:rPr>
          <w:rFonts w:ascii="Verdana" w:eastAsia="Calibri" w:hAnsi="Verdana" w:cs="Arial"/>
          <w:lang w:val="es-ES"/>
        </w:rPr>
        <w:t>, en los respectivos ámbitos, facultad que, en cambio, no puede ejercer el presidente de la república</w:t>
      </w:r>
      <w:r w:rsidRPr="3683B926">
        <w:rPr>
          <w:rStyle w:val="Refdenotaalpie"/>
          <w:rFonts w:ascii="Verdana" w:eastAsia="Calibri" w:hAnsi="Verdana" w:cs="Arial"/>
          <w:lang w:val="es-ES"/>
        </w:rPr>
        <w:footnoteReference w:id="28"/>
      </w:r>
      <w:r w:rsidRPr="3683B926">
        <w:rPr>
          <w:rFonts w:ascii="Verdana" w:eastAsia="Calibri" w:hAnsi="Verdana" w:cs="Arial"/>
          <w:lang w:val="es-ES"/>
        </w:rPr>
        <w:t xml:space="preserve">. </w:t>
      </w:r>
    </w:p>
    <w:p w14:paraId="0BBF0321" w14:textId="77777777" w:rsidR="00965BFD" w:rsidRDefault="00965BFD" w:rsidP="00965BFD">
      <w:pPr>
        <w:spacing w:after="120" w:line="276" w:lineRule="auto"/>
        <w:ind w:firstLine="709"/>
        <w:jc w:val="both"/>
        <w:rPr>
          <w:rFonts w:ascii="Verdana" w:eastAsia="Calibri" w:hAnsi="Verdana" w:cs="Arial"/>
          <w:lang w:val="es-ES"/>
        </w:rPr>
      </w:pPr>
      <w:r>
        <w:rPr>
          <w:rFonts w:ascii="Verdana" w:eastAsia="Calibri" w:hAnsi="Verdana" w:cs="Arial"/>
          <w:lang w:val="es-ES"/>
        </w:rPr>
        <w:t xml:space="preserve">Finalmente, el artículo 2 de la Resolución del Ministerio de Educación Nacional 6519 del 1˚ de abril de 2025 dispone que </w:t>
      </w:r>
      <w:r w:rsidRPr="00626A30">
        <w:rPr>
          <w:rFonts w:ascii="Verdana" w:eastAsia="Calibri" w:hAnsi="Verdana" w:cs="Arial"/>
          <w:lang w:val="es-ES"/>
        </w:rPr>
        <w:t>la</w:t>
      </w:r>
      <w:r>
        <w:rPr>
          <w:rFonts w:ascii="Verdana" w:eastAsia="Calibri" w:hAnsi="Verdana" w:cs="Arial"/>
          <w:lang w:val="es-ES"/>
        </w:rPr>
        <w:t xml:space="preserve"> </w:t>
      </w:r>
      <w:r w:rsidRPr="00626A30">
        <w:rPr>
          <w:rFonts w:ascii="Verdana" w:eastAsia="Calibri" w:hAnsi="Verdana" w:cs="Arial"/>
          <w:lang w:val="es-ES"/>
        </w:rPr>
        <w:t>Política Pública de Gestión Integral del Riesgo Escolar y Educación en Emergencias</w:t>
      </w:r>
      <w:r>
        <w:rPr>
          <w:rFonts w:ascii="Verdana" w:eastAsia="Calibri" w:hAnsi="Verdana" w:cs="Arial"/>
          <w:lang w:val="es-ES"/>
        </w:rPr>
        <w:t xml:space="preserve"> tiene como objetivo “[…] </w:t>
      </w:r>
      <w:r w:rsidRPr="00626A30">
        <w:rPr>
          <w:rFonts w:ascii="Verdana" w:eastAsia="Calibri" w:hAnsi="Verdana" w:cs="Arial"/>
          <w:lang w:val="es-ES"/>
        </w:rPr>
        <w:t>es proteger, durante</w:t>
      </w:r>
      <w:r>
        <w:rPr>
          <w:rFonts w:ascii="Verdana" w:eastAsia="Calibri" w:hAnsi="Verdana" w:cs="Arial"/>
          <w:lang w:val="es-ES"/>
        </w:rPr>
        <w:t xml:space="preserve"> </w:t>
      </w:r>
      <w:r w:rsidRPr="00626A30">
        <w:rPr>
          <w:rFonts w:ascii="Verdana" w:eastAsia="Calibri" w:hAnsi="Verdana" w:cs="Arial"/>
          <w:lang w:val="es-ES"/>
        </w:rPr>
        <w:t>toda la trayectoria educativa, el derecho a la educación de niños, niñas, adolescentes, jóvenes</w:t>
      </w:r>
      <w:r>
        <w:rPr>
          <w:rFonts w:ascii="Verdana" w:eastAsia="Calibri" w:hAnsi="Verdana" w:cs="Arial"/>
          <w:lang w:val="es-ES"/>
        </w:rPr>
        <w:t xml:space="preserve"> </w:t>
      </w:r>
      <w:r w:rsidRPr="00626A30">
        <w:rPr>
          <w:rFonts w:ascii="Verdana" w:eastAsia="Calibri" w:hAnsi="Verdana" w:cs="Arial"/>
          <w:lang w:val="es-ES"/>
        </w:rPr>
        <w:t>y adultos y salvaguardar su vida e integridad, junto con la de los docentes, directivos docentes</w:t>
      </w:r>
      <w:r>
        <w:rPr>
          <w:rFonts w:ascii="Verdana" w:eastAsia="Calibri" w:hAnsi="Verdana" w:cs="Arial"/>
          <w:lang w:val="es-ES"/>
        </w:rPr>
        <w:t xml:space="preserve"> </w:t>
      </w:r>
      <w:r w:rsidRPr="00626A30">
        <w:rPr>
          <w:rFonts w:ascii="Verdana" w:eastAsia="Calibri" w:hAnsi="Verdana" w:cs="Arial"/>
          <w:lang w:val="es-ES"/>
        </w:rPr>
        <w:t>y personal administrativo, frente a los riesgos derivados de los fenómenos amenazantes de</w:t>
      </w:r>
      <w:r>
        <w:rPr>
          <w:rFonts w:ascii="Verdana" w:eastAsia="Calibri" w:hAnsi="Verdana" w:cs="Arial"/>
          <w:lang w:val="es-ES"/>
        </w:rPr>
        <w:t xml:space="preserve"> </w:t>
      </w:r>
      <w:r w:rsidRPr="00626A30">
        <w:rPr>
          <w:rFonts w:ascii="Verdana" w:eastAsia="Calibri" w:hAnsi="Verdana" w:cs="Arial"/>
          <w:lang w:val="es-ES"/>
        </w:rPr>
        <w:t>origen natural, socio natural y antrópico no intencionado así como también de aquellos que</w:t>
      </w:r>
      <w:r>
        <w:rPr>
          <w:rFonts w:ascii="Verdana" w:eastAsia="Calibri" w:hAnsi="Verdana" w:cs="Arial"/>
          <w:lang w:val="es-ES"/>
        </w:rPr>
        <w:t xml:space="preserve"> </w:t>
      </w:r>
      <w:r w:rsidRPr="00626A30">
        <w:rPr>
          <w:rFonts w:ascii="Verdana" w:eastAsia="Calibri" w:hAnsi="Verdana" w:cs="Arial"/>
          <w:lang w:val="es-ES"/>
        </w:rPr>
        <w:t>son resultado de los fenómenos sociales, en particular aquellos que se encuentran asociados</w:t>
      </w:r>
      <w:r>
        <w:rPr>
          <w:rFonts w:ascii="Verdana" w:eastAsia="Calibri" w:hAnsi="Verdana" w:cs="Arial"/>
          <w:lang w:val="es-ES"/>
        </w:rPr>
        <w:t xml:space="preserve"> </w:t>
      </w:r>
      <w:r w:rsidRPr="00626A30">
        <w:rPr>
          <w:rFonts w:ascii="Verdana" w:eastAsia="Calibri" w:hAnsi="Verdana" w:cs="Arial"/>
          <w:lang w:val="es-ES"/>
        </w:rPr>
        <w:t>con conflicto armado interno, fortaleciendo el conocimiento, la reducción del riesgo, así como</w:t>
      </w:r>
      <w:r>
        <w:rPr>
          <w:rFonts w:ascii="Verdana" w:eastAsia="Calibri" w:hAnsi="Verdana" w:cs="Arial"/>
          <w:lang w:val="es-ES"/>
        </w:rPr>
        <w:t xml:space="preserve"> </w:t>
      </w:r>
      <w:r w:rsidRPr="00626A30">
        <w:rPr>
          <w:rFonts w:ascii="Verdana" w:eastAsia="Calibri" w:hAnsi="Verdana" w:cs="Arial"/>
          <w:lang w:val="es-ES"/>
        </w:rPr>
        <w:t>el manejo de desastres y la vulneración de derechos en entornos escolares</w:t>
      </w:r>
      <w:r>
        <w:rPr>
          <w:rFonts w:ascii="Verdana" w:eastAsia="Calibri" w:hAnsi="Verdana" w:cs="Arial"/>
          <w:lang w:val="es-ES"/>
        </w:rPr>
        <w:t>”</w:t>
      </w:r>
      <w:r w:rsidRPr="00626A30">
        <w:rPr>
          <w:rFonts w:ascii="Verdana" w:eastAsia="Calibri" w:hAnsi="Verdana" w:cs="Arial"/>
          <w:lang w:val="es-ES"/>
        </w:rPr>
        <w:t>.</w:t>
      </w:r>
      <w:r>
        <w:rPr>
          <w:rFonts w:ascii="Verdana" w:eastAsia="Calibri" w:hAnsi="Verdana" w:cs="Arial"/>
          <w:lang w:val="es-ES"/>
        </w:rPr>
        <w:t xml:space="preserve"> </w:t>
      </w:r>
    </w:p>
    <w:p w14:paraId="39E7B93E" w14:textId="77777777" w:rsidR="00965BFD" w:rsidRPr="00D93A6C" w:rsidRDefault="00965BFD" w:rsidP="00965BFD">
      <w:pPr>
        <w:spacing w:after="0" w:line="276" w:lineRule="auto"/>
        <w:ind w:firstLine="709"/>
        <w:jc w:val="both"/>
        <w:rPr>
          <w:rFonts w:ascii="Verdana" w:eastAsia="Calibri" w:hAnsi="Verdana" w:cs="Arial"/>
          <w:lang w:val="es-ES"/>
        </w:rPr>
      </w:pPr>
      <w:r>
        <w:rPr>
          <w:rFonts w:ascii="Verdana" w:eastAsia="Calibri" w:hAnsi="Verdana" w:cs="Arial"/>
          <w:lang w:val="es-ES"/>
        </w:rPr>
        <w:t xml:space="preserve">De acuerdo con el documento que se integra a dicho acto administrativo conforme al artículo 4 </w:t>
      </w:r>
      <w:r w:rsidRPr="00626A30">
        <w:rPr>
          <w:rFonts w:ascii="Verdana" w:eastAsia="Calibri" w:hAnsi="Verdana" w:cs="Arial"/>
          <w:i/>
          <w:iCs/>
          <w:lang w:val="es-ES"/>
        </w:rPr>
        <w:t>ibidem</w:t>
      </w:r>
      <w:r>
        <w:rPr>
          <w:rFonts w:ascii="Verdana" w:eastAsia="Calibri" w:hAnsi="Verdana" w:cs="Arial"/>
          <w:lang w:val="es-ES"/>
        </w:rPr>
        <w:t>, “</w:t>
      </w:r>
      <w:r w:rsidRPr="001A33C1">
        <w:rPr>
          <w:rFonts w:ascii="Verdana" w:eastAsia="Calibri" w:hAnsi="Verdana" w:cs="Arial"/>
          <w:lang w:val="es-ES"/>
        </w:rPr>
        <w:t xml:space="preserve">Para llevar a cabo la definición y organización de </w:t>
      </w:r>
      <w:r w:rsidRPr="001A33C1">
        <w:rPr>
          <w:rFonts w:ascii="Verdana" w:eastAsia="Calibri" w:hAnsi="Verdana" w:cs="Arial"/>
          <w:lang w:val="es-ES"/>
        </w:rPr>
        <w:lastRenderedPageBreak/>
        <w:t>los objetivos específicos, ejes y líneas de</w:t>
      </w:r>
      <w:r>
        <w:rPr>
          <w:rFonts w:ascii="Verdana" w:eastAsia="Calibri" w:hAnsi="Verdana" w:cs="Arial"/>
          <w:lang w:val="es-ES"/>
        </w:rPr>
        <w:t xml:space="preserve"> </w:t>
      </w:r>
      <w:r w:rsidRPr="001A33C1">
        <w:rPr>
          <w:rFonts w:ascii="Verdana" w:eastAsia="Calibri" w:hAnsi="Verdana" w:cs="Arial"/>
          <w:lang w:val="es-ES"/>
        </w:rPr>
        <w:t>acción de la Política Pública GIRE se tomó como referencia lo planteado desde el marco de</w:t>
      </w:r>
      <w:r>
        <w:rPr>
          <w:rFonts w:ascii="Verdana" w:eastAsia="Calibri" w:hAnsi="Verdana" w:cs="Arial"/>
          <w:lang w:val="es-ES"/>
        </w:rPr>
        <w:t xml:space="preserve"> </w:t>
      </w:r>
      <w:r w:rsidRPr="001A33C1">
        <w:rPr>
          <w:rFonts w:ascii="Verdana" w:eastAsia="Calibri" w:hAnsi="Verdana" w:cs="Arial"/>
          <w:lang w:val="es-ES"/>
        </w:rPr>
        <w:t>Sendai y la Ley 1523 de 2012 con relación a los procesos para la gestión del riesgo:</w:t>
      </w:r>
      <w:r>
        <w:rPr>
          <w:rFonts w:ascii="Verdana" w:eastAsia="Calibri" w:hAnsi="Verdana" w:cs="Arial"/>
          <w:lang w:val="es-ES"/>
        </w:rPr>
        <w:t xml:space="preserve"> </w:t>
      </w:r>
      <w:r w:rsidRPr="001A33C1">
        <w:rPr>
          <w:rFonts w:ascii="Verdana" w:eastAsia="Calibri" w:hAnsi="Verdana" w:cs="Arial"/>
          <w:lang w:val="es-ES"/>
        </w:rPr>
        <w:t>conocimiento, reducción y manejo del desastre</w:t>
      </w:r>
      <w:r>
        <w:rPr>
          <w:rFonts w:ascii="Verdana" w:eastAsia="Calibri" w:hAnsi="Verdana" w:cs="Arial"/>
          <w:lang w:val="es-ES"/>
        </w:rPr>
        <w:t xml:space="preserve">. </w:t>
      </w:r>
      <w:r w:rsidRPr="00CD73B5">
        <w:rPr>
          <w:rFonts w:ascii="Verdana" w:eastAsia="Calibri" w:hAnsi="Verdana" w:cs="Arial"/>
          <w:lang w:val="es-ES"/>
        </w:rPr>
        <w:t>En cada uno de los procesos, el sector</w:t>
      </w:r>
      <w:r>
        <w:rPr>
          <w:rFonts w:ascii="Verdana" w:eastAsia="Calibri" w:hAnsi="Verdana" w:cs="Arial"/>
          <w:lang w:val="es-ES"/>
        </w:rPr>
        <w:t xml:space="preserve"> </w:t>
      </w:r>
      <w:r w:rsidRPr="00CD73B5">
        <w:rPr>
          <w:rFonts w:ascii="Verdana" w:eastAsia="Calibri" w:hAnsi="Verdana" w:cs="Arial"/>
          <w:lang w:val="es-ES"/>
        </w:rPr>
        <w:t>educación incluye la vulneración de derechos de los niños, niños, adolescentes, jóvenes y</w:t>
      </w:r>
      <w:r>
        <w:rPr>
          <w:rFonts w:ascii="Verdana" w:eastAsia="Calibri" w:hAnsi="Verdana" w:cs="Arial"/>
          <w:lang w:val="es-ES"/>
        </w:rPr>
        <w:t xml:space="preserve"> </w:t>
      </w:r>
      <w:r w:rsidRPr="00CD73B5">
        <w:rPr>
          <w:rFonts w:ascii="Verdana" w:eastAsia="Calibri" w:hAnsi="Verdana" w:cs="Arial"/>
          <w:lang w:val="es-ES"/>
        </w:rPr>
        <w:t>adultos por parte de actores armados</w:t>
      </w:r>
      <w:r>
        <w:rPr>
          <w:rFonts w:ascii="Verdana" w:eastAsia="Calibri" w:hAnsi="Verdana" w:cs="Arial"/>
          <w:lang w:val="es-ES"/>
        </w:rPr>
        <w:t xml:space="preserve">”. Esto significa que, </w:t>
      </w:r>
      <w:r w:rsidRPr="00CD73B5">
        <w:rPr>
          <w:rFonts w:ascii="Verdana" w:eastAsia="Calibri" w:hAnsi="Verdana" w:cs="Arial"/>
          <w:i/>
          <w:iCs/>
          <w:lang w:val="es-ES"/>
        </w:rPr>
        <w:t>para efectos de las emergencias educativas</w:t>
      </w:r>
      <w:r>
        <w:rPr>
          <w:rFonts w:ascii="Verdana" w:eastAsia="Calibri" w:hAnsi="Verdana" w:cs="Arial"/>
          <w:lang w:val="es-ES"/>
        </w:rPr>
        <w:t xml:space="preserve">, debe tomarse como referencia el marco normativo por el cual el Congreso de la República </w:t>
      </w:r>
      <w:r w:rsidRPr="00CD73B5">
        <w:rPr>
          <w:rFonts w:ascii="Verdana" w:eastAsia="Calibri" w:hAnsi="Verdana" w:cs="Arial"/>
          <w:lang w:val="es-ES"/>
        </w:rPr>
        <w:t>adopt</w:t>
      </w:r>
      <w:r>
        <w:rPr>
          <w:rFonts w:ascii="Verdana" w:eastAsia="Calibri" w:hAnsi="Verdana" w:cs="Arial"/>
          <w:lang w:val="es-ES"/>
        </w:rPr>
        <w:t>ó</w:t>
      </w:r>
      <w:r w:rsidRPr="00CD73B5">
        <w:rPr>
          <w:rFonts w:ascii="Verdana" w:eastAsia="Calibri" w:hAnsi="Verdana" w:cs="Arial"/>
          <w:lang w:val="es-ES"/>
        </w:rPr>
        <w:t xml:space="preserve"> la política nacional de gestión del riesgo de desastres y se establece el Sistema Nacional de Gestión del Riesgo de Desastres</w:t>
      </w:r>
      <w:r>
        <w:rPr>
          <w:rFonts w:ascii="Verdana" w:eastAsia="Calibri" w:hAnsi="Verdana" w:cs="Arial"/>
          <w:lang w:val="es-ES"/>
        </w:rPr>
        <w:t xml:space="preserve">. </w:t>
      </w:r>
    </w:p>
    <w:p w14:paraId="09BA5878" w14:textId="77777777" w:rsidR="00965BFD" w:rsidRPr="00037111" w:rsidRDefault="00965BFD" w:rsidP="00965BFD">
      <w:pPr>
        <w:spacing w:after="0" w:line="276" w:lineRule="auto"/>
        <w:jc w:val="both"/>
        <w:rPr>
          <w:rFonts w:ascii="Verdana" w:eastAsia="Arial" w:hAnsi="Verdana" w:cs="Arial"/>
          <w:bCs/>
        </w:rPr>
      </w:pPr>
    </w:p>
    <w:p w14:paraId="4CE09802" w14:textId="77777777" w:rsidR="00965BFD" w:rsidRPr="00667CD6" w:rsidRDefault="00965BFD" w:rsidP="00965BFD">
      <w:pPr>
        <w:spacing w:after="120" w:line="276" w:lineRule="auto"/>
        <w:jc w:val="both"/>
        <w:rPr>
          <w:rFonts w:ascii="Verdana" w:hAnsi="Verdana" w:cs="Arial"/>
          <w:lang w:val="es-ES"/>
        </w:rPr>
      </w:pPr>
      <w:r>
        <w:rPr>
          <w:rFonts w:ascii="Verdana" w:eastAsia="Calibri" w:hAnsi="Verdana" w:cs="Arial"/>
        </w:rPr>
        <w:t xml:space="preserve">v. </w:t>
      </w:r>
      <w:bookmarkEnd w:id="21"/>
      <w:bookmarkEnd w:id="22"/>
      <w:r w:rsidRPr="00667CD6">
        <w:rPr>
          <w:rFonts w:ascii="Verdana" w:hAnsi="Verdana" w:cs="Arial"/>
          <w:lang w:val="es-ES"/>
        </w:rPr>
        <w:t xml:space="preserve">Ahora bien, respecto del alcance del parágrafo </w:t>
      </w:r>
      <w:r w:rsidRPr="00667CD6">
        <w:rPr>
          <w:rFonts w:ascii="Verdana" w:hAnsi="Verdana" w:cs="Arial"/>
        </w:rPr>
        <w:t>del artículo 38 de la Ley 996 de 2005, esta prohibición dispone que “</w:t>
      </w:r>
      <w:r>
        <w:rPr>
          <w:rFonts w:ascii="Verdana" w:hAnsi="Verdana" w:cs="Arial"/>
        </w:rPr>
        <w:t>L</w:t>
      </w:r>
      <w:r w:rsidRPr="00667CD6">
        <w:rPr>
          <w:rFonts w:ascii="Verdana" w:hAnsi="Verdana" w:cs="Arial"/>
        </w:rPr>
        <w:t xml:space="preserve">os Gobernadores, Alcaldes Municipales y/o Distritales, Secretarios, Gerentes y directores de Entidades Descentralizadas del orden Municipal, Departamental o Distrital, dentro de los cuatro (4) meses anteriores a las elecciones, no podrán celebrar </w:t>
      </w:r>
      <w:r w:rsidRPr="00DC2873">
        <w:rPr>
          <w:rFonts w:ascii="Verdana" w:hAnsi="Verdana" w:cs="Arial"/>
        </w:rPr>
        <w:t>convenios interadministrativos para la ejecución de recursos públicos</w:t>
      </w:r>
      <w:r w:rsidRPr="00667CD6">
        <w:rPr>
          <w:rFonts w:ascii="Verdana" w:hAnsi="Verdana" w:cs="Arial"/>
        </w:rPr>
        <w:t>”.</w:t>
      </w:r>
      <w:r w:rsidRPr="00667CD6">
        <w:rPr>
          <w:rFonts w:ascii="Verdana" w:eastAsia="Times New Roman" w:hAnsi="Verdana" w:cs="Arial"/>
          <w:lang w:val="es-MX" w:eastAsia="x-none"/>
        </w:rPr>
        <w:t xml:space="preserve"> </w:t>
      </w:r>
    </w:p>
    <w:p w14:paraId="5F346934" w14:textId="77777777" w:rsidR="00965BFD" w:rsidRPr="00667CD6" w:rsidRDefault="00965BFD" w:rsidP="00965BFD">
      <w:pPr>
        <w:spacing w:after="120" w:line="276" w:lineRule="auto"/>
        <w:ind w:firstLine="709"/>
        <w:jc w:val="both"/>
        <w:rPr>
          <w:rFonts w:ascii="Verdana" w:hAnsi="Verdana" w:cs="Arial"/>
          <w:lang w:eastAsia="es-ES"/>
        </w:rPr>
      </w:pPr>
      <w:r w:rsidRPr="2035D652">
        <w:rPr>
          <w:rFonts w:ascii="Verdana" w:eastAsia="Times New Roman" w:hAnsi="Verdana" w:cs="Arial"/>
          <w:lang w:val="es-ES" w:eastAsia="es-ES"/>
        </w:rPr>
        <w:t xml:space="preserve">Para tales efectos, debe precisarse que </w:t>
      </w:r>
      <w:r w:rsidRPr="00667CD6">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667CD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29"/>
      </w:r>
      <w:r w:rsidRPr="00667CD6">
        <w:rPr>
          <w:rFonts w:ascii="Verdana" w:hAnsi="Verdana" w:cs="Arial"/>
          <w:lang w:eastAsia="es-ES"/>
        </w:rPr>
        <w:t>.</w:t>
      </w:r>
    </w:p>
    <w:p w14:paraId="78B4DFFB" w14:textId="77777777" w:rsidR="00965BFD" w:rsidRPr="00667CD6" w:rsidRDefault="00965BFD" w:rsidP="00965BFD">
      <w:pPr>
        <w:spacing w:after="120" w:line="276" w:lineRule="auto"/>
        <w:ind w:firstLine="709"/>
        <w:jc w:val="both"/>
        <w:rPr>
          <w:rFonts w:ascii="Verdana" w:hAnsi="Verdana" w:cs="Arial"/>
          <w:color w:val="000000" w:themeColor="text1"/>
          <w:lang w:val="es-ES_tradnl"/>
        </w:rPr>
      </w:pPr>
      <w:r w:rsidRPr="00667CD6">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4E019632" w14:textId="77777777" w:rsidR="00965BFD" w:rsidRPr="00667CD6" w:rsidRDefault="00965BFD" w:rsidP="00965BFD">
      <w:pPr>
        <w:spacing w:before="120" w:after="0" w:line="276" w:lineRule="auto"/>
        <w:ind w:firstLine="708"/>
        <w:jc w:val="both"/>
        <w:rPr>
          <w:rFonts w:ascii="Verdana" w:hAnsi="Verdana" w:cs="Arial"/>
          <w:lang w:val="es-ES_tradnl"/>
        </w:rPr>
      </w:pPr>
      <w:r w:rsidRPr="2035D652">
        <w:rPr>
          <w:rFonts w:ascii="Verdana" w:hAnsi="Verdana" w:cs="Arial"/>
          <w:lang w:val="es-ES"/>
        </w:rPr>
        <w:t xml:space="preserve">Un contrato o convenio interadministrativo no está determinado por la modalidad de selección utilizada para celebrarlo. La Ley 1150 de 2007 establece </w:t>
      </w:r>
      <w:r w:rsidRPr="2035D652">
        <w:rPr>
          <w:rFonts w:ascii="Verdana" w:hAnsi="Verdana" w:cs="Arial"/>
          <w:lang w:val="es-ES"/>
        </w:rPr>
        <w:lastRenderedPageBreak/>
        <w:t>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30"/>
      </w:r>
      <w:r w:rsidRPr="2035D652">
        <w:rPr>
          <w:rFonts w:ascii="Verdana" w:hAnsi="Verdana" w:cs="Arial"/>
          <w:lang w:val="es-ES"/>
        </w:rPr>
        <w:t>. Nótese que, en este caso, lo que cambia es la modalidad de selección y no la naturaleza de contrato interadministrativo.</w:t>
      </w:r>
    </w:p>
    <w:p w14:paraId="2DEBD94D" w14:textId="77777777" w:rsidR="00965BFD" w:rsidRPr="00667CD6" w:rsidRDefault="00965BFD" w:rsidP="00965BFD">
      <w:pPr>
        <w:spacing w:before="120" w:after="0" w:line="276" w:lineRule="auto"/>
        <w:ind w:firstLine="708"/>
        <w:jc w:val="both"/>
        <w:rPr>
          <w:rFonts w:ascii="Verdana" w:hAnsi="Verdana" w:cs="Arial"/>
          <w:lang w:val="es-ES_tradnl"/>
        </w:rPr>
      </w:pPr>
      <w:r w:rsidRPr="2035D652">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31"/>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4BFC3058" w14:textId="77777777" w:rsidR="00965BFD" w:rsidRPr="00667CD6" w:rsidRDefault="00965BFD" w:rsidP="00965BFD">
      <w:pPr>
        <w:spacing w:before="120" w:after="0" w:line="276" w:lineRule="auto"/>
        <w:ind w:firstLine="708"/>
        <w:jc w:val="both"/>
        <w:rPr>
          <w:rFonts w:ascii="Verdana" w:hAnsi="Verdana"/>
          <w:sz w:val="24"/>
          <w:szCs w:val="24"/>
          <w:lang w:eastAsia="es-CO"/>
        </w:rPr>
      </w:pPr>
      <w:r w:rsidRPr="2035D652">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2035D652">
        <w:rPr>
          <w:rFonts w:ascii="Verdana" w:hAnsi="Verdana" w:cs="Arial"/>
          <w:vertAlign w:val="superscript"/>
          <w:lang w:val="es-ES"/>
        </w:rPr>
        <w:footnoteReference w:id="32"/>
      </w:r>
      <w:r w:rsidRPr="2035D65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667CD6">
        <w:rPr>
          <w:rFonts w:ascii="Verdana" w:hAnsi="Verdana"/>
          <w:sz w:val="24"/>
          <w:szCs w:val="24"/>
          <w:lang w:eastAsia="es-CO"/>
        </w:rPr>
        <w:t>.</w:t>
      </w:r>
    </w:p>
    <w:p w14:paraId="24D783DA" w14:textId="77777777" w:rsidR="00965BFD" w:rsidRPr="00667CD6" w:rsidRDefault="00965BFD" w:rsidP="00965BFD">
      <w:pPr>
        <w:spacing w:before="120" w:after="0" w:line="276" w:lineRule="auto"/>
        <w:ind w:firstLine="708"/>
        <w:jc w:val="both"/>
        <w:rPr>
          <w:rFonts w:ascii="Verdana" w:eastAsia="Times New Roman" w:hAnsi="Verdana" w:cs="Arial"/>
          <w:lang w:val="es-MX" w:eastAsia="es-CO"/>
        </w:rPr>
      </w:pPr>
      <w:r w:rsidRPr="00667CD6">
        <w:rPr>
          <w:rFonts w:ascii="Verdana" w:eastAsia="Arial" w:hAnsi="Verdana" w:cs="Arial"/>
          <w:lang w:val="es-MX" w:eastAsia="es-ES" w:bidi="es-ES"/>
        </w:rPr>
        <w:lastRenderedPageBreak/>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7AE9FA8A" w14:textId="77777777" w:rsidR="00965BFD" w:rsidRDefault="00965BFD" w:rsidP="00965BFD">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val="es-MX" w:eastAsia="es-CO"/>
        </w:rPr>
        <w:t>Respecto del alcance de esta prohibición la Circular Externa No. 006 de 2025 expedida por la ANCP</w:t>
      </w:r>
      <w:r>
        <w:rPr>
          <w:rFonts w:ascii="Verdana" w:eastAsia="Times New Roman" w:hAnsi="Verdana" w:cs="Arial"/>
          <w:lang w:val="es-MX" w:eastAsia="es-CO"/>
        </w:rPr>
        <w:t>-</w:t>
      </w:r>
      <w:r w:rsidRPr="00667CD6">
        <w:rPr>
          <w:rFonts w:ascii="Verdana" w:eastAsia="Times New Roman" w:hAnsi="Verdana" w:cs="Arial"/>
          <w:lang w:val="es-MX" w:eastAsia="es-CO"/>
        </w:rPr>
        <w:t xml:space="preserve">CCE, en los literales </w:t>
      </w:r>
      <w:proofErr w:type="spellStart"/>
      <w:r w:rsidRPr="00667CD6">
        <w:rPr>
          <w:rFonts w:ascii="Verdana" w:eastAsia="Times New Roman" w:hAnsi="Verdana" w:cs="Arial"/>
          <w:lang w:val="es-MX" w:eastAsia="es-CO"/>
        </w:rPr>
        <w:t>ii</w:t>
      </w:r>
      <w:proofErr w:type="spellEnd"/>
      <w:r w:rsidRPr="00667CD6">
        <w:rPr>
          <w:rFonts w:ascii="Verdana" w:eastAsia="Times New Roman" w:hAnsi="Verdana" w:cs="Arial"/>
          <w:lang w:val="es-MX" w:eastAsia="es-CO"/>
        </w:rPr>
        <w:t xml:space="preserve">) y </w:t>
      </w:r>
      <w:proofErr w:type="spellStart"/>
      <w:r w:rsidRPr="00667CD6">
        <w:rPr>
          <w:rFonts w:ascii="Verdana" w:eastAsia="Times New Roman" w:hAnsi="Verdana" w:cs="Arial"/>
          <w:lang w:val="es-MX" w:eastAsia="es-CO"/>
        </w:rPr>
        <w:t>iv</w:t>
      </w:r>
      <w:proofErr w:type="spellEnd"/>
      <w:r w:rsidRPr="00667CD6">
        <w:rPr>
          <w:rFonts w:ascii="Verdana" w:eastAsia="Times New Roman" w:hAnsi="Verdana" w:cs="Arial"/>
          <w:lang w:val="es-MX" w:eastAsia="es-CO"/>
        </w:rPr>
        <w:t>)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5163A3">
        <w:rPr>
          <w:rFonts w:ascii="Verdana" w:eastAsia="Times New Roman" w:hAnsi="Verdana" w:cs="Arial"/>
          <w:lang w:eastAsia="es-CO"/>
        </w:rPr>
        <w:t>”</w:t>
      </w:r>
      <w:r>
        <w:rPr>
          <w:rFonts w:ascii="Verdana" w:eastAsia="Times New Roman" w:hAnsi="Verdana" w:cs="Arial"/>
          <w:lang w:eastAsia="es-CO"/>
        </w:rPr>
        <w:t xml:space="preserve">. Es decir, no aplica a </w:t>
      </w:r>
      <w:r w:rsidRPr="0004207F">
        <w:rPr>
          <w:rFonts w:ascii="Verdana" w:hAnsi="Verdana" w:cs="Arial"/>
          <w:bCs/>
          <w:lang w:val="es-MX" w:eastAsia="x-none"/>
        </w:rPr>
        <w:t>“[…] l</w:t>
      </w:r>
      <w:r w:rsidRPr="0004207F">
        <w:rPr>
          <w:rFonts w:ascii="Verdana" w:hAnsi="Verdana" w:cs="Arial"/>
          <w:bCs/>
          <w:lang w:eastAsia="x-none"/>
        </w:rPr>
        <w:t>os requeridos para cubrir las emergencias educativas, sanitarias y desastres […]</w:t>
      </w:r>
      <w:r>
        <w:rPr>
          <w:rFonts w:ascii="Verdana" w:hAnsi="Verdana" w:cs="Arial"/>
          <w:bCs/>
          <w:lang w:eastAsia="x-none"/>
        </w:rPr>
        <w:t>”</w:t>
      </w:r>
      <w:r>
        <w:rPr>
          <w:rFonts w:ascii="Verdana" w:hAnsi="Verdana" w:cs="Arial"/>
          <w:bCs/>
          <w:lang w:val="es-MX" w:eastAsia="x-none"/>
        </w:rPr>
        <w:t>.</w:t>
      </w:r>
      <w:r w:rsidRPr="00667CD6">
        <w:rPr>
          <w:rFonts w:ascii="Verdana" w:eastAsia="Times New Roman" w:hAnsi="Verdana" w:cs="Arial"/>
          <w:lang w:eastAsia="es-CO"/>
        </w:rPr>
        <w:t xml:space="preserve"> </w:t>
      </w:r>
      <w:r>
        <w:rPr>
          <w:rFonts w:ascii="Verdana" w:eastAsia="Times New Roman" w:hAnsi="Verdana" w:cs="Arial"/>
          <w:lang w:eastAsia="es-CO"/>
        </w:rPr>
        <w:t>Por lo demás, la norma tampoco contempla excepciones respecto a la contratación con esquemas asociativos territoriales, además de que la restricción rige al margen del contenido de los proyectos que se pretendan ejecutar. Como las excepciones son de reserva legal, tampoco son disponibles por las partes al suscribir el negocio jurídico, por lo que no existe justificación alguna para desconocer la prohibición.</w:t>
      </w:r>
    </w:p>
    <w:p w14:paraId="7D3D70BF" w14:textId="77777777" w:rsidR="00965BFD" w:rsidRPr="00667CD6" w:rsidRDefault="00965BFD" w:rsidP="00965BFD">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el ámbito de aplicación de la restricción prevista en el parágrafo del artículo 38 de la Ley 996 de 2005 </w:t>
      </w:r>
      <w:r>
        <w:rPr>
          <w:rFonts w:ascii="Verdana" w:eastAsia="Times New Roman" w:hAnsi="Verdana" w:cs="Arial"/>
          <w:lang w:eastAsia="es-CO"/>
        </w:rPr>
        <w:t>comprende</w:t>
      </w:r>
      <w:r w:rsidRPr="00667CD6">
        <w:rPr>
          <w:rFonts w:ascii="Verdana" w:eastAsia="Times New Roman" w:hAnsi="Verdana" w:cs="Arial"/>
          <w:lang w:eastAsia="es-CO"/>
        </w:rPr>
        <w:t xml:space="preserv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w:t>
      </w:r>
      <w:r>
        <w:rPr>
          <w:rFonts w:ascii="Verdana" w:eastAsia="Times New Roman" w:hAnsi="Verdana" w:cs="Arial"/>
          <w:lang w:eastAsia="es-CO"/>
        </w:rPr>
        <w:t>exista</w:t>
      </w:r>
      <w:r w:rsidRPr="00667CD6">
        <w:rPr>
          <w:rFonts w:ascii="Verdana" w:eastAsia="Times New Roman" w:hAnsi="Verdana" w:cs="Arial"/>
          <w:lang w:eastAsia="es-CO"/>
        </w:rPr>
        <w:t xml:space="preserve"> </w:t>
      </w:r>
      <w:r w:rsidRPr="00667CD6">
        <w:rPr>
          <w:rFonts w:ascii="Verdana" w:eastAsia="Times New Roman" w:hAnsi="Verdana" w:cs="Arial"/>
          <w:i/>
          <w:iCs/>
          <w:lang w:eastAsia="es-CO"/>
        </w:rPr>
        <w:t>ejecución de recursos públicos</w:t>
      </w:r>
      <w:r>
        <w:rPr>
          <w:rFonts w:ascii="Verdana" w:eastAsia="Times New Roman" w:hAnsi="Verdana" w:cs="Arial"/>
          <w:lang w:eastAsia="es-CO"/>
        </w:rPr>
        <w:t>, sin importar de que estos sean en dinero o en especie, ya que la norma no distingue</w:t>
      </w:r>
      <w:r w:rsidRPr="00667CD6">
        <w:rPr>
          <w:rFonts w:ascii="Verdana" w:eastAsia="Times New Roman" w:hAnsi="Verdana" w:cs="Arial"/>
          <w:lang w:eastAsia="es-CO"/>
        </w:rPr>
        <w:t xml:space="preserve">. </w:t>
      </w:r>
      <w:r w:rsidRPr="00C016C8">
        <w:rPr>
          <w:rFonts w:ascii="Verdana" w:eastAsia="Times New Roman" w:hAnsi="Verdana" w:cs="Arial"/>
          <w:lang w:val="es-ES" w:eastAsia="es-CO"/>
        </w:rPr>
        <w:t xml:space="preserve">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w:t>
      </w:r>
      <w:r w:rsidRPr="00C016C8">
        <w:rPr>
          <w:rFonts w:ascii="Verdana" w:eastAsia="Times New Roman" w:hAnsi="Verdana" w:cs="Arial"/>
          <w:lang w:val="es-ES" w:eastAsia="es-CO"/>
        </w:rPr>
        <w:lastRenderedPageBreak/>
        <w:t>precedentes”</w:t>
      </w:r>
      <w:r>
        <w:rPr>
          <w:rStyle w:val="Refdenotaalpie"/>
          <w:rFonts w:ascii="Verdana" w:hAnsi="Verdana" w:cs="Arial"/>
          <w:lang w:val="es-ES"/>
        </w:rPr>
        <w:footnoteReference w:id="33"/>
      </w:r>
      <w:r>
        <w:rPr>
          <w:rFonts w:ascii="Verdana" w:eastAsia="Times New Roman" w:hAnsi="Verdana" w:cs="Arial"/>
          <w:lang w:val="es-ES" w:eastAsia="es-CO"/>
        </w:rPr>
        <w:t>.</w:t>
      </w:r>
      <w:r w:rsidRPr="00667CD6">
        <w:rPr>
          <w:rFonts w:ascii="Verdana" w:eastAsia="Times New Roman" w:hAnsi="Verdana" w:cs="Arial"/>
          <w:lang w:eastAsia="es-CO"/>
        </w:rPr>
        <w:t xml:space="preserve"> </w:t>
      </w:r>
      <w:r>
        <w:rPr>
          <w:rFonts w:ascii="Verdana" w:eastAsia="Times New Roman" w:hAnsi="Verdana" w:cs="Arial"/>
          <w:lang w:eastAsia="es-CO"/>
        </w:rPr>
        <w:t xml:space="preserve">Por ello, en el Concepto </w:t>
      </w:r>
      <w:r w:rsidRPr="00C016C8">
        <w:rPr>
          <w:rFonts w:ascii="Verdana" w:eastAsia="Times New Roman" w:hAnsi="Verdana" w:cs="Arial"/>
          <w:lang w:eastAsia="es-CO"/>
        </w:rPr>
        <w:t>2201913000006634</w:t>
      </w:r>
      <w:r>
        <w:rPr>
          <w:rFonts w:ascii="Verdana" w:eastAsia="Times New Roman" w:hAnsi="Verdana" w:cs="Arial"/>
          <w:lang w:eastAsia="es-CO"/>
        </w:rPr>
        <w:t xml:space="preserve"> del 6 de septiembre de 2019, la Agencia sostuvo que la ejecución de recursos no se agota en el “[…] </w:t>
      </w:r>
      <w:r w:rsidRPr="00C016C8">
        <w:rPr>
          <w:rFonts w:ascii="Verdana" w:eastAsia="Times New Roman" w:hAnsi="Verdana" w:cs="Arial"/>
          <w:lang w:eastAsia="es-CO"/>
        </w:rPr>
        <w:t>el dinero que integra el ciclo presupuestal de la entidad</w:t>
      </w:r>
      <w:r>
        <w:rPr>
          <w:rFonts w:ascii="Verdana" w:eastAsia="Times New Roman" w:hAnsi="Verdana" w:cs="Arial"/>
          <w:lang w:eastAsia="es-CO"/>
        </w:rPr>
        <w:t xml:space="preserve"> […]”, pues “[…] </w:t>
      </w:r>
      <w:r w:rsidRPr="00C016C8">
        <w:rPr>
          <w:rFonts w:ascii="Verdana" w:eastAsia="Times New Roman" w:hAnsi="Verdana" w:cs="Arial"/>
          <w:lang w:eastAsia="es-CO"/>
        </w:rPr>
        <w:t xml:space="preserve">también los bienes muebles, inmuebles y personal hacen parte del concepto de </w:t>
      </w:r>
      <w:r>
        <w:rPr>
          <w:rFonts w:ascii="Verdana" w:eastAsia="Times New Roman" w:hAnsi="Verdana" w:cs="Arial"/>
          <w:lang w:eastAsia="es-CO"/>
        </w:rPr>
        <w:t>‘</w:t>
      </w:r>
      <w:r w:rsidRPr="00C016C8">
        <w:rPr>
          <w:rFonts w:ascii="Verdana" w:eastAsia="Times New Roman" w:hAnsi="Verdana" w:cs="Arial"/>
          <w:lang w:eastAsia="es-CO"/>
        </w:rPr>
        <w:t>recursos públicos</w:t>
      </w:r>
      <w:r>
        <w:rPr>
          <w:rFonts w:ascii="Verdana" w:eastAsia="Times New Roman" w:hAnsi="Verdana" w:cs="Arial"/>
          <w:lang w:eastAsia="es-CO"/>
        </w:rPr>
        <w:t>’”.</w:t>
      </w:r>
    </w:p>
    <w:p w14:paraId="391B4FE4" w14:textId="77777777" w:rsidR="00965BFD" w:rsidRPr="00667CD6" w:rsidRDefault="00965BFD" w:rsidP="00965BFD">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independientemente de que se configure 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w:t>
      </w:r>
      <w:proofErr w:type="spellStart"/>
      <w:r w:rsidRPr="00667CD6">
        <w:rPr>
          <w:rFonts w:ascii="Verdana" w:hAnsi="Verdana" w:cs="Arial"/>
          <w:bCs/>
          <w:lang w:val="es-MX" w:eastAsia="x-none"/>
        </w:rPr>
        <w:t>ii</w:t>
      </w:r>
      <w:proofErr w:type="spellEnd"/>
      <w:r w:rsidRPr="00667CD6">
        <w:rPr>
          <w:rFonts w:ascii="Verdana" w:hAnsi="Verdana" w:cs="Arial"/>
          <w:bCs/>
          <w:lang w:val="es-MX" w:eastAsia="x-none"/>
        </w:rPr>
        <w:t xml:space="preserve">) los contratos de crédito público; </w:t>
      </w:r>
      <w:proofErr w:type="spellStart"/>
      <w:r w:rsidRPr="00667CD6">
        <w:rPr>
          <w:rFonts w:ascii="Verdana" w:hAnsi="Verdana" w:cs="Arial"/>
          <w:bCs/>
          <w:lang w:val="es-MX" w:eastAsia="x-none"/>
        </w:rPr>
        <w:t>iii</w:t>
      </w:r>
      <w:proofErr w:type="spellEnd"/>
      <w:r w:rsidRPr="00667CD6">
        <w:rPr>
          <w:rFonts w:ascii="Verdana" w:hAnsi="Verdana" w:cs="Arial"/>
          <w:bCs/>
          <w:lang w:val="es-MX" w:eastAsia="x-none"/>
        </w:rPr>
        <w:t xml:space="preserve">) los requeridos para cubrir las emergencias educativas, sanitarias y desastres; </w:t>
      </w:r>
      <w:proofErr w:type="spellStart"/>
      <w:r w:rsidRPr="00667CD6">
        <w:rPr>
          <w:rFonts w:ascii="Verdana" w:hAnsi="Verdana" w:cs="Arial"/>
          <w:bCs/>
          <w:lang w:val="es-MX" w:eastAsia="x-none"/>
        </w:rPr>
        <w:t>iv</w:t>
      </w:r>
      <w:proofErr w:type="spellEnd"/>
      <w:r w:rsidRPr="00667CD6">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sidRPr="00667CD6">
        <w:rPr>
          <w:rFonts w:ascii="Verdana" w:eastAsia="Times New Roman" w:hAnsi="Verdana" w:cs="Arial"/>
          <w:lang w:eastAsia="es-CO"/>
        </w:rPr>
        <w:t xml:space="preserve">  </w:t>
      </w:r>
    </w:p>
    <w:p w14:paraId="67D4A515" w14:textId="77777777" w:rsidR="00965BFD" w:rsidRPr="00667CD6" w:rsidRDefault="00965BFD" w:rsidP="00965BFD">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En este punto, </w:t>
      </w:r>
      <w:r>
        <w:rPr>
          <w:rFonts w:ascii="Verdana" w:eastAsia="Times New Roman" w:hAnsi="Verdana" w:cs="Arial"/>
          <w:lang w:eastAsia="es-CO"/>
        </w:rPr>
        <w:t>teniendo en cuenta lo señalado en el contenido de su petición</w:t>
      </w:r>
      <w:r w:rsidRPr="00667CD6">
        <w:rPr>
          <w:rFonts w:ascii="Verdana" w:eastAsia="Times New Roman" w:hAnsi="Verdana" w:cs="Arial"/>
          <w:lang w:eastAsia="es-CO"/>
        </w:rPr>
        <w:t xml:space="preserve">, vale la pena destacar que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 xml:space="preserve">numeral 16.2 de la Circular Externa Única de 2022 expedida por la Agencia Nacional de Contratación Pública </w:t>
      </w:r>
      <w:r>
        <w:rPr>
          <w:rFonts w:ascii="Verdana" w:hAnsi="Verdana" w:cs="Arial"/>
        </w:rPr>
        <w:t xml:space="preserve">– </w:t>
      </w:r>
      <w:r w:rsidRPr="00667CD6">
        <w:rPr>
          <w:rFonts w:ascii="Verdana" w:hAnsi="Verdana" w:cs="Arial"/>
        </w:rPr>
        <w:t xml:space="preserve">Colombia </w:t>
      </w:r>
      <w:r w:rsidRPr="00667CD6">
        <w:rPr>
          <w:rFonts w:ascii="Verdana" w:hAnsi="Verdana" w:cs="Arial"/>
        </w:rPr>
        <w:lastRenderedPageBreak/>
        <w:t>Compra Eficiente, concretamente, respecto de los siguientes apartes normativos</w:t>
      </w:r>
      <w:r w:rsidRPr="00667CD6">
        <w:rPr>
          <w:rFonts w:ascii="Verdana" w:hAnsi="Verdana" w:cs="Arial"/>
          <w:vertAlign w:val="superscript"/>
        </w:rPr>
        <w:footnoteReference w:id="34"/>
      </w:r>
      <w:r w:rsidRPr="00667CD6">
        <w:rPr>
          <w:rFonts w:ascii="Verdana" w:hAnsi="Verdana" w:cs="Arial"/>
        </w:rPr>
        <w:t xml:space="preserve">: </w:t>
      </w:r>
    </w:p>
    <w:p w14:paraId="63CE0CDD" w14:textId="77777777" w:rsidR="00965BFD" w:rsidRPr="00667CD6" w:rsidRDefault="00965BFD" w:rsidP="00965BFD">
      <w:pPr>
        <w:spacing w:after="0" w:line="276" w:lineRule="auto"/>
        <w:ind w:firstLine="709"/>
        <w:jc w:val="both"/>
        <w:rPr>
          <w:rFonts w:ascii="Verdana" w:hAnsi="Verdana" w:cs="Arial"/>
        </w:rPr>
      </w:pPr>
    </w:p>
    <w:p w14:paraId="72D06C40" w14:textId="77777777" w:rsidR="00965BFD" w:rsidRPr="00667CD6" w:rsidRDefault="00965BFD" w:rsidP="00965BFD">
      <w:pPr>
        <w:spacing w:after="120" w:line="240" w:lineRule="auto"/>
        <w:ind w:left="709" w:right="709"/>
        <w:jc w:val="both"/>
        <w:rPr>
          <w:rFonts w:ascii="Verdana" w:hAnsi="Verdana" w:cs="Arial"/>
          <w:sz w:val="20"/>
          <w:szCs w:val="20"/>
        </w:rPr>
      </w:pPr>
      <w:r>
        <w:rPr>
          <w:rFonts w:ascii="Verdana" w:hAnsi="Verdana" w:cs="Arial"/>
          <w:sz w:val="20"/>
          <w:szCs w:val="20"/>
          <w:lang w:val="es-MX"/>
        </w:rPr>
        <w:t>“</w:t>
      </w:r>
      <w:r w:rsidRPr="00667CD6">
        <w:rPr>
          <w:rFonts w:ascii="Verdana" w:hAnsi="Verdana" w:cs="Arial"/>
          <w:sz w:val="20"/>
          <w:szCs w:val="20"/>
          <w:lang w:val="es-MX"/>
        </w:rPr>
        <w:t>i)</w:t>
      </w:r>
      <w:r w:rsidRPr="00667CD6">
        <w:rPr>
          <w:rFonts w:ascii="Verdana" w:hAnsi="Verdana" w:cs="Arial"/>
          <w:sz w:val="20"/>
          <w:szCs w:val="20"/>
        </w:rPr>
        <w:t xml:space="preserve"> el inciso segundo 2 que dispone: </w:t>
      </w:r>
      <w:r>
        <w:rPr>
          <w:rFonts w:ascii="Verdana" w:hAnsi="Verdana" w:cs="Arial"/>
          <w:sz w:val="20"/>
          <w:szCs w:val="20"/>
        </w:rPr>
        <w:t>‘</w:t>
      </w:r>
      <w:r w:rsidRPr="00667CD6">
        <w:rPr>
          <w:rFonts w:ascii="Verdana" w:hAnsi="Verdana" w:cs="Arial"/>
          <w:sz w:val="20"/>
          <w:szCs w:val="20"/>
        </w:rPr>
        <w:t>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Pr>
          <w:rFonts w:ascii="Verdana" w:hAnsi="Verdana" w:cs="Arial"/>
          <w:sz w:val="20"/>
          <w:szCs w:val="20"/>
        </w:rPr>
        <w:t>’</w:t>
      </w:r>
      <w:r w:rsidRPr="00667CD6">
        <w:rPr>
          <w:rFonts w:ascii="Verdana" w:hAnsi="Verdana" w:cs="Arial"/>
          <w:sz w:val="20"/>
          <w:szCs w:val="20"/>
        </w:rPr>
        <w:t xml:space="preserve"> y, </w:t>
      </w:r>
    </w:p>
    <w:p w14:paraId="40D5B7A7" w14:textId="77777777" w:rsidR="00965BFD" w:rsidRPr="00667CD6" w:rsidRDefault="00965BFD" w:rsidP="00965BFD">
      <w:pPr>
        <w:spacing w:after="0" w:line="240" w:lineRule="auto"/>
        <w:ind w:left="709" w:right="709"/>
        <w:jc w:val="both"/>
        <w:rPr>
          <w:rFonts w:ascii="Verdana" w:hAnsi="Verdana" w:cs="Arial"/>
          <w:sz w:val="20"/>
          <w:szCs w:val="20"/>
        </w:rPr>
      </w:pPr>
      <w:proofErr w:type="spellStart"/>
      <w:r w:rsidRPr="00667CD6">
        <w:rPr>
          <w:rFonts w:ascii="Verdana" w:hAnsi="Verdana" w:cs="Arial"/>
          <w:sz w:val="20"/>
          <w:szCs w:val="20"/>
        </w:rPr>
        <w:t>ii</w:t>
      </w:r>
      <w:proofErr w:type="spellEnd"/>
      <w:r w:rsidRPr="00667CD6">
        <w:rPr>
          <w:rFonts w:ascii="Verdana" w:hAnsi="Verdana" w:cs="Arial"/>
          <w:sz w:val="20"/>
          <w:szCs w:val="20"/>
        </w:rPr>
        <w:t xml:space="preserve">) la expresión y el siguiente párrafo contenidos en el inciso cuarto </w:t>
      </w:r>
      <w:r>
        <w:rPr>
          <w:rFonts w:ascii="Verdana" w:hAnsi="Verdana" w:cs="Arial"/>
          <w:sz w:val="20"/>
          <w:szCs w:val="20"/>
        </w:rPr>
        <w:t>‘</w:t>
      </w:r>
      <w:r w:rsidRPr="00667CD6">
        <w:rPr>
          <w:rFonts w:ascii="Verdana" w:hAnsi="Verdana" w:cs="Arial"/>
          <w:sz w:val="20"/>
          <w:szCs w:val="20"/>
        </w:rPr>
        <w:t>contratos</w:t>
      </w:r>
      <w:r>
        <w:rPr>
          <w:rFonts w:ascii="Verdana" w:hAnsi="Verdana" w:cs="Arial"/>
          <w:sz w:val="20"/>
          <w:szCs w:val="20"/>
        </w:rPr>
        <w:t>’</w:t>
      </w:r>
      <w:r w:rsidRPr="00667CD6">
        <w:rPr>
          <w:rFonts w:ascii="Verdana" w:hAnsi="Verdana" w:cs="Arial"/>
          <w:sz w:val="20"/>
          <w:szCs w:val="20"/>
        </w:rPr>
        <w:t xml:space="preserve"> y </w:t>
      </w:r>
      <w:r>
        <w:rPr>
          <w:rFonts w:ascii="Verdana" w:hAnsi="Verdana" w:cs="Arial"/>
          <w:sz w:val="20"/>
          <w:szCs w:val="20"/>
        </w:rPr>
        <w:t>‘</w:t>
      </w:r>
      <w:r w:rsidRPr="00667CD6">
        <w:rPr>
          <w:rFonts w:ascii="Verdana" w:hAnsi="Verdana" w:cs="Arial"/>
          <w:sz w:val="20"/>
          <w:szCs w:val="20"/>
        </w:rPr>
        <w:t>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r>
        <w:rPr>
          <w:rFonts w:ascii="Verdana" w:hAnsi="Verdana" w:cs="Arial"/>
          <w:sz w:val="20"/>
          <w:szCs w:val="20"/>
        </w:rPr>
        <w:t>’”</w:t>
      </w:r>
      <w:r w:rsidRPr="00667CD6">
        <w:rPr>
          <w:rFonts w:ascii="Verdana" w:hAnsi="Verdana" w:cs="Arial"/>
          <w:sz w:val="20"/>
          <w:szCs w:val="20"/>
        </w:rPr>
        <w:t xml:space="preserve">. </w:t>
      </w:r>
    </w:p>
    <w:p w14:paraId="61F36ACA" w14:textId="77777777" w:rsidR="00965BFD" w:rsidRPr="00667CD6" w:rsidRDefault="00965BFD" w:rsidP="00965BFD">
      <w:pPr>
        <w:spacing w:after="0" w:line="276" w:lineRule="auto"/>
        <w:ind w:left="709" w:right="709"/>
        <w:jc w:val="both"/>
        <w:rPr>
          <w:rFonts w:ascii="Verdana" w:hAnsi="Verdana" w:cs="Arial"/>
        </w:rPr>
      </w:pPr>
    </w:p>
    <w:p w14:paraId="5254C184" w14:textId="77777777" w:rsidR="00965BFD" w:rsidRPr="00667CD6" w:rsidRDefault="00965BFD" w:rsidP="00965BFD">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Pr>
          <w:rFonts w:ascii="Verdana" w:eastAsia="Arial" w:hAnsi="Verdana" w:cs="Arial"/>
          <w:lang w:eastAsia="es-ES" w:bidi="es-ES"/>
        </w:rPr>
        <w:t>”</w:t>
      </w:r>
      <w:r w:rsidRPr="00667CD6">
        <w:rPr>
          <w:rFonts w:ascii="Verdana" w:eastAsia="Arial" w:hAnsi="Verdana" w:cs="Arial"/>
          <w:i/>
          <w:iCs/>
          <w:lang w:eastAsia="es-ES" w:bidi="es-ES"/>
        </w:rPr>
        <w:t xml:space="preserve">. </w:t>
      </w:r>
    </w:p>
    <w:p w14:paraId="1890C1A4" w14:textId="77777777" w:rsidR="00965BFD" w:rsidRPr="00667CD6" w:rsidRDefault="00965BFD" w:rsidP="00965BFD">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lastRenderedPageBreak/>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35"/>
      </w:r>
      <w:r w:rsidRPr="00667CD6">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667CD6">
        <w:rPr>
          <w:rFonts w:ascii="Verdana" w:eastAsia="Arial" w:hAnsi="Verdana" w:cs="Arial"/>
          <w:lang w:eastAsia="es-ES" w:bidi="es-ES"/>
        </w:rPr>
        <w:t>legis</w:t>
      </w:r>
      <w:proofErr w:type="spellEnd"/>
      <w:r w:rsidRPr="00667CD6">
        <w:rPr>
          <w:rFonts w:ascii="Verdana" w:eastAsia="Arial" w:hAnsi="Verdana" w:cs="Arial"/>
          <w:lang w:eastAsia="es-ES" w:bidi="es-ES"/>
        </w:rPr>
        <w:t xml:space="preserve"> o iuris y la interpretación extensiva y reiteró los argumentos sobre la diferencia entre contratos y convenios interadministrativos. </w:t>
      </w:r>
    </w:p>
    <w:p w14:paraId="04617E82" w14:textId="77777777" w:rsidR="00965BFD" w:rsidRDefault="00965BFD" w:rsidP="00965BFD">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31E4E861">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2B3EF11B" w14:textId="77777777" w:rsidR="00965BFD" w:rsidRDefault="00965BFD" w:rsidP="00965BFD">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 xml:space="preserve">La anterior decisión se adoptó al considerar que la Agencia excedió su competencia material al incluir contratos en una restricción que la Ley de Garantías Electorales solo previó para convenios, cuando no es posible aplicar </w:t>
      </w:r>
      <w:r w:rsidRPr="2035D652">
        <w:rPr>
          <w:rFonts w:ascii="Verdana" w:eastAsia="Times New Roman" w:hAnsi="Verdana" w:cs="Times New Roman"/>
          <w:lang w:eastAsia="es-ES"/>
        </w:rPr>
        <w:lastRenderedPageBreak/>
        <w:t>por analogía o extensión una norma que establece prohibiciones</w:t>
      </w:r>
      <w:r w:rsidRPr="2035D652">
        <w:rPr>
          <w:rStyle w:val="Refdenotaalpie"/>
          <w:rFonts w:ascii="Verdana" w:eastAsia="Times New Roman" w:hAnsi="Verdana" w:cs="Times New Roman"/>
          <w:lang w:eastAsia="es-ES"/>
        </w:rPr>
        <w:footnoteReference w:id="36"/>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28B47546" w14:textId="77777777" w:rsidR="00965BFD" w:rsidRDefault="00965BFD" w:rsidP="00965BFD">
      <w:pPr>
        <w:spacing w:after="0" w:line="276" w:lineRule="auto"/>
        <w:ind w:firstLine="709"/>
        <w:jc w:val="both"/>
        <w:rPr>
          <w:rFonts w:ascii="Verdana" w:eastAsia="Times New Roman" w:hAnsi="Verdana" w:cs="Arial"/>
          <w:lang w:eastAsia="es-CO"/>
        </w:rPr>
      </w:pPr>
      <w:r w:rsidRPr="2035D652">
        <w:rPr>
          <w:rFonts w:ascii="Verdana" w:eastAsia="Times New Roman" w:hAnsi="Verdana" w:cs="Times New Roman"/>
          <w:lang w:eastAsia="es-ES"/>
        </w:rPr>
        <w:t xml:space="preserve">A juicio de la Sala, aunque el propósito de la Circular Externa era legítimo </w:t>
      </w:r>
      <w:r>
        <w:rPr>
          <w:rFonts w:ascii="Verdana" w:eastAsia="Times New Roman" w:hAnsi="Verdana" w:cs="Times New Roman"/>
          <w:lang w:eastAsia="es-ES"/>
        </w:rPr>
        <w:t>–</w:t>
      </w:r>
      <w:r w:rsidRPr="2035D652">
        <w:rPr>
          <w:rFonts w:ascii="Verdana" w:eastAsia="Times New Roman" w:hAnsi="Verdana" w:cs="Times New Roman"/>
          <w:lang w:eastAsia="es-ES"/>
        </w:rPr>
        <w:t>evitar el uso indebido de recursos en época electoral</w:t>
      </w:r>
      <w:r>
        <w:rPr>
          <w:rFonts w:ascii="Verdana" w:eastAsia="Times New Roman" w:hAnsi="Verdana" w:cs="Times New Roman"/>
          <w:lang w:eastAsia="es-ES"/>
        </w:rPr>
        <w:t>–</w:t>
      </w:r>
      <w:r w:rsidRPr="2035D652">
        <w:rPr>
          <w:rFonts w:ascii="Verdana" w:eastAsia="Times New Roman" w:hAnsi="Verdana" w:cs="Times New Roman"/>
          <w:lang w:eastAsia="es-ES"/>
        </w:rPr>
        <w:t>, el numeral 16.2. desconoció el alcance literal del artículo 38 de la Ley 996 de 2005 y los límites de la potestad reglamentaria, lo que configuró un vicio de contenido.</w:t>
      </w:r>
      <w:r>
        <w:rPr>
          <w:rFonts w:ascii="Verdana" w:eastAsia="Times New Roman" w:hAnsi="Verdana" w:cs="Times New Roman"/>
          <w:lang w:eastAsia="es-ES"/>
        </w:rPr>
        <w:t xml:space="preserve"> </w:t>
      </w: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37"/>
      </w:r>
      <w:r>
        <w:rPr>
          <w:rFonts w:ascii="Verdana" w:eastAsia="Times New Roman" w:hAnsi="Verdana" w:cs="Arial"/>
          <w:lang w:eastAsia="es-CO"/>
        </w:rPr>
        <w:t>.</w:t>
      </w:r>
    </w:p>
    <w:p w14:paraId="2E03B774" w14:textId="77777777" w:rsidR="00965BFD" w:rsidRDefault="00965BFD" w:rsidP="00965BFD">
      <w:pPr>
        <w:spacing w:after="0" w:line="276" w:lineRule="auto"/>
        <w:jc w:val="both"/>
        <w:rPr>
          <w:rFonts w:ascii="Verdana" w:eastAsia="Arial" w:hAnsi="Verdana" w:cs="Arial"/>
          <w:lang w:val="es-ES" w:eastAsia="es-ES" w:bidi="es-ES"/>
        </w:rPr>
      </w:pPr>
    </w:p>
    <w:p w14:paraId="5FA19962" w14:textId="77777777" w:rsidR="00965BFD" w:rsidRPr="003A380F" w:rsidRDefault="00965BFD" w:rsidP="00965BFD">
      <w:pPr>
        <w:spacing w:after="120" w:line="276" w:lineRule="auto"/>
        <w:jc w:val="both"/>
        <w:rPr>
          <w:rFonts w:ascii="Verdana" w:eastAsia="Calibri" w:hAnsi="Verdana" w:cs="Arial"/>
          <w:bCs/>
          <w:color w:val="000000" w:themeColor="text1"/>
        </w:rPr>
      </w:pPr>
      <w:r w:rsidRPr="003A380F">
        <w:rPr>
          <w:rFonts w:ascii="Verdana" w:eastAsia="Calibri" w:hAnsi="Verdana" w:cs="Arial"/>
          <w:bCs/>
          <w:color w:val="000000" w:themeColor="text1"/>
        </w:rPr>
        <w:t>vi. Al margen de la explicación precedente</w:t>
      </w:r>
      <w:r>
        <w:rPr>
          <w:rFonts w:ascii="Verdana" w:eastAsia="Calibri" w:hAnsi="Verdana" w:cs="Arial"/>
          <w:bCs/>
          <w:color w:val="000000" w:themeColor="text1"/>
        </w:rPr>
        <w:t>,</w:t>
      </w:r>
      <w:r w:rsidRPr="003A380F">
        <w:rPr>
          <w:rFonts w:ascii="Verdana" w:eastAsia="Calibri" w:hAnsi="Verdana" w:cs="Arial"/>
          <w:bCs/>
          <w:color w:val="000000" w:themeColor="text1"/>
        </w:rPr>
        <w:t xml:space="preserve"> debe advertirse que el análisis requerido para resolver problemas específicos en torno a la gestión contractual de las entidades públicas debe ser realizado por quienes tengan interés en ello, </w:t>
      </w:r>
      <w:r w:rsidRPr="003A380F">
        <w:rPr>
          <w:rFonts w:ascii="Verdana" w:eastAsia="Calibri" w:hAnsi="Verdana" w:cs="Arial"/>
          <w:bCs/>
          <w:color w:val="000000" w:themeColor="text1"/>
        </w:rPr>
        <w:lastRenderedPageBreak/>
        <w:t xml:space="preserve">de acuerdo con lo explicado </w:t>
      </w:r>
      <w:r>
        <w:rPr>
          <w:rFonts w:ascii="Verdana" w:eastAsia="Calibri" w:hAnsi="Verdana" w:cs="Arial"/>
          <w:bCs/>
          <w:color w:val="000000" w:themeColor="text1"/>
        </w:rPr>
        <w:t>en la</w:t>
      </w:r>
      <w:r w:rsidRPr="003A380F">
        <w:rPr>
          <w:rFonts w:ascii="Verdana" w:eastAsia="Calibri" w:hAnsi="Verdana" w:cs="Arial"/>
          <w:bCs/>
          <w:color w:val="000000" w:themeColor="text1"/>
        </w:rPr>
        <w:t xml:space="preserve">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5861FF0" w14:textId="77777777" w:rsidR="00965BFD" w:rsidRPr="00185EE9" w:rsidRDefault="00965BFD" w:rsidP="00965BFD">
      <w:pPr>
        <w:spacing w:after="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1A3CD5A2" w14:textId="77777777" w:rsidR="009C0FC6" w:rsidRPr="003002F9" w:rsidRDefault="009C0FC6" w:rsidP="009C0FC6">
      <w:pPr>
        <w:spacing w:after="0" w:line="276" w:lineRule="auto"/>
        <w:jc w:val="both"/>
        <w:rPr>
          <w:rFonts w:ascii="Verdana" w:eastAsia="Calibri" w:hAnsi="Verdana" w:cs="Arial"/>
          <w:bCs/>
          <w:color w:val="000000" w:themeColor="text1"/>
        </w:rPr>
      </w:pPr>
    </w:p>
    <w:p w14:paraId="2ADC6D29" w14:textId="77777777" w:rsidR="009C0FC6" w:rsidRPr="00667CD6" w:rsidRDefault="009C0FC6" w:rsidP="009C0FC6">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667CD6">
        <w:rPr>
          <w:rFonts w:ascii="Verdana" w:eastAsia="Century Gothic" w:hAnsi="Verdana" w:cs="Century Gothic"/>
          <w:b/>
          <w:bCs/>
          <w:lang w:val="es-ES_tradnl"/>
        </w:rPr>
        <w:t>Referencias normativas:</w:t>
      </w:r>
    </w:p>
    <w:p w14:paraId="65549868" w14:textId="77777777" w:rsidR="009C0FC6" w:rsidRPr="00667CD6" w:rsidRDefault="009C0FC6" w:rsidP="009C0FC6">
      <w:pPr>
        <w:widowControl w:val="0"/>
        <w:autoSpaceDE w:val="0"/>
        <w:autoSpaceDN w:val="0"/>
        <w:spacing w:after="0" w:line="276" w:lineRule="auto"/>
        <w:jc w:val="both"/>
        <w:rPr>
          <w:rFonts w:ascii="Verdana" w:hAnsi="Verdana" w:cs="Arial"/>
          <w:lang w:val="es-ES_tradn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C0FC6" w:rsidRPr="00667CD6" w14:paraId="3893089C" w14:textId="77777777" w:rsidTr="00FB43C2">
        <w:trPr>
          <w:trHeight w:val="491"/>
          <w:jc w:val="center"/>
        </w:trPr>
        <w:tc>
          <w:tcPr>
            <w:tcW w:w="8647" w:type="dxa"/>
          </w:tcPr>
          <w:p w14:paraId="7967B7CD" w14:textId="77777777" w:rsidR="009C0FC6" w:rsidRDefault="009C0FC6" w:rsidP="00FB43C2">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667CD6">
              <w:rPr>
                <w:rFonts w:ascii="Verdana" w:eastAsia="Arial MT" w:hAnsi="Verdana" w:cs="Arial"/>
                <w:lang w:val="es-ES" w:eastAsia="es-ES" w:bidi="es-ES"/>
              </w:rPr>
              <w:t>Constitución Política, artículo 127</w:t>
            </w:r>
            <w:r>
              <w:rPr>
                <w:rFonts w:ascii="Verdana" w:eastAsia="Arial MT" w:hAnsi="Verdana" w:cs="Arial"/>
                <w:lang w:val="es-ES" w:eastAsia="es-ES" w:bidi="es-ES"/>
              </w:rPr>
              <w:t xml:space="preserve"> y 197</w:t>
            </w:r>
          </w:p>
          <w:p w14:paraId="1B033480" w14:textId="77777777" w:rsidR="009C0FC6" w:rsidRDefault="009C0FC6" w:rsidP="00FB43C2">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6C67CA">
              <w:rPr>
                <w:rFonts w:ascii="Verdana" w:eastAsia="Arial MT" w:hAnsi="Verdana" w:cs="Arial"/>
                <w:lang w:eastAsia="es-ES" w:bidi="es-ES"/>
              </w:rPr>
              <w:t>Ley 80 de 1993, artículos 39 y 41.</w:t>
            </w:r>
          </w:p>
          <w:p w14:paraId="6501E43F" w14:textId="77777777" w:rsidR="009C0FC6" w:rsidRPr="006C67CA" w:rsidRDefault="009C0FC6" w:rsidP="00FB43C2">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6C67CA">
              <w:rPr>
                <w:rFonts w:ascii="Verdana" w:eastAsia="Arial MT" w:hAnsi="Verdana" w:cs="Arial"/>
                <w:bCs/>
                <w:lang w:val="es-ES" w:eastAsia="es-ES" w:bidi="es-ES"/>
              </w:rPr>
              <w:t>Ley 996 de 2005, artículos 33 y 38.</w:t>
            </w:r>
          </w:p>
          <w:p w14:paraId="149E253F" w14:textId="77777777" w:rsidR="009C0FC6" w:rsidRPr="007B33FF" w:rsidRDefault="009C0FC6" w:rsidP="00FB43C2">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Pr>
                <w:rFonts w:ascii="Verdana" w:hAnsi="Verdana" w:cs="Arial"/>
                <w:bCs/>
                <w:color w:val="000000" w:themeColor="text1"/>
                <w:lang w:val="es-ES"/>
              </w:rPr>
              <w:t>Ley 1150 de 2007, artículo 2.</w:t>
            </w:r>
          </w:p>
          <w:p w14:paraId="1207ABFE" w14:textId="77777777" w:rsidR="009C0FC6" w:rsidRPr="002B65C4" w:rsidRDefault="009C0FC6" w:rsidP="00FB43C2">
            <w:pPr>
              <w:widowControl w:val="0"/>
              <w:numPr>
                <w:ilvl w:val="0"/>
                <w:numId w:val="17"/>
              </w:numPr>
              <w:autoSpaceDE w:val="0"/>
              <w:autoSpaceDN w:val="0"/>
              <w:spacing w:after="120" w:line="276" w:lineRule="auto"/>
              <w:jc w:val="both"/>
              <w:rPr>
                <w:rFonts w:ascii="Verdana" w:hAnsi="Verdana" w:cs="Arial"/>
                <w:lang w:val="es-ES"/>
              </w:rPr>
            </w:pPr>
            <w:r w:rsidRPr="00E348E8">
              <w:rPr>
                <w:rFonts w:ascii="Verdana" w:eastAsia="Times New Roman" w:hAnsi="Verdana" w:cs="Times New Roman"/>
                <w:lang w:eastAsia="es-ES_tradnl"/>
              </w:rPr>
              <w:t>Corte Constitucional</w:t>
            </w:r>
            <w:r>
              <w:rPr>
                <w:rFonts w:ascii="Verdana" w:eastAsia="Times New Roman" w:hAnsi="Verdana" w:cs="Times New Roman"/>
                <w:lang w:eastAsia="es-ES_tradnl"/>
              </w:rPr>
              <w:t xml:space="preserve">. </w:t>
            </w:r>
            <w:r w:rsidRPr="00E348E8">
              <w:rPr>
                <w:rFonts w:ascii="Verdana" w:eastAsia="Times New Roman" w:hAnsi="Verdana" w:cs="Times New Roman"/>
                <w:lang w:eastAsia="es-ES_tradnl"/>
              </w:rPr>
              <w:t>Sentencia C- 1153 de 2005</w:t>
            </w:r>
            <w:r>
              <w:rPr>
                <w:rFonts w:ascii="Verdana" w:eastAsia="Times New Roman" w:hAnsi="Verdana" w:cs="Times New Roman"/>
                <w:lang w:eastAsia="es-ES_tradnl"/>
              </w:rPr>
              <w:t xml:space="preserve">. </w:t>
            </w:r>
            <w:r w:rsidRPr="00E348E8">
              <w:rPr>
                <w:rFonts w:ascii="Verdana" w:eastAsia="Times New Roman" w:hAnsi="Verdana" w:cs="Times New Roman"/>
                <w:lang w:eastAsia="es-ES_tradnl"/>
              </w:rPr>
              <w:t>M.P. Marco Gerardo Monroy Cabra</w:t>
            </w:r>
            <w:r w:rsidRPr="00670659">
              <w:rPr>
                <w:rFonts w:ascii="Verdana" w:eastAsia="Times New Roman" w:hAnsi="Verdana" w:cs="Times New Roman"/>
                <w:lang w:eastAsia="es-ES_tradnl"/>
              </w:rPr>
              <w:t xml:space="preserve"> </w:t>
            </w:r>
          </w:p>
          <w:p w14:paraId="4B5DFB66" w14:textId="77777777" w:rsidR="009C0FC6" w:rsidRDefault="009C0FC6" w:rsidP="00FB43C2">
            <w:pPr>
              <w:widowControl w:val="0"/>
              <w:numPr>
                <w:ilvl w:val="0"/>
                <w:numId w:val="17"/>
              </w:numPr>
              <w:autoSpaceDE w:val="0"/>
              <w:autoSpaceDN w:val="0"/>
              <w:spacing w:after="120" w:line="276" w:lineRule="auto"/>
              <w:jc w:val="both"/>
              <w:rPr>
                <w:rFonts w:ascii="Verdana" w:hAnsi="Verdana" w:cs="Arial"/>
                <w:lang w:val="es-ES"/>
              </w:rPr>
            </w:pPr>
            <w:r w:rsidRPr="002B65C4">
              <w:rPr>
                <w:rFonts w:ascii="Verdana" w:hAnsi="Verdana" w:cs="Arial"/>
                <w:lang w:val="es-ES"/>
              </w:rPr>
              <w:t>Corte Constitucional. Sentencias: C-233 de 4 de abril de 2002, expediente: D-3704; C-551 de 9 de julio de 2003, expediente: CRF-001 de 9 de julio de 2003</w:t>
            </w:r>
            <w:r>
              <w:t xml:space="preserve">, </w:t>
            </w:r>
            <w:r w:rsidRPr="003D1395">
              <w:rPr>
                <w:rFonts w:ascii="Verdana" w:hAnsi="Verdana" w:cs="Arial"/>
                <w:lang w:val="es-ES"/>
              </w:rPr>
              <w:t>C-652 de 5 de agosto de 2003, expediente: D-4330; C-353 de 20 de mayo de 2009, expediente: D-7518, C-541 de 30 de junio de 2010, expediente: DD7966</w:t>
            </w:r>
          </w:p>
          <w:p w14:paraId="6F8266DF" w14:textId="77777777" w:rsidR="009C0FC6" w:rsidRDefault="009C0FC6" w:rsidP="00FB43C2">
            <w:pPr>
              <w:widowControl w:val="0"/>
              <w:numPr>
                <w:ilvl w:val="0"/>
                <w:numId w:val="17"/>
              </w:numPr>
              <w:autoSpaceDE w:val="0"/>
              <w:autoSpaceDN w:val="0"/>
              <w:spacing w:after="120" w:line="276" w:lineRule="auto"/>
              <w:jc w:val="both"/>
              <w:rPr>
                <w:rFonts w:ascii="Verdana" w:hAnsi="Verdana" w:cs="Arial"/>
                <w:lang w:val="es-ES"/>
              </w:rPr>
            </w:pPr>
            <w:r w:rsidRPr="008130B2">
              <w:rPr>
                <w:rFonts w:ascii="Verdana" w:hAnsi="Verdana" w:cs="Arial"/>
                <w:lang w:val="es-ES"/>
              </w:rPr>
              <w:t>Consejo de Estado, Sala de lo Contencioso Administrativo, Sección Primera. Sentencia de 3 de marzo de 2005, expediente número 2004-</w:t>
            </w:r>
            <w:r w:rsidRPr="008130B2">
              <w:rPr>
                <w:rFonts w:ascii="Verdana" w:hAnsi="Verdana" w:cs="Arial"/>
                <w:lang w:val="es-ES"/>
              </w:rPr>
              <w:lastRenderedPageBreak/>
              <w:t>00823-01(PI).</w:t>
            </w:r>
          </w:p>
          <w:p w14:paraId="78B16BA6" w14:textId="77777777" w:rsidR="009C0FC6" w:rsidRDefault="009C0FC6" w:rsidP="00FB43C2">
            <w:pPr>
              <w:widowControl w:val="0"/>
              <w:numPr>
                <w:ilvl w:val="0"/>
                <w:numId w:val="17"/>
              </w:numPr>
              <w:autoSpaceDE w:val="0"/>
              <w:autoSpaceDN w:val="0"/>
              <w:spacing w:after="120" w:line="276" w:lineRule="auto"/>
              <w:jc w:val="both"/>
              <w:rPr>
                <w:rFonts w:ascii="Verdana" w:hAnsi="Verdana" w:cs="Arial"/>
                <w:lang w:val="es-ES"/>
              </w:rPr>
            </w:pPr>
            <w:r w:rsidRPr="00A1584C">
              <w:rPr>
                <w:rFonts w:ascii="Verdana" w:hAnsi="Verdana" w:cs="Arial"/>
                <w:lang w:val="es-ES"/>
              </w:rPr>
              <w:t xml:space="preserve">Consejo de Estado, Sala de Consulta y Servicio Civil de fecha 24 de julio de 2013, radicado 2166, C. P. Álvaro Namén Vargas.  </w:t>
            </w:r>
          </w:p>
          <w:p w14:paraId="497BBC36" w14:textId="77777777" w:rsidR="009C0FC6" w:rsidRDefault="009C0FC6" w:rsidP="00FB43C2">
            <w:pPr>
              <w:widowControl w:val="0"/>
              <w:numPr>
                <w:ilvl w:val="0"/>
                <w:numId w:val="17"/>
              </w:numPr>
              <w:autoSpaceDE w:val="0"/>
              <w:autoSpaceDN w:val="0"/>
              <w:spacing w:after="120" w:line="276" w:lineRule="auto"/>
              <w:jc w:val="both"/>
              <w:rPr>
                <w:rFonts w:ascii="Verdana" w:hAnsi="Verdana" w:cs="Arial"/>
                <w:lang w:val="es-ES"/>
              </w:rPr>
            </w:pPr>
            <w:r w:rsidRPr="001B2705">
              <w:rPr>
                <w:rFonts w:ascii="Verdana" w:hAnsi="Verdana" w:cs="Arial"/>
                <w:lang w:val="es-ES"/>
              </w:rPr>
              <w:t>Consejo de Estado. Sala de Consulta y Servicio Civil. Concepto del 17 de febrero de 2015. C.P. William Zambrano Cetina. Radicación No. 11001-03-06-000-2015-00164-00(2269).</w:t>
            </w:r>
          </w:p>
          <w:p w14:paraId="2AF035AA" w14:textId="77777777" w:rsidR="009C0FC6" w:rsidRDefault="009C0FC6" w:rsidP="00FB43C2">
            <w:pPr>
              <w:widowControl w:val="0"/>
              <w:numPr>
                <w:ilvl w:val="0"/>
                <w:numId w:val="17"/>
              </w:numPr>
              <w:autoSpaceDE w:val="0"/>
              <w:autoSpaceDN w:val="0"/>
              <w:spacing w:after="120" w:line="276" w:lineRule="auto"/>
              <w:jc w:val="both"/>
              <w:rPr>
                <w:rFonts w:ascii="Verdana" w:hAnsi="Verdana" w:cs="Arial"/>
                <w:lang w:val="es-ES"/>
              </w:rPr>
            </w:pPr>
            <w:r w:rsidRPr="000F506D">
              <w:rPr>
                <w:rFonts w:ascii="Verdana" w:hAnsi="Verdana" w:cs="Arial"/>
                <w:lang w:val="es-ES"/>
              </w:rPr>
              <w:t>Consejo de Estado. Sección Tercera. Sentencia de 3 de diciembre de 2007. Radicados: 24.715, 25.206, 25.409, 24.524, 27.834, 25.410, 26.105, 28.244, 31.447 -acumulados</w:t>
            </w:r>
          </w:p>
          <w:p w14:paraId="5C4790A0" w14:textId="77777777" w:rsidR="009C0FC6" w:rsidRDefault="009C0FC6" w:rsidP="00FB43C2">
            <w:pPr>
              <w:widowControl w:val="0"/>
              <w:numPr>
                <w:ilvl w:val="0"/>
                <w:numId w:val="17"/>
              </w:numPr>
              <w:autoSpaceDE w:val="0"/>
              <w:autoSpaceDN w:val="0"/>
              <w:spacing w:after="120" w:line="276" w:lineRule="auto"/>
              <w:jc w:val="both"/>
              <w:rPr>
                <w:rFonts w:ascii="Verdana" w:hAnsi="Verdana" w:cs="Arial"/>
                <w:lang w:val="es-ES"/>
              </w:rPr>
            </w:pPr>
            <w:r w:rsidRPr="00123B97">
              <w:rPr>
                <w:rFonts w:ascii="Verdana" w:hAnsi="Verdana" w:cs="Arial"/>
                <w:lang w:val="es-ES"/>
              </w:rPr>
              <w:t>Consejo de Estado. Sala de Consulta y Servicio Civil. Concepto del 2 de septiembre de 2013. Radicación número: 11001-03-06-000-2013-00412-00 (2168). Consejero Ponente: Álvaro Namén Vargas.</w:t>
            </w:r>
          </w:p>
          <w:p w14:paraId="40842A1C" w14:textId="77777777" w:rsidR="009C0FC6" w:rsidRDefault="009C0FC6" w:rsidP="00FB43C2">
            <w:pPr>
              <w:widowControl w:val="0"/>
              <w:numPr>
                <w:ilvl w:val="0"/>
                <w:numId w:val="17"/>
              </w:numPr>
              <w:autoSpaceDE w:val="0"/>
              <w:autoSpaceDN w:val="0"/>
              <w:spacing w:after="120" w:line="276" w:lineRule="auto"/>
              <w:jc w:val="both"/>
              <w:rPr>
                <w:rFonts w:ascii="Verdana" w:hAnsi="Verdana" w:cs="Arial"/>
                <w:lang w:val="es-ES"/>
              </w:rPr>
            </w:pPr>
            <w:r w:rsidRPr="00442B36">
              <w:rPr>
                <w:rFonts w:ascii="Verdana" w:hAnsi="Verdana" w:cs="Arial"/>
                <w:lang w:val="es-ES"/>
              </w:rPr>
              <w:t>Consejo de Estado. Sala de Consulta y Servicio Civil, Concepto de 8 de mayo de 2018. Radicación Número: 11001-03-06-000-2018-00095-00(2382). C.P. Álvaro Namén Vargas.</w:t>
            </w:r>
          </w:p>
          <w:p w14:paraId="295041CD" w14:textId="77777777" w:rsidR="009C0FC6" w:rsidRDefault="009C0FC6" w:rsidP="00FB43C2">
            <w:pPr>
              <w:widowControl w:val="0"/>
              <w:numPr>
                <w:ilvl w:val="0"/>
                <w:numId w:val="17"/>
              </w:numPr>
              <w:autoSpaceDE w:val="0"/>
              <w:autoSpaceDN w:val="0"/>
              <w:spacing w:after="120" w:line="276" w:lineRule="auto"/>
              <w:jc w:val="both"/>
              <w:rPr>
                <w:rFonts w:ascii="Verdana" w:hAnsi="Verdana" w:cs="Arial"/>
                <w:lang w:val="es-ES"/>
              </w:rPr>
            </w:pPr>
            <w:r w:rsidRPr="006D48AE">
              <w:rPr>
                <w:rFonts w:ascii="Verdana" w:hAnsi="Verdana" w:cs="Arial"/>
                <w:lang w:val="es-ES"/>
              </w:rPr>
              <w:t>Corte Constitucional</w:t>
            </w:r>
            <w:r>
              <w:rPr>
                <w:rFonts w:ascii="Verdana" w:hAnsi="Verdana" w:cs="Arial"/>
                <w:lang w:val="es-ES"/>
              </w:rPr>
              <w:t xml:space="preserve">. </w:t>
            </w:r>
            <w:r w:rsidRPr="006D48AE">
              <w:rPr>
                <w:rFonts w:ascii="Verdana" w:hAnsi="Verdana" w:cs="Arial"/>
                <w:lang w:val="es-ES"/>
              </w:rPr>
              <w:t>Sentencia C-1153-05 de 11 de noviembre de 2005</w:t>
            </w:r>
            <w:r>
              <w:rPr>
                <w:rFonts w:ascii="Verdana" w:hAnsi="Verdana" w:cs="Arial"/>
                <w:lang w:val="es-ES"/>
              </w:rPr>
              <w:t xml:space="preserve">. </w:t>
            </w:r>
            <w:r w:rsidRPr="006D48AE">
              <w:rPr>
                <w:rFonts w:ascii="Verdana" w:hAnsi="Verdana" w:cs="Arial"/>
                <w:lang w:val="es-ES"/>
              </w:rPr>
              <w:t>Magistrado Ponente Marco Gerardo Monroy Cabra</w:t>
            </w:r>
            <w:r>
              <w:rPr>
                <w:rFonts w:ascii="Verdana" w:hAnsi="Verdana" w:cs="Arial"/>
                <w:lang w:val="es-ES"/>
              </w:rPr>
              <w:t>.</w:t>
            </w:r>
          </w:p>
          <w:p w14:paraId="06F90FD8" w14:textId="77777777" w:rsidR="009C0FC6" w:rsidRDefault="009C0FC6" w:rsidP="00FB43C2">
            <w:pPr>
              <w:widowControl w:val="0"/>
              <w:numPr>
                <w:ilvl w:val="0"/>
                <w:numId w:val="17"/>
              </w:numPr>
              <w:autoSpaceDE w:val="0"/>
              <w:autoSpaceDN w:val="0"/>
              <w:spacing w:after="120" w:line="276" w:lineRule="auto"/>
              <w:jc w:val="both"/>
              <w:rPr>
                <w:rFonts w:ascii="Verdana" w:hAnsi="Verdana" w:cs="Arial"/>
                <w:lang w:val="es-ES"/>
              </w:rPr>
            </w:pPr>
            <w:r w:rsidRPr="00CF3813">
              <w:rPr>
                <w:rFonts w:ascii="Verdana" w:hAnsi="Verdana" w:cs="Arial"/>
                <w:lang w:val="es-ES"/>
              </w:rPr>
              <w:t>Consejo de Estado. Sala de Consulta y Servicio Civil. Concepto de 20 de febrero de 2006. Radicación Número: 11001-03-06-000-2006-00026-00 (1727). C.P. Enrique José Arboleda Perdomo</w:t>
            </w:r>
            <w:r>
              <w:rPr>
                <w:rFonts w:ascii="Verdana" w:hAnsi="Verdana" w:cs="Arial"/>
                <w:lang w:val="es-ES"/>
              </w:rPr>
              <w:t>.</w:t>
            </w:r>
          </w:p>
          <w:p w14:paraId="1BE1980E" w14:textId="77777777" w:rsidR="009C0FC6" w:rsidRPr="003002F9" w:rsidRDefault="009C0FC6" w:rsidP="00FB43C2">
            <w:pPr>
              <w:widowControl w:val="0"/>
              <w:numPr>
                <w:ilvl w:val="0"/>
                <w:numId w:val="17"/>
              </w:numPr>
              <w:autoSpaceDE w:val="0"/>
              <w:autoSpaceDN w:val="0"/>
              <w:spacing w:after="120" w:line="276" w:lineRule="auto"/>
              <w:jc w:val="both"/>
              <w:rPr>
                <w:rFonts w:ascii="Verdana" w:hAnsi="Verdana" w:cs="Arial"/>
                <w:lang w:val="es-ES"/>
              </w:rPr>
            </w:pPr>
            <w:r w:rsidRPr="008C74B0">
              <w:rPr>
                <w:rFonts w:ascii="Verdana" w:hAnsi="Verdana" w:cs="Arial"/>
                <w:lang w:val="es-ES"/>
              </w:rPr>
              <w:t>Consejo de Estado. Sala de Consulta y Servicio Civil. Concepto de 6 de abril de 2006. Radicación Número: 11001-03-06-000-2006-00038-00 (1738). C.P. Enrique José Arboleda Perdomo</w:t>
            </w:r>
            <w:r>
              <w:rPr>
                <w:rFonts w:ascii="Verdana" w:hAnsi="Verdana" w:cs="Arial"/>
                <w:lang w:val="es-ES"/>
              </w:rPr>
              <w:t>.</w:t>
            </w:r>
          </w:p>
        </w:tc>
      </w:tr>
    </w:tbl>
    <w:p w14:paraId="4FADC9C9" w14:textId="77777777" w:rsidR="00A8676F" w:rsidRPr="00667CD6" w:rsidRDefault="00A8676F" w:rsidP="00A8676F">
      <w:pPr>
        <w:widowControl w:val="0"/>
        <w:autoSpaceDE w:val="0"/>
        <w:autoSpaceDN w:val="0"/>
        <w:spacing w:after="0" w:line="276" w:lineRule="auto"/>
        <w:jc w:val="both"/>
        <w:rPr>
          <w:rFonts w:ascii="Verdana" w:hAnsi="Verdana" w:cs="Arial"/>
          <w:lang w:val="es-ES_tradnl"/>
        </w:rPr>
      </w:pPr>
    </w:p>
    <w:p w14:paraId="5922FA43" w14:textId="77777777" w:rsidR="00A8676F" w:rsidRPr="00667CD6" w:rsidRDefault="00A8676F" w:rsidP="00A8676F">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667CD6">
        <w:rPr>
          <w:rFonts w:ascii="Verdana" w:eastAsia="Century Gothic" w:hAnsi="Verdana" w:cs="Century Gothic"/>
          <w:b/>
          <w:bCs/>
          <w:lang w:val="es-ES_tradnl"/>
        </w:rPr>
        <w:t>Doctrina de la Agencia Nacional de Contratación Pública:</w:t>
      </w:r>
    </w:p>
    <w:p w14:paraId="2DE7B8CE" w14:textId="77777777" w:rsidR="00A8676F" w:rsidRPr="00667CD6" w:rsidRDefault="00A8676F" w:rsidP="00A8676F">
      <w:pPr>
        <w:widowControl w:val="0"/>
        <w:autoSpaceDE w:val="0"/>
        <w:autoSpaceDN w:val="0"/>
        <w:spacing w:after="0" w:line="276" w:lineRule="auto"/>
        <w:jc w:val="both"/>
        <w:rPr>
          <w:rFonts w:ascii="Verdana" w:hAnsi="Verdana" w:cs="Arial"/>
          <w:lang w:val="es-ES_tradnl"/>
        </w:rPr>
      </w:pPr>
    </w:p>
    <w:p w14:paraId="2DA96FDC" w14:textId="77777777" w:rsidR="00A8676F" w:rsidRPr="00667CD6" w:rsidRDefault="00A8676F" w:rsidP="00A8676F">
      <w:pPr>
        <w:widowControl w:val="0"/>
        <w:autoSpaceDE w:val="0"/>
        <w:autoSpaceDN w:val="0"/>
        <w:spacing w:after="0" w:line="276" w:lineRule="auto"/>
        <w:jc w:val="both"/>
        <w:rPr>
          <w:rFonts w:ascii="Verdana" w:hAnsi="Verdana" w:cs="Arial"/>
          <w:shd w:val="clear" w:color="auto" w:fill="FFFFFF"/>
        </w:rPr>
      </w:pPr>
      <w:r w:rsidRPr="005D334E">
        <w:rPr>
          <w:rFonts w:ascii="Verdana" w:hAnsi="Verdana" w:cs="Arial"/>
          <w:shd w:val="clear" w:color="auto" w:fill="FFFFFF"/>
        </w:rPr>
        <w:t xml:space="preserve">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w:t>
      </w:r>
      <w:r w:rsidRPr="005D334E">
        <w:rPr>
          <w:rFonts w:ascii="Verdana" w:hAnsi="Verdana" w:cs="Arial"/>
          <w:shd w:val="clear" w:color="auto" w:fill="FFFFFF"/>
        </w:rPr>
        <w:lastRenderedPageBreak/>
        <w:t xml:space="preserve">del 21 de diciembre de 2021, C-054 del 22 de marzo de 2022, C-179 del 8 de abril de 2022, C-161 del 17 de mayo de 2022, C- 180 del 21 de marzo de 2025, C-696 del 11 de julio de 2025, C-708 del 15 de julio de 2025, C-1186 del 17 de septiembre de 2025, C-1350 del 1˚ de octubre de 2025 y C-1430 del 12 de noviembre del 2025. </w:t>
      </w:r>
      <w:r w:rsidRPr="005D334E">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2" w:history="1">
        <w:r w:rsidRPr="005D334E">
          <w:rPr>
            <w:rFonts w:ascii="Verdana" w:hAnsi="Verdana" w:cs="Arial"/>
            <w:color w:val="0000FF"/>
            <w:u w:val="single"/>
            <w:shd w:val="clear" w:color="auto" w:fill="FFFFFF"/>
            <w:lang w:val="es-ES_tradnl"/>
          </w:rPr>
          <w:t>https://relatoria.colombiacompra.gov.co/busqueda/conceptos</w:t>
        </w:r>
      </w:hyperlink>
      <w:r w:rsidRPr="005D334E">
        <w:rPr>
          <w:rFonts w:ascii="Verdana" w:hAnsi="Verdana" w:cs="Arial"/>
          <w:shd w:val="clear" w:color="auto" w:fill="FFFFFF"/>
          <w:lang w:val="es-ES_tradnl"/>
        </w:rPr>
        <w:t>.</w:t>
      </w:r>
      <w:r w:rsidRPr="00667CD6">
        <w:rPr>
          <w:rFonts w:ascii="Verdana" w:hAnsi="Verdana" w:cs="Arial"/>
          <w:shd w:val="clear" w:color="auto" w:fill="FFFFFF"/>
          <w:lang w:val="es-ES_tradnl"/>
        </w:rPr>
        <w:t xml:space="preserve"> </w:t>
      </w:r>
      <w:r w:rsidRPr="00667CD6">
        <w:rPr>
          <w:rFonts w:ascii="Verdana" w:hAnsi="Verdana" w:cs="Arial"/>
          <w:color w:val="FF0000"/>
          <w:shd w:val="clear" w:color="auto" w:fill="FFFFFF"/>
          <w:lang w:val="es-ES_tradnl"/>
        </w:rPr>
        <w:t xml:space="preserve"> </w:t>
      </w:r>
    </w:p>
    <w:p w14:paraId="5835072A" w14:textId="77777777" w:rsidR="00A8676F" w:rsidRPr="00667CD6" w:rsidRDefault="00A8676F" w:rsidP="00A8676F">
      <w:pPr>
        <w:widowControl w:val="0"/>
        <w:autoSpaceDE w:val="0"/>
        <w:autoSpaceDN w:val="0"/>
        <w:spacing w:after="0" w:line="276" w:lineRule="auto"/>
        <w:jc w:val="both"/>
        <w:rPr>
          <w:rFonts w:ascii="Verdana" w:hAnsi="Verdana" w:cs="Arial"/>
          <w:color w:val="FF0000"/>
          <w:shd w:val="clear" w:color="auto" w:fill="FFFFFF"/>
          <w:lang w:val="es-ES_tradnl"/>
        </w:rPr>
      </w:pPr>
    </w:p>
    <w:p w14:paraId="0560B199" w14:textId="77777777" w:rsidR="00A8676F" w:rsidRPr="00667CD6" w:rsidRDefault="00A8676F" w:rsidP="00A8676F">
      <w:pPr>
        <w:shd w:val="clear" w:color="auto" w:fill="FFFFFF"/>
        <w:spacing w:after="0" w:line="276" w:lineRule="auto"/>
        <w:jc w:val="both"/>
        <w:rPr>
          <w:rFonts w:ascii="Verdana" w:hAnsi="Verdana"/>
          <w:color w:val="467886"/>
          <w:u w:val="single"/>
        </w:rPr>
      </w:pPr>
      <w:r>
        <w:rPr>
          <w:rFonts w:ascii="Verdana" w:hAnsi="Verdana"/>
          <w:color w:val="000000"/>
          <w:lang w:val="es-ES_tradnl"/>
        </w:rPr>
        <w:t>Informamos</w:t>
      </w:r>
      <w:r>
        <w:rPr>
          <w:rFonts w:ascii="Verdana" w:hAnsi="Verdana"/>
          <w:color w:val="000000"/>
        </w:rPr>
        <w:t xml:space="preserve"> </w:t>
      </w:r>
      <w:r w:rsidRPr="00667CD6">
        <w:rPr>
          <w:rFonts w:ascii="Verdana" w:hAnsi="Verdana"/>
          <w:color w:val="000000"/>
        </w:rPr>
        <w:t>que ya se encuentra disponible la </w:t>
      </w:r>
      <w:r w:rsidRPr="00667CD6">
        <w:rPr>
          <w:rFonts w:ascii="Verdana" w:hAnsi="Verdana"/>
          <w:b/>
          <w:bCs/>
          <w:color w:val="000000"/>
        </w:rPr>
        <w:t>Guía de lineamientos de transparencia y selección objetiva para el departamento de La Guajira – Objetivo sexto constitucional de la Sentencia T-302 del 2017. </w:t>
      </w:r>
      <w:r w:rsidRPr="00667CD6">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667CD6">
        <w:rPr>
          <w:rFonts w:ascii="Verdana" w:hAnsi="Verdana"/>
          <w:color w:val="000000"/>
        </w:rPr>
        <w:t>Wayúu</w:t>
      </w:r>
      <w:proofErr w:type="spellEnd"/>
      <w:r w:rsidRPr="00667CD6">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667CD6">
          <w:rPr>
            <w:rFonts w:ascii="Verdana" w:hAnsi="Verdana"/>
            <w:color w:val="0000FF"/>
            <w:u w:val="single"/>
          </w:rPr>
          <w:t>Guía de lineamientos de transparencia y selección objetiva para el departamento de La Guajira – Objetivo sexto constitucional de la Sentencia T-302 del 2017</w:t>
        </w:r>
      </w:hyperlink>
      <w:r w:rsidRPr="00667CD6">
        <w:rPr>
          <w:rFonts w:ascii="Verdana" w:hAnsi="Verdana"/>
          <w:color w:val="000000"/>
          <w:u w:val="single"/>
        </w:rPr>
        <w:t>.</w:t>
      </w:r>
    </w:p>
    <w:p w14:paraId="6989FE2A" w14:textId="77777777" w:rsidR="00A8676F" w:rsidRPr="00667CD6" w:rsidRDefault="00A8676F" w:rsidP="00A8676F">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667CD6">
        <w:rPr>
          <w:rFonts w:ascii="Verdana" w:hAnsi="Verdana" w:cs="Arial"/>
          <w:color w:val="000000" w:themeColor="text1"/>
          <w:shd w:val="clear" w:color="auto" w:fill="FFFFFF"/>
          <w:lang w:val="es-ES_tradnl"/>
        </w:rPr>
        <w:t xml:space="preserve"> </w:t>
      </w:r>
    </w:p>
    <w:p w14:paraId="6DE88B50" w14:textId="77777777" w:rsidR="00A8676F" w:rsidRPr="00667CD6" w:rsidRDefault="00A8676F" w:rsidP="00A8676F">
      <w:pPr>
        <w:spacing w:after="0"/>
        <w:jc w:val="both"/>
        <w:rPr>
          <w:rFonts w:ascii="Verdana" w:hAnsi="Verdana"/>
        </w:rPr>
      </w:pPr>
      <w:r w:rsidRPr="00667CD6">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D357826" w14:textId="77777777" w:rsidR="00A8676F" w:rsidRPr="00667CD6" w:rsidRDefault="00A8676F" w:rsidP="00A8676F">
      <w:pPr>
        <w:spacing w:after="0"/>
        <w:jc w:val="both"/>
        <w:rPr>
          <w:rFonts w:ascii="Verdana" w:hAnsi="Verdana"/>
        </w:rPr>
      </w:pPr>
    </w:p>
    <w:p w14:paraId="574EF57D" w14:textId="77777777" w:rsidR="00A8676F" w:rsidRPr="00667CD6" w:rsidRDefault="00A8676F" w:rsidP="00A8676F">
      <w:pPr>
        <w:numPr>
          <w:ilvl w:val="0"/>
          <w:numId w:val="15"/>
        </w:numPr>
        <w:spacing w:after="0" w:line="240" w:lineRule="auto"/>
        <w:contextualSpacing/>
        <w:jc w:val="both"/>
        <w:rPr>
          <w:rFonts w:ascii="Verdana" w:eastAsia="Verdana" w:hAnsi="Verdana" w:cs="Verdana"/>
          <w:color w:val="4472C4" w:themeColor="accent1"/>
          <w:u w:val="single"/>
          <w:lang w:val="es-MX"/>
        </w:rPr>
      </w:pPr>
      <w:r w:rsidRPr="00667CD6">
        <w:rPr>
          <w:rFonts w:ascii="Verdana" w:eastAsia="Verdana" w:hAnsi="Verdana" w:cs="Verdana"/>
          <w:lang w:val="es-MX"/>
        </w:rPr>
        <w:t xml:space="preserve">Línea nacional gratuita o servicio a la ciudadanía (Mesa de servicio): </w:t>
      </w:r>
      <w:r w:rsidRPr="00667CD6">
        <w:rPr>
          <w:rFonts w:ascii="Verdana" w:hAnsi="Verdana"/>
          <w:color w:val="0000FF"/>
          <w:u w:val="single"/>
          <w:lang w:val="es-ES"/>
        </w:rPr>
        <w:t>01800 0520808</w:t>
      </w:r>
    </w:p>
    <w:p w14:paraId="0B2C9248" w14:textId="77777777" w:rsidR="00A8676F" w:rsidRPr="00667CD6" w:rsidRDefault="00A8676F" w:rsidP="00A8676F">
      <w:pPr>
        <w:numPr>
          <w:ilvl w:val="0"/>
          <w:numId w:val="15"/>
        </w:numPr>
        <w:spacing w:after="0"/>
        <w:contextualSpacing/>
        <w:rPr>
          <w:rFonts w:ascii="Verdana" w:eastAsia="Verdana" w:hAnsi="Verdana" w:cs="Verdana"/>
          <w:color w:val="4472C4" w:themeColor="accent1"/>
          <w:u w:val="single"/>
          <w:lang w:val="es-MX"/>
        </w:rPr>
      </w:pPr>
      <w:r w:rsidRPr="00667CD6">
        <w:rPr>
          <w:rFonts w:ascii="Verdana" w:eastAsia="Verdana" w:hAnsi="Verdana" w:cs="Verdana"/>
          <w:lang w:val="es-MX"/>
        </w:rPr>
        <w:t>Línea en Bogotá (Mesa de servicio</w:t>
      </w:r>
      <w:proofErr w:type="gramStart"/>
      <w:r w:rsidRPr="00667CD6">
        <w:rPr>
          <w:rFonts w:ascii="Verdana" w:eastAsia="Verdana" w:hAnsi="Verdana" w:cs="Verdana"/>
          <w:lang w:val="es-MX"/>
        </w:rPr>
        <w:t>):</w:t>
      </w:r>
      <w:r w:rsidRPr="00667CD6">
        <w:rPr>
          <w:rFonts w:ascii="Verdana" w:hAnsi="Verdana"/>
          <w:color w:val="0000FF"/>
          <w:u w:val="single"/>
          <w:lang w:val="es-ES"/>
        </w:rPr>
        <w:t>+</w:t>
      </w:r>
      <w:proofErr w:type="gramEnd"/>
      <w:r w:rsidRPr="00667CD6">
        <w:rPr>
          <w:rFonts w:ascii="Verdana" w:hAnsi="Verdana"/>
          <w:color w:val="0000FF"/>
          <w:u w:val="single"/>
          <w:lang w:val="es-ES"/>
        </w:rPr>
        <w:t>57 601 7456788</w:t>
      </w:r>
    </w:p>
    <w:p w14:paraId="47F48DC7" w14:textId="77777777" w:rsidR="00A8676F" w:rsidRPr="00667CD6" w:rsidRDefault="00A8676F" w:rsidP="00A8676F">
      <w:pPr>
        <w:numPr>
          <w:ilvl w:val="0"/>
          <w:numId w:val="15"/>
        </w:numPr>
        <w:spacing w:after="0"/>
        <w:contextualSpacing/>
        <w:rPr>
          <w:rFonts w:ascii="Verdana" w:eastAsia="Verdana" w:hAnsi="Verdana" w:cs="Verdana"/>
          <w:color w:val="0000FF"/>
          <w:u w:val="single"/>
          <w:lang w:val="es-MX"/>
        </w:rPr>
      </w:pPr>
      <w:r w:rsidRPr="00667CD6">
        <w:rPr>
          <w:rFonts w:ascii="Verdana" w:eastAsia="Verdana" w:hAnsi="Verdana" w:cs="Verdana"/>
          <w:lang w:val="es-MX"/>
        </w:rPr>
        <w:t xml:space="preserve">Correo de radicación de correspondencia: </w:t>
      </w:r>
      <w:hyperlink r:id="rId14" w:history="1">
        <w:r w:rsidRPr="00667CD6">
          <w:rPr>
            <w:rFonts w:ascii="Verdana" w:eastAsia="Verdana" w:hAnsi="Verdana" w:cs="Verdana"/>
            <w:color w:val="0000FF"/>
            <w:u w:val="single"/>
            <w:lang w:val="es-MX"/>
          </w:rPr>
          <w:t>ventanilladeradicacion@colombiacompra.gov.co</w:t>
        </w:r>
      </w:hyperlink>
    </w:p>
    <w:p w14:paraId="0BEFD8EC" w14:textId="77777777" w:rsidR="00A8676F" w:rsidRPr="00667CD6" w:rsidRDefault="00A8676F" w:rsidP="00A8676F">
      <w:pPr>
        <w:numPr>
          <w:ilvl w:val="0"/>
          <w:numId w:val="15"/>
        </w:numPr>
        <w:spacing w:after="0"/>
        <w:contextualSpacing/>
        <w:rPr>
          <w:rFonts w:ascii="Verdana" w:eastAsia="Verdana" w:hAnsi="Verdana" w:cs="Verdana"/>
          <w:color w:val="0000FF"/>
          <w:u w:val="single"/>
          <w:lang w:val="es-MX"/>
        </w:rPr>
      </w:pPr>
      <w:r w:rsidRPr="00667CD6">
        <w:rPr>
          <w:rFonts w:ascii="Verdana" w:eastAsia="Verdana" w:hAnsi="Verdana" w:cs="Verdana"/>
          <w:lang w:val="es-ES"/>
        </w:rPr>
        <w:t xml:space="preserve">Formulario web para PQRSD: </w:t>
      </w:r>
      <w:hyperlink r:id="rId15" w:history="1">
        <w:r w:rsidRPr="00667CD6">
          <w:rPr>
            <w:rFonts w:ascii="Verdana" w:eastAsia="Verdana" w:hAnsi="Verdana" w:cs="Verdana"/>
            <w:color w:val="0000FF"/>
            <w:u w:val="single"/>
            <w:lang w:val="es-MX"/>
          </w:rPr>
          <w:t>https://www.colombiacompra.gov.co/pqrsd/informacion-importante-antes-de-formular-una-pqrsd</w:t>
        </w:r>
      </w:hyperlink>
    </w:p>
    <w:p w14:paraId="0B61901B" w14:textId="77777777" w:rsidR="00A8676F" w:rsidRPr="00667CD6" w:rsidRDefault="00A8676F" w:rsidP="00A8676F">
      <w:pPr>
        <w:spacing w:after="0" w:line="240" w:lineRule="auto"/>
        <w:ind w:left="720"/>
        <w:jc w:val="both"/>
        <w:rPr>
          <w:rFonts w:ascii="Verdana" w:hAnsi="Verdana"/>
        </w:rPr>
      </w:pPr>
    </w:p>
    <w:p w14:paraId="38E22264" w14:textId="77777777" w:rsidR="00A8676F" w:rsidRPr="00667CD6" w:rsidRDefault="00A8676F" w:rsidP="00A8676F">
      <w:pPr>
        <w:spacing w:after="0" w:line="240" w:lineRule="auto"/>
        <w:rPr>
          <w:rFonts w:ascii="Verdana" w:hAnsi="Verdana"/>
        </w:rPr>
      </w:pPr>
      <w:r w:rsidRPr="00667CD6">
        <w:rPr>
          <w:rFonts w:ascii="Verdana" w:hAnsi="Verdana"/>
        </w:rPr>
        <w:lastRenderedPageBreak/>
        <w:t>Evalúa el servicio que ofrece la Agencia por el canal de atención de PQRSD en el siguiente enlace:</w:t>
      </w:r>
      <w:r>
        <w:rPr>
          <w:rFonts w:ascii="Verdana" w:hAnsi="Verdana"/>
        </w:rPr>
        <w:t xml:space="preserve"> </w:t>
      </w:r>
      <w:hyperlink r:id="rId16" w:history="1">
        <w:r w:rsidRPr="00E633BD">
          <w:rPr>
            <w:rStyle w:val="Hipervnculo"/>
            <w:rFonts w:ascii="Verdana" w:hAnsi="Verdana"/>
          </w:rPr>
          <w:t>https://forms.office.com/r/pPHyWVs2SZ</w:t>
        </w:r>
      </w:hyperlink>
      <w:r w:rsidRPr="00667CD6">
        <w:rPr>
          <w:rFonts w:ascii="Verdana" w:hAnsi="Verdana"/>
        </w:rPr>
        <w:t xml:space="preserve"> .¡Ayúdanos a mejorar porque el compromiso es de todos!</w:t>
      </w:r>
    </w:p>
    <w:p w14:paraId="564E3436" w14:textId="77777777" w:rsidR="00A8676F" w:rsidRPr="00667CD6" w:rsidRDefault="00A8676F" w:rsidP="00A8676F">
      <w:pPr>
        <w:spacing w:after="0" w:line="240" w:lineRule="auto"/>
        <w:rPr>
          <w:rFonts w:ascii="Verdana" w:hAnsi="Verdana"/>
        </w:rPr>
      </w:pPr>
    </w:p>
    <w:p w14:paraId="1135EC50" w14:textId="77777777" w:rsidR="00A8676F" w:rsidRPr="00667CD6" w:rsidRDefault="00A8676F" w:rsidP="00A8676F">
      <w:pPr>
        <w:spacing w:after="0" w:line="240" w:lineRule="auto"/>
        <w:jc w:val="both"/>
        <w:rPr>
          <w:rFonts w:ascii="Verdana" w:hAnsi="Verdana"/>
        </w:rPr>
      </w:pPr>
      <w:r w:rsidRPr="00667CD6">
        <w:rPr>
          <w:rFonts w:ascii="Verdana" w:hAnsi="Verdana"/>
        </w:rPr>
        <w:t xml:space="preserve">Por último, lo invitamos a seguirnos en las redes sociales en las cuales se difunde información institucional: </w:t>
      </w:r>
    </w:p>
    <w:p w14:paraId="5CB773BB" w14:textId="77777777" w:rsidR="00A8676F" w:rsidRPr="00667CD6" w:rsidRDefault="00A8676F" w:rsidP="00A8676F">
      <w:pPr>
        <w:spacing w:after="0" w:line="240" w:lineRule="auto"/>
        <w:jc w:val="both"/>
        <w:rPr>
          <w:rFonts w:ascii="Verdana" w:hAnsi="Verdana"/>
        </w:rPr>
      </w:pPr>
    </w:p>
    <w:p w14:paraId="04DFAF65" w14:textId="77777777" w:rsidR="00A8676F" w:rsidRPr="00667CD6" w:rsidRDefault="00A8676F" w:rsidP="00A8676F">
      <w:pPr>
        <w:spacing w:after="0" w:line="240" w:lineRule="auto"/>
        <w:jc w:val="both"/>
        <w:rPr>
          <w:rFonts w:ascii="Verdana" w:hAnsi="Verdana"/>
        </w:rPr>
      </w:pPr>
      <w:r w:rsidRPr="00667CD6">
        <w:rPr>
          <w:rFonts w:ascii="Verdana" w:hAnsi="Verdana"/>
        </w:rPr>
        <w:t xml:space="preserve">Twitter: </w:t>
      </w:r>
      <w:r w:rsidRPr="00667CD6">
        <w:rPr>
          <w:rFonts w:ascii="Verdana" w:hAnsi="Verdana"/>
          <w:color w:val="0000FF"/>
          <w:u w:val="single"/>
        </w:rPr>
        <w:t>@colombiacompra</w:t>
      </w:r>
      <w:r w:rsidRPr="00667CD6">
        <w:rPr>
          <w:rFonts w:ascii="Verdana" w:hAnsi="Verdana"/>
        </w:rPr>
        <w:t xml:space="preserve"> </w:t>
      </w:r>
    </w:p>
    <w:p w14:paraId="14585CBB" w14:textId="77777777" w:rsidR="00A8676F" w:rsidRPr="00667CD6" w:rsidRDefault="00A8676F" w:rsidP="00A8676F">
      <w:pPr>
        <w:spacing w:after="0" w:line="240" w:lineRule="auto"/>
        <w:jc w:val="both"/>
        <w:rPr>
          <w:rFonts w:ascii="Verdana" w:hAnsi="Verdana"/>
        </w:rPr>
      </w:pPr>
      <w:r w:rsidRPr="00667CD6">
        <w:rPr>
          <w:rFonts w:ascii="Verdana" w:hAnsi="Verdana"/>
        </w:rPr>
        <w:t xml:space="preserve">Facebook: </w:t>
      </w:r>
      <w:proofErr w:type="spellStart"/>
      <w:r w:rsidRPr="00667CD6">
        <w:rPr>
          <w:rFonts w:ascii="Verdana" w:hAnsi="Verdana"/>
          <w:color w:val="0000FF"/>
          <w:u w:val="single"/>
        </w:rPr>
        <w:t>ColombiaCompraEficiente</w:t>
      </w:r>
      <w:proofErr w:type="spellEnd"/>
    </w:p>
    <w:p w14:paraId="1CEA3DC3" w14:textId="77777777" w:rsidR="00A8676F" w:rsidRPr="00667CD6" w:rsidRDefault="00A8676F" w:rsidP="00A8676F">
      <w:pPr>
        <w:spacing w:after="0" w:line="240" w:lineRule="auto"/>
        <w:jc w:val="both"/>
        <w:rPr>
          <w:rFonts w:ascii="Verdana" w:hAnsi="Verdana"/>
        </w:rPr>
      </w:pPr>
      <w:r w:rsidRPr="00667CD6">
        <w:rPr>
          <w:rFonts w:ascii="Verdana" w:hAnsi="Verdana"/>
        </w:rPr>
        <w:t xml:space="preserve">LinkedIn: </w:t>
      </w:r>
      <w:r w:rsidRPr="00667CD6">
        <w:rPr>
          <w:rFonts w:ascii="Verdana" w:hAnsi="Verdana"/>
          <w:color w:val="0000FF"/>
          <w:u w:val="single"/>
        </w:rPr>
        <w:t>Agencia Nacional de Contratación Pública - Colombia Compra Eficiente</w:t>
      </w:r>
      <w:r w:rsidRPr="00667CD6">
        <w:rPr>
          <w:rFonts w:ascii="Verdana" w:hAnsi="Verdana"/>
        </w:rPr>
        <w:t xml:space="preserve"> Instagram: </w:t>
      </w:r>
      <w:r w:rsidRPr="00667CD6">
        <w:rPr>
          <w:rFonts w:ascii="Verdana" w:hAnsi="Verdana"/>
          <w:color w:val="0000FF"/>
          <w:u w:val="single"/>
        </w:rPr>
        <w:t>@colombiacompraeficiente_cce</w:t>
      </w:r>
    </w:p>
    <w:p w14:paraId="615034C9" w14:textId="77777777" w:rsidR="00A8676F" w:rsidRPr="00667CD6" w:rsidRDefault="00A8676F" w:rsidP="00A8676F">
      <w:pPr>
        <w:widowControl w:val="0"/>
        <w:autoSpaceDE w:val="0"/>
        <w:autoSpaceDN w:val="0"/>
        <w:spacing w:after="120" w:line="276" w:lineRule="auto"/>
        <w:jc w:val="both"/>
        <w:rPr>
          <w:rFonts w:ascii="Verdana" w:hAnsi="Verdana" w:cs="Arial"/>
          <w:color w:val="FF0000"/>
          <w:shd w:val="clear" w:color="auto" w:fill="FFFFFF"/>
          <w:lang w:val="es-ES_tradnl"/>
        </w:rPr>
      </w:pPr>
      <w:r w:rsidRPr="00667CD6">
        <w:rPr>
          <w:rFonts w:ascii="Verdana" w:hAnsi="Verdana" w:cs="Arial"/>
          <w:color w:val="FF0000"/>
          <w:shd w:val="clear" w:color="auto" w:fill="FFFFFF"/>
          <w:lang w:val="es-ES_tradnl"/>
        </w:rPr>
        <w:t xml:space="preserve">        </w:t>
      </w:r>
    </w:p>
    <w:p w14:paraId="5D05DFC8" w14:textId="77777777" w:rsidR="00A8676F" w:rsidRPr="00667CD6" w:rsidRDefault="00A8676F" w:rsidP="00A8676F">
      <w:pPr>
        <w:widowControl w:val="0"/>
        <w:autoSpaceDE w:val="0"/>
        <w:autoSpaceDN w:val="0"/>
        <w:spacing w:after="0" w:line="276" w:lineRule="auto"/>
        <w:jc w:val="both"/>
        <w:rPr>
          <w:rFonts w:ascii="Verdana" w:hAnsi="Verdana" w:cs="Arial"/>
          <w:lang w:val="es-ES_tradnl"/>
        </w:rPr>
      </w:pPr>
      <w:r w:rsidRPr="00667CD6">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4566D08D" w14:textId="77777777" w:rsidR="00A8676F" w:rsidRPr="00667CD6" w:rsidRDefault="00A8676F" w:rsidP="00A8676F">
      <w:pPr>
        <w:widowControl w:val="0"/>
        <w:autoSpaceDE w:val="0"/>
        <w:autoSpaceDN w:val="0"/>
        <w:spacing w:after="0" w:line="276" w:lineRule="auto"/>
        <w:jc w:val="both"/>
        <w:rPr>
          <w:rFonts w:ascii="Verdana" w:hAnsi="Verdana" w:cs="Arial"/>
          <w:lang w:val="es-ES_tradnl"/>
        </w:rPr>
      </w:pPr>
    </w:p>
    <w:p w14:paraId="145B8359" w14:textId="77777777" w:rsidR="00A8676F" w:rsidRPr="00667CD6" w:rsidRDefault="00A8676F" w:rsidP="00A8676F">
      <w:pPr>
        <w:spacing w:after="0" w:line="240" w:lineRule="auto"/>
        <w:rPr>
          <w:rFonts w:ascii="Verdana" w:hAnsi="Verdana" w:cs="Arial"/>
          <w:lang w:val="es-ES_tradnl" w:eastAsia="es-CO"/>
        </w:rPr>
      </w:pPr>
      <w:r w:rsidRPr="2035D652">
        <w:rPr>
          <w:rFonts w:ascii="Verdana" w:eastAsia="Times New Roman" w:hAnsi="Verdana" w:cs="Arial"/>
          <w:lang w:val="es-ES" w:eastAsia="es-CO"/>
        </w:rPr>
        <w:t>Atentamente,</w:t>
      </w:r>
      <w:r w:rsidRPr="2035D652">
        <w:rPr>
          <w:rFonts w:ascii="Verdana" w:hAnsi="Verdana" w:cs="Arial"/>
          <w:lang w:val="es-ES" w:eastAsia="es-CO"/>
        </w:rPr>
        <w:t xml:space="preserve"> </w:t>
      </w:r>
    </w:p>
    <w:p w14:paraId="15CAA3CF" w14:textId="77777777" w:rsidR="00A8676F" w:rsidRPr="00667CD6" w:rsidRDefault="00A8676F" w:rsidP="00A8676F">
      <w:pPr>
        <w:spacing w:after="0" w:line="240" w:lineRule="auto"/>
        <w:rPr>
          <w:rFonts w:ascii="Verdana" w:hAnsi="Verdana" w:cs="Arial"/>
          <w:lang w:val="es-ES" w:eastAsia="es-CO"/>
        </w:rPr>
      </w:pPr>
    </w:p>
    <w:p w14:paraId="7B9AC204" w14:textId="4B79A682" w:rsidR="009C0FC6" w:rsidRDefault="00884638" w:rsidP="00B66650">
      <w:pPr>
        <w:spacing w:after="0"/>
        <w:jc w:val="center"/>
        <w:rPr>
          <w:rFonts w:ascii="Verdana" w:eastAsia="Times New Roman" w:hAnsi="Verdana" w:cs="Segoe UI"/>
          <w:lang w:val="es-ES" w:eastAsia="es-CO"/>
        </w:rPr>
      </w:pPr>
      <w:r w:rsidRPr="004D5C25">
        <w:rPr>
          <w:rFonts w:ascii="Century Gothic" w:hAnsi="Century Gothic"/>
          <w:noProof/>
        </w:rPr>
        <w:drawing>
          <wp:inline distT="0" distB="0" distL="0" distR="0" wp14:anchorId="14F5AE28" wp14:editId="302701B5">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3705742" cy="1590897"/>
                    </a:xfrm>
                    <a:prstGeom prst="rect">
                      <a:avLst/>
                    </a:prstGeom>
                  </pic:spPr>
                </pic:pic>
              </a:graphicData>
            </a:graphic>
          </wp:inline>
        </w:drawing>
      </w:r>
    </w:p>
    <w:p w14:paraId="5B6D4D7B" w14:textId="77777777" w:rsidR="00920B8D" w:rsidRDefault="00920B8D" w:rsidP="00B66650">
      <w:pPr>
        <w:spacing w:after="0"/>
        <w:jc w:val="center"/>
        <w:rPr>
          <w:rFonts w:ascii="Verdana" w:eastAsia="Times New Roman" w:hAnsi="Verdana" w:cs="Segoe UI"/>
          <w:lang w:val="es-ES" w:eastAsia="es-CO"/>
        </w:rPr>
      </w:pPr>
    </w:p>
    <w:tbl>
      <w:tblPr>
        <w:tblStyle w:val="Tablaconcuadrcula1"/>
        <w:tblW w:w="6521" w:type="dxa"/>
        <w:tblLook w:val="04A0" w:firstRow="1" w:lastRow="0" w:firstColumn="1" w:lastColumn="0" w:noHBand="0" w:noVBand="1"/>
      </w:tblPr>
      <w:tblGrid>
        <w:gridCol w:w="893"/>
        <w:gridCol w:w="5628"/>
      </w:tblGrid>
      <w:tr w:rsidR="00E56916" w:rsidRPr="007A4924" w14:paraId="676CA328" w14:textId="77777777" w:rsidTr="00FB43C2">
        <w:trPr>
          <w:trHeight w:val="315"/>
        </w:trPr>
        <w:tc>
          <w:tcPr>
            <w:tcW w:w="893" w:type="dxa"/>
            <w:vAlign w:val="center"/>
            <w:hideMark/>
          </w:tcPr>
          <w:p w14:paraId="55F78D48" w14:textId="77777777" w:rsidR="00E56916" w:rsidRPr="007A4924" w:rsidRDefault="00E56916" w:rsidP="00FB43C2">
            <w:pPr>
              <w:spacing w:after="160"/>
              <w:contextualSpacing/>
              <w:rPr>
                <w:rFonts w:ascii="Verdana" w:hAnsi="Verdana" w:cs="Arial"/>
                <w:sz w:val="16"/>
                <w:szCs w:val="16"/>
                <w:lang w:val="es-ES" w:eastAsia="es-ES"/>
              </w:rPr>
            </w:pPr>
            <w:r w:rsidRPr="007A492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4F3EE15" w14:textId="77777777" w:rsidR="00E56916" w:rsidRPr="007A4924" w:rsidRDefault="00E56916" w:rsidP="00FB43C2">
            <w:pPr>
              <w:spacing w:after="160"/>
              <w:contextualSpacing/>
              <w:rPr>
                <w:rFonts w:ascii="Verdana" w:hAnsi="Verdana"/>
                <w:sz w:val="16"/>
                <w:szCs w:val="16"/>
              </w:rPr>
            </w:pPr>
            <w:r w:rsidRPr="007A4924">
              <w:rPr>
                <w:rFonts w:ascii="Verdana" w:hAnsi="Verdana"/>
                <w:sz w:val="16"/>
                <w:szCs w:val="16"/>
              </w:rPr>
              <w:t>Ana María Ortiz Ballesteros</w:t>
            </w:r>
          </w:p>
          <w:p w14:paraId="6D0156D2" w14:textId="77777777" w:rsidR="00E56916" w:rsidRPr="007A4924" w:rsidRDefault="00E56916" w:rsidP="00FB43C2">
            <w:pPr>
              <w:spacing w:after="160"/>
              <w:contextualSpacing/>
              <w:rPr>
                <w:rFonts w:ascii="Verdana" w:eastAsia="Arial" w:hAnsi="Verdana" w:cs="Arial"/>
                <w:sz w:val="16"/>
                <w:szCs w:val="16"/>
                <w:highlight w:val="cyan"/>
              </w:rPr>
            </w:pPr>
            <w:r w:rsidRPr="007A4924">
              <w:rPr>
                <w:rFonts w:ascii="Verdana" w:hAnsi="Verdana"/>
                <w:sz w:val="16"/>
                <w:szCs w:val="16"/>
              </w:rPr>
              <w:t>Contratista de la Subdirección de Gestión Contractual</w:t>
            </w:r>
          </w:p>
        </w:tc>
      </w:tr>
      <w:tr w:rsidR="00E56916" w:rsidRPr="007A4924" w14:paraId="01754092" w14:textId="77777777" w:rsidTr="00FB43C2">
        <w:trPr>
          <w:trHeight w:val="330"/>
        </w:trPr>
        <w:tc>
          <w:tcPr>
            <w:tcW w:w="893" w:type="dxa"/>
            <w:vAlign w:val="center"/>
            <w:hideMark/>
          </w:tcPr>
          <w:p w14:paraId="4DBC32E3" w14:textId="77777777" w:rsidR="00E56916" w:rsidRPr="007A4924" w:rsidRDefault="00E56916" w:rsidP="00FB43C2">
            <w:pPr>
              <w:spacing w:after="160"/>
              <w:contextualSpacing/>
              <w:rPr>
                <w:rFonts w:ascii="Verdana" w:hAnsi="Verdana" w:cs="Arial"/>
                <w:sz w:val="16"/>
                <w:szCs w:val="16"/>
                <w:lang w:val="es-ES" w:eastAsia="es-ES"/>
              </w:rPr>
            </w:pPr>
            <w:r w:rsidRPr="007A492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7F903E2" w14:textId="2EBEAE49" w:rsidR="00E56916" w:rsidRPr="007A4924" w:rsidRDefault="00E56916" w:rsidP="00FB43C2">
            <w:pPr>
              <w:spacing w:after="160"/>
              <w:contextualSpacing/>
              <w:textAlignment w:val="baseline"/>
              <w:rPr>
                <w:rFonts w:ascii="Verdana" w:eastAsia="Times New Roman" w:hAnsi="Verdana" w:cs="Segoe UI"/>
                <w:sz w:val="16"/>
                <w:szCs w:val="16"/>
                <w:lang w:eastAsia="es-ES_tradnl"/>
              </w:rPr>
            </w:pPr>
            <w:r>
              <w:rPr>
                <w:rFonts w:ascii="Verdana" w:eastAsia="Times New Roman" w:hAnsi="Verdana" w:cs="Segoe UI"/>
                <w:sz w:val="16"/>
                <w:szCs w:val="16"/>
                <w:lang w:eastAsia="es-ES_tradnl"/>
              </w:rPr>
              <w:t xml:space="preserve">Diana Lucia Saavedra Castañeda </w:t>
            </w:r>
          </w:p>
          <w:p w14:paraId="3716D1A4" w14:textId="54115610" w:rsidR="00E56916" w:rsidRPr="007A4924" w:rsidRDefault="00E56916" w:rsidP="00FB43C2">
            <w:pPr>
              <w:spacing w:after="160"/>
              <w:contextualSpacing/>
              <w:textAlignment w:val="baseline"/>
              <w:rPr>
                <w:rFonts w:ascii="Verdana" w:eastAsia="Times New Roman" w:hAnsi="Verdana" w:cs="Segoe UI"/>
                <w:sz w:val="16"/>
                <w:szCs w:val="16"/>
                <w:highlight w:val="cyan"/>
                <w:lang w:eastAsia="es-ES_tradnl"/>
              </w:rPr>
            </w:pPr>
            <w:r w:rsidRPr="007A4924">
              <w:rPr>
                <w:rFonts w:ascii="Verdana" w:hAnsi="Verdana"/>
                <w:sz w:val="16"/>
                <w:szCs w:val="16"/>
              </w:rPr>
              <w:t>Contratista de la Subdirección de Gestión Contractual</w:t>
            </w:r>
          </w:p>
        </w:tc>
      </w:tr>
      <w:tr w:rsidR="00E56916" w:rsidRPr="007A4924" w14:paraId="265B2AE6" w14:textId="77777777" w:rsidTr="00FB43C2">
        <w:trPr>
          <w:trHeight w:val="300"/>
        </w:trPr>
        <w:tc>
          <w:tcPr>
            <w:tcW w:w="893" w:type="dxa"/>
            <w:vAlign w:val="center"/>
          </w:tcPr>
          <w:p w14:paraId="0A3AD92A" w14:textId="77777777" w:rsidR="00E56916" w:rsidRPr="007A4924" w:rsidRDefault="00E56916" w:rsidP="00FB43C2">
            <w:pPr>
              <w:spacing w:after="160"/>
              <w:contextualSpacing/>
              <w:rPr>
                <w:rFonts w:ascii="Verdana" w:hAnsi="Verdana" w:cs="Arial"/>
                <w:sz w:val="16"/>
                <w:szCs w:val="16"/>
                <w:lang w:val="es-ES" w:eastAsia="es-ES"/>
              </w:rPr>
            </w:pPr>
            <w:r w:rsidRPr="007A492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EA9D59C" w14:textId="77777777" w:rsidR="00E56916" w:rsidRDefault="00E56916" w:rsidP="00FB43C2">
            <w:pPr>
              <w:spacing w:after="160"/>
              <w:contextualSpacing/>
              <w:rPr>
                <w:rFonts w:ascii="Verdana" w:hAnsi="Verdana" w:cs="Arial"/>
                <w:sz w:val="16"/>
                <w:szCs w:val="16"/>
                <w:lang w:val="pt-BR" w:eastAsia="es-ES"/>
              </w:rPr>
            </w:pPr>
            <w:r w:rsidRPr="00B42669">
              <w:rPr>
                <w:rFonts w:ascii="Verdana" w:hAnsi="Verdana" w:cs="Arial"/>
                <w:sz w:val="16"/>
                <w:szCs w:val="16"/>
                <w:lang w:val="pt-BR" w:eastAsia="es-ES"/>
              </w:rPr>
              <w:t xml:space="preserve">Carolina Quintero </w:t>
            </w:r>
            <w:proofErr w:type="spellStart"/>
            <w:r w:rsidRPr="00B42669">
              <w:rPr>
                <w:rFonts w:ascii="Verdana" w:hAnsi="Verdana" w:cs="Arial"/>
                <w:sz w:val="16"/>
                <w:szCs w:val="16"/>
                <w:lang w:val="pt-BR" w:eastAsia="es-ES"/>
              </w:rPr>
              <w:t>Gacharná</w:t>
            </w:r>
            <w:proofErr w:type="spellEnd"/>
          </w:p>
          <w:p w14:paraId="24748D3D" w14:textId="77777777" w:rsidR="00E56916" w:rsidRPr="007A4924" w:rsidRDefault="00E56916" w:rsidP="00FB43C2">
            <w:pPr>
              <w:spacing w:after="160"/>
              <w:contextualSpacing/>
              <w:rPr>
                <w:rFonts w:ascii="Verdana" w:hAnsi="Verdana" w:cs="Arial"/>
                <w:sz w:val="16"/>
                <w:szCs w:val="16"/>
                <w:lang w:val="pt-BR" w:eastAsia="es-ES"/>
              </w:rPr>
            </w:pPr>
            <w:r w:rsidRPr="007A4924">
              <w:rPr>
                <w:rFonts w:ascii="Verdana" w:hAnsi="Verdana" w:cs="Arial"/>
                <w:sz w:val="16"/>
                <w:szCs w:val="16"/>
                <w:lang w:eastAsia="es-ES"/>
              </w:rPr>
              <w:t>Subdirectora</w:t>
            </w:r>
            <w:r w:rsidRPr="007A4924">
              <w:rPr>
                <w:rFonts w:ascii="Verdana" w:hAnsi="Verdana" w:cs="Arial"/>
                <w:sz w:val="16"/>
                <w:szCs w:val="16"/>
                <w:lang w:val="pt-BR" w:eastAsia="es-ES"/>
              </w:rPr>
              <w:t xml:space="preserve"> de Gestión Contratual ANCP – CCE</w:t>
            </w:r>
          </w:p>
        </w:tc>
      </w:tr>
    </w:tbl>
    <w:p w14:paraId="7FE381CD" w14:textId="77777777" w:rsidR="00E56916" w:rsidRPr="00E56916" w:rsidRDefault="00E56916" w:rsidP="001C0382">
      <w:pPr>
        <w:spacing w:after="0"/>
        <w:rPr>
          <w:rFonts w:ascii="Verdana" w:eastAsia="Times New Roman" w:hAnsi="Verdana" w:cs="Segoe UI"/>
          <w:lang w:eastAsia="es-CO"/>
        </w:rPr>
      </w:pPr>
    </w:p>
    <w:sectPr w:rsidR="00E56916" w:rsidRPr="00E56916"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3D4029" w14:textId="77777777" w:rsidR="00401A12" w:rsidRDefault="00401A12" w:rsidP="004A1847">
      <w:pPr>
        <w:spacing w:after="0" w:line="240" w:lineRule="auto"/>
      </w:pPr>
      <w:r>
        <w:separator/>
      </w:r>
    </w:p>
  </w:endnote>
  <w:endnote w:type="continuationSeparator" w:id="0">
    <w:p w14:paraId="49C98536" w14:textId="77777777" w:rsidR="00401A12" w:rsidRDefault="00401A1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354CD2" w14:textId="77777777" w:rsidR="00401A12" w:rsidRDefault="00401A12" w:rsidP="004A1847">
      <w:pPr>
        <w:spacing w:after="0" w:line="240" w:lineRule="auto"/>
      </w:pPr>
      <w:r>
        <w:separator/>
      </w:r>
    </w:p>
  </w:footnote>
  <w:footnote w:type="continuationSeparator" w:id="0">
    <w:p w14:paraId="2A65C17A" w14:textId="77777777" w:rsidR="00401A12" w:rsidRDefault="00401A12" w:rsidP="004A1847">
      <w:pPr>
        <w:spacing w:after="0" w:line="240" w:lineRule="auto"/>
      </w:pPr>
      <w:r>
        <w:continuationSeparator/>
      </w:r>
    </w:p>
  </w:footnote>
  <w:footnote w:id="1">
    <w:p w14:paraId="15842424" w14:textId="77777777" w:rsidR="00965BFD" w:rsidRPr="00FB43C2" w:rsidRDefault="00965BFD" w:rsidP="00965BFD">
      <w:pPr>
        <w:pStyle w:val="Textonotapie"/>
        <w:ind w:firstLine="709"/>
        <w:contextualSpacing/>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096B266A" w14:textId="77777777" w:rsidR="00965BFD" w:rsidRPr="00FB43C2" w:rsidRDefault="00965BFD" w:rsidP="00965BFD">
      <w:pPr>
        <w:pStyle w:val="Textonotapie"/>
        <w:ind w:firstLine="709"/>
        <w:contextualSpacing/>
        <w:jc w:val="both"/>
        <w:rPr>
          <w:rFonts w:ascii="Verdana" w:hAnsi="Verdana" w:cs="Arial"/>
          <w:sz w:val="18"/>
          <w:szCs w:val="18"/>
        </w:rPr>
      </w:pPr>
      <w:r w:rsidRPr="00FB43C2">
        <w:rPr>
          <w:rFonts w:ascii="Verdana" w:hAnsi="Verdana" w:cs="Arial"/>
          <w:sz w:val="18"/>
          <w:szCs w:val="18"/>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6EAD5FDC" w14:textId="77777777" w:rsidR="00965BFD" w:rsidRPr="00FB43C2" w:rsidRDefault="00965BFD" w:rsidP="00965BFD">
      <w:pPr>
        <w:pStyle w:val="Textonotapie"/>
        <w:ind w:firstLine="709"/>
        <w:contextualSpacing/>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Gaceta del Congreso de la República No. 71 del 2005.</w:t>
      </w:r>
    </w:p>
  </w:footnote>
  <w:footnote w:id="3">
    <w:p w14:paraId="0C437356" w14:textId="77777777" w:rsidR="00965BFD" w:rsidRPr="00FB43C2" w:rsidRDefault="00965BFD" w:rsidP="00965BFD">
      <w:pPr>
        <w:pStyle w:val="Textonotapie"/>
        <w:ind w:firstLine="709"/>
        <w:contextualSpacing/>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Corte Constitucional, Sentencia C- 1153 de 2005, M.P. Marco Gerardo Monroy Cabra.</w:t>
      </w:r>
    </w:p>
  </w:footnote>
  <w:footnote w:id="4">
    <w:p w14:paraId="12AC59D3" w14:textId="77777777" w:rsidR="00965BFD" w:rsidRPr="00FB43C2" w:rsidRDefault="00965BFD" w:rsidP="00965BFD">
      <w:pPr>
        <w:pStyle w:val="Textonotapie"/>
        <w:ind w:firstLine="709"/>
        <w:contextualSpacing/>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78FEB43D" w14:textId="77777777" w:rsidR="00965BFD" w:rsidRPr="00FB43C2" w:rsidRDefault="00965BFD" w:rsidP="00965BFD">
      <w:pPr>
        <w:pStyle w:val="Textonotapie"/>
        <w:ind w:firstLine="709"/>
        <w:contextualSpacing/>
        <w:jc w:val="both"/>
        <w:rPr>
          <w:rFonts w:ascii="Verdana" w:hAnsi="Verdana" w:cs="Arial"/>
          <w:sz w:val="18"/>
          <w:szCs w:val="18"/>
          <w:lang w:val="es-CO"/>
        </w:rPr>
      </w:pPr>
      <w:r w:rsidRPr="00FB43C2">
        <w:rPr>
          <w:rStyle w:val="Refdenotaalpie"/>
          <w:rFonts w:ascii="Verdana" w:hAnsi="Verdana" w:cs="Arial"/>
          <w:sz w:val="18"/>
          <w:szCs w:val="18"/>
        </w:rPr>
        <w:footnoteRef/>
      </w:r>
      <w:r w:rsidRPr="00FB43C2">
        <w:rPr>
          <w:rFonts w:ascii="Verdana" w:hAnsi="Verdana" w:cs="Arial"/>
          <w:sz w:val="18"/>
          <w:szCs w:val="18"/>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5E557807" w14:textId="77777777" w:rsidR="00965BFD" w:rsidRPr="00FB43C2" w:rsidRDefault="00965BFD" w:rsidP="00965BFD">
      <w:pPr>
        <w:pStyle w:val="Textonotapie"/>
        <w:ind w:firstLine="709"/>
        <w:contextualSpacing/>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Consejo de Estado, Sala de Consulta y Servicio Civil de fecha 24 de julio de 2013, radicado 2166, Consejero Ponente: Álvaro </w:t>
      </w:r>
      <w:r w:rsidRPr="00FB43C2">
        <w:rPr>
          <w:rFonts w:ascii="Verdana" w:hAnsi="Verdana" w:cs="Arial"/>
          <w:sz w:val="18"/>
          <w:szCs w:val="18"/>
        </w:rPr>
        <w:t xml:space="preserve">Namén Vargas.  </w:t>
      </w:r>
    </w:p>
  </w:footnote>
  <w:footnote w:id="7">
    <w:p w14:paraId="0FEA85BA" w14:textId="77777777" w:rsidR="00965BFD" w:rsidRPr="00FB43C2" w:rsidRDefault="00965BFD" w:rsidP="00965BFD">
      <w:pPr>
        <w:spacing w:after="0" w:line="240" w:lineRule="auto"/>
        <w:ind w:firstLine="709"/>
        <w:contextualSpacing/>
        <w:jc w:val="both"/>
        <w:rPr>
          <w:rFonts w:ascii="Verdana" w:eastAsia="Times New Roman"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w:t>
      </w:r>
      <w:bookmarkStart w:id="6" w:name="33"/>
      <w:r w:rsidRPr="00FB43C2">
        <w:rPr>
          <w:rFonts w:ascii="Verdana" w:eastAsia="Calibri" w:hAnsi="Verdana" w:cs="Arial"/>
          <w:color w:val="000000"/>
          <w:sz w:val="18"/>
          <w:szCs w:val="18"/>
        </w:rPr>
        <w:t>“</w:t>
      </w:r>
      <w:r w:rsidRPr="00FB43C2">
        <w:rPr>
          <w:rFonts w:ascii="Verdana" w:eastAsia="Times New Roman" w:hAnsi="Verdana" w:cs="Arial"/>
          <w:sz w:val="18"/>
          <w:szCs w:val="18"/>
        </w:rPr>
        <w:t>Artículo 33. Restricciones a la contratación pública.</w:t>
      </w:r>
      <w:bookmarkEnd w:id="6"/>
      <w:r w:rsidRPr="00FB43C2">
        <w:rPr>
          <w:rFonts w:ascii="Verdana" w:eastAsia="Times New Roman" w:hAnsi="Verdana" w:cs="Arial"/>
          <w:sz w:val="18"/>
          <w:szCs w:val="18"/>
        </w:rPr>
        <w:t> Durante los cuatro (4) meses anteriores a la elección presidencial y hasta la realización de la elección en la segunda vuelta, si fuere el caso, queda prohibida la contratación directa por parte de todos los entes del Estado.</w:t>
      </w:r>
    </w:p>
    <w:p w14:paraId="3318FA9A" w14:textId="77777777" w:rsidR="00965BFD" w:rsidRPr="00FB43C2" w:rsidRDefault="00965BFD" w:rsidP="00965BFD">
      <w:pPr>
        <w:spacing w:after="0" w:line="240" w:lineRule="auto"/>
        <w:ind w:firstLine="709"/>
        <w:contextualSpacing/>
        <w:jc w:val="both"/>
        <w:rPr>
          <w:rFonts w:ascii="Verdana" w:eastAsia="Times New Roman" w:hAnsi="Verdana" w:cs="Arial"/>
          <w:sz w:val="18"/>
          <w:szCs w:val="18"/>
        </w:rPr>
      </w:pPr>
      <w:r w:rsidRPr="00FB43C2">
        <w:rPr>
          <w:rFonts w:ascii="Verdana" w:eastAsia="Times New Roman" w:hAnsi="Verdana" w:cs="Arial"/>
          <w:sz w:val="18"/>
          <w:szCs w:val="18"/>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B43C2">
        <w:rPr>
          <w:rFonts w:ascii="Verdana" w:eastAsia="Calibri" w:hAnsi="Verdana" w:cs="Arial"/>
          <w:color w:val="000000"/>
          <w:sz w:val="18"/>
          <w:szCs w:val="18"/>
        </w:rPr>
        <w:t>”</w:t>
      </w:r>
      <w:r w:rsidRPr="00FB43C2">
        <w:rPr>
          <w:rFonts w:ascii="Verdana" w:eastAsia="Times New Roman" w:hAnsi="Verdana" w:cs="Arial"/>
          <w:sz w:val="18"/>
          <w:szCs w:val="18"/>
        </w:rPr>
        <w:t>.</w:t>
      </w:r>
    </w:p>
  </w:footnote>
  <w:footnote w:id="8">
    <w:p w14:paraId="6052AB1A" w14:textId="77777777" w:rsidR="00965BFD" w:rsidRPr="00FB43C2" w:rsidRDefault="00965BFD" w:rsidP="00965BFD">
      <w:pPr>
        <w:pStyle w:val="NormalWeb"/>
        <w:spacing w:before="0" w:beforeAutospacing="0" w:after="0" w:afterAutospacing="0"/>
        <w:ind w:firstLine="709"/>
        <w:contextualSpacing/>
        <w:jc w:val="both"/>
        <w:rPr>
          <w:rFonts w:ascii="Verdana" w:hAnsi="Verdana" w:cs="Arial"/>
          <w:sz w:val="18"/>
          <w:szCs w:val="18"/>
          <w:lang w:val="es-MX"/>
        </w:rPr>
      </w:pPr>
      <w:r w:rsidRPr="00FB43C2">
        <w:rPr>
          <w:rStyle w:val="Refdenotaalpie"/>
          <w:rFonts w:ascii="Verdana" w:hAnsi="Verdana" w:cs="Arial"/>
          <w:sz w:val="18"/>
          <w:szCs w:val="18"/>
        </w:rPr>
        <w:footnoteRef/>
      </w:r>
      <w:r w:rsidRPr="00FB43C2">
        <w:rPr>
          <w:rFonts w:ascii="Verdana" w:hAnsi="Verdana" w:cs="Arial"/>
          <w:sz w:val="18"/>
          <w:szCs w:val="18"/>
        </w:rPr>
        <w:t xml:space="preserve"> </w:t>
      </w:r>
      <w:bookmarkStart w:id="7" w:name="38"/>
      <w:r w:rsidRPr="00FB43C2">
        <w:rPr>
          <w:rFonts w:ascii="Verdana" w:eastAsia="Calibri" w:hAnsi="Verdana" w:cs="Arial"/>
          <w:color w:val="000000"/>
          <w:sz w:val="18"/>
          <w:szCs w:val="18"/>
        </w:rPr>
        <w:t>“</w:t>
      </w:r>
      <w:r w:rsidRPr="00FB43C2">
        <w:rPr>
          <w:rFonts w:ascii="Verdana" w:hAnsi="Verdana" w:cs="Arial"/>
          <w:sz w:val="18"/>
          <w:szCs w:val="18"/>
          <w:lang w:val="es-MX"/>
        </w:rPr>
        <w:t>Artículo 38. Prohibiciones para los servidores públicos. A los empleados del Estado les está prohibido:</w:t>
      </w:r>
      <w:bookmarkEnd w:id="7"/>
    </w:p>
    <w:p w14:paraId="5E7AF762" w14:textId="77777777" w:rsidR="00965BFD" w:rsidRPr="00FB43C2" w:rsidRDefault="00965BFD" w:rsidP="00965BFD">
      <w:pPr>
        <w:pStyle w:val="NormalWeb"/>
        <w:spacing w:before="0" w:beforeAutospacing="0" w:after="0" w:afterAutospacing="0"/>
        <w:ind w:firstLine="709"/>
        <w:contextualSpacing/>
        <w:jc w:val="both"/>
        <w:rPr>
          <w:rFonts w:ascii="Verdana" w:hAnsi="Verdana" w:cs="Arial"/>
          <w:sz w:val="18"/>
          <w:szCs w:val="18"/>
          <w:lang w:val="es-MX"/>
        </w:rPr>
      </w:pPr>
      <w:r w:rsidRPr="00FB43C2">
        <w:rPr>
          <w:rFonts w:ascii="Verdana" w:hAnsi="Verdana" w:cs="Arial"/>
          <w:sz w:val="18"/>
          <w:szCs w:val="18"/>
          <w:lang w:val="es-MX"/>
        </w:rPr>
        <w:t>[…]</w:t>
      </w:r>
    </w:p>
    <w:p w14:paraId="2E715CDE" w14:textId="77777777" w:rsidR="00965BFD" w:rsidRPr="00FB43C2" w:rsidRDefault="00965BFD" w:rsidP="00965BFD">
      <w:pPr>
        <w:pStyle w:val="NormalWeb"/>
        <w:spacing w:before="0" w:beforeAutospacing="0" w:after="0" w:afterAutospacing="0"/>
        <w:ind w:firstLine="709"/>
        <w:contextualSpacing/>
        <w:jc w:val="both"/>
        <w:rPr>
          <w:rFonts w:ascii="Verdana" w:hAnsi="Verdana" w:cs="Arial"/>
          <w:sz w:val="18"/>
          <w:szCs w:val="18"/>
          <w:lang w:val="es-MX"/>
        </w:rPr>
      </w:pPr>
      <w:r w:rsidRPr="00FB43C2">
        <w:rPr>
          <w:rStyle w:val="baj"/>
          <w:rFonts w:ascii="Verdana" w:eastAsiaTheme="minorEastAsia" w:hAnsi="Verdana" w:cs="Arial"/>
          <w:sz w:val="18"/>
          <w:szCs w:val="18"/>
          <w:lang w:val="es-MX"/>
        </w:rPr>
        <w:t>Parágrafo.</w:t>
      </w:r>
      <w:r w:rsidRPr="00FB43C2">
        <w:rPr>
          <w:rFonts w:ascii="Verdana" w:hAnsi="Verdana" w:cs="Arial"/>
          <w:sz w:val="18"/>
          <w:szCs w:val="18"/>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B43C2">
        <w:rPr>
          <w:rFonts w:ascii="Verdana" w:eastAsia="Calibri" w:hAnsi="Verdana" w:cs="Arial"/>
          <w:color w:val="000000"/>
          <w:sz w:val="18"/>
          <w:szCs w:val="18"/>
        </w:rPr>
        <w:t>”</w:t>
      </w:r>
      <w:r w:rsidRPr="00FB43C2">
        <w:rPr>
          <w:rFonts w:ascii="Verdana" w:hAnsi="Verdana" w:cs="Arial"/>
          <w:sz w:val="18"/>
          <w:szCs w:val="18"/>
          <w:lang w:val="es-MX"/>
        </w:rPr>
        <w:t>.</w:t>
      </w:r>
    </w:p>
  </w:footnote>
  <w:footnote w:id="9">
    <w:p w14:paraId="4E048A90" w14:textId="77777777" w:rsidR="00965BFD" w:rsidRPr="00FB43C2" w:rsidRDefault="00965BFD" w:rsidP="00965BFD">
      <w:pPr>
        <w:spacing w:after="0" w:line="240" w:lineRule="auto"/>
        <w:ind w:left="100" w:right="244" w:firstLine="709"/>
        <w:contextualSpacing/>
        <w:jc w:val="both"/>
        <w:rPr>
          <w:rFonts w:ascii="Verdana" w:hAnsi="Verdana" w:cs="Arial"/>
          <w:sz w:val="18"/>
          <w:szCs w:val="18"/>
          <w:lang w:val="es-ES"/>
        </w:rPr>
      </w:pPr>
      <w:r w:rsidRPr="00FB43C2">
        <w:rPr>
          <w:rStyle w:val="Refdenotaalpie"/>
          <w:rFonts w:ascii="Verdana" w:hAnsi="Verdana" w:cs="Arial"/>
          <w:sz w:val="18"/>
          <w:szCs w:val="18"/>
        </w:rPr>
        <w:footnoteRef/>
      </w:r>
      <w:r w:rsidRPr="00FB43C2">
        <w:rPr>
          <w:rFonts w:ascii="Verdana" w:hAnsi="Verdana" w:cs="Arial"/>
          <w:sz w:val="18"/>
          <w:szCs w:val="18"/>
        </w:rPr>
        <w:t xml:space="preserve"> Consejo de Estado. Sala de Consulta y Servicio Civil. Concepto del 17 de febrero de 2015. C.P. William Zambrano Cetina. Radicación No. 11001-03-06-000-2015-00164-00(2269).</w:t>
      </w:r>
    </w:p>
  </w:footnote>
  <w:footnote w:id="10">
    <w:p w14:paraId="1F448EF4" w14:textId="77777777" w:rsidR="00965BFD" w:rsidRPr="00FB43C2" w:rsidRDefault="00965BFD" w:rsidP="00965BFD">
      <w:pPr>
        <w:pStyle w:val="Textonotapie"/>
        <w:ind w:right="51" w:firstLine="709"/>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w:t>
      </w:r>
      <w:r w:rsidRPr="00FB43C2">
        <w:rPr>
          <w:rFonts w:ascii="Verdana" w:hAnsi="Verdana" w:cs="Arial"/>
          <w:sz w:val="18"/>
          <w:szCs w:val="18"/>
          <w:lang w:val="es-ES"/>
        </w:rPr>
        <w:t xml:space="preserve">[25] </w:t>
      </w:r>
      <w:r w:rsidRPr="00FB43C2">
        <w:rPr>
          <w:rFonts w:ascii="Verdana" w:hAnsi="Verdana" w:cs="Arial"/>
          <w:sz w:val="18"/>
          <w:szCs w:val="18"/>
        </w:rPr>
        <w:t>Cfr. Consejo de Estado. Sección Tercera. Sentencia de 3 de diciembre de 2007. Radicados: 24.715, 25.206, 25.409, 24.524, 27.834, 25.410, 26.105, 28.244, 31.447 -acumulados-”.</w:t>
      </w:r>
    </w:p>
  </w:footnote>
  <w:footnote w:id="11">
    <w:p w14:paraId="242CFBE9" w14:textId="77777777" w:rsidR="00965BFD" w:rsidRPr="00FB43C2" w:rsidRDefault="00965BFD" w:rsidP="00965BFD">
      <w:pPr>
        <w:pStyle w:val="Textonotapie"/>
        <w:ind w:right="51" w:firstLine="709"/>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w:t>
      </w:r>
      <w:r w:rsidRPr="00FB43C2">
        <w:rPr>
          <w:rFonts w:ascii="Verdana" w:hAnsi="Verdana" w:cs="Arial"/>
          <w:sz w:val="18"/>
          <w:szCs w:val="18"/>
          <w:lang w:val="es-ES"/>
        </w:rPr>
        <w:t xml:space="preserve">[26] </w:t>
      </w:r>
      <w:r w:rsidRPr="00FB43C2">
        <w:rPr>
          <w:rFonts w:ascii="Verdana" w:hAnsi="Verdana" w:cs="Arial"/>
          <w:sz w:val="18"/>
          <w:szCs w:val="18"/>
        </w:rPr>
        <w:t>Al respecto ver el concepto 1712 de 2 de febrero de 2006. Consejo de Estado Sala de Consulta y Servicio Civil”.</w:t>
      </w:r>
    </w:p>
  </w:footnote>
  <w:footnote w:id="12">
    <w:p w14:paraId="6CC8E83E" w14:textId="77777777" w:rsidR="00965BFD" w:rsidRPr="00FB43C2" w:rsidRDefault="00965BFD" w:rsidP="00965BFD">
      <w:pPr>
        <w:pStyle w:val="Textonotapie"/>
        <w:ind w:firstLine="709"/>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Consejo de Estado. Sala de Consulta y Servicio Civil. Concepto del 2 de septiembre de 2013. Radicación número: 11001-03-06-000-2013-00412-00 (2168). Consejero Ponente: Álvaro </w:t>
      </w:r>
      <w:r w:rsidRPr="00FB43C2">
        <w:rPr>
          <w:rFonts w:ascii="Verdana" w:hAnsi="Verdana" w:cs="Arial"/>
          <w:sz w:val="18"/>
          <w:szCs w:val="18"/>
        </w:rPr>
        <w:t>Namén Vargas.</w:t>
      </w:r>
    </w:p>
  </w:footnote>
  <w:footnote w:id="13">
    <w:p w14:paraId="7282811D" w14:textId="77777777" w:rsidR="00965BFD" w:rsidRPr="00FB43C2" w:rsidRDefault="00965BFD" w:rsidP="00965BFD">
      <w:pPr>
        <w:pStyle w:val="Textonotapie"/>
        <w:ind w:firstLine="709"/>
        <w:jc w:val="both"/>
        <w:rPr>
          <w:rFonts w:ascii="Verdana" w:hAnsi="Verdana" w:cs="Arial"/>
          <w:sz w:val="18"/>
          <w:szCs w:val="18"/>
          <w:lang w:val="es-ES"/>
        </w:rPr>
      </w:pPr>
      <w:r w:rsidRPr="00FB43C2">
        <w:rPr>
          <w:rStyle w:val="Refdenotaalpie"/>
          <w:rFonts w:ascii="Verdana" w:hAnsi="Verdana" w:cs="Arial"/>
          <w:sz w:val="18"/>
          <w:szCs w:val="18"/>
        </w:rPr>
        <w:footnoteRef/>
      </w:r>
      <w:r w:rsidRPr="00FB43C2">
        <w:rPr>
          <w:rFonts w:ascii="Verdana" w:hAnsi="Verdana" w:cs="Arial"/>
          <w:sz w:val="18"/>
          <w:szCs w:val="18"/>
        </w:rPr>
        <w:t xml:space="preserve"> </w:t>
      </w:r>
      <w:r w:rsidRPr="00FB43C2">
        <w:rPr>
          <w:rFonts w:ascii="Verdana" w:hAnsi="Verdana" w:cs="Arial"/>
          <w:sz w:val="18"/>
          <w:szCs w:val="18"/>
          <w:lang w:val="es-ES"/>
        </w:rPr>
        <w:t xml:space="preserve">Artículo 2. </w:t>
      </w:r>
    </w:p>
  </w:footnote>
  <w:footnote w:id="14">
    <w:p w14:paraId="13A039A3" w14:textId="77777777" w:rsidR="00965BFD" w:rsidRPr="00FB43C2" w:rsidRDefault="00965BFD" w:rsidP="00965BFD">
      <w:pPr>
        <w:pStyle w:val="Textonotapie"/>
        <w:ind w:firstLine="709"/>
        <w:jc w:val="both"/>
        <w:rPr>
          <w:rFonts w:ascii="Verdana" w:hAnsi="Verdana" w:cs="Arial"/>
          <w:sz w:val="18"/>
          <w:szCs w:val="18"/>
          <w:lang w:val="es-ES"/>
        </w:rPr>
      </w:pPr>
      <w:r w:rsidRPr="00FB43C2">
        <w:rPr>
          <w:rStyle w:val="Refdenotaalpie"/>
          <w:rFonts w:ascii="Verdana" w:hAnsi="Verdana" w:cs="Arial"/>
          <w:sz w:val="18"/>
          <w:szCs w:val="18"/>
        </w:rPr>
        <w:footnoteRef/>
      </w:r>
      <w:r w:rsidRPr="00FB43C2">
        <w:rPr>
          <w:rFonts w:ascii="Verdana" w:hAnsi="Verdana" w:cs="Arial"/>
          <w:sz w:val="18"/>
          <w:szCs w:val="18"/>
        </w:rPr>
        <w:t xml:space="preserve"> </w:t>
      </w:r>
      <w:r w:rsidRPr="00FB43C2">
        <w:rPr>
          <w:rFonts w:ascii="Verdana" w:hAnsi="Verdana" w:cs="Arial"/>
          <w:i/>
          <w:sz w:val="18"/>
          <w:szCs w:val="18"/>
          <w:lang w:val="es-ES"/>
        </w:rPr>
        <w:t>Ibidem</w:t>
      </w:r>
      <w:r w:rsidRPr="00FB43C2">
        <w:rPr>
          <w:rFonts w:ascii="Verdana" w:hAnsi="Verdana" w:cs="Arial"/>
          <w:sz w:val="18"/>
          <w:szCs w:val="18"/>
          <w:lang w:val="es-ES"/>
        </w:rPr>
        <w:t>.</w:t>
      </w:r>
    </w:p>
  </w:footnote>
  <w:footnote w:id="15">
    <w:p w14:paraId="04CFDEB0" w14:textId="77777777" w:rsidR="00965BFD" w:rsidRPr="00FB43C2" w:rsidRDefault="00965BFD" w:rsidP="00965BFD">
      <w:pPr>
        <w:pStyle w:val="Textonotapie"/>
        <w:ind w:firstLine="709"/>
        <w:jc w:val="both"/>
        <w:rPr>
          <w:rFonts w:ascii="Verdana" w:hAnsi="Verdana" w:cs="Arial"/>
          <w:sz w:val="18"/>
          <w:szCs w:val="18"/>
          <w:lang w:val="es-ES"/>
        </w:rPr>
      </w:pPr>
      <w:r w:rsidRPr="00FB43C2">
        <w:rPr>
          <w:rStyle w:val="Refdenotaalpie"/>
          <w:rFonts w:ascii="Verdana" w:hAnsi="Verdana" w:cs="Arial"/>
          <w:sz w:val="18"/>
          <w:szCs w:val="18"/>
        </w:rPr>
        <w:footnoteRef/>
      </w:r>
      <w:r w:rsidRPr="00FB43C2">
        <w:rPr>
          <w:rStyle w:val="Refdenotaalpie"/>
          <w:rFonts w:ascii="Verdana" w:hAnsi="Verdana" w:cs="Arial"/>
          <w:sz w:val="18"/>
          <w:szCs w:val="18"/>
        </w:rPr>
        <w:t xml:space="preserve"> </w:t>
      </w:r>
      <w:r w:rsidRPr="00FB43C2">
        <w:rPr>
          <w:rFonts w:ascii="Verdana" w:hAnsi="Verdana" w:cs="Arial"/>
          <w:sz w:val="18"/>
          <w:szCs w:val="18"/>
          <w:lang w:val="es-ES"/>
        </w:rPr>
        <w:t xml:space="preserve">“[…] A este respecto, cabe recordar que el artículo 860 del Código de Comercio regula la licitación en el derecho privado”. </w:t>
      </w:r>
    </w:p>
  </w:footnote>
  <w:footnote w:id="16">
    <w:p w14:paraId="359EA974" w14:textId="77777777" w:rsidR="00965BFD" w:rsidRPr="00FB43C2" w:rsidRDefault="00965BFD" w:rsidP="00965BFD">
      <w:pPr>
        <w:shd w:val="clear" w:color="auto" w:fill="FFFFFF"/>
        <w:spacing w:after="0"/>
        <w:ind w:firstLine="709"/>
        <w:jc w:val="both"/>
        <w:rPr>
          <w:rFonts w:ascii="Verdana" w:hAnsi="Verdana" w:cs="Arial"/>
          <w:sz w:val="18"/>
          <w:szCs w:val="18"/>
          <w:lang w:val="es-ES"/>
        </w:rPr>
      </w:pPr>
      <w:r w:rsidRPr="00FB43C2">
        <w:rPr>
          <w:rStyle w:val="Refdenotaalpie"/>
          <w:rFonts w:ascii="Verdana" w:hAnsi="Verdana" w:cs="Arial"/>
          <w:sz w:val="18"/>
          <w:szCs w:val="18"/>
        </w:rPr>
        <w:footnoteRef/>
      </w:r>
      <w:r w:rsidRPr="00FB43C2">
        <w:rPr>
          <w:rStyle w:val="Refdenotaalpie"/>
          <w:rFonts w:ascii="Verdana" w:hAnsi="Verdana" w:cs="Arial"/>
          <w:sz w:val="18"/>
          <w:szCs w:val="18"/>
        </w:rPr>
        <w:t xml:space="preserve"> </w:t>
      </w:r>
      <w:r w:rsidRPr="00FB43C2">
        <w:rPr>
          <w:rFonts w:ascii="Verdana" w:hAnsi="Verdana" w:cs="Arial"/>
          <w:sz w:val="18"/>
          <w:szCs w:val="18"/>
          <w:lang w:val="es-ES"/>
        </w:rPr>
        <w:t xml:space="preserve">Consejo de Estado. Sala de Consulta y Servicio Civil, Concepto de 8 de mayo de 2018. Radicación Número: 11001-03-06-000-2018-00095-00(2382). Consejero Ponente: Álvaro </w:t>
      </w:r>
      <w:r w:rsidRPr="00FB43C2">
        <w:rPr>
          <w:rFonts w:ascii="Verdana" w:hAnsi="Verdana" w:cs="Arial"/>
          <w:sz w:val="18"/>
          <w:szCs w:val="18"/>
          <w:lang w:val="es-ES"/>
        </w:rPr>
        <w:t>Namén Vargas.</w:t>
      </w:r>
    </w:p>
  </w:footnote>
  <w:footnote w:id="17">
    <w:p w14:paraId="22D7A4BA" w14:textId="77777777" w:rsidR="00965BFD" w:rsidRPr="00FB43C2" w:rsidRDefault="00965BFD" w:rsidP="00965BFD">
      <w:pPr>
        <w:pStyle w:val="Textonotapie"/>
        <w:ind w:firstLine="709"/>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Consejo de Estado. Sala de Consulta y Servicio Civil. Concepto del 08 de mayo de 2018. </w:t>
      </w:r>
      <w:r w:rsidRPr="00FB43C2">
        <w:rPr>
          <w:rFonts w:ascii="Verdana" w:hAnsi="Verdana" w:cs="Arial"/>
          <w:sz w:val="18"/>
          <w:szCs w:val="18"/>
        </w:rPr>
        <w:t>Exp. 2.382. C.P. Álvaro Namén Vargas.</w:t>
      </w:r>
    </w:p>
  </w:footnote>
  <w:footnote w:id="18">
    <w:p w14:paraId="45D74864" w14:textId="77777777" w:rsidR="00965BFD" w:rsidRPr="00FB43C2" w:rsidRDefault="00965BFD" w:rsidP="00965BFD">
      <w:pPr>
        <w:pStyle w:val="Textonotapie"/>
        <w:ind w:firstLine="709"/>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La Corte Constitucional mediante Sentencia C-1153-05 de 11 de noviembre de 2005, Magistrado Ponente Marco Gerardo Monroy Cabra, efectuó el Control constitucional al Proyecto de Ley Estatutaria </w:t>
      </w:r>
      <w:r w:rsidRPr="00FB43C2">
        <w:rPr>
          <w:rFonts w:ascii="Verdana" w:hAnsi="Verdana" w:cs="Arial"/>
          <w:sz w:val="18"/>
          <w:szCs w:val="18"/>
        </w:rPr>
        <w:t>N° 216/05 Senado, N° 235-Cámara que dio lugar a la Ley de Garantías Electorales.</w:t>
      </w:r>
    </w:p>
  </w:footnote>
  <w:footnote w:id="19">
    <w:p w14:paraId="6F00EF7B" w14:textId="77777777" w:rsidR="00965BFD" w:rsidRPr="00FB43C2" w:rsidRDefault="00965BFD" w:rsidP="00965BFD">
      <w:pPr>
        <w:spacing w:after="0"/>
        <w:ind w:firstLine="709"/>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0">
    <w:p w14:paraId="11F022A5" w14:textId="77777777" w:rsidR="00965BFD" w:rsidRPr="00FB43C2" w:rsidRDefault="00965BFD" w:rsidP="00965BFD">
      <w:pPr>
        <w:pStyle w:val="Textonotapie"/>
        <w:ind w:right="51" w:firstLine="709"/>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w:t>
      </w:r>
      <w:bookmarkStart w:id="18" w:name="_Hlk75633115"/>
      <w:r w:rsidRPr="00FB43C2">
        <w:rPr>
          <w:rFonts w:ascii="Verdana" w:hAnsi="Verdana" w:cs="Arial"/>
          <w:sz w:val="18"/>
          <w:szCs w:val="18"/>
        </w:rPr>
        <w:t xml:space="preserve">Consejo de Estado. Sala de Consulta y Servicio Civil. Concepto </w:t>
      </w:r>
      <w:bookmarkEnd w:id="18"/>
      <w:r w:rsidRPr="00FB43C2">
        <w:rPr>
          <w:rFonts w:ascii="Verdana" w:hAnsi="Verdana" w:cs="Arial"/>
          <w:sz w:val="18"/>
          <w:szCs w:val="18"/>
        </w:rPr>
        <w:t>de 6 de abril de 2006. Radicación Número: 11001-03-06-000-2006-00038-00(1738). Consejero Ponente: Enrique José Arboleda Perdomo:</w:t>
      </w:r>
      <w:r w:rsidRPr="00FB43C2">
        <w:rPr>
          <w:rFonts w:ascii="Verdana" w:eastAsia="Times New Roman" w:hAnsi="Verdana" w:cs="Arial"/>
          <w:bCs/>
          <w:sz w:val="18"/>
          <w:szCs w:val="18"/>
          <w:lang w:eastAsia="x-none"/>
        </w:rPr>
        <w:t xml:space="preserve"> “</w:t>
      </w:r>
      <w:r w:rsidRPr="00FB43C2">
        <w:rPr>
          <w:rFonts w:ascii="Verdana" w:hAnsi="Verdana" w:cs="Arial"/>
          <w:sz w:val="18"/>
          <w:szCs w:val="18"/>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FB43C2">
        <w:rPr>
          <w:rFonts w:ascii="Verdana" w:eastAsia="Times New Roman" w:hAnsi="Verdana" w:cs="Arial"/>
          <w:bCs/>
          <w:sz w:val="18"/>
          <w:szCs w:val="18"/>
          <w:lang w:eastAsia="x-none"/>
        </w:rPr>
        <w:t>”.</w:t>
      </w:r>
    </w:p>
  </w:footnote>
  <w:footnote w:id="21">
    <w:p w14:paraId="446DC937" w14:textId="77777777" w:rsidR="00965BFD" w:rsidRPr="00FB43C2" w:rsidRDefault="00965BFD" w:rsidP="00965BFD">
      <w:pPr>
        <w:pStyle w:val="Textonotapie"/>
        <w:ind w:right="51" w:firstLine="709"/>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Consejo de Estado. Sala de Consulta y Servicio Civil. Concepto de 6 de abril de 2006. Radicación Número: 11001-03-06-000-2006-00038-00(1738). Consejero Ponente: Enrique José Arboleda Perdomo.</w:t>
      </w:r>
    </w:p>
  </w:footnote>
  <w:footnote w:id="22">
    <w:p w14:paraId="42CD2270" w14:textId="77777777" w:rsidR="00965BFD" w:rsidRPr="00FB43C2" w:rsidRDefault="00965BFD" w:rsidP="00965BFD">
      <w:pPr>
        <w:pStyle w:val="Textonotapie"/>
        <w:ind w:right="51" w:firstLine="709"/>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Consejo de Estado. Sala de Consulta y Servicio Civil, </w:t>
      </w:r>
      <w:r w:rsidRPr="00FB43C2">
        <w:rPr>
          <w:rFonts w:ascii="Verdana" w:hAnsi="Verdana" w:cs="Arial"/>
          <w:i/>
          <w:iCs/>
          <w:sz w:val="18"/>
          <w:szCs w:val="18"/>
        </w:rPr>
        <w:t>ibidem</w:t>
      </w:r>
      <w:r w:rsidRPr="00FB43C2">
        <w:rPr>
          <w:rFonts w:ascii="Verdana" w:hAnsi="Verdana" w:cs="Arial"/>
          <w:sz w:val="18"/>
          <w:szCs w:val="18"/>
        </w:rPr>
        <w:t>.</w:t>
      </w:r>
    </w:p>
  </w:footnote>
  <w:footnote w:id="23">
    <w:p w14:paraId="52AF0C43" w14:textId="77777777" w:rsidR="00965BFD" w:rsidRPr="00FB43C2" w:rsidRDefault="00965BFD" w:rsidP="00965BFD">
      <w:pPr>
        <w:pStyle w:val="Textonotapie"/>
        <w:ind w:firstLine="708"/>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Consejo de Estado. Sala de Consulta y Servicio Civil. Concepto del 18 de febrero 2010. Rad. 11001-03-06-000-2010-00006-00 (1985). C.P. Enrique José Arboleda Perdomo.</w:t>
      </w:r>
    </w:p>
  </w:footnote>
  <w:footnote w:id="24">
    <w:p w14:paraId="20763D8F" w14:textId="77777777" w:rsidR="00965BFD" w:rsidRPr="00FB43C2" w:rsidRDefault="00965BFD" w:rsidP="00965BFD">
      <w:pPr>
        <w:pStyle w:val="Textonotapie"/>
        <w:ind w:firstLine="708"/>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Corte Constitucional. Sentencia C-1153 de 2005 M.P. Marco Gerardo Monroy Cabra. </w:t>
      </w:r>
    </w:p>
  </w:footnote>
  <w:footnote w:id="25">
    <w:p w14:paraId="73245AE8" w14:textId="77777777" w:rsidR="00965BFD" w:rsidRPr="00FB43C2" w:rsidRDefault="00965BFD" w:rsidP="00965BFD">
      <w:pPr>
        <w:pStyle w:val="Textonotapie"/>
        <w:ind w:firstLine="708"/>
        <w:jc w:val="both"/>
        <w:rPr>
          <w:rFonts w:ascii="Verdana" w:hAnsi="Verdana"/>
          <w:sz w:val="18"/>
          <w:szCs w:val="18"/>
          <w:lang w:val="es-CO"/>
        </w:rPr>
      </w:pPr>
      <w:r w:rsidRPr="00FB43C2">
        <w:rPr>
          <w:rStyle w:val="Refdenotaalpie"/>
          <w:rFonts w:ascii="Verdana" w:hAnsi="Verdana"/>
          <w:sz w:val="18"/>
          <w:szCs w:val="18"/>
        </w:rPr>
        <w:footnoteRef/>
      </w:r>
      <w:r w:rsidRPr="00FB43C2">
        <w:rPr>
          <w:rFonts w:ascii="Verdana" w:hAnsi="Verdana"/>
          <w:sz w:val="18"/>
          <w:szCs w:val="18"/>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FB43C2">
        <w:rPr>
          <w:rFonts w:ascii="Verdana" w:hAnsi="Verdana"/>
          <w:i/>
          <w:iCs/>
          <w:sz w:val="18"/>
          <w:szCs w:val="18"/>
        </w:rPr>
        <w:t>las palabras de la ley se entenderán en su sentido natural y obvio, según el uso general de las mismas palabras</w:t>
      </w:r>
      <w:r w:rsidRPr="00FB43C2">
        <w:rPr>
          <w:rFonts w:ascii="Verdana" w:hAnsi="Verdana"/>
          <w:sz w:val="18"/>
          <w:szCs w:val="18"/>
        </w:rPr>
        <w:t>’, es decir, el uso de la gente educada. El Diccionario de la Lengua publicado por la Real Academia Española goza a este respecto de gran autoridad. ‘</w:t>
      </w:r>
      <w:r w:rsidRPr="00FB43C2">
        <w:rPr>
          <w:rFonts w:ascii="Verdana" w:hAnsi="Verdana"/>
          <w:i/>
          <w:iCs/>
          <w:sz w:val="18"/>
          <w:szCs w:val="18"/>
        </w:rPr>
        <w:t>Pero cuando el legislador</w:t>
      </w:r>
      <w:r w:rsidRPr="00FB43C2">
        <w:rPr>
          <w:rFonts w:ascii="Verdana" w:hAnsi="Verdana"/>
          <w:sz w:val="18"/>
          <w:szCs w:val="18"/>
        </w:rPr>
        <w:t xml:space="preserve">, agrega el artículo 20, </w:t>
      </w:r>
      <w:r w:rsidRPr="00FB43C2">
        <w:rPr>
          <w:rFonts w:ascii="Verdana" w:hAnsi="Verdana"/>
          <w:i/>
          <w:iCs/>
          <w:sz w:val="18"/>
          <w:szCs w:val="18"/>
        </w:rPr>
        <w:t>las haya definido expresamente para ciertas materias se les dará en éstas su significado legal</w:t>
      </w:r>
      <w:r w:rsidRPr="00FB43C2">
        <w:rPr>
          <w:rFonts w:ascii="Verdana" w:hAnsi="Verdana"/>
          <w:sz w:val="18"/>
          <w:szCs w:val="18"/>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 w:id="26">
    <w:p w14:paraId="54C06CD1" w14:textId="77777777" w:rsidR="00965BFD" w:rsidRPr="00FB43C2" w:rsidRDefault="00965BFD" w:rsidP="00965BFD">
      <w:pPr>
        <w:spacing w:after="0" w:line="240" w:lineRule="auto"/>
        <w:ind w:firstLine="708"/>
        <w:jc w:val="both"/>
        <w:rPr>
          <w:rFonts w:ascii="Verdana" w:eastAsia="Calibri" w:hAnsi="Verdana" w:cs="Arial"/>
          <w:sz w:val="18"/>
          <w:szCs w:val="18"/>
          <w:lang w:val="es-ES_tradnl"/>
        </w:rPr>
      </w:pPr>
      <w:r w:rsidRPr="00FB43C2">
        <w:rPr>
          <w:rStyle w:val="Refdenotaalpie"/>
          <w:rFonts w:ascii="Verdana" w:hAnsi="Verdana" w:cs="Arial"/>
          <w:sz w:val="18"/>
          <w:szCs w:val="18"/>
        </w:rPr>
        <w:footnoteRef/>
      </w:r>
      <w:r w:rsidRPr="00FB43C2">
        <w:rPr>
          <w:rFonts w:ascii="Verdana" w:hAnsi="Verdana" w:cs="Arial"/>
          <w:sz w:val="18"/>
          <w:szCs w:val="18"/>
        </w:rPr>
        <w:t xml:space="preserve"> </w:t>
      </w:r>
      <w:r w:rsidRPr="00FB43C2">
        <w:rPr>
          <w:rFonts w:ascii="Verdana" w:hAnsi="Verdana" w:cs="Arial"/>
          <w:sz w:val="18"/>
          <w:szCs w:val="18"/>
          <w:lang w:val="es-ES_tradnl"/>
        </w:rPr>
        <w:t>La jurisprudencia delimita su sentido y alcance de la siguiente manera –</w:t>
      </w:r>
      <w:r w:rsidRPr="00FB43C2">
        <w:rPr>
          <w:rFonts w:ascii="Verdana" w:hAnsi="Verdana" w:cs="Arial"/>
          <w:sz w:val="18"/>
          <w:szCs w:val="18"/>
          <w:lang w:val="es-ES"/>
        </w:rPr>
        <w:t xml:space="preserve">CORTE SUPREMA DE JUSTICIA. Sala de Casación Civil. Sentencia 20 de noviembre de 1989. MP. Alberto Ospina Botero. Publicada en la Gaceta Judicial. Tomo CXCVI. </w:t>
      </w:r>
      <w:r w:rsidRPr="00FB43C2">
        <w:rPr>
          <w:rFonts w:ascii="Verdana" w:hAnsi="Verdana" w:cs="Arial"/>
          <w:sz w:val="18"/>
          <w:szCs w:val="18"/>
          <w:lang w:val="es-ES"/>
        </w:rPr>
        <w:t>N° 2435. p. 93</w:t>
      </w:r>
      <w:r w:rsidRPr="00FB43C2">
        <w:rPr>
          <w:rFonts w:ascii="Verdana" w:hAnsi="Verdana" w:cs="Arial"/>
          <w:sz w:val="18"/>
          <w:szCs w:val="18"/>
          <w:lang w:val="es-ES_tradnl"/>
        </w:rPr>
        <w:t>–:</w:t>
      </w:r>
    </w:p>
    <w:p w14:paraId="751B758C" w14:textId="77777777" w:rsidR="00965BFD" w:rsidRPr="00FB43C2" w:rsidRDefault="00965BFD" w:rsidP="00965BFD">
      <w:pPr>
        <w:spacing w:after="0" w:line="240" w:lineRule="auto"/>
        <w:ind w:right="49" w:firstLine="708"/>
        <w:jc w:val="both"/>
        <w:rPr>
          <w:rFonts w:ascii="Verdana" w:eastAsia="Calibri" w:hAnsi="Verdana" w:cs="Arial"/>
          <w:sz w:val="18"/>
          <w:szCs w:val="18"/>
          <w:lang w:val="es-ES_tradnl"/>
        </w:rPr>
      </w:pPr>
      <w:r w:rsidRPr="00FB43C2">
        <w:rPr>
          <w:rFonts w:ascii="Verdana" w:eastAsia="Calibri" w:hAnsi="Verdana" w:cs="Arial"/>
          <w:sz w:val="18"/>
          <w:szCs w:val="18"/>
          <w:lang w:val="es-ES_tradnl"/>
        </w:rPr>
        <w:t>“6. […] la fuerza mayor o caso fortuito se configura por la concurrencia de dos factores:</w:t>
      </w:r>
    </w:p>
    <w:p w14:paraId="39798414" w14:textId="77777777" w:rsidR="00965BFD" w:rsidRPr="00FB43C2" w:rsidRDefault="00965BFD" w:rsidP="00965BFD">
      <w:pPr>
        <w:spacing w:after="0" w:line="240" w:lineRule="auto"/>
        <w:ind w:right="49" w:firstLine="708"/>
        <w:jc w:val="both"/>
        <w:rPr>
          <w:rFonts w:ascii="Verdana" w:eastAsia="Calibri" w:hAnsi="Verdana" w:cs="Arial"/>
          <w:sz w:val="18"/>
          <w:szCs w:val="18"/>
          <w:lang w:val="es-ES_tradnl"/>
        </w:rPr>
      </w:pPr>
      <w:r w:rsidRPr="00FB43C2">
        <w:rPr>
          <w:rFonts w:ascii="Verdana" w:eastAsia="Calibri" w:hAnsi="Verdana" w:cs="Arial"/>
          <w:sz w:val="18"/>
          <w:szCs w:val="18"/>
          <w:lang w:val="es-ES_tradnl"/>
        </w:rPr>
        <w:t>a) Que el hecho sea imprevisible, esto es, que dentro de las circunstancias normales de la vida, no sea posible contemplar por anticipado su ocurrencia. Por el contrario, si el hecho razonablemente hubiera podido preverse, por ser un acontecimiento normal o de ocurrencia frecuente, tal hecho no estructura el elemento imprevisible, y</w:t>
      </w:r>
    </w:p>
    <w:p w14:paraId="05CCD5CD" w14:textId="77777777" w:rsidR="00965BFD" w:rsidRPr="00FB43C2" w:rsidRDefault="00965BFD" w:rsidP="00965BFD">
      <w:pPr>
        <w:spacing w:after="0" w:line="240" w:lineRule="auto"/>
        <w:ind w:right="49" w:firstLine="708"/>
        <w:jc w:val="both"/>
        <w:rPr>
          <w:rFonts w:ascii="Verdana" w:eastAsia="Calibri" w:hAnsi="Verdana" w:cs="Arial"/>
          <w:sz w:val="18"/>
          <w:szCs w:val="18"/>
          <w:lang w:val="es-ES_tradnl"/>
        </w:rPr>
      </w:pPr>
      <w:r w:rsidRPr="00FB43C2">
        <w:rPr>
          <w:rFonts w:ascii="Verdana" w:eastAsia="Calibri" w:hAnsi="Verdana" w:cs="Arial"/>
          <w:sz w:val="18"/>
          <w:szCs w:val="18"/>
          <w:lang w:val="es-ES_tradnl"/>
        </w:rPr>
        <w:t>b) Que el hecho sea irresistible, o sea, que el agente no pueda evitar su acaecimiento ni superar sus consecuencias.</w:t>
      </w:r>
    </w:p>
    <w:p w14:paraId="1E32C77B" w14:textId="77777777" w:rsidR="00965BFD" w:rsidRPr="00FB43C2" w:rsidRDefault="00965BFD" w:rsidP="00965BFD">
      <w:pPr>
        <w:spacing w:after="0" w:line="240" w:lineRule="auto"/>
        <w:ind w:right="49" w:firstLine="708"/>
        <w:jc w:val="both"/>
        <w:rPr>
          <w:rFonts w:ascii="Verdana" w:eastAsia="Calibri" w:hAnsi="Verdana" w:cs="Arial"/>
          <w:sz w:val="18"/>
          <w:szCs w:val="18"/>
          <w:lang w:val="es-ES_tradnl"/>
        </w:rPr>
      </w:pPr>
      <w:r w:rsidRPr="00FB43C2">
        <w:rPr>
          <w:rFonts w:ascii="Verdana" w:eastAsia="Calibri" w:hAnsi="Verdana" w:cs="Arial"/>
          <w:sz w:val="18"/>
          <w:szCs w:val="18"/>
          <w:lang w:val="es-ES_tradnl"/>
        </w:rPr>
        <w:t xml:space="preserve">En este preciso punto es indispensable anotar la diferencia existente entre la imposibilidad para resistir o superar el hecho y la dificultad para enfrentarlo. Porque un hecho no constituye caso fortuito o fuerza mayor, por la sola circunstancia de que se haga </w:t>
      </w:r>
      <w:r w:rsidRPr="00FB43C2">
        <w:rPr>
          <w:rFonts w:ascii="Verdana" w:eastAsia="Calibri" w:hAnsi="Verdana" w:cs="Arial"/>
          <w:sz w:val="18"/>
          <w:szCs w:val="18"/>
          <w:lang w:val="es-ES_tradnl"/>
        </w:rPr>
        <w:t>más difícil o más onerosa de lo previsto inicialmente.</w:t>
      </w:r>
    </w:p>
    <w:p w14:paraId="1D1B8164" w14:textId="77777777" w:rsidR="00965BFD" w:rsidRPr="00FB43C2" w:rsidRDefault="00965BFD" w:rsidP="00965BFD">
      <w:pPr>
        <w:spacing w:after="0" w:line="240" w:lineRule="auto"/>
        <w:ind w:right="49" w:firstLine="708"/>
        <w:jc w:val="both"/>
        <w:rPr>
          <w:rFonts w:ascii="Verdana" w:eastAsia="Calibri" w:hAnsi="Verdana" w:cs="Arial"/>
          <w:sz w:val="18"/>
          <w:szCs w:val="18"/>
          <w:lang w:val="es-ES_tradnl"/>
        </w:rPr>
      </w:pPr>
      <w:r w:rsidRPr="00FB43C2">
        <w:rPr>
          <w:rFonts w:ascii="Verdana" w:eastAsia="Calibri" w:hAnsi="Verdana" w:cs="Arial"/>
          <w:sz w:val="18"/>
          <w:szCs w:val="18"/>
          <w:lang w:val="es-ES_tradnl"/>
        </w:rPr>
        <w:t>7. Según el verdadero sentido o inteligencia […] los elementos integrantes del caso fortuito o fuerza mayor, antes reseñados, deben ser concurrentes, lo cual se traduce en que si el hecho o suceso ciertamente es imprevisible pero se le puede resistir, no se da tal fenómeno, como tampoco se configura cuando a pesar de ser irresistible pudo preverse</w:t>
      </w:r>
    </w:p>
    <w:p w14:paraId="433FACA6" w14:textId="77777777" w:rsidR="00965BFD" w:rsidRPr="00FB43C2" w:rsidRDefault="00965BFD" w:rsidP="00965BFD">
      <w:pPr>
        <w:spacing w:after="0" w:line="240" w:lineRule="auto"/>
        <w:ind w:right="49"/>
        <w:jc w:val="both"/>
        <w:rPr>
          <w:rFonts w:ascii="Verdana" w:eastAsia="Calibri" w:hAnsi="Verdana" w:cs="Arial"/>
          <w:sz w:val="18"/>
          <w:szCs w:val="18"/>
          <w:lang w:val="es-ES_tradnl"/>
        </w:rPr>
      </w:pPr>
      <w:r w:rsidRPr="00FB43C2">
        <w:rPr>
          <w:rFonts w:ascii="Verdana" w:eastAsia="Calibri" w:hAnsi="Verdana" w:cs="Arial"/>
          <w:sz w:val="18"/>
          <w:szCs w:val="18"/>
          <w:lang w:val="es-ES_tradnl"/>
        </w:rPr>
        <w:t>[…]</w:t>
      </w:r>
    </w:p>
    <w:p w14:paraId="7CCF358A" w14:textId="77777777" w:rsidR="00965BFD" w:rsidRPr="00FB43C2" w:rsidRDefault="00965BFD" w:rsidP="00965BFD">
      <w:pPr>
        <w:pStyle w:val="Textonotapie"/>
        <w:ind w:right="49" w:firstLine="708"/>
        <w:jc w:val="both"/>
        <w:rPr>
          <w:rFonts w:ascii="Verdana" w:hAnsi="Verdana" w:cs="Arial"/>
          <w:sz w:val="18"/>
          <w:szCs w:val="18"/>
          <w:lang w:val="es-CO"/>
        </w:rPr>
      </w:pPr>
      <w:r w:rsidRPr="00FB43C2">
        <w:rPr>
          <w:rFonts w:ascii="Verdana" w:eastAsia="Calibri" w:hAnsi="Verdana" w:cs="Arial"/>
          <w:sz w:val="18"/>
          <w:szCs w:val="18"/>
          <w:lang w:val="es-ES_tradnl"/>
        </w:rPr>
        <w:t>8. Si, sólo puede calificarse como caso fortuito o fuerza mayor el hecho que concurrentemente contemple los caracteres de imprevisible e irresistible, no resulta propio elaborar un listado de los acontecimientos que constituyen tal fenómeno, ni de los que no lo constituyen. Por tal virtud, ha sostenido la doctrina nacional y foránea que un acontecimiento determinado no puede calificarse fatalmente, por sí mismo y por fuerza de su naturaleza específica como constitutivo de fuerza mayor o caso fortuito, puesto que es indispensable, en cada caso o acontecimiento, analizar y ponderar todas las circunstancias que rodearon el hecho”.</w:t>
      </w:r>
    </w:p>
  </w:footnote>
  <w:footnote w:id="27">
    <w:p w14:paraId="3445FC26" w14:textId="77777777" w:rsidR="00965BFD" w:rsidRPr="00FB43C2" w:rsidRDefault="00965BFD" w:rsidP="00965BFD">
      <w:pPr>
        <w:pStyle w:val="Textonotapie"/>
        <w:ind w:firstLine="708"/>
        <w:jc w:val="both"/>
        <w:rPr>
          <w:rFonts w:ascii="Verdana" w:hAnsi="Verdana" w:cs="Arial"/>
          <w:sz w:val="18"/>
          <w:szCs w:val="18"/>
          <w:lang w:val="es-ES"/>
        </w:rPr>
      </w:pPr>
      <w:r w:rsidRPr="00FB43C2">
        <w:rPr>
          <w:rStyle w:val="Refdenotaalpie"/>
          <w:rFonts w:ascii="Verdana" w:hAnsi="Verdana" w:cs="Arial"/>
          <w:sz w:val="18"/>
          <w:szCs w:val="18"/>
        </w:rPr>
        <w:footnoteRef/>
      </w:r>
      <w:r w:rsidRPr="00FB43C2">
        <w:rPr>
          <w:rFonts w:ascii="Verdana" w:hAnsi="Verdana" w:cs="Arial"/>
          <w:sz w:val="18"/>
          <w:szCs w:val="18"/>
        </w:rPr>
        <w:t xml:space="preserve"> “</w:t>
      </w:r>
      <w:r w:rsidRPr="00FB43C2">
        <w:rPr>
          <w:rFonts w:ascii="Verdana" w:hAnsi="Verdana" w:cs="Arial"/>
          <w:sz w:val="18"/>
          <w:szCs w:val="18"/>
          <w:lang w:val="es-ES"/>
        </w:rPr>
        <w:t>Artículo 56. Declaratoria de situación de desastre. Previa recomendación del Consejo Nacional, el Presidente de la República declarará mediante decreto la existencia de una situación de desastre y, en el mismo acto, la clasificará según su magnitud y efectos como de carácter nacional, regional, departamental, distrital o municipal, y pondrá en vigor las normas pertinentes propias del régimen especial para situaciones de desastre.</w:t>
      </w:r>
    </w:p>
    <w:p w14:paraId="7BE711F2" w14:textId="77777777" w:rsidR="00965BFD" w:rsidRPr="00FB43C2" w:rsidRDefault="00965BFD" w:rsidP="00965BFD">
      <w:pPr>
        <w:pStyle w:val="Textonotapie"/>
        <w:ind w:firstLine="708"/>
        <w:jc w:val="both"/>
        <w:rPr>
          <w:rFonts w:ascii="Verdana" w:hAnsi="Verdana" w:cs="Arial"/>
          <w:sz w:val="18"/>
          <w:szCs w:val="18"/>
          <w:lang w:val="es-ES"/>
        </w:rPr>
      </w:pPr>
      <w:r w:rsidRPr="00FB43C2">
        <w:rPr>
          <w:rFonts w:ascii="Verdana" w:hAnsi="Verdana" w:cs="Arial"/>
          <w:sz w:val="18"/>
          <w:szCs w:val="18"/>
          <w:lang w:val="es-ES"/>
        </w:rPr>
        <w:t>1. Nacional. Existirá una situación de desastre nacional:</w:t>
      </w:r>
    </w:p>
    <w:p w14:paraId="6AA87071" w14:textId="77777777" w:rsidR="00965BFD" w:rsidRPr="00FB43C2" w:rsidRDefault="00965BFD" w:rsidP="00965BFD">
      <w:pPr>
        <w:pStyle w:val="Textonotapie"/>
        <w:ind w:firstLine="708"/>
        <w:jc w:val="both"/>
        <w:rPr>
          <w:rFonts w:ascii="Verdana" w:hAnsi="Verdana" w:cs="Arial"/>
          <w:sz w:val="18"/>
          <w:szCs w:val="18"/>
          <w:lang w:val="es-ES"/>
        </w:rPr>
      </w:pPr>
      <w:r w:rsidRPr="00FB43C2">
        <w:rPr>
          <w:rFonts w:ascii="Verdana" w:hAnsi="Verdana" w:cs="Arial"/>
          <w:sz w:val="18"/>
          <w:szCs w:val="18"/>
          <w:lang w:val="es-ES"/>
        </w:rPr>
        <w:t>a). Cuando la materialización del riesgo afecte de manera desfavorable y grave los bienes jurídicos protegidos de las personas, de la colectividad nacional y de las instituciones de la Administración Pública Nacional, en todo el territorio nacional o en parte considerable del mismo.</w:t>
      </w:r>
    </w:p>
    <w:p w14:paraId="5AEE7EE2" w14:textId="77777777" w:rsidR="00965BFD" w:rsidRPr="00FB43C2" w:rsidRDefault="00965BFD" w:rsidP="00965BFD">
      <w:pPr>
        <w:pStyle w:val="Textonotapie"/>
        <w:ind w:firstLine="708"/>
        <w:jc w:val="both"/>
        <w:rPr>
          <w:rFonts w:ascii="Verdana" w:hAnsi="Verdana" w:cs="Arial"/>
          <w:sz w:val="18"/>
          <w:szCs w:val="18"/>
          <w:lang w:val="es-ES"/>
        </w:rPr>
      </w:pPr>
      <w:r w:rsidRPr="00FB43C2">
        <w:rPr>
          <w:rFonts w:ascii="Verdana" w:hAnsi="Verdana" w:cs="Arial"/>
          <w:sz w:val="18"/>
          <w:szCs w:val="18"/>
          <w:lang w:val="es-ES"/>
        </w:rPr>
        <w:t>b). Cuando se hayan producido efectos adversos en uno (1) o más departamentos y su impacto rebase la capacidad técnica y los recursos de las administraciones departamentales y municipales involucradas.</w:t>
      </w:r>
    </w:p>
    <w:p w14:paraId="0A868A28" w14:textId="77777777" w:rsidR="00965BFD" w:rsidRPr="00FB43C2" w:rsidRDefault="00965BFD" w:rsidP="00965BFD">
      <w:pPr>
        <w:pStyle w:val="Textonotapie"/>
        <w:ind w:firstLine="708"/>
        <w:jc w:val="both"/>
        <w:rPr>
          <w:rFonts w:ascii="Verdana" w:hAnsi="Verdana" w:cs="Arial"/>
          <w:sz w:val="18"/>
          <w:szCs w:val="18"/>
          <w:lang w:val="es-ES"/>
        </w:rPr>
      </w:pPr>
      <w:r w:rsidRPr="00FB43C2">
        <w:rPr>
          <w:rFonts w:ascii="Verdana" w:hAnsi="Verdana" w:cs="Arial"/>
          <w:sz w:val="18"/>
          <w:szCs w:val="18"/>
          <w:lang w:val="es-ES"/>
        </w:rPr>
        <w:t>c). Cuando la emergencia tenga la capacidad de impactar de manera desfavorable y grave la economía nacional, las redes de servicios nacionales en su totalidad o en parte significativa de las mismas, el distrito capital y otros centros urbanos de importancia regional en la red de ciudades.</w:t>
      </w:r>
    </w:p>
    <w:p w14:paraId="666EE324" w14:textId="77777777" w:rsidR="00965BFD" w:rsidRPr="00FB43C2" w:rsidRDefault="00965BFD" w:rsidP="00965BFD">
      <w:pPr>
        <w:pStyle w:val="Textonotapie"/>
        <w:ind w:firstLine="708"/>
        <w:jc w:val="both"/>
        <w:rPr>
          <w:rFonts w:ascii="Verdana" w:hAnsi="Verdana" w:cs="Arial"/>
          <w:sz w:val="18"/>
          <w:szCs w:val="18"/>
          <w:lang w:val="es-ES"/>
        </w:rPr>
      </w:pPr>
      <w:r w:rsidRPr="00FB43C2">
        <w:rPr>
          <w:rFonts w:ascii="Verdana" w:hAnsi="Verdana" w:cs="Arial"/>
          <w:sz w:val="18"/>
          <w:szCs w:val="18"/>
          <w:lang w:val="es-ES"/>
        </w:rPr>
        <w:t>2. Departamental. Existirá una situación de desastre departamental cuando la materialización del riesgo afecte de manera desfavorable y grave los bienes jurídicos protegidos de los habitantes de un (1) departamento y de la administración pública departamental. El desastre de orden departamental puede presentarse en todo el departamento o en parte sustancial de su territorio rebasando la capacidad técnica y de recursos de los municipios afectados.</w:t>
      </w:r>
    </w:p>
    <w:p w14:paraId="470CC846" w14:textId="77777777" w:rsidR="00965BFD" w:rsidRPr="00FB43C2" w:rsidRDefault="00965BFD" w:rsidP="00965BFD">
      <w:pPr>
        <w:pStyle w:val="Textonotapie"/>
        <w:ind w:firstLine="708"/>
        <w:jc w:val="both"/>
        <w:rPr>
          <w:rFonts w:ascii="Verdana" w:hAnsi="Verdana" w:cs="Arial"/>
          <w:sz w:val="18"/>
          <w:szCs w:val="18"/>
          <w:lang w:val="es-ES"/>
        </w:rPr>
      </w:pPr>
      <w:r w:rsidRPr="00FB43C2">
        <w:rPr>
          <w:rFonts w:ascii="Verdana" w:hAnsi="Verdana" w:cs="Arial"/>
          <w:sz w:val="18"/>
          <w:szCs w:val="18"/>
          <w:lang w:val="es-ES"/>
        </w:rPr>
        <w:t>3. Distrital o Municipal. Existirá una situación de desastre municipal o distrital cuando la materialización del riesgo afecte de manera desfavorable y grave los bienes jurídicos protegidos de los habitantes del municipio o distrito impactado y de la administración pública distrital. El desastre de orden distrital o municipal puede presentarse en todo el distrito o municipio o en parte sustancial del territorio de su jurisdicción, rebasando su capacidad técnica y de recursos […]”.</w:t>
      </w:r>
    </w:p>
  </w:footnote>
  <w:footnote w:id="28">
    <w:p w14:paraId="506C0A5B" w14:textId="77777777" w:rsidR="00965BFD" w:rsidRPr="00FB43C2" w:rsidRDefault="00965BFD" w:rsidP="00965BFD">
      <w:pPr>
        <w:pStyle w:val="Textonotapie"/>
        <w:ind w:firstLine="708"/>
        <w:jc w:val="both"/>
        <w:rPr>
          <w:rFonts w:ascii="Verdana" w:hAnsi="Verdana" w:cs="Arial"/>
          <w:sz w:val="18"/>
          <w:szCs w:val="18"/>
          <w:lang w:val="es-CO"/>
        </w:rPr>
      </w:pPr>
      <w:r w:rsidRPr="00FB43C2">
        <w:rPr>
          <w:rStyle w:val="Refdenotaalpie"/>
          <w:rFonts w:ascii="Verdana" w:hAnsi="Verdana" w:cs="Arial"/>
          <w:sz w:val="18"/>
          <w:szCs w:val="18"/>
        </w:rPr>
        <w:footnoteRef/>
      </w:r>
      <w:r w:rsidRPr="00FB43C2">
        <w:rPr>
          <w:rFonts w:ascii="Verdana" w:hAnsi="Verdana" w:cs="Arial"/>
          <w:sz w:val="18"/>
          <w:szCs w:val="18"/>
        </w:rPr>
        <w:t xml:space="preserve"> “</w:t>
      </w:r>
      <w:r w:rsidRPr="00FB43C2">
        <w:rPr>
          <w:rFonts w:ascii="Verdana" w:hAnsi="Verdana" w:cs="Arial"/>
          <w:sz w:val="18"/>
          <w:szCs w:val="18"/>
          <w:lang w:val="es-ES"/>
        </w:rPr>
        <w:t xml:space="preserve">Artículo 57. Declaratoria de situación de calamidad pública. </w:t>
      </w:r>
      <w:bookmarkStart w:id="27" w:name="_Hlk132729568"/>
      <w:r w:rsidRPr="00FB43C2">
        <w:rPr>
          <w:rFonts w:ascii="Verdana" w:hAnsi="Verdana" w:cs="Arial"/>
          <w:sz w:val="18"/>
          <w:szCs w:val="18"/>
          <w:lang w:val="es-ES"/>
        </w:rPr>
        <w:t>Los gobernadores y alcaldes, previo concepto favorable del Consejo Departamental, Distrital o Municipal de Gestión del Riesgo, podrán declararla situación de calamidad pública en su respectiva jurisdicción. Las declaratorias de situación de calamidad pública se producirán y aplicarán, en lo pertinente, de conformidad con las reglas de la declaratoria de la situación de desastre</w:t>
      </w:r>
      <w:bookmarkEnd w:id="27"/>
      <w:r w:rsidRPr="00FB43C2">
        <w:rPr>
          <w:rFonts w:ascii="Verdana" w:hAnsi="Verdana" w:cs="Arial"/>
          <w:sz w:val="18"/>
          <w:szCs w:val="18"/>
          <w:lang w:val="es-ES"/>
        </w:rPr>
        <w:t>”.</w:t>
      </w:r>
    </w:p>
  </w:footnote>
  <w:footnote w:id="29">
    <w:p w14:paraId="5BD63899" w14:textId="77777777" w:rsidR="00965BFD" w:rsidRPr="00FB43C2" w:rsidRDefault="00965BFD" w:rsidP="00965BFD">
      <w:pPr>
        <w:pStyle w:val="Textonotapie"/>
        <w:ind w:firstLine="709"/>
        <w:contextualSpacing/>
        <w:jc w:val="both"/>
        <w:rPr>
          <w:rFonts w:ascii="Verdana" w:hAnsi="Verdana" w:cs="Arial"/>
          <w:sz w:val="18"/>
          <w:szCs w:val="18"/>
        </w:rPr>
      </w:pPr>
      <w:r w:rsidRPr="00FB43C2">
        <w:rPr>
          <w:rStyle w:val="Refdenotaalpie"/>
          <w:rFonts w:ascii="Verdana" w:hAnsi="Verdana"/>
          <w:sz w:val="18"/>
          <w:szCs w:val="18"/>
        </w:rPr>
        <w:footnoteRef/>
      </w:r>
      <w:r w:rsidRPr="00FB43C2">
        <w:rPr>
          <w:rFonts w:ascii="Verdana" w:hAnsi="Verdana"/>
          <w:sz w:val="18"/>
          <w:szCs w:val="18"/>
        </w:rPr>
        <w:t xml:space="preserve"> </w:t>
      </w:r>
      <w:r w:rsidRPr="00FB43C2">
        <w:rPr>
          <w:rFonts w:ascii="Verdana" w:hAnsi="Verdana" w:cs="Arial"/>
          <w:sz w:val="18"/>
          <w:szCs w:val="18"/>
        </w:rPr>
        <w:t>Consejo de Estado -Sección Tercera-. Sentencia del 21 de febrero de 2025. Radicación Número: 68.280. CP: José Roberto Sáchica Méndez.</w:t>
      </w:r>
    </w:p>
  </w:footnote>
  <w:footnote w:id="30">
    <w:p w14:paraId="444622DE" w14:textId="77777777" w:rsidR="00965BFD" w:rsidRPr="00FB43C2" w:rsidRDefault="00965BFD" w:rsidP="00965BFD">
      <w:pPr>
        <w:pStyle w:val="Textonotapie"/>
        <w:ind w:firstLine="709"/>
        <w:contextualSpacing/>
        <w:jc w:val="both"/>
        <w:rPr>
          <w:rFonts w:ascii="Verdana" w:hAnsi="Verdana" w:cs="Arial"/>
          <w:sz w:val="18"/>
          <w:szCs w:val="18"/>
        </w:rPr>
      </w:pPr>
      <w:r w:rsidRPr="00FB43C2">
        <w:rPr>
          <w:rFonts w:ascii="Verdana" w:hAnsi="Verdana"/>
          <w:sz w:val="18"/>
          <w:szCs w:val="18"/>
          <w:vertAlign w:val="superscript"/>
        </w:rPr>
        <w:footnoteRef/>
      </w:r>
      <w:r w:rsidRPr="00FB43C2">
        <w:rPr>
          <w:rFonts w:ascii="Verdana" w:hAnsi="Verdana"/>
          <w:sz w:val="18"/>
          <w:szCs w:val="18"/>
          <w:vertAlign w:val="superscript"/>
        </w:rPr>
        <w:t xml:space="preserve"> </w:t>
      </w:r>
      <w:r w:rsidRPr="00FB43C2">
        <w:rPr>
          <w:rFonts w:ascii="Verdana" w:hAnsi="Verdana" w:cs="Arial"/>
          <w:sz w:val="18"/>
          <w:szCs w:val="18"/>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31">
    <w:p w14:paraId="51B47DF5" w14:textId="77777777" w:rsidR="00965BFD" w:rsidRPr="00FB43C2" w:rsidRDefault="00965BFD" w:rsidP="00965BFD">
      <w:pPr>
        <w:pStyle w:val="Textonotapie"/>
        <w:ind w:firstLine="709"/>
        <w:contextualSpacing/>
        <w:jc w:val="both"/>
        <w:rPr>
          <w:rFonts w:ascii="Verdana" w:hAnsi="Verdana" w:cs="Arial"/>
          <w:sz w:val="18"/>
          <w:szCs w:val="18"/>
        </w:rPr>
      </w:pPr>
      <w:r w:rsidRPr="00FB43C2">
        <w:rPr>
          <w:rFonts w:ascii="Verdana" w:hAnsi="Verdana"/>
          <w:sz w:val="18"/>
          <w:szCs w:val="18"/>
          <w:vertAlign w:val="superscript"/>
        </w:rPr>
        <w:footnoteRef/>
      </w:r>
      <w:r w:rsidRPr="00FB43C2">
        <w:rPr>
          <w:rFonts w:ascii="Verdana" w:hAnsi="Verdana" w:cs="Arial"/>
          <w:sz w:val="18"/>
          <w:szCs w:val="18"/>
          <w:vertAlign w:val="superscript"/>
        </w:rPr>
        <w:t xml:space="preserve"> </w:t>
      </w:r>
      <w:r w:rsidRPr="00FB43C2">
        <w:rPr>
          <w:rFonts w:ascii="Verdana" w:hAnsi="Verdana" w:cs="Arial"/>
          <w:sz w:val="18"/>
          <w:szCs w:val="18"/>
        </w:rPr>
        <w:t>Ley 80 de 1993: “Artículo 41. Del perfeccionamiento del contrato. Los contratos del Estado se perfeccionan cuando se logre acuerdo sobre el objeto y la contraprestación y éste se eleve a escrito.</w:t>
      </w:r>
    </w:p>
    <w:p w14:paraId="1450FBA5" w14:textId="77777777" w:rsidR="00965BFD" w:rsidRPr="00FB43C2" w:rsidRDefault="00965BFD" w:rsidP="00965BFD">
      <w:pPr>
        <w:pStyle w:val="Textonotapie"/>
        <w:ind w:firstLine="709"/>
        <w:contextualSpacing/>
        <w:jc w:val="both"/>
        <w:rPr>
          <w:rFonts w:ascii="Verdana" w:hAnsi="Verdana" w:cs="Arial"/>
          <w:sz w:val="18"/>
          <w:szCs w:val="18"/>
        </w:rPr>
      </w:pPr>
      <w:r w:rsidRPr="00FB43C2">
        <w:rPr>
          <w:rFonts w:ascii="Verdana" w:hAnsi="Verdana" w:cs="Arial"/>
          <w:sz w:val="18"/>
          <w:szCs w:val="18"/>
        </w:rPr>
        <w:t>[…]”.</w:t>
      </w:r>
    </w:p>
  </w:footnote>
  <w:footnote w:id="32">
    <w:p w14:paraId="01D2A20A" w14:textId="77777777" w:rsidR="00965BFD" w:rsidRPr="00FB43C2" w:rsidRDefault="00965BFD" w:rsidP="00965BFD">
      <w:pPr>
        <w:pStyle w:val="Textonotapie"/>
        <w:ind w:firstLine="709"/>
        <w:contextualSpacing/>
        <w:jc w:val="both"/>
        <w:rPr>
          <w:rFonts w:ascii="Verdana" w:hAnsi="Verdana" w:cs="Arial"/>
          <w:sz w:val="18"/>
          <w:szCs w:val="18"/>
        </w:rPr>
      </w:pPr>
      <w:r w:rsidRPr="00FB43C2">
        <w:rPr>
          <w:rFonts w:ascii="Verdana" w:hAnsi="Verdana"/>
          <w:sz w:val="18"/>
          <w:szCs w:val="18"/>
          <w:vertAlign w:val="superscript"/>
        </w:rPr>
        <w:footnoteRef/>
      </w:r>
      <w:r w:rsidRPr="00FB43C2">
        <w:rPr>
          <w:rFonts w:ascii="Verdana" w:hAnsi="Verdana" w:cs="Arial"/>
          <w:sz w:val="18"/>
          <w:szCs w:val="18"/>
          <w:vertAlign w:val="superscript"/>
        </w:rPr>
        <w:t xml:space="preserve"> </w:t>
      </w:r>
      <w:r w:rsidRPr="00FB43C2">
        <w:rPr>
          <w:rFonts w:ascii="Verdana" w:hAnsi="Verdana" w:cs="Arial"/>
          <w:sz w:val="18"/>
          <w:szCs w:val="18"/>
        </w:rPr>
        <w:t>Código Civil: “Artículo 27. Cuando el sentido de la ley sea claro, no se desatenderá su tenor a pretexto de consultar su espíritu”.</w:t>
      </w:r>
    </w:p>
  </w:footnote>
  <w:footnote w:id="33">
    <w:p w14:paraId="089F1CD9" w14:textId="77777777" w:rsidR="00965BFD" w:rsidRPr="00FB43C2" w:rsidRDefault="00965BFD" w:rsidP="00965BFD">
      <w:pPr>
        <w:pStyle w:val="Textonotapie"/>
        <w:ind w:firstLine="708"/>
        <w:jc w:val="both"/>
        <w:rPr>
          <w:rFonts w:ascii="Verdana" w:hAnsi="Verdana"/>
          <w:sz w:val="18"/>
          <w:szCs w:val="18"/>
          <w:lang w:val="es-ES"/>
        </w:rPr>
      </w:pPr>
      <w:r w:rsidRPr="00FB43C2">
        <w:rPr>
          <w:rStyle w:val="Refdenotaalpie"/>
          <w:rFonts w:ascii="Verdana" w:hAnsi="Verdana"/>
          <w:sz w:val="18"/>
          <w:szCs w:val="18"/>
        </w:rPr>
        <w:footnoteRef/>
      </w:r>
      <w:r w:rsidRPr="00FB43C2">
        <w:rPr>
          <w:rFonts w:ascii="Verdana" w:hAnsi="Verdana"/>
          <w:sz w:val="18"/>
          <w:szCs w:val="18"/>
        </w:rPr>
        <w:t xml:space="preserve"> </w:t>
      </w:r>
      <w:r w:rsidRPr="00FB43C2">
        <w:rPr>
          <w:rFonts w:ascii="Verdana" w:hAnsi="Verdana"/>
          <w:sz w:val="18"/>
          <w:szCs w:val="18"/>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r w:rsidRPr="00FB43C2">
        <w:rPr>
          <w:rFonts w:ascii="Verdana" w:hAnsi="Verdana"/>
          <w:i/>
          <w:iCs/>
          <w:sz w:val="18"/>
          <w:szCs w:val="18"/>
          <w:lang w:val="es-ES"/>
        </w:rPr>
        <w:t>Ubi lex non distinguit nec nos distinguere debemus</w:t>
      </w:r>
      <w:r w:rsidRPr="00FB43C2">
        <w:rPr>
          <w:rFonts w:ascii="Verdana" w:hAnsi="Verdana"/>
          <w:sz w:val="18"/>
          <w:szCs w:val="18"/>
          <w:lang w:val="es-ES"/>
        </w:rPr>
        <w:t>, ‘donde la ley no distingue no puede el hombre distinguir’. ‘La extensión que deba dársele a la ley se determinará por su genuino sentido y según las reglas de interpretación precedentes’, dice el artículo 23.</w:t>
      </w:r>
    </w:p>
    <w:p w14:paraId="5B2261B0" w14:textId="77777777" w:rsidR="00965BFD" w:rsidRPr="00FB43C2" w:rsidRDefault="00965BFD" w:rsidP="00965BFD">
      <w:pPr>
        <w:pStyle w:val="Textonotapie"/>
        <w:ind w:firstLine="708"/>
        <w:jc w:val="both"/>
        <w:rPr>
          <w:rFonts w:ascii="Verdana" w:hAnsi="Verdana"/>
          <w:sz w:val="18"/>
          <w:szCs w:val="18"/>
          <w:lang w:val="es-CO"/>
        </w:rPr>
      </w:pPr>
      <w:r w:rsidRPr="00FB43C2">
        <w:rPr>
          <w:rFonts w:ascii="Verdana" w:hAnsi="Verdana"/>
          <w:sz w:val="18"/>
          <w:szCs w:val="18"/>
          <w:lang w:val="es-ES"/>
        </w:rPr>
        <w:t xml:space="preserve">En el derecho antiguo y en el derecho canónico se distinguían las leyes en favorables y odiosas, para ampliar o restringir su interpretación. </w:t>
      </w:r>
      <w:r w:rsidRPr="00FB43C2">
        <w:rPr>
          <w:rFonts w:ascii="Verdana" w:hAnsi="Verdana"/>
          <w:i/>
          <w:iCs/>
          <w:sz w:val="18"/>
          <w:szCs w:val="18"/>
          <w:lang w:val="es-ES"/>
        </w:rPr>
        <w:t>Odia restringí et favores convenit ampliari</w:t>
      </w:r>
      <w:r w:rsidRPr="00FB43C2">
        <w:rPr>
          <w:rFonts w:ascii="Verdana" w:hAnsi="Verdana"/>
          <w:sz w:val="18"/>
          <w:szCs w:val="18"/>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FB43C2">
        <w:rPr>
          <w:rFonts w:ascii="Verdana" w:hAnsi="Verdana"/>
          <w:sz w:val="18"/>
          <w:szCs w:val="18"/>
        </w:rPr>
        <w:t>CLARO SOLAR, Luis. Explicaciones de derecho civil chileno y comparado. Volumen I. Tomo I. Santiago: Editorial Jurídica de Chile, 2013. p. 119. Énfasis dentro del texto).</w:t>
      </w:r>
    </w:p>
  </w:footnote>
  <w:footnote w:id="34">
    <w:p w14:paraId="510A77E4" w14:textId="77777777" w:rsidR="00965BFD" w:rsidRPr="00FB43C2" w:rsidRDefault="00965BFD" w:rsidP="00965BFD">
      <w:pPr>
        <w:pStyle w:val="Textonotapie"/>
        <w:ind w:firstLine="709"/>
        <w:contextualSpacing/>
        <w:jc w:val="both"/>
        <w:rPr>
          <w:rFonts w:ascii="Verdana" w:hAnsi="Verdana"/>
          <w:sz w:val="18"/>
          <w:szCs w:val="18"/>
          <w:lang w:val="es-CO"/>
        </w:rPr>
      </w:pPr>
      <w:r w:rsidRPr="00FB43C2">
        <w:rPr>
          <w:rStyle w:val="Refdenotaalpie"/>
          <w:rFonts w:ascii="Verdana" w:hAnsi="Verdana"/>
          <w:sz w:val="18"/>
          <w:szCs w:val="18"/>
        </w:rPr>
        <w:footnoteRef/>
      </w:r>
      <w:r w:rsidRPr="00FB43C2">
        <w:rPr>
          <w:rFonts w:ascii="Verdana" w:hAnsi="Verdana"/>
          <w:sz w:val="18"/>
          <w:szCs w:val="18"/>
          <w:lang w:val="es-CO"/>
        </w:rPr>
        <w:t xml:space="preserve"> Consejo de Estado, Sección Tercera. Auto del 4 de octubre de 2024. </w:t>
      </w:r>
      <w:r w:rsidRPr="00FB43C2">
        <w:rPr>
          <w:rFonts w:ascii="Verdana" w:hAnsi="Verdana"/>
          <w:sz w:val="18"/>
          <w:szCs w:val="18"/>
          <w:lang w:val="es-CO"/>
        </w:rPr>
        <w:t>Exp. 70.313. C.P: Fredy Ibarra Martínez.</w:t>
      </w:r>
    </w:p>
  </w:footnote>
  <w:footnote w:id="35">
    <w:p w14:paraId="19A64404" w14:textId="77777777" w:rsidR="00965BFD" w:rsidRPr="00FB43C2" w:rsidRDefault="00965BFD" w:rsidP="00965BFD">
      <w:pPr>
        <w:pStyle w:val="Textonotapie"/>
        <w:ind w:firstLine="709"/>
        <w:contextualSpacing/>
        <w:jc w:val="both"/>
        <w:rPr>
          <w:rFonts w:ascii="Verdana" w:hAnsi="Verdana"/>
          <w:sz w:val="18"/>
          <w:szCs w:val="18"/>
          <w:lang w:val="es-CO"/>
        </w:rPr>
      </w:pPr>
      <w:r w:rsidRPr="00FB43C2">
        <w:rPr>
          <w:rStyle w:val="Refdenotaalpie"/>
          <w:rFonts w:ascii="Verdana" w:hAnsi="Verdana"/>
          <w:sz w:val="18"/>
          <w:szCs w:val="18"/>
        </w:rPr>
        <w:footnoteRef/>
      </w:r>
      <w:r w:rsidRPr="00FB43C2">
        <w:rPr>
          <w:rFonts w:ascii="Verdana" w:hAnsi="Verdana"/>
          <w:sz w:val="18"/>
          <w:szCs w:val="18"/>
        </w:rPr>
        <w:t xml:space="preserve"> La parte resolutiva del auto dispone lo siguiente; “</w:t>
      </w:r>
      <w:r w:rsidRPr="00FB43C2">
        <w:rPr>
          <w:rFonts w:ascii="Verdana" w:hAnsi="Verdana"/>
          <w:b/>
          <w:sz w:val="18"/>
          <w:szCs w:val="18"/>
          <w:lang w:val="es-CO"/>
        </w:rPr>
        <w:t xml:space="preserve">PRIMERO: DECRETAR </w:t>
      </w:r>
      <w:r w:rsidRPr="00FB43C2">
        <w:rPr>
          <w:rFonts w:ascii="Verdana" w:hAnsi="Verdana"/>
          <w:sz w:val="18"/>
          <w:szCs w:val="18"/>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FB43C2">
        <w:rPr>
          <w:rFonts w:ascii="Verdana" w:hAnsi="Verdana"/>
          <w:i/>
          <w:sz w:val="18"/>
          <w:szCs w:val="18"/>
          <w:lang w:val="es-CO"/>
        </w:rPr>
        <w:t>“[e]</w:t>
      </w:r>
      <w:r w:rsidRPr="00FB43C2">
        <w:rPr>
          <w:rFonts w:ascii="Verdana" w:hAnsi="Verdana"/>
          <w:i/>
          <w:sz w:val="18"/>
          <w:szCs w:val="18"/>
          <w:lang w:val="es-CO"/>
        </w:rPr>
        <w:t>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FB43C2">
        <w:rPr>
          <w:rFonts w:ascii="Verdana" w:hAnsi="Verdana"/>
          <w:sz w:val="18"/>
          <w:szCs w:val="18"/>
          <w:lang w:val="es-CO"/>
        </w:rPr>
        <w:t xml:space="preserve">, por las razones expuestas en precedencia. </w:t>
      </w:r>
    </w:p>
    <w:p w14:paraId="1A8C0D4B" w14:textId="77777777" w:rsidR="00965BFD" w:rsidRPr="00FB43C2" w:rsidRDefault="00965BFD" w:rsidP="00965BFD">
      <w:pPr>
        <w:pStyle w:val="Textonotapie"/>
        <w:ind w:firstLine="709"/>
        <w:contextualSpacing/>
        <w:jc w:val="both"/>
        <w:rPr>
          <w:rFonts w:ascii="Verdana" w:hAnsi="Verdana"/>
          <w:sz w:val="18"/>
          <w:szCs w:val="18"/>
          <w:lang w:val="es-CO"/>
        </w:rPr>
      </w:pPr>
      <w:r w:rsidRPr="00FB43C2">
        <w:rPr>
          <w:rFonts w:ascii="Verdana" w:hAnsi="Verdana"/>
          <w:b/>
          <w:sz w:val="18"/>
          <w:szCs w:val="18"/>
          <w:lang w:val="es-CO"/>
        </w:rPr>
        <w:t xml:space="preserve">SEGUNDO: DECRETAR </w:t>
      </w:r>
      <w:r w:rsidRPr="00FB43C2">
        <w:rPr>
          <w:rFonts w:ascii="Verdana" w:hAnsi="Verdana"/>
          <w:sz w:val="18"/>
          <w:szCs w:val="18"/>
          <w:lang w:val="es-CO"/>
        </w:rPr>
        <w:t>la suspensión provisional de la expresión “</w:t>
      </w:r>
      <w:r w:rsidRPr="00FB43C2">
        <w:rPr>
          <w:rFonts w:ascii="Verdana" w:hAnsi="Verdana"/>
          <w:i/>
          <w:sz w:val="18"/>
          <w:szCs w:val="18"/>
          <w:lang w:val="es-CO"/>
        </w:rPr>
        <w:t>contratos</w:t>
      </w:r>
      <w:r w:rsidRPr="00FB43C2">
        <w:rPr>
          <w:rFonts w:ascii="Verdana" w:hAnsi="Verdana"/>
          <w:sz w:val="18"/>
          <w:szCs w:val="18"/>
          <w:lang w:val="es-CO"/>
        </w:rPr>
        <w:t xml:space="preserve">” y del párrafo </w:t>
      </w:r>
      <w:r w:rsidRPr="00FB43C2">
        <w:rPr>
          <w:rFonts w:ascii="Verdana" w:hAnsi="Verdana"/>
          <w:i/>
          <w:sz w:val="18"/>
          <w:szCs w:val="18"/>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FB43C2">
        <w:rPr>
          <w:rFonts w:ascii="Verdana" w:hAnsi="Verdana"/>
          <w:sz w:val="18"/>
          <w:szCs w:val="18"/>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 </w:t>
      </w:r>
    </w:p>
  </w:footnote>
  <w:footnote w:id="36">
    <w:p w14:paraId="09E6C6CC" w14:textId="77777777" w:rsidR="00965BFD" w:rsidRPr="00FB43C2" w:rsidRDefault="00965BFD" w:rsidP="00965BFD">
      <w:pPr>
        <w:spacing w:after="0" w:line="240" w:lineRule="auto"/>
        <w:ind w:firstLine="709"/>
        <w:contextualSpacing/>
        <w:jc w:val="both"/>
        <w:rPr>
          <w:rFonts w:ascii="Verdana" w:eastAsia="Times New Roman" w:hAnsi="Verdana" w:cs="Times New Roman"/>
          <w:sz w:val="18"/>
          <w:szCs w:val="18"/>
          <w:lang w:eastAsia="es-ES"/>
        </w:rPr>
      </w:pPr>
      <w:r w:rsidRPr="00FB43C2">
        <w:rPr>
          <w:rStyle w:val="Refdenotaalpie"/>
          <w:rFonts w:ascii="Verdana" w:hAnsi="Verdana"/>
          <w:sz w:val="18"/>
          <w:szCs w:val="18"/>
        </w:rPr>
        <w:footnoteRef/>
      </w:r>
      <w:r w:rsidRPr="00FB43C2">
        <w:rPr>
          <w:rFonts w:ascii="Verdana" w:hAnsi="Verdana"/>
          <w:sz w:val="18"/>
          <w:szCs w:val="18"/>
        </w:rPr>
        <w:t xml:space="preserve"> </w:t>
      </w:r>
      <w:r w:rsidRPr="00FB43C2">
        <w:rPr>
          <w:rFonts w:ascii="Verdana" w:eastAsia="Times New Roman" w:hAnsi="Verdana" w:cs="Times New Roman"/>
          <w:sz w:val="18"/>
          <w:szCs w:val="18"/>
          <w:lang w:eastAsia="es-ES"/>
        </w:rPr>
        <w:t xml:space="preserve">Consejo de Estado. Sala de lo Contencioso Administrativo. Sección Tercera. Subsección B. 17 de octubre de 2025. Magistrado Ponente: Fredy Ibarra Martínez.  </w:t>
      </w:r>
      <w:r w:rsidRPr="00FB43C2">
        <w:rPr>
          <w:rFonts w:ascii="Verdana" w:hAnsi="Verdana"/>
          <w:sz w:val="18"/>
          <w:szCs w:val="18"/>
        </w:rPr>
        <w:t xml:space="preserve">La parte de la providencia señala: </w:t>
      </w:r>
      <w:r w:rsidRPr="00FB43C2">
        <w:rPr>
          <w:rFonts w:ascii="Verdana" w:eastAsia="Times New Roman" w:hAnsi="Verdana" w:cs="Times New Roman"/>
          <w:sz w:val="18"/>
          <w:szCs w:val="18"/>
          <w:lang w:eastAsia="es-ES"/>
        </w:rPr>
        <w:t xml:space="preserve">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r w:rsidRPr="00FB43C2">
        <w:rPr>
          <w:rFonts w:ascii="Verdana" w:eastAsia="Times New Roman" w:hAnsi="Verdana" w:cs="Times New Roman"/>
          <w:sz w:val="18"/>
          <w:szCs w:val="18"/>
          <w:lang w:eastAsia="es-ES"/>
        </w:rPr>
        <w:t>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37">
    <w:p w14:paraId="75653DB3" w14:textId="77777777" w:rsidR="00965BFD" w:rsidRPr="00C9050C" w:rsidRDefault="00965BFD" w:rsidP="00965BFD">
      <w:pPr>
        <w:pStyle w:val="Textonotapie"/>
        <w:ind w:firstLine="709"/>
        <w:rPr>
          <w:rFonts w:ascii="Verdana" w:hAnsi="Verdana"/>
          <w:sz w:val="16"/>
          <w:szCs w:val="16"/>
          <w:lang w:val="es-CO"/>
        </w:rPr>
      </w:pPr>
      <w:r w:rsidRPr="00FB43C2">
        <w:rPr>
          <w:rStyle w:val="Refdenotaalpie"/>
          <w:rFonts w:ascii="Verdana" w:hAnsi="Verdana"/>
          <w:sz w:val="18"/>
          <w:szCs w:val="18"/>
        </w:rPr>
        <w:footnoteRef/>
      </w:r>
      <w:r w:rsidRPr="00FB43C2">
        <w:rPr>
          <w:rFonts w:ascii="Verdana" w:hAnsi="Verdana"/>
          <w:sz w:val="18"/>
          <w:szCs w:val="18"/>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65pt;height:11.6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F891281"/>
    <w:multiLevelType w:val="multilevel"/>
    <w:tmpl w:val="0C2C6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75007946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2DD0"/>
    <w:rsid w:val="000A683E"/>
    <w:rsid w:val="000B19B9"/>
    <w:rsid w:val="000D0334"/>
    <w:rsid w:val="000D5DA7"/>
    <w:rsid w:val="000F6486"/>
    <w:rsid w:val="00116940"/>
    <w:rsid w:val="001237E3"/>
    <w:rsid w:val="00125105"/>
    <w:rsid w:val="00127233"/>
    <w:rsid w:val="00145845"/>
    <w:rsid w:val="0015699B"/>
    <w:rsid w:val="00162110"/>
    <w:rsid w:val="0017044B"/>
    <w:rsid w:val="001A33BF"/>
    <w:rsid w:val="001C0382"/>
    <w:rsid w:val="001E0036"/>
    <w:rsid w:val="001E4177"/>
    <w:rsid w:val="001F0B24"/>
    <w:rsid w:val="001F7DC6"/>
    <w:rsid w:val="0022400B"/>
    <w:rsid w:val="002421BB"/>
    <w:rsid w:val="00247F29"/>
    <w:rsid w:val="00252A56"/>
    <w:rsid w:val="0025796E"/>
    <w:rsid w:val="002707A2"/>
    <w:rsid w:val="002951A0"/>
    <w:rsid w:val="002962BC"/>
    <w:rsid w:val="002A093D"/>
    <w:rsid w:val="002A0DD0"/>
    <w:rsid w:val="002A49AC"/>
    <w:rsid w:val="002A64FD"/>
    <w:rsid w:val="002B3D5A"/>
    <w:rsid w:val="002C7A84"/>
    <w:rsid w:val="002D0B9F"/>
    <w:rsid w:val="002E2BF8"/>
    <w:rsid w:val="002E4FD9"/>
    <w:rsid w:val="002F2546"/>
    <w:rsid w:val="002F7163"/>
    <w:rsid w:val="0030657A"/>
    <w:rsid w:val="00322A85"/>
    <w:rsid w:val="00324168"/>
    <w:rsid w:val="00330834"/>
    <w:rsid w:val="003448F4"/>
    <w:rsid w:val="00366ECB"/>
    <w:rsid w:val="00374F5E"/>
    <w:rsid w:val="00377E3E"/>
    <w:rsid w:val="003A779E"/>
    <w:rsid w:val="003D0F4D"/>
    <w:rsid w:val="003D5B0D"/>
    <w:rsid w:val="003E0499"/>
    <w:rsid w:val="003E4F80"/>
    <w:rsid w:val="003E6439"/>
    <w:rsid w:val="003F3941"/>
    <w:rsid w:val="003F64B8"/>
    <w:rsid w:val="00401A12"/>
    <w:rsid w:val="00406575"/>
    <w:rsid w:val="00414C74"/>
    <w:rsid w:val="0042722E"/>
    <w:rsid w:val="0044528D"/>
    <w:rsid w:val="00466E39"/>
    <w:rsid w:val="004A1847"/>
    <w:rsid w:val="004A305D"/>
    <w:rsid w:val="004F21C4"/>
    <w:rsid w:val="004F685F"/>
    <w:rsid w:val="00526F61"/>
    <w:rsid w:val="00547CB0"/>
    <w:rsid w:val="005566E8"/>
    <w:rsid w:val="00574867"/>
    <w:rsid w:val="00591460"/>
    <w:rsid w:val="005A65E0"/>
    <w:rsid w:val="005B75A1"/>
    <w:rsid w:val="005C3777"/>
    <w:rsid w:val="005C5CDC"/>
    <w:rsid w:val="005D476C"/>
    <w:rsid w:val="006200BF"/>
    <w:rsid w:val="006219F8"/>
    <w:rsid w:val="006302F7"/>
    <w:rsid w:val="00646B9F"/>
    <w:rsid w:val="00665D70"/>
    <w:rsid w:val="00686C35"/>
    <w:rsid w:val="006900D9"/>
    <w:rsid w:val="00697AAB"/>
    <w:rsid w:val="006A6E2E"/>
    <w:rsid w:val="006B20C1"/>
    <w:rsid w:val="006D12F2"/>
    <w:rsid w:val="00706C16"/>
    <w:rsid w:val="00732024"/>
    <w:rsid w:val="00733508"/>
    <w:rsid w:val="007340C3"/>
    <w:rsid w:val="0075235A"/>
    <w:rsid w:val="00756841"/>
    <w:rsid w:val="007649AB"/>
    <w:rsid w:val="00771D0C"/>
    <w:rsid w:val="00776937"/>
    <w:rsid w:val="007833AC"/>
    <w:rsid w:val="007B268C"/>
    <w:rsid w:val="007B7171"/>
    <w:rsid w:val="007C0C0F"/>
    <w:rsid w:val="007C3DC2"/>
    <w:rsid w:val="007E5497"/>
    <w:rsid w:val="00806F5F"/>
    <w:rsid w:val="00820278"/>
    <w:rsid w:val="008258C9"/>
    <w:rsid w:val="00844AE9"/>
    <w:rsid w:val="00864996"/>
    <w:rsid w:val="00867F95"/>
    <w:rsid w:val="008843B6"/>
    <w:rsid w:val="00884638"/>
    <w:rsid w:val="00891928"/>
    <w:rsid w:val="008A446D"/>
    <w:rsid w:val="008A6B9F"/>
    <w:rsid w:val="008B25F1"/>
    <w:rsid w:val="008D180B"/>
    <w:rsid w:val="008F0EA7"/>
    <w:rsid w:val="00920B8D"/>
    <w:rsid w:val="00923EEF"/>
    <w:rsid w:val="009419F9"/>
    <w:rsid w:val="00951553"/>
    <w:rsid w:val="0095685E"/>
    <w:rsid w:val="00961B09"/>
    <w:rsid w:val="00965334"/>
    <w:rsid w:val="00965BFD"/>
    <w:rsid w:val="0097093E"/>
    <w:rsid w:val="009A0DFA"/>
    <w:rsid w:val="009A1C6F"/>
    <w:rsid w:val="009B2D26"/>
    <w:rsid w:val="009C0FC6"/>
    <w:rsid w:val="009C71FA"/>
    <w:rsid w:val="009C72E7"/>
    <w:rsid w:val="009C7F7E"/>
    <w:rsid w:val="009D3058"/>
    <w:rsid w:val="009F3A13"/>
    <w:rsid w:val="009F6981"/>
    <w:rsid w:val="00A122D3"/>
    <w:rsid w:val="00A14468"/>
    <w:rsid w:val="00A17F13"/>
    <w:rsid w:val="00A20739"/>
    <w:rsid w:val="00A23AF9"/>
    <w:rsid w:val="00A33C78"/>
    <w:rsid w:val="00A53E3C"/>
    <w:rsid w:val="00A8676F"/>
    <w:rsid w:val="00A901FB"/>
    <w:rsid w:val="00AB0ADB"/>
    <w:rsid w:val="00AC024B"/>
    <w:rsid w:val="00AC2411"/>
    <w:rsid w:val="00AD5E9B"/>
    <w:rsid w:val="00AE4C49"/>
    <w:rsid w:val="00AF7B8C"/>
    <w:rsid w:val="00B00C0E"/>
    <w:rsid w:val="00B01B1A"/>
    <w:rsid w:val="00B0381D"/>
    <w:rsid w:val="00B44A47"/>
    <w:rsid w:val="00B66650"/>
    <w:rsid w:val="00B72CD3"/>
    <w:rsid w:val="00B72FFF"/>
    <w:rsid w:val="00BA52D3"/>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B6CFF"/>
    <w:rsid w:val="00CC1B26"/>
    <w:rsid w:val="00D31165"/>
    <w:rsid w:val="00D361FD"/>
    <w:rsid w:val="00D423A2"/>
    <w:rsid w:val="00D44E26"/>
    <w:rsid w:val="00D520D8"/>
    <w:rsid w:val="00D63AC2"/>
    <w:rsid w:val="00D7383B"/>
    <w:rsid w:val="00D7788A"/>
    <w:rsid w:val="00DA231B"/>
    <w:rsid w:val="00DC34B5"/>
    <w:rsid w:val="00DC39FC"/>
    <w:rsid w:val="00DE260D"/>
    <w:rsid w:val="00DF5254"/>
    <w:rsid w:val="00E02524"/>
    <w:rsid w:val="00E16408"/>
    <w:rsid w:val="00E20894"/>
    <w:rsid w:val="00E245AB"/>
    <w:rsid w:val="00E2764C"/>
    <w:rsid w:val="00E27F2E"/>
    <w:rsid w:val="00E50AFE"/>
    <w:rsid w:val="00E56916"/>
    <w:rsid w:val="00E70A61"/>
    <w:rsid w:val="00E75C92"/>
    <w:rsid w:val="00E771DC"/>
    <w:rsid w:val="00E8772A"/>
    <w:rsid w:val="00E90F6B"/>
    <w:rsid w:val="00E92C27"/>
    <w:rsid w:val="00E95688"/>
    <w:rsid w:val="00EA0E3D"/>
    <w:rsid w:val="00EC38A7"/>
    <w:rsid w:val="00EE1AA8"/>
    <w:rsid w:val="00EE3ACB"/>
    <w:rsid w:val="00F03839"/>
    <w:rsid w:val="00F1140D"/>
    <w:rsid w:val="00F16C1C"/>
    <w:rsid w:val="00F23FEA"/>
    <w:rsid w:val="00F31EDC"/>
    <w:rsid w:val="00F462B3"/>
    <w:rsid w:val="00F54E36"/>
    <w:rsid w:val="00F5664F"/>
    <w:rsid w:val="00F666C4"/>
    <w:rsid w:val="00F76AFC"/>
    <w:rsid w:val="00FA47C0"/>
    <w:rsid w:val="00FB43C2"/>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7E0A7E93-A773-4353-A831-4850CC159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C0382"/>
    <w:rPr>
      <w:rFonts w:ascii="Geomanist Light" w:hAnsi="Geomanist Light"/>
      <w:lang w:val="es-ES"/>
    </w:rPr>
  </w:style>
  <w:style w:type="character" w:customStyle="1" w:styleId="s15">
    <w:name w:val="s15"/>
    <w:basedOn w:val="Fuentedeprrafopredeter"/>
    <w:rsid w:val="00F54E36"/>
  </w:style>
  <w:style w:type="paragraph" w:customStyle="1" w:styleId="Appelnotedebasde">
    <w:name w:val="Appel note de bas de..."/>
    <w:basedOn w:val="Normal"/>
    <w:link w:val="Refdenotaalpie"/>
    <w:uiPriority w:val="99"/>
    <w:rsid w:val="00965BFD"/>
    <w:pPr>
      <w:spacing w:line="240" w:lineRule="exact"/>
    </w:pPr>
    <w:rPr>
      <w:vertAlign w:val="superscript"/>
    </w:rPr>
  </w:style>
  <w:style w:type="character" w:customStyle="1" w:styleId="NormalWebCar">
    <w:name w:val="Normal (Web) Car"/>
    <w:link w:val="NormalWeb"/>
    <w:uiPriority w:val="99"/>
    <w:rsid w:val="00965BFD"/>
    <w:rPr>
      <w:rFonts w:ascii="Times New Roman" w:eastAsia="Times New Roman" w:hAnsi="Times New Roman" w:cs="Times New Roman"/>
      <w:sz w:val="24"/>
      <w:szCs w:val="24"/>
      <w:lang w:eastAsia="es-CO"/>
    </w:rPr>
  </w:style>
  <w:style w:type="character" w:customStyle="1" w:styleId="baj">
    <w:name w:val="b_aj"/>
    <w:basedOn w:val="Fuentedeprrafopredeter"/>
    <w:rsid w:val="00965BFD"/>
  </w:style>
  <w:style w:type="table" w:customStyle="1" w:styleId="Tablaconcuadrcula1">
    <w:name w:val="Tabla con cuadrícula1"/>
    <w:basedOn w:val="Tablanormal"/>
    <w:next w:val="Tablaconcuadrcula"/>
    <w:uiPriority w:val="39"/>
    <w:qFormat/>
    <w:rsid w:val="009C0FC6"/>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garceslopez6@gmail.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04A15CDA-3F25-402D-A504-7983E438EC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26</TotalTime>
  <Pages>33</Pages>
  <Words>10669</Words>
  <Characters>56229</Characters>
  <Application>Microsoft Office Word</Application>
  <DocSecurity>0</DocSecurity>
  <Lines>2342</Lines>
  <Paragraphs>1311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18</cp:revision>
  <cp:lastPrinted>2023-01-10T21:18:00Z</cp:lastPrinted>
  <dcterms:created xsi:type="dcterms:W3CDTF">2025-12-22T14:28:00Z</dcterms:created>
  <dcterms:modified xsi:type="dcterms:W3CDTF">2025-12-23T15:39:00Z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