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A8BF0" w14:textId="77777777" w:rsidR="00B72DE9" w:rsidRDefault="00B72DE9" w:rsidP="30821638">
      <w:pPr>
        <w:spacing w:after="0"/>
        <w:rPr>
          <w:rFonts w:ascii="Verdana" w:eastAsia="Verdana" w:hAnsi="Verdana" w:cs="Verdana"/>
        </w:rPr>
      </w:pPr>
      <w:bookmarkStart w:id="0" w:name="_Hlk143780582"/>
    </w:p>
    <w:p w14:paraId="503A0E2A" w14:textId="77777777" w:rsidR="00B72DE9" w:rsidRPr="00212E41" w:rsidRDefault="00B72DE9" w:rsidP="00B72DE9">
      <w:pPr>
        <w:snapToGrid w:val="0"/>
        <w:spacing w:after="0" w:line="240" w:lineRule="auto"/>
        <w:contextualSpacing/>
        <w:jc w:val="both"/>
        <w:rPr>
          <w:rFonts w:ascii="Verdana" w:eastAsia="Calibri" w:hAnsi="Verdana" w:cs="Arial"/>
          <w:b/>
          <w:lang w:val="es-ES"/>
        </w:rPr>
      </w:pPr>
      <w:r w:rsidRPr="00212E41">
        <w:rPr>
          <w:rFonts w:ascii="Verdana" w:eastAsia="Calibri" w:hAnsi="Verdana" w:cs="Arial"/>
          <w:b/>
          <w:lang w:val="es-ES"/>
        </w:rPr>
        <w:t>REGISTRO NACIONAL DE OBRAS CIVILES INCONCLUSAS – Concepto – Ley 2020 de 2020</w:t>
      </w:r>
    </w:p>
    <w:p w14:paraId="5E3E4476" w14:textId="77777777" w:rsidR="00B72DE9" w:rsidRDefault="00B72DE9" w:rsidP="00B72DE9">
      <w:pPr>
        <w:tabs>
          <w:tab w:val="left" w:pos="0"/>
        </w:tabs>
        <w:snapToGrid w:val="0"/>
        <w:spacing w:after="0" w:line="240" w:lineRule="auto"/>
        <w:contextualSpacing/>
        <w:jc w:val="both"/>
        <w:rPr>
          <w:rFonts w:ascii="Verdana" w:eastAsia="Calibri" w:hAnsi="Verdana" w:cs="Arial"/>
          <w:bCs/>
          <w:color w:val="000000"/>
          <w:sz w:val="20"/>
          <w:szCs w:val="20"/>
          <w:lang w:val="es-ES" w:eastAsia="es-ES_tradnl"/>
        </w:rPr>
      </w:pPr>
    </w:p>
    <w:p w14:paraId="15D54F97" w14:textId="77777777" w:rsidR="00B72DE9" w:rsidRPr="00212E41" w:rsidRDefault="00B72DE9" w:rsidP="00B72DE9">
      <w:pPr>
        <w:tabs>
          <w:tab w:val="left" w:pos="0"/>
        </w:tabs>
        <w:snapToGrid w:val="0"/>
        <w:spacing w:after="0" w:line="240" w:lineRule="auto"/>
        <w:contextualSpacing/>
        <w:jc w:val="both"/>
        <w:rPr>
          <w:rFonts w:ascii="Verdana" w:eastAsia="Calibri" w:hAnsi="Verdana" w:cs="Arial"/>
          <w:color w:val="000000"/>
          <w:sz w:val="20"/>
          <w:szCs w:val="20"/>
          <w:lang w:val="es-ES" w:eastAsia="en-GB"/>
        </w:rPr>
      </w:pPr>
      <w:r w:rsidRPr="00212E41">
        <w:rPr>
          <w:rFonts w:ascii="Verdana" w:eastAsia="Calibri" w:hAnsi="Verdana" w:cs="Arial"/>
          <w:bCs/>
          <w:color w:val="000000"/>
          <w:sz w:val="20"/>
          <w:szCs w:val="20"/>
          <w:lang w:val="es-ES" w:eastAsia="es-ES_tradnl"/>
        </w:rPr>
        <w:t xml:space="preserve">La Ley 2020 de 2020 creó el </w:t>
      </w:r>
      <w:r w:rsidRPr="00212E41">
        <w:rPr>
          <w:rFonts w:ascii="Verdana" w:eastAsia="Calibri" w:hAnsi="Verdana" w:cs="Arial"/>
          <w:color w:val="000000"/>
          <w:sz w:val="20"/>
          <w:szCs w:val="20"/>
          <w:lang w:val="es-ES" w:eastAsia="en-GB"/>
        </w:rPr>
        <w:t xml:space="preserve">Registro Nacional de Obras Civiles Inconclusas. Se trata de un sistema que permite identificar el estado de ejecución o terminación de las obras financiadas total o parcialmente con recursos públicos, para concretar su destinación definitiva. Según el inciso primero del literal a) del artículo 2 de esta ley, se entiende por </w:t>
      </w:r>
      <w:r w:rsidRPr="00212E41">
        <w:rPr>
          <w:rFonts w:ascii="Verdana" w:eastAsia="Calibri" w:hAnsi="Verdana" w:cs="Arial"/>
          <w:i/>
          <w:iCs/>
          <w:color w:val="000000"/>
          <w:sz w:val="20"/>
          <w:szCs w:val="20"/>
          <w:lang w:val="es-ES" w:eastAsia="en-GB"/>
        </w:rPr>
        <w:t>obra civil inconclusa</w:t>
      </w:r>
      <w:r w:rsidRPr="00212E41">
        <w:rPr>
          <w:rFonts w:ascii="Verdana" w:eastAsia="Calibri" w:hAnsi="Verdana" w:cs="Arial"/>
          <w:color w:val="000000"/>
          <w:sz w:val="20"/>
          <w:szCs w:val="20"/>
          <w:lang w:val="es-ES" w:eastAsia="en-GB"/>
        </w:rPr>
        <w:t xml:space="preserve"> la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 </w:t>
      </w:r>
    </w:p>
    <w:p w14:paraId="335B1CD6" w14:textId="77777777" w:rsidR="00B72DE9" w:rsidRDefault="00B72DE9" w:rsidP="00B72DE9">
      <w:pPr>
        <w:snapToGrid w:val="0"/>
        <w:contextualSpacing/>
        <w:jc w:val="both"/>
        <w:rPr>
          <w:rFonts w:ascii="Verdana" w:eastAsia="Calibri" w:hAnsi="Verdana" w:cs="Arial"/>
          <w:b/>
          <w:sz w:val="20"/>
          <w:szCs w:val="20"/>
          <w:lang w:val="es-ES"/>
        </w:rPr>
      </w:pPr>
    </w:p>
    <w:p w14:paraId="496E146F" w14:textId="77777777" w:rsidR="00B72DE9" w:rsidRPr="00212E41" w:rsidRDefault="00B72DE9" w:rsidP="00B72DE9">
      <w:pPr>
        <w:snapToGrid w:val="0"/>
        <w:spacing w:after="0" w:line="240" w:lineRule="auto"/>
        <w:contextualSpacing/>
        <w:jc w:val="both"/>
        <w:rPr>
          <w:rFonts w:ascii="Verdana" w:eastAsia="Calibri" w:hAnsi="Verdana" w:cs="Arial"/>
          <w:b/>
          <w:lang w:val="es-ES"/>
        </w:rPr>
      </w:pPr>
      <w:r w:rsidRPr="00212E41">
        <w:rPr>
          <w:rFonts w:ascii="Verdana" w:eastAsia="Calibri" w:hAnsi="Verdana" w:cs="Arial"/>
          <w:b/>
          <w:lang w:val="es-ES"/>
        </w:rPr>
        <w:t>OBRAS CIVILES INCONCLUSAS – Liquidación contractual – Alcance</w:t>
      </w:r>
    </w:p>
    <w:p w14:paraId="1F12C63C" w14:textId="77777777" w:rsidR="00B72DE9" w:rsidRDefault="00B72DE9" w:rsidP="00B72DE9">
      <w:pPr>
        <w:snapToGrid w:val="0"/>
        <w:contextualSpacing/>
        <w:jc w:val="both"/>
        <w:rPr>
          <w:rFonts w:ascii="Verdana" w:eastAsia="Calibri" w:hAnsi="Verdana" w:cs="Arial"/>
          <w:sz w:val="20"/>
          <w:szCs w:val="20"/>
          <w:lang w:val="es-ES" w:eastAsia="es-ES_tradnl"/>
        </w:rPr>
      </w:pPr>
    </w:p>
    <w:p w14:paraId="2E4BB275" w14:textId="77777777" w:rsidR="00B72DE9" w:rsidRPr="00212E41" w:rsidRDefault="00B72DE9" w:rsidP="00B72DE9">
      <w:pPr>
        <w:snapToGrid w:val="0"/>
        <w:spacing w:after="0" w:line="240" w:lineRule="auto"/>
        <w:contextualSpacing/>
        <w:jc w:val="both"/>
        <w:rPr>
          <w:rFonts w:ascii="Verdana" w:eastAsia="Calibri" w:hAnsi="Verdana" w:cs="Arial"/>
          <w:b/>
          <w:sz w:val="20"/>
          <w:szCs w:val="20"/>
          <w:lang w:val="es-ES"/>
        </w:rPr>
      </w:pPr>
      <w:r w:rsidRPr="00212E41">
        <w:rPr>
          <w:rFonts w:ascii="Verdana" w:eastAsia="Calibri" w:hAnsi="Verdana" w:cs="Arial"/>
          <w:sz w:val="20"/>
          <w:szCs w:val="20"/>
          <w:lang w:val="es-ES" w:eastAsia="es-ES_tradnl"/>
        </w:rPr>
        <w:t xml:space="preserve">[…] cuando </w:t>
      </w:r>
      <w:r w:rsidRPr="00212E41">
        <w:rPr>
          <w:rFonts w:ascii="Verdana" w:hAnsi="Verdana" w:cs="Arial"/>
          <w:color w:val="000000" w:themeColor="text1"/>
          <w:sz w:val="20"/>
          <w:szCs w:val="20"/>
          <w:lang w:val="es-ES"/>
        </w:rPr>
        <w:t xml:space="preserve">el </w:t>
      </w:r>
      <w:r w:rsidRPr="00212E41">
        <w:rPr>
          <w:rFonts w:ascii="Verdana" w:eastAsia="Calibri" w:hAnsi="Verdana" w:cs="Arial"/>
          <w:sz w:val="20"/>
          <w:szCs w:val="20"/>
          <w:lang w:val="es-ES" w:eastAsia="es-ES_tradnl"/>
        </w:rPr>
        <w:t>literal a) del artículo 2 de la Ley 2020 de 2020 se refiere al “</w:t>
      </w:r>
      <w:r w:rsidRPr="00212E41">
        <w:rPr>
          <w:rFonts w:ascii="Verdana" w:eastAsia="Calibri" w:hAnsi="Verdana" w:cs="Arial"/>
          <w:i/>
          <w:iCs/>
          <w:sz w:val="20"/>
          <w:szCs w:val="20"/>
          <w:lang w:val="es-ES" w:eastAsia="es-ES_tradnl"/>
        </w:rPr>
        <w:t>vencimiento del término de liquidación contractual”</w:t>
      </w:r>
      <w:r w:rsidRPr="00212E41">
        <w:rPr>
          <w:rFonts w:ascii="Verdana" w:eastAsia="Calibri" w:hAnsi="Verdana" w:cs="Arial"/>
          <w:sz w:val="20"/>
          <w:szCs w:val="20"/>
          <w:lang w:val="es-ES" w:eastAsia="es-ES_tradnl"/>
        </w:rPr>
        <w:t xml:space="preserve"> es necesario interpretar que incluye únicamente el término pactado para la liquidación, o el término de la liquidación bilateral o unilateral. De esta forma, si el contrato es liquidado de común acuerdo, las entidades podrán calificar la obra como inconclusa una vez transcurrido un año a partir de esa fecha. Si la liquidación fue unilateral, la obra será calificada como inconclusa transcurrido un año a partir de la fecha de liquidación unilateral por parte de la entidad estatal. Vencidos estos términos sin que la entidad liquide el contrato, la obra será calificada como inconclusa transcurrido un año a partir de la fecha en que debió realizarse la liquidación unilateral, sin que sea necesario que transcurra el término de caducidad de la acción contractual.</w:t>
      </w:r>
    </w:p>
    <w:p w14:paraId="2909F0FF" w14:textId="77777777" w:rsidR="00B72DE9" w:rsidRDefault="00B72DE9" w:rsidP="00B72DE9">
      <w:pPr>
        <w:snapToGrid w:val="0"/>
        <w:contextualSpacing/>
        <w:jc w:val="both"/>
        <w:rPr>
          <w:rFonts w:ascii="Verdana" w:eastAsia="Calibri" w:hAnsi="Verdana" w:cs="Arial"/>
          <w:b/>
          <w:sz w:val="20"/>
          <w:szCs w:val="20"/>
          <w:lang w:val="es-ES"/>
        </w:rPr>
      </w:pPr>
    </w:p>
    <w:p w14:paraId="7D6F2CD7" w14:textId="77777777" w:rsidR="00B72DE9" w:rsidRPr="00212E41" w:rsidRDefault="00B72DE9" w:rsidP="00B72DE9">
      <w:pPr>
        <w:snapToGrid w:val="0"/>
        <w:spacing w:after="0" w:line="240" w:lineRule="auto"/>
        <w:contextualSpacing/>
        <w:jc w:val="both"/>
        <w:rPr>
          <w:rFonts w:ascii="Verdana" w:eastAsia="Calibri" w:hAnsi="Verdana" w:cs="Arial"/>
          <w:b/>
          <w:lang w:val="es-ES" w:eastAsia="es-ES"/>
        </w:rPr>
      </w:pPr>
      <w:r w:rsidRPr="00212E41">
        <w:rPr>
          <w:rFonts w:ascii="Verdana" w:eastAsia="Calibri" w:hAnsi="Verdana" w:cs="Arial"/>
          <w:b/>
          <w:lang w:val="es-ES"/>
        </w:rPr>
        <w:t xml:space="preserve">OBRAS CIVILES INCONCLUSAS – Procesos judiciales pendientes </w:t>
      </w:r>
    </w:p>
    <w:p w14:paraId="2D183BE1" w14:textId="77777777" w:rsidR="00B72DE9" w:rsidRDefault="00B72DE9" w:rsidP="00B72DE9">
      <w:pPr>
        <w:snapToGrid w:val="0"/>
        <w:contextualSpacing/>
        <w:jc w:val="both"/>
        <w:rPr>
          <w:rFonts w:ascii="Verdana" w:hAnsi="Verdana" w:cs="Arial"/>
          <w:sz w:val="20"/>
          <w:szCs w:val="20"/>
          <w:lang w:val="es-ES"/>
        </w:rPr>
      </w:pPr>
    </w:p>
    <w:p w14:paraId="15BDDF50" w14:textId="77777777" w:rsidR="00B72DE9" w:rsidRPr="00212E41" w:rsidRDefault="00B72DE9" w:rsidP="00B72DE9">
      <w:pPr>
        <w:snapToGrid w:val="0"/>
        <w:spacing w:after="0" w:line="240" w:lineRule="auto"/>
        <w:contextualSpacing/>
        <w:jc w:val="both"/>
        <w:rPr>
          <w:rFonts w:ascii="Verdana" w:hAnsi="Verdana" w:cs="Arial"/>
          <w:sz w:val="20"/>
          <w:szCs w:val="20"/>
          <w:lang w:val="es-ES"/>
        </w:rPr>
      </w:pPr>
      <w:r w:rsidRPr="00212E41">
        <w:rPr>
          <w:rFonts w:ascii="Verdana" w:hAnsi="Verdana" w:cs="Arial"/>
          <w:sz w:val="20"/>
          <w:szCs w:val="20"/>
          <w:lang w:val="es-ES"/>
        </w:rPr>
        <w:t xml:space="preserve">En cuanto a la aplicación de la regla establecida en el parágrafo segundo del artículo quinto de la Ley 2020 de 2020, la Agencia concuerda con la interpretación adoptada por la Contraloría General de la República, según la cual las obras que tengan un proceso judicial en curso deberán contar con un fallo ejecutoriado previo a que la entidad decida sobre la terminación o demolición de la obra. En efecto, en estos supuestos, la decisión administrativa respecto de la obra está supeditada a la existencia de la decisión judicial definitiva. </w:t>
      </w:r>
    </w:p>
    <w:p w14:paraId="302CB8DC" w14:textId="77777777" w:rsidR="00B72DE9" w:rsidRDefault="00B72DE9" w:rsidP="00B72DE9">
      <w:pPr>
        <w:snapToGrid w:val="0"/>
        <w:contextualSpacing/>
        <w:jc w:val="both"/>
        <w:rPr>
          <w:rFonts w:ascii="Verdana" w:hAnsi="Verdana" w:cs="Arial"/>
          <w:sz w:val="20"/>
          <w:szCs w:val="20"/>
          <w:lang w:val="es-ES"/>
        </w:rPr>
      </w:pPr>
    </w:p>
    <w:p w14:paraId="3EBC9D9F" w14:textId="77777777" w:rsidR="00B72DE9" w:rsidRPr="00212E41" w:rsidRDefault="00B72DE9" w:rsidP="00B72DE9">
      <w:pPr>
        <w:snapToGrid w:val="0"/>
        <w:spacing w:after="0" w:line="240" w:lineRule="auto"/>
        <w:contextualSpacing/>
        <w:jc w:val="both"/>
        <w:rPr>
          <w:rFonts w:ascii="Verdana" w:hAnsi="Verdana" w:cs="Arial"/>
          <w:sz w:val="20"/>
          <w:szCs w:val="20"/>
          <w:lang w:val="es-ES"/>
        </w:rPr>
      </w:pPr>
      <w:r w:rsidRPr="00212E41">
        <w:rPr>
          <w:rFonts w:ascii="Verdana" w:hAnsi="Verdana" w:cs="Arial"/>
          <w:sz w:val="20"/>
          <w:szCs w:val="20"/>
          <w:lang w:val="es-ES"/>
        </w:rPr>
        <w:t xml:space="preserve">Lo anterior responde a que las acciones judiciales que se encuentren en curso pueden tener por objeto definir aspectos que impacten de manera específica la actuación de la entidad con respecto a la obra, de manera que pueden afectar la decisión terminación o demolición. Así, el parágrafo segundo busca evitar que ocurran contradicciones entre las decisiones que adopte la entidad en sede administrativa y aquellas que posteriormente tome la administración de justicia, para lo cual estipula la necesidad de que las entidades </w:t>
      </w:r>
      <w:r w:rsidRPr="00212E41">
        <w:rPr>
          <w:rFonts w:ascii="Verdana" w:hAnsi="Verdana" w:cs="Arial"/>
          <w:sz w:val="20"/>
          <w:szCs w:val="20"/>
          <w:lang w:val="es-ES"/>
        </w:rPr>
        <w:lastRenderedPageBreak/>
        <w:t xml:space="preserve">esperen la decisión por parte de la jurisdicción competente de manera previa a decidir sobre la terminación o demolición de la obra. </w:t>
      </w:r>
    </w:p>
    <w:p w14:paraId="64F7C476" w14:textId="77777777" w:rsidR="00B72DE9" w:rsidRDefault="00B72DE9" w:rsidP="00B72DE9">
      <w:pPr>
        <w:spacing w:after="0" w:line="276" w:lineRule="auto"/>
        <w:rPr>
          <w:rFonts w:ascii="Verdana" w:hAnsi="Verdana"/>
        </w:rPr>
      </w:pPr>
    </w:p>
    <w:p w14:paraId="0070857F" w14:textId="77777777" w:rsidR="00B72DE9" w:rsidRDefault="00B72DE9">
      <w:pPr>
        <w:rPr>
          <w:rFonts w:ascii="Verdana" w:eastAsia="Verdana" w:hAnsi="Verdana" w:cs="Verdana"/>
        </w:rPr>
      </w:pPr>
      <w:r>
        <w:rPr>
          <w:rFonts w:ascii="Verdana" w:eastAsia="Verdana" w:hAnsi="Verdana" w:cs="Verdana"/>
        </w:rPr>
        <w:br w:type="page"/>
      </w:r>
    </w:p>
    <w:p w14:paraId="1468C46D" w14:textId="53B94B32" w:rsidR="00C15139" w:rsidRPr="00797DC3" w:rsidRDefault="00B72DE9" w:rsidP="30821638">
      <w:pPr>
        <w:spacing w:after="0"/>
        <w:rPr>
          <w:rFonts w:ascii="Verdana" w:eastAsia="Verdana" w:hAnsi="Verdana" w:cs="Verdana"/>
        </w:rPr>
      </w:pPr>
      <w:r w:rsidRPr="00797DC3">
        <w:rPr>
          <w:rFonts w:ascii="Verdana" w:eastAsia="Verdana" w:hAnsi="Verdana" w:cs="Verdana"/>
          <w:noProof/>
          <w:lang w:val="es-MX"/>
        </w:rPr>
        <w:lastRenderedPageBreak/>
        <w:drawing>
          <wp:anchor distT="0" distB="0" distL="114300" distR="114300" simplePos="0" relativeHeight="251659265" behindDoc="1" locked="0" layoutInCell="1" allowOverlap="1" wp14:anchorId="1FECA2A3" wp14:editId="568933C3">
            <wp:simplePos x="0" y="0"/>
            <wp:positionH relativeFrom="column">
              <wp:posOffset>2766060</wp:posOffset>
            </wp:positionH>
            <wp:positionV relativeFrom="paragraph">
              <wp:posOffset>339090</wp:posOffset>
            </wp:positionV>
            <wp:extent cx="2805430" cy="782320"/>
            <wp:effectExtent l="0" t="0" r="0" b="0"/>
            <wp:wrapTight wrapText="bothSides">
              <wp:wrapPolygon edited="0">
                <wp:start x="0" y="0"/>
                <wp:lineTo x="0" y="21039"/>
                <wp:lineTo x="21414" y="21039"/>
                <wp:lineTo x="21414" y="0"/>
                <wp:lineTo x="0" y="0"/>
              </wp:wrapPolygon>
            </wp:wrapTight>
            <wp:docPr id="16766435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05430" cy="7823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97DC3" w:rsidRPr="00797DC3">
        <w:rPr>
          <w:rFonts w:ascii="Verdana" w:hAnsi="Verdana"/>
        </w:rPr>
        <w:t xml:space="preserve">Bogotá D.C., 16 febrero 2026 </w:t>
      </w:r>
      <w:r w:rsidR="00C15139" w:rsidRPr="00797DC3">
        <w:rPr>
          <w:rFonts w:ascii="Verdana" w:hAnsi="Verdana"/>
        </w:rPr>
        <w:tab/>
      </w:r>
      <w:r w:rsidR="00C15139" w:rsidRPr="00797DC3">
        <w:rPr>
          <w:rFonts w:ascii="Verdana" w:hAnsi="Verdana"/>
        </w:rPr>
        <w:br/>
      </w:r>
      <w:r w:rsidR="00C15139" w:rsidRPr="00797DC3">
        <w:rPr>
          <w:rFonts w:ascii="Verdana" w:hAnsi="Verdana"/>
        </w:rPr>
        <w:tab/>
      </w:r>
    </w:p>
    <w:p w14:paraId="3B27AFCD" w14:textId="2E5DFFDB" w:rsidR="002A0DD0" w:rsidRPr="001C7BFC" w:rsidRDefault="00430D50" w:rsidP="30821638">
      <w:pPr>
        <w:spacing w:after="0" w:line="240" w:lineRule="auto"/>
        <w:jc w:val="both"/>
        <w:rPr>
          <w:rFonts w:ascii="Verdana" w:eastAsia="Verdana" w:hAnsi="Verdana" w:cs="Verdana"/>
          <w:lang w:val="es-MX"/>
        </w:rPr>
      </w:pPr>
      <w:r w:rsidRPr="001C7BFC">
        <w:rPr>
          <w:rFonts w:ascii="Verdana" w:eastAsia="Verdana" w:hAnsi="Verdana" w:cs="Verdana"/>
          <w:lang w:val="es-MX"/>
        </w:rPr>
        <w:t xml:space="preserve">Señor </w:t>
      </w:r>
    </w:p>
    <w:p w14:paraId="2346C1C0" w14:textId="5E3E62F5" w:rsidR="00430D50" w:rsidRDefault="00430D50" w:rsidP="30821638">
      <w:pPr>
        <w:spacing w:after="0" w:line="240" w:lineRule="auto"/>
        <w:jc w:val="both"/>
        <w:rPr>
          <w:rFonts w:ascii="Verdana" w:eastAsia="Verdana" w:hAnsi="Verdana" w:cs="Verdana"/>
          <w:b/>
          <w:bCs/>
          <w:lang w:val="es-MX"/>
        </w:rPr>
      </w:pPr>
      <w:r>
        <w:rPr>
          <w:rFonts w:ascii="Verdana" w:eastAsia="Verdana" w:hAnsi="Verdana" w:cs="Verdana"/>
          <w:b/>
          <w:bCs/>
          <w:lang w:val="es-MX"/>
        </w:rPr>
        <w:t xml:space="preserve">Iván Darío Gutiérrez Cardozo </w:t>
      </w:r>
    </w:p>
    <w:p w14:paraId="05CBF0A6" w14:textId="14866535" w:rsidR="00430D50" w:rsidRPr="001C7BFC" w:rsidRDefault="001C7BFC" w:rsidP="30821638">
      <w:pPr>
        <w:spacing w:after="0" w:line="240" w:lineRule="auto"/>
        <w:jc w:val="both"/>
        <w:rPr>
          <w:rFonts w:ascii="Verdana" w:eastAsia="Verdana" w:hAnsi="Verdana" w:cs="Verdana"/>
          <w:lang w:val="es-MX"/>
        </w:rPr>
      </w:pPr>
      <w:hyperlink r:id="rId11" w:history="1">
        <w:r w:rsidRPr="001C7BFC">
          <w:rPr>
            <w:rStyle w:val="Hipervnculo"/>
            <w:rFonts w:ascii="Verdana" w:eastAsia="Verdana" w:hAnsi="Verdana" w:cs="Verdana"/>
            <w:lang w:val="es-MX"/>
          </w:rPr>
          <w:t>ivandariog@hotmail.com</w:t>
        </w:r>
      </w:hyperlink>
      <w:r w:rsidRPr="001C7BFC">
        <w:rPr>
          <w:rFonts w:ascii="Verdana" w:eastAsia="Verdana" w:hAnsi="Verdana" w:cs="Verdana"/>
          <w:lang w:val="es-MX"/>
        </w:rPr>
        <w:t xml:space="preserve"> </w:t>
      </w:r>
    </w:p>
    <w:p w14:paraId="4EFB921C" w14:textId="2E2A41B9" w:rsidR="001C7BFC" w:rsidRDefault="001C7BFC" w:rsidP="30821638">
      <w:pPr>
        <w:spacing w:after="0" w:line="240" w:lineRule="auto"/>
        <w:jc w:val="both"/>
        <w:rPr>
          <w:rFonts w:ascii="Verdana" w:eastAsia="Verdana" w:hAnsi="Verdana" w:cs="Verdana"/>
          <w:lang w:val="es-MX"/>
        </w:rPr>
      </w:pPr>
      <w:r w:rsidRPr="001C7BFC">
        <w:rPr>
          <w:rFonts w:ascii="Verdana" w:eastAsia="Verdana" w:hAnsi="Verdana" w:cs="Verdana"/>
          <w:lang w:val="es-MX"/>
        </w:rPr>
        <w:t>Neiva, Colombia</w:t>
      </w:r>
    </w:p>
    <w:p w14:paraId="6F8005C0" w14:textId="77777777" w:rsidR="001C7BFC" w:rsidRDefault="001C7BFC" w:rsidP="30821638">
      <w:pPr>
        <w:spacing w:after="0" w:line="240" w:lineRule="auto"/>
        <w:jc w:val="both"/>
        <w:rPr>
          <w:rFonts w:ascii="Verdana" w:eastAsia="Verdana" w:hAnsi="Verdana" w:cs="Verdana"/>
          <w:lang w:val="es-MX"/>
        </w:rPr>
      </w:pPr>
    </w:p>
    <w:p w14:paraId="23B8213C" w14:textId="01987297" w:rsidR="000D15BD" w:rsidRPr="00E46C82" w:rsidRDefault="000D15BD" w:rsidP="000D15BD">
      <w:pPr>
        <w:spacing w:after="0" w:line="276" w:lineRule="auto"/>
        <w:ind w:left="2694"/>
        <w:rPr>
          <w:rFonts w:ascii="Verdana" w:eastAsia="Calibri" w:hAnsi="Verdana" w:cs="Arial"/>
          <w:b/>
          <w:bCs/>
          <w:color w:val="000000" w:themeColor="text1"/>
          <w:lang w:val="es-ES" w:eastAsia="es-ES_tradnl"/>
        </w:rPr>
      </w:pPr>
      <w:r w:rsidRPr="00E46C82">
        <w:rPr>
          <w:rFonts w:ascii="Verdana" w:eastAsia="Calibri" w:hAnsi="Verdana" w:cs="Arial"/>
          <w:b/>
          <w:bCs/>
          <w:color w:val="000000" w:themeColor="text1"/>
          <w:lang w:val="es-ES" w:eastAsia="es-ES_tradnl"/>
        </w:rPr>
        <w:t>Concepto C</w:t>
      </w:r>
      <w:r>
        <w:rPr>
          <w:rFonts w:ascii="Verdana" w:eastAsia="Calibri" w:hAnsi="Verdana" w:cs="Arial"/>
          <w:b/>
          <w:bCs/>
          <w:color w:val="000000" w:themeColor="text1"/>
          <w:lang w:val="es-ES" w:eastAsia="es-ES_tradnl"/>
        </w:rPr>
        <w:t>-018</w:t>
      </w:r>
      <w:r w:rsidRPr="00E46C82">
        <w:rPr>
          <w:rFonts w:ascii="Verdana" w:eastAsia="Calibri" w:hAnsi="Verdana" w:cs="Arial"/>
          <w:b/>
          <w:bCs/>
          <w:color w:val="000000" w:themeColor="text1"/>
          <w:lang w:val="es-ES" w:eastAsia="es-ES_tradnl"/>
        </w:rPr>
        <w:t xml:space="preserve"> de 202</w:t>
      </w:r>
      <w:r>
        <w:rPr>
          <w:rFonts w:ascii="Verdana" w:eastAsia="Calibri" w:hAnsi="Verdana" w:cs="Arial"/>
          <w:b/>
          <w:bCs/>
          <w:color w:val="000000" w:themeColor="text1"/>
          <w:lang w:val="es-ES" w:eastAsia="es-ES_tradnl"/>
        </w:rPr>
        <w:t>6</w:t>
      </w:r>
    </w:p>
    <w:p w14:paraId="69DFC4C0" w14:textId="77777777" w:rsidR="000D15BD" w:rsidRPr="00E46C82" w:rsidRDefault="000D15BD" w:rsidP="000D15BD">
      <w:pPr>
        <w:spacing w:after="0" w:line="276" w:lineRule="auto"/>
        <w:jc w:val="both"/>
        <w:rPr>
          <w:rFonts w:ascii="Verdana" w:eastAsia="Calibri" w:hAnsi="Verdana" w:cs="Arial"/>
          <w:color w:val="7030A0"/>
          <w:lang w:val="es-E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095"/>
      </w:tblGrid>
      <w:tr w:rsidR="000D15BD" w:rsidRPr="00E46C82" w14:paraId="526B04B9" w14:textId="77777777" w:rsidTr="00EF6CC1">
        <w:tc>
          <w:tcPr>
            <w:tcW w:w="2694" w:type="dxa"/>
          </w:tcPr>
          <w:p w14:paraId="488BE9CE" w14:textId="77777777" w:rsidR="000D15BD" w:rsidRPr="00E46C82" w:rsidRDefault="000D15BD" w:rsidP="00EF6CC1">
            <w:pPr>
              <w:spacing w:line="276" w:lineRule="auto"/>
              <w:rPr>
                <w:rFonts w:ascii="Verdana" w:eastAsia="Calibri" w:hAnsi="Verdana" w:cs="Arial"/>
                <w:color w:val="7030A0"/>
                <w:lang w:val="es-ES" w:eastAsia="es-ES_tradnl"/>
              </w:rPr>
            </w:pPr>
            <w:r w:rsidRPr="00E46C82">
              <w:rPr>
                <w:rFonts w:ascii="Verdana" w:eastAsia="Calibri" w:hAnsi="Verdana" w:cs="Arial"/>
                <w:b/>
                <w:lang w:val="es-ES" w:eastAsia="es-ES_tradnl"/>
              </w:rPr>
              <w:t>Temas</w:t>
            </w:r>
          </w:p>
        </w:tc>
        <w:tc>
          <w:tcPr>
            <w:tcW w:w="6095" w:type="dxa"/>
          </w:tcPr>
          <w:p w14:paraId="3A956325" w14:textId="77777777" w:rsidR="000D15BD" w:rsidRPr="00E46C82" w:rsidRDefault="000D15BD" w:rsidP="00EF6CC1">
            <w:pPr>
              <w:spacing w:line="276" w:lineRule="auto"/>
              <w:jc w:val="both"/>
              <w:rPr>
                <w:rFonts w:ascii="Verdana" w:eastAsia="Calibri" w:hAnsi="Verdana" w:cs="Arial"/>
                <w:lang w:val="es-ES" w:eastAsia="es-ES"/>
              </w:rPr>
            </w:pPr>
            <w:r w:rsidRPr="00E46C82">
              <w:rPr>
                <w:rFonts w:ascii="Verdana" w:eastAsia="Calibri" w:hAnsi="Verdana" w:cs="Arial"/>
                <w:bCs/>
                <w:lang w:val="es-ES"/>
              </w:rPr>
              <w:t>REGISTRO NACIONAL DE OBRAS CIVILES INCONCLUSAS – Concepto – Ley 2020 de 2020 / OBRAS CIVILES INCONCLUSAS</w:t>
            </w:r>
            <w:r>
              <w:rPr>
                <w:rFonts w:ascii="Verdana" w:eastAsia="Calibri" w:hAnsi="Verdana" w:cs="Arial"/>
                <w:bCs/>
                <w:lang w:val="es-ES"/>
              </w:rPr>
              <w:t xml:space="preserve"> </w:t>
            </w:r>
            <w:r w:rsidRPr="00E46C82">
              <w:rPr>
                <w:rFonts w:ascii="Verdana" w:eastAsia="Calibri" w:hAnsi="Verdana" w:cs="Arial"/>
                <w:bCs/>
                <w:lang w:val="es-ES"/>
              </w:rPr>
              <w:t>–</w:t>
            </w:r>
            <w:r>
              <w:rPr>
                <w:rFonts w:ascii="Verdana" w:eastAsia="Calibri" w:hAnsi="Verdana" w:cs="Arial"/>
                <w:bCs/>
                <w:lang w:val="es-ES"/>
              </w:rPr>
              <w:t xml:space="preserve"> Liquidación contractual </w:t>
            </w:r>
            <w:r w:rsidRPr="00E46C82">
              <w:rPr>
                <w:rFonts w:ascii="Verdana" w:eastAsia="Calibri" w:hAnsi="Verdana" w:cs="Arial"/>
                <w:bCs/>
                <w:lang w:val="es-ES"/>
              </w:rPr>
              <w:t>–</w:t>
            </w:r>
            <w:r>
              <w:rPr>
                <w:rFonts w:ascii="Verdana" w:eastAsia="Calibri" w:hAnsi="Verdana" w:cs="Arial"/>
                <w:bCs/>
                <w:lang w:val="es-ES"/>
              </w:rPr>
              <w:t xml:space="preserve"> Alcance / </w:t>
            </w:r>
            <w:r w:rsidRPr="00E46C82">
              <w:rPr>
                <w:rFonts w:ascii="Verdana" w:eastAsia="Calibri" w:hAnsi="Verdana" w:cs="Arial"/>
                <w:bCs/>
                <w:lang w:val="es-ES"/>
              </w:rPr>
              <w:t>OBRAS CIVILES INCONCLUSAS</w:t>
            </w:r>
            <w:r>
              <w:rPr>
                <w:rFonts w:ascii="Verdana" w:eastAsia="Calibri" w:hAnsi="Verdana" w:cs="Arial"/>
                <w:bCs/>
                <w:lang w:val="es-ES"/>
              </w:rPr>
              <w:t xml:space="preserve"> </w:t>
            </w:r>
            <w:r w:rsidRPr="00E46C82">
              <w:rPr>
                <w:rFonts w:ascii="Verdana" w:eastAsia="Calibri" w:hAnsi="Verdana" w:cs="Arial"/>
                <w:bCs/>
                <w:lang w:val="es-ES"/>
              </w:rPr>
              <w:t>–</w:t>
            </w:r>
            <w:r>
              <w:rPr>
                <w:rFonts w:ascii="Verdana" w:eastAsia="Calibri" w:hAnsi="Verdana" w:cs="Arial"/>
                <w:bCs/>
                <w:lang w:val="es-ES"/>
              </w:rPr>
              <w:t xml:space="preserve"> Procesos judiciales pendientes </w:t>
            </w:r>
          </w:p>
          <w:p w14:paraId="10095E15" w14:textId="77777777" w:rsidR="000D15BD" w:rsidRPr="00E46C82" w:rsidRDefault="000D15BD" w:rsidP="00EF6CC1">
            <w:pPr>
              <w:spacing w:line="276" w:lineRule="auto"/>
              <w:jc w:val="both"/>
              <w:rPr>
                <w:rFonts w:ascii="Verdana" w:eastAsia="Calibri" w:hAnsi="Verdana" w:cs="Arial"/>
                <w:bCs/>
                <w:lang w:val="es-ES"/>
              </w:rPr>
            </w:pPr>
          </w:p>
        </w:tc>
      </w:tr>
      <w:tr w:rsidR="000D15BD" w:rsidRPr="00E46C82" w14:paraId="082DCE57" w14:textId="77777777" w:rsidTr="00EF6CC1">
        <w:tc>
          <w:tcPr>
            <w:tcW w:w="2694" w:type="dxa"/>
          </w:tcPr>
          <w:p w14:paraId="6EA116C7" w14:textId="77777777" w:rsidR="000D15BD" w:rsidRPr="00E46C82" w:rsidRDefault="000D15BD" w:rsidP="00EF6CC1">
            <w:pPr>
              <w:spacing w:line="276" w:lineRule="auto"/>
              <w:rPr>
                <w:rFonts w:ascii="Verdana" w:eastAsia="Calibri" w:hAnsi="Verdana" w:cs="Arial"/>
                <w:b/>
                <w:color w:val="000000" w:themeColor="text1"/>
                <w:lang w:val="es-ES" w:eastAsia="es-ES_tradnl"/>
              </w:rPr>
            </w:pPr>
            <w:r w:rsidRPr="00E46C82">
              <w:rPr>
                <w:rFonts w:ascii="Verdana" w:eastAsia="Calibri" w:hAnsi="Verdana" w:cs="Arial"/>
                <w:b/>
                <w:color w:val="000000" w:themeColor="text1"/>
                <w:lang w:val="es-ES" w:eastAsia="es-ES_tradnl"/>
              </w:rPr>
              <w:t>Radicación:</w:t>
            </w:r>
          </w:p>
        </w:tc>
        <w:tc>
          <w:tcPr>
            <w:tcW w:w="6095" w:type="dxa"/>
          </w:tcPr>
          <w:p w14:paraId="6AC506FF" w14:textId="77777777" w:rsidR="009C7761" w:rsidRPr="00E46C82" w:rsidRDefault="000D15BD" w:rsidP="00EF6CC1">
            <w:pPr>
              <w:spacing w:line="276" w:lineRule="auto"/>
              <w:jc w:val="both"/>
              <w:rPr>
                <w:rFonts w:ascii="Verdana" w:eastAsia="Calibri" w:hAnsi="Verdana" w:cs="Arial"/>
                <w:color w:val="000000" w:themeColor="text1"/>
                <w:lang w:val="es-ES" w:eastAsia="es-ES_tradnl"/>
              </w:rPr>
            </w:pPr>
            <w:r w:rsidRPr="00E46C82">
              <w:rPr>
                <w:rFonts w:ascii="Verdana" w:eastAsia="Calibri" w:hAnsi="Verdana" w:cs="Arial"/>
                <w:color w:val="000000" w:themeColor="text1"/>
                <w:lang w:val="es-ES" w:eastAsia="es-ES_tradnl"/>
              </w:rPr>
              <w:t xml:space="preserve">Respuesta a consulta radicado No. </w:t>
            </w:r>
          </w:p>
          <w:p w14:paraId="34F3CDE0" w14:textId="26DEF95F" w:rsidR="000D15BD" w:rsidRPr="009C7761" w:rsidRDefault="009C7761" w:rsidP="009C7761">
            <w:pPr>
              <w:jc w:val="both"/>
              <w:rPr>
                <w:rFonts w:ascii="Verdana" w:hAnsi="Verdana" w:cs="Calibri"/>
              </w:rPr>
            </w:pPr>
            <w:r>
              <w:rPr>
                <w:rFonts w:ascii="Verdana" w:hAnsi="Verdana" w:cs="Calibri"/>
              </w:rPr>
              <w:t>1_2026_01_07_000119</w:t>
            </w:r>
          </w:p>
        </w:tc>
      </w:tr>
    </w:tbl>
    <w:p w14:paraId="6051896A" w14:textId="77777777" w:rsidR="000D15BD" w:rsidRPr="00E46C82" w:rsidRDefault="000D15BD" w:rsidP="000D15BD">
      <w:pPr>
        <w:spacing w:after="0" w:line="276" w:lineRule="auto"/>
        <w:jc w:val="both"/>
        <w:rPr>
          <w:rFonts w:ascii="Verdana" w:eastAsia="Calibri" w:hAnsi="Verdana" w:cs="Arial"/>
          <w:color w:val="000000" w:themeColor="text1"/>
          <w:lang w:val="es-ES" w:eastAsia="es-ES_tradnl"/>
        </w:rPr>
      </w:pPr>
    </w:p>
    <w:p w14:paraId="33118EFC" w14:textId="39DB6E47" w:rsidR="000D15BD" w:rsidRDefault="000D15BD" w:rsidP="00B50A96">
      <w:pPr>
        <w:spacing w:after="120" w:line="276" w:lineRule="auto"/>
        <w:jc w:val="both"/>
        <w:rPr>
          <w:rFonts w:ascii="Verdana" w:eastAsia="Calibri" w:hAnsi="Verdana" w:cs="Arial"/>
          <w:color w:val="000000" w:themeColor="text1"/>
          <w:lang w:val="es-ES" w:eastAsia="es-ES_tradnl"/>
        </w:rPr>
      </w:pPr>
      <w:r w:rsidRPr="00E46C82">
        <w:rPr>
          <w:rFonts w:ascii="Verdana" w:eastAsia="Calibri" w:hAnsi="Verdana" w:cs="Arial"/>
          <w:color w:val="000000" w:themeColor="text1"/>
          <w:lang w:val="es-ES" w:eastAsia="es-ES_tradnl"/>
        </w:rPr>
        <w:t xml:space="preserve">Estimado </w:t>
      </w:r>
      <w:r>
        <w:rPr>
          <w:rFonts w:ascii="Verdana" w:eastAsia="Calibri" w:hAnsi="Verdana" w:cs="Arial"/>
          <w:color w:val="000000" w:themeColor="text1"/>
          <w:lang w:val="es-ES" w:eastAsia="es-ES_tradnl"/>
        </w:rPr>
        <w:t>señor</w:t>
      </w:r>
      <w:r w:rsidRPr="00E46C82">
        <w:rPr>
          <w:rFonts w:ascii="Verdana" w:eastAsia="Calibri" w:hAnsi="Verdana" w:cs="Arial"/>
          <w:color w:val="000000" w:themeColor="text1"/>
          <w:lang w:val="es-ES" w:eastAsia="es-ES_tradnl"/>
        </w:rPr>
        <w:t xml:space="preserve"> </w:t>
      </w:r>
      <w:r>
        <w:rPr>
          <w:rFonts w:ascii="Verdana" w:eastAsia="Calibri" w:hAnsi="Verdana" w:cs="Arial"/>
          <w:color w:val="000000" w:themeColor="text1"/>
          <w:lang w:val="es-ES" w:eastAsia="es-ES_tradnl"/>
        </w:rPr>
        <w:t>Gutiérrez</w:t>
      </w:r>
      <w:r w:rsidRPr="00E46C82">
        <w:rPr>
          <w:rFonts w:ascii="Verdana" w:eastAsia="Calibri" w:hAnsi="Verdana" w:cs="Arial"/>
          <w:color w:val="000000" w:themeColor="text1"/>
          <w:lang w:val="es-ES" w:eastAsia="es-ES_tradnl"/>
        </w:rPr>
        <w:t xml:space="preserve">: </w:t>
      </w:r>
    </w:p>
    <w:p w14:paraId="4AB9196B" w14:textId="27434646" w:rsidR="001021FE" w:rsidRDefault="001021FE" w:rsidP="00B50A96">
      <w:pPr>
        <w:spacing w:after="120" w:line="276" w:lineRule="auto"/>
        <w:jc w:val="both"/>
        <w:rPr>
          <w:rFonts w:ascii="Verdana" w:eastAsia="Calibri" w:hAnsi="Verdana" w:cs="Arial"/>
          <w:color w:val="000000" w:themeColor="text1"/>
          <w:lang w:val="es-ES" w:eastAsia="es-ES_tradnl"/>
        </w:rPr>
      </w:pPr>
      <w:r w:rsidRPr="00E46C82">
        <w:rPr>
          <w:rFonts w:ascii="Verdana" w:eastAsia="Calibri" w:hAnsi="Verdana" w:cs="Arial"/>
          <w:color w:val="000000" w:themeColor="text1"/>
          <w:lang w:val="es-ES"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del </w:t>
      </w:r>
      <w:r w:rsidR="009C7761">
        <w:rPr>
          <w:rFonts w:ascii="Verdana" w:eastAsia="Calibri" w:hAnsi="Verdana" w:cs="Arial"/>
          <w:color w:val="000000" w:themeColor="text1"/>
          <w:lang w:val="es-ES" w:eastAsia="es-ES_tradnl"/>
        </w:rPr>
        <w:t>7</w:t>
      </w:r>
      <w:r w:rsidRPr="00E46C82">
        <w:rPr>
          <w:rFonts w:ascii="Verdana" w:eastAsia="Calibri" w:hAnsi="Verdana" w:cs="Arial"/>
          <w:color w:val="000000" w:themeColor="text1"/>
          <w:lang w:val="es-ES" w:eastAsia="es-ES_tradnl"/>
        </w:rPr>
        <w:t xml:space="preserve"> de </w:t>
      </w:r>
      <w:r w:rsidR="009C7761">
        <w:rPr>
          <w:rFonts w:ascii="Verdana" w:eastAsia="Calibri" w:hAnsi="Verdana" w:cs="Arial"/>
          <w:color w:val="000000" w:themeColor="text1"/>
          <w:lang w:val="es-ES" w:eastAsia="es-ES_tradnl"/>
        </w:rPr>
        <w:t>enero</w:t>
      </w:r>
      <w:r w:rsidRPr="00E46C82">
        <w:rPr>
          <w:rFonts w:ascii="Verdana" w:eastAsia="Calibri" w:hAnsi="Verdana" w:cs="Arial"/>
          <w:color w:val="000000" w:themeColor="text1"/>
          <w:lang w:val="es-ES" w:eastAsia="es-ES_tradnl"/>
        </w:rPr>
        <w:t xml:space="preserve"> de 202</w:t>
      </w:r>
      <w:r w:rsidR="009C7761">
        <w:rPr>
          <w:rFonts w:ascii="Verdana" w:eastAsia="Calibri" w:hAnsi="Verdana" w:cs="Arial"/>
          <w:color w:val="000000" w:themeColor="text1"/>
          <w:lang w:val="es-ES" w:eastAsia="es-ES_tradnl"/>
        </w:rPr>
        <w:t>6</w:t>
      </w:r>
      <w:r w:rsidRPr="00E46C82">
        <w:rPr>
          <w:rFonts w:ascii="Verdana" w:eastAsia="Calibri" w:hAnsi="Verdana" w:cs="Arial"/>
          <w:color w:val="000000" w:themeColor="text1"/>
          <w:lang w:val="es-ES" w:eastAsia="es-ES_tradnl"/>
        </w:rPr>
        <w:t xml:space="preserve">, en las cuales manifiesta lo siguiente: </w:t>
      </w:r>
    </w:p>
    <w:p w14:paraId="6DBE7D88" w14:textId="77777777" w:rsidR="004F79B3" w:rsidRDefault="004F79B3" w:rsidP="004F79B3">
      <w:pPr>
        <w:spacing w:after="120" w:line="276" w:lineRule="auto"/>
        <w:ind w:left="709" w:right="709"/>
        <w:jc w:val="both"/>
        <w:rPr>
          <w:rFonts w:ascii="Verdana" w:eastAsia="Calibri" w:hAnsi="Verdana" w:cs="Arial"/>
          <w:color w:val="000000" w:themeColor="text1"/>
          <w:lang w:val="es-ES" w:eastAsia="es-ES_tradnl"/>
        </w:rPr>
      </w:pPr>
    </w:p>
    <w:p w14:paraId="221F4C62" w14:textId="1EE745B9" w:rsidR="00384255" w:rsidRDefault="00365F36" w:rsidP="00B50A96">
      <w:pPr>
        <w:spacing w:after="120" w:line="276" w:lineRule="auto"/>
        <w:ind w:left="709" w:right="709"/>
        <w:jc w:val="both"/>
        <w:rPr>
          <w:rFonts w:ascii="Verdana" w:eastAsia="Times New Roman" w:hAnsi="Verdana" w:cs="Arial"/>
          <w:i/>
          <w:iCs/>
          <w:color w:val="000000" w:themeColor="text1"/>
          <w:sz w:val="21"/>
          <w:szCs w:val="21"/>
          <w:lang w:val="es-ES" w:eastAsia="es-ES_tradnl"/>
        </w:rPr>
      </w:pPr>
      <w:r w:rsidRPr="00365F36">
        <w:rPr>
          <w:rFonts w:ascii="Verdana" w:eastAsia="Times New Roman" w:hAnsi="Verdana" w:cs="Arial"/>
          <w:i/>
          <w:iCs/>
          <w:color w:val="000000" w:themeColor="text1"/>
          <w:sz w:val="21"/>
          <w:szCs w:val="21"/>
          <w:lang w:val="es-ES" w:eastAsia="es-ES_tradnl"/>
        </w:rPr>
        <w:t>“</w:t>
      </w:r>
      <w:r w:rsidR="008206CA">
        <w:rPr>
          <w:rFonts w:ascii="Verdana" w:eastAsia="Times New Roman" w:hAnsi="Verdana" w:cs="Arial"/>
          <w:i/>
          <w:iCs/>
          <w:color w:val="000000" w:themeColor="text1"/>
          <w:sz w:val="21"/>
          <w:szCs w:val="21"/>
          <w:lang w:val="es-ES" w:eastAsia="es-ES_tradnl"/>
        </w:rPr>
        <w:t xml:space="preserve">¿es posible adelantar, un proceso contractual, para terminar </w:t>
      </w:r>
      <w:r w:rsidR="008664A3">
        <w:rPr>
          <w:rFonts w:ascii="Verdana" w:eastAsia="Times New Roman" w:hAnsi="Verdana" w:cs="Arial"/>
          <w:i/>
          <w:iCs/>
          <w:color w:val="000000" w:themeColor="text1"/>
          <w:sz w:val="21"/>
          <w:szCs w:val="21"/>
          <w:lang w:val="es-ES" w:eastAsia="es-ES_tradnl"/>
        </w:rPr>
        <w:t>una obra pública inconclusa donde se siniestr</w:t>
      </w:r>
      <w:r w:rsidR="00874CFF">
        <w:rPr>
          <w:rFonts w:ascii="Verdana" w:eastAsia="Times New Roman" w:hAnsi="Verdana" w:cs="Arial"/>
          <w:i/>
          <w:iCs/>
          <w:color w:val="000000" w:themeColor="text1"/>
          <w:sz w:val="21"/>
          <w:szCs w:val="21"/>
          <w:lang w:val="es-ES" w:eastAsia="es-ES_tradnl"/>
        </w:rPr>
        <w:t>o</w:t>
      </w:r>
      <w:r w:rsidR="008664A3">
        <w:rPr>
          <w:rFonts w:ascii="Verdana" w:eastAsia="Times New Roman" w:hAnsi="Verdana" w:cs="Arial"/>
          <w:i/>
          <w:iCs/>
          <w:color w:val="000000" w:themeColor="text1"/>
          <w:sz w:val="21"/>
          <w:szCs w:val="21"/>
          <w:lang w:val="es-ES" w:eastAsia="es-ES_tradnl"/>
        </w:rPr>
        <w:t xml:space="preserve"> al c</w:t>
      </w:r>
      <w:r w:rsidR="00123E26">
        <w:rPr>
          <w:rFonts w:ascii="Verdana" w:eastAsia="Times New Roman" w:hAnsi="Verdana" w:cs="Arial"/>
          <w:i/>
          <w:iCs/>
          <w:color w:val="000000" w:themeColor="text1"/>
          <w:sz w:val="21"/>
          <w:szCs w:val="21"/>
          <w:lang w:val="es-ES" w:eastAsia="es-ES_tradnl"/>
        </w:rPr>
        <w:t xml:space="preserve">ontratista por incumplimiento? ¿Cuándo a razón de la declaratoria de incumplimiento, el contratista </w:t>
      </w:r>
      <w:r w:rsidR="00832852">
        <w:rPr>
          <w:rFonts w:ascii="Verdana" w:eastAsia="Times New Roman" w:hAnsi="Verdana" w:cs="Arial"/>
          <w:i/>
          <w:iCs/>
          <w:color w:val="000000" w:themeColor="text1"/>
          <w:sz w:val="21"/>
          <w:szCs w:val="21"/>
          <w:lang w:val="es-ES" w:eastAsia="es-ES_tradnl"/>
        </w:rPr>
        <w:t xml:space="preserve">promueve controversias contractuales para la liquidación del </w:t>
      </w:r>
      <w:r w:rsidR="00B6799B">
        <w:rPr>
          <w:rFonts w:ascii="Verdana" w:eastAsia="Times New Roman" w:hAnsi="Verdana" w:cs="Arial"/>
          <w:i/>
          <w:iCs/>
          <w:color w:val="000000" w:themeColor="text1"/>
          <w:sz w:val="21"/>
          <w:szCs w:val="21"/>
          <w:lang w:val="es-ES" w:eastAsia="es-ES_tradnl"/>
        </w:rPr>
        <w:t xml:space="preserve">contrato, este proceso judicial que involucra la obra sin terminar, </w:t>
      </w:r>
      <w:r w:rsidR="00B72DE9">
        <w:rPr>
          <w:rFonts w:ascii="Verdana" w:eastAsia="Times New Roman" w:hAnsi="Verdana" w:cs="Arial"/>
          <w:i/>
          <w:iCs/>
          <w:color w:val="000000" w:themeColor="text1"/>
          <w:sz w:val="21"/>
          <w:szCs w:val="21"/>
          <w:lang w:val="es-ES" w:eastAsia="es-ES_tradnl"/>
        </w:rPr>
        <w:t>está</w:t>
      </w:r>
      <w:r w:rsidR="00B6799B">
        <w:rPr>
          <w:rFonts w:ascii="Verdana" w:eastAsia="Times New Roman" w:hAnsi="Verdana" w:cs="Arial"/>
          <w:i/>
          <w:iCs/>
          <w:color w:val="000000" w:themeColor="text1"/>
          <w:sz w:val="21"/>
          <w:szCs w:val="21"/>
          <w:lang w:val="es-ES" w:eastAsia="es-ES_tradnl"/>
        </w:rPr>
        <w:t xml:space="preserve"> dentro del alcance del artículo 5 del parágrafo 2 de la </w:t>
      </w:r>
      <w:r w:rsidR="00874CFF">
        <w:rPr>
          <w:rFonts w:ascii="Verdana" w:eastAsia="Times New Roman" w:hAnsi="Verdana" w:cs="Arial"/>
          <w:i/>
          <w:iCs/>
          <w:color w:val="000000" w:themeColor="text1"/>
          <w:sz w:val="21"/>
          <w:szCs w:val="21"/>
          <w:lang w:val="es-ES" w:eastAsia="es-ES_tradnl"/>
        </w:rPr>
        <w:t xml:space="preserve">Ley 2020 del 2020?” (SIC). </w:t>
      </w:r>
    </w:p>
    <w:p w14:paraId="2E8266A5" w14:textId="77777777" w:rsidR="00874CFF" w:rsidRDefault="00874CFF" w:rsidP="00365F36">
      <w:pPr>
        <w:spacing w:after="0" w:line="240" w:lineRule="auto"/>
        <w:ind w:left="709" w:right="709"/>
        <w:jc w:val="both"/>
        <w:rPr>
          <w:rFonts w:ascii="Verdana" w:eastAsia="Times New Roman" w:hAnsi="Verdana" w:cs="Arial"/>
          <w:i/>
          <w:iCs/>
          <w:color w:val="000000" w:themeColor="text1"/>
          <w:sz w:val="21"/>
          <w:szCs w:val="21"/>
          <w:lang w:val="es-ES" w:eastAsia="es-ES_tradnl"/>
        </w:rPr>
      </w:pPr>
    </w:p>
    <w:p w14:paraId="30E8B318" w14:textId="77777777" w:rsidR="00976C1E" w:rsidRPr="00E46C82" w:rsidRDefault="00976C1E" w:rsidP="00B50A96">
      <w:pPr>
        <w:spacing w:after="120" w:line="276" w:lineRule="auto"/>
        <w:ind w:firstLine="709"/>
        <w:jc w:val="both"/>
        <w:rPr>
          <w:rFonts w:ascii="Verdana" w:eastAsia="Calibri" w:hAnsi="Verdana" w:cs="Arial"/>
          <w:color w:val="000000" w:themeColor="text1"/>
          <w:lang w:val="es-ES" w:eastAsia="es-ES"/>
        </w:rPr>
      </w:pPr>
      <w:r w:rsidRPr="00E46C82">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E46C82">
        <w:rPr>
          <w:rFonts w:ascii="Verdana" w:eastAsia="Calibri" w:hAnsi="Verdana" w:cs="Arial"/>
          <w:color w:val="000000" w:themeColor="text1"/>
          <w:lang w:val="es-ES" w:eastAsia="es-ES"/>
        </w:rPr>
        <w:lastRenderedPageBreak/>
        <w:t xml:space="preserve">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46C82">
        <w:rPr>
          <w:rFonts w:ascii="Verdana" w:eastAsia="Calibri" w:hAnsi="Verdana" w:cs="Arial"/>
          <w:color w:val="000000" w:themeColor="text1"/>
          <w:lang w:val="es-ES" w:eastAsia="es-ES_tradnl"/>
        </w:rPr>
        <w:tab/>
      </w:r>
    </w:p>
    <w:p w14:paraId="6A2B62C7" w14:textId="77777777" w:rsidR="00976C1E" w:rsidRDefault="00976C1E" w:rsidP="00B50A96">
      <w:pPr>
        <w:spacing w:after="120" w:line="276" w:lineRule="auto"/>
        <w:ind w:firstLine="709"/>
        <w:jc w:val="both"/>
        <w:rPr>
          <w:rFonts w:ascii="Verdana" w:eastAsia="Calibri" w:hAnsi="Verdana" w:cs="Arial"/>
          <w:color w:val="000000" w:themeColor="text1"/>
          <w:lang w:val="es-ES" w:eastAsia="es-ES"/>
        </w:rPr>
      </w:pPr>
      <w:r w:rsidRPr="00E46C82">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w:t>
      </w:r>
      <w:r>
        <w:rPr>
          <w:rFonts w:ascii="Verdana" w:eastAsia="Calibri" w:hAnsi="Verdana" w:cs="Arial"/>
          <w:color w:val="000000" w:themeColor="text1"/>
          <w:lang w:val="es-ES" w:eastAsia="es-ES"/>
        </w:rPr>
        <w:t>los</w:t>
      </w:r>
      <w:r w:rsidRPr="00E46C82">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Pr="00E46C82">
        <w:rPr>
          <w:rFonts w:ascii="Verdana" w:eastAsia="Calibri" w:hAnsi="Verdana" w:cs="Arial"/>
          <w:color w:val="000000" w:themeColor="text1"/>
          <w:lang w:val="es-ES" w:eastAsia="es-ES"/>
        </w:rPr>
        <w:t xml:space="preserve"> jurídico</w:t>
      </w:r>
      <w:r>
        <w:rPr>
          <w:rFonts w:ascii="Verdana" w:eastAsia="Calibri" w:hAnsi="Verdana" w:cs="Arial"/>
          <w:color w:val="000000" w:themeColor="text1"/>
          <w:lang w:val="es-ES" w:eastAsia="es-ES"/>
        </w:rPr>
        <w:t>s</w:t>
      </w:r>
      <w:r w:rsidRPr="00E46C82">
        <w:rPr>
          <w:rFonts w:ascii="Verdana" w:eastAsia="Calibri" w:hAnsi="Verdana" w:cs="Arial"/>
          <w:color w:val="000000" w:themeColor="text1"/>
          <w:lang w:val="es-ES" w:eastAsia="es-ES"/>
        </w:rPr>
        <w:t xml:space="preserve"> de su consulta. </w:t>
      </w:r>
    </w:p>
    <w:p w14:paraId="26AE071E" w14:textId="77777777" w:rsidR="00B04F2E" w:rsidRPr="00E46C82" w:rsidRDefault="00B04F2E" w:rsidP="00B04F2E">
      <w:pPr>
        <w:tabs>
          <w:tab w:val="left" w:pos="0"/>
          <w:tab w:val="left" w:pos="284"/>
        </w:tabs>
        <w:spacing w:before="240" w:after="0" w:line="276" w:lineRule="auto"/>
        <w:jc w:val="both"/>
        <w:rPr>
          <w:rFonts w:ascii="Verdana" w:eastAsia="Calibri" w:hAnsi="Verdana" w:cs="Arial"/>
          <w:b/>
          <w:color w:val="000000" w:themeColor="text1"/>
          <w:lang w:val="es-ES"/>
        </w:rPr>
      </w:pPr>
      <w:r w:rsidRPr="00E46C82">
        <w:rPr>
          <w:rFonts w:ascii="Verdana" w:eastAsia="Calibri" w:hAnsi="Verdana" w:cs="Arial"/>
          <w:b/>
          <w:color w:val="000000" w:themeColor="text1"/>
          <w:lang w:val="es-ES"/>
        </w:rPr>
        <w:t>1. Problema planteado:</w:t>
      </w:r>
    </w:p>
    <w:p w14:paraId="7D53DBDE" w14:textId="77777777" w:rsidR="00B04F2E" w:rsidRDefault="00B04F2E" w:rsidP="00B04F2E">
      <w:pPr>
        <w:tabs>
          <w:tab w:val="left" w:pos="0"/>
          <w:tab w:val="left" w:pos="284"/>
        </w:tabs>
        <w:spacing w:after="0" w:line="276" w:lineRule="auto"/>
        <w:jc w:val="both"/>
        <w:rPr>
          <w:rFonts w:ascii="Verdana" w:eastAsia="Calibri" w:hAnsi="Verdana" w:cs="Arial"/>
          <w:b/>
          <w:color w:val="000000" w:themeColor="text1"/>
          <w:lang w:val="es-ES"/>
        </w:rPr>
      </w:pPr>
    </w:p>
    <w:p w14:paraId="1526C8EA" w14:textId="45816049" w:rsidR="00B04F2E" w:rsidRPr="00E46C82" w:rsidRDefault="00B04F2E" w:rsidP="00B04F2E">
      <w:pPr>
        <w:tabs>
          <w:tab w:val="left" w:pos="0"/>
          <w:tab w:val="left" w:pos="284"/>
        </w:tabs>
        <w:spacing w:after="0" w:line="276" w:lineRule="auto"/>
        <w:jc w:val="both"/>
        <w:rPr>
          <w:rFonts w:ascii="Verdana" w:eastAsia="Calibri" w:hAnsi="Verdana" w:cs="Arial"/>
          <w:color w:val="000000" w:themeColor="text1"/>
          <w:lang w:val="es-ES" w:eastAsia="es-ES"/>
        </w:rPr>
      </w:pPr>
      <w:r w:rsidRPr="00E46C82">
        <w:rPr>
          <w:rFonts w:ascii="Verdana" w:eastAsia="Calibri" w:hAnsi="Verdana" w:cs="Arial"/>
          <w:bCs/>
          <w:color w:val="000000" w:themeColor="text1"/>
          <w:lang w:val="es-ES"/>
        </w:rPr>
        <w:t xml:space="preserve">De </w:t>
      </w:r>
      <w:r w:rsidRPr="00E46C82">
        <w:rPr>
          <w:rFonts w:ascii="Verdana" w:eastAsia="Calibri" w:hAnsi="Verdana" w:cs="Arial"/>
          <w:color w:val="000000" w:themeColor="text1"/>
          <w:lang w:val="es-ES" w:eastAsia="es-ES"/>
        </w:rPr>
        <w:t xml:space="preserve">acuerdo con el contenido de su solicitud, esta Agencia resolverá </w:t>
      </w:r>
      <w:r>
        <w:rPr>
          <w:rFonts w:ascii="Verdana" w:eastAsia="Calibri" w:hAnsi="Verdana" w:cs="Arial"/>
          <w:color w:val="000000" w:themeColor="text1"/>
          <w:lang w:val="es-ES" w:eastAsia="es-ES"/>
        </w:rPr>
        <w:t>los</w:t>
      </w:r>
      <w:r w:rsidRPr="00E46C82">
        <w:rPr>
          <w:rFonts w:ascii="Verdana" w:eastAsia="Calibri" w:hAnsi="Verdana" w:cs="Arial"/>
          <w:color w:val="000000" w:themeColor="text1"/>
          <w:lang w:val="es-ES" w:eastAsia="es-ES"/>
        </w:rPr>
        <w:t xml:space="preserve"> siguiente</w:t>
      </w:r>
      <w:r>
        <w:rPr>
          <w:rFonts w:ascii="Verdana" w:eastAsia="Calibri" w:hAnsi="Verdana" w:cs="Arial"/>
          <w:color w:val="000000" w:themeColor="text1"/>
          <w:lang w:val="es-ES" w:eastAsia="es-ES"/>
        </w:rPr>
        <w:t>s</w:t>
      </w:r>
      <w:r w:rsidRPr="00E46C82">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00C03DC7">
        <w:rPr>
          <w:rFonts w:ascii="Verdana" w:eastAsia="Calibri" w:hAnsi="Verdana" w:cs="Arial"/>
          <w:color w:val="000000" w:themeColor="text1"/>
          <w:lang w:val="es-ES" w:eastAsia="es-ES"/>
        </w:rPr>
        <w:t>:</w:t>
      </w:r>
      <w:r w:rsidR="00C73D38">
        <w:rPr>
          <w:rFonts w:ascii="Verdana" w:eastAsia="Calibri" w:hAnsi="Verdana" w:cs="Arial"/>
          <w:color w:val="000000" w:themeColor="text1"/>
          <w:lang w:val="es-ES" w:eastAsia="es-ES"/>
        </w:rPr>
        <w:t xml:space="preserve"> </w:t>
      </w:r>
      <w:r w:rsidRPr="00E46C82">
        <w:rPr>
          <w:rFonts w:ascii="Verdana" w:eastAsia="Calibri" w:hAnsi="Verdana" w:cs="Arial"/>
          <w:color w:val="000000"/>
          <w:lang w:val="es-ES" w:eastAsia="en-GB"/>
        </w:rPr>
        <w:t xml:space="preserve">¿Cuál es el alcance de la potestad establecida en el artículo 5 de dicha ley y de la limitación establecida en </w:t>
      </w:r>
      <w:r w:rsidR="00BD21F0">
        <w:rPr>
          <w:rFonts w:ascii="Verdana" w:eastAsia="Calibri" w:hAnsi="Verdana" w:cs="Arial"/>
          <w:color w:val="000000"/>
          <w:lang w:val="es-ES" w:eastAsia="en-GB"/>
        </w:rPr>
        <w:t>el parágrafo 2</w:t>
      </w:r>
      <w:r w:rsidRPr="00E46C82">
        <w:rPr>
          <w:rFonts w:ascii="Verdana" w:eastAsia="Calibri" w:hAnsi="Verdana" w:cs="Arial"/>
          <w:color w:val="000000"/>
          <w:lang w:val="es-ES" w:eastAsia="en-GB"/>
        </w:rPr>
        <w:t xml:space="preserve"> respecto a obras inconclusas con proceso judiciales?</w:t>
      </w:r>
    </w:p>
    <w:p w14:paraId="0BF676D4" w14:textId="77777777" w:rsidR="00B04F2E" w:rsidRPr="00E46C82" w:rsidRDefault="00B04F2E" w:rsidP="00B04F2E">
      <w:pPr>
        <w:spacing w:after="0" w:line="276" w:lineRule="auto"/>
        <w:jc w:val="both"/>
        <w:rPr>
          <w:rFonts w:ascii="Verdana" w:eastAsia="Calibri" w:hAnsi="Verdana" w:cs="Arial"/>
          <w:color w:val="7030A0"/>
          <w:u w:val="single"/>
          <w:lang w:val="es-ES" w:eastAsia="es-ES_tradnl"/>
        </w:rPr>
      </w:pPr>
    </w:p>
    <w:p w14:paraId="59B5CA9D" w14:textId="5A6F1E6D" w:rsidR="00D055D4" w:rsidRDefault="00B04F2E" w:rsidP="00D055D4">
      <w:pPr>
        <w:widowControl w:val="0"/>
        <w:tabs>
          <w:tab w:val="left" w:pos="382"/>
        </w:tabs>
        <w:autoSpaceDE w:val="0"/>
        <w:autoSpaceDN w:val="0"/>
        <w:spacing w:line="276" w:lineRule="auto"/>
        <w:outlineLvl w:val="0"/>
        <w:rPr>
          <w:rFonts w:ascii="Verdana" w:eastAsia="Verdana" w:hAnsi="Verdana" w:cs="Verdana"/>
          <w:b/>
          <w:bCs/>
          <w:spacing w:val="-2"/>
          <w:lang w:val="es-ES"/>
        </w:rPr>
      </w:pPr>
      <w:r w:rsidRPr="00E46C82">
        <w:rPr>
          <w:rFonts w:ascii="Verdana" w:eastAsia="Verdana" w:hAnsi="Verdana" w:cs="Verdana"/>
          <w:b/>
          <w:bCs/>
          <w:spacing w:val="-2"/>
          <w:lang w:val="es-ES"/>
        </w:rPr>
        <w:t>2. Respuesta:</w:t>
      </w:r>
    </w:p>
    <w:p w14:paraId="479C4B6F" w14:textId="03397D94" w:rsidR="00C47F88" w:rsidRPr="00E46C82" w:rsidRDefault="00333A22" w:rsidP="00932267">
      <w:pPr>
        <w:pBdr>
          <w:top w:val="single" w:sz="4" w:space="1" w:color="auto"/>
          <w:left w:val="single" w:sz="4" w:space="4" w:color="auto"/>
          <w:bottom w:val="single" w:sz="4" w:space="1" w:color="auto"/>
          <w:right w:val="single" w:sz="4" w:space="4" w:color="auto"/>
        </w:pBdr>
        <w:spacing w:after="120" w:line="276" w:lineRule="auto"/>
        <w:jc w:val="both"/>
        <w:rPr>
          <w:rFonts w:ascii="Verdana" w:hAnsi="Verdana" w:cs="Arial"/>
          <w:lang w:val="es-ES"/>
        </w:rPr>
      </w:pPr>
      <w:r>
        <w:rPr>
          <w:rFonts w:ascii="Verdana" w:eastAsia="Verdana" w:hAnsi="Verdana" w:cs="Verdana"/>
          <w:spacing w:val="-2"/>
          <w:lang w:val="es-ES"/>
        </w:rPr>
        <w:t>E</w:t>
      </w:r>
      <w:r w:rsidR="00FE33B6">
        <w:rPr>
          <w:rFonts w:ascii="Verdana" w:eastAsia="Verdana" w:hAnsi="Verdana" w:cs="Verdana"/>
          <w:spacing w:val="-2"/>
          <w:lang w:val="es-ES"/>
        </w:rPr>
        <w:t>n cuanto a la aplicación de la regla establecid</w:t>
      </w:r>
      <w:r w:rsidR="005B2198">
        <w:rPr>
          <w:rFonts w:ascii="Verdana" w:eastAsia="Verdana" w:hAnsi="Verdana" w:cs="Verdana"/>
          <w:spacing w:val="-2"/>
          <w:lang w:val="es-ES"/>
        </w:rPr>
        <w:t>a</w:t>
      </w:r>
      <w:r w:rsidR="00AE5499">
        <w:rPr>
          <w:rFonts w:ascii="Verdana" w:eastAsia="Verdana" w:hAnsi="Verdana" w:cs="Verdana"/>
          <w:spacing w:val="-2"/>
          <w:lang w:val="es-ES"/>
        </w:rPr>
        <w:t xml:space="preserve"> en el parágrafo segundo del artículo 5 de la Ley 2020 de 2020</w:t>
      </w:r>
      <w:r w:rsidR="000A0792">
        <w:rPr>
          <w:rFonts w:ascii="Verdana" w:eastAsia="Verdana" w:hAnsi="Verdana" w:cs="Verdana"/>
          <w:spacing w:val="-2"/>
          <w:lang w:val="es-ES"/>
        </w:rPr>
        <w:t xml:space="preserve">, </w:t>
      </w:r>
      <w:r w:rsidR="00C47F88" w:rsidRPr="00E46C82">
        <w:rPr>
          <w:rFonts w:ascii="Verdana" w:hAnsi="Verdana" w:cs="Arial"/>
          <w:lang w:val="es-ES"/>
        </w:rPr>
        <w:t xml:space="preserve">la Agencia concuerda con la interpretación adoptada por la Contraloría General de la República, según la cual las obras que </w:t>
      </w:r>
      <w:r w:rsidR="00C47F88">
        <w:rPr>
          <w:rFonts w:ascii="Verdana" w:hAnsi="Verdana" w:cs="Arial"/>
          <w:lang w:val="es-ES"/>
        </w:rPr>
        <w:t xml:space="preserve">tengan </w:t>
      </w:r>
      <w:r w:rsidR="00C47F88" w:rsidRPr="00E46C82">
        <w:rPr>
          <w:rFonts w:ascii="Verdana" w:hAnsi="Verdana" w:cs="Arial"/>
          <w:lang w:val="es-ES"/>
        </w:rPr>
        <w:t>un proceso judicial en curso deberán contar con un fallo ejecutoriado previo a que la entidad decida sobre la terminación o demolición de la obra. En efecto, en estos supuestos, la decisión administrativa respecto de la obra está supeditada a la existencia de la decisión judicial definitiva</w:t>
      </w:r>
      <w:r w:rsidR="00C47F88">
        <w:rPr>
          <w:rFonts w:ascii="Verdana" w:hAnsi="Verdana" w:cs="Arial"/>
          <w:lang w:val="es-ES"/>
        </w:rPr>
        <w:t>.</w:t>
      </w:r>
      <w:r w:rsidR="00C47F88" w:rsidRPr="00E46C82">
        <w:rPr>
          <w:rFonts w:ascii="Verdana" w:hAnsi="Verdana" w:cs="Arial"/>
          <w:lang w:val="es-ES"/>
        </w:rPr>
        <w:t xml:space="preserve"> </w:t>
      </w:r>
    </w:p>
    <w:p w14:paraId="5206B95D" w14:textId="77777777" w:rsidR="00C47F88" w:rsidRPr="00E46C82" w:rsidRDefault="00C47F88" w:rsidP="00B50A96">
      <w:pPr>
        <w:pBdr>
          <w:top w:val="single" w:sz="4" w:space="1" w:color="auto"/>
          <w:left w:val="single" w:sz="4" w:space="4" w:color="auto"/>
          <w:bottom w:val="single" w:sz="4" w:space="1" w:color="auto"/>
          <w:right w:val="single" w:sz="4" w:space="4" w:color="auto"/>
        </w:pBdr>
        <w:spacing w:after="120" w:line="276" w:lineRule="auto"/>
        <w:ind w:firstLine="380"/>
        <w:jc w:val="both"/>
        <w:rPr>
          <w:rFonts w:ascii="Verdana" w:hAnsi="Verdana" w:cs="Arial"/>
          <w:lang w:val="es-ES"/>
        </w:rPr>
      </w:pPr>
      <w:r w:rsidRPr="00E46C82">
        <w:rPr>
          <w:rFonts w:ascii="Verdana" w:hAnsi="Verdana" w:cs="Arial"/>
          <w:lang w:val="es-ES"/>
        </w:rPr>
        <w:t xml:space="preserve">Lo anterior responde a que las acciones judiciales que se encuentren en curso pueden tener por objeto definir aspectos que impacten de manera específica la actuación de la entidad con respecto a la obra, de manera que pueden afectar </w:t>
      </w:r>
      <w:r w:rsidRPr="00E46C82">
        <w:rPr>
          <w:rFonts w:ascii="Verdana" w:hAnsi="Verdana" w:cs="Arial"/>
          <w:lang w:val="es-ES"/>
        </w:rPr>
        <w:lastRenderedPageBreak/>
        <w:t>la decisión terminación o demolición.</w:t>
      </w:r>
      <w:r>
        <w:rPr>
          <w:rFonts w:ascii="Verdana" w:hAnsi="Verdana" w:cs="Arial"/>
          <w:lang w:val="es-ES"/>
        </w:rPr>
        <w:t xml:space="preserve"> Así</w:t>
      </w:r>
      <w:r w:rsidRPr="00E46C82">
        <w:rPr>
          <w:rFonts w:ascii="Verdana" w:hAnsi="Verdana" w:cs="Arial"/>
          <w:lang w:val="es-ES"/>
        </w:rPr>
        <w:t xml:space="preserve">, el parágrafo segundo busca evitar que ocurran contradicciones entre las decisiones que adopte la entidad en sede administrativa y aquellas que posteriormente tome la administración de justicia, para lo cual estipula la necesidad de que las entidades esperen la decisión por parte de la jurisdicción competente de manera previa a decidir sobre la terminación o demolición de la obra. </w:t>
      </w:r>
    </w:p>
    <w:p w14:paraId="67020F08" w14:textId="77777777" w:rsidR="00C47F88" w:rsidRPr="00E46C82" w:rsidRDefault="00C47F88" w:rsidP="00B50A96">
      <w:pPr>
        <w:pBdr>
          <w:top w:val="single" w:sz="4" w:space="1" w:color="auto"/>
          <w:left w:val="single" w:sz="4" w:space="4" w:color="auto"/>
          <w:bottom w:val="single" w:sz="4" w:space="1" w:color="auto"/>
          <w:right w:val="single" w:sz="4" w:space="4" w:color="auto"/>
        </w:pBdr>
        <w:spacing w:after="120" w:line="276" w:lineRule="auto"/>
        <w:ind w:firstLine="380"/>
        <w:jc w:val="both"/>
        <w:rPr>
          <w:rFonts w:ascii="Verdana" w:hAnsi="Verdana" w:cs="Arial"/>
          <w:lang w:val="es-ES"/>
        </w:rPr>
      </w:pPr>
      <w:r w:rsidRPr="00E46C82">
        <w:rPr>
          <w:rFonts w:ascii="Verdana" w:hAnsi="Verdana" w:cs="Arial"/>
          <w:lang w:val="es-ES"/>
        </w:rPr>
        <w:t xml:space="preserve">Por otra parte, es necesario destacar que la norma no especificó el tipo de procedimientos judiciales que tendrán este efecto con respecto a la decisión que adopte la administración. En este sentido, dado que el legislador no distinguió, se incluyen todas aquellas acciones jurisdiccionales que recaigan sobre la obra inconclusa. En contraste, no tendrán dicho efecto las acciones coactivas que adelanten las entidades por su carácter administrativo. </w:t>
      </w:r>
    </w:p>
    <w:p w14:paraId="55079579" w14:textId="77777777" w:rsidR="00C47F88" w:rsidRPr="00E46C82" w:rsidRDefault="00C47F88" w:rsidP="00B50A96">
      <w:pPr>
        <w:pBdr>
          <w:top w:val="single" w:sz="4" w:space="1" w:color="auto"/>
          <w:left w:val="single" w:sz="4" w:space="4" w:color="auto"/>
          <w:bottom w:val="single" w:sz="4" w:space="1" w:color="auto"/>
          <w:right w:val="single" w:sz="4" w:space="4" w:color="auto"/>
        </w:pBdr>
        <w:spacing w:after="120" w:line="276" w:lineRule="auto"/>
        <w:ind w:firstLine="380"/>
        <w:jc w:val="both"/>
        <w:rPr>
          <w:rFonts w:ascii="Verdana" w:hAnsi="Verdana" w:cs="Arial"/>
          <w:lang w:val="es-ES"/>
        </w:rPr>
      </w:pPr>
      <w:r w:rsidRPr="00E46C82">
        <w:rPr>
          <w:rFonts w:ascii="Verdana" w:hAnsi="Verdana" w:cs="Arial"/>
          <w:lang w:val="es-ES"/>
        </w:rPr>
        <w:t xml:space="preserve">A pesar de lo anterior, es importante que la entidad considere en cada caso la relación existente entre el proceso judicial pendiente y los posibles efectos que puede ocasionar con respecto a la obra, así como los que pueden entrar en conflicto con las decisiones que adopte la administración. En efecto, deberá tratarse de procesos judiciales que afecten la obra inconclusa y cuyo fallo ejecutoriado pueda producir efectos con respecto a la intervención física de terminación o demolición de la obra. Para la aplicación del parágrafo segundo, la entidad deberá valorar en cada caso si se trata de procesos judiciales de este orden, así como sus potenciales efectos frene a la obra inconclusa, con el fin de adoptar decisiones sobre la terminación o demolición de manera oportuna. </w:t>
      </w:r>
    </w:p>
    <w:p w14:paraId="1EFE2E8E" w14:textId="77777777" w:rsidR="00C47F88" w:rsidRPr="00E46C82" w:rsidRDefault="00C47F88" w:rsidP="00B50A96">
      <w:pPr>
        <w:pBdr>
          <w:top w:val="single" w:sz="4" w:space="1" w:color="auto"/>
          <w:left w:val="single" w:sz="4" w:space="4" w:color="auto"/>
          <w:bottom w:val="single" w:sz="4" w:space="1" w:color="auto"/>
          <w:right w:val="single" w:sz="4" w:space="4" w:color="auto"/>
        </w:pBdr>
        <w:spacing w:after="120" w:line="276" w:lineRule="auto"/>
        <w:ind w:firstLine="380"/>
        <w:jc w:val="both"/>
        <w:rPr>
          <w:rFonts w:ascii="Verdana" w:hAnsi="Verdana" w:cs="Arial"/>
          <w:lang w:val="es-ES"/>
        </w:rPr>
      </w:pPr>
      <w:r w:rsidRPr="00E46C82">
        <w:rPr>
          <w:rFonts w:ascii="Verdana" w:hAnsi="Verdana" w:cs="Arial"/>
          <w:lang w:val="es-ES"/>
        </w:rPr>
        <w:t xml:space="preserve">De cualquier modo, será competencia exclusiva de la entidad analizar y decidir sobre la terminación o demolición de la obra inconclusa, así como abstenerse de decidir sobre lo anterior cuando se encuentren en trámite procesos judiciales que eventualmente puedan ir en contravía de las decisiones que adopte, según los aspectos concretos de cada caso, y la naturaleza y alcance del proceso judicial que se encuentre en curso. </w:t>
      </w:r>
    </w:p>
    <w:p w14:paraId="6DE4D8F9" w14:textId="184CD122" w:rsidR="00FE33B6" w:rsidRPr="00A96147" w:rsidRDefault="00FE33B6" w:rsidP="00DA7D10">
      <w:pPr>
        <w:widowControl w:val="0"/>
        <w:tabs>
          <w:tab w:val="left" w:pos="382"/>
        </w:tabs>
        <w:autoSpaceDE w:val="0"/>
        <w:autoSpaceDN w:val="0"/>
        <w:spacing w:line="276" w:lineRule="auto"/>
        <w:jc w:val="both"/>
        <w:outlineLvl w:val="0"/>
        <w:rPr>
          <w:rFonts w:ascii="Verdana" w:eastAsia="Verdana" w:hAnsi="Verdana" w:cs="Verdana"/>
          <w:spacing w:val="-2"/>
          <w:lang w:val="es-ES"/>
        </w:rPr>
      </w:pPr>
    </w:p>
    <w:p w14:paraId="02BAFBFC" w14:textId="2035A8CE" w:rsidR="000D09EE" w:rsidRDefault="000D09EE" w:rsidP="00B04F2E">
      <w:pPr>
        <w:widowControl w:val="0"/>
        <w:tabs>
          <w:tab w:val="left" w:pos="382"/>
        </w:tabs>
        <w:autoSpaceDE w:val="0"/>
        <w:autoSpaceDN w:val="0"/>
        <w:spacing w:after="0" w:line="276" w:lineRule="auto"/>
        <w:outlineLvl w:val="0"/>
        <w:rPr>
          <w:rFonts w:ascii="Verdana" w:eastAsia="Verdana" w:hAnsi="Verdana" w:cs="Verdana"/>
          <w:b/>
          <w:bCs/>
          <w:spacing w:val="-2"/>
          <w:lang w:val="es-ES"/>
        </w:rPr>
      </w:pPr>
      <w:r>
        <w:rPr>
          <w:rFonts w:ascii="Verdana" w:eastAsia="Verdana" w:hAnsi="Verdana" w:cs="Verdana"/>
          <w:b/>
          <w:bCs/>
          <w:spacing w:val="-2"/>
          <w:lang w:val="es-ES"/>
        </w:rPr>
        <w:t xml:space="preserve">3. </w:t>
      </w:r>
      <w:r w:rsidR="00485FB1">
        <w:rPr>
          <w:rFonts w:ascii="Verdana" w:eastAsia="Verdana" w:hAnsi="Verdana" w:cs="Verdana"/>
          <w:b/>
          <w:bCs/>
          <w:spacing w:val="-2"/>
          <w:lang w:val="es-ES"/>
        </w:rPr>
        <w:t xml:space="preserve">Razones de la respuesta: </w:t>
      </w:r>
    </w:p>
    <w:p w14:paraId="7634CB62" w14:textId="77777777" w:rsidR="00485FB1" w:rsidRDefault="00485FB1" w:rsidP="00B04F2E">
      <w:pPr>
        <w:widowControl w:val="0"/>
        <w:tabs>
          <w:tab w:val="left" w:pos="382"/>
        </w:tabs>
        <w:autoSpaceDE w:val="0"/>
        <w:autoSpaceDN w:val="0"/>
        <w:spacing w:after="0" w:line="276" w:lineRule="auto"/>
        <w:outlineLvl w:val="0"/>
        <w:rPr>
          <w:rFonts w:ascii="Verdana" w:eastAsia="Verdana" w:hAnsi="Verdana" w:cs="Verdana"/>
          <w:b/>
          <w:bCs/>
          <w:spacing w:val="-2"/>
          <w:lang w:val="es-ES"/>
        </w:rPr>
      </w:pPr>
    </w:p>
    <w:p w14:paraId="2C65E628" w14:textId="1F844D50" w:rsidR="000605D1" w:rsidRDefault="001A1596" w:rsidP="00B50A96">
      <w:pPr>
        <w:widowControl w:val="0"/>
        <w:tabs>
          <w:tab w:val="left" w:pos="382"/>
        </w:tabs>
        <w:autoSpaceDE w:val="0"/>
        <w:autoSpaceDN w:val="0"/>
        <w:spacing w:after="120" w:line="276" w:lineRule="auto"/>
        <w:outlineLvl w:val="0"/>
        <w:rPr>
          <w:rFonts w:ascii="Verdana" w:eastAsia="Verdana" w:hAnsi="Verdana" w:cs="Verdana"/>
          <w:spacing w:val="-2"/>
          <w:lang w:val="es-ES"/>
        </w:rPr>
      </w:pPr>
      <w:r>
        <w:rPr>
          <w:rFonts w:ascii="Verdana" w:eastAsia="Verdana" w:hAnsi="Verdana" w:cs="Verdana"/>
          <w:spacing w:val="-2"/>
          <w:lang w:val="es-ES"/>
        </w:rPr>
        <w:t xml:space="preserve">lo anterior se sustenta en las siguientes consideraciones: </w:t>
      </w:r>
    </w:p>
    <w:p w14:paraId="4790E1B9" w14:textId="6BF94C89" w:rsidR="001A1596" w:rsidRPr="00E46C82" w:rsidRDefault="001A1596" w:rsidP="00513167">
      <w:pPr>
        <w:tabs>
          <w:tab w:val="left" w:pos="0"/>
        </w:tabs>
        <w:spacing w:after="120" w:line="276" w:lineRule="auto"/>
        <w:jc w:val="both"/>
        <w:rPr>
          <w:rFonts w:ascii="Verdana" w:eastAsia="Calibri" w:hAnsi="Verdana" w:cs="Arial"/>
          <w:color w:val="000000"/>
          <w:lang w:val="es-ES" w:eastAsia="en-GB"/>
        </w:rPr>
      </w:pPr>
      <w:r w:rsidRPr="00E46C82">
        <w:rPr>
          <w:rFonts w:ascii="Verdana" w:eastAsia="Calibri" w:hAnsi="Verdana" w:cs="Arial"/>
          <w:bCs/>
          <w:color w:val="000000"/>
          <w:lang w:val="es-ES" w:eastAsia="es-ES_tradnl"/>
        </w:rPr>
        <w:t xml:space="preserve">La Ley 2020 de 2020 creó el </w:t>
      </w:r>
      <w:r w:rsidRPr="00E46C82">
        <w:rPr>
          <w:rFonts w:ascii="Verdana" w:eastAsia="Calibri" w:hAnsi="Verdana" w:cs="Arial"/>
          <w:color w:val="000000"/>
          <w:lang w:val="es-ES" w:eastAsia="en-GB"/>
        </w:rPr>
        <w:t xml:space="preserve">Registro Nacional de Obras Civiles Inconclusas. Se trata de un sistema que permite identificar el estado de ejecución o terminación </w:t>
      </w:r>
      <w:r w:rsidRPr="00E46C82">
        <w:rPr>
          <w:rFonts w:ascii="Verdana" w:eastAsia="Calibri" w:hAnsi="Verdana" w:cs="Arial"/>
          <w:color w:val="000000"/>
          <w:lang w:val="es-ES" w:eastAsia="en-GB"/>
        </w:rPr>
        <w:lastRenderedPageBreak/>
        <w:t xml:space="preserve">de las obras financiadas total o parcialmente con recursos públicos, para concretar su destinación definitiva. Según el inciso primero del literal a) del artículo 2 de esta ley, se entiende por </w:t>
      </w:r>
      <w:r w:rsidRPr="00E46C82">
        <w:rPr>
          <w:rFonts w:ascii="Verdana" w:eastAsia="Calibri" w:hAnsi="Verdana" w:cs="Arial"/>
          <w:i/>
          <w:iCs/>
          <w:color w:val="000000"/>
          <w:lang w:val="es-ES" w:eastAsia="en-GB"/>
        </w:rPr>
        <w:t>obra civil inconclusa</w:t>
      </w:r>
      <w:r w:rsidRPr="00E46C82">
        <w:rPr>
          <w:rFonts w:ascii="Verdana" w:eastAsia="Calibri" w:hAnsi="Verdana" w:cs="Arial"/>
          <w:color w:val="000000"/>
          <w:lang w:val="es-ES" w:eastAsia="en-GB"/>
        </w:rPr>
        <w:t xml:space="preserve"> la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 </w:t>
      </w:r>
    </w:p>
    <w:p w14:paraId="1C3044CF" w14:textId="77777777" w:rsidR="001A1596" w:rsidRDefault="001A1596" w:rsidP="00B50A96">
      <w:pPr>
        <w:tabs>
          <w:tab w:val="left" w:pos="0"/>
        </w:tabs>
        <w:spacing w:after="120" w:line="276" w:lineRule="auto"/>
        <w:ind w:firstLine="380"/>
        <w:jc w:val="both"/>
        <w:rPr>
          <w:rFonts w:ascii="Verdana" w:eastAsia="Calibri" w:hAnsi="Verdana" w:cs="Arial"/>
          <w:color w:val="000000"/>
          <w:lang w:val="es-ES" w:eastAsia="en-GB"/>
        </w:rPr>
      </w:pPr>
      <w:r w:rsidRPr="00E46C82">
        <w:rPr>
          <w:rFonts w:ascii="Verdana" w:eastAsia="Calibri" w:hAnsi="Verdana" w:cs="Arial"/>
          <w:color w:val="000000"/>
          <w:lang w:val="es-ES" w:eastAsia="en-GB"/>
        </w:rPr>
        <w:t>En otras palabras, el concepto de obra civil inconclusa es armónico con la definición del contrato de obra, prevista en el artículo 32 de la Ley 80 de 1993, según el cual “Son contratos de obra los que celebren las entidades estatales para la construcción, mantenimiento, instalación y, en general, para la realización de cualquier otro trabajo material sobre bienes inmuebles, cualquiera que sea la modalidad de ejecución y pago”. Por tanto, cuando el trabajo material sobre el bien inmueble no ha finalizado satisfactoriamente o no se adecua a la función para la cual fue contratada la obra, esto se puede constatar en el registro creado por el artículo 3 de la Ley 2020 de 2020.</w:t>
      </w:r>
    </w:p>
    <w:p w14:paraId="576EF246" w14:textId="77777777" w:rsidR="00981114" w:rsidRPr="00E46C82" w:rsidRDefault="00981114" w:rsidP="00B50A96">
      <w:pPr>
        <w:tabs>
          <w:tab w:val="left" w:pos="0"/>
        </w:tabs>
        <w:spacing w:after="120" w:line="276" w:lineRule="auto"/>
        <w:ind w:firstLine="380"/>
        <w:jc w:val="both"/>
        <w:rPr>
          <w:rFonts w:ascii="Verdana" w:eastAsia="Calibri" w:hAnsi="Verdana" w:cs="Arial"/>
          <w:color w:val="000000"/>
          <w:lang w:val="es-ES" w:eastAsia="en-GB"/>
        </w:rPr>
      </w:pPr>
      <w:r w:rsidRPr="00E46C82">
        <w:rPr>
          <w:rFonts w:ascii="Verdana" w:eastAsia="Calibri" w:hAnsi="Verdana" w:cs="Arial"/>
          <w:color w:val="000000"/>
          <w:lang w:val="es-ES" w:eastAsia="en-GB"/>
        </w:rPr>
        <w:t>Por su parte, el inciso segundo del literal a) del artículo 2 de dicha Ley establece la hipótesis en la que no se haya concluido satisfactoriamente la obra civil por causas no imputables al contratista. A este respecto, señala que “Cuando la obra civil no haya concluido de manera satisfactoria por causas que no sean imputables al contratista, un comité técnico, designado por el representante legal de la entidad contratante, definirá si efectivamente corresponde a una obra civil inconclusa”.</w:t>
      </w:r>
    </w:p>
    <w:p w14:paraId="56514B9C" w14:textId="77777777" w:rsidR="00981114" w:rsidRPr="00E46C82" w:rsidRDefault="00981114" w:rsidP="00B50A96">
      <w:pPr>
        <w:tabs>
          <w:tab w:val="left" w:pos="0"/>
        </w:tabs>
        <w:spacing w:after="120" w:line="276" w:lineRule="auto"/>
        <w:ind w:firstLine="380"/>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De la definición del artículo 2 de la Ley 2020 de 2020 se resalta lo siguiente. Por un lado, cuando la obra civil cumpla con los elementos establecidos en el inciso primero literal a) del artículo 2, deberá catalogarse como obra civil inconclusa. Es decir, si el trabajo material sobre el bien inmueble no ha concluido de manera satisfactoria o no está prestando el servicio para el que se contrató y ha transcurrido un año o más desde que se venció el término de liquidación contractual, se considera obra civil inconclusa. Por otra parte, cuando la obra civil cumple los presupuestos anteriores, pero no concluyó por causas no imputables al contratista, la entidad contratante será la encargada de determinar si la misma se define como obra civil inconclusa, previa valoración </w:t>
      </w:r>
      <w:r w:rsidRPr="00E46C82">
        <w:rPr>
          <w:rFonts w:ascii="Verdana" w:eastAsia="Calibri" w:hAnsi="Verdana" w:cs="Arial"/>
          <w:color w:val="000000"/>
          <w:lang w:val="es-ES" w:eastAsia="en-GB"/>
        </w:rPr>
        <w:lastRenderedPageBreak/>
        <w:t xml:space="preserve">de un comité técnico designado por el representante legal de la entidad contratante. </w:t>
      </w:r>
    </w:p>
    <w:p w14:paraId="07CE73E5" w14:textId="77777777" w:rsidR="00981114" w:rsidRPr="00E46C82" w:rsidRDefault="00981114"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Esta última precisión es importante, debido a que el propósito del literal a) del artículo 2 de la Ley 2020 de 2020 es definir el concepto de obra civil inconclusa, sin desconocer que durante la ejecución de un contrato pueden presentarse situaciones ajenas y exógenas al contratista que impiden la culminación de la obra. En esta hipótesis, lo que pretende el legislador es que sea un órgano o una autoridad determinada, la que analice las circunstancias particulares del caso y las razones técnicas por las cuales la obra civil quedó en estado incompleto</w:t>
      </w:r>
      <w:r w:rsidRPr="00E46C82">
        <w:rPr>
          <w:rFonts w:ascii="Verdana" w:eastAsia="Calibri" w:hAnsi="Verdana" w:cs="Arial"/>
          <w:color w:val="000000"/>
          <w:vertAlign w:val="superscript"/>
          <w:lang w:val="es-ES" w:eastAsia="en-GB"/>
        </w:rPr>
        <w:footnoteReference w:id="1"/>
      </w:r>
      <w:r w:rsidRPr="00E46C82">
        <w:rPr>
          <w:rFonts w:ascii="Verdana" w:eastAsia="Calibri" w:hAnsi="Verdana" w:cs="Arial"/>
          <w:color w:val="000000"/>
          <w:lang w:val="es-ES" w:eastAsia="en-GB"/>
        </w:rPr>
        <w:t xml:space="preserve">. De esta manera, en el evento en que se defina por parte de este comité técnico que la obra civil es catalogada como inconclusa, pero por causas no imputables al contratista, deberá incluir en el Registro Nacional de Obras Civiles Inconclusas los datos correspondientes que den cuenta de esta situación.  </w:t>
      </w:r>
    </w:p>
    <w:p w14:paraId="1640D1F7" w14:textId="77777777" w:rsidR="00981114" w:rsidRDefault="00981114"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Sobre el espíritu de la ley, la exposición de motivos explica que el proyecto “[…] pretende establecer medidas para la detección y valoración de las obras públicas que no se hayan concluido de acuerdo con lo planeado por la entidad estatal a su cargo, para someterlas a evaluación técnica y financiera, dirigida a establecer si se concluyen o se procede a su demolición. Como fin esencial del proyecto se señala el de “salvaguardar las vidas como derecho fundamental”, que se entienden amenazadas por los efectos desfavorables de las obras inconclusas”</w:t>
      </w:r>
      <w:r w:rsidRPr="00E46C82">
        <w:rPr>
          <w:rFonts w:ascii="Verdana" w:eastAsia="Calibri" w:hAnsi="Verdana" w:cs="Arial"/>
          <w:color w:val="000000"/>
          <w:vertAlign w:val="superscript"/>
          <w:lang w:val="es-ES" w:eastAsia="en-GB"/>
        </w:rPr>
        <w:footnoteReference w:id="2"/>
      </w:r>
      <w:r w:rsidRPr="00E46C82">
        <w:rPr>
          <w:rFonts w:ascii="Verdana" w:eastAsia="Calibri" w:hAnsi="Verdana" w:cs="Arial"/>
          <w:color w:val="000000"/>
          <w:lang w:val="es-ES" w:eastAsia="en-GB"/>
        </w:rPr>
        <w:t xml:space="preserve">. En esta medida, el propósito de la norma es no solo </w:t>
      </w:r>
      <w:bookmarkStart w:id="1" w:name="_Hlk84667055"/>
      <w:r w:rsidRPr="00E46C82">
        <w:rPr>
          <w:rFonts w:ascii="Verdana" w:eastAsia="Calibri" w:hAnsi="Verdana" w:cs="Arial"/>
          <w:color w:val="000000"/>
          <w:lang w:val="es-ES" w:eastAsia="en-GB"/>
        </w:rPr>
        <w:t>estructurar un sistema de registro, sino también identificar el estado real de la infraestructura de obra en cada entidad pública, con miras a elaborar un diagnóstico sobre la viabilidad técnica, financiera y jurídica de terminar o demoler la obra, asegurando que pueda realizar una inversión de sus recursos para la intervención de esta.</w:t>
      </w:r>
    </w:p>
    <w:p w14:paraId="58E3DABA" w14:textId="77777777" w:rsidR="00357DB0" w:rsidRPr="00E46C82" w:rsidRDefault="00357DB0"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Por ello los artículos 5 y 13 </w:t>
      </w:r>
      <w:r w:rsidRPr="00E46C82">
        <w:rPr>
          <w:rFonts w:ascii="Verdana" w:eastAsia="Calibri" w:hAnsi="Verdana" w:cs="Arial"/>
          <w:i/>
          <w:color w:val="000000"/>
          <w:lang w:val="es-ES" w:eastAsia="en-GB"/>
        </w:rPr>
        <w:t>ibídem</w:t>
      </w:r>
      <w:r w:rsidRPr="00E46C82">
        <w:rPr>
          <w:rFonts w:ascii="Verdana" w:eastAsia="Calibri" w:hAnsi="Verdana" w:cs="Arial"/>
          <w:color w:val="000000"/>
          <w:lang w:val="es-ES" w:eastAsia="en-GB"/>
        </w:rPr>
        <w:t xml:space="preserve"> disponen que la entidad estatal contratante decidirá sobre la intervención física de terminación o demolición de la obra civil inconclusa, para lo cual podrá disponer de las partidas necesarias, </w:t>
      </w:r>
      <w:r w:rsidRPr="00E46C82">
        <w:rPr>
          <w:rFonts w:ascii="Verdana" w:eastAsia="Calibri" w:hAnsi="Verdana" w:cs="Arial"/>
          <w:color w:val="000000"/>
          <w:lang w:val="es-ES" w:eastAsia="en-GB"/>
        </w:rPr>
        <w:lastRenderedPageBreak/>
        <w:t>según la disponibilidad de recursos compatibles con el marco fiscal de mediano plazo y la regla fiscal de cada entidad. Además, podrá presentarse en el plan de desarrollo de la entidad una estrategia de atención para determinar la intervención de las obras que se encuentren en el Registro Nacional de Obras Civiles Inconclusas, con énfasis en aquellas que lleven más tiempo sin intervención, siempre atendiendo a la disponibilidad de recursos</w:t>
      </w:r>
      <w:r w:rsidRPr="00E46C82">
        <w:rPr>
          <w:rFonts w:ascii="Verdana" w:eastAsia="Calibri" w:hAnsi="Verdana" w:cs="Arial"/>
          <w:color w:val="000000"/>
          <w:vertAlign w:val="superscript"/>
          <w:lang w:val="es-ES" w:eastAsia="en-GB"/>
        </w:rPr>
        <w:footnoteReference w:id="3"/>
      </w:r>
      <w:r w:rsidRPr="00E46C82">
        <w:rPr>
          <w:rFonts w:ascii="Verdana" w:eastAsia="Calibri" w:hAnsi="Verdana" w:cs="Arial"/>
          <w:color w:val="000000"/>
          <w:lang w:val="es-ES" w:eastAsia="en-GB"/>
        </w:rPr>
        <w:t xml:space="preserve">. </w:t>
      </w:r>
    </w:p>
    <w:p w14:paraId="7E0CF092" w14:textId="77777777" w:rsidR="001C755A" w:rsidRDefault="00357DB0"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En tal sentido, esta ley busca que la entidad estatal determine el destino definitivo de la obra, a través del concepto jurídico, técnico y financiero que emitan las áreas de la entidad cuyas funciones y competencias se encuentran relacionadas con la obra inconclusa, observando, en todo caso, el deber de apropiar las partidas presupuestales correspondientes. De todas formas, si se opta por la demolición, esta decisión deberá adoptarse mediante acto administrativo expedido por el representante legal de la entidad a cargo de la obra, y solo podrá ordenarse en casos de ruina o grave amenaza a los derechos fundamentales o colectivos, debidamente evaluada.</w:t>
      </w:r>
    </w:p>
    <w:p w14:paraId="387CCC8B" w14:textId="77777777" w:rsidR="007300A9" w:rsidRPr="00E46C82" w:rsidRDefault="007300A9"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De conformidad con el artículo 3 de la Ley 2020 de 2020</w:t>
      </w:r>
      <w:r w:rsidRPr="00E46C82">
        <w:rPr>
          <w:rFonts w:ascii="Verdana" w:eastAsia="Calibri" w:hAnsi="Verdana" w:cs="Arial"/>
          <w:color w:val="000000"/>
          <w:vertAlign w:val="superscript"/>
          <w:lang w:val="es-ES" w:eastAsia="en-GB"/>
        </w:rPr>
        <w:footnoteReference w:id="4"/>
      </w:r>
      <w:r w:rsidRPr="00E46C82">
        <w:rPr>
          <w:rFonts w:ascii="Verdana" w:eastAsia="Calibri" w:hAnsi="Verdana" w:cs="Arial"/>
          <w:color w:val="000000"/>
          <w:lang w:val="es-ES" w:eastAsia="en-GB"/>
        </w:rPr>
        <w:t>, el Registro Nacional de Obras Civiles Inconclusas es un sistema administrado por la Contraloría General de la República</w:t>
      </w:r>
      <w:r w:rsidRPr="00E46C82">
        <w:rPr>
          <w:rFonts w:ascii="Verdana" w:eastAsia="Calibri" w:hAnsi="Verdana" w:cs="Arial"/>
          <w:color w:val="000000"/>
          <w:vertAlign w:val="superscript"/>
          <w:lang w:val="es-ES" w:eastAsia="en-GB"/>
        </w:rPr>
        <w:footnoteReference w:id="5"/>
      </w:r>
      <w:r w:rsidRPr="00E46C82">
        <w:rPr>
          <w:rFonts w:ascii="Verdana" w:eastAsia="Calibri" w:hAnsi="Verdana" w:cs="Arial"/>
          <w:color w:val="000000"/>
          <w:lang w:val="es-ES" w:eastAsia="en-GB"/>
        </w:rPr>
        <w:t xml:space="preserve">, construido a partir de la información remitida por las entidades estatales en los distintos niveles o los datos obtenidos por dicho órgano de control fiscal, sobre las obras inconclusas del país. El artículo 2, literal b) de la Ley 2020 de 2020 complementa esta noción, indicando que el Registro Nacional de Obras Civiles Inconclusas: </w:t>
      </w:r>
      <w:r w:rsidRPr="00E46C82">
        <w:rPr>
          <w:rFonts w:ascii="Verdana" w:eastAsia="Calibri" w:hAnsi="Verdana" w:cs="Arial"/>
          <w:i/>
          <w:iCs/>
          <w:color w:val="000000"/>
          <w:lang w:val="es-ES" w:eastAsia="en-GB"/>
        </w:rPr>
        <w:t xml:space="preserve">“Es un sistema que contiene los </w:t>
      </w:r>
      <w:r w:rsidRPr="00E46C82">
        <w:rPr>
          <w:rFonts w:ascii="Verdana" w:eastAsia="Calibri" w:hAnsi="Verdana" w:cs="Arial"/>
          <w:i/>
          <w:iCs/>
          <w:color w:val="000000"/>
          <w:lang w:val="es-ES" w:eastAsia="en-GB"/>
        </w:rPr>
        <w:lastRenderedPageBreak/>
        <w:t xml:space="preserve">datos sobre obras inconclusas en todo el territorio nacional. El inventario de obras civiles inconclusas reportado por las entidades estatales hará parte integral del banco de proyectos de la respectiva entidad”. </w:t>
      </w:r>
    </w:p>
    <w:p w14:paraId="26BFCC96" w14:textId="77777777" w:rsidR="007300A9" w:rsidRPr="00E46C82" w:rsidRDefault="007300A9" w:rsidP="00B50A96">
      <w:pPr>
        <w:tabs>
          <w:tab w:val="left" w:pos="0"/>
        </w:tabs>
        <w:spacing w:after="120" w:line="276" w:lineRule="auto"/>
        <w:ind w:firstLine="709"/>
        <w:jc w:val="both"/>
        <w:rPr>
          <w:rFonts w:ascii="Verdana" w:eastAsia="Times New Roman" w:hAnsi="Verdana" w:cs="Arial"/>
          <w:color w:val="000000"/>
          <w:lang w:val="es-ES" w:eastAsia="es-ES_tradnl"/>
        </w:rPr>
      </w:pPr>
      <w:r w:rsidRPr="00E46C82">
        <w:rPr>
          <w:rFonts w:ascii="Verdana" w:eastAsia="Calibri" w:hAnsi="Verdana" w:cs="Arial"/>
          <w:color w:val="000000"/>
          <w:lang w:val="es-ES" w:eastAsia="en-GB"/>
        </w:rPr>
        <w:t>La información de este</w:t>
      </w:r>
      <w:r w:rsidRPr="00E46C82">
        <w:rPr>
          <w:rFonts w:ascii="Verdana" w:eastAsia="Times New Roman" w:hAnsi="Verdana" w:cs="Arial"/>
          <w:color w:val="000000"/>
          <w:lang w:val="es-ES" w:eastAsia="es-ES_tradnl"/>
        </w:rPr>
        <w:t xml:space="preserve"> registro debe actualizarse permanentemente. La Contraloría General de la República y las entidades estatales deberán realizar el seguimiento y actualización del Registro Nacional de Obras Civiles Inconclusas, con el fin de establecer la realidad respecto de la condición técnica, física y financiera de aquellas. Además, las entidades estatales deberán garantizar la actualización permanente del Registro Nacional de Obras Civiles Inconclusas en los términos y condiciones que disponga la Contraloría General de la República</w:t>
      </w:r>
      <w:r w:rsidRPr="00E46C82">
        <w:rPr>
          <w:rFonts w:ascii="Verdana" w:eastAsia="Calibri" w:hAnsi="Verdana" w:cs="Arial"/>
          <w:color w:val="000000"/>
          <w:vertAlign w:val="superscript"/>
          <w:lang w:val="es-ES" w:eastAsia="en-GB"/>
        </w:rPr>
        <w:footnoteReference w:id="6"/>
      </w:r>
      <w:r w:rsidRPr="00E46C82">
        <w:rPr>
          <w:rFonts w:ascii="Verdana" w:eastAsia="Times New Roman" w:hAnsi="Verdana" w:cs="Arial"/>
          <w:color w:val="000000"/>
          <w:lang w:val="es-ES" w:eastAsia="es-ES_tradnl"/>
        </w:rPr>
        <w:t>.</w:t>
      </w:r>
    </w:p>
    <w:p w14:paraId="27185309" w14:textId="77777777" w:rsidR="007300A9" w:rsidRDefault="007300A9"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De esta manera, la </w:t>
      </w:r>
      <w:r w:rsidRPr="00E46C82">
        <w:rPr>
          <w:rFonts w:ascii="Verdana" w:eastAsia="Times New Roman" w:hAnsi="Verdana" w:cs="Arial"/>
          <w:color w:val="000000"/>
          <w:lang w:val="es-ES" w:eastAsia="es-ES_tradnl"/>
        </w:rPr>
        <w:t xml:space="preserve">Contraloría General de la República, a través de la Dirección de Información, Análisis y Reacción Inmediata, es la encargada de dirigir y coordinar </w:t>
      </w:r>
      <w:r w:rsidRPr="00E46C82">
        <w:rPr>
          <w:rFonts w:ascii="Verdana" w:eastAsia="Calibri" w:hAnsi="Verdana" w:cs="Arial"/>
          <w:color w:val="000000"/>
          <w:lang w:val="es-ES" w:eastAsia="en-GB"/>
        </w:rPr>
        <w:t>el Registro Nacional de Obras Civiles Inconclusas y realizar el seguimiento y actualización de este. Por ello, mediante la Resolución No. REG-ORD-0042-2020 del 25 de agosto de 2020</w:t>
      </w:r>
      <w:r w:rsidRPr="00E46C82">
        <w:rPr>
          <w:rFonts w:ascii="Verdana" w:eastAsia="Calibri" w:hAnsi="Verdana" w:cs="Arial"/>
          <w:color w:val="000000"/>
          <w:vertAlign w:val="superscript"/>
          <w:lang w:val="es-ES" w:eastAsia="en-GB"/>
        </w:rPr>
        <w:footnoteReference w:id="7"/>
      </w:r>
      <w:r w:rsidRPr="00E46C82">
        <w:rPr>
          <w:rFonts w:ascii="Verdana" w:eastAsia="Calibri" w:hAnsi="Verdana" w:cs="Arial"/>
          <w:color w:val="000000"/>
          <w:lang w:val="es-ES" w:eastAsia="en-GB"/>
        </w:rPr>
        <w:t xml:space="preserve">, expedida por la </w:t>
      </w:r>
      <w:r w:rsidRPr="00E46C82">
        <w:rPr>
          <w:rFonts w:ascii="Verdana" w:eastAsia="Times New Roman" w:hAnsi="Verdana" w:cs="Arial"/>
          <w:color w:val="000000"/>
          <w:lang w:val="es-ES" w:eastAsia="es-ES_tradnl"/>
        </w:rPr>
        <w:t>Contraloría General de la República,</w:t>
      </w:r>
      <w:r w:rsidRPr="00E46C82">
        <w:rPr>
          <w:rFonts w:ascii="Verdana" w:eastAsia="Calibri" w:hAnsi="Verdana" w:cs="Arial"/>
          <w:color w:val="000000"/>
          <w:lang w:val="es-ES" w:eastAsia="en-GB"/>
        </w:rPr>
        <w:t xml:space="preserve"> se estableció que la información concerniente al Registro Nacional de Obras Civiles Inconclusas se rendiría a través del SIRECI, conforme al Capítulo II </w:t>
      </w:r>
      <w:r w:rsidRPr="00E46C82">
        <w:rPr>
          <w:rFonts w:ascii="Verdana" w:eastAsia="Calibri" w:hAnsi="Verdana" w:cs="Arial"/>
          <w:i/>
          <w:iCs/>
          <w:color w:val="000000"/>
          <w:lang w:val="es-ES" w:eastAsia="en-GB"/>
        </w:rPr>
        <w:t>“Información de Obras Inconclusas”</w:t>
      </w:r>
      <w:r w:rsidRPr="00E46C82">
        <w:rPr>
          <w:rFonts w:ascii="Verdana" w:eastAsia="Calibri" w:hAnsi="Verdana" w:cs="Arial"/>
          <w:color w:val="000000"/>
          <w:lang w:val="es-ES" w:eastAsia="en-GB"/>
        </w:rPr>
        <w:t xml:space="preserve"> del Título III </w:t>
      </w:r>
      <w:r w:rsidRPr="00E46C82">
        <w:rPr>
          <w:rFonts w:ascii="Verdana" w:eastAsia="Calibri" w:hAnsi="Verdana" w:cs="Arial"/>
          <w:i/>
          <w:iCs/>
          <w:color w:val="000000"/>
          <w:lang w:val="es-ES" w:eastAsia="en-GB"/>
        </w:rPr>
        <w:t>“Rendición de Otra Información”.</w:t>
      </w:r>
      <w:r w:rsidRPr="00E46C82">
        <w:rPr>
          <w:rFonts w:ascii="Verdana" w:eastAsia="Calibri" w:hAnsi="Verdana" w:cs="Arial"/>
          <w:color w:val="000000"/>
          <w:lang w:val="es-ES" w:eastAsia="en-GB"/>
        </w:rPr>
        <w:t xml:space="preserve"> De acuerdo con el artículo 51 de dicha Resolución, el contenido de la información es la requerida en el Sistema de Rendición Electrónico de la Cuenta e Informe y Otra Información –SIRECI–, sobre la información que debe incorporarse en la relación de obras civiles inconclusas, de conformidad con la ley. </w:t>
      </w:r>
    </w:p>
    <w:p w14:paraId="29268D70" w14:textId="77777777" w:rsidR="002F06BF" w:rsidRPr="00E46C82" w:rsidRDefault="002F06BF"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Respecto al contenido del Registro Nacional de Obras Civiles Inconclusas, el artículo 4 de la Ley 2020 de 2020 determina la información mínima que debe reportarse por las entidades públicas. Entre otros, deberá contener datos sobre la identificación del contratista, consultores, interventores y demás personas naturales y/o jurídicas que intervinieron en la planeación y ejecución del proyecto; las razones técnicas y/o jurídicas por las cuales la obra civil quedó </w:t>
      </w:r>
      <w:r w:rsidRPr="00E46C82">
        <w:rPr>
          <w:rFonts w:ascii="Verdana" w:eastAsia="Calibri" w:hAnsi="Verdana" w:cs="Arial"/>
          <w:color w:val="000000"/>
          <w:lang w:val="es-ES" w:eastAsia="en-GB"/>
        </w:rPr>
        <w:lastRenderedPageBreak/>
        <w:t xml:space="preserve">inconclusa; los pagos efectuados; los procesos en curso y/o fallos que hayan declarado responsabilidades penales, fiscales, civiles y disciplinarias derivadas de la obra inconclusa; los actos administrativos que declaren el incumplimiento de los contratistas o caducidad de los contratos, así como el </w:t>
      </w:r>
      <w:r w:rsidRPr="00E46C82">
        <w:rPr>
          <w:rFonts w:ascii="Verdana" w:eastAsia="Calibri" w:hAnsi="Verdana" w:cs="Arial"/>
          <w:lang w:val="es-ES"/>
        </w:rPr>
        <w:t>informe final presentado por el interventor del proyecto y la demás información que establezca la Contraloría General de la República.</w:t>
      </w:r>
      <w:r w:rsidRPr="00E46C82">
        <w:rPr>
          <w:rFonts w:ascii="Verdana" w:eastAsia="Calibri" w:hAnsi="Verdana" w:cs="Arial"/>
          <w:color w:val="000000"/>
          <w:lang w:val="es-ES" w:eastAsia="en-GB"/>
        </w:rPr>
        <w:t xml:space="preserve"> </w:t>
      </w:r>
    </w:p>
    <w:p w14:paraId="470CCC51" w14:textId="77777777" w:rsidR="002F06BF" w:rsidRPr="00E46C82" w:rsidRDefault="002F06BF"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Igualmente, conforme al artículo 15 </w:t>
      </w:r>
      <w:r w:rsidRPr="00E46C82">
        <w:rPr>
          <w:rFonts w:ascii="Verdana" w:eastAsia="Calibri" w:hAnsi="Verdana" w:cs="Arial"/>
          <w:i/>
          <w:iCs/>
          <w:color w:val="000000"/>
          <w:lang w:val="es-ES" w:eastAsia="en-GB"/>
        </w:rPr>
        <w:t>ibídem</w:t>
      </w:r>
      <w:r w:rsidRPr="00E46C82">
        <w:rPr>
          <w:rFonts w:ascii="Verdana" w:eastAsia="Calibri" w:hAnsi="Verdana" w:cs="Arial"/>
          <w:color w:val="000000"/>
          <w:lang w:val="es-ES" w:eastAsia="en-GB"/>
        </w:rPr>
        <w:t xml:space="preserve">, se incluirán en el Registro Nacional de Obras Civiles Inconclusas las obras civiles ya terminadas que no se encuentren en funcionamiento. Para tales efectos, la Contraloría General de la República establecerá los criterios y el término para su incorporación. </w:t>
      </w:r>
    </w:p>
    <w:p w14:paraId="510715F8" w14:textId="77777777" w:rsidR="002F06BF" w:rsidRDefault="002F06BF" w:rsidP="00B50A96">
      <w:pPr>
        <w:spacing w:after="120" w:line="276" w:lineRule="auto"/>
        <w:ind w:firstLine="709"/>
        <w:jc w:val="both"/>
        <w:rPr>
          <w:rFonts w:ascii="Verdana" w:eastAsia="Times New Roman" w:hAnsi="Verdana" w:cs="Arial"/>
          <w:bCs/>
          <w:color w:val="000000"/>
          <w:lang w:val="es-ES" w:eastAsia="es-ES_tradnl"/>
        </w:rPr>
      </w:pPr>
      <w:r w:rsidRPr="00E46C82">
        <w:rPr>
          <w:rFonts w:ascii="Verdana" w:eastAsia="Calibri" w:hAnsi="Verdana" w:cs="Arial"/>
          <w:lang w:val="es-ES"/>
        </w:rPr>
        <w:t xml:space="preserve">En este contexto, las obras civiles inconclusas que deben incluirse en el Registro </w:t>
      </w:r>
      <w:r w:rsidRPr="00E46C82">
        <w:rPr>
          <w:rFonts w:ascii="Verdana" w:eastAsia="Calibri" w:hAnsi="Verdana" w:cs="Arial"/>
          <w:color w:val="000000"/>
          <w:lang w:val="es-ES" w:eastAsia="en-GB"/>
        </w:rPr>
        <w:t>Nacional de Obras Civiles Inconclusas están determinadas por la Ley 2020 de 2020, cuya administración es competencia de la Contraloría General de la República</w:t>
      </w:r>
      <w:r w:rsidRPr="00E46C82">
        <w:rPr>
          <w:rFonts w:ascii="Verdana" w:eastAsia="Calibri" w:hAnsi="Verdana" w:cs="Arial"/>
          <w:lang w:val="es-ES"/>
        </w:rPr>
        <w:t xml:space="preserve">. Por tanto, la entidad estatal responsable tiene la obligación de reportar la información que exige </w:t>
      </w:r>
      <w:r w:rsidRPr="00E46C82">
        <w:rPr>
          <w:rFonts w:ascii="Verdana" w:eastAsia="Times New Roman" w:hAnsi="Verdana" w:cs="Arial"/>
          <w:bCs/>
          <w:color w:val="000000"/>
          <w:lang w:val="es-ES" w:eastAsia="es-ES_tradnl"/>
        </w:rPr>
        <w:t xml:space="preserve">el artículo 2 de dicha Ley, de acuerdo con los presupuestos allí descritos, en concordancia con lo dispuesto en el artículo 4 sobre la información mínima que debe incorporar en el Registro, </w:t>
      </w:r>
      <w:r w:rsidRPr="00E46C82">
        <w:rPr>
          <w:rFonts w:ascii="Verdana" w:eastAsia="Calibri" w:hAnsi="Verdana" w:cs="Arial"/>
          <w:lang w:val="es-ES"/>
        </w:rPr>
        <w:t xml:space="preserve">así como toda aquella información que establezca </w:t>
      </w:r>
      <w:r w:rsidRPr="00E46C82">
        <w:rPr>
          <w:rFonts w:ascii="Verdana" w:eastAsia="Calibri" w:hAnsi="Verdana" w:cs="Arial"/>
          <w:color w:val="000000"/>
          <w:lang w:val="es-ES" w:eastAsia="en-GB"/>
        </w:rPr>
        <w:t>la Contraloría General de la República en el marco de sus competencias</w:t>
      </w:r>
      <w:r w:rsidRPr="00E46C82">
        <w:rPr>
          <w:rFonts w:ascii="Verdana" w:eastAsia="Times New Roman" w:hAnsi="Verdana" w:cs="Arial"/>
          <w:bCs/>
          <w:color w:val="000000"/>
          <w:lang w:val="es-ES" w:eastAsia="es-ES_tradnl"/>
        </w:rPr>
        <w:t xml:space="preserve">. </w:t>
      </w:r>
    </w:p>
    <w:p w14:paraId="7284967A" w14:textId="77777777" w:rsidR="00EA61CC" w:rsidRPr="00E46C82" w:rsidRDefault="00EA61CC" w:rsidP="00B50A96">
      <w:pPr>
        <w:spacing w:after="120" w:line="276" w:lineRule="auto"/>
        <w:ind w:firstLine="709"/>
        <w:jc w:val="both"/>
        <w:rPr>
          <w:rFonts w:ascii="Verdana" w:eastAsia="Calibri" w:hAnsi="Verdana" w:cs="Arial"/>
          <w:lang w:val="es-ES"/>
        </w:rPr>
      </w:pPr>
      <w:r w:rsidRPr="00E46C82">
        <w:rPr>
          <w:rFonts w:ascii="Verdana" w:eastAsia="Times New Roman" w:hAnsi="Verdana" w:cs="Arial"/>
          <w:bCs/>
          <w:color w:val="000000"/>
          <w:lang w:val="es-ES" w:eastAsia="es-ES_tradnl"/>
        </w:rPr>
        <w:t xml:space="preserve">El Registro Nacional de Obras Civiles Inconclusas contendrá el inventario actualizado de obras civiles inconclusas, compuesto por la información reportada por las entidades estatales sobre las obras civiles inconclusas de su jurisdicción, o la información obtenida por la Contraloría General de la República sobre el particular. Igualmente, deberá incluirse en el Registro </w:t>
      </w:r>
      <w:r w:rsidRPr="00E46C82">
        <w:rPr>
          <w:rFonts w:ascii="Verdana" w:eastAsia="Calibri" w:hAnsi="Verdana" w:cs="Arial"/>
          <w:color w:val="000000"/>
          <w:lang w:val="es-ES" w:eastAsia="en-GB"/>
        </w:rPr>
        <w:t>las obras civiles ya terminadas que no se encuentren en funcionamiento</w:t>
      </w:r>
      <w:r w:rsidRPr="00E46C82">
        <w:rPr>
          <w:rFonts w:ascii="Verdana" w:eastAsia="Times New Roman" w:hAnsi="Verdana" w:cs="Arial"/>
          <w:bCs/>
          <w:color w:val="000000"/>
          <w:lang w:val="es-ES" w:eastAsia="es-ES_tradnl"/>
        </w:rPr>
        <w:t xml:space="preserve"> de acuerdo con los criterios y el término para su incorporación que establezca la Contraloría General de la República. </w:t>
      </w:r>
    </w:p>
    <w:p w14:paraId="638DCA44" w14:textId="77777777" w:rsidR="00EA61CC" w:rsidRPr="00E46C82" w:rsidRDefault="00EA61CC"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Según artículo 9 de la Ley 2020 de 2020, la obligación de reportar esta información recae en los ministros, gerentes, presidentes, directores, superintendentes, gobernadores, alcaldes, y demás representantes legales de entidades estatales, en cualquiera de sus esferas nacionales o territoriales, y los demás ordenadores del gasto de quien dependa la toma de decisiones sobre la materia y su incumplimiento genera las sanciones respectivas conforme a la </w:t>
      </w:r>
      <w:r w:rsidRPr="00E46C82">
        <w:rPr>
          <w:rFonts w:ascii="Verdana" w:eastAsia="Calibri" w:hAnsi="Verdana" w:cs="Arial"/>
          <w:color w:val="000000"/>
          <w:lang w:val="es-ES" w:eastAsia="en-GB"/>
        </w:rPr>
        <w:lastRenderedPageBreak/>
        <w:t>normativa vigente</w:t>
      </w:r>
      <w:r w:rsidRPr="00E46C82">
        <w:rPr>
          <w:rFonts w:ascii="Verdana" w:eastAsia="Calibri" w:hAnsi="Verdana" w:cs="Arial"/>
          <w:color w:val="000000"/>
          <w:vertAlign w:val="superscript"/>
          <w:lang w:val="es-ES" w:eastAsia="en-GB"/>
        </w:rPr>
        <w:footnoteReference w:id="8"/>
      </w:r>
      <w:r w:rsidRPr="00E46C82">
        <w:rPr>
          <w:rFonts w:ascii="Verdana" w:eastAsia="Calibri" w:hAnsi="Verdana" w:cs="Arial"/>
          <w:color w:val="000000"/>
          <w:lang w:val="es-ES" w:eastAsia="en-GB"/>
        </w:rPr>
        <w:t xml:space="preserve">. En todo caso, la información que consta en el Registro podrá tenerse en cuenta por los entes de control o por las entidades públicas sometidas al Estatuto General de Contratación de la Administración Pública en los procesos fiscales, disciplinarios o sancionatorios que se adelanten en razón de la obra civil inconclusa. Igualmente, el acto administrativo que declare el incumplimiento, caducidad y/o terminación unilateral del contrato de obra, tendrá en cuenta en la parte motiva, la documentación que repose en el registro. </w:t>
      </w:r>
    </w:p>
    <w:p w14:paraId="51958DF6" w14:textId="77777777" w:rsidR="00EA61CC" w:rsidRPr="00E46C82" w:rsidRDefault="00EA61CC"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De esta manera, debido al carácter público de la información del registro, podrá </w:t>
      </w:r>
      <w:bookmarkStart w:id="2" w:name="_Hlk85120931"/>
      <w:r w:rsidRPr="00E46C82">
        <w:rPr>
          <w:rFonts w:ascii="Verdana" w:eastAsia="Calibri" w:hAnsi="Verdana" w:cs="Arial"/>
          <w:color w:val="000000"/>
          <w:lang w:val="es-ES" w:eastAsia="en-GB"/>
        </w:rPr>
        <w:t>verificarse en el sistema dispuesto por la Contraloría General de la Nación el motivo por el cual la obra civil quedó inconclusa, así como las situaciones de incumplimiento del contratista y en general el estado jurídico, técnico y financiero de la obra</w:t>
      </w:r>
      <w:bookmarkEnd w:id="2"/>
      <w:r w:rsidRPr="00E46C82">
        <w:rPr>
          <w:rFonts w:ascii="Verdana" w:eastAsia="Calibri" w:hAnsi="Verdana" w:cs="Arial"/>
          <w:color w:val="000000"/>
          <w:lang w:val="es-ES" w:eastAsia="en-GB"/>
        </w:rPr>
        <w:t>. Si se presenta alguna controversia respecto de la información suministrada por la entidad estatal, esta será la encargada de resolverla atendiendo los principios y disposiciones establecidos en la normativa vigente. Conforme al artículo 12, es preciso señalar que la cancelación de la anotación de la obra en el Registro Nacional de Obras Civiles Inconclusas solo operará a solicitud de la entidad estatal una vez haya sido demolida o finalizada exitosamente.</w:t>
      </w:r>
    </w:p>
    <w:p w14:paraId="7173E87C" w14:textId="00DBD936" w:rsidR="00EA61CC" w:rsidRDefault="00384CDA" w:rsidP="00B50A96">
      <w:pPr>
        <w:spacing w:after="120" w:line="276" w:lineRule="auto"/>
        <w:ind w:firstLine="709"/>
        <w:jc w:val="both"/>
        <w:rPr>
          <w:rFonts w:ascii="Verdana" w:eastAsia="Calibri" w:hAnsi="Verdana" w:cs="Arial"/>
          <w:lang w:val="es-ES" w:eastAsia="es-ES_tradnl"/>
        </w:rPr>
      </w:pPr>
      <w:r>
        <w:rPr>
          <w:rFonts w:ascii="Verdana" w:eastAsia="Calibri" w:hAnsi="Verdana" w:cs="Arial"/>
          <w:color w:val="000000"/>
          <w:lang w:val="es-ES" w:eastAsia="en-GB"/>
        </w:rPr>
        <w:t>De acuerdo con</w:t>
      </w:r>
      <w:r w:rsidR="00EA61CC" w:rsidRPr="00E46C82">
        <w:rPr>
          <w:rFonts w:ascii="Verdana" w:eastAsia="Calibri" w:hAnsi="Verdana" w:cs="Arial"/>
          <w:color w:val="000000"/>
          <w:lang w:val="es-ES" w:eastAsia="en-GB"/>
        </w:rPr>
        <w:t xml:space="preserve"> el literal a) del artículo 2 de la Ley 2020 de 2020 </w:t>
      </w:r>
      <w:r>
        <w:rPr>
          <w:rFonts w:ascii="Verdana" w:eastAsia="Calibri" w:hAnsi="Verdana" w:cs="Arial"/>
          <w:color w:val="000000"/>
          <w:lang w:val="es-ES" w:eastAsia="en-GB"/>
        </w:rPr>
        <w:t xml:space="preserve">el cual </w:t>
      </w:r>
      <w:r w:rsidR="00EA61CC" w:rsidRPr="00E46C82">
        <w:rPr>
          <w:rFonts w:ascii="Verdana" w:eastAsia="Calibri" w:hAnsi="Verdana" w:cs="Arial"/>
          <w:color w:val="000000"/>
          <w:lang w:val="es-ES" w:eastAsia="en-GB"/>
        </w:rPr>
        <w:t xml:space="preserve">definió la </w:t>
      </w:r>
      <w:r w:rsidR="00EA61CC" w:rsidRPr="00E46C82">
        <w:rPr>
          <w:rFonts w:ascii="Verdana" w:eastAsia="Calibri" w:hAnsi="Verdana" w:cs="Arial"/>
          <w:i/>
          <w:iCs/>
          <w:color w:val="000000"/>
          <w:lang w:val="es-ES" w:eastAsia="en-GB"/>
        </w:rPr>
        <w:t>obra civil inconclusa</w:t>
      </w:r>
      <w:r w:rsidR="00EA61CC" w:rsidRPr="00E46C82">
        <w:rPr>
          <w:rFonts w:ascii="Verdana" w:eastAsia="Calibri" w:hAnsi="Verdana" w:cs="Arial"/>
          <w:color w:val="000000"/>
          <w:lang w:val="es-ES" w:eastAsia="en-GB"/>
        </w:rPr>
        <w:t xml:space="preserve"> como aquella </w:t>
      </w:r>
      <w:r w:rsidR="00EA61CC" w:rsidRPr="00E46C82">
        <w:rPr>
          <w:rFonts w:ascii="Verdana" w:eastAsia="Calibri" w:hAnsi="Verdana" w:cs="Arial"/>
          <w:i/>
          <w:iCs/>
          <w:lang w:val="es-ES" w:eastAsia="es-ES_tradnl"/>
        </w:rPr>
        <w:t>“[…] construcción, mantenimiento, instalación, o realización de cualquier otro trabajo material sobre bienes inmuebles, cualquiera que sea su modalidad de ejecución y pago, que un (1) año después de vencido el término de liquidación contractual, no haya sido concluido de manera satisfactoria para el interés general o el definido por la entidad estatal contratante o no esté presentando el servicio para el cual fue contratada”</w:t>
      </w:r>
      <w:r w:rsidR="00EA61CC" w:rsidRPr="00E46C82">
        <w:rPr>
          <w:rFonts w:ascii="Verdana" w:eastAsia="Calibri" w:hAnsi="Verdana" w:cs="Arial"/>
          <w:lang w:val="es-ES" w:eastAsia="es-ES_tradnl"/>
        </w:rPr>
        <w:t>.</w:t>
      </w:r>
    </w:p>
    <w:p w14:paraId="5F276AB5" w14:textId="77777777" w:rsidR="005F14F5" w:rsidRPr="00E46C82" w:rsidRDefault="005F14F5" w:rsidP="00B50A96">
      <w:pPr>
        <w:spacing w:after="120" w:line="276" w:lineRule="auto"/>
        <w:ind w:firstLine="709"/>
        <w:jc w:val="both"/>
        <w:rPr>
          <w:rFonts w:ascii="Verdana" w:hAnsi="Verdana"/>
          <w:lang w:val="es-ES" w:eastAsia="es-ES_tradnl"/>
        </w:rPr>
      </w:pPr>
      <w:r w:rsidRPr="00E46C82">
        <w:rPr>
          <w:rFonts w:ascii="Verdana" w:eastAsia="Calibri" w:hAnsi="Verdana" w:cs="Arial"/>
          <w:lang w:val="es-ES" w:eastAsia="es-ES_tradnl"/>
        </w:rPr>
        <w:t xml:space="preserve">Por tanto, de esta definición se puede establecer un ámbito temporal a partir del cual se considera una obra civil como inconclusa, y para que, como consecuencia de ello, sea procedente la anotación respectiva en el registro referido. La norma considera como obras civiles inconclusas aquellas que no hayan concluido de manera satisfactoria para el interés general o el definido por la entidad contratante o no preste el servicio para el cual se contrató, luego de </w:t>
      </w:r>
      <w:r w:rsidRPr="00E46C82">
        <w:rPr>
          <w:rFonts w:ascii="Verdana" w:eastAsia="Calibri" w:hAnsi="Verdana" w:cs="Arial"/>
          <w:lang w:val="es-ES" w:eastAsia="es-ES_tradnl"/>
        </w:rPr>
        <w:lastRenderedPageBreak/>
        <w:t xml:space="preserve">trascurrido un (1) año </w:t>
      </w:r>
      <w:r w:rsidRPr="00E46C82">
        <w:rPr>
          <w:rFonts w:ascii="Verdana" w:eastAsia="Calibri" w:hAnsi="Verdana" w:cs="Arial"/>
          <w:i/>
          <w:iCs/>
          <w:lang w:val="es-ES" w:eastAsia="es-ES_tradnl"/>
        </w:rPr>
        <w:t>después del vencimiento del término de liquidación contractual</w:t>
      </w:r>
      <w:r w:rsidRPr="00E46C82">
        <w:rPr>
          <w:rFonts w:ascii="Verdana" w:eastAsia="Calibri" w:hAnsi="Verdana" w:cs="Arial"/>
          <w:lang w:val="es-ES" w:eastAsia="es-ES_tradnl"/>
        </w:rPr>
        <w:t xml:space="preserve">. Esto quiere decir que, en los términos de la Ley 2020 de 2020, una obra civil es inconclusa cuando, fenecida la etapa de liquidación contractual, ha transcurrido un año y la obra no ha concluido satisfactoriamente para el interés general, o el definido por la entidad, o no esté prestando el servicio para el cual fue contratada. </w:t>
      </w:r>
    </w:p>
    <w:p w14:paraId="15122205" w14:textId="77777777" w:rsidR="005F015B" w:rsidRPr="00E46C82" w:rsidRDefault="005F015B" w:rsidP="00B50A96">
      <w:pPr>
        <w:pStyle w:val="Sinespaciado"/>
        <w:spacing w:after="120" w:line="276" w:lineRule="auto"/>
        <w:ind w:firstLine="709"/>
        <w:jc w:val="both"/>
        <w:rPr>
          <w:rFonts w:ascii="Verdana" w:hAnsi="Verdana" w:cs="Arial"/>
          <w:color w:val="000000" w:themeColor="text1"/>
          <w:lang w:val="es-ES"/>
        </w:rPr>
      </w:pPr>
      <w:r w:rsidRPr="00E46C82">
        <w:rPr>
          <w:rFonts w:ascii="Verdana" w:eastAsia="Calibri" w:hAnsi="Verdana" w:cs="Arial"/>
          <w:lang w:val="es-ES" w:eastAsia="es-ES_tradnl"/>
        </w:rPr>
        <w:t>Ahora, para comprender el alcance de la definición del literal a) del artículo 2 de la Ley 2020 de 2020 es necesario armonizar esta disposición normativa con el artículo 11 de la Ley 1150 de 2007</w:t>
      </w:r>
      <w:r w:rsidRPr="00E46C82">
        <w:rPr>
          <w:rStyle w:val="Refdenotaalpie"/>
          <w:rFonts w:ascii="Verdana" w:eastAsia="Calibri" w:hAnsi="Verdana" w:cs="Arial"/>
          <w:lang w:val="es-ES" w:eastAsia="es-ES_tradnl"/>
        </w:rPr>
        <w:footnoteReference w:id="9"/>
      </w:r>
      <w:r w:rsidRPr="00E46C82">
        <w:rPr>
          <w:rFonts w:ascii="Verdana" w:eastAsia="Calibri" w:hAnsi="Verdana" w:cs="Arial"/>
          <w:lang w:val="es-ES" w:eastAsia="es-ES_tradnl"/>
        </w:rPr>
        <w:t xml:space="preserve">, que previó las reglas para la liquidación de los contratos estatales. Esta disposición señaló, </w:t>
      </w:r>
      <w:r w:rsidRPr="00E46C82">
        <w:rPr>
          <w:rFonts w:ascii="Verdana" w:hAnsi="Verdana" w:cs="Arial"/>
          <w:color w:val="000000" w:themeColor="text1"/>
          <w:lang w:val="es-ES"/>
        </w:rPr>
        <w:t xml:space="preserve">en primer lugar que, en ejercicio de la autonomía de la voluntad y de conformidad con los criterios de la naturaleza, objeto y plazo del contrato, la entidad puede definir en el pliego de condiciones o en el contrato el plazo para efectuar la liquidación de mutuo acuerdo. En ausencia de cláusula en el pliego de condiciones o documento equivalente o de pacto contractual, el artículo 11 de la Ley 1150 de 2007 prevé un término supletivo de 4 meses contados desde: (i) el vencimiento del plazo previsto para la ejecución del contrato, (ii) la expedición del acto administrativo que ordene la terminación del contrato o (iii) la fecha del acuerdo que disponga la terminación del contrato. </w:t>
      </w:r>
    </w:p>
    <w:p w14:paraId="73AFCE7D" w14:textId="77777777" w:rsidR="005F015B" w:rsidRPr="00E46C82" w:rsidRDefault="005F015B" w:rsidP="00B50A96">
      <w:pPr>
        <w:spacing w:after="12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t>En segundo lugar, el artículo 11 de la Ley 1150 de 2007 establece que si no es posible efectuar la liquidación de manera bilateral, la entidad estatal puede realizar la liquidación unilateralmente durante el término de 2 meses contados a partir del vencimiento del plazo que acuerden las partes para liquidar bilateralmente, o ante el silencio de estas, del vencimiento de los 4 meses supletivos establecidos por la Ley.</w:t>
      </w:r>
    </w:p>
    <w:p w14:paraId="3A9185D9" w14:textId="77777777" w:rsidR="005F015B" w:rsidRPr="00E46C82" w:rsidRDefault="005F015B" w:rsidP="00B50A96">
      <w:pPr>
        <w:spacing w:after="12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lastRenderedPageBreak/>
        <w:t>En tercer lugar, trascurrida las oportunidades anteriores, y teniendo en cuenta el término de caducidad establecido en el literal j) del numeral 2 del artículo 164 del CPACA</w:t>
      </w:r>
      <w:r w:rsidRPr="00E46C82">
        <w:rPr>
          <w:rStyle w:val="Refdenotaalpie"/>
          <w:rFonts w:ascii="Verdana" w:hAnsi="Verdana" w:cs="Arial"/>
          <w:color w:val="000000" w:themeColor="text1"/>
          <w:lang w:val="es-ES"/>
        </w:rPr>
        <w:footnoteReference w:id="10"/>
      </w:r>
      <w:r w:rsidRPr="00E46C82">
        <w:rPr>
          <w:rFonts w:ascii="Verdana" w:hAnsi="Verdana" w:cs="Arial"/>
          <w:color w:val="000000" w:themeColor="text1"/>
          <w:lang w:val="es-ES"/>
        </w:rPr>
        <w:t xml:space="preserve">, la liquidación podrá ser realizada en cualquier tiempo dentro de los dos años siguientes al vencimiento del término referido. Durante estos dos años la liquidación podrá hacerse de mutuo acuerdo, unilateralmente por la entidad, o podrá ser solicitada judicialmente. </w:t>
      </w:r>
    </w:p>
    <w:p w14:paraId="7BC8BA28" w14:textId="77777777" w:rsidR="005F015B" w:rsidRPr="00E46C82" w:rsidRDefault="005F015B" w:rsidP="00B50A96">
      <w:pPr>
        <w:spacing w:after="12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t xml:space="preserve">Una interpretación que responda al fin último de la Ley 2020 de 2020 indica que, no es viable incluir el término de caducidad de la acción contractual para los efectos del artículo segundo, pues la norma busca que las entidades puedan tomar acciones oportunas y expeditas con respecto a las obras que presenten fallas y que no cumplan los fines para los cuales fueron contratadas. </w:t>
      </w:r>
    </w:p>
    <w:p w14:paraId="5E9A990D" w14:textId="013D6F0A" w:rsidR="005F015B" w:rsidRPr="00E46C82" w:rsidRDefault="005F015B" w:rsidP="00B50A96">
      <w:pPr>
        <w:spacing w:after="12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t>En efecto, la interpretación sistemática-finalística busca que prevalezca el sentido razonable de la disposición dentro del contexto del ordenamiento jurídico, tomando la finalidad que busca cumplir</w:t>
      </w:r>
      <w:r w:rsidRPr="00E46C82">
        <w:rPr>
          <w:rStyle w:val="Refdenotaalpie"/>
          <w:rFonts w:ascii="Verdana" w:hAnsi="Verdana" w:cs="Arial"/>
          <w:color w:val="000000" w:themeColor="text1"/>
          <w:lang w:val="es-ES"/>
        </w:rPr>
        <w:footnoteReference w:id="11"/>
      </w:r>
      <w:r w:rsidRPr="00E46C82">
        <w:rPr>
          <w:rFonts w:ascii="Verdana" w:hAnsi="Verdana" w:cs="Arial"/>
          <w:color w:val="000000" w:themeColor="text1"/>
          <w:lang w:val="es-ES"/>
        </w:rPr>
        <w:t xml:space="preserve">. Bajo esta perspectiva, el término de un </w:t>
      </w:r>
      <w:r w:rsidR="00612EFC" w:rsidRPr="00E46C82">
        <w:rPr>
          <w:rFonts w:ascii="Verdana" w:hAnsi="Verdana" w:cs="Arial"/>
          <w:color w:val="000000" w:themeColor="text1"/>
          <w:lang w:val="es-ES"/>
        </w:rPr>
        <w:t>año para</w:t>
      </w:r>
      <w:r w:rsidRPr="00E46C82">
        <w:rPr>
          <w:rFonts w:ascii="Verdana" w:hAnsi="Verdana" w:cs="Arial"/>
          <w:color w:val="000000" w:themeColor="text1"/>
          <w:lang w:val="es-ES"/>
        </w:rPr>
        <w:t xml:space="preserve"> determinar una obra como inconclusa deberá contarse una vez vencido el plazo pactado por las partes en el contrato para la liquidación o, cuando este no haya sido estipulado, dentro de los cuatro meses siguientes al plazo de la ejecución de la obra, o del acto administrativo que ordene su liquidación. Lo anterior, pues la Ley 2020 de 2020 busca mitigar la problemática de las obras inconclusas y no sería coherente con este objetivo que la entidad tuviese que esperar la liquidación en sede judicial para poder identificar y tomar acciones que salvaguarden el patrimonio público. </w:t>
      </w:r>
    </w:p>
    <w:p w14:paraId="6BEE5FC3" w14:textId="34B99846" w:rsidR="005F015B" w:rsidRDefault="005F015B" w:rsidP="00B50A96">
      <w:pPr>
        <w:spacing w:after="120" w:line="276" w:lineRule="auto"/>
        <w:ind w:firstLine="709"/>
        <w:jc w:val="both"/>
        <w:rPr>
          <w:rFonts w:ascii="Verdana" w:eastAsia="Calibri" w:hAnsi="Verdana" w:cs="Arial"/>
          <w:lang w:val="es-ES" w:eastAsia="es-ES_tradnl"/>
        </w:rPr>
      </w:pPr>
      <w:r w:rsidRPr="00E46C82">
        <w:rPr>
          <w:rFonts w:ascii="Verdana" w:hAnsi="Verdana" w:cs="Arial"/>
          <w:color w:val="000000" w:themeColor="text1"/>
          <w:lang w:val="es-ES"/>
        </w:rPr>
        <w:t xml:space="preserve">En consecuencia, </w:t>
      </w:r>
      <w:r w:rsidRPr="00E46C82">
        <w:rPr>
          <w:rFonts w:ascii="Verdana" w:eastAsia="Calibri" w:hAnsi="Verdana" w:cs="Arial"/>
          <w:lang w:val="es-ES" w:eastAsia="es-ES_tradnl"/>
        </w:rPr>
        <w:t xml:space="preserve">cuando </w:t>
      </w:r>
      <w:r w:rsidRPr="00E46C82">
        <w:rPr>
          <w:rFonts w:ascii="Verdana" w:hAnsi="Verdana" w:cs="Arial"/>
          <w:color w:val="000000" w:themeColor="text1"/>
          <w:lang w:val="es-ES"/>
        </w:rPr>
        <w:t xml:space="preserve">el </w:t>
      </w:r>
      <w:r w:rsidRPr="00E46C82">
        <w:rPr>
          <w:rFonts w:ascii="Verdana" w:eastAsia="Calibri" w:hAnsi="Verdana" w:cs="Arial"/>
          <w:lang w:val="es-ES" w:eastAsia="es-ES_tradnl"/>
        </w:rPr>
        <w:t>literal a) del artículo 2 de la Ley 2020 de 2020 se refiere al “</w:t>
      </w:r>
      <w:r w:rsidRPr="00E46C82">
        <w:rPr>
          <w:rFonts w:ascii="Verdana" w:eastAsia="Calibri" w:hAnsi="Verdana" w:cs="Arial"/>
          <w:i/>
          <w:iCs/>
          <w:lang w:val="es-ES" w:eastAsia="es-ES_tradnl"/>
        </w:rPr>
        <w:t>vencimiento del término de liquidación contractual”</w:t>
      </w:r>
      <w:r w:rsidRPr="00E46C82">
        <w:rPr>
          <w:rFonts w:ascii="Verdana" w:eastAsia="Calibri" w:hAnsi="Verdana" w:cs="Arial"/>
          <w:lang w:val="es-ES" w:eastAsia="es-ES_tradnl"/>
        </w:rPr>
        <w:t xml:space="preserve"> es necesario interpretar que incluye únicamente el término pactado para la liquidación, o el término de la liquidación bilateral o unilateral. De esta forma, si el contrato es liquidado de común acuerdo, la entidad podrá calificar la obra como inconclusa </w:t>
      </w:r>
      <w:r w:rsidRPr="00E46C82">
        <w:rPr>
          <w:rFonts w:ascii="Verdana" w:eastAsia="Calibri" w:hAnsi="Verdana" w:cs="Arial"/>
          <w:lang w:val="es-ES" w:eastAsia="es-ES_tradnl"/>
        </w:rPr>
        <w:lastRenderedPageBreak/>
        <w:t>una vez transcurrido un año a partir de esa fecha. Si la liquidación fue unilateral, la obra será calificada como inconclusa transcurrido un año a partir de la fecha de liquidación unilateral por parte de la entidad estatal. Vencidos estos términos sin que la entidad liquide el contrato, la obra será calificada como inconclusa transcurrido un año a partir de la fecha en que debió realizarse la liquidación unilateral, sin que sea necesario que transcurra el término de caducidad de la acción contractual</w:t>
      </w:r>
      <w:r w:rsidRPr="00E46C82">
        <w:rPr>
          <w:rStyle w:val="Refdenotaalpie"/>
          <w:rFonts w:ascii="Verdana" w:eastAsia="Calibri" w:hAnsi="Verdana" w:cs="Arial"/>
          <w:lang w:val="es-ES" w:eastAsia="es-ES_tradnl"/>
        </w:rPr>
        <w:footnoteReference w:id="12"/>
      </w:r>
      <w:r w:rsidRPr="00E46C82">
        <w:rPr>
          <w:rFonts w:ascii="Verdana" w:eastAsia="Calibri" w:hAnsi="Verdana" w:cs="Arial"/>
          <w:lang w:val="es-ES" w:eastAsia="es-ES_tradnl"/>
        </w:rPr>
        <w:t>.</w:t>
      </w:r>
    </w:p>
    <w:p w14:paraId="5104A89D" w14:textId="77777777" w:rsidR="003F5660" w:rsidRPr="00E46C82" w:rsidRDefault="003F5660" w:rsidP="00B50A96">
      <w:pPr>
        <w:spacing w:after="120" w:line="276" w:lineRule="auto"/>
        <w:ind w:firstLine="709"/>
        <w:jc w:val="both"/>
        <w:rPr>
          <w:rFonts w:ascii="Verdana" w:eastAsia="Calibri" w:hAnsi="Verdana" w:cs="Arial"/>
          <w:lang w:val="es-ES" w:eastAsia="es-ES_tradnl"/>
        </w:rPr>
      </w:pPr>
      <w:r w:rsidRPr="00E46C82">
        <w:rPr>
          <w:rFonts w:ascii="Verdana" w:eastAsia="Calibri" w:hAnsi="Verdana" w:cs="Arial"/>
          <w:lang w:val="es-ES" w:eastAsia="es-ES_tradnl"/>
        </w:rPr>
        <w:t xml:space="preserve">Lo anterior es acorde con los artículos 345 y 346 de la </w:t>
      </w:r>
      <w:r>
        <w:rPr>
          <w:rFonts w:ascii="Verdana" w:eastAsia="Calibri" w:hAnsi="Verdana" w:cs="Arial"/>
          <w:lang w:val="es-ES" w:eastAsia="es-ES_tradnl"/>
        </w:rPr>
        <w:t>C</w:t>
      </w:r>
      <w:r w:rsidRPr="00E46C82">
        <w:rPr>
          <w:rFonts w:ascii="Verdana" w:eastAsia="Calibri" w:hAnsi="Verdana" w:cs="Arial"/>
          <w:lang w:val="es-ES" w:eastAsia="es-ES_tradnl"/>
        </w:rPr>
        <w:t>onstitución</w:t>
      </w:r>
      <w:r>
        <w:rPr>
          <w:rFonts w:ascii="Verdana" w:eastAsia="Calibri" w:hAnsi="Verdana" w:cs="Arial"/>
          <w:lang w:val="es-ES" w:eastAsia="es-ES_tradnl"/>
        </w:rPr>
        <w:t xml:space="preserve"> Política</w:t>
      </w:r>
      <w:r w:rsidRPr="00E46C82">
        <w:rPr>
          <w:rFonts w:ascii="Verdana" w:eastAsia="Calibri" w:hAnsi="Verdana" w:cs="Arial"/>
          <w:lang w:val="es-ES" w:eastAsia="es-ES_tradnl"/>
        </w:rPr>
        <w:t xml:space="preserve">, pues busca que la entidad observe el deber en materia presupuestal con respecto a las apropiaciones con cargo a las cuales procederá con la conclusión o demolición de las obras. Además, es acorde con la finalidad de evitar que las obras continúen paralizadas por un tiempo significativo de tiempo, sin que la entidad pueda tomar determinaciones para su terminación o demolición que eviten ocasionar un mayor deterioro a la estructura como resultado de la incapacidad para realizar actuaciones que optimicen los recursos publico invertidos. </w:t>
      </w:r>
    </w:p>
    <w:p w14:paraId="3AC56A73" w14:textId="77777777" w:rsidR="003F5660" w:rsidRPr="00E46C82" w:rsidRDefault="003F5660" w:rsidP="00B50A96">
      <w:pPr>
        <w:spacing w:after="120" w:line="276" w:lineRule="auto"/>
        <w:ind w:firstLine="709"/>
        <w:jc w:val="both"/>
        <w:rPr>
          <w:rFonts w:ascii="Verdana" w:eastAsia="Calibri" w:hAnsi="Verdana" w:cs="Arial"/>
          <w:lang w:val="es-ES" w:eastAsia="es-ES_tradnl"/>
        </w:rPr>
      </w:pPr>
      <w:r w:rsidRPr="00E46C82">
        <w:rPr>
          <w:rFonts w:ascii="Verdana" w:hAnsi="Verdana" w:cs="Arial"/>
          <w:lang w:val="es-ES"/>
        </w:rPr>
        <w:t>Como se dijo antes, la norma busca que las entidades tengan la capacidad de adoptar decisiones para reparar las irregularidades presentadas en las obras que no cumplen con el objeto contratado y que puedan elaborar un diagnóstico oportuno con el fin de determinar la viabilidad técnica, jurídica y financiera de terminar o demoler la obra. En este contexto, la norma tiene como fin relevante el de crear un sistema de prevención que permita a las entidades detectar y atender de manera a tiempo las obras que se encuentren en riesgo de abandono e incorporar planes de acción que le permitan determinar la viabilidad de terminarlas o demolerlas.</w:t>
      </w:r>
    </w:p>
    <w:p w14:paraId="1526C9E2" w14:textId="4E51F793" w:rsidR="00BD0A87" w:rsidRPr="00BD0A87" w:rsidRDefault="003F5660" w:rsidP="00B50A96">
      <w:pPr>
        <w:spacing w:after="120" w:line="276" w:lineRule="auto"/>
        <w:ind w:firstLine="709"/>
        <w:jc w:val="both"/>
        <w:rPr>
          <w:rFonts w:ascii="Verdana" w:eastAsia="Calibri" w:hAnsi="Verdana" w:cs="Arial"/>
          <w:lang w:val="es-ES" w:eastAsia="es-ES_tradnl"/>
        </w:rPr>
      </w:pPr>
      <w:r w:rsidRPr="00581D1F">
        <w:rPr>
          <w:rFonts w:ascii="Verdana" w:eastAsia="Times New Roman" w:hAnsi="Verdana" w:cs="Arial"/>
          <w:lang w:val="es-ES" w:eastAsia="es-ES_tradnl"/>
        </w:rPr>
        <w:t>En consideración a lo señalado</w:t>
      </w:r>
      <w:r w:rsidRPr="00581D1F">
        <w:rPr>
          <w:rFonts w:ascii="Verdana" w:eastAsia="Calibri" w:hAnsi="Verdana" w:cs="Arial"/>
          <w:lang w:val="es-ES" w:eastAsia="es-ES_tradnl"/>
        </w:rPr>
        <w:t>, corresponde a la entidad determinar en cada caso concreto si ha trascurrido un año después de fenecida la oportunidad para liquidar el contrato, sin que la obra se encuentre concluida en los términos del literal a) del artículo 2 de la Ley 2020 de 2020, pues solo en este supuesto procederá la anotación en el referido registro y su evaluación, en los términos establecidos en el artículo 6 de la Ley 2020 de 2020, así como en la forma indicada en los pliegos de condiciones.</w:t>
      </w:r>
      <w:r w:rsidRPr="00E46C82">
        <w:rPr>
          <w:rFonts w:ascii="Verdana" w:eastAsia="Calibri" w:hAnsi="Verdana" w:cs="Arial"/>
          <w:lang w:val="es-ES" w:eastAsia="es-ES_tradnl"/>
        </w:rPr>
        <w:t xml:space="preserve"> </w:t>
      </w:r>
    </w:p>
    <w:p w14:paraId="0C1BAC76" w14:textId="4A26EDA8" w:rsidR="00BD0A87" w:rsidRPr="00E46C82" w:rsidRDefault="00BD0A87" w:rsidP="00B50A96">
      <w:pPr>
        <w:spacing w:after="120" w:line="276" w:lineRule="auto"/>
        <w:ind w:firstLine="709"/>
        <w:jc w:val="both"/>
        <w:rPr>
          <w:rFonts w:ascii="Verdana" w:hAnsi="Verdana" w:cs="Arial"/>
          <w:lang w:val="es-ES"/>
        </w:rPr>
      </w:pPr>
      <w:r w:rsidRPr="00E46C82">
        <w:rPr>
          <w:rFonts w:ascii="Verdana" w:hAnsi="Verdana" w:cs="Arial"/>
          <w:lang w:val="es-ES"/>
        </w:rPr>
        <w:lastRenderedPageBreak/>
        <w:t xml:space="preserve"> Por otra parte, el artículo 5 de la Ley 2020 de 2020 dispuso que corresponde a la Entidad Estatal contratante decidir sore la intervención física de terminación o demolición del oba civil inconclusa. Para lo anterior, deberán contar con el concepto jurídico, técnico y financiero de las áreas con competencias y funciones relacionadas con la obra inconclusa, así como con conceptos externos cuando lo consideren pertinente. Por su parte, el parágrafo segundo del referido artículo estableció una regla especifica aplicable a aquellas obras inconclusas que cuenten con procesos judiciales en curso. En estos supuestos, dispuso que las entidades deberán tener en cuenta el fallo ejecutoriado correspondiente para decidir sobre la terminación o demolición de la obra. </w:t>
      </w:r>
    </w:p>
    <w:p w14:paraId="1CB3D7AD" w14:textId="77777777" w:rsidR="00BD0A87" w:rsidRPr="00E46C82" w:rsidRDefault="00BD0A87" w:rsidP="00B50A96">
      <w:pPr>
        <w:spacing w:after="120" w:line="276" w:lineRule="auto"/>
        <w:ind w:firstLine="709"/>
        <w:jc w:val="both"/>
        <w:rPr>
          <w:rFonts w:ascii="Verdana" w:hAnsi="Verdana" w:cs="Arial"/>
          <w:lang w:val="es-ES"/>
        </w:rPr>
      </w:pPr>
      <w:r w:rsidRPr="00E46C82">
        <w:rPr>
          <w:rFonts w:ascii="Verdana" w:hAnsi="Verdana" w:cs="Arial"/>
          <w:lang w:val="es-ES"/>
        </w:rPr>
        <w:t>En cuanto a la aplicación de esta regla, la Agencia concuerda con la interpretación adoptada por la Contraloría General de la República. Al respecto el ente de control ha señalado que, aunque la norma autoriza a la entidad para que adopte la decisión sobre la terminación o demolición de la obra en instancia administrativa, el parágrafo segundo impone que las obras que cuenten con un proceso judicial en curso deban contar con un fallo ejecutoriado de manera previa a que la entidad tome dicha decisión. En efecto, en estos supuestos, la decisión administrativa respecto de la obra está supeditada a la existencia de la decisión judicial definitiva</w:t>
      </w:r>
      <w:r w:rsidRPr="00E46C82">
        <w:rPr>
          <w:rStyle w:val="Refdenotaalpie"/>
          <w:rFonts w:ascii="Verdana" w:hAnsi="Verdana" w:cs="Arial"/>
          <w:lang w:val="es-ES"/>
        </w:rPr>
        <w:footnoteReference w:id="13"/>
      </w:r>
      <w:r w:rsidRPr="00E46C82">
        <w:rPr>
          <w:rFonts w:ascii="Verdana" w:hAnsi="Verdana" w:cs="Arial"/>
          <w:lang w:val="es-ES"/>
        </w:rPr>
        <w:t xml:space="preserve">. </w:t>
      </w:r>
    </w:p>
    <w:p w14:paraId="3A65D327" w14:textId="77777777" w:rsidR="00BD0A87" w:rsidRDefault="00BD0A8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Lo anterior responde a que las acciones judiciales que se encuentren en curso pueden tener por objeto definir aspectos que impacten de manera específica la actuación de la entidad con respecto a la obra, de manera que pueden afectar la decisión terminación o demolición. De esta manera, el parágrafo segundo busca evitar que ocurran contradicciones entre las decisiones que adopte la entidad en sede administrativa y aquellas que posteriormente tome la administración de justicia, para lo cual estipula la necesidad de que las entidades esperen la decisión por parte de la jurisdicción competente de manera previa a decidir sobre la terminación o demolición de la obra. </w:t>
      </w:r>
    </w:p>
    <w:p w14:paraId="3EFC54C5" w14:textId="77777777" w:rsidR="00C27227" w:rsidRPr="00E46C82" w:rsidRDefault="00C2722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Por otra parte, es necesario destacar que la norma no especificó el tipo de procedimientos judiciales que tendrán este efecto con respecto a la decisión que adopte la administración. En este sentido, dado que el legislador no distinguió, se incluyen todas aquellas acciones jurisdiccionales que recaigan sobre la obra </w:t>
      </w:r>
      <w:r w:rsidRPr="00E46C82">
        <w:rPr>
          <w:rFonts w:ascii="Verdana" w:hAnsi="Verdana" w:cs="Arial"/>
          <w:lang w:val="es-ES"/>
        </w:rPr>
        <w:lastRenderedPageBreak/>
        <w:t xml:space="preserve">inconclusa. En contraste, no tendrán dicho efecto las acciones coactivas que adelanten las entidades por su carácter administrativo. </w:t>
      </w:r>
    </w:p>
    <w:p w14:paraId="714CEE31" w14:textId="77777777" w:rsidR="00C27227" w:rsidRPr="00E46C82" w:rsidRDefault="00C2722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A pesar de lo anterior, es importante que la entidad considere en cada caso la relación existente entre el proceso judicial pendiente y los posibles efectos que puede ocasionar con respecto a la obra, así como los que pueden entrar en conflicto con las decisiones que adopte la administración. En efecto, deberá tratarse de procesos judiciales que afecten la obra inconclusa y cuyo fallo ejecutoriado pueda producir efectos con respecto a la intervención física de terminación o demolición de la obra. Para la aplicación del parágrafo segundo, la entidad deberá valorar en cada caso si se trata de procesos judiciales de este orden, así como sus potenciales efectos frene a la obra inconclusa, con el fin de adoptar decisiones sobre la terminación o demolición de manera oportuna. </w:t>
      </w:r>
    </w:p>
    <w:p w14:paraId="643FA222" w14:textId="29E1E295" w:rsidR="00C27227" w:rsidRPr="00E46C82" w:rsidRDefault="00C2722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De cualquier modo, será competencia exclusiva de la entidad analizar y decidir sobre la terminación o demolición de la obra inconclusa, así como decidir abstenerse de decidir sobre lo anterior cuando se encuentren en trámite procesos judiciales que eventualmente puedan ir en contravía de las decisiones que adopte, según los aspectos concretos de cada caso, y la naturaleza y alcance del proceso judicial que se encuentre en curso sobre la obra. </w:t>
      </w:r>
    </w:p>
    <w:p w14:paraId="704D2BCD" w14:textId="5B1C00A0" w:rsidR="001C0E4E" w:rsidRDefault="00C2722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 Sobre el tercer y cuarto interrogante planteado en su consulta, es importante reiterar que el artículo 5 de la Ley 2020 de 2020 otorgó a las Entidades Estatales la potestad y discrecionalidad para adoptar decisiones sobre la intervención física de terminación de la obra inconclusa con un nuevo contratista o su demolición. Sin embargo, el ejercicio de esta potestad se encuentra condicionado a que las entidades cuenten con la disponibilidad de recursos compatibles con el marco fiscal de mediano plazo y al cumplimiento de la regla fiscal de cada entidad.</w:t>
      </w:r>
    </w:p>
    <w:p w14:paraId="07ADCAF7" w14:textId="77777777" w:rsidR="00117DA0" w:rsidRPr="00E46C82" w:rsidRDefault="00117DA0" w:rsidP="00B50A96">
      <w:pPr>
        <w:spacing w:after="120" w:line="276" w:lineRule="auto"/>
        <w:ind w:firstLine="709"/>
        <w:jc w:val="both"/>
        <w:rPr>
          <w:rFonts w:ascii="Verdana" w:hAnsi="Verdana" w:cs="Arial"/>
          <w:lang w:val="es-ES"/>
        </w:rPr>
      </w:pPr>
      <w:r w:rsidRPr="00E46C82">
        <w:rPr>
          <w:rFonts w:ascii="Verdana" w:hAnsi="Verdana" w:cs="Arial"/>
          <w:lang w:val="es-ES"/>
        </w:rPr>
        <w:t xml:space="preserve">Adicionalmente, las entidades deben adoptar estas decisiones con base en el concepto jurídico, técnico y financiero de las áreas cuyas competencias y funciones se encuentren relacionadas con la obra, o los conceptos externos que resulten pertinentes. En este sentido, el parágrafo cuarto del artículo quinto determina que las entidades deben solicitar de manera previa el diagnostico, informe y evaluación del área de la entidad competente con el fin de establecer la viabilidad de terminar o demoler la obra. En cualquier caso, la entidad solo podrá ordenar la demolición en casos de ruina o amenaza grave a los derechos fundamentales o colectivos. Esta decisión será adoptada mediante acto </w:t>
      </w:r>
      <w:r w:rsidRPr="00E46C82">
        <w:rPr>
          <w:rFonts w:ascii="Verdana" w:hAnsi="Verdana" w:cs="Arial"/>
          <w:lang w:val="es-ES"/>
        </w:rPr>
        <w:lastRenderedPageBreak/>
        <w:t xml:space="preserve">administrativo del representante legal de la entidad, del cual deberá remitir copia a la </w:t>
      </w:r>
      <w:r w:rsidRPr="00011C35">
        <w:rPr>
          <w:rFonts w:ascii="Verdana" w:hAnsi="Verdana" w:cs="Arial"/>
          <w:lang w:val="es-ES"/>
        </w:rPr>
        <w:t>Contraloría General de la República o a las Contralorías Territoriales, para lo de su competencia.</w:t>
      </w:r>
    </w:p>
    <w:p w14:paraId="31502379" w14:textId="57BBF5A6" w:rsidR="00117DA0" w:rsidRDefault="00117DA0" w:rsidP="00B50A96">
      <w:pPr>
        <w:spacing w:after="120" w:line="276" w:lineRule="auto"/>
        <w:ind w:firstLine="709"/>
        <w:jc w:val="both"/>
        <w:rPr>
          <w:rFonts w:ascii="Verdana" w:hAnsi="Verdana" w:cs="Arial"/>
          <w:lang w:val="es-ES"/>
        </w:rPr>
      </w:pPr>
      <w:r w:rsidRPr="00E46C82">
        <w:rPr>
          <w:rFonts w:ascii="Verdana" w:hAnsi="Verdana" w:cs="Arial"/>
          <w:lang w:val="es-ES"/>
        </w:rPr>
        <w:t xml:space="preserve">Además de lo señalado, el artículo quinto de la Ley 2020 de 2020 no estableció requisito adicional de manera expresa para que la entidad decida sobre la terminación o demolición de la obra, como que el contrato se encuentre liquidado. Sin embargo, dos aspectos de la norma sugieren que este debe ser el caso para que la entidad pueda adoptar la decisión de contratar </w:t>
      </w:r>
      <w:r>
        <w:rPr>
          <w:rFonts w:ascii="Verdana" w:hAnsi="Verdana" w:cs="Arial"/>
          <w:lang w:val="es-ES"/>
        </w:rPr>
        <w:t xml:space="preserve">con un tercero </w:t>
      </w:r>
      <w:r w:rsidRPr="00E46C82">
        <w:rPr>
          <w:rFonts w:ascii="Verdana" w:hAnsi="Verdana" w:cs="Arial"/>
          <w:lang w:val="es-ES"/>
        </w:rPr>
        <w:t>la terminación de la obra o de declarar la demolición mediante acto administrativo</w:t>
      </w:r>
      <w:r>
        <w:rPr>
          <w:rFonts w:ascii="Verdana" w:hAnsi="Verdana" w:cs="Arial"/>
          <w:lang w:val="es-ES"/>
        </w:rPr>
        <w:t>.</w:t>
      </w:r>
    </w:p>
    <w:p w14:paraId="6A6DA635" w14:textId="77777777" w:rsidR="00117DA0" w:rsidRDefault="00117DA0" w:rsidP="00B50A96">
      <w:pPr>
        <w:spacing w:after="120" w:line="276" w:lineRule="auto"/>
        <w:ind w:firstLine="709"/>
        <w:jc w:val="both"/>
        <w:rPr>
          <w:rFonts w:ascii="Verdana" w:hAnsi="Verdana" w:cs="Arial"/>
          <w:lang w:val="es-ES"/>
        </w:rPr>
      </w:pPr>
      <w:r w:rsidRPr="00E46C82">
        <w:rPr>
          <w:rFonts w:ascii="Verdana" w:hAnsi="Verdana" w:cs="Arial"/>
          <w:lang w:val="es-ES"/>
        </w:rPr>
        <w:t xml:space="preserve">En primer lugar, el artículo quinto establece que la entidad decidirá sobre la terminación de la “obra civil inconclusa”, término que se encuentra expresamente definido en el </w:t>
      </w:r>
      <w:r>
        <w:rPr>
          <w:rFonts w:ascii="Verdana" w:hAnsi="Verdana" w:cs="Arial"/>
          <w:lang w:val="es-ES"/>
        </w:rPr>
        <w:t>literal</w:t>
      </w:r>
      <w:r w:rsidRPr="00E46C82">
        <w:rPr>
          <w:rFonts w:ascii="Verdana" w:hAnsi="Verdana" w:cs="Arial"/>
          <w:lang w:val="es-ES"/>
        </w:rPr>
        <w:t xml:space="preserve"> a</w:t>
      </w:r>
      <w:r>
        <w:rPr>
          <w:rFonts w:ascii="Verdana" w:hAnsi="Verdana" w:cs="Arial"/>
          <w:lang w:val="es-ES"/>
        </w:rPr>
        <w:t>)</w:t>
      </w:r>
      <w:r w:rsidRPr="00E46C82">
        <w:rPr>
          <w:rFonts w:ascii="Verdana" w:hAnsi="Verdana" w:cs="Arial"/>
          <w:lang w:val="es-ES"/>
        </w:rPr>
        <w:t xml:space="preserve"> del artículo segundo de la Ley 2020 de 2020, según el cual:</w:t>
      </w:r>
    </w:p>
    <w:p w14:paraId="3B8A7C17" w14:textId="77777777" w:rsidR="000C0D6D" w:rsidRPr="00E46C82" w:rsidRDefault="000C0D6D" w:rsidP="00B50A96">
      <w:pPr>
        <w:spacing w:after="0" w:line="240" w:lineRule="auto"/>
        <w:ind w:left="709" w:right="709"/>
        <w:rPr>
          <w:rFonts w:ascii="Verdana" w:hAnsi="Verdana" w:cs="Arial"/>
          <w:sz w:val="21"/>
          <w:szCs w:val="21"/>
          <w:lang w:val="es-ES"/>
        </w:rPr>
      </w:pPr>
      <w:r w:rsidRPr="00E46C82">
        <w:rPr>
          <w:rFonts w:ascii="Verdana" w:hAnsi="Verdana" w:cs="Arial"/>
          <w:sz w:val="21"/>
          <w:szCs w:val="21"/>
          <w:lang w:val="es-ES"/>
        </w:rPr>
        <w:t>“Para efectos de la presente ley, se tendrán en cuenta las siguientes definiciones:</w:t>
      </w:r>
    </w:p>
    <w:p w14:paraId="4AC757BF" w14:textId="77777777" w:rsidR="000C0D6D" w:rsidRPr="00803470" w:rsidRDefault="000C0D6D" w:rsidP="00B50A96">
      <w:pPr>
        <w:spacing w:after="0" w:line="240" w:lineRule="auto"/>
        <w:ind w:left="709" w:right="709"/>
        <w:jc w:val="both"/>
        <w:rPr>
          <w:rFonts w:ascii="Verdana" w:hAnsi="Verdana" w:cs="Arial"/>
          <w:sz w:val="21"/>
          <w:szCs w:val="21"/>
          <w:lang w:val="es-ES"/>
        </w:rPr>
      </w:pPr>
      <w:r w:rsidRPr="00803470">
        <w:rPr>
          <w:rFonts w:ascii="Verdana" w:hAnsi="Verdana" w:cs="Arial"/>
          <w:sz w:val="21"/>
          <w:szCs w:val="21"/>
          <w:lang w:val="es-ES"/>
        </w:rPr>
        <w:t>a) Obra Civil Inconclusa: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w:t>
      </w:r>
    </w:p>
    <w:p w14:paraId="057ACDBA" w14:textId="5C7E089C" w:rsidR="00117DA0" w:rsidRDefault="000C0D6D" w:rsidP="00B50A96">
      <w:pPr>
        <w:spacing w:after="0" w:line="240" w:lineRule="auto"/>
        <w:ind w:left="709" w:right="709"/>
        <w:jc w:val="both"/>
        <w:rPr>
          <w:rFonts w:ascii="Verdana" w:hAnsi="Verdana" w:cs="Arial"/>
          <w:sz w:val="21"/>
          <w:szCs w:val="21"/>
          <w:lang w:val="es-ES"/>
        </w:rPr>
      </w:pPr>
      <w:r w:rsidRPr="00803470">
        <w:rPr>
          <w:rFonts w:ascii="Verdana" w:hAnsi="Verdana" w:cs="Arial"/>
          <w:sz w:val="21"/>
          <w:szCs w:val="21"/>
          <w:lang w:val="es-ES"/>
        </w:rPr>
        <w:t>Cuando la obra civil no haya concluido de manera satisfactoria por causas que no sean imputables al contratista, un comité técnico, designado por el representante legal de la entidad contratante, definirá si efectivamente corresponde a una obra civil inconclusa</w:t>
      </w:r>
      <w:r>
        <w:rPr>
          <w:rFonts w:ascii="Verdana" w:hAnsi="Verdana" w:cs="Arial"/>
          <w:sz w:val="21"/>
          <w:szCs w:val="21"/>
          <w:lang w:val="es-ES"/>
        </w:rPr>
        <w:t xml:space="preserve"> […]</w:t>
      </w:r>
      <w:r w:rsidRPr="00E46C82">
        <w:rPr>
          <w:rFonts w:ascii="Verdana" w:hAnsi="Verdana" w:cs="Arial"/>
          <w:sz w:val="21"/>
          <w:szCs w:val="21"/>
          <w:lang w:val="es-ES"/>
        </w:rPr>
        <w:t>”</w:t>
      </w:r>
      <w:r w:rsidRPr="00803470">
        <w:rPr>
          <w:rFonts w:ascii="Verdana" w:hAnsi="Verdana" w:cs="Arial"/>
          <w:sz w:val="21"/>
          <w:szCs w:val="21"/>
          <w:lang w:val="es-ES"/>
        </w:rPr>
        <w:t>.</w:t>
      </w:r>
    </w:p>
    <w:p w14:paraId="453471D8" w14:textId="77777777" w:rsidR="00DE1788" w:rsidRDefault="00DE1788" w:rsidP="00DE1788">
      <w:pPr>
        <w:spacing w:after="0" w:line="276" w:lineRule="auto"/>
        <w:ind w:left="709" w:right="709"/>
        <w:jc w:val="both"/>
        <w:rPr>
          <w:rFonts w:ascii="Verdana" w:hAnsi="Verdana" w:cs="Arial"/>
          <w:sz w:val="21"/>
          <w:szCs w:val="21"/>
          <w:lang w:val="es-ES"/>
        </w:rPr>
      </w:pPr>
    </w:p>
    <w:p w14:paraId="6EFDC1FC" w14:textId="77777777" w:rsidR="00A628AE" w:rsidRDefault="00A628AE" w:rsidP="00B50A96">
      <w:pPr>
        <w:spacing w:after="120" w:line="276" w:lineRule="auto"/>
        <w:ind w:firstLine="709"/>
        <w:jc w:val="both"/>
        <w:rPr>
          <w:rFonts w:ascii="Verdana" w:hAnsi="Verdana" w:cs="Arial"/>
          <w:lang w:val="es-ES"/>
        </w:rPr>
      </w:pPr>
      <w:r w:rsidRPr="00E46C82">
        <w:rPr>
          <w:rFonts w:ascii="Verdana" w:hAnsi="Verdana" w:cs="Arial"/>
          <w:lang w:val="es-ES"/>
        </w:rPr>
        <w:t xml:space="preserve">En virtud de lo anterior, cuando el artículo quinto otorga potestad a la entidad para adoptar decisiones sobre la terminación o demolición de la “obra civil inconclusa” se refiere a que esta </w:t>
      </w:r>
      <w:r>
        <w:rPr>
          <w:rFonts w:ascii="Verdana" w:hAnsi="Verdana" w:cs="Arial"/>
          <w:lang w:val="es-ES"/>
        </w:rPr>
        <w:t xml:space="preserve">facultad </w:t>
      </w:r>
      <w:r w:rsidRPr="00E46C82">
        <w:rPr>
          <w:rFonts w:ascii="Verdana" w:hAnsi="Verdana" w:cs="Arial"/>
          <w:lang w:val="es-ES"/>
        </w:rPr>
        <w:t xml:space="preserve">recae sobre la </w:t>
      </w:r>
      <w:r>
        <w:rPr>
          <w:rFonts w:ascii="Verdana" w:hAnsi="Verdana" w:cs="Arial"/>
          <w:lang w:val="es-ES"/>
        </w:rPr>
        <w:t>c</w:t>
      </w:r>
      <w:r w:rsidRPr="00E46C82">
        <w:rPr>
          <w:rFonts w:ascii="Verdana" w:hAnsi="Verdana" w:cs="Arial"/>
          <w:lang w:val="es-ES"/>
        </w:rPr>
        <w:t xml:space="preserve">onstrucción, mantenimiento, instalación o trabajo sobre bienes inmuebles que un (1) año después de </w:t>
      </w:r>
      <w:r w:rsidRPr="00E46C82">
        <w:rPr>
          <w:rFonts w:ascii="Verdana" w:hAnsi="Verdana" w:cs="Arial"/>
          <w:i/>
          <w:iCs/>
          <w:lang w:val="es-ES"/>
        </w:rPr>
        <w:t>vencido el término de liquidación contractual</w:t>
      </w:r>
      <w:r w:rsidRPr="00E46C82">
        <w:rPr>
          <w:rFonts w:ascii="Verdana" w:hAnsi="Verdana" w:cs="Arial"/>
          <w:lang w:val="es-ES"/>
        </w:rPr>
        <w:t>, no haya concluido de manera satisfactoria para el interés general o el definido por la entidad estatal contratante, o no esté prestando el servicio para el cual fue contratada. E</w:t>
      </w:r>
      <w:r>
        <w:rPr>
          <w:rFonts w:ascii="Verdana" w:hAnsi="Verdana" w:cs="Arial"/>
          <w:lang w:val="es-ES"/>
        </w:rPr>
        <w:t>n</w:t>
      </w:r>
      <w:r w:rsidRPr="00E46C82">
        <w:rPr>
          <w:rFonts w:ascii="Verdana" w:hAnsi="Verdana" w:cs="Arial"/>
          <w:lang w:val="es-ES"/>
        </w:rPr>
        <w:t xml:space="preserve"> este sentido, la definición </w:t>
      </w:r>
      <w:r>
        <w:rPr>
          <w:rFonts w:ascii="Verdana" w:hAnsi="Verdana" w:cs="Arial"/>
          <w:lang w:val="es-ES"/>
        </w:rPr>
        <w:t>d</w:t>
      </w:r>
      <w:r w:rsidRPr="00E46C82">
        <w:rPr>
          <w:rFonts w:ascii="Verdana" w:hAnsi="Verdana" w:cs="Arial"/>
          <w:lang w:val="es-ES"/>
        </w:rPr>
        <w:t xml:space="preserve">el artículo segundo condiciona el ejercicio de la potestad referida en el artículo quinto a que se trate de una obra inconclusa, es decir, </w:t>
      </w:r>
      <w:r w:rsidRPr="00E46C82">
        <w:rPr>
          <w:rFonts w:ascii="Verdana" w:hAnsi="Verdana" w:cs="Arial"/>
          <w:lang w:val="es-ES"/>
        </w:rPr>
        <w:lastRenderedPageBreak/>
        <w:t>aquella</w:t>
      </w:r>
      <w:r>
        <w:rPr>
          <w:rFonts w:ascii="Verdana" w:hAnsi="Verdana" w:cs="Arial"/>
          <w:lang w:val="es-ES"/>
        </w:rPr>
        <w:t>s</w:t>
      </w:r>
      <w:r w:rsidRPr="00E46C82">
        <w:rPr>
          <w:rFonts w:ascii="Verdana" w:hAnsi="Verdana" w:cs="Arial"/>
          <w:lang w:val="es-ES"/>
        </w:rPr>
        <w:t xml:space="preserve"> que vencido el término de liquidación contractual cumpla</w:t>
      </w:r>
      <w:r>
        <w:rPr>
          <w:rFonts w:ascii="Verdana" w:hAnsi="Verdana" w:cs="Arial"/>
          <w:lang w:val="es-ES"/>
        </w:rPr>
        <w:t>n</w:t>
      </w:r>
      <w:r w:rsidRPr="00E46C82">
        <w:rPr>
          <w:rFonts w:ascii="Verdana" w:hAnsi="Verdana" w:cs="Arial"/>
          <w:lang w:val="es-ES"/>
        </w:rPr>
        <w:t xml:space="preserve"> con l</w:t>
      </w:r>
      <w:r>
        <w:rPr>
          <w:rFonts w:ascii="Verdana" w:hAnsi="Verdana" w:cs="Arial"/>
          <w:lang w:val="es-ES"/>
        </w:rPr>
        <w:t>a</w:t>
      </w:r>
      <w:r w:rsidRPr="00E46C82">
        <w:rPr>
          <w:rFonts w:ascii="Verdana" w:hAnsi="Verdana" w:cs="Arial"/>
          <w:lang w:val="es-ES"/>
        </w:rPr>
        <w:t xml:space="preserve">s características referidas. </w:t>
      </w:r>
    </w:p>
    <w:p w14:paraId="0D2CBB50" w14:textId="77777777" w:rsidR="00F96424" w:rsidRDefault="00F96424" w:rsidP="00B50A96">
      <w:pPr>
        <w:spacing w:after="120" w:line="276" w:lineRule="auto"/>
        <w:ind w:firstLine="709"/>
        <w:jc w:val="both"/>
        <w:rPr>
          <w:rFonts w:ascii="Verdana" w:hAnsi="Verdana" w:cs="Arial"/>
          <w:lang w:val="es-ES"/>
        </w:rPr>
      </w:pPr>
      <w:r w:rsidRPr="00E46C82">
        <w:rPr>
          <w:rFonts w:ascii="Verdana" w:hAnsi="Verdana" w:cs="Arial"/>
          <w:lang w:val="es-ES"/>
        </w:rPr>
        <w:t>En segundo lugar, se destaca que el artículo quinto es claro en condicionar la decisión de la administración sobre la terminación o demolición de la obra a que cuente con la disponibilidad de recursos compatibles con el marco fiscal de mediano plazo y la regla fiscal de cada entidad. Lo anterior es reiterado en el artículo 13, según el cual:</w:t>
      </w:r>
    </w:p>
    <w:p w14:paraId="52F1504E" w14:textId="77777777" w:rsidR="00A673E8" w:rsidRDefault="00A673E8" w:rsidP="00B50A96">
      <w:pPr>
        <w:spacing w:after="0" w:line="240" w:lineRule="auto"/>
        <w:ind w:left="709" w:right="709"/>
        <w:jc w:val="both"/>
        <w:rPr>
          <w:rFonts w:ascii="Verdana" w:hAnsi="Verdana" w:cs="Arial"/>
          <w:sz w:val="21"/>
          <w:szCs w:val="21"/>
          <w:lang w:val="es-ES"/>
        </w:rPr>
      </w:pPr>
      <w:r>
        <w:rPr>
          <w:rFonts w:ascii="Verdana" w:hAnsi="Verdana" w:cs="Arial"/>
          <w:b/>
          <w:bCs/>
          <w:sz w:val="21"/>
          <w:szCs w:val="21"/>
          <w:u w:val="single"/>
          <w:lang w:val="es-ES"/>
        </w:rPr>
        <w:t>“</w:t>
      </w:r>
      <w:r w:rsidRPr="00E46C82">
        <w:rPr>
          <w:rFonts w:ascii="Verdana" w:hAnsi="Verdana" w:cs="Arial"/>
          <w:sz w:val="21"/>
          <w:szCs w:val="21"/>
          <w:lang w:val="es-ES"/>
        </w:rPr>
        <w:t>Las entidades estatales para el cumplimiento de las obligaciones que se derivan de la presente ley, podrán, según la disponibilidad de recursos compatibles con el marco fiscal de mediano plazo y la regla fiscal de cada entidad, disponer de las partidas pertinentes necesarias</w:t>
      </w:r>
      <w:r>
        <w:rPr>
          <w:rFonts w:ascii="Verdana" w:hAnsi="Verdana" w:cs="Arial"/>
          <w:sz w:val="21"/>
          <w:szCs w:val="21"/>
          <w:lang w:val="es-ES"/>
        </w:rPr>
        <w:t>”</w:t>
      </w:r>
      <w:r w:rsidRPr="00E46C82">
        <w:rPr>
          <w:rFonts w:ascii="Verdana" w:hAnsi="Verdana" w:cs="Arial"/>
          <w:sz w:val="21"/>
          <w:szCs w:val="21"/>
          <w:lang w:val="es-ES"/>
        </w:rPr>
        <w:t>.</w:t>
      </w:r>
    </w:p>
    <w:p w14:paraId="4019F511" w14:textId="77777777" w:rsidR="00B50A96" w:rsidRPr="00B05F54" w:rsidRDefault="00B50A96" w:rsidP="00B50A96">
      <w:pPr>
        <w:spacing w:after="0" w:line="240" w:lineRule="auto"/>
        <w:ind w:left="709" w:right="709"/>
        <w:jc w:val="both"/>
        <w:rPr>
          <w:rFonts w:ascii="Verdana" w:hAnsi="Verdana" w:cs="Arial"/>
          <w:sz w:val="21"/>
          <w:szCs w:val="21"/>
          <w:lang w:val="es-ES"/>
        </w:rPr>
      </w:pPr>
    </w:p>
    <w:p w14:paraId="4C8D853A" w14:textId="77777777" w:rsidR="00F41996" w:rsidRPr="00E46C82" w:rsidRDefault="00F41996" w:rsidP="00B50A96">
      <w:pPr>
        <w:spacing w:after="120" w:line="276" w:lineRule="auto"/>
        <w:ind w:firstLine="709"/>
        <w:jc w:val="both"/>
        <w:rPr>
          <w:rFonts w:ascii="Verdana" w:hAnsi="Verdana" w:cs="Arial"/>
          <w:lang w:val="es-ES"/>
        </w:rPr>
      </w:pPr>
      <w:r w:rsidRPr="00E46C82">
        <w:rPr>
          <w:rFonts w:ascii="Verdana" w:hAnsi="Verdana" w:cs="Arial"/>
          <w:lang w:val="es-ES"/>
        </w:rPr>
        <w:t xml:space="preserve">En efecto, la decisión que adopte la administración supone que la entidad cuente con la disponibilidad presupuestal requerida, por ejemplo, para celebrar un nuevo contrato que busque culminar o intervenir la misma obra. En este supuesto, lo </w:t>
      </w:r>
      <w:r>
        <w:rPr>
          <w:rFonts w:ascii="Verdana" w:hAnsi="Verdana" w:cs="Arial"/>
          <w:lang w:val="es-ES"/>
        </w:rPr>
        <w:t>u</w:t>
      </w:r>
      <w:r w:rsidRPr="00E46C82">
        <w:rPr>
          <w:rFonts w:ascii="Verdana" w:hAnsi="Verdana" w:cs="Arial"/>
          <w:lang w:val="es-ES"/>
        </w:rPr>
        <w:t xml:space="preserve">sual </w:t>
      </w:r>
      <w:r>
        <w:rPr>
          <w:rFonts w:ascii="Verdana" w:hAnsi="Verdana" w:cs="Arial"/>
          <w:lang w:val="es-ES"/>
        </w:rPr>
        <w:t xml:space="preserve">será que </w:t>
      </w:r>
      <w:r w:rsidRPr="00E46C82">
        <w:rPr>
          <w:rFonts w:ascii="Verdana" w:hAnsi="Verdana" w:cs="Arial"/>
          <w:lang w:val="es-ES"/>
        </w:rPr>
        <w:t>la entidad haya liquidado el contrato inicial con el fin de realizar el cruce y cierre de cuentas correspondiente, de modo que tenga claridad sobre los recursos disponibles y los rubros que afectará para realizar la nueva intervención sobre la obra. De forma similar, no es recome</w:t>
      </w:r>
      <w:r>
        <w:rPr>
          <w:rFonts w:ascii="Verdana" w:hAnsi="Verdana" w:cs="Arial"/>
          <w:lang w:val="es-ES"/>
        </w:rPr>
        <w:t>ndable</w:t>
      </w:r>
      <w:r w:rsidRPr="00E46C82">
        <w:rPr>
          <w:rFonts w:ascii="Verdana" w:hAnsi="Verdana" w:cs="Arial"/>
          <w:lang w:val="es-ES"/>
        </w:rPr>
        <w:t xml:space="preserve"> que la entidad decida por acto administrativo sobre la demolición de la obra de forma previa a determinar el estado de cumplimiento y ejecución del contrato</w:t>
      </w:r>
      <w:r>
        <w:rPr>
          <w:rFonts w:ascii="Verdana" w:hAnsi="Verdana" w:cs="Arial"/>
          <w:lang w:val="es-ES"/>
        </w:rPr>
        <w:t xml:space="preserve"> que ocasionó la obra inconclusa, lo cual solo será posible en su liquidación</w:t>
      </w:r>
      <w:r w:rsidRPr="00E46C82">
        <w:rPr>
          <w:rFonts w:ascii="Verdana" w:hAnsi="Verdana" w:cs="Arial"/>
          <w:lang w:val="es-ES"/>
        </w:rPr>
        <w:t xml:space="preserve">. </w:t>
      </w:r>
    </w:p>
    <w:p w14:paraId="6C3CF30F" w14:textId="77777777" w:rsidR="00F41996" w:rsidRDefault="00F41996" w:rsidP="00B50A96">
      <w:pPr>
        <w:spacing w:after="120" w:line="276" w:lineRule="auto"/>
        <w:ind w:firstLine="709"/>
        <w:jc w:val="both"/>
        <w:rPr>
          <w:rFonts w:ascii="Verdana" w:hAnsi="Verdana" w:cs="Arial"/>
          <w:lang w:val="es-ES"/>
        </w:rPr>
      </w:pPr>
      <w:r w:rsidRPr="00E46C82">
        <w:rPr>
          <w:rFonts w:ascii="Verdana" w:hAnsi="Verdana" w:cs="Arial"/>
          <w:lang w:val="es-ES"/>
        </w:rPr>
        <w:t xml:space="preserve">En esta medida, el propósito de la norma es identificar el estado real de la infraestructura de obra, con miras a elaborar un diagnóstico sobre la viabilidad técnica, financiera y jurídica de terminar o demoler la obra, asegurando que pueda realizar una inversión de sus recursos para la intervención de esta. Por ello los artículos 5 y 13 de la Ley 2020 de 2020 disponen que la </w:t>
      </w:r>
      <w:r>
        <w:rPr>
          <w:rFonts w:ascii="Verdana" w:hAnsi="Verdana" w:cs="Arial"/>
          <w:lang w:val="es-ES"/>
        </w:rPr>
        <w:t>E</w:t>
      </w:r>
      <w:r w:rsidRPr="00E46C82">
        <w:rPr>
          <w:rFonts w:ascii="Verdana" w:hAnsi="Verdana" w:cs="Arial"/>
          <w:lang w:val="es-ES"/>
        </w:rPr>
        <w:t xml:space="preserve">ntidad </w:t>
      </w:r>
      <w:r>
        <w:rPr>
          <w:rFonts w:ascii="Verdana" w:hAnsi="Verdana" w:cs="Arial"/>
          <w:lang w:val="es-ES"/>
        </w:rPr>
        <w:t>E</w:t>
      </w:r>
      <w:r w:rsidRPr="00E46C82">
        <w:rPr>
          <w:rFonts w:ascii="Verdana" w:hAnsi="Verdana" w:cs="Arial"/>
          <w:lang w:val="es-ES"/>
        </w:rPr>
        <w:t>statal contratante decidirá sobre la intervención física de terminación o demolición de la obra civil inconclusa, para lo cual podrá disponer de las partidas necesarias, según la disponibilidad de recursos compatibles con el marco fiscal de mediano plazo y la regla fiscal de cada entidad. Además, podrá presentarse en el plan de desarrollo de la entidad una estrategia de atención para determinar la intervención de las obras que se encuentren en el Registro Nacional de Obras Civiles Inconclusas, con énfasis en aquellas que lleven más tiempo sin intervención, siempre atendiendo a la disponibilidad de recursos.</w:t>
      </w:r>
    </w:p>
    <w:p w14:paraId="33A600F8" w14:textId="52E3C0CB" w:rsidR="00CA59CC" w:rsidRPr="00E46C82" w:rsidRDefault="00CA59CC" w:rsidP="00B50A96">
      <w:pPr>
        <w:spacing w:after="120" w:line="276" w:lineRule="auto"/>
        <w:ind w:firstLine="709"/>
        <w:jc w:val="both"/>
        <w:rPr>
          <w:rFonts w:ascii="Verdana" w:hAnsi="Verdana" w:cs="Arial"/>
          <w:lang w:val="es-ES"/>
        </w:rPr>
      </w:pPr>
      <w:r w:rsidRPr="00E46C82">
        <w:rPr>
          <w:rFonts w:ascii="Verdana" w:hAnsi="Verdana" w:cs="Arial"/>
          <w:lang w:val="es-ES"/>
        </w:rPr>
        <w:lastRenderedPageBreak/>
        <w:t xml:space="preserve">En cualquier caso, corresponde a la entidad adoptar la decisión de terminar o demoler la obra en cumplimiento de los requisitos dispuesto en el artículo 5 de la </w:t>
      </w:r>
      <w:r>
        <w:rPr>
          <w:rFonts w:ascii="Verdana" w:hAnsi="Verdana" w:cs="Arial"/>
          <w:lang w:val="es-ES"/>
        </w:rPr>
        <w:t>L</w:t>
      </w:r>
      <w:r w:rsidRPr="00E46C82">
        <w:rPr>
          <w:rFonts w:ascii="Verdana" w:hAnsi="Verdana" w:cs="Arial"/>
          <w:lang w:val="es-ES"/>
        </w:rPr>
        <w:t>ey 2020 de 2020, considerando las particularidades presupuestales, técnicas y jurídicas de cada caso concreto.</w:t>
      </w:r>
      <w:r>
        <w:rPr>
          <w:rFonts w:ascii="Verdana" w:hAnsi="Verdana" w:cs="Arial"/>
          <w:lang w:val="es-ES"/>
        </w:rPr>
        <w:t xml:space="preserve"> En ejercicio de estas potestades, la entidad deberá adoptar </w:t>
      </w:r>
      <w:r w:rsidRPr="00E46C82">
        <w:rPr>
          <w:rFonts w:ascii="Verdana" w:hAnsi="Verdana" w:cs="Arial"/>
          <w:lang w:val="es-ES"/>
        </w:rPr>
        <w:t xml:space="preserve">las gestiones necesarias para actuar de manera oportuna e impedir la materialización de un deterioro o daño que afecte aún más el patrimonio público. </w:t>
      </w:r>
    </w:p>
    <w:p w14:paraId="027FF8C6" w14:textId="77777777" w:rsidR="00CA59CC" w:rsidRPr="00E46C82" w:rsidRDefault="00CA59CC" w:rsidP="00B50A96">
      <w:pPr>
        <w:spacing w:after="120" w:line="276" w:lineRule="auto"/>
        <w:ind w:firstLine="709"/>
        <w:jc w:val="both"/>
        <w:rPr>
          <w:rFonts w:ascii="Verdana" w:eastAsia="Calibri" w:hAnsi="Verdana" w:cs="Arial"/>
          <w:lang w:val="es-ES"/>
        </w:rPr>
      </w:pPr>
      <w:r>
        <w:rPr>
          <w:rFonts w:ascii="Verdana" w:eastAsia="Calibri" w:hAnsi="Verdana" w:cs="Arial"/>
          <w:lang w:val="es-ES"/>
        </w:rPr>
        <w:t>Finalmente</w:t>
      </w:r>
      <w:r w:rsidRPr="00E46C82">
        <w:rPr>
          <w:rFonts w:ascii="Verdana" w:eastAsia="Calibri" w:hAnsi="Verdana" w:cs="Arial"/>
          <w:lang w:val="es-ES"/>
        </w:rPr>
        <w:t xml:space="preserve">, esta Agencia </w:t>
      </w:r>
      <w:r w:rsidRPr="00E46C82">
        <w:rPr>
          <w:rFonts w:ascii="Verdana" w:eastAsia="Arial" w:hAnsi="Verdana" w:cs="Arial"/>
          <w:lang w:val="es-ES"/>
        </w:rPr>
        <w:t xml:space="preserve">advierte que el análisis sobre </w:t>
      </w:r>
      <w:r>
        <w:rPr>
          <w:rFonts w:ascii="Verdana" w:eastAsia="Arial" w:hAnsi="Verdana" w:cs="Arial"/>
          <w:lang w:val="es-ES"/>
        </w:rPr>
        <w:t xml:space="preserve">la viabilidad de terminar o demoler una obra inconclusa </w:t>
      </w:r>
      <w:r w:rsidRPr="00E46C82">
        <w:rPr>
          <w:rFonts w:ascii="Verdana" w:eastAsia="Arial" w:hAnsi="Verdana" w:cs="Arial"/>
          <w:lang w:val="es-ES"/>
        </w:rPr>
        <w:t xml:space="preserve">debe ser realizado por quienes tengan interés en ello, de acuerdo con lo explicado en 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en adoptar la decisión correspondiente y, en caso de conflicto, a las autoridades judiciales, fiscales y disciplinarias.  </w:t>
      </w:r>
    </w:p>
    <w:p w14:paraId="02776CC5" w14:textId="77777777" w:rsidR="00CA59CC" w:rsidRDefault="00CA59CC" w:rsidP="00B50A96">
      <w:pPr>
        <w:spacing w:after="120" w:line="276" w:lineRule="auto"/>
        <w:ind w:firstLine="709"/>
        <w:jc w:val="both"/>
        <w:rPr>
          <w:rFonts w:ascii="Verdana" w:eastAsia="Arial" w:hAnsi="Verdana" w:cs="Arial"/>
          <w:bCs/>
          <w:lang w:val="es-ES"/>
        </w:rPr>
      </w:pPr>
      <w:r w:rsidRPr="00E46C82">
        <w:rPr>
          <w:rFonts w:ascii="Verdana" w:eastAsia="Arial" w:hAnsi="Verdana" w:cs="Arial"/>
          <w:bCs/>
          <w:lang w:val="es-ES"/>
        </w:rPr>
        <w:t>De esta manera, al tratarse de un análisis que se debe realizar en un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y al ámbito de su competencia. Por lo anterior, previo concepto de sus órganos asesores, la solución de casos particulares corresponde a la entidad que debe adoptar la decisión correspondiente para atender las necesidades de la entidad pública.</w:t>
      </w:r>
    </w:p>
    <w:p w14:paraId="3A1A37ED" w14:textId="77777777" w:rsidR="008B2E1D" w:rsidRDefault="008B2E1D" w:rsidP="00945BC7">
      <w:pPr>
        <w:spacing w:after="120" w:line="276" w:lineRule="auto"/>
        <w:jc w:val="both"/>
        <w:rPr>
          <w:rFonts w:ascii="Verdana" w:eastAsia="Arial" w:hAnsi="Verdana" w:cs="Arial"/>
          <w:bCs/>
          <w:lang w:val="es-ES"/>
        </w:rPr>
      </w:pPr>
    </w:p>
    <w:p w14:paraId="38B7F2D7" w14:textId="77777777" w:rsidR="008B2E1D" w:rsidRDefault="008B2E1D" w:rsidP="00945BC7">
      <w:pPr>
        <w:tabs>
          <w:tab w:val="left" w:pos="142"/>
          <w:tab w:val="left" w:pos="284"/>
        </w:tabs>
        <w:spacing w:after="120" w:line="276" w:lineRule="auto"/>
        <w:jc w:val="both"/>
        <w:rPr>
          <w:rFonts w:ascii="Verdana" w:eastAsia="Century Gothic" w:hAnsi="Verdana" w:cs="Century Gothic"/>
          <w:b/>
          <w:bCs/>
          <w:lang w:val="es-ES"/>
        </w:rPr>
      </w:pPr>
      <w:r w:rsidRPr="00E46C82">
        <w:rPr>
          <w:rFonts w:ascii="Verdana" w:eastAsia="Century Gothic" w:hAnsi="Verdana" w:cs="Century Gothic"/>
          <w:b/>
          <w:bCs/>
          <w:lang w:val="es-ES"/>
        </w:rPr>
        <w:t>4. Referencias normativas, jurisprudenciales y otras fuentes:</w:t>
      </w:r>
    </w:p>
    <w:p w14:paraId="23B87415" w14:textId="77777777" w:rsidR="00945BC7" w:rsidRPr="00E46C82" w:rsidRDefault="00945BC7" w:rsidP="00BD5373">
      <w:p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jc w:val="both"/>
        <w:rPr>
          <w:rFonts w:ascii="Verdana" w:eastAsia="Century Gothic" w:hAnsi="Verdana" w:cs="Century Gothic"/>
          <w:b/>
          <w:bCs/>
          <w:color w:val="7030A0"/>
          <w:lang w:val="es-ES"/>
        </w:rPr>
      </w:pPr>
    </w:p>
    <w:p w14:paraId="25723CCE" w14:textId="77777777" w:rsidR="00DE61D4" w:rsidRDefault="00945BC7" w:rsidP="00BD5373">
      <w:pPr>
        <w:pStyle w:val="Prrafodelista"/>
        <w:numPr>
          <w:ilvl w:val="0"/>
          <w:numId w:val="17"/>
        </w:num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ind w:left="0" w:firstLine="0"/>
        <w:jc w:val="both"/>
        <w:rPr>
          <w:rFonts w:ascii="Verdana" w:eastAsia="Century Gothic" w:hAnsi="Verdana" w:cs="Century Gothic"/>
        </w:rPr>
      </w:pPr>
      <w:r w:rsidRPr="00945BC7">
        <w:rPr>
          <w:rFonts w:ascii="Verdana" w:eastAsia="Century Gothic" w:hAnsi="Verdana" w:cs="Century Gothic"/>
        </w:rPr>
        <w:t>Constitución Política de Colombia, artículos 345 y 346</w:t>
      </w:r>
      <w:r>
        <w:rPr>
          <w:rFonts w:ascii="Verdana" w:eastAsia="Century Gothic" w:hAnsi="Verdana" w:cs="Century Gothic"/>
        </w:rPr>
        <w:t>.</w:t>
      </w:r>
    </w:p>
    <w:p w14:paraId="66EA799A" w14:textId="77777777" w:rsidR="00DE61D4" w:rsidRPr="00DE61D4" w:rsidRDefault="00DE61D4" w:rsidP="00BD5373">
      <w:pPr>
        <w:pStyle w:val="Prrafodelista"/>
        <w:numPr>
          <w:ilvl w:val="0"/>
          <w:numId w:val="17"/>
        </w:num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ind w:left="0" w:firstLine="0"/>
        <w:jc w:val="both"/>
        <w:rPr>
          <w:rFonts w:ascii="Verdana" w:eastAsia="Century Gothic" w:hAnsi="Verdana" w:cs="Century Gothic"/>
        </w:rPr>
      </w:pPr>
      <w:r w:rsidRPr="00DE61D4">
        <w:rPr>
          <w:rFonts w:ascii="Verdana" w:hAnsi="Verdana" w:cs="Arial"/>
        </w:rPr>
        <w:t>Ley 2020 de 2020, artículo 1, 2, 5 y 13.</w:t>
      </w:r>
    </w:p>
    <w:p w14:paraId="481BD3F7" w14:textId="3DC919AB" w:rsidR="00DE61D4" w:rsidRPr="00DE61D4" w:rsidRDefault="00DE61D4" w:rsidP="00BD5373">
      <w:pPr>
        <w:pStyle w:val="Prrafodelista"/>
        <w:numPr>
          <w:ilvl w:val="0"/>
          <w:numId w:val="17"/>
        </w:num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ind w:left="0" w:firstLine="0"/>
        <w:jc w:val="both"/>
        <w:rPr>
          <w:rFonts w:ascii="Verdana" w:eastAsia="Century Gothic" w:hAnsi="Verdana" w:cs="Century Gothic"/>
        </w:rPr>
      </w:pPr>
      <w:r w:rsidRPr="00DE61D4">
        <w:rPr>
          <w:rFonts w:ascii="Verdana" w:hAnsi="Verdana" w:cs="Arial"/>
        </w:rPr>
        <w:t>Ley 1150 de 2007, artículo 11.</w:t>
      </w:r>
    </w:p>
    <w:p w14:paraId="508005A9" w14:textId="09AF6ED3" w:rsidR="00945BC7" w:rsidRDefault="001C4652" w:rsidP="00BD5373">
      <w:pPr>
        <w:pStyle w:val="Prrafodelista"/>
        <w:numPr>
          <w:ilvl w:val="0"/>
          <w:numId w:val="17"/>
        </w:num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ind w:left="0" w:firstLine="0"/>
        <w:jc w:val="both"/>
        <w:rPr>
          <w:rFonts w:ascii="Verdana" w:eastAsia="Century Gothic" w:hAnsi="Verdana" w:cs="Century Gothic"/>
        </w:rPr>
      </w:pPr>
      <w:r>
        <w:rPr>
          <w:rFonts w:ascii="Verdana" w:eastAsia="Century Gothic" w:hAnsi="Verdana" w:cs="Century Gothic"/>
        </w:rPr>
        <w:t>Ley 1437 de 2011, artículo 164.</w:t>
      </w:r>
    </w:p>
    <w:p w14:paraId="41BAAF99" w14:textId="0749040C" w:rsidR="001C4652" w:rsidRPr="00945BC7" w:rsidRDefault="001C4652" w:rsidP="00BD5373">
      <w:pPr>
        <w:pStyle w:val="Prrafodelista"/>
        <w:numPr>
          <w:ilvl w:val="0"/>
          <w:numId w:val="17"/>
        </w:num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ind w:left="0" w:firstLine="0"/>
        <w:jc w:val="both"/>
        <w:rPr>
          <w:rFonts w:ascii="Verdana" w:eastAsia="Century Gothic" w:hAnsi="Verdana" w:cs="Century Gothic"/>
        </w:rPr>
      </w:pPr>
      <w:r>
        <w:rPr>
          <w:rFonts w:ascii="Verdana" w:eastAsia="Century Gothic" w:hAnsi="Verdana" w:cs="Century Gothic"/>
        </w:rPr>
        <w:t>Contraloría General de la República, Concepto CGR-</w:t>
      </w:r>
      <w:r w:rsidR="00BD5373">
        <w:rPr>
          <w:rFonts w:ascii="Verdana" w:eastAsia="Century Gothic" w:hAnsi="Verdana" w:cs="Century Gothic"/>
        </w:rPr>
        <w:t>OJ-033 de 2022, reiterado en el Concepto CGR-OJ-0004-2023.</w:t>
      </w:r>
    </w:p>
    <w:p w14:paraId="70D91340" w14:textId="3887C702" w:rsidR="00C42066" w:rsidRDefault="00BD5373" w:rsidP="00B50A96">
      <w:pPr>
        <w:spacing w:before="240" w:after="120" w:line="276" w:lineRule="auto"/>
        <w:jc w:val="both"/>
        <w:rPr>
          <w:rFonts w:ascii="Verdana" w:hAnsi="Verdana" w:cs="Arial"/>
          <w:b/>
          <w:bCs/>
          <w:lang w:val="es-ES"/>
        </w:rPr>
      </w:pPr>
      <w:r w:rsidRPr="00C42066">
        <w:rPr>
          <w:rFonts w:ascii="Verdana" w:hAnsi="Verdana" w:cs="Arial"/>
          <w:b/>
          <w:bCs/>
          <w:lang w:val="es-ES"/>
        </w:rPr>
        <w:lastRenderedPageBreak/>
        <w:t xml:space="preserve">5. Doctrina de la Agencia Nacional de </w:t>
      </w:r>
      <w:r w:rsidR="00C42066" w:rsidRPr="00C42066">
        <w:rPr>
          <w:rFonts w:ascii="Verdana" w:hAnsi="Verdana" w:cs="Arial"/>
          <w:b/>
          <w:bCs/>
          <w:lang w:val="es-ES"/>
        </w:rPr>
        <w:t>Contratación</w:t>
      </w:r>
      <w:r w:rsidRPr="00C42066">
        <w:rPr>
          <w:rFonts w:ascii="Verdana" w:hAnsi="Verdana" w:cs="Arial"/>
          <w:b/>
          <w:bCs/>
          <w:lang w:val="es-ES"/>
        </w:rPr>
        <w:t xml:space="preserve"> Pública</w:t>
      </w:r>
      <w:r w:rsidR="00C42066" w:rsidRPr="00C42066">
        <w:rPr>
          <w:rFonts w:ascii="Verdana" w:hAnsi="Verdana" w:cs="Arial"/>
          <w:b/>
          <w:bCs/>
          <w:lang w:val="es-ES"/>
        </w:rPr>
        <w:t>:</w:t>
      </w:r>
    </w:p>
    <w:p w14:paraId="623E76D2" w14:textId="012F954B" w:rsidR="00A4392C" w:rsidRDefault="00A4392C" w:rsidP="00B50A96">
      <w:pPr>
        <w:widowControl w:val="0"/>
        <w:autoSpaceDE w:val="0"/>
        <w:autoSpaceDN w:val="0"/>
        <w:spacing w:after="120" w:line="276" w:lineRule="auto"/>
        <w:jc w:val="both"/>
        <w:rPr>
          <w:rFonts w:ascii="Verdana" w:hAnsi="Verdana"/>
        </w:rPr>
      </w:pPr>
      <w:r w:rsidRPr="00A4392C">
        <w:rPr>
          <w:rStyle w:val="normaltextrun"/>
          <w:rFonts w:ascii="Verdana" w:hAnsi="Verdana" w:cs="Arial"/>
          <w:color w:val="000000" w:themeColor="text1"/>
          <w:shd w:val="clear" w:color="auto" w:fill="FFFFFF"/>
          <w:lang w:val="es-ES"/>
        </w:rPr>
        <w:t>Sobre el Registro Nacional de Obras Civiles Inconclusas, esta Subdirección se ha pronunciado en los conceptos Nro. C-088 del 17 de marzo de 2021, C-110 del 29 de marzo de 2021, C-203 del 3 de mayo de 2021, C-333 del 9 de julio de 2021, C-551 del 30 de septiembre de 2021, C-571 del 13 de octubre de 2021, C-591 del 21 de octubre de 2021, C-600 del 26 de octubre de 2021, C-626 del 9 de noviembre de 2021 y C-747 de 4 de febrero de 2022, C-194 del 12 de abril de 2022, C – 391 de 9 de agosto de 2022, C- 525 de 16 de agosto de 2022, C-632 de 30 de agosto de 2022, C-924 de 28 de diciembre de 2022, C-096 de 13 de junio de 2023, C-246 de 4 de julio de 2023,  C-249 del 10 de julio de 2023, C-348 del 28 de agosto de 2023, C-014 del 06 de marzo de 2024</w:t>
      </w:r>
      <w:r w:rsidR="005C6698">
        <w:rPr>
          <w:rStyle w:val="normaltextrun"/>
          <w:rFonts w:ascii="Verdana" w:hAnsi="Verdana" w:cs="Arial"/>
          <w:color w:val="000000" w:themeColor="text1"/>
          <w:shd w:val="clear" w:color="auto" w:fill="FFFFFF"/>
          <w:lang w:val="es-ES"/>
        </w:rPr>
        <w:t>,</w:t>
      </w:r>
      <w:r w:rsidRPr="00A4392C">
        <w:rPr>
          <w:rStyle w:val="normaltextrun"/>
          <w:rFonts w:ascii="Verdana" w:hAnsi="Verdana" w:cs="Arial"/>
          <w:color w:val="000000" w:themeColor="text1"/>
          <w:shd w:val="clear" w:color="auto" w:fill="FFFFFF"/>
          <w:lang w:val="es-ES"/>
        </w:rPr>
        <w:t xml:space="preserve"> C-351 del 24 de abril de 2025</w:t>
      </w:r>
      <w:r w:rsidR="005C6698">
        <w:rPr>
          <w:rStyle w:val="normaltextrun"/>
          <w:rFonts w:ascii="Verdana" w:hAnsi="Verdana" w:cs="Arial"/>
          <w:color w:val="000000" w:themeColor="text1"/>
          <w:shd w:val="clear" w:color="auto" w:fill="FFFFFF"/>
          <w:lang w:val="es-ES"/>
        </w:rPr>
        <w:t xml:space="preserve"> y C-1249 del 14 de octubre de 2025</w:t>
      </w:r>
      <w:r w:rsidR="00C05225">
        <w:rPr>
          <w:rStyle w:val="normaltextrun"/>
          <w:rFonts w:ascii="Verdana" w:hAnsi="Verdana" w:cs="Arial"/>
          <w:color w:val="000000" w:themeColor="text1"/>
          <w:shd w:val="clear" w:color="auto" w:fill="FFFFFF"/>
          <w:lang w:val="es-ES"/>
        </w:rPr>
        <w:t xml:space="preserve"> entre otros</w:t>
      </w:r>
      <w:r w:rsidRPr="00A4392C">
        <w:rPr>
          <w:rStyle w:val="normaltextrun"/>
          <w:rFonts w:ascii="Verdana" w:hAnsi="Verdana" w:cs="Arial"/>
          <w:color w:val="000000" w:themeColor="text1"/>
          <w:shd w:val="clear" w:color="auto" w:fill="FFFFFF"/>
          <w:lang w:val="es-ES"/>
        </w:rPr>
        <w:t xml:space="preserve">. Estos y otros conceptos se encuentran </w:t>
      </w:r>
      <w:r w:rsidRPr="00A4392C">
        <w:rPr>
          <w:rStyle w:val="normaltextrun"/>
          <w:rFonts w:ascii="Verdana" w:hAnsi="Verdana" w:cs="Arial"/>
          <w:shd w:val="clear" w:color="auto" w:fill="FFFFFF"/>
          <w:lang w:val="es-ES"/>
        </w:rPr>
        <w:t>disponibles para consulta en el Sistema de relatoría de la Agencia,</w:t>
      </w:r>
      <w:r w:rsidRPr="00A4392C">
        <w:rPr>
          <w:rStyle w:val="normaltextrun"/>
          <w:rFonts w:ascii="Verdana" w:hAnsi="Verdana"/>
          <w:shd w:val="clear" w:color="auto" w:fill="FFFFFF"/>
          <w:lang w:val="es-ES"/>
        </w:rPr>
        <w:t xml:space="preserve"> al cual puede accederse a través del siguiente enlace: </w:t>
      </w:r>
      <w:hyperlink r:id="rId12" w:history="1">
        <w:r w:rsidRPr="00A4392C">
          <w:rPr>
            <w:rStyle w:val="Hipervnculo"/>
            <w:rFonts w:ascii="Verdana" w:eastAsia="Calibri" w:hAnsi="Verdana" w:cs="Arial"/>
            <w:lang w:val="es-ES" w:eastAsia="es-ES_tradnl"/>
          </w:rPr>
          <w:t>https://relatoria.colombiacompra.gov.co/busqueda/conceptos</w:t>
        </w:r>
      </w:hyperlink>
    </w:p>
    <w:p w14:paraId="0909B6D1" w14:textId="77777777" w:rsidR="00CF14C2" w:rsidRPr="00A4392C" w:rsidRDefault="00CF14C2" w:rsidP="00A4392C">
      <w:pPr>
        <w:widowControl w:val="0"/>
        <w:autoSpaceDE w:val="0"/>
        <w:autoSpaceDN w:val="0"/>
        <w:spacing w:after="120" w:line="276" w:lineRule="auto"/>
        <w:jc w:val="both"/>
        <w:rPr>
          <w:rStyle w:val="normaltextrun"/>
          <w:rFonts w:ascii="Verdana" w:hAnsi="Verdana" w:cs="Arial"/>
          <w:color w:val="000000" w:themeColor="text1"/>
          <w:shd w:val="clear" w:color="auto" w:fill="FFFFFF"/>
          <w:lang w:val="es-ES"/>
        </w:rPr>
      </w:pPr>
    </w:p>
    <w:p w14:paraId="17BEFFFF" w14:textId="77777777" w:rsidR="00CF14C2" w:rsidRPr="00E46C82" w:rsidRDefault="00CF14C2" w:rsidP="00CF14C2">
      <w:pPr>
        <w:spacing w:after="0" w:line="276" w:lineRule="auto"/>
        <w:jc w:val="both"/>
        <w:rPr>
          <w:rFonts w:ascii="Verdana" w:hAnsi="Verdana"/>
          <w:color w:val="000000" w:themeColor="text1"/>
          <w:lang w:val="es-ES"/>
        </w:rPr>
      </w:pPr>
      <w:r w:rsidRPr="00E46C82">
        <w:rPr>
          <w:rFonts w:ascii="Verdana" w:hAnsi="Verdana"/>
          <w:color w:val="000000" w:themeColor="text1"/>
          <w:lang w:val="es-ES"/>
        </w:rPr>
        <w:t xml:space="preserve">Por último, lo invitamos a seguirnos en las redes sociales en las cuales se difunde información institucional: </w:t>
      </w:r>
    </w:p>
    <w:p w14:paraId="156F998E" w14:textId="77777777" w:rsidR="00CF14C2" w:rsidRPr="00E46C82" w:rsidRDefault="00CF14C2" w:rsidP="00CF14C2">
      <w:pPr>
        <w:spacing w:after="0" w:line="276" w:lineRule="auto"/>
        <w:jc w:val="both"/>
        <w:rPr>
          <w:rFonts w:ascii="Verdana" w:hAnsi="Verdana"/>
          <w:color w:val="000000" w:themeColor="text1"/>
          <w:lang w:val="es-ES"/>
        </w:rPr>
      </w:pPr>
    </w:p>
    <w:p w14:paraId="75628DBC" w14:textId="77777777" w:rsidR="00CF14C2" w:rsidRPr="00E46C82" w:rsidRDefault="00CF14C2" w:rsidP="00CF14C2">
      <w:pPr>
        <w:spacing w:after="0" w:line="276" w:lineRule="auto"/>
        <w:jc w:val="both"/>
        <w:rPr>
          <w:rFonts w:ascii="Verdana" w:hAnsi="Verdana"/>
          <w:color w:val="000000" w:themeColor="text1"/>
          <w:lang w:val="es-ES"/>
        </w:rPr>
      </w:pPr>
      <w:r w:rsidRPr="00E46C82">
        <w:rPr>
          <w:rFonts w:ascii="Verdana" w:hAnsi="Verdana"/>
          <w:color w:val="000000" w:themeColor="text1"/>
          <w:lang w:val="es-ES"/>
        </w:rPr>
        <w:t xml:space="preserve">Twitter: </w:t>
      </w:r>
      <w:r w:rsidRPr="00E46C82">
        <w:rPr>
          <w:rStyle w:val="Hipervnculo"/>
          <w:rFonts w:ascii="Verdana" w:eastAsia="Calibri" w:hAnsi="Verdana" w:cs="Arial"/>
          <w:lang w:val="es-ES" w:eastAsia="es-ES_tradnl"/>
        </w:rPr>
        <w:t>@colombiacompra</w:t>
      </w:r>
      <w:r w:rsidRPr="00E46C82">
        <w:rPr>
          <w:rFonts w:ascii="Verdana" w:hAnsi="Verdana"/>
          <w:color w:val="000000" w:themeColor="text1"/>
          <w:lang w:val="es-ES"/>
        </w:rPr>
        <w:t xml:space="preserve"> </w:t>
      </w:r>
    </w:p>
    <w:p w14:paraId="60E46B7E" w14:textId="77777777" w:rsidR="00CF14C2" w:rsidRPr="00E46C82" w:rsidRDefault="00CF14C2" w:rsidP="00CF14C2">
      <w:pPr>
        <w:spacing w:after="0" w:line="276" w:lineRule="auto"/>
        <w:jc w:val="both"/>
        <w:rPr>
          <w:rFonts w:ascii="Verdana" w:eastAsia="Calibri" w:hAnsi="Verdana" w:cs="Arial"/>
          <w:color w:val="000000" w:themeColor="text1"/>
          <w:u w:val="single"/>
          <w:lang w:val="es-ES" w:eastAsia="es-ES_tradnl"/>
        </w:rPr>
      </w:pPr>
      <w:r w:rsidRPr="00E46C82">
        <w:rPr>
          <w:rFonts w:ascii="Verdana" w:hAnsi="Verdana"/>
          <w:color w:val="000000" w:themeColor="text1"/>
          <w:lang w:val="es-ES"/>
        </w:rPr>
        <w:t xml:space="preserve">Facebook: </w:t>
      </w:r>
      <w:r w:rsidRPr="00E46C82">
        <w:rPr>
          <w:rStyle w:val="Hipervnculo"/>
          <w:rFonts w:ascii="Verdana" w:eastAsia="Calibri" w:hAnsi="Verdana" w:cs="Arial"/>
          <w:lang w:val="es-ES" w:eastAsia="es-ES_tradnl"/>
        </w:rPr>
        <w:t>ColombiaCompraEficiente</w:t>
      </w:r>
    </w:p>
    <w:p w14:paraId="35FCA6E7" w14:textId="77777777" w:rsidR="00CF14C2" w:rsidRPr="00E46C82" w:rsidRDefault="00CF14C2" w:rsidP="00CF14C2">
      <w:pPr>
        <w:spacing w:after="0" w:line="276" w:lineRule="auto"/>
        <w:jc w:val="both"/>
        <w:rPr>
          <w:rFonts w:ascii="Verdana" w:hAnsi="Verdana"/>
          <w:color w:val="0000FF"/>
          <w:lang w:val="es-ES"/>
        </w:rPr>
      </w:pPr>
      <w:r w:rsidRPr="00E46C82">
        <w:rPr>
          <w:rFonts w:ascii="Verdana" w:hAnsi="Verdana"/>
          <w:color w:val="000000" w:themeColor="text1"/>
          <w:lang w:val="es-ES"/>
        </w:rPr>
        <w:t xml:space="preserve">LinkedIn: </w:t>
      </w:r>
      <w:r w:rsidRPr="00E46C82">
        <w:rPr>
          <w:rStyle w:val="Hipervnculo"/>
          <w:rFonts w:ascii="Verdana" w:eastAsia="Calibri" w:hAnsi="Verdana" w:cs="Arial"/>
          <w:lang w:val="es-ES" w:eastAsia="es-ES_tradnl"/>
        </w:rPr>
        <w:t xml:space="preserve">Agencia Nacional de Contratación Pública - Colombia Compra Eficiente </w:t>
      </w:r>
      <w:r w:rsidRPr="00E46C82">
        <w:rPr>
          <w:rFonts w:ascii="Verdana" w:hAnsi="Verdana"/>
          <w:color w:val="000000" w:themeColor="text1"/>
          <w:lang w:val="es-ES"/>
        </w:rPr>
        <w:t xml:space="preserve">Instagram: </w:t>
      </w:r>
      <w:r w:rsidRPr="00E46C82">
        <w:rPr>
          <w:rStyle w:val="Hipervnculo"/>
          <w:rFonts w:ascii="Verdana" w:eastAsia="Calibri" w:hAnsi="Verdana" w:cs="Arial"/>
          <w:lang w:val="es-ES" w:eastAsia="es-ES_tradnl"/>
        </w:rPr>
        <w:t>@colombiacompraeficiente_cce</w:t>
      </w:r>
    </w:p>
    <w:p w14:paraId="389BB580" w14:textId="77777777" w:rsidR="00CF14C2" w:rsidRPr="00E46C82" w:rsidRDefault="00CF14C2" w:rsidP="00CF14C2">
      <w:pPr>
        <w:widowControl w:val="0"/>
        <w:autoSpaceDE w:val="0"/>
        <w:autoSpaceDN w:val="0"/>
        <w:spacing w:after="0" w:line="276" w:lineRule="auto"/>
        <w:jc w:val="both"/>
        <w:rPr>
          <w:rFonts w:ascii="Verdana" w:hAnsi="Verdana"/>
          <w:color w:val="000000" w:themeColor="text1"/>
          <w:lang w:val="es-ES"/>
        </w:rPr>
      </w:pPr>
    </w:p>
    <w:p w14:paraId="488EB136" w14:textId="77777777" w:rsidR="00CF14C2" w:rsidRPr="00E46C82" w:rsidRDefault="00CF14C2" w:rsidP="00CF14C2">
      <w:pPr>
        <w:widowControl w:val="0"/>
        <w:autoSpaceDE w:val="0"/>
        <w:autoSpaceDN w:val="0"/>
        <w:spacing w:after="0" w:line="276" w:lineRule="auto"/>
        <w:jc w:val="both"/>
        <w:rPr>
          <w:rFonts w:ascii="Verdana" w:hAnsi="Verdana" w:cs="Arial"/>
          <w:color w:val="000000" w:themeColor="text1"/>
          <w:lang w:val="es-ES"/>
        </w:rPr>
      </w:pPr>
      <w:r w:rsidRPr="00E46C82">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53149EC" w14:textId="77777777" w:rsidR="00CF14C2" w:rsidRPr="00E46C82" w:rsidRDefault="00CF14C2" w:rsidP="00CF14C2">
      <w:pPr>
        <w:spacing w:after="0" w:line="276" w:lineRule="auto"/>
        <w:ind w:firstLine="709"/>
        <w:jc w:val="both"/>
        <w:rPr>
          <w:rFonts w:ascii="Verdana" w:eastAsia="Times New Roman" w:hAnsi="Verdana" w:cs="Arial"/>
          <w:color w:val="000000" w:themeColor="text1"/>
          <w:lang w:val="es-ES" w:eastAsia="es-ES_tradnl"/>
        </w:rPr>
      </w:pPr>
    </w:p>
    <w:p w14:paraId="0C394757" w14:textId="0F71D0E3" w:rsidR="00DE1788" w:rsidRDefault="00B72DE9" w:rsidP="00CF14C2">
      <w:pPr>
        <w:spacing w:after="0" w:line="276" w:lineRule="auto"/>
        <w:rPr>
          <w:rFonts w:ascii="Verdana" w:hAnsi="Verdana" w:cs="Arial"/>
          <w:color w:val="000000" w:themeColor="text1"/>
          <w:lang w:val="es-ES" w:eastAsia="es-CO"/>
        </w:rPr>
      </w:pPr>
      <w:r w:rsidRPr="00580D84">
        <w:rPr>
          <w:rFonts w:ascii="Verdana" w:eastAsia="Verdana" w:hAnsi="Verdana" w:cs="Verdana"/>
          <w:b/>
          <w:bCs/>
          <w:noProof/>
          <w:lang w:val="es-MX"/>
        </w:rPr>
        <w:drawing>
          <wp:anchor distT="0" distB="0" distL="114300" distR="114300" simplePos="0" relativeHeight="251661313" behindDoc="1" locked="0" layoutInCell="1" allowOverlap="1" wp14:anchorId="4FCD0604" wp14:editId="4FCE90A0">
            <wp:simplePos x="0" y="0"/>
            <wp:positionH relativeFrom="column">
              <wp:posOffset>1440872</wp:posOffset>
            </wp:positionH>
            <wp:positionV relativeFrom="paragraph">
              <wp:posOffset>168968</wp:posOffset>
            </wp:positionV>
            <wp:extent cx="3011805" cy="1013460"/>
            <wp:effectExtent l="0" t="0" r="0" b="0"/>
            <wp:wrapTight wrapText="bothSides">
              <wp:wrapPolygon edited="0">
                <wp:start x="0" y="0"/>
                <wp:lineTo x="0" y="21113"/>
                <wp:lineTo x="21450" y="21113"/>
                <wp:lineTo x="21450" y="0"/>
                <wp:lineTo x="0" y="0"/>
              </wp:wrapPolygon>
            </wp:wrapTight>
            <wp:docPr id="114318678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86787" name="Imagen 1" descr="Texto&#10;&#10;El contenido generado por IA puede ser incorrecto."/>
                    <pic:cNvPicPr/>
                  </pic:nvPicPr>
                  <pic:blipFill>
                    <a:blip r:embed="rId13">
                      <a:extLst>
                        <a:ext uri="{28A0092B-C50C-407E-A947-70E740481C1C}">
                          <a14:useLocalDpi xmlns:a14="http://schemas.microsoft.com/office/drawing/2010/main" val="0"/>
                        </a:ext>
                      </a:extLst>
                    </a:blip>
                    <a:stretch>
                      <a:fillRect/>
                    </a:stretch>
                  </pic:blipFill>
                  <pic:spPr>
                    <a:xfrm>
                      <a:off x="0" y="0"/>
                      <a:ext cx="3011805" cy="1013460"/>
                    </a:xfrm>
                    <a:prstGeom prst="rect">
                      <a:avLst/>
                    </a:prstGeom>
                  </pic:spPr>
                </pic:pic>
              </a:graphicData>
            </a:graphic>
            <wp14:sizeRelV relativeFrom="margin">
              <wp14:pctHeight>0</wp14:pctHeight>
            </wp14:sizeRelV>
          </wp:anchor>
        </w:drawing>
      </w:r>
      <w:r w:rsidR="00CF14C2" w:rsidRPr="00E46C82">
        <w:rPr>
          <w:rFonts w:ascii="Verdana" w:eastAsia="Times New Roman" w:hAnsi="Verdana" w:cs="Arial"/>
          <w:color w:val="000000" w:themeColor="text1"/>
          <w:lang w:val="es-ES" w:eastAsia="es-CO"/>
        </w:rPr>
        <w:t>Atentamente,</w:t>
      </w:r>
      <w:r w:rsidR="00CF14C2" w:rsidRPr="00E46C82">
        <w:rPr>
          <w:rFonts w:ascii="Verdana" w:hAnsi="Verdana" w:cs="Arial"/>
          <w:color w:val="000000" w:themeColor="text1"/>
          <w:lang w:val="es-ES" w:eastAsia="es-CO"/>
        </w:rPr>
        <w:t xml:space="preserve"> </w:t>
      </w:r>
    </w:p>
    <w:p w14:paraId="20A6FE86" w14:textId="5BACCE43" w:rsidR="00CF14C2" w:rsidRPr="00CF14C2" w:rsidRDefault="00CF14C2" w:rsidP="00CF14C2">
      <w:pPr>
        <w:spacing w:after="0" w:line="276" w:lineRule="auto"/>
        <w:rPr>
          <w:rFonts w:ascii="Verdana" w:hAnsi="Verdana" w:cs="Arial"/>
          <w:color w:val="000000" w:themeColor="text1"/>
          <w:lang w:val="es-ES" w:eastAsia="es-CO"/>
        </w:rPr>
      </w:pPr>
    </w:p>
    <w:p w14:paraId="15C208B4" w14:textId="44D3807C" w:rsidR="000C0D6D" w:rsidRDefault="000C0D6D" w:rsidP="000C0D6D">
      <w:pPr>
        <w:spacing w:after="120" w:line="276" w:lineRule="auto"/>
        <w:ind w:left="709" w:right="709"/>
        <w:jc w:val="both"/>
        <w:rPr>
          <w:rFonts w:ascii="Verdana" w:hAnsi="Verdana" w:cs="Arial"/>
          <w:lang w:val="es-ES"/>
        </w:rPr>
      </w:pPr>
    </w:p>
    <w:p w14:paraId="0B8E2383" w14:textId="504956D3" w:rsidR="00117DA0" w:rsidRPr="00E46C82" w:rsidRDefault="00117DA0" w:rsidP="00117DA0">
      <w:pPr>
        <w:spacing w:after="0" w:line="276" w:lineRule="auto"/>
        <w:ind w:firstLine="708"/>
        <w:jc w:val="both"/>
        <w:rPr>
          <w:rFonts w:ascii="Verdana" w:hAnsi="Verdana" w:cs="Arial"/>
          <w:lang w:val="es-ES"/>
        </w:rPr>
      </w:pPr>
    </w:p>
    <w:p w14:paraId="45ABF0C4" w14:textId="45CA0A93" w:rsidR="00CF14C2" w:rsidRPr="00E46C82" w:rsidRDefault="00CF14C2" w:rsidP="003344BC">
      <w:pPr>
        <w:spacing w:after="120" w:line="276" w:lineRule="auto"/>
        <w:ind w:firstLine="709"/>
        <w:jc w:val="both"/>
        <w:rPr>
          <w:rFonts w:ascii="Verdana" w:hAnsi="Verdana" w:cs="Arial"/>
          <w:lang w:val="es-ES"/>
        </w:rPr>
      </w:pPr>
    </w:p>
    <w:p w14:paraId="3D293787" w14:textId="465808D3" w:rsidR="00051105" w:rsidRDefault="00051105" w:rsidP="00C27227">
      <w:pPr>
        <w:spacing w:after="120" w:line="276" w:lineRule="auto"/>
        <w:ind w:firstLine="709"/>
        <w:jc w:val="both"/>
        <w:rPr>
          <w:rFonts w:ascii="Verdana" w:eastAsia="Times New Roman" w:hAnsi="Verdana" w:cs="Arial"/>
          <w:lang w:val="es-ES" w:eastAsia="es-ES_tradnl"/>
        </w:rPr>
      </w:pPr>
    </w:p>
    <w:p w14:paraId="63178BE7" w14:textId="77777777" w:rsidR="00581D1F" w:rsidRDefault="00581D1F" w:rsidP="00581D1F">
      <w:pPr>
        <w:spacing w:after="0" w:line="276" w:lineRule="auto"/>
        <w:jc w:val="both"/>
        <w:textAlignment w:val="baseline"/>
        <w:rPr>
          <w:rFonts w:ascii="Verdana" w:eastAsia="Times New Roman" w:hAnsi="Verdana" w:cs="Segoe UI"/>
          <w:b/>
          <w:bCs/>
          <w:lang w:val="es-ES" w:eastAsia="es-CO"/>
        </w:rPr>
      </w:pPr>
    </w:p>
    <w:tbl>
      <w:tblPr>
        <w:tblW w:w="52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7"/>
        <w:gridCol w:w="4363"/>
      </w:tblGrid>
      <w:tr w:rsidR="00581D1F" w:rsidRPr="00B45B4E" w14:paraId="383BF028" w14:textId="77777777" w:rsidTr="00EF6CC1">
        <w:trPr>
          <w:trHeight w:val="315"/>
        </w:trPr>
        <w:tc>
          <w:tcPr>
            <w:tcW w:w="857" w:type="dxa"/>
            <w:tcBorders>
              <w:top w:val="nil"/>
              <w:left w:val="nil"/>
              <w:bottom w:val="nil"/>
              <w:right w:val="nil"/>
            </w:tcBorders>
            <w:vAlign w:val="center"/>
            <w:hideMark/>
          </w:tcPr>
          <w:p w14:paraId="195F097E"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Elaboró: </w:t>
            </w:r>
          </w:p>
        </w:tc>
        <w:tc>
          <w:tcPr>
            <w:tcW w:w="4363" w:type="dxa"/>
            <w:tcBorders>
              <w:top w:val="nil"/>
              <w:left w:val="nil"/>
              <w:bottom w:val="dotted" w:sz="6" w:space="0" w:color="7F7F7F" w:themeColor="text1" w:themeTint="80"/>
              <w:right w:val="nil"/>
            </w:tcBorders>
            <w:vAlign w:val="center"/>
            <w:hideMark/>
          </w:tcPr>
          <w:p w14:paraId="6DFBE1D1" w14:textId="77777777" w:rsidR="00581D1F" w:rsidRPr="00B45B4E" w:rsidRDefault="00581D1F" w:rsidP="00EF6CC1">
            <w:pPr>
              <w:spacing w:after="0" w:line="240" w:lineRule="auto"/>
              <w:jc w:val="both"/>
              <w:rPr>
                <w:rFonts w:ascii="Verdana" w:hAnsi="Verdana" w:cs="Arial"/>
                <w:sz w:val="16"/>
                <w:szCs w:val="16"/>
              </w:rPr>
            </w:pPr>
            <w:r w:rsidRPr="00B45B4E">
              <w:rPr>
                <w:rFonts w:ascii="Verdana" w:hAnsi="Verdana" w:cs="Arial"/>
                <w:sz w:val="16"/>
                <w:szCs w:val="16"/>
              </w:rPr>
              <w:t xml:space="preserve">Kelmis Yirama Brugés Alvarado </w:t>
            </w:r>
          </w:p>
          <w:p w14:paraId="7312EDDB"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Analista T2-04 de la Subdirección de Gestión Contractual</w:t>
            </w:r>
          </w:p>
        </w:tc>
      </w:tr>
      <w:tr w:rsidR="00581D1F" w:rsidRPr="00B45B4E" w14:paraId="07220F6A" w14:textId="77777777" w:rsidTr="00EF6CC1">
        <w:trPr>
          <w:trHeight w:val="315"/>
        </w:trPr>
        <w:tc>
          <w:tcPr>
            <w:tcW w:w="857" w:type="dxa"/>
            <w:tcBorders>
              <w:top w:val="nil"/>
              <w:left w:val="nil"/>
              <w:bottom w:val="nil"/>
              <w:right w:val="nil"/>
            </w:tcBorders>
            <w:vAlign w:val="center"/>
            <w:hideMark/>
          </w:tcPr>
          <w:p w14:paraId="6E790346"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Revisó: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337F7EFB" w14:textId="489DB501" w:rsidR="00581D1F" w:rsidRDefault="00717AE1" w:rsidP="00EF6CC1">
            <w:pPr>
              <w:spacing w:after="0" w:line="240" w:lineRule="auto"/>
              <w:jc w:val="both"/>
              <w:rPr>
                <w:rFonts w:ascii="Verdana" w:hAnsi="Verdana" w:cs="Arial"/>
                <w:sz w:val="16"/>
                <w:szCs w:val="16"/>
              </w:rPr>
            </w:pPr>
            <w:r>
              <w:rPr>
                <w:rFonts w:ascii="Verdana" w:hAnsi="Verdana" w:cs="Arial"/>
                <w:sz w:val="16"/>
                <w:szCs w:val="16"/>
              </w:rPr>
              <w:t>Martha Alicia Romero Vargas</w:t>
            </w:r>
            <w:r w:rsidR="00581D1F">
              <w:rPr>
                <w:rFonts w:ascii="Verdana" w:hAnsi="Verdana" w:cs="Arial"/>
                <w:sz w:val="16"/>
                <w:szCs w:val="16"/>
              </w:rPr>
              <w:t xml:space="preserve"> </w:t>
            </w:r>
          </w:p>
          <w:p w14:paraId="3D37220D" w14:textId="77777777" w:rsidR="00581D1F" w:rsidRPr="00B45B4E" w:rsidRDefault="00581D1F" w:rsidP="00EF6CC1">
            <w:pPr>
              <w:spacing w:after="0" w:line="240" w:lineRule="auto"/>
              <w:jc w:val="both"/>
              <w:rPr>
                <w:rFonts w:ascii="Verdana" w:hAnsi="Verdana" w:cs="Arial"/>
                <w:sz w:val="16"/>
                <w:szCs w:val="16"/>
              </w:rPr>
            </w:pPr>
            <w:r>
              <w:rPr>
                <w:rFonts w:ascii="Verdana" w:eastAsia="Calibri" w:hAnsi="Verdana" w:cs="Arial"/>
                <w:sz w:val="16"/>
                <w:szCs w:val="16"/>
              </w:rPr>
              <w:t>Gestor T1-Grado 15</w:t>
            </w:r>
            <w:r w:rsidRPr="00B45B4E">
              <w:rPr>
                <w:rFonts w:ascii="Verdana" w:eastAsia="Calibri" w:hAnsi="Verdana" w:cs="Arial"/>
                <w:sz w:val="16"/>
                <w:szCs w:val="16"/>
              </w:rPr>
              <w:t xml:space="preserve"> de la Subdirección de Gestión Contractual</w:t>
            </w:r>
          </w:p>
        </w:tc>
      </w:tr>
      <w:tr w:rsidR="00581D1F" w:rsidRPr="00B45B4E" w14:paraId="4A95C53E" w14:textId="77777777" w:rsidTr="00EF6CC1">
        <w:trPr>
          <w:trHeight w:val="300"/>
        </w:trPr>
        <w:tc>
          <w:tcPr>
            <w:tcW w:w="857" w:type="dxa"/>
            <w:tcBorders>
              <w:top w:val="nil"/>
              <w:left w:val="nil"/>
              <w:bottom w:val="nil"/>
              <w:right w:val="nil"/>
            </w:tcBorders>
            <w:vAlign w:val="center"/>
            <w:hideMark/>
          </w:tcPr>
          <w:p w14:paraId="40B5FBF2"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Aprobó: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208F53B9"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Carolina Quintero Gacharná</w:t>
            </w:r>
          </w:p>
          <w:p w14:paraId="358BADC2"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 xml:space="preserve">Subdirectora de Gestión Contractual </w:t>
            </w:r>
          </w:p>
        </w:tc>
      </w:tr>
    </w:tbl>
    <w:p w14:paraId="6EBCA639" w14:textId="77777777" w:rsidR="00581D1F" w:rsidRPr="00FC2867" w:rsidRDefault="00581D1F" w:rsidP="00581D1F">
      <w:pPr>
        <w:spacing w:after="0"/>
        <w:rPr>
          <w:rFonts w:ascii="Verdana" w:hAnsi="Verdana" w:cs="Arial"/>
          <w:sz w:val="16"/>
          <w:szCs w:val="16"/>
        </w:rPr>
      </w:pPr>
    </w:p>
    <w:p w14:paraId="1862F5A5" w14:textId="77777777" w:rsidR="00581D1F" w:rsidRPr="00E46C82" w:rsidRDefault="00581D1F" w:rsidP="00581D1F">
      <w:pPr>
        <w:spacing w:after="120" w:line="276" w:lineRule="auto"/>
        <w:jc w:val="both"/>
        <w:rPr>
          <w:rFonts w:ascii="Verdana" w:eastAsia="Times New Roman" w:hAnsi="Verdana" w:cs="Arial"/>
          <w:lang w:val="es-ES" w:eastAsia="es-ES_tradnl"/>
        </w:rPr>
      </w:pPr>
    </w:p>
    <w:p w14:paraId="4E994829" w14:textId="2A09F49D" w:rsidR="008B1AEF" w:rsidRPr="00E46C82" w:rsidRDefault="00CF14C2" w:rsidP="00C27227">
      <w:pPr>
        <w:spacing w:after="120" w:line="276" w:lineRule="auto"/>
        <w:ind w:firstLine="709"/>
        <w:jc w:val="both"/>
        <w:rPr>
          <w:rFonts w:ascii="Verdana" w:eastAsia="Calibri" w:hAnsi="Verdana" w:cs="Arial"/>
          <w:lang w:val="es-ES" w:eastAsia="es-ES_tradnl"/>
        </w:rPr>
      </w:pPr>
      <w:r>
        <w:rPr>
          <w:noProof/>
        </w:rPr>
        <w:drawing>
          <wp:anchor distT="0" distB="0" distL="114300" distR="114300" simplePos="0" relativeHeight="251658240" behindDoc="1" locked="0" layoutInCell="1" allowOverlap="1" wp14:anchorId="576773C7" wp14:editId="02000330">
            <wp:simplePos x="0" y="0"/>
            <wp:positionH relativeFrom="column">
              <wp:posOffset>-259023</wp:posOffset>
            </wp:positionH>
            <wp:positionV relativeFrom="paragraph">
              <wp:posOffset>113015</wp:posOffset>
            </wp:positionV>
            <wp:extent cx="2167781" cy="472611"/>
            <wp:effectExtent l="0" t="0" r="4445" b="3810"/>
            <wp:wrapTight wrapText="bothSides">
              <wp:wrapPolygon edited="0">
                <wp:start x="0" y="0"/>
                <wp:lineTo x="0" y="20903"/>
                <wp:lineTo x="21454" y="20903"/>
                <wp:lineTo x="21454" y="0"/>
                <wp:lineTo x="0" y="0"/>
              </wp:wrapPolygon>
            </wp:wrapTight>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flipV="1">
                      <a:off x="0" y="0"/>
                      <a:ext cx="2167781" cy="472611"/>
                    </a:xfrm>
                    <a:prstGeom prst="rect">
                      <a:avLst/>
                    </a:prstGeom>
                    <a:noFill/>
                    <a:ln>
                      <a:noFill/>
                    </a:ln>
                  </pic:spPr>
                </pic:pic>
              </a:graphicData>
            </a:graphic>
          </wp:anchor>
        </w:drawing>
      </w:r>
    </w:p>
    <w:p w14:paraId="25AACB07" w14:textId="77777777" w:rsidR="00BC62E8" w:rsidRPr="00E46C82" w:rsidRDefault="00BC62E8" w:rsidP="00EA61CC">
      <w:pPr>
        <w:spacing w:before="120" w:after="0" w:line="276" w:lineRule="auto"/>
        <w:ind w:firstLine="709"/>
        <w:jc w:val="both"/>
        <w:rPr>
          <w:rFonts w:ascii="Verdana" w:eastAsia="Calibri" w:hAnsi="Verdana" w:cs="Arial"/>
          <w:lang w:val="es-ES" w:eastAsia="es-ES_tradnl"/>
        </w:rPr>
      </w:pPr>
    </w:p>
    <w:p w14:paraId="3D6CD97D" w14:textId="77777777" w:rsidR="002F06BF" w:rsidRPr="00E46C82" w:rsidRDefault="002F06BF" w:rsidP="002F06BF">
      <w:pPr>
        <w:spacing w:after="120" w:line="276" w:lineRule="auto"/>
        <w:ind w:firstLine="709"/>
        <w:jc w:val="both"/>
        <w:rPr>
          <w:rFonts w:ascii="Verdana" w:eastAsia="Times New Roman" w:hAnsi="Verdana" w:cs="Arial"/>
          <w:bCs/>
          <w:color w:val="000000"/>
          <w:lang w:val="es-ES" w:eastAsia="es-ES_tradnl"/>
        </w:rPr>
      </w:pPr>
    </w:p>
    <w:p w14:paraId="2180E8D9" w14:textId="77777777" w:rsidR="00F6001A" w:rsidRPr="00E46C82" w:rsidRDefault="00F6001A" w:rsidP="002F06BF">
      <w:pPr>
        <w:tabs>
          <w:tab w:val="left" w:pos="0"/>
        </w:tabs>
        <w:spacing w:after="120" w:line="276" w:lineRule="auto"/>
        <w:ind w:firstLine="709"/>
        <w:jc w:val="both"/>
        <w:rPr>
          <w:rFonts w:ascii="Verdana" w:eastAsia="Calibri" w:hAnsi="Verdana" w:cs="Arial"/>
          <w:color w:val="000000"/>
          <w:lang w:val="es-ES" w:eastAsia="en-GB"/>
        </w:rPr>
      </w:pPr>
    </w:p>
    <w:p w14:paraId="384B0290" w14:textId="5216BAAE" w:rsidR="00357DB0" w:rsidRPr="00E46C82" w:rsidRDefault="00357DB0" w:rsidP="002F06BF">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 </w:t>
      </w:r>
    </w:p>
    <w:p w14:paraId="6B1FA635" w14:textId="77777777" w:rsidR="006B2CCE" w:rsidRPr="00E46C82" w:rsidRDefault="006B2CCE" w:rsidP="002F06BF">
      <w:pPr>
        <w:tabs>
          <w:tab w:val="left" w:pos="0"/>
        </w:tabs>
        <w:spacing w:after="120" w:line="276" w:lineRule="auto"/>
        <w:ind w:firstLine="709"/>
        <w:jc w:val="both"/>
        <w:rPr>
          <w:rFonts w:ascii="Verdana" w:eastAsia="Calibri" w:hAnsi="Verdana" w:cs="Arial"/>
          <w:color w:val="000000"/>
          <w:lang w:val="es-ES" w:eastAsia="en-GB"/>
        </w:rPr>
      </w:pPr>
    </w:p>
    <w:bookmarkEnd w:id="1"/>
    <w:p w14:paraId="330E78CE" w14:textId="77777777" w:rsidR="0041076F" w:rsidRPr="00E46C82" w:rsidRDefault="0041076F" w:rsidP="002F06BF">
      <w:pPr>
        <w:tabs>
          <w:tab w:val="left" w:pos="0"/>
        </w:tabs>
        <w:spacing w:after="120" w:line="276" w:lineRule="auto"/>
        <w:ind w:firstLine="709"/>
        <w:jc w:val="both"/>
        <w:rPr>
          <w:rFonts w:ascii="Verdana" w:eastAsia="Calibri" w:hAnsi="Verdana" w:cs="Arial"/>
          <w:color w:val="000000"/>
          <w:lang w:val="es-ES" w:eastAsia="en-GB"/>
        </w:rPr>
      </w:pPr>
    </w:p>
    <w:p w14:paraId="02CC816F" w14:textId="77777777" w:rsidR="001A1596" w:rsidRDefault="001A1596" w:rsidP="001A1596">
      <w:pPr>
        <w:widowControl w:val="0"/>
        <w:tabs>
          <w:tab w:val="left" w:pos="382"/>
        </w:tabs>
        <w:autoSpaceDE w:val="0"/>
        <w:autoSpaceDN w:val="0"/>
        <w:spacing w:line="276" w:lineRule="auto"/>
        <w:outlineLvl w:val="0"/>
        <w:rPr>
          <w:rFonts w:ascii="Verdana" w:eastAsia="Verdana" w:hAnsi="Verdana" w:cs="Verdana"/>
          <w:b/>
          <w:bCs/>
          <w:spacing w:val="-2"/>
          <w:lang w:val="es-ES"/>
        </w:rPr>
      </w:pPr>
    </w:p>
    <w:p w14:paraId="1A7B1BD6" w14:textId="77777777" w:rsidR="001A1596" w:rsidRDefault="001A1596" w:rsidP="001A1596">
      <w:pPr>
        <w:widowControl w:val="0"/>
        <w:tabs>
          <w:tab w:val="left" w:pos="382"/>
        </w:tabs>
        <w:autoSpaceDE w:val="0"/>
        <w:autoSpaceDN w:val="0"/>
        <w:spacing w:after="120" w:line="276" w:lineRule="auto"/>
        <w:outlineLvl w:val="0"/>
        <w:rPr>
          <w:rFonts w:ascii="Verdana" w:eastAsia="Verdana" w:hAnsi="Verdana" w:cs="Verdana"/>
          <w:spacing w:val="-2"/>
          <w:lang w:val="es-ES"/>
        </w:rPr>
      </w:pPr>
    </w:p>
    <w:p w14:paraId="7C37E1B3" w14:textId="77777777" w:rsidR="001A1596" w:rsidRPr="001A1596" w:rsidRDefault="001A1596" w:rsidP="00B04F2E">
      <w:pPr>
        <w:widowControl w:val="0"/>
        <w:tabs>
          <w:tab w:val="left" w:pos="382"/>
        </w:tabs>
        <w:autoSpaceDE w:val="0"/>
        <w:autoSpaceDN w:val="0"/>
        <w:spacing w:after="0" w:line="276" w:lineRule="auto"/>
        <w:outlineLvl w:val="0"/>
        <w:rPr>
          <w:rFonts w:ascii="Verdana" w:eastAsia="Verdana" w:hAnsi="Verdana" w:cs="Verdana"/>
          <w:spacing w:val="-2"/>
          <w:lang w:val="es-ES"/>
        </w:rPr>
      </w:pPr>
    </w:p>
    <w:p w14:paraId="0B5CEC2F" w14:textId="77777777" w:rsidR="00B04F2E" w:rsidRPr="00E46C82" w:rsidRDefault="00B04F2E" w:rsidP="00B04F2E">
      <w:pPr>
        <w:widowControl w:val="0"/>
        <w:tabs>
          <w:tab w:val="left" w:pos="382"/>
        </w:tabs>
        <w:autoSpaceDE w:val="0"/>
        <w:autoSpaceDN w:val="0"/>
        <w:spacing w:after="0" w:line="276" w:lineRule="auto"/>
        <w:outlineLvl w:val="0"/>
        <w:rPr>
          <w:rFonts w:ascii="Verdana" w:eastAsia="Verdana" w:hAnsi="Verdana" w:cs="Verdana"/>
          <w:b/>
          <w:bCs/>
          <w:lang w:val="es-ES"/>
        </w:rPr>
      </w:pPr>
    </w:p>
    <w:p w14:paraId="76E05B24" w14:textId="77777777" w:rsidR="00B04F2E" w:rsidRPr="00E46C82" w:rsidRDefault="00B04F2E" w:rsidP="00B04F2E">
      <w:pPr>
        <w:tabs>
          <w:tab w:val="left" w:pos="142"/>
          <w:tab w:val="left" w:pos="284"/>
        </w:tabs>
        <w:spacing w:after="0" w:line="276" w:lineRule="auto"/>
        <w:jc w:val="both"/>
        <w:rPr>
          <w:rFonts w:ascii="Verdana" w:eastAsia="Century Gothic" w:hAnsi="Verdana" w:cs="Century Gothic"/>
          <w:b/>
          <w:bCs/>
          <w:color w:val="7030A0"/>
          <w:lang w:val="es-ES"/>
        </w:rPr>
      </w:pPr>
    </w:p>
    <w:p w14:paraId="35B84635" w14:textId="77777777" w:rsidR="00DD6302" w:rsidRPr="00E46C82" w:rsidRDefault="00DD6302" w:rsidP="00976C1E">
      <w:pPr>
        <w:spacing w:after="120" w:line="276" w:lineRule="auto"/>
        <w:ind w:firstLine="709"/>
        <w:jc w:val="both"/>
        <w:rPr>
          <w:rFonts w:ascii="Verdana" w:eastAsia="Calibri" w:hAnsi="Verdana" w:cs="Arial"/>
          <w:color w:val="000000" w:themeColor="text1"/>
          <w:lang w:val="es-ES" w:eastAsia="es-ES"/>
        </w:rPr>
      </w:pPr>
    </w:p>
    <w:p w14:paraId="1D795BF0" w14:textId="77777777" w:rsidR="00976C1E" w:rsidRPr="00E46C82" w:rsidRDefault="00976C1E" w:rsidP="00976C1E">
      <w:pPr>
        <w:spacing w:after="120" w:line="276" w:lineRule="auto"/>
        <w:ind w:firstLine="709"/>
        <w:jc w:val="both"/>
        <w:rPr>
          <w:rFonts w:ascii="Verdana" w:eastAsia="Times New Roman" w:hAnsi="Verdana" w:cs="Arial"/>
          <w:color w:val="7030A0"/>
          <w:lang w:val="es-ES" w:eastAsia="es-ES_tradnl"/>
        </w:rPr>
      </w:pPr>
    </w:p>
    <w:p w14:paraId="7222822B" w14:textId="77777777" w:rsidR="00976C1E" w:rsidRDefault="00976C1E" w:rsidP="00976C1E">
      <w:pPr>
        <w:spacing w:after="120" w:line="276" w:lineRule="auto"/>
        <w:ind w:firstLine="709"/>
        <w:jc w:val="both"/>
        <w:rPr>
          <w:rFonts w:ascii="Verdana" w:eastAsia="Times New Roman" w:hAnsi="Verdana" w:cs="Arial"/>
          <w:i/>
          <w:iCs/>
          <w:color w:val="000000" w:themeColor="text1"/>
          <w:sz w:val="21"/>
          <w:szCs w:val="21"/>
          <w:lang w:val="es-ES" w:eastAsia="es-ES_tradnl"/>
        </w:rPr>
      </w:pPr>
    </w:p>
    <w:p w14:paraId="693BB7BE" w14:textId="7CA51973" w:rsidR="00874CFF" w:rsidRDefault="00874CFF" w:rsidP="00976C1E">
      <w:pPr>
        <w:spacing w:after="120" w:line="276" w:lineRule="auto"/>
        <w:ind w:firstLine="709"/>
        <w:jc w:val="both"/>
        <w:rPr>
          <w:rFonts w:ascii="Verdana" w:eastAsia="Times New Roman" w:hAnsi="Verdana" w:cs="Arial"/>
          <w:i/>
          <w:iCs/>
          <w:color w:val="000000" w:themeColor="text1"/>
          <w:sz w:val="21"/>
          <w:szCs w:val="21"/>
          <w:lang w:val="es-ES" w:eastAsia="es-ES_tradnl"/>
        </w:rPr>
      </w:pPr>
    </w:p>
    <w:p w14:paraId="605963E5" w14:textId="77777777" w:rsidR="00874CFF" w:rsidRPr="00365F36" w:rsidRDefault="00874CFF" w:rsidP="00976C1E">
      <w:pPr>
        <w:spacing w:after="120" w:line="276" w:lineRule="auto"/>
        <w:ind w:firstLine="709"/>
        <w:jc w:val="both"/>
        <w:rPr>
          <w:rFonts w:ascii="Verdana" w:eastAsia="Calibri" w:hAnsi="Verdana" w:cs="Arial"/>
          <w:color w:val="000000" w:themeColor="text1"/>
          <w:sz w:val="21"/>
          <w:szCs w:val="21"/>
          <w:lang w:val="es-ES" w:eastAsia="es-ES_tradnl"/>
        </w:rPr>
      </w:pPr>
    </w:p>
    <w:p w14:paraId="2831C990" w14:textId="77777777" w:rsidR="00602FD5" w:rsidRPr="00365F36" w:rsidRDefault="00602FD5" w:rsidP="00976C1E">
      <w:pPr>
        <w:spacing w:after="120" w:line="276" w:lineRule="auto"/>
        <w:ind w:firstLine="709"/>
        <w:jc w:val="both"/>
        <w:rPr>
          <w:rFonts w:ascii="Verdana" w:eastAsia="Calibri" w:hAnsi="Verdana" w:cs="Arial"/>
          <w:bCs/>
          <w:color w:val="000000" w:themeColor="text1"/>
          <w:sz w:val="21"/>
          <w:szCs w:val="21"/>
          <w:lang w:val="es-ES" w:eastAsia="es-ES_tradnl"/>
        </w:rPr>
      </w:pPr>
    </w:p>
    <w:p w14:paraId="777798E2" w14:textId="77777777" w:rsidR="001C7BFC" w:rsidRPr="001C7BFC" w:rsidRDefault="001C7BFC" w:rsidP="00976C1E">
      <w:pPr>
        <w:spacing w:after="120" w:line="276" w:lineRule="auto"/>
        <w:ind w:firstLine="709"/>
        <w:jc w:val="both"/>
        <w:rPr>
          <w:rFonts w:ascii="Verdana" w:eastAsia="Verdana" w:hAnsi="Verdana" w:cs="Verdana"/>
          <w:lang w:val="es-MX"/>
        </w:rPr>
      </w:pPr>
    </w:p>
    <w:p w14:paraId="7C9026E2" w14:textId="77777777" w:rsidR="002A0DD0" w:rsidRPr="001C7BFC" w:rsidRDefault="002A0DD0" w:rsidP="00976C1E">
      <w:pPr>
        <w:spacing w:after="120" w:line="276" w:lineRule="auto"/>
        <w:ind w:firstLine="709"/>
        <w:jc w:val="both"/>
        <w:rPr>
          <w:rFonts w:ascii="Verdana" w:eastAsia="Verdana" w:hAnsi="Verdana" w:cs="Verdana"/>
          <w:lang w:val="es-MX"/>
        </w:rPr>
      </w:pPr>
    </w:p>
    <w:p w14:paraId="1006A388" w14:textId="6566D2FC" w:rsidR="00C15139" w:rsidRPr="000E2B93" w:rsidRDefault="00C15139" w:rsidP="30821638">
      <w:pPr>
        <w:spacing w:after="0" w:line="240" w:lineRule="auto"/>
        <w:jc w:val="both"/>
        <w:textAlignment w:val="baseline"/>
        <w:rPr>
          <w:rFonts w:ascii="Verdana" w:eastAsia="Verdana" w:hAnsi="Verdana" w:cs="Verdana"/>
          <w:lang w:eastAsia="es-CO"/>
        </w:rPr>
      </w:pPr>
    </w:p>
    <w:p w14:paraId="48A1EFE8" w14:textId="22AA8DD6" w:rsidR="002707A2" w:rsidRPr="00E02524" w:rsidRDefault="00C15139" w:rsidP="00307435">
      <w:pPr>
        <w:spacing w:after="0" w:line="240" w:lineRule="auto"/>
        <w:textAlignment w:val="baseline"/>
        <w:rPr>
          <w:rStyle w:val="Hipervnculo"/>
          <w:rFonts w:ascii="Verdana" w:eastAsia="Verdana" w:hAnsi="Verdana" w:cs="Verdana"/>
        </w:rPr>
      </w:pPr>
      <w:r w:rsidRPr="30821638">
        <w:rPr>
          <w:rFonts w:ascii="Verdana" w:eastAsia="Verdana" w:hAnsi="Verdana" w:cs="Verdana"/>
          <w:lang w:eastAsia="es-CO"/>
        </w:rPr>
        <w:t> </w:t>
      </w:r>
    </w:p>
    <w:p w14:paraId="70F795F3" w14:textId="77777777" w:rsidR="002707A2" w:rsidRPr="00E02524" w:rsidRDefault="002707A2" w:rsidP="30821638">
      <w:pPr>
        <w:spacing w:after="0"/>
        <w:jc w:val="both"/>
        <w:rPr>
          <w:rStyle w:val="Hipervnculo"/>
          <w:rFonts w:ascii="Verdana" w:eastAsia="Verdana" w:hAnsi="Verdana" w:cs="Verdana"/>
        </w:rPr>
      </w:pPr>
    </w:p>
    <w:bookmarkEnd w:id="0"/>
    <w:p w14:paraId="3900974D" w14:textId="77777777" w:rsidR="003D5B0D" w:rsidRPr="00E02524" w:rsidRDefault="003D5B0D" w:rsidP="30821638">
      <w:pPr>
        <w:spacing w:after="0" w:line="240" w:lineRule="auto"/>
        <w:textAlignment w:val="baseline"/>
        <w:rPr>
          <w:rFonts w:ascii="Verdana" w:eastAsia="Verdana" w:hAnsi="Verdana" w:cs="Verdana"/>
          <w:b/>
          <w:bCs/>
          <w:color w:val="46589C"/>
          <w:lang w:val="es-ES" w:eastAsia="es-CO"/>
        </w:rPr>
      </w:pPr>
    </w:p>
    <w:sectPr w:rsidR="003D5B0D" w:rsidRPr="00E02524"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DFE320" w14:textId="77777777" w:rsidR="00BD04A6" w:rsidRDefault="00BD04A6" w:rsidP="004A1847">
      <w:pPr>
        <w:spacing w:after="0" w:line="240" w:lineRule="auto"/>
      </w:pPr>
      <w:r>
        <w:separator/>
      </w:r>
    </w:p>
  </w:endnote>
  <w:endnote w:type="continuationSeparator" w:id="0">
    <w:p w14:paraId="113F9B1D" w14:textId="77777777" w:rsidR="00BD04A6" w:rsidRDefault="00BD04A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AC61E4" w14:textId="77777777" w:rsidR="00BD04A6" w:rsidRDefault="00BD04A6" w:rsidP="004A1847">
      <w:pPr>
        <w:spacing w:after="0" w:line="240" w:lineRule="auto"/>
      </w:pPr>
      <w:r>
        <w:separator/>
      </w:r>
    </w:p>
  </w:footnote>
  <w:footnote w:type="continuationSeparator" w:id="0">
    <w:p w14:paraId="4FDD0770" w14:textId="77777777" w:rsidR="00BD04A6" w:rsidRDefault="00BD04A6" w:rsidP="004A1847">
      <w:pPr>
        <w:spacing w:after="0" w:line="240" w:lineRule="auto"/>
      </w:pPr>
      <w:r>
        <w:continuationSeparator/>
      </w:r>
    </w:p>
  </w:footnote>
  <w:footnote w:id="1">
    <w:p w14:paraId="4FC3A5EE" w14:textId="77777777" w:rsidR="00981114" w:rsidRPr="00B50A96" w:rsidRDefault="00981114" w:rsidP="00981114">
      <w:pPr>
        <w:pStyle w:val="Textonotapie"/>
        <w:tabs>
          <w:tab w:val="left" w:pos="1138"/>
        </w:tabs>
        <w:snapToGrid w:val="0"/>
        <w:ind w:firstLine="709"/>
        <w:contextualSpacing/>
        <w:jc w:val="both"/>
        <w:rPr>
          <w:rFonts w:ascii="Verdana" w:hAnsi="Verdana" w:cs="Arial"/>
          <w:sz w:val="16"/>
          <w:szCs w:val="16"/>
        </w:rPr>
      </w:pPr>
      <w:r w:rsidRPr="007539AE">
        <w:rPr>
          <w:rFonts w:ascii="Verdana" w:hAnsi="Verdana" w:cs="Arial"/>
          <w:sz w:val="15"/>
          <w:szCs w:val="15"/>
        </w:rPr>
        <w:tab/>
      </w: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ES"/>
        </w:rPr>
        <w:t xml:space="preserve">Sobre el particular, se puede consultar la Gaceta 158 del cuarto debate en el Senado. Disponible en: </w:t>
      </w:r>
      <w:hyperlink r:id="rId1" w:history="1">
        <w:r w:rsidRPr="00B50A96">
          <w:rPr>
            <w:rFonts w:ascii="Verdana" w:hAnsi="Verdana" w:cs="Arial"/>
            <w:sz w:val="16"/>
            <w:szCs w:val="16"/>
            <w:lang w:val="es-ES"/>
          </w:rPr>
          <w:t>http://svrpubindc.imprenta.gov.co/senado/index.xhtml;jsessionid=b3ba7213a248bacd37376ffcedca</w:t>
        </w:r>
      </w:hyperlink>
      <w:r w:rsidRPr="00B50A96">
        <w:rPr>
          <w:rFonts w:ascii="Verdana" w:hAnsi="Verdana" w:cs="Arial"/>
          <w:sz w:val="16"/>
          <w:szCs w:val="16"/>
          <w:lang w:val="es-ES"/>
        </w:rPr>
        <w:t xml:space="preserve">  </w:t>
      </w:r>
      <w:r w:rsidRPr="00B50A96">
        <w:rPr>
          <w:rFonts w:ascii="Verdana" w:hAnsi="Verdana" w:cs="Arial"/>
          <w:sz w:val="16"/>
          <w:szCs w:val="16"/>
        </w:rPr>
        <w:t xml:space="preserve"> </w:t>
      </w:r>
    </w:p>
  </w:footnote>
  <w:footnote w:id="2">
    <w:p w14:paraId="1FC173F4" w14:textId="77777777" w:rsidR="00981114" w:rsidRPr="00B50A96" w:rsidRDefault="00981114" w:rsidP="00981114">
      <w:pPr>
        <w:pStyle w:val="Textonotapie"/>
        <w:snapToGrid w:val="0"/>
        <w:ind w:firstLine="709"/>
        <w:contextualSpacing/>
        <w:jc w:val="both"/>
        <w:rPr>
          <w:rFonts w:ascii="Verdana" w:hAnsi="Verdana" w:cs="Arial"/>
          <w:sz w:val="16"/>
          <w:szCs w:val="16"/>
          <w:lang w:val="es-ES"/>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ES"/>
        </w:rPr>
        <w:t>Exposición de motivos del Proyecto de Ley No. 025 de 2018 Cámara. Disponible en: http://leyes.senado.gov.co/proyectos/images/documentos/Textos%20Radicados/Ponencias/2018/gaceta_563.pdf</w:t>
      </w:r>
    </w:p>
  </w:footnote>
  <w:footnote w:id="3">
    <w:p w14:paraId="30AE24DB" w14:textId="77777777" w:rsidR="00357DB0" w:rsidRPr="00B50A96" w:rsidRDefault="00357DB0" w:rsidP="00357DB0">
      <w:pPr>
        <w:pStyle w:val="Textonotapie"/>
        <w:snapToGrid w:val="0"/>
        <w:ind w:firstLine="709"/>
        <w:contextualSpacing/>
        <w:jc w:val="both"/>
        <w:rPr>
          <w:rFonts w:ascii="Verdana" w:hAnsi="Verdana" w:cs="Arial"/>
          <w:sz w:val="16"/>
          <w:szCs w:val="16"/>
          <w:lang w:val="es-ES"/>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ES"/>
        </w:rPr>
        <w:t>“Artículo 11. Planeación. La secretaría, departamento u oficina de planeación o quien haga sus veces podrá presentar en el plan nacional, departamental, distrital o municipal de desarrollo, según sea el caso, una estrategia o medida de atención para determinar la intervención física de terminación o demolición de aquellas obras que figuren en el Registro Nacional de Obras Civiles Inconclusas durante la vigencia del plan, dando énfasis a las obras que más tiempo llevan en el informe sin ser intervenidas, de acuerdo a la disponibilidad de recursos con que cuente en cada vigencia”.</w:t>
      </w:r>
    </w:p>
  </w:footnote>
  <w:footnote w:id="4">
    <w:p w14:paraId="6B36511D" w14:textId="77777777" w:rsidR="007300A9" w:rsidRPr="00B50A96" w:rsidRDefault="007300A9" w:rsidP="007300A9">
      <w:pPr>
        <w:pStyle w:val="Textonotapie"/>
        <w:snapToGrid w:val="0"/>
        <w:ind w:firstLine="709"/>
        <w:contextualSpacing/>
        <w:jc w:val="both"/>
        <w:rPr>
          <w:rFonts w:ascii="Verdana" w:hAnsi="Verdana" w:cs="Arial"/>
          <w:sz w:val="16"/>
          <w:szCs w:val="16"/>
          <w:lang w:val="es-ES"/>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ES"/>
        </w:rPr>
        <w:t>Dicho artículo establece: “Créese el Registro Nacional de Obras Civiles Inconclusas, bajo la dirección y coordinación de la Dirección de Información, Análisis y Reacción Inmediata de la Contraloría General de la República, el cual contendrá el inventario actualizado de obras civiles inconclusas y estará compuesto por la información reportada por las entidades estatales del orden nacional, departamental, municipal, distrital y demás órdenes institucionales, sobre las obras civiles inconclusas de su jurisdicción, o la información obtenida por la Contraloría General de la República sobre el particular.</w:t>
      </w:r>
    </w:p>
    <w:p w14:paraId="1DD2C55E" w14:textId="77777777" w:rsidR="007300A9" w:rsidRPr="00B50A96" w:rsidRDefault="007300A9" w:rsidP="007300A9">
      <w:pPr>
        <w:pStyle w:val="Textonotapie"/>
        <w:snapToGrid w:val="0"/>
        <w:ind w:firstLine="709"/>
        <w:contextualSpacing/>
        <w:jc w:val="both"/>
        <w:rPr>
          <w:rFonts w:ascii="Verdana" w:hAnsi="Verdana" w:cs="Arial"/>
          <w:sz w:val="16"/>
          <w:szCs w:val="16"/>
          <w:lang w:val="es-ES"/>
        </w:rPr>
      </w:pPr>
      <w:r w:rsidRPr="00B50A96">
        <w:rPr>
          <w:rFonts w:ascii="Verdana" w:hAnsi="Verdana" w:cs="Arial"/>
          <w:sz w:val="16"/>
          <w:szCs w:val="16"/>
          <w:lang w:val="es-ES"/>
        </w:rPr>
        <w:t>“La Contraloría General de la República y las entidades estatales deberán realizar el seguimiento y actualización del Registro Nacional de Obras Civiles Inconclusas con el fin de establecer la realidad respecto de la condición técnica, física y financiera de aquellas. […]”.</w:t>
      </w:r>
    </w:p>
  </w:footnote>
  <w:footnote w:id="5">
    <w:p w14:paraId="39EA5621" w14:textId="77777777" w:rsidR="007300A9" w:rsidRPr="00B50A96" w:rsidRDefault="007300A9" w:rsidP="007300A9">
      <w:pPr>
        <w:pStyle w:val="Textonotapie"/>
        <w:snapToGrid w:val="0"/>
        <w:ind w:firstLine="709"/>
        <w:contextualSpacing/>
        <w:jc w:val="both"/>
        <w:rPr>
          <w:rFonts w:ascii="Verdana" w:hAnsi="Verdana" w:cs="Arial"/>
          <w:color w:val="4472C4" w:themeColor="accent1"/>
          <w:sz w:val="16"/>
          <w:szCs w:val="16"/>
          <w:lang w:val="es-ES"/>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ES"/>
        </w:rPr>
        <w:t xml:space="preserve">Sobre la competencia de la Contraloría General de la República respecto de la administración del Registro Nacional de Obras Civiles Inconclusas, puede consultarse la circular con radicado No. 2020EE0096013 del 28 de agosto de 2020, en el siguiente enlace: </w:t>
      </w:r>
      <w:hyperlink r:id="rId2" w:history="1">
        <w:r w:rsidRPr="00B50A96">
          <w:rPr>
            <w:rStyle w:val="Hipervnculo1"/>
            <w:rFonts w:ascii="Verdana" w:hAnsi="Verdana" w:cs="Arial"/>
            <w:color w:val="4472C4" w:themeColor="accent1"/>
            <w:sz w:val="16"/>
            <w:szCs w:val="16"/>
          </w:rPr>
          <w:t>https://www.contraloria.gov.co/documents/20181/1776254/CIRCULAR_2020EE0096013_REGISTRO_NACIONAL_OBRAS_INCONCLUSAS.PDF/785952d4-4b41-48cb-916b-4881c3b4a095</w:t>
        </w:r>
      </w:hyperlink>
    </w:p>
  </w:footnote>
  <w:footnote w:id="6">
    <w:p w14:paraId="6DF7058E" w14:textId="77777777" w:rsidR="007300A9" w:rsidRPr="00B50A96" w:rsidRDefault="007300A9" w:rsidP="007300A9">
      <w:pPr>
        <w:pStyle w:val="Textonotapie"/>
        <w:snapToGrid w:val="0"/>
        <w:ind w:firstLine="709"/>
        <w:contextualSpacing/>
        <w:jc w:val="both"/>
        <w:rPr>
          <w:rFonts w:ascii="Verdana" w:eastAsia="Calibri" w:hAnsi="Verdana" w:cs="Arial"/>
          <w:sz w:val="16"/>
          <w:szCs w:val="16"/>
          <w:lang w:val="es-ES_tradnl" w:eastAsia="en-GB"/>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CO"/>
        </w:rPr>
        <w:t xml:space="preserve">Al respecto, el parágrafo 3 </w:t>
      </w:r>
      <w:r w:rsidRPr="00B50A96">
        <w:rPr>
          <w:rFonts w:ascii="Verdana" w:eastAsia="Calibri" w:hAnsi="Verdana" w:cs="Arial"/>
          <w:sz w:val="16"/>
          <w:szCs w:val="16"/>
          <w:lang w:val="es-ES_tradnl" w:eastAsia="en-GB"/>
        </w:rPr>
        <w:t xml:space="preserve">del artículo 3 de la Ley 2020 de 2020 establece lo siguiente: </w:t>
      </w:r>
      <w:r w:rsidRPr="00B50A96">
        <w:rPr>
          <w:rFonts w:ascii="Verdana" w:hAnsi="Verdana" w:cs="Arial"/>
          <w:sz w:val="16"/>
          <w:szCs w:val="16"/>
          <w:lang w:val="es-ES"/>
        </w:rPr>
        <w:t>“</w:t>
      </w:r>
      <w:r w:rsidRPr="00B50A96">
        <w:rPr>
          <w:rFonts w:ascii="Verdana" w:eastAsia="Calibri" w:hAnsi="Verdana" w:cs="Arial"/>
          <w:sz w:val="16"/>
          <w:szCs w:val="16"/>
          <w:lang w:val="es-ES_tradnl" w:eastAsia="en-GB"/>
        </w:rPr>
        <w:t>PARÁGRAFO 3°. Las entidades estatales deberán garantizar la actualización permanente del Registro Nacional de Obras Civiles Inconclusas, en los términos y condiciones que al respecto establezca la Contraloría General de la República, a través de la Dirección de Información, Análisis y Reacción Inmediata.</w:t>
      </w:r>
    </w:p>
    <w:p w14:paraId="389D030F" w14:textId="77777777" w:rsidR="007300A9" w:rsidRPr="00B50A96" w:rsidRDefault="007300A9" w:rsidP="007300A9">
      <w:pPr>
        <w:pStyle w:val="Textonotapie"/>
        <w:snapToGrid w:val="0"/>
        <w:ind w:firstLine="709"/>
        <w:contextualSpacing/>
        <w:jc w:val="both"/>
        <w:rPr>
          <w:rFonts w:ascii="Verdana" w:hAnsi="Verdana" w:cs="Arial"/>
          <w:sz w:val="16"/>
          <w:szCs w:val="16"/>
          <w:lang w:val="es-CO"/>
        </w:rPr>
      </w:pPr>
      <w:r w:rsidRPr="00B50A96">
        <w:rPr>
          <w:rFonts w:ascii="Verdana" w:hAnsi="Verdana" w:cs="Arial"/>
          <w:sz w:val="16"/>
          <w:szCs w:val="16"/>
          <w:lang w:val="es-ES"/>
        </w:rPr>
        <w:t>“</w:t>
      </w:r>
      <w:r w:rsidRPr="00B50A96">
        <w:rPr>
          <w:rFonts w:ascii="Verdana" w:eastAsia="Calibri" w:hAnsi="Verdana" w:cs="Arial"/>
          <w:sz w:val="16"/>
          <w:szCs w:val="16"/>
          <w:lang w:val="es-ES_tradnl" w:eastAsia="en-GB"/>
        </w:rPr>
        <w:t>Así mismo, las entidades estatales deben garantizar el acceso y suministro de la información en tiempo real, sobre la ejecución de los proyectos o contratos de obras civiles. Para tales efectos, podrán exigir las condiciones necesarias a sus futuros contratistas</w:t>
      </w:r>
      <w:r w:rsidRPr="00B50A96">
        <w:rPr>
          <w:rFonts w:ascii="Verdana" w:hAnsi="Verdana" w:cs="Arial"/>
          <w:sz w:val="16"/>
          <w:szCs w:val="16"/>
          <w:lang w:val="es-ES"/>
        </w:rPr>
        <w:t>”.</w:t>
      </w:r>
    </w:p>
  </w:footnote>
  <w:footnote w:id="7">
    <w:p w14:paraId="7A8B34A1" w14:textId="77777777" w:rsidR="007300A9" w:rsidRPr="00B50A96" w:rsidRDefault="007300A9" w:rsidP="007300A9">
      <w:pPr>
        <w:pStyle w:val="Textonotapie"/>
        <w:snapToGrid w:val="0"/>
        <w:ind w:firstLine="708"/>
        <w:contextualSpacing/>
        <w:jc w:val="both"/>
        <w:rPr>
          <w:rFonts w:ascii="Verdana" w:hAnsi="Verdana" w:cs="Arial"/>
          <w:sz w:val="16"/>
          <w:szCs w:val="16"/>
          <w:lang w:val="es-CO"/>
        </w:rPr>
      </w:pPr>
      <w:r w:rsidRPr="00B50A96">
        <w:rPr>
          <w:rStyle w:val="Refdenotaalpie"/>
          <w:rFonts w:ascii="Verdana" w:hAnsi="Verdana" w:cs="Arial"/>
          <w:sz w:val="16"/>
          <w:szCs w:val="16"/>
        </w:rPr>
        <w:footnoteRef/>
      </w:r>
      <w:r w:rsidRPr="00B50A96">
        <w:rPr>
          <w:rFonts w:ascii="Verdana" w:hAnsi="Verdana" w:cs="Arial"/>
          <w:sz w:val="16"/>
          <w:szCs w:val="16"/>
        </w:rPr>
        <w:t xml:space="preserve"> Puede ser consultada en: </w:t>
      </w:r>
      <w:hyperlink r:id="rId3" w:history="1">
        <w:r w:rsidRPr="00B50A96">
          <w:rPr>
            <w:rStyle w:val="Hipervnculo1"/>
            <w:rFonts w:ascii="Verdana" w:hAnsi="Verdana" w:cs="Arial"/>
            <w:color w:val="4472C4" w:themeColor="accent1"/>
            <w:sz w:val="16"/>
            <w:szCs w:val="16"/>
          </w:rPr>
          <w:t>https://www.contraloria.gov.co/web/relatoria/normatividad-y-relatoria</w:t>
        </w:r>
      </w:hyperlink>
      <w:r w:rsidRPr="00B50A96">
        <w:rPr>
          <w:rStyle w:val="Hipervnculo1"/>
          <w:rFonts w:ascii="Verdana" w:hAnsi="Verdana" w:cs="Arial"/>
          <w:color w:val="4472C4" w:themeColor="accent1"/>
          <w:sz w:val="16"/>
          <w:szCs w:val="16"/>
        </w:rPr>
        <w:t xml:space="preserve"> </w:t>
      </w:r>
    </w:p>
  </w:footnote>
  <w:footnote w:id="8">
    <w:p w14:paraId="06AAE040" w14:textId="2D9BEA54" w:rsidR="00EA61CC" w:rsidRPr="00784856" w:rsidRDefault="00EA61CC" w:rsidP="00EA61CC">
      <w:pPr>
        <w:pStyle w:val="Textonotapie"/>
        <w:snapToGrid w:val="0"/>
        <w:ind w:firstLine="709"/>
        <w:contextualSpacing/>
        <w:jc w:val="both"/>
        <w:rPr>
          <w:rFonts w:ascii="Verdana" w:hAnsi="Verdana" w:cs="Arial"/>
          <w:sz w:val="16"/>
          <w:szCs w:val="16"/>
          <w:lang w:val="es-CO"/>
        </w:rPr>
      </w:pPr>
      <w:r w:rsidRPr="00784856">
        <w:rPr>
          <w:rStyle w:val="Refdenotaalpie"/>
          <w:rFonts w:ascii="Verdana" w:hAnsi="Verdana" w:cs="Arial"/>
          <w:sz w:val="16"/>
          <w:szCs w:val="16"/>
        </w:rPr>
        <w:footnoteRef/>
      </w:r>
      <w:r w:rsidRPr="00784856">
        <w:rPr>
          <w:rFonts w:ascii="Verdana" w:hAnsi="Verdana" w:cs="Arial"/>
          <w:sz w:val="16"/>
          <w:szCs w:val="16"/>
        </w:rPr>
        <w:t xml:space="preserve"> </w:t>
      </w:r>
      <w:r w:rsidRPr="00784856">
        <w:rPr>
          <w:rFonts w:ascii="Verdana" w:hAnsi="Verdana" w:cs="Arial"/>
          <w:sz w:val="16"/>
          <w:szCs w:val="16"/>
          <w:lang w:val="es-ES"/>
        </w:rPr>
        <w:t xml:space="preserve">“Artículo 9. Responsables. Los responsables de hacer el inventario de obras </w:t>
      </w:r>
      <w:r w:rsidR="0061392A" w:rsidRPr="00784856">
        <w:rPr>
          <w:rFonts w:ascii="Verdana" w:hAnsi="Verdana" w:cs="Arial"/>
          <w:sz w:val="16"/>
          <w:szCs w:val="16"/>
          <w:lang w:val="es-ES"/>
        </w:rPr>
        <w:t>inconclusas</w:t>
      </w:r>
      <w:r w:rsidRPr="00784856">
        <w:rPr>
          <w:rFonts w:ascii="Verdana" w:hAnsi="Verdana" w:cs="Arial"/>
          <w:sz w:val="16"/>
          <w:szCs w:val="16"/>
          <w:lang w:val="es-ES"/>
        </w:rPr>
        <w:t xml:space="preserve"> serán los ministros, gerentes, presidentes, directores, superintendentes, gobernadores, alcaldes, y demás representantes legales de entidades estatales, en cualquiera de sus esferas nacionales o territoriales, y los demás ordenadores del gasto de quien dependa la toma de decisiones sobre la materia”.</w:t>
      </w:r>
    </w:p>
  </w:footnote>
  <w:footnote w:id="9">
    <w:p w14:paraId="32DCA617" w14:textId="77777777" w:rsidR="005F015B" w:rsidRPr="00B50A96" w:rsidRDefault="005F015B" w:rsidP="005F015B">
      <w:pPr>
        <w:pStyle w:val="NormalWeb"/>
        <w:snapToGrid w:val="0"/>
        <w:spacing w:before="0" w:beforeAutospacing="0" w:after="0" w:afterAutospacing="0"/>
        <w:ind w:firstLine="709"/>
        <w:contextualSpacing/>
        <w:jc w:val="both"/>
        <w:rPr>
          <w:rFonts w:ascii="Verdana" w:eastAsiaTheme="minorHAnsi" w:hAnsi="Verdana" w:cs="Arial"/>
          <w:sz w:val="16"/>
          <w:szCs w:val="16"/>
          <w:lang w:val="es-ES" w:eastAsia="en-US"/>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eastAsiaTheme="minorHAnsi" w:hAnsi="Verdana" w:cs="Arial"/>
          <w:sz w:val="16"/>
          <w:szCs w:val="16"/>
          <w:lang w:val="es-ES" w:eastAsia="en-US"/>
        </w:rPr>
        <w:t>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55DC89B6" w14:textId="77777777" w:rsidR="005F015B" w:rsidRPr="00B50A96" w:rsidRDefault="005F015B" w:rsidP="005F015B">
      <w:pPr>
        <w:pStyle w:val="NormalWeb"/>
        <w:snapToGrid w:val="0"/>
        <w:spacing w:before="0" w:beforeAutospacing="0" w:after="0" w:afterAutospacing="0"/>
        <w:ind w:firstLine="709"/>
        <w:contextualSpacing/>
        <w:jc w:val="both"/>
        <w:rPr>
          <w:rFonts w:ascii="Verdana" w:eastAsiaTheme="minorHAnsi" w:hAnsi="Verdana" w:cs="Arial"/>
          <w:sz w:val="16"/>
          <w:szCs w:val="16"/>
          <w:lang w:val="es-ES" w:eastAsia="en-US"/>
        </w:rPr>
      </w:pPr>
      <w:r w:rsidRPr="00B50A96">
        <w:rPr>
          <w:rFonts w:ascii="Verdana" w:eastAsiaTheme="minorHAnsi" w:hAnsi="Verdana" w:cs="Arial"/>
          <w:sz w:val="16"/>
          <w:szCs w:val="16"/>
          <w:lang w:val="es-ES" w:eastAsia="en-U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w:t>
      </w:r>
      <w:hyperlink r:id="rId4" w:anchor="136" w:history="1">
        <w:r w:rsidRPr="00B50A96">
          <w:rPr>
            <w:rFonts w:ascii="Verdana" w:eastAsiaTheme="minorHAnsi" w:hAnsi="Verdana" w:cs="Arial"/>
            <w:sz w:val="16"/>
            <w:szCs w:val="16"/>
            <w:lang w:val="es-ES" w:eastAsia="en-US"/>
          </w:rPr>
          <w:t>136</w:t>
        </w:r>
      </w:hyperlink>
      <w:r w:rsidRPr="00B50A96">
        <w:rPr>
          <w:rFonts w:ascii="Verdana" w:eastAsiaTheme="minorHAnsi" w:hAnsi="Verdana" w:cs="Arial"/>
          <w:sz w:val="16"/>
          <w:szCs w:val="16"/>
          <w:lang w:val="es-ES" w:eastAsia="en-US"/>
        </w:rPr>
        <w:t> del C. C. A.</w:t>
      </w:r>
    </w:p>
    <w:p w14:paraId="089BDE4B" w14:textId="77777777" w:rsidR="005F015B" w:rsidRPr="00B50A96" w:rsidRDefault="005F015B" w:rsidP="005F015B">
      <w:pPr>
        <w:pStyle w:val="NormalWeb"/>
        <w:snapToGrid w:val="0"/>
        <w:spacing w:before="0" w:beforeAutospacing="0" w:after="0" w:afterAutospacing="0"/>
        <w:ind w:firstLine="709"/>
        <w:contextualSpacing/>
        <w:jc w:val="both"/>
        <w:rPr>
          <w:rFonts w:ascii="Verdana" w:eastAsiaTheme="minorHAnsi" w:hAnsi="Verdana" w:cs="Arial"/>
          <w:sz w:val="16"/>
          <w:szCs w:val="16"/>
          <w:lang w:val="es-ES" w:eastAsia="en-US"/>
        </w:rPr>
      </w:pPr>
      <w:r w:rsidRPr="00B50A96">
        <w:rPr>
          <w:rFonts w:ascii="Verdana" w:eastAsiaTheme="minorHAnsi" w:hAnsi="Verdana" w:cs="Arial"/>
          <w:sz w:val="16"/>
          <w:szCs w:val="16"/>
          <w:lang w:val="es-ES" w:eastAsia="en-U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w:t>
      </w:r>
      <w:hyperlink r:id="rId5" w:anchor="136" w:history="1">
        <w:r w:rsidRPr="00B50A96">
          <w:rPr>
            <w:rFonts w:ascii="Verdana" w:eastAsiaTheme="minorHAnsi" w:hAnsi="Verdana" w:cs="Arial"/>
            <w:sz w:val="16"/>
            <w:szCs w:val="16"/>
            <w:lang w:val="es-ES" w:eastAsia="en-US"/>
          </w:rPr>
          <w:t>136</w:t>
        </w:r>
      </w:hyperlink>
      <w:r w:rsidRPr="00B50A96">
        <w:rPr>
          <w:rFonts w:ascii="Verdana" w:eastAsiaTheme="minorHAnsi" w:hAnsi="Verdana" w:cs="Arial"/>
          <w:sz w:val="16"/>
          <w:szCs w:val="16"/>
          <w:lang w:val="es-ES" w:eastAsia="en-US"/>
        </w:rPr>
        <w:t> del C. C. A. Los contratistas tendrán derecho a efectuar salvedades a la liquidación por mutuo acuerdo, y en este evento la liquidación unilateral solo procederá en relación con los aspectos que no hayan sido objeto de acuerdo”.</w:t>
      </w:r>
    </w:p>
  </w:footnote>
  <w:footnote w:id="10">
    <w:p w14:paraId="5EAB882F" w14:textId="77777777" w:rsidR="005F015B" w:rsidRPr="00784856" w:rsidRDefault="005F015B" w:rsidP="005F015B">
      <w:pPr>
        <w:pStyle w:val="Textonotapie"/>
        <w:snapToGrid w:val="0"/>
        <w:ind w:firstLine="709"/>
        <w:contextualSpacing/>
        <w:jc w:val="both"/>
        <w:rPr>
          <w:rFonts w:ascii="Verdana" w:hAnsi="Verdana" w:cs="Arial"/>
          <w:sz w:val="16"/>
          <w:szCs w:val="16"/>
        </w:rPr>
      </w:pPr>
      <w:r w:rsidRPr="00784856">
        <w:rPr>
          <w:rStyle w:val="Refdenotaalpie"/>
          <w:rFonts w:ascii="Verdana" w:hAnsi="Verdana" w:cs="Arial"/>
          <w:sz w:val="16"/>
          <w:szCs w:val="16"/>
        </w:rPr>
        <w:footnoteRef/>
      </w:r>
      <w:r w:rsidRPr="00784856">
        <w:rPr>
          <w:rFonts w:ascii="Verdana" w:hAnsi="Verdana" w:cs="Arial"/>
          <w:sz w:val="16"/>
          <w:szCs w:val="16"/>
        </w:rPr>
        <w:t xml:space="preserve"> “Artículo 164. Oportunidad para presentar la demanda. La demanda deberá ser presentada: </w:t>
      </w:r>
    </w:p>
    <w:p w14:paraId="759461F7" w14:textId="77777777" w:rsidR="005F015B" w:rsidRPr="00784856" w:rsidRDefault="005F015B" w:rsidP="005F015B">
      <w:pPr>
        <w:pStyle w:val="Textonotapie"/>
        <w:snapToGrid w:val="0"/>
        <w:ind w:firstLine="709"/>
        <w:contextualSpacing/>
        <w:jc w:val="both"/>
        <w:rPr>
          <w:rFonts w:ascii="Verdana" w:hAnsi="Verdana" w:cs="Arial"/>
          <w:sz w:val="16"/>
          <w:szCs w:val="16"/>
        </w:rPr>
      </w:pPr>
      <w:r w:rsidRPr="00784856">
        <w:rPr>
          <w:rFonts w:ascii="Verdana" w:hAnsi="Verdana" w:cs="Arial"/>
          <w:sz w:val="16"/>
          <w:szCs w:val="16"/>
        </w:rPr>
        <w:t>[…]</w:t>
      </w:r>
    </w:p>
    <w:p w14:paraId="587F3A57" w14:textId="77777777" w:rsidR="005F015B" w:rsidRPr="00784856" w:rsidRDefault="005F015B" w:rsidP="005F015B">
      <w:pPr>
        <w:pStyle w:val="Textonotapie"/>
        <w:snapToGrid w:val="0"/>
        <w:ind w:firstLine="709"/>
        <w:contextualSpacing/>
        <w:jc w:val="both"/>
        <w:rPr>
          <w:rFonts w:ascii="Verdana" w:hAnsi="Verdana" w:cs="Arial"/>
          <w:color w:val="333333"/>
          <w:sz w:val="16"/>
          <w:szCs w:val="16"/>
        </w:rPr>
      </w:pPr>
      <w:r w:rsidRPr="00784856">
        <w:rPr>
          <w:rFonts w:ascii="Verdana" w:hAnsi="Verdana" w:cs="Arial"/>
          <w:color w:val="333333"/>
          <w:sz w:val="16"/>
          <w:szCs w:val="16"/>
        </w:rPr>
        <w:t>2. En los siguientes términos, so pena de que opere la caducidad:</w:t>
      </w:r>
    </w:p>
    <w:p w14:paraId="23EDEDF4" w14:textId="77777777" w:rsidR="005F015B" w:rsidRPr="00784856" w:rsidRDefault="005F015B" w:rsidP="005F015B">
      <w:pPr>
        <w:pStyle w:val="Textonotapie"/>
        <w:snapToGrid w:val="0"/>
        <w:ind w:firstLine="709"/>
        <w:contextualSpacing/>
        <w:jc w:val="both"/>
        <w:rPr>
          <w:rFonts w:ascii="Verdana" w:hAnsi="Verdana" w:cs="Arial"/>
          <w:color w:val="333333"/>
          <w:sz w:val="16"/>
          <w:szCs w:val="16"/>
        </w:rPr>
      </w:pPr>
      <w:r w:rsidRPr="00784856">
        <w:rPr>
          <w:rFonts w:ascii="Verdana" w:hAnsi="Verdana" w:cs="Arial"/>
          <w:color w:val="333333"/>
          <w:sz w:val="16"/>
          <w:szCs w:val="16"/>
        </w:rPr>
        <w:t>j) En las relativas a contratos el término para demandar será de dos (2) años que se contarán a partir del día siguiente a la ocurrencia de los motivos de hecho o de derecho que les sirvan de fundamento.</w:t>
      </w:r>
    </w:p>
    <w:p w14:paraId="79CE7504" w14:textId="77777777" w:rsidR="005F015B" w:rsidRPr="00784856" w:rsidRDefault="005F015B" w:rsidP="005F015B">
      <w:pPr>
        <w:pStyle w:val="Textonotapie"/>
        <w:snapToGrid w:val="0"/>
        <w:ind w:firstLine="709"/>
        <w:contextualSpacing/>
        <w:jc w:val="both"/>
        <w:rPr>
          <w:rFonts w:ascii="Verdana" w:hAnsi="Verdana" w:cs="Arial"/>
          <w:color w:val="333333"/>
          <w:sz w:val="16"/>
          <w:szCs w:val="16"/>
        </w:rPr>
      </w:pPr>
      <w:r w:rsidRPr="00784856">
        <w:rPr>
          <w:rFonts w:ascii="Verdana" w:hAnsi="Verdana" w:cs="Arial"/>
          <w:color w:val="333333"/>
          <w:sz w:val="16"/>
          <w:szCs w:val="16"/>
        </w:rPr>
        <w:t>[…]</w:t>
      </w:r>
    </w:p>
    <w:p w14:paraId="006C1052" w14:textId="77777777" w:rsidR="005F015B" w:rsidRPr="00784856" w:rsidRDefault="005F015B" w:rsidP="005F015B">
      <w:pPr>
        <w:pStyle w:val="Textonotapie"/>
        <w:snapToGrid w:val="0"/>
        <w:ind w:firstLine="709"/>
        <w:contextualSpacing/>
        <w:jc w:val="both"/>
        <w:rPr>
          <w:rFonts w:ascii="Verdana" w:hAnsi="Verdana" w:cs="Arial"/>
          <w:sz w:val="16"/>
          <w:szCs w:val="16"/>
        </w:rPr>
      </w:pPr>
      <w:r w:rsidRPr="00784856">
        <w:rPr>
          <w:rFonts w:ascii="Verdana" w:hAnsi="Verdana" w:cs="Arial"/>
          <w:color w:val="333333"/>
          <w:sz w:val="16"/>
          <w:szCs w:val="16"/>
        </w:rPr>
        <w:t>v) En los que requieran de liquidación y esta no se logre por mutuo acuerdo o no se practique por la administración unilateralmente, una vez cumplido el término de dos (2) meses contados a partir del vencimiento del plazo convenido para hacerlo bilateralmente o, en su defecto, del término de los cuatro (4) meses siguientes a la terminación del contrato o la expedición del acto que lo ordene o del acuerdo que la disponga”.</w:t>
      </w:r>
    </w:p>
  </w:footnote>
  <w:footnote w:id="11">
    <w:p w14:paraId="4CBAC2A0" w14:textId="77777777" w:rsidR="005F015B" w:rsidRPr="00784856" w:rsidRDefault="005F015B" w:rsidP="005F015B">
      <w:pPr>
        <w:pStyle w:val="Textonotapie"/>
        <w:rPr>
          <w:rFonts w:ascii="Verdana" w:hAnsi="Verdana"/>
          <w:sz w:val="16"/>
          <w:szCs w:val="16"/>
          <w:lang w:val="es-ES"/>
        </w:rPr>
      </w:pPr>
      <w:r w:rsidRPr="00784856">
        <w:rPr>
          <w:rStyle w:val="Refdenotaalpie"/>
          <w:rFonts w:ascii="Verdana" w:hAnsi="Verdana"/>
          <w:sz w:val="16"/>
          <w:szCs w:val="16"/>
        </w:rPr>
        <w:footnoteRef/>
      </w:r>
      <w:r w:rsidRPr="00784856">
        <w:rPr>
          <w:rFonts w:ascii="Verdana" w:hAnsi="Verdana"/>
          <w:sz w:val="16"/>
          <w:szCs w:val="16"/>
        </w:rPr>
        <w:t xml:space="preserve"> </w:t>
      </w:r>
      <w:r w:rsidRPr="00784856">
        <w:rPr>
          <w:rFonts w:ascii="Verdana" w:hAnsi="Verdana"/>
          <w:sz w:val="16"/>
          <w:szCs w:val="16"/>
          <w:lang w:val="es-ES"/>
        </w:rPr>
        <w:t xml:space="preserve">Corte CONSTITUCIONAL, C-147 de 1998. </w:t>
      </w:r>
    </w:p>
  </w:footnote>
  <w:footnote w:id="12">
    <w:p w14:paraId="33C94DBE" w14:textId="77777777" w:rsidR="005F015B" w:rsidRPr="00784856" w:rsidRDefault="005F015B" w:rsidP="005F015B">
      <w:pPr>
        <w:pStyle w:val="Textonotapie"/>
        <w:rPr>
          <w:rFonts w:ascii="Verdana" w:hAnsi="Verdana"/>
          <w:sz w:val="16"/>
          <w:szCs w:val="16"/>
          <w:lang w:val="es-ES"/>
        </w:rPr>
      </w:pPr>
      <w:r w:rsidRPr="00784856">
        <w:rPr>
          <w:rStyle w:val="Refdenotaalpie"/>
          <w:rFonts w:ascii="Verdana" w:hAnsi="Verdana"/>
          <w:sz w:val="16"/>
          <w:szCs w:val="16"/>
        </w:rPr>
        <w:footnoteRef/>
      </w:r>
      <w:r w:rsidRPr="00784856">
        <w:rPr>
          <w:rFonts w:ascii="Verdana" w:hAnsi="Verdana"/>
          <w:sz w:val="16"/>
          <w:szCs w:val="16"/>
        </w:rPr>
        <w:t xml:space="preserve"> </w:t>
      </w:r>
      <w:r w:rsidRPr="00784856">
        <w:rPr>
          <w:rFonts w:ascii="Verdana" w:hAnsi="Verdana"/>
          <w:sz w:val="16"/>
          <w:szCs w:val="16"/>
          <w:lang w:val="es-ES"/>
        </w:rPr>
        <w:t xml:space="preserve">Esta ha sido la interpretación sostenida en diversos conceptos por parte de la Contraloría General de la República: CGR-OJ-195-2020 y CGR-OJ-0004-2023, entre otros. </w:t>
      </w:r>
    </w:p>
  </w:footnote>
  <w:footnote w:id="13">
    <w:p w14:paraId="6F6247B2" w14:textId="086967AA" w:rsidR="00BD0A87" w:rsidRPr="00784856" w:rsidRDefault="00BD0A87" w:rsidP="00BD0A87">
      <w:pPr>
        <w:pStyle w:val="Textonotapie"/>
        <w:ind w:firstLine="708"/>
        <w:rPr>
          <w:rFonts w:ascii="Verdana" w:hAnsi="Verdana"/>
          <w:sz w:val="16"/>
          <w:szCs w:val="16"/>
          <w:lang w:val="es-ES"/>
        </w:rPr>
      </w:pPr>
      <w:r w:rsidRPr="00784856">
        <w:rPr>
          <w:rStyle w:val="Refdenotaalpie"/>
          <w:rFonts w:ascii="Verdana" w:hAnsi="Verdana"/>
          <w:sz w:val="16"/>
          <w:szCs w:val="16"/>
        </w:rPr>
        <w:footnoteRef/>
      </w:r>
      <w:r w:rsidR="00B50A96">
        <w:rPr>
          <w:rFonts w:ascii="Verdana" w:hAnsi="Verdana"/>
          <w:sz w:val="16"/>
          <w:szCs w:val="16"/>
        </w:rPr>
        <w:t xml:space="preserve"> </w:t>
      </w:r>
      <w:r w:rsidRPr="00784856">
        <w:rPr>
          <w:rFonts w:ascii="Verdana" w:hAnsi="Verdana"/>
          <w:sz w:val="16"/>
          <w:szCs w:val="16"/>
        </w:rPr>
        <w:t xml:space="preserve">Contraloría General de la República, Concepto CGR-OJ-033 de 2022, reiterado en el concepto CGR-OJ-0004-2023.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55886317" w14:textId="77777777" w:rsidR="00B72DE9" w:rsidRDefault="00B72DE9" w:rsidP="000D5DA7">
    <w:pPr>
      <w:spacing w:after="0" w:line="480" w:lineRule="auto"/>
      <w:rPr>
        <w:rFonts w:ascii="Verdana" w:hAnsi="Verdana"/>
        <w:sz w:val="24"/>
        <w:szCs w:val="24"/>
      </w:rPr>
    </w:pPr>
  </w:p>
  <w:p w14:paraId="1FD1C243" w14:textId="09E5F22D"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1AE0494A"/>
    <w:lvl w:ilvl="0" w:tplc="08FE3E8E">
      <w:start w:val="1"/>
      <w:numFmt w:val="bullet"/>
      <w:lvlText w:val=""/>
      <w:lvlJc w:val="left"/>
      <w:pPr>
        <w:ind w:left="360" w:hanging="360"/>
      </w:pPr>
      <w:rPr>
        <w:rFonts w:ascii="Symbol" w:hAnsi="Symbol" w:hint="default"/>
        <w:color w:val="auto"/>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9" w15:restartNumberingAfterBreak="0">
    <w:nsid w:val="615001F0"/>
    <w:multiLevelType w:val="hybridMultilevel"/>
    <w:tmpl w:val="0D8E7A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679089576">
    <w:abstractNumId w:val="8"/>
  </w:num>
  <w:num w:numId="17" w16cid:durableId="200384854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AC7"/>
    <w:rsid w:val="00016F78"/>
    <w:rsid w:val="0003141E"/>
    <w:rsid w:val="00037412"/>
    <w:rsid w:val="00046945"/>
    <w:rsid w:val="00051105"/>
    <w:rsid w:val="000605D1"/>
    <w:rsid w:val="00061B2A"/>
    <w:rsid w:val="00066A0C"/>
    <w:rsid w:val="00082362"/>
    <w:rsid w:val="0008794A"/>
    <w:rsid w:val="000A0792"/>
    <w:rsid w:val="000A683E"/>
    <w:rsid w:val="000B19B9"/>
    <w:rsid w:val="000B54FF"/>
    <w:rsid w:val="000C0D6D"/>
    <w:rsid w:val="000C1108"/>
    <w:rsid w:val="000C41C2"/>
    <w:rsid w:val="000D0334"/>
    <w:rsid w:val="000D09EE"/>
    <w:rsid w:val="000D15BD"/>
    <w:rsid w:val="000D4F55"/>
    <w:rsid w:val="000D5DA7"/>
    <w:rsid w:val="000F4DF9"/>
    <w:rsid w:val="000F6486"/>
    <w:rsid w:val="0010016B"/>
    <w:rsid w:val="001021FE"/>
    <w:rsid w:val="00116940"/>
    <w:rsid w:val="00117DA0"/>
    <w:rsid w:val="00123E26"/>
    <w:rsid w:val="00125105"/>
    <w:rsid w:val="00125F07"/>
    <w:rsid w:val="00127233"/>
    <w:rsid w:val="0015699B"/>
    <w:rsid w:val="00170F48"/>
    <w:rsid w:val="00171C7B"/>
    <w:rsid w:val="00180051"/>
    <w:rsid w:val="001803B1"/>
    <w:rsid w:val="00183810"/>
    <w:rsid w:val="001A1596"/>
    <w:rsid w:val="001A33BF"/>
    <w:rsid w:val="001C0E4E"/>
    <w:rsid w:val="001C4652"/>
    <w:rsid w:val="001C755A"/>
    <w:rsid w:val="001C7BFC"/>
    <w:rsid w:val="001E068A"/>
    <w:rsid w:val="001E4177"/>
    <w:rsid w:val="001F0B24"/>
    <w:rsid w:val="001F7DC6"/>
    <w:rsid w:val="002223AC"/>
    <w:rsid w:val="0022400B"/>
    <w:rsid w:val="002421BB"/>
    <w:rsid w:val="0025796E"/>
    <w:rsid w:val="002707A2"/>
    <w:rsid w:val="00285088"/>
    <w:rsid w:val="002951A0"/>
    <w:rsid w:val="002962BC"/>
    <w:rsid w:val="002A093D"/>
    <w:rsid w:val="002A0DD0"/>
    <w:rsid w:val="002A49AC"/>
    <w:rsid w:val="002A64FD"/>
    <w:rsid w:val="002B609D"/>
    <w:rsid w:val="002C3FFE"/>
    <w:rsid w:val="002C7A84"/>
    <w:rsid w:val="002E2BF8"/>
    <w:rsid w:val="002E3F19"/>
    <w:rsid w:val="002E4FD9"/>
    <w:rsid w:val="002F06BF"/>
    <w:rsid w:val="0030657A"/>
    <w:rsid w:val="00307435"/>
    <w:rsid w:val="00310BD9"/>
    <w:rsid w:val="003153D2"/>
    <w:rsid w:val="00322A85"/>
    <w:rsid w:val="00324168"/>
    <w:rsid w:val="00330834"/>
    <w:rsid w:val="00333A22"/>
    <w:rsid w:val="003344BC"/>
    <w:rsid w:val="00340272"/>
    <w:rsid w:val="003448F4"/>
    <w:rsid w:val="00357DB0"/>
    <w:rsid w:val="00365F36"/>
    <w:rsid w:val="00370B48"/>
    <w:rsid w:val="00374F5E"/>
    <w:rsid w:val="00377E3E"/>
    <w:rsid w:val="00384255"/>
    <w:rsid w:val="00384CDA"/>
    <w:rsid w:val="003A046C"/>
    <w:rsid w:val="003A779E"/>
    <w:rsid w:val="003C2375"/>
    <w:rsid w:val="003C570C"/>
    <w:rsid w:val="003D0F4D"/>
    <w:rsid w:val="003D5B0D"/>
    <w:rsid w:val="003E0499"/>
    <w:rsid w:val="003E4F80"/>
    <w:rsid w:val="003E6439"/>
    <w:rsid w:val="003F3941"/>
    <w:rsid w:val="003F5660"/>
    <w:rsid w:val="00406575"/>
    <w:rsid w:val="0041076F"/>
    <w:rsid w:val="00414C74"/>
    <w:rsid w:val="0042722E"/>
    <w:rsid w:val="00430D50"/>
    <w:rsid w:val="0044528D"/>
    <w:rsid w:val="00466E39"/>
    <w:rsid w:val="00485FB1"/>
    <w:rsid w:val="004A016E"/>
    <w:rsid w:val="004A1847"/>
    <w:rsid w:val="004A305D"/>
    <w:rsid w:val="004A6495"/>
    <w:rsid w:val="004B35CC"/>
    <w:rsid w:val="004F14CD"/>
    <w:rsid w:val="004F21C4"/>
    <w:rsid w:val="004F685F"/>
    <w:rsid w:val="004F79B3"/>
    <w:rsid w:val="00513167"/>
    <w:rsid w:val="00530A70"/>
    <w:rsid w:val="00556298"/>
    <w:rsid w:val="005566E8"/>
    <w:rsid w:val="00562FF9"/>
    <w:rsid w:val="00574867"/>
    <w:rsid w:val="00581D1F"/>
    <w:rsid w:val="00591460"/>
    <w:rsid w:val="00593009"/>
    <w:rsid w:val="005A65E0"/>
    <w:rsid w:val="005B2198"/>
    <w:rsid w:val="005C3777"/>
    <w:rsid w:val="005C5CDC"/>
    <w:rsid w:val="005C6698"/>
    <w:rsid w:val="005D476C"/>
    <w:rsid w:val="005F015B"/>
    <w:rsid w:val="005F14F5"/>
    <w:rsid w:val="00602FD5"/>
    <w:rsid w:val="00606575"/>
    <w:rsid w:val="00612EFC"/>
    <w:rsid w:val="0061392A"/>
    <w:rsid w:val="00614072"/>
    <w:rsid w:val="006200BF"/>
    <w:rsid w:val="006219F8"/>
    <w:rsid w:val="00621AD2"/>
    <w:rsid w:val="006302F7"/>
    <w:rsid w:val="00646B9F"/>
    <w:rsid w:val="00665D70"/>
    <w:rsid w:val="006861C1"/>
    <w:rsid w:val="006900D9"/>
    <w:rsid w:val="006B2CCE"/>
    <w:rsid w:val="006D1F30"/>
    <w:rsid w:val="006D3CED"/>
    <w:rsid w:val="006E42D2"/>
    <w:rsid w:val="006E7FE1"/>
    <w:rsid w:val="006F53F5"/>
    <w:rsid w:val="00706C16"/>
    <w:rsid w:val="007135F5"/>
    <w:rsid w:val="00717AE1"/>
    <w:rsid w:val="007300A9"/>
    <w:rsid w:val="007340C3"/>
    <w:rsid w:val="0075235A"/>
    <w:rsid w:val="00756841"/>
    <w:rsid w:val="007649AB"/>
    <w:rsid w:val="00771D0C"/>
    <w:rsid w:val="007833AC"/>
    <w:rsid w:val="00784856"/>
    <w:rsid w:val="00797DC3"/>
    <w:rsid w:val="007B268C"/>
    <w:rsid w:val="007B591F"/>
    <w:rsid w:val="007B7171"/>
    <w:rsid w:val="007C0C0F"/>
    <w:rsid w:val="007C3DC2"/>
    <w:rsid w:val="007E5497"/>
    <w:rsid w:val="00806F5F"/>
    <w:rsid w:val="00820278"/>
    <w:rsid w:val="008206CA"/>
    <w:rsid w:val="008258C9"/>
    <w:rsid w:val="00832852"/>
    <w:rsid w:val="00844AE9"/>
    <w:rsid w:val="008505E7"/>
    <w:rsid w:val="008657BD"/>
    <w:rsid w:val="008664A3"/>
    <w:rsid w:val="00867F95"/>
    <w:rsid w:val="00870288"/>
    <w:rsid w:val="00874CFF"/>
    <w:rsid w:val="0088041F"/>
    <w:rsid w:val="008843B6"/>
    <w:rsid w:val="00891928"/>
    <w:rsid w:val="008A370D"/>
    <w:rsid w:val="008A446D"/>
    <w:rsid w:val="008A62B2"/>
    <w:rsid w:val="008B1AEF"/>
    <w:rsid w:val="008B25F1"/>
    <w:rsid w:val="008B2E1D"/>
    <w:rsid w:val="008D180B"/>
    <w:rsid w:val="008F0EA7"/>
    <w:rsid w:val="008F21DC"/>
    <w:rsid w:val="009072E2"/>
    <w:rsid w:val="00911C93"/>
    <w:rsid w:val="00914361"/>
    <w:rsid w:val="00915E9B"/>
    <w:rsid w:val="00923EEF"/>
    <w:rsid w:val="00932267"/>
    <w:rsid w:val="009419F9"/>
    <w:rsid w:val="00945BC7"/>
    <w:rsid w:val="0095685E"/>
    <w:rsid w:val="00961B09"/>
    <w:rsid w:val="00965334"/>
    <w:rsid w:val="0097093E"/>
    <w:rsid w:val="00976C1E"/>
    <w:rsid w:val="00981114"/>
    <w:rsid w:val="009A0DFA"/>
    <w:rsid w:val="009A1C6F"/>
    <w:rsid w:val="009B2D26"/>
    <w:rsid w:val="009C71FA"/>
    <w:rsid w:val="009C72E7"/>
    <w:rsid w:val="009C7761"/>
    <w:rsid w:val="009C7F7E"/>
    <w:rsid w:val="009D3058"/>
    <w:rsid w:val="009F3A13"/>
    <w:rsid w:val="00A122D3"/>
    <w:rsid w:val="00A14468"/>
    <w:rsid w:val="00A17F13"/>
    <w:rsid w:val="00A20739"/>
    <w:rsid w:val="00A23AF9"/>
    <w:rsid w:val="00A33C78"/>
    <w:rsid w:val="00A4392C"/>
    <w:rsid w:val="00A628AE"/>
    <w:rsid w:val="00A673E8"/>
    <w:rsid w:val="00A73A48"/>
    <w:rsid w:val="00A96147"/>
    <w:rsid w:val="00A97F85"/>
    <w:rsid w:val="00AB0ADB"/>
    <w:rsid w:val="00AE5499"/>
    <w:rsid w:val="00AE7502"/>
    <w:rsid w:val="00AE7CB4"/>
    <w:rsid w:val="00AF2635"/>
    <w:rsid w:val="00AF42E9"/>
    <w:rsid w:val="00B00C0E"/>
    <w:rsid w:val="00B01B1A"/>
    <w:rsid w:val="00B0381D"/>
    <w:rsid w:val="00B04F2E"/>
    <w:rsid w:val="00B14BB3"/>
    <w:rsid w:val="00B44A47"/>
    <w:rsid w:val="00B50A96"/>
    <w:rsid w:val="00B6799B"/>
    <w:rsid w:val="00B72CD3"/>
    <w:rsid w:val="00B72DE9"/>
    <w:rsid w:val="00B72FFF"/>
    <w:rsid w:val="00B92628"/>
    <w:rsid w:val="00BA70E4"/>
    <w:rsid w:val="00BC3D36"/>
    <w:rsid w:val="00BC62E8"/>
    <w:rsid w:val="00BD04A6"/>
    <w:rsid w:val="00BD0A87"/>
    <w:rsid w:val="00BD21F0"/>
    <w:rsid w:val="00BD5373"/>
    <w:rsid w:val="00BD54A6"/>
    <w:rsid w:val="00BD7F72"/>
    <w:rsid w:val="00BF4076"/>
    <w:rsid w:val="00BF7425"/>
    <w:rsid w:val="00C03DC7"/>
    <w:rsid w:val="00C04FB3"/>
    <w:rsid w:val="00C05225"/>
    <w:rsid w:val="00C11D8B"/>
    <w:rsid w:val="00C15139"/>
    <w:rsid w:val="00C27227"/>
    <w:rsid w:val="00C330EB"/>
    <w:rsid w:val="00C42066"/>
    <w:rsid w:val="00C4459B"/>
    <w:rsid w:val="00C47F88"/>
    <w:rsid w:val="00C50D69"/>
    <w:rsid w:val="00C5365C"/>
    <w:rsid w:val="00C73D38"/>
    <w:rsid w:val="00C754BE"/>
    <w:rsid w:val="00C76B1C"/>
    <w:rsid w:val="00C925AC"/>
    <w:rsid w:val="00CA1E40"/>
    <w:rsid w:val="00CA59CC"/>
    <w:rsid w:val="00CB6357"/>
    <w:rsid w:val="00CC1969"/>
    <w:rsid w:val="00CC1B26"/>
    <w:rsid w:val="00CC58AD"/>
    <w:rsid w:val="00CD389F"/>
    <w:rsid w:val="00CE7823"/>
    <w:rsid w:val="00CF14C2"/>
    <w:rsid w:val="00D055D4"/>
    <w:rsid w:val="00D272E9"/>
    <w:rsid w:val="00D361FD"/>
    <w:rsid w:val="00D423A2"/>
    <w:rsid w:val="00D44E26"/>
    <w:rsid w:val="00D520D8"/>
    <w:rsid w:val="00D60A9B"/>
    <w:rsid w:val="00D63AC2"/>
    <w:rsid w:val="00D7383B"/>
    <w:rsid w:val="00D7788A"/>
    <w:rsid w:val="00D86A1B"/>
    <w:rsid w:val="00DA231B"/>
    <w:rsid w:val="00DA4685"/>
    <w:rsid w:val="00DA7D10"/>
    <w:rsid w:val="00DB1141"/>
    <w:rsid w:val="00DB5A12"/>
    <w:rsid w:val="00DC39FC"/>
    <w:rsid w:val="00DD6302"/>
    <w:rsid w:val="00DE1788"/>
    <w:rsid w:val="00DE61D4"/>
    <w:rsid w:val="00DF0DB0"/>
    <w:rsid w:val="00DF5254"/>
    <w:rsid w:val="00E002F3"/>
    <w:rsid w:val="00E02524"/>
    <w:rsid w:val="00E16408"/>
    <w:rsid w:val="00E20894"/>
    <w:rsid w:val="00E245AB"/>
    <w:rsid w:val="00E2764C"/>
    <w:rsid w:val="00E27F2E"/>
    <w:rsid w:val="00E4325D"/>
    <w:rsid w:val="00E50AFE"/>
    <w:rsid w:val="00E66268"/>
    <w:rsid w:val="00E73DC8"/>
    <w:rsid w:val="00E75C92"/>
    <w:rsid w:val="00E75DE5"/>
    <w:rsid w:val="00E771DC"/>
    <w:rsid w:val="00E8772A"/>
    <w:rsid w:val="00E90F6B"/>
    <w:rsid w:val="00E92C27"/>
    <w:rsid w:val="00E93E5F"/>
    <w:rsid w:val="00EA0E3D"/>
    <w:rsid w:val="00EA61CC"/>
    <w:rsid w:val="00EB7737"/>
    <w:rsid w:val="00EC38A7"/>
    <w:rsid w:val="00EE1AA8"/>
    <w:rsid w:val="00EF6CC1"/>
    <w:rsid w:val="00F23FEA"/>
    <w:rsid w:val="00F26C0F"/>
    <w:rsid w:val="00F31EDC"/>
    <w:rsid w:val="00F41996"/>
    <w:rsid w:val="00F4566F"/>
    <w:rsid w:val="00F462B3"/>
    <w:rsid w:val="00F5664F"/>
    <w:rsid w:val="00F6001A"/>
    <w:rsid w:val="00F666C4"/>
    <w:rsid w:val="00F76AFC"/>
    <w:rsid w:val="00F96424"/>
    <w:rsid w:val="00FA47C0"/>
    <w:rsid w:val="00FA6D4F"/>
    <w:rsid w:val="00FB5DD1"/>
    <w:rsid w:val="00FB5EDD"/>
    <w:rsid w:val="00FC2B5D"/>
    <w:rsid w:val="00FD56AD"/>
    <w:rsid w:val="00FE33B6"/>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69E540A-751C-42DF-87EB-2F6AC31F1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81114"/>
    <w:pPr>
      <w:spacing w:line="240" w:lineRule="exact"/>
    </w:pPr>
    <w:rPr>
      <w:vertAlign w:val="superscript"/>
    </w:rPr>
  </w:style>
  <w:style w:type="character" w:customStyle="1" w:styleId="Hipervnculo1">
    <w:name w:val="Hipervínculo1"/>
    <w:basedOn w:val="Fuentedeprrafopredeter"/>
    <w:uiPriority w:val="99"/>
    <w:unhideWhenUsed/>
    <w:rsid w:val="007300A9"/>
    <w:rPr>
      <w:color w:val="F2F2F2"/>
      <w:u w:val="single"/>
    </w:rPr>
  </w:style>
  <w:style w:type="character" w:customStyle="1" w:styleId="NormalWebCar">
    <w:name w:val="Normal (Web) Car"/>
    <w:link w:val="NormalWeb"/>
    <w:uiPriority w:val="99"/>
    <w:locked/>
    <w:rsid w:val="005F015B"/>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5F015B"/>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45BC7"/>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71838559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vandariog@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s>
</file>

<file path=word/_rels/footnotes.xml.rels><?xml version="1.0" encoding="UTF-8" standalone="yes"?>
<Relationships xmlns="http://schemas.openxmlformats.org/package/2006/relationships"><Relationship Id="rId3" Type="http://schemas.openxmlformats.org/officeDocument/2006/relationships/hyperlink" Target="https://www.contraloria.gov.co/web/relatoria/normatividad-y-relatoria" TargetMode="External"/><Relationship Id="rId2" Type="http://schemas.openxmlformats.org/officeDocument/2006/relationships/hyperlink" Target="https://www.contraloria.gov.co/documents/20181/1776254/CIRCULAR_2020EE0096013_REGISTRO_NACIONAL_OBRAS_INCONCLUSAS.PDF/785952d4-4b41-48cb-916b-4881c3b4a095" TargetMode="External"/><Relationship Id="rId1" Type="http://schemas.openxmlformats.org/officeDocument/2006/relationships/hyperlink" Target="http://svrpubindc.imprenta.gov.co/senado/index.xhtml;jsessionid=b3ba7213a248bacd37376ffcedca" TargetMode="External"/><Relationship Id="rId5" Type="http://schemas.openxmlformats.org/officeDocument/2006/relationships/hyperlink" Target="http://www.secretariasenado.gov.co/senado/basedoc/codigo_contencioso_administrativo_pr003.html" TargetMode="External"/><Relationship Id="rId4" Type="http://schemas.openxmlformats.org/officeDocument/2006/relationships/hyperlink" Target="http://www.secretariasenado.gov.co/senado/basedoc/codigo_contencioso_administrativo_pr00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602C7C7-F0FA-43A8-95DE-70A9219A48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22</Pages>
  <Words>6796</Words>
  <Characters>36022</Characters>
  <Application>Microsoft Office Word</Application>
  <DocSecurity>0</DocSecurity>
  <Lines>679</Lines>
  <Paragraphs>125</Paragraphs>
  <ScaleCrop>false</ScaleCrop>
  <Company/>
  <LinksUpToDate>false</LinksUpToDate>
  <CharactersWithSpaces>42693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5</cp:revision>
  <cp:lastPrinted>2023-01-11T00:18:00Z</cp:lastPrinted>
  <dcterms:created xsi:type="dcterms:W3CDTF">2026-02-18T15:54:00Z</dcterms:created>
  <dcterms:modified xsi:type="dcterms:W3CDTF">2026-03-24T14:41:00Z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