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6A87F0" w14:textId="77777777" w:rsidR="000A7AC9" w:rsidRPr="0037437B" w:rsidRDefault="000A7AC9" w:rsidP="000A7AC9">
      <w:pPr>
        <w:spacing w:after="0"/>
        <w:jc w:val="both"/>
        <w:rPr>
          <w:rFonts w:ascii="Verdana" w:hAnsi="Verdana" w:cs="Arial"/>
          <w:b/>
          <w:bCs/>
          <w:color w:val="000000" w:themeColor="text1"/>
          <w:lang w:val="es-ES"/>
        </w:rPr>
      </w:pPr>
      <w:r w:rsidRPr="0037437B">
        <w:rPr>
          <w:rFonts w:ascii="Verdana" w:hAnsi="Verdana" w:cs="Arial"/>
          <w:b/>
          <w:bCs/>
          <w:color w:val="000000" w:themeColor="text1"/>
          <w:lang w:val="es-ES"/>
        </w:rPr>
        <w:t xml:space="preserve">PRINCIPIO DE ANUALIDAD – Fundamento </w:t>
      </w:r>
      <w:r>
        <w:rPr>
          <w:rFonts w:ascii="Verdana" w:hAnsi="Verdana" w:cs="Arial"/>
          <w:b/>
          <w:bCs/>
          <w:color w:val="000000" w:themeColor="text1"/>
          <w:lang w:val="es-ES"/>
        </w:rPr>
        <w:t>– Regla general</w:t>
      </w:r>
    </w:p>
    <w:p w14:paraId="4FEDE877" w14:textId="77777777" w:rsidR="000A7AC9" w:rsidRDefault="000A7AC9" w:rsidP="000A7AC9">
      <w:pPr>
        <w:spacing w:after="0"/>
        <w:jc w:val="both"/>
        <w:rPr>
          <w:rFonts w:ascii="Verdana" w:hAnsi="Verdana" w:cs="Arial"/>
          <w:b/>
          <w:bCs/>
          <w:color w:val="000000" w:themeColor="text1"/>
          <w:lang w:val="es-ES"/>
        </w:rPr>
      </w:pPr>
    </w:p>
    <w:p w14:paraId="74FBF4BE" w14:textId="77777777" w:rsidR="000A7AC9" w:rsidRDefault="000A7AC9" w:rsidP="000A7AC9">
      <w:pPr>
        <w:spacing w:after="0" w:line="240" w:lineRule="auto"/>
        <w:jc w:val="both"/>
        <w:rPr>
          <w:rFonts w:ascii="Verdana" w:hAnsi="Verdana" w:cs="Arial"/>
          <w:bCs/>
          <w:color w:val="000000" w:themeColor="text1"/>
          <w:sz w:val="20"/>
          <w:lang w:val="es-ES_tradnl"/>
        </w:rPr>
      </w:pPr>
      <w:r>
        <w:rPr>
          <w:rFonts w:ascii="Verdana" w:hAnsi="Verdana" w:cs="Arial"/>
          <w:bCs/>
          <w:color w:val="000000" w:themeColor="text1"/>
          <w:sz w:val="20"/>
          <w:lang w:val="es-ES_tradnl"/>
        </w:rPr>
        <w:t xml:space="preserve">[…] </w:t>
      </w:r>
      <w:r w:rsidRPr="0037437B">
        <w:rPr>
          <w:rFonts w:ascii="Verdana" w:hAnsi="Verdana" w:cs="Arial"/>
          <w:bCs/>
          <w:color w:val="000000" w:themeColor="text1"/>
          <w:sz w:val="20"/>
          <w:lang w:val="es-ES_tradnl"/>
        </w:rPr>
        <w:t>el Estatuto Orgánico del Presupuesto consagra este principio en el artículo 14 consistente en que “Después del 31 de diciembre no podrán asumirse compromisos con cargo a las apropiaciones del año fiscal que se cierra en esa fecha y los saldos de apropiación no afectados por compromisos caducarán sin excepción”. Es decir, los gastos previstos en el presupuesto anual deben ejecutarse dentro de una vigencia fiscal comprendida entre el 1 de enero y el 31 de diciembre.</w:t>
      </w:r>
      <w:r w:rsidRPr="0037437B">
        <w:rPr>
          <w:rFonts w:ascii="Verdana" w:hAnsi="Verdana" w:cs="Arial"/>
          <w:bCs/>
          <w:color w:val="000000" w:themeColor="text1"/>
          <w:sz w:val="20"/>
        </w:rPr>
        <w:t xml:space="preserve"> En el mismo sentido, </w:t>
      </w:r>
      <w:r w:rsidRPr="0037437B">
        <w:rPr>
          <w:rFonts w:ascii="Verdana" w:hAnsi="Verdana" w:cs="Arial"/>
          <w:bCs/>
          <w:color w:val="000000" w:themeColor="text1"/>
          <w:sz w:val="20"/>
          <w:lang w:val="es-ES_tradnl"/>
        </w:rPr>
        <w:t xml:space="preserve">el artículo 89 </w:t>
      </w:r>
      <w:r w:rsidRPr="0037437B">
        <w:rPr>
          <w:rFonts w:ascii="Verdana" w:hAnsi="Verdana" w:cs="Arial"/>
          <w:bCs/>
          <w:i/>
          <w:iCs/>
          <w:color w:val="000000" w:themeColor="text1"/>
          <w:sz w:val="20"/>
          <w:lang w:val="es-ES_tradnl"/>
        </w:rPr>
        <w:t>ibidem</w:t>
      </w:r>
      <w:r w:rsidRPr="0037437B">
        <w:rPr>
          <w:rFonts w:ascii="Verdana" w:hAnsi="Verdana" w:cs="Arial"/>
          <w:bCs/>
          <w:color w:val="000000" w:themeColor="text1"/>
          <w:sz w:val="20"/>
          <w:lang w:val="es-ES_tradnl"/>
        </w:rPr>
        <w:t xml:space="preserve"> consolida al principio de anualidad como regla general en la ejecución del gasto al establecer que “las apropiaciones presupuestales incluidas en el Presupuesto General de la Nación son autorizaciones máximas de gasto que el Congreso aprueba para ser ejecutadas o comprometidas durante la vigencia fiscal respectiva, por lo que después del 31 de diciembre de cada año estas autorizaciones expiran y, en consecuencia, no podrán comprometerse, adicionarse, transferirse, ni contracreditarse”.</w:t>
      </w:r>
    </w:p>
    <w:p w14:paraId="00E92339" w14:textId="77777777" w:rsidR="000A7AC9" w:rsidRPr="0037437B" w:rsidRDefault="000A7AC9" w:rsidP="000A7AC9">
      <w:pPr>
        <w:spacing w:after="0" w:line="240" w:lineRule="auto"/>
        <w:jc w:val="both"/>
        <w:rPr>
          <w:rFonts w:ascii="Verdana" w:hAnsi="Verdana" w:cs="Arial"/>
          <w:bCs/>
          <w:color w:val="000000" w:themeColor="text1"/>
          <w:sz w:val="20"/>
          <w:lang w:val="es-ES_tradnl"/>
        </w:rPr>
      </w:pPr>
      <w:r w:rsidRPr="0037437B">
        <w:rPr>
          <w:rFonts w:ascii="Verdana" w:hAnsi="Verdana" w:cs="Arial"/>
          <w:bCs/>
          <w:color w:val="000000" w:themeColor="text1"/>
          <w:sz w:val="20"/>
          <w:lang w:val="es-ES_tradnl"/>
        </w:rPr>
        <w:t xml:space="preserve"> </w:t>
      </w:r>
    </w:p>
    <w:p w14:paraId="0AF90179" w14:textId="77777777" w:rsidR="000A7AC9" w:rsidRPr="0037437B" w:rsidRDefault="000A7AC9" w:rsidP="000A7AC9">
      <w:pPr>
        <w:spacing w:after="0" w:line="240" w:lineRule="auto"/>
        <w:jc w:val="both"/>
        <w:rPr>
          <w:rFonts w:ascii="Verdana" w:hAnsi="Verdana" w:cs="Arial"/>
          <w:bCs/>
          <w:color w:val="000000" w:themeColor="text1"/>
          <w:sz w:val="20"/>
          <w:lang w:val="es-ES_tradnl"/>
        </w:rPr>
      </w:pPr>
      <w:r w:rsidRPr="0037437B">
        <w:rPr>
          <w:rFonts w:ascii="Verdana" w:hAnsi="Verdana" w:cs="Arial"/>
          <w:bCs/>
          <w:color w:val="000000" w:themeColor="text1"/>
          <w:sz w:val="20"/>
          <w:lang w:val="es-ES_tradnl"/>
        </w:rPr>
        <w:t>A su turno, el artículo 8 de la Ley 819 de 2003 consagra el principio de anualidad al disponer que “l</w:t>
      </w:r>
      <w:r w:rsidRPr="0037437B">
        <w:rPr>
          <w:rFonts w:ascii="Verdana" w:hAnsi="Verdana" w:cs="Arial"/>
          <w:bCs/>
          <w:color w:val="000000" w:themeColor="text1"/>
          <w:sz w:val="20"/>
        </w:rPr>
        <w:t>a preparación y elaboración del Presupuesto General de la Nación y el de las entidades territoriales, deberá sujetarse a los correspondientes Marcos Fiscales de Mediano Plazo de manera que las apropiaciones presupuestales aprobadas por el Congreso de la República, las Asambleas y los Concejos, puedan ejecutarse en su totalidad durante la vigencia fiscal correspondiente”.</w:t>
      </w:r>
    </w:p>
    <w:p w14:paraId="0DBA488B" w14:textId="77777777" w:rsidR="000A7AC9" w:rsidRPr="004D314A" w:rsidRDefault="000A7AC9" w:rsidP="000A7AC9">
      <w:pPr>
        <w:spacing w:after="0"/>
        <w:jc w:val="both"/>
        <w:rPr>
          <w:rFonts w:ascii="Verdana" w:hAnsi="Verdana"/>
          <w:b/>
          <w:bCs/>
          <w:color w:val="EE0000"/>
          <w:lang w:val="es-ES_tradnl"/>
        </w:rPr>
      </w:pPr>
    </w:p>
    <w:p w14:paraId="3E7DA359" w14:textId="77777777" w:rsidR="000A7AC9" w:rsidRPr="0037437B" w:rsidRDefault="000A7AC9" w:rsidP="000A7AC9">
      <w:pPr>
        <w:spacing w:after="0"/>
        <w:jc w:val="both"/>
        <w:rPr>
          <w:rFonts w:ascii="Verdana" w:hAnsi="Verdana" w:cs="Arial"/>
          <w:b/>
          <w:lang w:val="es-ES" w:eastAsia="es-ES"/>
        </w:rPr>
      </w:pPr>
      <w:r w:rsidRPr="0037437B">
        <w:rPr>
          <w:rFonts w:ascii="Verdana" w:hAnsi="Verdana" w:cs="Arial"/>
          <w:b/>
          <w:bCs/>
          <w:color w:val="000000" w:themeColor="text1"/>
          <w:lang w:val="es-ES"/>
        </w:rPr>
        <w:t>PRINCIPIO DE ANUALIDAD</w:t>
      </w:r>
      <w:r w:rsidRPr="0037437B">
        <w:rPr>
          <w:rFonts w:ascii="Verdana" w:hAnsi="Verdana" w:cs="Arial"/>
          <w:b/>
          <w:lang w:val="es-ES" w:eastAsia="es-ES"/>
        </w:rPr>
        <w:t xml:space="preserve"> – </w:t>
      </w:r>
      <w:r>
        <w:rPr>
          <w:rFonts w:ascii="Verdana" w:hAnsi="Verdana" w:cs="Arial"/>
          <w:b/>
          <w:lang w:val="es-ES" w:eastAsia="es-ES"/>
        </w:rPr>
        <w:t xml:space="preserve">Mecanismos presupuestales - </w:t>
      </w:r>
      <w:r w:rsidRPr="0037437B">
        <w:rPr>
          <w:rFonts w:ascii="Verdana" w:hAnsi="Verdana" w:cs="Arial"/>
          <w:b/>
          <w:lang w:val="es-ES" w:eastAsia="es-ES"/>
        </w:rPr>
        <w:t xml:space="preserve">Excepciones </w:t>
      </w:r>
    </w:p>
    <w:p w14:paraId="74F05AEB" w14:textId="77777777" w:rsidR="000A7AC9" w:rsidRPr="0037437B" w:rsidRDefault="000A7AC9" w:rsidP="000A7AC9">
      <w:pPr>
        <w:spacing w:after="0"/>
        <w:jc w:val="both"/>
        <w:rPr>
          <w:rFonts w:ascii="Verdana" w:hAnsi="Verdana" w:cs="Arial"/>
          <w:b/>
          <w:lang w:val="es-ES" w:eastAsia="es-ES"/>
        </w:rPr>
      </w:pPr>
    </w:p>
    <w:p w14:paraId="43DCD9C3" w14:textId="77777777" w:rsidR="000A7AC9" w:rsidRPr="0037437B" w:rsidRDefault="000A7AC9" w:rsidP="000A7AC9">
      <w:pPr>
        <w:spacing w:after="0" w:line="240" w:lineRule="auto"/>
        <w:jc w:val="both"/>
        <w:rPr>
          <w:rFonts w:ascii="Verdana" w:hAnsi="Verdana" w:cs="Arial"/>
          <w:sz w:val="20"/>
          <w:lang w:val="es-ES_tradnl" w:eastAsia="es-ES"/>
        </w:rPr>
      </w:pPr>
      <w:r w:rsidRPr="0037437B">
        <w:rPr>
          <w:rFonts w:ascii="Verdana" w:hAnsi="Verdana" w:cs="Arial"/>
          <w:sz w:val="20"/>
          <w:lang w:val="es-ES_tradnl" w:eastAsia="es-ES"/>
        </w:rPr>
        <w:t xml:space="preserve">Dentro de los mecanismos presupuestales que constituyen excepciones al principio de anualidad se identifican: i) las vigencias futuras, ii) las cuentas por pagar y iii) las reservas presupuestales. Las </w:t>
      </w:r>
      <w:r w:rsidRPr="0037437B">
        <w:rPr>
          <w:rFonts w:ascii="Verdana" w:hAnsi="Verdana" w:cs="Arial"/>
          <w:i/>
          <w:iCs/>
          <w:sz w:val="20"/>
          <w:lang w:val="es-ES_tradnl" w:eastAsia="es-ES"/>
        </w:rPr>
        <w:t>primeras</w:t>
      </w:r>
      <w:r w:rsidRPr="0037437B">
        <w:rPr>
          <w:rFonts w:ascii="Verdana" w:hAnsi="Verdana" w:cs="Arial"/>
          <w:sz w:val="20"/>
          <w:lang w:val="es-ES_tradnl" w:eastAsia="es-ES"/>
        </w:rPr>
        <w:t>, de conformidad con el artículo 23 del Estatuto Orgánico del Presupuesto</w:t>
      </w:r>
      <w:r w:rsidRPr="0037437B">
        <w:rPr>
          <w:rFonts w:ascii="Verdana" w:hAnsi="Verdana" w:cs="Arial"/>
          <w:i/>
          <w:iCs/>
          <w:sz w:val="20"/>
          <w:lang w:val="es-ES_tradnl" w:eastAsia="es-ES"/>
        </w:rPr>
        <w:t xml:space="preserve">, </w:t>
      </w:r>
      <w:r w:rsidRPr="0037437B">
        <w:rPr>
          <w:rFonts w:ascii="Verdana" w:hAnsi="Verdana" w:cs="Arial"/>
          <w:sz w:val="20"/>
          <w:lang w:val="es-ES_tradnl" w:eastAsia="es-ES"/>
        </w:rPr>
        <w:t>se</w:t>
      </w:r>
      <w:r w:rsidRPr="0037437B">
        <w:rPr>
          <w:rFonts w:ascii="Verdana" w:hAnsi="Verdana" w:cs="Arial"/>
          <w:i/>
          <w:iCs/>
          <w:sz w:val="20"/>
          <w:lang w:val="es-ES_tradnl" w:eastAsia="es-ES"/>
        </w:rPr>
        <w:t xml:space="preserve"> </w:t>
      </w:r>
      <w:r w:rsidRPr="0037437B">
        <w:rPr>
          <w:rFonts w:ascii="Verdana" w:hAnsi="Verdana" w:cs="Arial"/>
          <w:sz w:val="20"/>
          <w:lang w:val="es-ES_tradnl" w:eastAsia="es-ES"/>
        </w:rPr>
        <w:t>refieren a la autorización que deben solicitar las entidades para asumir obligaciones que afectarán los presupuestos siguientes a los de la vigencia fiscal en la que inició la ejecución, es decir, correspondientes a las obligaciones cuya ejecución inició con presupuesto de una vigencia fiscal, pero que deberá continuarse con presupuestos de las siguientes vigencias. Sobre esta institución el Consejo de Estado precisó que “</w:t>
      </w:r>
      <w:r w:rsidRPr="0037437B">
        <w:rPr>
          <w:rFonts w:ascii="Verdana" w:hAnsi="Verdana" w:cs="Arial"/>
          <w:sz w:val="20"/>
          <w:lang w:eastAsia="es-ES"/>
        </w:rPr>
        <w:t>son un instrumento de planificación presupuestal y financiero que permite autorizar la asunción de obligaciones que afecten los presupuestos de vigencias posteriores, y tienen como fin garantizar la existencia de apropiaciones suficientes en los años siguientes para asumir compromisos y obligaciones con cargo a ellas, así como también disponer de los recursos financieros, y de esa manera garantizar el avance y conclusión de proyectos plurianuales”</w:t>
      </w:r>
      <w:r w:rsidRPr="0037437B">
        <w:rPr>
          <w:rFonts w:ascii="Verdana" w:hAnsi="Verdana" w:cs="Arial"/>
          <w:sz w:val="20"/>
          <w:lang w:val="es-ES_tradnl" w:eastAsia="es-ES"/>
        </w:rPr>
        <w:t xml:space="preserve">. </w:t>
      </w:r>
    </w:p>
    <w:p w14:paraId="0A9AF95E" w14:textId="77777777" w:rsidR="000A7AC9" w:rsidRPr="00BB19C5" w:rsidRDefault="000A7AC9" w:rsidP="000A7AC9">
      <w:pPr>
        <w:spacing w:after="0"/>
        <w:jc w:val="both"/>
        <w:rPr>
          <w:rFonts w:ascii="Verdana" w:eastAsia="Verdana" w:hAnsi="Verdana" w:cs="Verdana"/>
          <w:color w:val="EE0000"/>
          <w:sz w:val="20"/>
          <w:szCs w:val="20"/>
          <w:lang w:val="es-ES_tradnl"/>
        </w:rPr>
      </w:pPr>
    </w:p>
    <w:p w14:paraId="765D315C" w14:textId="77777777" w:rsidR="000A7AC9" w:rsidRPr="0037437B" w:rsidRDefault="000A7AC9" w:rsidP="000A7AC9">
      <w:pPr>
        <w:spacing w:after="0"/>
        <w:jc w:val="both"/>
        <w:rPr>
          <w:rFonts w:ascii="Verdana" w:hAnsi="Verdana" w:cs="Arial"/>
          <w:b/>
          <w:lang w:val="es-ES" w:eastAsia="es-ES"/>
        </w:rPr>
      </w:pPr>
      <w:r w:rsidRPr="0037437B">
        <w:rPr>
          <w:rFonts w:ascii="Verdana" w:hAnsi="Verdana" w:cs="Arial"/>
          <w:b/>
          <w:lang w:val="es-ES" w:eastAsia="es-ES"/>
        </w:rPr>
        <w:t xml:space="preserve">VIGENCIAS FUTURAS – </w:t>
      </w:r>
      <w:r>
        <w:rPr>
          <w:rFonts w:ascii="Verdana" w:hAnsi="Verdana" w:cs="Arial"/>
          <w:b/>
          <w:lang w:val="es-ES" w:eastAsia="es-ES"/>
        </w:rPr>
        <w:t xml:space="preserve">Ley 813 de 2003 - </w:t>
      </w:r>
      <w:r w:rsidRPr="0037437B">
        <w:rPr>
          <w:rFonts w:ascii="Verdana" w:hAnsi="Verdana" w:cs="Arial"/>
          <w:b/>
          <w:lang w:val="es-ES" w:eastAsia="es-ES"/>
        </w:rPr>
        <w:t xml:space="preserve">Tipos </w:t>
      </w:r>
    </w:p>
    <w:p w14:paraId="703B88AF" w14:textId="77777777" w:rsidR="000A7AC9" w:rsidRDefault="000A7AC9" w:rsidP="000A7AC9">
      <w:pPr>
        <w:spacing w:after="0"/>
        <w:jc w:val="both"/>
        <w:rPr>
          <w:rFonts w:ascii="Verdana" w:hAnsi="Verdana" w:cs="Arial"/>
          <w:lang w:val="es-ES" w:eastAsia="es-ES"/>
        </w:rPr>
      </w:pPr>
    </w:p>
    <w:p w14:paraId="36F7A1ED" w14:textId="3D3A12B9" w:rsidR="000A7AC9" w:rsidRPr="0037437B" w:rsidRDefault="000A7AC9" w:rsidP="000A7AC9">
      <w:pPr>
        <w:spacing w:after="0" w:line="240" w:lineRule="auto"/>
        <w:jc w:val="both"/>
        <w:rPr>
          <w:rFonts w:ascii="Verdana" w:hAnsi="Verdana" w:cs="Arial"/>
          <w:sz w:val="20"/>
          <w:lang w:eastAsia="es-ES"/>
        </w:rPr>
      </w:pPr>
      <w:r w:rsidRPr="0037437B">
        <w:rPr>
          <w:rFonts w:ascii="Verdana" w:hAnsi="Verdana" w:cs="Arial"/>
          <w:sz w:val="20"/>
          <w:lang w:eastAsia="es-ES"/>
        </w:rPr>
        <w:t xml:space="preserve">La Ley 813 de 2003 establece en sus artículos 10 y 11 dos tipos de vigencias futuras: i) las vigencias futuras ordinarias, según la cual el Consejo Superior de Política Fiscal – </w:t>
      </w:r>
      <w:r w:rsidR="00136AF9" w:rsidRPr="0037437B">
        <w:rPr>
          <w:rFonts w:ascii="Verdana" w:hAnsi="Verdana" w:cs="Arial"/>
          <w:sz w:val="20"/>
          <w:lang w:eastAsia="es-ES"/>
        </w:rPr>
        <w:t>Confié</w:t>
      </w:r>
      <w:r w:rsidRPr="0037437B">
        <w:rPr>
          <w:rFonts w:ascii="Verdana" w:hAnsi="Verdana" w:cs="Arial"/>
          <w:sz w:val="20"/>
          <w:lang w:eastAsia="es-ES"/>
        </w:rPr>
        <w:t xml:space="preserve">, podrá autorizar la asunción de obligaciones que afecten presupuestos de </w:t>
      </w:r>
      <w:r w:rsidRPr="0037437B">
        <w:rPr>
          <w:rFonts w:ascii="Verdana" w:hAnsi="Verdana" w:cs="Arial"/>
          <w:sz w:val="20"/>
          <w:lang w:eastAsia="es-ES"/>
        </w:rPr>
        <w:lastRenderedPageBreak/>
        <w:t xml:space="preserve">vigencias futuras cuando su ejecución se inicie con presupuesto de la vigencia en curso y el objeto del compromiso se lleve a cabo en cada una de ellas siempre y cuando se cumplan los prepuestos señalados en la norma. Y, ii) las vigencias futuras excepcionales, en virtud de la cual el Confis, en casos excepcionales para las obras de infraestructura, energía, comunicaciones, aeronáutica, defensa y seguridad, así como para las garantías a las concesiones, podrá autorizar que se asuman obligaciones que afecten el presupuesto de vigencias futuras sin apropiación en el presupuesto del año en que se concede la autorización. </w:t>
      </w:r>
    </w:p>
    <w:p w14:paraId="550BE0C8" w14:textId="77777777" w:rsidR="000A7AC9" w:rsidRPr="0037437B" w:rsidRDefault="000A7AC9" w:rsidP="000A7AC9">
      <w:pPr>
        <w:spacing w:after="0" w:line="240" w:lineRule="auto"/>
        <w:jc w:val="both"/>
        <w:rPr>
          <w:rFonts w:ascii="Verdana" w:hAnsi="Verdana" w:cs="Arial"/>
          <w:sz w:val="20"/>
          <w:lang w:eastAsia="es-ES"/>
        </w:rPr>
      </w:pPr>
    </w:p>
    <w:p w14:paraId="43BB30C6" w14:textId="77777777" w:rsidR="000A7AC9" w:rsidRPr="0037437B" w:rsidRDefault="000A7AC9" w:rsidP="000A7AC9">
      <w:pPr>
        <w:spacing w:after="0" w:line="240" w:lineRule="auto"/>
        <w:jc w:val="both"/>
        <w:rPr>
          <w:rFonts w:ascii="Verdana" w:hAnsi="Verdana" w:cs="Arial"/>
          <w:sz w:val="20"/>
          <w:lang w:eastAsia="es-ES"/>
        </w:rPr>
      </w:pPr>
      <w:r w:rsidRPr="0037437B">
        <w:rPr>
          <w:rFonts w:ascii="Verdana" w:hAnsi="Verdana" w:cs="Arial"/>
          <w:sz w:val="20"/>
          <w:lang w:eastAsia="es-ES"/>
        </w:rPr>
        <w:t xml:space="preserve">Por su parte, el artículo 12 </w:t>
      </w:r>
      <w:r w:rsidRPr="0037437B">
        <w:rPr>
          <w:rFonts w:ascii="Verdana" w:hAnsi="Verdana" w:cs="Arial"/>
          <w:i/>
          <w:iCs/>
          <w:sz w:val="20"/>
          <w:lang w:eastAsia="es-ES"/>
        </w:rPr>
        <w:t>ibidem</w:t>
      </w:r>
      <w:r w:rsidRPr="0037437B">
        <w:rPr>
          <w:rFonts w:ascii="Verdana" w:hAnsi="Verdana" w:cs="Arial"/>
          <w:sz w:val="20"/>
          <w:lang w:eastAsia="es-ES"/>
        </w:rPr>
        <w:t xml:space="preserve"> se refiere a las vigencias futuras ordinarias para entidades territoriales cuya autorización será impartida por la asamblea o concejo respectivo, a iniciativa del gobierno local, previa aprobación por el Confis territorial o el órgano que haga sus veces. Las vigencias futuras excepcionales para entidades territoriales se encuentran establecida en la Ley 1483 de 2011.  </w:t>
      </w:r>
    </w:p>
    <w:p w14:paraId="7F4AE6C8" w14:textId="77777777" w:rsidR="000A7AC9" w:rsidRPr="000C65BF" w:rsidRDefault="000A7AC9" w:rsidP="000A7AC9">
      <w:pPr>
        <w:spacing w:after="0"/>
        <w:jc w:val="both"/>
        <w:rPr>
          <w:rFonts w:ascii="Verdana" w:eastAsia="Verdana" w:hAnsi="Verdana" w:cs="Verdana"/>
          <w:color w:val="EE0000"/>
          <w:sz w:val="20"/>
          <w:szCs w:val="20"/>
        </w:rPr>
      </w:pPr>
    </w:p>
    <w:p w14:paraId="7784721A" w14:textId="77777777" w:rsidR="000A7AC9" w:rsidRPr="00D12C0B" w:rsidRDefault="000A7AC9" w:rsidP="000A7AC9">
      <w:pPr>
        <w:spacing w:after="0" w:line="240" w:lineRule="auto"/>
        <w:jc w:val="both"/>
        <w:rPr>
          <w:rFonts w:ascii="Verdana" w:hAnsi="Verdana" w:cs="Arial"/>
          <w:b/>
          <w:lang w:val="es-ES" w:eastAsia="es-ES"/>
        </w:rPr>
      </w:pPr>
      <w:r w:rsidRPr="00D12C0B">
        <w:rPr>
          <w:rFonts w:ascii="Verdana" w:hAnsi="Verdana" w:cs="Arial"/>
          <w:b/>
          <w:lang w:val="es-ES" w:eastAsia="es-ES"/>
        </w:rPr>
        <w:t xml:space="preserve">DEBER DE PLANEACIÓN </w:t>
      </w:r>
      <w:r w:rsidRPr="0037437B">
        <w:rPr>
          <w:rFonts w:ascii="Verdana" w:hAnsi="Verdana" w:cs="Arial"/>
          <w:b/>
          <w:lang w:val="es-ES" w:eastAsia="es-ES"/>
        </w:rPr>
        <w:t>–</w:t>
      </w:r>
      <w:r>
        <w:rPr>
          <w:rFonts w:ascii="Verdana" w:hAnsi="Verdana" w:cs="Arial"/>
          <w:b/>
          <w:lang w:val="es-ES" w:eastAsia="es-ES"/>
        </w:rPr>
        <w:t xml:space="preserve"> Análisis técnico </w:t>
      </w:r>
    </w:p>
    <w:p w14:paraId="2F1A3B91" w14:textId="77777777" w:rsidR="000A7AC9" w:rsidRPr="00D12C0B" w:rsidRDefault="000A7AC9" w:rsidP="000A7AC9">
      <w:pPr>
        <w:spacing w:after="0" w:line="240" w:lineRule="auto"/>
        <w:contextualSpacing/>
        <w:rPr>
          <w:rFonts w:ascii="Verdana" w:eastAsia="Times New Roman" w:hAnsi="Verdana" w:cs="Arial"/>
          <w:lang w:val="es-ES" w:eastAsia="es-ES_tradnl"/>
        </w:rPr>
      </w:pPr>
    </w:p>
    <w:p w14:paraId="1C6C07B7" w14:textId="77777777" w:rsidR="000A7AC9" w:rsidRPr="00A43B8F" w:rsidRDefault="000A7AC9" w:rsidP="000A7AC9">
      <w:pPr>
        <w:spacing w:after="0" w:line="240" w:lineRule="auto"/>
        <w:jc w:val="both"/>
        <w:rPr>
          <w:rFonts w:ascii="Verdana" w:hAnsi="Verdana" w:cs="Arial"/>
          <w:sz w:val="20"/>
          <w:lang w:eastAsia="es-ES"/>
        </w:rPr>
      </w:pPr>
      <w:r w:rsidRPr="00A43B8F">
        <w:rPr>
          <w:rFonts w:ascii="Verdana" w:hAnsi="Verdana" w:cs="Arial"/>
          <w:sz w:val="20"/>
          <w:lang w:eastAsia="es-ES"/>
        </w:rPr>
        <w:t>En síntesis, aunque la regla general del sistema presupuestal impone que los compromisos y su ejecución se desarrollen dentro de la misma vigencia fiscal —con fundamento en el principio de anualidad previsto en la Constitución y en el Estatuto Orgánico del Presupuesto—, dicho principio no es absoluto. El ordenamiento contempla mecanismos excepcionales como las vigencias futuras, las reservas presupuestales, las cuentas por pagar y los pagos de pasivos exigibles de vigencias expiradas, que permiten compatibilizar la planeación contractual con la ejecución presupuestal cuando, por razones debidamente justificadas, la ejecución contractual supera el 31 de diciembre. En consecuencia, cuando desde la etapa de planeación se advierta que el contrato excederá la vigencia fiscal, la entidad deberá determinar cuál de las excepciones resulta aplicable según la naturaleza de la obligación, las previsiones normativas pertinentes y los procedimientos exigidos para cada instrumento. La selección de la figura presupuestal adecuada forma parte del análisis técnico propio de cada proceso contractual y debe adoptarse en el caso concreto por la entidad responsable, con sujeción al principio de juridicidad y bajo el acompañamiento de sus asesores.</w:t>
      </w:r>
    </w:p>
    <w:p w14:paraId="7770A961" w14:textId="77777777" w:rsidR="000A7AC9" w:rsidRDefault="000A7AC9" w:rsidP="000A7AC9">
      <w:pPr>
        <w:spacing w:after="0"/>
        <w:jc w:val="both"/>
        <w:rPr>
          <w:rFonts w:ascii="Verdana" w:eastAsia="Verdana" w:hAnsi="Verdana" w:cs="Verdana"/>
          <w:color w:val="EE0000"/>
          <w:sz w:val="20"/>
          <w:szCs w:val="20"/>
        </w:rPr>
      </w:pPr>
    </w:p>
    <w:p w14:paraId="381EED64" w14:textId="77777777" w:rsidR="000A7AC9" w:rsidRDefault="000A7AC9" w:rsidP="000A7AC9">
      <w:pPr>
        <w:spacing w:after="0"/>
        <w:jc w:val="both"/>
        <w:rPr>
          <w:rFonts w:ascii="Verdana" w:eastAsia="Verdana" w:hAnsi="Verdana" w:cs="Verdana"/>
          <w:color w:val="EE0000"/>
          <w:sz w:val="20"/>
          <w:szCs w:val="20"/>
        </w:rPr>
      </w:pPr>
    </w:p>
    <w:p w14:paraId="1585F89C" w14:textId="77777777" w:rsidR="000A7AC9" w:rsidRDefault="000A7AC9" w:rsidP="000A7AC9">
      <w:pPr>
        <w:spacing w:after="0"/>
        <w:jc w:val="both"/>
        <w:rPr>
          <w:rFonts w:ascii="Verdana" w:eastAsia="Verdana" w:hAnsi="Verdana" w:cs="Verdana"/>
          <w:color w:val="EE0000"/>
          <w:sz w:val="20"/>
          <w:szCs w:val="20"/>
        </w:rPr>
      </w:pPr>
    </w:p>
    <w:p w14:paraId="4F9F45FF" w14:textId="77777777" w:rsidR="000A7AC9" w:rsidRDefault="000A7AC9" w:rsidP="000A7AC9">
      <w:pPr>
        <w:spacing w:after="0"/>
        <w:jc w:val="both"/>
        <w:rPr>
          <w:rFonts w:ascii="Verdana" w:eastAsia="Verdana" w:hAnsi="Verdana" w:cs="Verdana"/>
          <w:color w:val="EE0000"/>
          <w:sz w:val="20"/>
          <w:szCs w:val="20"/>
        </w:rPr>
      </w:pPr>
    </w:p>
    <w:p w14:paraId="2C4D32DC" w14:textId="77777777" w:rsidR="000A7AC9" w:rsidRDefault="000A7AC9" w:rsidP="000A7AC9">
      <w:pPr>
        <w:spacing w:after="0"/>
        <w:jc w:val="both"/>
        <w:rPr>
          <w:rFonts w:ascii="Verdana" w:eastAsia="Verdana" w:hAnsi="Verdana" w:cs="Verdana"/>
          <w:color w:val="EE0000"/>
          <w:sz w:val="20"/>
          <w:szCs w:val="20"/>
        </w:rPr>
      </w:pPr>
    </w:p>
    <w:p w14:paraId="28A4F8FE" w14:textId="77777777" w:rsidR="000A7AC9" w:rsidRDefault="000A7AC9" w:rsidP="000A7AC9">
      <w:pPr>
        <w:spacing w:after="0"/>
        <w:jc w:val="both"/>
        <w:rPr>
          <w:rFonts w:ascii="Verdana" w:eastAsia="Verdana" w:hAnsi="Verdana" w:cs="Verdana"/>
          <w:color w:val="EE0000"/>
          <w:sz w:val="20"/>
          <w:szCs w:val="20"/>
        </w:rPr>
      </w:pPr>
    </w:p>
    <w:p w14:paraId="5BF0DE4C" w14:textId="77777777" w:rsidR="000A7AC9" w:rsidRDefault="000A7AC9" w:rsidP="000A7AC9">
      <w:pPr>
        <w:spacing w:after="0"/>
        <w:jc w:val="both"/>
        <w:rPr>
          <w:rFonts w:ascii="Verdana" w:eastAsia="Verdana" w:hAnsi="Verdana" w:cs="Verdana"/>
          <w:color w:val="EE0000"/>
          <w:sz w:val="20"/>
          <w:szCs w:val="20"/>
        </w:rPr>
      </w:pPr>
    </w:p>
    <w:p w14:paraId="428CE206" w14:textId="77777777" w:rsidR="000A7AC9" w:rsidRPr="00C13BC2" w:rsidRDefault="000A7AC9" w:rsidP="000A7AC9">
      <w:pPr>
        <w:spacing w:after="0"/>
        <w:jc w:val="both"/>
        <w:rPr>
          <w:rFonts w:ascii="Verdana" w:eastAsia="Verdana" w:hAnsi="Verdana" w:cs="Verdana"/>
          <w:color w:val="EE0000"/>
          <w:sz w:val="20"/>
          <w:szCs w:val="20"/>
        </w:rPr>
      </w:pPr>
    </w:p>
    <w:p w14:paraId="31C7E6E8" w14:textId="77777777" w:rsidR="000A7AC9" w:rsidRPr="00C13BC2" w:rsidRDefault="000A7AC9" w:rsidP="000A7AC9">
      <w:pPr>
        <w:spacing w:after="0"/>
        <w:jc w:val="both"/>
        <w:rPr>
          <w:rFonts w:ascii="Verdana" w:eastAsia="Verdana" w:hAnsi="Verdana" w:cs="Verdana"/>
          <w:color w:val="EE0000"/>
          <w:sz w:val="20"/>
          <w:szCs w:val="20"/>
          <w:lang w:val="es-ES"/>
        </w:rPr>
      </w:pPr>
    </w:p>
    <w:p w14:paraId="5CF22D3E" w14:textId="77777777" w:rsidR="000A7AC9" w:rsidRPr="00C13BC2" w:rsidRDefault="000A7AC9" w:rsidP="000A7AC9">
      <w:pPr>
        <w:spacing w:after="0"/>
        <w:rPr>
          <w:rFonts w:ascii="Verdana" w:eastAsia="Verdana" w:hAnsi="Verdana" w:cs="Verdana"/>
          <w:color w:val="EE0000"/>
          <w:sz w:val="20"/>
          <w:szCs w:val="20"/>
          <w:lang w:val="es-ES"/>
        </w:rPr>
      </w:pPr>
    </w:p>
    <w:p w14:paraId="51BE90FE" w14:textId="77777777" w:rsidR="000A7AC9" w:rsidRDefault="000A7AC9" w:rsidP="000A7AC9">
      <w:pPr>
        <w:spacing w:after="0"/>
        <w:rPr>
          <w:rFonts w:ascii="Verdana" w:hAnsi="Verdana"/>
          <w:color w:val="000000" w:themeColor="text1"/>
        </w:rPr>
      </w:pPr>
    </w:p>
    <w:p w14:paraId="16CD4894" w14:textId="77777777" w:rsidR="000A7AC9" w:rsidRDefault="000A7AC9" w:rsidP="000A7AC9">
      <w:pPr>
        <w:spacing w:after="0"/>
        <w:rPr>
          <w:rFonts w:ascii="Verdana" w:hAnsi="Verdana"/>
          <w:color w:val="000000" w:themeColor="text1"/>
        </w:rPr>
      </w:pPr>
    </w:p>
    <w:p w14:paraId="59A4C997" w14:textId="4F302359" w:rsidR="000A7AC9" w:rsidRPr="00C1733F" w:rsidRDefault="000A7AC9" w:rsidP="000A7AC9">
      <w:pPr>
        <w:spacing w:after="0"/>
        <w:rPr>
          <w:rFonts w:ascii="Verdana" w:hAnsi="Verdana"/>
          <w:color w:val="000000" w:themeColor="text1"/>
        </w:rPr>
      </w:pPr>
      <w:r w:rsidRPr="00C1733F">
        <w:rPr>
          <w:rFonts w:ascii="Verdana" w:hAnsi="Verdana"/>
          <w:color w:val="000000" w:themeColor="text1"/>
        </w:rPr>
        <w:lastRenderedPageBreak/>
        <w:t xml:space="preserve">Bogotá D.C., </w:t>
      </w:r>
      <w:r w:rsidR="00CE4334">
        <w:rPr>
          <w:rFonts w:ascii="Verdana" w:hAnsi="Verdana"/>
          <w:color w:val="000000" w:themeColor="text1"/>
        </w:rPr>
        <w:t xml:space="preserve">11 Febrero 2026 </w:t>
      </w:r>
    </w:p>
    <w:p w14:paraId="21D67ECC" w14:textId="6030F621" w:rsidR="000A7AC9" w:rsidRPr="00C13BC2" w:rsidRDefault="00BC12DE" w:rsidP="000A7AC9">
      <w:pPr>
        <w:spacing w:after="0"/>
        <w:rPr>
          <w:rFonts w:ascii="Verdana" w:hAnsi="Verdana"/>
          <w:color w:val="EE0000"/>
          <w:lang w:val="es-ES"/>
        </w:rPr>
      </w:pPr>
      <w:r w:rsidRPr="00BC12DE">
        <w:rPr>
          <w:rFonts w:ascii="Verdana" w:hAnsi="Verdana"/>
          <w:color w:val="000000" w:themeColor="text1"/>
        </w:rPr>
        <w:drawing>
          <wp:anchor distT="0" distB="0" distL="114300" distR="114300" simplePos="0" relativeHeight="251658240" behindDoc="1" locked="0" layoutInCell="1" allowOverlap="1" wp14:anchorId="5840534B" wp14:editId="44CAF3D8">
            <wp:simplePos x="0" y="0"/>
            <wp:positionH relativeFrom="margin">
              <wp:posOffset>3246205</wp:posOffset>
            </wp:positionH>
            <wp:positionV relativeFrom="paragraph">
              <wp:posOffset>54638</wp:posOffset>
            </wp:positionV>
            <wp:extent cx="2182766" cy="607326"/>
            <wp:effectExtent l="0" t="0" r="8255" b="2540"/>
            <wp:wrapNone/>
            <wp:docPr id="922144318"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144318"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210025" cy="614910"/>
                    </a:xfrm>
                    <a:prstGeom prst="rect">
                      <a:avLst/>
                    </a:prstGeom>
                  </pic:spPr>
                </pic:pic>
              </a:graphicData>
            </a:graphic>
            <wp14:sizeRelH relativeFrom="margin">
              <wp14:pctWidth>0</wp14:pctWidth>
            </wp14:sizeRelH>
            <wp14:sizeRelV relativeFrom="margin">
              <wp14:pctHeight>0</wp14:pctHeight>
            </wp14:sizeRelV>
          </wp:anchor>
        </w:drawing>
      </w:r>
    </w:p>
    <w:p w14:paraId="3CCB22E3" w14:textId="0B83F3E9" w:rsidR="000A7AC9" w:rsidRPr="000E2548" w:rsidRDefault="000A7AC9" w:rsidP="000A7AC9">
      <w:pPr>
        <w:spacing w:after="0" w:line="240" w:lineRule="auto"/>
        <w:rPr>
          <w:rFonts w:ascii="Verdana" w:hAnsi="Verdana"/>
          <w:color w:val="000000" w:themeColor="text1"/>
          <w:lang w:val="es-ES"/>
        </w:rPr>
      </w:pPr>
      <w:bookmarkStart w:id="0" w:name="_Hlk143780582"/>
      <w:r w:rsidRPr="000E2548">
        <w:rPr>
          <w:rFonts w:ascii="Verdana" w:eastAsia="Calibri" w:hAnsi="Verdana" w:cs="Arial"/>
          <w:color w:val="000000" w:themeColor="text1"/>
          <w:lang w:val="es-ES" w:eastAsia="es-ES"/>
        </w:rPr>
        <w:t>Señora</w:t>
      </w:r>
    </w:p>
    <w:p w14:paraId="580642F1" w14:textId="6C53EBB7" w:rsidR="000A7AC9" w:rsidRPr="000E2548" w:rsidRDefault="000A7AC9" w:rsidP="000A7AC9">
      <w:pPr>
        <w:spacing w:after="0"/>
        <w:rPr>
          <w:rFonts w:ascii="Verdana" w:eastAsia="Calibri" w:hAnsi="Verdana" w:cs="Arial"/>
          <w:b/>
          <w:bCs/>
          <w:color w:val="000000" w:themeColor="text1"/>
          <w:lang w:val="es-ES" w:eastAsia="es-ES"/>
        </w:rPr>
      </w:pPr>
      <w:r w:rsidRPr="000E2548">
        <w:rPr>
          <w:rFonts w:ascii="Verdana" w:eastAsia="Calibri" w:hAnsi="Verdana" w:cs="Arial"/>
          <w:b/>
          <w:bCs/>
          <w:color w:val="000000" w:themeColor="text1"/>
          <w:lang w:val="es-ES" w:eastAsia="es-ES"/>
        </w:rPr>
        <w:t>Fanny Andrea López Castillo</w:t>
      </w:r>
    </w:p>
    <w:p w14:paraId="034307A6" w14:textId="77777777" w:rsidR="000A7AC9" w:rsidRPr="00C13BC2" w:rsidRDefault="000A7AC9" w:rsidP="000A7AC9">
      <w:pPr>
        <w:spacing w:after="0"/>
        <w:rPr>
          <w:rFonts w:ascii="Verdana" w:eastAsia="Calibri" w:hAnsi="Verdana" w:cs="Arial"/>
          <w:color w:val="EE0000"/>
          <w:lang w:eastAsia="es-ES"/>
        </w:rPr>
      </w:pPr>
      <w:hyperlink r:id="rId11" w:history="1">
        <w:r w:rsidRPr="00481FED">
          <w:rPr>
            <w:rStyle w:val="Hipervnculo"/>
            <w:rFonts w:ascii="Verdana" w:eastAsia="Calibri" w:hAnsi="Verdana" w:cs="Arial"/>
            <w:lang w:eastAsia="es-ES"/>
          </w:rPr>
          <w:t>contractuales2024@gmail.com</w:t>
        </w:r>
      </w:hyperlink>
      <w:r>
        <w:rPr>
          <w:rFonts w:ascii="Verdana" w:eastAsia="Calibri" w:hAnsi="Verdana" w:cs="Arial"/>
          <w:color w:val="EE0000"/>
          <w:lang w:eastAsia="es-ES"/>
        </w:rPr>
        <w:t xml:space="preserve"> </w:t>
      </w:r>
    </w:p>
    <w:p w14:paraId="3D891497" w14:textId="77777777" w:rsidR="000A7AC9" w:rsidRPr="00E336CB" w:rsidRDefault="000A7AC9" w:rsidP="000A7AC9">
      <w:pPr>
        <w:spacing w:after="0"/>
        <w:rPr>
          <w:rFonts w:ascii="Verdana" w:eastAsia="Calibri" w:hAnsi="Verdana" w:cs="Arial"/>
          <w:color w:val="000000" w:themeColor="text1"/>
          <w:lang w:val="es-ES" w:eastAsia="es-ES"/>
        </w:rPr>
      </w:pPr>
      <w:r w:rsidRPr="00E336CB">
        <w:rPr>
          <w:rFonts w:ascii="Verdana" w:eastAsia="Calibri" w:hAnsi="Verdana" w:cs="Arial"/>
          <w:color w:val="000000" w:themeColor="text1"/>
          <w:lang w:eastAsia="es-ES"/>
        </w:rPr>
        <w:t>Tunja, Boyacá</w:t>
      </w:r>
    </w:p>
    <w:p w14:paraId="4EE7C1EB" w14:textId="77777777" w:rsidR="000A7AC9" w:rsidRPr="00C13BC2" w:rsidRDefault="000A7AC9" w:rsidP="000A7AC9">
      <w:pPr>
        <w:spacing w:after="0" w:line="240" w:lineRule="auto"/>
        <w:rPr>
          <w:rFonts w:ascii="Verdana" w:eastAsia="Calibri" w:hAnsi="Verdana" w:cs="Arial"/>
          <w:b/>
          <w:bCs/>
          <w:color w:val="EE0000"/>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0A7AC9" w:rsidRPr="00C13BC2" w14:paraId="3A08F723" w14:textId="77777777" w:rsidTr="00C955B6">
        <w:trPr>
          <w:trHeight w:val="300"/>
        </w:trPr>
        <w:tc>
          <w:tcPr>
            <w:tcW w:w="2410" w:type="dxa"/>
          </w:tcPr>
          <w:p w14:paraId="2C0735C8" w14:textId="77777777" w:rsidR="000A7AC9" w:rsidRPr="00C1733F" w:rsidRDefault="000A7AC9" w:rsidP="00C955B6">
            <w:pPr>
              <w:ind w:left="-142"/>
              <w:jc w:val="both"/>
              <w:rPr>
                <w:rFonts w:ascii="Verdana" w:eastAsia="Calibri" w:hAnsi="Verdana" w:cs="Arial"/>
                <w:b/>
                <w:bCs/>
                <w:color w:val="000000" w:themeColor="text1"/>
                <w:lang w:val="es-ES" w:eastAsia="es-ES_tradnl"/>
              </w:rPr>
            </w:pPr>
          </w:p>
        </w:tc>
        <w:tc>
          <w:tcPr>
            <w:tcW w:w="6100" w:type="dxa"/>
          </w:tcPr>
          <w:p w14:paraId="2BA6F23B" w14:textId="77777777" w:rsidR="000A7AC9" w:rsidRPr="00C1733F" w:rsidRDefault="000A7AC9" w:rsidP="00C955B6">
            <w:pPr>
              <w:ind w:left="3"/>
              <w:jc w:val="both"/>
              <w:rPr>
                <w:rFonts w:ascii="Verdana" w:eastAsia="Calibri" w:hAnsi="Verdana" w:cs="Arial"/>
                <w:b/>
                <w:bCs/>
                <w:color w:val="000000" w:themeColor="text1"/>
                <w:lang w:val="es-ES" w:eastAsia="es-ES"/>
              </w:rPr>
            </w:pPr>
            <w:r w:rsidRPr="00C1733F">
              <w:rPr>
                <w:rFonts w:ascii="Verdana" w:eastAsia="Calibri" w:hAnsi="Verdana" w:cs="Arial"/>
                <w:b/>
                <w:bCs/>
                <w:color w:val="000000" w:themeColor="text1"/>
                <w:lang w:val="es-ES" w:eastAsia="es-ES"/>
              </w:rPr>
              <w:t>Concepto C-040 de 2026</w:t>
            </w:r>
          </w:p>
          <w:p w14:paraId="3EA77A3B" w14:textId="77777777" w:rsidR="000A7AC9" w:rsidRPr="00C1733F" w:rsidRDefault="000A7AC9" w:rsidP="00C955B6">
            <w:pPr>
              <w:ind w:left="3"/>
              <w:jc w:val="both"/>
              <w:rPr>
                <w:rFonts w:ascii="Verdana" w:eastAsia="Calibri" w:hAnsi="Verdana" w:cs="Arial"/>
                <w:b/>
                <w:bCs/>
                <w:color w:val="000000" w:themeColor="text1"/>
                <w:lang w:val="es-ES" w:eastAsia="es-ES"/>
              </w:rPr>
            </w:pPr>
          </w:p>
        </w:tc>
      </w:tr>
      <w:tr w:rsidR="000A7AC9" w:rsidRPr="00C13BC2" w14:paraId="0BF8DB13" w14:textId="77777777" w:rsidTr="00C955B6">
        <w:trPr>
          <w:trHeight w:val="300"/>
        </w:trPr>
        <w:tc>
          <w:tcPr>
            <w:tcW w:w="2410" w:type="dxa"/>
          </w:tcPr>
          <w:p w14:paraId="04FDBB0E" w14:textId="77777777" w:rsidR="000A7AC9" w:rsidRPr="00C13BC2" w:rsidRDefault="000A7AC9" w:rsidP="00C955B6">
            <w:pPr>
              <w:ind w:left="424" w:firstLine="137"/>
              <w:jc w:val="both"/>
              <w:rPr>
                <w:rFonts w:ascii="Verdana" w:eastAsia="Calibri" w:hAnsi="Verdana" w:cs="Arial"/>
                <w:color w:val="EE0000"/>
                <w:lang w:val="es-ES" w:eastAsia="es-ES_tradnl"/>
              </w:rPr>
            </w:pPr>
            <w:r w:rsidRPr="000E2548">
              <w:rPr>
                <w:rFonts w:ascii="Verdana" w:eastAsia="Calibri" w:hAnsi="Verdana" w:cs="Arial"/>
                <w:b/>
                <w:color w:val="000000" w:themeColor="text1"/>
                <w:lang w:val="es-ES" w:eastAsia="es-ES_tradnl"/>
              </w:rPr>
              <w:t>Temas:</w:t>
            </w:r>
            <w:r w:rsidRPr="000E2548">
              <w:rPr>
                <w:rFonts w:ascii="Verdana" w:eastAsia="Calibri" w:hAnsi="Verdana" w:cs="Arial"/>
                <w:color w:val="000000" w:themeColor="text1"/>
                <w:lang w:val="es-ES" w:eastAsia="es-ES_tradnl"/>
              </w:rPr>
              <w:t xml:space="preserve">                  </w:t>
            </w:r>
          </w:p>
        </w:tc>
        <w:tc>
          <w:tcPr>
            <w:tcW w:w="6100" w:type="dxa"/>
          </w:tcPr>
          <w:p w14:paraId="14FDCA8D" w14:textId="77777777" w:rsidR="000A7AC9" w:rsidRPr="00005FE6" w:rsidRDefault="000A7AC9" w:rsidP="00C955B6">
            <w:pPr>
              <w:jc w:val="both"/>
              <w:rPr>
                <w:rFonts w:ascii="Verdana" w:eastAsia="Calibri" w:hAnsi="Verdana" w:cs="Arial"/>
                <w:bCs/>
              </w:rPr>
            </w:pPr>
            <w:r w:rsidRPr="00005FE6">
              <w:rPr>
                <w:rFonts w:ascii="Verdana" w:eastAsia="Calibri" w:hAnsi="Verdana" w:cs="Arial"/>
                <w:bCs/>
              </w:rPr>
              <w:t xml:space="preserve">PRINCIPIO DE ANUALIDAD – Fundamento - Regla general / PRINCIPIO DE ANUALIDAD – Mecanismos presupuestales / VIGENCIAS FUTURAS – Ley 813 de 2003 - Tipos / DEBER DE PLANEACIÓN – Análisis técnico </w:t>
            </w:r>
          </w:p>
          <w:p w14:paraId="67503B1E" w14:textId="77777777" w:rsidR="000A7AC9" w:rsidRPr="00C13BC2" w:rsidRDefault="000A7AC9" w:rsidP="00C955B6">
            <w:pPr>
              <w:jc w:val="both"/>
              <w:rPr>
                <w:rFonts w:ascii="Verdana" w:hAnsi="Verdana"/>
                <w:color w:val="EE0000"/>
              </w:rPr>
            </w:pPr>
          </w:p>
        </w:tc>
      </w:tr>
      <w:tr w:rsidR="000A7AC9" w:rsidRPr="001F6B7B" w14:paraId="3DC49E9B" w14:textId="77777777" w:rsidTr="00C955B6">
        <w:trPr>
          <w:trHeight w:val="87"/>
        </w:trPr>
        <w:tc>
          <w:tcPr>
            <w:tcW w:w="2410" w:type="dxa"/>
          </w:tcPr>
          <w:p w14:paraId="64F90DF7" w14:textId="77777777" w:rsidR="000A7AC9" w:rsidRPr="001F6B7B" w:rsidRDefault="000A7AC9" w:rsidP="00C955B6">
            <w:pPr>
              <w:ind w:left="561"/>
              <w:jc w:val="both"/>
              <w:rPr>
                <w:rFonts w:ascii="Verdana" w:eastAsia="Calibri" w:hAnsi="Verdana" w:cs="Arial"/>
                <w:b/>
                <w:color w:val="000000" w:themeColor="text1"/>
                <w:lang w:val="es-ES" w:eastAsia="es-ES_tradnl"/>
              </w:rPr>
            </w:pPr>
            <w:r w:rsidRPr="001F6B7B">
              <w:rPr>
                <w:rFonts w:ascii="Verdana" w:eastAsia="Calibri" w:hAnsi="Verdana" w:cs="Arial"/>
                <w:b/>
                <w:color w:val="000000" w:themeColor="text1"/>
                <w:lang w:val="es-ES" w:eastAsia="es-ES_tradnl"/>
              </w:rPr>
              <w:t>Radicación:</w:t>
            </w:r>
            <w:r w:rsidRPr="001F6B7B">
              <w:rPr>
                <w:rFonts w:ascii="Verdana" w:eastAsia="Calibri" w:hAnsi="Verdana" w:cs="Arial"/>
                <w:color w:val="000000" w:themeColor="text1"/>
                <w:lang w:val="es-ES" w:eastAsia="es-ES_tradnl"/>
              </w:rPr>
              <w:t xml:space="preserve">              </w:t>
            </w:r>
          </w:p>
        </w:tc>
        <w:tc>
          <w:tcPr>
            <w:tcW w:w="6100" w:type="dxa"/>
          </w:tcPr>
          <w:p w14:paraId="4199A10F" w14:textId="77777777" w:rsidR="000A7AC9" w:rsidRPr="001F6B7B" w:rsidRDefault="000A7AC9" w:rsidP="00C955B6">
            <w:pPr>
              <w:ind w:left="3"/>
              <w:jc w:val="both"/>
              <w:rPr>
                <w:rFonts w:ascii="Verdana" w:hAnsi="Verdana"/>
                <w:color w:val="000000" w:themeColor="text1"/>
                <w:lang w:val="es-ES"/>
              </w:rPr>
            </w:pPr>
            <w:r w:rsidRPr="001F6B7B">
              <w:rPr>
                <w:rFonts w:ascii="Verdana" w:eastAsia="Calibri" w:hAnsi="Verdana" w:cs="Arial"/>
                <w:color w:val="000000" w:themeColor="text1"/>
                <w:lang w:val="es-ES" w:eastAsia="es-ES"/>
              </w:rPr>
              <w:t>Respuesta a consulta con radicado No. 1_2026_01_02_000023</w:t>
            </w:r>
          </w:p>
        </w:tc>
      </w:tr>
    </w:tbl>
    <w:p w14:paraId="3B057833" w14:textId="77777777" w:rsidR="000A7AC9" w:rsidRPr="001F6B7B" w:rsidRDefault="000A7AC9" w:rsidP="000A7AC9">
      <w:pPr>
        <w:spacing w:after="0" w:line="276" w:lineRule="auto"/>
        <w:jc w:val="both"/>
        <w:rPr>
          <w:rFonts w:ascii="Verdana" w:eastAsia="Calibri" w:hAnsi="Verdana" w:cs="Arial"/>
          <w:color w:val="000000" w:themeColor="text1"/>
          <w:lang w:val="es-ES" w:eastAsia="es-ES"/>
        </w:rPr>
      </w:pPr>
    </w:p>
    <w:p w14:paraId="5BE118D6" w14:textId="77777777" w:rsidR="000A7AC9" w:rsidRDefault="000A7AC9" w:rsidP="000A7AC9">
      <w:pPr>
        <w:spacing w:after="0" w:line="276" w:lineRule="auto"/>
        <w:jc w:val="both"/>
        <w:rPr>
          <w:rFonts w:ascii="Verdana" w:eastAsia="Calibri" w:hAnsi="Verdana" w:cs="Arial"/>
          <w:lang w:eastAsia="es-ES"/>
        </w:rPr>
      </w:pPr>
      <w:r w:rsidRPr="007967F8">
        <w:rPr>
          <w:rFonts w:ascii="Verdana" w:eastAsia="Calibri" w:hAnsi="Verdana" w:cs="Arial"/>
          <w:lang w:eastAsia="es-ES"/>
        </w:rPr>
        <w:t>Estimad</w:t>
      </w:r>
      <w:r>
        <w:rPr>
          <w:rFonts w:ascii="Verdana" w:eastAsia="Calibri" w:hAnsi="Verdana" w:cs="Arial"/>
          <w:lang w:eastAsia="es-ES"/>
        </w:rPr>
        <w:t>a</w:t>
      </w:r>
      <w:r w:rsidRPr="007967F8">
        <w:rPr>
          <w:rFonts w:ascii="Verdana" w:eastAsia="Calibri" w:hAnsi="Verdana" w:cs="Arial"/>
          <w:lang w:eastAsia="es-ES"/>
        </w:rPr>
        <w:t xml:space="preserve"> señor</w:t>
      </w:r>
      <w:r>
        <w:rPr>
          <w:rFonts w:ascii="Verdana" w:eastAsia="Calibri" w:hAnsi="Verdana" w:cs="Arial"/>
          <w:lang w:eastAsia="es-ES"/>
        </w:rPr>
        <w:t>a López:</w:t>
      </w:r>
    </w:p>
    <w:p w14:paraId="6582C18D" w14:textId="77777777" w:rsidR="000A7AC9" w:rsidRPr="00FF007A" w:rsidRDefault="000A7AC9" w:rsidP="000A7AC9">
      <w:pPr>
        <w:spacing w:after="0" w:line="276" w:lineRule="auto"/>
        <w:jc w:val="both"/>
        <w:rPr>
          <w:rFonts w:ascii="Verdana" w:eastAsia="Calibri" w:hAnsi="Verdana" w:cs="Arial"/>
          <w:lang w:eastAsia="es-ES"/>
        </w:rPr>
      </w:pPr>
      <w:r>
        <w:rPr>
          <w:rFonts w:ascii="Verdana" w:eastAsia="Calibri" w:hAnsi="Verdana" w:cs="Arial"/>
          <w:lang w:eastAsia="es-ES"/>
        </w:rPr>
        <w:t xml:space="preserve"> </w:t>
      </w:r>
    </w:p>
    <w:p w14:paraId="64482912" w14:textId="7E3F3096" w:rsidR="000A7AC9" w:rsidRDefault="000A7AC9" w:rsidP="000A7AC9">
      <w:pPr>
        <w:tabs>
          <w:tab w:val="left" w:pos="3768"/>
        </w:tabs>
        <w:spacing w:after="0" w:line="276" w:lineRule="auto"/>
        <w:jc w:val="both"/>
        <w:rPr>
          <w:rFonts w:ascii="Verdana" w:eastAsia="Calibri" w:hAnsi="Verdana" w:cs="Arial"/>
          <w:lang w:eastAsia="es-ES"/>
        </w:rPr>
      </w:pPr>
      <w:r w:rsidRPr="001D531A">
        <w:rPr>
          <w:rFonts w:ascii="Verdana" w:eastAsia="Calibri" w:hAnsi="Verdana" w:cs="Arial"/>
          <w:lang w:eastAsia="es-ES"/>
        </w:rPr>
        <w:t>En ejercicio de la competencia otorgada por los artículos 3, numeral 5º, y 11, numeral 8º, del Decreto Ley 4170 de 2011, así como lo establecido por la Resolución 469 de 2025 expedida por esta Entidad, la Agencia Nacional de Contratación Pública – Colombia Compra Eficiente–</w:t>
      </w:r>
      <w:r>
        <w:rPr>
          <w:rFonts w:ascii="Verdana" w:eastAsia="Calibri" w:hAnsi="Verdana" w:cs="Arial"/>
          <w:lang w:eastAsia="es-ES"/>
        </w:rPr>
        <w:t xml:space="preserve"> </w:t>
      </w:r>
      <w:r w:rsidRPr="00E05649">
        <w:rPr>
          <w:rFonts w:ascii="Verdana" w:eastAsia="Calibri" w:hAnsi="Verdana" w:cs="Arial"/>
          <w:lang w:eastAsia="es-ES"/>
        </w:rPr>
        <w:t xml:space="preserve">responde su solicitud de consulta de fecha </w:t>
      </w:r>
      <w:r w:rsidR="00686ED8">
        <w:rPr>
          <w:rFonts w:ascii="Verdana" w:eastAsia="Calibri" w:hAnsi="Verdana" w:cs="Arial"/>
          <w:lang w:eastAsia="es-ES"/>
        </w:rPr>
        <w:t>2</w:t>
      </w:r>
      <w:r>
        <w:rPr>
          <w:rFonts w:ascii="Verdana" w:eastAsia="Calibri" w:hAnsi="Verdana" w:cs="Arial"/>
          <w:lang w:eastAsia="es-ES"/>
        </w:rPr>
        <w:t xml:space="preserve"> de </w:t>
      </w:r>
      <w:r w:rsidR="00686ED8">
        <w:rPr>
          <w:rFonts w:ascii="Verdana" w:eastAsia="Calibri" w:hAnsi="Verdana" w:cs="Arial"/>
          <w:lang w:eastAsia="es-ES"/>
        </w:rPr>
        <w:t>enero</w:t>
      </w:r>
      <w:r>
        <w:rPr>
          <w:rFonts w:ascii="Verdana" w:eastAsia="Calibri" w:hAnsi="Verdana" w:cs="Arial"/>
          <w:lang w:eastAsia="es-ES"/>
        </w:rPr>
        <w:t xml:space="preserve"> de 202</w:t>
      </w:r>
      <w:r w:rsidR="00686ED8">
        <w:rPr>
          <w:rFonts w:ascii="Verdana" w:eastAsia="Calibri" w:hAnsi="Verdana" w:cs="Arial"/>
          <w:lang w:eastAsia="es-ES"/>
        </w:rPr>
        <w:t>6</w:t>
      </w:r>
      <w:r>
        <w:rPr>
          <w:rFonts w:ascii="Verdana" w:eastAsia="Calibri" w:hAnsi="Verdana" w:cs="Arial"/>
          <w:lang w:eastAsia="es-ES"/>
        </w:rPr>
        <w:t xml:space="preserve">, </w:t>
      </w:r>
      <w:r w:rsidRPr="00E05649">
        <w:rPr>
          <w:rFonts w:ascii="Verdana" w:eastAsia="Calibri" w:hAnsi="Verdana" w:cs="Arial"/>
          <w:lang w:eastAsia="es-ES"/>
        </w:rPr>
        <w:t xml:space="preserve">en la cual manifiesta lo siguiente: </w:t>
      </w:r>
    </w:p>
    <w:p w14:paraId="3F5C7221" w14:textId="77777777" w:rsidR="000A7AC9" w:rsidRPr="001E469C" w:rsidRDefault="000A7AC9" w:rsidP="000A7AC9">
      <w:pPr>
        <w:tabs>
          <w:tab w:val="left" w:pos="142"/>
          <w:tab w:val="left" w:pos="284"/>
        </w:tabs>
        <w:spacing w:after="0" w:line="276" w:lineRule="auto"/>
        <w:contextualSpacing/>
        <w:jc w:val="both"/>
        <w:rPr>
          <w:rFonts w:ascii="Verdana" w:eastAsia="Century Gothic" w:hAnsi="Verdana" w:cs="Century Gothic"/>
          <w:b/>
          <w:bCs/>
          <w:color w:val="000000" w:themeColor="text1"/>
        </w:rPr>
      </w:pPr>
    </w:p>
    <w:p w14:paraId="5893269E" w14:textId="77777777" w:rsidR="000A7AC9" w:rsidRPr="00DE0A1D" w:rsidRDefault="000A7AC9" w:rsidP="000A7AC9">
      <w:pPr>
        <w:spacing w:before="120" w:after="120"/>
        <w:ind w:left="709" w:right="709"/>
        <w:contextualSpacing/>
        <w:jc w:val="both"/>
        <w:rPr>
          <w:rFonts w:ascii="Verdana" w:eastAsia="Century Gothic" w:hAnsi="Verdana" w:cs="Century Gothic"/>
          <w:i/>
          <w:iCs/>
          <w:color w:val="000000" w:themeColor="text1"/>
          <w:sz w:val="20"/>
          <w:szCs w:val="20"/>
          <w:lang w:val="es-ES"/>
        </w:rPr>
      </w:pPr>
      <w:r w:rsidRPr="00DE0A1D">
        <w:rPr>
          <w:rFonts w:ascii="Verdana" w:eastAsia="Century Gothic" w:hAnsi="Verdana" w:cs="Century Gothic"/>
          <w:i/>
          <w:iCs/>
          <w:color w:val="000000" w:themeColor="text1"/>
          <w:sz w:val="20"/>
          <w:szCs w:val="20"/>
          <w:lang w:val="es-ES"/>
        </w:rPr>
        <w:t>“(…) Solicito amablemente me den un concepto a la siguiente pregunta</w:t>
      </w:r>
    </w:p>
    <w:p w14:paraId="203D51F1" w14:textId="77777777" w:rsidR="000A7AC9" w:rsidRPr="00DE0A1D" w:rsidRDefault="000A7AC9" w:rsidP="000A7AC9">
      <w:pPr>
        <w:spacing w:before="120" w:after="120"/>
        <w:ind w:left="709" w:right="709"/>
        <w:contextualSpacing/>
        <w:jc w:val="both"/>
        <w:rPr>
          <w:rFonts w:ascii="Verdana" w:eastAsia="Century Gothic" w:hAnsi="Verdana" w:cs="Century Gothic"/>
          <w:i/>
          <w:iCs/>
          <w:color w:val="000000" w:themeColor="text1"/>
          <w:sz w:val="20"/>
          <w:szCs w:val="20"/>
          <w:lang w:val="es-ES"/>
        </w:rPr>
      </w:pPr>
    </w:p>
    <w:p w14:paraId="6B7D5C85" w14:textId="77777777" w:rsidR="000A7AC9" w:rsidRPr="00DE0A1D" w:rsidRDefault="000A7AC9" w:rsidP="000A7AC9">
      <w:pPr>
        <w:spacing w:before="120" w:after="120"/>
        <w:ind w:left="709" w:right="709"/>
        <w:contextualSpacing/>
        <w:jc w:val="both"/>
        <w:rPr>
          <w:rFonts w:ascii="Verdana" w:eastAsia="Century Gothic" w:hAnsi="Verdana" w:cs="Century Gothic"/>
          <w:i/>
          <w:iCs/>
          <w:color w:val="000000" w:themeColor="text1"/>
          <w:sz w:val="20"/>
          <w:szCs w:val="20"/>
          <w:lang w:val="es-ES"/>
        </w:rPr>
      </w:pPr>
      <w:r w:rsidRPr="00DE0A1D">
        <w:rPr>
          <w:rFonts w:ascii="Verdana" w:eastAsia="Century Gothic" w:hAnsi="Verdana" w:cs="Century Gothic"/>
          <w:i/>
          <w:iCs/>
          <w:color w:val="000000" w:themeColor="text1"/>
          <w:sz w:val="20"/>
          <w:szCs w:val="20"/>
          <w:lang w:val="es-ES"/>
        </w:rPr>
        <w:t>Una entidad que procedimiento debe realizar si quiere convocar un proceso en una vigencia pero el plazo de ejecución según el proyecto sobre pasa la vigencia al momento de convocar. Puede realizar convocar el proceso con el plazo de ejecución sobre pasando la vigencia sin aprobación de vigencias futuras o puede convocar el proceso y solo dejar un plazo de ejecución sin exceder la vigencia para luego suspender, reiniciar y prorrogar contractualmente que opción es la mejor para una entidad? Se solicita amablemente una respuesta jurídica y presupuestal por el principio de anualidad (…)”</w:t>
      </w:r>
    </w:p>
    <w:p w14:paraId="43534F94" w14:textId="77777777" w:rsidR="000A7AC9" w:rsidRPr="00C13BC2" w:rsidRDefault="000A7AC9" w:rsidP="000A7AC9">
      <w:pPr>
        <w:spacing w:before="120" w:after="120"/>
        <w:ind w:right="709"/>
        <w:contextualSpacing/>
        <w:jc w:val="both"/>
        <w:rPr>
          <w:rFonts w:ascii="Verdana" w:eastAsia="Century Gothic" w:hAnsi="Verdana" w:cs="Century Gothic"/>
          <w:i/>
          <w:iCs/>
          <w:color w:val="EE0000"/>
          <w:sz w:val="20"/>
          <w:szCs w:val="20"/>
          <w:lang w:val="es-ES"/>
        </w:rPr>
      </w:pPr>
    </w:p>
    <w:p w14:paraId="6E20C4F1" w14:textId="77777777" w:rsidR="000A7AC9" w:rsidRPr="00BF4200" w:rsidRDefault="000A7AC9" w:rsidP="000A7AC9">
      <w:pPr>
        <w:spacing w:after="120" w:line="276" w:lineRule="auto"/>
        <w:ind w:firstLine="708"/>
        <w:jc w:val="both"/>
        <w:rPr>
          <w:rFonts w:ascii="Verdana" w:eastAsia="Calibri" w:hAnsi="Verdana" w:cs="Arial"/>
          <w:color w:val="000000" w:themeColor="text1"/>
          <w:lang w:val="es-ES" w:eastAsia="es-ES"/>
        </w:rPr>
      </w:pPr>
      <w:r w:rsidRPr="00BF4200">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w:t>
      </w:r>
      <w:r w:rsidRPr="00BF4200">
        <w:rPr>
          <w:rFonts w:ascii="Verdana" w:eastAsia="Calibri" w:hAnsi="Verdana" w:cs="Arial"/>
          <w:color w:val="000000" w:themeColor="text1"/>
          <w:lang w:val="es-ES"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F4200">
        <w:rPr>
          <w:rFonts w:ascii="Verdana" w:hAnsi="Verdana"/>
          <w:color w:val="000000" w:themeColor="text1"/>
          <w:lang w:val="es-ES"/>
        </w:rPr>
        <w:tab/>
      </w:r>
    </w:p>
    <w:p w14:paraId="7A304C21" w14:textId="77777777" w:rsidR="000A7AC9" w:rsidRPr="00BF4200" w:rsidRDefault="000A7AC9" w:rsidP="000A7AC9">
      <w:pPr>
        <w:spacing w:after="0" w:line="276" w:lineRule="auto"/>
        <w:ind w:firstLine="709"/>
        <w:jc w:val="both"/>
        <w:rPr>
          <w:rFonts w:ascii="Verdana" w:eastAsia="Calibri" w:hAnsi="Verdana" w:cs="Arial"/>
          <w:color w:val="000000" w:themeColor="text1"/>
          <w:lang w:val="es-ES" w:eastAsia="es-ES"/>
        </w:rPr>
      </w:pPr>
      <w:r w:rsidRPr="00BF4200">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29E5947C" w14:textId="77777777" w:rsidR="000A7AC9" w:rsidRPr="00C13BC2" w:rsidRDefault="000A7AC9" w:rsidP="000A7AC9">
      <w:pPr>
        <w:spacing w:after="0" w:line="276" w:lineRule="auto"/>
        <w:ind w:firstLine="709"/>
        <w:jc w:val="both"/>
        <w:rPr>
          <w:rFonts w:ascii="Verdana" w:eastAsia="Calibri" w:hAnsi="Verdana" w:cs="Arial"/>
          <w:color w:val="EE0000"/>
          <w:lang w:val="es-ES" w:eastAsia="es-ES"/>
        </w:rPr>
      </w:pPr>
    </w:p>
    <w:p w14:paraId="677E34AF" w14:textId="77777777" w:rsidR="000A7AC9" w:rsidRPr="00C1733F" w:rsidRDefault="000A7AC9" w:rsidP="000A7AC9">
      <w:pPr>
        <w:tabs>
          <w:tab w:val="left" w:pos="142"/>
          <w:tab w:val="left" w:pos="284"/>
        </w:tabs>
        <w:spacing w:after="0" w:line="276" w:lineRule="auto"/>
        <w:contextualSpacing/>
        <w:jc w:val="both"/>
        <w:rPr>
          <w:rFonts w:ascii="Verdana" w:eastAsia="Century Gothic" w:hAnsi="Verdana" w:cs="Century Gothic"/>
          <w:b/>
          <w:color w:val="000000" w:themeColor="text1"/>
          <w:lang w:val="es-ES"/>
        </w:rPr>
      </w:pPr>
      <w:r w:rsidRPr="00C1733F">
        <w:rPr>
          <w:rFonts w:ascii="Verdana" w:eastAsia="Century Gothic" w:hAnsi="Verdana" w:cs="Century Gothic"/>
          <w:b/>
          <w:color w:val="000000" w:themeColor="text1"/>
          <w:lang w:val="es-ES"/>
        </w:rPr>
        <w:t>1. Problema planteado:</w:t>
      </w:r>
    </w:p>
    <w:p w14:paraId="6FB7FD08" w14:textId="77777777" w:rsidR="000A7AC9" w:rsidRPr="00C13BC2" w:rsidRDefault="000A7AC9" w:rsidP="000A7AC9">
      <w:pPr>
        <w:tabs>
          <w:tab w:val="left" w:pos="426"/>
        </w:tabs>
        <w:spacing w:after="0" w:line="276" w:lineRule="auto"/>
        <w:jc w:val="both"/>
        <w:rPr>
          <w:rFonts w:ascii="Verdana" w:eastAsia="Century Gothic" w:hAnsi="Verdana" w:cs="Century Gothic"/>
          <w:color w:val="EE0000"/>
          <w:lang w:val="es-ES"/>
        </w:rPr>
      </w:pPr>
    </w:p>
    <w:p w14:paraId="0073057C" w14:textId="77777777" w:rsidR="000A7AC9" w:rsidRPr="00C13BC2" w:rsidRDefault="000A7AC9" w:rsidP="000A7AC9">
      <w:pPr>
        <w:spacing w:after="0" w:line="276" w:lineRule="auto"/>
        <w:jc w:val="both"/>
        <w:rPr>
          <w:rFonts w:ascii="Verdana" w:eastAsia="Century Gothic" w:hAnsi="Verdana" w:cs="Century Gothic"/>
          <w:color w:val="EE0000"/>
        </w:rPr>
      </w:pPr>
      <w:r w:rsidRPr="00DA6EEC">
        <w:rPr>
          <w:rFonts w:ascii="Verdana" w:eastAsia="Century Gothic" w:hAnsi="Verdana" w:cs="Century Gothic"/>
          <w:lang w:val="es-ES"/>
        </w:rPr>
        <w:t xml:space="preserve">De </w:t>
      </w:r>
      <w:r w:rsidRPr="00E127BE">
        <w:rPr>
          <w:rFonts w:ascii="Verdana" w:eastAsia="Century Gothic" w:hAnsi="Verdana" w:cs="Century Gothic"/>
          <w:lang w:val="es-ES"/>
        </w:rPr>
        <w:t xml:space="preserve">acuerdo con el contenido de su solicitud, esta Agencia resolverá el siguiente problema jurídico: </w:t>
      </w:r>
      <w:r w:rsidRPr="00E127BE">
        <w:rPr>
          <w:rFonts w:ascii="Verdana" w:eastAsia="Century Gothic" w:hAnsi="Verdana" w:cs="Century Gothic"/>
        </w:rPr>
        <w:t>¿Es jurídicamente viable convocar un proceso de contratación sin autorización de vigencias futuras cuando el plazo de ejecución del contrato excede la vigencia fiscal?</w:t>
      </w:r>
    </w:p>
    <w:p w14:paraId="57A616F9" w14:textId="77777777" w:rsidR="000A7AC9" w:rsidRPr="00C13BC2" w:rsidRDefault="000A7AC9" w:rsidP="000A7AC9">
      <w:pPr>
        <w:spacing w:after="0" w:line="276" w:lineRule="auto"/>
        <w:jc w:val="both"/>
        <w:rPr>
          <w:rFonts w:ascii="Verdana" w:eastAsia="Century Gothic" w:hAnsi="Verdana" w:cs="Century Gothic"/>
          <w:color w:val="EE0000"/>
        </w:rPr>
      </w:pPr>
    </w:p>
    <w:p w14:paraId="19CC3FC1" w14:textId="77777777" w:rsidR="000A7AC9" w:rsidRPr="007E1C78" w:rsidRDefault="000A7AC9" w:rsidP="000A7AC9">
      <w:pPr>
        <w:tabs>
          <w:tab w:val="left" w:pos="142"/>
          <w:tab w:val="left" w:pos="284"/>
        </w:tabs>
        <w:spacing w:after="0" w:line="276" w:lineRule="auto"/>
        <w:jc w:val="both"/>
        <w:rPr>
          <w:rFonts w:ascii="Verdana" w:eastAsia="Century Gothic" w:hAnsi="Verdana" w:cs="Century Gothic"/>
          <w:b/>
          <w:color w:val="000000" w:themeColor="text1"/>
          <w:lang w:val="es-ES"/>
        </w:rPr>
      </w:pPr>
      <w:r w:rsidRPr="007E1C78">
        <w:rPr>
          <w:rFonts w:ascii="Verdana" w:eastAsia="Century Gothic" w:hAnsi="Verdana" w:cs="Century Gothic"/>
          <w:b/>
          <w:color w:val="000000" w:themeColor="text1"/>
          <w:lang w:val="es-ES"/>
        </w:rPr>
        <w:t>2. Respuesta:</w:t>
      </w:r>
    </w:p>
    <w:p w14:paraId="4BB68044" w14:textId="77777777" w:rsidR="000A7AC9" w:rsidRPr="00C13BC2" w:rsidRDefault="000A7AC9" w:rsidP="000A7AC9">
      <w:pPr>
        <w:tabs>
          <w:tab w:val="left" w:pos="142"/>
          <w:tab w:val="left" w:pos="284"/>
        </w:tabs>
        <w:spacing w:after="0" w:line="276" w:lineRule="auto"/>
        <w:jc w:val="both"/>
        <w:rPr>
          <w:rFonts w:ascii="Verdana" w:eastAsia="Century Gothic" w:hAnsi="Verdana" w:cs="Century Gothic"/>
          <w:b/>
          <w:bCs/>
          <w:color w:val="EE0000"/>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A7AC9" w:rsidRPr="00C13BC2" w14:paraId="45CF8C2D" w14:textId="77777777" w:rsidTr="00C955B6">
        <w:tc>
          <w:tcPr>
            <w:tcW w:w="8828" w:type="dxa"/>
          </w:tcPr>
          <w:p w14:paraId="3363908A" w14:textId="77777777" w:rsidR="000A7AC9" w:rsidRDefault="000A7AC9" w:rsidP="00C955B6">
            <w:pPr>
              <w:spacing w:before="120" w:after="120" w:line="276" w:lineRule="auto"/>
              <w:jc w:val="both"/>
              <w:rPr>
                <w:rFonts w:ascii="Verdana" w:eastAsia="Calibri" w:hAnsi="Verdana" w:cs="Arial"/>
              </w:rPr>
            </w:pPr>
            <w:r w:rsidRPr="00986CB3">
              <w:rPr>
                <w:rFonts w:ascii="Verdana" w:eastAsia="Calibri" w:hAnsi="Verdana" w:cs="Arial"/>
              </w:rPr>
              <w:t xml:space="preserve">Para resolver el problema jurídico planteado, en primer lugar, es importante precisar que el principio de anualidad del gasto constituye uno de los pilares del régimen presupuestal y, por extensión, de la contratación estatal. En virtud de dicho principio, las entidades públicas deben planear y ejecutar sus procesos contractuales de manera que los compromisos </w:t>
            </w:r>
            <w:r>
              <w:rPr>
                <w:rFonts w:ascii="Verdana" w:eastAsia="Calibri" w:hAnsi="Verdana" w:cs="Arial"/>
              </w:rPr>
              <w:t>asumidos</w:t>
            </w:r>
            <w:r w:rsidRPr="00986CB3">
              <w:rPr>
                <w:rFonts w:ascii="Verdana" w:eastAsia="Calibri" w:hAnsi="Verdana" w:cs="Arial"/>
              </w:rPr>
              <w:t xml:space="preserve"> se atiendan con cargo al presupuesto de la vigencia fiscal correspondiente, comprendida entre el </w:t>
            </w:r>
            <w:r>
              <w:rPr>
                <w:rFonts w:ascii="Verdana" w:eastAsia="Calibri" w:hAnsi="Verdana" w:cs="Arial"/>
              </w:rPr>
              <w:t>1°</w:t>
            </w:r>
            <w:r w:rsidRPr="00986CB3">
              <w:rPr>
                <w:rFonts w:ascii="Verdana" w:eastAsia="Calibri" w:hAnsi="Verdana" w:cs="Arial"/>
              </w:rPr>
              <w:t xml:space="preserve"> de enero y el 31 de diciembre. Es decir, como regla general, únicamente pueden a</w:t>
            </w:r>
            <w:r>
              <w:rPr>
                <w:rFonts w:ascii="Verdana" w:eastAsia="Calibri" w:hAnsi="Verdana" w:cs="Arial"/>
              </w:rPr>
              <w:t>dquirirse</w:t>
            </w:r>
            <w:r w:rsidRPr="00986CB3">
              <w:rPr>
                <w:rFonts w:ascii="Verdana" w:eastAsia="Calibri" w:hAnsi="Verdana" w:cs="Arial"/>
              </w:rPr>
              <w:t xml:space="preserve"> compromisos presupuestales cuya ejecución no exceda la vigencia fiscal en la cual se celebra el contrato.</w:t>
            </w:r>
          </w:p>
          <w:p w14:paraId="0DACBDD3" w14:textId="77777777" w:rsidR="000A7AC9" w:rsidRDefault="000A7AC9" w:rsidP="00C955B6">
            <w:pPr>
              <w:spacing w:before="120" w:after="120" w:line="276" w:lineRule="auto"/>
              <w:jc w:val="both"/>
              <w:rPr>
                <w:rFonts w:ascii="Verdana" w:eastAsia="Calibri" w:hAnsi="Verdana" w:cs="Arial"/>
              </w:rPr>
            </w:pPr>
          </w:p>
          <w:p w14:paraId="36FB0A44" w14:textId="77777777" w:rsidR="000A7AC9" w:rsidRDefault="000A7AC9" w:rsidP="00C955B6">
            <w:pPr>
              <w:spacing w:before="120" w:after="120" w:line="276" w:lineRule="auto"/>
              <w:ind w:firstLine="709"/>
              <w:jc w:val="both"/>
              <w:rPr>
                <w:rFonts w:ascii="Verdana" w:eastAsia="Calibri" w:hAnsi="Verdana" w:cs="Arial"/>
              </w:rPr>
            </w:pPr>
            <w:r>
              <w:rPr>
                <w:rFonts w:ascii="Verdana" w:eastAsia="Calibri" w:hAnsi="Verdana" w:cs="Arial"/>
              </w:rPr>
              <w:t xml:space="preserve">Sin perjuicio de lo anterior, </w:t>
            </w:r>
            <w:r w:rsidRPr="00043C5D">
              <w:rPr>
                <w:rFonts w:ascii="Verdana" w:eastAsia="Calibri" w:hAnsi="Verdana" w:cs="Arial"/>
              </w:rPr>
              <w:t>el ordenamiento jurídico contempla excepciones al principio de anualidad del gasto, dentro de las cuales se destacan las vigencias futuras, que, conforme a lo dispuesto en el artículo 23 del Estatuto Orgánico del Presupuesto, exigen autorización previa para comprometer recursos correspondientes a vigencias fiscales posteriores a aquella en la que se inicia la ejecución del contrato. Asimismo, hacen parte de dichas excepciones las cuentas por pagar y las reservas presupuestales, las cuales se rigen por reglas y procedimientos específicos para su configuración y aplicación.</w:t>
            </w:r>
          </w:p>
          <w:p w14:paraId="57C59889" w14:textId="77777777" w:rsidR="000A7AC9" w:rsidRPr="00973C10" w:rsidRDefault="000A7AC9" w:rsidP="00C955B6">
            <w:pPr>
              <w:shd w:val="clear" w:color="auto" w:fill="FFFFFF"/>
              <w:spacing w:after="120" w:line="276" w:lineRule="auto"/>
              <w:ind w:right="51" w:firstLine="709"/>
              <w:jc w:val="both"/>
              <w:rPr>
                <w:rFonts w:ascii="Verdana" w:eastAsia="Calibri" w:hAnsi="Verdana" w:cs="Arial"/>
                <w:color w:val="000000" w:themeColor="text1"/>
              </w:rPr>
            </w:pPr>
            <w:r>
              <w:rPr>
                <w:rFonts w:ascii="Verdana" w:eastAsia="Calibri" w:hAnsi="Verdana" w:cs="Arial"/>
                <w:color w:val="000000" w:themeColor="text1"/>
              </w:rPr>
              <w:t>Por su parte, l</w:t>
            </w:r>
            <w:r w:rsidRPr="00D069D8">
              <w:rPr>
                <w:rFonts w:ascii="Verdana" w:eastAsia="Calibri" w:hAnsi="Verdana" w:cs="Arial"/>
                <w:color w:val="000000" w:themeColor="text1"/>
              </w:rPr>
              <w:t xml:space="preserve">a Ley 813 de 2003 establece en sus artículos 10 y 11 dos tipos de vigencias futuras: i) las vigencias futuras ordinarias, según la cual el Consejo Superior de Política Fiscal – Confis, podrá autorizar la asunción de obligaciones que afecten presupuestos de vigencias futuras cuando su ejecución se inicie con presupuesto de la vigencia en curso y el objeto del compromiso se lleve a cabo en cada una de ellas siempre y cuando se cumplan los prepuestos señalados en la norma. Y, ii) las vigencias futuras excepcionales, en virtud de la cual el Confis, en casos excepcionales para las obras de infraestructura, energía, comunicaciones, aeronáutica, defensa y seguridad, así como para las garantías a las concesiones, podrá autorizar que se asuman obligaciones que afecten el presupuesto de vigencias futuras sin apropiación en el presupuesto del año en que se concede la autorización. </w:t>
            </w:r>
          </w:p>
          <w:p w14:paraId="5279A4B2" w14:textId="77777777" w:rsidR="000A7AC9" w:rsidRPr="00973C10" w:rsidRDefault="000A7AC9" w:rsidP="00C955B6">
            <w:pPr>
              <w:spacing w:before="120" w:after="120" w:line="276" w:lineRule="auto"/>
              <w:ind w:firstLine="709"/>
              <w:jc w:val="both"/>
              <w:rPr>
                <w:rFonts w:ascii="Verdana" w:eastAsia="Calibri" w:hAnsi="Verdana" w:cs="Arial"/>
              </w:rPr>
            </w:pPr>
            <w:r w:rsidRPr="004C17E5">
              <w:rPr>
                <w:rFonts w:ascii="Verdana" w:eastAsia="Calibri" w:hAnsi="Verdana" w:cs="Arial"/>
              </w:rPr>
              <w:t>En consecuencia, cuando en la etapa de planeación se evidencie que la ejecución contractual excederá la vigencia fiscal correspondiente, la entidad deberá acudir a las excepciones legalmente previstas al principio de anualidad, previa verificación de su procedencia en el caso concreto. Tales excepciones deben estar debidamente justificadas, cumplir estrictamente los requisitos legales y presupuestales vigentes y tramitarse conforme a los procedimientos establecidos para su autorización y ejecución</w:t>
            </w:r>
            <w:r>
              <w:rPr>
                <w:rFonts w:ascii="Verdana" w:eastAsia="Calibri" w:hAnsi="Verdana" w:cs="Arial"/>
              </w:rPr>
              <w:t>, conforme a lo descrito en este concepto.</w:t>
            </w:r>
            <w:r w:rsidRPr="00921F6D">
              <w:rPr>
                <w:rFonts w:ascii="Verdana" w:eastAsia="Calibri" w:hAnsi="Verdana" w:cs="Arial"/>
                <w:color w:val="ED7D31" w:themeColor="accent2"/>
              </w:rPr>
              <w:t xml:space="preserve"> </w:t>
            </w:r>
          </w:p>
          <w:p w14:paraId="1FB03435" w14:textId="77777777" w:rsidR="000A7AC9" w:rsidRPr="00C13BC2" w:rsidRDefault="000A7AC9" w:rsidP="00C955B6">
            <w:pPr>
              <w:spacing w:before="120" w:after="120" w:line="276" w:lineRule="auto"/>
              <w:ind w:firstLine="709"/>
              <w:jc w:val="both"/>
              <w:rPr>
                <w:rFonts w:ascii="Verdana" w:eastAsia="Calibri" w:hAnsi="Verdana" w:cs="Arial"/>
                <w:color w:val="EE0000"/>
              </w:rPr>
            </w:pPr>
            <w:r w:rsidRPr="00515BD6">
              <w:rPr>
                <w:rFonts w:ascii="Verdana" w:eastAsia="Calibri" w:hAnsi="Verdana" w:cs="Arial"/>
                <w:bCs/>
              </w:rPr>
              <w:t>Finalmente</w:t>
            </w:r>
            <w:r w:rsidRPr="00515BD6">
              <w:rPr>
                <w:rFonts w:ascii="Verdana" w:eastAsia="Calibri" w:hAnsi="Verdana" w:cs="Times New Roman"/>
                <w:lang w:val="es-ES"/>
              </w:rPr>
              <w:t xml:space="preserve">,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w:t>
            </w:r>
            <w:r w:rsidRPr="00515BD6">
              <w:rPr>
                <w:rFonts w:ascii="Verdana" w:eastAsia="Calibri" w:hAnsi="Verdana" w:cs="Times New Roman"/>
                <w:lang w:val="es-ES"/>
              </w:rPr>
              <w:lastRenderedPageBreak/>
              <w:t>hechos que motivan la consulta. Por lo anterior, previo concepto de sus asesores, la solución de situaciones particulares corresponderá a los interesados de adoptar la decisión y, en caso de conflicto, a las autoridades judiciales, fiscales y disciplinarias.</w:t>
            </w:r>
            <w:r w:rsidRPr="00515BD6">
              <w:rPr>
                <w:rFonts w:ascii="Verdana" w:hAnsi="Verdana"/>
              </w:rPr>
              <w:t xml:space="preserve"> </w:t>
            </w:r>
          </w:p>
        </w:tc>
      </w:tr>
    </w:tbl>
    <w:p w14:paraId="464179A8" w14:textId="77777777" w:rsidR="000A7AC9" w:rsidRPr="00C13BC2" w:rsidRDefault="000A7AC9" w:rsidP="000A7AC9">
      <w:pPr>
        <w:tabs>
          <w:tab w:val="left" w:pos="142"/>
          <w:tab w:val="left" w:pos="284"/>
        </w:tabs>
        <w:spacing w:after="0" w:line="276" w:lineRule="auto"/>
        <w:jc w:val="both"/>
        <w:rPr>
          <w:rFonts w:ascii="Verdana" w:eastAsia="Century Gothic" w:hAnsi="Verdana" w:cs="Century Gothic"/>
          <w:b/>
          <w:bCs/>
          <w:color w:val="EE0000"/>
          <w:lang w:val="es-ES"/>
        </w:rPr>
      </w:pPr>
    </w:p>
    <w:p w14:paraId="58E4FDAB" w14:textId="77777777" w:rsidR="000A7AC9" w:rsidRPr="007E1C78" w:rsidRDefault="000A7AC9" w:rsidP="000A7AC9">
      <w:pPr>
        <w:tabs>
          <w:tab w:val="left" w:pos="142"/>
          <w:tab w:val="left" w:pos="284"/>
        </w:tabs>
        <w:spacing w:after="0" w:line="276" w:lineRule="auto"/>
        <w:jc w:val="both"/>
        <w:rPr>
          <w:rFonts w:ascii="Verdana" w:eastAsia="Century Gothic" w:hAnsi="Verdana" w:cs="Century Gothic"/>
          <w:b/>
          <w:color w:val="000000" w:themeColor="text1"/>
          <w:lang w:val="es-ES"/>
        </w:rPr>
      </w:pPr>
      <w:r w:rsidRPr="007E1C78">
        <w:rPr>
          <w:rFonts w:ascii="Verdana" w:eastAsia="Century Gothic" w:hAnsi="Verdana" w:cs="Century Gothic"/>
          <w:b/>
          <w:color w:val="000000" w:themeColor="text1"/>
          <w:lang w:val="es-ES"/>
        </w:rPr>
        <w:t>3. Razones de la respuesta:</w:t>
      </w:r>
    </w:p>
    <w:p w14:paraId="63E46894" w14:textId="77777777" w:rsidR="000A7AC9" w:rsidRPr="007E1C78" w:rsidRDefault="000A7AC9" w:rsidP="000A7AC9">
      <w:pPr>
        <w:tabs>
          <w:tab w:val="left" w:pos="142"/>
          <w:tab w:val="left" w:pos="284"/>
        </w:tabs>
        <w:spacing w:after="0" w:line="276" w:lineRule="auto"/>
        <w:jc w:val="both"/>
        <w:rPr>
          <w:rFonts w:ascii="Verdana" w:eastAsia="Century Gothic" w:hAnsi="Verdana" w:cs="Century Gothic"/>
          <w:b/>
          <w:color w:val="000000" w:themeColor="text1"/>
          <w:lang w:val="es-ES"/>
        </w:rPr>
      </w:pPr>
    </w:p>
    <w:p w14:paraId="4C8CDF57" w14:textId="77777777" w:rsidR="000A7AC9" w:rsidRPr="007E1C78" w:rsidRDefault="000A7AC9" w:rsidP="000A7AC9">
      <w:pPr>
        <w:spacing w:after="0" w:line="276" w:lineRule="auto"/>
        <w:jc w:val="both"/>
        <w:rPr>
          <w:rFonts w:ascii="Verdana" w:eastAsia="Calibri" w:hAnsi="Verdana" w:cs="Arial"/>
          <w:color w:val="000000" w:themeColor="text1"/>
          <w:lang w:val="es-ES"/>
        </w:rPr>
      </w:pPr>
      <w:r w:rsidRPr="007E1C78">
        <w:rPr>
          <w:rFonts w:ascii="Verdana" w:eastAsia="Calibri" w:hAnsi="Verdana" w:cs="Arial"/>
          <w:color w:val="000000" w:themeColor="text1"/>
          <w:lang w:val="es-ES"/>
        </w:rPr>
        <w:t>Lo anterior se sustenta en las siguientes consideraciones:</w:t>
      </w:r>
    </w:p>
    <w:p w14:paraId="5360E3D2" w14:textId="77777777" w:rsidR="000A7AC9" w:rsidRPr="00DA6EEC" w:rsidRDefault="000A7AC9" w:rsidP="000A7AC9">
      <w:pPr>
        <w:spacing w:after="0" w:line="276" w:lineRule="auto"/>
        <w:jc w:val="both"/>
        <w:rPr>
          <w:rFonts w:ascii="Verdana" w:eastAsia="Calibri" w:hAnsi="Verdana" w:cs="Arial"/>
          <w:color w:val="FFC000"/>
          <w:lang w:val="es-ES"/>
        </w:rPr>
      </w:pPr>
    </w:p>
    <w:p w14:paraId="4710D99D" w14:textId="77777777" w:rsidR="000A7AC9" w:rsidRPr="00D069D8" w:rsidRDefault="000A7AC9" w:rsidP="000A7AC9">
      <w:pPr>
        <w:shd w:val="clear" w:color="auto" w:fill="FFFFFF" w:themeFill="background1"/>
        <w:spacing w:after="120" w:line="276" w:lineRule="auto"/>
        <w:ind w:right="51"/>
        <w:jc w:val="both"/>
        <w:rPr>
          <w:rFonts w:ascii="Verdana" w:eastAsia="Calibri" w:hAnsi="Verdana" w:cs="Arial"/>
          <w:color w:val="000000" w:themeColor="text1"/>
          <w:lang w:val="es-ES"/>
        </w:rPr>
      </w:pPr>
      <w:bookmarkStart w:id="1" w:name="_Hlk102983874"/>
      <w:bookmarkStart w:id="2" w:name="_Hlk102388095"/>
      <w:r w:rsidRPr="00515BD6">
        <w:rPr>
          <w:rFonts w:ascii="Verdana" w:eastAsia="Calibri" w:hAnsi="Verdana" w:cs="Arial"/>
          <w:lang w:val="es-ES"/>
        </w:rPr>
        <w:t>i.</w:t>
      </w:r>
      <w:r w:rsidRPr="00DA6EEC">
        <w:rPr>
          <w:rFonts w:ascii="Verdana" w:eastAsia="Verdana" w:hAnsi="Verdana" w:cs="Verdana"/>
          <w:color w:val="FFC000"/>
          <w:lang w:val="es-ES"/>
        </w:rPr>
        <w:t xml:space="preserve"> </w:t>
      </w:r>
      <w:r w:rsidRPr="00D069D8">
        <w:rPr>
          <w:rFonts w:ascii="Verdana" w:eastAsia="Calibri" w:hAnsi="Verdana" w:cs="Arial"/>
          <w:color w:val="000000" w:themeColor="text1"/>
          <w:lang w:val="es-ES"/>
        </w:rPr>
        <w:t xml:space="preserve">Las entidades estatales deben sujetarse a los principios que rigen el sistema presupuestal, entre los cuales se encuentra el de anualidad del gasto público. Este principio encuentra fundamento constitucional </w:t>
      </w:r>
      <w:bookmarkStart w:id="3" w:name="_Hlk65717879"/>
      <w:r w:rsidRPr="00D069D8">
        <w:rPr>
          <w:rFonts w:ascii="Verdana" w:eastAsia="Calibri" w:hAnsi="Verdana" w:cs="Arial"/>
          <w:color w:val="000000" w:themeColor="text1"/>
          <w:lang w:val="es-ES"/>
        </w:rPr>
        <w:t>en el artículo 346</w:t>
      </w:r>
      <w:r>
        <w:rPr>
          <w:rStyle w:val="Refdenotaalpie"/>
          <w:rFonts w:ascii="Verdana" w:eastAsia="Calibri" w:hAnsi="Verdana" w:cs="Arial"/>
          <w:color w:val="000000" w:themeColor="text1"/>
          <w:lang w:val="es-ES"/>
        </w:rPr>
        <w:footnoteReference w:id="1"/>
      </w:r>
      <w:r w:rsidRPr="00D069D8">
        <w:rPr>
          <w:rFonts w:ascii="Verdana" w:eastAsia="Calibri" w:hAnsi="Verdana" w:cs="Arial"/>
          <w:color w:val="000000" w:themeColor="text1"/>
          <w:lang w:val="es-ES"/>
        </w:rPr>
        <w:t xml:space="preserve"> superior que contiene el régimen general del presupuesto de rentas y la ley de apropiaciones</w:t>
      </w:r>
      <w:r w:rsidRPr="00D069D8">
        <w:rPr>
          <w:rFonts w:ascii="Verdana" w:eastAsia="Calibri" w:hAnsi="Verdana" w:cs="Arial"/>
          <w:color w:val="000000" w:themeColor="text1"/>
          <w:vertAlign w:val="superscript"/>
          <w:lang w:val="es-ES"/>
        </w:rPr>
        <w:footnoteReference w:id="2"/>
      </w:r>
      <w:r w:rsidRPr="00D069D8">
        <w:rPr>
          <w:rFonts w:ascii="Verdana" w:eastAsia="Calibri" w:hAnsi="Verdana" w:cs="Arial"/>
          <w:color w:val="000000" w:themeColor="text1"/>
          <w:lang w:val="es-ES"/>
        </w:rPr>
        <w:t>, que deberá presentarse al Congreso dentro de los primeros diez días de cada legislatura, elaborarse y aprobarse dentro de un marco de sostenibilidad fiscal y corresponder al Plan Nacional de Desarrollo</w:t>
      </w:r>
      <w:r w:rsidRPr="00D069D8">
        <w:rPr>
          <w:rFonts w:ascii="Verdana" w:eastAsia="Calibri" w:hAnsi="Verdana" w:cs="Arial"/>
          <w:color w:val="000000" w:themeColor="text1"/>
          <w:vertAlign w:val="superscript"/>
          <w:lang w:val="es-ES"/>
        </w:rPr>
        <w:footnoteReference w:id="3"/>
      </w:r>
      <w:r w:rsidRPr="00D069D8">
        <w:rPr>
          <w:rFonts w:ascii="Verdana" w:eastAsia="Calibri" w:hAnsi="Verdana" w:cs="Arial"/>
          <w:color w:val="000000" w:themeColor="text1"/>
          <w:lang w:val="es-ES"/>
        </w:rPr>
        <w:t xml:space="preserve">. De </w:t>
      </w:r>
      <w:r w:rsidRPr="00D069D8">
        <w:rPr>
          <w:rFonts w:ascii="Verdana" w:eastAsia="Calibri" w:hAnsi="Verdana" w:cs="Arial"/>
          <w:color w:val="000000" w:themeColor="text1"/>
          <w:lang w:val="es-ES"/>
        </w:rPr>
        <w:lastRenderedPageBreak/>
        <w:t>conformidad con la misma norma constitucional, el presupuesto tiene vigencia anual y, por tanto, tienen como finalidad fijar los gastos y las rentas nacionales del Estado para la respectiva vigencia fiscal anual</w:t>
      </w:r>
      <w:bookmarkEnd w:id="3"/>
      <w:r w:rsidRPr="00D069D8">
        <w:rPr>
          <w:rFonts w:ascii="Verdana" w:eastAsia="Calibri" w:hAnsi="Verdana" w:cs="Arial"/>
          <w:color w:val="000000" w:themeColor="text1"/>
          <w:lang w:val="es-ES"/>
        </w:rPr>
        <w:t xml:space="preserve">. </w:t>
      </w:r>
    </w:p>
    <w:p w14:paraId="6C792C35" w14:textId="77777777" w:rsidR="000A7AC9" w:rsidRPr="0001383B" w:rsidRDefault="000A7AC9" w:rsidP="000A7AC9">
      <w:pPr>
        <w:shd w:val="clear" w:color="auto" w:fill="FFFFFF"/>
        <w:spacing w:after="120" w:line="276" w:lineRule="auto"/>
        <w:ind w:right="51" w:firstLine="709"/>
        <w:jc w:val="both"/>
        <w:rPr>
          <w:rFonts w:ascii="Verdana" w:eastAsia="Calibri" w:hAnsi="Verdana" w:cs="Arial"/>
          <w:color w:val="000000" w:themeColor="text1"/>
          <w:lang w:val="es-ES_tradnl"/>
        </w:rPr>
      </w:pPr>
      <w:r w:rsidRPr="00D069D8">
        <w:rPr>
          <w:rFonts w:ascii="Verdana" w:eastAsia="Calibri" w:hAnsi="Verdana" w:cs="Arial"/>
          <w:color w:val="000000" w:themeColor="text1"/>
          <w:lang w:val="es-ES_tradnl"/>
        </w:rPr>
        <w:t xml:space="preserve">En armonía con lo anterior, el Estatuto Orgánico del Presupuesto consagra este principio en el artículo 14 consistente en que </w:t>
      </w:r>
      <w:r w:rsidRPr="00D069D8">
        <w:rPr>
          <w:rFonts w:ascii="Verdana" w:eastAsia="Calibri" w:hAnsi="Verdana" w:cs="Arial"/>
          <w:lang w:val="es-ES_tradnl"/>
        </w:rPr>
        <w:t>“</w:t>
      </w:r>
      <w:r w:rsidRPr="00D069D8">
        <w:rPr>
          <w:rFonts w:ascii="Verdana" w:eastAsia="Calibri" w:hAnsi="Verdana" w:cs="Arial"/>
          <w:color w:val="000000" w:themeColor="text1"/>
          <w:lang w:val="es-ES_tradnl"/>
        </w:rPr>
        <w:t>Después del 31 de diciembre no podrán asumirse compromisos con cargo a las apropiaciones del año fiscal que se cierra en esa fecha y los saldos de apropiación no afectados por compromisos caducarán sin excepción</w:t>
      </w:r>
      <w:r w:rsidRPr="00D069D8">
        <w:rPr>
          <w:rFonts w:ascii="Verdana" w:eastAsia="Calibri" w:hAnsi="Verdana" w:cs="Arial"/>
          <w:lang w:val="es-ES_tradnl"/>
        </w:rPr>
        <w:t>”</w:t>
      </w:r>
      <w:r w:rsidRPr="00D069D8">
        <w:rPr>
          <w:rFonts w:ascii="Verdana" w:eastAsia="Calibri" w:hAnsi="Verdana" w:cs="Arial"/>
          <w:color w:val="000000" w:themeColor="text1"/>
          <w:lang w:val="es-ES_tradnl"/>
        </w:rPr>
        <w:t>. Es decir, los gastos previstos en el presupuesto anual deben ejecutarse dentro de una vigencia fiscal comprendida entre el 1 de enero y el 31 de diciembre</w:t>
      </w:r>
      <w:r w:rsidRPr="00D069D8">
        <w:rPr>
          <w:rFonts w:ascii="Verdana" w:eastAsia="Calibri" w:hAnsi="Verdana" w:cs="Arial"/>
          <w:color w:val="000000" w:themeColor="text1"/>
          <w:vertAlign w:val="superscript"/>
          <w:lang w:val="es-ES_tradnl"/>
        </w:rPr>
        <w:footnoteReference w:id="4"/>
      </w:r>
      <w:r w:rsidRPr="00D069D8">
        <w:rPr>
          <w:rFonts w:ascii="Verdana" w:eastAsia="Calibri" w:hAnsi="Verdana" w:cs="Arial"/>
          <w:color w:val="000000" w:themeColor="text1"/>
          <w:lang w:val="es-ES_tradnl"/>
        </w:rPr>
        <w:t>.</w:t>
      </w:r>
      <w:r w:rsidRPr="00D069D8">
        <w:rPr>
          <w:rFonts w:ascii="Verdana" w:eastAsia="Calibri" w:hAnsi="Verdana" w:cs="Arial"/>
          <w:color w:val="000000" w:themeColor="text1"/>
        </w:rPr>
        <w:t xml:space="preserve"> En el mismo sentido, </w:t>
      </w:r>
      <w:r w:rsidRPr="00D069D8">
        <w:rPr>
          <w:rFonts w:ascii="Verdana" w:eastAsia="Calibri" w:hAnsi="Verdana" w:cs="Arial"/>
          <w:color w:val="000000" w:themeColor="text1"/>
          <w:lang w:val="es-ES_tradnl"/>
        </w:rPr>
        <w:t xml:space="preserve">el artículo 89 </w:t>
      </w:r>
      <w:r w:rsidRPr="00D069D8">
        <w:rPr>
          <w:rFonts w:ascii="Verdana" w:eastAsia="Calibri" w:hAnsi="Verdana" w:cs="Arial"/>
          <w:i/>
          <w:iCs/>
          <w:color w:val="000000" w:themeColor="text1"/>
          <w:lang w:val="es-ES_tradnl"/>
        </w:rPr>
        <w:t>ibidem</w:t>
      </w:r>
      <w:r w:rsidRPr="00D069D8">
        <w:rPr>
          <w:rFonts w:ascii="Verdana" w:eastAsia="Calibri" w:hAnsi="Verdana" w:cs="Arial"/>
          <w:color w:val="000000" w:themeColor="text1"/>
          <w:lang w:val="es-ES_tradnl"/>
        </w:rPr>
        <w:t xml:space="preserve"> consolida al principio de anualidad como regla general en la ejecución del gasto al establecer que </w:t>
      </w:r>
      <w:r w:rsidRPr="00D069D8">
        <w:rPr>
          <w:rFonts w:ascii="Verdana" w:eastAsia="Calibri" w:hAnsi="Verdana" w:cs="Arial"/>
          <w:lang w:val="es-ES_tradnl"/>
        </w:rPr>
        <w:t>“</w:t>
      </w:r>
      <w:r w:rsidRPr="000B0429">
        <w:rPr>
          <w:rFonts w:ascii="Verdana" w:eastAsia="Calibri" w:hAnsi="Verdana" w:cs="Arial"/>
          <w:color w:val="000000" w:themeColor="text1"/>
          <w:lang w:val="es-ES_tradnl"/>
        </w:rPr>
        <w:t>Las apropiaciones incluidas en el presupuesto general de la Nación, son autorizaciones máximas de gasto que el Congreso aprueba para ser ejecutadas o comprometidas durante la vigencia fiscal respectiva.</w:t>
      </w:r>
      <w:r>
        <w:rPr>
          <w:rFonts w:ascii="Verdana" w:eastAsia="Calibri" w:hAnsi="Verdana" w:cs="Arial"/>
          <w:color w:val="000000" w:themeColor="text1"/>
          <w:lang w:val="es-ES_tradnl"/>
        </w:rPr>
        <w:t xml:space="preserve"> </w:t>
      </w:r>
      <w:r w:rsidRPr="000B0429">
        <w:rPr>
          <w:rFonts w:ascii="Verdana" w:eastAsia="Calibri" w:hAnsi="Verdana" w:cs="Arial"/>
          <w:color w:val="000000" w:themeColor="text1"/>
          <w:lang w:val="es-ES_tradnl"/>
        </w:rPr>
        <w:t>Después del 31 de diciembre de cada año estas autorizaciones expiran y, en consecuencia, no podrán comprometerse, adicionarse, transferirse, ni contracreditarse.</w:t>
      </w:r>
      <w:r>
        <w:rPr>
          <w:rFonts w:ascii="Verdana" w:eastAsia="Calibri" w:hAnsi="Verdana" w:cs="Arial"/>
          <w:lang w:val="es-ES_tradnl"/>
        </w:rPr>
        <w:t>”</w:t>
      </w:r>
    </w:p>
    <w:p w14:paraId="7FA1D4BA" w14:textId="77777777" w:rsidR="000A7AC9" w:rsidRPr="0001383B" w:rsidRDefault="000A7AC9" w:rsidP="000A7AC9">
      <w:pPr>
        <w:shd w:val="clear" w:color="auto" w:fill="FFFFFF"/>
        <w:spacing w:after="120" w:line="276" w:lineRule="auto"/>
        <w:ind w:right="51" w:firstLine="709"/>
        <w:jc w:val="both"/>
        <w:rPr>
          <w:rFonts w:ascii="Verdana" w:eastAsia="Calibri" w:hAnsi="Verdana" w:cs="Arial"/>
        </w:rPr>
      </w:pPr>
      <w:r w:rsidRPr="00D069D8">
        <w:rPr>
          <w:rFonts w:ascii="Verdana" w:eastAsia="Calibri" w:hAnsi="Verdana" w:cs="Arial"/>
          <w:lang w:val="es-ES_tradnl"/>
        </w:rPr>
        <w:t>A su turno, el artículo 8 de la Ley 819 de 2003 consagra el principio de anualidad al disponer que “l</w:t>
      </w:r>
      <w:r w:rsidRPr="00D069D8">
        <w:rPr>
          <w:rFonts w:ascii="Verdana" w:eastAsia="Calibri" w:hAnsi="Verdana" w:cs="Arial"/>
        </w:rPr>
        <w:t>a preparación y elaboración del Presupuesto General de la Nación y el de las entidades territoriales, deberá sujetarse a los correspondientes Marcos Fiscales de Mediano Plazo de manera que las apropiaciones presupuestales aprobadas por el Congreso de la República, las Asambleas y los Concejos, puedan ejecutarse en su totalidad durante la vigencia fiscal correspondiente”.</w:t>
      </w:r>
    </w:p>
    <w:p w14:paraId="7E6ADDED" w14:textId="77777777" w:rsidR="000A7AC9" w:rsidRPr="00D069D8" w:rsidRDefault="000A7AC9" w:rsidP="000A7AC9">
      <w:pPr>
        <w:shd w:val="clear" w:color="auto" w:fill="FFFFFF" w:themeFill="background1"/>
        <w:spacing w:after="120" w:line="276" w:lineRule="auto"/>
        <w:ind w:right="51" w:firstLine="709"/>
        <w:jc w:val="both"/>
        <w:rPr>
          <w:rFonts w:ascii="Verdana" w:eastAsia="Calibri" w:hAnsi="Verdana" w:cs="Arial"/>
          <w:color w:val="000000" w:themeColor="text1"/>
          <w:lang w:val="es-ES"/>
        </w:rPr>
      </w:pPr>
      <w:r w:rsidRPr="00D069D8">
        <w:rPr>
          <w:rFonts w:ascii="Verdana" w:eastAsia="Calibri" w:hAnsi="Verdana" w:cs="Arial"/>
          <w:color w:val="000000" w:themeColor="text1"/>
          <w:lang w:val="es-ES"/>
        </w:rPr>
        <w:t>En este contexto, la anualidad del gasto es uno de los principios rectores de la actividad contractual pública, conforme al cual las entidades deben planear sus contrataciones de manera que sus compromisos contractuales sean atendidos durante la respectiva vigencia fiscal comprendida entre el 1 de enero y el 31 de diciembre. En este sentido, la regla general es que las entidades estatales solo pueden adquirir compromisos presupuestales que no excedan en su ejecución la vigencia fiscal en la que se suscribe el respectivo contrato.</w:t>
      </w:r>
    </w:p>
    <w:p w14:paraId="64D0BEC3" w14:textId="77777777" w:rsidR="000A7AC9" w:rsidRDefault="000A7AC9" w:rsidP="000A7AC9">
      <w:pPr>
        <w:shd w:val="clear" w:color="auto" w:fill="FFFFFF"/>
        <w:spacing w:after="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lang w:val="es-ES_tradnl"/>
        </w:rPr>
        <w:lastRenderedPageBreak/>
        <w:t xml:space="preserve">No obstante, conforme lo ha señalado el Consejo de Estado, el principio de anualidad no es absoluto </w:t>
      </w:r>
      <w:r w:rsidRPr="00D069D8">
        <w:rPr>
          <w:rFonts w:ascii="Verdana" w:eastAsia="Calibri" w:hAnsi="Verdana" w:cs="Arial"/>
          <w:color w:val="000000" w:themeColor="text1"/>
        </w:rPr>
        <w:t xml:space="preserve">en </w:t>
      </w:r>
      <w:r w:rsidRPr="00D069D8">
        <w:rPr>
          <w:rFonts w:ascii="Verdana" w:eastAsia="Calibri" w:hAnsi="Verdana" w:cs="Arial"/>
        </w:rPr>
        <w:t>“</w:t>
      </w:r>
      <w:r w:rsidRPr="00D069D8">
        <w:rPr>
          <w:rFonts w:ascii="Verdana" w:eastAsia="Calibri" w:hAnsi="Verdana" w:cs="Arial"/>
          <w:color w:val="000000" w:themeColor="text1"/>
        </w:rPr>
        <w:t>la medida en que la actividad presupuestal está íntimamente ligada con el principio de planeación, la cual normalmente es efectuada para periodos que superan el año calendario. Esta realidad impone la configuración de mecanismos presupuestales que permitan compatibilizar tales principios”</w:t>
      </w:r>
      <w:r w:rsidRPr="00D069D8">
        <w:rPr>
          <w:rFonts w:ascii="Verdana" w:eastAsia="Calibri" w:hAnsi="Verdana" w:cs="Arial"/>
          <w:vertAlign w:val="superscript"/>
          <w:lang w:val="es-ES_tradnl"/>
        </w:rPr>
        <w:footnoteReference w:id="5"/>
      </w:r>
      <w:r w:rsidRPr="00D069D8">
        <w:rPr>
          <w:rFonts w:ascii="Verdana" w:eastAsia="Calibri" w:hAnsi="Verdana" w:cs="Arial"/>
          <w:lang w:val="es-ES_tradnl"/>
        </w:rPr>
        <w:t>.</w:t>
      </w:r>
      <w:r w:rsidRPr="00D069D8">
        <w:rPr>
          <w:rFonts w:ascii="Verdana" w:eastAsia="Calibri" w:hAnsi="Verdana" w:cs="Arial"/>
          <w:color w:val="000000" w:themeColor="text1"/>
        </w:rPr>
        <w:t xml:space="preserve"> Así mismo, la doctrina expresa:</w:t>
      </w:r>
    </w:p>
    <w:p w14:paraId="37332DCF" w14:textId="77777777" w:rsidR="000A7AC9" w:rsidRPr="00D069D8" w:rsidRDefault="000A7AC9" w:rsidP="000A7AC9">
      <w:pPr>
        <w:shd w:val="clear" w:color="auto" w:fill="FFFFFF"/>
        <w:spacing w:after="0" w:line="276" w:lineRule="auto"/>
        <w:ind w:right="51" w:firstLine="709"/>
        <w:jc w:val="both"/>
        <w:rPr>
          <w:rFonts w:ascii="Verdana" w:eastAsia="Calibri" w:hAnsi="Verdana" w:cs="Arial"/>
          <w:color w:val="000000" w:themeColor="text1"/>
        </w:rPr>
      </w:pPr>
    </w:p>
    <w:p w14:paraId="4171386A" w14:textId="77777777" w:rsidR="000A7AC9" w:rsidRDefault="000A7AC9" w:rsidP="000A7AC9">
      <w:pPr>
        <w:autoSpaceDE w:val="0"/>
        <w:autoSpaceDN w:val="0"/>
        <w:adjustRightInd w:val="0"/>
        <w:spacing w:after="0" w:line="240" w:lineRule="auto"/>
        <w:ind w:left="709" w:right="709"/>
        <w:jc w:val="both"/>
        <w:rPr>
          <w:rFonts w:ascii="Verdana" w:hAnsi="Verdana" w:cs="Times-Roman"/>
          <w:sz w:val="20"/>
          <w:szCs w:val="20"/>
        </w:rPr>
      </w:pPr>
      <w:r>
        <w:rPr>
          <w:rFonts w:ascii="Verdana" w:hAnsi="Verdana" w:cs="Times-Roman"/>
          <w:sz w:val="20"/>
          <w:szCs w:val="20"/>
        </w:rPr>
        <w:t>“</w:t>
      </w:r>
      <w:r w:rsidRPr="000D35F0">
        <w:rPr>
          <w:rFonts w:ascii="Verdana" w:hAnsi="Verdana" w:cs="Times-Roman"/>
          <w:sz w:val="20"/>
          <w:szCs w:val="20"/>
        </w:rPr>
        <w:t>Varias excepciones se presentan al momento de efectuar el cierre presupuestal, operación realizada al finalizar cada vigencia presupuestal en la cual se analiza la ejecución de las partidas, así como el estado de las finanzas de la entidad respectiva que puede terminar en un balance de superávit, equilibrado o deficitario.</w:t>
      </w:r>
    </w:p>
    <w:p w14:paraId="2F8E08A9" w14:textId="77777777" w:rsidR="000A7AC9" w:rsidRPr="000D35F0" w:rsidRDefault="000A7AC9" w:rsidP="000A7AC9">
      <w:pPr>
        <w:autoSpaceDE w:val="0"/>
        <w:autoSpaceDN w:val="0"/>
        <w:adjustRightInd w:val="0"/>
        <w:spacing w:after="0" w:line="240" w:lineRule="auto"/>
        <w:ind w:left="709" w:right="709"/>
        <w:jc w:val="both"/>
        <w:rPr>
          <w:rFonts w:ascii="Verdana" w:hAnsi="Verdana" w:cs="Times-Roman"/>
          <w:sz w:val="20"/>
          <w:szCs w:val="20"/>
        </w:rPr>
      </w:pPr>
    </w:p>
    <w:p w14:paraId="76EF002D" w14:textId="77777777" w:rsidR="000A7AC9" w:rsidRDefault="000A7AC9" w:rsidP="000A7AC9">
      <w:pPr>
        <w:autoSpaceDE w:val="0"/>
        <w:autoSpaceDN w:val="0"/>
        <w:adjustRightInd w:val="0"/>
        <w:spacing w:after="0" w:line="240" w:lineRule="auto"/>
        <w:ind w:left="709" w:right="709"/>
        <w:jc w:val="both"/>
        <w:rPr>
          <w:rFonts w:ascii="Verdana" w:hAnsi="Verdana" w:cs="Times-Roman"/>
          <w:sz w:val="20"/>
          <w:szCs w:val="20"/>
        </w:rPr>
      </w:pPr>
      <w:r w:rsidRPr="000D35F0">
        <w:rPr>
          <w:rFonts w:ascii="Verdana" w:hAnsi="Verdana" w:cs="Times-Roman"/>
          <w:sz w:val="20"/>
          <w:szCs w:val="20"/>
        </w:rPr>
        <w:t>Según el principio de anualidad del presupuesto y en desarrollo del principio de eficacia de la Administración Pública contenido en el artículo 209 C.P., tenemos que el resultado que debería aparecer al cierre fiscal es que las partidas presupuestales que fueron aprobadas por la ley de presupuesto fueron debidamente comprometidas y canceladas.</w:t>
      </w:r>
    </w:p>
    <w:p w14:paraId="49E6B4CF" w14:textId="77777777" w:rsidR="000A7AC9" w:rsidRPr="000D35F0" w:rsidRDefault="000A7AC9" w:rsidP="000A7AC9">
      <w:pPr>
        <w:autoSpaceDE w:val="0"/>
        <w:autoSpaceDN w:val="0"/>
        <w:adjustRightInd w:val="0"/>
        <w:spacing w:after="0" w:line="240" w:lineRule="auto"/>
        <w:ind w:left="709" w:right="709"/>
        <w:jc w:val="both"/>
        <w:rPr>
          <w:rFonts w:ascii="Verdana" w:hAnsi="Verdana" w:cs="Times-Roman"/>
          <w:sz w:val="20"/>
          <w:szCs w:val="20"/>
        </w:rPr>
      </w:pPr>
    </w:p>
    <w:p w14:paraId="32B349C8" w14:textId="77777777" w:rsidR="000A7AC9" w:rsidRDefault="000A7AC9" w:rsidP="000A7AC9">
      <w:pPr>
        <w:autoSpaceDE w:val="0"/>
        <w:autoSpaceDN w:val="0"/>
        <w:adjustRightInd w:val="0"/>
        <w:spacing w:after="0" w:line="240" w:lineRule="auto"/>
        <w:ind w:left="709" w:right="709"/>
        <w:jc w:val="both"/>
        <w:rPr>
          <w:rFonts w:ascii="Verdana" w:hAnsi="Verdana" w:cs="Times-Roman"/>
          <w:sz w:val="20"/>
          <w:szCs w:val="20"/>
        </w:rPr>
      </w:pPr>
      <w:r w:rsidRPr="000D35F0">
        <w:rPr>
          <w:rFonts w:ascii="Verdana" w:hAnsi="Verdana" w:cs="Times-Roman"/>
          <w:sz w:val="20"/>
          <w:szCs w:val="20"/>
        </w:rPr>
        <w:t>Sin embargo, en la práctica presupuestal muchas veces no es posible cancelar una partida dentro de su respectiva vigencia presupuestal. Piénsese a guisa de ejemplo en un contrato de construcción de una carretera que se termina por fuera del tiempo inicialmente convenido (</w:t>
      </w:r>
      <w:r w:rsidRPr="000D35F0">
        <w:rPr>
          <w:rFonts w:ascii="Verdana" w:hAnsi="Verdana" w:cs="Times-Italic"/>
          <w:i/>
          <w:iCs/>
          <w:sz w:val="20"/>
          <w:szCs w:val="20"/>
        </w:rPr>
        <w:t>v.gr</w:t>
      </w:r>
      <w:r w:rsidRPr="000D35F0">
        <w:rPr>
          <w:rFonts w:ascii="Verdana" w:hAnsi="Verdana" w:cs="Times-Roman"/>
          <w:sz w:val="20"/>
          <w:szCs w:val="20"/>
        </w:rPr>
        <w:t>. el 25 diciembre de 2004), porque las condiciones climáticas impidieron la ejecución de este durante dos o tres meses, y habrá de entregarse la obra terminada por fuera de la vigencia presupuestal en que fue aprobada la partida.</w:t>
      </w:r>
      <w:r w:rsidRPr="000D35F0">
        <w:rPr>
          <w:rFonts w:ascii="Times-Roman" w:hAnsi="Times-Roman" w:cs="Times-Roman"/>
          <w:sz w:val="20"/>
          <w:szCs w:val="20"/>
        </w:rPr>
        <w:t xml:space="preserve"> </w:t>
      </w:r>
      <w:r w:rsidRPr="000D35F0">
        <w:rPr>
          <w:rFonts w:ascii="Verdana" w:hAnsi="Verdana" w:cs="Times-Roman"/>
          <w:sz w:val="20"/>
          <w:szCs w:val="20"/>
        </w:rPr>
        <w:t>El contrato por la prórroga o suspensión, según fuere el caso, habría de extenderse hasta el 30 de marzo, razón por la cual</w:t>
      </w:r>
    </w:p>
    <w:p w14:paraId="23225CAB" w14:textId="77777777" w:rsidR="000A7AC9" w:rsidRDefault="000A7AC9" w:rsidP="000A7AC9">
      <w:pPr>
        <w:autoSpaceDE w:val="0"/>
        <w:autoSpaceDN w:val="0"/>
        <w:adjustRightInd w:val="0"/>
        <w:spacing w:after="0" w:line="240" w:lineRule="auto"/>
        <w:ind w:left="709" w:right="709"/>
        <w:jc w:val="both"/>
        <w:rPr>
          <w:rFonts w:ascii="Verdana" w:hAnsi="Verdana" w:cs="Times-Roman"/>
          <w:sz w:val="20"/>
          <w:szCs w:val="20"/>
        </w:rPr>
      </w:pPr>
      <w:r w:rsidRPr="000D35F0">
        <w:rPr>
          <w:rFonts w:ascii="Verdana" w:hAnsi="Verdana" w:cs="Times-Roman"/>
          <w:sz w:val="20"/>
          <w:szCs w:val="20"/>
        </w:rPr>
        <w:t>no podrá la administración cancelar la obligación correspondiente en la vigencia presupuestal originaria sino en la que se entregó la obra completamente ejecutada.</w:t>
      </w:r>
    </w:p>
    <w:p w14:paraId="7849CBE2" w14:textId="77777777" w:rsidR="000A7AC9" w:rsidRPr="000D35F0" w:rsidRDefault="000A7AC9" w:rsidP="000A7AC9">
      <w:pPr>
        <w:autoSpaceDE w:val="0"/>
        <w:autoSpaceDN w:val="0"/>
        <w:adjustRightInd w:val="0"/>
        <w:spacing w:after="0" w:line="240" w:lineRule="auto"/>
        <w:ind w:left="709" w:right="709"/>
        <w:jc w:val="both"/>
        <w:rPr>
          <w:rFonts w:ascii="Verdana" w:hAnsi="Verdana" w:cs="Times-Roman"/>
          <w:sz w:val="20"/>
          <w:szCs w:val="20"/>
        </w:rPr>
      </w:pPr>
    </w:p>
    <w:p w14:paraId="2205E907" w14:textId="0BC4F6A0" w:rsidR="00A571EB" w:rsidRDefault="000A7AC9" w:rsidP="000A7AC9">
      <w:pPr>
        <w:autoSpaceDE w:val="0"/>
        <w:autoSpaceDN w:val="0"/>
        <w:adjustRightInd w:val="0"/>
        <w:spacing w:after="0" w:line="240" w:lineRule="auto"/>
        <w:ind w:left="709" w:right="709"/>
        <w:jc w:val="both"/>
        <w:rPr>
          <w:rFonts w:ascii="Verdana" w:hAnsi="Verdana" w:cs="Times-Roman"/>
          <w:sz w:val="20"/>
          <w:szCs w:val="20"/>
        </w:rPr>
      </w:pPr>
      <w:r w:rsidRPr="000D35F0">
        <w:rPr>
          <w:rFonts w:ascii="Verdana" w:hAnsi="Verdana" w:cs="Times-Roman"/>
          <w:sz w:val="20"/>
          <w:szCs w:val="20"/>
        </w:rPr>
        <w:t xml:space="preserve">Por este tipo de circunstancias surgen las excepciones al principio de anualidad, como son: las reservas de apropiación (ra), las reservas de trámite negocial (rtn), los pasivos exigibles por vigencias expiradas (peve) y las vigencias futuras (vf), esta última figura puede presentarse tanto de forma ordinaria como excepcionales. Es de resaltar que aun cuando las vigencias futuras son una excepción al principio de anualidad, esta no aparece en el proceso de cierre presupuestal, sino que tiene su origen en </w:t>
      </w:r>
      <w:r w:rsidRPr="000D35F0">
        <w:rPr>
          <w:rFonts w:ascii="Verdana" w:hAnsi="Verdana" w:cs="Times-Roman"/>
          <w:sz w:val="20"/>
          <w:szCs w:val="20"/>
        </w:rPr>
        <w:lastRenderedPageBreak/>
        <w:t>el proceso de aprobación del presupuesto y tiene implicaciones para el debido perfeccionamiento o ejecución del contrato</w:t>
      </w:r>
      <w:r w:rsidR="00355853">
        <w:rPr>
          <w:rFonts w:ascii="Verdana" w:hAnsi="Verdana" w:cs="Times-Roman"/>
          <w:sz w:val="20"/>
          <w:szCs w:val="20"/>
        </w:rPr>
        <w:t>”</w:t>
      </w:r>
      <w:r>
        <w:rPr>
          <w:rStyle w:val="Refdenotaalpie"/>
          <w:rFonts w:ascii="Verdana" w:hAnsi="Verdana" w:cs="Times-Roman"/>
          <w:sz w:val="20"/>
          <w:szCs w:val="20"/>
        </w:rPr>
        <w:footnoteReference w:id="6"/>
      </w:r>
      <w:r w:rsidRPr="000D35F0">
        <w:rPr>
          <w:rFonts w:ascii="Verdana" w:hAnsi="Verdana" w:cs="Times-Roman"/>
          <w:sz w:val="20"/>
          <w:szCs w:val="20"/>
        </w:rPr>
        <w:t>.</w:t>
      </w:r>
      <w:r w:rsidR="00A571EB">
        <w:rPr>
          <w:rFonts w:ascii="Verdana" w:hAnsi="Verdana" w:cs="Times-Roman"/>
          <w:sz w:val="20"/>
          <w:szCs w:val="20"/>
        </w:rPr>
        <w:tab/>
      </w:r>
    </w:p>
    <w:p w14:paraId="77CE74A7" w14:textId="77777777" w:rsidR="00A571EB" w:rsidRDefault="00A571EB" w:rsidP="000A7AC9">
      <w:pPr>
        <w:autoSpaceDE w:val="0"/>
        <w:autoSpaceDN w:val="0"/>
        <w:adjustRightInd w:val="0"/>
        <w:spacing w:after="0" w:line="240" w:lineRule="auto"/>
        <w:ind w:left="709" w:right="709"/>
        <w:jc w:val="both"/>
        <w:rPr>
          <w:rFonts w:ascii="Verdana" w:hAnsi="Verdana" w:cs="Times-Roman"/>
          <w:sz w:val="20"/>
          <w:szCs w:val="20"/>
        </w:rPr>
      </w:pPr>
    </w:p>
    <w:p w14:paraId="527BAB4C" w14:textId="6BB9181F" w:rsidR="00A571EB" w:rsidRPr="00C54CF0" w:rsidRDefault="00A561B5" w:rsidP="00C54CF0">
      <w:pPr>
        <w:pStyle w:val="Sinespaciado"/>
        <w:spacing w:line="276" w:lineRule="auto"/>
        <w:ind w:firstLine="708"/>
        <w:jc w:val="both"/>
        <w:rPr>
          <w:rFonts w:ascii="Verdana" w:eastAsia="Verdana" w:hAnsi="Verdana" w:cs="Verdana"/>
          <w:sz w:val="22"/>
          <w:lang w:val="es-CO"/>
        </w:rPr>
      </w:pPr>
      <w:r>
        <w:rPr>
          <w:rFonts w:ascii="Verdana" w:eastAsia="Verdana" w:hAnsi="Verdana" w:cs="Verdana"/>
          <w:sz w:val="22"/>
          <w:lang w:val="es-CO"/>
        </w:rPr>
        <w:t>P</w:t>
      </w:r>
      <w:r w:rsidR="00A571EB" w:rsidRPr="00C54CF0">
        <w:rPr>
          <w:rFonts w:ascii="Verdana" w:eastAsia="Verdana" w:hAnsi="Verdana" w:cs="Verdana"/>
          <w:sz w:val="22"/>
          <w:lang w:val="es-CO"/>
        </w:rPr>
        <w:t xml:space="preserve">uede concluirse </w:t>
      </w:r>
      <w:r>
        <w:rPr>
          <w:rFonts w:ascii="Verdana" w:eastAsia="Verdana" w:hAnsi="Verdana" w:cs="Verdana"/>
          <w:sz w:val="22"/>
          <w:lang w:val="es-CO"/>
        </w:rPr>
        <w:t xml:space="preserve">entonces </w:t>
      </w:r>
      <w:r w:rsidR="00A571EB" w:rsidRPr="00C54CF0">
        <w:rPr>
          <w:rFonts w:ascii="Verdana" w:eastAsia="Verdana" w:hAnsi="Verdana" w:cs="Verdana"/>
          <w:sz w:val="22"/>
          <w:lang w:val="es-CO"/>
        </w:rPr>
        <w:t>que</w:t>
      </w:r>
      <w:r>
        <w:rPr>
          <w:rFonts w:ascii="Verdana" w:eastAsia="Verdana" w:hAnsi="Verdana" w:cs="Verdana"/>
          <w:sz w:val="22"/>
          <w:lang w:val="es-CO"/>
        </w:rPr>
        <w:t>,</w:t>
      </w:r>
      <w:r w:rsidR="00A571EB" w:rsidRPr="00C54CF0">
        <w:rPr>
          <w:rFonts w:ascii="Verdana" w:eastAsia="Verdana" w:hAnsi="Verdana" w:cs="Verdana"/>
          <w:sz w:val="22"/>
          <w:lang w:val="es-CO"/>
        </w:rPr>
        <w:t xml:space="preserve"> el principio de anualidad presupuestal, lejos de constituir una regla rígida e inflexible, debe interpretarse de manera sistemática con los principios de planeación, eficacia y continuidad de la función administrativa, de forma que permita a las entidades estatales garantizar la adecuada ejecución de los proyectos y contratos públicos cuya materialización necesariamente trasciende una vigencia fiscal. Así, las figuras presupuestales previstas por el ordenamiento —tales como las reservas, los pasivos exigibles por vigencias expiradas y, especialmente, las vigencias futuras— no configuran una ruptura del principio de anualidad, sino instrumentos legítimos para armonizar la disciplina fiscal con la satisfacción oportuna del interés general, asegurando la coherencia entre programación, compromiso y ejecución del gasto público en el marco de la gestión contractual del Estado.</w:t>
      </w:r>
    </w:p>
    <w:p w14:paraId="2A4D3783" w14:textId="77777777" w:rsidR="000A7AC9" w:rsidRPr="003F76E2" w:rsidRDefault="000A7AC9" w:rsidP="000A7AC9">
      <w:pPr>
        <w:pStyle w:val="Sinespaciado"/>
        <w:spacing w:line="276" w:lineRule="auto"/>
        <w:jc w:val="both"/>
        <w:rPr>
          <w:rFonts w:ascii="Verdana" w:eastAsia="Verdana" w:hAnsi="Verdana" w:cs="Verdana"/>
          <w:color w:val="FFC000"/>
          <w:sz w:val="22"/>
          <w:lang w:val="es-CO"/>
        </w:rPr>
      </w:pPr>
    </w:p>
    <w:p w14:paraId="0151A296" w14:textId="1E3602B0" w:rsidR="000A7AC9" w:rsidRPr="00C621E9" w:rsidRDefault="000A7AC9" w:rsidP="00C54CF0">
      <w:pPr>
        <w:shd w:val="clear" w:color="auto" w:fill="FFFFFF" w:themeFill="background1"/>
        <w:spacing w:after="120" w:line="276" w:lineRule="auto"/>
        <w:ind w:right="51"/>
        <w:jc w:val="both"/>
        <w:rPr>
          <w:rFonts w:ascii="Verdana" w:eastAsia="Calibri" w:hAnsi="Verdana" w:cs="Arial"/>
          <w:color w:val="000000" w:themeColor="text1"/>
          <w:lang w:val="es-ES"/>
        </w:rPr>
      </w:pPr>
      <w:r w:rsidRPr="00331852">
        <w:rPr>
          <w:rFonts w:ascii="Verdana" w:eastAsia="Verdana" w:hAnsi="Verdana" w:cs="Verdana"/>
          <w:lang w:val="es-ES"/>
        </w:rPr>
        <w:t xml:space="preserve">ii. </w:t>
      </w:r>
      <w:r w:rsidRPr="409D7308">
        <w:rPr>
          <w:rFonts w:ascii="Verdana" w:eastAsia="Calibri" w:hAnsi="Verdana" w:cs="Arial"/>
          <w:color w:val="000000" w:themeColor="text1"/>
          <w:lang w:val="es-ES"/>
        </w:rPr>
        <w:t xml:space="preserve">Dentro de los mecanismos presupuestales que constituyen excepciones al principio de anualidad se identifican: i) las vigencias futuras, ii) las cuentas por pagar y iii) las reservas presupuestales. Las </w:t>
      </w:r>
      <w:r w:rsidRPr="409D7308">
        <w:rPr>
          <w:rFonts w:ascii="Verdana" w:eastAsia="Calibri" w:hAnsi="Verdana" w:cs="Arial"/>
          <w:i/>
          <w:iCs/>
          <w:color w:val="000000" w:themeColor="text1"/>
          <w:lang w:val="es-ES"/>
        </w:rPr>
        <w:t>primeras</w:t>
      </w:r>
      <w:r w:rsidRPr="409D7308">
        <w:rPr>
          <w:rFonts w:ascii="Verdana" w:eastAsia="Calibri" w:hAnsi="Verdana" w:cs="Arial"/>
          <w:color w:val="000000" w:themeColor="text1"/>
          <w:lang w:val="es-ES"/>
        </w:rPr>
        <w:t>, de conformidad con el artículo 23 del Estatuto Orgánico del Presupuesto</w:t>
      </w:r>
      <w:r w:rsidRPr="409D7308">
        <w:rPr>
          <w:rFonts w:ascii="Verdana" w:eastAsia="Calibri" w:hAnsi="Verdana" w:cs="Arial"/>
          <w:color w:val="000000" w:themeColor="text1"/>
          <w:vertAlign w:val="superscript"/>
          <w:lang w:val="es-ES"/>
        </w:rPr>
        <w:footnoteReference w:id="7"/>
      </w:r>
      <w:r w:rsidRPr="409D7308">
        <w:rPr>
          <w:rFonts w:ascii="Verdana" w:eastAsia="Calibri" w:hAnsi="Verdana" w:cs="Arial"/>
          <w:i/>
          <w:iCs/>
          <w:color w:val="000000" w:themeColor="text1"/>
          <w:lang w:val="es-ES"/>
        </w:rPr>
        <w:t xml:space="preserve">, </w:t>
      </w:r>
      <w:r w:rsidRPr="409D7308">
        <w:rPr>
          <w:rFonts w:ascii="Verdana" w:eastAsia="Calibri" w:hAnsi="Verdana" w:cs="Arial"/>
          <w:color w:val="000000" w:themeColor="text1"/>
          <w:lang w:val="es-ES"/>
        </w:rPr>
        <w:t>se</w:t>
      </w:r>
      <w:r w:rsidRPr="409D7308">
        <w:rPr>
          <w:rFonts w:ascii="Verdana" w:eastAsia="Calibri" w:hAnsi="Verdana" w:cs="Arial"/>
          <w:i/>
          <w:iCs/>
          <w:color w:val="000000" w:themeColor="text1"/>
          <w:lang w:val="es-ES"/>
        </w:rPr>
        <w:t xml:space="preserve"> </w:t>
      </w:r>
      <w:r w:rsidRPr="409D7308">
        <w:rPr>
          <w:rFonts w:ascii="Verdana" w:eastAsia="Calibri" w:hAnsi="Verdana" w:cs="Arial"/>
          <w:color w:val="000000" w:themeColor="text1"/>
          <w:lang w:val="es-ES"/>
        </w:rPr>
        <w:t xml:space="preserve">refieren a la autorización que deben solicitar las entidades para asumir obligaciones que afectarán los presupuestos siguientes a los de la vigencia fiscal en la que inició la ejecución, es decir, correspondientes a las obligaciones cuya ejecución inició con </w:t>
      </w:r>
      <w:r w:rsidRPr="409D7308">
        <w:rPr>
          <w:rFonts w:ascii="Verdana" w:eastAsia="Calibri" w:hAnsi="Verdana" w:cs="Arial"/>
          <w:color w:val="000000" w:themeColor="text1"/>
          <w:lang w:val="es-ES"/>
        </w:rPr>
        <w:lastRenderedPageBreak/>
        <w:t xml:space="preserve">presupuesto de una vigencia fiscal, pero que deberá continuarse con presupuestos de las siguientes vigencias. </w:t>
      </w:r>
    </w:p>
    <w:p w14:paraId="33D715E8" w14:textId="77777777" w:rsidR="000A7AC9" w:rsidRPr="00D069D8" w:rsidRDefault="000A7AC9" w:rsidP="000A7AC9">
      <w:pPr>
        <w:shd w:val="clear" w:color="auto" w:fill="FFFFFF"/>
        <w:spacing w:after="120" w:line="276" w:lineRule="auto"/>
        <w:ind w:right="51" w:firstLine="709"/>
        <w:jc w:val="both"/>
        <w:rPr>
          <w:rFonts w:ascii="Verdana" w:eastAsia="Calibri" w:hAnsi="Verdana" w:cs="Arial"/>
          <w:lang w:val="es-ES_tradnl"/>
        </w:rPr>
      </w:pPr>
      <w:r w:rsidRPr="00D069D8">
        <w:rPr>
          <w:rFonts w:ascii="Verdana" w:eastAsia="Calibri" w:hAnsi="Verdana" w:cs="Arial"/>
          <w:color w:val="000000" w:themeColor="text1"/>
          <w:lang w:val="es-ES_tradnl"/>
        </w:rPr>
        <w:t xml:space="preserve">Sobre esta institución el Consejo de Estado precisó que </w:t>
      </w:r>
      <w:r w:rsidRPr="00D069D8">
        <w:rPr>
          <w:rFonts w:ascii="Verdana" w:eastAsia="Calibri" w:hAnsi="Verdana" w:cs="Arial"/>
          <w:lang w:val="es-ES_tradnl"/>
        </w:rPr>
        <w:t>“</w:t>
      </w:r>
      <w:r w:rsidRPr="00D069D8">
        <w:rPr>
          <w:rFonts w:ascii="Verdana" w:eastAsia="Calibri" w:hAnsi="Verdana" w:cs="Arial"/>
          <w:color w:val="000000" w:themeColor="text1"/>
        </w:rPr>
        <w:t>son un instrumento de planificación presupuestal y financiero que permite autorizar la asunción de obligaciones que afecten los presupuestos de vigencias posteriores, y tienen como fin garantizar la existencia de apropiaciones suficientes en los años siguientes para asumir compromisos y obligaciones con cargo a ellas, así como también disponer de los recursos financieros, y de esa manera garantizar el avance y conclusión de proyectos plurianuales</w:t>
      </w:r>
      <w:r w:rsidRPr="00D069D8">
        <w:rPr>
          <w:rFonts w:ascii="Verdana" w:eastAsia="Calibri" w:hAnsi="Verdana" w:cs="Arial"/>
        </w:rPr>
        <w:t>”</w:t>
      </w:r>
      <w:r w:rsidRPr="00D069D8">
        <w:rPr>
          <w:rFonts w:ascii="Verdana" w:eastAsia="Calibri" w:hAnsi="Verdana" w:cs="Arial"/>
          <w:vertAlign w:val="superscript"/>
          <w:lang w:val="es-ES_tradnl"/>
        </w:rPr>
        <w:footnoteReference w:id="8"/>
      </w:r>
      <w:r w:rsidRPr="00D069D8">
        <w:rPr>
          <w:rFonts w:ascii="Verdana" w:eastAsia="Calibri" w:hAnsi="Verdana" w:cs="Arial"/>
          <w:lang w:val="es-ES_tradnl"/>
        </w:rPr>
        <w:t xml:space="preserve">. </w:t>
      </w:r>
    </w:p>
    <w:p w14:paraId="5D702EB6" w14:textId="77777777" w:rsidR="000A7AC9" w:rsidRPr="00D069D8" w:rsidRDefault="000A7AC9" w:rsidP="000A7AC9">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rPr>
        <w:t xml:space="preserve">La Ley 813 de 2003 establece en sus artículos 10 y 11 dos tipos de vigencias futuras: i) las vigencias futuras ordinarias, según la cual el Consejo Superior de Política Fiscal – Confis, podrá autorizar la asunción de obligaciones que afecten presupuestos de vigencias futuras cuando su ejecución se inicie con presupuesto de la vigencia en curso y el objeto del compromiso se lleve a cabo en cada una de ellas siempre y cuando se cumplan los prepuestos señalados en la norma. Y, ii) las vigencias futuras excepcionales, en virtud de la cual el Confis, en casos excepcionales para las obras de infraestructura, energía, comunicaciones, aeronáutica, defensa y seguridad, así como para las garantías a las concesiones, podrá autorizar que se asuman obligaciones que afecten el presupuesto de vigencias futuras sin apropiación en el presupuesto del año en que se concede la autorización. </w:t>
      </w:r>
    </w:p>
    <w:p w14:paraId="33BCE1C2" w14:textId="77777777" w:rsidR="000A7AC9" w:rsidRPr="00D069D8" w:rsidRDefault="000A7AC9" w:rsidP="000A7AC9">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rPr>
        <w:t xml:space="preserve">Por su parte, el artículo 12 </w:t>
      </w:r>
      <w:r w:rsidRPr="00D069D8">
        <w:rPr>
          <w:rFonts w:ascii="Verdana" w:eastAsia="Calibri" w:hAnsi="Verdana" w:cs="Arial"/>
          <w:i/>
          <w:iCs/>
          <w:color w:val="000000" w:themeColor="text1"/>
        </w:rPr>
        <w:t>ibidem</w:t>
      </w:r>
      <w:r w:rsidRPr="00D069D8">
        <w:rPr>
          <w:rFonts w:ascii="Verdana" w:eastAsia="Calibri" w:hAnsi="Verdana" w:cs="Arial"/>
          <w:color w:val="000000" w:themeColor="text1"/>
        </w:rPr>
        <w:t xml:space="preserve"> se refiere a las vigencias futuras ordinarias para entidades territoriales cuya autorización será impartida por la asamblea o concejo respectivo, a iniciativa del gobierno local, previa aprobación por el Confis territorial o el órgano que haga sus veces. Las vigencias futuras excepcionales para entidades territoriales se encuentran establecida en la Ley 1483 de 2011.  </w:t>
      </w:r>
    </w:p>
    <w:p w14:paraId="702DA557" w14:textId="77777777" w:rsidR="000A7AC9" w:rsidRPr="00BD79F9" w:rsidRDefault="000A7AC9" w:rsidP="000A7AC9">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rPr>
        <w:t>Sobre la distinción entre las vigencias futuras ordinarias y las excepcionales el Consejo de Estado señaló que “</w:t>
      </w:r>
      <w:r w:rsidRPr="00D069D8">
        <w:rPr>
          <w:rFonts w:ascii="Verdana" w:hAnsi="Verdana" w:cs="Symbol"/>
        </w:rPr>
        <w:t xml:space="preserve">la diferencia fundamental entre las vigencias futuras ordinarias y las vigencias futuras excepcionales radica, esencialmente, en que en las primeras la ejecución se inicia con el presupuesto de la vigencia en curso, mientras que, en las excepcionales, se afecta el </w:t>
      </w:r>
      <w:r w:rsidRPr="00D069D8">
        <w:rPr>
          <w:rFonts w:ascii="Verdana" w:hAnsi="Verdana" w:cs="Symbol"/>
        </w:rPr>
        <w:lastRenderedPageBreak/>
        <w:t>presupuesto de vigencias futuras, sin apropiación en el presupuesto del año en que se concede la autorización</w:t>
      </w:r>
      <w:r w:rsidRPr="00D069D8">
        <w:rPr>
          <w:rFonts w:ascii="Verdana" w:eastAsia="Calibri" w:hAnsi="Verdana" w:cs="Arial"/>
        </w:rPr>
        <w:t>”</w:t>
      </w:r>
      <w:r w:rsidRPr="00D069D8">
        <w:rPr>
          <w:rFonts w:ascii="Verdana" w:eastAsia="Calibri" w:hAnsi="Verdana" w:cs="Arial"/>
          <w:vertAlign w:val="superscript"/>
          <w:lang w:val="es-ES_tradnl"/>
        </w:rPr>
        <w:footnoteReference w:id="9"/>
      </w:r>
      <w:r w:rsidRPr="00D069D8">
        <w:rPr>
          <w:rFonts w:ascii="Verdana" w:hAnsi="Verdana" w:cs="Symbol"/>
        </w:rPr>
        <w:t>.</w:t>
      </w:r>
    </w:p>
    <w:p w14:paraId="222D00F4" w14:textId="77777777" w:rsidR="000A7AC9" w:rsidRPr="001B54ED" w:rsidRDefault="000A7AC9" w:rsidP="000A7AC9">
      <w:pPr>
        <w:shd w:val="clear" w:color="auto" w:fill="FFFFFF"/>
        <w:spacing w:after="120" w:line="276" w:lineRule="auto"/>
        <w:ind w:right="51" w:firstLine="709"/>
        <w:jc w:val="both"/>
        <w:rPr>
          <w:rFonts w:ascii="Verdana" w:eastAsia="Calibri" w:hAnsi="Verdana" w:cs="Arial"/>
          <w:color w:val="000000" w:themeColor="text1"/>
          <w:lang w:val="es-ES"/>
        </w:rPr>
      </w:pPr>
      <w:r w:rsidRPr="00D069D8">
        <w:rPr>
          <w:rFonts w:ascii="Verdana" w:eastAsia="Calibri" w:hAnsi="Verdana" w:cs="Arial"/>
          <w:color w:val="000000" w:themeColor="text1"/>
          <w:lang w:val="es-ES_tradnl"/>
        </w:rPr>
        <w:t xml:space="preserve">Las </w:t>
      </w:r>
      <w:r w:rsidRPr="00D069D8">
        <w:rPr>
          <w:rFonts w:ascii="Verdana" w:eastAsia="Calibri" w:hAnsi="Verdana" w:cs="Arial"/>
          <w:i/>
          <w:iCs/>
          <w:color w:val="000000" w:themeColor="text1"/>
          <w:lang w:val="es-ES_tradnl"/>
        </w:rPr>
        <w:t xml:space="preserve">cuentas por pagar </w:t>
      </w:r>
      <w:r w:rsidRPr="00D069D8">
        <w:rPr>
          <w:rFonts w:ascii="Verdana" w:eastAsia="Calibri" w:hAnsi="Verdana" w:cs="Arial"/>
          <w:color w:val="000000" w:themeColor="text1"/>
          <w:lang w:val="es-ES_tradnl"/>
        </w:rPr>
        <w:t>consisten en obligaciones cumplidas en la vigencia actual,</w:t>
      </w:r>
      <w:r w:rsidRPr="00D069D8">
        <w:rPr>
          <w:rFonts w:ascii="Verdana" w:eastAsia="Calibri" w:hAnsi="Verdana" w:cs="Arial"/>
          <w:color w:val="000000" w:themeColor="text1"/>
          <w:sz w:val="19"/>
          <w:szCs w:val="19"/>
        </w:rPr>
        <w:t xml:space="preserve"> </w:t>
      </w:r>
      <w:r w:rsidRPr="00D069D8">
        <w:rPr>
          <w:rFonts w:ascii="Verdana" w:eastAsia="Calibri" w:hAnsi="Verdana" w:cs="Arial"/>
          <w:color w:val="000000" w:themeColor="text1"/>
        </w:rPr>
        <w:t>correspondientes a los anticipos pactados en los contratos y a la entrega de bienes y servicios,</w:t>
      </w:r>
      <w:r w:rsidRPr="00D069D8">
        <w:rPr>
          <w:rFonts w:ascii="Verdana" w:eastAsia="Calibri" w:hAnsi="Verdana" w:cs="Arial"/>
          <w:color w:val="000000" w:themeColor="text1"/>
          <w:lang w:val="es-ES_tradnl"/>
        </w:rPr>
        <w:t xml:space="preserve"> de las cuales solo se encuentra pendiente el pago de acuerdo con los compromisos presupuestales adquiridos por la entidad</w:t>
      </w:r>
      <w:r w:rsidRPr="00D069D8">
        <w:rPr>
          <w:rFonts w:ascii="Verdana" w:eastAsia="Calibri" w:hAnsi="Verdana" w:cs="Arial"/>
          <w:color w:val="000000" w:themeColor="text1"/>
          <w:vertAlign w:val="superscript"/>
          <w:lang w:val="es-ES_tradnl"/>
        </w:rPr>
        <w:footnoteReference w:id="10"/>
      </w:r>
      <w:r w:rsidRPr="00D069D8">
        <w:rPr>
          <w:rFonts w:ascii="Verdana" w:eastAsia="Calibri" w:hAnsi="Verdana" w:cs="Arial"/>
          <w:color w:val="000000" w:themeColor="text1"/>
          <w:lang w:val="es-ES_tradnl"/>
        </w:rPr>
        <w:t xml:space="preserve">. Y las </w:t>
      </w:r>
      <w:r w:rsidRPr="00D069D8">
        <w:rPr>
          <w:rFonts w:ascii="Verdana" w:eastAsia="Calibri" w:hAnsi="Verdana" w:cs="Arial"/>
          <w:i/>
          <w:iCs/>
          <w:color w:val="000000" w:themeColor="text1"/>
          <w:lang w:val="es-ES_tradnl"/>
        </w:rPr>
        <w:t xml:space="preserve">terceras, </w:t>
      </w:r>
      <w:r w:rsidRPr="00D069D8">
        <w:rPr>
          <w:rFonts w:ascii="Verdana" w:eastAsia="Calibri" w:hAnsi="Verdana" w:cs="Arial"/>
          <w:color w:val="000000" w:themeColor="text1"/>
          <w:lang w:val="es-ES_tradnl"/>
        </w:rPr>
        <w:t xml:space="preserve">las </w:t>
      </w:r>
      <w:r w:rsidRPr="00D069D8">
        <w:rPr>
          <w:rFonts w:ascii="Verdana" w:eastAsia="Calibri" w:hAnsi="Verdana" w:cs="Arial"/>
          <w:i/>
          <w:iCs/>
          <w:color w:val="000000" w:themeColor="text1"/>
          <w:lang w:val="es-ES_tradnl"/>
        </w:rPr>
        <w:t>reservas presupuestales</w:t>
      </w:r>
      <w:bookmarkStart w:id="6" w:name="_Hlk93517351"/>
      <w:r w:rsidRPr="00D069D8">
        <w:rPr>
          <w:rFonts w:ascii="Verdana" w:eastAsia="Calibri" w:hAnsi="Verdana" w:cs="Arial"/>
          <w:color w:val="000000" w:themeColor="text1"/>
          <w:lang w:val="es-ES_tradnl"/>
        </w:rPr>
        <w:t xml:space="preserve"> </w:t>
      </w:r>
      <w:r w:rsidRPr="00D069D8">
        <w:rPr>
          <w:rFonts w:ascii="Verdana" w:eastAsia="Calibri" w:hAnsi="Verdana" w:cs="Arial"/>
          <w:color w:val="000000" w:themeColor="text1"/>
          <w:lang w:val="es-ES"/>
        </w:rPr>
        <w:t xml:space="preserve">suponen que </w:t>
      </w:r>
      <w:r>
        <w:rPr>
          <w:rFonts w:ascii="Verdana" w:eastAsia="Calibri" w:hAnsi="Verdana" w:cs="Arial"/>
          <w:color w:val="000000" w:themeColor="text1"/>
          <w:lang w:val="es-ES"/>
        </w:rPr>
        <w:t>“</w:t>
      </w:r>
      <w:r w:rsidRPr="00D069D8">
        <w:rPr>
          <w:rFonts w:ascii="Verdana" w:eastAsia="Calibri" w:hAnsi="Verdana" w:cs="Arial"/>
          <w:color w:val="000000" w:themeColor="text1"/>
          <w:lang w:val="es-ES"/>
        </w:rPr>
        <w:t>Al cierre de la vigencia fiscal cada órgano constituirá las reservas presupuestales con los compromisos que al 31 de diciembre no se hayan cumplido, siempre y cuando estén legalmente contraídos y desarrollen el objeto de la apropiación. Las reservas presupuestales sólo podrán utilizarse para cancelar los compromisos que les dieron origen</w:t>
      </w:r>
      <w:r>
        <w:rPr>
          <w:rFonts w:ascii="Verdana" w:eastAsia="Calibri" w:hAnsi="Verdana" w:cs="Arial"/>
          <w:color w:val="000000" w:themeColor="text1"/>
          <w:lang w:val="es-ES"/>
        </w:rPr>
        <w:t>”</w:t>
      </w:r>
      <w:r w:rsidRPr="00D069D8">
        <w:rPr>
          <w:rFonts w:ascii="Verdana" w:eastAsia="Calibri" w:hAnsi="Verdana" w:cs="Arial"/>
          <w:color w:val="000000" w:themeColor="text1"/>
          <w:vertAlign w:val="superscript"/>
          <w:lang w:val="es-ES"/>
        </w:rPr>
        <w:footnoteReference w:id="11"/>
      </w:r>
      <w:r w:rsidRPr="00D069D8">
        <w:rPr>
          <w:rFonts w:ascii="Verdana" w:eastAsia="Calibri" w:hAnsi="Verdana" w:cs="Arial"/>
          <w:color w:val="000000" w:themeColor="text1"/>
          <w:lang w:val="es-ES"/>
        </w:rPr>
        <w:t xml:space="preserve">. </w:t>
      </w:r>
      <w:bookmarkEnd w:id="6"/>
    </w:p>
    <w:p w14:paraId="338A5E58" w14:textId="77777777" w:rsidR="000A7AC9" w:rsidRPr="00D069D8" w:rsidRDefault="000A7AC9" w:rsidP="000A7AC9">
      <w:pPr>
        <w:shd w:val="clear" w:color="auto" w:fill="FFFFFF"/>
        <w:spacing w:after="120" w:line="276" w:lineRule="auto"/>
        <w:ind w:right="51" w:firstLine="709"/>
        <w:jc w:val="both"/>
        <w:rPr>
          <w:rFonts w:ascii="Verdana" w:eastAsia="Calibri" w:hAnsi="Verdana" w:cs="Arial"/>
          <w:sz w:val="21"/>
          <w:szCs w:val="21"/>
          <w:lang w:val="es-ES_tradnl"/>
        </w:rPr>
      </w:pPr>
      <w:r w:rsidRPr="00D069D8">
        <w:rPr>
          <w:rFonts w:ascii="Verdana" w:eastAsia="Calibri" w:hAnsi="Verdana" w:cs="Arial"/>
          <w:color w:val="000000" w:themeColor="text1"/>
          <w:lang w:val="es-ES_tradnl"/>
        </w:rPr>
        <w:t>En virtud de lo anterior, las entidades estatales pueden solicitar reservas presupuestales cuando</w:t>
      </w:r>
      <w:r>
        <w:rPr>
          <w:rFonts w:ascii="Verdana" w:eastAsia="Calibri" w:hAnsi="Verdana" w:cs="Arial"/>
          <w:color w:val="000000" w:themeColor="text1"/>
          <w:lang w:val="es-ES_tradnl"/>
        </w:rPr>
        <w:t>,</w:t>
      </w:r>
      <w:r w:rsidRPr="00D069D8">
        <w:rPr>
          <w:rFonts w:ascii="Verdana" w:eastAsia="Calibri" w:hAnsi="Verdana" w:cs="Arial"/>
          <w:color w:val="000000" w:themeColor="text1"/>
          <w:lang w:val="es-ES_tradnl"/>
        </w:rPr>
        <w:t xml:space="preserve"> habiendo adquirido compromisos en una vigencia fiscal, a 31 de diciembre no se han cumplido en su totalidad, y, por tanto, debe continuarse con la respectiva ejecución en la siguiente vigencia. Las reservas presupuestales deben constituirse a más tardar el 20 de enero de cada año en los términos indicados por el Decreto 1068 de 2015</w:t>
      </w:r>
      <w:r w:rsidRPr="00D069D8">
        <w:rPr>
          <w:rFonts w:ascii="Verdana" w:eastAsia="Calibri" w:hAnsi="Verdana" w:cs="Arial"/>
          <w:color w:val="000000" w:themeColor="text1"/>
          <w:vertAlign w:val="superscript"/>
          <w:lang w:val="es-ES_tradnl"/>
        </w:rPr>
        <w:footnoteReference w:id="12"/>
      </w:r>
      <w:r w:rsidRPr="00D069D8">
        <w:rPr>
          <w:rFonts w:ascii="Verdana" w:eastAsia="Calibri" w:hAnsi="Verdana" w:cs="Arial"/>
          <w:color w:val="000000" w:themeColor="text1"/>
          <w:lang w:val="es-ES_tradnl"/>
        </w:rPr>
        <w:t xml:space="preserve">. </w:t>
      </w:r>
    </w:p>
    <w:p w14:paraId="5E52174E" w14:textId="77777777" w:rsidR="000A7AC9" w:rsidRPr="00687E80" w:rsidRDefault="000A7AC9" w:rsidP="000A7AC9">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lang w:val="es-ES_tradnl"/>
        </w:rPr>
        <w:t xml:space="preserve">Sin embargo, es necesario tener en cuenta que las entidades no pueden solicitar reservas presupuestales en cualquier situación, ya que al ser un mecanismo excepcional su uso se encuentra restringido por lo que deberán estar debidamente justificadas. Esto significa que su constitución no puede obedecer a una indebida planeación contractual, pues como se anotó, tanto el régimen presupuestal como el contractual público se desarrolla sobre la base del principio de planeación. En este sentido, las reservas presupuestales no pueden ser empleadas como una herramienta ordinaria de ejecución presupuestal puesto </w:t>
      </w:r>
      <w:r w:rsidRPr="00D069D8">
        <w:rPr>
          <w:rFonts w:ascii="Verdana" w:eastAsia="Calibri" w:hAnsi="Verdana" w:cs="Arial"/>
          <w:color w:val="000000" w:themeColor="text1"/>
          <w:lang w:val="es-ES_tradnl"/>
        </w:rPr>
        <w:lastRenderedPageBreak/>
        <w:t>que están concebidas como “</w:t>
      </w:r>
      <w:r w:rsidRPr="00D069D8">
        <w:rPr>
          <w:rFonts w:ascii="Verdana" w:eastAsia="Calibri" w:hAnsi="Verdana" w:cs="Arial"/>
          <w:color w:val="000000" w:themeColor="text1"/>
        </w:rPr>
        <w:t>un instrumento de uso esporádico y justificado únicamente en situaciones atípicas que impiden la ejecución de los compromisos en las fechas inicialmente previstas para ello, dentro de la misma vigencia a aquella en que el compromiso se celebró”</w:t>
      </w:r>
      <w:r w:rsidRPr="00D069D8">
        <w:rPr>
          <w:rFonts w:ascii="Verdana" w:eastAsia="Calibri" w:hAnsi="Verdana" w:cs="Arial"/>
          <w:color w:val="000000" w:themeColor="text1"/>
          <w:vertAlign w:val="superscript"/>
          <w:lang w:val="es-ES"/>
        </w:rPr>
        <w:footnoteReference w:id="13"/>
      </w:r>
      <w:r w:rsidRPr="00D069D8">
        <w:rPr>
          <w:rFonts w:ascii="Verdana" w:eastAsia="Calibri" w:hAnsi="Verdana" w:cs="Arial"/>
          <w:color w:val="000000" w:themeColor="text1"/>
        </w:rPr>
        <w:t>.</w:t>
      </w:r>
    </w:p>
    <w:p w14:paraId="0E54F42A" w14:textId="77777777" w:rsidR="000A7AC9" w:rsidRPr="00D069D8" w:rsidRDefault="000A7AC9" w:rsidP="000A7AC9">
      <w:pPr>
        <w:shd w:val="clear" w:color="auto" w:fill="FFFFFF"/>
        <w:spacing w:after="120" w:line="276" w:lineRule="auto"/>
        <w:ind w:right="51" w:firstLine="709"/>
        <w:jc w:val="both"/>
        <w:rPr>
          <w:rFonts w:ascii="Verdana" w:eastAsia="Calibri" w:hAnsi="Verdana" w:cs="Arial"/>
          <w:color w:val="000000" w:themeColor="text1"/>
          <w:lang w:val="es-ES"/>
        </w:rPr>
      </w:pPr>
      <w:r w:rsidRPr="00D069D8">
        <w:rPr>
          <w:rFonts w:ascii="Verdana" w:eastAsia="Calibri" w:hAnsi="Verdana" w:cs="Arial"/>
          <w:color w:val="000000" w:themeColor="text1"/>
        </w:rPr>
        <w:t>Respecto de la distinción entre las reservas presupuestales y las vigencias futuras debe señalarse que contrario a estas últimas, “la reserva presupuestal supone la existencia de un compromiso presupuestal legalmente adquirido, en otras palabras, de la existencia de un acto o contrato expedido y perfeccionado por las autoridades públicas</w:t>
      </w:r>
      <w:r>
        <w:rPr>
          <w:rFonts w:ascii="Verdana" w:eastAsia="Calibri" w:hAnsi="Verdana" w:cs="Arial"/>
          <w:color w:val="000000" w:themeColor="text1"/>
          <w:lang w:val="es-ES"/>
        </w:rPr>
        <w:t>”</w:t>
      </w:r>
      <w:r w:rsidRPr="00D069D8">
        <w:rPr>
          <w:rFonts w:ascii="Verdana" w:eastAsia="Calibri" w:hAnsi="Verdana" w:cs="Arial"/>
          <w:color w:val="000000" w:themeColor="text1"/>
        </w:rPr>
        <w:t xml:space="preserve">. En cambio, en las vigencias futuras se realiza una autorización que afecta presupuestos futuros que </w:t>
      </w:r>
      <w:r>
        <w:rPr>
          <w:rFonts w:ascii="Verdana" w:eastAsia="Calibri" w:hAnsi="Verdana" w:cs="Arial"/>
          <w:color w:val="000000" w:themeColor="text1"/>
          <w:lang w:val="es-ES"/>
        </w:rPr>
        <w:t>“</w:t>
      </w:r>
      <w:r w:rsidRPr="00D069D8">
        <w:rPr>
          <w:rFonts w:ascii="Verdana" w:eastAsia="Calibri" w:hAnsi="Verdana" w:cs="Arial"/>
          <w:color w:val="000000" w:themeColor="text1"/>
        </w:rPr>
        <w:t>se formaliza antes de que se aprueben las vigencias en las que se van a ejecutar y la vida jurídica de tales autorizaciones se prolonga a lo largo de varias vigencias”</w:t>
      </w:r>
      <w:r w:rsidRPr="00D069D8">
        <w:rPr>
          <w:rFonts w:ascii="Verdana" w:eastAsia="Calibri" w:hAnsi="Verdana" w:cs="Arial"/>
          <w:color w:val="000000" w:themeColor="text1"/>
          <w:vertAlign w:val="superscript"/>
          <w:lang w:val="es-ES"/>
        </w:rPr>
        <w:footnoteReference w:id="14"/>
      </w:r>
      <w:r w:rsidRPr="00D069D8">
        <w:rPr>
          <w:rFonts w:ascii="Verdana" w:eastAsia="Calibri" w:hAnsi="Verdana" w:cs="Arial"/>
          <w:color w:val="000000" w:themeColor="text1"/>
        </w:rPr>
        <w:t xml:space="preserve">. </w:t>
      </w:r>
    </w:p>
    <w:p w14:paraId="6C27A727" w14:textId="77777777" w:rsidR="000A7AC9" w:rsidRPr="00E36FBA" w:rsidRDefault="000A7AC9" w:rsidP="000A7AC9">
      <w:pPr>
        <w:shd w:val="clear" w:color="auto" w:fill="FFFFFF"/>
        <w:spacing w:after="120" w:line="276" w:lineRule="auto"/>
        <w:ind w:right="51" w:firstLine="709"/>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Así las cosas</w:t>
      </w:r>
      <w:r w:rsidRPr="00E36FBA">
        <w:rPr>
          <w:rFonts w:ascii="Verdana" w:eastAsia="Calibri" w:hAnsi="Verdana" w:cs="Arial"/>
          <w:color w:val="000000" w:themeColor="text1"/>
          <w:lang w:val="es-ES_tradnl"/>
        </w:rPr>
        <w:t>, es importante hacer referencia a los “pagos de pasivos exigibles – vigencias expiradas</w:t>
      </w:r>
      <w:r w:rsidRPr="00E36FBA">
        <w:rPr>
          <w:rFonts w:ascii="Verdana" w:eastAsia="Calibri" w:hAnsi="Verdana" w:cs="Arial"/>
          <w:color w:val="000000" w:themeColor="text1"/>
          <w:lang w:val="es-ES"/>
        </w:rPr>
        <w:t xml:space="preserve">” </w:t>
      </w:r>
      <w:r w:rsidRPr="00E36FBA">
        <w:rPr>
          <w:rFonts w:ascii="Verdana" w:eastAsia="Calibri" w:hAnsi="Verdana" w:cs="Arial"/>
          <w:color w:val="000000" w:themeColor="text1"/>
          <w:lang w:val="es-ES_tradnl"/>
        </w:rPr>
        <w:t xml:space="preserve">que procede en los casos en los que </w:t>
      </w:r>
      <w:r w:rsidRPr="00E36FBA">
        <w:rPr>
          <w:rFonts w:ascii="Verdana" w:eastAsia="Calibri" w:hAnsi="Verdana" w:cs="Arial"/>
          <w:lang w:val="es-ES_tradnl"/>
        </w:rPr>
        <w:t>no se haya constituido la reserva presupuestal o la cuenta por pagar o cuando habiéndose constituido no se realizó el pago respectivo</w:t>
      </w:r>
      <w:r w:rsidRPr="00E36FBA">
        <w:rPr>
          <w:rFonts w:ascii="Verdana" w:eastAsia="Calibri" w:hAnsi="Verdana" w:cs="Arial"/>
          <w:color w:val="000000" w:themeColor="text1"/>
          <w:lang w:val="es-ES_tradnl"/>
        </w:rPr>
        <w:t>. El artículo 49 de la Ley 2159 de 2021 “</w:t>
      </w:r>
      <w:r w:rsidRPr="00E36FBA">
        <w:rPr>
          <w:rFonts w:ascii="Verdana" w:eastAsia="Calibri" w:hAnsi="Verdana" w:cs="Arial"/>
          <w:color w:val="000000" w:themeColor="text1"/>
          <w:lang w:val="es-ES"/>
        </w:rPr>
        <w:t xml:space="preserve">Por </w:t>
      </w:r>
      <w:r w:rsidRPr="00E36FBA">
        <w:rPr>
          <w:rFonts w:ascii="Verdana" w:eastAsia="Calibri" w:hAnsi="Verdana" w:cs="Arial"/>
          <w:color w:val="000000" w:themeColor="text1"/>
          <w:lang w:val="es-ES_tradnl"/>
        </w:rPr>
        <w:t xml:space="preserve">la cual se decreta el presupuesto de rentas y recursos de capital y ley de apropiaciones para la vigencia fiscal del 1° de enero al 31 de diciembre de 2022” regula esta institución de la siguiente manera: </w:t>
      </w:r>
    </w:p>
    <w:p w14:paraId="48447057" w14:textId="6B2CAE14" w:rsidR="000A7AC9" w:rsidRPr="007411A7" w:rsidRDefault="000376CC" w:rsidP="00C54CF0">
      <w:pPr>
        <w:spacing w:after="0" w:line="240" w:lineRule="auto"/>
        <w:ind w:left="709" w:right="709"/>
        <w:jc w:val="both"/>
        <w:rPr>
          <w:rFonts w:ascii="Verdana" w:eastAsia="Calibri" w:hAnsi="Verdana" w:cs="Arial"/>
          <w:i/>
          <w:iCs/>
          <w:sz w:val="20"/>
          <w:szCs w:val="20"/>
          <w:lang w:val="es-ES"/>
        </w:rPr>
      </w:pPr>
      <w:r>
        <w:rPr>
          <w:rFonts w:ascii="Verdana" w:eastAsia="Calibri" w:hAnsi="Verdana" w:cs="Arial"/>
          <w:sz w:val="20"/>
          <w:szCs w:val="20"/>
          <w:lang w:val="es-ES"/>
        </w:rPr>
        <w:t>“</w:t>
      </w:r>
      <w:r w:rsidR="000A7AC9" w:rsidRPr="007411A7">
        <w:rPr>
          <w:rFonts w:ascii="Verdana" w:eastAsia="Calibri" w:hAnsi="Verdana" w:cs="Arial"/>
          <w:sz w:val="20"/>
          <w:szCs w:val="20"/>
          <w:lang w:val="es-ES"/>
        </w:rPr>
        <w:t xml:space="preserve">Sin perjuicio de la responsabilidad fiscal y disciplinaria a que haya lugar, cuando en vigencias anteriores no se haya realizado el pago de obligaciones adquiridas con las formalidades previstas en el Estatuto Orgánico del Presupuesto y demás normas que regulan la materia, y sobre los mismos no se haya constituido la reserva presupuestal o la cuenta por pagar correspondiente, se podrá hacer el pago bajo el concepto de </w:t>
      </w:r>
      <w:r w:rsidR="000A7AC9" w:rsidRPr="007411A7">
        <w:rPr>
          <w:rFonts w:ascii="Verdana" w:eastAsia="Calibri" w:hAnsi="Verdana" w:cs="Arial"/>
          <w:i/>
          <w:iCs/>
          <w:sz w:val="20"/>
          <w:szCs w:val="20"/>
          <w:lang w:val="es-ES"/>
        </w:rPr>
        <w:t xml:space="preserve">"Pago de Pasivos Exigibles - Vigencias Expiradas". </w:t>
      </w:r>
    </w:p>
    <w:p w14:paraId="0496861C" w14:textId="77777777" w:rsidR="000A7AC9" w:rsidRPr="007411A7" w:rsidRDefault="000A7AC9" w:rsidP="00C54CF0">
      <w:pPr>
        <w:spacing w:after="0" w:line="240" w:lineRule="auto"/>
        <w:ind w:left="709" w:right="709"/>
        <w:jc w:val="both"/>
        <w:rPr>
          <w:rFonts w:ascii="Verdana" w:eastAsia="Calibri" w:hAnsi="Verdana" w:cs="Arial"/>
          <w:sz w:val="20"/>
          <w:szCs w:val="20"/>
          <w:lang w:val="es-ES_tradnl"/>
        </w:rPr>
      </w:pPr>
    </w:p>
    <w:p w14:paraId="1DA3A51C" w14:textId="77777777" w:rsidR="000A7AC9" w:rsidRPr="007411A7" w:rsidRDefault="000A7AC9" w:rsidP="00C54CF0">
      <w:pPr>
        <w:spacing w:after="0" w:line="240" w:lineRule="auto"/>
        <w:ind w:left="709" w:right="709"/>
        <w:jc w:val="both"/>
        <w:rPr>
          <w:rFonts w:ascii="Verdana" w:eastAsia="Calibri" w:hAnsi="Verdana" w:cs="Arial"/>
          <w:sz w:val="20"/>
          <w:szCs w:val="20"/>
          <w:lang w:val="es-ES_tradnl"/>
        </w:rPr>
      </w:pPr>
      <w:r w:rsidRPr="007411A7">
        <w:rPr>
          <w:rFonts w:ascii="Verdana" w:eastAsia="Calibri" w:hAnsi="Verdana" w:cs="Arial"/>
          <w:sz w:val="20"/>
          <w:szCs w:val="20"/>
          <w:lang w:val="es-ES_tradnl"/>
        </w:rPr>
        <w:t xml:space="preserve">También procederá la operación prevista en el inciso anterior, cuando el pago no se hubiere realizado pese a haberse constituido oportunamente la reserva presupuestal o la cuenta por pagar en los términos del artículo 89 del Estatuto Orgánico del Presupuesto. </w:t>
      </w:r>
    </w:p>
    <w:p w14:paraId="2A01DAD8" w14:textId="77777777" w:rsidR="000A7AC9" w:rsidRPr="007411A7" w:rsidRDefault="000A7AC9" w:rsidP="00C54CF0">
      <w:pPr>
        <w:spacing w:after="0" w:line="240" w:lineRule="auto"/>
        <w:ind w:left="709" w:right="709"/>
        <w:jc w:val="both"/>
        <w:rPr>
          <w:rFonts w:ascii="Verdana" w:eastAsia="Calibri" w:hAnsi="Verdana" w:cs="Arial"/>
          <w:sz w:val="20"/>
          <w:szCs w:val="20"/>
          <w:lang w:val="es-ES"/>
        </w:rPr>
      </w:pPr>
    </w:p>
    <w:p w14:paraId="243568BC" w14:textId="5CDF59C8" w:rsidR="000A7AC9" w:rsidRPr="007411A7" w:rsidRDefault="000A7AC9" w:rsidP="00C54CF0">
      <w:pPr>
        <w:spacing w:after="0" w:line="240" w:lineRule="auto"/>
        <w:ind w:left="709" w:right="709"/>
        <w:jc w:val="both"/>
        <w:rPr>
          <w:rFonts w:ascii="Verdana" w:eastAsia="Calibri" w:hAnsi="Verdana" w:cs="Arial"/>
          <w:sz w:val="20"/>
          <w:szCs w:val="20"/>
          <w:lang w:val="es-ES"/>
        </w:rPr>
      </w:pPr>
      <w:r w:rsidRPr="007411A7">
        <w:rPr>
          <w:rFonts w:ascii="Verdana" w:eastAsia="Calibri" w:hAnsi="Verdana" w:cs="Arial"/>
          <w:sz w:val="20"/>
          <w:szCs w:val="20"/>
          <w:lang w:val="es-ES"/>
        </w:rPr>
        <w:t xml:space="preserve">El mecanismo previsto en el primer inciso de este artículo también procederá cuando se trate del cumplimiento de una obligación originada en la ley, exigible en vigencias anteriores, aun sin que medie certificado de </w:t>
      </w:r>
      <w:r w:rsidR="00136AF9" w:rsidRPr="007411A7">
        <w:rPr>
          <w:rFonts w:ascii="Verdana" w:eastAsia="Calibri" w:hAnsi="Verdana" w:cs="Arial"/>
          <w:sz w:val="20"/>
          <w:szCs w:val="20"/>
          <w:lang w:val="es-ES"/>
        </w:rPr>
        <w:t>disponibilidad ni registro presupuestales</w:t>
      </w:r>
      <w:r w:rsidRPr="007411A7">
        <w:rPr>
          <w:rFonts w:ascii="Verdana" w:eastAsia="Calibri" w:hAnsi="Verdana" w:cs="Arial"/>
          <w:sz w:val="20"/>
          <w:szCs w:val="20"/>
          <w:lang w:val="es-ES"/>
        </w:rPr>
        <w:t xml:space="preserve">. </w:t>
      </w:r>
    </w:p>
    <w:p w14:paraId="2FFFCD17" w14:textId="77777777" w:rsidR="000A7AC9" w:rsidRPr="007411A7" w:rsidRDefault="000A7AC9" w:rsidP="00C54CF0">
      <w:pPr>
        <w:spacing w:after="0" w:line="240" w:lineRule="auto"/>
        <w:ind w:left="709" w:right="709"/>
        <w:jc w:val="both"/>
        <w:rPr>
          <w:rFonts w:ascii="Verdana" w:eastAsia="Calibri" w:hAnsi="Verdana" w:cs="Arial"/>
          <w:sz w:val="20"/>
          <w:szCs w:val="20"/>
          <w:lang w:val="es-ES"/>
        </w:rPr>
      </w:pPr>
    </w:p>
    <w:p w14:paraId="036BA834" w14:textId="62BC920E" w:rsidR="000A7AC9" w:rsidRPr="007411A7" w:rsidRDefault="000A7AC9" w:rsidP="00C54CF0">
      <w:pPr>
        <w:spacing w:after="0" w:line="240" w:lineRule="auto"/>
        <w:ind w:left="709" w:right="709"/>
        <w:jc w:val="both"/>
        <w:rPr>
          <w:rFonts w:ascii="Verdana" w:eastAsia="Calibri" w:hAnsi="Verdana" w:cs="Arial"/>
          <w:sz w:val="20"/>
          <w:szCs w:val="20"/>
          <w:lang w:val="es-ES"/>
        </w:rPr>
      </w:pPr>
      <w:r w:rsidRPr="007411A7">
        <w:rPr>
          <w:rFonts w:ascii="Verdana" w:eastAsia="Calibri" w:hAnsi="Verdana" w:cs="Arial"/>
          <w:sz w:val="20"/>
          <w:szCs w:val="20"/>
          <w:lang w:val="es-ES"/>
        </w:rPr>
        <w:t>Cuando se cumpla alguna de las anteriores condiciones, se podrá atender el gasto de "Pago Pasivos Exigibles - Vigencias Expiradas", a través del rubro presupuestal correspondiente de acuerdo con el detalle del anexo del decreto de liquidación. Al momento de hacerse el registro presupuestal deberá dejarse consignada la expresión "Pago Pasivos Exigibles - Vigencias Expiradas". Copia del acto administrativo que ordena su pago deberá ser remitido a la Contrataría General de la República. […]</w:t>
      </w:r>
      <w:r w:rsidR="000376CC">
        <w:rPr>
          <w:rFonts w:ascii="Verdana" w:eastAsia="Calibri" w:hAnsi="Verdana" w:cs="Arial"/>
          <w:sz w:val="20"/>
          <w:szCs w:val="20"/>
          <w:lang w:val="es-ES"/>
        </w:rPr>
        <w:t>”</w:t>
      </w:r>
      <w:r w:rsidRPr="007411A7">
        <w:rPr>
          <w:rFonts w:ascii="Verdana" w:eastAsia="Calibri" w:hAnsi="Verdana" w:cs="Arial"/>
          <w:sz w:val="20"/>
          <w:szCs w:val="20"/>
          <w:lang w:val="es-ES"/>
        </w:rPr>
        <w:t xml:space="preserve"> (Cursiva fuera de texto).</w:t>
      </w:r>
    </w:p>
    <w:p w14:paraId="542072E2" w14:textId="77777777" w:rsidR="000A7AC9" w:rsidRPr="00D069D8" w:rsidRDefault="000A7AC9" w:rsidP="000A7AC9">
      <w:pPr>
        <w:spacing w:after="0"/>
        <w:ind w:left="709" w:right="709"/>
        <w:jc w:val="both"/>
        <w:rPr>
          <w:rFonts w:ascii="Verdana" w:eastAsia="Calibri" w:hAnsi="Verdana" w:cs="Arial"/>
          <w:sz w:val="21"/>
          <w:szCs w:val="21"/>
          <w:lang w:val="es-ES"/>
        </w:rPr>
      </w:pPr>
    </w:p>
    <w:p w14:paraId="7BE43771" w14:textId="77777777" w:rsidR="000A7AC9" w:rsidRPr="00D069D8" w:rsidRDefault="000A7AC9" w:rsidP="000A7AC9">
      <w:pPr>
        <w:shd w:val="clear" w:color="auto" w:fill="FFFFFF"/>
        <w:spacing w:after="120" w:line="276" w:lineRule="auto"/>
        <w:ind w:right="51" w:firstLine="709"/>
        <w:jc w:val="both"/>
        <w:rPr>
          <w:rFonts w:ascii="Verdana" w:eastAsia="Calibri" w:hAnsi="Verdana" w:cs="Arial"/>
          <w:color w:val="000000" w:themeColor="text1"/>
          <w:lang w:val="es-ES_tradnl"/>
        </w:rPr>
      </w:pPr>
      <w:r w:rsidRPr="00D069D8">
        <w:rPr>
          <w:rFonts w:ascii="Verdana" w:eastAsia="Calibri" w:hAnsi="Verdana" w:cs="Arial"/>
          <w:color w:val="000000" w:themeColor="text1"/>
          <w:lang w:val="es-ES_tradnl"/>
        </w:rPr>
        <w:t xml:space="preserve">En este sentido, el pago de “pasivos – vigencias expiradas” procederán cuando se cumplan los parámetros antes expuestos para las entidades que se rigen por dicha Ley. En los demás casos, se deberán atender las normas presupuestales particulares que lo regulen, atendiendo a la naturaleza de la entidad pública. </w:t>
      </w:r>
    </w:p>
    <w:p w14:paraId="7D2FE71A" w14:textId="77777777" w:rsidR="000A7AC9" w:rsidRPr="00D069D8" w:rsidRDefault="000A7AC9" w:rsidP="000A7AC9">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lang w:val="es-ES_tradnl"/>
        </w:rPr>
        <w:t xml:space="preserve">En conclusión, las entidades estatales deben planear sus contrataciones con fundamento en el principio de la anualidad del gasto, de manera que sus compromisos presupuestales deben ser ejecutados dentro de la vigencia fiscal comprendida entre el 1 de enero y el 31 de diciembre. Sin embargo, como excepción a este principio se establecen </w:t>
      </w:r>
      <w:r w:rsidRPr="00D069D8">
        <w:rPr>
          <w:rFonts w:ascii="Verdana" w:eastAsia="Calibri" w:hAnsi="Verdana" w:cs="Arial"/>
          <w:color w:val="000000" w:themeColor="text1"/>
        </w:rPr>
        <w:t xml:space="preserve">mecanismos presupuestales dentro de los cuales se encuentran las vigencias futuras, que permite asumir compromisos que afecten el presupuesto de vigencias posteriores. </w:t>
      </w:r>
    </w:p>
    <w:p w14:paraId="31C1D6CB" w14:textId="77777777" w:rsidR="000A7AC9" w:rsidRDefault="000A7AC9" w:rsidP="000A7AC9">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rPr>
        <w:t>De esta manera, en caso de que en la etapa de planeación la entidad evidencie que el contrato a ejecutar exceda la vigencia fiscal correspondiente, deberá atender las previsiones legales sobre las excepciones al principio de anualidad del gasto</w:t>
      </w:r>
      <w:r w:rsidRPr="00D069D8">
        <w:rPr>
          <w:rFonts w:ascii="Verdana" w:eastAsia="Arial" w:hAnsi="Verdana" w:cs="Arial"/>
          <w:bCs/>
        </w:rPr>
        <w:t xml:space="preserve"> y determinar cual resulta aplicable al caso en concreto</w:t>
      </w:r>
      <w:r w:rsidRPr="00D069D8">
        <w:rPr>
          <w:rFonts w:ascii="Verdana" w:eastAsia="Calibri" w:hAnsi="Verdana" w:cs="Arial"/>
          <w:color w:val="000000" w:themeColor="text1"/>
        </w:rPr>
        <w:t xml:space="preserve">. Dichas excepciones deben estar debidamente justificadas, cumplir con los requisitos establecidos por la normativa vigente y seguir los procedimientos correspondientes para su autorizaciones y ejecución, conforme a lo descrito en este concepto.  </w:t>
      </w:r>
    </w:p>
    <w:p w14:paraId="7459F772" w14:textId="77777777" w:rsidR="000A7AC9" w:rsidRPr="00D11931" w:rsidRDefault="000A7AC9" w:rsidP="00C54CF0">
      <w:pPr>
        <w:shd w:val="clear" w:color="auto" w:fill="FFFFFF"/>
        <w:spacing w:after="0" w:line="276" w:lineRule="auto"/>
        <w:ind w:right="51" w:firstLine="709"/>
        <w:jc w:val="both"/>
        <w:rPr>
          <w:rFonts w:ascii="Verdana" w:eastAsia="Times New Roman" w:hAnsi="Verdana" w:cs="Times New Roman"/>
          <w:lang w:eastAsia="es-ES"/>
        </w:rPr>
      </w:pPr>
      <w:r w:rsidRPr="00D11931">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w:t>
      </w:r>
      <w:r w:rsidRPr="00D11931">
        <w:rPr>
          <w:rFonts w:ascii="Verdana" w:eastAsia="Calibri" w:hAnsi="Verdana" w:cs="Arial"/>
        </w:rPr>
        <w:lastRenderedPageBreak/>
        <w:t xml:space="preserve">normas que rigen el EGCAP.  </w:t>
      </w:r>
      <w:r w:rsidRPr="00D11931">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1"/>
      <w:bookmarkEnd w:id="2"/>
    </w:p>
    <w:p w14:paraId="3A76B81E" w14:textId="77777777" w:rsidR="000A7AC9" w:rsidRPr="00C13BC2" w:rsidRDefault="000A7AC9" w:rsidP="000A7AC9">
      <w:pPr>
        <w:spacing w:after="0" w:line="276" w:lineRule="auto"/>
        <w:ind w:firstLine="709"/>
        <w:jc w:val="both"/>
        <w:rPr>
          <w:rFonts w:ascii="Verdana" w:eastAsia="Times New Roman" w:hAnsi="Verdana" w:cs="Times New Roman"/>
          <w:color w:val="EE0000"/>
          <w:lang w:eastAsia="es-ES"/>
        </w:rPr>
      </w:pPr>
    </w:p>
    <w:p w14:paraId="7782195B" w14:textId="77777777" w:rsidR="000A7AC9" w:rsidRPr="00C13BC2" w:rsidRDefault="000A7AC9" w:rsidP="000A7AC9">
      <w:pPr>
        <w:spacing w:after="120" w:line="276" w:lineRule="auto"/>
        <w:jc w:val="both"/>
        <w:rPr>
          <w:rFonts w:ascii="Verdana" w:eastAsia="Century Gothic" w:hAnsi="Verdana" w:cs="Century Gothic"/>
          <w:b/>
          <w:color w:val="EE0000"/>
          <w:lang w:val="es-ES"/>
        </w:rPr>
      </w:pPr>
      <w:r w:rsidRPr="00E127BE">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A7AC9" w:rsidRPr="00C13BC2" w14:paraId="1472E61F" w14:textId="77777777" w:rsidTr="00C955B6">
        <w:trPr>
          <w:trHeight w:val="1689"/>
        </w:trPr>
        <w:tc>
          <w:tcPr>
            <w:tcW w:w="8647" w:type="dxa"/>
          </w:tcPr>
          <w:p w14:paraId="5513BCAE" w14:textId="77777777" w:rsidR="000A7AC9" w:rsidRPr="004906E4" w:rsidRDefault="000A7AC9" w:rsidP="00C955B6">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4906E4">
              <w:rPr>
                <w:rFonts w:ascii="Verdana" w:eastAsia="Arial MT" w:hAnsi="Verdana" w:cs="Arial"/>
                <w:bCs/>
                <w:lang w:eastAsia="es-ES" w:bidi="es-ES"/>
              </w:rPr>
              <w:t>Constitución Política de Colombia. Artículo 346</w:t>
            </w:r>
            <w:r w:rsidRPr="00073713">
              <w:rPr>
                <w:rFonts w:ascii="Verdana" w:eastAsia="Arial MT" w:hAnsi="Verdana" w:cs="Arial"/>
                <w:bCs/>
                <w:lang w:eastAsia="es-ES" w:bidi="es-ES"/>
              </w:rPr>
              <w:t>.</w:t>
            </w:r>
          </w:p>
          <w:p w14:paraId="713A4C87" w14:textId="77777777" w:rsidR="000A7AC9" w:rsidRPr="004906E4" w:rsidRDefault="000A7AC9" w:rsidP="00C955B6">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4906E4">
              <w:rPr>
                <w:rFonts w:ascii="Verdana" w:eastAsia="Arial MT" w:hAnsi="Verdana" w:cs="Arial"/>
                <w:bCs/>
                <w:lang w:eastAsia="es-ES" w:bidi="es-ES"/>
              </w:rPr>
              <w:t>Ley 819 de 2003. Artículos 8,10 y 11</w:t>
            </w:r>
            <w:r w:rsidRPr="00073713">
              <w:rPr>
                <w:rFonts w:ascii="Verdana" w:eastAsia="Arial MT" w:hAnsi="Verdana" w:cs="Arial"/>
                <w:bCs/>
                <w:lang w:eastAsia="es-ES" w:bidi="es-ES"/>
              </w:rPr>
              <w:t>.</w:t>
            </w:r>
          </w:p>
          <w:p w14:paraId="6496D7C5" w14:textId="77777777" w:rsidR="000A7AC9" w:rsidRPr="004906E4" w:rsidRDefault="000A7AC9" w:rsidP="00C955B6">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4906E4">
              <w:rPr>
                <w:rFonts w:ascii="Verdana" w:eastAsia="Arial MT" w:hAnsi="Verdana" w:cs="Arial"/>
                <w:bCs/>
                <w:lang w:eastAsia="es-ES" w:bidi="es-ES"/>
              </w:rPr>
              <w:t>Decreto 111 de 1996. Artículos 10 ,11, 23</w:t>
            </w:r>
            <w:r w:rsidRPr="00073713">
              <w:rPr>
                <w:rFonts w:ascii="Verdana" w:eastAsia="Arial MT" w:hAnsi="Verdana" w:cs="Arial"/>
                <w:bCs/>
                <w:lang w:eastAsia="es-ES" w:bidi="es-ES"/>
              </w:rPr>
              <w:t xml:space="preserve"> y </w:t>
            </w:r>
            <w:r w:rsidRPr="004906E4">
              <w:rPr>
                <w:rFonts w:ascii="Verdana" w:eastAsia="Arial MT" w:hAnsi="Verdana" w:cs="Arial"/>
                <w:bCs/>
                <w:lang w:eastAsia="es-ES" w:bidi="es-ES"/>
              </w:rPr>
              <w:t>89</w:t>
            </w:r>
            <w:r w:rsidRPr="00073713">
              <w:rPr>
                <w:rFonts w:ascii="Verdana" w:eastAsia="Arial MT" w:hAnsi="Verdana" w:cs="Arial"/>
                <w:bCs/>
                <w:lang w:eastAsia="es-ES" w:bidi="es-ES"/>
              </w:rPr>
              <w:t>.</w:t>
            </w:r>
          </w:p>
          <w:p w14:paraId="09E07CCF" w14:textId="77777777" w:rsidR="000A7AC9" w:rsidRPr="004906E4" w:rsidRDefault="000A7AC9" w:rsidP="00C955B6">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4906E4">
              <w:rPr>
                <w:rFonts w:ascii="Verdana" w:eastAsia="Arial MT" w:hAnsi="Verdana" w:cs="Arial"/>
                <w:bCs/>
                <w:lang w:eastAsia="es-ES" w:bidi="es-ES"/>
              </w:rPr>
              <w:t>Decreto 1068 de 2015. Artículo 2.8.1.7.3.2</w:t>
            </w:r>
          </w:p>
          <w:p w14:paraId="0420B552" w14:textId="77777777" w:rsidR="000A7AC9" w:rsidRPr="004906E4" w:rsidRDefault="000A7AC9" w:rsidP="00C955B6">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4906E4">
              <w:rPr>
                <w:rFonts w:ascii="Verdana" w:eastAsia="Arial MT" w:hAnsi="Verdana" w:cs="Arial"/>
                <w:bCs/>
                <w:lang w:eastAsia="es-ES" w:bidi="es-ES"/>
              </w:rPr>
              <w:t>Consejo de Estado. Sección Tercera. Sentencia del 12 de agosto de 2014. Radicado Nro. 05001-23-31-000-1998-01350-01(28565) C.P. Enrique Gil Botero</w:t>
            </w:r>
            <w:r w:rsidRPr="00073713">
              <w:rPr>
                <w:rFonts w:ascii="Verdana" w:eastAsia="Arial MT" w:hAnsi="Verdana" w:cs="Arial"/>
                <w:bCs/>
                <w:lang w:eastAsia="es-ES" w:bidi="es-ES"/>
              </w:rPr>
              <w:t>.</w:t>
            </w:r>
          </w:p>
          <w:p w14:paraId="75D8AD07" w14:textId="77777777" w:rsidR="000A7AC9" w:rsidRPr="004906E4" w:rsidRDefault="000A7AC9" w:rsidP="00C955B6">
            <w:pPr>
              <w:widowControl w:val="0"/>
              <w:numPr>
                <w:ilvl w:val="0"/>
                <w:numId w:val="16"/>
              </w:numPr>
              <w:autoSpaceDE w:val="0"/>
              <w:autoSpaceDN w:val="0"/>
              <w:spacing w:line="276" w:lineRule="auto"/>
              <w:ind w:left="714" w:hanging="357"/>
              <w:jc w:val="both"/>
              <w:rPr>
                <w:rFonts w:ascii="Verdana" w:eastAsia="Arial MT" w:hAnsi="Verdana" w:cs="Arial"/>
                <w:bCs/>
                <w:color w:val="FFC000"/>
                <w:lang w:eastAsia="es-ES" w:bidi="es-ES"/>
              </w:rPr>
            </w:pPr>
            <w:r w:rsidRPr="004906E4">
              <w:rPr>
                <w:rFonts w:ascii="Verdana" w:eastAsia="Arial MT" w:hAnsi="Verdana" w:cs="Arial"/>
                <w:bCs/>
                <w:lang w:eastAsia="es-ES" w:bidi="es-ES"/>
              </w:rPr>
              <w:t>Consejo de Estado. Sección Tercera. Sentencia del 1 de febrero de 2018. Radicado Nro. 08001-2331-000-2010-00987-01. C.P. Oswaldo Giraldo López.</w:t>
            </w:r>
          </w:p>
        </w:tc>
      </w:tr>
    </w:tbl>
    <w:p w14:paraId="16F3016A" w14:textId="77777777" w:rsidR="000A7AC9" w:rsidRPr="00C13BC2" w:rsidRDefault="000A7AC9" w:rsidP="000A7AC9">
      <w:pPr>
        <w:widowControl w:val="0"/>
        <w:autoSpaceDE w:val="0"/>
        <w:autoSpaceDN w:val="0"/>
        <w:spacing w:after="0" w:line="276" w:lineRule="auto"/>
        <w:jc w:val="both"/>
        <w:rPr>
          <w:rFonts w:ascii="Verdana" w:hAnsi="Verdana" w:cs="Arial"/>
          <w:color w:val="EE0000"/>
          <w:lang w:val="es-ES"/>
        </w:rPr>
      </w:pPr>
    </w:p>
    <w:p w14:paraId="038A044C" w14:textId="77777777" w:rsidR="000A7AC9" w:rsidRPr="00B24918" w:rsidRDefault="000A7AC9" w:rsidP="000A7AC9">
      <w:pPr>
        <w:tabs>
          <w:tab w:val="left" w:pos="142"/>
          <w:tab w:val="left" w:pos="284"/>
        </w:tabs>
        <w:spacing w:after="0" w:line="276" w:lineRule="auto"/>
        <w:jc w:val="both"/>
        <w:rPr>
          <w:rFonts w:ascii="Verdana" w:eastAsia="Century Gothic" w:hAnsi="Verdana" w:cs="Century Gothic"/>
          <w:b/>
          <w:lang w:val="es-ES"/>
        </w:rPr>
      </w:pPr>
      <w:r w:rsidRPr="00B24918">
        <w:rPr>
          <w:rFonts w:ascii="Verdana" w:eastAsia="Century Gothic" w:hAnsi="Verdana" w:cs="Century Gothic"/>
          <w:b/>
          <w:lang w:val="es-ES"/>
        </w:rPr>
        <w:t>5. Doctrina de la Agencia Nacional de Contratación Pública:</w:t>
      </w:r>
    </w:p>
    <w:p w14:paraId="60D38158" w14:textId="77777777" w:rsidR="000A7AC9" w:rsidRPr="0014193B" w:rsidRDefault="000A7AC9" w:rsidP="000A7AC9">
      <w:pPr>
        <w:widowControl w:val="0"/>
        <w:autoSpaceDE w:val="0"/>
        <w:autoSpaceDN w:val="0"/>
        <w:spacing w:after="0" w:line="276" w:lineRule="auto"/>
        <w:jc w:val="both"/>
        <w:rPr>
          <w:rFonts w:ascii="Verdana" w:hAnsi="Verdana" w:cs="Arial"/>
          <w:lang w:val="es-ES"/>
        </w:rPr>
      </w:pPr>
    </w:p>
    <w:p w14:paraId="7D5968AB" w14:textId="60FA1EB9" w:rsidR="000A7AC9" w:rsidRPr="00B24918" w:rsidRDefault="000A7AC9" w:rsidP="000A7AC9">
      <w:pPr>
        <w:spacing w:after="0" w:line="276" w:lineRule="auto"/>
        <w:jc w:val="both"/>
        <w:rPr>
          <w:rFonts w:ascii="Verdana" w:hAnsi="Verdana"/>
          <w:lang w:val="es-ES"/>
        </w:rPr>
      </w:pPr>
      <w:r w:rsidRPr="0014193B">
        <w:rPr>
          <w:rFonts w:ascii="Verdana" w:eastAsia="Calibri" w:hAnsi="Verdana" w:cs="Arial"/>
          <w:lang w:val="es-ES"/>
        </w:rPr>
        <w:t xml:space="preserve">La Agencia Nacional de Contratación Pública – Colombia Compra Eficiente se ha referido </w:t>
      </w:r>
      <w:r w:rsidRPr="0014193B">
        <w:rPr>
          <w:rFonts w:ascii="Verdana" w:hAnsi="Verdana" w:cs="Arial"/>
          <w:shd w:val="clear" w:color="auto" w:fill="FFFFFF"/>
          <w:lang w:val="es-ES"/>
        </w:rPr>
        <w:t>sobre</w:t>
      </w:r>
      <w:r>
        <w:rPr>
          <w:rFonts w:ascii="Verdana" w:hAnsi="Verdana" w:cs="Arial"/>
          <w:shd w:val="clear" w:color="auto" w:fill="FFFFFF"/>
          <w:lang w:val="es-ES"/>
        </w:rPr>
        <w:t xml:space="preserve"> el </w:t>
      </w:r>
      <w:r w:rsidRPr="00D069D8">
        <w:rPr>
          <w:rFonts w:ascii="Verdana" w:hAnsi="Verdana" w:cs="Arial"/>
          <w:shd w:val="clear" w:color="auto" w:fill="FFFFFF"/>
        </w:rPr>
        <w:t xml:space="preserve">principio de </w:t>
      </w:r>
      <w:r>
        <w:rPr>
          <w:rFonts w:ascii="Verdana" w:hAnsi="Verdana" w:cs="Arial"/>
          <w:shd w:val="clear" w:color="auto" w:fill="FFFFFF"/>
        </w:rPr>
        <w:t>a</w:t>
      </w:r>
      <w:r w:rsidRPr="00D069D8">
        <w:rPr>
          <w:rFonts w:ascii="Verdana" w:hAnsi="Verdana" w:cs="Arial"/>
          <w:shd w:val="clear" w:color="auto" w:fill="FFFFFF"/>
        </w:rPr>
        <w:t xml:space="preserve">nualidad del </w:t>
      </w:r>
      <w:r>
        <w:rPr>
          <w:rFonts w:ascii="Verdana" w:hAnsi="Verdana" w:cs="Arial"/>
          <w:shd w:val="clear" w:color="auto" w:fill="FFFFFF"/>
        </w:rPr>
        <w:t>g</w:t>
      </w:r>
      <w:r w:rsidRPr="00D069D8">
        <w:rPr>
          <w:rFonts w:ascii="Verdana" w:hAnsi="Verdana" w:cs="Arial"/>
          <w:shd w:val="clear" w:color="auto" w:fill="FFFFFF"/>
        </w:rPr>
        <w:t xml:space="preserve">asto </w:t>
      </w:r>
      <w:r>
        <w:rPr>
          <w:rFonts w:ascii="Verdana" w:hAnsi="Verdana" w:cs="Arial"/>
          <w:shd w:val="clear" w:color="auto" w:fill="FFFFFF"/>
        </w:rPr>
        <w:t>p</w:t>
      </w:r>
      <w:r w:rsidRPr="00D069D8">
        <w:rPr>
          <w:rFonts w:ascii="Verdana" w:hAnsi="Verdana" w:cs="Arial"/>
          <w:shd w:val="clear" w:color="auto" w:fill="FFFFFF"/>
        </w:rPr>
        <w:t>úblico y sus excepciones</w:t>
      </w:r>
      <w:r w:rsidRPr="00DA6EEC">
        <w:rPr>
          <w:rFonts w:ascii="Verdana" w:hAnsi="Verdana" w:cs="Arial"/>
          <w:color w:val="FFC000"/>
          <w:shd w:val="clear" w:color="auto" w:fill="FFFFFF"/>
          <w:lang w:val="es-ES"/>
        </w:rPr>
        <w:t xml:space="preserve"> </w:t>
      </w:r>
      <w:r w:rsidRPr="00C41440">
        <w:rPr>
          <w:rFonts w:ascii="Verdana" w:hAnsi="Verdana" w:cs="Arial"/>
          <w:shd w:val="clear" w:color="auto" w:fill="FFFFFF"/>
          <w:lang w:val="es-ES"/>
        </w:rPr>
        <w:t xml:space="preserve">en los conceptos </w:t>
      </w:r>
      <w:r w:rsidRPr="00D069D8">
        <w:rPr>
          <w:rFonts w:ascii="Verdana" w:eastAsia="Calibri" w:hAnsi="Verdana" w:cs="Arial"/>
          <w:lang w:val="es-ES" w:eastAsia="es-ES"/>
        </w:rPr>
        <w:t xml:space="preserve">C-744 del 4 de febrero de 2022, C-850 del </w:t>
      </w:r>
      <w:r w:rsidRPr="00D069D8">
        <w:rPr>
          <w:rFonts w:ascii="Verdana" w:eastAsia="Geomanist Light" w:hAnsi="Verdana" w:cs="Arial"/>
          <w:lang w:val="es-MX"/>
        </w:rPr>
        <w:t>5 de diciembre de 2024</w:t>
      </w:r>
      <w:r w:rsidRPr="00D069D8">
        <w:rPr>
          <w:rFonts w:ascii="Verdana" w:eastAsia="Calibri" w:hAnsi="Verdana" w:cs="Arial"/>
          <w:lang w:val="es-ES" w:eastAsia="es-ES"/>
        </w:rPr>
        <w:t xml:space="preserve">, C-082 del 7 de marzo de 2025, </w:t>
      </w:r>
      <w:r>
        <w:rPr>
          <w:rFonts w:ascii="Verdana" w:eastAsia="Calibri" w:hAnsi="Verdana" w:cs="Arial"/>
          <w:lang w:val="es-ES" w:eastAsia="es-ES"/>
        </w:rPr>
        <w:t xml:space="preserve">C-300 del 24 de abril de 2025, C-1220 del 3 de octubre de 2025, C-1537 del 25 de noviembre de 2025, C-1515 del 26 de noviembre de 2025 y C-1557 del </w:t>
      </w:r>
      <w:r w:rsidRPr="00F700CD">
        <w:rPr>
          <w:rFonts w:ascii="Verdana" w:eastAsia="Calibri" w:hAnsi="Verdana" w:cs="Arial"/>
          <w:lang w:eastAsia="es-ES"/>
        </w:rPr>
        <w:t>04</w:t>
      </w:r>
      <w:r>
        <w:rPr>
          <w:rFonts w:ascii="Verdana" w:eastAsia="Calibri" w:hAnsi="Verdana" w:cs="Arial"/>
          <w:lang w:eastAsia="es-ES"/>
        </w:rPr>
        <w:t xml:space="preserve"> de diciembre de </w:t>
      </w:r>
      <w:r w:rsidRPr="00F700CD">
        <w:rPr>
          <w:rFonts w:ascii="Verdana" w:eastAsia="Calibri" w:hAnsi="Verdana" w:cs="Arial"/>
          <w:lang w:eastAsia="es-ES"/>
        </w:rPr>
        <w:t>2025</w:t>
      </w:r>
      <w:r>
        <w:rPr>
          <w:rFonts w:ascii="Verdana" w:eastAsia="Calibri" w:hAnsi="Verdana" w:cs="Arial"/>
          <w:lang w:val="es-ES" w:eastAsia="es-ES"/>
        </w:rPr>
        <w:t xml:space="preserve"> </w:t>
      </w:r>
      <w:r w:rsidRPr="00D069D8">
        <w:rPr>
          <w:rFonts w:ascii="Verdana" w:eastAsia="Calibri" w:hAnsi="Verdana" w:cs="Arial"/>
          <w:lang w:val="es-ES" w:eastAsia="es-ES"/>
        </w:rPr>
        <w:t>entre otros.</w:t>
      </w:r>
      <w:r w:rsidR="00355853">
        <w:rPr>
          <w:rFonts w:ascii="Verdana" w:eastAsia="Calibri" w:hAnsi="Verdana" w:cs="Arial"/>
          <w:lang w:val="es-ES" w:eastAsia="es-ES"/>
        </w:rPr>
        <w:t xml:space="preserve"> </w:t>
      </w:r>
      <w:r w:rsidRPr="00B24918">
        <w:rPr>
          <w:rFonts w:ascii="Verdana" w:hAnsi="Verdana" w:cs="Arial"/>
          <w:shd w:val="clear" w:color="auto" w:fill="FFFFFF"/>
          <w:lang w:val="es-ES"/>
        </w:rPr>
        <w:t>Estos</w:t>
      </w:r>
      <w:r w:rsidRPr="00B24918">
        <w:rPr>
          <w:rFonts w:ascii="Verdana" w:hAnsi="Verdana"/>
          <w:lang w:val="es-ES"/>
        </w:rPr>
        <w:t xml:space="preserve"> y otros se encuentran disponibles para consulta en el Sistema de relatoría de la Agencia, al cual se puede acceder a través del siguiente enlace:</w:t>
      </w:r>
      <w:r w:rsidRPr="00B24918">
        <w:rPr>
          <w:rFonts w:ascii="Verdana" w:hAnsi="Verdana" w:cs="Arial"/>
          <w:shd w:val="clear" w:color="auto" w:fill="FFFFFF"/>
          <w:lang w:val="es-ES"/>
        </w:rPr>
        <w:t xml:space="preserve"> </w:t>
      </w:r>
      <w:hyperlink r:id="rId12" w:history="1">
        <w:r w:rsidRPr="00B37BAE">
          <w:rPr>
            <w:rStyle w:val="Hipervnculo"/>
            <w:rFonts w:ascii="Verdana" w:hAnsi="Verdana" w:cs="Arial"/>
            <w:color w:val="0033CC"/>
            <w:shd w:val="clear" w:color="auto" w:fill="FFFFFF"/>
            <w:lang w:val="es-ES"/>
          </w:rPr>
          <w:t>https://relatoria.colombiacompra.gov.co/busqueda/conceptos</w:t>
        </w:r>
      </w:hyperlink>
    </w:p>
    <w:p w14:paraId="6A1157B0" w14:textId="77777777" w:rsidR="000A7AC9" w:rsidRPr="00C13BC2" w:rsidRDefault="000A7AC9" w:rsidP="000A7AC9">
      <w:pPr>
        <w:spacing w:after="0"/>
        <w:jc w:val="both"/>
        <w:rPr>
          <w:rFonts w:ascii="Verdana" w:hAnsi="Verdana" w:cs="Arial"/>
          <w:color w:val="EE0000"/>
          <w:shd w:val="clear" w:color="auto" w:fill="FFFFFF"/>
          <w:lang w:val="es-ES"/>
        </w:rPr>
      </w:pPr>
    </w:p>
    <w:p w14:paraId="365DE69C" w14:textId="77777777" w:rsidR="000A7AC9" w:rsidRPr="00B24918" w:rsidRDefault="000A7AC9" w:rsidP="000A7AC9">
      <w:pPr>
        <w:spacing w:after="0"/>
        <w:jc w:val="both"/>
        <w:rPr>
          <w:rFonts w:ascii="Verdana" w:hAnsi="Verdana" w:cs="Arial"/>
          <w:shd w:val="clear" w:color="auto" w:fill="FFFFFF"/>
        </w:rPr>
      </w:pPr>
      <w:r w:rsidRPr="00B24918">
        <w:rPr>
          <w:rFonts w:ascii="Verdana" w:hAnsi="Verdana" w:cs="Arial"/>
          <w:shd w:val="clear" w:color="auto" w:fill="FFFFFF"/>
        </w:rPr>
        <w:t>También le contamos que ya se encuentra disponible la </w:t>
      </w:r>
      <w:r w:rsidRPr="00B24918">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B24918">
        <w:rPr>
          <w:rFonts w:ascii="Verdana" w:hAnsi="Verdana" w:cs="Arial"/>
          <w:shd w:val="clear" w:color="auto" w:fill="FFFFFF"/>
        </w:rPr>
        <w:t xml:space="preserve">Esta Guía se expedide en el marco del cumplimiento de la orden proferida por la Honorable Corte Constitucional en la Sentencia T-302 del 2017. Con su </w:t>
      </w:r>
      <w:r w:rsidRPr="00B24918">
        <w:rPr>
          <w:rFonts w:ascii="Verdana" w:hAnsi="Verdana" w:cs="Arial"/>
          <w:shd w:val="clear" w:color="auto" w:fill="FFFFFF"/>
        </w:rPr>
        <w:lastRenderedPageBreak/>
        <w:t>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B24918">
          <w:rPr>
            <w:rStyle w:val="Hipervnculo"/>
            <w:rFonts w:ascii="Verdana" w:hAnsi="Verdana"/>
            <w:color w:val="0033CC"/>
          </w:rPr>
          <w:t>Guía de lineamientos de transparencia y selección objetiva para el departamento de La Guajira – Objetivo sexto constitucional de la Sentencia T-302 del 2017</w:t>
        </w:r>
      </w:hyperlink>
    </w:p>
    <w:p w14:paraId="4B64C92F" w14:textId="77777777" w:rsidR="000A7AC9" w:rsidRPr="00B24918" w:rsidRDefault="000A7AC9" w:rsidP="000A7AC9">
      <w:pPr>
        <w:spacing w:after="0"/>
        <w:jc w:val="both"/>
        <w:rPr>
          <w:rFonts w:ascii="Verdana" w:hAnsi="Verdana" w:cs="Arial"/>
          <w:shd w:val="clear" w:color="auto" w:fill="FFFFFF"/>
        </w:rPr>
      </w:pPr>
    </w:p>
    <w:p w14:paraId="7486FA18" w14:textId="77777777" w:rsidR="000A7AC9" w:rsidRPr="00B24918" w:rsidRDefault="000A7AC9" w:rsidP="000A7AC9">
      <w:pPr>
        <w:spacing w:after="0"/>
        <w:jc w:val="both"/>
        <w:rPr>
          <w:rFonts w:ascii="Verdana" w:hAnsi="Verdana" w:cs="Arial"/>
          <w:shd w:val="clear" w:color="auto" w:fill="FFFFFF"/>
        </w:rPr>
      </w:pPr>
      <w:r w:rsidRPr="00B24918">
        <w:rPr>
          <w:rFonts w:ascii="Verdana" w:hAnsi="Verdana" w:cs="Arial"/>
          <w:shd w:val="clear" w:color="auto" w:fill="FFFFFF"/>
        </w:rPr>
        <w:t xml:space="preserve">Por último, lo invitamos a seguirnos en las redes sociales en las cuales se difunde información institucional: </w:t>
      </w:r>
    </w:p>
    <w:p w14:paraId="79356BBE" w14:textId="77777777" w:rsidR="000A7AC9" w:rsidRPr="00B24918" w:rsidRDefault="000A7AC9" w:rsidP="000A7AC9">
      <w:pPr>
        <w:spacing w:after="0"/>
        <w:jc w:val="both"/>
        <w:rPr>
          <w:rFonts w:ascii="Verdana" w:hAnsi="Verdana" w:cs="Arial"/>
          <w:shd w:val="clear" w:color="auto" w:fill="FFFFFF"/>
        </w:rPr>
      </w:pPr>
    </w:p>
    <w:p w14:paraId="11735023" w14:textId="77777777" w:rsidR="000A7AC9" w:rsidRPr="00B24918" w:rsidRDefault="000A7AC9" w:rsidP="000A7AC9">
      <w:pPr>
        <w:spacing w:after="0"/>
        <w:jc w:val="both"/>
        <w:rPr>
          <w:rFonts w:ascii="Verdana" w:hAnsi="Verdana" w:cs="Arial"/>
          <w:shd w:val="clear" w:color="auto" w:fill="FFFFFF"/>
        </w:rPr>
      </w:pPr>
      <w:r w:rsidRPr="00B24918">
        <w:rPr>
          <w:rFonts w:ascii="Verdana" w:hAnsi="Verdana" w:cs="Arial"/>
          <w:shd w:val="clear" w:color="auto" w:fill="FFFFFF"/>
        </w:rPr>
        <w:t xml:space="preserve">Twitter: </w:t>
      </w:r>
      <w:r w:rsidRPr="00B24918">
        <w:rPr>
          <w:rStyle w:val="Hipervnculo"/>
          <w:rFonts w:ascii="Verdana" w:hAnsi="Verdana"/>
          <w:color w:val="0033CC"/>
          <w:lang w:val="es-ES"/>
        </w:rPr>
        <w:t xml:space="preserve">@colombiacompra </w:t>
      </w:r>
    </w:p>
    <w:p w14:paraId="0FD608CA" w14:textId="77777777" w:rsidR="000A7AC9" w:rsidRPr="00B24918" w:rsidRDefault="000A7AC9" w:rsidP="000A7AC9">
      <w:pPr>
        <w:spacing w:after="0"/>
        <w:jc w:val="both"/>
        <w:rPr>
          <w:rFonts w:ascii="Verdana" w:hAnsi="Verdana" w:cs="Arial"/>
          <w:shd w:val="clear" w:color="auto" w:fill="FFFFFF"/>
        </w:rPr>
      </w:pPr>
      <w:r w:rsidRPr="00B24918">
        <w:rPr>
          <w:rFonts w:ascii="Verdana" w:hAnsi="Verdana" w:cs="Arial"/>
          <w:shd w:val="clear" w:color="auto" w:fill="FFFFFF"/>
        </w:rPr>
        <w:t>Facebook:</w:t>
      </w:r>
      <w:r w:rsidRPr="00B24918">
        <w:rPr>
          <w:rStyle w:val="Hipervnculo"/>
          <w:rFonts w:ascii="Verdana" w:hAnsi="Verdana"/>
          <w:color w:val="0033CC"/>
          <w:lang w:val="es-ES"/>
        </w:rPr>
        <w:t xml:space="preserve"> ColombiaCompraEficiente</w:t>
      </w:r>
    </w:p>
    <w:p w14:paraId="211BD818" w14:textId="77777777" w:rsidR="000A7AC9" w:rsidRPr="00B24918" w:rsidRDefault="000A7AC9" w:rsidP="000A7AC9">
      <w:pPr>
        <w:spacing w:after="0"/>
        <w:jc w:val="both"/>
        <w:rPr>
          <w:rFonts w:ascii="Verdana" w:hAnsi="Verdana" w:cs="Arial"/>
          <w:shd w:val="clear" w:color="auto" w:fill="FFFFFF"/>
        </w:rPr>
      </w:pPr>
      <w:r w:rsidRPr="00B24918">
        <w:rPr>
          <w:rFonts w:ascii="Verdana" w:hAnsi="Verdana" w:cs="Arial"/>
          <w:shd w:val="clear" w:color="auto" w:fill="FFFFFF"/>
        </w:rPr>
        <w:t xml:space="preserve">LinkedIn: </w:t>
      </w:r>
      <w:r w:rsidRPr="00B24918">
        <w:rPr>
          <w:rStyle w:val="Hipervnculo"/>
          <w:rFonts w:ascii="Verdana" w:hAnsi="Verdana"/>
          <w:color w:val="0033CC"/>
          <w:lang w:val="es-ES"/>
        </w:rPr>
        <w:t>Agencia Nacional de Contratación Pública - Colombia Compra Eficiente</w:t>
      </w:r>
      <w:r w:rsidRPr="00B24918">
        <w:rPr>
          <w:rFonts w:ascii="Verdana" w:hAnsi="Verdana" w:cs="Arial"/>
          <w:color w:val="0033CC"/>
          <w:shd w:val="clear" w:color="auto" w:fill="FFFFFF"/>
        </w:rPr>
        <w:t xml:space="preserve"> </w:t>
      </w:r>
    </w:p>
    <w:p w14:paraId="443DD8BA" w14:textId="77777777" w:rsidR="000A7AC9" w:rsidRPr="00B24918" w:rsidRDefault="000A7AC9" w:rsidP="000A7AC9">
      <w:pPr>
        <w:spacing w:after="0"/>
        <w:jc w:val="both"/>
        <w:rPr>
          <w:rFonts w:ascii="Verdana" w:hAnsi="Verdana" w:cs="Arial"/>
          <w:color w:val="0033CC"/>
          <w:shd w:val="clear" w:color="auto" w:fill="FFFFFF"/>
        </w:rPr>
      </w:pPr>
      <w:r w:rsidRPr="00B24918">
        <w:rPr>
          <w:rFonts w:ascii="Verdana" w:hAnsi="Verdana" w:cs="Arial"/>
          <w:shd w:val="clear" w:color="auto" w:fill="FFFFFF"/>
        </w:rPr>
        <w:t xml:space="preserve">Instagram: </w:t>
      </w:r>
      <w:r w:rsidRPr="00B24918">
        <w:rPr>
          <w:rStyle w:val="Hipervnculo"/>
          <w:rFonts w:ascii="Verdana" w:hAnsi="Verdana"/>
          <w:color w:val="0033CC"/>
          <w:lang w:val="es-ES"/>
        </w:rPr>
        <w:t>@colombiacompraeficiente_cce</w:t>
      </w:r>
    </w:p>
    <w:p w14:paraId="13B02067" w14:textId="77777777" w:rsidR="000A7AC9" w:rsidRPr="00C13BC2" w:rsidRDefault="000A7AC9" w:rsidP="000A7AC9">
      <w:pPr>
        <w:widowControl w:val="0"/>
        <w:autoSpaceDE w:val="0"/>
        <w:autoSpaceDN w:val="0"/>
        <w:spacing w:after="0" w:line="276" w:lineRule="auto"/>
        <w:jc w:val="both"/>
        <w:rPr>
          <w:rFonts w:ascii="Verdana" w:hAnsi="Verdana" w:cs="Arial"/>
          <w:color w:val="EE0000"/>
          <w:lang w:val="es-ES"/>
        </w:rPr>
      </w:pPr>
    </w:p>
    <w:p w14:paraId="66D7D82C" w14:textId="77777777" w:rsidR="000A7AC9" w:rsidRPr="00B24918" w:rsidRDefault="000A7AC9" w:rsidP="000A7AC9">
      <w:pPr>
        <w:widowControl w:val="0"/>
        <w:autoSpaceDE w:val="0"/>
        <w:autoSpaceDN w:val="0"/>
        <w:spacing w:after="0" w:line="276" w:lineRule="auto"/>
        <w:jc w:val="both"/>
        <w:rPr>
          <w:rFonts w:ascii="Verdana" w:hAnsi="Verdana" w:cs="Arial"/>
          <w:lang w:val="es-ES"/>
        </w:rPr>
      </w:pPr>
      <w:r w:rsidRPr="00B24918">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18CF824" w14:textId="77777777" w:rsidR="000A7AC9" w:rsidRPr="00B24918" w:rsidRDefault="000A7AC9" w:rsidP="000A7AC9">
      <w:pPr>
        <w:widowControl w:val="0"/>
        <w:autoSpaceDE w:val="0"/>
        <w:autoSpaceDN w:val="0"/>
        <w:spacing w:after="0" w:line="276" w:lineRule="auto"/>
        <w:jc w:val="both"/>
        <w:rPr>
          <w:rFonts w:ascii="Verdana" w:hAnsi="Verdana" w:cs="Arial"/>
          <w:lang w:val="es-ES"/>
        </w:rPr>
      </w:pPr>
    </w:p>
    <w:p w14:paraId="18181CA0" w14:textId="77777777" w:rsidR="000A7AC9" w:rsidRPr="00B24918" w:rsidRDefault="000A7AC9" w:rsidP="000A7AC9">
      <w:pPr>
        <w:spacing w:after="0" w:line="276" w:lineRule="auto"/>
        <w:rPr>
          <w:rFonts w:ascii="Verdana" w:hAnsi="Verdana" w:cs="Arial"/>
          <w:lang w:val="es-ES" w:eastAsia="es-CO"/>
        </w:rPr>
      </w:pPr>
      <w:r w:rsidRPr="00B24918">
        <w:rPr>
          <w:rFonts w:ascii="Verdana" w:eastAsia="Times New Roman" w:hAnsi="Verdana" w:cs="Arial"/>
          <w:lang w:val="es-ES" w:eastAsia="es-CO"/>
        </w:rPr>
        <w:t>Atentamente,</w:t>
      </w:r>
      <w:r w:rsidRPr="00B24918">
        <w:rPr>
          <w:rFonts w:ascii="Verdana" w:hAnsi="Verdana" w:cs="Arial"/>
          <w:lang w:val="es-ES" w:eastAsia="es-CO"/>
        </w:rPr>
        <w:t xml:space="preserve"> </w:t>
      </w:r>
    </w:p>
    <w:p w14:paraId="700EEBA8" w14:textId="77777777" w:rsidR="000A7AC9" w:rsidRPr="00C13BC2" w:rsidRDefault="000A7AC9" w:rsidP="000A7AC9">
      <w:pPr>
        <w:spacing w:after="0" w:line="276" w:lineRule="auto"/>
        <w:jc w:val="center"/>
        <w:rPr>
          <w:rFonts w:ascii="Verdana" w:hAnsi="Verdana"/>
          <w:noProof/>
          <w:color w:val="EE0000"/>
        </w:rPr>
      </w:pPr>
    </w:p>
    <w:p w14:paraId="2170625B" w14:textId="4B6D916E" w:rsidR="000A7AC9" w:rsidRPr="00201B8E" w:rsidRDefault="00201B8E" w:rsidP="000A7AC9">
      <w:pPr>
        <w:spacing w:after="0" w:line="276" w:lineRule="auto"/>
        <w:jc w:val="center"/>
        <w:rPr>
          <w:rFonts w:ascii="Verdana" w:hAnsi="Verdana"/>
          <w:noProof/>
          <w:color w:val="EE0000"/>
        </w:rPr>
      </w:pPr>
      <w:r w:rsidRPr="00201B8E">
        <w:rPr>
          <w:rFonts w:ascii="Verdana" w:hAnsi="Verdana"/>
          <w:noProof/>
          <w:color w:val="EE0000"/>
        </w:rPr>
        <w:drawing>
          <wp:inline distT="0" distB="0" distL="0" distR="0" wp14:anchorId="2A5E34FB" wp14:editId="1345CAF0">
            <wp:extent cx="2657846" cy="962159"/>
            <wp:effectExtent l="0" t="0" r="9525" b="9525"/>
            <wp:docPr id="332327272"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327272" name="Imagen 1" descr="Texto&#10;&#10;El contenido generado por IA puede ser incorrecto."/>
                    <pic:cNvPicPr/>
                  </pic:nvPicPr>
                  <pic:blipFill>
                    <a:blip r:embed="rId14"/>
                    <a:stretch>
                      <a:fillRect/>
                    </a:stretch>
                  </pic:blipFill>
                  <pic:spPr>
                    <a:xfrm>
                      <a:off x="0" y="0"/>
                      <a:ext cx="2657846" cy="962159"/>
                    </a:xfrm>
                    <a:prstGeom prst="rect">
                      <a:avLst/>
                    </a:prstGeom>
                  </pic:spPr>
                </pic:pic>
              </a:graphicData>
            </a:graphic>
          </wp:inline>
        </w:drawing>
      </w:r>
    </w:p>
    <w:p w14:paraId="6F79FDDE" w14:textId="77777777" w:rsidR="000A7AC9" w:rsidRPr="00C13BC2" w:rsidRDefault="000A7AC9" w:rsidP="000A7AC9">
      <w:pPr>
        <w:spacing w:after="0" w:line="276" w:lineRule="auto"/>
        <w:jc w:val="center"/>
        <w:rPr>
          <w:rFonts w:ascii="Verdana" w:hAnsi="Verdana" w:cs="Arial"/>
          <w:color w:val="EE0000"/>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A7AC9" w:rsidRPr="00B24918" w14:paraId="7C1E8D39" w14:textId="77777777" w:rsidTr="00C955B6">
        <w:trPr>
          <w:trHeight w:val="315"/>
        </w:trPr>
        <w:tc>
          <w:tcPr>
            <w:tcW w:w="893" w:type="dxa"/>
            <w:vAlign w:val="center"/>
            <w:hideMark/>
          </w:tcPr>
          <w:p w14:paraId="360D326C" w14:textId="77777777" w:rsidR="000A7AC9" w:rsidRPr="00B24918" w:rsidRDefault="000A7AC9" w:rsidP="00C955B6">
            <w:pPr>
              <w:contextualSpacing/>
              <w:rPr>
                <w:rFonts w:ascii="Verdana" w:hAnsi="Verdana" w:cs="Arial"/>
                <w:sz w:val="16"/>
                <w:szCs w:val="16"/>
                <w:lang w:val="es-ES" w:eastAsia="es-ES"/>
              </w:rPr>
            </w:pPr>
            <w:r w:rsidRPr="00B24918">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3542DFB" w14:textId="77777777" w:rsidR="000A7AC9" w:rsidRPr="00B24918" w:rsidRDefault="000A7AC9" w:rsidP="00C955B6">
            <w:pPr>
              <w:rPr>
                <w:rFonts w:ascii="Verdana" w:eastAsia="Times New Roman" w:hAnsi="Verdana" w:cs="Arial"/>
                <w:sz w:val="16"/>
                <w:szCs w:val="16"/>
                <w:lang w:eastAsia="es-ES"/>
              </w:rPr>
            </w:pPr>
            <w:r w:rsidRPr="00B24918">
              <w:rPr>
                <w:rFonts w:ascii="Verdana" w:eastAsia="Times New Roman" w:hAnsi="Verdana" w:cs="Arial"/>
                <w:sz w:val="16"/>
                <w:szCs w:val="16"/>
                <w:lang w:eastAsia="es-ES"/>
              </w:rPr>
              <w:t>Camila Alejandra Naranjo Gómez</w:t>
            </w:r>
          </w:p>
          <w:p w14:paraId="3F74BA5E" w14:textId="77777777" w:rsidR="000A7AC9" w:rsidRPr="00B24918" w:rsidRDefault="000A7AC9" w:rsidP="00C955B6">
            <w:pPr>
              <w:contextualSpacing/>
              <w:rPr>
                <w:rFonts w:ascii="Verdana" w:eastAsia="Arial" w:hAnsi="Verdana" w:cs="Arial"/>
                <w:sz w:val="16"/>
                <w:szCs w:val="16"/>
                <w:lang w:val="es-ES"/>
              </w:rPr>
            </w:pPr>
            <w:r w:rsidRPr="00B24918">
              <w:rPr>
                <w:rFonts w:ascii="Verdana" w:eastAsia="Times New Roman" w:hAnsi="Verdana" w:cs="Arial"/>
                <w:sz w:val="16"/>
                <w:szCs w:val="16"/>
                <w:lang w:eastAsia="es-ES"/>
              </w:rPr>
              <w:t>Analista T2-02 de la Subdirección de Gestión Contractual</w:t>
            </w:r>
          </w:p>
        </w:tc>
      </w:tr>
      <w:tr w:rsidR="000A7AC9" w:rsidRPr="00B24918" w14:paraId="13E76A9A" w14:textId="77777777" w:rsidTr="00C955B6">
        <w:trPr>
          <w:trHeight w:val="330"/>
        </w:trPr>
        <w:tc>
          <w:tcPr>
            <w:tcW w:w="893" w:type="dxa"/>
            <w:vAlign w:val="center"/>
            <w:hideMark/>
          </w:tcPr>
          <w:p w14:paraId="3B1CC52F" w14:textId="77777777" w:rsidR="000A7AC9" w:rsidRPr="00B24918" w:rsidRDefault="000A7AC9" w:rsidP="00C955B6">
            <w:pPr>
              <w:contextualSpacing/>
              <w:rPr>
                <w:rFonts w:ascii="Verdana" w:hAnsi="Verdana" w:cs="Arial"/>
                <w:sz w:val="16"/>
                <w:szCs w:val="16"/>
                <w:lang w:val="es-ES" w:eastAsia="es-ES"/>
              </w:rPr>
            </w:pPr>
            <w:r w:rsidRPr="00B24918">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9C5711E" w14:textId="77777777" w:rsidR="000A7AC9" w:rsidRPr="00B24918" w:rsidRDefault="000A7AC9" w:rsidP="00C955B6">
            <w:pPr>
              <w:rPr>
                <w:rFonts w:ascii="Verdana" w:eastAsia="Times New Roman" w:hAnsi="Verdana" w:cs="Arial"/>
                <w:sz w:val="16"/>
                <w:szCs w:val="16"/>
                <w:lang w:eastAsia="es-ES"/>
              </w:rPr>
            </w:pPr>
            <w:r w:rsidRPr="00B24918">
              <w:rPr>
                <w:rFonts w:ascii="Verdana" w:eastAsia="Times New Roman" w:hAnsi="Verdana" w:cs="Arial"/>
                <w:sz w:val="16"/>
                <w:szCs w:val="16"/>
                <w:lang w:eastAsia="es-ES"/>
              </w:rPr>
              <w:t>Alejandro Sarmiento Cantillo</w:t>
            </w:r>
          </w:p>
          <w:p w14:paraId="06916BF6" w14:textId="77777777" w:rsidR="000A7AC9" w:rsidRPr="00B24918" w:rsidRDefault="000A7AC9" w:rsidP="00C955B6">
            <w:pPr>
              <w:pStyle w:val="paragraph"/>
              <w:spacing w:before="0" w:beforeAutospacing="0" w:after="0" w:afterAutospacing="0"/>
              <w:contextualSpacing/>
              <w:textAlignment w:val="baseline"/>
              <w:rPr>
                <w:rFonts w:ascii="Verdana" w:hAnsi="Verdana" w:cs="Segoe UI"/>
                <w:sz w:val="16"/>
                <w:szCs w:val="16"/>
                <w:lang w:val="es-ES"/>
              </w:rPr>
            </w:pPr>
            <w:r w:rsidRPr="00B24918">
              <w:rPr>
                <w:rFonts w:ascii="Verdana" w:hAnsi="Verdana" w:cs="Arial"/>
                <w:sz w:val="16"/>
                <w:szCs w:val="16"/>
                <w:lang w:eastAsia="es-ES"/>
              </w:rPr>
              <w:t>Gestor T1 ‒ 15 de la Subdirección de Gestión Contractual</w:t>
            </w:r>
          </w:p>
        </w:tc>
      </w:tr>
      <w:tr w:rsidR="000A7AC9" w:rsidRPr="00B24918" w14:paraId="554BA236" w14:textId="77777777" w:rsidTr="00C955B6">
        <w:trPr>
          <w:trHeight w:val="300"/>
        </w:trPr>
        <w:tc>
          <w:tcPr>
            <w:tcW w:w="893" w:type="dxa"/>
            <w:vAlign w:val="center"/>
          </w:tcPr>
          <w:p w14:paraId="2FF14C32" w14:textId="77777777" w:rsidR="000A7AC9" w:rsidRPr="00B24918" w:rsidRDefault="000A7AC9" w:rsidP="00C955B6">
            <w:pPr>
              <w:contextualSpacing/>
              <w:rPr>
                <w:rFonts w:ascii="Verdana" w:hAnsi="Verdana" w:cs="Arial"/>
                <w:sz w:val="16"/>
                <w:szCs w:val="16"/>
                <w:lang w:val="es-ES" w:eastAsia="es-ES"/>
              </w:rPr>
            </w:pPr>
            <w:r w:rsidRPr="00B24918">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704E11F" w14:textId="77777777" w:rsidR="000A7AC9" w:rsidRPr="00B24918" w:rsidRDefault="000A7AC9" w:rsidP="00C955B6">
            <w:pPr>
              <w:contextualSpacing/>
              <w:rPr>
                <w:rFonts w:ascii="Verdana" w:eastAsia="Calibri" w:hAnsi="Verdana" w:cs="Arial"/>
                <w:sz w:val="16"/>
                <w:szCs w:val="16"/>
                <w:lang w:val="es-ES" w:eastAsia="es-ES"/>
              </w:rPr>
            </w:pPr>
            <w:r w:rsidRPr="00B24918">
              <w:rPr>
                <w:rFonts w:ascii="Verdana" w:eastAsia="Calibri" w:hAnsi="Verdana" w:cs="Arial"/>
                <w:sz w:val="16"/>
                <w:szCs w:val="16"/>
                <w:lang w:val="es-ES" w:eastAsia="es-ES"/>
              </w:rPr>
              <w:t>Carolina Quintero Gacharná</w:t>
            </w:r>
          </w:p>
          <w:p w14:paraId="713D3C9F" w14:textId="77777777" w:rsidR="000A7AC9" w:rsidRPr="00B24918" w:rsidRDefault="000A7AC9" w:rsidP="00C955B6">
            <w:pPr>
              <w:contextualSpacing/>
              <w:rPr>
                <w:rFonts w:ascii="Verdana" w:eastAsia="Calibri" w:hAnsi="Verdana" w:cs="Arial"/>
                <w:sz w:val="16"/>
                <w:szCs w:val="16"/>
                <w:lang w:val="es-ES" w:eastAsia="es-ES"/>
              </w:rPr>
            </w:pPr>
            <w:r w:rsidRPr="00B24918">
              <w:rPr>
                <w:rFonts w:ascii="Verdana" w:eastAsia="Calibri" w:hAnsi="Verdana" w:cs="Arial"/>
                <w:sz w:val="16"/>
                <w:szCs w:val="16"/>
                <w:lang w:val="es-ES" w:eastAsia="es-ES"/>
              </w:rPr>
              <w:t>Subdirectora de Gestión Contractual ANCP – CCE</w:t>
            </w:r>
          </w:p>
        </w:tc>
      </w:tr>
    </w:tbl>
    <w:p w14:paraId="519AD499" w14:textId="77777777" w:rsidR="000A7AC9" w:rsidRPr="00C13BC2" w:rsidRDefault="000A7AC9" w:rsidP="000A7AC9">
      <w:pPr>
        <w:spacing w:after="120" w:line="276" w:lineRule="auto"/>
        <w:jc w:val="both"/>
        <w:rPr>
          <w:rFonts w:ascii="Verdana" w:eastAsia="Century Gothic" w:hAnsi="Verdana" w:cs="Century Gothic"/>
          <w:b/>
          <w:color w:val="EE0000"/>
        </w:rPr>
      </w:pPr>
    </w:p>
    <w:bookmarkEnd w:id="0"/>
    <w:p w14:paraId="3BDAC966" w14:textId="77777777" w:rsidR="000A7AC9" w:rsidRPr="00F267F4" w:rsidRDefault="000A7AC9" w:rsidP="000A7AC9">
      <w:pPr>
        <w:spacing w:after="120" w:line="276" w:lineRule="auto"/>
        <w:jc w:val="both"/>
        <w:rPr>
          <w:rFonts w:ascii="Verdana" w:eastAsia="Century Gothic" w:hAnsi="Verdana" w:cs="Century Gothic"/>
          <w:b/>
          <w:color w:val="EE0000"/>
        </w:rPr>
      </w:pPr>
    </w:p>
    <w:p w14:paraId="0F293BF4" w14:textId="0ECACBD3" w:rsidR="00127233" w:rsidRPr="000A7AC9" w:rsidRDefault="00127233" w:rsidP="000A7AC9">
      <w:pPr>
        <w:rPr>
          <w:lang w:val="es-ES"/>
        </w:rPr>
      </w:pPr>
    </w:p>
    <w:sectPr w:rsidR="00127233" w:rsidRPr="000A7AC9"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5E483B" w14:textId="77777777" w:rsidR="00093DDA" w:rsidRDefault="00093DDA" w:rsidP="004A1847">
      <w:pPr>
        <w:spacing w:after="0" w:line="240" w:lineRule="auto"/>
      </w:pPr>
      <w:r>
        <w:separator/>
      </w:r>
    </w:p>
  </w:endnote>
  <w:endnote w:type="continuationSeparator" w:id="0">
    <w:p w14:paraId="2A847A17" w14:textId="77777777" w:rsidR="00093DDA" w:rsidRDefault="00093DD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altName w:val="Calibri"/>
    <w:panose1 w:val="020B0502020202020204"/>
    <w:charset w:val="00"/>
    <w:family w:val="swiss"/>
    <w:pitch w:val="variable"/>
    <w:sig w:usb0="00000287" w:usb1="00000000" w:usb2="00000000" w:usb3="00000000" w:csb0="0000009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imes-Italic">
    <w:panose1 w:val="00000000000000000000"/>
    <w:charset w:val="00"/>
    <w:family w:val="roman"/>
    <w:notTrueType/>
    <w:pitch w:val="default"/>
    <w:sig w:usb0="00000003" w:usb1="00000000" w:usb2="00000000" w:usb3="00000000" w:csb0="00000001"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FC63EA" w14:textId="77777777" w:rsidR="00093DDA" w:rsidRDefault="00093DDA" w:rsidP="004A1847">
      <w:pPr>
        <w:spacing w:after="0" w:line="240" w:lineRule="auto"/>
      </w:pPr>
      <w:r>
        <w:separator/>
      </w:r>
    </w:p>
  </w:footnote>
  <w:footnote w:type="continuationSeparator" w:id="0">
    <w:p w14:paraId="3F3A2815" w14:textId="77777777" w:rsidR="00093DDA" w:rsidRDefault="00093DDA" w:rsidP="004A1847">
      <w:pPr>
        <w:spacing w:after="0" w:line="240" w:lineRule="auto"/>
      </w:pPr>
      <w:r>
        <w:continuationSeparator/>
      </w:r>
    </w:p>
  </w:footnote>
  <w:footnote w:id="1">
    <w:p w14:paraId="51571F3C" w14:textId="77777777" w:rsidR="000A7AC9" w:rsidRPr="007A5156" w:rsidRDefault="000A7AC9" w:rsidP="000A7AC9">
      <w:pPr>
        <w:pStyle w:val="Textonotapie"/>
        <w:ind w:firstLine="709"/>
        <w:jc w:val="both"/>
        <w:rPr>
          <w:rFonts w:ascii="Verdana" w:hAnsi="Verdana"/>
          <w:sz w:val="16"/>
          <w:szCs w:val="16"/>
        </w:rPr>
      </w:pPr>
      <w:r w:rsidRPr="007A5156">
        <w:rPr>
          <w:rStyle w:val="Refdenotaalpie"/>
          <w:rFonts w:ascii="Verdana" w:hAnsi="Verdana"/>
          <w:sz w:val="16"/>
          <w:szCs w:val="16"/>
        </w:rPr>
        <w:footnoteRef/>
      </w:r>
      <w:r w:rsidRPr="007A5156">
        <w:rPr>
          <w:rFonts w:ascii="Verdana" w:hAnsi="Verdana"/>
          <w:sz w:val="16"/>
          <w:szCs w:val="16"/>
        </w:rPr>
        <w:t xml:space="preserve"> </w:t>
      </w:r>
      <w:r w:rsidRPr="007A5156">
        <w:rPr>
          <w:rFonts w:ascii="Verdana" w:hAnsi="Verdana"/>
          <w:sz w:val="16"/>
          <w:szCs w:val="16"/>
          <w:lang w:val="es-CO"/>
        </w:rPr>
        <w:t>Artículo 346. “[…] El Gobierno formulará anualmente el presupuesto de rentas y ley de apropiaciones, que será presentado al Congreso dentro de los primeros diez días de cada legislatura. El presupuesto de rentas y ley de apropiaciones deberá elaborarse, presentarse y aprobarse dentro de un marco de sostenibilidad fiscal y corresponder al Plan Nacional de Desarrollo. […]”</w:t>
      </w:r>
    </w:p>
  </w:footnote>
  <w:footnote w:id="2">
    <w:p w14:paraId="16561EE9" w14:textId="77777777" w:rsidR="000A7AC9" w:rsidRPr="007A5156" w:rsidRDefault="000A7AC9" w:rsidP="000A7AC9">
      <w:pPr>
        <w:pStyle w:val="Textonotapie"/>
        <w:ind w:firstLine="708"/>
        <w:jc w:val="both"/>
        <w:rPr>
          <w:rFonts w:ascii="Verdana" w:hAnsi="Verdana" w:cs="Arial"/>
          <w:sz w:val="16"/>
          <w:szCs w:val="16"/>
        </w:rPr>
      </w:pPr>
      <w:r w:rsidRPr="007A5156">
        <w:rPr>
          <w:rStyle w:val="Refdenotaalpie"/>
          <w:rFonts w:ascii="Verdana" w:hAnsi="Verdana" w:cs="Arial"/>
          <w:sz w:val="16"/>
          <w:szCs w:val="16"/>
        </w:rPr>
        <w:footnoteRef/>
      </w:r>
      <w:r w:rsidRPr="007A5156">
        <w:rPr>
          <w:rFonts w:ascii="Verdana" w:hAnsi="Verdana" w:cs="Arial"/>
          <w:sz w:val="16"/>
          <w:szCs w:val="16"/>
        </w:rPr>
        <w:t xml:space="preserve"> “El instrumento principal de la actividad financiera del gobierno es el presupuesto público, el cual es también la carta de orientación para la ejecución de las finanzas estatales, instrumento de planificación y cumplimiento de planes y programas que refleja la actividad gubernamental y el cumplimiento de la Constitución Política en los ámbitos políticos, económicos, jurídicos y sociales. […] El presupuesto enmarca toda la práctica de política fiscal del Estado. Por medio de éste se llevan a cabo la búsqueda y el cumplimiento de principios y finalidades de la actuación administrativa, y que (sic) en últimas, orienta la satisfacción de necesidades de los individuos que lo conforman y se garantizan los recursos necesarios para el normal funcionamiento del aparato estatal”. PEÑA GONZÁLEZ, Edilberto. Principios e instituciones presupuestales en Colombia, en: Estudios Socio-Jurídicos, Bogotá (Colombia), 9 (1), enero-junio de 2007, p. 248 y 250.</w:t>
      </w:r>
    </w:p>
  </w:footnote>
  <w:footnote w:id="3">
    <w:p w14:paraId="00EC8985" w14:textId="77777777" w:rsidR="000A7AC9" w:rsidRPr="007A5156" w:rsidRDefault="000A7AC9" w:rsidP="000A7AC9">
      <w:pPr>
        <w:pStyle w:val="Textonotapie"/>
        <w:ind w:firstLine="708"/>
        <w:jc w:val="both"/>
        <w:rPr>
          <w:rFonts w:ascii="Verdana" w:hAnsi="Verdana" w:cs="Arial"/>
          <w:sz w:val="16"/>
          <w:szCs w:val="16"/>
        </w:rPr>
      </w:pPr>
      <w:r w:rsidRPr="007A5156">
        <w:rPr>
          <w:rStyle w:val="Refdenotaalpie"/>
          <w:rFonts w:ascii="Verdana" w:hAnsi="Verdana" w:cs="Arial"/>
          <w:sz w:val="16"/>
          <w:szCs w:val="16"/>
        </w:rPr>
        <w:footnoteRef/>
      </w:r>
      <w:r w:rsidRPr="007A5156">
        <w:rPr>
          <w:rFonts w:ascii="Verdana" w:hAnsi="Verdana" w:cs="Arial"/>
          <w:sz w:val="16"/>
          <w:szCs w:val="16"/>
        </w:rPr>
        <w:t xml:space="preserve"> De conformidad con lo dispuesto en el artículo 10 del Decreto 111 de 1996 “La Ley Anual sobre el Presupuesto General de la Nación es el instrumento para el cumplimiento de los planes y programas de desarrollo económico y social” </w:t>
      </w:r>
    </w:p>
    <w:p w14:paraId="0D6461A0" w14:textId="77777777" w:rsidR="000A7AC9" w:rsidRPr="007A5156" w:rsidRDefault="000A7AC9" w:rsidP="000A7AC9">
      <w:pPr>
        <w:pStyle w:val="Textonotapie"/>
        <w:ind w:firstLine="708"/>
        <w:jc w:val="both"/>
        <w:rPr>
          <w:rFonts w:ascii="Verdana" w:hAnsi="Verdana" w:cs="Arial"/>
          <w:sz w:val="16"/>
          <w:szCs w:val="16"/>
        </w:rPr>
      </w:pPr>
      <w:r w:rsidRPr="007A5156">
        <w:rPr>
          <w:rFonts w:ascii="Verdana" w:hAnsi="Verdana" w:cs="Arial"/>
          <w:sz w:val="16"/>
          <w:szCs w:val="16"/>
        </w:rPr>
        <w:t>A su turno, el artículo 11 del mismo Decreto indica que “El Presupuesto General de la Nación se compone de las siguientes partes:</w:t>
      </w:r>
    </w:p>
    <w:p w14:paraId="5F01F457" w14:textId="77777777" w:rsidR="000A7AC9" w:rsidRPr="007A5156" w:rsidRDefault="000A7AC9" w:rsidP="000A7AC9">
      <w:pPr>
        <w:pStyle w:val="Textonotapie"/>
        <w:ind w:firstLine="708"/>
        <w:jc w:val="both"/>
        <w:rPr>
          <w:rFonts w:ascii="Verdana" w:hAnsi="Verdana" w:cs="Arial"/>
          <w:sz w:val="16"/>
          <w:szCs w:val="16"/>
        </w:rPr>
      </w:pPr>
      <w:r w:rsidRPr="007A5156">
        <w:rPr>
          <w:rFonts w:ascii="Verdana" w:hAnsi="Verdana" w:cs="Arial"/>
          <w:sz w:val="16"/>
          <w:szCs w:val="16"/>
        </w:rPr>
        <w:t>a) El Presupuesto de Rentas contendrá la estimación de los ingresos corrientes de la Nación; de las contribuciones para fiscales cuando sean administradas por un órgano que haga parte del Presupuesto, de los fondos especiales, de los recursos de capital y de los ingresos de los establecimientos públicos del orden nacional;</w:t>
      </w:r>
    </w:p>
    <w:p w14:paraId="6907A24E" w14:textId="77777777" w:rsidR="000A7AC9" w:rsidRPr="007A5156" w:rsidRDefault="000A7AC9" w:rsidP="000A7AC9">
      <w:pPr>
        <w:pStyle w:val="Textonotapie"/>
        <w:ind w:firstLine="708"/>
        <w:jc w:val="both"/>
        <w:rPr>
          <w:rFonts w:ascii="Verdana" w:hAnsi="Verdana" w:cs="Arial"/>
          <w:sz w:val="16"/>
          <w:szCs w:val="16"/>
        </w:rPr>
      </w:pPr>
      <w:r w:rsidRPr="007A5156">
        <w:rPr>
          <w:rFonts w:ascii="Verdana" w:hAnsi="Verdana" w:cs="Arial"/>
          <w:sz w:val="16"/>
          <w:szCs w:val="16"/>
        </w:rPr>
        <w:t>b) El Presupuesto de Gastos o Ley de Apropiaciones. Incluirá las apropiaciones para la Rama Judicial, la Rama Legislativa, la Fiscalía General de la Nación, la Procuraduría General de la Nación, la Defensoría del Pueblo, la Contraloría General de la República, la Registraduría Nacional del Estado Civil que incluye el Consejo Nacional Electoral, los Ministerios, los Departamentos Administrativos, los Establecimientos Públicos y la Policía Nacional, distinguiendo entre gastos de funcionamiento, servicio de la deuda pública y gastos de inversión, clasificados y detallados en la forma que indiquen los reglamentos;</w:t>
      </w:r>
    </w:p>
    <w:p w14:paraId="64EA73AF" w14:textId="77777777" w:rsidR="000A7AC9" w:rsidRPr="007A5156" w:rsidRDefault="000A7AC9" w:rsidP="000A7AC9">
      <w:pPr>
        <w:pStyle w:val="Textonotapie"/>
        <w:ind w:firstLine="708"/>
        <w:jc w:val="both"/>
        <w:rPr>
          <w:rFonts w:ascii="Verdana" w:hAnsi="Verdana" w:cs="Arial"/>
          <w:sz w:val="16"/>
          <w:szCs w:val="16"/>
          <w:lang w:val="es-CO"/>
        </w:rPr>
      </w:pPr>
      <w:r w:rsidRPr="007A5156">
        <w:rPr>
          <w:rFonts w:ascii="Verdana" w:hAnsi="Verdana" w:cs="Arial"/>
          <w:sz w:val="16"/>
          <w:szCs w:val="16"/>
        </w:rPr>
        <w:t xml:space="preserve"> c) Disposiciones generales. Corresponde a las normas tendientes a asegurar la correcta ejecución del Presupuesto General de la Nación, las cuales regirán únicamente para el año fiscal para el cual se expidan.»</w:t>
      </w:r>
    </w:p>
  </w:footnote>
  <w:footnote w:id="4">
    <w:p w14:paraId="1164E941" w14:textId="77777777" w:rsidR="000A7AC9" w:rsidRPr="007A5156" w:rsidRDefault="000A7AC9" w:rsidP="000A7AC9">
      <w:pPr>
        <w:pStyle w:val="Textonotapie"/>
        <w:ind w:firstLine="709"/>
        <w:jc w:val="both"/>
        <w:rPr>
          <w:rFonts w:ascii="Verdana" w:hAnsi="Verdana"/>
          <w:sz w:val="16"/>
          <w:szCs w:val="16"/>
          <w:lang w:val="es-CO"/>
        </w:rPr>
      </w:pPr>
      <w:r w:rsidRPr="007A5156">
        <w:rPr>
          <w:rStyle w:val="Refdenotaalpie"/>
          <w:rFonts w:ascii="Verdana" w:hAnsi="Verdana" w:cs="Arial"/>
          <w:sz w:val="16"/>
          <w:szCs w:val="16"/>
        </w:rPr>
        <w:footnoteRef/>
      </w:r>
      <w:r w:rsidRPr="007A5156">
        <w:rPr>
          <w:rFonts w:ascii="Verdana" w:hAnsi="Verdana" w:cs="Arial"/>
          <w:sz w:val="16"/>
          <w:szCs w:val="16"/>
        </w:rPr>
        <w:t xml:space="preserve"> Decreto 1068 de 2015 “</w:t>
      </w:r>
      <w:r w:rsidRPr="007A5156">
        <w:rPr>
          <w:rFonts w:ascii="Verdana" w:hAnsi="Verdana" w:cs="Arial"/>
          <w:sz w:val="16"/>
          <w:szCs w:val="16"/>
          <w:lang w:val="es-CO"/>
        </w:rPr>
        <w:t>Artículo </w:t>
      </w:r>
      <w:bookmarkStart w:id="4" w:name="2.8.3.4"/>
      <w:bookmarkEnd w:id="4"/>
      <w:r w:rsidRPr="007A5156">
        <w:rPr>
          <w:rFonts w:ascii="Verdana" w:hAnsi="Verdana" w:cs="Arial"/>
          <w:sz w:val="16"/>
          <w:szCs w:val="16"/>
          <w:lang w:val="es-CO"/>
        </w:rPr>
        <w:t>2.8.3.4. </w:t>
      </w:r>
      <w:r w:rsidRPr="007A5156">
        <w:rPr>
          <w:rFonts w:ascii="Verdana" w:hAnsi="Verdana" w:cs="Arial"/>
          <w:i/>
          <w:iCs/>
          <w:sz w:val="16"/>
          <w:szCs w:val="16"/>
          <w:lang w:val="es-CO"/>
        </w:rPr>
        <w:t>Anualidad.</w:t>
      </w:r>
      <w:r w:rsidRPr="007A5156">
        <w:rPr>
          <w:rFonts w:ascii="Verdana" w:hAnsi="Verdana" w:cs="Arial"/>
          <w:sz w:val="16"/>
          <w:szCs w:val="16"/>
          <w:lang w:val="es-CO"/>
        </w:rPr>
        <w:t> El año fiscal comienza el 1 de enero y termina el 31 de diciembre de cada año. Después del 31 de diciembre no podrán asumirse compromisos con cargo a las apropiaciones del año fiscal que se cierra en esa fecha y los saldos de apropiación no afectados por compromisos caducarán sin excepción”.</w:t>
      </w:r>
    </w:p>
  </w:footnote>
  <w:footnote w:id="5">
    <w:p w14:paraId="67550C92" w14:textId="77777777" w:rsidR="000A7AC9" w:rsidRPr="007A5156" w:rsidRDefault="000A7AC9" w:rsidP="000A7AC9">
      <w:pPr>
        <w:pStyle w:val="Textonotapie"/>
        <w:ind w:right="49" w:firstLine="708"/>
        <w:jc w:val="both"/>
        <w:rPr>
          <w:rFonts w:ascii="Verdana" w:hAnsi="Verdana" w:cs="Arial"/>
          <w:color w:val="000000"/>
          <w:sz w:val="16"/>
          <w:szCs w:val="16"/>
        </w:rPr>
      </w:pPr>
      <w:r w:rsidRPr="007A5156">
        <w:rPr>
          <w:rStyle w:val="Refdenotaalpie"/>
          <w:rFonts w:ascii="Verdana" w:hAnsi="Verdana"/>
          <w:sz w:val="16"/>
          <w:szCs w:val="16"/>
        </w:rPr>
        <w:footnoteRef/>
      </w:r>
      <w:r w:rsidRPr="007A5156">
        <w:rPr>
          <w:rFonts w:ascii="Verdana" w:hAnsi="Verdana"/>
          <w:sz w:val="16"/>
          <w:szCs w:val="16"/>
        </w:rPr>
        <w:t xml:space="preserve"> </w:t>
      </w:r>
      <w:r w:rsidRPr="007A5156">
        <w:rPr>
          <w:rFonts w:ascii="Verdana" w:hAnsi="Verdana" w:cs="Arial"/>
          <w:color w:val="000000"/>
          <w:sz w:val="16"/>
          <w:szCs w:val="16"/>
        </w:rPr>
        <w:t>Consejo de Estado. Sección Tercera. Sentencia del 1 de febrero de 2018. Radicado Nro.</w:t>
      </w:r>
      <w:r w:rsidRPr="007A5156">
        <w:rPr>
          <w:rFonts w:ascii="Verdana" w:hAnsi="Verdana" w:cs="Arial"/>
          <w:color w:val="000000"/>
          <w:sz w:val="16"/>
          <w:szCs w:val="16"/>
          <w:lang w:val="es-CO"/>
        </w:rPr>
        <w:t xml:space="preserve"> 08001-2331-000-2010-00987-01</w:t>
      </w:r>
      <w:r w:rsidRPr="007A5156">
        <w:rPr>
          <w:rFonts w:ascii="Verdana" w:hAnsi="Verdana" w:cs="Arial"/>
          <w:color w:val="000000"/>
          <w:sz w:val="16"/>
          <w:szCs w:val="16"/>
        </w:rPr>
        <w:t xml:space="preserve">. C.P. </w:t>
      </w:r>
      <w:r w:rsidRPr="007A5156">
        <w:rPr>
          <w:rFonts w:ascii="Verdana" w:hAnsi="Verdana" w:cs="Arial"/>
          <w:color w:val="000000"/>
          <w:sz w:val="16"/>
          <w:szCs w:val="16"/>
          <w:lang w:val="es-CO"/>
        </w:rPr>
        <w:t>Oswaldo Giraldo López</w:t>
      </w:r>
    </w:p>
    <w:p w14:paraId="44D03274" w14:textId="77777777" w:rsidR="000A7AC9" w:rsidRPr="007A5156" w:rsidRDefault="000A7AC9" w:rsidP="000A7AC9">
      <w:pPr>
        <w:pStyle w:val="Textonotapie"/>
        <w:jc w:val="both"/>
        <w:rPr>
          <w:rFonts w:ascii="Verdana" w:hAnsi="Verdana"/>
          <w:sz w:val="16"/>
          <w:szCs w:val="16"/>
          <w:lang w:val="es-CO"/>
        </w:rPr>
      </w:pPr>
    </w:p>
  </w:footnote>
  <w:footnote w:id="6">
    <w:p w14:paraId="022C57D3" w14:textId="77777777" w:rsidR="000A7AC9" w:rsidRPr="007A5156" w:rsidRDefault="000A7AC9" w:rsidP="000A7AC9">
      <w:pPr>
        <w:pStyle w:val="Textonotapie"/>
        <w:ind w:firstLine="708"/>
        <w:rPr>
          <w:rFonts w:ascii="Verdana" w:hAnsi="Verdana"/>
          <w:sz w:val="16"/>
          <w:szCs w:val="16"/>
          <w:lang w:val="es-ES"/>
        </w:rPr>
      </w:pPr>
      <w:r w:rsidRPr="007A5156">
        <w:rPr>
          <w:rStyle w:val="Refdenotaalpie"/>
          <w:rFonts w:ascii="Verdana" w:hAnsi="Verdana"/>
          <w:sz w:val="16"/>
          <w:szCs w:val="16"/>
        </w:rPr>
        <w:footnoteRef/>
      </w:r>
      <w:r w:rsidRPr="007A5156">
        <w:rPr>
          <w:rFonts w:ascii="Verdana" w:hAnsi="Verdana"/>
          <w:sz w:val="16"/>
          <w:szCs w:val="16"/>
        </w:rPr>
        <w:t xml:space="preserve"> NARANJO FLORES, Carlos Eduardo; CELY CUBIDES, Diego Mauricio. Las excepciones al principio de anualidad en la contratación estatal. Bogotá: Revista de Derecho Fiscal Universidad Externado de Colombia, 2008, no 4. pp. 250-251.</w:t>
      </w:r>
    </w:p>
  </w:footnote>
  <w:footnote w:id="7">
    <w:p w14:paraId="7A31D84B" w14:textId="77777777" w:rsidR="000A7AC9" w:rsidRPr="007A5156" w:rsidRDefault="000A7AC9" w:rsidP="000A7AC9">
      <w:pPr>
        <w:pStyle w:val="Textonotapie"/>
        <w:ind w:firstLine="709"/>
        <w:jc w:val="both"/>
        <w:rPr>
          <w:rFonts w:ascii="Verdana" w:hAnsi="Verdana" w:cs="Arial"/>
          <w:sz w:val="16"/>
          <w:szCs w:val="16"/>
          <w:lang w:val="es-CO"/>
        </w:rPr>
      </w:pPr>
      <w:r w:rsidRPr="007A5156">
        <w:rPr>
          <w:rStyle w:val="Refdenotaalpie"/>
          <w:rFonts w:ascii="Verdana" w:hAnsi="Verdana" w:cs="Arial"/>
          <w:sz w:val="16"/>
          <w:szCs w:val="16"/>
        </w:rPr>
        <w:footnoteRef/>
      </w:r>
      <w:r w:rsidRPr="007A5156">
        <w:rPr>
          <w:rFonts w:ascii="Verdana" w:hAnsi="Verdana" w:cs="Arial"/>
          <w:sz w:val="16"/>
          <w:szCs w:val="16"/>
        </w:rPr>
        <w:t xml:space="preserve"> </w:t>
      </w:r>
      <w:bookmarkStart w:id="5" w:name="23"/>
      <w:r w:rsidRPr="007A5156">
        <w:rPr>
          <w:rFonts w:ascii="Verdana" w:eastAsia="Calibri" w:hAnsi="Verdana" w:cs="Arial"/>
          <w:sz w:val="16"/>
          <w:szCs w:val="16"/>
          <w:lang w:val="es-ES_tradnl"/>
        </w:rPr>
        <w:t>“</w:t>
      </w:r>
      <w:r w:rsidRPr="007A5156">
        <w:rPr>
          <w:rFonts w:ascii="Verdana" w:hAnsi="Verdana" w:cs="Arial"/>
          <w:sz w:val="16"/>
          <w:szCs w:val="16"/>
          <w:lang w:val="es-CO"/>
        </w:rPr>
        <w:t>Artículo 23.</w:t>
      </w:r>
      <w:bookmarkEnd w:id="5"/>
      <w:r w:rsidRPr="007A5156">
        <w:rPr>
          <w:rFonts w:ascii="Verdana" w:hAnsi="Verdana" w:cs="Arial"/>
          <w:sz w:val="16"/>
          <w:szCs w:val="16"/>
          <w:lang w:val="es-CO"/>
        </w:rPr>
        <w:t xml:space="preserve"> El Confis podrá autorizar la asunción de obligaciones que afecten presupuestos de vigencias futuras cuando su ejecución se inicie con presupuesto de la vigencia en curso y el objeto del compromiso se lleve a cabo en cada una de ellas siempre y cuando se cumpla que:</w:t>
      </w:r>
    </w:p>
    <w:p w14:paraId="6543C09D" w14:textId="77777777" w:rsidR="000A7AC9" w:rsidRPr="007A5156" w:rsidRDefault="000A7AC9" w:rsidP="000A7AC9">
      <w:pPr>
        <w:pStyle w:val="Textonotapie"/>
        <w:ind w:firstLine="567"/>
        <w:jc w:val="both"/>
        <w:rPr>
          <w:rFonts w:ascii="Verdana" w:hAnsi="Verdana" w:cs="Arial"/>
          <w:sz w:val="16"/>
          <w:szCs w:val="16"/>
          <w:lang w:val="es-CO"/>
        </w:rPr>
      </w:pPr>
      <w:r w:rsidRPr="007A5156">
        <w:rPr>
          <w:rFonts w:ascii="Verdana" w:hAnsi="Verdana" w:cs="Arial"/>
          <w:sz w:val="16"/>
          <w:szCs w:val="16"/>
          <w:lang w:val="es-CO"/>
        </w:rPr>
        <w:t>a) El monto máximo de vigencias futuras, el plazo y las condiciones de las mismas consulte las metas plurianuales del Marco Fiscal de Mediano Plazo de que trata el artículo </w:t>
      </w:r>
      <w:r w:rsidRPr="00C54CF0">
        <w:rPr>
          <w:rFonts w:ascii="Verdana" w:hAnsi="Verdana"/>
          <w:sz w:val="16"/>
          <w:szCs w:val="16"/>
        </w:rPr>
        <w:t xml:space="preserve">1 </w:t>
      </w:r>
      <w:r w:rsidRPr="007A5156">
        <w:rPr>
          <w:rFonts w:ascii="Verdana" w:hAnsi="Verdana" w:cs="Arial"/>
          <w:sz w:val="16"/>
          <w:szCs w:val="16"/>
          <w:lang w:val="es-CO"/>
        </w:rPr>
        <w:t>de esta ley;</w:t>
      </w:r>
    </w:p>
    <w:p w14:paraId="73413241" w14:textId="77777777" w:rsidR="000A7AC9" w:rsidRPr="007A5156" w:rsidRDefault="000A7AC9" w:rsidP="000A7AC9">
      <w:pPr>
        <w:pStyle w:val="Textonotapie"/>
        <w:ind w:firstLine="567"/>
        <w:jc w:val="both"/>
        <w:rPr>
          <w:rFonts w:ascii="Verdana" w:hAnsi="Verdana" w:cs="Arial"/>
          <w:sz w:val="16"/>
          <w:szCs w:val="16"/>
          <w:lang w:val="es-CO"/>
        </w:rPr>
      </w:pPr>
      <w:r w:rsidRPr="007A5156">
        <w:rPr>
          <w:rFonts w:ascii="Verdana" w:hAnsi="Verdana" w:cs="Arial"/>
          <w:sz w:val="16"/>
          <w:szCs w:val="16"/>
          <w:lang w:val="es-CO"/>
        </w:rPr>
        <w:t>b) Como mínimo, de las vigencias futuras que se soliciten se deberá contar con apropiación del quince por ciento (15%) en la vigencia fiscal en la que estas sean autorizadas;</w:t>
      </w:r>
    </w:p>
    <w:p w14:paraId="2731E50C" w14:textId="77777777" w:rsidR="000A7AC9" w:rsidRPr="007A5156" w:rsidRDefault="000A7AC9" w:rsidP="000A7AC9">
      <w:pPr>
        <w:pStyle w:val="Textonotapie"/>
        <w:ind w:firstLine="567"/>
        <w:jc w:val="both"/>
        <w:rPr>
          <w:rFonts w:ascii="Verdana" w:hAnsi="Verdana" w:cs="Arial"/>
          <w:sz w:val="16"/>
          <w:szCs w:val="16"/>
          <w:lang w:val="es-CO"/>
        </w:rPr>
      </w:pPr>
      <w:r w:rsidRPr="007A5156">
        <w:rPr>
          <w:rFonts w:ascii="Verdana" w:hAnsi="Verdana" w:cs="Arial"/>
          <w:sz w:val="16"/>
          <w:szCs w:val="16"/>
          <w:lang w:val="es-CO"/>
        </w:rPr>
        <w:t>c) Cuando se trate de proyectos de inversión nacional deberá obtenerse el concepto previo y favorable del Departamento Nacional de Planeación y del Ministerio del ramo.</w:t>
      </w:r>
    </w:p>
    <w:p w14:paraId="402CB388" w14:textId="77777777" w:rsidR="000A7AC9" w:rsidRPr="007A5156" w:rsidRDefault="000A7AC9" w:rsidP="000A7AC9">
      <w:pPr>
        <w:pStyle w:val="Textonotapie"/>
        <w:jc w:val="both"/>
        <w:rPr>
          <w:rFonts w:ascii="Verdana" w:hAnsi="Verdana" w:cs="Arial"/>
          <w:sz w:val="16"/>
          <w:szCs w:val="16"/>
          <w:lang w:val="es-CO"/>
        </w:rPr>
      </w:pPr>
      <w:r w:rsidRPr="007A5156">
        <w:rPr>
          <w:rFonts w:ascii="Verdana" w:hAnsi="Verdana" w:cs="Arial"/>
          <w:sz w:val="16"/>
          <w:szCs w:val="16"/>
          <w:lang w:val="es-CO"/>
        </w:rPr>
        <w:t>La autorización por parte del Confis para comprometer presupuesto con cargo a vigencias futuras no podrá superar el respectivo período de gobierno. Se exceptúan los proyectos de gastos de inversión en aquellos casos en que el Conpes previamente los declare de importancia estratégica.</w:t>
      </w:r>
    </w:p>
    <w:p w14:paraId="0DF04EC3" w14:textId="77777777" w:rsidR="000A7AC9" w:rsidRPr="007A5156" w:rsidRDefault="000A7AC9" w:rsidP="000A7AC9">
      <w:pPr>
        <w:pStyle w:val="Textonotapie"/>
        <w:jc w:val="both"/>
        <w:rPr>
          <w:rFonts w:ascii="Verdana" w:hAnsi="Verdana" w:cs="Arial"/>
          <w:sz w:val="16"/>
          <w:szCs w:val="16"/>
          <w:lang w:val="es-CO"/>
        </w:rPr>
      </w:pPr>
      <w:r w:rsidRPr="007A5156">
        <w:rPr>
          <w:rFonts w:ascii="Verdana" w:hAnsi="Verdana" w:cs="Arial"/>
          <w:sz w:val="16"/>
          <w:szCs w:val="16"/>
          <w:lang w:val="es-CO"/>
        </w:rPr>
        <w:t>Esta disposición también se aplicará a las entidades de que trata el artículo 9o de la presente ley. El Gobierno reglamentará la materia.</w:t>
      </w:r>
    </w:p>
    <w:p w14:paraId="570A46F6" w14:textId="77777777" w:rsidR="000A7AC9" w:rsidRPr="007A5156" w:rsidRDefault="000A7AC9" w:rsidP="000A7AC9">
      <w:pPr>
        <w:pStyle w:val="Textonotapie"/>
        <w:ind w:firstLine="709"/>
        <w:jc w:val="both"/>
        <w:rPr>
          <w:rFonts w:ascii="Verdana" w:hAnsi="Verdana" w:cs="Arial"/>
          <w:sz w:val="16"/>
          <w:szCs w:val="16"/>
          <w:lang w:val="es-CO"/>
        </w:rPr>
      </w:pPr>
      <w:r w:rsidRPr="007A5156">
        <w:rPr>
          <w:rFonts w:ascii="Verdana" w:hAnsi="Verdana" w:cs="Arial"/>
          <w:sz w:val="16"/>
          <w:szCs w:val="16"/>
          <w:lang w:val="es-CO"/>
        </w:rPr>
        <w:t>El Ministerio de Hacienda y Crédito Público, Dirección General del Presupuesto Público Nacional, incluirá en los proyectos de presupuesto las asignaciones necesarias para darle cumplimiento a lo dispuesto en este artículo. […]</w:t>
      </w:r>
      <w:r w:rsidRPr="007A5156">
        <w:rPr>
          <w:rFonts w:ascii="Verdana" w:eastAsia="Calibri" w:hAnsi="Verdana" w:cs="Arial"/>
          <w:sz w:val="16"/>
          <w:szCs w:val="16"/>
          <w:lang w:val="es-ES_tradnl"/>
        </w:rPr>
        <w:t>”</w:t>
      </w:r>
    </w:p>
  </w:footnote>
  <w:footnote w:id="8">
    <w:p w14:paraId="40512714" w14:textId="77777777" w:rsidR="000A7AC9" w:rsidRPr="007A5156" w:rsidRDefault="000A7AC9" w:rsidP="000A7AC9">
      <w:pPr>
        <w:pStyle w:val="Textonotapie"/>
        <w:ind w:firstLine="567"/>
        <w:jc w:val="both"/>
        <w:rPr>
          <w:rFonts w:ascii="Verdana" w:hAnsi="Verdana" w:cs="Arial"/>
          <w:sz w:val="16"/>
          <w:szCs w:val="16"/>
          <w:lang w:val="es-CO"/>
        </w:rPr>
      </w:pPr>
      <w:r w:rsidRPr="007A5156">
        <w:rPr>
          <w:rStyle w:val="Refdenotaalpie"/>
          <w:rFonts w:ascii="Verdana" w:hAnsi="Verdana" w:cs="Arial"/>
          <w:sz w:val="16"/>
          <w:szCs w:val="16"/>
        </w:rPr>
        <w:footnoteRef/>
      </w:r>
      <w:r w:rsidRPr="007A5156">
        <w:rPr>
          <w:rFonts w:ascii="Verdana" w:hAnsi="Verdana" w:cs="Arial"/>
          <w:sz w:val="16"/>
          <w:szCs w:val="16"/>
        </w:rPr>
        <w:t xml:space="preserve"> Consejo de Estado. Sección Tercera. Sentencia del 1 de febrero de 2018. Radicado Nro. 08001-2331-000-2010-00987-01. C.P. Oswaldo Giraldo López</w:t>
      </w:r>
    </w:p>
  </w:footnote>
  <w:footnote w:id="9">
    <w:p w14:paraId="045510B2" w14:textId="77777777" w:rsidR="000A7AC9" w:rsidRPr="007A5156" w:rsidRDefault="000A7AC9" w:rsidP="000A7AC9">
      <w:pPr>
        <w:pStyle w:val="Textonotapie"/>
        <w:ind w:firstLine="709"/>
        <w:jc w:val="both"/>
        <w:rPr>
          <w:rFonts w:ascii="Verdana" w:hAnsi="Verdana" w:cs="Arial"/>
          <w:sz w:val="16"/>
          <w:szCs w:val="16"/>
        </w:rPr>
      </w:pPr>
      <w:r w:rsidRPr="007A5156">
        <w:rPr>
          <w:rStyle w:val="Refdenotaalpie"/>
          <w:rFonts w:ascii="Verdana" w:hAnsi="Verdana"/>
          <w:sz w:val="16"/>
          <w:szCs w:val="16"/>
        </w:rPr>
        <w:footnoteRef/>
      </w:r>
      <w:r w:rsidRPr="007A5156">
        <w:rPr>
          <w:rFonts w:ascii="Verdana" w:hAnsi="Verdana"/>
          <w:sz w:val="16"/>
          <w:szCs w:val="16"/>
        </w:rPr>
        <w:t xml:space="preserve"> </w:t>
      </w:r>
      <w:r w:rsidRPr="007A5156">
        <w:rPr>
          <w:rFonts w:ascii="Verdana" w:hAnsi="Verdana" w:cs="Arial"/>
          <w:sz w:val="16"/>
          <w:szCs w:val="16"/>
        </w:rPr>
        <w:t xml:space="preserve">Consejo de Estado. Sección Tercera. Sentencia del 12 de agosto de 2014. Radicado Nro. </w:t>
      </w:r>
      <w:r w:rsidRPr="007A5156">
        <w:rPr>
          <w:rFonts w:ascii="Verdana" w:hAnsi="Verdana" w:cs="Arial"/>
          <w:bCs/>
          <w:sz w:val="16"/>
          <w:szCs w:val="16"/>
          <w:lang w:val="es-ES"/>
        </w:rPr>
        <w:t xml:space="preserve">05001-23-31-000-1998-01350-01(28565) </w:t>
      </w:r>
      <w:r w:rsidRPr="007A5156">
        <w:rPr>
          <w:rFonts w:ascii="Verdana" w:hAnsi="Verdana" w:cs="Arial"/>
          <w:sz w:val="16"/>
          <w:szCs w:val="16"/>
        </w:rPr>
        <w:t>C.P. Enrique Gil Botero</w:t>
      </w:r>
    </w:p>
  </w:footnote>
  <w:footnote w:id="10">
    <w:p w14:paraId="4E6E3BC1" w14:textId="77777777" w:rsidR="000A7AC9" w:rsidRPr="007A5156" w:rsidRDefault="000A7AC9" w:rsidP="000A7AC9">
      <w:pPr>
        <w:pStyle w:val="Textonotapie"/>
        <w:ind w:firstLine="709"/>
        <w:jc w:val="both"/>
        <w:rPr>
          <w:rFonts w:ascii="Verdana" w:eastAsia="Calibri" w:hAnsi="Verdana" w:cs="Arial"/>
          <w:sz w:val="16"/>
          <w:szCs w:val="16"/>
          <w:lang w:val="es-ES_tradnl"/>
        </w:rPr>
      </w:pPr>
      <w:r w:rsidRPr="007A5156">
        <w:rPr>
          <w:rStyle w:val="Refdenotaalpie"/>
          <w:rFonts w:ascii="Verdana" w:hAnsi="Verdana"/>
          <w:sz w:val="16"/>
          <w:szCs w:val="16"/>
        </w:rPr>
        <w:footnoteRef/>
      </w:r>
      <w:r w:rsidRPr="007A5156">
        <w:rPr>
          <w:rFonts w:ascii="Verdana" w:hAnsi="Verdana"/>
          <w:sz w:val="16"/>
          <w:szCs w:val="16"/>
        </w:rPr>
        <w:t xml:space="preserve"> </w:t>
      </w:r>
      <w:r w:rsidRPr="007A5156">
        <w:rPr>
          <w:rFonts w:ascii="Verdana" w:hAnsi="Verdana" w:cs="Arial"/>
          <w:sz w:val="16"/>
          <w:szCs w:val="16"/>
        </w:rPr>
        <w:t xml:space="preserve">Conforme al Artículo 89 del </w:t>
      </w:r>
      <w:r w:rsidRPr="007A5156">
        <w:rPr>
          <w:rFonts w:ascii="Verdana" w:eastAsia="Calibri" w:hAnsi="Verdana" w:cs="Arial"/>
          <w:color w:val="000000" w:themeColor="text1"/>
          <w:sz w:val="16"/>
          <w:szCs w:val="16"/>
          <w:lang w:val="es-ES"/>
        </w:rPr>
        <w:t>Estatuto Orgánico del Presupuesto</w:t>
      </w:r>
      <w:r w:rsidRPr="007A5156">
        <w:rPr>
          <w:rFonts w:ascii="Verdana" w:eastAsia="Times New Roman" w:hAnsi="Verdana" w:cs="Arial"/>
          <w:color w:val="4B4949"/>
          <w:sz w:val="16"/>
          <w:szCs w:val="16"/>
          <w:lang w:val="es-CO" w:eastAsia="es-ES_tradnl"/>
        </w:rPr>
        <w:t xml:space="preserve"> </w:t>
      </w:r>
      <w:r w:rsidRPr="007A5156">
        <w:rPr>
          <w:rFonts w:ascii="Verdana" w:eastAsia="Calibri" w:hAnsi="Verdana" w:cs="Arial"/>
          <w:sz w:val="16"/>
          <w:szCs w:val="16"/>
          <w:lang w:val="es-CO"/>
        </w:rPr>
        <w:t>“</w:t>
      </w:r>
      <w:r w:rsidRPr="007A5156">
        <w:rPr>
          <w:rFonts w:ascii="Verdana" w:eastAsia="Calibri" w:hAnsi="Verdana" w:cs="Arial"/>
          <w:sz w:val="16"/>
          <w:szCs w:val="16"/>
          <w:lang w:val="es-ES_tradnl"/>
        </w:rPr>
        <w:t xml:space="preserve">[…] </w:t>
      </w:r>
      <w:r w:rsidRPr="007A5156">
        <w:rPr>
          <w:rFonts w:ascii="Verdana" w:eastAsia="Times New Roman" w:hAnsi="Verdana" w:cs="Arial"/>
          <w:color w:val="4B4949"/>
          <w:sz w:val="16"/>
          <w:szCs w:val="16"/>
          <w:lang w:val="es-CO" w:eastAsia="es-ES_tradnl"/>
        </w:rPr>
        <w:t>c</w:t>
      </w:r>
      <w:r w:rsidRPr="007A5156">
        <w:rPr>
          <w:rFonts w:ascii="Verdana" w:eastAsia="Calibri" w:hAnsi="Verdana" w:cs="Arial"/>
          <w:color w:val="000000" w:themeColor="text1"/>
          <w:sz w:val="16"/>
          <w:szCs w:val="16"/>
          <w:lang w:val="es-CO"/>
        </w:rPr>
        <w:t>ada órgano constituirá al 31 de diciembre del año cuentas por pagar con las obligaciones correspondientes a los anticipos pactados en los contratos y a la entrega de bienes y servicios</w:t>
      </w:r>
      <w:r w:rsidRPr="007A5156">
        <w:rPr>
          <w:rFonts w:ascii="Verdana" w:eastAsia="Calibri" w:hAnsi="Verdana" w:cs="Arial"/>
          <w:sz w:val="16"/>
          <w:szCs w:val="16"/>
          <w:lang w:val="es-ES_tradnl"/>
        </w:rPr>
        <w:t>”.</w:t>
      </w:r>
    </w:p>
  </w:footnote>
  <w:footnote w:id="11">
    <w:p w14:paraId="75F732B4" w14:textId="77777777" w:rsidR="000A7AC9" w:rsidRPr="007A5156" w:rsidRDefault="000A7AC9" w:rsidP="000A7AC9">
      <w:pPr>
        <w:pStyle w:val="Textonotapie"/>
        <w:ind w:firstLine="709"/>
        <w:jc w:val="both"/>
        <w:rPr>
          <w:rFonts w:ascii="Verdana" w:eastAsia="Calibri" w:hAnsi="Verdana" w:cs="Arial"/>
          <w:color w:val="000000" w:themeColor="text1"/>
          <w:sz w:val="16"/>
          <w:szCs w:val="16"/>
          <w:lang w:val="es-ES"/>
        </w:rPr>
      </w:pPr>
      <w:r w:rsidRPr="007A5156">
        <w:rPr>
          <w:rStyle w:val="Refdenotaalpie"/>
          <w:rFonts w:ascii="Verdana" w:hAnsi="Verdana"/>
          <w:sz w:val="16"/>
          <w:szCs w:val="16"/>
        </w:rPr>
        <w:footnoteRef/>
      </w:r>
      <w:r w:rsidRPr="007A5156">
        <w:rPr>
          <w:rFonts w:ascii="Verdana" w:hAnsi="Verdana"/>
          <w:sz w:val="16"/>
          <w:szCs w:val="16"/>
        </w:rPr>
        <w:t xml:space="preserve"> </w:t>
      </w:r>
      <w:r w:rsidRPr="007A5156">
        <w:rPr>
          <w:rFonts w:ascii="Verdana" w:eastAsia="Calibri" w:hAnsi="Verdana" w:cs="Arial"/>
          <w:color w:val="000000" w:themeColor="text1"/>
          <w:sz w:val="16"/>
          <w:szCs w:val="16"/>
          <w:lang w:val="es-ES"/>
        </w:rPr>
        <w:t>Artículo 89 del Estatuto Orgánico del Presupuesto</w:t>
      </w:r>
    </w:p>
  </w:footnote>
  <w:footnote w:id="12">
    <w:p w14:paraId="27610A32" w14:textId="77777777" w:rsidR="000A7AC9" w:rsidRPr="007A5156" w:rsidRDefault="000A7AC9" w:rsidP="000A7AC9">
      <w:pPr>
        <w:pStyle w:val="Textonotapie"/>
        <w:ind w:firstLine="709"/>
        <w:jc w:val="both"/>
        <w:rPr>
          <w:rFonts w:ascii="Verdana" w:hAnsi="Verdana" w:cs="Arial"/>
          <w:sz w:val="16"/>
          <w:szCs w:val="16"/>
          <w:lang w:val="es-CO"/>
        </w:rPr>
      </w:pPr>
      <w:r w:rsidRPr="007A5156">
        <w:rPr>
          <w:rStyle w:val="Refdenotaalpie"/>
          <w:rFonts w:ascii="Verdana" w:hAnsi="Verdana"/>
          <w:sz w:val="16"/>
          <w:szCs w:val="16"/>
        </w:rPr>
        <w:footnoteRef/>
      </w:r>
      <w:r w:rsidRPr="007A5156">
        <w:rPr>
          <w:rFonts w:ascii="Verdana" w:hAnsi="Verdana"/>
          <w:sz w:val="16"/>
          <w:szCs w:val="16"/>
        </w:rPr>
        <w:t xml:space="preserve"> </w:t>
      </w:r>
      <w:r w:rsidRPr="007A5156">
        <w:rPr>
          <w:rFonts w:ascii="Verdana" w:eastAsia="Calibri" w:hAnsi="Verdana" w:cs="Arial"/>
          <w:sz w:val="16"/>
          <w:szCs w:val="16"/>
          <w:lang w:val="es-ES_tradnl"/>
        </w:rPr>
        <w:t>“</w:t>
      </w:r>
      <w:r w:rsidRPr="007A5156">
        <w:rPr>
          <w:rFonts w:ascii="Verdana" w:hAnsi="Verdana" w:cs="Arial"/>
          <w:sz w:val="16"/>
          <w:szCs w:val="16"/>
          <w:lang w:val="es-CO"/>
        </w:rPr>
        <w:t>Artículo </w:t>
      </w:r>
      <w:bookmarkStart w:id="7" w:name="2.8.1.7.3.2"/>
      <w:bookmarkEnd w:id="7"/>
      <w:r w:rsidRPr="007A5156">
        <w:rPr>
          <w:rFonts w:ascii="Verdana" w:hAnsi="Verdana" w:cs="Arial"/>
          <w:sz w:val="16"/>
          <w:szCs w:val="16"/>
          <w:lang w:val="es-CO"/>
        </w:rPr>
        <w:t>2.8.1.7.3.2. </w:t>
      </w:r>
      <w:r w:rsidRPr="007A5156">
        <w:rPr>
          <w:rFonts w:ascii="Verdana" w:hAnsi="Verdana" w:cs="Arial"/>
          <w:i/>
          <w:iCs/>
          <w:sz w:val="16"/>
          <w:szCs w:val="16"/>
          <w:lang w:val="es-CO"/>
        </w:rPr>
        <w:t>Constitución de reservas presupuestales y cuentas por pagar. </w:t>
      </w:r>
      <w:r w:rsidRPr="007A5156">
        <w:rPr>
          <w:rFonts w:ascii="Verdana" w:hAnsi="Verdana" w:cs="Arial"/>
          <w:sz w:val="16"/>
          <w:szCs w:val="16"/>
          <w:lang w:val="es-CO"/>
        </w:rPr>
        <w:t>A más tardar el 20 de enero de cada año, los órganos que conforman el Presupuesto General de la Nación constituirán las reservas presupuestales y cuentas por pagar de la respectiva sección presupuestal correspondientes a la vigencia fiscal anterior, de conformidad con los saldos registrados a 31 de diciembre a través del Sistema Integrado de Información Financiera SIIF Nación. En dicho plazo, solo se podrán efectuar los ajustes a que haya lugar para la constitución de las reserves presupuestales y de las cuentas por pagar, sin que en ningún caso se puedan registrar nuevos compromisos ni obligaciones</w:t>
      </w:r>
      <w:r w:rsidRPr="007A5156">
        <w:rPr>
          <w:rFonts w:ascii="Verdana" w:eastAsia="Calibri" w:hAnsi="Verdana" w:cs="Arial"/>
          <w:sz w:val="16"/>
          <w:szCs w:val="16"/>
          <w:lang w:val="es-CO"/>
        </w:rPr>
        <w:t>”</w:t>
      </w:r>
      <w:r w:rsidRPr="007A5156">
        <w:rPr>
          <w:rFonts w:ascii="Verdana" w:hAnsi="Verdana" w:cs="Arial"/>
          <w:sz w:val="16"/>
          <w:szCs w:val="16"/>
          <w:lang w:val="es-CO"/>
        </w:rPr>
        <w:t>.</w:t>
      </w:r>
    </w:p>
    <w:p w14:paraId="50D0DBBB" w14:textId="77777777" w:rsidR="000A7AC9" w:rsidRPr="007A5156" w:rsidRDefault="000A7AC9" w:rsidP="000A7AC9">
      <w:pPr>
        <w:pStyle w:val="Textonotapie"/>
        <w:ind w:firstLine="709"/>
        <w:jc w:val="both"/>
        <w:rPr>
          <w:rFonts w:ascii="Verdana" w:hAnsi="Verdana"/>
          <w:sz w:val="16"/>
          <w:szCs w:val="16"/>
          <w:lang w:val="es-CO"/>
        </w:rPr>
      </w:pPr>
    </w:p>
  </w:footnote>
  <w:footnote w:id="13">
    <w:p w14:paraId="778A7E48" w14:textId="77777777" w:rsidR="000A7AC9" w:rsidRPr="007A5156" w:rsidRDefault="000A7AC9" w:rsidP="000A7AC9">
      <w:pPr>
        <w:pStyle w:val="Textonotapie"/>
        <w:ind w:firstLine="709"/>
        <w:jc w:val="both"/>
        <w:rPr>
          <w:rFonts w:ascii="Verdana" w:hAnsi="Verdana" w:cs="Arial"/>
          <w:sz w:val="16"/>
          <w:szCs w:val="16"/>
          <w:lang w:val="es-CO"/>
        </w:rPr>
      </w:pPr>
      <w:r w:rsidRPr="007A5156">
        <w:rPr>
          <w:rStyle w:val="Refdenotaalpie"/>
          <w:rFonts w:ascii="Verdana" w:hAnsi="Verdana" w:cs="Arial"/>
          <w:sz w:val="16"/>
          <w:szCs w:val="16"/>
        </w:rPr>
        <w:footnoteRef/>
      </w:r>
      <w:r w:rsidRPr="007A5156">
        <w:rPr>
          <w:rFonts w:ascii="Verdana" w:hAnsi="Verdana" w:cs="Arial"/>
          <w:sz w:val="16"/>
          <w:szCs w:val="16"/>
        </w:rPr>
        <w:t xml:space="preserve"> </w:t>
      </w:r>
      <w:r w:rsidRPr="007A5156">
        <w:rPr>
          <w:rFonts w:ascii="Verdana" w:hAnsi="Verdana" w:cs="Arial"/>
          <w:sz w:val="16"/>
          <w:szCs w:val="16"/>
          <w:lang w:val="es-CO"/>
        </w:rPr>
        <w:t xml:space="preserve">Contraloría General de la República. Circular Externa 43 de 2008 </w:t>
      </w:r>
    </w:p>
  </w:footnote>
  <w:footnote w:id="14">
    <w:p w14:paraId="171B78D5" w14:textId="77777777" w:rsidR="000A7AC9" w:rsidRPr="007A5156" w:rsidRDefault="000A7AC9" w:rsidP="000A7AC9">
      <w:pPr>
        <w:pStyle w:val="Textonotapie"/>
        <w:ind w:right="49" w:firstLine="708"/>
        <w:jc w:val="both"/>
        <w:rPr>
          <w:rFonts w:ascii="Verdana" w:hAnsi="Verdana" w:cs="Arial"/>
          <w:color w:val="000000"/>
          <w:sz w:val="16"/>
          <w:szCs w:val="16"/>
        </w:rPr>
      </w:pPr>
      <w:r w:rsidRPr="007A5156">
        <w:rPr>
          <w:rStyle w:val="Refdenotaalpie"/>
          <w:rFonts w:ascii="Verdana" w:hAnsi="Verdana"/>
          <w:sz w:val="16"/>
          <w:szCs w:val="16"/>
        </w:rPr>
        <w:footnoteRef/>
      </w:r>
      <w:r w:rsidRPr="007A5156">
        <w:rPr>
          <w:rFonts w:ascii="Verdana" w:hAnsi="Verdana"/>
          <w:sz w:val="16"/>
          <w:szCs w:val="16"/>
        </w:rPr>
        <w:t xml:space="preserve"> </w:t>
      </w:r>
      <w:r w:rsidRPr="007A5156">
        <w:rPr>
          <w:rFonts w:ascii="Verdana" w:hAnsi="Verdana" w:cs="Arial"/>
          <w:color w:val="000000"/>
          <w:sz w:val="16"/>
          <w:szCs w:val="16"/>
        </w:rPr>
        <w:t>Consejo de Estado. Sección Tercera. Sentencia del 1 de febrero de 2018. Radicado Nro.</w:t>
      </w:r>
      <w:r w:rsidRPr="007A5156">
        <w:rPr>
          <w:rFonts w:ascii="Verdana" w:hAnsi="Verdana" w:cs="Arial"/>
          <w:color w:val="000000"/>
          <w:sz w:val="16"/>
          <w:szCs w:val="16"/>
          <w:lang w:val="es-CO"/>
        </w:rPr>
        <w:t xml:space="preserve"> 08001-2331-000-2010-00987-01</w:t>
      </w:r>
      <w:r w:rsidRPr="007A5156">
        <w:rPr>
          <w:rFonts w:ascii="Verdana" w:hAnsi="Verdana" w:cs="Arial"/>
          <w:color w:val="000000"/>
          <w:sz w:val="16"/>
          <w:szCs w:val="16"/>
        </w:rPr>
        <w:t xml:space="preserve">. C.P. </w:t>
      </w:r>
      <w:r w:rsidRPr="007A5156">
        <w:rPr>
          <w:rFonts w:ascii="Verdana" w:hAnsi="Verdana" w:cs="Arial"/>
          <w:color w:val="000000"/>
          <w:sz w:val="16"/>
          <w:szCs w:val="16"/>
          <w:lang w:val="es-CO"/>
        </w:rPr>
        <w:t>Oswaldo Giraldo López</w:t>
      </w:r>
      <w:r w:rsidRPr="007A5156">
        <w:rPr>
          <w:rFonts w:ascii="Verdana" w:hAnsi="Verdana" w:cs="Arial"/>
          <w:color w:val="000000"/>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pt;height:11.7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76CC"/>
    <w:rsid w:val="00046945"/>
    <w:rsid w:val="00061B2A"/>
    <w:rsid w:val="00082362"/>
    <w:rsid w:val="00093DDA"/>
    <w:rsid w:val="000A683E"/>
    <w:rsid w:val="000A7AC9"/>
    <w:rsid w:val="000B19B9"/>
    <w:rsid w:val="000D0334"/>
    <w:rsid w:val="000D5DA7"/>
    <w:rsid w:val="000E2C87"/>
    <w:rsid w:val="000E3EF6"/>
    <w:rsid w:val="000E6479"/>
    <w:rsid w:val="000F6486"/>
    <w:rsid w:val="00116940"/>
    <w:rsid w:val="00125105"/>
    <w:rsid w:val="00127233"/>
    <w:rsid w:val="00136AF9"/>
    <w:rsid w:val="0015699B"/>
    <w:rsid w:val="00184B7D"/>
    <w:rsid w:val="001A33BF"/>
    <w:rsid w:val="001B6E9B"/>
    <w:rsid w:val="001E4177"/>
    <w:rsid w:val="001F0B24"/>
    <w:rsid w:val="001F7DC6"/>
    <w:rsid w:val="00201B8E"/>
    <w:rsid w:val="0022400B"/>
    <w:rsid w:val="0022482A"/>
    <w:rsid w:val="0023292A"/>
    <w:rsid w:val="00235554"/>
    <w:rsid w:val="002421BB"/>
    <w:rsid w:val="0025796E"/>
    <w:rsid w:val="00265EF7"/>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55853"/>
    <w:rsid w:val="00365131"/>
    <w:rsid w:val="00374F5E"/>
    <w:rsid w:val="00377E3E"/>
    <w:rsid w:val="003A779E"/>
    <w:rsid w:val="003D0F4D"/>
    <w:rsid w:val="003D5B0D"/>
    <w:rsid w:val="003E0499"/>
    <w:rsid w:val="003E4F80"/>
    <w:rsid w:val="003E6439"/>
    <w:rsid w:val="003F3941"/>
    <w:rsid w:val="00406575"/>
    <w:rsid w:val="00414C74"/>
    <w:rsid w:val="0042722E"/>
    <w:rsid w:val="0043501A"/>
    <w:rsid w:val="00441339"/>
    <w:rsid w:val="0044528D"/>
    <w:rsid w:val="00466E39"/>
    <w:rsid w:val="004A1847"/>
    <w:rsid w:val="004A305D"/>
    <w:rsid w:val="004F21C4"/>
    <w:rsid w:val="004F685F"/>
    <w:rsid w:val="005566E8"/>
    <w:rsid w:val="005658AF"/>
    <w:rsid w:val="00574867"/>
    <w:rsid w:val="00591460"/>
    <w:rsid w:val="00594B0D"/>
    <w:rsid w:val="005A65E0"/>
    <w:rsid w:val="005B0F70"/>
    <w:rsid w:val="005C3777"/>
    <w:rsid w:val="005C5CDC"/>
    <w:rsid w:val="005D476C"/>
    <w:rsid w:val="0061265C"/>
    <w:rsid w:val="006200BF"/>
    <w:rsid w:val="006219F8"/>
    <w:rsid w:val="006302F7"/>
    <w:rsid w:val="00646B9F"/>
    <w:rsid w:val="006545C6"/>
    <w:rsid w:val="00665D70"/>
    <w:rsid w:val="00686ED8"/>
    <w:rsid w:val="006900D9"/>
    <w:rsid w:val="006C50BF"/>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30A82"/>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83D6A"/>
    <w:rsid w:val="009A0DFA"/>
    <w:rsid w:val="009A1C6F"/>
    <w:rsid w:val="009B2D26"/>
    <w:rsid w:val="009C71FA"/>
    <w:rsid w:val="009C72E7"/>
    <w:rsid w:val="009C7F7E"/>
    <w:rsid w:val="009D3058"/>
    <w:rsid w:val="009E5D9B"/>
    <w:rsid w:val="009F3A13"/>
    <w:rsid w:val="00A122D3"/>
    <w:rsid w:val="00A14468"/>
    <w:rsid w:val="00A17F13"/>
    <w:rsid w:val="00A20739"/>
    <w:rsid w:val="00A23AF9"/>
    <w:rsid w:val="00A33C78"/>
    <w:rsid w:val="00A561B5"/>
    <w:rsid w:val="00A571EB"/>
    <w:rsid w:val="00A934E1"/>
    <w:rsid w:val="00AB0ADB"/>
    <w:rsid w:val="00AB48C4"/>
    <w:rsid w:val="00B00C0E"/>
    <w:rsid w:val="00B01B1A"/>
    <w:rsid w:val="00B0381D"/>
    <w:rsid w:val="00B44A47"/>
    <w:rsid w:val="00B72CD3"/>
    <w:rsid w:val="00B72FFF"/>
    <w:rsid w:val="00BA2B3B"/>
    <w:rsid w:val="00BC12DE"/>
    <w:rsid w:val="00BC3D36"/>
    <w:rsid w:val="00BD54A6"/>
    <w:rsid w:val="00BD7F72"/>
    <w:rsid w:val="00BF7425"/>
    <w:rsid w:val="00C04FB3"/>
    <w:rsid w:val="00C11D8B"/>
    <w:rsid w:val="00C15139"/>
    <w:rsid w:val="00C330EB"/>
    <w:rsid w:val="00C50D69"/>
    <w:rsid w:val="00C5365C"/>
    <w:rsid w:val="00C54CF0"/>
    <w:rsid w:val="00C754BE"/>
    <w:rsid w:val="00C76B1C"/>
    <w:rsid w:val="00C925AC"/>
    <w:rsid w:val="00CB6357"/>
    <w:rsid w:val="00CC1B26"/>
    <w:rsid w:val="00CE4334"/>
    <w:rsid w:val="00D0191A"/>
    <w:rsid w:val="00D361FD"/>
    <w:rsid w:val="00D40662"/>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267F4"/>
    <w:rsid w:val="00F31EDC"/>
    <w:rsid w:val="00F462B3"/>
    <w:rsid w:val="00F5664F"/>
    <w:rsid w:val="00F666C4"/>
    <w:rsid w:val="00F76AFC"/>
    <w:rsid w:val="00FA47C0"/>
    <w:rsid w:val="00FB5DD1"/>
    <w:rsid w:val="00FC2B5D"/>
    <w:rsid w:val="00FC6144"/>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A7AC9"/>
    <w:pPr>
      <w:spacing w:line="240" w:lineRule="exact"/>
    </w:pPr>
    <w:rPr>
      <w:vertAlign w:val="superscript"/>
    </w:rPr>
  </w:style>
  <w:style w:type="paragraph" w:styleId="Sinespaciado">
    <w:name w:val="No Spacing"/>
    <w:aliases w:val="No Indent"/>
    <w:uiPriority w:val="3"/>
    <w:qFormat/>
    <w:rsid w:val="000A7AC9"/>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ontractuales2024@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998FCA19-1773-48C7-B448-A869F0318E6F}"/>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14</TotalTime>
  <Pages>15</Pages>
  <Words>4846</Words>
  <Characters>27090</Characters>
  <Application>Microsoft Office Word</Application>
  <DocSecurity>0</DocSecurity>
  <Lines>531</Lines>
  <Paragraphs>110</Paragraphs>
  <ScaleCrop>false</ScaleCrop>
  <Company/>
  <LinksUpToDate>false</LinksUpToDate>
  <CharactersWithSpaces>31826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7</cp:revision>
  <cp:lastPrinted>2023-01-10T21:18:00Z</cp:lastPrinted>
  <dcterms:created xsi:type="dcterms:W3CDTF">2026-02-11T13:57:00Z</dcterms:created>
  <dcterms:modified xsi:type="dcterms:W3CDTF">2026-02-11T21:47:00Z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