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8A0B98" w14:textId="77777777" w:rsidR="007957F2" w:rsidRPr="00284526" w:rsidRDefault="007957F2" w:rsidP="30821638">
      <w:pPr>
        <w:spacing w:after="0"/>
        <w:rPr>
          <w:rFonts w:ascii="Verdana" w:eastAsia="Verdana" w:hAnsi="Verdana" w:cs="Verdana"/>
        </w:rPr>
      </w:pPr>
      <w:bookmarkStart w:id="0" w:name="_Hlk143780582"/>
    </w:p>
    <w:p w14:paraId="53701036" w14:textId="77777777" w:rsidR="007957F2" w:rsidRPr="00284526" w:rsidRDefault="007957F2" w:rsidP="007957F2">
      <w:pPr>
        <w:contextualSpacing/>
        <w:jc w:val="both"/>
        <w:rPr>
          <w:rFonts w:ascii="Verdana" w:eastAsia="Calibri" w:hAnsi="Verdana" w:cs="Arial"/>
          <w:b/>
          <w:bCs/>
          <w:color w:val="000000"/>
          <w:kern w:val="2"/>
          <w14:ligatures w14:val="standardContextual"/>
        </w:rPr>
      </w:pPr>
      <w:r w:rsidRPr="00284526">
        <w:rPr>
          <w:rFonts w:ascii="Verdana" w:eastAsia="Calibri" w:hAnsi="Verdana" w:cs="Arial"/>
          <w:b/>
          <w:bCs/>
          <w:color w:val="000000"/>
          <w:kern w:val="2"/>
          <w14:ligatures w14:val="standardContextual"/>
        </w:rPr>
        <w:t xml:space="preserve">INHABILIDADES E INCOMPATIBILIDADES – Concepto </w:t>
      </w:r>
    </w:p>
    <w:p w14:paraId="0D2AD0BF" w14:textId="77777777" w:rsidR="007957F2" w:rsidRPr="00284526" w:rsidRDefault="007957F2" w:rsidP="007957F2">
      <w:pPr>
        <w:spacing w:after="0" w:line="240" w:lineRule="auto"/>
        <w:contextualSpacing/>
        <w:jc w:val="both"/>
        <w:rPr>
          <w:rFonts w:ascii="Verdana" w:eastAsia="Calibri" w:hAnsi="Verdana" w:cs="Arial"/>
          <w:b/>
          <w:bCs/>
          <w:color w:val="000000"/>
          <w:kern w:val="2"/>
          <w14:ligatures w14:val="standardContextual"/>
        </w:rPr>
      </w:pPr>
    </w:p>
    <w:p w14:paraId="3E96DCCB" w14:textId="77777777" w:rsidR="007957F2" w:rsidRPr="00284526" w:rsidRDefault="007957F2" w:rsidP="007957F2">
      <w:pPr>
        <w:spacing w:after="0" w:line="240" w:lineRule="auto"/>
        <w:contextualSpacing/>
        <w:jc w:val="both"/>
        <w:rPr>
          <w:rFonts w:ascii="Verdana" w:eastAsia="Calibri" w:hAnsi="Verdana" w:cs="Arial"/>
          <w:color w:val="000000"/>
          <w:kern w:val="2"/>
          <w:sz w:val="20"/>
          <w:szCs w:val="20"/>
          <w:lang w:val="es-ES_tradnl"/>
          <w14:ligatures w14:val="standardContextual"/>
        </w:rPr>
      </w:pPr>
      <w:r w:rsidRPr="00284526">
        <w:rPr>
          <w:rFonts w:ascii="Verdana" w:eastAsia="Calibri" w:hAnsi="Verdana" w:cs="Arial"/>
          <w:color w:val="000000"/>
          <w:kern w:val="2"/>
          <w:sz w:val="20"/>
          <w:szCs w:val="20"/>
          <w:lang w:val="es-ES_tradnl"/>
          <w14:ligatures w14:val="standardContextual"/>
        </w:rPr>
        <w:t>[…] se destaca el régimen de inhabilidades e incompatibilidades como un conjunto de enunciados normativos que imponen restricciones para los sujetos que, eventualmente, pretendan participar en los procedimientos de selección o celebrar contratos con las entidades estatales.</w:t>
      </w:r>
    </w:p>
    <w:p w14:paraId="3CA1346F" w14:textId="77777777" w:rsidR="007957F2" w:rsidRPr="00284526" w:rsidRDefault="007957F2" w:rsidP="007957F2">
      <w:pPr>
        <w:spacing w:after="0" w:line="240" w:lineRule="auto"/>
        <w:contextualSpacing/>
        <w:jc w:val="both"/>
        <w:rPr>
          <w:rFonts w:ascii="Verdana" w:eastAsia="Calibri" w:hAnsi="Verdana" w:cs="Arial"/>
          <w:b/>
          <w:bCs/>
          <w:color w:val="000000"/>
          <w:kern w:val="2"/>
          <w14:ligatures w14:val="standardContextual"/>
        </w:rPr>
      </w:pPr>
    </w:p>
    <w:p w14:paraId="0F655441" w14:textId="77777777" w:rsidR="007957F2" w:rsidRPr="00284526" w:rsidRDefault="007957F2" w:rsidP="007957F2">
      <w:pPr>
        <w:contextualSpacing/>
        <w:jc w:val="both"/>
        <w:rPr>
          <w:rFonts w:ascii="Verdana" w:eastAsia="Calibri" w:hAnsi="Verdana" w:cs="Arial"/>
          <w:b/>
          <w:bCs/>
          <w:color w:val="000000"/>
          <w:kern w:val="2"/>
          <w14:ligatures w14:val="standardContextual"/>
        </w:rPr>
      </w:pPr>
      <w:r w:rsidRPr="00284526">
        <w:rPr>
          <w:rFonts w:ascii="Verdana" w:eastAsia="Calibri" w:hAnsi="Verdana" w:cs="Arial"/>
          <w:b/>
          <w:bCs/>
          <w:color w:val="000000"/>
          <w:kern w:val="2"/>
          <w14:ligatures w14:val="standardContextual"/>
        </w:rPr>
        <w:t xml:space="preserve">INHABILIDADES E INCOMPATIBILIDADES – Régimen – Interpretación restrictiva </w:t>
      </w:r>
    </w:p>
    <w:p w14:paraId="3D5DF17E" w14:textId="77777777" w:rsidR="007957F2" w:rsidRPr="00284526" w:rsidRDefault="007957F2" w:rsidP="007957F2">
      <w:pPr>
        <w:spacing w:after="0" w:line="240" w:lineRule="auto"/>
        <w:contextualSpacing/>
        <w:jc w:val="both"/>
        <w:rPr>
          <w:rFonts w:ascii="Verdana" w:eastAsia="Calibri" w:hAnsi="Verdana" w:cs="Arial"/>
          <w:b/>
          <w:bCs/>
          <w:color w:val="000000"/>
          <w:kern w:val="2"/>
          <w14:ligatures w14:val="standardContextual"/>
        </w:rPr>
      </w:pPr>
    </w:p>
    <w:p w14:paraId="58064B3C" w14:textId="77777777" w:rsidR="007957F2" w:rsidRPr="00284526" w:rsidRDefault="007957F2" w:rsidP="007957F2">
      <w:pPr>
        <w:spacing w:after="0" w:line="240" w:lineRule="auto"/>
        <w:contextualSpacing/>
        <w:jc w:val="both"/>
        <w:rPr>
          <w:rFonts w:ascii="Verdana" w:eastAsia="Calibri" w:hAnsi="Verdana" w:cs="Arial"/>
          <w:color w:val="000000"/>
          <w:kern w:val="2"/>
          <w:sz w:val="20"/>
          <w:szCs w:val="20"/>
          <w:lang w:val="es-ES_tradnl"/>
          <w14:ligatures w14:val="standardContextual"/>
        </w:rPr>
      </w:pPr>
      <w:r w:rsidRPr="00284526">
        <w:rPr>
          <w:rFonts w:ascii="Verdana" w:eastAsia="Calibri" w:hAnsi="Verdana" w:cs="Arial"/>
          <w:color w:val="000000"/>
          <w:kern w:val="2"/>
          <w:sz w:val="20"/>
          <w:szCs w:val="20"/>
          <w:lang w:val="es-ES_tradnl"/>
          <w14:ligatures w14:val="standardContextual"/>
        </w:rPr>
        <w:t>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restrictiva. En efecto,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w:t>
      </w:r>
    </w:p>
    <w:p w14:paraId="04811C2F" w14:textId="77777777" w:rsidR="007957F2" w:rsidRPr="00284526" w:rsidRDefault="007957F2" w:rsidP="007957F2">
      <w:pPr>
        <w:spacing w:after="0" w:line="240" w:lineRule="auto"/>
        <w:contextualSpacing/>
        <w:jc w:val="both"/>
        <w:rPr>
          <w:rFonts w:ascii="Verdana" w:eastAsia="Calibri" w:hAnsi="Verdana" w:cs="Arial"/>
          <w:b/>
          <w:bCs/>
          <w:color w:val="000000"/>
          <w:kern w:val="2"/>
          <w14:ligatures w14:val="standardContextual"/>
        </w:rPr>
      </w:pPr>
    </w:p>
    <w:p w14:paraId="6822F350" w14:textId="77777777" w:rsidR="007957F2" w:rsidRPr="00284526" w:rsidRDefault="007957F2" w:rsidP="007957F2">
      <w:pPr>
        <w:contextualSpacing/>
        <w:jc w:val="both"/>
        <w:rPr>
          <w:rFonts w:ascii="Verdana" w:eastAsia="Calibri" w:hAnsi="Verdana" w:cs="Arial"/>
          <w:b/>
          <w:bCs/>
          <w:color w:val="000000"/>
          <w:kern w:val="2"/>
          <w14:ligatures w14:val="standardContextual"/>
        </w:rPr>
      </w:pPr>
      <w:r w:rsidRPr="00284526">
        <w:rPr>
          <w:rFonts w:ascii="Verdana" w:eastAsia="Calibri" w:hAnsi="Verdana" w:cs="Arial"/>
          <w:b/>
          <w:bCs/>
          <w:color w:val="000000"/>
          <w:kern w:val="2"/>
          <w14:ligatures w14:val="standardContextual"/>
        </w:rPr>
        <w:t xml:space="preserve">CONTRATO DE PRESTACION DE SERVICIOS – Simultaneidad – Ausencia de Inhabilidad e incompatibilidad </w:t>
      </w:r>
    </w:p>
    <w:p w14:paraId="1FDD45C4" w14:textId="77777777" w:rsidR="007957F2" w:rsidRPr="00284526" w:rsidRDefault="007957F2" w:rsidP="007957F2">
      <w:pPr>
        <w:spacing w:after="0" w:line="240" w:lineRule="auto"/>
        <w:contextualSpacing/>
        <w:jc w:val="both"/>
        <w:rPr>
          <w:rFonts w:ascii="Verdana" w:eastAsia="Calibri" w:hAnsi="Verdana" w:cs="Arial"/>
          <w:b/>
          <w:bCs/>
          <w:color w:val="000000"/>
          <w:kern w:val="2"/>
          <w14:ligatures w14:val="standardContextual"/>
        </w:rPr>
      </w:pPr>
    </w:p>
    <w:p w14:paraId="06CA33CB" w14:textId="77777777" w:rsidR="007957F2" w:rsidRPr="00284526" w:rsidRDefault="007957F2" w:rsidP="007957F2">
      <w:pPr>
        <w:spacing w:after="0" w:line="240" w:lineRule="auto"/>
        <w:contextualSpacing/>
        <w:jc w:val="both"/>
        <w:rPr>
          <w:rFonts w:ascii="Verdana" w:hAnsi="Verdana" w:cs="Arial"/>
          <w:color w:val="000000" w:themeColor="text1"/>
          <w:sz w:val="20"/>
          <w:szCs w:val="20"/>
          <w:lang w:val="es-ES"/>
        </w:rPr>
      </w:pPr>
      <w:r w:rsidRPr="00284526">
        <w:rPr>
          <w:rFonts w:ascii="Verdana" w:hAnsi="Verdana" w:cs="Arial"/>
          <w:color w:val="000000" w:themeColor="text1"/>
          <w:sz w:val="20"/>
          <w:szCs w:val="20"/>
          <w:lang w:val="es-ES"/>
        </w:rPr>
        <w:t xml:space="preserve">Las inhabilidades e incompatibilidades, al ser limitaciones a la capacidad contractual, y por tanto al afectar derechos como la libre concurrencia o la libertad de ejercicio de la profesión u oficio, es decir, al ser enunciados normativos gravosos, deben interpretarse restrictivamente; o sea, no admiten una interpretación amplia, extensiva o analógica. Precisamente, al leer las causales previstas en la Constitución, así como en el artículo 8 de la Ley 80 de 1993 y en otras disposiciones complementarias, no se observa una prohibición para que una misma persona natural preste sus servicios profesionales en dos entidades, a través de contratos distintos y concomitantes, incluso cuando una de esas entidades ejerza funciones de vigilancia y control respecto de la otra entidad contratante o tengan alguna relación de tipo legal o contractual. </w:t>
      </w:r>
    </w:p>
    <w:p w14:paraId="1631A015" w14:textId="77777777" w:rsidR="007957F2" w:rsidRPr="00284526" w:rsidRDefault="007957F2" w:rsidP="007957F2">
      <w:pPr>
        <w:spacing w:after="0" w:line="240" w:lineRule="auto"/>
        <w:contextualSpacing/>
        <w:jc w:val="both"/>
        <w:rPr>
          <w:rFonts w:ascii="Verdana" w:eastAsia="Calibri" w:hAnsi="Verdana" w:cs="Arial"/>
          <w:b/>
          <w:bCs/>
          <w:color w:val="000000"/>
          <w:kern w:val="2"/>
          <w14:ligatures w14:val="standardContextual"/>
        </w:rPr>
      </w:pPr>
    </w:p>
    <w:p w14:paraId="08D6F4FD" w14:textId="77777777" w:rsidR="007957F2" w:rsidRPr="00284526" w:rsidRDefault="007957F2" w:rsidP="007957F2">
      <w:pPr>
        <w:spacing w:after="0" w:line="240" w:lineRule="auto"/>
        <w:contextualSpacing/>
        <w:jc w:val="both"/>
        <w:rPr>
          <w:rFonts w:ascii="Verdana" w:eastAsia="Calibri" w:hAnsi="Verdana" w:cs="Arial"/>
          <w:b/>
          <w:bCs/>
          <w:lang w:val="es-ES_tradnl"/>
        </w:rPr>
      </w:pPr>
      <w:r w:rsidRPr="00284526">
        <w:rPr>
          <w:rFonts w:ascii="Verdana" w:eastAsia="Calibri" w:hAnsi="Verdana" w:cs="Arial"/>
          <w:b/>
          <w:bCs/>
          <w:color w:val="000000"/>
          <w:kern w:val="2"/>
          <w14:ligatures w14:val="standardContextual"/>
        </w:rPr>
        <w:t xml:space="preserve">CONCLICTO DE INTERÉS – Verificación – Tipicidad </w:t>
      </w:r>
    </w:p>
    <w:p w14:paraId="39813998" w14:textId="77777777" w:rsidR="007957F2" w:rsidRPr="00284526" w:rsidRDefault="007957F2" w:rsidP="007957F2">
      <w:pPr>
        <w:spacing w:after="0" w:line="240" w:lineRule="auto"/>
        <w:contextualSpacing/>
        <w:rPr>
          <w:rFonts w:ascii="Verdana" w:eastAsia="Geomanist Light" w:hAnsi="Verdana" w:cs="Arial"/>
          <w:color w:val="000000" w:themeColor="text1"/>
          <w:lang w:val="es-MX"/>
        </w:rPr>
      </w:pPr>
    </w:p>
    <w:p w14:paraId="2D8B5217" w14:textId="77777777" w:rsidR="007957F2" w:rsidRPr="00284526" w:rsidRDefault="007957F2" w:rsidP="007957F2">
      <w:pPr>
        <w:widowControl w:val="0"/>
        <w:autoSpaceDE w:val="0"/>
        <w:autoSpaceDN w:val="0"/>
        <w:spacing w:after="0" w:line="240" w:lineRule="auto"/>
        <w:contextualSpacing/>
        <w:jc w:val="both"/>
        <w:rPr>
          <w:rFonts w:ascii="Verdana" w:hAnsi="Verdana" w:cs="Arial"/>
          <w:color w:val="000000" w:themeColor="text1"/>
          <w:sz w:val="20"/>
          <w:szCs w:val="20"/>
          <w:lang w:val="es-ES_tradnl"/>
        </w:rPr>
      </w:pPr>
      <w:r w:rsidRPr="00284526">
        <w:rPr>
          <w:rFonts w:ascii="Verdana" w:eastAsia="Arial MT" w:hAnsi="Verdana" w:cs="Arial"/>
          <w:sz w:val="20"/>
          <w:szCs w:val="20"/>
          <w:lang w:eastAsia="es-ES" w:bidi="es-ES"/>
        </w:rPr>
        <w:t xml:space="preserve">Es importante señalar que </w:t>
      </w:r>
      <w:r w:rsidRPr="00284526">
        <w:rPr>
          <w:rFonts w:ascii="Verdana" w:hAnsi="Verdana" w:cs="Arial"/>
          <w:color w:val="000000" w:themeColor="text1"/>
          <w:sz w:val="20"/>
          <w:szCs w:val="20"/>
          <w:lang w:val="es-ES_tradnl"/>
        </w:rPr>
        <w:t xml:space="preserve">de acuerdo con 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En desarrollo de esta directriz, el régimen de los </w:t>
      </w:r>
      <w:r w:rsidRPr="00284526">
        <w:rPr>
          <w:rFonts w:ascii="Verdana" w:hAnsi="Verdana" w:cs="Arial"/>
          <w:i/>
          <w:iCs/>
          <w:color w:val="000000" w:themeColor="text1"/>
          <w:sz w:val="20"/>
          <w:szCs w:val="20"/>
          <w:lang w:val="es-ES_tradnl"/>
        </w:rPr>
        <w:t>conflictos de interés</w:t>
      </w:r>
      <w:r w:rsidRPr="00284526">
        <w:rPr>
          <w:rFonts w:ascii="Verdana" w:hAnsi="Verdana" w:cs="Arial"/>
          <w:color w:val="000000" w:themeColor="text1"/>
          <w:sz w:val="20"/>
          <w:szCs w:val="20"/>
          <w:lang w:val="es-ES_tradnl"/>
        </w:rPr>
        <w:t xml:space="preserve"> tiene como objetivo la </w:t>
      </w:r>
      <w:r w:rsidRPr="00284526">
        <w:rPr>
          <w:rFonts w:ascii="Verdana" w:hAnsi="Verdana" w:cs="Arial"/>
          <w:color w:val="000000" w:themeColor="text1"/>
          <w:sz w:val="20"/>
          <w:szCs w:val="20"/>
          <w:lang w:val="es-ES_tradnl"/>
        </w:rPr>
        <w:lastRenderedPageBreak/>
        <w:t>prevalencia del bien común sobre el particular, razón por la cual se configuran cuando los servidores públicos actúan influenciados por consideraciones personales que colisionan con el deber de preservar su independencia e imparcialidad.</w:t>
      </w:r>
    </w:p>
    <w:p w14:paraId="54D8F5F9" w14:textId="77777777" w:rsidR="007957F2" w:rsidRPr="00284526" w:rsidRDefault="007957F2" w:rsidP="007957F2">
      <w:pPr>
        <w:spacing w:after="0" w:line="240" w:lineRule="auto"/>
        <w:rPr>
          <w:rFonts w:ascii="Verdana" w:eastAsia="Geomanist Light" w:hAnsi="Verdana" w:cs="Arial"/>
          <w:color w:val="000000" w:themeColor="text1"/>
          <w:lang w:val="es-MX"/>
        </w:rPr>
      </w:pPr>
    </w:p>
    <w:p w14:paraId="22614573" w14:textId="77777777" w:rsidR="007957F2" w:rsidRPr="00284526" w:rsidRDefault="007957F2" w:rsidP="007957F2">
      <w:pPr>
        <w:spacing w:after="0" w:line="240" w:lineRule="auto"/>
        <w:rPr>
          <w:rFonts w:ascii="Verdana" w:eastAsia="Geomanist Light" w:hAnsi="Verdana" w:cs="Arial"/>
          <w:color w:val="000000" w:themeColor="text1"/>
          <w:lang w:val="es-MX"/>
        </w:rPr>
      </w:pPr>
    </w:p>
    <w:p w14:paraId="08B20726" w14:textId="77777777" w:rsidR="007957F2" w:rsidRPr="00284526" w:rsidRDefault="007957F2" w:rsidP="007957F2">
      <w:pPr>
        <w:spacing w:after="0" w:line="240" w:lineRule="auto"/>
        <w:rPr>
          <w:rFonts w:ascii="Verdana" w:eastAsia="Geomanist Light" w:hAnsi="Verdana" w:cs="Arial"/>
          <w:color w:val="000000" w:themeColor="text1"/>
          <w:lang w:val="es-MX"/>
        </w:rPr>
      </w:pPr>
    </w:p>
    <w:p w14:paraId="31A9A01C" w14:textId="77777777" w:rsidR="007957F2" w:rsidRPr="00284526" w:rsidRDefault="007957F2">
      <w:pPr>
        <w:rPr>
          <w:rFonts w:ascii="Verdana" w:eastAsia="Verdana" w:hAnsi="Verdana" w:cs="Verdana"/>
        </w:rPr>
      </w:pPr>
      <w:r w:rsidRPr="00284526">
        <w:rPr>
          <w:rFonts w:ascii="Verdana" w:eastAsia="Verdana" w:hAnsi="Verdana" w:cs="Verdana"/>
        </w:rPr>
        <w:br w:type="page"/>
      </w:r>
    </w:p>
    <w:p w14:paraId="25735A7B" w14:textId="1EA11F9A" w:rsidR="00095402" w:rsidRDefault="00C15139" w:rsidP="002F2B6D">
      <w:pPr>
        <w:spacing w:after="0" w:line="240" w:lineRule="auto"/>
        <w:rPr>
          <w:rFonts w:ascii="Verdana" w:eastAsia="Verdana" w:hAnsi="Verdana" w:cs="Verdana"/>
        </w:rPr>
      </w:pPr>
      <w:r w:rsidRPr="30821638">
        <w:rPr>
          <w:rFonts w:ascii="Verdana" w:eastAsia="Verdana" w:hAnsi="Verdana" w:cs="Verdana"/>
        </w:rPr>
        <w:lastRenderedPageBreak/>
        <w:t xml:space="preserve">Bogotá D.C., </w:t>
      </w:r>
      <w:r w:rsidR="00A65A36">
        <w:rPr>
          <w:rFonts w:ascii="Verdana" w:eastAsia="Verdana" w:hAnsi="Verdana" w:cs="Verdana"/>
        </w:rPr>
        <w:t>24 de febrero de 2026</w:t>
      </w:r>
    </w:p>
    <w:p w14:paraId="4F62ED2C" w14:textId="264609F9" w:rsidR="00095402" w:rsidRDefault="00892B89" w:rsidP="002F2B6D">
      <w:pPr>
        <w:spacing w:after="0" w:line="240" w:lineRule="auto"/>
        <w:rPr>
          <w:rFonts w:ascii="Verdana" w:eastAsia="Verdana" w:hAnsi="Verdana" w:cs="Verdana"/>
        </w:rPr>
      </w:pPr>
      <w:r>
        <w:rPr>
          <w:noProof/>
        </w:rPr>
        <w:drawing>
          <wp:anchor distT="0" distB="0" distL="0" distR="0" simplePos="0" relativeHeight="251660288" behindDoc="1" locked="0" layoutInCell="1" allowOverlap="1" wp14:anchorId="24E23018" wp14:editId="6389B107">
            <wp:simplePos x="0" y="0"/>
            <wp:positionH relativeFrom="page">
              <wp:posOffset>4610100</wp:posOffset>
            </wp:positionH>
            <wp:positionV relativeFrom="paragraph">
              <wp:posOffset>3810</wp:posOffset>
            </wp:positionV>
            <wp:extent cx="2400300" cy="927100"/>
            <wp:effectExtent l="0" t="0" r="0" b="6350"/>
            <wp:wrapTight wrapText="bothSides">
              <wp:wrapPolygon edited="0">
                <wp:start x="0" y="0"/>
                <wp:lineTo x="0" y="21304"/>
                <wp:lineTo x="21429" y="21304"/>
                <wp:lineTo x="21429" y="0"/>
                <wp:lineTo x="0" y="0"/>
              </wp:wrapPolygon>
            </wp:wrapTight>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2400300" cy="927100"/>
                    </a:xfrm>
                    <a:prstGeom prst="rect">
                      <a:avLst/>
                    </a:prstGeom>
                  </pic:spPr>
                </pic:pic>
              </a:graphicData>
            </a:graphic>
            <wp14:sizeRelV relativeFrom="margin">
              <wp14:pctHeight>0</wp14:pctHeight>
            </wp14:sizeRelV>
          </wp:anchor>
        </w:drawing>
      </w:r>
    </w:p>
    <w:p w14:paraId="153B7F70" w14:textId="1798550B" w:rsidR="00095402" w:rsidRDefault="00095402" w:rsidP="002F2B6D">
      <w:pPr>
        <w:spacing w:after="0" w:line="240" w:lineRule="auto"/>
        <w:rPr>
          <w:rFonts w:ascii="Verdana" w:eastAsia="Verdana" w:hAnsi="Verdana" w:cs="Verdana"/>
        </w:rPr>
      </w:pPr>
      <w:r>
        <w:rPr>
          <w:rFonts w:ascii="Verdana" w:eastAsia="Verdana" w:hAnsi="Verdana" w:cs="Verdana"/>
        </w:rPr>
        <w:t xml:space="preserve">Señor </w:t>
      </w:r>
    </w:p>
    <w:p w14:paraId="3A654AD6" w14:textId="0E5712D0" w:rsidR="00095402" w:rsidRPr="004C144C" w:rsidRDefault="004C144C" w:rsidP="002F2B6D">
      <w:pPr>
        <w:spacing w:after="0" w:line="240" w:lineRule="auto"/>
        <w:rPr>
          <w:rFonts w:ascii="Verdana" w:eastAsia="Verdana" w:hAnsi="Verdana" w:cs="Verdana"/>
          <w:b/>
          <w:bCs/>
        </w:rPr>
      </w:pPr>
      <w:r w:rsidRPr="004C144C">
        <w:rPr>
          <w:rFonts w:ascii="Verdana" w:eastAsia="Verdana" w:hAnsi="Verdana" w:cs="Verdana"/>
          <w:b/>
          <w:bCs/>
        </w:rPr>
        <w:t>Julián</w:t>
      </w:r>
      <w:r w:rsidR="00095402" w:rsidRPr="004C144C">
        <w:rPr>
          <w:rFonts w:ascii="Verdana" w:eastAsia="Verdana" w:hAnsi="Verdana" w:cs="Verdana"/>
          <w:b/>
          <w:bCs/>
        </w:rPr>
        <w:t xml:space="preserve"> Felipe González Silva</w:t>
      </w:r>
    </w:p>
    <w:p w14:paraId="09A69EC4" w14:textId="36CE0C74" w:rsidR="004C144C" w:rsidRDefault="004C144C" w:rsidP="002F2B6D">
      <w:pPr>
        <w:spacing w:after="0" w:line="240" w:lineRule="auto"/>
        <w:rPr>
          <w:rFonts w:ascii="Verdana" w:eastAsia="Verdana" w:hAnsi="Verdana" w:cs="Verdana"/>
        </w:rPr>
      </w:pPr>
      <w:hyperlink r:id="rId12" w:history="1">
        <w:r w:rsidRPr="00284526">
          <w:rPr>
            <w:rStyle w:val="Hipervnculo"/>
            <w:rFonts w:ascii="Verdana" w:eastAsia="Verdana" w:hAnsi="Verdana" w:cs="Verdana"/>
          </w:rPr>
          <w:t>Julianfelipe1304@hotamil.com</w:t>
        </w:r>
      </w:hyperlink>
    </w:p>
    <w:p w14:paraId="321171ED" w14:textId="70D0A425" w:rsidR="004C144C" w:rsidRDefault="006357B3" w:rsidP="00155526">
      <w:pPr>
        <w:spacing w:after="0" w:line="240" w:lineRule="auto"/>
        <w:rPr>
          <w:rFonts w:ascii="Verdana" w:eastAsia="Verdana" w:hAnsi="Verdana" w:cs="Verdana"/>
        </w:rPr>
      </w:pPr>
      <w:r>
        <w:rPr>
          <w:rFonts w:ascii="Verdana" w:eastAsia="Verdana" w:hAnsi="Verdana" w:cs="Verdana"/>
        </w:rPr>
        <w:t>Ciudad</w:t>
      </w:r>
      <w:r w:rsidR="007A4A52">
        <w:rPr>
          <w:rFonts w:ascii="Verdana" w:eastAsia="Verdana" w:hAnsi="Verdana" w:cs="Verdana"/>
        </w:rPr>
        <w:t xml:space="preserve">  </w:t>
      </w:r>
    </w:p>
    <w:p w14:paraId="0F360426" w14:textId="2649DE14" w:rsidR="00155526" w:rsidRDefault="00155526" w:rsidP="00155526">
      <w:pPr>
        <w:spacing w:after="0" w:line="240" w:lineRule="auto"/>
        <w:rPr>
          <w:rFonts w:ascii="Verdana" w:eastAsia="Verdana" w:hAnsi="Verdana" w:cs="Verdana"/>
        </w:rPr>
      </w:pPr>
    </w:p>
    <w:p w14:paraId="7AD9688C" w14:textId="77777777" w:rsidR="00155526" w:rsidRPr="00155526" w:rsidRDefault="00155526" w:rsidP="002F2B6D">
      <w:pPr>
        <w:spacing w:after="0" w:line="240" w:lineRule="auto"/>
        <w:rPr>
          <w:rFonts w:ascii="Verdana" w:eastAsia="Verdana" w:hAnsi="Verdana" w:cs="Verdana"/>
        </w:rPr>
      </w:pPr>
    </w:p>
    <w:p w14:paraId="331EB0FD" w14:textId="5210495C" w:rsidR="00D306D1" w:rsidRPr="00801462" w:rsidRDefault="007A4A52" w:rsidP="002F2B6D">
      <w:pPr>
        <w:spacing w:after="0" w:line="240" w:lineRule="auto"/>
        <w:jc w:val="both"/>
        <w:rPr>
          <w:rFonts w:ascii="Verdana" w:eastAsia="Calibri" w:hAnsi="Verdana" w:cs="Arial"/>
          <w:b/>
          <w:bCs/>
          <w:lang w:eastAsia="es-ES"/>
        </w:rPr>
      </w:pPr>
      <w:r>
        <w:rPr>
          <w:rFonts w:ascii="Verdana" w:eastAsia="Verdana" w:hAnsi="Verdana" w:cs="Verdana"/>
        </w:rPr>
        <w:t xml:space="preserve"> </w:t>
      </w:r>
      <w:r w:rsidR="00D306D1">
        <w:rPr>
          <w:rFonts w:ascii="Verdana" w:eastAsia="Verdana" w:hAnsi="Verdana" w:cs="Verdana"/>
        </w:rPr>
        <w:tab/>
        <w:t xml:space="preserve">                                 </w:t>
      </w:r>
      <w:r w:rsidR="00D306D1" w:rsidRPr="00801462">
        <w:rPr>
          <w:rFonts w:ascii="Verdana" w:eastAsia="Calibri" w:hAnsi="Verdana" w:cs="Arial"/>
          <w:b/>
          <w:bCs/>
          <w:lang w:eastAsia="es-ES"/>
        </w:rPr>
        <w:t>Concepto C-</w:t>
      </w:r>
      <w:r w:rsidR="00CB3E05">
        <w:rPr>
          <w:rFonts w:ascii="Verdana" w:eastAsia="Calibri" w:hAnsi="Verdana" w:cs="Arial"/>
          <w:b/>
          <w:bCs/>
          <w:lang w:eastAsia="es-ES"/>
        </w:rPr>
        <w:t>056</w:t>
      </w:r>
      <w:r w:rsidR="00D306D1" w:rsidRPr="00801462">
        <w:rPr>
          <w:rFonts w:ascii="Verdana" w:eastAsia="Calibri" w:hAnsi="Verdana" w:cs="Arial"/>
          <w:b/>
          <w:bCs/>
          <w:lang w:eastAsia="es-ES"/>
        </w:rPr>
        <w:t xml:space="preserve"> de 202</w:t>
      </w:r>
      <w:r w:rsidR="00D306D1">
        <w:rPr>
          <w:rFonts w:ascii="Verdana" w:eastAsia="Calibri" w:hAnsi="Verdana" w:cs="Arial"/>
          <w:b/>
          <w:bCs/>
          <w:lang w:eastAsia="es-ES"/>
        </w:rPr>
        <w:t>6</w:t>
      </w:r>
    </w:p>
    <w:p w14:paraId="5BF9C480" w14:textId="3B78BB05" w:rsidR="007A4A52" w:rsidRDefault="007A4A52" w:rsidP="002F2B6D">
      <w:pPr>
        <w:tabs>
          <w:tab w:val="center" w:pos="4419"/>
        </w:tabs>
        <w:spacing w:after="0" w:line="240" w:lineRule="auto"/>
        <w:rPr>
          <w:rFonts w:ascii="Verdana" w:eastAsia="Verdana" w:hAnsi="Verdana" w:cs="Verdana"/>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7A4A52" w:rsidRPr="00801462" w14:paraId="42BF6C03" w14:textId="77777777" w:rsidTr="00257D8B">
        <w:trPr>
          <w:trHeight w:val="884"/>
        </w:trPr>
        <w:tc>
          <w:tcPr>
            <w:tcW w:w="3119" w:type="dxa"/>
          </w:tcPr>
          <w:p w14:paraId="5AB6EF24" w14:textId="77777777" w:rsidR="007A4A52" w:rsidRPr="00801462" w:rsidRDefault="007A4A52" w:rsidP="00257D8B">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721FADA8" w14:textId="7CEEE8FF" w:rsidR="007A4A52" w:rsidRDefault="007A4A52" w:rsidP="00257D8B">
            <w:pPr>
              <w:jc w:val="both"/>
              <w:rPr>
                <w:rFonts w:ascii="Verdana" w:eastAsia="Calibri" w:hAnsi="Verdana" w:cs="Arial"/>
                <w:color w:val="000000"/>
                <w:kern w:val="2"/>
                <w14:ligatures w14:val="standardContextual"/>
              </w:rPr>
            </w:pPr>
            <w:r w:rsidRPr="00E8264F">
              <w:rPr>
                <w:rFonts w:ascii="Verdana" w:eastAsia="Calibri" w:hAnsi="Verdana" w:cs="Arial"/>
                <w:lang w:val="es-ES_tradnl" w:eastAsia="es-ES"/>
              </w:rPr>
              <w:t xml:space="preserve">INHABILIDADES E INCOMPATIBILIDADES – Límites a la capacidad – Régimen / INHABILIDADES E INCOMPATIBILIDADES – Concepto / INHABILIDADES E INCOMPATIBILIDADES – Interpretación restrictiva </w:t>
            </w:r>
            <w:r w:rsidR="006F1F28" w:rsidRPr="00284526">
              <w:rPr>
                <w:rFonts w:ascii="Verdana" w:eastAsia="Calibri" w:hAnsi="Verdana" w:cs="Arial"/>
                <w:lang w:val="es-ES_tradnl" w:eastAsia="es-ES"/>
              </w:rPr>
              <w:t>/ CONTRATO DE PRESTACIÓN DE SERVICIOS – Simultaneidad – Ausencia</w:t>
            </w:r>
            <w:r w:rsidRPr="00E8264F">
              <w:rPr>
                <w:rFonts w:ascii="Verdana" w:eastAsia="Calibri" w:hAnsi="Verdana" w:cs="Arial"/>
                <w:lang w:val="es-ES_tradnl" w:eastAsia="es-ES"/>
              </w:rPr>
              <w:t xml:space="preserve"> de </w:t>
            </w:r>
            <w:r w:rsidR="006F1F28" w:rsidRPr="00284526">
              <w:rPr>
                <w:rFonts w:ascii="Verdana" w:eastAsia="Calibri" w:hAnsi="Verdana" w:cs="Arial"/>
                <w:lang w:val="es-ES_tradnl" w:eastAsia="es-ES"/>
              </w:rPr>
              <w:t>Inhabilidad e incompatibilidad /</w:t>
            </w:r>
            <w:r>
              <w:rPr>
                <w:rFonts w:ascii="Verdana" w:eastAsia="Calibri" w:hAnsi="Verdana" w:cs="Arial"/>
                <w:lang w:val="es-ES_tradnl" w:eastAsia="es-ES"/>
              </w:rPr>
              <w:t xml:space="preserve"> </w:t>
            </w:r>
            <w:r w:rsidRPr="00284526">
              <w:rPr>
                <w:rFonts w:ascii="Verdana" w:eastAsia="Calibri" w:hAnsi="Verdana" w:cs="Arial"/>
                <w:lang w:val="es-ES_tradnl" w:eastAsia="es-ES"/>
              </w:rPr>
              <w:t xml:space="preserve">CONFLICTO DE </w:t>
            </w:r>
            <w:r w:rsidR="006F1F28" w:rsidRPr="00284526">
              <w:rPr>
                <w:rFonts w:ascii="Verdana" w:eastAsia="Calibri" w:hAnsi="Verdana" w:cs="Arial"/>
                <w:lang w:val="es-ES_tradnl" w:eastAsia="es-ES"/>
              </w:rPr>
              <w:t>INTERESES</w:t>
            </w:r>
            <w:r w:rsidRPr="00284526">
              <w:rPr>
                <w:rFonts w:ascii="Verdana" w:eastAsia="Calibri" w:hAnsi="Verdana" w:cs="Arial"/>
                <w:lang w:val="es-ES_tradnl" w:eastAsia="es-ES"/>
              </w:rPr>
              <w:t xml:space="preserve"> – Verificación</w:t>
            </w:r>
            <w:r w:rsidR="006F1F28" w:rsidRPr="00284526">
              <w:rPr>
                <w:rFonts w:ascii="Verdana" w:eastAsia="Calibri" w:hAnsi="Verdana" w:cs="Arial"/>
                <w:lang w:val="es-ES_tradnl" w:eastAsia="es-ES"/>
              </w:rPr>
              <w:t xml:space="preserve"> - Tipicidad</w:t>
            </w:r>
          </w:p>
          <w:p w14:paraId="37012A45" w14:textId="77777777" w:rsidR="008A0D4C" w:rsidRPr="00801462" w:rsidRDefault="008A0D4C" w:rsidP="00257D8B">
            <w:pPr>
              <w:jc w:val="both"/>
              <w:rPr>
                <w:rFonts w:ascii="Verdana" w:eastAsia="Calibri" w:hAnsi="Verdana" w:cs="Arial"/>
                <w:lang w:val="es-ES_tradnl" w:eastAsia="es-ES"/>
              </w:rPr>
            </w:pPr>
          </w:p>
        </w:tc>
      </w:tr>
      <w:tr w:rsidR="007A4A52" w:rsidRPr="00801462" w14:paraId="7AD6599F" w14:textId="77777777" w:rsidTr="008A0D4C">
        <w:trPr>
          <w:trHeight w:val="408"/>
        </w:trPr>
        <w:tc>
          <w:tcPr>
            <w:tcW w:w="3119" w:type="dxa"/>
          </w:tcPr>
          <w:p w14:paraId="060D12ED" w14:textId="5F36A745" w:rsidR="007A4A52" w:rsidRPr="00801462" w:rsidRDefault="007A4A52" w:rsidP="00257D8B">
            <w:pPr>
              <w:jc w:val="both"/>
              <w:rPr>
                <w:rFonts w:ascii="Verdana" w:eastAsia="Calibri" w:hAnsi="Verdana" w:cs="Arial"/>
                <w:b/>
                <w:color w:val="000000"/>
                <w:lang w:eastAsia="es-ES_tradnl"/>
              </w:rPr>
            </w:pPr>
            <w:r>
              <w:rPr>
                <w:rFonts w:ascii="Verdana" w:eastAsia="Calibri" w:hAnsi="Verdana" w:cs="Arial"/>
                <w:b/>
                <w:color w:val="000000"/>
                <w:lang w:eastAsia="es-ES_tradnl"/>
              </w:rPr>
              <w:t>R</w:t>
            </w:r>
            <w:r w:rsidR="001F14A0">
              <w:rPr>
                <w:rFonts w:ascii="Verdana" w:eastAsia="Calibri" w:hAnsi="Verdana" w:cs="Arial"/>
                <w:b/>
                <w:color w:val="000000"/>
                <w:lang w:eastAsia="es-ES_tradnl"/>
              </w:rPr>
              <w:t>adicación:</w:t>
            </w:r>
          </w:p>
        </w:tc>
        <w:tc>
          <w:tcPr>
            <w:tcW w:w="5670" w:type="dxa"/>
          </w:tcPr>
          <w:p w14:paraId="56D02ECA" w14:textId="2BFC9284" w:rsidR="008A0D4C" w:rsidRPr="008A0D4C" w:rsidRDefault="008A0D4C" w:rsidP="008A0D4C">
            <w:pPr>
              <w:jc w:val="both"/>
              <w:rPr>
                <w:rFonts w:ascii="Verdana" w:eastAsia="Calibri" w:hAnsi="Verdana" w:cs="Arial"/>
                <w:lang w:val="es-ES_tradnl" w:eastAsia="es-ES"/>
              </w:rPr>
            </w:pPr>
            <w:r>
              <w:rPr>
                <w:rFonts w:ascii="Verdana" w:eastAsia="Calibri" w:hAnsi="Verdana" w:cs="Arial"/>
                <w:lang w:val="es-ES_tradnl" w:eastAsia="es-ES"/>
              </w:rPr>
              <w:t xml:space="preserve">Respuesta al radicado </w:t>
            </w:r>
            <w:r>
              <w:rPr>
                <w:rFonts w:ascii="Verdana" w:hAnsi="Verdana" w:cs="Calibri"/>
              </w:rPr>
              <w:t>1_2026_01_16_000424</w:t>
            </w:r>
          </w:p>
          <w:p w14:paraId="3E9BD20F" w14:textId="5974B03C" w:rsidR="007A4A52" w:rsidRPr="00E8264F" w:rsidRDefault="007A4A52" w:rsidP="00257D8B">
            <w:pPr>
              <w:jc w:val="both"/>
              <w:rPr>
                <w:rFonts w:ascii="Verdana" w:eastAsia="Calibri" w:hAnsi="Verdana" w:cs="Arial"/>
                <w:lang w:val="es-ES_tradnl" w:eastAsia="es-ES"/>
              </w:rPr>
            </w:pPr>
          </w:p>
        </w:tc>
      </w:tr>
    </w:tbl>
    <w:p w14:paraId="0EF150D7" w14:textId="77777777" w:rsidR="007A4A52" w:rsidRPr="007A4A52" w:rsidRDefault="007A4A52" w:rsidP="002F2B6D">
      <w:pPr>
        <w:spacing w:after="0" w:line="240" w:lineRule="auto"/>
        <w:rPr>
          <w:rFonts w:ascii="Verdana" w:eastAsia="Verdana" w:hAnsi="Verdana" w:cs="Verdana"/>
          <w:lang w:val="es-ES_tradnl"/>
        </w:rPr>
      </w:pPr>
    </w:p>
    <w:p w14:paraId="098D9568" w14:textId="77777777" w:rsidR="00F64B69" w:rsidRDefault="00F64B69" w:rsidP="002F2B6D">
      <w:pPr>
        <w:spacing w:after="0" w:line="240" w:lineRule="auto"/>
        <w:rPr>
          <w:rFonts w:ascii="Verdana" w:eastAsia="Verdana" w:hAnsi="Verdana" w:cs="Verdana"/>
        </w:rPr>
      </w:pPr>
    </w:p>
    <w:p w14:paraId="2C23C2BF" w14:textId="77777777" w:rsidR="00CB3E05" w:rsidRDefault="00CB3E05" w:rsidP="002F2B6D">
      <w:pPr>
        <w:spacing w:after="0" w:line="276" w:lineRule="auto"/>
        <w:rPr>
          <w:rFonts w:ascii="Verdana" w:eastAsia="Verdana" w:hAnsi="Verdana" w:cs="Verdana"/>
        </w:rPr>
      </w:pPr>
      <w:r>
        <w:rPr>
          <w:rFonts w:ascii="Verdana" w:eastAsia="Verdana" w:hAnsi="Verdana" w:cs="Verdana"/>
        </w:rPr>
        <w:t xml:space="preserve">Respetado señor González: </w:t>
      </w:r>
    </w:p>
    <w:p w14:paraId="6ABDA885" w14:textId="77777777" w:rsidR="00CB3E05" w:rsidRDefault="00CB3E05" w:rsidP="002F2B6D">
      <w:pPr>
        <w:spacing w:after="0" w:line="276" w:lineRule="auto"/>
        <w:rPr>
          <w:rFonts w:ascii="Verdana" w:eastAsia="Verdana" w:hAnsi="Verdana" w:cs="Verdana"/>
        </w:rPr>
      </w:pPr>
    </w:p>
    <w:p w14:paraId="16D2B735" w14:textId="470869CD" w:rsidR="00CA11B2" w:rsidRPr="008E4F36" w:rsidRDefault="00CA11B2" w:rsidP="00CA11B2">
      <w:pPr>
        <w:tabs>
          <w:tab w:val="left" w:pos="3768"/>
        </w:tabs>
        <w:spacing w:after="0" w:line="276" w:lineRule="auto"/>
        <w:jc w:val="both"/>
        <w:rPr>
          <w:rFonts w:ascii="Verdana" w:eastAsia="Calibri" w:hAnsi="Verdana" w:cs="Arial"/>
          <w:lang w:eastAsia="es-ES"/>
        </w:rPr>
      </w:pPr>
      <w:r w:rsidRPr="008E4F36">
        <w:rPr>
          <w:rFonts w:ascii="Verdana" w:eastAsia="Calibri" w:hAnsi="Verdana" w:cs="Arial"/>
          <w:color w:val="000000" w:themeColor="text1"/>
          <w:lang w:eastAsia="es-ES"/>
        </w:rPr>
        <w:t>En ejercicio de la competencia otorgada por los artículos 3, numeral 5º, y 11, numeral 8º, del Decreto Ley 4170 de 2011,</w:t>
      </w:r>
      <w:r w:rsidRPr="008E4F36">
        <w:rPr>
          <w:rFonts w:ascii="Verdana" w:eastAsia="Arial MT" w:hAnsi="Verdana" w:cs="Arial MT"/>
          <w:lang w:eastAsia="es-ES"/>
        </w:rPr>
        <w:t xml:space="preserve"> </w:t>
      </w:r>
      <w:r w:rsidRPr="008E4F36">
        <w:rPr>
          <w:rFonts w:ascii="Verdana" w:hAnsi="Verdana" w:cs="Arial"/>
        </w:rPr>
        <w:t xml:space="preserve">así como lo establecido en el artículo 4 de la Resolución 1707 de 2018 expedida por esta Entidad, </w:t>
      </w:r>
      <w:r w:rsidRPr="008E4F36">
        <w:rPr>
          <w:rFonts w:ascii="Verdana" w:eastAsia="Calibri" w:hAnsi="Verdana" w:cs="Arial"/>
          <w:color w:val="000000" w:themeColor="text1"/>
          <w:lang w:eastAsia="es-ES"/>
        </w:rPr>
        <w:t xml:space="preserve">la Agencia Nacional de Contratación </w:t>
      </w:r>
      <w:r w:rsidRPr="008E4F36">
        <w:rPr>
          <w:rFonts w:ascii="Verdana" w:eastAsia="Calibri" w:hAnsi="Verdana" w:cs="Arial"/>
          <w:lang w:eastAsia="es-ES"/>
        </w:rPr>
        <w:t xml:space="preserve">Pública – Colombia Compra Eficiente– responde su solicitud de consulta de fecha </w:t>
      </w:r>
      <w:r w:rsidR="004E6A27">
        <w:rPr>
          <w:rFonts w:ascii="Verdana" w:eastAsia="Calibri" w:hAnsi="Verdana" w:cs="Arial"/>
          <w:lang w:eastAsia="es-ES"/>
        </w:rPr>
        <w:t>5 de enero de 2026</w:t>
      </w:r>
      <w:r w:rsidRPr="004E6A27">
        <w:rPr>
          <w:rFonts w:ascii="Verdana" w:eastAsia="Calibri" w:hAnsi="Verdana" w:cs="Arial"/>
          <w:lang w:eastAsia="es-ES"/>
        </w:rPr>
        <w:t xml:space="preserve">, </w:t>
      </w:r>
      <w:r>
        <w:rPr>
          <w:rFonts w:ascii="Verdana" w:eastAsia="Calibri" w:hAnsi="Verdana" w:cs="Arial"/>
          <w:lang w:eastAsia="es-ES"/>
        </w:rPr>
        <w:t xml:space="preserve">trasladado por el Departamento Administrativo de la Función Pública mediante oficio remisorio No. </w:t>
      </w:r>
      <w:r w:rsidR="001206B6" w:rsidRPr="001206B6">
        <w:rPr>
          <w:rFonts w:ascii="Verdana" w:eastAsia="Calibri" w:hAnsi="Verdana" w:cs="Arial"/>
          <w:lang w:eastAsia="es-ES"/>
        </w:rPr>
        <w:t>20262040013551</w:t>
      </w:r>
      <w:r w:rsidR="001206B6">
        <w:rPr>
          <w:rFonts w:ascii="Verdana" w:eastAsia="Calibri" w:hAnsi="Verdana" w:cs="Arial"/>
          <w:lang w:eastAsia="es-ES"/>
        </w:rPr>
        <w:t xml:space="preserve"> del </w:t>
      </w:r>
      <w:r w:rsidR="00546C6C">
        <w:rPr>
          <w:rFonts w:ascii="Verdana" w:eastAsia="Calibri" w:hAnsi="Verdana" w:cs="Arial"/>
          <w:lang w:eastAsia="es-ES"/>
        </w:rPr>
        <w:t>16 de enero</w:t>
      </w:r>
      <w:r>
        <w:rPr>
          <w:rFonts w:ascii="Verdana" w:eastAsia="Calibri" w:hAnsi="Verdana" w:cs="Arial"/>
          <w:lang w:eastAsia="es-ES"/>
        </w:rPr>
        <w:t xml:space="preserve"> de 2026, </w:t>
      </w:r>
      <w:r w:rsidRPr="008E4F36">
        <w:rPr>
          <w:rFonts w:ascii="Verdana" w:eastAsia="Calibri" w:hAnsi="Verdana" w:cs="Arial"/>
          <w:lang w:eastAsia="es-ES"/>
        </w:rPr>
        <w:t xml:space="preserve">en la cual manifiesta lo siguiente: </w:t>
      </w:r>
    </w:p>
    <w:p w14:paraId="1468C46D" w14:textId="6D39598A" w:rsidR="00C15139" w:rsidRPr="00F4197D" w:rsidRDefault="00095402" w:rsidP="002F2B6D">
      <w:pPr>
        <w:spacing w:after="0" w:line="276" w:lineRule="auto"/>
        <w:ind w:left="709" w:right="709"/>
        <w:jc w:val="both"/>
        <w:rPr>
          <w:rFonts w:ascii="Verdana" w:hAnsi="Verdana"/>
          <w:sz w:val="20"/>
          <w:szCs w:val="20"/>
        </w:rPr>
      </w:pPr>
      <w:r>
        <w:rPr>
          <w:rFonts w:ascii="Verdana" w:eastAsia="Verdana" w:hAnsi="Verdana" w:cs="Verdana"/>
        </w:rPr>
        <w:t xml:space="preserve"> </w:t>
      </w:r>
      <w:r w:rsidR="00C15139" w:rsidRPr="002F2B6D">
        <w:rPr>
          <w:rFonts w:ascii="Verdana" w:hAnsi="Verdana"/>
        </w:rPr>
        <w:tab/>
      </w:r>
      <w:r w:rsidR="00C15139" w:rsidRPr="002F2B6D">
        <w:rPr>
          <w:rFonts w:ascii="Verdana" w:hAnsi="Verdana"/>
        </w:rPr>
        <w:br/>
      </w:r>
      <w:r w:rsidR="00546C6C" w:rsidRPr="00F4197D">
        <w:rPr>
          <w:rFonts w:ascii="Verdana" w:hAnsi="Verdana"/>
          <w:sz w:val="20"/>
          <w:szCs w:val="20"/>
        </w:rPr>
        <w:t xml:space="preserve">“1. Si una persona natural se vincula </w:t>
      </w:r>
      <w:r w:rsidR="00D634C9" w:rsidRPr="00F4197D">
        <w:rPr>
          <w:rFonts w:ascii="Verdana" w:hAnsi="Verdana"/>
          <w:sz w:val="20"/>
          <w:szCs w:val="20"/>
        </w:rPr>
        <w:t xml:space="preserve">mediante contrato de prestación de servicios profesionales con una secretaría de un municipio. </w:t>
      </w:r>
    </w:p>
    <w:p w14:paraId="0BE66919" w14:textId="68C7951B" w:rsidR="00D634C9" w:rsidRPr="00F4197D" w:rsidRDefault="00D634C9" w:rsidP="00465DE7">
      <w:pPr>
        <w:spacing w:after="0" w:line="240" w:lineRule="auto"/>
        <w:ind w:left="709" w:right="709"/>
        <w:jc w:val="both"/>
        <w:rPr>
          <w:rFonts w:ascii="Verdana" w:hAnsi="Verdana"/>
          <w:sz w:val="20"/>
          <w:szCs w:val="20"/>
        </w:rPr>
      </w:pPr>
      <w:r w:rsidRPr="00F4197D">
        <w:rPr>
          <w:rFonts w:ascii="Verdana" w:hAnsi="Verdana"/>
          <w:sz w:val="20"/>
          <w:szCs w:val="20"/>
        </w:rPr>
        <w:t>¿Esta p</w:t>
      </w:r>
      <w:r w:rsidR="00F414FA" w:rsidRPr="00F4197D">
        <w:rPr>
          <w:rFonts w:ascii="Verdana" w:hAnsi="Verdana"/>
          <w:sz w:val="20"/>
          <w:szCs w:val="20"/>
        </w:rPr>
        <w:t xml:space="preserve">ersona </w:t>
      </w:r>
      <w:r w:rsidR="0027205A" w:rsidRPr="00F4197D">
        <w:rPr>
          <w:rFonts w:ascii="Verdana" w:hAnsi="Verdana"/>
          <w:sz w:val="20"/>
          <w:szCs w:val="20"/>
        </w:rPr>
        <w:t>natural se encuentra inhabilitada, impedi</w:t>
      </w:r>
      <w:r w:rsidR="00C56C0A" w:rsidRPr="00F4197D">
        <w:rPr>
          <w:rFonts w:ascii="Verdana" w:hAnsi="Verdana"/>
          <w:sz w:val="20"/>
          <w:szCs w:val="20"/>
        </w:rPr>
        <w:t xml:space="preserve">da o en </w:t>
      </w:r>
      <w:r w:rsidR="00CC0E7D" w:rsidRPr="00F4197D">
        <w:rPr>
          <w:rFonts w:ascii="Verdana" w:hAnsi="Verdana"/>
          <w:sz w:val="20"/>
          <w:szCs w:val="20"/>
        </w:rPr>
        <w:t xml:space="preserve">incompatibilidad para suscribir </w:t>
      </w:r>
      <w:r w:rsidR="00314D51" w:rsidRPr="00F4197D">
        <w:rPr>
          <w:rFonts w:ascii="Verdana" w:hAnsi="Verdana"/>
          <w:sz w:val="20"/>
          <w:szCs w:val="20"/>
        </w:rPr>
        <w:t>otro contrato de prestación de servicios profesionales con una ESAL que presta sus servicios a la misma Secretaría a través de un convenio de asociación?</w:t>
      </w:r>
    </w:p>
    <w:p w14:paraId="7319DF82" w14:textId="77777777" w:rsidR="006C1A43" w:rsidRPr="00F4197D" w:rsidRDefault="006C1A43" w:rsidP="00465DE7">
      <w:pPr>
        <w:spacing w:after="0" w:line="240" w:lineRule="auto"/>
        <w:ind w:left="709" w:right="709"/>
        <w:jc w:val="both"/>
        <w:rPr>
          <w:rFonts w:ascii="Verdana" w:hAnsi="Verdana"/>
          <w:sz w:val="20"/>
          <w:szCs w:val="20"/>
        </w:rPr>
      </w:pPr>
    </w:p>
    <w:p w14:paraId="3E57594F" w14:textId="7AA5BCF5" w:rsidR="00314D51" w:rsidRPr="00F4197D" w:rsidRDefault="00314D51" w:rsidP="00465DE7">
      <w:pPr>
        <w:spacing w:after="0" w:line="240" w:lineRule="auto"/>
        <w:ind w:left="709" w:right="709"/>
        <w:jc w:val="both"/>
        <w:rPr>
          <w:rFonts w:ascii="Verdana" w:hAnsi="Verdana"/>
          <w:sz w:val="20"/>
          <w:szCs w:val="20"/>
        </w:rPr>
      </w:pPr>
      <w:r w:rsidRPr="00F4197D">
        <w:rPr>
          <w:rFonts w:ascii="Verdana" w:hAnsi="Verdana"/>
          <w:sz w:val="20"/>
          <w:szCs w:val="20"/>
        </w:rPr>
        <w:lastRenderedPageBreak/>
        <w:t>Cabe aclarar que la persona natural no ejerce roles de Supervisión al convenio de asociación, ni tiene injerencia en el proceso”.</w:t>
      </w:r>
    </w:p>
    <w:p w14:paraId="4B64DC58" w14:textId="77777777" w:rsidR="00465DE7" w:rsidRPr="002F2B6D" w:rsidRDefault="00465DE7" w:rsidP="00F4197D">
      <w:pPr>
        <w:spacing w:after="0" w:line="276" w:lineRule="auto"/>
        <w:rPr>
          <w:rFonts w:ascii="Verdana" w:hAnsi="Verdana"/>
        </w:rPr>
      </w:pPr>
    </w:p>
    <w:p w14:paraId="108E9990" w14:textId="07897385" w:rsidR="00465DE7" w:rsidRDefault="00465DE7" w:rsidP="00465DE7">
      <w:pPr>
        <w:spacing w:after="12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D19C7">
        <w:rPr>
          <w:rFonts w:ascii="Verdana" w:eastAsia="Calibri" w:hAnsi="Verdana" w:cs="Arial"/>
          <w:color w:val="000000"/>
          <w:lang w:eastAsia="es-ES"/>
        </w:rPr>
        <w:t xml:space="preserve">la Agencia Nacional de Contratación Pública – </w:t>
      </w:r>
      <w:r w:rsidRPr="008E4F36">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49A5F2E4" w14:textId="5459E576" w:rsidR="00465DE7" w:rsidRPr="00054383" w:rsidRDefault="00465DE7" w:rsidP="00B36B60">
      <w:pPr>
        <w:spacing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w:t>
      </w:r>
      <w:r w:rsidR="00EE4BCC">
        <w:rPr>
          <w:rFonts w:ascii="Verdana" w:eastAsia="Calibri" w:hAnsi="Verdana" w:cs="Arial"/>
          <w:color w:val="000000"/>
          <w:lang w:eastAsia="es-ES"/>
        </w:rPr>
        <w:t>a</w:t>
      </w:r>
      <w:r w:rsidRPr="008E4F36">
        <w:rPr>
          <w:rFonts w:ascii="Verdana" w:eastAsia="Calibri" w:hAnsi="Verdana" w:cs="Arial"/>
          <w:color w:val="000000"/>
          <w:lang w:eastAsia="es-ES"/>
        </w:rPr>
        <w:t xml:space="preserv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7E63FCE6" w14:textId="77777777" w:rsidR="00465DE7" w:rsidRPr="008E4F36" w:rsidRDefault="00465DE7" w:rsidP="00465DE7">
      <w:pPr>
        <w:spacing w:after="0" w:line="276" w:lineRule="auto"/>
        <w:ind w:firstLine="709"/>
        <w:jc w:val="both"/>
        <w:rPr>
          <w:rFonts w:ascii="Verdana" w:eastAsia="Calibri" w:hAnsi="Verdana" w:cs="Arial"/>
          <w:color w:val="000000"/>
          <w:lang w:eastAsia="es-ES"/>
        </w:rPr>
      </w:pPr>
    </w:p>
    <w:p w14:paraId="5CEA0F38" w14:textId="0A2BA873" w:rsidR="00465DE7" w:rsidRPr="00465DE7" w:rsidRDefault="00465DE7" w:rsidP="00B36B60">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1. </w:t>
      </w:r>
      <w:r w:rsidRPr="00465DE7">
        <w:rPr>
          <w:rFonts w:ascii="Verdana" w:eastAsia="Century Gothic" w:hAnsi="Verdana" w:cs="Century Gothic"/>
          <w:b/>
          <w:bCs/>
        </w:rPr>
        <w:t>Problema planteado:</w:t>
      </w:r>
    </w:p>
    <w:p w14:paraId="1A56C75D" w14:textId="77777777" w:rsidR="00465DE7" w:rsidRDefault="00465DE7" w:rsidP="00465DE7">
      <w:pPr>
        <w:spacing w:after="0" w:line="276" w:lineRule="auto"/>
        <w:ind w:firstLine="709"/>
        <w:jc w:val="both"/>
        <w:rPr>
          <w:rFonts w:ascii="Verdana" w:eastAsia="Calibri" w:hAnsi="Verdana" w:cs="Arial"/>
          <w:color w:val="000000"/>
          <w:highlight w:val="yellow"/>
          <w:lang w:eastAsia="es-ES"/>
        </w:rPr>
      </w:pPr>
    </w:p>
    <w:p w14:paraId="552D89D7" w14:textId="6F746256" w:rsidR="00726690" w:rsidRDefault="00465DE7" w:rsidP="00B36B60">
      <w:pPr>
        <w:spacing w:after="0" w:line="276" w:lineRule="auto"/>
        <w:jc w:val="both"/>
        <w:rPr>
          <w:rFonts w:ascii="Verdana" w:eastAsia="Century Gothic" w:hAnsi="Verdana" w:cs="Century Gothic"/>
        </w:rPr>
      </w:pPr>
      <w:r w:rsidRPr="67C56047">
        <w:rPr>
          <w:rFonts w:ascii="Verdana" w:eastAsia="Calibri" w:hAnsi="Verdana" w:cs="Arial"/>
          <w:color w:val="000000" w:themeColor="text1"/>
          <w:lang w:eastAsia="es-ES"/>
        </w:rPr>
        <w:t xml:space="preserve">De acuerdo con el contenido de su solicitud, esta Agencia resolverá el siguiente problema jurídico: </w:t>
      </w:r>
      <w:r w:rsidRPr="00CC440A">
        <w:rPr>
          <w:rFonts w:ascii="Verdana" w:eastAsia="Century Gothic" w:hAnsi="Verdana" w:cs="Century Gothic"/>
        </w:rPr>
        <w:t>¿</w:t>
      </w:r>
      <w:r w:rsidR="00836058">
        <w:rPr>
          <w:rFonts w:ascii="Verdana" w:eastAsia="Century Gothic" w:hAnsi="Verdana" w:cs="Century Gothic"/>
        </w:rPr>
        <w:t xml:space="preserve">Existe alguna inhabilidad, incompatibilidad o </w:t>
      </w:r>
      <w:r w:rsidR="007F5D8A">
        <w:rPr>
          <w:rFonts w:ascii="Verdana" w:eastAsia="Century Gothic" w:hAnsi="Verdana" w:cs="Century Gothic"/>
        </w:rPr>
        <w:t>impedimento</w:t>
      </w:r>
      <w:r w:rsidR="00836058">
        <w:rPr>
          <w:rFonts w:ascii="Verdana" w:eastAsia="Century Gothic" w:hAnsi="Verdana" w:cs="Century Gothic"/>
        </w:rPr>
        <w:t xml:space="preserve"> para </w:t>
      </w:r>
      <w:r w:rsidR="007F5D8A">
        <w:rPr>
          <w:rFonts w:ascii="Verdana" w:eastAsia="Century Gothic" w:hAnsi="Verdana" w:cs="Century Gothic"/>
        </w:rPr>
        <w:t xml:space="preserve">que una persona natural </w:t>
      </w:r>
      <w:r w:rsidR="00373A36">
        <w:rPr>
          <w:rFonts w:ascii="Verdana" w:eastAsia="Century Gothic" w:hAnsi="Verdana" w:cs="Century Gothic"/>
        </w:rPr>
        <w:t xml:space="preserve">de forma </w:t>
      </w:r>
      <w:r w:rsidR="00564D95">
        <w:rPr>
          <w:rFonts w:ascii="Verdana" w:eastAsia="Century Gothic" w:hAnsi="Verdana" w:cs="Century Gothic"/>
        </w:rPr>
        <w:t>simultánea</w:t>
      </w:r>
      <w:r w:rsidR="00373A36">
        <w:rPr>
          <w:rFonts w:ascii="Verdana" w:eastAsia="Century Gothic" w:hAnsi="Verdana" w:cs="Century Gothic"/>
        </w:rPr>
        <w:t xml:space="preserve"> </w:t>
      </w:r>
      <w:r w:rsidR="00284526" w:rsidRPr="00F401B4">
        <w:rPr>
          <w:rFonts w:ascii="Verdana" w:eastAsia="Century Gothic" w:hAnsi="Verdana" w:cs="Century Gothic"/>
        </w:rPr>
        <w:t>pueda</w:t>
      </w:r>
      <w:r w:rsidR="00284526" w:rsidRPr="00284526">
        <w:rPr>
          <w:rFonts w:ascii="Verdana" w:eastAsia="Century Gothic" w:hAnsi="Verdana" w:cs="Century Gothic"/>
        </w:rPr>
        <w:t xml:space="preserve"> </w:t>
      </w:r>
      <w:r w:rsidR="00373A36">
        <w:rPr>
          <w:rFonts w:ascii="Verdana" w:eastAsia="Century Gothic" w:hAnsi="Verdana" w:cs="Century Gothic"/>
        </w:rPr>
        <w:t xml:space="preserve">suscribir un contrato de prestación de servicios con una entidad y </w:t>
      </w:r>
      <w:r w:rsidR="00876537">
        <w:rPr>
          <w:rFonts w:ascii="Verdana" w:eastAsia="Century Gothic" w:hAnsi="Verdana" w:cs="Century Gothic"/>
        </w:rPr>
        <w:t xml:space="preserve">con una </w:t>
      </w:r>
      <w:r w:rsidR="00284526">
        <w:rPr>
          <w:rFonts w:ascii="Verdana" w:eastAsia="Century Gothic" w:hAnsi="Verdana" w:cs="Century Gothic"/>
        </w:rPr>
        <w:t xml:space="preserve">Entidad Sin Ánimo de Lucro – en </w:t>
      </w:r>
      <w:proofErr w:type="spellStart"/>
      <w:r w:rsidR="00284526">
        <w:rPr>
          <w:rFonts w:ascii="Verdana" w:eastAsia="Century Gothic" w:hAnsi="Verdana" w:cs="Century Gothic"/>
        </w:rPr>
        <w:t>aldelante</w:t>
      </w:r>
      <w:proofErr w:type="spellEnd"/>
      <w:r w:rsidR="00284526">
        <w:rPr>
          <w:rFonts w:ascii="Verdana" w:eastAsia="Century Gothic" w:hAnsi="Verdana" w:cs="Century Gothic"/>
        </w:rPr>
        <w:t xml:space="preserve"> </w:t>
      </w:r>
      <w:r w:rsidR="00876537" w:rsidRPr="00284526">
        <w:rPr>
          <w:rFonts w:ascii="Verdana" w:eastAsia="Century Gothic" w:hAnsi="Verdana" w:cs="Century Gothic"/>
        </w:rPr>
        <w:t>ESAL?</w:t>
      </w:r>
    </w:p>
    <w:p w14:paraId="0194B208" w14:textId="77777777" w:rsidR="00284526" w:rsidRPr="00284526" w:rsidRDefault="00284526" w:rsidP="00B36B60">
      <w:pPr>
        <w:spacing w:after="0" w:line="276" w:lineRule="auto"/>
        <w:jc w:val="both"/>
        <w:rPr>
          <w:rFonts w:ascii="Verdana" w:eastAsia="Century Gothic" w:hAnsi="Verdana" w:cs="Century Gothic"/>
        </w:rPr>
      </w:pPr>
    </w:p>
    <w:p w14:paraId="27E0DFED" w14:textId="61C66094" w:rsidR="00AC3F60" w:rsidRDefault="00AC3F60" w:rsidP="00B36B60">
      <w:pPr>
        <w:spacing w:after="0" w:line="276" w:lineRule="auto"/>
        <w:jc w:val="both"/>
        <w:rPr>
          <w:rFonts w:ascii="Verdana" w:eastAsia="Century Gothic" w:hAnsi="Verdana" w:cs="Century Gothic"/>
          <w:b/>
          <w:bCs/>
        </w:rPr>
      </w:pPr>
      <w:r w:rsidRPr="00726690">
        <w:rPr>
          <w:rFonts w:ascii="Verdana" w:eastAsia="Century Gothic" w:hAnsi="Verdana" w:cs="Century Gothic"/>
          <w:b/>
          <w:bCs/>
        </w:rPr>
        <w:t xml:space="preserve">2. Respuesta: </w:t>
      </w:r>
    </w:p>
    <w:p w14:paraId="5025ABEA" w14:textId="77777777" w:rsidR="00284526" w:rsidRPr="00284526" w:rsidRDefault="00284526" w:rsidP="00284526">
      <w:pPr>
        <w:spacing w:after="0" w:line="276" w:lineRule="auto"/>
        <w:jc w:val="both"/>
        <w:rPr>
          <w:rFonts w:ascii="Verdana" w:eastAsia="Century Gothic" w:hAnsi="Verdana" w:cs="Century Gothic"/>
          <w:b/>
          <w:bCs/>
        </w:rPr>
      </w:pPr>
    </w:p>
    <w:p w14:paraId="68B0511A" w14:textId="3C195149" w:rsidR="002546BC" w:rsidRPr="00284526" w:rsidRDefault="00D60CD1" w:rsidP="002F2B6D">
      <w:pPr>
        <w:pBdr>
          <w:top w:val="single" w:sz="4" w:space="1" w:color="auto"/>
          <w:left w:val="single" w:sz="4" w:space="4" w:color="auto"/>
          <w:bottom w:val="single" w:sz="4" w:space="1" w:color="auto"/>
          <w:right w:val="single" w:sz="4" w:space="4" w:color="auto"/>
        </w:pBdr>
        <w:spacing w:after="120" w:line="276" w:lineRule="auto"/>
        <w:jc w:val="both"/>
        <w:rPr>
          <w:rFonts w:ascii="Verdana" w:eastAsia="Century Gothic" w:hAnsi="Verdana" w:cs="Century Gothic"/>
        </w:rPr>
      </w:pPr>
      <w:r w:rsidRPr="00284526">
        <w:rPr>
          <w:rFonts w:ascii="Verdana" w:eastAsia="Century Gothic" w:hAnsi="Verdana" w:cs="Century Gothic"/>
        </w:rPr>
        <w:t xml:space="preserve">No existe restricción de orden legal o reglamentario, o causal de inhabilidad o incompatibilidad que prohíba la celebración de dos o </w:t>
      </w:r>
      <w:r w:rsidR="00997867" w:rsidRPr="004E6A27">
        <w:rPr>
          <w:rFonts w:ascii="Verdana" w:eastAsia="Century Gothic" w:hAnsi="Verdana" w:cs="Century Gothic"/>
        </w:rPr>
        <w:t>más</w:t>
      </w:r>
      <w:r w:rsidRPr="00155526">
        <w:rPr>
          <w:rFonts w:ascii="Verdana" w:eastAsia="Century Gothic" w:hAnsi="Verdana" w:cs="Century Gothic"/>
        </w:rPr>
        <w:t xml:space="preserve"> contratos de prestación de servicios con diferentes entidades estatales,</w:t>
      </w:r>
      <w:r w:rsidR="00284526">
        <w:rPr>
          <w:rFonts w:ascii="Verdana" w:eastAsia="Century Gothic" w:hAnsi="Verdana" w:cs="Century Gothic"/>
        </w:rPr>
        <w:t xml:space="preserve"> o con </w:t>
      </w:r>
      <w:r w:rsidR="00EA1134">
        <w:rPr>
          <w:rFonts w:ascii="Verdana" w:eastAsia="Century Gothic" w:hAnsi="Verdana" w:cs="Century Gothic"/>
        </w:rPr>
        <w:t>una entidad estatal</w:t>
      </w:r>
      <w:r w:rsidR="00284526">
        <w:rPr>
          <w:rFonts w:ascii="Verdana" w:eastAsia="Century Gothic" w:hAnsi="Verdana" w:cs="Century Gothic"/>
        </w:rPr>
        <w:t xml:space="preserve"> y una </w:t>
      </w:r>
      <w:r w:rsidR="00284526">
        <w:rPr>
          <w:rFonts w:ascii="Verdana" w:eastAsia="Century Gothic" w:hAnsi="Verdana" w:cs="Century Gothic"/>
        </w:rPr>
        <w:lastRenderedPageBreak/>
        <w:t>Entidad Sin Ánimo de Lucro,</w:t>
      </w:r>
      <w:r w:rsidRPr="00284526">
        <w:rPr>
          <w:rFonts w:ascii="Verdana" w:eastAsia="Century Gothic" w:hAnsi="Verdana" w:cs="Century Gothic"/>
        </w:rPr>
        <w:t xml:space="preserve"> </w:t>
      </w:r>
      <w:r w:rsidR="00284526">
        <w:rPr>
          <w:rFonts w:ascii="Verdana" w:eastAsia="Century Gothic" w:hAnsi="Verdana" w:cs="Century Gothic"/>
        </w:rPr>
        <w:t xml:space="preserve">que tiene un contrato o un convenio con la </w:t>
      </w:r>
      <w:r w:rsidR="00A90F2A" w:rsidRPr="00284526">
        <w:rPr>
          <w:rFonts w:ascii="Verdana" w:eastAsia="Century Gothic" w:hAnsi="Verdana" w:cs="Century Gothic"/>
        </w:rPr>
        <w:t xml:space="preserve">con esa misma entidad. </w:t>
      </w:r>
    </w:p>
    <w:p w14:paraId="2E1F2849" w14:textId="3FA8F388" w:rsidR="002546BC" w:rsidRPr="00284526" w:rsidRDefault="00C97570" w:rsidP="002546BC">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hAnsi="Verdana" w:cs="Arial"/>
          <w:color w:val="000000" w:themeColor="text1"/>
          <w:lang w:val="es-ES"/>
        </w:rPr>
        <w:t xml:space="preserve">No </w:t>
      </w:r>
      <w:proofErr w:type="gramStart"/>
      <w:r>
        <w:rPr>
          <w:rFonts w:ascii="Verdana" w:hAnsi="Verdana" w:cs="Arial"/>
          <w:color w:val="000000" w:themeColor="text1"/>
          <w:lang w:val="es-ES"/>
        </w:rPr>
        <w:t>o</w:t>
      </w:r>
      <w:r w:rsidR="004E6A27">
        <w:rPr>
          <w:rFonts w:ascii="Verdana" w:hAnsi="Verdana" w:cs="Arial"/>
          <w:color w:val="000000" w:themeColor="text1"/>
          <w:lang w:val="es-ES"/>
        </w:rPr>
        <w:t>b</w:t>
      </w:r>
      <w:r>
        <w:rPr>
          <w:rFonts w:ascii="Verdana" w:hAnsi="Verdana" w:cs="Arial"/>
          <w:color w:val="000000" w:themeColor="text1"/>
          <w:lang w:val="es-ES"/>
        </w:rPr>
        <w:t>st</w:t>
      </w:r>
      <w:r w:rsidR="004E6A27">
        <w:rPr>
          <w:rFonts w:ascii="Verdana" w:hAnsi="Verdana" w:cs="Arial"/>
          <w:color w:val="000000" w:themeColor="text1"/>
          <w:lang w:val="es-ES"/>
        </w:rPr>
        <w:t>a</w:t>
      </w:r>
      <w:r>
        <w:rPr>
          <w:rFonts w:ascii="Verdana" w:hAnsi="Verdana" w:cs="Arial"/>
          <w:color w:val="000000" w:themeColor="text1"/>
          <w:lang w:val="es-ES"/>
        </w:rPr>
        <w:t>nte</w:t>
      </w:r>
      <w:proofErr w:type="gramEnd"/>
      <w:r>
        <w:rPr>
          <w:rFonts w:ascii="Verdana" w:hAnsi="Verdana" w:cs="Arial"/>
          <w:color w:val="000000" w:themeColor="text1"/>
          <w:lang w:val="es-ES"/>
        </w:rPr>
        <w:t xml:space="preserve"> lo anterior</w:t>
      </w:r>
      <w:r w:rsidR="002546BC" w:rsidRPr="00C97570">
        <w:rPr>
          <w:rFonts w:ascii="Verdana" w:hAnsi="Verdana" w:cs="Arial"/>
          <w:color w:val="000000" w:themeColor="text1"/>
          <w:lang w:val="es-ES"/>
        </w:rPr>
        <w:t>, las entidades estatales deber ser diligentes en el análisis de las condiciones de ejecución del contrato de prestación de servicios profesionales, midiendo la complejidad y el alcance de las labores encomendadas al contratista, pues solo de esta manera pueden determinar razonablemente si el mismo contratista tiene la capacidad, no</w:t>
      </w:r>
      <w:r w:rsidR="002546BC" w:rsidRPr="00155526">
        <w:rPr>
          <w:rFonts w:ascii="Verdana" w:hAnsi="Verdana" w:cs="Arial"/>
          <w:color w:val="000000" w:themeColor="text1"/>
          <w:lang w:val="es-ES"/>
        </w:rPr>
        <w:t xml:space="preserve"> solo jurídica sino también técnica y económica, para celebrar otro tipo de contrato. Si tales factores no se tienen en cuenta, existe el riesgo de que el contratista termine incumpliendo sus obligaciones, por sobrecarga de actividades.</w:t>
      </w:r>
    </w:p>
    <w:p w14:paraId="5BE86179" w14:textId="4F937223" w:rsidR="002546BC" w:rsidRPr="00284526" w:rsidRDefault="00C97570" w:rsidP="002546BC">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sidRPr="00E400DC">
        <w:rPr>
          <w:rFonts w:ascii="Verdana" w:hAnsi="Verdana" w:cs="Arial"/>
          <w:color w:val="000000" w:themeColor="text1"/>
          <w:lang w:val="es-ES"/>
        </w:rPr>
        <w:t>Adicionalmente</w:t>
      </w:r>
      <w:r w:rsidR="0062518B" w:rsidRPr="00284526">
        <w:rPr>
          <w:rFonts w:ascii="Verdana" w:eastAsia="Century Gothic" w:hAnsi="Verdana" w:cs="Century Gothic"/>
        </w:rPr>
        <w:t>, la entidad contratante deberá identificar cualquier conducta que pueda llegar a tener la connotación de un conflicto de intereses, producto de la concurrencia de intereses antagónicos en el contratista que presta sus servicios en una y otra entidad y que afecten la transparencia de las decisiones que le competen o lo lleven a adoptar determinaciones de aprovechamiento personal, familiar o en particular, en detrimento del interés público</w:t>
      </w:r>
      <w:r w:rsidR="002546BC" w:rsidRPr="00284526">
        <w:rPr>
          <w:rFonts w:ascii="Verdana" w:eastAsia="Century Gothic" w:hAnsi="Verdana" w:cs="Century Gothic"/>
        </w:rPr>
        <w:t>.</w:t>
      </w:r>
    </w:p>
    <w:p w14:paraId="2B69284F" w14:textId="77777777" w:rsidR="00D02352" w:rsidRDefault="00D02352" w:rsidP="00B13B56">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 xml:space="preserve">Tales situaciones de conflicto de intereses suelen expresarse en prohibiciones, similar a los que ocurre con las inhabilidades e incompatibilidades, por lo que su consagración (para los procesos competitivos </w:t>
      </w:r>
      <w:r w:rsidR="00E96EDC">
        <w:rPr>
          <w:rFonts w:ascii="Verdana" w:eastAsia="Century Gothic" w:hAnsi="Verdana" w:cs="Century Gothic"/>
        </w:rPr>
        <w:t>tal consagración se materializa</w:t>
      </w:r>
      <w:r w:rsidR="0045673C">
        <w:rPr>
          <w:rFonts w:ascii="Verdana" w:eastAsia="Century Gothic" w:hAnsi="Verdana" w:cs="Century Gothic"/>
        </w:rPr>
        <w:t xml:space="preserve"> en el pliego de condiciones y la minuta del contrato) también </w:t>
      </w:r>
      <w:r w:rsidR="0024454D">
        <w:rPr>
          <w:rFonts w:ascii="Verdana" w:eastAsia="Century Gothic" w:hAnsi="Verdana" w:cs="Century Gothic"/>
        </w:rPr>
        <w:t xml:space="preserve">debe ser expresa y su interpretación </w:t>
      </w:r>
      <w:r w:rsidR="00090F65">
        <w:rPr>
          <w:rFonts w:ascii="Verdana" w:eastAsia="Century Gothic" w:hAnsi="Verdana" w:cs="Century Gothic"/>
        </w:rPr>
        <w:t>restrictiva, de manera que su deducción y aplicaci</w:t>
      </w:r>
      <w:r w:rsidR="0057448A">
        <w:rPr>
          <w:rFonts w:ascii="Verdana" w:eastAsia="Century Gothic" w:hAnsi="Verdana" w:cs="Century Gothic"/>
        </w:rPr>
        <w:t xml:space="preserve">ón siempre debe estar </w:t>
      </w:r>
      <w:r w:rsidR="005C605C">
        <w:rPr>
          <w:rFonts w:ascii="Verdana" w:eastAsia="Century Gothic" w:hAnsi="Verdana" w:cs="Century Gothic"/>
        </w:rPr>
        <w:t xml:space="preserve">ajustada a los presupuestos que para cada causal </w:t>
      </w:r>
      <w:r w:rsidR="0018555E">
        <w:rPr>
          <w:rFonts w:ascii="Verdana" w:eastAsia="Century Gothic" w:hAnsi="Verdana" w:cs="Century Gothic"/>
        </w:rPr>
        <w:t>haya señalado el constituyente o el legislador (en el casi de las inhabilidades e incompatibilidades) y la entidad contratante (en el caso de los conflicto de intereses), dado que no es posible su aplicación extensiva o anal</w:t>
      </w:r>
      <w:r w:rsidR="001C1FEA">
        <w:rPr>
          <w:rFonts w:ascii="Verdana" w:eastAsia="Century Gothic" w:hAnsi="Verdana" w:cs="Century Gothic"/>
        </w:rPr>
        <w:t xml:space="preserve">ógica. </w:t>
      </w:r>
    </w:p>
    <w:p w14:paraId="21FD9B11" w14:textId="77777777" w:rsidR="001C1FEA" w:rsidRDefault="00C35CD2" w:rsidP="00B13B56">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En ese sentido, solo es posible aplicar las causales de conflicto de intereses que se encuentren tipificadas y que expresamente se hayan establecid</w:t>
      </w:r>
      <w:r w:rsidR="005432F4">
        <w:rPr>
          <w:rFonts w:ascii="Verdana" w:eastAsia="Century Gothic" w:hAnsi="Verdana" w:cs="Century Gothic"/>
        </w:rPr>
        <w:t>o en el pliego de condiciones o estudios previos. De esta manera, corresponde a las Entidades Estatales</w:t>
      </w:r>
      <w:r w:rsidR="006535A5">
        <w:rPr>
          <w:rFonts w:ascii="Verdana" w:eastAsia="Century Gothic" w:hAnsi="Verdana" w:cs="Century Gothic"/>
        </w:rPr>
        <w:t>, al verificar</w:t>
      </w:r>
      <w:r w:rsidR="00581DCB">
        <w:rPr>
          <w:rFonts w:ascii="Verdana" w:eastAsia="Century Gothic" w:hAnsi="Verdana" w:cs="Century Gothic"/>
        </w:rPr>
        <w:t xml:space="preserve"> la capacidad jurídica de las personas quienes pretenden suscribir contratos, determinar en cada caso concreto si se configura algún conflicto de interés de acuerdo con las causales que haya tipificado en el pliego de condiciones o en el contrato.</w:t>
      </w:r>
    </w:p>
    <w:p w14:paraId="2F5218BC" w14:textId="41E5A527" w:rsidR="00922F48" w:rsidRPr="00284526" w:rsidRDefault="00922F48" w:rsidP="002546BC">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sidRPr="00284526">
        <w:rPr>
          <w:rFonts w:ascii="Verdana" w:eastAsia="Century Gothic" w:hAnsi="Verdana" w:cs="Century Gothic"/>
        </w:rPr>
        <w:lastRenderedPageBreak/>
        <w:t>En conclusión, no existe causal de inhabilidad o incompatibilid</w:t>
      </w:r>
      <w:r w:rsidR="0071266D" w:rsidRPr="00284526">
        <w:rPr>
          <w:rFonts w:ascii="Verdana" w:eastAsia="Century Gothic" w:hAnsi="Verdana" w:cs="Century Gothic"/>
        </w:rPr>
        <w:t>ad que prohíba la celebración de</w:t>
      </w:r>
      <w:r w:rsidR="00C621EC" w:rsidRPr="00284526">
        <w:rPr>
          <w:rFonts w:ascii="Verdana" w:eastAsia="Century Gothic" w:hAnsi="Verdana" w:cs="Century Gothic"/>
        </w:rPr>
        <w:t xml:space="preserve"> dos o más</w:t>
      </w:r>
      <w:r w:rsidR="0071266D" w:rsidRPr="00284526">
        <w:rPr>
          <w:rFonts w:ascii="Verdana" w:eastAsia="Century Gothic" w:hAnsi="Verdana" w:cs="Century Gothic"/>
        </w:rPr>
        <w:t xml:space="preserve"> contratos con diferentes entidades estatales, incluso si se trat</w:t>
      </w:r>
      <w:r w:rsidR="00C621EC" w:rsidRPr="00284526">
        <w:rPr>
          <w:rFonts w:ascii="Verdana" w:eastAsia="Century Gothic" w:hAnsi="Verdana" w:cs="Century Gothic"/>
        </w:rPr>
        <w:t>a de una ESAL, como tampoco se restringe</w:t>
      </w:r>
      <w:r w:rsidR="00716A2E" w:rsidRPr="00284526">
        <w:rPr>
          <w:rFonts w:ascii="Verdana" w:eastAsia="Century Gothic" w:hAnsi="Verdana" w:cs="Century Gothic"/>
        </w:rPr>
        <w:t xml:space="preserve"> la capacidad jurídica del contratista cuando las actividades que desempeña en una de ellas se desprenden de un convenio suscrito entre las entidades estatales contratantes. </w:t>
      </w:r>
    </w:p>
    <w:p w14:paraId="6321CEEF" w14:textId="77777777" w:rsidR="00706CD8" w:rsidRPr="00B13B56" w:rsidRDefault="00706CD8" w:rsidP="00B36B60">
      <w:pPr>
        <w:spacing w:after="0" w:line="276" w:lineRule="auto"/>
        <w:rPr>
          <w:rFonts w:ascii="Verdana" w:eastAsia="Century Gothic" w:hAnsi="Verdana" w:cs="Century Gothic"/>
          <w:b/>
          <w:bCs/>
        </w:rPr>
      </w:pPr>
    </w:p>
    <w:p w14:paraId="3A398452" w14:textId="796548A5" w:rsidR="00B13B56" w:rsidRPr="00B13B56" w:rsidRDefault="00B13B56" w:rsidP="00B36B60">
      <w:pPr>
        <w:spacing w:after="0" w:line="276" w:lineRule="auto"/>
        <w:rPr>
          <w:rFonts w:ascii="Verdana" w:eastAsia="Century Gothic" w:hAnsi="Verdana" w:cs="Century Gothic"/>
          <w:b/>
          <w:bCs/>
        </w:rPr>
      </w:pPr>
      <w:r w:rsidRPr="00B13B56">
        <w:rPr>
          <w:rFonts w:ascii="Verdana" w:eastAsia="Century Gothic" w:hAnsi="Verdana" w:cs="Century Gothic"/>
          <w:b/>
          <w:bCs/>
        </w:rPr>
        <w:t xml:space="preserve">3. Razones de la respuesta: </w:t>
      </w:r>
    </w:p>
    <w:p w14:paraId="114F28FE" w14:textId="77777777" w:rsidR="00B36B60" w:rsidRPr="00284526" w:rsidRDefault="00B36B60" w:rsidP="00B36B60">
      <w:pPr>
        <w:spacing w:after="0" w:line="276" w:lineRule="auto"/>
        <w:jc w:val="both"/>
        <w:rPr>
          <w:rFonts w:ascii="Verdana" w:eastAsia="Century Gothic" w:hAnsi="Verdana" w:cs="Century Gothic"/>
        </w:rPr>
      </w:pPr>
    </w:p>
    <w:p w14:paraId="5DE5B039" w14:textId="37674F04" w:rsidR="00B13B56" w:rsidRDefault="00B13B56" w:rsidP="00B36B60">
      <w:pPr>
        <w:spacing w:after="0" w:line="276" w:lineRule="auto"/>
        <w:jc w:val="both"/>
        <w:rPr>
          <w:rFonts w:ascii="Verdana" w:eastAsia="Century Gothic" w:hAnsi="Verdana" w:cs="Century Gothic"/>
        </w:rPr>
      </w:pPr>
      <w:r>
        <w:rPr>
          <w:rFonts w:ascii="Verdana" w:eastAsia="Century Gothic" w:hAnsi="Verdana" w:cs="Century Gothic"/>
        </w:rPr>
        <w:t>Lo anterior se sustenta en las siguientes consideraciones:</w:t>
      </w:r>
    </w:p>
    <w:p w14:paraId="3808746D" w14:textId="77777777" w:rsidR="00B36B60" w:rsidRPr="00284526" w:rsidRDefault="00B36B60" w:rsidP="00B36B60">
      <w:pPr>
        <w:spacing w:after="0" w:line="276" w:lineRule="auto"/>
        <w:jc w:val="both"/>
        <w:rPr>
          <w:rFonts w:ascii="Verdana" w:eastAsia="Century Gothic" w:hAnsi="Verdana" w:cs="Century Gothic"/>
        </w:rPr>
      </w:pPr>
    </w:p>
    <w:p w14:paraId="0BF88D7E" w14:textId="4F457E3B" w:rsidR="00B13B56" w:rsidRDefault="00B13B56" w:rsidP="00B36B60">
      <w:pPr>
        <w:spacing w:after="120" w:line="276" w:lineRule="auto"/>
        <w:jc w:val="both"/>
        <w:rPr>
          <w:rFonts w:ascii="Verdana" w:eastAsia="Century Gothic" w:hAnsi="Verdana" w:cs="Century Gothic"/>
        </w:rPr>
      </w:pPr>
      <w:r>
        <w:rPr>
          <w:rFonts w:ascii="Verdana" w:eastAsia="Century Gothic" w:hAnsi="Verdana" w:cs="Century Gothic"/>
        </w:rPr>
        <w:t xml:space="preserve">En la contratación estatal, la </w:t>
      </w:r>
      <w:r w:rsidRPr="002F2B6D">
        <w:rPr>
          <w:rFonts w:ascii="Verdana" w:eastAsia="Century Gothic" w:hAnsi="Verdana" w:cs="Century Gothic"/>
          <w:i/>
        </w:rPr>
        <w:t>capacidad</w:t>
      </w:r>
      <w:r>
        <w:rPr>
          <w:rFonts w:ascii="Verdana" w:eastAsia="Century Gothic" w:hAnsi="Verdana" w:cs="Century Gothic"/>
        </w:rPr>
        <w:t xml:space="preserve"> también es un requisito de validez de los contratos, tanto en el régimen de las entidades sujetas al Estatuto General de Contratación de la Administración Publica</w:t>
      </w:r>
      <w:r>
        <w:rPr>
          <w:rStyle w:val="Refdenotaalpie"/>
          <w:rFonts w:ascii="Verdana" w:eastAsia="Century Gothic" w:hAnsi="Verdana" w:cs="Century Gothic"/>
        </w:rPr>
        <w:footnoteReference w:id="2"/>
      </w:r>
      <w:r w:rsidR="009C334E">
        <w:rPr>
          <w:rFonts w:ascii="Verdana" w:eastAsia="Century Gothic" w:hAnsi="Verdana" w:cs="Century Gothic"/>
        </w:rPr>
        <w:t xml:space="preserve"> </w:t>
      </w:r>
      <w:r w:rsidR="00CC71A9">
        <w:rPr>
          <w:rFonts w:ascii="Verdana" w:eastAsia="Century Gothic" w:hAnsi="Verdana" w:cs="Century Gothic"/>
        </w:rPr>
        <w:t>como en el de las entidades exceptuadas de aquel</w:t>
      </w:r>
      <w:r w:rsidR="00CC71A9">
        <w:rPr>
          <w:rStyle w:val="Refdenotaalpie"/>
          <w:rFonts w:ascii="Verdana" w:eastAsia="Century Gothic" w:hAnsi="Verdana" w:cs="Century Gothic"/>
        </w:rPr>
        <w:footnoteReference w:id="3"/>
      </w:r>
      <w:r w:rsidR="00943AA2">
        <w:rPr>
          <w:rFonts w:ascii="Verdana" w:eastAsia="Century Gothic" w:hAnsi="Verdana" w:cs="Century Gothic"/>
        </w:rPr>
        <w:t xml:space="preserve">. Si bien la regulación de la capacidad en el contrato de prestación de servicios se integra por varias disposiciones y exigencias especiales, se destaca el régimen de inhabilidades e </w:t>
      </w:r>
      <w:r w:rsidR="004255A1">
        <w:rPr>
          <w:rFonts w:ascii="Verdana" w:eastAsia="Century Gothic" w:hAnsi="Verdana" w:cs="Century Gothic"/>
        </w:rPr>
        <w:t>incompatibilidades</w:t>
      </w:r>
      <w:r w:rsidR="00943AA2">
        <w:rPr>
          <w:rFonts w:ascii="Verdana" w:eastAsia="Century Gothic" w:hAnsi="Verdana" w:cs="Century Gothic"/>
        </w:rPr>
        <w:t xml:space="preserve"> </w:t>
      </w:r>
      <w:r w:rsidR="000B2A4A">
        <w:rPr>
          <w:rFonts w:ascii="Verdana" w:eastAsia="Century Gothic" w:hAnsi="Verdana" w:cs="Century Gothic"/>
        </w:rPr>
        <w:t>como un conjunto de normas que imponen restricciones para los sujetos que, eventualmente, pretendan participar en los procedimientos de selección o celebrar contratos con las entidades estatales</w:t>
      </w:r>
      <w:r w:rsidR="00E27B06">
        <w:rPr>
          <w:rStyle w:val="Refdenotaalpie"/>
          <w:rFonts w:ascii="Verdana" w:eastAsia="Century Gothic" w:hAnsi="Verdana" w:cs="Century Gothic"/>
        </w:rPr>
        <w:footnoteReference w:id="4"/>
      </w:r>
      <w:r w:rsidR="00393249">
        <w:rPr>
          <w:rFonts w:ascii="Verdana" w:eastAsia="Century Gothic" w:hAnsi="Verdana" w:cs="Century Gothic"/>
        </w:rPr>
        <w:t xml:space="preserve">. </w:t>
      </w:r>
    </w:p>
    <w:p w14:paraId="0B7F2601" w14:textId="77777777" w:rsidR="00A05B3B" w:rsidRDefault="00393249" w:rsidP="00A05B3B">
      <w:pPr>
        <w:spacing w:after="120" w:line="276" w:lineRule="auto"/>
        <w:ind w:firstLine="709"/>
        <w:jc w:val="both"/>
        <w:rPr>
          <w:rFonts w:ascii="Verdana" w:eastAsia="Century Gothic" w:hAnsi="Verdana" w:cs="Century Gothic"/>
        </w:rPr>
      </w:pPr>
      <w:r>
        <w:rPr>
          <w:rFonts w:ascii="Verdana" w:eastAsia="Century Gothic" w:hAnsi="Verdana" w:cs="Century Gothic"/>
        </w:rPr>
        <w:lastRenderedPageBreak/>
        <w:t>Las inhabilidades son prohibiciones para concurrir a los procedimientos de selección y para contratar con el Estado, que se derivan i) de la existencia de comportamientos reprochables o de sanciones anteriormente impuestas</w:t>
      </w:r>
      <w:r>
        <w:rPr>
          <w:rStyle w:val="Refdenotaalpie"/>
          <w:rFonts w:ascii="Verdana" w:eastAsia="Century Gothic" w:hAnsi="Verdana" w:cs="Century Gothic"/>
        </w:rPr>
        <w:footnoteReference w:id="5"/>
      </w:r>
      <w:r w:rsidR="00417AD4">
        <w:rPr>
          <w:rFonts w:ascii="Verdana" w:eastAsia="Century Gothic" w:hAnsi="Verdana" w:cs="Century Gothic"/>
        </w:rPr>
        <w:t>, ii) de vinculaos personales relativos al parentesco o al estado civil</w:t>
      </w:r>
      <w:r w:rsidR="00003F52">
        <w:rPr>
          <w:rStyle w:val="Refdenotaalpie"/>
          <w:rFonts w:ascii="Verdana" w:eastAsia="Century Gothic" w:hAnsi="Verdana" w:cs="Century Gothic"/>
        </w:rPr>
        <w:footnoteReference w:id="6"/>
      </w:r>
      <w:r w:rsidR="001A4CEB">
        <w:rPr>
          <w:rFonts w:ascii="Verdana" w:eastAsia="Century Gothic" w:hAnsi="Verdana" w:cs="Century Gothic"/>
        </w:rPr>
        <w:t xml:space="preserve"> o iii) de una </w:t>
      </w:r>
      <w:r w:rsidR="001A4CEB">
        <w:rPr>
          <w:rFonts w:ascii="Verdana" w:eastAsia="Century Gothic" w:hAnsi="Verdana" w:cs="Century Gothic"/>
        </w:rPr>
        <w:lastRenderedPageBreak/>
        <w:t>actividad u oficio que se desempeñó en el pasado</w:t>
      </w:r>
      <w:r w:rsidR="001A4CEB">
        <w:rPr>
          <w:rStyle w:val="Refdenotaalpie"/>
          <w:rFonts w:ascii="Verdana" w:eastAsia="Century Gothic" w:hAnsi="Verdana" w:cs="Century Gothic"/>
        </w:rPr>
        <w:footnoteReference w:id="7"/>
      </w:r>
      <w:r w:rsidR="005E697F">
        <w:rPr>
          <w:rFonts w:ascii="Verdana" w:eastAsia="Century Gothic" w:hAnsi="Verdana" w:cs="Century Gothic"/>
        </w:rPr>
        <w:t>. De otro lado, las incompatibilidades son prohibiciones para participar en los procedimientos de selección y para celebrar contratos estatales, fundadas en la presencia de una calidad que ostenta el sujeto interesado en realizar alguna de dichas actividades, que no pueden coexistir con su calidad de proponente o contratista del Estado</w:t>
      </w:r>
      <w:r w:rsidR="005E697F">
        <w:rPr>
          <w:rStyle w:val="Refdenotaalpie"/>
          <w:rFonts w:ascii="Verdana" w:eastAsia="Century Gothic" w:hAnsi="Verdana" w:cs="Century Gothic"/>
        </w:rPr>
        <w:footnoteReference w:id="8"/>
      </w:r>
      <w:r w:rsidR="005E697F">
        <w:rPr>
          <w:rFonts w:ascii="Verdana" w:eastAsia="Century Gothic" w:hAnsi="Verdana" w:cs="Century Gothic"/>
        </w:rPr>
        <w:t>.</w:t>
      </w:r>
    </w:p>
    <w:p w14:paraId="5D90FF31" w14:textId="0DF753C7" w:rsidR="00393249" w:rsidRDefault="00A05B3B" w:rsidP="00A05B3B">
      <w:pPr>
        <w:spacing w:after="120" w:line="276" w:lineRule="auto"/>
        <w:ind w:firstLine="709"/>
        <w:jc w:val="both"/>
        <w:rPr>
          <w:rFonts w:ascii="Verdana" w:eastAsia="Century Gothic" w:hAnsi="Verdana" w:cs="Century Gothic"/>
        </w:rPr>
      </w:pPr>
      <w:r>
        <w:rPr>
          <w:rFonts w:ascii="Verdana" w:eastAsia="Century Gothic" w:hAnsi="Verdana" w:cs="Century Gothic"/>
        </w:rPr>
        <w:t xml:space="preserve">En el régimen de inhabilidades e incompatibilidades en la contratación pública responde a la tendencia de asegurar que la </w:t>
      </w:r>
      <w:r w:rsidR="00315AA8">
        <w:rPr>
          <w:rFonts w:ascii="Verdana" w:eastAsia="Century Gothic" w:hAnsi="Verdana" w:cs="Century Gothic"/>
        </w:rPr>
        <w:t>provisión</w:t>
      </w:r>
      <w:r>
        <w:rPr>
          <w:rFonts w:ascii="Verdana" w:eastAsia="Century Gothic" w:hAnsi="Verdana" w:cs="Century Gothic"/>
        </w:rPr>
        <w:t xml:space="preserve"> de los bienes y servicios por parte de las entidades estatales se efectúe cumpliendo con los principios de la función administrativa y de la gestión fiscal, especialment</w:t>
      </w:r>
      <w:r w:rsidR="002C5792">
        <w:rPr>
          <w:rFonts w:ascii="Verdana" w:eastAsia="Century Gothic" w:hAnsi="Verdana" w:cs="Century Gothic"/>
        </w:rPr>
        <w:t xml:space="preserve">e con probidad y transparencia. Es por eso </w:t>
      </w:r>
      <w:proofErr w:type="gramStart"/>
      <w:r w:rsidR="002C5792">
        <w:rPr>
          <w:rFonts w:ascii="Verdana" w:eastAsia="Century Gothic" w:hAnsi="Verdana" w:cs="Century Gothic"/>
        </w:rPr>
        <w:t>que</w:t>
      </w:r>
      <w:proofErr w:type="gramEnd"/>
      <w:r w:rsidR="002C5792">
        <w:rPr>
          <w:rFonts w:ascii="Verdana" w:eastAsia="Century Gothic" w:hAnsi="Verdana" w:cs="Century Gothic"/>
        </w:rPr>
        <w:t>, como lo ha destacado la doctrina, las inhabilidades e incompatibilidades son herramientas en la lucha contra la corrupción, adoptando paulatinamente un carácter sancionatorio o “neopunitivo</w:t>
      </w:r>
      <w:r w:rsidR="00315AA8">
        <w:rPr>
          <w:rFonts w:ascii="Verdana" w:eastAsia="Century Gothic" w:hAnsi="Verdana" w:cs="Century Gothic"/>
        </w:rPr>
        <w:t>”</w:t>
      </w:r>
      <w:r w:rsidR="00315AA8">
        <w:rPr>
          <w:rStyle w:val="Refdenotaalpie"/>
          <w:rFonts w:ascii="Verdana" w:eastAsia="Century Gothic" w:hAnsi="Verdana" w:cs="Century Gothic"/>
        </w:rPr>
        <w:footnoteReference w:id="9"/>
      </w:r>
      <w:r w:rsidR="00596EA1">
        <w:rPr>
          <w:rFonts w:ascii="Verdana" w:eastAsia="Century Gothic" w:hAnsi="Verdana" w:cs="Century Gothic"/>
        </w:rPr>
        <w:t xml:space="preserve">. Si bien </w:t>
      </w:r>
      <w:r w:rsidR="00F34CAC">
        <w:rPr>
          <w:rFonts w:ascii="Verdana" w:eastAsia="Century Gothic" w:hAnsi="Verdana" w:cs="Century Gothic"/>
        </w:rPr>
        <w:t>todas las causales</w:t>
      </w:r>
      <w:r w:rsidR="00596EA1">
        <w:rPr>
          <w:rFonts w:ascii="Verdana" w:eastAsia="Century Gothic" w:hAnsi="Verdana" w:cs="Century Gothic"/>
        </w:rPr>
        <w:t xml:space="preserve"> de inhabilidad y de incompatibilidad son consecuencia de una medida de reproche</w:t>
      </w:r>
      <w:r w:rsidR="009079D7">
        <w:rPr>
          <w:rFonts w:ascii="Verdana" w:eastAsia="Century Gothic" w:hAnsi="Verdana" w:cs="Century Gothic"/>
        </w:rPr>
        <w:t xml:space="preserve"> ni de una sanción previa, como ya se </w:t>
      </w:r>
      <w:r w:rsidR="008B0433">
        <w:rPr>
          <w:rFonts w:ascii="Verdana" w:eastAsia="Century Gothic" w:hAnsi="Verdana" w:cs="Century Gothic"/>
        </w:rPr>
        <w:t>explicó, es indiscutible que en los años mas recientes los lamentables hechos de corrupción han generado, como respuesta del legislador, un incremento de las restricciones a la capacidad contractual, dirigidas a prevenir este tipo de situaciones o a sancionar tales conductas.</w:t>
      </w:r>
    </w:p>
    <w:p w14:paraId="4E8A06AC" w14:textId="1E64939F" w:rsidR="008B0433" w:rsidRDefault="008B0433" w:rsidP="004644F8">
      <w:pPr>
        <w:spacing w:after="120" w:line="276" w:lineRule="auto"/>
        <w:ind w:firstLine="709"/>
        <w:jc w:val="both"/>
        <w:rPr>
          <w:rFonts w:ascii="Verdana" w:eastAsia="Century Gothic" w:hAnsi="Verdana" w:cs="Century Gothic"/>
        </w:rPr>
      </w:pPr>
      <w:r>
        <w:rPr>
          <w:rFonts w:ascii="Verdana" w:eastAsia="Century Gothic" w:hAnsi="Verdana" w:cs="Century Gothic"/>
        </w:rPr>
        <w:lastRenderedPageBreak/>
        <w:t xml:space="preserve">Ahora bien, las inhabilidades e incompatibilidades </w:t>
      </w:r>
      <w:r w:rsidR="00E42113">
        <w:rPr>
          <w:rFonts w:ascii="Verdana" w:eastAsia="Century Gothic" w:hAnsi="Verdana" w:cs="Century Gothic"/>
        </w:rPr>
        <w:t xml:space="preserve">- </w:t>
      </w:r>
      <w:r>
        <w:rPr>
          <w:rFonts w:ascii="Verdana" w:eastAsia="Century Gothic" w:hAnsi="Verdana" w:cs="Century Gothic"/>
        </w:rPr>
        <w:t>como ya se dijo</w:t>
      </w:r>
      <w:r w:rsidR="00E42113">
        <w:rPr>
          <w:rFonts w:ascii="Verdana" w:eastAsia="Century Gothic" w:hAnsi="Verdana" w:cs="Century Gothic"/>
        </w:rPr>
        <w:t xml:space="preserve"> – al ser restricciones o limites especiales a la capacidad para presentar ofertas y celebrar contratos estatales solo pueden tipificarse en la ley – ósea, deben satisfacer </w:t>
      </w:r>
      <w:r w:rsidR="00F34CAC">
        <w:rPr>
          <w:rFonts w:ascii="Verdana" w:eastAsia="Century Gothic" w:hAnsi="Verdana" w:cs="Century Gothic"/>
        </w:rPr>
        <w:t>el principio de legalidad – y su interpretación debe ser restrictiva</w:t>
      </w:r>
      <w:r w:rsidR="00F34CAC">
        <w:rPr>
          <w:rStyle w:val="Refdenotaalpie"/>
          <w:rFonts w:ascii="Verdana" w:eastAsia="Century Gothic" w:hAnsi="Verdana" w:cs="Century Gothic"/>
        </w:rPr>
        <w:footnoteReference w:id="10"/>
      </w:r>
      <w:r w:rsidR="006D79F0">
        <w:rPr>
          <w:rFonts w:ascii="Verdana" w:eastAsia="Century Gothic" w:hAnsi="Verdana" w:cs="Century Gothic"/>
        </w:rPr>
        <w:t>. En efecto, si se admitiera una interpretación amplia, extensiva o finalista de las mismas, tales enunciados</w:t>
      </w:r>
      <w:r w:rsidR="00DC0E60">
        <w:rPr>
          <w:rFonts w:ascii="Verdana" w:eastAsia="Century Gothic" w:hAnsi="Verdana" w:cs="Century Gothic"/>
        </w:rPr>
        <w:t xml:space="preserve">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w:t>
      </w:r>
    </w:p>
    <w:p w14:paraId="689EBAA8" w14:textId="2C0E4B66" w:rsidR="00E73E54" w:rsidRDefault="004644F8" w:rsidP="00B36B60">
      <w:pPr>
        <w:spacing w:after="0" w:line="276" w:lineRule="auto"/>
        <w:ind w:firstLine="709"/>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t xml:space="preserve">En efecto, el máximo tribunal constitucional ha indicado que, al tratar de precisar el sentido de este tipo de normas, </w:t>
      </w:r>
      <w:r>
        <w:rPr>
          <w:rFonts w:ascii="Verdana" w:eastAsia="Calibri" w:hAnsi="Verdana" w:cs="Arial"/>
          <w:color w:val="000000" w:themeColor="text1"/>
          <w:lang w:val="es-ES_tradnl"/>
        </w:rPr>
        <w:t>“</w:t>
      </w:r>
      <w:r w:rsidRPr="00135CB1">
        <w:rPr>
          <w:rFonts w:ascii="Verdana" w:eastAsia="Calibri" w:hAnsi="Verdana" w:cs="Arial"/>
          <w:color w:val="000000" w:themeColor="text1"/>
          <w:lang w:val="es-ES_tradnl"/>
        </w:rPr>
        <w:t xml:space="preserve">[…] el intérprete de las disposiciones legislativas en la materia ha de ceñirse en la mayor medida posible al tenor literal y gramatical de los enunciados normativos, sin que pueda acudir </w:t>
      </w:r>
      <w:r w:rsidRPr="006B79A9">
        <w:rPr>
          <w:rFonts w:ascii="Verdana" w:eastAsia="Calibri" w:hAnsi="Verdana" w:cs="Arial"/>
          <w:i/>
          <w:iCs/>
          <w:color w:val="000000" w:themeColor="text1"/>
          <w:lang w:val="es-ES_tradnl"/>
        </w:rPr>
        <w:t>prima facie</w:t>
      </w:r>
      <w:r w:rsidRPr="00135CB1">
        <w:rPr>
          <w:rFonts w:ascii="Verdana" w:eastAsia="Calibri" w:hAnsi="Verdana" w:cs="Arial"/>
          <w:color w:val="000000" w:themeColor="text1"/>
          <w:lang w:val="es-ES_tradnl"/>
        </w:rPr>
        <w:t xml:space="preserve"> a criterios interpretativos tales como la analogía, la interpretación extensiva para ampliar el alcance de las causales legalmente fijadas</w:t>
      </w:r>
      <w:r>
        <w:rPr>
          <w:rFonts w:ascii="Verdana" w:eastAsia="Calibri" w:hAnsi="Verdana" w:cs="Arial"/>
          <w:color w:val="000000" w:themeColor="text1"/>
          <w:lang w:val="es-ES_tradnl"/>
        </w:rPr>
        <w:t>”</w:t>
      </w:r>
      <w:r>
        <w:rPr>
          <w:rStyle w:val="Refdenotaalpie"/>
          <w:rFonts w:ascii="Verdana" w:eastAsia="Calibri" w:hAnsi="Verdana" w:cs="Arial"/>
          <w:color w:val="000000" w:themeColor="text1"/>
          <w:lang w:val="es-ES_tradnl"/>
        </w:rPr>
        <w:footnoteReference w:id="11"/>
      </w:r>
      <w:r w:rsidR="00B455D0">
        <w:rPr>
          <w:rFonts w:ascii="Verdana" w:eastAsia="Calibri" w:hAnsi="Verdana" w:cs="Arial"/>
          <w:color w:val="000000" w:themeColor="text1"/>
          <w:lang w:val="es-ES_tradnl"/>
        </w:rPr>
        <w:t xml:space="preserve">. </w:t>
      </w:r>
      <w:r w:rsidR="00E73E54" w:rsidRPr="00135CB1">
        <w:rPr>
          <w:rFonts w:ascii="Verdana" w:eastAsia="Calibri" w:hAnsi="Verdana" w:cs="Arial"/>
          <w:color w:val="000000" w:themeColor="text1"/>
          <w:lang w:val="es-ES_tradnl"/>
        </w:rPr>
        <w:t xml:space="preserve">Por su parte, el Consejo de Estado ha acogido también este criterio, considerando –como expresa la Sala de Consulta y Servicio Civil–, que </w:t>
      </w:r>
      <w:r w:rsidR="00E73E54">
        <w:rPr>
          <w:rFonts w:ascii="Verdana" w:eastAsia="Calibri" w:hAnsi="Verdana" w:cs="Arial"/>
          <w:color w:val="000000" w:themeColor="text1"/>
          <w:lang w:val="es-ES_tradnl"/>
        </w:rPr>
        <w:t>“</w:t>
      </w:r>
      <w:r w:rsidR="00E73E54" w:rsidRPr="00135CB1">
        <w:rPr>
          <w:rFonts w:ascii="Verdana" w:eastAsia="Calibri" w:hAnsi="Verdana" w:cs="Arial"/>
          <w:color w:val="000000" w:themeColor="text1"/>
          <w:lang w:val="es-ES_tradnl"/>
        </w:rPr>
        <w:t>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00E73E54">
        <w:rPr>
          <w:rFonts w:ascii="Verdana" w:eastAsia="Calibri" w:hAnsi="Verdana" w:cs="Arial"/>
          <w:color w:val="000000" w:themeColor="text1"/>
          <w:lang w:val="es-ES_tradnl"/>
        </w:rPr>
        <w:t>”</w:t>
      </w:r>
      <w:r w:rsidR="00E73E54" w:rsidRPr="00135CB1">
        <w:rPr>
          <w:rFonts w:ascii="Verdana" w:eastAsia="Calibri" w:hAnsi="Verdana" w:cs="Arial"/>
          <w:color w:val="000000" w:themeColor="text1"/>
          <w:lang w:val="es-ES_tradnl"/>
        </w:rPr>
        <w:t>. En tal sentido, la Sección Tercera ha señalado que:</w:t>
      </w:r>
    </w:p>
    <w:p w14:paraId="3B6F5202" w14:textId="77777777" w:rsidR="00B36B60" w:rsidRPr="00284526" w:rsidRDefault="00B36B60" w:rsidP="002F2B6D">
      <w:pPr>
        <w:spacing w:after="0" w:line="276" w:lineRule="auto"/>
        <w:ind w:firstLine="709"/>
        <w:jc w:val="both"/>
        <w:rPr>
          <w:rFonts w:ascii="Verdana" w:eastAsia="Calibri" w:hAnsi="Verdana" w:cs="Arial"/>
          <w:color w:val="000000" w:themeColor="text1"/>
          <w:lang w:val="es-ES_tradnl"/>
        </w:rPr>
      </w:pPr>
    </w:p>
    <w:p w14:paraId="2E6D65A0" w14:textId="6A69EF81" w:rsidR="00DC0E60" w:rsidRPr="000A6C6F" w:rsidRDefault="00693FB6" w:rsidP="000A6C6F">
      <w:pPr>
        <w:spacing w:after="0" w:line="240" w:lineRule="auto"/>
        <w:ind w:left="709" w:right="709"/>
        <w:jc w:val="both"/>
        <w:rPr>
          <w:rFonts w:ascii="Verdana" w:hAnsi="Verdana" w:cs="Arial"/>
          <w:color w:val="000000" w:themeColor="text1"/>
          <w:sz w:val="21"/>
          <w:szCs w:val="21"/>
          <w:lang w:val="es-ES_tradnl"/>
        </w:rPr>
      </w:pPr>
      <w:r w:rsidRPr="000A6C6F">
        <w:rPr>
          <w:rFonts w:ascii="Verdana" w:hAnsi="Verdana" w:cs="Arial"/>
          <w:color w:val="000000" w:themeColor="text1"/>
          <w:sz w:val="21"/>
          <w:szCs w:val="21"/>
          <w:lang w:val="es-ES_tradnl"/>
        </w:rPr>
        <w:t xml:space="preserve">[…]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w:t>
      </w:r>
      <w:r w:rsidRPr="000A6C6F">
        <w:rPr>
          <w:rFonts w:ascii="Verdana" w:hAnsi="Verdana" w:cs="Arial"/>
          <w:color w:val="000000" w:themeColor="text1"/>
          <w:sz w:val="21"/>
          <w:szCs w:val="21"/>
          <w:lang w:val="es-ES_tradnl"/>
        </w:rPr>
        <w:lastRenderedPageBreak/>
        <w:t>figura de la analogía, a supuestos no contemplados por el ordenamiento</w:t>
      </w:r>
      <w:r w:rsidRPr="000A6C6F">
        <w:rPr>
          <w:rStyle w:val="Refdenotaalpie"/>
          <w:rFonts w:ascii="Verdana" w:hAnsi="Verdana" w:cs="Arial"/>
          <w:color w:val="000000" w:themeColor="text1"/>
          <w:sz w:val="21"/>
          <w:szCs w:val="21"/>
          <w:lang w:val="es-ES_tradnl"/>
        </w:rPr>
        <w:footnoteReference w:id="12"/>
      </w:r>
      <w:r w:rsidR="006E74F0" w:rsidRPr="000A6C6F">
        <w:rPr>
          <w:rFonts w:ascii="Verdana" w:hAnsi="Verdana" w:cs="Arial"/>
          <w:color w:val="000000" w:themeColor="text1"/>
          <w:sz w:val="21"/>
          <w:szCs w:val="21"/>
          <w:lang w:val="es-ES_tradnl"/>
        </w:rPr>
        <w:t>.</w:t>
      </w:r>
    </w:p>
    <w:p w14:paraId="5114C29D" w14:textId="77777777" w:rsidR="006E74F0" w:rsidRPr="000A6C6F" w:rsidRDefault="006E74F0" w:rsidP="000A6C6F">
      <w:pPr>
        <w:spacing w:after="0" w:line="240" w:lineRule="auto"/>
        <w:ind w:left="709" w:right="709"/>
        <w:jc w:val="both"/>
        <w:rPr>
          <w:rFonts w:ascii="Verdana" w:eastAsia="Calibri" w:hAnsi="Verdana" w:cs="Arial"/>
          <w:color w:val="000000" w:themeColor="text1"/>
          <w:sz w:val="21"/>
          <w:szCs w:val="21"/>
          <w:lang w:val="es-ES_tradnl"/>
        </w:rPr>
      </w:pPr>
      <w:r w:rsidRPr="000A6C6F">
        <w:rPr>
          <w:rFonts w:ascii="Verdana" w:eastAsia="Calibri" w:hAnsi="Verdana" w:cs="Arial"/>
          <w:color w:val="000000" w:themeColor="text1"/>
          <w:sz w:val="21"/>
          <w:szCs w:val="21"/>
          <w:lang w:val="es-ES_tradnl"/>
        </w:rPr>
        <w:t>También ha dicho que:</w:t>
      </w:r>
    </w:p>
    <w:p w14:paraId="247AE7FD" w14:textId="77777777" w:rsidR="006E74F0" w:rsidRPr="000A6C6F" w:rsidRDefault="006E74F0" w:rsidP="000A6C6F">
      <w:pPr>
        <w:spacing w:after="0" w:line="240" w:lineRule="auto"/>
        <w:ind w:left="709" w:right="709"/>
        <w:jc w:val="both"/>
        <w:rPr>
          <w:rFonts w:ascii="Verdana" w:eastAsia="Calibri" w:hAnsi="Verdana" w:cs="Arial"/>
          <w:color w:val="000000" w:themeColor="text1"/>
          <w:sz w:val="21"/>
          <w:szCs w:val="21"/>
          <w:lang w:val="es-ES_tradnl"/>
        </w:rPr>
      </w:pPr>
    </w:p>
    <w:p w14:paraId="5411FC9C" w14:textId="69EFDF21" w:rsidR="006E74F0" w:rsidRDefault="006E74F0" w:rsidP="000A6C6F">
      <w:pPr>
        <w:spacing w:after="0" w:line="240" w:lineRule="auto"/>
        <w:ind w:left="709" w:right="709"/>
        <w:jc w:val="both"/>
        <w:rPr>
          <w:rFonts w:ascii="Verdana" w:hAnsi="Verdana" w:cs="Arial"/>
          <w:color w:val="000000" w:themeColor="text1"/>
          <w:sz w:val="21"/>
          <w:szCs w:val="21"/>
          <w:lang w:val="es-ES"/>
        </w:rPr>
      </w:pPr>
      <w:r w:rsidRPr="000A6C6F">
        <w:rPr>
          <w:rFonts w:ascii="Verdana" w:hAnsi="Verdana" w:cs="Arial"/>
          <w:color w:val="000000" w:themeColor="text1"/>
          <w:sz w:val="21"/>
          <w:szCs w:val="21"/>
          <w:lang w:val="es-ES"/>
        </w:rPr>
        <w:t xml:space="preserve">[…] la aplicación de estos preceptos exige una interpretación restrictiva, dado que según el principio hermenéutico </w:t>
      </w:r>
      <w:r w:rsidRPr="000A6C6F">
        <w:rPr>
          <w:rFonts w:ascii="Verdana" w:hAnsi="Verdana" w:cs="Arial"/>
          <w:i/>
          <w:iCs/>
          <w:color w:val="000000" w:themeColor="text1"/>
          <w:sz w:val="21"/>
          <w:szCs w:val="21"/>
          <w:lang w:val="es-ES"/>
        </w:rPr>
        <w:t>pro libertate</w:t>
      </w:r>
      <w:r w:rsidRPr="000A6C6F">
        <w:rPr>
          <w:rFonts w:ascii="Verdana" w:hAnsi="Verdana" w:cs="Arial"/>
          <w:color w:val="000000" w:themeColor="text1"/>
          <w:sz w:val="21"/>
          <w:szCs w:val="21"/>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w:t>
      </w:r>
      <w:r w:rsidRPr="000A6C6F">
        <w:rPr>
          <w:rStyle w:val="Refdenotaalpie"/>
          <w:rFonts w:ascii="Verdana" w:hAnsi="Verdana" w:cs="Arial"/>
          <w:color w:val="000000" w:themeColor="text1"/>
          <w:sz w:val="21"/>
          <w:szCs w:val="21"/>
          <w:lang w:val="es-ES"/>
        </w:rPr>
        <w:footnoteReference w:id="13"/>
      </w:r>
    </w:p>
    <w:p w14:paraId="4D1D88A4" w14:textId="77777777" w:rsidR="000A6C6F" w:rsidRPr="000A6C6F" w:rsidRDefault="000A6C6F" w:rsidP="000A6C6F">
      <w:pPr>
        <w:spacing w:after="0" w:line="240" w:lineRule="auto"/>
        <w:ind w:left="709" w:right="709"/>
        <w:jc w:val="both"/>
        <w:rPr>
          <w:rFonts w:ascii="Verdana" w:hAnsi="Verdana" w:cs="Arial"/>
          <w:color w:val="000000" w:themeColor="text1"/>
          <w:sz w:val="21"/>
          <w:szCs w:val="21"/>
          <w:lang w:val="es-ES"/>
        </w:rPr>
      </w:pPr>
    </w:p>
    <w:p w14:paraId="3E615127" w14:textId="77777777" w:rsidR="000A6C6F" w:rsidRPr="00284526" w:rsidRDefault="000A6C6F" w:rsidP="00B83469">
      <w:pPr>
        <w:spacing w:after="120" w:line="276" w:lineRule="auto"/>
        <w:ind w:firstLine="709"/>
        <w:jc w:val="both"/>
        <w:rPr>
          <w:rFonts w:ascii="Verdana" w:eastAsia="Calibri" w:hAnsi="Verdana" w:cs="Arial"/>
          <w:color w:val="000000" w:themeColor="text1"/>
          <w:lang w:val="es-ES"/>
        </w:rPr>
      </w:pPr>
      <w:r w:rsidRPr="00284526">
        <w:rPr>
          <w:rFonts w:ascii="Verdana" w:eastAsia="Calibri" w:hAnsi="Verdana" w:cs="Arial"/>
          <w:color w:val="000000" w:themeColor="text1"/>
          <w:lang w:val="es-ES"/>
        </w:rPr>
        <w:t xml:space="preserve">Como se aprecia, el principio </w:t>
      </w:r>
      <w:r w:rsidRPr="00284526">
        <w:rPr>
          <w:rFonts w:ascii="Verdana" w:eastAsia="Calibri" w:hAnsi="Verdana" w:cs="Arial"/>
          <w:i/>
          <w:color w:val="000000" w:themeColor="text1"/>
          <w:lang w:val="es-ES"/>
        </w:rPr>
        <w:t>pro libertate</w:t>
      </w:r>
      <w:r w:rsidRPr="00284526">
        <w:rPr>
          <w:rFonts w:ascii="Verdana" w:eastAsia="Calibri" w:hAnsi="Verdana" w:cs="Arial"/>
          <w:color w:val="000000" w:themeColor="text1"/>
          <w:lang w:val="es-ES"/>
        </w:rPr>
        <w:t xml:space="preserve"> es el que debe dirigir la interpretación de las disposiciones normativas que consagran restricciones de derechos, como sucede con las causales de inhabilidad e incompatibilidad en la contratación estatal. El carácter reconocidamente taxativo y restrictivo de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w:t>
      </w:r>
    </w:p>
    <w:p w14:paraId="5250C346" w14:textId="1AD92DE5" w:rsidR="00B83469" w:rsidRDefault="00B83469" w:rsidP="00B83469">
      <w:pPr>
        <w:spacing w:after="120" w:line="276" w:lineRule="auto"/>
        <w:ind w:firstLine="709"/>
        <w:jc w:val="both"/>
        <w:rPr>
          <w:rFonts w:ascii="Verdana" w:hAnsi="Verdana" w:cs="Arial"/>
          <w:color w:val="000000" w:themeColor="text1"/>
          <w:lang w:val="es-ES_tradnl"/>
        </w:rPr>
      </w:pPr>
      <w:r>
        <w:rPr>
          <w:rFonts w:ascii="Verdana" w:hAnsi="Verdana" w:cs="Arial"/>
          <w:color w:val="000000" w:themeColor="text1"/>
          <w:lang w:val="es-ES"/>
        </w:rPr>
        <w:t xml:space="preserve">En este contexto, analizado el </w:t>
      </w:r>
      <w:r w:rsidRPr="00966C6B">
        <w:rPr>
          <w:rFonts w:ascii="Verdana" w:hAnsi="Verdana" w:cs="Arial"/>
          <w:color w:val="000000" w:themeColor="text1"/>
          <w:lang w:val="es-ES"/>
        </w:rPr>
        <w:t xml:space="preserve">régimen de inhabilidades e incompatibilidades previsto para la contratación estatal, </w:t>
      </w:r>
      <w:r w:rsidRPr="00CA3CC2">
        <w:rPr>
          <w:rFonts w:ascii="Verdana" w:hAnsi="Verdana" w:cs="Arial"/>
          <w:color w:val="000000" w:themeColor="text1"/>
          <w:lang w:val="es-ES_tradnl"/>
        </w:rPr>
        <w:t xml:space="preserve">se concluye que no existe una inhabilidad, incompatibilidad o prohibición de otra naturaleza para que </w:t>
      </w:r>
      <w:r>
        <w:rPr>
          <w:rFonts w:ascii="Verdana" w:eastAsia="Arial MT" w:hAnsi="Verdana" w:cs="Arial"/>
          <w:lang w:eastAsia="es-ES" w:bidi="es-ES"/>
        </w:rPr>
        <w:t xml:space="preserve">contratista de una entidad territorial celebre un contrato de prestación de servicios con </w:t>
      </w:r>
      <w:r w:rsidR="00B36B60" w:rsidRPr="00284526">
        <w:rPr>
          <w:rFonts w:ascii="Verdana" w:eastAsia="Arial MT" w:hAnsi="Verdana" w:cs="Arial"/>
          <w:lang w:eastAsia="es-ES" w:bidi="es-ES"/>
        </w:rPr>
        <w:t>un Entidad Sin Ánimo de Lucro,</w:t>
      </w:r>
      <w:r>
        <w:rPr>
          <w:rFonts w:ascii="Verdana" w:eastAsia="Arial MT" w:hAnsi="Verdana" w:cs="Arial"/>
          <w:lang w:eastAsia="es-ES" w:bidi="es-ES"/>
        </w:rPr>
        <w:t xml:space="preserve"> con la cual </w:t>
      </w:r>
      <w:r w:rsidR="00B36B60" w:rsidRPr="00284526">
        <w:rPr>
          <w:rFonts w:ascii="Verdana" w:eastAsia="Arial MT" w:hAnsi="Verdana" w:cs="Arial"/>
          <w:lang w:eastAsia="es-ES" w:bidi="es-ES"/>
        </w:rPr>
        <w:t xml:space="preserve">la entidad estatal tiene </w:t>
      </w:r>
      <w:r>
        <w:rPr>
          <w:rFonts w:ascii="Verdana" w:eastAsia="Arial MT" w:hAnsi="Verdana" w:cs="Arial"/>
          <w:lang w:eastAsia="es-ES" w:bidi="es-ES"/>
        </w:rPr>
        <w:t>una relación de tipo contractual</w:t>
      </w:r>
      <w:r w:rsidR="00284526" w:rsidRPr="00284526">
        <w:rPr>
          <w:rFonts w:ascii="Verdana" w:eastAsia="Arial MT" w:hAnsi="Verdana" w:cs="Arial"/>
          <w:lang w:eastAsia="es-ES" w:bidi="es-ES"/>
        </w:rPr>
        <w:t>. Lo anterior, en la medida que</w:t>
      </w:r>
      <w:r>
        <w:rPr>
          <w:rFonts w:ascii="Verdana" w:eastAsia="Arial MT" w:hAnsi="Verdana" w:cs="Arial"/>
          <w:lang w:eastAsia="es-ES" w:bidi="es-ES"/>
        </w:rPr>
        <w:t xml:space="preserve"> no se subsume en ninguno de los supuestos de hecho, ni se advierte que la hipótesis materia de consulta configure alguna de las causales previstas establecidos en el artículo 8 de la Ley 80 de 1993</w:t>
      </w:r>
      <w:r w:rsidRPr="00CA3CC2">
        <w:rPr>
          <w:rFonts w:ascii="Verdana" w:hAnsi="Verdana" w:cs="Arial"/>
          <w:color w:val="000000" w:themeColor="text1"/>
          <w:lang w:val="es-ES_tradnl"/>
        </w:rPr>
        <w:t>, así dichos contratos coexistan en el tiempo</w:t>
      </w:r>
      <w:r>
        <w:rPr>
          <w:rFonts w:ascii="Verdana" w:hAnsi="Verdana" w:cs="Arial"/>
          <w:color w:val="000000" w:themeColor="text1"/>
          <w:lang w:val="es-ES_tradnl"/>
        </w:rPr>
        <w:t>.</w:t>
      </w:r>
    </w:p>
    <w:p w14:paraId="2A49285B" w14:textId="77777777" w:rsidR="003A716D" w:rsidRDefault="003A716D" w:rsidP="003A716D">
      <w:pPr>
        <w:spacing w:after="120" w:line="276" w:lineRule="auto"/>
        <w:ind w:firstLine="709"/>
        <w:jc w:val="both"/>
        <w:rPr>
          <w:rFonts w:ascii="Verdana" w:hAnsi="Verdana" w:cs="Arial"/>
          <w:color w:val="000000" w:themeColor="text1"/>
          <w:lang w:val="es-ES"/>
        </w:rPr>
      </w:pPr>
      <w:r>
        <w:rPr>
          <w:rFonts w:ascii="Verdana" w:hAnsi="Verdana" w:cs="Arial"/>
          <w:color w:val="000000" w:themeColor="text1"/>
          <w:lang w:val="es-ES"/>
        </w:rPr>
        <w:lastRenderedPageBreak/>
        <w:t xml:space="preserve">En ese sentido, </w:t>
      </w:r>
      <w:bookmarkStart w:id="1" w:name="_Hlk192056119"/>
      <w:r w:rsidRPr="00CA3CC2">
        <w:rPr>
          <w:rFonts w:ascii="Verdana" w:hAnsi="Verdana" w:cs="Arial"/>
          <w:color w:val="000000" w:themeColor="text1"/>
          <w:lang w:val="es-ES"/>
        </w:rPr>
        <w:t xml:space="preserve">las inhabilidades e incompatibilidades, al ser limitaciones a la capacidad contractual, y por tanto al afectar derechos como la libre concurrencia o la libertad de ejercicio de la profesión u oficio, es decir, al ser enunciados normativos gravosos, deben interpretarse restrictivamente; o sea, no admiten una interpretación amplia, extensiva o analógica. Precisamente, al leer las causales previstas en la Constitución, así como en el artículo 8 de la Ley 80 de 1993 y en otras disposiciones complementarias, no se observa una prohibición para que una misma persona natural preste sus servicios profesionales </w:t>
      </w:r>
      <w:r>
        <w:rPr>
          <w:rFonts w:ascii="Verdana" w:hAnsi="Verdana" w:cs="Arial"/>
          <w:color w:val="000000" w:themeColor="text1"/>
          <w:lang w:val="es-ES"/>
        </w:rPr>
        <w:t>en dos</w:t>
      </w:r>
      <w:r w:rsidRPr="00CA3CC2">
        <w:rPr>
          <w:rFonts w:ascii="Verdana" w:hAnsi="Verdana" w:cs="Arial"/>
          <w:color w:val="000000" w:themeColor="text1"/>
          <w:lang w:val="es-ES"/>
        </w:rPr>
        <w:t xml:space="preserve"> entidad</w:t>
      </w:r>
      <w:r>
        <w:rPr>
          <w:rFonts w:ascii="Verdana" w:hAnsi="Verdana" w:cs="Arial"/>
          <w:color w:val="000000" w:themeColor="text1"/>
          <w:lang w:val="es-ES"/>
        </w:rPr>
        <w:t>es</w:t>
      </w:r>
      <w:r w:rsidRPr="00CA3CC2">
        <w:rPr>
          <w:rFonts w:ascii="Verdana" w:hAnsi="Verdana" w:cs="Arial"/>
          <w:color w:val="000000" w:themeColor="text1"/>
          <w:lang w:val="es-ES"/>
        </w:rPr>
        <w:t>, a través de contratos distintos y concomitantes</w:t>
      </w:r>
      <w:r>
        <w:rPr>
          <w:rFonts w:ascii="Verdana" w:hAnsi="Verdana" w:cs="Arial"/>
          <w:color w:val="000000" w:themeColor="text1"/>
          <w:lang w:val="es-ES"/>
        </w:rPr>
        <w:t xml:space="preserve">, incluso cuando una de esas entidades ejerza funciones de vigilancia y control respecto de la otra entidad contratante o tengan alguna relación de tipo legal o contractual. </w:t>
      </w:r>
    </w:p>
    <w:p w14:paraId="4A0E2485" w14:textId="2C10F0C0" w:rsidR="003A716D" w:rsidRPr="00CA3CC2" w:rsidRDefault="00AC0558" w:rsidP="00AC0558">
      <w:pPr>
        <w:spacing w:after="120" w:line="276" w:lineRule="auto"/>
        <w:ind w:firstLine="709"/>
        <w:jc w:val="both"/>
        <w:rPr>
          <w:rFonts w:ascii="Verdana" w:hAnsi="Verdana" w:cs="Arial"/>
          <w:color w:val="000000" w:themeColor="text1"/>
          <w:lang w:val="es-ES"/>
        </w:rPr>
      </w:pPr>
      <w:r w:rsidRPr="00CA3CC2">
        <w:rPr>
          <w:rFonts w:ascii="Verdana" w:hAnsi="Verdana" w:cs="Arial"/>
          <w:color w:val="000000" w:themeColor="text1"/>
          <w:lang w:val="es-ES"/>
        </w:rPr>
        <w:t xml:space="preserve">Sin embargo, el hecho de que no haya una causal de inhabilidad o de incompatibilidad no significa que siempre se pueda celebrar el contrato de prestación de servicios. Para que ello sea viable, deben cumplirse los requisitos </w:t>
      </w:r>
      <w:r>
        <w:rPr>
          <w:rFonts w:ascii="Verdana" w:hAnsi="Verdana" w:cs="Arial"/>
          <w:color w:val="000000" w:themeColor="text1"/>
          <w:lang w:val="es-ES"/>
        </w:rPr>
        <w:t xml:space="preserve">propios del contrato de prestación de servicios </w:t>
      </w:r>
      <w:r w:rsidRPr="00CA3CC2">
        <w:rPr>
          <w:rFonts w:ascii="Verdana" w:hAnsi="Verdana" w:cs="Arial"/>
          <w:color w:val="000000" w:themeColor="text1"/>
          <w:lang w:val="es-ES"/>
        </w:rPr>
        <w:t>pues se recuerda que la celebración d</w:t>
      </w:r>
      <w:r>
        <w:rPr>
          <w:rFonts w:ascii="Verdana" w:hAnsi="Verdana" w:cs="Arial"/>
          <w:color w:val="000000" w:themeColor="text1"/>
          <w:lang w:val="es-ES"/>
        </w:rPr>
        <w:t xml:space="preserve">e estos contratos </w:t>
      </w:r>
      <w:r w:rsidRPr="00CA3CC2">
        <w:rPr>
          <w:rFonts w:ascii="Verdana" w:hAnsi="Verdana" w:cs="Arial"/>
          <w:color w:val="000000" w:themeColor="text1"/>
          <w:lang w:val="es-ES"/>
        </w:rPr>
        <w:t xml:space="preserve">con una persona natural es </w:t>
      </w:r>
      <w:r w:rsidRPr="00CA3CC2">
        <w:rPr>
          <w:rFonts w:ascii="Verdana" w:hAnsi="Verdana" w:cs="Arial"/>
          <w:i/>
          <w:iCs/>
          <w:color w:val="000000" w:themeColor="text1"/>
          <w:lang w:val="es-ES"/>
        </w:rPr>
        <w:t>excepcional</w:t>
      </w:r>
      <w:r w:rsidRPr="00CA3CC2">
        <w:rPr>
          <w:rFonts w:ascii="Verdana" w:hAnsi="Verdana" w:cs="Arial"/>
          <w:color w:val="000000" w:themeColor="text1"/>
          <w:lang w:val="es-ES"/>
        </w:rPr>
        <w:t xml:space="preserve">, ya que solo es admisible cuando las </w:t>
      </w:r>
      <w:r>
        <w:rPr>
          <w:rFonts w:ascii="Verdana" w:hAnsi="Verdana" w:cs="Arial"/>
          <w:color w:val="000000" w:themeColor="text1"/>
          <w:lang w:val="es-ES"/>
        </w:rPr>
        <w:t>“</w:t>
      </w:r>
      <w:r w:rsidRPr="00CA3CC2">
        <w:rPr>
          <w:rFonts w:ascii="Verdana" w:hAnsi="Verdana" w:cs="Arial"/>
          <w:color w:val="000000" w:themeColor="text1"/>
          <w:lang w:val="es-ES"/>
        </w:rPr>
        <w:t>actividades no puedan realizarse con personal de planta o requieran conocimientos especializados</w:t>
      </w:r>
      <w:r>
        <w:rPr>
          <w:rFonts w:ascii="Verdana" w:hAnsi="Verdana" w:cs="Arial"/>
          <w:color w:val="000000" w:themeColor="text1"/>
          <w:lang w:val="es-ES"/>
        </w:rPr>
        <w:t>”</w:t>
      </w:r>
      <w:r w:rsidRPr="00CA3CC2">
        <w:rPr>
          <w:rFonts w:ascii="Verdana" w:hAnsi="Verdana" w:cs="Arial"/>
          <w:color w:val="000000" w:themeColor="text1"/>
          <w:lang w:val="es-ES"/>
        </w:rPr>
        <w:t xml:space="preserve">, lo cual debe justificarse satisfactoriamente en los estudios previos. Además, dicho contrato debe ser </w:t>
      </w:r>
      <w:r w:rsidRPr="00CA3CC2">
        <w:rPr>
          <w:rFonts w:ascii="Verdana" w:hAnsi="Verdana" w:cs="Arial"/>
          <w:i/>
          <w:iCs/>
          <w:color w:val="000000" w:themeColor="text1"/>
          <w:lang w:val="es-ES"/>
        </w:rPr>
        <w:t>temporal</w:t>
      </w:r>
      <w:r w:rsidRPr="00CA3CC2">
        <w:rPr>
          <w:rFonts w:ascii="Verdana" w:hAnsi="Verdana" w:cs="Arial"/>
          <w:color w:val="000000" w:themeColor="text1"/>
          <w:lang w:val="es-ES"/>
        </w:rPr>
        <w:t xml:space="preserve"> y no puede servir para la creación de nóminas paralelas</w:t>
      </w:r>
      <w:r w:rsidR="00776564" w:rsidRPr="00284526">
        <w:rPr>
          <w:rStyle w:val="Refdenotaalpie"/>
          <w:rFonts w:ascii="Verdana" w:hAnsi="Verdana" w:cs="Arial"/>
          <w:color w:val="000000" w:themeColor="text1"/>
          <w:lang w:val="es-ES"/>
        </w:rPr>
        <w:footnoteReference w:id="14"/>
      </w:r>
      <w:r w:rsidR="00463348" w:rsidRPr="00284526">
        <w:rPr>
          <w:rFonts w:ascii="Verdana" w:hAnsi="Verdana" w:cs="Arial"/>
          <w:color w:val="000000" w:themeColor="text1"/>
          <w:lang w:val="es-ES"/>
        </w:rPr>
        <w:t xml:space="preserve">. </w:t>
      </w:r>
    </w:p>
    <w:bookmarkEnd w:id="1"/>
    <w:p w14:paraId="4C81BD44" w14:textId="06C6251A" w:rsidR="00463348" w:rsidRPr="00284526" w:rsidRDefault="00463348" w:rsidP="00AC0558">
      <w:pPr>
        <w:spacing w:after="120" w:line="276" w:lineRule="auto"/>
        <w:ind w:firstLine="709"/>
        <w:jc w:val="both"/>
        <w:rPr>
          <w:rFonts w:ascii="Verdana" w:hAnsi="Verdana" w:cs="Arial"/>
          <w:color w:val="000000" w:themeColor="text1"/>
          <w:lang w:val="es-ES"/>
        </w:rPr>
      </w:pPr>
      <w:r w:rsidRPr="00284526">
        <w:rPr>
          <w:rFonts w:ascii="Verdana" w:hAnsi="Verdana" w:cs="Arial"/>
          <w:color w:val="000000" w:themeColor="text1"/>
          <w:lang w:val="es-ES"/>
        </w:rPr>
        <w:t xml:space="preserve">Adicionalmente, las entidades estatales deber ser diligentes en el análisis de las condiciones de ejecución del contrato de prestación de servicios profesionales, midiendo la complejidad y el alcance de las labores encomendadas al contratista, pues solo de esta manera pueden determinar razonablemente si el mismo contratista tiene la capacidad, no solo jurídica sino también técnica y económica, para celebrar otro </w:t>
      </w:r>
      <w:r w:rsidR="006108D3" w:rsidRPr="00284526">
        <w:rPr>
          <w:rFonts w:ascii="Verdana" w:hAnsi="Verdana" w:cs="Arial"/>
          <w:color w:val="000000" w:themeColor="text1"/>
          <w:lang w:val="es-ES"/>
        </w:rPr>
        <w:t xml:space="preserve">tipo de </w:t>
      </w:r>
      <w:r w:rsidRPr="00284526">
        <w:rPr>
          <w:rFonts w:ascii="Verdana" w:hAnsi="Verdana" w:cs="Arial"/>
          <w:color w:val="000000" w:themeColor="text1"/>
          <w:lang w:val="es-ES"/>
        </w:rPr>
        <w:t>contr</w:t>
      </w:r>
      <w:r w:rsidR="00ED30C1" w:rsidRPr="00284526">
        <w:rPr>
          <w:rFonts w:ascii="Verdana" w:hAnsi="Verdana" w:cs="Arial"/>
          <w:color w:val="000000" w:themeColor="text1"/>
          <w:lang w:val="es-ES"/>
        </w:rPr>
        <w:t xml:space="preserve">ato. Si tales </w:t>
      </w:r>
      <w:r w:rsidR="00435641" w:rsidRPr="00284526">
        <w:rPr>
          <w:rFonts w:ascii="Verdana" w:hAnsi="Verdana" w:cs="Arial"/>
          <w:color w:val="000000" w:themeColor="text1"/>
          <w:lang w:val="es-ES"/>
        </w:rPr>
        <w:t>factores</w:t>
      </w:r>
      <w:r w:rsidR="006108D3" w:rsidRPr="00284526">
        <w:rPr>
          <w:rFonts w:ascii="Verdana" w:hAnsi="Verdana" w:cs="Arial"/>
          <w:color w:val="000000" w:themeColor="text1"/>
          <w:lang w:val="es-ES"/>
        </w:rPr>
        <w:t xml:space="preserve"> no se tienen en </w:t>
      </w:r>
      <w:r w:rsidR="006108D3" w:rsidRPr="00284526">
        <w:rPr>
          <w:rFonts w:ascii="Verdana" w:hAnsi="Verdana" w:cs="Arial"/>
          <w:color w:val="000000" w:themeColor="text1"/>
          <w:lang w:val="es-ES"/>
        </w:rPr>
        <w:lastRenderedPageBreak/>
        <w:t>cuenta, existe el riesgo de que el contratista termine incumpliendo sus obligaciones</w:t>
      </w:r>
      <w:r w:rsidR="00AF23CD" w:rsidRPr="00284526">
        <w:rPr>
          <w:rFonts w:ascii="Verdana" w:hAnsi="Verdana" w:cs="Arial"/>
          <w:color w:val="000000" w:themeColor="text1"/>
          <w:lang w:val="es-ES"/>
        </w:rPr>
        <w:t>, por sobrecarga de actividades.</w:t>
      </w:r>
    </w:p>
    <w:p w14:paraId="66652B56" w14:textId="64E4B4A9" w:rsidR="005274C6" w:rsidRPr="00284526" w:rsidRDefault="005274C6" w:rsidP="00AC0558">
      <w:pPr>
        <w:spacing w:after="120" w:line="276" w:lineRule="auto"/>
        <w:ind w:firstLine="709"/>
        <w:jc w:val="both"/>
        <w:rPr>
          <w:rFonts w:ascii="Verdana" w:hAnsi="Verdana" w:cs="Arial"/>
          <w:color w:val="000000" w:themeColor="text1"/>
          <w:lang w:val="es-ES"/>
        </w:rPr>
      </w:pPr>
      <w:r w:rsidRPr="00284526">
        <w:rPr>
          <w:rFonts w:ascii="Verdana" w:hAnsi="Verdana" w:cs="Arial"/>
          <w:color w:val="000000" w:themeColor="text1"/>
          <w:lang w:val="es-ES"/>
        </w:rPr>
        <w:t xml:space="preserve">Aunado a lo anterior, la entidad contratante tiene el deber de identificar cualquier conducta que pueda llegar a tener la connotación de un conflicto de interés, producto de la concurrencia de intereses antagónicos en el contratista que presta </w:t>
      </w:r>
      <w:r w:rsidR="00543F2C" w:rsidRPr="00284526">
        <w:rPr>
          <w:rFonts w:ascii="Verdana" w:hAnsi="Verdana" w:cs="Arial"/>
          <w:color w:val="000000" w:themeColor="text1"/>
          <w:lang w:val="es-ES"/>
        </w:rPr>
        <w:t xml:space="preserve">los servicios en una y otra entidad </w:t>
      </w:r>
      <w:r w:rsidR="00D443FD" w:rsidRPr="00284526">
        <w:rPr>
          <w:rFonts w:ascii="Verdana" w:hAnsi="Verdana" w:cs="Arial"/>
          <w:color w:val="000000" w:themeColor="text1"/>
          <w:lang w:val="es-ES"/>
        </w:rPr>
        <w:t xml:space="preserve">y afecten la transparencia de las decisiones </w:t>
      </w:r>
      <w:r w:rsidR="00CC0E50" w:rsidRPr="00284526">
        <w:rPr>
          <w:rFonts w:ascii="Verdana" w:hAnsi="Verdana" w:cs="Arial"/>
          <w:color w:val="000000" w:themeColor="text1"/>
          <w:lang w:val="es-ES"/>
        </w:rPr>
        <w:t>que le competen o lo lleven a adoptar determinaciones de aprovechamiento personal, familiar o particular, en detrimento del interés público</w:t>
      </w:r>
      <w:r w:rsidR="00CC0E50" w:rsidRPr="00284526">
        <w:rPr>
          <w:rStyle w:val="Refdenotaalpie"/>
          <w:rFonts w:ascii="Verdana" w:hAnsi="Verdana" w:cs="Arial"/>
          <w:color w:val="000000" w:themeColor="text1"/>
          <w:lang w:val="es-ES"/>
        </w:rPr>
        <w:footnoteReference w:id="15"/>
      </w:r>
      <w:r w:rsidR="00FD0FB6" w:rsidRPr="00284526">
        <w:rPr>
          <w:rFonts w:ascii="Verdana" w:hAnsi="Verdana" w:cs="Arial"/>
          <w:color w:val="000000" w:themeColor="text1"/>
          <w:lang w:val="es-ES"/>
        </w:rPr>
        <w:t>.</w:t>
      </w:r>
    </w:p>
    <w:p w14:paraId="284AD572" w14:textId="77777777" w:rsidR="00F5187B" w:rsidRPr="00284526" w:rsidRDefault="00F5187B" w:rsidP="00E96047">
      <w:pPr>
        <w:widowControl w:val="0"/>
        <w:autoSpaceDE w:val="0"/>
        <w:autoSpaceDN w:val="0"/>
        <w:spacing w:after="120" w:line="276" w:lineRule="auto"/>
        <w:ind w:firstLine="709"/>
        <w:jc w:val="both"/>
        <w:rPr>
          <w:rFonts w:ascii="Verdana" w:hAnsi="Verdana" w:cs="Arial"/>
          <w:color w:val="000000" w:themeColor="text1"/>
          <w:lang w:val="es-ES_tradnl"/>
        </w:rPr>
      </w:pPr>
      <w:r w:rsidRPr="00284526">
        <w:rPr>
          <w:rFonts w:ascii="Verdana" w:eastAsia="Arial MT" w:hAnsi="Verdana" w:cs="Arial"/>
          <w:lang w:eastAsia="es-ES" w:bidi="es-ES"/>
        </w:rPr>
        <w:t xml:space="preserve">Al respecto, </w:t>
      </w:r>
      <w:bookmarkStart w:id="2" w:name="_Hlk192056166"/>
      <w:r w:rsidRPr="00284526">
        <w:rPr>
          <w:rFonts w:ascii="Verdana" w:eastAsia="Arial MT" w:hAnsi="Verdana" w:cs="Arial"/>
          <w:lang w:eastAsia="es-ES" w:bidi="es-ES"/>
        </w:rPr>
        <w:t xml:space="preserve">es importante señalar que </w:t>
      </w:r>
      <w:r w:rsidRPr="00284526">
        <w:rPr>
          <w:rFonts w:ascii="Verdana" w:hAnsi="Verdana" w:cs="Arial"/>
          <w:color w:val="000000" w:themeColor="text1"/>
          <w:lang w:val="es-ES_tradnl"/>
        </w:rPr>
        <w:t xml:space="preserve">de acuerdo con 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En desarrollo de esta directriz, </w:t>
      </w:r>
      <w:bookmarkStart w:id="3" w:name="_Hlk36672204"/>
      <w:r w:rsidRPr="00284526">
        <w:rPr>
          <w:rFonts w:ascii="Verdana" w:hAnsi="Verdana" w:cs="Arial"/>
          <w:color w:val="000000" w:themeColor="text1"/>
          <w:lang w:val="es-ES_tradnl"/>
        </w:rPr>
        <w:t xml:space="preserve">el régimen de los </w:t>
      </w:r>
      <w:r w:rsidRPr="00284526">
        <w:rPr>
          <w:rFonts w:ascii="Verdana" w:hAnsi="Verdana" w:cs="Arial"/>
          <w:i/>
          <w:iCs/>
          <w:color w:val="000000" w:themeColor="text1"/>
          <w:lang w:val="es-ES_tradnl"/>
        </w:rPr>
        <w:t>conflictos de interés</w:t>
      </w:r>
      <w:r w:rsidRPr="00284526">
        <w:rPr>
          <w:rFonts w:ascii="Verdana" w:hAnsi="Verdana" w:cs="Arial"/>
          <w:color w:val="000000" w:themeColor="text1"/>
          <w:lang w:val="es-ES_tradnl"/>
        </w:rPr>
        <w:t xml:space="preserve"> tiene como objetivo la prevalencia del bien común sobre el particular, razón por la cual se configuran cuando los servidores públicos actúan influenciados por consideraciones personales que colisionan con el deber de preservar su independencia e imparcialidad.</w:t>
      </w:r>
      <w:bookmarkEnd w:id="3"/>
    </w:p>
    <w:p w14:paraId="0B69A34E" w14:textId="77777777" w:rsidR="00E96047" w:rsidRPr="00284526" w:rsidRDefault="00E96047" w:rsidP="00E96047">
      <w:pPr>
        <w:widowControl w:val="0"/>
        <w:autoSpaceDE w:val="0"/>
        <w:autoSpaceDN w:val="0"/>
        <w:spacing w:after="120" w:line="276" w:lineRule="auto"/>
        <w:ind w:firstLine="709"/>
        <w:jc w:val="both"/>
        <w:rPr>
          <w:rFonts w:ascii="Verdana" w:hAnsi="Verdana" w:cs="Arial"/>
          <w:color w:val="000000" w:themeColor="text1"/>
          <w:lang w:val="es-ES_tradnl"/>
        </w:rPr>
      </w:pPr>
      <w:r w:rsidRPr="00284526">
        <w:rPr>
          <w:rFonts w:ascii="Verdana" w:hAnsi="Verdana" w:cs="Arial"/>
          <w:color w:val="000000" w:themeColor="text1"/>
          <w:lang w:val="es-ES"/>
        </w:rPr>
        <w:t xml:space="preserve">La institución jurídica de los conflictos de interés no está definida con carácter general en el ordenamiento jurídico y tampoco de forma precisa en las normas que regulan la contratación estatal, por lo que es un asunto ausente en el EGCAP. En todo caso, la satisfacción del principio de moralidad, el deber de probidad y rectitud también se exige a los contratistas. Al respecto, el artículo 3 de la Ley 80 de 1993 dispone que la actividad contractual del Estado se dirige tanto al cumplimiento de los fines estatales como a la continua y eficiente prestación de los servicios públicos, precisando que “Los particulares, por su parte, tendrán en cuenta al celebrar y ejecutar contratos con las entidades estatales que colaboran con ellas en el logro de sus fines y cumplen una función social que, como tal, implica obligaciones”. En concordancia con lo anterior, el numeral 2 del artículo 5 del EGCAP dispone que aquellos obrarán con lealtad y buena fe en las distintas etapas contractuales. </w:t>
      </w:r>
    </w:p>
    <w:p w14:paraId="3DB381B2" w14:textId="77777777" w:rsidR="0066340C" w:rsidRPr="00284526" w:rsidRDefault="0066340C" w:rsidP="0066340C">
      <w:pPr>
        <w:widowControl w:val="0"/>
        <w:autoSpaceDE w:val="0"/>
        <w:autoSpaceDN w:val="0"/>
        <w:spacing w:after="120" w:line="276" w:lineRule="auto"/>
        <w:ind w:firstLine="709"/>
        <w:jc w:val="both"/>
        <w:rPr>
          <w:rFonts w:ascii="Verdana" w:hAnsi="Verdana" w:cs="Arial"/>
        </w:rPr>
      </w:pPr>
      <w:r w:rsidRPr="00284526">
        <w:rPr>
          <w:rFonts w:ascii="Verdana" w:eastAsia="Arial MT" w:hAnsi="Verdana" w:cs="Arial"/>
          <w:lang w:eastAsia="es-ES" w:bidi="es-ES"/>
        </w:rPr>
        <w:lastRenderedPageBreak/>
        <w:t>Tales situaciones de conflicto de intereses suelen expresarse en prohibiciones, similar a lo que ocurre con las inhabilidades e incompatibilidades, por lo que su consagración (para los procesos competitivos tal consagración se materializa en el pliego de condiciones y en la minuta del contrato) también debe ser expresa y su interpretación restrictiva, de manera que su deducción y aplicación siempre debe estar ajustada a los presupuestos que para cada causal haya señalado el constituyente o el legislador (en el caso de las inhabilidades e incompatibilidades) y la entidad contratante (en el caso de los conflictos de intereses), dado que no es posible su aplicación extensiva o analógica.</w:t>
      </w:r>
      <w:r w:rsidRPr="00284526">
        <w:rPr>
          <w:rFonts w:ascii="Verdana" w:hAnsi="Verdana" w:cs="Arial"/>
        </w:rPr>
        <w:t xml:space="preserve"> </w:t>
      </w:r>
    </w:p>
    <w:p w14:paraId="2A836CA5" w14:textId="77777777" w:rsidR="0066340C" w:rsidRPr="00284526" w:rsidRDefault="0066340C" w:rsidP="0066340C">
      <w:pPr>
        <w:widowControl w:val="0"/>
        <w:autoSpaceDE w:val="0"/>
        <w:autoSpaceDN w:val="0"/>
        <w:spacing w:after="120" w:line="276" w:lineRule="auto"/>
        <w:ind w:firstLine="709"/>
        <w:jc w:val="both"/>
        <w:rPr>
          <w:rFonts w:ascii="Verdana" w:eastAsia="Calibri" w:hAnsi="Verdana" w:cs="Arial"/>
          <w:i/>
          <w:iCs/>
        </w:rPr>
      </w:pPr>
      <w:r w:rsidRPr="002F2B6D">
        <w:rPr>
          <w:rFonts w:ascii="Verdana" w:eastAsia="Calibri" w:hAnsi="Verdana" w:cs="Arial"/>
        </w:rPr>
        <w:tab/>
      </w:r>
      <w:r w:rsidRPr="00284526">
        <w:rPr>
          <w:rFonts w:ascii="Verdana" w:eastAsia="Calibri" w:hAnsi="Verdana" w:cs="Arial"/>
        </w:rPr>
        <w:t xml:space="preserve">Sobre la configuración de los conflictos de interés, es preciso señalar que la Sala de Consulta y Servicio Civil del Consejo de Estado claramente han admitido la inclusión de causales de conflicto de interés en los pliegos de condiciones o en los contratos de las entidades estatales, siempre y cuando estas satisfagan, entre otros requisitos, los criterios de </w:t>
      </w:r>
      <w:r w:rsidRPr="00284526">
        <w:rPr>
          <w:rFonts w:ascii="Verdana" w:eastAsia="Calibri" w:hAnsi="Verdana" w:cs="Arial"/>
          <w:i/>
          <w:iCs/>
        </w:rPr>
        <w:t xml:space="preserve">tipicidad </w:t>
      </w:r>
      <w:r w:rsidRPr="00284526">
        <w:rPr>
          <w:rFonts w:ascii="Verdana" w:eastAsia="Calibri" w:hAnsi="Verdana" w:cs="Arial"/>
        </w:rPr>
        <w:t xml:space="preserve">y </w:t>
      </w:r>
      <w:r w:rsidRPr="00284526">
        <w:rPr>
          <w:rFonts w:ascii="Verdana" w:eastAsia="Calibri" w:hAnsi="Verdana" w:cs="Arial"/>
          <w:i/>
          <w:iCs/>
        </w:rPr>
        <w:t xml:space="preserve">objetividad. </w:t>
      </w:r>
      <w:r w:rsidRPr="00284526">
        <w:rPr>
          <w:rFonts w:ascii="Verdana" w:eastAsia="Calibri" w:hAnsi="Verdana" w:cs="Arial"/>
        </w:rPr>
        <w:t xml:space="preserve">Por la relevancia de las consideraciones de dicho concepto, estas se transcriben </w:t>
      </w:r>
      <w:r w:rsidRPr="00284526">
        <w:rPr>
          <w:rFonts w:ascii="Verdana" w:eastAsia="Calibri" w:hAnsi="Verdana" w:cs="Arial"/>
          <w:i/>
          <w:iCs/>
        </w:rPr>
        <w:t>in extenso:</w:t>
      </w:r>
    </w:p>
    <w:p w14:paraId="2FB0FB0B" w14:textId="77777777" w:rsidR="000E48E8" w:rsidRPr="00284526" w:rsidRDefault="000E48E8" w:rsidP="0066340C">
      <w:pPr>
        <w:widowControl w:val="0"/>
        <w:autoSpaceDE w:val="0"/>
        <w:autoSpaceDN w:val="0"/>
        <w:spacing w:after="120" w:line="276" w:lineRule="auto"/>
        <w:ind w:firstLine="709"/>
        <w:jc w:val="both"/>
        <w:rPr>
          <w:rFonts w:ascii="Verdana" w:eastAsia="Calibri" w:hAnsi="Verdana" w:cs="Arial"/>
          <w:i/>
          <w:iCs/>
        </w:rPr>
      </w:pPr>
    </w:p>
    <w:p w14:paraId="14EF922A" w14:textId="77777777" w:rsidR="000E48E8" w:rsidRPr="00284526" w:rsidRDefault="000E48E8" w:rsidP="00C52A71">
      <w:pPr>
        <w:widowControl w:val="0"/>
        <w:autoSpaceDE w:val="0"/>
        <w:autoSpaceDN w:val="0"/>
        <w:spacing w:after="0" w:line="240" w:lineRule="auto"/>
        <w:ind w:left="709" w:right="709"/>
        <w:jc w:val="both"/>
        <w:rPr>
          <w:rFonts w:ascii="Verdana" w:eastAsia="Calibri" w:hAnsi="Verdana" w:cs="Arial"/>
          <w:sz w:val="21"/>
          <w:szCs w:val="21"/>
        </w:rPr>
      </w:pPr>
      <w:r w:rsidRPr="00284526">
        <w:rPr>
          <w:rFonts w:ascii="Verdana" w:eastAsia="Calibri" w:hAnsi="Verdana" w:cs="Arial"/>
          <w:sz w:val="21"/>
          <w:szCs w:val="21"/>
        </w:rPr>
        <w:t xml:space="preserve">Para efectos del concepto que ahora se rinde, la Sala resalta dos elementos contenidos en el texto transcrito, a saber: </w:t>
      </w:r>
      <w:r w:rsidRPr="00284526">
        <w:rPr>
          <w:rFonts w:ascii="Verdana" w:eastAsia="Calibri" w:hAnsi="Verdana" w:cs="Arial"/>
          <w:i/>
          <w:iCs/>
          <w:sz w:val="21"/>
          <w:szCs w:val="21"/>
        </w:rPr>
        <w:t>la «tipicidad» y la «objetividad»,</w:t>
      </w:r>
      <w:r w:rsidRPr="00284526">
        <w:rPr>
          <w:rFonts w:ascii="Verdana" w:eastAsia="Calibri" w:hAnsi="Verdana" w:cs="Arial"/>
          <w:sz w:val="21"/>
          <w:szCs w:val="21"/>
        </w:rPr>
        <w:t xml:space="preserve"> que deben predicarse de las causales que se establezcan en cada caso particular, para preservar y hacer eficaz la selección objetiva del contratista, como se explica a continuación.</w:t>
      </w:r>
    </w:p>
    <w:p w14:paraId="45C721E9" w14:textId="77777777" w:rsidR="000E48E8" w:rsidRPr="00284526" w:rsidRDefault="000E48E8" w:rsidP="00C52A71">
      <w:pPr>
        <w:widowControl w:val="0"/>
        <w:autoSpaceDE w:val="0"/>
        <w:autoSpaceDN w:val="0"/>
        <w:spacing w:after="0" w:line="240" w:lineRule="auto"/>
        <w:ind w:left="709" w:right="709"/>
        <w:jc w:val="both"/>
        <w:rPr>
          <w:rFonts w:ascii="Verdana" w:eastAsia="Calibri" w:hAnsi="Verdana" w:cs="Arial"/>
          <w:sz w:val="21"/>
          <w:szCs w:val="21"/>
        </w:rPr>
      </w:pPr>
      <w:r w:rsidRPr="00284526">
        <w:rPr>
          <w:rFonts w:ascii="Verdana" w:eastAsia="Calibri" w:hAnsi="Verdana" w:cs="Arial"/>
          <w:sz w:val="21"/>
          <w:szCs w:val="21"/>
        </w:rPr>
        <w:t xml:space="preserve">La «identificación de actividades incompatibles» con las obligaciones del contratista, significa jurídicamente, </w:t>
      </w:r>
      <w:r w:rsidRPr="00284526">
        <w:rPr>
          <w:rFonts w:ascii="Verdana" w:eastAsia="Calibri" w:hAnsi="Verdana" w:cs="Arial"/>
          <w:i/>
          <w:iCs/>
          <w:sz w:val="21"/>
          <w:szCs w:val="21"/>
        </w:rPr>
        <w:t>«tipificarlas», esto es, definirlas de manera concreta para derivar de ellas una consecuencia que, en el caso en estudio, tiene una naturaleza restrictiva, prohibitiva o sancionatoria</w:t>
      </w:r>
      <w:r w:rsidRPr="00284526">
        <w:rPr>
          <w:rFonts w:ascii="Verdana" w:eastAsia="Calibri" w:hAnsi="Verdana" w:cs="Arial"/>
          <w:sz w:val="21"/>
          <w:szCs w:val="21"/>
        </w:rPr>
        <w:t>.</w:t>
      </w:r>
    </w:p>
    <w:p w14:paraId="036CBA85" w14:textId="77777777" w:rsidR="000E48E8" w:rsidRPr="00284526" w:rsidRDefault="000E48E8" w:rsidP="00C52A71">
      <w:pPr>
        <w:widowControl w:val="0"/>
        <w:autoSpaceDE w:val="0"/>
        <w:autoSpaceDN w:val="0"/>
        <w:spacing w:after="0" w:line="240" w:lineRule="auto"/>
        <w:ind w:left="709" w:right="709"/>
        <w:jc w:val="both"/>
        <w:rPr>
          <w:rFonts w:ascii="Verdana" w:eastAsia="Calibri" w:hAnsi="Verdana" w:cs="Arial"/>
          <w:sz w:val="21"/>
          <w:szCs w:val="21"/>
        </w:rPr>
      </w:pPr>
      <w:r w:rsidRPr="00284526">
        <w:rPr>
          <w:rFonts w:ascii="Verdana" w:eastAsia="Calibri" w:hAnsi="Verdana" w:cs="Arial"/>
          <w:sz w:val="21"/>
          <w:szCs w:val="21"/>
        </w:rPr>
        <w:t>La «evaluación estrictamente objetiva» que debe garantizarse con las causales que se definan en un proceso contractual dado, exige, por supuesto, la «objetividad» en la determinación de las causales que se adopten.</w:t>
      </w:r>
    </w:p>
    <w:p w14:paraId="7D3C2FBE" w14:textId="77777777" w:rsidR="000E48E8" w:rsidRPr="00284526" w:rsidRDefault="000E48E8" w:rsidP="00C52A71">
      <w:pPr>
        <w:widowControl w:val="0"/>
        <w:autoSpaceDE w:val="0"/>
        <w:autoSpaceDN w:val="0"/>
        <w:spacing w:after="0" w:line="240" w:lineRule="auto"/>
        <w:ind w:left="709" w:right="709"/>
        <w:jc w:val="both"/>
        <w:rPr>
          <w:rFonts w:ascii="Verdana" w:eastAsia="Calibri" w:hAnsi="Verdana" w:cs="Arial"/>
          <w:sz w:val="21"/>
          <w:szCs w:val="21"/>
        </w:rPr>
      </w:pPr>
      <w:r w:rsidRPr="00284526">
        <w:rPr>
          <w:rFonts w:ascii="Verdana" w:eastAsia="Calibri" w:hAnsi="Verdana" w:cs="Arial"/>
          <w:sz w:val="21"/>
          <w:szCs w:val="21"/>
        </w:rPr>
        <w:t>En términos gramaticales, el vocablo «objetivo» tiene, entre sus acepciones, las de «perteneciente o relativo al objeto en sí mismo, con independencia de la propia manera de pensar o de sentir» y «que existe realmente, fuera del sujeto que lo conoce». En tanto que la palabra «subjetivo» se define como «perteneciente o relativo al sujeto, considerado en oposición al mundo externo» y «perteneciente o relativo a nuestro modo de pensar o de sentir, y no al objeto en sí mismo.</w:t>
      </w:r>
      <w:bookmarkStart w:id="4" w:name="_ftnref18"/>
      <w:r w:rsidRPr="00284526">
        <w:rPr>
          <w:rFonts w:ascii="Verdana" w:eastAsia="Calibri" w:hAnsi="Verdana" w:cs="Arial"/>
          <w:sz w:val="21"/>
          <w:szCs w:val="21"/>
        </w:rPr>
        <w:t>»</w:t>
      </w:r>
      <w:bookmarkEnd w:id="4"/>
      <w:r w:rsidRPr="00284526">
        <w:rPr>
          <w:rFonts w:ascii="Verdana" w:eastAsia="Calibri" w:hAnsi="Verdana" w:cs="Arial"/>
          <w:sz w:val="21"/>
          <w:szCs w:val="21"/>
        </w:rPr>
        <w:t xml:space="preserve"> </w:t>
      </w:r>
    </w:p>
    <w:p w14:paraId="09008B68" w14:textId="77777777" w:rsidR="000E48E8" w:rsidRPr="00284526" w:rsidRDefault="000E48E8" w:rsidP="00C52A71">
      <w:pPr>
        <w:widowControl w:val="0"/>
        <w:autoSpaceDE w:val="0"/>
        <w:autoSpaceDN w:val="0"/>
        <w:spacing w:after="0" w:line="240" w:lineRule="auto"/>
        <w:ind w:left="709" w:right="709"/>
        <w:jc w:val="both"/>
        <w:rPr>
          <w:rFonts w:ascii="Verdana" w:eastAsia="Calibri" w:hAnsi="Verdana" w:cs="Arial"/>
          <w:i/>
          <w:iCs/>
          <w:sz w:val="21"/>
          <w:szCs w:val="21"/>
        </w:rPr>
      </w:pPr>
      <w:r w:rsidRPr="00284526">
        <w:rPr>
          <w:rFonts w:ascii="Verdana" w:eastAsia="Calibri" w:hAnsi="Verdana" w:cs="Arial"/>
          <w:sz w:val="21"/>
          <w:szCs w:val="21"/>
        </w:rPr>
        <w:lastRenderedPageBreak/>
        <w:t xml:space="preserve">Siguiendo el significado gramatical de los citados términos y la exigencia legal de la objetividad en la selección de contratistas, las cláusulas o reglas que se incorporen en los pliegos de condiciones y en los contratos para regular el conflicto de intereses deben tipificar las acciones u omisiones que lo generen, en forma tal que </w:t>
      </w:r>
      <w:r w:rsidRPr="00284526">
        <w:rPr>
          <w:rFonts w:ascii="Verdana" w:eastAsia="Calibri" w:hAnsi="Verdana" w:cs="Arial"/>
          <w:i/>
          <w:iCs/>
          <w:sz w:val="21"/>
          <w:szCs w:val="21"/>
        </w:rPr>
        <w:t>los hechos o situaciones que se invoquen como causales del conflicto puedan ser evaluados en sí mismos, esto es, objetivamente, y no queden sujetos al criterio, opinión o juicio de las personas que, por distintas razones, pueden o deben intervenir en el proceso de que se trate. A lo cual ha de agregarse que esas cualidades de la regla permitirán que, desde el inicio del proceso contractual, los interesados estén en condiciones de decidir libremente su participación.</w:t>
      </w:r>
    </w:p>
    <w:p w14:paraId="74F0C029" w14:textId="77777777" w:rsidR="000E48E8" w:rsidRPr="00284526" w:rsidRDefault="000E48E8" w:rsidP="00C52A71">
      <w:pPr>
        <w:widowControl w:val="0"/>
        <w:autoSpaceDE w:val="0"/>
        <w:autoSpaceDN w:val="0"/>
        <w:spacing w:after="0" w:line="240" w:lineRule="auto"/>
        <w:ind w:left="709" w:right="709"/>
        <w:jc w:val="both"/>
        <w:rPr>
          <w:rFonts w:ascii="Verdana" w:eastAsia="Calibri" w:hAnsi="Verdana" w:cs="Arial"/>
          <w:sz w:val="21"/>
          <w:szCs w:val="21"/>
        </w:rPr>
      </w:pPr>
      <w:r w:rsidRPr="00284526">
        <w:rPr>
          <w:rFonts w:ascii="Verdana" w:eastAsia="Calibri" w:hAnsi="Verdana" w:cs="Arial"/>
          <w:sz w:val="21"/>
          <w:szCs w:val="21"/>
        </w:rPr>
        <w:t xml:space="preserve">Aplicando los anteriores criterios a la regulación del conflicto de intereses en los pliegos que rijan un determinado proceso de selección, resulta evidente la necesidad de señalar, de manera clara y precisa, las acciones u omisiones a las que se dé como efecto prohibir la participación de una persona en el proceso de que se trate. Es en razón de este efecto </w:t>
      </w:r>
      <w:r w:rsidRPr="00284526">
        <w:rPr>
          <w:rFonts w:ascii="Verdana" w:eastAsia="Calibri" w:hAnsi="Verdana" w:cs="Arial"/>
          <w:i/>
          <w:iCs/>
          <w:sz w:val="21"/>
          <w:szCs w:val="21"/>
        </w:rPr>
        <w:t>que el conflicto de intereses no puede cimentarse en definiciones ambiguas, abstractas o que permitan un margen de subjetividad en su examen</w:t>
      </w:r>
      <w:r w:rsidRPr="00284526">
        <w:rPr>
          <w:rStyle w:val="Refdenotaalpie"/>
          <w:rFonts w:ascii="Verdana" w:eastAsia="Calibri" w:hAnsi="Verdana" w:cs="Arial"/>
          <w:i/>
          <w:iCs/>
          <w:sz w:val="21"/>
          <w:szCs w:val="21"/>
        </w:rPr>
        <w:footnoteReference w:id="16"/>
      </w:r>
      <w:r w:rsidRPr="00284526">
        <w:rPr>
          <w:rFonts w:ascii="Verdana" w:eastAsia="Calibri" w:hAnsi="Verdana" w:cs="Arial"/>
          <w:sz w:val="21"/>
          <w:szCs w:val="21"/>
        </w:rPr>
        <w:t>. (Cursiva fuera del original).</w:t>
      </w:r>
    </w:p>
    <w:p w14:paraId="71E90EF4" w14:textId="77777777" w:rsidR="000E48E8" w:rsidRPr="00284526" w:rsidRDefault="000E48E8" w:rsidP="0066340C">
      <w:pPr>
        <w:widowControl w:val="0"/>
        <w:autoSpaceDE w:val="0"/>
        <w:autoSpaceDN w:val="0"/>
        <w:spacing w:after="120" w:line="276" w:lineRule="auto"/>
        <w:ind w:firstLine="709"/>
        <w:jc w:val="both"/>
        <w:rPr>
          <w:rFonts w:ascii="Verdana" w:eastAsia="Calibri" w:hAnsi="Verdana" w:cs="Arial"/>
        </w:rPr>
      </w:pPr>
    </w:p>
    <w:p w14:paraId="1B88169A" w14:textId="77777777" w:rsidR="00CF5493" w:rsidRPr="00284526" w:rsidRDefault="00CF5493" w:rsidP="00CF5493">
      <w:pPr>
        <w:widowControl w:val="0"/>
        <w:autoSpaceDE w:val="0"/>
        <w:autoSpaceDN w:val="0"/>
        <w:spacing w:after="120" w:line="276" w:lineRule="auto"/>
        <w:ind w:firstLine="709"/>
        <w:jc w:val="both"/>
        <w:rPr>
          <w:rFonts w:ascii="Verdana" w:eastAsia="Calibri" w:hAnsi="Verdana" w:cs="Arial"/>
        </w:rPr>
      </w:pPr>
      <w:r w:rsidRPr="00284526">
        <w:rPr>
          <w:rFonts w:ascii="Verdana" w:eastAsia="Calibri" w:hAnsi="Verdana" w:cs="Arial"/>
        </w:rPr>
        <w:t xml:space="preserve">De conformidad con lo anterior, es posible extraer las siguientes conclusiones en relación con la regulación de los conflictos de intereses en la contratación estatal: i) es posible que los pliegos de condiciones establezcan, si bien de forma restrictiva, conflictos de interés; ii) estos deben </w:t>
      </w:r>
      <w:r w:rsidRPr="00284526">
        <w:rPr>
          <w:rFonts w:ascii="Verdana" w:eastAsia="Calibri" w:hAnsi="Verdana" w:cs="Arial"/>
          <w:i/>
          <w:iCs/>
        </w:rPr>
        <w:t>tipificarse</w:t>
      </w:r>
      <w:r w:rsidRPr="00284526">
        <w:rPr>
          <w:rFonts w:ascii="Verdana" w:eastAsia="Calibri" w:hAnsi="Verdana" w:cs="Arial"/>
        </w:rPr>
        <w:t xml:space="preserve">, esto es, establecerse de forma expresa y concreta en los pliegos de condiciones; iii) las causales deben ser </w:t>
      </w:r>
      <w:r w:rsidRPr="00284526">
        <w:rPr>
          <w:rFonts w:ascii="Verdana" w:eastAsia="Calibri" w:hAnsi="Verdana" w:cs="Arial"/>
          <w:i/>
          <w:iCs/>
        </w:rPr>
        <w:t>objetivas</w:t>
      </w:r>
      <w:r w:rsidRPr="00284526">
        <w:rPr>
          <w:rFonts w:ascii="Verdana" w:eastAsia="Calibri" w:hAnsi="Verdana" w:cs="Arial"/>
        </w:rPr>
        <w:t xml:space="preserve">, esto es, que se describan con claridad, de manera que no resulten ambiguos dando lugar a que los intérpretes extraigan consecuencias diferentes; iv) las causales no pueden ser caprichosas, por lo que su inclusión debe justificarse en salvaguardar principios superiores, como la igualdad, la imparcialidad, la transparencia, la moralidad o la selección objetiva; v) su interpretación, al igual que las causales de inhabilidad o incompatibilidad, debe ser estricta o restrictiva; vi) solo se pueden aplicar los conflictos de interés tipificados en el pliego de condiciones, en la Constitución o en la ley, de manera que su ausencia da lugar a que se parta del principio general de la capacidad contractual del proponente o contratista, de manera que la entidad no puede </w:t>
      </w:r>
      <w:r w:rsidRPr="00284526">
        <w:rPr>
          <w:rFonts w:ascii="Verdana" w:eastAsia="Calibri" w:hAnsi="Verdana" w:cs="Arial"/>
        </w:rPr>
        <w:lastRenderedPageBreak/>
        <w:t>crear o aplicar causales que no incluyó en el pliego de condiciones</w:t>
      </w:r>
      <w:r w:rsidRPr="00284526">
        <w:rPr>
          <w:rStyle w:val="Refdenotaalpie"/>
          <w:rFonts w:ascii="Verdana" w:eastAsia="Calibri" w:hAnsi="Verdana" w:cs="Arial"/>
        </w:rPr>
        <w:footnoteReference w:id="17"/>
      </w:r>
      <w:r w:rsidRPr="00284526">
        <w:rPr>
          <w:rFonts w:ascii="Verdana" w:eastAsia="Calibri" w:hAnsi="Verdana" w:cs="Arial"/>
        </w:rPr>
        <w:t>.</w:t>
      </w:r>
    </w:p>
    <w:p w14:paraId="4ED7C845" w14:textId="77777777" w:rsidR="00CF5493" w:rsidRPr="00284526" w:rsidRDefault="00CF5493" w:rsidP="00CF5493">
      <w:pPr>
        <w:widowControl w:val="0"/>
        <w:autoSpaceDE w:val="0"/>
        <w:autoSpaceDN w:val="0"/>
        <w:spacing w:after="120" w:line="276" w:lineRule="auto"/>
        <w:ind w:firstLine="709"/>
        <w:jc w:val="both"/>
        <w:rPr>
          <w:rFonts w:ascii="Verdana" w:eastAsia="Century Gothic" w:hAnsi="Verdana" w:cs="Century Gothic"/>
          <w:bCs/>
        </w:rPr>
      </w:pPr>
      <w:r w:rsidRPr="00284526">
        <w:rPr>
          <w:rFonts w:ascii="Verdana" w:eastAsia="Calibri" w:hAnsi="Verdana" w:cs="Arial"/>
        </w:rPr>
        <w:t>En este sentido,</w:t>
      </w:r>
      <w:r w:rsidRPr="00284526">
        <w:rPr>
          <w:rFonts w:ascii="Verdana" w:eastAsia="Calibri" w:hAnsi="Verdana" w:cs="Arial"/>
          <w:color w:val="000000" w:themeColor="text1"/>
          <w:lang w:val="es-ES_tradnl"/>
        </w:rPr>
        <w:t xml:space="preserve"> solo es posible aplicar las causales de conflicto de interés que se encuentre tipificadas y que expresamente se hayan establecido en el pliego de condiciones o estudios previos. De esta manera, </w:t>
      </w:r>
      <w:r w:rsidRPr="00284526">
        <w:rPr>
          <w:rFonts w:ascii="Verdana" w:eastAsia="Century Gothic" w:hAnsi="Verdana" w:cs="Century Gothic"/>
          <w:bCs/>
        </w:rPr>
        <w:t xml:space="preserve">corresponde a las Entidades Estatales, al verificar la capacidad jurídica de las personas con quienes pretenden suscribir contratos, determinar en cada caso concreto si se configura algún conflicto de interés de acuerdo con las causales que haya tipificado en el pliego de condiciones o en el contrato. Por tanto, la conclusión aquí expuesta no remplaza el deber de verificación de las Entidades Estatales, ni puede ser tomada como un juicio de valor sobre alguna situación de orden particular. </w:t>
      </w:r>
    </w:p>
    <w:p w14:paraId="472ACCFE" w14:textId="77777777" w:rsidR="00CF5493" w:rsidRPr="00284526" w:rsidRDefault="00CF5493" w:rsidP="00CF5493">
      <w:pPr>
        <w:widowControl w:val="0"/>
        <w:autoSpaceDE w:val="0"/>
        <w:autoSpaceDN w:val="0"/>
        <w:spacing w:after="120" w:line="276" w:lineRule="auto"/>
        <w:ind w:firstLine="709"/>
        <w:jc w:val="both"/>
        <w:rPr>
          <w:rFonts w:ascii="Verdana" w:eastAsia="Arial MT" w:hAnsi="Verdana" w:cs="Arial"/>
          <w:i/>
          <w:iCs/>
          <w:lang w:eastAsia="es-ES" w:bidi="es-ES"/>
        </w:rPr>
      </w:pPr>
      <w:r w:rsidRPr="00284526">
        <w:rPr>
          <w:rFonts w:ascii="Verdana" w:eastAsia="Arial MT" w:hAnsi="Verdana" w:cs="Arial"/>
          <w:lang w:eastAsia="es-ES" w:bidi="es-ES"/>
        </w:rPr>
        <w:t xml:space="preserve">En conclusión, no existe causal de inhabilidad o incompatibilidad que prohíba la celebración de dos o más contratos de prestación de servicios con diferentes entidades estatales, ni se restringe la capacidad jurídica del contratista cuando </w:t>
      </w:r>
      <w:r w:rsidRPr="00284526">
        <w:rPr>
          <w:rFonts w:ascii="Verdana" w:hAnsi="Verdana"/>
        </w:rPr>
        <w:t>las actividades que desempeña en una de ellas se desprenden de un convenio suscrito entre las entidades estatales contratantes</w:t>
      </w:r>
      <w:r w:rsidRPr="00284526">
        <w:rPr>
          <w:rFonts w:ascii="Verdana" w:eastAsia="Arial MT" w:hAnsi="Verdana" w:cs="Arial"/>
          <w:lang w:eastAsia="es-ES" w:bidi="es-ES"/>
        </w:rPr>
        <w:t>. Sin embargo, la entidad contratante deberá identificar cualquier conducta que pueda llegar a tener la connotación de un conflicto de interés, producto de la concurrencia de intereses antagónicos en el contratista que prestas sus servicios en una y otra entidad y que afecten la transparencia de las decisiones que le competen o lo lleven a adoptar determinaciones de aprovechamiento personal, familiar o particular, en detrimento del interés público. En estos casos, es necesario que el conflicto de interés satisfaga los requisitos de</w:t>
      </w:r>
      <w:r w:rsidRPr="00284526">
        <w:rPr>
          <w:rFonts w:ascii="Verdana" w:eastAsia="Arial MT" w:hAnsi="Verdana" w:cs="Arial"/>
          <w:i/>
          <w:iCs/>
          <w:lang w:eastAsia="es-ES" w:bidi="es-ES"/>
        </w:rPr>
        <w:t xml:space="preserve"> tipicidad</w:t>
      </w:r>
      <w:r w:rsidRPr="00284526">
        <w:rPr>
          <w:rFonts w:ascii="Verdana" w:eastAsia="Arial MT" w:hAnsi="Verdana" w:cs="Arial"/>
          <w:lang w:eastAsia="es-ES" w:bidi="es-ES"/>
        </w:rPr>
        <w:t xml:space="preserve"> y </w:t>
      </w:r>
      <w:r w:rsidRPr="00284526">
        <w:rPr>
          <w:rFonts w:ascii="Verdana" w:eastAsia="Arial MT" w:hAnsi="Verdana" w:cs="Arial"/>
          <w:i/>
          <w:iCs/>
          <w:lang w:eastAsia="es-ES" w:bidi="es-ES"/>
        </w:rPr>
        <w:t xml:space="preserve">objetividad. </w:t>
      </w:r>
    </w:p>
    <w:p w14:paraId="5B94CF34" w14:textId="77777777" w:rsidR="008D3042" w:rsidRPr="00284526" w:rsidRDefault="008D3042" w:rsidP="008D3042">
      <w:pPr>
        <w:spacing w:after="120" w:line="276" w:lineRule="auto"/>
        <w:ind w:firstLine="708"/>
        <w:jc w:val="both"/>
        <w:rPr>
          <w:rFonts w:ascii="Verdana" w:eastAsia="Times New Roman" w:hAnsi="Verdana" w:cs="Times New Roman"/>
          <w:lang w:eastAsia="es-ES"/>
        </w:rPr>
      </w:pPr>
      <w:bookmarkStart w:id="5" w:name="_Hlk102983874"/>
      <w:bookmarkStart w:id="6" w:name="_Hlk102388095"/>
      <w:r w:rsidRPr="00284526">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284526">
        <w:rPr>
          <w:rFonts w:ascii="Verdana" w:eastAsia="Times New Roman" w:hAnsi="Verdana" w:cs="Times New Roman"/>
          <w:lang w:eastAsia="es-ES"/>
        </w:rPr>
        <w:t xml:space="preserve">En otras palabras, los conceptos de esta Agencia tienen como objeto la </w:t>
      </w:r>
      <w:r w:rsidRPr="00284526">
        <w:rPr>
          <w:rFonts w:ascii="Verdana" w:eastAsia="Times New Roman" w:hAnsi="Verdana" w:cs="Times New Roman"/>
          <w:lang w:eastAsia="es-ES"/>
        </w:rPr>
        <w:lastRenderedPageBreak/>
        <w:t>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5"/>
      <w:bookmarkEnd w:id="6"/>
    </w:p>
    <w:p w14:paraId="3FDA56A5" w14:textId="77777777" w:rsidR="005F16CC" w:rsidRPr="00284526" w:rsidRDefault="005F16CC" w:rsidP="008D3042">
      <w:pPr>
        <w:widowControl w:val="0"/>
        <w:autoSpaceDE w:val="0"/>
        <w:autoSpaceDN w:val="0"/>
        <w:spacing w:after="120" w:line="276" w:lineRule="auto"/>
        <w:jc w:val="both"/>
        <w:rPr>
          <w:rFonts w:ascii="Verdana" w:eastAsia="Arial MT" w:hAnsi="Verdana" w:cs="Arial"/>
          <w:i/>
          <w:iCs/>
          <w:lang w:eastAsia="es-ES" w:bidi="es-ES"/>
        </w:rPr>
      </w:pPr>
    </w:p>
    <w:p w14:paraId="42D09C71" w14:textId="7019057E" w:rsidR="005F16CC" w:rsidRPr="00284526" w:rsidRDefault="005F16CC" w:rsidP="001C4916">
      <w:pPr>
        <w:widowControl w:val="0"/>
        <w:autoSpaceDE w:val="0"/>
        <w:autoSpaceDN w:val="0"/>
        <w:spacing w:after="360" w:line="276" w:lineRule="auto"/>
        <w:jc w:val="both"/>
        <w:rPr>
          <w:rFonts w:ascii="Verdana" w:eastAsia="Arial MT" w:hAnsi="Verdana" w:cs="Arial"/>
          <w:b/>
          <w:bCs/>
          <w:lang w:eastAsia="es-ES" w:bidi="es-ES"/>
        </w:rPr>
      </w:pPr>
      <w:r w:rsidRPr="00284526">
        <w:rPr>
          <w:rFonts w:ascii="Verdana" w:eastAsia="Arial MT" w:hAnsi="Verdana" w:cs="Arial"/>
          <w:b/>
          <w:bCs/>
          <w:lang w:eastAsia="es-ES" w:bidi="es-ES"/>
        </w:rPr>
        <w:t xml:space="preserve">4. Referencias normativas y jurisprudenciales y otras fuentes: </w:t>
      </w:r>
    </w:p>
    <w:p w14:paraId="56DABA44" w14:textId="77777777" w:rsidR="00316A39" w:rsidRPr="00284526" w:rsidRDefault="00316A39" w:rsidP="00316A39">
      <w:pPr>
        <w:numPr>
          <w:ilvl w:val="0"/>
          <w:numId w:val="17"/>
        </w:numPr>
        <w:pBdr>
          <w:top w:val="single" w:sz="4" w:space="1" w:color="auto"/>
          <w:left w:val="single" w:sz="4" w:space="4" w:color="auto"/>
          <w:bottom w:val="single" w:sz="4" w:space="1" w:color="auto"/>
          <w:right w:val="single" w:sz="4" w:space="4" w:color="auto"/>
        </w:pBdr>
        <w:spacing w:line="256" w:lineRule="auto"/>
        <w:contextualSpacing/>
        <w:jc w:val="both"/>
        <w:rPr>
          <w:rFonts w:ascii="Verdana" w:hAnsi="Verdana" w:cs="Arial"/>
          <w:lang w:val="es-ES_tradnl"/>
        </w:rPr>
      </w:pPr>
      <w:r w:rsidRPr="00284526">
        <w:rPr>
          <w:rFonts w:ascii="Verdana" w:hAnsi="Verdana" w:cs="Arial"/>
          <w:lang w:val="es-ES_tradnl"/>
        </w:rPr>
        <w:t>Ley 80 de 1993, artículos 3, 6 y 8</w:t>
      </w:r>
    </w:p>
    <w:p w14:paraId="2028A1F0" w14:textId="77777777" w:rsidR="00316A39" w:rsidRPr="00284526" w:rsidRDefault="00316A39" w:rsidP="00316A39">
      <w:pPr>
        <w:numPr>
          <w:ilvl w:val="0"/>
          <w:numId w:val="17"/>
        </w:numPr>
        <w:pBdr>
          <w:top w:val="single" w:sz="4" w:space="1" w:color="auto"/>
          <w:left w:val="single" w:sz="4" w:space="4" w:color="auto"/>
          <w:bottom w:val="single" w:sz="4" w:space="1" w:color="auto"/>
          <w:right w:val="single" w:sz="4" w:space="4" w:color="auto"/>
        </w:pBdr>
        <w:spacing w:line="256" w:lineRule="auto"/>
        <w:contextualSpacing/>
        <w:jc w:val="both"/>
        <w:rPr>
          <w:rFonts w:ascii="Verdana" w:hAnsi="Verdana" w:cs="Arial"/>
          <w:lang w:val="es-ES_tradnl"/>
        </w:rPr>
      </w:pPr>
      <w:r w:rsidRPr="00284526">
        <w:rPr>
          <w:rFonts w:ascii="Verdana" w:hAnsi="Verdana" w:cs="Arial"/>
          <w:lang w:val="es-ES_tradnl"/>
        </w:rPr>
        <w:t>Código Civil, artículo 1502</w:t>
      </w:r>
    </w:p>
    <w:p w14:paraId="51D948DB" w14:textId="77777777" w:rsidR="00316A39" w:rsidRPr="00284526" w:rsidRDefault="00316A39" w:rsidP="00316A39">
      <w:pPr>
        <w:numPr>
          <w:ilvl w:val="0"/>
          <w:numId w:val="17"/>
        </w:numPr>
        <w:pBdr>
          <w:top w:val="single" w:sz="4" w:space="1" w:color="auto"/>
          <w:left w:val="single" w:sz="4" w:space="4" w:color="auto"/>
          <w:bottom w:val="single" w:sz="4" w:space="1" w:color="auto"/>
          <w:right w:val="single" w:sz="4" w:space="4" w:color="auto"/>
        </w:pBdr>
        <w:spacing w:line="256" w:lineRule="auto"/>
        <w:contextualSpacing/>
        <w:jc w:val="both"/>
        <w:rPr>
          <w:rFonts w:ascii="Verdana" w:hAnsi="Verdana" w:cs="Arial"/>
          <w:lang w:val="es-ES_tradnl"/>
        </w:rPr>
      </w:pPr>
      <w:r w:rsidRPr="00284526">
        <w:rPr>
          <w:rFonts w:ascii="Verdana" w:hAnsi="Verdana" w:cs="Arial"/>
          <w:lang w:val="es-ES_tradnl"/>
        </w:rPr>
        <w:t>Corte Constitucional. Sentencia T-1039 de 2006 Magistrado Ponente: Humberto Sierra Porto</w:t>
      </w:r>
    </w:p>
    <w:p w14:paraId="17CCDD24" w14:textId="77777777" w:rsidR="00316A39" w:rsidRPr="00284526" w:rsidRDefault="00316A39" w:rsidP="67393D2E">
      <w:pPr>
        <w:numPr>
          <w:ilvl w:val="0"/>
          <w:numId w:val="17"/>
        </w:numPr>
        <w:pBdr>
          <w:top w:val="single" w:sz="4" w:space="1" w:color="auto"/>
          <w:left w:val="single" w:sz="4" w:space="4" w:color="auto"/>
          <w:bottom w:val="single" w:sz="4" w:space="1" w:color="auto"/>
          <w:right w:val="single" w:sz="4" w:space="4" w:color="auto"/>
        </w:pBdr>
        <w:spacing w:line="256" w:lineRule="auto"/>
        <w:contextualSpacing/>
        <w:jc w:val="both"/>
        <w:rPr>
          <w:rFonts w:ascii="Verdana" w:hAnsi="Verdana" w:cs="Arial"/>
          <w:lang w:val="es-ES"/>
        </w:rPr>
      </w:pPr>
      <w:r w:rsidRPr="00284526">
        <w:rPr>
          <w:rFonts w:ascii="Verdana" w:hAnsi="Verdana" w:cs="Arial"/>
          <w:lang w:val="es-ES"/>
        </w:rPr>
        <w:t>Consejo de Estado. Sala de Consulta y Servicio Civil. Concepto del 30 de abril de 2015. Expediente: 2251. Consejero Ponente: Álvaro Namén Vargas</w:t>
      </w:r>
    </w:p>
    <w:p w14:paraId="511E6CA2" w14:textId="77777777" w:rsidR="00316A39" w:rsidRPr="00284526" w:rsidRDefault="00316A39" w:rsidP="67393D2E">
      <w:pPr>
        <w:numPr>
          <w:ilvl w:val="0"/>
          <w:numId w:val="17"/>
        </w:numPr>
        <w:pBdr>
          <w:top w:val="single" w:sz="4" w:space="1" w:color="auto"/>
          <w:left w:val="single" w:sz="4" w:space="4" w:color="auto"/>
          <w:bottom w:val="single" w:sz="4" w:space="1" w:color="auto"/>
          <w:right w:val="single" w:sz="4" w:space="4" w:color="auto"/>
        </w:pBdr>
        <w:spacing w:line="256" w:lineRule="auto"/>
        <w:contextualSpacing/>
        <w:jc w:val="both"/>
        <w:rPr>
          <w:rFonts w:ascii="Verdana" w:hAnsi="Verdana" w:cs="Arial"/>
          <w:lang w:val="es-ES"/>
        </w:rPr>
      </w:pPr>
      <w:r w:rsidRPr="00284526">
        <w:rPr>
          <w:rFonts w:ascii="Verdana" w:hAnsi="Verdana" w:cs="Arial"/>
          <w:lang w:val="es-ES"/>
        </w:rPr>
        <w:t>Consejo de Estado. Sección Tercera. Subsección A. Sentencia del 24 de junio de 2015. Exp. 40.635. Consejero Ponente: Hernán Andrade Rincón (E).</w:t>
      </w:r>
    </w:p>
    <w:p w14:paraId="5C1294B2" w14:textId="22AA6695" w:rsidR="00F5187B" w:rsidRPr="00284526" w:rsidRDefault="00316A39" w:rsidP="67393D2E">
      <w:pPr>
        <w:numPr>
          <w:ilvl w:val="0"/>
          <w:numId w:val="17"/>
        </w:numPr>
        <w:pBdr>
          <w:top w:val="single" w:sz="4" w:space="1" w:color="auto"/>
          <w:left w:val="single" w:sz="4" w:space="4" w:color="auto"/>
          <w:bottom w:val="single" w:sz="4" w:space="1" w:color="auto"/>
          <w:right w:val="single" w:sz="4" w:space="4" w:color="auto"/>
        </w:pBdr>
        <w:spacing w:line="256" w:lineRule="auto"/>
        <w:contextualSpacing/>
        <w:jc w:val="both"/>
        <w:rPr>
          <w:rFonts w:ascii="Verdana" w:hAnsi="Verdana" w:cs="Arial"/>
          <w:lang w:val="es-ES"/>
        </w:rPr>
      </w:pPr>
      <w:r w:rsidRPr="00284526">
        <w:rPr>
          <w:rFonts w:ascii="Verdana" w:hAnsi="Verdana" w:cs="Arial"/>
          <w:lang w:val="es-ES"/>
        </w:rPr>
        <w:t>Consejo de Estado. Sección Tercera. Subsección C. Sentencia del 22 de mayo de 2013. Exp. 24.057. Consejera Ponente: Olga Melida Valle De De La Hoz.</w:t>
      </w:r>
    </w:p>
    <w:bookmarkEnd w:id="2"/>
    <w:p w14:paraId="03F71B59" w14:textId="77777777" w:rsidR="00FD0FB6" w:rsidRPr="00284526" w:rsidRDefault="00FD0FB6" w:rsidP="00F5187B">
      <w:pPr>
        <w:spacing w:after="120" w:line="276" w:lineRule="auto"/>
        <w:ind w:firstLine="709"/>
        <w:jc w:val="both"/>
        <w:rPr>
          <w:rFonts w:ascii="Verdana" w:hAnsi="Verdana" w:cs="Arial"/>
          <w:b/>
          <w:bCs/>
          <w:color w:val="000000" w:themeColor="text1"/>
          <w:lang w:val="es-ES_tradnl"/>
        </w:rPr>
      </w:pPr>
    </w:p>
    <w:p w14:paraId="1433DDBC" w14:textId="65C60CBC" w:rsidR="00316A39" w:rsidRPr="00284526" w:rsidRDefault="00316A39" w:rsidP="00E37E10">
      <w:pPr>
        <w:spacing w:after="240" w:line="276" w:lineRule="auto"/>
        <w:jc w:val="both"/>
        <w:rPr>
          <w:rFonts w:ascii="Verdana" w:eastAsia="Arial MT" w:hAnsi="Verdana" w:cs="Arial"/>
          <w:b/>
          <w:bCs/>
          <w:lang w:val="es-ES" w:eastAsia="es-ES" w:bidi="es-ES"/>
        </w:rPr>
      </w:pPr>
      <w:r w:rsidRPr="00284526">
        <w:rPr>
          <w:rFonts w:ascii="Verdana" w:eastAsia="Arial MT" w:hAnsi="Verdana" w:cs="Arial"/>
          <w:b/>
          <w:bCs/>
          <w:lang w:val="es-ES" w:eastAsia="es-ES" w:bidi="es-ES"/>
        </w:rPr>
        <w:t xml:space="preserve">5. Doctrina de la Agencia Nacional de Contratación Pública: </w:t>
      </w:r>
    </w:p>
    <w:p w14:paraId="721BADE5" w14:textId="3CF98C3B" w:rsidR="00E37E10" w:rsidRPr="00284526" w:rsidRDefault="00E37E10" w:rsidP="00E37E10">
      <w:pPr>
        <w:widowControl w:val="0"/>
        <w:autoSpaceDE w:val="0"/>
        <w:autoSpaceDN w:val="0"/>
        <w:spacing w:after="120" w:line="276" w:lineRule="auto"/>
        <w:jc w:val="both"/>
        <w:rPr>
          <w:rFonts w:ascii="Verdana" w:hAnsi="Verdana" w:cs="Arial"/>
        </w:rPr>
      </w:pPr>
      <w:r w:rsidRPr="00284526">
        <w:rPr>
          <w:rFonts w:ascii="Verdana" w:eastAsia="Calibri" w:hAnsi="Verdana" w:cs="Arial"/>
          <w:lang w:val="es-ES_tradnl" w:eastAsia="es-ES_tradnl"/>
        </w:rPr>
        <w:t xml:space="preserve">Sobre el régimen de inhabilidades e incompatibilidades se pronunció esta Subdirección en los conceptos </w:t>
      </w:r>
      <w:r w:rsidRPr="00284526">
        <w:rPr>
          <w:rFonts w:ascii="Verdana" w:eastAsia="Calibri" w:hAnsi="Verdana" w:cs="Arial"/>
          <w:lang w:val="es-MX"/>
        </w:rPr>
        <w:t xml:space="preserve">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2021, C−128 del 25 de marzo de 2022, C−252 del 3 de mayo de 2022, C−376 del 14 de junio de </w:t>
      </w:r>
      <w:r w:rsidRPr="00284526">
        <w:rPr>
          <w:rFonts w:ascii="Verdana" w:eastAsia="Calibri" w:hAnsi="Verdana" w:cs="Arial"/>
          <w:lang w:val="es-MX"/>
        </w:rPr>
        <w:lastRenderedPageBreak/>
        <w:t>2022, C−413 del 24 de junio de 2022, C−691 del 20 de octubre de 2022, C−731 del 10 de noviembre de 2022, C−928 del 26 de enero de 2023, C−126 del 24 de abril de 2023, C−175 del 4 de mayo de 2023, C−234 del 5 de julio de 2023, C−010 del 31 de enero de 2024</w:t>
      </w:r>
      <w:r w:rsidR="006F1F28" w:rsidRPr="00284526">
        <w:rPr>
          <w:rFonts w:ascii="Verdana" w:eastAsia="Calibri" w:hAnsi="Verdana" w:cs="Arial"/>
          <w:lang w:val="es-MX"/>
        </w:rPr>
        <w:t>,</w:t>
      </w:r>
      <w:r w:rsidRPr="00284526">
        <w:rPr>
          <w:rFonts w:ascii="Verdana" w:eastAsia="Calibri" w:hAnsi="Verdana" w:cs="Arial"/>
          <w:lang w:val="es-MX"/>
        </w:rPr>
        <w:t xml:space="preserve"> C-039 del 23 de abril de 2024</w:t>
      </w:r>
      <w:r w:rsidR="006F1F28" w:rsidRPr="00284526">
        <w:rPr>
          <w:rFonts w:ascii="Verdana" w:eastAsia="Calibri" w:hAnsi="Verdana" w:cs="Arial"/>
          <w:lang w:val="es-MX"/>
        </w:rPr>
        <w:t xml:space="preserve"> y C-085 del 3 de marzo de 2025</w:t>
      </w:r>
      <w:r w:rsidRPr="00284526">
        <w:rPr>
          <w:rFonts w:ascii="Verdana" w:hAnsi="Verdana" w:cs="Arial"/>
        </w:rPr>
        <w:t>. También se ha pronunciado sobre el conflicto de interés en los conceptos C-229 del 16 de abril de 2020, C-815 del 18 de febrero de 2021, C-449 del 31 de agosto de 2021, C-288 del 14 de julio de 2023, C-651 del 22 de octubre de 2024, C-680 del 15 de noviembre de 2024, C-693 del 19 de noviembre de 2024 y C-839 del 13 de diciembre de 2024</w:t>
      </w:r>
      <w:r w:rsidRPr="00284526">
        <w:rPr>
          <w:rFonts w:ascii="Verdana" w:hAnsi="Verdana" w:cs="Arial"/>
          <w:shd w:val="clear" w:color="auto" w:fill="FFFFFF"/>
          <w:lang w:val="es-ES"/>
        </w:rPr>
        <w:t>. Es</w:t>
      </w:r>
      <w:r w:rsidRPr="00284526">
        <w:rPr>
          <w:rFonts w:ascii="Verdana" w:hAnsi="Verdana"/>
        </w:rPr>
        <w:t>tos y otros conceptos se encuentran disponibles para consulta en el Sistema de relatoría de la Agencia, al cual se puede acceder a través del siguiente enlace:</w:t>
      </w:r>
      <w:r w:rsidRPr="00284526">
        <w:rPr>
          <w:rFonts w:ascii="Verdana" w:hAnsi="Verdana" w:cs="Arial"/>
          <w:shd w:val="clear" w:color="auto" w:fill="FFFFFF"/>
          <w:lang w:val="es-ES"/>
        </w:rPr>
        <w:t xml:space="preserve"> </w:t>
      </w:r>
      <w:hyperlink r:id="rId13" w:history="1">
        <w:r w:rsidRPr="00284526">
          <w:rPr>
            <w:rFonts w:ascii="Verdana" w:hAnsi="Verdana" w:cs="Arial"/>
            <w:color w:val="0563C1" w:themeColor="hyperlink"/>
            <w:u w:val="single"/>
            <w:shd w:val="clear" w:color="auto" w:fill="FFFFFF"/>
            <w:lang w:val="es-ES"/>
          </w:rPr>
          <w:t>https://relatoria.colombiacompra.gov.co/busqueda/conceptos</w:t>
        </w:r>
      </w:hyperlink>
      <w:r w:rsidRPr="00284526">
        <w:rPr>
          <w:rFonts w:ascii="Verdana" w:hAnsi="Verdana" w:cs="Arial"/>
          <w:shd w:val="clear" w:color="auto" w:fill="FFFFFF"/>
          <w:lang w:val="es-ES"/>
        </w:rPr>
        <w:t>.</w:t>
      </w:r>
      <w:r w:rsidRPr="00284526">
        <w:rPr>
          <w:rFonts w:ascii="Verdana" w:hAnsi="Verdana" w:cs="Arial"/>
          <w:color w:val="FF0000"/>
          <w:shd w:val="clear" w:color="auto" w:fill="FFFFFF"/>
          <w:lang w:val="es-ES"/>
        </w:rPr>
        <w:t xml:space="preserve"> </w:t>
      </w:r>
      <w:r w:rsidRPr="00284526">
        <w:rPr>
          <w:rFonts w:ascii="Verdana" w:hAnsi="Verdana" w:cs="Arial"/>
          <w:color w:val="000000" w:themeColor="text1"/>
          <w:shd w:val="clear" w:color="auto" w:fill="FFFFFF"/>
        </w:rPr>
        <w:t>  </w:t>
      </w:r>
    </w:p>
    <w:p w14:paraId="12DF928A" w14:textId="77777777" w:rsidR="00316A39" w:rsidRPr="00284526" w:rsidRDefault="00316A39" w:rsidP="00316A39">
      <w:pPr>
        <w:spacing w:after="120" w:line="276" w:lineRule="auto"/>
        <w:jc w:val="both"/>
        <w:rPr>
          <w:rFonts w:ascii="Verdana" w:eastAsia="Arial MT" w:hAnsi="Verdana" w:cs="Arial"/>
          <w:lang w:eastAsia="es-ES" w:bidi="es-ES"/>
        </w:rPr>
      </w:pPr>
    </w:p>
    <w:p w14:paraId="4790D4BD" w14:textId="3CFEDBA8" w:rsidR="00BE5E27" w:rsidRPr="00284526" w:rsidRDefault="00BE5E27" w:rsidP="00BE5E27">
      <w:pPr>
        <w:spacing w:after="0"/>
        <w:jc w:val="both"/>
        <w:rPr>
          <w:rFonts w:ascii="Verdana" w:hAnsi="Verdana" w:cs="Arial"/>
          <w:shd w:val="clear" w:color="auto" w:fill="FFFFFF"/>
        </w:rPr>
      </w:pPr>
      <w:r w:rsidRPr="00284526">
        <w:rPr>
          <w:rFonts w:ascii="Verdana" w:hAnsi="Verdana" w:cs="Arial"/>
          <w:shd w:val="clear" w:color="auto" w:fill="FFFFFF"/>
        </w:rPr>
        <w:t xml:space="preserve">Por último, lo invitamos a seguirnos en las redes sociales en las cuales se difunde información institucional: </w:t>
      </w:r>
    </w:p>
    <w:p w14:paraId="1A3E2F61" w14:textId="77777777" w:rsidR="00BE5E27" w:rsidRPr="00284526" w:rsidRDefault="00BE5E27" w:rsidP="00BE5E27">
      <w:pPr>
        <w:spacing w:after="0"/>
        <w:jc w:val="both"/>
        <w:rPr>
          <w:rFonts w:ascii="Verdana" w:hAnsi="Verdana" w:cs="Arial"/>
          <w:shd w:val="clear" w:color="auto" w:fill="FFFFFF"/>
        </w:rPr>
      </w:pPr>
    </w:p>
    <w:p w14:paraId="5EAC521C" w14:textId="5BD71B59" w:rsidR="00BE5E27" w:rsidRPr="00284526" w:rsidRDefault="00BE5E27" w:rsidP="00BE5E27">
      <w:pPr>
        <w:spacing w:after="0"/>
        <w:jc w:val="both"/>
        <w:rPr>
          <w:rFonts w:ascii="Verdana" w:hAnsi="Verdana" w:cs="Arial"/>
          <w:shd w:val="clear" w:color="auto" w:fill="FFFFFF"/>
        </w:rPr>
      </w:pPr>
      <w:r w:rsidRPr="00284526">
        <w:rPr>
          <w:rFonts w:ascii="Verdana" w:hAnsi="Verdana" w:cs="Arial"/>
          <w:shd w:val="clear" w:color="auto" w:fill="FFFFFF"/>
        </w:rPr>
        <w:t xml:space="preserve">Twitter: </w:t>
      </w:r>
      <w:r w:rsidRPr="00284526">
        <w:rPr>
          <w:rStyle w:val="Hipervnculo"/>
          <w:rFonts w:ascii="Verdana" w:hAnsi="Verdana"/>
          <w:lang w:val="es-ES"/>
        </w:rPr>
        <w:t xml:space="preserve">@colombiacompra </w:t>
      </w:r>
    </w:p>
    <w:p w14:paraId="13D6ED04" w14:textId="7A095DDC" w:rsidR="00BE5E27" w:rsidRPr="00284526" w:rsidRDefault="00BE5E27" w:rsidP="00BE5E27">
      <w:pPr>
        <w:spacing w:after="0"/>
        <w:jc w:val="both"/>
        <w:rPr>
          <w:rFonts w:ascii="Verdana" w:hAnsi="Verdana" w:cs="Arial"/>
          <w:shd w:val="clear" w:color="auto" w:fill="FFFFFF"/>
        </w:rPr>
      </w:pPr>
      <w:r w:rsidRPr="00284526">
        <w:rPr>
          <w:rFonts w:ascii="Verdana" w:hAnsi="Verdana" w:cs="Arial"/>
          <w:shd w:val="clear" w:color="auto" w:fill="FFFFFF"/>
        </w:rPr>
        <w:t>Facebook:</w:t>
      </w:r>
      <w:r w:rsidRPr="00284526">
        <w:rPr>
          <w:rStyle w:val="Hipervnculo"/>
          <w:rFonts w:ascii="Verdana" w:hAnsi="Verdana"/>
          <w:color w:val="auto"/>
          <w:lang w:val="es-ES"/>
        </w:rPr>
        <w:t xml:space="preserve"> </w:t>
      </w:r>
      <w:proofErr w:type="spellStart"/>
      <w:r w:rsidRPr="00284526">
        <w:rPr>
          <w:rStyle w:val="Hipervnculo"/>
          <w:rFonts w:ascii="Verdana" w:hAnsi="Verdana"/>
          <w:lang w:val="es-ES"/>
        </w:rPr>
        <w:t>ColombiaCompraEficiente</w:t>
      </w:r>
      <w:proofErr w:type="spellEnd"/>
    </w:p>
    <w:p w14:paraId="374F7B0F" w14:textId="77777777" w:rsidR="00BE5E27" w:rsidRPr="00284526" w:rsidRDefault="00BE5E27" w:rsidP="00BE5E27">
      <w:pPr>
        <w:spacing w:after="0"/>
        <w:jc w:val="both"/>
        <w:rPr>
          <w:rFonts w:ascii="Verdana" w:hAnsi="Verdana" w:cs="Arial"/>
          <w:color w:val="0000FF"/>
          <w:shd w:val="clear" w:color="auto" w:fill="FFFFFF"/>
        </w:rPr>
      </w:pPr>
      <w:r w:rsidRPr="00284526">
        <w:rPr>
          <w:rFonts w:ascii="Verdana" w:hAnsi="Verdana" w:cs="Arial"/>
          <w:shd w:val="clear" w:color="auto" w:fill="FFFFFF"/>
        </w:rPr>
        <w:t xml:space="preserve">LinkedIn: </w:t>
      </w:r>
      <w:r w:rsidRPr="00284526">
        <w:rPr>
          <w:rStyle w:val="Hipervnculo"/>
          <w:rFonts w:ascii="Verdana" w:hAnsi="Verdana"/>
          <w:lang w:val="es-ES"/>
        </w:rPr>
        <w:t>Agencia Nacional de Contratación Pública - Colombia Compra Eficiente</w:t>
      </w:r>
      <w:r w:rsidRPr="00284526">
        <w:rPr>
          <w:rFonts w:ascii="Verdana" w:hAnsi="Verdana" w:cs="Arial"/>
          <w:color w:val="0000FF"/>
          <w:shd w:val="clear" w:color="auto" w:fill="FFFFFF"/>
        </w:rPr>
        <w:t xml:space="preserve"> </w:t>
      </w:r>
    </w:p>
    <w:p w14:paraId="7F30C8A9" w14:textId="2AB62025" w:rsidR="00BE5E27" w:rsidRPr="00284526" w:rsidRDefault="00BE5E27" w:rsidP="00BE5E27">
      <w:pPr>
        <w:spacing w:after="0"/>
        <w:jc w:val="both"/>
        <w:rPr>
          <w:rFonts w:ascii="Verdana" w:hAnsi="Verdana" w:cs="Arial"/>
          <w:shd w:val="clear" w:color="auto" w:fill="FFFFFF"/>
        </w:rPr>
      </w:pPr>
      <w:r w:rsidRPr="00284526">
        <w:rPr>
          <w:rFonts w:ascii="Verdana" w:hAnsi="Verdana" w:cs="Arial"/>
          <w:shd w:val="clear" w:color="auto" w:fill="FFFFFF"/>
        </w:rPr>
        <w:t xml:space="preserve">Instagram: </w:t>
      </w:r>
      <w:r w:rsidRPr="00284526">
        <w:rPr>
          <w:rStyle w:val="Hipervnculo"/>
          <w:rFonts w:ascii="Verdana" w:hAnsi="Verdana"/>
          <w:lang w:val="es-ES"/>
        </w:rPr>
        <w:t>@colombiacompraeficiente_cce</w:t>
      </w:r>
    </w:p>
    <w:p w14:paraId="0D8EEFE9" w14:textId="77777777" w:rsidR="00BE5E27" w:rsidRPr="00284526" w:rsidRDefault="00BE5E27" w:rsidP="00BE5E27">
      <w:pPr>
        <w:widowControl w:val="0"/>
        <w:autoSpaceDE w:val="0"/>
        <w:autoSpaceDN w:val="0"/>
        <w:spacing w:after="0" w:line="276" w:lineRule="auto"/>
        <w:jc w:val="both"/>
        <w:rPr>
          <w:rFonts w:ascii="Verdana" w:hAnsi="Verdana" w:cs="Arial"/>
          <w:lang w:val="es-ES"/>
        </w:rPr>
      </w:pPr>
    </w:p>
    <w:p w14:paraId="3F968281" w14:textId="40B7F0F3" w:rsidR="00BE5E27" w:rsidRPr="00284526" w:rsidRDefault="00BE5E27" w:rsidP="00BE5E27">
      <w:pPr>
        <w:widowControl w:val="0"/>
        <w:autoSpaceDE w:val="0"/>
        <w:autoSpaceDN w:val="0"/>
        <w:spacing w:after="0" w:line="276" w:lineRule="auto"/>
        <w:jc w:val="both"/>
        <w:rPr>
          <w:rFonts w:ascii="Verdana" w:hAnsi="Verdana" w:cs="Arial"/>
          <w:lang w:val="es-ES"/>
        </w:rPr>
      </w:pPr>
      <w:r w:rsidRPr="0028452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D232D95" w14:textId="409E0356" w:rsidR="7BB183BC" w:rsidRPr="00116940" w:rsidRDefault="7BB183BC" w:rsidP="00BE5E27">
      <w:pPr>
        <w:spacing w:after="0" w:line="240" w:lineRule="auto"/>
        <w:jc w:val="both"/>
        <w:rPr>
          <w:rFonts w:ascii="Verdana" w:eastAsia="Verdana" w:hAnsi="Verdana" w:cs="Verdana"/>
        </w:rPr>
      </w:pPr>
    </w:p>
    <w:p w14:paraId="5242CF58" w14:textId="7A8A3EC0" w:rsidR="00330834" w:rsidRPr="00116940" w:rsidRDefault="002E2BF8" w:rsidP="30821638">
      <w:pPr>
        <w:spacing w:after="0" w:line="240" w:lineRule="auto"/>
        <w:rPr>
          <w:rFonts w:ascii="Verdana" w:eastAsia="Verdana" w:hAnsi="Verdana" w:cs="Verdana"/>
        </w:rPr>
      </w:pPr>
      <w:r w:rsidRPr="30821638">
        <w:rPr>
          <w:rFonts w:ascii="Verdana" w:eastAsia="Verdana" w:hAnsi="Verdana" w:cs="Verdana"/>
        </w:rPr>
        <w:t xml:space="preserve">Evalúa el servicio que ofrece la Agencia por el canal de atención de PQRSD en el siguiente </w:t>
      </w:r>
      <w:proofErr w:type="gramStart"/>
      <w:r w:rsidRPr="30821638">
        <w:rPr>
          <w:rFonts w:ascii="Verdana" w:eastAsia="Verdana" w:hAnsi="Verdana" w:cs="Verdana"/>
        </w:rPr>
        <w:t>enlace :</w:t>
      </w:r>
      <w:proofErr w:type="gramEnd"/>
      <w:hyperlink r:id="rId14">
        <w:r w:rsidRPr="30821638">
          <w:rPr>
            <w:rStyle w:val="Hipervnculo"/>
            <w:rFonts w:ascii="Verdana" w:eastAsia="Verdana" w:hAnsi="Verdana" w:cs="Verdana"/>
          </w:rPr>
          <w:t>https://forms.office.com/r/pPHyWVs2SZ</w:t>
        </w:r>
      </w:hyperlink>
      <w:r w:rsidRPr="30821638">
        <w:rPr>
          <w:rFonts w:ascii="Verdana" w:eastAsia="Verdana" w:hAnsi="Verdana" w:cs="Verdana"/>
        </w:rPr>
        <w:t xml:space="preserve"> .¡Ayúdanos a mejorar porque el compromiso es de todos!</w:t>
      </w:r>
    </w:p>
    <w:p w14:paraId="56C7873D" w14:textId="09AB2AF9" w:rsidR="002E2BF8" w:rsidRPr="00116940" w:rsidRDefault="002E2BF8" w:rsidP="30821638">
      <w:pPr>
        <w:spacing w:after="0" w:line="240" w:lineRule="auto"/>
        <w:rPr>
          <w:rFonts w:ascii="Verdana" w:eastAsia="Verdana" w:hAnsi="Verdana" w:cs="Verdana"/>
        </w:rPr>
      </w:pPr>
    </w:p>
    <w:p w14:paraId="64A8BE03" w14:textId="3DB1518C" w:rsidR="001A33BF" w:rsidRDefault="001A33BF" w:rsidP="30821638">
      <w:pPr>
        <w:spacing w:after="0" w:line="240" w:lineRule="auto"/>
        <w:jc w:val="both"/>
        <w:rPr>
          <w:rFonts w:ascii="Verdana" w:eastAsia="Verdana" w:hAnsi="Verdana" w:cs="Verdana"/>
          <w:lang w:val="es-MX"/>
        </w:rPr>
      </w:pPr>
    </w:p>
    <w:p w14:paraId="0EE67BCA" w14:textId="2A37EF59" w:rsidR="002A0DD0" w:rsidRDefault="002A0DD0" w:rsidP="30821638">
      <w:pPr>
        <w:spacing w:after="0" w:line="240" w:lineRule="auto"/>
        <w:jc w:val="both"/>
        <w:rPr>
          <w:rFonts w:ascii="Verdana" w:eastAsia="Verdana" w:hAnsi="Verdana" w:cs="Verdana"/>
          <w:lang w:val="es-MX"/>
        </w:rPr>
      </w:pPr>
      <w:r w:rsidRPr="30821638">
        <w:rPr>
          <w:rFonts w:ascii="Verdana" w:eastAsia="Verdana" w:hAnsi="Verdana" w:cs="Verdana"/>
          <w:lang w:val="es-MX"/>
        </w:rPr>
        <w:t>Cordialmente,</w:t>
      </w:r>
      <w:r w:rsidR="00AD2F17">
        <w:rPr>
          <w:rFonts w:ascii="Verdana" w:eastAsia="Verdana" w:hAnsi="Verdana" w:cs="Verdana"/>
          <w:lang w:val="es-MX"/>
        </w:rPr>
        <w:t xml:space="preserve"> </w:t>
      </w:r>
    </w:p>
    <w:p w14:paraId="47E9108A" w14:textId="0C258F67" w:rsidR="00AD2F17" w:rsidRDefault="00AD2F17" w:rsidP="30821638">
      <w:pPr>
        <w:spacing w:after="0" w:line="240" w:lineRule="auto"/>
        <w:jc w:val="both"/>
        <w:rPr>
          <w:rFonts w:ascii="Verdana" w:eastAsia="Verdana" w:hAnsi="Verdana" w:cs="Verdana"/>
          <w:lang w:val="es-MX"/>
        </w:rPr>
      </w:pPr>
    </w:p>
    <w:p w14:paraId="128B6651" w14:textId="77777777" w:rsidR="00A05285" w:rsidRPr="00E02524" w:rsidRDefault="00A05285" w:rsidP="30821638">
      <w:pPr>
        <w:spacing w:after="0" w:line="240" w:lineRule="auto"/>
        <w:jc w:val="both"/>
        <w:rPr>
          <w:rFonts w:ascii="Verdana" w:eastAsia="Verdana" w:hAnsi="Verdana" w:cs="Verdana"/>
          <w:lang w:val="es-MX"/>
        </w:rPr>
      </w:pPr>
    </w:p>
    <w:p w14:paraId="3B27AFCD" w14:textId="2AF71CC8" w:rsidR="002A0DD0" w:rsidRDefault="00AD2F17" w:rsidP="30821638">
      <w:pPr>
        <w:spacing w:after="0" w:line="240" w:lineRule="auto"/>
        <w:jc w:val="both"/>
        <w:rPr>
          <w:rFonts w:ascii="Verdana" w:eastAsia="Verdana" w:hAnsi="Verdana" w:cs="Verdana"/>
          <w:b/>
          <w:bCs/>
          <w:lang w:val="es-MX"/>
        </w:rPr>
      </w:pPr>
      <w:r w:rsidRPr="002C3AD6">
        <w:rPr>
          <w:rFonts w:ascii="Century Gothic" w:hAnsi="Century Gothic"/>
          <w:noProof/>
          <w:lang w:val="en-US"/>
        </w:rPr>
        <w:lastRenderedPageBreak/>
        <w:drawing>
          <wp:anchor distT="0" distB="0" distL="114300" distR="114300" simplePos="0" relativeHeight="251661312" behindDoc="1" locked="0" layoutInCell="1" allowOverlap="1" wp14:anchorId="3AC6695F" wp14:editId="69188A96">
            <wp:simplePos x="0" y="0"/>
            <wp:positionH relativeFrom="column">
              <wp:posOffset>1282065</wp:posOffset>
            </wp:positionH>
            <wp:positionV relativeFrom="paragraph">
              <wp:posOffset>6350</wp:posOffset>
            </wp:positionV>
            <wp:extent cx="3279140" cy="842010"/>
            <wp:effectExtent l="0" t="0" r="0" b="0"/>
            <wp:wrapTight wrapText="bothSides">
              <wp:wrapPolygon edited="0">
                <wp:start x="0" y="0"/>
                <wp:lineTo x="0" y="21014"/>
                <wp:lineTo x="21458" y="21014"/>
                <wp:lineTo x="21458" y="0"/>
                <wp:lineTo x="0" y="0"/>
              </wp:wrapPolygon>
            </wp:wrapTight>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279140" cy="842010"/>
                    </a:xfrm>
                    <a:prstGeom prst="rect">
                      <a:avLst/>
                    </a:prstGeom>
                  </pic:spPr>
                </pic:pic>
              </a:graphicData>
            </a:graphic>
            <wp14:sizeRelV relativeFrom="margin">
              <wp14:pctHeight>0</wp14:pctHeight>
            </wp14:sizeRelV>
          </wp:anchor>
        </w:drawing>
      </w:r>
    </w:p>
    <w:p w14:paraId="3D5A3D20" w14:textId="416DC3A3" w:rsidR="0092235C" w:rsidRPr="00E02524" w:rsidRDefault="0092235C" w:rsidP="30821638">
      <w:pPr>
        <w:spacing w:after="0" w:line="240" w:lineRule="auto"/>
        <w:jc w:val="both"/>
        <w:rPr>
          <w:rFonts w:ascii="Verdana" w:eastAsia="Verdana" w:hAnsi="Verdana" w:cs="Verdana"/>
          <w:b/>
          <w:bCs/>
          <w:lang w:val="es-MX"/>
        </w:rPr>
      </w:pPr>
    </w:p>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Default="00C15139" w:rsidP="30821638">
      <w:pPr>
        <w:spacing w:after="0" w:line="240" w:lineRule="auto"/>
        <w:jc w:val="both"/>
        <w:textAlignment w:val="baseline"/>
        <w:rPr>
          <w:rFonts w:ascii="Verdana" w:eastAsia="Verdana" w:hAnsi="Verdana" w:cs="Verdana"/>
          <w:lang w:eastAsia="es-CO"/>
        </w:rPr>
      </w:pPr>
    </w:p>
    <w:p w14:paraId="34495EEB" w14:textId="77777777" w:rsidR="002A3028" w:rsidRDefault="002A3028" w:rsidP="30821638">
      <w:pPr>
        <w:spacing w:after="0" w:line="240" w:lineRule="auto"/>
        <w:jc w:val="both"/>
        <w:textAlignment w:val="baseline"/>
        <w:rPr>
          <w:rFonts w:ascii="Verdana" w:eastAsia="Verdana" w:hAnsi="Verdana" w:cs="Verdana"/>
          <w:lang w:eastAsia="es-CO"/>
        </w:rPr>
      </w:pPr>
    </w:p>
    <w:p w14:paraId="29B13F39" w14:textId="77777777" w:rsidR="002A3028" w:rsidRDefault="002A3028" w:rsidP="002A3028">
      <w:pPr>
        <w:spacing w:after="0" w:line="240" w:lineRule="auto"/>
        <w:textAlignment w:val="baseline"/>
        <w:rPr>
          <w:rFonts w:ascii="Verdana" w:eastAsia="Times New Roman" w:hAnsi="Verdana" w:cs="Segoe UI"/>
          <w:lang w:val="es-MX" w:eastAsia="es-CO"/>
        </w:rPr>
      </w:pPr>
    </w:p>
    <w:tbl>
      <w:tblPr>
        <w:tblStyle w:val="Tablaconcuadrcula"/>
        <w:tblW w:w="63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436"/>
      </w:tblGrid>
      <w:tr w:rsidR="002A3028" w:rsidRPr="004C0111" w14:paraId="6C1E6A47" w14:textId="77777777" w:rsidTr="731A4B47">
        <w:trPr>
          <w:trHeight w:val="622"/>
        </w:trPr>
        <w:tc>
          <w:tcPr>
            <w:tcW w:w="893" w:type="dxa"/>
            <w:vAlign w:val="center"/>
            <w:hideMark/>
          </w:tcPr>
          <w:p w14:paraId="0FD34201" w14:textId="77777777" w:rsidR="002A3028" w:rsidRPr="004C0111" w:rsidRDefault="002A3028" w:rsidP="002F2B6D">
            <w:pPr>
              <w:rPr>
                <w:rFonts w:ascii="Verdana" w:eastAsia="Calibri" w:hAnsi="Verdana" w:cs="Arial"/>
                <w:sz w:val="16"/>
                <w:szCs w:val="16"/>
                <w:lang w:val="es-ES_tradnl"/>
              </w:rPr>
            </w:pPr>
            <w:r w:rsidRPr="004C0111">
              <w:rPr>
                <w:rFonts w:ascii="Verdana" w:eastAsia="Calibri" w:hAnsi="Verdana" w:cs="Arial"/>
                <w:sz w:val="16"/>
                <w:szCs w:val="16"/>
                <w:lang w:val="es-ES_tradnl"/>
              </w:rPr>
              <w:t>Elaboró:</w:t>
            </w:r>
          </w:p>
        </w:tc>
        <w:tc>
          <w:tcPr>
            <w:tcW w:w="5436" w:type="dxa"/>
            <w:tcBorders>
              <w:top w:val="nil"/>
              <w:left w:val="nil"/>
              <w:bottom w:val="dotted" w:sz="4" w:space="0" w:color="7F7F7F" w:themeColor="text1" w:themeTint="80"/>
              <w:right w:val="nil"/>
            </w:tcBorders>
            <w:vAlign w:val="center"/>
            <w:hideMark/>
          </w:tcPr>
          <w:tbl>
            <w:tblPr>
              <w:tblW w:w="509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91"/>
            </w:tblGrid>
            <w:tr w:rsidR="002A3028" w:rsidRPr="004C0111" w14:paraId="4987D254" w14:textId="77777777" w:rsidTr="731A4B47">
              <w:trPr>
                <w:trHeight w:val="45"/>
              </w:trPr>
              <w:tc>
                <w:tcPr>
                  <w:tcW w:w="5091" w:type="dxa"/>
                  <w:tcBorders>
                    <w:top w:val="dotted" w:sz="6" w:space="0" w:color="7F7F7F" w:themeColor="text1" w:themeTint="80"/>
                    <w:left w:val="nil"/>
                    <w:bottom w:val="dotted" w:sz="6" w:space="0" w:color="7F7F7F" w:themeColor="text1" w:themeTint="80"/>
                    <w:right w:val="nil"/>
                  </w:tcBorders>
                  <w:vAlign w:val="center"/>
                  <w:hideMark/>
                </w:tcPr>
                <w:p w14:paraId="3697E11A" w14:textId="77777777" w:rsidR="002A3028" w:rsidRPr="004C0111" w:rsidRDefault="002A3028" w:rsidP="002F2B6D">
                  <w:pPr>
                    <w:spacing w:after="0" w:line="240" w:lineRule="auto"/>
                    <w:rPr>
                      <w:rFonts w:ascii="Verdana" w:eastAsia="Times New Roman" w:hAnsi="Verdana" w:cs="Arial"/>
                      <w:sz w:val="16"/>
                      <w:szCs w:val="16"/>
                      <w:lang w:val="es-ES" w:eastAsia="es-ES"/>
                    </w:rPr>
                  </w:pPr>
                  <w:r w:rsidRPr="731A4B47">
                    <w:rPr>
                      <w:rFonts w:ascii="Verdana" w:eastAsia="Times New Roman" w:hAnsi="Verdana" w:cs="Arial"/>
                      <w:sz w:val="16"/>
                      <w:szCs w:val="16"/>
                      <w:lang w:val="es-ES" w:eastAsia="es-ES"/>
                    </w:rPr>
                    <w:t>Kelmis Yirama Brugés Alvarado</w:t>
                  </w:r>
                </w:p>
                <w:p w14:paraId="7BA379E2" w14:textId="77777777" w:rsidR="002A3028" w:rsidRPr="004C0111" w:rsidRDefault="002A3028" w:rsidP="002F2B6D">
                  <w:pPr>
                    <w:spacing w:after="0" w:line="240" w:lineRule="auto"/>
                    <w:rPr>
                      <w:rFonts w:ascii="Verdana" w:eastAsia="Times New Roman" w:hAnsi="Verdana" w:cs="Arial"/>
                      <w:sz w:val="16"/>
                      <w:szCs w:val="16"/>
                      <w:lang w:val="es-MX" w:eastAsia="es-CO"/>
                    </w:rPr>
                  </w:pPr>
                  <w:r w:rsidRPr="004C0111">
                    <w:rPr>
                      <w:rFonts w:ascii="Verdana" w:eastAsia="Times New Roman" w:hAnsi="Verdana" w:cs="Arial"/>
                      <w:sz w:val="16"/>
                      <w:szCs w:val="16"/>
                      <w:lang w:eastAsia="es-ES"/>
                    </w:rPr>
                    <w:t>Analista T2-</w:t>
                  </w:r>
                  <w:r>
                    <w:rPr>
                      <w:rFonts w:ascii="Verdana" w:eastAsia="Times New Roman" w:hAnsi="Verdana" w:cs="Arial"/>
                      <w:sz w:val="16"/>
                      <w:szCs w:val="16"/>
                      <w:lang w:eastAsia="es-ES"/>
                    </w:rPr>
                    <w:t>04</w:t>
                  </w:r>
                  <w:r w:rsidRPr="004C0111">
                    <w:rPr>
                      <w:rFonts w:ascii="Verdana" w:eastAsia="Times New Roman" w:hAnsi="Verdana" w:cs="Arial"/>
                      <w:sz w:val="16"/>
                      <w:szCs w:val="16"/>
                      <w:lang w:eastAsia="es-ES"/>
                    </w:rPr>
                    <w:t xml:space="preserve"> de la Subdirección de Gestión Contractual</w:t>
                  </w:r>
                </w:p>
              </w:tc>
            </w:tr>
          </w:tbl>
          <w:p w14:paraId="7A9CCAD6" w14:textId="77777777" w:rsidR="002A3028" w:rsidRPr="004C0111" w:rsidRDefault="002A3028" w:rsidP="002F2B6D">
            <w:pPr>
              <w:rPr>
                <w:rFonts w:ascii="Verdana" w:eastAsia="Calibri" w:hAnsi="Verdana" w:cs="Arial"/>
                <w:sz w:val="16"/>
                <w:szCs w:val="16"/>
                <w:lang w:val="es-MX"/>
              </w:rPr>
            </w:pPr>
          </w:p>
        </w:tc>
      </w:tr>
      <w:tr w:rsidR="002A3028" w:rsidRPr="004C0111" w14:paraId="6AE9D8F6" w14:textId="77777777" w:rsidTr="731A4B47">
        <w:trPr>
          <w:trHeight w:val="330"/>
        </w:trPr>
        <w:tc>
          <w:tcPr>
            <w:tcW w:w="893" w:type="dxa"/>
            <w:vAlign w:val="center"/>
            <w:hideMark/>
          </w:tcPr>
          <w:p w14:paraId="65E00D6B" w14:textId="77777777" w:rsidR="002A3028" w:rsidRPr="004C0111" w:rsidRDefault="002A3028" w:rsidP="002F2B6D">
            <w:pPr>
              <w:rPr>
                <w:rFonts w:ascii="Verdana" w:eastAsia="Calibri" w:hAnsi="Verdana" w:cs="Arial"/>
                <w:sz w:val="16"/>
                <w:szCs w:val="16"/>
                <w:lang w:val="es-ES_tradnl"/>
              </w:rPr>
            </w:pPr>
            <w:r w:rsidRPr="004C0111">
              <w:rPr>
                <w:rFonts w:ascii="Verdana" w:eastAsia="Calibri" w:hAnsi="Verdana" w:cs="Arial"/>
                <w:sz w:val="16"/>
                <w:szCs w:val="16"/>
                <w:lang w:val="es-ES_tradnl"/>
              </w:rPr>
              <w:t>Revisó:</w:t>
            </w:r>
          </w:p>
        </w:tc>
        <w:tc>
          <w:tcPr>
            <w:tcW w:w="5436" w:type="dxa"/>
            <w:tcBorders>
              <w:top w:val="dotted" w:sz="4" w:space="0" w:color="7F7F7F" w:themeColor="text1" w:themeTint="80"/>
              <w:left w:val="nil"/>
              <w:bottom w:val="dotted" w:sz="4" w:space="0" w:color="7F7F7F" w:themeColor="text1" w:themeTint="80"/>
              <w:right w:val="nil"/>
            </w:tcBorders>
            <w:vAlign w:val="center"/>
            <w:hideMark/>
          </w:tcPr>
          <w:p w14:paraId="5F6FA3CD" w14:textId="70F4E0F3" w:rsidR="002A3028" w:rsidRPr="004C0111" w:rsidRDefault="002A3028" w:rsidP="00257D8B">
            <w:pPr>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Diana Lucía Saavedra</w:t>
            </w:r>
          </w:p>
          <w:p w14:paraId="58EBD8D2" w14:textId="726EB6C8" w:rsidR="002A3028" w:rsidRPr="004C0111" w:rsidRDefault="002A3028" w:rsidP="00257D8B">
            <w:pPr>
              <w:textAlignment w:val="baseline"/>
              <w:rPr>
                <w:rFonts w:ascii="Verdana" w:eastAsia="Times New Roman" w:hAnsi="Verdana" w:cs="Arial"/>
                <w:sz w:val="16"/>
                <w:szCs w:val="16"/>
                <w:lang w:val="es-MX" w:eastAsia="es-CO"/>
              </w:rPr>
            </w:pPr>
            <w:r>
              <w:rPr>
                <w:rFonts w:ascii="Verdana" w:eastAsia="Times New Roman" w:hAnsi="Verdana" w:cs="Arial"/>
                <w:sz w:val="16"/>
                <w:szCs w:val="16"/>
                <w:lang w:eastAsia="es-CO"/>
              </w:rPr>
              <w:t xml:space="preserve">Contratista </w:t>
            </w:r>
            <w:r w:rsidRPr="004C0111">
              <w:rPr>
                <w:rFonts w:ascii="Verdana" w:eastAsia="Times New Roman" w:hAnsi="Verdana" w:cs="Arial"/>
                <w:sz w:val="16"/>
                <w:szCs w:val="16"/>
                <w:lang w:eastAsia="es-CO"/>
              </w:rPr>
              <w:t>de la Subdirección de Gestión Contractual</w:t>
            </w:r>
          </w:p>
        </w:tc>
      </w:tr>
      <w:tr w:rsidR="002A3028" w:rsidRPr="004C0111" w14:paraId="068C2DB4" w14:textId="77777777" w:rsidTr="731A4B47">
        <w:trPr>
          <w:trHeight w:val="77"/>
        </w:trPr>
        <w:tc>
          <w:tcPr>
            <w:tcW w:w="893" w:type="dxa"/>
            <w:vAlign w:val="center"/>
          </w:tcPr>
          <w:p w14:paraId="28354C0E" w14:textId="77777777" w:rsidR="002A3028" w:rsidRPr="004C0111" w:rsidRDefault="002A3028" w:rsidP="002F2B6D">
            <w:pPr>
              <w:rPr>
                <w:rFonts w:ascii="Verdana" w:eastAsia="Calibri" w:hAnsi="Verdana" w:cs="Arial"/>
                <w:sz w:val="16"/>
                <w:szCs w:val="16"/>
                <w:lang w:val="es-ES_tradnl"/>
              </w:rPr>
            </w:pPr>
            <w:r w:rsidRPr="004C0111">
              <w:rPr>
                <w:rFonts w:ascii="Verdana" w:eastAsia="Calibri" w:hAnsi="Verdana" w:cs="Arial"/>
                <w:sz w:val="16"/>
                <w:szCs w:val="16"/>
                <w:lang w:val="es-ES_tradnl"/>
              </w:rPr>
              <w:t>Aprobó:</w:t>
            </w:r>
          </w:p>
        </w:tc>
        <w:tc>
          <w:tcPr>
            <w:tcW w:w="5436" w:type="dxa"/>
            <w:tcBorders>
              <w:top w:val="dotted" w:sz="4" w:space="0" w:color="7F7F7F" w:themeColor="text1" w:themeTint="80"/>
              <w:left w:val="nil"/>
              <w:bottom w:val="dotted" w:sz="4" w:space="0" w:color="7F7F7F" w:themeColor="text1" w:themeTint="80"/>
              <w:right w:val="nil"/>
            </w:tcBorders>
            <w:vAlign w:val="center"/>
          </w:tcPr>
          <w:p w14:paraId="1FB38423" w14:textId="77777777" w:rsidR="002A3028" w:rsidRPr="002F2853" w:rsidRDefault="002A3028" w:rsidP="00257D8B">
            <w:pPr>
              <w:rPr>
                <w:rFonts w:ascii="Verdana" w:eastAsia="Times New Roman" w:hAnsi="Verdana" w:cs="Arial"/>
                <w:sz w:val="16"/>
                <w:szCs w:val="16"/>
                <w:lang w:eastAsia="es-ES"/>
              </w:rPr>
            </w:pPr>
            <w:r w:rsidRPr="002F2853">
              <w:rPr>
                <w:rFonts w:ascii="Verdana" w:eastAsia="Times New Roman" w:hAnsi="Verdana" w:cs="Arial"/>
                <w:sz w:val="16"/>
                <w:szCs w:val="16"/>
                <w:lang w:eastAsia="es-ES"/>
              </w:rPr>
              <w:t>Carolina Quintero Gacharná</w:t>
            </w:r>
          </w:p>
          <w:p w14:paraId="44E0FE64" w14:textId="77777777" w:rsidR="002A3028" w:rsidRPr="004C0111" w:rsidRDefault="002A3028" w:rsidP="002F2B6D">
            <w:pPr>
              <w:rPr>
                <w:rFonts w:ascii="Verdana" w:eastAsia="Calibri" w:hAnsi="Verdana" w:cs="Arial"/>
                <w:sz w:val="16"/>
                <w:szCs w:val="16"/>
                <w:lang w:val="es-ES_tradnl"/>
              </w:rPr>
            </w:pPr>
            <w:r w:rsidRPr="002F2853">
              <w:rPr>
                <w:rFonts w:ascii="Verdana" w:eastAsia="Times New Roman" w:hAnsi="Verdana" w:cs="Arial"/>
                <w:sz w:val="16"/>
                <w:szCs w:val="16"/>
                <w:lang w:eastAsia="es-ES"/>
              </w:rPr>
              <w:t>Subdirectora de Gestión Contractual ANCP – CCE</w:t>
            </w:r>
          </w:p>
        </w:tc>
      </w:tr>
    </w:tbl>
    <w:p w14:paraId="4AC21108" w14:textId="77777777" w:rsidR="002A3028" w:rsidRPr="000E2B93" w:rsidRDefault="002A3028" w:rsidP="002A3028">
      <w:pPr>
        <w:spacing w:after="0" w:line="240" w:lineRule="auto"/>
        <w:jc w:val="both"/>
        <w:textAlignment w:val="baseline"/>
        <w:rPr>
          <w:rFonts w:ascii="Verdana" w:eastAsia="Verdana" w:hAnsi="Verdana" w:cs="Verdana"/>
          <w:lang w:eastAsia="es-CO"/>
        </w:rPr>
      </w:pPr>
    </w:p>
    <w:p w14:paraId="1EB89177" w14:textId="77777777" w:rsidR="002A3028" w:rsidRPr="000E2B93" w:rsidRDefault="002A3028" w:rsidP="30821638">
      <w:pPr>
        <w:spacing w:after="0" w:line="240" w:lineRule="auto"/>
        <w:jc w:val="both"/>
        <w:textAlignment w:val="baseline"/>
        <w:rPr>
          <w:rFonts w:ascii="Verdana" w:eastAsia="Verdana" w:hAnsi="Verdana" w:cs="Verdana"/>
          <w:lang w:eastAsia="es-CO"/>
        </w:rPr>
      </w:pPr>
    </w:p>
    <w:p w14:paraId="69BC4D14" w14:textId="77777777" w:rsidR="00C15139" w:rsidRPr="000E2B93" w:rsidRDefault="00C15139" w:rsidP="30821638">
      <w:pPr>
        <w:spacing w:after="0" w:line="240" w:lineRule="auto"/>
        <w:textAlignment w:val="baseline"/>
        <w:rPr>
          <w:rFonts w:ascii="Verdana" w:eastAsia="Verdana" w:hAnsi="Verdana" w:cs="Verdana"/>
          <w:lang w:eastAsia="es-CO"/>
        </w:rPr>
      </w:pPr>
      <w:r w:rsidRPr="002F2B6D">
        <w:rPr>
          <w:rFonts w:ascii="Verdana" w:hAnsi="Verdana"/>
          <w:noProof/>
        </w:rPr>
        <w:drawing>
          <wp:inline distT="0" distB="0" distL="0" distR="0" wp14:anchorId="5A2E4A55" wp14:editId="7AA99379">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r w:rsidRPr="30821638">
        <w:rPr>
          <w:rFonts w:ascii="Verdana" w:eastAsia="Verdana" w:hAnsi="Verdana" w:cs="Verdana"/>
          <w:lang w:eastAsia="es-CO"/>
        </w:rPr>
        <w:t> </w:t>
      </w:r>
    </w:p>
    <w:p w14:paraId="493E8921" w14:textId="77777777" w:rsidR="002E2BF8" w:rsidRPr="00E02524" w:rsidRDefault="002E2BF8" w:rsidP="30821638">
      <w:pPr>
        <w:spacing w:after="0"/>
        <w:jc w:val="both"/>
        <w:rPr>
          <w:rFonts w:ascii="Verdana" w:eastAsia="Verdana" w:hAnsi="Verdana" w:cs="Verdana"/>
          <w:lang w:val="es-ES"/>
        </w:rPr>
      </w:pPr>
    </w:p>
    <w:p w14:paraId="7AB8EA08" w14:textId="77777777" w:rsidR="002E2BF8" w:rsidRPr="00E02524" w:rsidRDefault="002E2BF8" w:rsidP="30821638">
      <w:pPr>
        <w:spacing w:after="0"/>
        <w:jc w:val="both"/>
        <w:rPr>
          <w:rFonts w:ascii="Verdana" w:eastAsia="Verdana" w:hAnsi="Verdana" w:cs="Verdana"/>
          <w:lang w:val="es-ES"/>
        </w:rPr>
      </w:pPr>
    </w:p>
    <w:bookmarkEnd w:id="0"/>
    <w:p w14:paraId="0F293BF4" w14:textId="778E803A" w:rsidR="00127233" w:rsidRPr="0015699B" w:rsidRDefault="00127233" w:rsidP="00263F55">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8F2C70" w14:textId="77777777" w:rsidR="00245CE9" w:rsidRDefault="00245CE9" w:rsidP="004A1847">
      <w:pPr>
        <w:spacing w:after="0" w:line="240" w:lineRule="auto"/>
      </w:pPr>
      <w:r>
        <w:separator/>
      </w:r>
    </w:p>
  </w:endnote>
  <w:endnote w:type="continuationSeparator" w:id="0">
    <w:p w14:paraId="5BB3C8C1" w14:textId="77777777" w:rsidR="00245CE9" w:rsidRDefault="00245CE9" w:rsidP="004A1847">
      <w:pPr>
        <w:spacing w:after="0" w:line="240" w:lineRule="auto"/>
      </w:pPr>
      <w:r>
        <w:continuationSeparator/>
      </w:r>
    </w:p>
  </w:endnote>
  <w:endnote w:type="continuationNotice" w:id="1">
    <w:p w14:paraId="238AEBDA" w14:textId="77777777" w:rsidR="00245CE9" w:rsidRDefault="00245CE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15DB5D" w14:textId="77777777" w:rsidR="00245CE9" w:rsidRDefault="00245CE9" w:rsidP="004A1847">
      <w:pPr>
        <w:spacing w:after="0" w:line="240" w:lineRule="auto"/>
      </w:pPr>
      <w:r>
        <w:separator/>
      </w:r>
    </w:p>
  </w:footnote>
  <w:footnote w:type="continuationSeparator" w:id="0">
    <w:p w14:paraId="208BE8FD" w14:textId="77777777" w:rsidR="00245CE9" w:rsidRDefault="00245CE9" w:rsidP="004A1847">
      <w:pPr>
        <w:spacing w:after="0" w:line="240" w:lineRule="auto"/>
      </w:pPr>
      <w:r>
        <w:continuationSeparator/>
      </w:r>
    </w:p>
  </w:footnote>
  <w:footnote w:type="continuationNotice" w:id="1">
    <w:p w14:paraId="729165BE" w14:textId="77777777" w:rsidR="00245CE9" w:rsidRDefault="00245CE9">
      <w:pPr>
        <w:spacing w:after="0" w:line="240" w:lineRule="auto"/>
      </w:pPr>
    </w:p>
  </w:footnote>
  <w:footnote w:id="2">
    <w:p w14:paraId="11B3F7FE" w14:textId="77777777" w:rsidR="009C334E" w:rsidRPr="009C334E" w:rsidRDefault="00B13B56" w:rsidP="009C334E">
      <w:pPr>
        <w:pStyle w:val="Textonotapie"/>
        <w:ind w:firstLine="709"/>
        <w:jc w:val="both"/>
        <w:rPr>
          <w:rFonts w:ascii="Verdana" w:hAnsi="Verdana" w:cs="Arial"/>
          <w:color w:val="000000" w:themeColor="text1"/>
          <w:sz w:val="16"/>
          <w:szCs w:val="16"/>
        </w:rPr>
      </w:pPr>
      <w:r w:rsidRPr="009C334E">
        <w:rPr>
          <w:rStyle w:val="Refdenotaalpie"/>
          <w:rFonts w:ascii="Verdana" w:hAnsi="Verdana"/>
          <w:sz w:val="16"/>
          <w:szCs w:val="16"/>
        </w:rPr>
        <w:footnoteRef/>
      </w:r>
      <w:r w:rsidRPr="009C334E">
        <w:rPr>
          <w:rFonts w:ascii="Verdana" w:hAnsi="Verdana"/>
          <w:sz w:val="16"/>
          <w:szCs w:val="16"/>
        </w:rPr>
        <w:t xml:space="preserve"> </w:t>
      </w:r>
      <w:r w:rsidR="009C334E" w:rsidRPr="009C334E">
        <w:rPr>
          <w:rFonts w:ascii="Verdana" w:hAnsi="Verdana" w:cs="Arial"/>
          <w:color w:val="000000" w:themeColor="text1"/>
          <w:sz w:val="16"/>
          <w:szCs w:val="16"/>
        </w:rPr>
        <w:t>El artículo 6 de la Ley 80 de 1993 expresa: “Pueden celebrar contratos con las entidades estatales las personas consideradas legalmente capaces en las disposiciones vigentes. También podrán celebrar contratos con las entidades estatales, los consorcios y uniones temporales.</w:t>
      </w:r>
    </w:p>
    <w:p w14:paraId="403D8FC2" w14:textId="77777777" w:rsidR="009C334E" w:rsidRPr="009C334E" w:rsidRDefault="009C334E" w:rsidP="009C334E">
      <w:pPr>
        <w:pStyle w:val="Textonotapie"/>
        <w:ind w:firstLine="709"/>
        <w:jc w:val="both"/>
        <w:rPr>
          <w:rFonts w:ascii="Verdana" w:hAnsi="Verdana" w:cs="Arial"/>
          <w:color w:val="000000" w:themeColor="text1"/>
          <w:sz w:val="16"/>
          <w:szCs w:val="16"/>
        </w:rPr>
      </w:pPr>
      <w:r w:rsidRPr="009C334E">
        <w:rPr>
          <w:rFonts w:ascii="Verdana" w:hAnsi="Verdana" w:cs="Arial"/>
          <w:color w:val="000000" w:themeColor="text1"/>
          <w:sz w:val="16"/>
          <w:szCs w:val="16"/>
        </w:rPr>
        <w:t>Las personas jurídicas nacionales y extranjeras deberán acreditar que su duración no será inferior a la del plazo del contrato y un año más”.</w:t>
      </w:r>
    </w:p>
    <w:p w14:paraId="4167DA1E" w14:textId="14C0E011" w:rsidR="00B13B56" w:rsidRPr="009C334E" w:rsidRDefault="00B13B56" w:rsidP="009C334E">
      <w:pPr>
        <w:pStyle w:val="Textonotapie"/>
        <w:jc w:val="both"/>
        <w:rPr>
          <w:rFonts w:ascii="Verdana" w:hAnsi="Verdana"/>
          <w:sz w:val="16"/>
          <w:szCs w:val="16"/>
        </w:rPr>
      </w:pPr>
    </w:p>
  </w:footnote>
  <w:footnote w:id="3">
    <w:p w14:paraId="275CA58F" w14:textId="77777777" w:rsidR="00683E53" w:rsidRPr="00683E53" w:rsidRDefault="00CC71A9" w:rsidP="00683E53">
      <w:pPr>
        <w:pStyle w:val="Textonotapie"/>
        <w:ind w:firstLine="709"/>
        <w:jc w:val="both"/>
        <w:rPr>
          <w:rFonts w:ascii="Verdana" w:hAnsi="Verdana" w:cs="Arial"/>
          <w:color w:val="000000" w:themeColor="text1"/>
          <w:sz w:val="16"/>
          <w:szCs w:val="16"/>
        </w:rPr>
      </w:pPr>
      <w:r w:rsidRPr="00683E53">
        <w:rPr>
          <w:rStyle w:val="Refdenotaalpie"/>
          <w:rFonts w:ascii="Verdana" w:hAnsi="Verdana"/>
          <w:sz w:val="16"/>
          <w:szCs w:val="16"/>
        </w:rPr>
        <w:footnoteRef/>
      </w:r>
      <w:r w:rsidRPr="00683E53">
        <w:rPr>
          <w:rFonts w:ascii="Verdana" w:hAnsi="Verdana"/>
          <w:sz w:val="16"/>
          <w:szCs w:val="16"/>
        </w:rPr>
        <w:t xml:space="preserve"> </w:t>
      </w:r>
      <w:r w:rsidR="00683E53" w:rsidRPr="00683E53">
        <w:rPr>
          <w:rFonts w:ascii="Verdana" w:hAnsi="Verdana" w:cs="Arial"/>
          <w:color w:val="000000" w:themeColor="text1"/>
          <w:sz w:val="16"/>
          <w:szCs w:val="16"/>
        </w:rPr>
        <w:t>El artículo 1502 del Código Civil prevé la capacidad legal como requisito para obligarse contractualmente, en los siguientes términos: “Para que una persona se obligue a otra por un acto o declaración de voluntad, es necesario:</w:t>
      </w:r>
    </w:p>
    <w:p w14:paraId="284826BB" w14:textId="77777777" w:rsidR="00683E53" w:rsidRDefault="00683E53" w:rsidP="00683E53">
      <w:pPr>
        <w:pStyle w:val="Textonotapie"/>
        <w:ind w:firstLine="709"/>
        <w:jc w:val="both"/>
        <w:rPr>
          <w:rFonts w:ascii="Verdana" w:hAnsi="Verdana" w:cs="Arial"/>
          <w:color w:val="000000" w:themeColor="text1"/>
          <w:sz w:val="16"/>
          <w:szCs w:val="16"/>
        </w:rPr>
      </w:pPr>
      <w:r w:rsidRPr="00683E53">
        <w:rPr>
          <w:rFonts w:ascii="Verdana" w:hAnsi="Verdana" w:cs="Arial"/>
          <w:color w:val="000000" w:themeColor="text1"/>
          <w:sz w:val="16"/>
          <w:szCs w:val="16"/>
        </w:rPr>
        <w:t>1o.) que sea legalmente capaz.</w:t>
      </w:r>
    </w:p>
    <w:p w14:paraId="54CEC395" w14:textId="77777777" w:rsidR="00117C79" w:rsidRPr="001A625A" w:rsidRDefault="00117C79" w:rsidP="00117C79">
      <w:pPr>
        <w:pStyle w:val="Textonotapie"/>
        <w:ind w:firstLine="709"/>
        <w:jc w:val="both"/>
        <w:rPr>
          <w:rFonts w:ascii="Verdana" w:hAnsi="Verdana" w:cs="Arial"/>
          <w:color w:val="000000" w:themeColor="text1"/>
          <w:sz w:val="16"/>
          <w:szCs w:val="16"/>
        </w:rPr>
      </w:pPr>
      <w:r w:rsidRPr="001A625A">
        <w:rPr>
          <w:rFonts w:ascii="Verdana" w:hAnsi="Verdana" w:cs="Arial"/>
          <w:color w:val="000000" w:themeColor="text1"/>
          <w:sz w:val="16"/>
          <w:szCs w:val="16"/>
        </w:rPr>
        <w:t>[…]</w:t>
      </w:r>
    </w:p>
    <w:p w14:paraId="1B320B44" w14:textId="77777777" w:rsidR="00117C79" w:rsidRDefault="00117C79" w:rsidP="00117C79">
      <w:pPr>
        <w:pStyle w:val="Textonotapie"/>
        <w:ind w:firstLine="709"/>
        <w:jc w:val="both"/>
        <w:rPr>
          <w:rFonts w:ascii="Verdana" w:hAnsi="Verdana" w:cs="Arial"/>
          <w:color w:val="000000" w:themeColor="text1"/>
          <w:sz w:val="16"/>
          <w:szCs w:val="16"/>
        </w:rPr>
      </w:pPr>
      <w:r w:rsidRPr="001A625A">
        <w:rPr>
          <w:rFonts w:ascii="Verdana" w:hAnsi="Verdana" w:cs="Arial"/>
          <w:color w:val="000000" w:themeColor="text1"/>
          <w:sz w:val="16"/>
          <w:szCs w:val="16"/>
        </w:rPr>
        <w:t>La capacidad legal de una persona consiste en poderse obligar por sí misma, sin el ministerio o la autorización de otra”.</w:t>
      </w:r>
    </w:p>
    <w:p w14:paraId="648986B1" w14:textId="42F931AF" w:rsidR="00CC71A9" w:rsidRPr="00683E53" w:rsidRDefault="00CC71A9">
      <w:pPr>
        <w:pStyle w:val="Textonotapie"/>
        <w:rPr>
          <w:rFonts w:ascii="Verdana" w:hAnsi="Verdana"/>
          <w:sz w:val="16"/>
          <w:szCs w:val="16"/>
          <w:lang w:val="es-CO"/>
        </w:rPr>
      </w:pPr>
    </w:p>
  </w:footnote>
  <w:footnote w:id="4">
    <w:p w14:paraId="58DD3CF1" w14:textId="77777777" w:rsidR="00393249" w:rsidRPr="00393249" w:rsidRDefault="00E27B06" w:rsidP="00393249">
      <w:pPr>
        <w:spacing w:after="0" w:line="240" w:lineRule="auto"/>
        <w:ind w:firstLine="709"/>
        <w:jc w:val="both"/>
        <w:rPr>
          <w:rFonts w:ascii="Verdana" w:hAnsi="Verdana" w:cs="Arial"/>
          <w:color w:val="000000" w:themeColor="text1"/>
          <w:sz w:val="16"/>
          <w:szCs w:val="16"/>
          <w:lang w:val="es-ES"/>
        </w:rPr>
      </w:pPr>
      <w:r w:rsidRPr="00393249">
        <w:rPr>
          <w:rStyle w:val="Refdenotaalpie"/>
          <w:rFonts w:ascii="Verdana" w:hAnsi="Verdana"/>
          <w:sz w:val="16"/>
          <w:szCs w:val="16"/>
        </w:rPr>
        <w:footnoteRef/>
      </w:r>
      <w:r w:rsidRPr="00393249">
        <w:rPr>
          <w:rFonts w:ascii="Verdana" w:hAnsi="Verdana"/>
          <w:sz w:val="16"/>
          <w:szCs w:val="16"/>
        </w:rPr>
        <w:t xml:space="preserve"> </w:t>
      </w:r>
      <w:r w:rsidR="00393249" w:rsidRPr="00393249">
        <w:rPr>
          <w:rFonts w:ascii="Verdana" w:hAnsi="Verdana" w:cs="Arial"/>
          <w:color w:val="000000" w:themeColor="text1"/>
          <w:sz w:val="16"/>
          <w:szCs w:val="16"/>
          <w:lang w:val="es-ES"/>
        </w:rPr>
        <w:t>Son inhabilidades que responden a esta circunstancia, entre otras, las siguientes: “Quienes participaron en las licitaciones o celebraron los contratos de que trata el literal anterior estando inhabilitados” (art. 8, 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p w14:paraId="371B8D55" w14:textId="3A77D560" w:rsidR="00E27B06" w:rsidRPr="00393249" w:rsidRDefault="00E27B06">
      <w:pPr>
        <w:pStyle w:val="Textonotapie"/>
        <w:rPr>
          <w:rFonts w:ascii="Verdana" w:hAnsi="Verdana"/>
          <w:sz w:val="16"/>
          <w:szCs w:val="16"/>
          <w:lang w:val="es-ES"/>
        </w:rPr>
      </w:pPr>
    </w:p>
  </w:footnote>
  <w:footnote w:id="5">
    <w:p w14:paraId="41523F66" w14:textId="77777777" w:rsidR="00417AD4" w:rsidRPr="00417AD4" w:rsidRDefault="00393249" w:rsidP="00417AD4">
      <w:pPr>
        <w:pStyle w:val="Textonotapie"/>
        <w:ind w:firstLine="709"/>
        <w:jc w:val="both"/>
        <w:rPr>
          <w:rFonts w:ascii="Verdana" w:hAnsi="Verdana" w:cs="Arial"/>
          <w:color w:val="000000" w:themeColor="text1"/>
          <w:sz w:val="16"/>
          <w:szCs w:val="16"/>
          <w:lang w:val="es-ES"/>
        </w:rPr>
      </w:pPr>
      <w:r w:rsidRPr="00417AD4">
        <w:rPr>
          <w:rStyle w:val="Refdenotaalpie"/>
          <w:rFonts w:ascii="Verdana" w:hAnsi="Verdana"/>
          <w:sz w:val="16"/>
          <w:szCs w:val="16"/>
        </w:rPr>
        <w:footnoteRef/>
      </w:r>
      <w:r w:rsidRPr="00417AD4">
        <w:rPr>
          <w:rFonts w:ascii="Verdana" w:hAnsi="Verdana"/>
          <w:sz w:val="16"/>
          <w:szCs w:val="16"/>
        </w:rPr>
        <w:t xml:space="preserve"> </w:t>
      </w:r>
      <w:r w:rsidR="00417AD4" w:rsidRPr="00417AD4">
        <w:rPr>
          <w:rFonts w:ascii="Verdana" w:hAnsi="Verdana" w:cs="Arial"/>
          <w:color w:val="000000" w:themeColor="text1"/>
          <w:sz w:val="16"/>
          <w:szCs w:val="16"/>
          <w:lang w:val="es-ES"/>
        </w:rPr>
        <w:t>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p w14:paraId="0B5708BF" w14:textId="77777777" w:rsidR="00417AD4" w:rsidRPr="001A625A" w:rsidRDefault="00417AD4" w:rsidP="00417AD4">
      <w:pPr>
        <w:pStyle w:val="Textonotapie"/>
        <w:ind w:firstLine="709"/>
        <w:jc w:val="both"/>
        <w:rPr>
          <w:rFonts w:ascii="Verdana" w:hAnsi="Verdana" w:cs="Arial"/>
          <w:color w:val="000000" w:themeColor="text1"/>
          <w:sz w:val="16"/>
          <w:szCs w:val="16"/>
          <w:lang w:val="es-CO"/>
        </w:rPr>
      </w:pPr>
    </w:p>
    <w:p w14:paraId="64936AA3" w14:textId="24F72EF3" w:rsidR="00393249" w:rsidRPr="00393249" w:rsidRDefault="00393249">
      <w:pPr>
        <w:pStyle w:val="Textonotapie"/>
        <w:rPr>
          <w:lang w:val="es-CO"/>
        </w:rPr>
      </w:pPr>
    </w:p>
  </w:footnote>
  <w:footnote w:id="6">
    <w:p w14:paraId="1966459C" w14:textId="77777777" w:rsidR="001A4CEB" w:rsidRPr="001A4CEB" w:rsidRDefault="00003F52" w:rsidP="001A4CEB">
      <w:pPr>
        <w:pStyle w:val="Textonotapie"/>
        <w:ind w:firstLine="709"/>
        <w:jc w:val="both"/>
        <w:rPr>
          <w:rFonts w:ascii="Verdana" w:hAnsi="Verdana" w:cs="Arial"/>
          <w:color w:val="000000" w:themeColor="text1"/>
          <w:sz w:val="16"/>
          <w:szCs w:val="16"/>
          <w:lang w:val="es-ES"/>
        </w:rPr>
      </w:pPr>
      <w:r w:rsidRPr="001A4CEB">
        <w:rPr>
          <w:rStyle w:val="Refdenotaalpie"/>
          <w:rFonts w:ascii="Verdana" w:hAnsi="Verdana"/>
          <w:sz w:val="16"/>
          <w:szCs w:val="16"/>
        </w:rPr>
        <w:footnoteRef/>
      </w:r>
      <w:r w:rsidRPr="001A4CEB">
        <w:rPr>
          <w:rFonts w:ascii="Verdana" w:hAnsi="Verdana"/>
          <w:sz w:val="16"/>
          <w:szCs w:val="16"/>
        </w:rPr>
        <w:t xml:space="preserve"> </w:t>
      </w:r>
      <w:r w:rsidR="001A4CEB" w:rsidRPr="001A4CEB">
        <w:rPr>
          <w:rFonts w:ascii="Verdana" w:hAnsi="Verdana" w:cs="Arial"/>
          <w:color w:val="000000" w:themeColor="text1"/>
          <w:sz w:val="16"/>
          <w:szCs w:val="16"/>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num. 1º, lit. k), Ley 80/93, modificado por el art. 33, Ley 1778/16); “Quienes fueron miembros de la junta o consejo directivo o servidores públicos de la entidad contratante” (art. 8, num. 2º, lit.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 [a pesar de que la norma la califica como una incompatibilidad, en realidad se trata de una inhabilidad, ya que en dicha causal no existe concurrencia de calidades en un sujeto]. </w:t>
      </w:r>
    </w:p>
    <w:p w14:paraId="2A95FB7B" w14:textId="038939D5" w:rsidR="00003F52" w:rsidRPr="001A4CEB" w:rsidRDefault="00003F52">
      <w:pPr>
        <w:pStyle w:val="Textonotapie"/>
        <w:rPr>
          <w:lang w:val="es-ES"/>
        </w:rPr>
      </w:pPr>
    </w:p>
  </w:footnote>
  <w:footnote w:id="7">
    <w:p w14:paraId="72B9DEE0" w14:textId="77777777" w:rsidR="005E697F" w:rsidRPr="005E697F" w:rsidRDefault="001A4CEB" w:rsidP="005E697F">
      <w:pPr>
        <w:spacing w:after="0" w:line="240" w:lineRule="auto"/>
        <w:ind w:firstLine="709"/>
        <w:jc w:val="both"/>
        <w:rPr>
          <w:rFonts w:ascii="Verdana" w:hAnsi="Verdana" w:cs="Arial"/>
          <w:color w:val="000000" w:themeColor="text1"/>
          <w:sz w:val="16"/>
          <w:szCs w:val="16"/>
          <w:lang w:val="es-ES"/>
        </w:rPr>
      </w:pPr>
      <w:r w:rsidRPr="005E697F">
        <w:rPr>
          <w:rStyle w:val="Refdenotaalpie"/>
          <w:rFonts w:ascii="Verdana" w:hAnsi="Verdana"/>
          <w:sz w:val="16"/>
          <w:szCs w:val="16"/>
        </w:rPr>
        <w:footnoteRef/>
      </w:r>
      <w:r w:rsidRPr="005E697F">
        <w:rPr>
          <w:rFonts w:ascii="Verdana" w:hAnsi="Verdana"/>
          <w:sz w:val="16"/>
          <w:szCs w:val="16"/>
        </w:rPr>
        <w:t xml:space="preserve"> </w:t>
      </w:r>
      <w:r w:rsidR="005E697F" w:rsidRPr="005E697F">
        <w:rPr>
          <w:rFonts w:ascii="Verdana" w:hAnsi="Verdana" w:cs="Arial"/>
          <w:color w:val="000000" w:themeColor="text1"/>
          <w:sz w:val="16"/>
          <w:szCs w:val="16"/>
          <w:lang w:val="es-ES"/>
        </w:rPr>
        <w:t xml:space="preserve">Como las señaladas a continuación: “Los servidores públicos” (art. 8, 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p w14:paraId="15060E08" w14:textId="4FC5A46A" w:rsidR="001A4CEB" w:rsidRPr="005E697F" w:rsidRDefault="001A4CEB">
      <w:pPr>
        <w:pStyle w:val="Textonotapie"/>
        <w:rPr>
          <w:lang w:val="es-ES"/>
        </w:rPr>
      </w:pPr>
    </w:p>
  </w:footnote>
  <w:footnote w:id="8">
    <w:p w14:paraId="45527B5A" w14:textId="4DB83B9C" w:rsidR="005E697F" w:rsidRPr="006D79F0" w:rsidRDefault="005E697F" w:rsidP="006D79F0">
      <w:pPr>
        <w:pStyle w:val="Textonotapie"/>
        <w:spacing w:after="120"/>
        <w:ind w:firstLine="709"/>
        <w:jc w:val="both"/>
        <w:rPr>
          <w:rFonts w:ascii="Verdana" w:hAnsi="Verdana" w:cs="Arial"/>
          <w:color w:val="000000" w:themeColor="text1"/>
          <w:sz w:val="16"/>
          <w:szCs w:val="16"/>
          <w:lang w:val="es-ES"/>
        </w:rPr>
      </w:pPr>
      <w:r w:rsidRPr="00A05B3B">
        <w:rPr>
          <w:rStyle w:val="Refdenotaalpie"/>
          <w:rFonts w:ascii="Verdana" w:hAnsi="Verdana"/>
          <w:sz w:val="16"/>
          <w:szCs w:val="16"/>
        </w:rPr>
        <w:footnoteRef/>
      </w:r>
      <w:r w:rsidRPr="00A05B3B">
        <w:rPr>
          <w:rFonts w:ascii="Verdana" w:hAnsi="Verdana"/>
          <w:sz w:val="16"/>
          <w:szCs w:val="16"/>
        </w:rPr>
        <w:t xml:space="preserve"> </w:t>
      </w:r>
      <w:r w:rsidR="00A05B3B" w:rsidRPr="00A05B3B">
        <w:rPr>
          <w:rFonts w:ascii="Verdana" w:hAnsi="Verdana" w:cs="Arial"/>
          <w:color w:val="000000" w:themeColor="text1"/>
          <w:sz w:val="16"/>
          <w:szCs w:val="16"/>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footnote>
  <w:footnote w:id="9">
    <w:p w14:paraId="075EBF99" w14:textId="355AED19" w:rsidR="006D79F0" w:rsidRPr="006D79F0" w:rsidRDefault="00315AA8" w:rsidP="006D79F0">
      <w:pPr>
        <w:pStyle w:val="Textonotapie"/>
        <w:spacing w:after="120"/>
        <w:ind w:firstLine="709"/>
        <w:rPr>
          <w:rFonts w:ascii="Verdana" w:hAnsi="Verdana" w:cs="Arial"/>
          <w:color w:val="000000" w:themeColor="text1"/>
          <w:sz w:val="16"/>
          <w:szCs w:val="16"/>
          <w:lang w:val="es-ES"/>
        </w:rPr>
      </w:pPr>
      <w:r>
        <w:rPr>
          <w:rStyle w:val="Refdenotaalpie"/>
        </w:rPr>
        <w:footnoteRef/>
      </w:r>
      <w:r>
        <w:t xml:space="preserve"> </w:t>
      </w:r>
      <w:r>
        <w:rPr>
          <w:lang w:val="es-CO"/>
        </w:rPr>
        <w:t xml:space="preserve"> </w:t>
      </w:r>
      <w:r w:rsidR="00596EA1" w:rsidRPr="001A625A">
        <w:rPr>
          <w:rFonts w:ascii="Verdana" w:hAnsi="Verdana" w:cs="Arial"/>
          <w:color w:val="000000" w:themeColor="text1"/>
          <w:sz w:val="16"/>
          <w:szCs w:val="16"/>
          <w:lang w:val="es-ES"/>
        </w:rPr>
        <w:t>Ibídem., p. 69.</w:t>
      </w:r>
    </w:p>
  </w:footnote>
  <w:footnote w:id="10">
    <w:p w14:paraId="44698ACA" w14:textId="77777777" w:rsidR="006D79F0" w:rsidRPr="001A625A" w:rsidRDefault="00F34CAC" w:rsidP="006D79F0">
      <w:pPr>
        <w:pStyle w:val="Textonotapie"/>
        <w:spacing w:after="120"/>
        <w:ind w:firstLine="709"/>
        <w:jc w:val="both"/>
        <w:rPr>
          <w:rFonts w:ascii="Verdana" w:hAnsi="Verdana" w:cs="Arial"/>
          <w:color w:val="000000" w:themeColor="text1"/>
          <w:sz w:val="16"/>
          <w:szCs w:val="16"/>
          <w:lang w:val="es-ES"/>
        </w:rPr>
      </w:pPr>
      <w:r>
        <w:rPr>
          <w:rStyle w:val="Refdenotaalpie"/>
        </w:rPr>
        <w:footnoteRef/>
      </w:r>
      <w:r>
        <w:t xml:space="preserve"> </w:t>
      </w:r>
      <w:r w:rsidR="006D79F0" w:rsidRPr="001A625A">
        <w:rPr>
          <w:rFonts w:ascii="Verdana" w:hAnsi="Verdana" w:cs="Arial"/>
          <w:color w:val="000000" w:themeColor="text1"/>
          <w:sz w:val="16"/>
          <w:szCs w:val="16"/>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p w14:paraId="462DCF1A" w14:textId="1FFE3755" w:rsidR="00F34CAC" w:rsidRPr="006D79F0" w:rsidRDefault="00F34CAC">
      <w:pPr>
        <w:pStyle w:val="Textonotapie"/>
        <w:rPr>
          <w:lang w:val="es-ES"/>
        </w:rPr>
      </w:pPr>
    </w:p>
  </w:footnote>
  <w:footnote w:id="11">
    <w:p w14:paraId="2121925F" w14:textId="649BC8B9" w:rsidR="004644F8" w:rsidRDefault="004644F8" w:rsidP="00693FB6">
      <w:pPr>
        <w:pStyle w:val="Textonotapie"/>
        <w:ind w:firstLine="708"/>
        <w:rPr>
          <w:rFonts w:ascii="Verdana" w:hAnsi="Verdana" w:cs="Arial"/>
          <w:color w:val="000000" w:themeColor="text1"/>
          <w:sz w:val="16"/>
          <w:szCs w:val="16"/>
          <w:lang w:val="es-ES"/>
        </w:rPr>
      </w:pPr>
      <w:r w:rsidRPr="00B455D0">
        <w:rPr>
          <w:rStyle w:val="Refdenotaalpie"/>
          <w:rFonts w:ascii="Verdana" w:hAnsi="Verdana"/>
          <w:sz w:val="16"/>
          <w:szCs w:val="16"/>
        </w:rPr>
        <w:footnoteRef/>
      </w:r>
      <w:r w:rsidRPr="00B455D0">
        <w:rPr>
          <w:rFonts w:ascii="Verdana" w:hAnsi="Verdana"/>
          <w:sz w:val="16"/>
          <w:szCs w:val="16"/>
        </w:rPr>
        <w:t xml:space="preserve"> </w:t>
      </w:r>
      <w:r w:rsidR="00B455D0" w:rsidRPr="00B455D0">
        <w:rPr>
          <w:rFonts w:ascii="Verdana" w:hAnsi="Verdana" w:cs="Arial"/>
          <w:color w:val="000000" w:themeColor="text1"/>
          <w:sz w:val="16"/>
          <w:szCs w:val="16"/>
          <w:lang w:val="es-ES"/>
        </w:rPr>
        <w:t>Consejo de Estado. Sala de Consulta y Servicio Civil. Concepto del 30 de abril de 2015. Expediente: 2251. Consejero Ponente: Álvaro Namén Vargas.</w:t>
      </w:r>
    </w:p>
    <w:p w14:paraId="3B06976A" w14:textId="77777777" w:rsidR="00693FB6" w:rsidRPr="00B455D0" w:rsidRDefault="00693FB6">
      <w:pPr>
        <w:pStyle w:val="Textonotapie"/>
        <w:rPr>
          <w:rFonts w:ascii="Verdana" w:hAnsi="Verdana"/>
          <w:sz w:val="16"/>
          <w:szCs w:val="16"/>
          <w:lang w:val="es-CO"/>
        </w:rPr>
      </w:pPr>
    </w:p>
  </w:footnote>
  <w:footnote w:id="12">
    <w:p w14:paraId="79B64CE8" w14:textId="77777777" w:rsidR="004F26B4" w:rsidRPr="004F26B4" w:rsidRDefault="00693FB6" w:rsidP="004F26B4">
      <w:pPr>
        <w:pStyle w:val="Textonotapie"/>
        <w:ind w:firstLine="709"/>
        <w:jc w:val="both"/>
        <w:rPr>
          <w:rFonts w:ascii="Verdana" w:hAnsi="Verdana" w:cs="Arial"/>
          <w:color w:val="000000" w:themeColor="text1"/>
          <w:sz w:val="16"/>
          <w:szCs w:val="16"/>
        </w:rPr>
      </w:pPr>
      <w:r w:rsidRPr="004F26B4">
        <w:rPr>
          <w:rStyle w:val="Refdenotaalpie"/>
          <w:rFonts w:ascii="Verdana" w:hAnsi="Verdana"/>
          <w:sz w:val="16"/>
          <w:szCs w:val="16"/>
        </w:rPr>
        <w:footnoteRef/>
      </w:r>
      <w:r w:rsidRPr="004F26B4">
        <w:rPr>
          <w:rFonts w:ascii="Verdana" w:hAnsi="Verdana"/>
          <w:sz w:val="16"/>
          <w:szCs w:val="16"/>
        </w:rPr>
        <w:t xml:space="preserve"> </w:t>
      </w:r>
      <w:r w:rsidR="004F26B4" w:rsidRPr="004F26B4">
        <w:rPr>
          <w:rFonts w:ascii="Verdana" w:hAnsi="Verdana" w:cs="Arial"/>
          <w:color w:val="000000" w:themeColor="text1"/>
          <w:sz w:val="16"/>
          <w:szCs w:val="16"/>
        </w:rPr>
        <w:t>Consejo de Estado. Sección Tercera. Subsección A. Sentencia del 24 de junio de 2015. Exp. 40.635. Consejero Ponente: Hernán Andrade Rincón (E).</w:t>
      </w:r>
    </w:p>
    <w:p w14:paraId="61B1571E" w14:textId="77777777" w:rsidR="004F26B4" w:rsidRPr="001A625A" w:rsidRDefault="004F26B4" w:rsidP="004F26B4">
      <w:pPr>
        <w:pStyle w:val="Textonotapie"/>
        <w:ind w:firstLine="709"/>
        <w:jc w:val="both"/>
        <w:rPr>
          <w:rFonts w:ascii="Verdana" w:hAnsi="Verdana" w:cs="Arial"/>
          <w:color w:val="000000" w:themeColor="text1"/>
          <w:sz w:val="16"/>
          <w:szCs w:val="16"/>
          <w:lang w:val="es-ES"/>
        </w:rPr>
      </w:pPr>
    </w:p>
    <w:p w14:paraId="50C54D0D" w14:textId="6B67F708" w:rsidR="00693FB6" w:rsidRPr="00693FB6" w:rsidRDefault="00693FB6">
      <w:pPr>
        <w:pStyle w:val="Textonotapie"/>
        <w:rPr>
          <w:lang w:val="es-CO"/>
        </w:rPr>
      </w:pPr>
    </w:p>
  </w:footnote>
  <w:footnote w:id="13">
    <w:p w14:paraId="4DFBECA1" w14:textId="77777777" w:rsidR="005844AE" w:rsidRPr="005844AE" w:rsidRDefault="006E74F0" w:rsidP="005844AE">
      <w:pPr>
        <w:pStyle w:val="Textonotapie"/>
        <w:ind w:firstLine="709"/>
        <w:jc w:val="both"/>
        <w:rPr>
          <w:rFonts w:ascii="Verdana" w:hAnsi="Verdana" w:cs="Arial"/>
          <w:color w:val="000000" w:themeColor="text1"/>
          <w:sz w:val="16"/>
          <w:szCs w:val="16"/>
        </w:rPr>
      </w:pPr>
      <w:r w:rsidRPr="005844AE">
        <w:rPr>
          <w:rStyle w:val="Refdenotaalpie"/>
          <w:rFonts w:ascii="Verdana" w:hAnsi="Verdana"/>
          <w:sz w:val="16"/>
          <w:szCs w:val="16"/>
        </w:rPr>
        <w:footnoteRef/>
      </w:r>
      <w:r w:rsidRPr="005844AE">
        <w:rPr>
          <w:rFonts w:ascii="Verdana" w:hAnsi="Verdana"/>
          <w:sz w:val="16"/>
          <w:szCs w:val="16"/>
        </w:rPr>
        <w:t xml:space="preserve"> </w:t>
      </w:r>
      <w:r w:rsidR="005844AE" w:rsidRPr="005844AE">
        <w:rPr>
          <w:rFonts w:ascii="Verdana" w:hAnsi="Verdana" w:cs="Arial"/>
          <w:color w:val="000000" w:themeColor="text1"/>
          <w:sz w:val="16"/>
          <w:szCs w:val="16"/>
        </w:rPr>
        <w:t>Consejo de Estado. Sección Tercera. Subsección C. Sentencia del 22 de mayo de 2013. Exp. 24.057. Consejera Ponente: Olga Melida Valle De De La Hoz.</w:t>
      </w:r>
    </w:p>
    <w:p w14:paraId="54B1BDAB" w14:textId="77777777" w:rsidR="005844AE" w:rsidRPr="001A625A" w:rsidRDefault="005844AE" w:rsidP="005844AE">
      <w:pPr>
        <w:pStyle w:val="Textonotapie"/>
        <w:ind w:firstLine="709"/>
        <w:jc w:val="both"/>
        <w:rPr>
          <w:rFonts w:ascii="Verdana" w:hAnsi="Verdana" w:cs="Arial"/>
          <w:color w:val="000000" w:themeColor="text1"/>
          <w:sz w:val="16"/>
          <w:szCs w:val="16"/>
          <w:lang w:val="es-ES"/>
        </w:rPr>
      </w:pPr>
    </w:p>
    <w:p w14:paraId="324FD400" w14:textId="41C63984" w:rsidR="006E74F0" w:rsidRPr="005844AE" w:rsidRDefault="006E74F0">
      <w:pPr>
        <w:pStyle w:val="Textonotapie"/>
        <w:rPr>
          <w:lang w:val="es-ES"/>
        </w:rPr>
      </w:pPr>
    </w:p>
  </w:footnote>
  <w:footnote w:id="14">
    <w:p w14:paraId="66760332" w14:textId="77777777" w:rsidR="00446744" w:rsidRPr="00446744" w:rsidRDefault="00776564" w:rsidP="00446744">
      <w:pPr>
        <w:pStyle w:val="Textonotapie"/>
        <w:ind w:firstLine="709"/>
        <w:jc w:val="both"/>
        <w:rPr>
          <w:rFonts w:ascii="Verdana" w:hAnsi="Verdana" w:cs="Arial"/>
          <w:color w:val="000000" w:themeColor="text1"/>
          <w:sz w:val="16"/>
          <w:szCs w:val="16"/>
          <w:lang w:val="es-ES"/>
        </w:rPr>
      </w:pPr>
      <w:r w:rsidRPr="00446744">
        <w:rPr>
          <w:rStyle w:val="Refdenotaalpie"/>
          <w:rFonts w:ascii="Verdana" w:hAnsi="Verdana"/>
          <w:sz w:val="16"/>
          <w:szCs w:val="16"/>
        </w:rPr>
        <w:footnoteRef/>
      </w:r>
      <w:r w:rsidRPr="00446744">
        <w:rPr>
          <w:rFonts w:ascii="Verdana" w:hAnsi="Verdana"/>
          <w:sz w:val="16"/>
          <w:szCs w:val="16"/>
        </w:rPr>
        <w:t xml:space="preserve"> </w:t>
      </w:r>
      <w:r w:rsidR="00446744" w:rsidRPr="00446744">
        <w:rPr>
          <w:rFonts w:ascii="Verdana" w:hAnsi="Verdana" w:cs="Arial"/>
          <w:color w:val="000000" w:themeColor="text1"/>
          <w:sz w:val="16"/>
          <w:szCs w:val="16"/>
          <w:lang w:val="es-ES"/>
        </w:rPr>
        <w:t xml:space="preserve">Así lo ha reconocido la doctrina: “Por otra parte, la reglamentación de la prestación de servicios comprende una paleta normativa que busca limitar la tergiversación de este tipo de contratos en beneficio de las </w:t>
      </w:r>
      <w:r w:rsidR="00446744" w:rsidRPr="00446744">
        <w:rPr>
          <w:rFonts w:ascii="Verdana" w:hAnsi="Verdana" w:cs="Arial"/>
          <w:i/>
          <w:color w:val="000000" w:themeColor="text1"/>
          <w:sz w:val="16"/>
          <w:szCs w:val="16"/>
          <w:lang w:val="es-ES"/>
        </w:rPr>
        <w:t>nóminas paralelas</w:t>
      </w:r>
      <w:r w:rsidR="00446744" w:rsidRPr="00446744">
        <w:rPr>
          <w:rFonts w:ascii="Verdana" w:hAnsi="Verdana" w:cs="Arial"/>
          <w:color w:val="000000" w:themeColor="text1"/>
          <w:sz w:val="16"/>
          <w:szCs w:val="16"/>
          <w:lang w:val="es-ES"/>
        </w:rPr>
        <w:t>, como práctica de substitución de los empleos públicos por prestadores de servicios, y las sanciones disciplinarias por entregar a contratistas el ejercicio permanente de funciones administrativas, que implican ejercicio de prerrogativas de poder público, complementadas en la responsabilidad fiscal y personal de los funcionarios” (BENAVIDES, José Luis. Contrato de prestación de servicios. Difícil delimitación frente al contrato realidad. En: Contratos público. Estudios. Bogotá: Universidad Externado de Colombia, 2014. pp. 311-312).</w:t>
      </w:r>
    </w:p>
    <w:p w14:paraId="3E3128F2" w14:textId="586582B5" w:rsidR="00776564" w:rsidRPr="00446744" w:rsidRDefault="00776564">
      <w:pPr>
        <w:pStyle w:val="Textonotapie"/>
        <w:rPr>
          <w:lang w:val="es-ES"/>
        </w:rPr>
      </w:pPr>
    </w:p>
  </w:footnote>
  <w:footnote w:id="15">
    <w:p w14:paraId="74521A2B" w14:textId="77777777" w:rsidR="00FD0FB6" w:rsidRPr="00FD0FB6" w:rsidRDefault="00CC0E50" w:rsidP="00FD0FB6">
      <w:pPr>
        <w:pStyle w:val="Textonotapie"/>
        <w:ind w:firstLine="709"/>
        <w:rPr>
          <w:rFonts w:ascii="Verdana" w:hAnsi="Verdana"/>
          <w:sz w:val="16"/>
          <w:szCs w:val="16"/>
          <w:lang w:val="es-CO"/>
        </w:rPr>
      </w:pPr>
      <w:r w:rsidRPr="00FD0FB6">
        <w:rPr>
          <w:rStyle w:val="Refdenotaalpie"/>
          <w:rFonts w:ascii="Verdana" w:hAnsi="Verdana"/>
          <w:sz w:val="16"/>
          <w:szCs w:val="16"/>
        </w:rPr>
        <w:footnoteRef/>
      </w:r>
      <w:r w:rsidRPr="00FD0FB6">
        <w:rPr>
          <w:rFonts w:ascii="Verdana" w:hAnsi="Verdana"/>
          <w:sz w:val="16"/>
          <w:szCs w:val="16"/>
        </w:rPr>
        <w:t xml:space="preserve"> </w:t>
      </w:r>
      <w:r w:rsidR="00FD0FB6" w:rsidRPr="00FD0FB6">
        <w:rPr>
          <w:rFonts w:ascii="Verdana" w:hAnsi="Verdana" w:cs="Arial"/>
          <w:color w:val="000000"/>
          <w:sz w:val="16"/>
          <w:szCs w:val="16"/>
        </w:rPr>
        <w:t>Consejo de Estado. Sala de Consulta y de Servicio Civil. Concepto del 23 de marzo de 2011. Rad. 2.045. C.P. Enrique José Arboleda Perdomo.</w:t>
      </w:r>
    </w:p>
    <w:p w14:paraId="084F2289" w14:textId="0CC2D062" w:rsidR="00CC0E50" w:rsidRPr="00FD0FB6" w:rsidRDefault="00CC0E50">
      <w:pPr>
        <w:pStyle w:val="Textonotapie"/>
        <w:rPr>
          <w:rFonts w:ascii="Verdana" w:hAnsi="Verdana"/>
          <w:sz w:val="16"/>
          <w:szCs w:val="16"/>
          <w:lang w:val="es-CO"/>
        </w:rPr>
      </w:pPr>
    </w:p>
  </w:footnote>
  <w:footnote w:id="16">
    <w:p w14:paraId="5308EB9D" w14:textId="77777777" w:rsidR="000E48E8" w:rsidRPr="001A625A" w:rsidRDefault="000E48E8" w:rsidP="000E48E8">
      <w:pPr>
        <w:pStyle w:val="Textonotapie"/>
        <w:ind w:firstLine="708"/>
        <w:jc w:val="both"/>
        <w:rPr>
          <w:rFonts w:ascii="Verdana" w:hAnsi="Verdana" w:cs="Arial"/>
          <w:color w:val="000000" w:themeColor="text1"/>
          <w:sz w:val="16"/>
          <w:szCs w:val="16"/>
        </w:rPr>
      </w:pPr>
      <w:r w:rsidRPr="001A625A">
        <w:rPr>
          <w:rStyle w:val="Refdenotaalpie"/>
          <w:rFonts w:ascii="Verdana" w:hAnsi="Verdana" w:cs="Arial"/>
          <w:sz w:val="16"/>
          <w:szCs w:val="16"/>
        </w:rPr>
        <w:footnoteRef/>
      </w:r>
      <w:r w:rsidRPr="001A625A">
        <w:rPr>
          <w:rFonts w:ascii="Verdana" w:hAnsi="Verdana" w:cs="Arial"/>
          <w:sz w:val="16"/>
          <w:szCs w:val="16"/>
        </w:rPr>
        <w:t xml:space="preserve"> CONSEJO DE ESTADO. Sala de Consulta y Servicio Civil. Concepto del </w:t>
      </w:r>
      <w:r w:rsidRPr="001A625A">
        <w:rPr>
          <w:rFonts w:ascii="Verdana" w:hAnsi="Verdana" w:cs="Arial"/>
          <w:color w:val="000000" w:themeColor="text1"/>
          <w:sz w:val="16"/>
          <w:szCs w:val="16"/>
        </w:rPr>
        <w:t>10 de agosto de 2006. Exp. 1.767. C.P. Luis Fernando Álvarez Jaramillo.</w:t>
      </w:r>
    </w:p>
    <w:p w14:paraId="1843D6A8" w14:textId="77777777" w:rsidR="000E48E8" w:rsidRPr="001A625A" w:rsidRDefault="000E48E8" w:rsidP="000E48E8">
      <w:pPr>
        <w:pStyle w:val="Textonotapie"/>
        <w:ind w:firstLine="708"/>
        <w:jc w:val="both"/>
        <w:rPr>
          <w:rFonts w:ascii="Verdana" w:hAnsi="Verdana" w:cs="Arial"/>
          <w:sz w:val="16"/>
          <w:szCs w:val="16"/>
          <w:lang w:val="es-CO"/>
        </w:rPr>
      </w:pPr>
    </w:p>
  </w:footnote>
  <w:footnote w:id="17">
    <w:p w14:paraId="37F85E6A" w14:textId="77777777" w:rsidR="00CF5493" w:rsidRPr="001A625A" w:rsidRDefault="00CF5493" w:rsidP="00CF5493">
      <w:pPr>
        <w:pStyle w:val="Textonotapie"/>
        <w:ind w:firstLine="708"/>
        <w:jc w:val="both"/>
        <w:rPr>
          <w:rFonts w:ascii="Verdana" w:eastAsia="Calibri" w:hAnsi="Verdana" w:cs="Arial"/>
          <w:sz w:val="16"/>
          <w:szCs w:val="16"/>
          <w:lang w:val="es-CO"/>
        </w:rPr>
      </w:pPr>
      <w:r w:rsidRPr="001A625A">
        <w:rPr>
          <w:rStyle w:val="Refdenotaalpie"/>
          <w:rFonts w:ascii="Verdana" w:hAnsi="Verdana" w:cs="Arial"/>
          <w:sz w:val="16"/>
          <w:szCs w:val="16"/>
        </w:rPr>
        <w:footnoteRef/>
      </w:r>
      <w:r w:rsidRPr="001A625A">
        <w:rPr>
          <w:rFonts w:ascii="Verdana" w:hAnsi="Verdana" w:cs="Arial"/>
          <w:sz w:val="16"/>
          <w:szCs w:val="16"/>
        </w:rPr>
        <w:t xml:space="preserve"> Como expresa DÁVILA: «[…] </w:t>
      </w:r>
      <w:r w:rsidRPr="001A625A">
        <w:rPr>
          <w:rFonts w:ascii="Verdana" w:eastAsia="Calibri" w:hAnsi="Verdana" w:cs="Arial"/>
          <w:sz w:val="16"/>
          <w:szCs w:val="16"/>
          <w:lang w:val="es-CO"/>
        </w:rPr>
        <w:t>la entidad estatal en la etapa previa o de planeación debe advertir situaciones concretas y reales que puedan implicar un conflicto de interés. Una vez hecho, debe tipificarlas de manera objetiva, clara y completa en el pliego de condiciones y consecuentemente aplicarlas de manera restrictiva y taxativa al momento de evaluar y adjudicar el contrato, no pudiéndose, so pena de violar la ley, diseñarse, crearse o inventarse alguna nueva» (DÁVILA VINUEZA, Luis Guillermo. Op. Cit., p. 151.</w:t>
      </w:r>
    </w:p>
    <w:p w14:paraId="4E4AE7E4" w14:textId="77777777" w:rsidR="00CF5493" w:rsidRPr="001A625A" w:rsidRDefault="00CF5493" w:rsidP="00CF5493">
      <w:pPr>
        <w:pStyle w:val="Textonotapie"/>
        <w:ind w:firstLine="708"/>
        <w:jc w:val="both"/>
        <w:rPr>
          <w:rFonts w:ascii="Verdana" w:hAnsi="Verdana" w:cs="Arial"/>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588489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F52"/>
    <w:rsid w:val="00016ACE"/>
    <w:rsid w:val="00016F78"/>
    <w:rsid w:val="00027026"/>
    <w:rsid w:val="00046945"/>
    <w:rsid w:val="00047C2E"/>
    <w:rsid w:val="000517FF"/>
    <w:rsid w:val="00057B99"/>
    <w:rsid w:val="00061B2A"/>
    <w:rsid w:val="000653C3"/>
    <w:rsid w:val="000658F9"/>
    <w:rsid w:val="000756D5"/>
    <w:rsid w:val="0007680A"/>
    <w:rsid w:val="00082362"/>
    <w:rsid w:val="000823D5"/>
    <w:rsid w:val="00090F65"/>
    <w:rsid w:val="00095402"/>
    <w:rsid w:val="000A683E"/>
    <w:rsid w:val="000A6C6F"/>
    <w:rsid w:val="000B19B9"/>
    <w:rsid w:val="000B2A4A"/>
    <w:rsid w:val="000C3873"/>
    <w:rsid w:val="000D0334"/>
    <w:rsid w:val="000D5DA7"/>
    <w:rsid w:val="000E48E8"/>
    <w:rsid w:val="000F1EC8"/>
    <w:rsid w:val="000F6486"/>
    <w:rsid w:val="00116940"/>
    <w:rsid w:val="00117C79"/>
    <w:rsid w:val="001206B6"/>
    <w:rsid w:val="00125105"/>
    <w:rsid w:val="00127233"/>
    <w:rsid w:val="00140E25"/>
    <w:rsid w:val="00142E8F"/>
    <w:rsid w:val="00155526"/>
    <w:rsid w:val="0015699B"/>
    <w:rsid w:val="001627E5"/>
    <w:rsid w:val="001646DC"/>
    <w:rsid w:val="0018555E"/>
    <w:rsid w:val="001A2C93"/>
    <w:rsid w:val="001A33BF"/>
    <w:rsid w:val="001A4CEB"/>
    <w:rsid w:val="001B2616"/>
    <w:rsid w:val="001C1FEA"/>
    <w:rsid w:val="001C4916"/>
    <w:rsid w:val="001E4177"/>
    <w:rsid w:val="001F0B24"/>
    <w:rsid w:val="001F14A0"/>
    <w:rsid w:val="001F7DC6"/>
    <w:rsid w:val="00202530"/>
    <w:rsid w:val="002038E1"/>
    <w:rsid w:val="0022400B"/>
    <w:rsid w:val="00232AA8"/>
    <w:rsid w:val="002421BB"/>
    <w:rsid w:val="00242B29"/>
    <w:rsid w:val="0024454D"/>
    <w:rsid w:val="00245CE9"/>
    <w:rsid w:val="00247EE6"/>
    <w:rsid w:val="002546BC"/>
    <w:rsid w:val="0025796E"/>
    <w:rsid w:val="00257D8B"/>
    <w:rsid w:val="00263F55"/>
    <w:rsid w:val="0026512E"/>
    <w:rsid w:val="002707A2"/>
    <w:rsid w:val="0027205A"/>
    <w:rsid w:val="00281F04"/>
    <w:rsid w:val="00284526"/>
    <w:rsid w:val="0028493A"/>
    <w:rsid w:val="002951A0"/>
    <w:rsid w:val="002962BC"/>
    <w:rsid w:val="00297F91"/>
    <w:rsid w:val="002A093D"/>
    <w:rsid w:val="002A0DD0"/>
    <w:rsid w:val="002A3028"/>
    <w:rsid w:val="002A378D"/>
    <w:rsid w:val="002A49AC"/>
    <w:rsid w:val="002A64FD"/>
    <w:rsid w:val="002C5792"/>
    <w:rsid w:val="002C7A84"/>
    <w:rsid w:val="002E2BF8"/>
    <w:rsid w:val="002E4FD9"/>
    <w:rsid w:val="002F2B6D"/>
    <w:rsid w:val="002F7151"/>
    <w:rsid w:val="0030657A"/>
    <w:rsid w:val="003066D3"/>
    <w:rsid w:val="00313987"/>
    <w:rsid w:val="00314D51"/>
    <w:rsid w:val="003158CB"/>
    <w:rsid w:val="00315AA8"/>
    <w:rsid w:val="00316A39"/>
    <w:rsid w:val="00322A85"/>
    <w:rsid w:val="00324168"/>
    <w:rsid w:val="00330834"/>
    <w:rsid w:val="003448F4"/>
    <w:rsid w:val="0037283E"/>
    <w:rsid w:val="00373A36"/>
    <w:rsid w:val="00374F5E"/>
    <w:rsid w:val="00377E3E"/>
    <w:rsid w:val="003844A6"/>
    <w:rsid w:val="00393249"/>
    <w:rsid w:val="003A64A5"/>
    <w:rsid w:val="003A716D"/>
    <w:rsid w:val="003A779E"/>
    <w:rsid w:val="003C7BB7"/>
    <w:rsid w:val="003D0F4D"/>
    <w:rsid w:val="003D44D8"/>
    <w:rsid w:val="003D4D36"/>
    <w:rsid w:val="003D5B0D"/>
    <w:rsid w:val="003E0499"/>
    <w:rsid w:val="003E4F80"/>
    <w:rsid w:val="003E6439"/>
    <w:rsid w:val="003F1E23"/>
    <w:rsid w:val="003F3941"/>
    <w:rsid w:val="00406575"/>
    <w:rsid w:val="00414C74"/>
    <w:rsid w:val="00417AD4"/>
    <w:rsid w:val="00423A62"/>
    <w:rsid w:val="004255A1"/>
    <w:rsid w:val="0042722E"/>
    <w:rsid w:val="00435641"/>
    <w:rsid w:val="0044528D"/>
    <w:rsid w:val="00446744"/>
    <w:rsid w:val="0045673C"/>
    <w:rsid w:val="004600D1"/>
    <w:rsid w:val="00463348"/>
    <w:rsid w:val="004644F8"/>
    <w:rsid w:val="00465DE7"/>
    <w:rsid w:val="00466E39"/>
    <w:rsid w:val="004832ED"/>
    <w:rsid w:val="00486A35"/>
    <w:rsid w:val="00493B07"/>
    <w:rsid w:val="004A0506"/>
    <w:rsid w:val="004A0532"/>
    <w:rsid w:val="004A1847"/>
    <w:rsid w:val="004A305D"/>
    <w:rsid w:val="004B16E6"/>
    <w:rsid w:val="004C144C"/>
    <w:rsid w:val="004C1507"/>
    <w:rsid w:val="004E6A27"/>
    <w:rsid w:val="004F21C4"/>
    <w:rsid w:val="004F26B4"/>
    <w:rsid w:val="004F685F"/>
    <w:rsid w:val="00502303"/>
    <w:rsid w:val="00512B25"/>
    <w:rsid w:val="005267E8"/>
    <w:rsid w:val="005274C6"/>
    <w:rsid w:val="005432F4"/>
    <w:rsid w:val="00543F2C"/>
    <w:rsid w:val="00546C6C"/>
    <w:rsid w:val="0055027F"/>
    <w:rsid w:val="005566E8"/>
    <w:rsid w:val="00564D95"/>
    <w:rsid w:val="0057448A"/>
    <w:rsid w:val="00574867"/>
    <w:rsid w:val="00581DCB"/>
    <w:rsid w:val="005844AE"/>
    <w:rsid w:val="00591460"/>
    <w:rsid w:val="00591938"/>
    <w:rsid w:val="00592E27"/>
    <w:rsid w:val="00596EA1"/>
    <w:rsid w:val="005978A1"/>
    <w:rsid w:val="005A65E0"/>
    <w:rsid w:val="005C3777"/>
    <w:rsid w:val="005C5CDC"/>
    <w:rsid w:val="005C605C"/>
    <w:rsid w:val="005D34F2"/>
    <w:rsid w:val="005D476C"/>
    <w:rsid w:val="005E697F"/>
    <w:rsid w:val="005F16CC"/>
    <w:rsid w:val="005F28D4"/>
    <w:rsid w:val="006108D3"/>
    <w:rsid w:val="006200BF"/>
    <w:rsid w:val="006219F8"/>
    <w:rsid w:val="0062518B"/>
    <w:rsid w:val="00626623"/>
    <w:rsid w:val="006302F7"/>
    <w:rsid w:val="006357B3"/>
    <w:rsid w:val="00646B9F"/>
    <w:rsid w:val="0064758D"/>
    <w:rsid w:val="006535A5"/>
    <w:rsid w:val="0066340C"/>
    <w:rsid w:val="00665D70"/>
    <w:rsid w:val="00683E53"/>
    <w:rsid w:val="006900D9"/>
    <w:rsid w:val="00693FB6"/>
    <w:rsid w:val="006B2B0E"/>
    <w:rsid w:val="006C1A43"/>
    <w:rsid w:val="006D08C9"/>
    <w:rsid w:val="006D79F0"/>
    <w:rsid w:val="006E3CFE"/>
    <w:rsid w:val="006E74F0"/>
    <w:rsid w:val="006F1F28"/>
    <w:rsid w:val="006F4020"/>
    <w:rsid w:val="00706C16"/>
    <w:rsid w:val="00706CD8"/>
    <w:rsid w:val="0071266D"/>
    <w:rsid w:val="00716A2E"/>
    <w:rsid w:val="00726690"/>
    <w:rsid w:val="007340C3"/>
    <w:rsid w:val="0075235A"/>
    <w:rsid w:val="00756841"/>
    <w:rsid w:val="007649AB"/>
    <w:rsid w:val="00771D0C"/>
    <w:rsid w:val="00776564"/>
    <w:rsid w:val="007833AC"/>
    <w:rsid w:val="007957F2"/>
    <w:rsid w:val="007A3A81"/>
    <w:rsid w:val="007A4A52"/>
    <w:rsid w:val="007B268C"/>
    <w:rsid w:val="007B7171"/>
    <w:rsid w:val="007C0C0F"/>
    <w:rsid w:val="007C2E61"/>
    <w:rsid w:val="007C3C11"/>
    <w:rsid w:val="007C3DC2"/>
    <w:rsid w:val="007E5497"/>
    <w:rsid w:val="007E7330"/>
    <w:rsid w:val="007F5D8A"/>
    <w:rsid w:val="00806F5F"/>
    <w:rsid w:val="00812C30"/>
    <w:rsid w:val="00814CE6"/>
    <w:rsid w:val="00815FD2"/>
    <w:rsid w:val="00820278"/>
    <w:rsid w:val="008258C9"/>
    <w:rsid w:val="00836058"/>
    <w:rsid w:val="00844AE9"/>
    <w:rsid w:val="008537D5"/>
    <w:rsid w:val="00866D37"/>
    <w:rsid w:val="008673E6"/>
    <w:rsid w:val="00867F95"/>
    <w:rsid w:val="00876537"/>
    <w:rsid w:val="008843B6"/>
    <w:rsid w:val="0089147E"/>
    <w:rsid w:val="00891928"/>
    <w:rsid w:val="00892B89"/>
    <w:rsid w:val="008A0D4C"/>
    <w:rsid w:val="008A446D"/>
    <w:rsid w:val="008B0433"/>
    <w:rsid w:val="008B1ABA"/>
    <w:rsid w:val="008B25F1"/>
    <w:rsid w:val="008D180B"/>
    <w:rsid w:val="008D19C7"/>
    <w:rsid w:val="008D3042"/>
    <w:rsid w:val="008E2596"/>
    <w:rsid w:val="008E4391"/>
    <w:rsid w:val="008F0EA7"/>
    <w:rsid w:val="008F4416"/>
    <w:rsid w:val="008F5ED4"/>
    <w:rsid w:val="00901C2F"/>
    <w:rsid w:val="009079D7"/>
    <w:rsid w:val="0092235C"/>
    <w:rsid w:val="00922F48"/>
    <w:rsid w:val="00923EEF"/>
    <w:rsid w:val="009419F9"/>
    <w:rsid w:val="00943AA2"/>
    <w:rsid w:val="00945C45"/>
    <w:rsid w:val="0095685E"/>
    <w:rsid w:val="00961B09"/>
    <w:rsid w:val="00965334"/>
    <w:rsid w:val="0097093E"/>
    <w:rsid w:val="00997867"/>
    <w:rsid w:val="009A0DFA"/>
    <w:rsid w:val="009A1C6F"/>
    <w:rsid w:val="009B2D26"/>
    <w:rsid w:val="009B72A7"/>
    <w:rsid w:val="009C334E"/>
    <w:rsid w:val="009C71FA"/>
    <w:rsid w:val="009C72E7"/>
    <w:rsid w:val="009C7F7E"/>
    <w:rsid w:val="009D19B9"/>
    <w:rsid w:val="009D1B85"/>
    <w:rsid w:val="009D3058"/>
    <w:rsid w:val="009F3A13"/>
    <w:rsid w:val="00A05285"/>
    <w:rsid w:val="00A05B3B"/>
    <w:rsid w:val="00A122D3"/>
    <w:rsid w:val="00A14468"/>
    <w:rsid w:val="00A17F13"/>
    <w:rsid w:val="00A20739"/>
    <w:rsid w:val="00A23AF9"/>
    <w:rsid w:val="00A247B1"/>
    <w:rsid w:val="00A33C78"/>
    <w:rsid w:val="00A65A36"/>
    <w:rsid w:val="00A756DE"/>
    <w:rsid w:val="00A90F2A"/>
    <w:rsid w:val="00AB0ADB"/>
    <w:rsid w:val="00AB1522"/>
    <w:rsid w:val="00AC0558"/>
    <w:rsid w:val="00AC3D52"/>
    <w:rsid w:val="00AC3F60"/>
    <w:rsid w:val="00AD2F17"/>
    <w:rsid w:val="00AE5580"/>
    <w:rsid w:val="00AF23CD"/>
    <w:rsid w:val="00AF7B6F"/>
    <w:rsid w:val="00B00C0E"/>
    <w:rsid w:val="00B01B1A"/>
    <w:rsid w:val="00B0381D"/>
    <w:rsid w:val="00B0524C"/>
    <w:rsid w:val="00B13B56"/>
    <w:rsid w:val="00B36B60"/>
    <w:rsid w:val="00B44A47"/>
    <w:rsid w:val="00B455D0"/>
    <w:rsid w:val="00B707BD"/>
    <w:rsid w:val="00B72CD3"/>
    <w:rsid w:val="00B72FFF"/>
    <w:rsid w:val="00B83469"/>
    <w:rsid w:val="00BC1A5A"/>
    <w:rsid w:val="00BC3D36"/>
    <w:rsid w:val="00BD41DC"/>
    <w:rsid w:val="00BD449B"/>
    <w:rsid w:val="00BD54A6"/>
    <w:rsid w:val="00BD7F72"/>
    <w:rsid w:val="00BE5E27"/>
    <w:rsid w:val="00BF7425"/>
    <w:rsid w:val="00C00F9F"/>
    <w:rsid w:val="00C01B0D"/>
    <w:rsid w:val="00C04FB3"/>
    <w:rsid w:val="00C11D8B"/>
    <w:rsid w:val="00C15139"/>
    <w:rsid w:val="00C21E92"/>
    <w:rsid w:val="00C330EB"/>
    <w:rsid w:val="00C331E1"/>
    <w:rsid w:val="00C346F3"/>
    <w:rsid w:val="00C35CD2"/>
    <w:rsid w:val="00C50D69"/>
    <w:rsid w:val="00C52691"/>
    <w:rsid w:val="00C52A71"/>
    <w:rsid w:val="00C5365C"/>
    <w:rsid w:val="00C56C0A"/>
    <w:rsid w:val="00C621EC"/>
    <w:rsid w:val="00C754BE"/>
    <w:rsid w:val="00C76B1C"/>
    <w:rsid w:val="00C925AC"/>
    <w:rsid w:val="00C97570"/>
    <w:rsid w:val="00CA11B2"/>
    <w:rsid w:val="00CB37B8"/>
    <w:rsid w:val="00CB3E05"/>
    <w:rsid w:val="00CB6357"/>
    <w:rsid w:val="00CC0E50"/>
    <w:rsid w:val="00CC0E7D"/>
    <w:rsid w:val="00CC1B26"/>
    <w:rsid w:val="00CC237F"/>
    <w:rsid w:val="00CC627B"/>
    <w:rsid w:val="00CC71A9"/>
    <w:rsid w:val="00CE05FA"/>
    <w:rsid w:val="00CE26C0"/>
    <w:rsid w:val="00CF5493"/>
    <w:rsid w:val="00D02352"/>
    <w:rsid w:val="00D26859"/>
    <w:rsid w:val="00D306D1"/>
    <w:rsid w:val="00D361FD"/>
    <w:rsid w:val="00D37044"/>
    <w:rsid w:val="00D423A2"/>
    <w:rsid w:val="00D443FD"/>
    <w:rsid w:val="00D44E26"/>
    <w:rsid w:val="00D51B9A"/>
    <w:rsid w:val="00D520D8"/>
    <w:rsid w:val="00D55D6B"/>
    <w:rsid w:val="00D60CD1"/>
    <w:rsid w:val="00D634C9"/>
    <w:rsid w:val="00D63AC2"/>
    <w:rsid w:val="00D7081A"/>
    <w:rsid w:val="00D7383B"/>
    <w:rsid w:val="00D7788A"/>
    <w:rsid w:val="00D9426C"/>
    <w:rsid w:val="00DA231B"/>
    <w:rsid w:val="00DC0E60"/>
    <w:rsid w:val="00DC39FC"/>
    <w:rsid w:val="00DD19A2"/>
    <w:rsid w:val="00DD35FB"/>
    <w:rsid w:val="00DF5254"/>
    <w:rsid w:val="00E002F3"/>
    <w:rsid w:val="00E02524"/>
    <w:rsid w:val="00E05700"/>
    <w:rsid w:val="00E16408"/>
    <w:rsid w:val="00E20894"/>
    <w:rsid w:val="00E245AB"/>
    <w:rsid w:val="00E2764C"/>
    <w:rsid w:val="00E27B06"/>
    <w:rsid w:val="00E27F2E"/>
    <w:rsid w:val="00E3380F"/>
    <w:rsid w:val="00E37E10"/>
    <w:rsid w:val="00E42113"/>
    <w:rsid w:val="00E50AFE"/>
    <w:rsid w:val="00E62E3D"/>
    <w:rsid w:val="00E73E54"/>
    <w:rsid w:val="00E75C92"/>
    <w:rsid w:val="00E771DC"/>
    <w:rsid w:val="00E8772A"/>
    <w:rsid w:val="00E90F6B"/>
    <w:rsid w:val="00E92C27"/>
    <w:rsid w:val="00E95C78"/>
    <w:rsid w:val="00E96047"/>
    <w:rsid w:val="00E96EDC"/>
    <w:rsid w:val="00EA0E3D"/>
    <w:rsid w:val="00EA1134"/>
    <w:rsid w:val="00EB3255"/>
    <w:rsid w:val="00EC38A7"/>
    <w:rsid w:val="00EC5FDC"/>
    <w:rsid w:val="00ED30C1"/>
    <w:rsid w:val="00ED51B0"/>
    <w:rsid w:val="00EE1AA8"/>
    <w:rsid w:val="00EE4BCC"/>
    <w:rsid w:val="00F11562"/>
    <w:rsid w:val="00F23FEA"/>
    <w:rsid w:val="00F31EDC"/>
    <w:rsid w:val="00F34CAC"/>
    <w:rsid w:val="00F40B8D"/>
    <w:rsid w:val="00F414FA"/>
    <w:rsid w:val="00F4197D"/>
    <w:rsid w:val="00F42CDF"/>
    <w:rsid w:val="00F462B3"/>
    <w:rsid w:val="00F5187B"/>
    <w:rsid w:val="00F5664F"/>
    <w:rsid w:val="00F64B69"/>
    <w:rsid w:val="00F666C4"/>
    <w:rsid w:val="00F76AFC"/>
    <w:rsid w:val="00FA4688"/>
    <w:rsid w:val="00FA47C0"/>
    <w:rsid w:val="00FB5DD1"/>
    <w:rsid w:val="00FC2B5D"/>
    <w:rsid w:val="00FD0FB6"/>
    <w:rsid w:val="00FD6639"/>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7393D2E"/>
    <w:rsid w:val="69614A15"/>
    <w:rsid w:val="731A4B47"/>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4B7563-865C-480C-9B66-B986AA144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465DE7"/>
    <w:rPr>
      <w:rFonts w:ascii="Geomanist Light" w:hAnsi="Geomanist Light"/>
      <w:lang w:val="es-ES"/>
    </w:rPr>
  </w:style>
  <w:style w:type="paragraph" w:customStyle="1" w:styleId="Appelnotedebasde">
    <w:name w:val="Appel note de bas de..."/>
    <w:basedOn w:val="Normal"/>
    <w:link w:val="Refdenotaalpie"/>
    <w:uiPriority w:val="99"/>
    <w:rsid w:val="00E73E54"/>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770009268">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ulianfelipe1304@hotam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s.office.com/r/pPHyWVs2SZ"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DE1DAD7F-7B18-4DAA-93F9-5FC541ABFC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6522257-0439-41B6-9655-BC97B35D8E96}">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28</TotalTime>
  <Pages>18</Pages>
  <Words>5047</Words>
  <Characters>26751</Characters>
  <Application>Microsoft Office Word</Application>
  <DocSecurity>0</DocSecurity>
  <Lines>569</Lines>
  <Paragraphs>117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31681</CharactersWithSpaces>
  <SharedDoc>false</SharedDoc>
  <HLinks>
    <vt:vector size="18" baseType="variant">
      <vt:variant>
        <vt:i4>4456513</vt:i4>
      </vt:variant>
      <vt:variant>
        <vt:i4>6</vt:i4>
      </vt:variant>
      <vt:variant>
        <vt:i4>0</vt:i4>
      </vt:variant>
      <vt:variant>
        <vt:i4>5</vt:i4>
      </vt:variant>
      <vt:variant>
        <vt:lpwstr>https://forms.office.com/r/pPHyWVs2SZ</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1572904</vt:i4>
      </vt:variant>
      <vt:variant>
        <vt:i4>0</vt:i4>
      </vt:variant>
      <vt:variant>
        <vt:i4>0</vt:i4>
      </vt:variant>
      <vt:variant>
        <vt:i4>5</vt:i4>
      </vt:variant>
      <vt:variant>
        <vt:lpwstr>mailto:Julianfelipe1304@hotamil.com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9</cp:revision>
  <cp:lastPrinted>2023-01-10T18:18:00Z</cp:lastPrinted>
  <dcterms:created xsi:type="dcterms:W3CDTF">2026-02-24T22:04:00Z</dcterms:created>
  <dcterms:modified xsi:type="dcterms:W3CDTF">2026-02-27T22:36:00Z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