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EE8FB5" w14:textId="77777777" w:rsidR="003510AC" w:rsidRDefault="003510AC" w:rsidP="003510AC">
      <w:pPr>
        <w:spacing w:after="0" w:line="240" w:lineRule="auto"/>
        <w:jc w:val="both"/>
        <w:rPr>
          <w:rFonts w:ascii="Verdana" w:hAnsi="Verdana" w:cs="Arial"/>
          <w:b/>
          <w:bCs/>
          <w:color w:val="000000" w:themeColor="text1"/>
        </w:rPr>
      </w:pPr>
      <w:bookmarkStart w:id="0" w:name="_Hlk143780582"/>
      <w:bookmarkStart w:id="1" w:name="_Hlk214366482"/>
      <w:r w:rsidRPr="00D721C1">
        <w:rPr>
          <w:rFonts w:ascii="Verdana" w:hAnsi="Verdana" w:cs="Arial"/>
          <w:b/>
          <w:bCs/>
          <w:color w:val="000000" w:themeColor="text1"/>
        </w:rPr>
        <w:t xml:space="preserve">REQUISITOS DE PERFECCIONAMIENTO DEL CONTRATO – Alcance </w:t>
      </w:r>
    </w:p>
    <w:p w14:paraId="030BE554" w14:textId="77777777" w:rsidR="003510AC" w:rsidRDefault="003510AC" w:rsidP="003510AC">
      <w:pPr>
        <w:spacing w:after="0" w:line="240" w:lineRule="auto"/>
        <w:jc w:val="both"/>
        <w:rPr>
          <w:rFonts w:ascii="Verdana" w:hAnsi="Verdana" w:cs="Arial"/>
          <w:b/>
          <w:bCs/>
          <w:color w:val="000000" w:themeColor="text1"/>
        </w:rPr>
      </w:pPr>
    </w:p>
    <w:p w14:paraId="7A69816F" w14:textId="77777777" w:rsidR="003510AC" w:rsidRPr="00D32259" w:rsidRDefault="003510AC" w:rsidP="003510AC">
      <w:pPr>
        <w:spacing w:after="0" w:line="240" w:lineRule="auto"/>
        <w:jc w:val="both"/>
        <w:rPr>
          <w:rFonts w:ascii="Verdana" w:hAnsi="Verdana" w:cs="Arial"/>
          <w:b/>
          <w:bCs/>
          <w:color w:val="000000" w:themeColor="text1"/>
        </w:rPr>
      </w:pPr>
      <w:r w:rsidRPr="00D721C1">
        <w:rPr>
          <w:rFonts w:ascii="Verdana" w:eastAsia="Calibri" w:hAnsi="Verdana" w:cs="Arial"/>
          <w:color w:val="000000"/>
          <w:sz w:val="20"/>
          <w:szCs w:val="20"/>
          <w:lang w:val="es-ES" w:eastAsia="en-GB"/>
        </w:rPr>
        <w:t xml:space="preserve">Los </w:t>
      </w:r>
      <w:r w:rsidRPr="00D721C1">
        <w:rPr>
          <w:rFonts w:ascii="Verdana" w:eastAsia="Calibri" w:hAnsi="Verdana" w:cs="Arial"/>
          <w:i/>
          <w:iCs/>
          <w:color w:val="000000"/>
          <w:sz w:val="20"/>
          <w:szCs w:val="20"/>
          <w:lang w:val="es-ES" w:eastAsia="en-GB"/>
        </w:rPr>
        <w:t>requisitos de perfeccionamiento</w:t>
      </w:r>
      <w:r w:rsidRPr="00D721C1">
        <w:rPr>
          <w:rFonts w:ascii="Verdana" w:eastAsia="Calibri" w:hAnsi="Verdana" w:cs="Arial"/>
          <w:color w:val="000000"/>
          <w:sz w:val="20"/>
          <w:szCs w:val="20"/>
          <w:lang w:val="es-ES" w:eastAsia="en-GB"/>
        </w:rPr>
        <w:t xml:space="preserve"> del contrato estatal son mandatos normativos que determinan cuándo se entiende celebrado. Es decir, se trata de prescripciones que establecen en qué momento existe el contrato. </w:t>
      </w:r>
    </w:p>
    <w:p w14:paraId="3C9768D3" w14:textId="77777777" w:rsidR="003510AC" w:rsidRDefault="003510AC" w:rsidP="003510AC">
      <w:pPr>
        <w:spacing w:after="0" w:line="240" w:lineRule="auto"/>
        <w:jc w:val="both"/>
        <w:rPr>
          <w:rFonts w:ascii="Verdana" w:hAnsi="Verdana" w:cs="Arial"/>
          <w:b/>
          <w:bCs/>
          <w:color w:val="000000" w:themeColor="text1"/>
        </w:rPr>
      </w:pPr>
    </w:p>
    <w:p w14:paraId="179D4DFB" w14:textId="77777777" w:rsidR="003510AC" w:rsidRDefault="003510AC" w:rsidP="003510AC">
      <w:pPr>
        <w:spacing w:after="0" w:line="240" w:lineRule="auto"/>
        <w:jc w:val="both"/>
        <w:rPr>
          <w:rFonts w:ascii="Verdana" w:hAnsi="Verdana" w:cs="Arial"/>
          <w:b/>
          <w:bCs/>
          <w:color w:val="000000" w:themeColor="text1"/>
        </w:rPr>
      </w:pPr>
      <w:r w:rsidRPr="00D721C1">
        <w:rPr>
          <w:rFonts w:ascii="Verdana" w:hAnsi="Verdana" w:cs="Arial"/>
          <w:b/>
          <w:bCs/>
          <w:color w:val="000000" w:themeColor="text1"/>
        </w:rPr>
        <w:t xml:space="preserve">ELEMENTOS DEL CONTRATO – Esencia - Naturaleza – Accidentales </w:t>
      </w:r>
    </w:p>
    <w:p w14:paraId="08C55C2C" w14:textId="77777777" w:rsidR="003510AC" w:rsidRDefault="003510AC" w:rsidP="003510AC">
      <w:pPr>
        <w:spacing w:after="0" w:line="240" w:lineRule="auto"/>
        <w:jc w:val="both"/>
        <w:rPr>
          <w:rFonts w:ascii="Verdana" w:hAnsi="Verdana" w:cs="Arial"/>
          <w:b/>
          <w:bCs/>
          <w:color w:val="000000" w:themeColor="text1"/>
        </w:rPr>
      </w:pPr>
    </w:p>
    <w:p w14:paraId="166DAA20" w14:textId="77777777" w:rsidR="003510AC" w:rsidRPr="00D32259" w:rsidRDefault="003510AC" w:rsidP="003510AC">
      <w:pPr>
        <w:spacing w:after="0" w:line="240" w:lineRule="auto"/>
        <w:jc w:val="both"/>
        <w:rPr>
          <w:rFonts w:ascii="Verdana" w:hAnsi="Verdana" w:cs="Arial"/>
          <w:b/>
          <w:bCs/>
          <w:color w:val="000000" w:themeColor="text1"/>
        </w:rPr>
      </w:pPr>
      <w:r w:rsidRPr="00D721C1">
        <w:rPr>
          <w:rFonts w:ascii="Verdana" w:eastAsia="Calibri" w:hAnsi="Verdana" w:cs="Arial"/>
          <w:color w:val="000000"/>
          <w:sz w:val="20"/>
          <w:szCs w:val="20"/>
          <w:lang w:val="es-ES" w:eastAsia="en-GB"/>
        </w:rPr>
        <w:t>Según el artículo 1.501 del Código Civil, todo contrato se caracteriza por tener tres elementos: los de la esencia, los de la naturaleza y los accidentales. Los de la esencia son aquellos que, al cumplirse, marcan la existencia del contrato y le otorgan su identidad o tipología, permitiendo que no se confunda con otro contrato. Los de la naturaleza son aquellos que, no siendo esenciales al contrato, se entienden incorporados por ministerio de la ley, aun ante el silencio de las partes. Y los accidentales son los que las partes agregan en ejercicio de su autonomía de la voluntad, ya que no son ni esenciales, ni de la naturaleza del contrato. Los requisitos de perfeccionamiento del contrato estatal ingresan dentro de los elementos de la esencia.</w:t>
      </w:r>
    </w:p>
    <w:p w14:paraId="08245290" w14:textId="77777777" w:rsidR="003510AC" w:rsidRDefault="003510AC" w:rsidP="003510AC">
      <w:pPr>
        <w:spacing w:after="0" w:line="240" w:lineRule="auto"/>
        <w:jc w:val="both"/>
        <w:rPr>
          <w:rFonts w:ascii="Verdana" w:hAnsi="Verdana" w:cs="Arial"/>
          <w:b/>
          <w:bCs/>
          <w:color w:val="000000" w:themeColor="text1"/>
        </w:rPr>
      </w:pPr>
    </w:p>
    <w:p w14:paraId="748015FB" w14:textId="77777777" w:rsidR="003510AC" w:rsidRDefault="003510AC" w:rsidP="003510AC">
      <w:pPr>
        <w:spacing w:after="0" w:line="240" w:lineRule="auto"/>
        <w:jc w:val="both"/>
        <w:rPr>
          <w:rFonts w:ascii="Verdana" w:hAnsi="Verdana" w:cs="Arial"/>
          <w:b/>
          <w:bCs/>
          <w:color w:val="000000" w:themeColor="text1"/>
        </w:rPr>
      </w:pPr>
      <w:r w:rsidRPr="00D721C1">
        <w:rPr>
          <w:rFonts w:ascii="Verdana" w:hAnsi="Verdana" w:cs="Arial"/>
          <w:b/>
          <w:bCs/>
          <w:color w:val="000000" w:themeColor="text1"/>
        </w:rPr>
        <w:t xml:space="preserve">NATURALEZA DEL CONTRATO- Consensual – Real – Solemne </w:t>
      </w:r>
    </w:p>
    <w:p w14:paraId="70D83CCF" w14:textId="77777777" w:rsidR="003510AC" w:rsidRDefault="003510AC" w:rsidP="003510AC">
      <w:pPr>
        <w:spacing w:after="0" w:line="240" w:lineRule="auto"/>
        <w:jc w:val="both"/>
        <w:rPr>
          <w:rFonts w:ascii="Verdana" w:hAnsi="Verdana" w:cs="Arial"/>
          <w:b/>
          <w:bCs/>
          <w:color w:val="000000" w:themeColor="text1"/>
        </w:rPr>
      </w:pPr>
    </w:p>
    <w:p w14:paraId="32A1D081" w14:textId="77777777" w:rsidR="003510AC" w:rsidRDefault="003510AC" w:rsidP="003510AC">
      <w:pPr>
        <w:spacing w:after="0" w:line="240" w:lineRule="auto"/>
        <w:jc w:val="both"/>
        <w:rPr>
          <w:rFonts w:ascii="Verdana" w:eastAsia="Calibri" w:hAnsi="Verdana" w:cs="Arial"/>
          <w:color w:val="000000"/>
          <w:sz w:val="20"/>
          <w:szCs w:val="20"/>
          <w:lang w:val="es-ES" w:eastAsia="en-GB"/>
        </w:rPr>
      </w:pPr>
      <w:r w:rsidRPr="00D721C1">
        <w:rPr>
          <w:rFonts w:ascii="Verdana" w:eastAsia="Calibri" w:hAnsi="Verdana" w:cs="Arial"/>
          <w:color w:val="000000"/>
          <w:sz w:val="20"/>
          <w:szCs w:val="20"/>
          <w:lang w:val="es-ES" w:eastAsia="en-GB"/>
        </w:rPr>
        <w:t xml:space="preserve">[…] los contratos –en términos generales– pueden ser: consensuales, reales o solemnes. Son </w:t>
      </w:r>
      <w:r w:rsidRPr="00D721C1">
        <w:rPr>
          <w:rFonts w:ascii="Verdana" w:eastAsia="Calibri" w:hAnsi="Verdana" w:cs="Arial"/>
          <w:i/>
          <w:iCs/>
          <w:color w:val="000000"/>
          <w:sz w:val="20"/>
          <w:szCs w:val="20"/>
          <w:lang w:val="es-ES" w:eastAsia="en-GB"/>
        </w:rPr>
        <w:t>consensuales</w:t>
      </w:r>
      <w:r w:rsidRPr="00D721C1">
        <w:rPr>
          <w:rFonts w:ascii="Verdana" w:eastAsia="Calibri" w:hAnsi="Verdana" w:cs="Arial"/>
          <w:color w:val="000000"/>
          <w:sz w:val="20"/>
          <w:szCs w:val="20"/>
          <w:lang w:val="es-ES" w:eastAsia="en-GB"/>
        </w:rPr>
        <w:t xml:space="preserve"> los que se perfeccionan con el consentimiento informal, pues no requieren de formalidades especiales. Son </w:t>
      </w:r>
      <w:r w:rsidRPr="00D721C1">
        <w:rPr>
          <w:rFonts w:ascii="Verdana" w:eastAsia="Calibri" w:hAnsi="Verdana" w:cs="Arial"/>
          <w:i/>
          <w:iCs/>
          <w:color w:val="000000"/>
          <w:sz w:val="20"/>
          <w:szCs w:val="20"/>
          <w:lang w:val="es-ES" w:eastAsia="en-GB"/>
        </w:rPr>
        <w:t>reales</w:t>
      </w:r>
      <w:r w:rsidRPr="00D721C1">
        <w:rPr>
          <w:rFonts w:ascii="Verdana" w:eastAsia="Calibri" w:hAnsi="Verdana" w:cs="Arial"/>
          <w:color w:val="000000"/>
          <w:sz w:val="20"/>
          <w:szCs w:val="20"/>
          <w:lang w:val="es-ES" w:eastAsia="en-GB"/>
        </w:rPr>
        <w:t xml:space="preserve"> aquellos que existen solo con la tradición o entrega de una cosa. Por su parte, son </w:t>
      </w:r>
      <w:r w:rsidRPr="00D721C1">
        <w:rPr>
          <w:rFonts w:ascii="Verdana" w:eastAsia="Calibri" w:hAnsi="Verdana" w:cs="Arial"/>
          <w:i/>
          <w:iCs/>
          <w:color w:val="000000"/>
          <w:sz w:val="20"/>
          <w:szCs w:val="20"/>
          <w:lang w:val="es-ES" w:eastAsia="en-GB"/>
        </w:rPr>
        <w:t>solemnes</w:t>
      </w:r>
      <w:r w:rsidRPr="00D721C1">
        <w:rPr>
          <w:rFonts w:ascii="Verdana" w:eastAsia="Calibri" w:hAnsi="Verdana" w:cs="Arial"/>
          <w:color w:val="000000"/>
          <w:sz w:val="20"/>
          <w:szCs w:val="20"/>
          <w:lang w:val="es-ES" w:eastAsia="en-GB"/>
        </w:rPr>
        <w:t>, en cambio, aquellos contratos cuyo perfeccionamiento está revestido del cumplimiento de exigencias formales o ritualidades específicas. Pues bien, los contratos estatales regulados por el ECGAP, por regla general, son solemnes, ya que solo se entienden celebrados si se cumplen ciertas formalidades.</w:t>
      </w:r>
    </w:p>
    <w:p w14:paraId="04C8AFB8" w14:textId="77777777" w:rsidR="003510AC" w:rsidRDefault="003510AC" w:rsidP="003510AC">
      <w:pPr>
        <w:spacing w:after="0" w:line="240" w:lineRule="auto"/>
        <w:jc w:val="both"/>
        <w:rPr>
          <w:rFonts w:ascii="Verdana" w:eastAsia="Calibri" w:hAnsi="Verdana" w:cs="Arial"/>
          <w:color w:val="000000"/>
          <w:sz w:val="20"/>
          <w:szCs w:val="20"/>
          <w:lang w:val="es-ES" w:eastAsia="en-GB"/>
        </w:rPr>
      </w:pPr>
    </w:p>
    <w:p w14:paraId="2209EAEE" w14:textId="77777777" w:rsidR="003510AC" w:rsidRDefault="003510AC" w:rsidP="003510AC">
      <w:pPr>
        <w:spacing w:after="0" w:line="240" w:lineRule="auto"/>
        <w:jc w:val="both"/>
        <w:rPr>
          <w:rFonts w:ascii="Verdana" w:hAnsi="Verdana" w:cs="Arial"/>
          <w:b/>
          <w:bCs/>
          <w:color w:val="000000" w:themeColor="text1"/>
        </w:rPr>
      </w:pPr>
      <w:r w:rsidRPr="00D721C1">
        <w:rPr>
          <w:rFonts w:ascii="Verdana" w:hAnsi="Verdana" w:cs="Arial"/>
          <w:b/>
          <w:bCs/>
          <w:color w:val="000000" w:themeColor="text1"/>
        </w:rPr>
        <w:t>CONTRATO ESTATAL – Requisitos de perfeccionamiento y de ejecución – Ley 80 de 1993 artículo 41</w:t>
      </w:r>
    </w:p>
    <w:p w14:paraId="71867211" w14:textId="77777777" w:rsidR="003510AC" w:rsidRDefault="003510AC" w:rsidP="003510AC">
      <w:pPr>
        <w:spacing w:after="0" w:line="240" w:lineRule="auto"/>
        <w:jc w:val="both"/>
        <w:rPr>
          <w:rFonts w:ascii="Verdana" w:hAnsi="Verdana" w:cs="Arial"/>
          <w:b/>
          <w:bCs/>
          <w:color w:val="000000" w:themeColor="text1"/>
        </w:rPr>
      </w:pPr>
    </w:p>
    <w:p w14:paraId="4DD2EC90" w14:textId="77777777" w:rsidR="003510AC" w:rsidRDefault="003510AC" w:rsidP="003510AC">
      <w:pPr>
        <w:spacing w:after="0" w:line="240" w:lineRule="auto"/>
        <w:jc w:val="both"/>
        <w:rPr>
          <w:rFonts w:ascii="Verdana" w:hAnsi="Verdana" w:cs="Arial"/>
          <w:b/>
          <w:bCs/>
          <w:color w:val="000000" w:themeColor="text1"/>
        </w:rPr>
      </w:pPr>
      <w:r w:rsidRPr="00D721C1">
        <w:rPr>
          <w:rFonts w:ascii="Verdana" w:eastAsia="Calibri" w:hAnsi="Verdana" w:cs="Arial"/>
          <w:color w:val="000000"/>
          <w:sz w:val="20"/>
          <w:szCs w:val="20"/>
          <w:lang w:val="es-ES" w:eastAsia="en-GB"/>
        </w:rPr>
        <w:t xml:space="preserve">[…] el primer inciso del artículo 41 de la Ley 80 de 1993 establece que “Los contratos del Estado se perfeccionan cuando se logre acuerdo sobre el objeto y la contraprestación y éste se eleve a escrito”. Como se advierte, el legislador dispuso que para que el contrato estatal exista, no solo debe haber un acuerdo sobra la obligación principal del negocio –es decir, sobre el “objeto”– y sobre la contraprestación, sino que se debe plasmar por escrito. Tal circunstancia le ha permitido a la doctrina concluir que el contrato estatal regulado en el EGCAP es “(…) principalmente, </w:t>
      </w:r>
      <w:r w:rsidRPr="00D721C1">
        <w:rPr>
          <w:rFonts w:ascii="Verdana" w:eastAsia="Calibri" w:hAnsi="Verdana" w:cs="Arial"/>
          <w:i/>
          <w:iCs/>
          <w:color w:val="000000"/>
          <w:sz w:val="20"/>
          <w:szCs w:val="20"/>
          <w:lang w:val="es-ES" w:eastAsia="en-GB"/>
        </w:rPr>
        <w:t>solemne,</w:t>
      </w:r>
      <w:r w:rsidRPr="00D721C1">
        <w:rPr>
          <w:rFonts w:ascii="Verdana" w:eastAsia="Calibri" w:hAnsi="Verdana" w:cs="Arial"/>
          <w:color w:val="000000"/>
          <w:sz w:val="20"/>
          <w:szCs w:val="20"/>
          <w:lang w:val="es-ES" w:eastAsia="en-GB"/>
        </w:rPr>
        <w:t xml:space="preserve"> ya que la manifestación de voluntad, si no se expresa bajo la forma </w:t>
      </w:r>
      <w:r w:rsidRPr="00D721C1">
        <w:rPr>
          <w:rFonts w:ascii="Verdana" w:eastAsia="Calibri" w:hAnsi="Verdana" w:cs="Arial"/>
          <w:i/>
          <w:iCs/>
          <w:color w:val="000000"/>
          <w:sz w:val="20"/>
          <w:szCs w:val="20"/>
          <w:lang w:val="es-ES" w:eastAsia="en-GB"/>
        </w:rPr>
        <w:t xml:space="preserve">ad </w:t>
      </w:r>
      <w:proofErr w:type="spellStart"/>
      <w:r w:rsidRPr="00D721C1">
        <w:rPr>
          <w:rFonts w:ascii="Verdana" w:eastAsia="Calibri" w:hAnsi="Verdana" w:cs="Arial"/>
          <w:i/>
          <w:iCs/>
          <w:color w:val="000000"/>
          <w:sz w:val="20"/>
          <w:szCs w:val="20"/>
          <w:lang w:val="es-ES" w:eastAsia="en-GB"/>
        </w:rPr>
        <w:t>solemnitatem</w:t>
      </w:r>
      <w:proofErr w:type="spellEnd"/>
      <w:r w:rsidRPr="00D721C1">
        <w:rPr>
          <w:rFonts w:ascii="Verdana" w:eastAsia="Calibri" w:hAnsi="Verdana" w:cs="Arial"/>
          <w:color w:val="000000"/>
          <w:sz w:val="20"/>
          <w:szCs w:val="20"/>
          <w:lang w:val="es-ES" w:eastAsia="en-GB"/>
        </w:rPr>
        <w:t xml:space="preserve"> o </w:t>
      </w:r>
      <w:r w:rsidRPr="00D721C1">
        <w:rPr>
          <w:rFonts w:ascii="Verdana" w:eastAsia="Calibri" w:hAnsi="Verdana" w:cs="Arial"/>
          <w:i/>
          <w:iCs/>
          <w:color w:val="000000"/>
          <w:sz w:val="20"/>
          <w:szCs w:val="20"/>
          <w:lang w:val="es-ES" w:eastAsia="en-GB"/>
        </w:rPr>
        <w:t xml:space="preserve">ad </w:t>
      </w:r>
      <w:proofErr w:type="spellStart"/>
      <w:r w:rsidRPr="00D721C1">
        <w:rPr>
          <w:rFonts w:ascii="Verdana" w:eastAsia="Calibri" w:hAnsi="Verdana" w:cs="Arial"/>
          <w:i/>
          <w:iCs/>
          <w:color w:val="000000"/>
          <w:sz w:val="20"/>
          <w:szCs w:val="20"/>
          <w:lang w:val="es-ES" w:eastAsia="en-GB"/>
        </w:rPr>
        <w:t>substantiam</w:t>
      </w:r>
      <w:proofErr w:type="spellEnd"/>
      <w:r w:rsidRPr="00D721C1">
        <w:rPr>
          <w:rFonts w:ascii="Verdana" w:eastAsia="Calibri" w:hAnsi="Verdana" w:cs="Arial"/>
          <w:i/>
          <w:iCs/>
          <w:color w:val="000000"/>
          <w:sz w:val="20"/>
          <w:szCs w:val="20"/>
          <w:lang w:val="es-ES" w:eastAsia="en-GB"/>
        </w:rPr>
        <w:t xml:space="preserve"> </w:t>
      </w:r>
      <w:proofErr w:type="spellStart"/>
      <w:r w:rsidRPr="00D721C1">
        <w:rPr>
          <w:rFonts w:ascii="Verdana" w:eastAsia="Calibri" w:hAnsi="Verdana" w:cs="Arial"/>
          <w:i/>
          <w:iCs/>
          <w:color w:val="000000"/>
          <w:sz w:val="20"/>
          <w:szCs w:val="20"/>
          <w:lang w:val="es-ES" w:eastAsia="en-GB"/>
        </w:rPr>
        <w:t>actus</w:t>
      </w:r>
      <w:proofErr w:type="spellEnd"/>
      <w:r w:rsidRPr="00D721C1">
        <w:rPr>
          <w:rFonts w:ascii="Verdana" w:eastAsia="Calibri" w:hAnsi="Verdana" w:cs="Arial"/>
          <w:color w:val="000000"/>
          <w:sz w:val="20"/>
          <w:szCs w:val="20"/>
          <w:lang w:val="es-ES" w:eastAsia="en-GB"/>
        </w:rPr>
        <w:t xml:space="preserve"> exigida por la ley, es inexistente, es decir, se entiende que el contrato jamás ha sido creado para el mundo jurídico”. </w:t>
      </w:r>
    </w:p>
    <w:p w14:paraId="2FCA29DA" w14:textId="77777777" w:rsidR="003510AC" w:rsidRPr="00D32259" w:rsidRDefault="003510AC" w:rsidP="003510AC">
      <w:pPr>
        <w:spacing w:after="0" w:line="240" w:lineRule="auto"/>
        <w:jc w:val="both"/>
        <w:rPr>
          <w:rFonts w:ascii="Verdana" w:hAnsi="Verdana" w:cs="Arial"/>
          <w:b/>
          <w:bCs/>
          <w:color w:val="000000" w:themeColor="text1"/>
        </w:rPr>
      </w:pPr>
    </w:p>
    <w:p w14:paraId="79B46C5B" w14:textId="77777777" w:rsidR="003510AC" w:rsidRDefault="003510AC" w:rsidP="003510AC">
      <w:pPr>
        <w:spacing w:after="120" w:line="276" w:lineRule="auto"/>
        <w:jc w:val="both"/>
        <w:rPr>
          <w:rFonts w:ascii="Verdana" w:eastAsia="Calibri" w:hAnsi="Verdana" w:cs="Arial"/>
          <w:color w:val="000000" w:themeColor="text1"/>
          <w:sz w:val="20"/>
          <w:szCs w:val="20"/>
          <w:lang w:val="es-ES" w:eastAsia="en-GB"/>
        </w:rPr>
      </w:pPr>
      <w:r w:rsidRPr="00D721C1">
        <w:rPr>
          <w:rFonts w:ascii="Verdana" w:eastAsia="Calibri" w:hAnsi="Verdana" w:cs="Arial"/>
          <w:color w:val="000000" w:themeColor="text1"/>
          <w:sz w:val="20"/>
          <w:szCs w:val="20"/>
          <w:lang w:val="es-ES" w:eastAsia="en-GB"/>
        </w:rPr>
        <w:t>[…</w:t>
      </w:r>
      <w:r>
        <w:rPr>
          <w:rFonts w:ascii="Verdana" w:eastAsia="Calibri" w:hAnsi="Verdana" w:cs="Arial"/>
          <w:color w:val="000000" w:themeColor="text1"/>
          <w:sz w:val="20"/>
          <w:szCs w:val="20"/>
          <w:lang w:val="es-ES" w:eastAsia="en-GB"/>
        </w:rPr>
        <w:t>]</w:t>
      </w:r>
    </w:p>
    <w:p w14:paraId="19ADC8EF" w14:textId="77777777" w:rsidR="003510AC" w:rsidRPr="00D32259" w:rsidRDefault="003510AC" w:rsidP="003510AC">
      <w:pPr>
        <w:spacing w:after="0" w:line="240" w:lineRule="auto"/>
        <w:jc w:val="both"/>
        <w:rPr>
          <w:rFonts w:ascii="Verdana" w:eastAsia="Calibri" w:hAnsi="Verdana" w:cs="Arial"/>
          <w:color w:val="000000" w:themeColor="text1"/>
          <w:sz w:val="20"/>
          <w:szCs w:val="20"/>
          <w:lang w:val="es-ES" w:eastAsia="en-GB"/>
        </w:rPr>
      </w:pPr>
      <w:r w:rsidRPr="00D721C1">
        <w:rPr>
          <w:rFonts w:ascii="Verdana" w:eastAsia="Calibri" w:hAnsi="Verdana" w:cs="Arial"/>
          <w:color w:val="000000" w:themeColor="text1"/>
          <w:sz w:val="20"/>
          <w:szCs w:val="20"/>
          <w:lang w:val="es-ES" w:eastAsia="en-GB"/>
        </w:rPr>
        <w:lastRenderedPageBreak/>
        <w:t>Los requisitos de ejecución de los contratos estatales pueden ser “legales” o “convencionales”. Los primeros son aquellos que se encuentran previstos en la ley. Los segundos son estipulados por las partes. En otros términos, los requisitos legales de ejecución son elementos de la naturaleza, mientras que los requisitos convencionales de ejecución son elementos accidentales.</w:t>
      </w:r>
    </w:p>
    <w:p w14:paraId="3B0245A0" w14:textId="77777777" w:rsidR="003510AC" w:rsidRDefault="003510AC" w:rsidP="003510AC">
      <w:pPr>
        <w:spacing w:after="0" w:line="240" w:lineRule="auto"/>
        <w:jc w:val="both"/>
        <w:rPr>
          <w:rFonts w:ascii="Verdana" w:hAnsi="Verdana" w:cs="Arial"/>
          <w:b/>
          <w:bCs/>
          <w:color w:val="000000" w:themeColor="text1"/>
        </w:rPr>
      </w:pPr>
    </w:p>
    <w:p w14:paraId="6135EBEE" w14:textId="77777777" w:rsidR="003510AC" w:rsidRDefault="003510AC" w:rsidP="003510AC">
      <w:pPr>
        <w:spacing w:after="0" w:line="240" w:lineRule="auto"/>
        <w:jc w:val="both"/>
        <w:rPr>
          <w:rFonts w:ascii="Verdana" w:hAnsi="Verdana" w:cs="Arial"/>
          <w:b/>
          <w:bCs/>
          <w:color w:val="000000" w:themeColor="text1"/>
        </w:rPr>
      </w:pPr>
      <w:r w:rsidRPr="00D721C1">
        <w:rPr>
          <w:rFonts w:ascii="Verdana" w:hAnsi="Verdana" w:cs="Arial"/>
          <w:b/>
          <w:bCs/>
          <w:color w:val="000000" w:themeColor="text1"/>
        </w:rPr>
        <w:t xml:space="preserve">REQUISITOS DE EJECUCIÓN DEL CONTRATO ESTATAL – Naturaleza </w:t>
      </w:r>
    </w:p>
    <w:p w14:paraId="6CA8FD5F" w14:textId="77777777" w:rsidR="003510AC" w:rsidRDefault="003510AC" w:rsidP="003510AC">
      <w:pPr>
        <w:spacing w:after="0" w:line="240" w:lineRule="auto"/>
        <w:jc w:val="both"/>
        <w:rPr>
          <w:rFonts w:ascii="Verdana" w:hAnsi="Verdana" w:cs="Arial"/>
          <w:b/>
          <w:bCs/>
          <w:color w:val="000000" w:themeColor="text1"/>
        </w:rPr>
      </w:pPr>
    </w:p>
    <w:p w14:paraId="2A0D25A4" w14:textId="77777777" w:rsidR="003510AC" w:rsidRPr="00D721C1" w:rsidRDefault="003510AC" w:rsidP="003510AC">
      <w:pPr>
        <w:spacing w:after="0" w:line="240" w:lineRule="auto"/>
        <w:jc w:val="both"/>
        <w:rPr>
          <w:rFonts w:ascii="Verdana" w:eastAsia="Calibri" w:hAnsi="Verdana" w:cs="Arial"/>
          <w:color w:val="000000"/>
          <w:sz w:val="20"/>
          <w:szCs w:val="20"/>
          <w:lang w:val="es-ES" w:eastAsia="en-GB"/>
        </w:rPr>
      </w:pPr>
      <w:r w:rsidRPr="00D721C1">
        <w:rPr>
          <w:rFonts w:ascii="Verdana" w:eastAsia="Calibri" w:hAnsi="Verdana" w:cs="Arial"/>
          <w:color w:val="000000" w:themeColor="text1"/>
          <w:sz w:val="20"/>
          <w:szCs w:val="20"/>
          <w:lang w:val="es-ES" w:eastAsia="en-GB"/>
        </w:rPr>
        <w:t xml:space="preserve">[…] los requisitos legales de ejecución son: i) la aprobación de las garantías exigidas en el contrato, </w:t>
      </w:r>
      <w:proofErr w:type="spellStart"/>
      <w:r w:rsidRPr="00D721C1">
        <w:rPr>
          <w:rFonts w:ascii="Verdana" w:eastAsia="Calibri" w:hAnsi="Verdana" w:cs="Arial"/>
          <w:color w:val="000000" w:themeColor="text1"/>
          <w:sz w:val="20"/>
          <w:szCs w:val="20"/>
          <w:lang w:val="es-ES" w:eastAsia="en-GB"/>
        </w:rPr>
        <w:t>ii</w:t>
      </w:r>
      <w:proofErr w:type="spellEnd"/>
      <w:r w:rsidRPr="00D721C1">
        <w:rPr>
          <w:rFonts w:ascii="Verdana" w:eastAsia="Calibri" w:hAnsi="Verdana" w:cs="Arial"/>
          <w:color w:val="000000" w:themeColor="text1"/>
          <w:sz w:val="20"/>
          <w:szCs w:val="20"/>
          <w:lang w:val="es-ES" w:eastAsia="en-GB"/>
        </w:rPr>
        <w:t xml:space="preserve">) la existencia de la apropiación presupuestal correspondiente y </w:t>
      </w:r>
      <w:proofErr w:type="spellStart"/>
      <w:r w:rsidRPr="00D721C1">
        <w:rPr>
          <w:rFonts w:ascii="Verdana" w:eastAsia="Calibri" w:hAnsi="Verdana" w:cs="Arial"/>
          <w:color w:val="000000" w:themeColor="text1"/>
          <w:sz w:val="20"/>
          <w:szCs w:val="20"/>
          <w:lang w:val="es-ES" w:eastAsia="en-GB"/>
        </w:rPr>
        <w:t>iii</w:t>
      </w:r>
      <w:proofErr w:type="spellEnd"/>
      <w:r w:rsidRPr="00D721C1">
        <w:rPr>
          <w:rFonts w:ascii="Verdana" w:eastAsia="Calibri" w:hAnsi="Verdana" w:cs="Arial"/>
          <w:color w:val="000000" w:themeColor="text1"/>
          <w:sz w:val="20"/>
          <w:szCs w:val="20"/>
          <w:lang w:val="es-ES" w:eastAsia="en-GB"/>
        </w:rPr>
        <w:t xml:space="preserve">) la acreditación del cumplimiento de las obligaciones con el Sistema de Seguridad Social Integral. </w:t>
      </w:r>
    </w:p>
    <w:p w14:paraId="5569CF6E" w14:textId="77777777" w:rsidR="003510AC" w:rsidRDefault="003510AC" w:rsidP="003510AC">
      <w:pPr>
        <w:spacing w:after="0" w:line="240" w:lineRule="auto"/>
        <w:jc w:val="both"/>
        <w:rPr>
          <w:rFonts w:ascii="Verdana" w:eastAsia="Calibri" w:hAnsi="Verdana" w:cs="Arial"/>
          <w:color w:val="000000" w:themeColor="text1"/>
          <w:sz w:val="20"/>
          <w:szCs w:val="20"/>
          <w:lang w:val="es-ES" w:eastAsia="en-GB"/>
        </w:rPr>
      </w:pPr>
    </w:p>
    <w:p w14:paraId="57479A68" w14:textId="77777777" w:rsidR="003510AC" w:rsidRPr="00D721C1" w:rsidRDefault="003510AC" w:rsidP="003510AC">
      <w:pPr>
        <w:spacing w:after="0" w:line="240" w:lineRule="auto"/>
        <w:jc w:val="both"/>
        <w:rPr>
          <w:rFonts w:ascii="Verdana" w:eastAsia="Calibri" w:hAnsi="Verdana" w:cs="Arial"/>
          <w:color w:val="000000"/>
          <w:sz w:val="20"/>
          <w:szCs w:val="20"/>
          <w:lang w:val="es-ES" w:eastAsia="en-GB"/>
        </w:rPr>
      </w:pPr>
      <w:r w:rsidRPr="00D721C1">
        <w:rPr>
          <w:rFonts w:ascii="Verdana" w:eastAsia="Calibri" w:hAnsi="Verdana" w:cs="Arial"/>
          <w:color w:val="000000" w:themeColor="text1"/>
          <w:sz w:val="20"/>
          <w:szCs w:val="20"/>
          <w:lang w:val="es-ES" w:eastAsia="en-GB"/>
        </w:rPr>
        <w:t xml:space="preserve">Lo que tienen en común tales requisitos es que deben cumplirse para que inicie el contrato, sin que por ello puedan considerarse elementos de la esencia –de perfeccionamiento– del negocio jurídico, ni de validez </w:t>
      </w:r>
      <w:proofErr w:type="gramStart"/>
      <w:r w:rsidRPr="00D721C1">
        <w:rPr>
          <w:rFonts w:ascii="Verdana" w:eastAsia="Calibri" w:hAnsi="Verdana" w:cs="Arial"/>
          <w:color w:val="000000" w:themeColor="text1"/>
          <w:sz w:val="20"/>
          <w:szCs w:val="20"/>
          <w:lang w:val="es-ES" w:eastAsia="en-GB"/>
        </w:rPr>
        <w:t>del mismo</w:t>
      </w:r>
      <w:proofErr w:type="gramEnd"/>
      <w:r w:rsidRPr="00D721C1">
        <w:rPr>
          <w:rFonts w:ascii="Verdana" w:eastAsia="Calibri" w:hAnsi="Verdana" w:cs="Arial"/>
          <w:color w:val="000000" w:themeColor="text1"/>
          <w:sz w:val="20"/>
          <w:szCs w:val="20"/>
          <w:lang w:val="es-ES" w:eastAsia="en-GB"/>
        </w:rPr>
        <w:t>. En otras palabras, un contrato estatal existe, así no se haya aprobado las garantías, o expedido el registro presupuestal, o a pesar de que el contratista no esté al día en el cumplimiento de sus obligaciones con el Sistema de Seguridad Social Integral, pero no puede comenzar a ejecutarse. Si aun así el contrato estatal inicia, se incurre en un incumplimiento de obligaciones normativas –que son elementos de la naturaleza del contrato–, lo cual puede generar responsabilidades subjetivas en los servidores públicos, pero no por ello el contrato estatal deja de existir o queda viciado de nulidad.</w:t>
      </w:r>
    </w:p>
    <w:p w14:paraId="70FB73C0" w14:textId="77777777" w:rsidR="003510AC" w:rsidRDefault="003510AC" w:rsidP="003510AC">
      <w:pPr>
        <w:spacing w:after="0" w:line="240" w:lineRule="auto"/>
        <w:jc w:val="both"/>
        <w:rPr>
          <w:rFonts w:ascii="Verdana" w:hAnsi="Verdana" w:cs="Arial"/>
          <w:b/>
          <w:bCs/>
          <w:color w:val="000000" w:themeColor="text1"/>
        </w:rPr>
      </w:pPr>
    </w:p>
    <w:p w14:paraId="79948322" w14:textId="77777777" w:rsidR="003510AC" w:rsidRDefault="003510AC" w:rsidP="003510AC">
      <w:pPr>
        <w:spacing w:after="0" w:line="240" w:lineRule="auto"/>
        <w:jc w:val="both"/>
        <w:rPr>
          <w:rFonts w:ascii="Verdana" w:hAnsi="Verdana" w:cs="Arial"/>
          <w:b/>
          <w:bCs/>
          <w:color w:val="000000" w:themeColor="text1"/>
        </w:rPr>
      </w:pPr>
      <w:r w:rsidRPr="00D721C1">
        <w:rPr>
          <w:rFonts w:ascii="Verdana" w:hAnsi="Verdana" w:cs="Arial"/>
          <w:b/>
          <w:bCs/>
          <w:color w:val="000000" w:themeColor="text1"/>
        </w:rPr>
        <w:t xml:space="preserve">ACTA DE INICIO – Requisito de ejecución convencional </w:t>
      </w:r>
    </w:p>
    <w:p w14:paraId="5177AF41" w14:textId="77777777" w:rsidR="003510AC" w:rsidRDefault="003510AC" w:rsidP="003510AC">
      <w:pPr>
        <w:spacing w:after="0" w:line="240" w:lineRule="auto"/>
        <w:jc w:val="both"/>
        <w:rPr>
          <w:rFonts w:ascii="Verdana" w:hAnsi="Verdana" w:cs="Arial"/>
          <w:b/>
          <w:bCs/>
          <w:color w:val="000000" w:themeColor="text1"/>
        </w:rPr>
      </w:pPr>
    </w:p>
    <w:p w14:paraId="778B2CD9" w14:textId="77777777" w:rsidR="003510AC" w:rsidRPr="00D32259" w:rsidRDefault="003510AC" w:rsidP="003510AC">
      <w:pPr>
        <w:spacing w:after="0" w:line="240" w:lineRule="auto"/>
        <w:jc w:val="both"/>
        <w:rPr>
          <w:rFonts w:ascii="Verdana" w:hAnsi="Verdana" w:cs="Arial"/>
          <w:b/>
          <w:bCs/>
          <w:color w:val="000000" w:themeColor="text1"/>
        </w:rPr>
      </w:pPr>
      <w:r w:rsidRPr="00D721C1">
        <w:rPr>
          <w:rFonts w:ascii="Verdana" w:eastAsia="Calibri" w:hAnsi="Verdana" w:cs="Arial"/>
          <w:sz w:val="20"/>
          <w:szCs w:val="20"/>
          <w:lang w:val="es-ES" w:eastAsia="es-ES"/>
        </w:rPr>
        <w:t xml:space="preserve">En el lenguaje de la contratación estatal, el acta de inicio es un documento en el que se fija la fecha en la que comienza el cómputo del plazo del contrato, una vez cumplido los requisitos legales para la ejecución del contrato. Por tanto, si bien no la exige la ley ni el reglamento, obedece a una buena práctica contractual, ya que brinda certeza acerca del inicio de la ejecución del contrato. Es por ello </w:t>
      </w:r>
      <w:proofErr w:type="gramStart"/>
      <w:r w:rsidRPr="00D721C1">
        <w:rPr>
          <w:rFonts w:ascii="Verdana" w:eastAsia="Calibri" w:hAnsi="Verdana" w:cs="Arial"/>
          <w:sz w:val="20"/>
          <w:szCs w:val="20"/>
          <w:lang w:val="es-ES" w:eastAsia="es-ES"/>
        </w:rPr>
        <w:t>que</w:t>
      </w:r>
      <w:proofErr w:type="gramEnd"/>
      <w:r w:rsidRPr="00D721C1">
        <w:rPr>
          <w:rFonts w:ascii="Verdana" w:eastAsia="Calibri" w:hAnsi="Verdana" w:cs="Arial"/>
          <w:sz w:val="20"/>
          <w:szCs w:val="20"/>
          <w:lang w:val="es-ES" w:eastAsia="es-ES"/>
        </w:rPr>
        <w:t>, la suscripción del acta de inicio usualmente se pacta en la cláusula del plazo, estableciendo que la fecha de la firma de tal documento será el hito que determinará desde cuándo comenzarán a contabilizarse los días, meses o años que se hayan estipulado como período para el cumplimiento del objeto del contrato</w:t>
      </w:r>
    </w:p>
    <w:p w14:paraId="314471AD" w14:textId="77777777" w:rsidR="003510AC" w:rsidRDefault="003510AC" w:rsidP="003510AC">
      <w:pPr>
        <w:spacing w:after="0" w:line="240" w:lineRule="auto"/>
        <w:jc w:val="both"/>
        <w:rPr>
          <w:rFonts w:ascii="Verdana" w:eastAsia="Calibri" w:hAnsi="Verdana" w:cs="Arial"/>
          <w:sz w:val="20"/>
          <w:szCs w:val="20"/>
          <w:lang w:val="es-ES" w:eastAsia="es-ES"/>
        </w:rPr>
      </w:pPr>
    </w:p>
    <w:p w14:paraId="29C9C29B" w14:textId="77777777" w:rsidR="003510AC" w:rsidRPr="00D721C1" w:rsidRDefault="003510AC" w:rsidP="003510AC">
      <w:pPr>
        <w:spacing w:after="0" w:line="240" w:lineRule="auto"/>
        <w:jc w:val="both"/>
        <w:rPr>
          <w:rFonts w:ascii="Verdana" w:eastAsia="Calibri" w:hAnsi="Verdana" w:cs="Arial"/>
          <w:sz w:val="20"/>
          <w:szCs w:val="20"/>
          <w:lang w:val="es-ES" w:eastAsia="es-ES"/>
        </w:rPr>
      </w:pPr>
      <w:r w:rsidRPr="00D721C1">
        <w:rPr>
          <w:rFonts w:ascii="Verdana" w:eastAsia="Calibri" w:hAnsi="Verdana" w:cs="Arial"/>
          <w:sz w:val="20"/>
          <w:szCs w:val="20"/>
          <w:lang w:val="es-ES" w:eastAsia="es-ES"/>
        </w:rPr>
        <w:t>El fundamento legal que habilita a las partes para establecer la suscripción del acta de inicio como un requisito de ejecución convencional se encuentra en el segundo inciso del artículo 40 de la Ley 80 de 1993, el cual indica que “Las entidades podrán celebrar los contratos y acuerdos que permitan la autonomía de la voluntad y requieran el cumplimiento de los fines estatales”.</w:t>
      </w:r>
    </w:p>
    <w:p w14:paraId="3C3B7619" w14:textId="77777777" w:rsidR="003510AC" w:rsidRDefault="003510AC" w:rsidP="003510AC">
      <w:pPr>
        <w:spacing w:after="0" w:line="240" w:lineRule="auto"/>
        <w:jc w:val="both"/>
        <w:rPr>
          <w:rFonts w:ascii="Verdana" w:eastAsia="Calibri" w:hAnsi="Verdana" w:cs="Arial"/>
          <w:sz w:val="20"/>
          <w:szCs w:val="20"/>
          <w:lang w:val="es-ES" w:eastAsia="es-ES"/>
        </w:rPr>
      </w:pPr>
    </w:p>
    <w:p w14:paraId="502E62FD" w14:textId="77777777" w:rsidR="003510AC" w:rsidRPr="00D32259" w:rsidRDefault="003510AC" w:rsidP="003510AC">
      <w:pPr>
        <w:spacing w:after="0" w:line="240" w:lineRule="auto"/>
        <w:jc w:val="both"/>
        <w:rPr>
          <w:rFonts w:ascii="Verdana" w:eastAsia="Calibri" w:hAnsi="Verdana" w:cs="Arial"/>
          <w:sz w:val="20"/>
          <w:szCs w:val="20"/>
          <w:lang w:val="es-ES" w:eastAsia="es-ES"/>
        </w:rPr>
      </w:pPr>
      <w:r w:rsidRPr="00D721C1">
        <w:rPr>
          <w:rFonts w:ascii="Verdana" w:eastAsia="Calibri" w:hAnsi="Verdana" w:cs="Arial"/>
          <w:sz w:val="20"/>
          <w:szCs w:val="20"/>
          <w:lang w:val="es-ES" w:eastAsia="es-ES"/>
        </w:rPr>
        <w:t>Sin embargo, en el ejercicio de la autonomía de la voluntad las partes del contrato deben respetar las normas de orden público. En consecuencia, a pesar de que están facultadas para acordar cláusulas accidentales en el negocio jurídico, estas no pueden ir en contra de los mandatos contenidos en el EGCAP. En tal sentido, teniendo en cuenta que el artículo 41 de la Ley 80 de 1993 establece que los requisitos legales de ejecución de los contratos estatales son la aprobación de las garantías, la apropiación presupuestal y la acreditación del cumplimiento de las obligaciones con el Sistema de Seguridad Social Integral, las partes no pueden establecer que el contrato estatal comenzará su ejecución cuando se firme el acta de inicio pretermitiendo las tres exigencias legales</w:t>
      </w:r>
      <w:r>
        <w:rPr>
          <w:rFonts w:ascii="Verdana" w:eastAsia="Calibri" w:hAnsi="Verdana" w:cs="Arial"/>
          <w:sz w:val="20"/>
          <w:szCs w:val="20"/>
          <w:lang w:val="es-ES" w:eastAsia="es-ES"/>
        </w:rPr>
        <w:t>.</w:t>
      </w:r>
    </w:p>
    <w:p w14:paraId="1E986FCF" w14:textId="77777777" w:rsidR="003510AC" w:rsidRDefault="003510AC" w:rsidP="003510AC">
      <w:pPr>
        <w:spacing w:after="0" w:line="240" w:lineRule="auto"/>
        <w:jc w:val="both"/>
        <w:rPr>
          <w:rFonts w:ascii="Verdana" w:eastAsia="Calibri" w:hAnsi="Verdana" w:cs="Arial"/>
          <w:b/>
          <w:lang w:val="es-MX" w:eastAsia="es-MX"/>
        </w:rPr>
      </w:pPr>
    </w:p>
    <w:p w14:paraId="59062141" w14:textId="77777777" w:rsidR="003510AC" w:rsidRDefault="003510AC" w:rsidP="003510AC">
      <w:pPr>
        <w:spacing w:after="0" w:line="240" w:lineRule="auto"/>
        <w:jc w:val="both"/>
        <w:rPr>
          <w:rFonts w:ascii="Verdana" w:eastAsia="Calibri" w:hAnsi="Verdana" w:cs="Arial"/>
          <w:b/>
          <w:lang w:val="es-MX" w:eastAsia="es-MX"/>
        </w:rPr>
      </w:pPr>
      <w:r w:rsidRPr="00D32259">
        <w:rPr>
          <w:rFonts w:ascii="Verdana" w:eastAsia="Calibri" w:hAnsi="Verdana" w:cs="Arial"/>
          <w:b/>
          <w:lang w:val="es-MX" w:eastAsia="es-MX"/>
        </w:rPr>
        <w:t xml:space="preserve">LEY DE GARANTÍAS ELECTORALES – Objetivo </w:t>
      </w:r>
    </w:p>
    <w:p w14:paraId="5B369846" w14:textId="77777777" w:rsidR="003510AC" w:rsidRDefault="003510AC" w:rsidP="003510AC">
      <w:pPr>
        <w:spacing w:after="0" w:line="240" w:lineRule="auto"/>
        <w:jc w:val="both"/>
        <w:rPr>
          <w:rFonts w:ascii="Verdana" w:eastAsia="Calibri" w:hAnsi="Verdana" w:cs="Arial"/>
          <w:b/>
          <w:lang w:val="es-MX" w:eastAsia="es-MX"/>
        </w:rPr>
      </w:pPr>
    </w:p>
    <w:p w14:paraId="587C9137" w14:textId="77777777" w:rsidR="003510AC" w:rsidRPr="00D32259" w:rsidRDefault="003510AC" w:rsidP="003510AC">
      <w:pPr>
        <w:spacing w:after="0" w:line="240" w:lineRule="auto"/>
        <w:jc w:val="both"/>
        <w:rPr>
          <w:rFonts w:ascii="Verdana" w:eastAsia="Calibri" w:hAnsi="Verdana" w:cs="Arial"/>
          <w:b/>
          <w:lang w:val="es-MX" w:eastAsia="es-MX"/>
        </w:rPr>
      </w:pPr>
      <w:r w:rsidRPr="00D32259">
        <w:rPr>
          <w:rFonts w:ascii="Verdana" w:eastAsia="Times New Roman" w:hAnsi="Verdana" w:cs="Arial"/>
          <w:bCs/>
          <w:sz w:val="20"/>
          <w:szCs w:val="20"/>
          <w:lang w:eastAsia="es-CO"/>
        </w:rPr>
        <w:t>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D32259">
        <w:rPr>
          <w:rFonts w:ascii="Verdana" w:eastAsia="Calibri" w:hAnsi="Verdana" w:cs="Arial"/>
          <w:noProof/>
          <w:sz w:val="20"/>
          <w:szCs w:val="20"/>
          <w:lang w:val="es-ES_tradnl"/>
        </w:rPr>
        <w:t xml:space="preserve"> </w:t>
      </w:r>
    </w:p>
    <w:p w14:paraId="3DDBD860" w14:textId="77777777" w:rsidR="003510AC" w:rsidRDefault="003510AC" w:rsidP="003510AC">
      <w:pPr>
        <w:spacing w:after="0" w:line="240" w:lineRule="auto"/>
        <w:jc w:val="both"/>
        <w:rPr>
          <w:rFonts w:ascii="Verdana" w:eastAsia="Calibri" w:hAnsi="Verdana" w:cs="Arial"/>
          <w:b/>
          <w:lang w:val="es-MX" w:eastAsia="es-MX"/>
        </w:rPr>
      </w:pPr>
    </w:p>
    <w:p w14:paraId="3608BC35" w14:textId="77777777" w:rsidR="003510AC" w:rsidRDefault="003510AC" w:rsidP="003510AC">
      <w:pPr>
        <w:spacing w:after="0" w:line="240" w:lineRule="auto"/>
        <w:jc w:val="both"/>
        <w:rPr>
          <w:rFonts w:ascii="Verdana" w:eastAsia="Calibri" w:hAnsi="Verdana" w:cs="Arial"/>
          <w:b/>
          <w:lang w:val="es-MX" w:eastAsia="es-MX"/>
        </w:rPr>
      </w:pPr>
      <w:r w:rsidRPr="00D32259">
        <w:rPr>
          <w:rFonts w:ascii="Verdana" w:eastAsia="Calibri" w:hAnsi="Verdana" w:cs="Arial"/>
          <w:b/>
          <w:lang w:val="es-MX" w:eastAsia="es-MX"/>
        </w:rPr>
        <w:t xml:space="preserve">LEY DE GARANTÍAS ELECTORALES – Prohibiciones </w:t>
      </w:r>
    </w:p>
    <w:p w14:paraId="08291539" w14:textId="77777777" w:rsidR="003510AC" w:rsidRDefault="003510AC" w:rsidP="003510AC">
      <w:pPr>
        <w:spacing w:after="0" w:line="240" w:lineRule="auto"/>
        <w:jc w:val="both"/>
        <w:rPr>
          <w:rFonts w:ascii="Verdana" w:eastAsia="Calibri" w:hAnsi="Verdana" w:cs="Arial"/>
          <w:b/>
          <w:lang w:val="es-MX" w:eastAsia="es-MX"/>
        </w:rPr>
      </w:pPr>
    </w:p>
    <w:p w14:paraId="2B1FE8A0" w14:textId="77777777" w:rsidR="003510AC" w:rsidRPr="00D32259" w:rsidRDefault="003510AC" w:rsidP="003510AC">
      <w:pPr>
        <w:spacing w:after="0" w:line="240" w:lineRule="auto"/>
        <w:jc w:val="both"/>
        <w:rPr>
          <w:rFonts w:ascii="Verdana" w:eastAsia="Calibri" w:hAnsi="Verdana" w:cs="Arial"/>
          <w:b/>
          <w:sz w:val="20"/>
          <w:szCs w:val="20"/>
          <w:lang w:val="es-MX" w:eastAsia="es-MX"/>
        </w:rPr>
      </w:pPr>
      <w:r w:rsidRPr="00D32259">
        <w:rPr>
          <w:rFonts w:ascii="Verdana" w:eastAsia="Calibri" w:hAnsi="Verdana" w:cs="Arial"/>
          <w:bCs/>
          <w:sz w:val="20"/>
          <w:szCs w:val="20"/>
          <w:lang w:val="es-MX" w:eastAsia="es-MX"/>
        </w:rPr>
        <w:t>[…]</w:t>
      </w:r>
      <w:r w:rsidRPr="00D32259">
        <w:rPr>
          <w:rFonts w:ascii="Verdana" w:eastAsia="Calibri" w:hAnsi="Verdana" w:cs="Arial"/>
          <w:b/>
          <w:sz w:val="20"/>
          <w:szCs w:val="20"/>
          <w:lang w:val="es-MX" w:eastAsia="es-MX"/>
        </w:rPr>
        <w:t xml:space="preserve"> </w:t>
      </w:r>
      <w:r w:rsidRPr="00D32259">
        <w:rPr>
          <w:rFonts w:ascii="Verdana" w:eastAsia="Arial" w:hAnsi="Verdana" w:cs="Arial"/>
          <w:sz w:val="20"/>
          <w:szCs w:val="20"/>
          <w:lang w:val="es-ES" w:eastAsia="es-ES" w:bidi="es-ES"/>
        </w:rPr>
        <w:t xml:space="preserve">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022C0F75" w14:textId="77777777" w:rsidR="003510AC" w:rsidRPr="00D32259" w:rsidRDefault="003510AC" w:rsidP="003510AC">
      <w:pPr>
        <w:spacing w:after="0" w:line="240" w:lineRule="auto"/>
        <w:jc w:val="both"/>
        <w:rPr>
          <w:rFonts w:ascii="Verdana" w:eastAsia="Calibri" w:hAnsi="Verdana" w:cs="Arial"/>
          <w:b/>
          <w:lang w:val="es-ES" w:eastAsia="es-MX"/>
        </w:rPr>
      </w:pPr>
    </w:p>
    <w:p w14:paraId="6F5999FF" w14:textId="77777777" w:rsidR="003510AC" w:rsidRPr="00D32259" w:rsidRDefault="003510AC" w:rsidP="003510AC">
      <w:pPr>
        <w:spacing w:after="0" w:line="240" w:lineRule="auto"/>
        <w:jc w:val="both"/>
        <w:rPr>
          <w:rFonts w:ascii="Verdana" w:eastAsia="Calibri" w:hAnsi="Verdana" w:cs="Arial"/>
          <w:b/>
          <w:lang w:val="es-MX"/>
        </w:rPr>
      </w:pPr>
      <w:r w:rsidRPr="00D32259">
        <w:rPr>
          <w:rFonts w:ascii="Verdana" w:eastAsia="Calibri" w:hAnsi="Verdana" w:cs="Arial"/>
          <w:b/>
          <w:lang w:val="es-MX"/>
        </w:rPr>
        <w:t xml:space="preserve">LEY DE GARANTÍAS ELECTORALES ─ Prohibición artículo 33 ‒ Contratación directa ‒ Alcance </w:t>
      </w:r>
    </w:p>
    <w:p w14:paraId="5B75C911" w14:textId="77777777" w:rsidR="003510AC" w:rsidRPr="00B1490B" w:rsidRDefault="003510AC" w:rsidP="003510AC">
      <w:pPr>
        <w:spacing w:after="0" w:line="240" w:lineRule="auto"/>
        <w:jc w:val="both"/>
        <w:rPr>
          <w:rFonts w:ascii="Verdana" w:eastAsia="Calibri" w:hAnsi="Verdana" w:cs="Arial"/>
          <w:bCs/>
          <w:sz w:val="20"/>
          <w:szCs w:val="20"/>
          <w:lang w:val="es-MX"/>
        </w:rPr>
      </w:pPr>
    </w:p>
    <w:p w14:paraId="50AF84A4" w14:textId="77777777" w:rsidR="003510AC" w:rsidRDefault="003510AC" w:rsidP="003510AC">
      <w:pPr>
        <w:spacing w:after="0" w:line="240" w:lineRule="auto"/>
        <w:jc w:val="both"/>
        <w:rPr>
          <w:rFonts w:ascii="Verdana" w:hAnsi="Verdana" w:cs="Arial"/>
          <w:sz w:val="20"/>
          <w:szCs w:val="20"/>
          <w:lang w:eastAsia="x-none"/>
        </w:rPr>
      </w:pPr>
      <w:r w:rsidRPr="00B1490B">
        <w:rPr>
          <w:rFonts w:ascii="Verdana" w:hAnsi="Verdana" w:cs="Arial"/>
          <w:sz w:val="20"/>
          <w:szCs w:val="20"/>
          <w:lang w:eastAsia="x-none"/>
        </w:rPr>
        <w:t xml:space="preserve">[…] la prohibición del artículo 33 de la Ley de Garantías Electorales se refiere a </w:t>
      </w:r>
      <w:r w:rsidRPr="00B1490B">
        <w:rPr>
          <w:rFonts w:ascii="Verdana" w:hAnsi="Verdana" w:cs="Arial"/>
          <w:sz w:val="20"/>
          <w:szCs w:val="20"/>
          <w:lang w:eastAsia="en-GB"/>
        </w:rPr>
        <w:t>“</w:t>
      </w:r>
      <w:r w:rsidRPr="00B1490B">
        <w:rPr>
          <w:rFonts w:ascii="Verdana" w:hAnsi="Verdana" w:cs="Arial"/>
          <w:sz w:val="20"/>
          <w:szCs w:val="20"/>
          <w:lang w:eastAsia="x-none"/>
        </w:rPr>
        <w:t>cualquier sistema que no implique convocatoria pública y posibilidad de pluralidad de oferentes</w:t>
      </w:r>
      <w:r w:rsidRPr="00B1490B">
        <w:rPr>
          <w:rFonts w:ascii="Verdana" w:hAnsi="Verdana" w:cs="Arial"/>
          <w:sz w:val="20"/>
          <w:szCs w:val="20"/>
          <w:lang w:eastAsia="en-GB"/>
        </w:rPr>
        <w:t>”</w:t>
      </w:r>
      <w:r w:rsidRPr="00B1490B">
        <w:rPr>
          <w:rFonts w:ascii="Verdana" w:hAnsi="Verdana" w:cs="Arial"/>
          <w:sz w:val="20"/>
          <w:szCs w:val="20"/>
          <w:lang w:eastAsia="x-none"/>
        </w:rPr>
        <w:t xml:space="preserve">, por lo que excluye las demás modalidades de contratación previstas en la Ley 1150 de 2007, es decir, la licitación pública, la selección abreviada, el concurso de méritos </w:t>
      </w:r>
      <w:r w:rsidRPr="00B1490B">
        <w:rPr>
          <w:rFonts w:ascii="Verdana" w:hAnsi="Verdana" w:cs="Arial"/>
          <w:sz w:val="20"/>
          <w:szCs w:val="20"/>
          <w:lang w:val="es-ES_tradnl" w:eastAsia="x-none"/>
        </w:rPr>
        <w:t>y la mínima cuantía</w:t>
      </w:r>
      <w:r w:rsidRPr="00B1490B" w:rsidDel="00A85D9F">
        <w:rPr>
          <w:rFonts w:ascii="Verdana" w:hAnsi="Verdana" w:cs="Arial"/>
          <w:sz w:val="20"/>
          <w:szCs w:val="20"/>
          <w:lang w:eastAsia="x-none"/>
        </w:rPr>
        <w:t xml:space="preserve"> </w:t>
      </w:r>
      <w:r w:rsidRPr="00B1490B">
        <w:rPr>
          <w:rFonts w:ascii="Verdana" w:hAnsi="Verdana" w:cs="Arial"/>
          <w:sz w:val="20"/>
          <w:szCs w:val="20"/>
          <w:lang w:eastAsia="x-none"/>
        </w:rPr>
        <w:t>u otros previstos en normas especiales. Esta posición es congruente con la expedición de la Ley 1150 de 2007 que, entre otras reformas, introdujo la selección abreviada, rediseñó el concurso de méritos y sistematizó las causales de contratación directa, además lo es con la posterior creación de la modalidad de mínima cuantía establecida actualmente en el numeral 5 del artículo 2 de la Ley 1150 de 2007, de acuerdo con las modificaciones realizadas por leyes posteriores.</w:t>
      </w:r>
    </w:p>
    <w:p w14:paraId="78805DE4" w14:textId="77777777" w:rsidR="003510AC" w:rsidRDefault="003510AC" w:rsidP="003510AC">
      <w:pPr>
        <w:spacing w:after="0" w:line="240" w:lineRule="auto"/>
        <w:jc w:val="both"/>
        <w:rPr>
          <w:rFonts w:ascii="Verdana" w:hAnsi="Verdana" w:cs="Arial"/>
          <w:sz w:val="20"/>
          <w:szCs w:val="20"/>
          <w:lang w:eastAsia="x-none"/>
        </w:rPr>
      </w:pPr>
    </w:p>
    <w:p w14:paraId="6F9EFD9E" w14:textId="77777777" w:rsidR="003510AC" w:rsidRPr="00B1490B" w:rsidRDefault="003510AC" w:rsidP="003510AC">
      <w:pPr>
        <w:spacing w:after="0" w:line="240" w:lineRule="auto"/>
        <w:jc w:val="both"/>
        <w:rPr>
          <w:rFonts w:ascii="Verdana" w:hAnsi="Verdana" w:cs="Arial"/>
          <w:sz w:val="20"/>
          <w:szCs w:val="20"/>
          <w:lang w:eastAsia="x-none"/>
        </w:rPr>
      </w:pPr>
      <w:r w:rsidRPr="00B1490B">
        <w:rPr>
          <w:rFonts w:ascii="Verdana" w:hAnsi="Verdana" w:cs="Arial"/>
          <w:sz w:val="20"/>
          <w:szCs w:val="20"/>
          <w:lang w:eastAsia="x-none"/>
        </w:rPr>
        <w:t xml:space="preserve">De esta forma, con fundamento en la evolución de la normativa sobre la contratación pública, se ha depurado la noción de </w:t>
      </w:r>
      <w:r w:rsidRPr="00B1490B">
        <w:rPr>
          <w:rFonts w:ascii="Verdana" w:hAnsi="Verdana" w:cs="Arial"/>
          <w:i/>
          <w:sz w:val="20"/>
          <w:szCs w:val="20"/>
          <w:lang w:eastAsia="en-GB"/>
        </w:rPr>
        <w:t>“</w:t>
      </w:r>
      <w:r w:rsidRPr="00B1490B">
        <w:rPr>
          <w:rFonts w:ascii="Verdana" w:hAnsi="Verdana" w:cs="Arial"/>
          <w:i/>
          <w:iCs/>
          <w:sz w:val="20"/>
          <w:szCs w:val="20"/>
          <w:lang w:eastAsia="x-none"/>
        </w:rPr>
        <w:t>contratación directa</w:t>
      </w:r>
      <w:r w:rsidRPr="00B1490B">
        <w:rPr>
          <w:rFonts w:ascii="Verdana" w:hAnsi="Verdana" w:cs="Arial"/>
          <w:sz w:val="20"/>
          <w:szCs w:val="20"/>
          <w:lang w:eastAsia="en-GB"/>
        </w:rPr>
        <w:t>”</w:t>
      </w:r>
      <w:r w:rsidRPr="00B1490B">
        <w:rPr>
          <w:rFonts w:ascii="Verdana" w:hAnsi="Verdana" w:cs="Arial"/>
          <w:sz w:val="20"/>
          <w:szCs w:val="20"/>
          <w:lang w:eastAsia="x-none"/>
        </w:rPr>
        <w:t>, precisando el Consejo de Estado –en el concepto citado– que, “aun cuando no coincide única y exactamente con la regulación que de dicho sistema de selección hace el artículo 2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 han establecido sistemas de contratación que implican convocatoria pública y participación de varios oferentes</w:t>
      </w:r>
      <w:r w:rsidRPr="00B1490B">
        <w:rPr>
          <w:rFonts w:ascii="Verdana" w:hAnsi="Verdana" w:cs="Arial"/>
          <w:sz w:val="20"/>
          <w:szCs w:val="20"/>
          <w:lang w:eastAsia="en-GB"/>
        </w:rPr>
        <w:t>”</w:t>
      </w:r>
      <w:r w:rsidRPr="00B1490B">
        <w:rPr>
          <w:rFonts w:ascii="Verdana" w:hAnsi="Verdana" w:cs="Arial"/>
          <w:sz w:val="20"/>
          <w:szCs w:val="20"/>
          <w:lang w:eastAsia="x-none"/>
        </w:rPr>
        <w:t>.</w:t>
      </w:r>
    </w:p>
    <w:p w14:paraId="41749819" w14:textId="77777777" w:rsidR="003510AC" w:rsidRPr="00B1490B" w:rsidRDefault="003510AC" w:rsidP="003510AC">
      <w:pPr>
        <w:spacing w:after="0" w:line="240" w:lineRule="auto"/>
        <w:jc w:val="both"/>
        <w:rPr>
          <w:rFonts w:ascii="Verdana" w:hAnsi="Verdana" w:cs="Arial"/>
          <w:bCs/>
          <w:sz w:val="20"/>
          <w:szCs w:val="20"/>
          <w:lang w:eastAsia="x-none"/>
        </w:rPr>
      </w:pPr>
    </w:p>
    <w:p w14:paraId="30FBE11B" w14:textId="77777777" w:rsidR="003510AC" w:rsidRPr="00B1490B" w:rsidRDefault="003510AC" w:rsidP="003510AC">
      <w:pPr>
        <w:spacing w:after="0" w:line="240" w:lineRule="auto"/>
        <w:jc w:val="both"/>
        <w:rPr>
          <w:rFonts w:ascii="Verdana" w:eastAsia="Calibri" w:hAnsi="Verdana" w:cs="Arial"/>
          <w:bCs/>
          <w:sz w:val="20"/>
          <w:szCs w:val="20"/>
        </w:rPr>
      </w:pPr>
      <w:r w:rsidRPr="00B1490B">
        <w:rPr>
          <w:rFonts w:ascii="Verdana" w:eastAsia="Calibri" w:hAnsi="Verdana" w:cs="Arial"/>
          <w:bCs/>
          <w:sz w:val="20"/>
          <w:szCs w:val="20"/>
        </w:rPr>
        <w:t>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Pr>
          <w:rFonts w:ascii="Verdana" w:eastAsia="Calibri" w:hAnsi="Verdana" w:cs="Arial"/>
          <w:bCs/>
          <w:sz w:val="20"/>
          <w:szCs w:val="20"/>
        </w:rPr>
        <w:t>.</w:t>
      </w:r>
    </w:p>
    <w:p w14:paraId="49F7A379" w14:textId="77777777" w:rsidR="003510AC" w:rsidRDefault="003510AC" w:rsidP="003510AC">
      <w:pPr>
        <w:spacing w:after="0" w:line="240" w:lineRule="auto"/>
        <w:jc w:val="both"/>
        <w:rPr>
          <w:rFonts w:ascii="Verdana" w:eastAsia="Calibri" w:hAnsi="Verdana" w:cs="Arial"/>
          <w:bCs/>
          <w:lang w:val="es-MX"/>
        </w:rPr>
      </w:pPr>
    </w:p>
    <w:p w14:paraId="3C472A8E" w14:textId="77777777" w:rsidR="003510AC" w:rsidRPr="00B1490B" w:rsidRDefault="003510AC" w:rsidP="003510AC">
      <w:pPr>
        <w:spacing w:after="0" w:line="240" w:lineRule="auto"/>
        <w:jc w:val="both"/>
        <w:rPr>
          <w:rFonts w:ascii="Verdana" w:eastAsia="Times New Roman" w:hAnsi="Verdana" w:cs="Arial"/>
          <w:b/>
          <w:lang w:val="es-MX" w:eastAsia="es-CO"/>
        </w:rPr>
      </w:pPr>
      <w:r w:rsidRPr="00B1490B">
        <w:rPr>
          <w:rFonts w:ascii="Verdana" w:eastAsia="Calibri" w:hAnsi="Verdana" w:cs="Arial"/>
          <w:b/>
          <w:lang w:val="es-MX"/>
        </w:rPr>
        <w:t>LEY DE GARANTÍAS ELECTORALES ─ Prohibición artículo 33 ‒ Contratación directa ‒ Destinatarios</w:t>
      </w:r>
      <w:r w:rsidRPr="00B1490B">
        <w:rPr>
          <w:rFonts w:ascii="Verdana" w:eastAsia="Times New Roman" w:hAnsi="Verdana" w:cs="Arial"/>
          <w:b/>
          <w:lang w:val="es-MX" w:eastAsia="es-CO"/>
        </w:rPr>
        <w:t xml:space="preserve"> </w:t>
      </w:r>
    </w:p>
    <w:p w14:paraId="11385C03" w14:textId="77777777" w:rsidR="003510AC" w:rsidRDefault="003510AC" w:rsidP="003510AC">
      <w:pPr>
        <w:spacing w:after="0" w:line="240" w:lineRule="auto"/>
        <w:jc w:val="both"/>
        <w:rPr>
          <w:rFonts w:ascii="Verdana" w:eastAsia="Times New Roman" w:hAnsi="Verdana" w:cs="Arial"/>
          <w:bCs/>
          <w:lang w:val="es-MX" w:eastAsia="es-CO"/>
        </w:rPr>
      </w:pPr>
    </w:p>
    <w:p w14:paraId="3A2E8B13" w14:textId="77777777" w:rsidR="003510AC" w:rsidRPr="00B1490B" w:rsidRDefault="003510AC" w:rsidP="003510AC">
      <w:pPr>
        <w:spacing w:after="0" w:line="240" w:lineRule="auto"/>
        <w:jc w:val="both"/>
        <w:rPr>
          <w:rFonts w:ascii="Verdana" w:eastAsia="Times New Roman" w:hAnsi="Verdana" w:cs="Arial"/>
          <w:sz w:val="20"/>
          <w:szCs w:val="20"/>
          <w:lang w:val="es-MX" w:eastAsia="es-CO"/>
        </w:rPr>
      </w:pPr>
      <w:r w:rsidRPr="00B1490B">
        <w:rPr>
          <w:rFonts w:ascii="Verdana" w:hAnsi="Verdana" w:cs="Arial"/>
          <w:color w:val="000000" w:themeColor="text1"/>
          <w:sz w:val="20"/>
          <w:szCs w:val="20"/>
          <w:lang w:val="es-MX"/>
        </w:rPr>
        <w:t>Ahora bien, en relación con los destinatarios de las restricciones, el artículo 33 de la Ley 996 de 2005 los señala expresamente, en el sentido de que son “</w:t>
      </w:r>
      <w:r w:rsidRPr="00B1490B">
        <w:rPr>
          <w:rFonts w:ascii="Verdana" w:hAnsi="Verdana" w:cs="Arial"/>
          <w:i/>
          <w:color w:val="000000" w:themeColor="text1"/>
          <w:sz w:val="20"/>
          <w:szCs w:val="20"/>
          <w:lang w:val="es-MX"/>
        </w:rPr>
        <w:t>todos los entes del Estado</w:t>
      </w:r>
      <w:r w:rsidRPr="00B1490B">
        <w:rPr>
          <w:rFonts w:ascii="Verdana" w:hAnsi="Verdana" w:cs="Arial"/>
          <w:color w:val="000000" w:themeColor="text1"/>
          <w:sz w:val="20"/>
          <w:szCs w:val="20"/>
          <w:lang w:val="es-MX"/>
        </w:rPr>
        <w:t xml:space="preserve">”,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269A2348" w14:textId="77777777" w:rsidR="003510AC" w:rsidRDefault="003510AC" w:rsidP="003510AC">
      <w:pPr>
        <w:spacing w:after="0" w:line="240" w:lineRule="auto"/>
        <w:jc w:val="both"/>
        <w:rPr>
          <w:rFonts w:ascii="Verdana" w:eastAsia="Times New Roman" w:hAnsi="Verdana" w:cs="Arial"/>
          <w:bCs/>
          <w:lang w:val="es-MX" w:eastAsia="es-CO"/>
        </w:rPr>
      </w:pPr>
    </w:p>
    <w:p w14:paraId="024850A9" w14:textId="77777777" w:rsidR="003510AC" w:rsidRPr="008E3EC3" w:rsidRDefault="003510AC" w:rsidP="003510AC">
      <w:pPr>
        <w:spacing w:after="0" w:line="240" w:lineRule="auto"/>
        <w:jc w:val="both"/>
        <w:rPr>
          <w:rFonts w:ascii="Verdana" w:eastAsia="Times New Roman" w:hAnsi="Verdana" w:cs="Arial"/>
          <w:b/>
          <w:lang w:eastAsia="es-CO"/>
        </w:rPr>
      </w:pPr>
      <w:r w:rsidRPr="008E3EC3">
        <w:rPr>
          <w:rFonts w:ascii="Verdana" w:eastAsia="Times New Roman" w:hAnsi="Verdana" w:cs="Arial"/>
          <w:b/>
          <w:lang w:eastAsia="es-CO"/>
        </w:rPr>
        <w:t xml:space="preserve">LEY DE GARANTÍAS ELECTORALES ‒ Excepciones </w:t>
      </w:r>
    </w:p>
    <w:p w14:paraId="2B4B0C28" w14:textId="77777777" w:rsidR="003510AC" w:rsidRDefault="003510AC" w:rsidP="003510AC">
      <w:pPr>
        <w:spacing w:after="0" w:line="240" w:lineRule="auto"/>
        <w:jc w:val="both"/>
        <w:rPr>
          <w:rFonts w:ascii="Verdana" w:eastAsia="Times New Roman" w:hAnsi="Verdana" w:cs="Arial"/>
          <w:bCs/>
          <w:lang w:eastAsia="es-CO"/>
        </w:rPr>
      </w:pPr>
    </w:p>
    <w:p w14:paraId="791E2D2D" w14:textId="77777777" w:rsidR="003510AC" w:rsidRPr="008E3EC3" w:rsidRDefault="003510AC" w:rsidP="003510AC">
      <w:pPr>
        <w:spacing w:after="0" w:line="240" w:lineRule="auto"/>
        <w:jc w:val="both"/>
        <w:rPr>
          <w:rFonts w:ascii="Verdana" w:eastAsia="Times New Roman" w:hAnsi="Verdana" w:cs="Arial"/>
          <w:bCs/>
          <w:sz w:val="20"/>
          <w:szCs w:val="20"/>
          <w:lang w:eastAsia="es-CO"/>
        </w:rPr>
      </w:pPr>
      <w:r w:rsidRPr="008E3EC3">
        <w:rPr>
          <w:rFonts w:ascii="Verdana" w:eastAsia="Times New Roman" w:hAnsi="Verdana" w:cs="Arial"/>
          <w:bCs/>
          <w:sz w:val="20"/>
          <w:szCs w:val="20"/>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w:t>
      </w:r>
      <w:proofErr w:type="spellStart"/>
      <w:r w:rsidRPr="008E3EC3">
        <w:rPr>
          <w:rFonts w:ascii="Verdana" w:eastAsia="Times New Roman" w:hAnsi="Verdana" w:cs="Arial"/>
          <w:bCs/>
          <w:sz w:val="20"/>
          <w:szCs w:val="20"/>
          <w:lang w:val="es-ES" w:eastAsia="es-CO" w:bidi="es-ES"/>
        </w:rPr>
        <w:t>ii</w:t>
      </w:r>
      <w:proofErr w:type="spellEnd"/>
      <w:r w:rsidRPr="008E3EC3">
        <w:rPr>
          <w:rFonts w:ascii="Verdana" w:eastAsia="Times New Roman" w:hAnsi="Verdana" w:cs="Arial"/>
          <w:bCs/>
          <w:sz w:val="20"/>
          <w:szCs w:val="20"/>
          <w:lang w:val="es-ES" w:eastAsia="es-CO" w:bidi="es-ES"/>
        </w:rPr>
        <w:t xml:space="preserve">) los contratos de crédito público; </w:t>
      </w:r>
      <w:proofErr w:type="spellStart"/>
      <w:r w:rsidRPr="008E3EC3">
        <w:rPr>
          <w:rFonts w:ascii="Verdana" w:eastAsia="Times New Roman" w:hAnsi="Verdana" w:cs="Arial"/>
          <w:bCs/>
          <w:sz w:val="20"/>
          <w:szCs w:val="20"/>
          <w:lang w:val="es-ES" w:eastAsia="es-CO" w:bidi="es-ES"/>
        </w:rPr>
        <w:t>iii</w:t>
      </w:r>
      <w:proofErr w:type="spellEnd"/>
      <w:r w:rsidRPr="008E3EC3">
        <w:rPr>
          <w:rFonts w:ascii="Verdana" w:eastAsia="Times New Roman" w:hAnsi="Verdana" w:cs="Arial"/>
          <w:bCs/>
          <w:sz w:val="20"/>
          <w:szCs w:val="20"/>
          <w:lang w:val="es-ES" w:eastAsia="es-CO" w:bidi="es-ES"/>
        </w:rPr>
        <w:t xml:space="preserve">) los requeridos para cubrir las emergencias educativas, sanitarias y desastres; </w:t>
      </w:r>
      <w:proofErr w:type="spellStart"/>
      <w:r w:rsidRPr="008E3EC3">
        <w:rPr>
          <w:rFonts w:ascii="Verdana" w:eastAsia="Times New Roman" w:hAnsi="Verdana" w:cs="Arial"/>
          <w:bCs/>
          <w:sz w:val="20"/>
          <w:szCs w:val="20"/>
          <w:lang w:val="es-ES" w:eastAsia="es-CO" w:bidi="es-ES"/>
        </w:rPr>
        <w:t>iv</w:t>
      </w:r>
      <w:proofErr w:type="spellEnd"/>
      <w:r w:rsidRPr="008E3EC3">
        <w:rPr>
          <w:rFonts w:ascii="Verdana" w:eastAsia="Times New Roman" w:hAnsi="Verdana" w:cs="Arial"/>
          <w:bCs/>
          <w:sz w:val="20"/>
          <w:szCs w:val="20"/>
          <w:lang w:val="es-ES" w:eastAsia="es-CO" w:bidi="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8E3EC3">
        <w:rPr>
          <w:rFonts w:ascii="Verdana" w:hAnsi="Verdana" w:cs="Arial"/>
          <w:bCs/>
          <w:sz w:val="20"/>
          <w:szCs w:val="20"/>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p>
    <w:p w14:paraId="15B8159B" w14:textId="77777777" w:rsidR="003510AC" w:rsidRPr="008E3EC3" w:rsidRDefault="003510AC" w:rsidP="003510AC">
      <w:pPr>
        <w:spacing w:after="0" w:line="240" w:lineRule="auto"/>
        <w:jc w:val="both"/>
        <w:rPr>
          <w:rFonts w:ascii="Verdana" w:eastAsia="Times New Roman" w:hAnsi="Verdana" w:cs="Arial"/>
          <w:bCs/>
          <w:sz w:val="20"/>
          <w:szCs w:val="20"/>
          <w:lang w:eastAsia="es-CO"/>
        </w:rPr>
      </w:pPr>
    </w:p>
    <w:p w14:paraId="52219155" w14:textId="77777777" w:rsidR="003510AC" w:rsidRDefault="003510AC" w:rsidP="003510AC">
      <w:pPr>
        <w:spacing w:after="0" w:line="240" w:lineRule="auto"/>
        <w:jc w:val="both"/>
        <w:rPr>
          <w:rFonts w:ascii="Verdana" w:eastAsia="Times New Roman" w:hAnsi="Verdana" w:cs="Arial"/>
          <w:b/>
          <w:lang w:eastAsia="es-CO"/>
        </w:rPr>
      </w:pPr>
      <w:r w:rsidRPr="008E3EC3">
        <w:rPr>
          <w:rFonts w:ascii="Verdana" w:eastAsia="Times New Roman" w:hAnsi="Verdana" w:cs="Arial"/>
          <w:b/>
          <w:lang w:eastAsia="es-CO"/>
        </w:rPr>
        <w:t>LEY DE GARANTÍAS ELECTORALES – Suscripción del acta de inicio</w:t>
      </w:r>
    </w:p>
    <w:p w14:paraId="6CD1424B" w14:textId="77777777" w:rsidR="003510AC" w:rsidRPr="008E3EC3" w:rsidRDefault="003510AC" w:rsidP="003510AC">
      <w:pPr>
        <w:spacing w:after="0" w:line="240" w:lineRule="auto"/>
        <w:jc w:val="both"/>
        <w:rPr>
          <w:rFonts w:ascii="Verdana" w:eastAsia="Times New Roman" w:hAnsi="Verdana" w:cs="Arial"/>
          <w:b/>
          <w:sz w:val="20"/>
          <w:szCs w:val="20"/>
          <w:lang w:eastAsia="es-CO"/>
        </w:rPr>
      </w:pPr>
      <w:r w:rsidRPr="008E3EC3">
        <w:rPr>
          <w:rFonts w:ascii="Verdana" w:eastAsia="Calibri" w:hAnsi="Verdana" w:cs="Arial"/>
          <w:sz w:val="20"/>
          <w:szCs w:val="20"/>
          <w:lang w:val="es-ES"/>
        </w:rPr>
        <w:t xml:space="preserve">sobre el momento en que debe suscribirse el acta de inicio, en concordancia con lo establecido en el artículo 33 de la Ley 996 de 2005, la prohibición consiste en la celebración (entendido como la suscripción) de un contrato, por lo tanto, el acta de inicio constituye un requisito de ejecución convencional, que se pacta en la minuta del contrato, en los documentos previos, o que el contratista acepta, adhiriéndose al clausulado del pliego de condiciones o documento equivalente. No obstante, la ley no fija un tiempo para dar cumplimiento a los requisitos de ejecución, por lo cual las entidades estatales en ejercicio de su autonomía contractual deberán determinar con criterios de razonabilidad el tiempo para cumplir estos requisitos, </w:t>
      </w:r>
      <w:r w:rsidRPr="008E3EC3">
        <w:rPr>
          <w:rFonts w:ascii="Verdana" w:eastAsia="Times New Roman" w:hAnsi="Verdana" w:cs="Arial"/>
          <w:sz w:val="20"/>
          <w:szCs w:val="20"/>
          <w:lang w:eastAsia="es-ES_tradnl"/>
        </w:rPr>
        <w:t>garantizando a su vez el cumplimiento de los principios de legalidad y buena fe que rigen la función administrativa.</w:t>
      </w:r>
    </w:p>
    <w:p w14:paraId="32E91DF9" w14:textId="77777777" w:rsidR="003510AC" w:rsidRPr="008E3EC3" w:rsidRDefault="003510AC" w:rsidP="003510AC">
      <w:pPr>
        <w:spacing w:after="0" w:line="240" w:lineRule="auto"/>
        <w:jc w:val="both"/>
        <w:rPr>
          <w:rFonts w:ascii="Verdana" w:eastAsia="Calibri" w:hAnsi="Verdana" w:cs="Arial"/>
          <w:b/>
          <w:lang w:eastAsia="es-ES"/>
        </w:rPr>
      </w:pPr>
    </w:p>
    <w:p w14:paraId="029DBF63" w14:textId="77777777" w:rsidR="003510AC" w:rsidRDefault="003510AC" w:rsidP="003E4080">
      <w:pPr>
        <w:spacing w:after="0" w:line="240" w:lineRule="auto"/>
        <w:jc w:val="both"/>
        <w:rPr>
          <w:rFonts w:ascii="Verdana" w:eastAsia="Calibri" w:hAnsi="Verdana" w:cs="Arial"/>
          <w:lang w:eastAsia="es-ES"/>
        </w:rPr>
      </w:pPr>
    </w:p>
    <w:p w14:paraId="1060B092" w14:textId="77777777" w:rsidR="003510AC" w:rsidRDefault="003510AC" w:rsidP="003E4080">
      <w:pPr>
        <w:spacing w:after="0" w:line="240" w:lineRule="auto"/>
        <w:jc w:val="both"/>
        <w:rPr>
          <w:rFonts w:ascii="Verdana" w:eastAsia="Calibri" w:hAnsi="Verdana" w:cs="Arial"/>
          <w:lang w:eastAsia="es-ES"/>
        </w:rPr>
      </w:pPr>
    </w:p>
    <w:p w14:paraId="2956ED09" w14:textId="77777777" w:rsidR="003510AC" w:rsidRDefault="003510AC" w:rsidP="003E4080">
      <w:pPr>
        <w:spacing w:after="0" w:line="240" w:lineRule="auto"/>
        <w:jc w:val="both"/>
        <w:rPr>
          <w:rFonts w:ascii="Verdana" w:eastAsia="Calibri" w:hAnsi="Verdana" w:cs="Arial"/>
          <w:lang w:eastAsia="es-ES"/>
        </w:rPr>
      </w:pPr>
    </w:p>
    <w:p w14:paraId="7F8BE546" w14:textId="77777777" w:rsidR="003510AC" w:rsidRDefault="003510AC" w:rsidP="003E4080">
      <w:pPr>
        <w:spacing w:after="0" w:line="240" w:lineRule="auto"/>
        <w:jc w:val="both"/>
        <w:rPr>
          <w:rFonts w:ascii="Verdana" w:eastAsia="Calibri" w:hAnsi="Verdana" w:cs="Arial"/>
          <w:lang w:eastAsia="es-ES"/>
        </w:rPr>
      </w:pPr>
    </w:p>
    <w:p w14:paraId="34436FB5" w14:textId="77777777" w:rsidR="003510AC" w:rsidRDefault="003510AC" w:rsidP="003E4080">
      <w:pPr>
        <w:spacing w:after="0" w:line="240" w:lineRule="auto"/>
        <w:jc w:val="both"/>
        <w:rPr>
          <w:rFonts w:ascii="Verdana" w:eastAsia="Calibri" w:hAnsi="Verdana" w:cs="Arial"/>
          <w:lang w:eastAsia="es-ES"/>
        </w:rPr>
      </w:pPr>
    </w:p>
    <w:p w14:paraId="089E6AC0" w14:textId="77777777" w:rsidR="003510AC" w:rsidRDefault="003510AC" w:rsidP="003E4080">
      <w:pPr>
        <w:spacing w:after="0" w:line="240" w:lineRule="auto"/>
        <w:jc w:val="both"/>
        <w:rPr>
          <w:rFonts w:ascii="Verdana" w:eastAsia="Calibri" w:hAnsi="Verdana" w:cs="Arial"/>
          <w:lang w:eastAsia="es-ES"/>
        </w:rPr>
      </w:pPr>
    </w:p>
    <w:p w14:paraId="7091884C" w14:textId="77777777" w:rsidR="003510AC" w:rsidRDefault="003510AC" w:rsidP="003E4080">
      <w:pPr>
        <w:spacing w:after="0" w:line="240" w:lineRule="auto"/>
        <w:jc w:val="both"/>
        <w:rPr>
          <w:rFonts w:ascii="Verdana" w:eastAsia="Calibri" w:hAnsi="Verdana" w:cs="Arial"/>
          <w:lang w:eastAsia="es-ES"/>
        </w:rPr>
      </w:pPr>
    </w:p>
    <w:p w14:paraId="5E3D52AF" w14:textId="77777777" w:rsidR="003510AC" w:rsidRDefault="003510AC" w:rsidP="003E4080">
      <w:pPr>
        <w:spacing w:after="0" w:line="240" w:lineRule="auto"/>
        <w:jc w:val="both"/>
        <w:rPr>
          <w:rFonts w:ascii="Verdana" w:eastAsia="Calibri" w:hAnsi="Verdana" w:cs="Arial"/>
          <w:lang w:eastAsia="es-ES"/>
        </w:rPr>
      </w:pPr>
    </w:p>
    <w:p w14:paraId="388209A7" w14:textId="77777777" w:rsidR="003510AC" w:rsidRDefault="003510AC" w:rsidP="003E4080">
      <w:pPr>
        <w:spacing w:after="0" w:line="240" w:lineRule="auto"/>
        <w:jc w:val="both"/>
        <w:rPr>
          <w:rFonts w:ascii="Verdana" w:eastAsia="Calibri" w:hAnsi="Verdana" w:cs="Arial"/>
          <w:lang w:eastAsia="es-ES"/>
        </w:rPr>
      </w:pPr>
    </w:p>
    <w:p w14:paraId="2B8D8D29" w14:textId="77777777" w:rsidR="003510AC" w:rsidRDefault="003510AC" w:rsidP="003E4080">
      <w:pPr>
        <w:spacing w:after="0" w:line="240" w:lineRule="auto"/>
        <w:jc w:val="both"/>
        <w:rPr>
          <w:rFonts w:ascii="Verdana" w:eastAsia="Calibri" w:hAnsi="Verdana" w:cs="Arial"/>
          <w:lang w:eastAsia="es-ES"/>
        </w:rPr>
      </w:pPr>
    </w:p>
    <w:p w14:paraId="27118F37" w14:textId="77777777" w:rsidR="003510AC" w:rsidRDefault="003510AC" w:rsidP="003E4080">
      <w:pPr>
        <w:spacing w:after="0" w:line="240" w:lineRule="auto"/>
        <w:jc w:val="both"/>
        <w:rPr>
          <w:rFonts w:ascii="Verdana" w:eastAsia="Calibri" w:hAnsi="Verdana" w:cs="Arial"/>
          <w:lang w:eastAsia="es-ES"/>
        </w:rPr>
      </w:pPr>
    </w:p>
    <w:p w14:paraId="648E0F23" w14:textId="77777777" w:rsidR="003510AC" w:rsidRDefault="003510AC" w:rsidP="003E4080">
      <w:pPr>
        <w:spacing w:after="0" w:line="240" w:lineRule="auto"/>
        <w:jc w:val="both"/>
        <w:rPr>
          <w:rFonts w:ascii="Verdana" w:eastAsia="Calibri" w:hAnsi="Verdana" w:cs="Arial"/>
          <w:lang w:eastAsia="es-ES"/>
        </w:rPr>
      </w:pPr>
    </w:p>
    <w:p w14:paraId="27124A8D" w14:textId="77777777" w:rsidR="003510AC" w:rsidRDefault="003510AC" w:rsidP="003E4080">
      <w:pPr>
        <w:spacing w:after="0" w:line="240" w:lineRule="auto"/>
        <w:jc w:val="both"/>
        <w:rPr>
          <w:rFonts w:ascii="Verdana" w:eastAsia="Calibri" w:hAnsi="Verdana" w:cs="Arial"/>
          <w:lang w:eastAsia="es-ES"/>
        </w:rPr>
      </w:pPr>
    </w:p>
    <w:p w14:paraId="635D1ADD" w14:textId="77777777" w:rsidR="003510AC" w:rsidRDefault="003510AC" w:rsidP="003E4080">
      <w:pPr>
        <w:spacing w:after="0" w:line="240" w:lineRule="auto"/>
        <w:jc w:val="both"/>
        <w:rPr>
          <w:rFonts w:ascii="Verdana" w:eastAsia="Calibri" w:hAnsi="Verdana" w:cs="Arial"/>
          <w:lang w:eastAsia="es-ES"/>
        </w:rPr>
      </w:pPr>
    </w:p>
    <w:p w14:paraId="7910238C" w14:textId="77777777" w:rsidR="003510AC" w:rsidRDefault="003510AC" w:rsidP="003E4080">
      <w:pPr>
        <w:spacing w:after="0" w:line="240" w:lineRule="auto"/>
        <w:jc w:val="both"/>
        <w:rPr>
          <w:rFonts w:ascii="Verdana" w:eastAsia="Calibri" w:hAnsi="Verdana" w:cs="Arial"/>
          <w:lang w:eastAsia="es-ES"/>
        </w:rPr>
      </w:pPr>
    </w:p>
    <w:p w14:paraId="127D0BFB" w14:textId="77777777" w:rsidR="003510AC" w:rsidRDefault="003510AC" w:rsidP="003E4080">
      <w:pPr>
        <w:spacing w:after="0" w:line="240" w:lineRule="auto"/>
        <w:jc w:val="both"/>
        <w:rPr>
          <w:rFonts w:ascii="Verdana" w:eastAsia="Calibri" w:hAnsi="Verdana" w:cs="Arial"/>
          <w:lang w:eastAsia="es-ES"/>
        </w:rPr>
      </w:pPr>
    </w:p>
    <w:p w14:paraId="00EFBD2C" w14:textId="77777777" w:rsidR="003510AC" w:rsidRDefault="003510AC" w:rsidP="003E4080">
      <w:pPr>
        <w:spacing w:after="0" w:line="240" w:lineRule="auto"/>
        <w:jc w:val="both"/>
        <w:rPr>
          <w:rFonts w:ascii="Verdana" w:eastAsia="Calibri" w:hAnsi="Verdana" w:cs="Arial"/>
          <w:lang w:eastAsia="es-ES"/>
        </w:rPr>
      </w:pPr>
    </w:p>
    <w:p w14:paraId="09FBFC15" w14:textId="77777777" w:rsidR="003510AC" w:rsidRDefault="003510AC" w:rsidP="003E4080">
      <w:pPr>
        <w:spacing w:after="0" w:line="240" w:lineRule="auto"/>
        <w:jc w:val="both"/>
        <w:rPr>
          <w:rFonts w:ascii="Verdana" w:eastAsia="Calibri" w:hAnsi="Verdana" w:cs="Arial"/>
          <w:lang w:eastAsia="es-ES"/>
        </w:rPr>
      </w:pPr>
    </w:p>
    <w:p w14:paraId="2D006927" w14:textId="77777777" w:rsidR="003510AC" w:rsidRDefault="003510AC" w:rsidP="003E4080">
      <w:pPr>
        <w:spacing w:after="0" w:line="240" w:lineRule="auto"/>
        <w:jc w:val="both"/>
        <w:rPr>
          <w:rFonts w:ascii="Verdana" w:eastAsia="Calibri" w:hAnsi="Verdana" w:cs="Arial"/>
          <w:lang w:eastAsia="es-ES"/>
        </w:rPr>
      </w:pPr>
    </w:p>
    <w:p w14:paraId="2D5F7467" w14:textId="77777777" w:rsidR="003510AC" w:rsidRDefault="003510AC" w:rsidP="003E4080">
      <w:pPr>
        <w:spacing w:after="0" w:line="240" w:lineRule="auto"/>
        <w:jc w:val="both"/>
        <w:rPr>
          <w:rFonts w:ascii="Verdana" w:eastAsia="Calibri" w:hAnsi="Verdana" w:cs="Arial"/>
          <w:lang w:eastAsia="es-ES"/>
        </w:rPr>
      </w:pPr>
    </w:p>
    <w:p w14:paraId="4738D338" w14:textId="77777777" w:rsidR="003510AC" w:rsidRDefault="003510AC" w:rsidP="003E4080">
      <w:pPr>
        <w:spacing w:after="0" w:line="240" w:lineRule="auto"/>
        <w:jc w:val="both"/>
        <w:rPr>
          <w:rFonts w:ascii="Verdana" w:eastAsia="Calibri" w:hAnsi="Verdana" w:cs="Arial"/>
          <w:lang w:eastAsia="es-ES"/>
        </w:rPr>
      </w:pPr>
    </w:p>
    <w:p w14:paraId="66472387" w14:textId="77777777" w:rsidR="003510AC" w:rsidRDefault="003510AC" w:rsidP="003E4080">
      <w:pPr>
        <w:spacing w:after="0" w:line="240" w:lineRule="auto"/>
        <w:jc w:val="both"/>
        <w:rPr>
          <w:rFonts w:ascii="Verdana" w:eastAsia="Calibri" w:hAnsi="Verdana" w:cs="Arial"/>
          <w:lang w:eastAsia="es-ES"/>
        </w:rPr>
      </w:pPr>
    </w:p>
    <w:p w14:paraId="51BF2D89" w14:textId="77777777" w:rsidR="003510AC" w:rsidRDefault="003510AC" w:rsidP="003E4080">
      <w:pPr>
        <w:spacing w:after="0" w:line="240" w:lineRule="auto"/>
        <w:jc w:val="both"/>
        <w:rPr>
          <w:rFonts w:ascii="Verdana" w:eastAsia="Calibri" w:hAnsi="Verdana" w:cs="Arial"/>
          <w:lang w:eastAsia="es-ES"/>
        </w:rPr>
      </w:pPr>
    </w:p>
    <w:p w14:paraId="532E4B20" w14:textId="77777777" w:rsidR="003510AC" w:rsidRDefault="003510AC" w:rsidP="003E4080">
      <w:pPr>
        <w:spacing w:after="0" w:line="240" w:lineRule="auto"/>
        <w:jc w:val="both"/>
        <w:rPr>
          <w:rFonts w:ascii="Verdana" w:eastAsia="Calibri" w:hAnsi="Verdana" w:cs="Arial"/>
          <w:lang w:eastAsia="es-ES"/>
        </w:rPr>
      </w:pPr>
    </w:p>
    <w:p w14:paraId="00F9D831" w14:textId="77777777" w:rsidR="003510AC" w:rsidRDefault="003510AC" w:rsidP="003E4080">
      <w:pPr>
        <w:spacing w:after="0" w:line="240" w:lineRule="auto"/>
        <w:jc w:val="both"/>
        <w:rPr>
          <w:rFonts w:ascii="Verdana" w:eastAsia="Calibri" w:hAnsi="Verdana" w:cs="Arial"/>
          <w:lang w:eastAsia="es-ES"/>
        </w:rPr>
      </w:pPr>
    </w:p>
    <w:p w14:paraId="4A1A3E2F" w14:textId="77777777" w:rsidR="003510AC" w:rsidRDefault="003510AC" w:rsidP="003E4080">
      <w:pPr>
        <w:spacing w:after="0" w:line="240" w:lineRule="auto"/>
        <w:jc w:val="both"/>
        <w:rPr>
          <w:rFonts w:ascii="Verdana" w:eastAsia="Calibri" w:hAnsi="Verdana" w:cs="Arial"/>
          <w:lang w:eastAsia="es-ES"/>
        </w:rPr>
      </w:pPr>
    </w:p>
    <w:p w14:paraId="35A99452" w14:textId="77777777" w:rsidR="003510AC" w:rsidRDefault="003510AC" w:rsidP="003E4080">
      <w:pPr>
        <w:spacing w:after="0" w:line="240" w:lineRule="auto"/>
        <w:jc w:val="both"/>
        <w:rPr>
          <w:rFonts w:ascii="Verdana" w:eastAsia="Calibri" w:hAnsi="Verdana" w:cs="Arial"/>
          <w:lang w:eastAsia="es-ES"/>
        </w:rPr>
      </w:pPr>
    </w:p>
    <w:p w14:paraId="6CC57579" w14:textId="77777777" w:rsidR="003510AC" w:rsidRDefault="003510AC" w:rsidP="003E4080">
      <w:pPr>
        <w:spacing w:after="0" w:line="240" w:lineRule="auto"/>
        <w:jc w:val="both"/>
        <w:rPr>
          <w:rFonts w:ascii="Verdana" w:eastAsia="Calibri" w:hAnsi="Verdana" w:cs="Arial"/>
          <w:lang w:eastAsia="es-ES"/>
        </w:rPr>
      </w:pPr>
    </w:p>
    <w:p w14:paraId="0926A3B4" w14:textId="77777777" w:rsidR="003510AC" w:rsidRDefault="003510AC" w:rsidP="003E4080">
      <w:pPr>
        <w:spacing w:after="0" w:line="240" w:lineRule="auto"/>
        <w:jc w:val="both"/>
        <w:rPr>
          <w:rFonts w:ascii="Verdana" w:eastAsia="Calibri" w:hAnsi="Verdana" w:cs="Arial"/>
          <w:lang w:eastAsia="es-ES"/>
        </w:rPr>
      </w:pPr>
    </w:p>
    <w:p w14:paraId="2F39C868" w14:textId="77777777" w:rsidR="003510AC" w:rsidRDefault="003510AC" w:rsidP="003E4080">
      <w:pPr>
        <w:spacing w:after="0" w:line="240" w:lineRule="auto"/>
        <w:jc w:val="both"/>
        <w:rPr>
          <w:rFonts w:ascii="Verdana" w:eastAsia="Calibri" w:hAnsi="Verdana" w:cs="Arial"/>
          <w:lang w:eastAsia="es-ES"/>
        </w:rPr>
      </w:pPr>
    </w:p>
    <w:p w14:paraId="216F06A5" w14:textId="77777777" w:rsidR="003510AC" w:rsidRDefault="003510AC" w:rsidP="003E4080">
      <w:pPr>
        <w:spacing w:after="0" w:line="240" w:lineRule="auto"/>
        <w:jc w:val="both"/>
        <w:rPr>
          <w:rFonts w:ascii="Verdana" w:eastAsia="Calibri" w:hAnsi="Verdana" w:cs="Arial"/>
          <w:lang w:eastAsia="es-ES"/>
        </w:rPr>
      </w:pPr>
    </w:p>
    <w:p w14:paraId="454847F7" w14:textId="63033DA8" w:rsidR="003E4080" w:rsidRDefault="003E4080" w:rsidP="003E4080">
      <w:pPr>
        <w:spacing w:after="0" w:line="240" w:lineRule="auto"/>
        <w:jc w:val="both"/>
        <w:rPr>
          <w:rFonts w:ascii="Verdana" w:eastAsia="Calibri" w:hAnsi="Verdana" w:cs="Arial"/>
          <w:lang w:eastAsia="es-ES"/>
        </w:rPr>
      </w:pPr>
      <w:r w:rsidRPr="007E27D9">
        <w:rPr>
          <w:rFonts w:ascii="Verdana" w:eastAsia="Calibri" w:hAnsi="Verdana" w:cs="Arial"/>
          <w:lang w:eastAsia="es-ES"/>
        </w:rPr>
        <w:t xml:space="preserve">Bogotá D.C., </w:t>
      </w:r>
    </w:p>
    <w:p w14:paraId="3851DFF9" w14:textId="23068809" w:rsidR="003510AC" w:rsidRDefault="003510AC" w:rsidP="003510AC">
      <w:pPr>
        <w:spacing w:after="0" w:line="240" w:lineRule="auto"/>
        <w:jc w:val="right"/>
        <w:rPr>
          <w:rFonts w:ascii="Verdana" w:eastAsia="Calibri" w:hAnsi="Verdana" w:cs="Arial"/>
          <w:lang w:eastAsia="es-ES"/>
        </w:rPr>
      </w:pPr>
      <w:r w:rsidRPr="003510AC">
        <w:rPr>
          <w:rFonts w:ascii="Verdana" w:eastAsia="Calibri" w:hAnsi="Verdana" w:cs="Arial"/>
          <w:noProof/>
          <w:lang w:eastAsia="es-ES"/>
        </w:rPr>
        <w:drawing>
          <wp:inline distT="0" distB="0" distL="0" distR="0" wp14:anchorId="4C9D9257" wp14:editId="68CB86E7">
            <wp:extent cx="2346208" cy="720385"/>
            <wp:effectExtent l="0" t="0" r="0" b="3810"/>
            <wp:docPr id="85248463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2484638" name=""/>
                    <pic:cNvPicPr/>
                  </pic:nvPicPr>
                  <pic:blipFill>
                    <a:blip r:embed="rId10"/>
                    <a:stretch>
                      <a:fillRect/>
                    </a:stretch>
                  </pic:blipFill>
                  <pic:spPr>
                    <a:xfrm>
                      <a:off x="0" y="0"/>
                      <a:ext cx="2355901" cy="723361"/>
                    </a:xfrm>
                    <a:prstGeom prst="rect">
                      <a:avLst/>
                    </a:prstGeom>
                  </pic:spPr>
                </pic:pic>
              </a:graphicData>
            </a:graphic>
          </wp:inline>
        </w:drawing>
      </w:r>
    </w:p>
    <w:p w14:paraId="00FDB10A" w14:textId="77777777" w:rsidR="003E4080" w:rsidRPr="00B24331" w:rsidRDefault="003E4080" w:rsidP="003E4080">
      <w:pPr>
        <w:spacing w:after="0" w:line="240" w:lineRule="auto"/>
        <w:jc w:val="both"/>
        <w:rPr>
          <w:rFonts w:ascii="Verdana" w:eastAsia="Calibri" w:hAnsi="Verdana" w:cs="Arial"/>
          <w:lang w:eastAsia="es-ES"/>
        </w:rPr>
      </w:pPr>
      <w:r w:rsidRPr="00B24331">
        <w:rPr>
          <w:rFonts w:ascii="Verdana" w:eastAsia="Calibri" w:hAnsi="Verdana" w:cs="Arial"/>
          <w:lang w:eastAsia="es-ES"/>
        </w:rPr>
        <w:t>Señor</w:t>
      </w:r>
      <w:r>
        <w:rPr>
          <w:rFonts w:ascii="Verdana" w:eastAsia="Calibri" w:hAnsi="Verdana" w:cs="Arial"/>
          <w:lang w:eastAsia="es-ES"/>
        </w:rPr>
        <w:t>a</w:t>
      </w:r>
    </w:p>
    <w:p w14:paraId="1F7D8C19" w14:textId="77777777" w:rsidR="003E4080" w:rsidRDefault="003E4080" w:rsidP="003E4080">
      <w:pPr>
        <w:spacing w:after="0" w:line="240" w:lineRule="auto"/>
        <w:jc w:val="both"/>
        <w:rPr>
          <w:rFonts w:ascii="Verdana" w:eastAsia="Calibri" w:hAnsi="Verdana" w:cs="Arial"/>
          <w:b/>
          <w:bCs/>
          <w:lang w:eastAsia="es-ES"/>
        </w:rPr>
      </w:pPr>
      <w:r w:rsidRPr="003D4B30">
        <w:rPr>
          <w:rFonts w:ascii="Verdana" w:eastAsia="Calibri" w:hAnsi="Verdana" w:cs="Arial"/>
          <w:b/>
          <w:bCs/>
          <w:lang w:eastAsia="es-ES"/>
        </w:rPr>
        <w:t>Claret Velasco Rojas</w:t>
      </w:r>
    </w:p>
    <w:p w14:paraId="2E746F27" w14:textId="77777777" w:rsidR="003E4080" w:rsidRPr="003D4B30" w:rsidRDefault="003E4080" w:rsidP="003E4080">
      <w:pPr>
        <w:spacing w:after="0" w:line="240" w:lineRule="auto"/>
        <w:jc w:val="both"/>
        <w:rPr>
          <w:rFonts w:ascii="Verdana" w:hAnsi="Verdana"/>
          <w:b/>
          <w:bCs/>
        </w:rPr>
      </w:pPr>
      <w:r w:rsidRPr="003D4B30">
        <w:rPr>
          <w:rFonts w:ascii="Verdana" w:hAnsi="Verdana"/>
          <w:b/>
          <w:bCs/>
        </w:rPr>
        <w:t xml:space="preserve">Empresa de Servicios Públicos de Tame </w:t>
      </w:r>
      <w:proofErr w:type="spellStart"/>
      <w:r w:rsidRPr="003D4B30">
        <w:rPr>
          <w:rFonts w:ascii="Verdana" w:hAnsi="Verdana"/>
          <w:b/>
          <w:bCs/>
        </w:rPr>
        <w:t>Caribabare</w:t>
      </w:r>
      <w:proofErr w:type="spellEnd"/>
    </w:p>
    <w:p w14:paraId="43D908DE" w14:textId="77777777" w:rsidR="003E4080" w:rsidRPr="003D4B30" w:rsidRDefault="003E4080" w:rsidP="003E4080">
      <w:pPr>
        <w:spacing w:after="0" w:line="240" w:lineRule="auto"/>
        <w:jc w:val="both"/>
        <w:rPr>
          <w:rFonts w:ascii="Verdana" w:hAnsi="Verdana"/>
          <w:b/>
          <w:bCs/>
        </w:rPr>
      </w:pPr>
      <w:hyperlink r:id="rId11" w:history="1">
        <w:r w:rsidRPr="003D4B30">
          <w:rPr>
            <w:rStyle w:val="Hipervnculo"/>
            <w:rFonts w:ascii="Verdana" w:hAnsi="Verdana"/>
            <w:b/>
            <w:bCs/>
          </w:rPr>
          <w:t>secretaria@caribabare.gov.co</w:t>
        </w:r>
      </w:hyperlink>
    </w:p>
    <w:p w14:paraId="7835F8BC" w14:textId="77777777" w:rsidR="003E4080" w:rsidRPr="00863416" w:rsidRDefault="003E4080" w:rsidP="003E4080">
      <w:pPr>
        <w:spacing w:after="0" w:line="240" w:lineRule="auto"/>
        <w:jc w:val="both"/>
        <w:rPr>
          <w:rFonts w:ascii="Verdana" w:hAnsi="Verdana"/>
        </w:rPr>
      </w:pPr>
      <w:r w:rsidRPr="00863416">
        <w:rPr>
          <w:rFonts w:ascii="Verdana" w:hAnsi="Verdana"/>
        </w:rPr>
        <w:t xml:space="preserve">Tame – Arauca </w:t>
      </w:r>
    </w:p>
    <w:p w14:paraId="499442C7" w14:textId="77777777" w:rsidR="003E4080" w:rsidRPr="00863416" w:rsidRDefault="003E4080" w:rsidP="003E4080">
      <w:pPr>
        <w:spacing w:after="0" w:line="240" w:lineRule="auto"/>
        <w:jc w:val="both"/>
        <w:rPr>
          <w:rFonts w:ascii="Verdana" w:hAnsi="Verdana"/>
        </w:rPr>
      </w:pPr>
    </w:p>
    <w:p w14:paraId="57D29725" w14:textId="77777777" w:rsidR="003E4080" w:rsidRPr="00863416" w:rsidRDefault="003E4080" w:rsidP="003E4080">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3E4080" w:rsidRPr="005644FE" w14:paraId="6BBD5CA7" w14:textId="77777777" w:rsidTr="003929D7">
        <w:trPr>
          <w:trHeight w:val="162"/>
        </w:trPr>
        <w:tc>
          <w:tcPr>
            <w:tcW w:w="3119" w:type="dxa"/>
          </w:tcPr>
          <w:p w14:paraId="44FD51E3" w14:textId="77777777" w:rsidR="003E4080" w:rsidRPr="00863416" w:rsidRDefault="003E4080" w:rsidP="003929D7">
            <w:pPr>
              <w:jc w:val="both"/>
              <w:rPr>
                <w:rFonts w:ascii="Verdana" w:eastAsia="Calibri" w:hAnsi="Verdana" w:cs="Arial"/>
                <w:b/>
                <w:bCs/>
                <w:color w:val="7030A0"/>
                <w:lang w:eastAsia="es-ES_tradnl"/>
              </w:rPr>
            </w:pPr>
          </w:p>
        </w:tc>
        <w:tc>
          <w:tcPr>
            <w:tcW w:w="5670" w:type="dxa"/>
          </w:tcPr>
          <w:p w14:paraId="453B5D70" w14:textId="77777777" w:rsidR="003E4080" w:rsidRPr="005644FE" w:rsidRDefault="003E4080" w:rsidP="003929D7">
            <w:pPr>
              <w:jc w:val="both"/>
              <w:rPr>
                <w:rFonts w:ascii="Verdana" w:eastAsia="Calibri" w:hAnsi="Verdana" w:cs="Arial"/>
                <w:b/>
                <w:bCs/>
                <w:lang w:eastAsia="es-ES"/>
              </w:rPr>
            </w:pPr>
            <w:r w:rsidRPr="005644FE">
              <w:rPr>
                <w:rFonts w:ascii="Verdana" w:eastAsia="Calibri" w:hAnsi="Verdana" w:cs="Arial"/>
                <w:b/>
                <w:bCs/>
                <w:lang w:eastAsia="es-ES"/>
              </w:rPr>
              <w:t>Concepto C</w:t>
            </w:r>
            <w:r w:rsidRPr="00205473">
              <w:rPr>
                <w:rFonts w:ascii="Verdana" w:eastAsia="Calibri" w:hAnsi="Verdana" w:cs="Arial"/>
                <w:b/>
                <w:bCs/>
                <w:lang w:eastAsia="es-ES"/>
              </w:rPr>
              <w:t>-</w:t>
            </w:r>
            <w:r>
              <w:rPr>
                <w:rFonts w:ascii="Verdana" w:eastAsia="Calibri" w:hAnsi="Verdana" w:cs="Arial"/>
                <w:b/>
                <w:bCs/>
                <w:lang w:eastAsia="es-ES"/>
              </w:rPr>
              <w:t>107 de 2026</w:t>
            </w:r>
          </w:p>
          <w:p w14:paraId="117C61B7" w14:textId="77777777" w:rsidR="003E4080" w:rsidRPr="005644FE" w:rsidRDefault="003E4080" w:rsidP="003929D7">
            <w:pPr>
              <w:jc w:val="both"/>
              <w:rPr>
                <w:rFonts w:ascii="Verdana" w:eastAsia="Calibri" w:hAnsi="Verdana" w:cs="Arial"/>
                <w:b/>
                <w:bCs/>
                <w:color w:val="7030A0"/>
                <w:lang w:eastAsia="es-ES"/>
              </w:rPr>
            </w:pPr>
          </w:p>
        </w:tc>
      </w:tr>
      <w:tr w:rsidR="003E4080" w:rsidRPr="005644FE" w14:paraId="6E42F350" w14:textId="77777777" w:rsidTr="003929D7">
        <w:trPr>
          <w:trHeight w:val="884"/>
        </w:trPr>
        <w:tc>
          <w:tcPr>
            <w:tcW w:w="3119" w:type="dxa"/>
          </w:tcPr>
          <w:p w14:paraId="5A987531" w14:textId="77777777" w:rsidR="003E4080" w:rsidRPr="005644FE" w:rsidRDefault="003E4080" w:rsidP="003929D7">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25D4C2D4" w14:textId="77777777" w:rsidR="003E4080" w:rsidRPr="00E65C5F" w:rsidRDefault="003E4080" w:rsidP="003929D7">
            <w:pPr>
              <w:spacing w:after="255"/>
              <w:contextualSpacing/>
              <w:jc w:val="both"/>
              <w:rPr>
                <w:rFonts w:ascii="Verdana" w:hAnsi="Verdana" w:cs="Arial"/>
                <w:color w:val="000000" w:themeColor="text1"/>
              </w:rPr>
            </w:pPr>
            <w:r>
              <w:rPr>
                <w:rFonts w:ascii="Verdana" w:hAnsi="Verdana" w:cs="Arial"/>
                <w:color w:val="000000" w:themeColor="text1"/>
              </w:rPr>
              <w:t xml:space="preserve">REQUISITOS DE PERFECCIONAMIENTO DEL CONTRATO – Alcance / ELEMENTOS DEL CONTRATO – Esencia - Naturaleza – Accidentales / NATURALEZA DEL CONTRATO- Consensual – Real – Solemne / CONTRATO ESTATAL – Requisitos de perfeccionamiento y de ejecución – Ley 80 de 1993 artículo 41/ REQUISITOS DE EJECUCIÓN DEL CONTRATO ESTATAL – Naturaleza / ACTA DE INICIO – Requisito de ejecución convencional / </w:t>
            </w:r>
            <w:r>
              <w:rPr>
                <w:rFonts w:ascii="Verdana" w:eastAsia="Calibri" w:hAnsi="Verdana" w:cs="Arial"/>
                <w:bCs/>
                <w:lang w:val="es-MX" w:eastAsia="es-MX"/>
              </w:rPr>
              <w:t xml:space="preserve">LEY DE GARANTÍAS ELECTORALES – Objetivo / LEY DE GARANTÍAS ELECTORALES – Prohibiciones / </w:t>
            </w:r>
            <w:r>
              <w:rPr>
                <w:rFonts w:ascii="Verdana" w:eastAsia="Calibri" w:hAnsi="Verdana" w:cs="Arial"/>
                <w:bCs/>
                <w:lang w:val="es-MX"/>
              </w:rPr>
              <w:t xml:space="preserve">LEY DE GARANTÍAS ELECTORALES ─ Prohibición artículo 33 ‒ Contratación directa ‒ Alcance </w:t>
            </w:r>
            <w:r>
              <w:rPr>
                <w:rFonts w:ascii="Verdana" w:eastAsia="Times New Roman" w:hAnsi="Verdana" w:cs="Arial"/>
                <w:bCs/>
                <w:lang w:eastAsia="es-CO"/>
              </w:rPr>
              <w:t xml:space="preserve">/ </w:t>
            </w:r>
            <w:r>
              <w:rPr>
                <w:rFonts w:ascii="Verdana" w:eastAsia="Calibri" w:hAnsi="Verdana" w:cs="Arial"/>
                <w:bCs/>
                <w:lang w:val="es-MX"/>
              </w:rPr>
              <w:t>LEY DE GARANTÍAS ELECTORALES ─ Prohibición artículo 33 ‒ Contratación directa ‒ Destinatarios</w:t>
            </w:r>
            <w:r>
              <w:rPr>
                <w:rFonts w:ascii="Verdana" w:eastAsia="Times New Roman" w:hAnsi="Verdana" w:cs="Arial"/>
                <w:bCs/>
                <w:lang w:val="es-MX" w:eastAsia="es-CO"/>
              </w:rPr>
              <w:t xml:space="preserve"> </w:t>
            </w:r>
            <w:r>
              <w:rPr>
                <w:rFonts w:ascii="Verdana" w:eastAsia="Times New Roman" w:hAnsi="Verdana" w:cs="Arial"/>
                <w:bCs/>
                <w:lang w:eastAsia="es-CO"/>
              </w:rPr>
              <w:t xml:space="preserve">/ LEY DE GARANTÍAS ELECTORALES ‒ Excepciones / </w:t>
            </w:r>
            <w:r>
              <w:rPr>
                <w:rFonts w:ascii="Verdana" w:eastAsia="Calibri" w:hAnsi="Verdana" w:cs="Arial"/>
                <w:color w:val="000000" w:themeColor="text1"/>
                <w:lang w:val="es-ES_tradnl" w:eastAsia="es-ES_tradnl"/>
              </w:rPr>
              <w:t xml:space="preserve"> </w:t>
            </w:r>
            <w:r>
              <w:rPr>
                <w:rFonts w:ascii="Verdana" w:eastAsia="Times New Roman" w:hAnsi="Verdana" w:cs="Arial"/>
                <w:bCs/>
                <w:lang w:eastAsia="es-CO"/>
              </w:rPr>
              <w:t xml:space="preserve">LEY DE GARANTÍAS ELECTORALES – Suscripción del acta de inicio </w:t>
            </w:r>
          </w:p>
        </w:tc>
      </w:tr>
      <w:tr w:rsidR="003E4080" w:rsidRPr="005644FE" w14:paraId="3512BA2A" w14:textId="77777777" w:rsidTr="003929D7">
        <w:tc>
          <w:tcPr>
            <w:tcW w:w="3119" w:type="dxa"/>
          </w:tcPr>
          <w:p w14:paraId="197D3C06" w14:textId="77777777" w:rsidR="003E4080" w:rsidRPr="005644FE" w:rsidRDefault="003E4080" w:rsidP="003929D7">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747484AC" w14:textId="77777777" w:rsidR="003E4080" w:rsidRPr="00F04657" w:rsidRDefault="003E4080" w:rsidP="003929D7">
            <w:pPr>
              <w:jc w:val="both"/>
              <w:rPr>
                <w:rFonts w:ascii="Verdana" w:eastAsia="Calibri" w:hAnsi="Verdana" w:cs="Arial"/>
                <w:lang w:eastAsia="es-ES_tradnl"/>
              </w:rPr>
            </w:pPr>
            <w:r w:rsidRPr="005644FE">
              <w:rPr>
                <w:rFonts w:ascii="Verdana" w:eastAsia="Calibri" w:hAnsi="Verdana" w:cs="Arial"/>
                <w:lang w:eastAsia="es-ES_tradnl"/>
              </w:rPr>
              <w:t>Respuesta a consulta con radicado</w:t>
            </w:r>
            <w:r>
              <w:rPr>
                <w:rFonts w:ascii="Verdana" w:eastAsia="Calibri" w:hAnsi="Verdana" w:cs="Arial"/>
                <w:lang w:eastAsia="es-ES_tradnl"/>
              </w:rPr>
              <w:t xml:space="preserve"> </w:t>
            </w:r>
            <w:r w:rsidRPr="003D4B30">
              <w:rPr>
                <w:rFonts w:ascii="Verdana" w:eastAsia="Calibri" w:hAnsi="Verdana" w:cs="Arial"/>
                <w:lang w:eastAsia="es-ES_tradnl"/>
              </w:rPr>
              <w:t>1_2026_01_27_000871</w:t>
            </w:r>
          </w:p>
        </w:tc>
      </w:tr>
    </w:tbl>
    <w:p w14:paraId="2A7CA484" w14:textId="77777777" w:rsidR="003E4080" w:rsidRPr="005644FE" w:rsidRDefault="003E4080" w:rsidP="003E4080">
      <w:pPr>
        <w:spacing w:after="0" w:line="276" w:lineRule="auto"/>
        <w:jc w:val="both"/>
        <w:rPr>
          <w:rFonts w:ascii="Verdana" w:eastAsia="Calibri" w:hAnsi="Verdana" w:cs="Arial"/>
          <w:lang w:eastAsia="es-ES_tradnl"/>
        </w:rPr>
      </w:pPr>
    </w:p>
    <w:p w14:paraId="0AC02BD5" w14:textId="3A3025A0" w:rsidR="003E4080" w:rsidRPr="005644FE" w:rsidRDefault="003E4080" w:rsidP="003E4080">
      <w:pPr>
        <w:spacing w:after="0" w:line="276" w:lineRule="auto"/>
        <w:jc w:val="both"/>
        <w:rPr>
          <w:rFonts w:ascii="Verdana" w:eastAsia="Calibri" w:hAnsi="Verdana" w:cs="Arial"/>
          <w:lang w:eastAsia="es-ES"/>
        </w:rPr>
      </w:pPr>
      <w:r w:rsidRPr="005644FE">
        <w:rPr>
          <w:rFonts w:ascii="Verdana" w:eastAsia="Calibri" w:hAnsi="Verdana" w:cs="Arial"/>
          <w:lang w:eastAsia="es-ES"/>
        </w:rPr>
        <w:t>Estimad</w:t>
      </w:r>
      <w:r w:rsidR="00FD7B2E">
        <w:rPr>
          <w:rFonts w:ascii="Verdana" w:eastAsia="Calibri" w:hAnsi="Verdana" w:cs="Arial"/>
          <w:lang w:eastAsia="es-ES"/>
        </w:rPr>
        <w:t>a</w:t>
      </w:r>
      <w:r>
        <w:rPr>
          <w:rFonts w:ascii="Verdana" w:eastAsia="Calibri" w:hAnsi="Verdana" w:cs="Arial"/>
          <w:lang w:eastAsia="es-ES"/>
        </w:rPr>
        <w:t xml:space="preserve"> señora Claret:</w:t>
      </w:r>
    </w:p>
    <w:p w14:paraId="095E2F9F" w14:textId="77777777" w:rsidR="003E4080" w:rsidRPr="00E02524" w:rsidRDefault="003E4080" w:rsidP="003E4080">
      <w:pPr>
        <w:spacing w:after="0"/>
        <w:jc w:val="both"/>
        <w:rPr>
          <w:rFonts w:ascii="Verdana" w:hAnsi="Verdana"/>
          <w:lang w:val="es-MX"/>
        </w:rPr>
      </w:pPr>
    </w:p>
    <w:p w14:paraId="7D55A4CD" w14:textId="77777777" w:rsidR="003E4080" w:rsidRDefault="003E4080" w:rsidP="003E4080">
      <w:pPr>
        <w:spacing w:after="120" w:line="276" w:lineRule="auto"/>
        <w:jc w:val="both"/>
        <w:rPr>
          <w:rFonts w:ascii="Verdana" w:hAnsi="Verdana"/>
        </w:rPr>
      </w:pPr>
      <w:r w:rsidRPr="00E02524">
        <w:rPr>
          <w:rFonts w:ascii="Verdana" w:hAnsi="Verdana"/>
        </w:rPr>
        <w:t xml:space="preserve">La Agencia Nacional de Contratación Pública – Colombia Compra Eficiente –, en ejercicio de las competencias otorgadas </w:t>
      </w:r>
      <w:r w:rsidRPr="005644FE">
        <w:rPr>
          <w:rFonts w:ascii="Verdana" w:eastAsia="Calibri" w:hAnsi="Verdana" w:cs="Arial"/>
          <w:lang w:eastAsia="es-ES"/>
        </w:rPr>
        <w:t>por los artículos 3, numeral 5º, y 11, numeral 8º, del Decreto Ley 4170 de 2011</w:t>
      </w:r>
      <w:r>
        <w:rPr>
          <w:rFonts w:ascii="Verdana" w:eastAsia="Calibri" w:hAnsi="Verdana" w:cs="Arial"/>
          <w:lang w:eastAsia="es-ES"/>
        </w:rPr>
        <w:t>,</w:t>
      </w:r>
      <w:r w:rsidRPr="00595C9B">
        <w:rPr>
          <w:rFonts w:ascii="Verdana" w:hAnsi="Verdana" w:cs="Arial"/>
        </w:rPr>
        <w:t xml:space="preserve"> </w:t>
      </w:r>
      <w:r w:rsidRPr="005644FE">
        <w:rPr>
          <w:rFonts w:ascii="Verdana" w:hAnsi="Verdana" w:cs="Arial"/>
        </w:rPr>
        <w:t>así como lo establecido en el artículo 4 de la Resolución 1707 de 2018 expedida por esta Entidad</w:t>
      </w:r>
      <w:r w:rsidRPr="00E02524">
        <w:rPr>
          <w:rFonts w:ascii="Verdana" w:hAnsi="Verdana"/>
        </w:rPr>
        <w:t xml:space="preserve"> y</w:t>
      </w:r>
      <w:r>
        <w:rPr>
          <w:rFonts w:ascii="Verdana" w:hAnsi="Verdana"/>
        </w:rPr>
        <w:t>,</w:t>
      </w:r>
      <w:r w:rsidRPr="00E02524">
        <w:rPr>
          <w:rFonts w:ascii="Verdana" w:hAnsi="Verdana"/>
        </w:rPr>
        <w:t xml:space="preserve"> de conformidad con las modalidades del derecho de petición contempladas en la Ley 1755 de 2015</w:t>
      </w:r>
      <w:r>
        <w:rPr>
          <w:rFonts w:ascii="Verdana" w:hAnsi="Verdana"/>
        </w:rPr>
        <w:t xml:space="preserve"> y en </w:t>
      </w:r>
      <w:r w:rsidRPr="00E02524">
        <w:rPr>
          <w:rFonts w:ascii="Verdana" w:hAnsi="Verdana"/>
        </w:rPr>
        <w:t xml:space="preserve">la resolución </w:t>
      </w:r>
      <w:proofErr w:type="spellStart"/>
      <w:r w:rsidRPr="00E02524">
        <w:rPr>
          <w:rFonts w:ascii="Verdana" w:eastAsia="Times New Roman" w:hAnsi="Verdana" w:cs="Segoe UI"/>
          <w:lang w:eastAsia="es-CO"/>
        </w:rPr>
        <w:t>N°</w:t>
      </w:r>
      <w:proofErr w:type="spellEnd"/>
      <w:r w:rsidRPr="00E02524">
        <w:rPr>
          <w:rFonts w:ascii="Verdana" w:eastAsia="Times New Roman" w:hAnsi="Verdana" w:cs="Segoe UI"/>
          <w:lang w:eastAsia="es-CO"/>
        </w:rPr>
        <w:t xml:space="preserve"> 469 del 2025 </w:t>
      </w:r>
      <w:r w:rsidRPr="00E02524">
        <w:rPr>
          <w:rFonts w:ascii="Verdana" w:hAnsi="Verdana"/>
        </w:rPr>
        <w:t xml:space="preserve">expedida por esta Agencia, </w:t>
      </w:r>
      <w:r w:rsidRPr="005644FE">
        <w:rPr>
          <w:rFonts w:ascii="Verdana" w:eastAsia="Calibri" w:hAnsi="Verdana" w:cs="Arial"/>
          <w:lang w:eastAsia="es-ES"/>
        </w:rPr>
        <w:t>responde su</w:t>
      </w:r>
      <w:r>
        <w:rPr>
          <w:rFonts w:ascii="Verdana" w:eastAsia="Calibri" w:hAnsi="Verdana" w:cs="Arial"/>
          <w:lang w:eastAsia="es-ES"/>
        </w:rPr>
        <w:t>s</w:t>
      </w:r>
      <w:r w:rsidRPr="005644FE">
        <w:rPr>
          <w:rFonts w:ascii="Verdana" w:eastAsia="Calibri" w:hAnsi="Verdana" w:cs="Arial"/>
          <w:lang w:eastAsia="es-ES"/>
        </w:rPr>
        <w:t xml:space="preserve"> solicitud</w:t>
      </w:r>
      <w:r>
        <w:rPr>
          <w:rFonts w:ascii="Verdana" w:eastAsia="Calibri" w:hAnsi="Verdana" w:cs="Arial"/>
          <w:lang w:eastAsia="es-ES"/>
        </w:rPr>
        <w:t>es</w:t>
      </w:r>
      <w:r w:rsidRPr="005644FE">
        <w:rPr>
          <w:rFonts w:ascii="Verdana" w:eastAsia="Calibri" w:hAnsi="Verdana" w:cs="Arial"/>
          <w:lang w:eastAsia="es-ES"/>
        </w:rPr>
        <w:t xml:space="preserve"> de consulta de fecha </w:t>
      </w:r>
      <w:r>
        <w:rPr>
          <w:rFonts w:ascii="Verdana" w:eastAsia="Calibri" w:hAnsi="Verdana" w:cs="Arial"/>
          <w:lang w:eastAsia="es-ES"/>
        </w:rPr>
        <w:t>27 de enero de 2026,</w:t>
      </w:r>
      <w:r w:rsidRPr="005644FE">
        <w:rPr>
          <w:rFonts w:ascii="Verdana" w:eastAsia="Calibri" w:hAnsi="Verdana" w:cs="Arial"/>
          <w:lang w:eastAsia="es-ES"/>
        </w:rPr>
        <w:t xml:space="preserve"> en la cual manifiesta lo siguiente:</w:t>
      </w:r>
    </w:p>
    <w:p w14:paraId="59A03599" w14:textId="77777777" w:rsidR="003E4080" w:rsidRDefault="003E4080" w:rsidP="003E4080">
      <w:pPr>
        <w:spacing w:after="0"/>
        <w:jc w:val="both"/>
        <w:rPr>
          <w:rFonts w:ascii="Verdana" w:hAnsi="Verdana"/>
        </w:rPr>
      </w:pPr>
      <w:r w:rsidRPr="00E02524">
        <w:rPr>
          <w:rFonts w:ascii="Verdana" w:hAnsi="Verdana"/>
        </w:rPr>
        <w:t xml:space="preserve">PETICIÓN REALIZADA </w:t>
      </w:r>
    </w:p>
    <w:p w14:paraId="7235026D" w14:textId="77777777" w:rsidR="003E4080" w:rsidRPr="008E5B36" w:rsidRDefault="003E4080" w:rsidP="003E4080">
      <w:pPr>
        <w:spacing w:after="0" w:line="240" w:lineRule="auto"/>
        <w:jc w:val="both"/>
        <w:rPr>
          <w:rFonts w:ascii="Verdana" w:hAnsi="Verdana"/>
        </w:rPr>
      </w:pPr>
    </w:p>
    <w:p w14:paraId="76AAF340" w14:textId="77777777" w:rsidR="003E4080" w:rsidRPr="00594153" w:rsidRDefault="003E4080" w:rsidP="003E4080">
      <w:pPr>
        <w:spacing w:after="0" w:line="240" w:lineRule="auto"/>
        <w:ind w:left="567" w:right="758"/>
        <w:jc w:val="both"/>
        <w:rPr>
          <w:rFonts w:ascii="Verdana" w:hAnsi="Verdana"/>
          <w:sz w:val="20"/>
          <w:szCs w:val="20"/>
        </w:rPr>
      </w:pPr>
      <w:r w:rsidRPr="00FC1BE4">
        <w:rPr>
          <w:rFonts w:ascii="Verdana" w:hAnsi="Verdana"/>
          <w:sz w:val="20"/>
          <w:szCs w:val="20"/>
        </w:rPr>
        <w:t xml:space="preserve">“(…) </w:t>
      </w:r>
      <w:r w:rsidRPr="00863416">
        <w:rPr>
          <w:rFonts w:ascii="Verdana" w:hAnsi="Verdana"/>
          <w:sz w:val="20"/>
          <w:szCs w:val="20"/>
        </w:rPr>
        <w:t xml:space="preserve">Tengo una inquietud frente a la contratación directa. Según Ley de Garantías dice que este tipo de contratación se debe realizar máximo hasta el 31 de enero de 2026. La fecha de elaboración queda </w:t>
      </w:r>
      <w:proofErr w:type="gramStart"/>
      <w:r w:rsidRPr="00863416">
        <w:rPr>
          <w:rFonts w:ascii="Verdana" w:hAnsi="Verdana"/>
          <w:sz w:val="20"/>
          <w:szCs w:val="20"/>
        </w:rPr>
        <w:t>máximo</w:t>
      </w:r>
      <w:proofErr w:type="gramEnd"/>
      <w:r w:rsidRPr="00863416">
        <w:rPr>
          <w:rFonts w:ascii="Verdana" w:hAnsi="Verdana"/>
          <w:sz w:val="20"/>
          <w:szCs w:val="20"/>
        </w:rPr>
        <w:t xml:space="preserve"> el 31 de diciembre. Mi pregunta es: </w:t>
      </w:r>
      <w:proofErr w:type="gramStart"/>
      <w:r w:rsidRPr="00863416">
        <w:rPr>
          <w:rFonts w:ascii="Verdana" w:hAnsi="Verdana"/>
          <w:sz w:val="20"/>
          <w:szCs w:val="20"/>
        </w:rPr>
        <w:t>Legalmente se puede hacer acta de inicio del 02 de febrero, siendo este el primer día hábil de ese mes?</w:t>
      </w:r>
      <w:proofErr w:type="gramEnd"/>
      <w:r w:rsidRPr="00863416">
        <w:rPr>
          <w:rFonts w:ascii="Verdana" w:hAnsi="Verdana"/>
          <w:sz w:val="20"/>
          <w:szCs w:val="20"/>
        </w:rPr>
        <w:t xml:space="preserve">... </w:t>
      </w:r>
      <w:proofErr w:type="gramStart"/>
      <w:r w:rsidRPr="00863416">
        <w:rPr>
          <w:rFonts w:ascii="Verdana" w:hAnsi="Verdana"/>
          <w:sz w:val="20"/>
          <w:szCs w:val="20"/>
        </w:rPr>
        <w:t>O el acta de inicio también se debe dejar máximo al 31 de enero de 2026?</w:t>
      </w:r>
      <w:proofErr w:type="gramEnd"/>
      <w:r w:rsidRPr="00863416">
        <w:rPr>
          <w:rFonts w:ascii="Verdana" w:hAnsi="Verdana"/>
          <w:sz w:val="20"/>
          <w:szCs w:val="20"/>
        </w:rPr>
        <w:t xml:space="preserve"> </w:t>
      </w:r>
      <w:r w:rsidRPr="00FC1BE4">
        <w:rPr>
          <w:rFonts w:ascii="Verdana" w:hAnsi="Verdana"/>
          <w:sz w:val="20"/>
          <w:szCs w:val="20"/>
        </w:rPr>
        <w:t>(…)”.</w:t>
      </w:r>
    </w:p>
    <w:p w14:paraId="1742CE92" w14:textId="77777777" w:rsidR="003E4080" w:rsidRPr="00763B14" w:rsidRDefault="003E4080" w:rsidP="003E4080">
      <w:pPr>
        <w:spacing w:after="0" w:line="240" w:lineRule="auto"/>
        <w:ind w:left="567" w:right="758"/>
        <w:jc w:val="both"/>
        <w:rPr>
          <w:rFonts w:ascii="Verdana" w:hAnsi="Verdana"/>
          <w:sz w:val="20"/>
          <w:szCs w:val="20"/>
        </w:rPr>
      </w:pPr>
    </w:p>
    <w:p w14:paraId="78FB754D" w14:textId="77777777" w:rsidR="003E4080" w:rsidRPr="00F64722" w:rsidRDefault="003E4080" w:rsidP="003E4080">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w:t>
      </w:r>
      <w:r w:rsidRPr="00F64722">
        <w:rPr>
          <w:rFonts w:ascii="Verdana" w:eastAsia="Calibri" w:hAnsi="Verdana" w:cs="Arial"/>
          <w:color w:val="000000"/>
          <w:lang w:eastAsia="es-ES"/>
        </w:rPr>
        <w:t xml:space="preserve">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61D00900" w14:textId="77777777" w:rsidR="003E4080" w:rsidRPr="00F64722" w:rsidRDefault="003E4080" w:rsidP="003E4080">
      <w:pPr>
        <w:spacing w:after="0" w:line="276" w:lineRule="auto"/>
        <w:ind w:firstLine="709"/>
        <w:jc w:val="both"/>
        <w:rPr>
          <w:rFonts w:ascii="Verdana" w:eastAsia="Calibri" w:hAnsi="Verdana" w:cs="Arial"/>
          <w:lang w:eastAsia="es-ES"/>
        </w:rPr>
      </w:pPr>
      <w:r w:rsidRPr="00F64722">
        <w:rPr>
          <w:rFonts w:ascii="Verdana" w:eastAsia="Calibri" w:hAnsi="Verdana" w:cs="Arial"/>
          <w:color w:val="000000"/>
          <w:lang w:eastAsia="es-ES"/>
        </w:rPr>
        <w:t>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a</w:t>
      </w:r>
      <w:r>
        <w:rPr>
          <w:rFonts w:ascii="Verdana" w:eastAsia="Calibri" w:hAnsi="Verdana" w:cs="Arial"/>
          <w:color w:val="000000"/>
          <w:lang w:eastAsia="es-ES"/>
        </w:rPr>
        <w:t xml:space="preserve"> </w:t>
      </w:r>
      <w:r w:rsidRPr="00F64722">
        <w:rPr>
          <w:rFonts w:ascii="Verdana" w:eastAsia="Calibri" w:hAnsi="Verdana" w:cs="Arial"/>
          <w:color w:val="000000"/>
          <w:lang w:eastAsia="es-ES"/>
        </w:rPr>
        <w:t>l</w:t>
      </w:r>
      <w:r>
        <w:rPr>
          <w:rFonts w:ascii="Verdana" w:eastAsia="Calibri" w:hAnsi="Verdana" w:cs="Arial"/>
          <w:color w:val="000000"/>
          <w:lang w:eastAsia="es-ES"/>
        </w:rPr>
        <w:t>os</w:t>
      </w:r>
      <w:r w:rsidRPr="00F64722">
        <w:rPr>
          <w:rFonts w:ascii="Verdana" w:eastAsia="Calibri" w:hAnsi="Verdana" w:cs="Arial"/>
          <w:color w:val="000000"/>
          <w:lang w:eastAsia="es-ES"/>
        </w:rPr>
        <w:t xml:space="preserve"> problema</w:t>
      </w:r>
      <w:r>
        <w:rPr>
          <w:rFonts w:ascii="Verdana" w:eastAsia="Calibri" w:hAnsi="Verdana" w:cs="Arial"/>
          <w:color w:val="000000"/>
          <w:lang w:eastAsia="es-ES"/>
        </w:rPr>
        <w:t>s</w:t>
      </w:r>
      <w:r w:rsidRPr="00F64722">
        <w:rPr>
          <w:rFonts w:ascii="Verdana" w:eastAsia="Calibri" w:hAnsi="Verdana" w:cs="Arial"/>
          <w:color w:val="000000"/>
          <w:lang w:eastAsia="es-ES"/>
        </w:rPr>
        <w:t xml:space="preserve"> jurídico</w:t>
      </w:r>
      <w:r>
        <w:rPr>
          <w:rFonts w:ascii="Verdana" w:eastAsia="Calibri" w:hAnsi="Verdana" w:cs="Arial"/>
          <w:color w:val="000000"/>
          <w:lang w:eastAsia="es-ES"/>
        </w:rPr>
        <w:t>s</w:t>
      </w:r>
      <w:r w:rsidRPr="00F64722">
        <w:rPr>
          <w:rFonts w:ascii="Verdana" w:eastAsia="Calibri" w:hAnsi="Verdana" w:cs="Arial"/>
          <w:color w:val="000000"/>
          <w:lang w:eastAsia="es-ES"/>
        </w:rPr>
        <w:t xml:space="preserve"> de su consulta.</w:t>
      </w:r>
      <w:r w:rsidRPr="00F64722">
        <w:rPr>
          <w:rFonts w:ascii="Verdana" w:eastAsia="Calibri" w:hAnsi="Verdana" w:cs="Arial"/>
          <w:lang w:eastAsia="es-ES"/>
        </w:rPr>
        <w:t xml:space="preserve">  </w:t>
      </w:r>
    </w:p>
    <w:p w14:paraId="04F632EC" w14:textId="77777777" w:rsidR="003E4080" w:rsidRPr="00F64722" w:rsidRDefault="003E4080" w:rsidP="003E4080">
      <w:pPr>
        <w:spacing w:after="0" w:line="276" w:lineRule="auto"/>
        <w:ind w:firstLine="709"/>
        <w:jc w:val="both"/>
        <w:rPr>
          <w:rFonts w:ascii="Verdana" w:eastAsia="Calibri" w:hAnsi="Verdana" w:cs="Arial"/>
          <w:lang w:eastAsia="es-ES"/>
        </w:rPr>
      </w:pPr>
    </w:p>
    <w:p w14:paraId="740C4D1D" w14:textId="77777777" w:rsidR="003E4080" w:rsidRPr="00F64722" w:rsidRDefault="003E4080" w:rsidP="003E408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64722">
        <w:rPr>
          <w:rFonts w:ascii="Verdana" w:eastAsia="Century Gothic" w:hAnsi="Verdana" w:cs="Century Gothic"/>
          <w:b/>
          <w:bCs/>
        </w:rPr>
        <w:t>Problema planteado:</w:t>
      </w:r>
    </w:p>
    <w:p w14:paraId="16F75962" w14:textId="77777777" w:rsidR="003E4080" w:rsidRPr="00F64722" w:rsidRDefault="003E4080" w:rsidP="003E4080">
      <w:pPr>
        <w:pStyle w:val="Prrafodelista"/>
        <w:tabs>
          <w:tab w:val="left" w:pos="142"/>
          <w:tab w:val="left" w:pos="284"/>
        </w:tabs>
        <w:spacing w:after="0" w:line="240" w:lineRule="auto"/>
        <w:ind w:left="0"/>
        <w:contextualSpacing w:val="0"/>
        <w:jc w:val="both"/>
        <w:rPr>
          <w:rFonts w:ascii="Verdana" w:eastAsia="Century Gothic" w:hAnsi="Verdana" w:cs="Century Gothic"/>
          <w:b/>
          <w:bCs/>
        </w:rPr>
      </w:pPr>
    </w:p>
    <w:p w14:paraId="2A2CC438" w14:textId="77777777" w:rsidR="003E4080" w:rsidRDefault="003E4080" w:rsidP="003E4080">
      <w:pPr>
        <w:spacing w:after="0" w:line="276" w:lineRule="auto"/>
        <w:jc w:val="both"/>
        <w:rPr>
          <w:rFonts w:ascii="Verdana" w:eastAsia="Calibri" w:hAnsi="Verdana" w:cs="Arial"/>
          <w:color w:val="000000"/>
          <w:lang w:eastAsia="es-ES"/>
        </w:rPr>
      </w:pPr>
      <w:r w:rsidRPr="00F64722">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 xml:space="preserve">los </w:t>
      </w:r>
      <w:r w:rsidRPr="00F64722">
        <w:rPr>
          <w:rFonts w:ascii="Verdana" w:eastAsia="Calibri" w:hAnsi="Verdana" w:cs="Arial"/>
          <w:color w:val="000000"/>
          <w:lang w:eastAsia="es-ES"/>
        </w:rPr>
        <w:t>siguiente</w:t>
      </w:r>
      <w:r>
        <w:rPr>
          <w:rFonts w:ascii="Verdana" w:eastAsia="Calibri" w:hAnsi="Verdana" w:cs="Arial"/>
          <w:color w:val="000000"/>
          <w:lang w:eastAsia="es-ES"/>
        </w:rPr>
        <w:t>s</w:t>
      </w:r>
      <w:r w:rsidRPr="00F64722">
        <w:rPr>
          <w:rFonts w:ascii="Verdana" w:eastAsia="Calibri" w:hAnsi="Verdana" w:cs="Arial"/>
          <w:color w:val="000000"/>
          <w:lang w:eastAsia="es-ES"/>
        </w:rPr>
        <w:t xml:space="preserve"> problema</w:t>
      </w:r>
      <w:r>
        <w:rPr>
          <w:rFonts w:ascii="Verdana" w:eastAsia="Calibri" w:hAnsi="Verdana" w:cs="Arial"/>
          <w:color w:val="000000"/>
          <w:lang w:eastAsia="es-ES"/>
        </w:rPr>
        <w:t>s</w:t>
      </w:r>
      <w:r w:rsidRPr="00F64722">
        <w:rPr>
          <w:rFonts w:ascii="Verdana" w:eastAsia="Calibri" w:hAnsi="Verdana" w:cs="Arial"/>
          <w:color w:val="000000"/>
          <w:lang w:eastAsia="es-ES"/>
        </w:rPr>
        <w:t xml:space="preserve"> jurídico</w:t>
      </w:r>
      <w:r>
        <w:rPr>
          <w:rFonts w:ascii="Verdana" w:eastAsia="Calibri" w:hAnsi="Verdana" w:cs="Arial"/>
          <w:color w:val="000000"/>
          <w:lang w:eastAsia="es-ES"/>
        </w:rPr>
        <w:t>s</w:t>
      </w:r>
      <w:r w:rsidRPr="00F64722">
        <w:rPr>
          <w:rFonts w:ascii="Verdana" w:eastAsia="Calibri" w:hAnsi="Verdana" w:cs="Arial"/>
          <w:color w:val="000000"/>
          <w:lang w:eastAsia="es-ES"/>
        </w:rPr>
        <w:t>:</w:t>
      </w:r>
      <w:r>
        <w:rPr>
          <w:rFonts w:ascii="Verdana" w:eastAsia="Calibri" w:hAnsi="Verdana" w:cs="Arial"/>
          <w:color w:val="000000"/>
          <w:lang w:eastAsia="es-ES"/>
        </w:rPr>
        <w:t xml:space="preserve"> i) ¿Cuál es el alcance del acta de inicio en un contrato estatal? </w:t>
      </w:r>
      <w:proofErr w:type="spellStart"/>
      <w:r>
        <w:rPr>
          <w:rFonts w:ascii="Verdana" w:eastAsia="Calibri" w:hAnsi="Verdana" w:cs="Arial"/>
          <w:color w:val="000000"/>
          <w:lang w:eastAsia="es-ES"/>
        </w:rPr>
        <w:t>ii</w:t>
      </w:r>
      <w:proofErr w:type="spellEnd"/>
      <w:r>
        <w:rPr>
          <w:rFonts w:ascii="Verdana" w:eastAsia="Calibri" w:hAnsi="Verdana" w:cs="Arial"/>
          <w:color w:val="000000"/>
          <w:lang w:eastAsia="es-ES"/>
        </w:rPr>
        <w:t xml:space="preserve">) En vigencia de la aplicación del artículo 33 de la Ley 996 de 2005 conocida como ley de garantías electorales ¿el acta de inicio de un contrato estatal debe suscribirse antes de la </w:t>
      </w:r>
      <w:proofErr w:type="gramStart"/>
      <w:r>
        <w:rPr>
          <w:rFonts w:ascii="Verdana" w:eastAsia="Calibri" w:hAnsi="Verdana" w:cs="Arial"/>
          <w:color w:val="000000"/>
          <w:lang w:eastAsia="es-ES"/>
        </w:rPr>
        <w:t>entrada en vigencia</w:t>
      </w:r>
      <w:proofErr w:type="gramEnd"/>
      <w:r>
        <w:rPr>
          <w:rFonts w:ascii="Verdana" w:eastAsia="Calibri" w:hAnsi="Verdana" w:cs="Arial"/>
          <w:color w:val="000000"/>
          <w:lang w:eastAsia="es-ES"/>
        </w:rPr>
        <w:t xml:space="preserve"> de dicha restricción?</w:t>
      </w:r>
    </w:p>
    <w:p w14:paraId="127053FD" w14:textId="77777777" w:rsidR="003E4080" w:rsidRDefault="003E4080" w:rsidP="003E4080">
      <w:pPr>
        <w:spacing w:after="0" w:line="276" w:lineRule="auto"/>
        <w:jc w:val="both"/>
        <w:rPr>
          <w:rFonts w:ascii="Verdana" w:eastAsia="Century Gothic" w:hAnsi="Verdana" w:cs="Century Gothic"/>
          <w:b/>
          <w:bCs/>
        </w:rPr>
      </w:pPr>
    </w:p>
    <w:p w14:paraId="7A52DADC" w14:textId="77777777" w:rsidR="003E4080" w:rsidRDefault="003E4080" w:rsidP="003E4080">
      <w:pPr>
        <w:spacing w:after="0" w:line="276" w:lineRule="auto"/>
        <w:jc w:val="both"/>
        <w:rPr>
          <w:rFonts w:ascii="Verdana" w:eastAsia="Century Gothic" w:hAnsi="Verdana" w:cs="Century Gothic"/>
          <w:b/>
          <w:bCs/>
        </w:rPr>
      </w:pPr>
      <w:r w:rsidRPr="000B7077">
        <w:rPr>
          <w:rFonts w:ascii="Verdana" w:eastAsia="Century Gothic" w:hAnsi="Verdana" w:cs="Century Gothic"/>
          <w:b/>
          <w:bCs/>
        </w:rPr>
        <w:t>2. Respuesta:</w:t>
      </w:r>
    </w:p>
    <w:p w14:paraId="57A334D6" w14:textId="77777777" w:rsidR="003E4080" w:rsidRPr="005644FE" w:rsidRDefault="003E4080" w:rsidP="003E4080">
      <w:pPr>
        <w:spacing w:after="0" w:line="240"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3E4080" w:rsidRPr="005644FE" w14:paraId="19ADF56C" w14:textId="77777777" w:rsidTr="003929D7">
        <w:tc>
          <w:tcPr>
            <w:tcW w:w="8828" w:type="dxa"/>
          </w:tcPr>
          <w:p w14:paraId="2B2EECF4" w14:textId="77777777" w:rsidR="003E4080" w:rsidRPr="002D6B92" w:rsidRDefault="003E4080" w:rsidP="003929D7">
            <w:pPr>
              <w:spacing w:after="120" w:line="276" w:lineRule="auto"/>
              <w:jc w:val="both"/>
              <w:rPr>
                <w:rFonts w:ascii="Verdana" w:eastAsia="Calibri" w:hAnsi="Verdana" w:cs="Arial"/>
                <w:color w:val="000000"/>
                <w:lang w:val="es-ES" w:eastAsia="en-GB"/>
              </w:rPr>
            </w:pPr>
            <w:r w:rsidRPr="1916222D">
              <w:rPr>
                <w:rFonts w:ascii="Verdana" w:eastAsia="Calibri" w:hAnsi="Verdana" w:cs="Arial"/>
                <w:color w:val="000000" w:themeColor="text1"/>
                <w:lang w:val="es-ES" w:eastAsia="en-GB"/>
              </w:rPr>
              <w:t xml:space="preserve">El Estatuto General de Contratación de la Administración Pública – en adelante EGCAP – prevé dos tipos de exigencias en relación con los contratos estatales: i) las relacionadas con el perfeccionamiento y </w:t>
            </w:r>
            <w:proofErr w:type="spellStart"/>
            <w:r w:rsidRPr="1916222D">
              <w:rPr>
                <w:rFonts w:ascii="Verdana" w:eastAsia="Calibri" w:hAnsi="Verdana" w:cs="Arial"/>
                <w:color w:val="000000" w:themeColor="text1"/>
                <w:lang w:val="es-ES" w:eastAsia="en-GB"/>
              </w:rPr>
              <w:t>ii</w:t>
            </w:r>
            <w:proofErr w:type="spellEnd"/>
            <w:r w:rsidRPr="1916222D">
              <w:rPr>
                <w:rFonts w:ascii="Verdana" w:eastAsia="Calibri" w:hAnsi="Verdana" w:cs="Arial"/>
                <w:color w:val="000000" w:themeColor="text1"/>
                <w:lang w:val="es-ES" w:eastAsia="en-GB"/>
              </w:rPr>
              <w:t>) las que tienen que ver con la ejecución.</w:t>
            </w:r>
            <w:r>
              <w:rPr>
                <w:rFonts w:ascii="Verdana" w:eastAsia="Calibri" w:hAnsi="Verdana" w:cs="Arial"/>
                <w:color w:val="000000" w:themeColor="text1"/>
                <w:lang w:val="es-ES" w:eastAsia="en-GB"/>
              </w:rPr>
              <w:t xml:space="preserve"> </w:t>
            </w:r>
            <w:r w:rsidRPr="1916222D">
              <w:rPr>
                <w:rFonts w:ascii="Verdana" w:eastAsia="Calibri" w:hAnsi="Verdana" w:cs="Arial"/>
                <w:color w:val="000000"/>
                <w:lang w:val="es-ES" w:eastAsia="en-GB"/>
              </w:rPr>
              <w:t>En efecto, el primer inciso del artículo 41 de la Ley 80 de 1993 establece que “Los contratos del Estado se perfeccionan cuando se logre acuerdo sobre el objeto y la contraprestación y éste se eleve a escrito”. Como se advierte, el legislador dispuso que para que el contrato estatal exista, no solo debe haber un acuerdo sobra la obligación principal del negocio –es decir, sobre el “objeto”– y sobre la contraprestación, sino que se debe plasmar por escrito.</w:t>
            </w:r>
          </w:p>
          <w:p w14:paraId="4245261B" w14:textId="77777777" w:rsidR="003E4080" w:rsidRDefault="003E4080" w:rsidP="003929D7">
            <w:pPr>
              <w:spacing w:after="120" w:line="276" w:lineRule="auto"/>
              <w:ind w:firstLine="709"/>
              <w:jc w:val="both"/>
              <w:rPr>
                <w:rFonts w:ascii="Verdana" w:eastAsia="Calibri" w:hAnsi="Verdana" w:cs="Arial"/>
                <w:color w:val="000000" w:themeColor="text1"/>
                <w:lang w:val="es-ES" w:eastAsia="en-GB"/>
              </w:rPr>
            </w:pPr>
            <w:r w:rsidRPr="1916222D">
              <w:rPr>
                <w:rFonts w:ascii="Verdana" w:eastAsia="Calibri" w:hAnsi="Verdana" w:cs="Arial"/>
                <w:color w:val="000000" w:themeColor="text1"/>
                <w:lang w:val="es-ES" w:eastAsia="en-GB"/>
              </w:rPr>
              <w:t xml:space="preserve">Los requisitos de ejecución de los contratos estatales pueden ser “legales” o “convencionales”. Los primeros son aquellos que se encuentran previstos en la ley. Los segundos son estipulados por las partes. En otros términos, los requisitos legales de ejecución son elementos de la naturaleza, mientras que los requisitos convencionales de ejecución son elementos accidentales. </w:t>
            </w:r>
            <w:r>
              <w:rPr>
                <w:rFonts w:ascii="Verdana" w:eastAsia="Calibri" w:hAnsi="Verdana" w:cs="Arial"/>
                <w:color w:val="000000" w:themeColor="text1"/>
                <w:lang w:val="es-ES" w:eastAsia="en-GB"/>
              </w:rPr>
              <w:t xml:space="preserve">Respecto del contrato estatal, </w:t>
            </w:r>
            <w:r w:rsidRPr="1916222D">
              <w:rPr>
                <w:rFonts w:ascii="Verdana" w:eastAsia="Calibri" w:hAnsi="Verdana" w:cs="Arial"/>
                <w:color w:val="000000" w:themeColor="text1"/>
                <w:lang w:val="es-ES" w:eastAsia="en-GB"/>
              </w:rPr>
              <w:t>el artículo 41 de la Ley 80 de 1993</w:t>
            </w:r>
            <w:r w:rsidRPr="1916222D">
              <w:rPr>
                <w:rFonts w:ascii="Verdana" w:eastAsia="Calibri" w:hAnsi="Verdana" w:cs="Arial"/>
                <w:color w:val="000000" w:themeColor="text1"/>
                <w:lang w:eastAsia="en-GB"/>
              </w:rPr>
              <w:t>, modificado por el artículo 23 de la Ley 1150 de 2007</w:t>
            </w:r>
            <w:r>
              <w:rPr>
                <w:rFonts w:ascii="Verdana" w:eastAsia="Calibri" w:hAnsi="Verdana" w:cs="Arial"/>
                <w:color w:val="000000" w:themeColor="text1"/>
                <w:lang w:eastAsia="en-GB"/>
              </w:rPr>
              <w:t xml:space="preserve"> estableció como requisitos legales de ejecución: </w:t>
            </w:r>
            <w:r w:rsidRPr="1916222D">
              <w:rPr>
                <w:rFonts w:ascii="Verdana" w:eastAsia="Calibri" w:hAnsi="Verdana" w:cs="Arial"/>
                <w:color w:val="000000" w:themeColor="text1"/>
                <w:lang w:val="es-ES" w:eastAsia="en-GB"/>
              </w:rPr>
              <w:t xml:space="preserve">i) la aprobación de las garantías exigidas en el contrato, </w:t>
            </w:r>
            <w:proofErr w:type="spellStart"/>
            <w:r w:rsidRPr="1916222D">
              <w:rPr>
                <w:rFonts w:ascii="Verdana" w:eastAsia="Calibri" w:hAnsi="Verdana" w:cs="Arial"/>
                <w:color w:val="000000" w:themeColor="text1"/>
                <w:lang w:val="es-ES" w:eastAsia="en-GB"/>
              </w:rPr>
              <w:t>ii</w:t>
            </w:r>
            <w:proofErr w:type="spellEnd"/>
            <w:r w:rsidRPr="1916222D">
              <w:rPr>
                <w:rFonts w:ascii="Verdana" w:eastAsia="Calibri" w:hAnsi="Verdana" w:cs="Arial"/>
                <w:color w:val="000000" w:themeColor="text1"/>
                <w:lang w:val="es-ES" w:eastAsia="en-GB"/>
              </w:rPr>
              <w:t xml:space="preserve">) la existencia de la apropiación presupuestal correspondiente y </w:t>
            </w:r>
            <w:proofErr w:type="spellStart"/>
            <w:r w:rsidRPr="1916222D">
              <w:rPr>
                <w:rFonts w:ascii="Verdana" w:eastAsia="Calibri" w:hAnsi="Verdana" w:cs="Arial"/>
                <w:color w:val="000000" w:themeColor="text1"/>
                <w:lang w:val="es-ES" w:eastAsia="en-GB"/>
              </w:rPr>
              <w:t>iii</w:t>
            </w:r>
            <w:proofErr w:type="spellEnd"/>
            <w:r w:rsidRPr="1916222D">
              <w:rPr>
                <w:rFonts w:ascii="Verdana" w:eastAsia="Calibri" w:hAnsi="Verdana" w:cs="Arial"/>
                <w:color w:val="000000" w:themeColor="text1"/>
                <w:lang w:val="es-ES" w:eastAsia="en-GB"/>
              </w:rPr>
              <w:t>) la acreditación del cumplimiento de las obligaciones con el Sistema de Seguridad Social Integral.</w:t>
            </w:r>
          </w:p>
          <w:p w14:paraId="71D3AF00" w14:textId="77777777" w:rsidR="003E4080" w:rsidRDefault="003E4080" w:rsidP="003929D7">
            <w:pPr>
              <w:spacing w:after="120" w:line="276" w:lineRule="auto"/>
              <w:ind w:firstLine="709"/>
              <w:jc w:val="both"/>
              <w:rPr>
                <w:rFonts w:ascii="Verdana" w:eastAsia="Calibri" w:hAnsi="Verdana" w:cs="Arial"/>
                <w:lang w:val="es-ES" w:eastAsia="es-ES"/>
              </w:rPr>
            </w:pPr>
            <w:r w:rsidRPr="00034F0A">
              <w:rPr>
                <w:rFonts w:ascii="Verdana" w:eastAsia="Calibri" w:hAnsi="Verdana" w:cs="Arial"/>
                <w:lang w:val="es-ES" w:eastAsia="es-ES"/>
              </w:rPr>
              <w:t xml:space="preserve">En el lenguaje de la contratación estatal, el acta de inicio es un documento en el que se fija la fecha en la que comienza el cómputo del plazo del contrato, una vez cumplido los requisitos legales para la ejecución del contrato. Por tanto, si bien no la exige la ley ni el reglamento, obedece a una buena práctica contractual, ya que brinda certeza acerca del inicio de la ejecución del contrato. Es por ello </w:t>
            </w:r>
            <w:proofErr w:type="gramStart"/>
            <w:r w:rsidRPr="00034F0A">
              <w:rPr>
                <w:rFonts w:ascii="Verdana" w:eastAsia="Calibri" w:hAnsi="Verdana" w:cs="Arial"/>
                <w:lang w:val="es-ES" w:eastAsia="es-ES"/>
              </w:rPr>
              <w:t>que</w:t>
            </w:r>
            <w:proofErr w:type="gramEnd"/>
            <w:r w:rsidRPr="00034F0A">
              <w:rPr>
                <w:rFonts w:ascii="Verdana" w:eastAsia="Calibri" w:hAnsi="Verdana" w:cs="Arial"/>
                <w:lang w:val="es-ES" w:eastAsia="es-ES"/>
              </w:rPr>
              <w:t>, la suscripción del acta de inicio usualmente se pacta en la cláusula del plazo, estableciendo que la fecha de la firma de tal documento será el hito que determinará desde cuándo comenzarán a contabilizarse los días, meses o años que se hayan estipulado como período para el cumplimiento del objeto del contrato</w:t>
            </w:r>
            <w:r>
              <w:rPr>
                <w:rFonts w:ascii="Verdana" w:eastAsia="Calibri" w:hAnsi="Verdana" w:cs="Arial"/>
                <w:lang w:val="es-ES" w:eastAsia="es-ES"/>
              </w:rPr>
              <w:t>.</w:t>
            </w:r>
          </w:p>
          <w:p w14:paraId="60ED80FE" w14:textId="77777777" w:rsidR="003E4080" w:rsidRDefault="003E4080" w:rsidP="003929D7">
            <w:pPr>
              <w:spacing w:after="120" w:line="276" w:lineRule="auto"/>
              <w:ind w:firstLine="709"/>
              <w:jc w:val="both"/>
              <w:rPr>
                <w:rFonts w:ascii="Verdana" w:eastAsia="Calibri" w:hAnsi="Verdana" w:cs="Arial"/>
                <w:lang w:val="es-ES" w:eastAsia="es-ES"/>
              </w:rPr>
            </w:pPr>
            <w:r w:rsidRPr="00034F0A">
              <w:rPr>
                <w:rFonts w:ascii="Verdana" w:eastAsia="Calibri" w:hAnsi="Verdana" w:cs="Arial"/>
                <w:lang w:val="es-ES" w:eastAsia="es-ES"/>
              </w:rPr>
              <w:t>El fundamento legal que habilita a las partes para establecer la suscripción del acta de inicio como un requisito de ejecución convencional se encuentra en el segundo inciso del artículo 40 de la Ley 80 de 1993, el cual indica que “Las entidades podrán celebrar los contratos y acuerdos que permitan la autonomía de la voluntad y requieran el cumplimiento de los fines estatales”.</w:t>
            </w:r>
          </w:p>
          <w:p w14:paraId="127A82FE" w14:textId="77777777" w:rsidR="003E4080" w:rsidRPr="00F10E52" w:rsidRDefault="003E4080" w:rsidP="003929D7">
            <w:pPr>
              <w:spacing w:after="120" w:line="276" w:lineRule="auto"/>
              <w:jc w:val="both"/>
              <w:rPr>
                <w:rFonts w:ascii="Verdana" w:eastAsia="Arial" w:hAnsi="Verdana" w:cs="Arial"/>
                <w:lang w:val="es-ES" w:eastAsia="es-ES" w:bidi="es-ES"/>
              </w:rPr>
            </w:pPr>
            <w:proofErr w:type="spellStart"/>
            <w:r>
              <w:rPr>
                <w:rFonts w:ascii="Verdana" w:eastAsia="Calibri" w:hAnsi="Verdana" w:cs="Arial"/>
                <w:lang w:val="es-ES" w:eastAsia="es-ES"/>
              </w:rPr>
              <w:t>ii</w:t>
            </w:r>
            <w:proofErr w:type="spellEnd"/>
            <w:r>
              <w:rPr>
                <w:rFonts w:ascii="Verdana" w:eastAsia="Calibri" w:hAnsi="Verdana" w:cs="Arial"/>
                <w:lang w:val="es-ES" w:eastAsia="es-ES"/>
              </w:rPr>
              <w:t xml:space="preserve">) </w:t>
            </w:r>
            <w:r>
              <w:rPr>
                <w:rFonts w:ascii="Verdana" w:eastAsia="Arial" w:hAnsi="Verdana" w:cs="Arial"/>
                <w:lang w:val="es-ES" w:eastAsia="es-ES" w:bidi="es-ES"/>
              </w:rPr>
              <w:t>L</w:t>
            </w:r>
            <w:r w:rsidRPr="00F10E52">
              <w:rPr>
                <w:rFonts w:ascii="Verdana" w:eastAsia="Arial" w:hAnsi="Verdana" w:cs="Arial"/>
                <w:lang w:val="es-ES" w:eastAsia="es-ES" w:bidi="es-ES"/>
              </w:rPr>
              <w:t xml:space="preserve">as restricciones consagradas en la </w:t>
            </w:r>
            <w:r>
              <w:rPr>
                <w:rFonts w:ascii="Verdana" w:eastAsia="Arial" w:hAnsi="Verdana" w:cs="Arial"/>
                <w:lang w:val="es-ES" w:eastAsia="es-ES" w:bidi="es-ES"/>
              </w:rPr>
              <w:t>L</w:t>
            </w:r>
            <w:r w:rsidRPr="00F10E52">
              <w:rPr>
                <w:rFonts w:ascii="Verdana" w:eastAsia="Arial" w:hAnsi="Verdana" w:cs="Arial"/>
                <w:lang w:val="es-ES" w:eastAsia="es-ES" w:bidi="es-ES"/>
              </w:rPr>
              <w:t xml:space="preserve">ey </w:t>
            </w:r>
            <w:r>
              <w:rPr>
                <w:rFonts w:ascii="Verdana" w:eastAsia="Arial" w:hAnsi="Verdana" w:cs="Arial"/>
                <w:lang w:val="es-ES" w:eastAsia="es-ES" w:bidi="es-ES"/>
              </w:rPr>
              <w:t>996 de 2005, en materia de contratación estatal,</w:t>
            </w:r>
            <w:r w:rsidRPr="00F10E52">
              <w:rPr>
                <w:rFonts w:ascii="Verdana" w:eastAsia="Arial" w:hAnsi="Verdana" w:cs="Arial"/>
                <w:lang w:val="es-ES" w:eastAsia="es-ES" w:bidi="es-ES"/>
              </w:rPr>
              <w:t xml:space="preserve"> se dirigen a dos (2) tipos de campañas electorales claramente diferenciadas: las presidenciales y las demás que se adelanten para la elección de los demás cargos de elección popular, tanto a nivel nacional como a nivel territorial.</w:t>
            </w:r>
          </w:p>
          <w:p w14:paraId="01000146" w14:textId="77777777" w:rsidR="003E4080" w:rsidRPr="00F10E52" w:rsidRDefault="003E4080" w:rsidP="003929D7">
            <w:pPr>
              <w:spacing w:after="120" w:line="276" w:lineRule="auto"/>
              <w:ind w:firstLine="709"/>
              <w:jc w:val="both"/>
              <w:rPr>
                <w:rFonts w:ascii="Verdana" w:eastAsia="Calibri" w:hAnsi="Verdana" w:cs="Arial"/>
              </w:rPr>
            </w:pPr>
            <w:r w:rsidRPr="00F10E52">
              <w:rPr>
                <w:rFonts w:ascii="Verdana" w:eastAsia="Calibri" w:hAnsi="Verdana" w:cs="Arial"/>
              </w:rPr>
              <w:t xml:space="preserve">Por un lado, el artículo 33 de la Ley 996 de 2005 prohíbe </w:t>
            </w:r>
            <w:r>
              <w:rPr>
                <w:rFonts w:ascii="Verdana" w:eastAsia="Calibri" w:hAnsi="Verdana" w:cs="Arial"/>
              </w:rPr>
              <w:t>“</w:t>
            </w:r>
            <w:r>
              <w:rPr>
                <w:rFonts w:ascii="Verdana" w:eastAsia="Calibri" w:hAnsi="Verdana" w:cs="Arial"/>
                <w:bCs/>
              </w:rPr>
              <w:t xml:space="preserve">(…) </w:t>
            </w:r>
            <w:r w:rsidRPr="00F10E52">
              <w:rPr>
                <w:rFonts w:ascii="Verdana" w:eastAsia="Calibri" w:hAnsi="Verdana" w:cs="Arial"/>
              </w:rPr>
              <w:t>la contratación directa por parte de todos los entes del Estado</w:t>
            </w:r>
            <w:r>
              <w:rPr>
                <w:rFonts w:ascii="Verdana" w:eastAsia="Calibri" w:hAnsi="Verdana" w:cs="Arial"/>
                <w:bCs/>
              </w:rPr>
              <w:t>”</w:t>
            </w:r>
            <w:r w:rsidRPr="00F10E52">
              <w:rPr>
                <w:rFonts w:ascii="Verdana" w:eastAsia="Calibri" w:hAnsi="Verdana" w:cs="Arial"/>
              </w:rPr>
              <w:t xml:space="preserve"> durante los cuatro (4) meses anteriores a las elecciones presidenciales, salvo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rPr>
              <w:t>”</w:t>
            </w:r>
            <w:r w:rsidRPr="00F10E52">
              <w:rPr>
                <w:rFonts w:ascii="Verdana" w:eastAsia="Calibri" w:hAnsi="Verdana" w:cs="Arial"/>
              </w:rPr>
              <w:t>.</w:t>
            </w:r>
          </w:p>
          <w:p w14:paraId="783D9A57" w14:textId="77777777" w:rsidR="003E4080" w:rsidRDefault="003E4080" w:rsidP="003929D7">
            <w:pPr>
              <w:widowControl w:val="0"/>
              <w:autoSpaceDE w:val="0"/>
              <w:autoSpaceDN w:val="0"/>
              <w:spacing w:after="120" w:line="276" w:lineRule="auto"/>
              <w:ind w:firstLine="709"/>
              <w:jc w:val="both"/>
              <w:rPr>
                <w:rFonts w:ascii="Verdana" w:eastAsia="Arial" w:hAnsi="Verdana" w:cs="Arial"/>
                <w:lang w:val="es-ES" w:eastAsia="es-ES" w:bidi="es-ES"/>
              </w:rPr>
            </w:pPr>
            <w:r w:rsidRPr="00F10E52">
              <w:rPr>
                <w:rFonts w:ascii="Verdana" w:eastAsia="Calibri" w:hAnsi="Verdana" w:cs="Aria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rPr>
              <w:t>”</w:t>
            </w:r>
            <w:r w:rsidRPr="00F10E52">
              <w:rPr>
                <w:rFonts w:ascii="Verdana" w:eastAsia="Calibri" w:hAnsi="Verdana" w:cs="Arial"/>
              </w:rPr>
              <w:t>.</w:t>
            </w:r>
            <w:r w:rsidRPr="00F10E52">
              <w:rPr>
                <w:rFonts w:ascii="Verdana" w:eastAsia="Arial" w:hAnsi="Verdana" w:cs="Arial"/>
                <w:lang w:val="es-ES" w:eastAsia="es-ES" w:bidi="es-ES"/>
              </w:rPr>
              <w:t xml:space="preserve"> </w:t>
            </w:r>
          </w:p>
          <w:p w14:paraId="0C8C0A7D" w14:textId="4A92227F" w:rsidR="003929D7" w:rsidRDefault="003E4080" w:rsidP="003929D7">
            <w:pPr>
              <w:spacing w:after="120" w:line="276" w:lineRule="auto"/>
              <w:ind w:firstLine="709"/>
              <w:jc w:val="both"/>
              <w:rPr>
                <w:rFonts w:ascii="Verdana" w:eastAsia="Times New Roman" w:hAnsi="Verdana" w:cs="Arial"/>
                <w:lang w:val="es-MX" w:eastAsia="es-CO"/>
              </w:rPr>
            </w:pPr>
            <w:r>
              <w:rPr>
                <w:rFonts w:ascii="Verdana" w:eastAsia="Calibri" w:hAnsi="Verdana" w:cs="Arial"/>
                <w:lang w:val="es-ES"/>
              </w:rPr>
              <w:t>Frente a la consulta relativa sobre el momento en que debe suscribirse el acta de inicio, en concordancia con lo establecido en el artículo 33 de la Ley 996 de 2005, la prohibición consiste en la celebración (entendido como la suscripción) de un contrato, por lo tanto, e</w:t>
            </w:r>
            <w:r w:rsidRPr="009E7795">
              <w:rPr>
                <w:rFonts w:ascii="Verdana" w:eastAsia="Calibri" w:hAnsi="Verdana" w:cs="Arial"/>
                <w:lang w:val="es-ES"/>
              </w:rPr>
              <w:t>l acta de inicio constituye un requisito de ejecución convencional, que se pacta en la minuta del contrato</w:t>
            </w:r>
            <w:r>
              <w:rPr>
                <w:rFonts w:ascii="Verdana" w:eastAsia="Calibri" w:hAnsi="Verdana" w:cs="Arial"/>
                <w:lang w:val="es-ES"/>
              </w:rPr>
              <w:t>, en los documentos previos,</w:t>
            </w:r>
            <w:r w:rsidRPr="009E7795">
              <w:rPr>
                <w:rFonts w:ascii="Verdana" w:eastAsia="Calibri" w:hAnsi="Verdana" w:cs="Arial"/>
                <w:lang w:val="es-ES"/>
              </w:rPr>
              <w:t xml:space="preserve"> o que el contratista acepta, adhiriéndose al clausulado del pliego de condiciones o documento equivalente.</w:t>
            </w:r>
            <w:r w:rsidR="003929D7" w:rsidRPr="00553192">
              <w:rPr>
                <w:rFonts w:ascii="Verdana" w:hAnsi="Verdana"/>
              </w:rPr>
              <w:t xml:space="preserve"> </w:t>
            </w:r>
            <w:r w:rsidR="003929D7">
              <w:rPr>
                <w:rFonts w:ascii="Verdana" w:hAnsi="Verdana"/>
              </w:rPr>
              <w:t>L</w:t>
            </w:r>
            <w:r w:rsidR="003929D7" w:rsidRPr="00553192">
              <w:rPr>
                <w:rStyle w:val="citation-188"/>
                <w:rFonts w:ascii="Verdana" w:hAnsi="Verdana"/>
              </w:rPr>
              <w:t>a prohibición legal recae sobre la conducta de celebrar el negocio jurídico dentro del periodo</w:t>
            </w:r>
            <w:r w:rsidR="003929D7">
              <w:rPr>
                <w:rStyle w:val="citation-188"/>
                <w:rFonts w:ascii="Verdana" w:hAnsi="Verdana"/>
              </w:rPr>
              <w:t xml:space="preserve"> restringido</w:t>
            </w:r>
            <w:r w:rsidR="003929D7" w:rsidRPr="00553192">
              <w:rPr>
                <w:rStyle w:val="citation-188"/>
                <w:rFonts w:ascii="Verdana" w:hAnsi="Verdana"/>
              </w:rPr>
              <w:t>, de manera que si el acuerdo de voluntades se perfecciona en un momento en que la Entidad Estatal goza de plena competencia temporal —esto es, antes del 31 de enero de 2026 para contratación directa en general, el contrato nace a la vida jurídica con plena validez y eficacia</w:t>
            </w:r>
            <w:r w:rsidR="003929D7" w:rsidRPr="00553192">
              <w:rPr>
                <w:rFonts w:ascii="Verdana" w:hAnsi="Verdana"/>
              </w:rPr>
              <w:t>. Por consiguiente, diferir el acta de inicio o la ejecución material para una fecha posterior no vicia la legalidad del contrato, siempre que dicha programación obedezca a una juiciosa planeación contractual que garantice el cumplimiento de los fines estatales y no a una</w:t>
            </w:r>
            <w:r w:rsidR="003929D7">
              <w:rPr>
                <w:rFonts w:ascii="Verdana" w:hAnsi="Verdana"/>
              </w:rPr>
              <w:t xml:space="preserve"> forma </w:t>
            </w:r>
            <w:r w:rsidR="003929D7" w:rsidRPr="00553192">
              <w:rPr>
                <w:rFonts w:ascii="Verdana" w:hAnsi="Verdana"/>
              </w:rPr>
              <w:t>para eludir el control de las restricciones electorales.</w:t>
            </w:r>
          </w:p>
          <w:p w14:paraId="6E56F97C" w14:textId="737B0F03" w:rsidR="003E4080" w:rsidRPr="002D6B92" w:rsidRDefault="003E4080" w:rsidP="003929D7">
            <w:pPr>
              <w:spacing w:after="120" w:line="276" w:lineRule="auto"/>
              <w:ind w:firstLine="709"/>
              <w:jc w:val="both"/>
              <w:rPr>
                <w:rFonts w:ascii="Verdana" w:eastAsia="Calibri" w:hAnsi="Verdana" w:cs="Arial"/>
              </w:rPr>
            </w:pPr>
            <w:r>
              <w:rPr>
                <w:rFonts w:ascii="Verdana" w:eastAsia="Calibri" w:hAnsi="Verdana" w:cs="Arial"/>
                <w:lang w:val="es-ES"/>
              </w:rPr>
              <w:t xml:space="preserve"> No obstante, la ley no fija un tiempo para dar cumplimiento a los requisitos de ejecución, por lo cual las entidades estatales en ejercicio de su autonomía contractual deberán determinar con criterios de razonabilidad el tiempo para cumplir estos requisitos, </w:t>
            </w:r>
            <w:r w:rsidRPr="00AF4DA0">
              <w:rPr>
                <w:rFonts w:ascii="Verdana" w:eastAsia="Times New Roman" w:hAnsi="Verdana" w:cs="Arial"/>
                <w:lang w:eastAsia="es-ES_tradnl"/>
              </w:rPr>
              <w:t>garantizando a su vez el cumplimiento de los principios de legalidad</w:t>
            </w:r>
            <w:r>
              <w:rPr>
                <w:rFonts w:ascii="Verdana" w:eastAsia="Times New Roman" w:hAnsi="Verdana" w:cs="Arial"/>
                <w:lang w:eastAsia="es-ES_tradnl"/>
              </w:rPr>
              <w:t xml:space="preserve"> </w:t>
            </w:r>
            <w:r w:rsidRPr="00AF4DA0">
              <w:rPr>
                <w:rFonts w:ascii="Verdana" w:eastAsia="Times New Roman" w:hAnsi="Verdana" w:cs="Arial"/>
                <w:lang w:eastAsia="es-ES_tradnl"/>
              </w:rPr>
              <w:t>y buena fe que rigen la función administrativa</w:t>
            </w:r>
            <w:r>
              <w:rPr>
                <w:rFonts w:ascii="Verdana" w:eastAsia="Times New Roman" w:hAnsi="Verdana" w:cs="Arial"/>
                <w:lang w:eastAsia="es-ES_tradnl"/>
              </w:rPr>
              <w:t>.</w:t>
            </w:r>
          </w:p>
        </w:tc>
      </w:tr>
    </w:tbl>
    <w:p w14:paraId="41ACEEF3" w14:textId="77777777" w:rsidR="003E4080" w:rsidRDefault="003E4080" w:rsidP="003E4080">
      <w:pPr>
        <w:tabs>
          <w:tab w:val="left" w:pos="142"/>
          <w:tab w:val="left" w:pos="284"/>
        </w:tabs>
        <w:spacing w:after="0" w:line="276" w:lineRule="auto"/>
        <w:jc w:val="both"/>
        <w:rPr>
          <w:rFonts w:ascii="Verdana" w:eastAsia="Century Gothic" w:hAnsi="Verdana" w:cs="Century Gothic"/>
          <w:b/>
          <w:bCs/>
        </w:rPr>
      </w:pPr>
    </w:p>
    <w:p w14:paraId="2257BB64" w14:textId="77777777" w:rsidR="003E4080" w:rsidRPr="005644FE" w:rsidRDefault="003E4080" w:rsidP="003E4080">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1ABCC060" w14:textId="77777777" w:rsidR="003E4080" w:rsidRPr="005644FE" w:rsidRDefault="003E4080" w:rsidP="003E4080">
      <w:pPr>
        <w:pStyle w:val="Prrafodelista"/>
        <w:tabs>
          <w:tab w:val="left" w:pos="142"/>
          <w:tab w:val="left" w:pos="284"/>
        </w:tabs>
        <w:spacing w:after="0" w:line="240" w:lineRule="auto"/>
        <w:ind w:left="0"/>
        <w:contextualSpacing w:val="0"/>
        <w:jc w:val="both"/>
        <w:rPr>
          <w:rFonts w:ascii="Verdana" w:eastAsia="Calibri" w:hAnsi="Verdana" w:cs="Arial"/>
        </w:rPr>
      </w:pPr>
    </w:p>
    <w:p w14:paraId="562CDC92" w14:textId="77777777" w:rsidR="003E4080" w:rsidRDefault="003E4080" w:rsidP="003E4080">
      <w:pPr>
        <w:tabs>
          <w:tab w:val="left" w:pos="142"/>
          <w:tab w:val="left" w:pos="284"/>
          <w:tab w:val="left" w:pos="6912"/>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r>
        <w:rPr>
          <w:rFonts w:ascii="Verdana" w:eastAsia="Calibri" w:hAnsi="Verdana" w:cs="Arial"/>
        </w:rPr>
        <w:tab/>
      </w:r>
    </w:p>
    <w:p w14:paraId="1216A1A3" w14:textId="77777777" w:rsidR="003E4080" w:rsidRDefault="003E4080" w:rsidP="003E4080">
      <w:pPr>
        <w:tabs>
          <w:tab w:val="left" w:pos="142"/>
          <w:tab w:val="left" w:pos="284"/>
          <w:tab w:val="left" w:pos="6912"/>
        </w:tabs>
        <w:spacing w:after="0" w:line="240" w:lineRule="auto"/>
        <w:jc w:val="both"/>
        <w:rPr>
          <w:rFonts w:ascii="Verdana" w:eastAsia="Calibri" w:hAnsi="Verdana" w:cs="Arial"/>
        </w:rPr>
      </w:pPr>
    </w:p>
    <w:p w14:paraId="0943A077" w14:textId="77777777" w:rsidR="003E4080" w:rsidRPr="00BF13E7" w:rsidRDefault="003E4080" w:rsidP="003E4080">
      <w:pPr>
        <w:spacing w:after="120" w:line="276" w:lineRule="auto"/>
        <w:jc w:val="both"/>
        <w:rPr>
          <w:rFonts w:ascii="Verdana" w:eastAsia="Calibri" w:hAnsi="Verdana" w:cs="Arial"/>
          <w:color w:val="000000"/>
          <w:lang w:val="es-ES" w:eastAsia="en-GB"/>
        </w:rPr>
      </w:pPr>
      <w:r w:rsidRPr="1916222D">
        <w:rPr>
          <w:rFonts w:ascii="Verdana" w:eastAsia="Calibri" w:hAnsi="Verdana" w:cs="Arial"/>
          <w:color w:val="000000" w:themeColor="text1"/>
          <w:lang w:val="es-ES" w:eastAsia="en-GB"/>
        </w:rPr>
        <w:t xml:space="preserve">i) El Estatuto General de Contratación de la Administración Pública – en adelante EGCAP – prevé dos tipos de exigencias en relación con los contratos estatales: i) las relacionadas con el perfeccionamiento y </w:t>
      </w:r>
      <w:proofErr w:type="spellStart"/>
      <w:r w:rsidRPr="1916222D">
        <w:rPr>
          <w:rFonts w:ascii="Verdana" w:eastAsia="Calibri" w:hAnsi="Verdana" w:cs="Arial"/>
          <w:color w:val="000000" w:themeColor="text1"/>
          <w:lang w:val="es-ES" w:eastAsia="en-GB"/>
        </w:rPr>
        <w:t>ii</w:t>
      </w:r>
      <w:proofErr w:type="spellEnd"/>
      <w:r w:rsidRPr="1916222D">
        <w:rPr>
          <w:rFonts w:ascii="Verdana" w:eastAsia="Calibri" w:hAnsi="Verdana" w:cs="Arial"/>
          <w:color w:val="000000" w:themeColor="text1"/>
          <w:lang w:val="es-ES" w:eastAsia="en-GB"/>
        </w:rPr>
        <w:t xml:space="preserve">) las que tienen que ver con la ejecución. Si bien ambas se complementan y marcan el origen de la fase contractual –o de ejecución–, es importante distinguirlas, ya que las consecuencias jurídicas que generan son diferentes. </w:t>
      </w:r>
    </w:p>
    <w:p w14:paraId="026FBC31" w14:textId="77777777" w:rsidR="003E4080" w:rsidRPr="00BF13E7" w:rsidRDefault="003E4080" w:rsidP="003E4080">
      <w:pPr>
        <w:spacing w:after="120" w:line="276" w:lineRule="auto"/>
        <w:ind w:firstLine="709"/>
        <w:jc w:val="both"/>
        <w:rPr>
          <w:rFonts w:ascii="Verdana" w:eastAsia="Calibri" w:hAnsi="Verdana" w:cs="Arial"/>
          <w:color w:val="000000"/>
          <w:lang w:val="es-ES" w:eastAsia="en-GB"/>
        </w:rPr>
      </w:pPr>
      <w:r w:rsidRPr="1916222D">
        <w:rPr>
          <w:rFonts w:ascii="Verdana" w:eastAsia="Calibri" w:hAnsi="Verdana" w:cs="Arial"/>
          <w:color w:val="000000"/>
          <w:lang w:val="es-ES" w:eastAsia="en-GB"/>
        </w:rPr>
        <w:t xml:space="preserve">Los </w:t>
      </w:r>
      <w:r w:rsidRPr="1916222D">
        <w:rPr>
          <w:rFonts w:ascii="Verdana" w:eastAsia="Calibri" w:hAnsi="Verdana" w:cs="Arial"/>
          <w:i/>
          <w:iCs/>
          <w:color w:val="000000"/>
          <w:lang w:val="es-ES" w:eastAsia="en-GB"/>
        </w:rPr>
        <w:t>requisitos de perfeccionamiento</w:t>
      </w:r>
      <w:r w:rsidRPr="1916222D">
        <w:rPr>
          <w:rFonts w:ascii="Verdana" w:eastAsia="Calibri" w:hAnsi="Verdana" w:cs="Arial"/>
          <w:color w:val="000000"/>
          <w:lang w:val="es-ES" w:eastAsia="en-GB"/>
        </w:rPr>
        <w:t xml:space="preserve"> del contrato estatal son mandatos normativos que determinan cuándo se entiende celebrado. Es decir, se trata de prescripciones que establecen en qué momento existe el contrato. Según el artículo 1.501 del Código Civil, todo contrato se caracteriza por tener tres elementos: los de la esencia, los de la naturaleza y los accidentales. Los de la esencia son aquellos que, al cumplirse, marcan la existencia del contrato y le otorgan su identidad o tipología, permitiendo que no se confunda con otro contrato. Los de la naturaleza son aquellos que, no siendo esenciales al contrato, se entienden incorporados por ministerio de la ley, aun ante el silencio de las partes. Y los accidentales son los que las partes agregan en ejercicio de su autonomía de la voluntad, ya que no son ni esenciales, ni de la naturaleza del contrato</w:t>
      </w:r>
      <w:r w:rsidRPr="00BF13E7">
        <w:rPr>
          <w:rStyle w:val="Refdenotaalpie"/>
          <w:rFonts w:ascii="Verdana" w:eastAsia="Calibri" w:hAnsi="Verdana" w:cs="Arial"/>
          <w:color w:val="000000"/>
          <w:lang w:val="es-ES_tradnl" w:eastAsia="en-GB"/>
        </w:rPr>
        <w:footnoteReference w:id="2"/>
      </w:r>
      <w:r w:rsidRPr="1916222D">
        <w:rPr>
          <w:rFonts w:ascii="Verdana" w:eastAsia="Calibri" w:hAnsi="Verdana" w:cs="Arial"/>
          <w:color w:val="000000"/>
          <w:lang w:val="es-ES" w:eastAsia="en-GB"/>
        </w:rPr>
        <w:t>. Los requisitos de perfeccionamiento del contrato estatal ingresan dentro de los elementos de la esencia.</w:t>
      </w:r>
    </w:p>
    <w:p w14:paraId="139357CE" w14:textId="77777777" w:rsidR="003E4080" w:rsidRPr="00BF13E7" w:rsidRDefault="003E4080" w:rsidP="003E4080">
      <w:pPr>
        <w:spacing w:after="120" w:line="276" w:lineRule="auto"/>
        <w:ind w:firstLine="709"/>
        <w:jc w:val="both"/>
        <w:rPr>
          <w:rFonts w:ascii="Verdana" w:eastAsia="Calibri" w:hAnsi="Verdana" w:cs="Arial"/>
          <w:color w:val="000000"/>
          <w:lang w:val="es-ES" w:eastAsia="en-GB"/>
        </w:rPr>
      </w:pPr>
      <w:r w:rsidRPr="00545DB3">
        <w:rPr>
          <w:rFonts w:ascii="Verdana" w:eastAsia="Calibri" w:hAnsi="Verdana" w:cs="Arial"/>
          <w:color w:val="000000"/>
          <w:lang w:val="es-ES" w:eastAsia="en-GB"/>
        </w:rPr>
        <w:t xml:space="preserve">Por otra parte, los contratos –en términos generales– pueden ser: consensuales, reales o solemnes. Son </w:t>
      </w:r>
      <w:r w:rsidRPr="1916222D">
        <w:rPr>
          <w:rFonts w:ascii="Verdana" w:eastAsia="Calibri" w:hAnsi="Verdana" w:cs="Arial"/>
          <w:i/>
          <w:iCs/>
          <w:color w:val="000000"/>
          <w:lang w:val="es-ES" w:eastAsia="en-GB"/>
        </w:rPr>
        <w:t>consensuales</w:t>
      </w:r>
      <w:r w:rsidRPr="00545DB3">
        <w:rPr>
          <w:rFonts w:ascii="Verdana" w:eastAsia="Calibri" w:hAnsi="Verdana" w:cs="Arial"/>
          <w:color w:val="000000"/>
          <w:lang w:val="es-ES" w:eastAsia="en-GB"/>
        </w:rPr>
        <w:t xml:space="preserve"> los que se perfeccionan con el consentimiento informal, pues no requieren de formalidades especiales. Son </w:t>
      </w:r>
      <w:r w:rsidRPr="1916222D">
        <w:rPr>
          <w:rFonts w:ascii="Verdana" w:eastAsia="Calibri" w:hAnsi="Verdana" w:cs="Arial"/>
          <w:i/>
          <w:iCs/>
          <w:color w:val="000000"/>
          <w:lang w:val="es-ES" w:eastAsia="en-GB"/>
        </w:rPr>
        <w:t>reales</w:t>
      </w:r>
      <w:r w:rsidRPr="00545DB3">
        <w:rPr>
          <w:rFonts w:ascii="Verdana" w:eastAsia="Calibri" w:hAnsi="Verdana" w:cs="Arial"/>
          <w:color w:val="000000"/>
          <w:lang w:val="es-ES" w:eastAsia="en-GB"/>
        </w:rPr>
        <w:t xml:space="preserve"> aquellos que existen solo con la tradición o entrega de una cosa. Por su parte, son </w:t>
      </w:r>
      <w:r w:rsidRPr="1916222D">
        <w:rPr>
          <w:rFonts w:ascii="Verdana" w:eastAsia="Calibri" w:hAnsi="Verdana" w:cs="Arial"/>
          <w:i/>
          <w:iCs/>
          <w:color w:val="000000"/>
          <w:lang w:val="es-ES" w:eastAsia="en-GB"/>
        </w:rPr>
        <w:t>solemnes</w:t>
      </w:r>
      <w:r w:rsidRPr="00545DB3">
        <w:rPr>
          <w:rFonts w:ascii="Verdana" w:eastAsia="Calibri" w:hAnsi="Verdana" w:cs="Arial"/>
          <w:color w:val="000000"/>
          <w:lang w:val="es-ES" w:eastAsia="en-GB"/>
        </w:rPr>
        <w:t>, en cambio, aquellos contratos cuyo perfeccionamiento está revestido del cumplimiento de exigencias formales o ritualidades específicas</w:t>
      </w:r>
      <w:r w:rsidRPr="00BF13E7">
        <w:rPr>
          <w:rStyle w:val="Refdenotaalpie"/>
          <w:rFonts w:ascii="Verdana" w:eastAsia="Calibri" w:hAnsi="Verdana" w:cs="Arial"/>
          <w:color w:val="000000"/>
          <w:lang w:val="es-ES" w:eastAsia="en-GB"/>
        </w:rPr>
        <w:footnoteReference w:id="3"/>
      </w:r>
      <w:r w:rsidRPr="00545DB3">
        <w:rPr>
          <w:rFonts w:ascii="Verdana" w:eastAsia="Calibri" w:hAnsi="Verdana" w:cs="Arial"/>
          <w:color w:val="000000"/>
          <w:lang w:val="es-ES" w:eastAsia="en-GB"/>
        </w:rPr>
        <w:t>. Pues bien, los contratos estatales regulados por el ECGAP, por regla general, son solemnes, ya que solo se entienden celebrados si se cumplen ciertas formalidades. Esta regla general solo tiene una excepción, como se explicará.</w:t>
      </w:r>
    </w:p>
    <w:p w14:paraId="169C2F91" w14:textId="77777777" w:rsidR="003E4080" w:rsidRPr="00BF13E7" w:rsidRDefault="003E4080" w:rsidP="003E4080">
      <w:pPr>
        <w:spacing w:after="120" w:line="276" w:lineRule="auto"/>
        <w:ind w:firstLine="709"/>
        <w:jc w:val="both"/>
        <w:rPr>
          <w:rFonts w:ascii="Verdana" w:eastAsia="Calibri" w:hAnsi="Verdana" w:cs="Arial"/>
          <w:color w:val="000000"/>
          <w:lang w:val="es-ES" w:eastAsia="en-GB"/>
        </w:rPr>
      </w:pPr>
      <w:r w:rsidRPr="1916222D">
        <w:rPr>
          <w:rFonts w:ascii="Verdana" w:eastAsia="Calibri" w:hAnsi="Verdana" w:cs="Arial"/>
          <w:color w:val="000000"/>
          <w:lang w:val="es-ES" w:eastAsia="en-GB"/>
        </w:rPr>
        <w:t>En efecto, el primer inciso del artículo 41 de la Ley 80 de 1993 establece que “Los contratos del Estado se perfeccionan cuando se logre acuerdo sobre el objeto y la contraprestación y éste se eleve a escrito”. Como se advierte, el legislador dispuso que para que el contrato estatal exista, no solo debe haber un acuerdo sobra la obligación principal del negocio –es decir, sobre el “objeto”– y sobre la contraprestación, sino que se debe plasmar por escrito. Tal circunstancia le ha permitido a la doctrina concluir que el contrato estatal regulado en el EGCAP es “</w:t>
      </w:r>
      <w:r>
        <w:rPr>
          <w:rFonts w:ascii="Verdana" w:eastAsia="Calibri" w:hAnsi="Verdana" w:cs="Arial"/>
          <w:color w:val="000000"/>
          <w:lang w:val="es-ES" w:eastAsia="en-GB"/>
        </w:rPr>
        <w:t xml:space="preserve">(…) </w:t>
      </w:r>
      <w:r w:rsidRPr="1916222D">
        <w:rPr>
          <w:rFonts w:ascii="Verdana" w:eastAsia="Calibri" w:hAnsi="Verdana" w:cs="Arial"/>
          <w:color w:val="000000"/>
          <w:lang w:val="es-ES" w:eastAsia="en-GB"/>
        </w:rPr>
        <w:t xml:space="preserve">principalmente, </w:t>
      </w:r>
      <w:r w:rsidRPr="1916222D">
        <w:rPr>
          <w:rFonts w:ascii="Verdana" w:eastAsia="Calibri" w:hAnsi="Verdana" w:cs="Arial"/>
          <w:i/>
          <w:iCs/>
          <w:color w:val="000000"/>
          <w:lang w:val="es-ES" w:eastAsia="en-GB"/>
        </w:rPr>
        <w:t>solemne,</w:t>
      </w:r>
      <w:r w:rsidRPr="1916222D">
        <w:rPr>
          <w:rFonts w:ascii="Verdana" w:eastAsia="Calibri" w:hAnsi="Verdana" w:cs="Arial"/>
          <w:color w:val="000000"/>
          <w:lang w:val="es-ES" w:eastAsia="en-GB"/>
        </w:rPr>
        <w:t xml:space="preserve"> ya que la manifestación de voluntad, si no se expresa bajo la forma </w:t>
      </w:r>
      <w:r w:rsidRPr="1916222D">
        <w:rPr>
          <w:rFonts w:ascii="Verdana" w:eastAsia="Calibri" w:hAnsi="Verdana" w:cs="Arial"/>
          <w:i/>
          <w:iCs/>
          <w:color w:val="000000"/>
          <w:lang w:val="es-ES" w:eastAsia="en-GB"/>
        </w:rPr>
        <w:t xml:space="preserve">ad </w:t>
      </w:r>
      <w:proofErr w:type="spellStart"/>
      <w:r w:rsidRPr="1916222D">
        <w:rPr>
          <w:rFonts w:ascii="Verdana" w:eastAsia="Calibri" w:hAnsi="Verdana" w:cs="Arial"/>
          <w:i/>
          <w:iCs/>
          <w:color w:val="000000"/>
          <w:lang w:val="es-ES" w:eastAsia="en-GB"/>
        </w:rPr>
        <w:t>solemnitatem</w:t>
      </w:r>
      <w:proofErr w:type="spellEnd"/>
      <w:r w:rsidRPr="1916222D">
        <w:rPr>
          <w:rFonts w:ascii="Verdana" w:eastAsia="Calibri" w:hAnsi="Verdana" w:cs="Arial"/>
          <w:color w:val="000000"/>
          <w:lang w:val="es-ES" w:eastAsia="en-GB"/>
        </w:rPr>
        <w:t xml:space="preserve"> o </w:t>
      </w:r>
      <w:r w:rsidRPr="1916222D">
        <w:rPr>
          <w:rFonts w:ascii="Verdana" w:eastAsia="Calibri" w:hAnsi="Verdana" w:cs="Arial"/>
          <w:i/>
          <w:iCs/>
          <w:color w:val="000000"/>
          <w:lang w:val="es-ES" w:eastAsia="en-GB"/>
        </w:rPr>
        <w:t xml:space="preserve">ad </w:t>
      </w:r>
      <w:proofErr w:type="spellStart"/>
      <w:r w:rsidRPr="1916222D">
        <w:rPr>
          <w:rFonts w:ascii="Verdana" w:eastAsia="Calibri" w:hAnsi="Verdana" w:cs="Arial"/>
          <w:i/>
          <w:iCs/>
          <w:color w:val="000000"/>
          <w:lang w:val="es-ES" w:eastAsia="en-GB"/>
        </w:rPr>
        <w:t>substantiam</w:t>
      </w:r>
      <w:proofErr w:type="spellEnd"/>
      <w:r w:rsidRPr="1916222D">
        <w:rPr>
          <w:rFonts w:ascii="Verdana" w:eastAsia="Calibri" w:hAnsi="Verdana" w:cs="Arial"/>
          <w:i/>
          <w:iCs/>
          <w:color w:val="000000"/>
          <w:lang w:val="es-ES" w:eastAsia="en-GB"/>
        </w:rPr>
        <w:t xml:space="preserve"> </w:t>
      </w:r>
      <w:proofErr w:type="spellStart"/>
      <w:r w:rsidRPr="1916222D">
        <w:rPr>
          <w:rFonts w:ascii="Verdana" w:eastAsia="Calibri" w:hAnsi="Verdana" w:cs="Arial"/>
          <w:i/>
          <w:iCs/>
          <w:color w:val="000000"/>
          <w:lang w:val="es-ES" w:eastAsia="en-GB"/>
        </w:rPr>
        <w:t>actus</w:t>
      </w:r>
      <w:proofErr w:type="spellEnd"/>
      <w:r w:rsidRPr="1916222D">
        <w:rPr>
          <w:rFonts w:ascii="Verdana" w:eastAsia="Calibri" w:hAnsi="Verdana" w:cs="Arial"/>
          <w:color w:val="000000"/>
          <w:lang w:val="es-ES" w:eastAsia="en-GB"/>
        </w:rPr>
        <w:t xml:space="preserve"> exigida por la ley, es inexistente, es decir, se entiende que el contrato jamás ha sido creado para el mundo jurídico”</w:t>
      </w:r>
      <w:r w:rsidRPr="00BF13E7">
        <w:rPr>
          <w:rStyle w:val="Refdenotaalpie"/>
          <w:rFonts w:ascii="Verdana" w:eastAsia="Calibri" w:hAnsi="Verdana" w:cs="Arial"/>
          <w:color w:val="000000"/>
          <w:lang w:val="es-ES_tradnl" w:eastAsia="en-GB"/>
        </w:rPr>
        <w:footnoteReference w:id="4"/>
      </w:r>
      <w:r w:rsidRPr="1916222D">
        <w:rPr>
          <w:rFonts w:ascii="Verdana" w:eastAsia="Calibri" w:hAnsi="Verdana" w:cs="Arial"/>
          <w:color w:val="000000"/>
          <w:lang w:val="es-ES" w:eastAsia="en-GB"/>
        </w:rPr>
        <w:t xml:space="preserve">. </w:t>
      </w:r>
    </w:p>
    <w:p w14:paraId="00D97ADD" w14:textId="77777777" w:rsidR="003E4080" w:rsidRPr="00BF13E7" w:rsidRDefault="003E4080" w:rsidP="003E4080">
      <w:pPr>
        <w:spacing w:after="120" w:line="276" w:lineRule="auto"/>
        <w:ind w:firstLine="709"/>
        <w:jc w:val="both"/>
        <w:rPr>
          <w:rFonts w:ascii="Verdana" w:eastAsia="Calibri" w:hAnsi="Verdana" w:cs="Arial"/>
          <w:color w:val="000000"/>
          <w:lang w:val="es-ES" w:eastAsia="en-GB"/>
        </w:rPr>
      </w:pPr>
      <w:r w:rsidRPr="1916222D">
        <w:rPr>
          <w:rFonts w:ascii="Verdana" w:eastAsia="Calibri" w:hAnsi="Verdana" w:cs="Arial"/>
          <w:color w:val="000000"/>
          <w:lang w:val="es-ES" w:eastAsia="en-GB"/>
        </w:rPr>
        <w:t xml:space="preserve">La excepción a esta regla se encuentra en el cuarto inciso del mismo artículo, según el cual, “En caso de situaciones de urgencia manifiesta a que se refiere el artículo </w:t>
      </w:r>
      <w:hyperlink r:id="rId12" w:anchor="42" w:history="1">
        <w:r w:rsidRPr="1916222D">
          <w:rPr>
            <w:rFonts w:ascii="Verdana" w:hAnsi="Verdana" w:cs="Arial"/>
            <w:color w:val="000000"/>
            <w:lang w:val="es-ES" w:eastAsia="en-GB"/>
          </w:rPr>
          <w:t>42</w:t>
        </w:r>
      </w:hyperlink>
      <w:r w:rsidRPr="1916222D">
        <w:rPr>
          <w:rFonts w:ascii="Verdana" w:eastAsia="Calibri" w:hAnsi="Verdana" w:cs="Arial"/>
          <w:color w:val="000000"/>
          <w:lang w:val="es-ES" w:eastAsia="en-GB"/>
        </w:rPr>
        <w:t xml:space="preserve"> de esta ley que no permitan la suscripción de contrato escrito, se prescindirá de éste y aún del acuerdo acerca de la remuneración, no obstante, deberá dejarse constancia escrita de la autorización impartida por la entidad estatal contratante”. </w:t>
      </w:r>
      <w:r w:rsidRPr="1916222D">
        <w:rPr>
          <w:rFonts w:ascii="Verdana" w:eastAsia="Calibri" w:hAnsi="Verdana" w:cs="Arial"/>
          <w:color w:val="000000" w:themeColor="text1"/>
          <w:lang w:val="es-ES" w:eastAsia="en-GB"/>
        </w:rPr>
        <w:t>En otras palabras, por regla general, los contratos estatales deben constar por escrito, salvo que se presente una situación de urgencia manifiesta en la que no haya tiempo de cumplir con esta formalidad.</w:t>
      </w:r>
    </w:p>
    <w:p w14:paraId="324B11B4" w14:textId="77777777" w:rsidR="003E4080" w:rsidRPr="00BF13E7" w:rsidRDefault="003E4080" w:rsidP="003E4080">
      <w:pPr>
        <w:spacing w:after="120" w:line="276" w:lineRule="auto"/>
        <w:ind w:firstLine="709"/>
        <w:jc w:val="both"/>
        <w:rPr>
          <w:rFonts w:ascii="Verdana" w:eastAsia="Calibri" w:hAnsi="Verdana" w:cs="Arial"/>
          <w:color w:val="000000"/>
          <w:lang w:val="es-ES" w:eastAsia="en-GB"/>
        </w:rPr>
      </w:pPr>
      <w:r w:rsidRPr="1916222D">
        <w:rPr>
          <w:rFonts w:ascii="Verdana" w:eastAsia="Calibri" w:hAnsi="Verdana" w:cs="Arial"/>
          <w:color w:val="000000" w:themeColor="text1"/>
          <w:lang w:val="es-ES" w:eastAsia="en-GB"/>
        </w:rPr>
        <w:t xml:space="preserve">Analizados con anterioridad los requisitos para el perfeccionamiento del contrato estatal, es necesario diferenciarlos, por tanto, de los </w:t>
      </w:r>
      <w:r w:rsidRPr="1916222D">
        <w:rPr>
          <w:rFonts w:ascii="Verdana" w:eastAsia="Calibri" w:hAnsi="Verdana" w:cs="Arial"/>
          <w:i/>
          <w:iCs/>
          <w:color w:val="000000" w:themeColor="text1"/>
          <w:lang w:val="es-ES" w:eastAsia="en-GB"/>
        </w:rPr>
        <w:t>requisitos de ejecución</w:t>
      </w:r>
      <w:r w:rsidRPr="1916222D">
        <w:rPr>
          <w:rFonts w:ascii="Verdana" w:eastAsia="Calibri" w:hAnsi="Verdana" w:cs="Arial"/>
          <w:color w:val="000000" w:themeColor="text1"/>
          <w:lang w:val="es-ES" w:eastAsia="en-GB"/>
        </w:rPr>
        <w:t xml:space="preserve">, e indicar cuáles son las exigencias de esta segunda clase establecidas en el EGCAP. Si el cumplimiento de los requisitos de perfeccionamiento permite que el contrato exista, la observancia de los requisitos de ejecución posibilita el inicio de la fase de realización de las actividades pactadas en el contrato, es decir, el cumplimiento del objeto del negocio jurídico. A partir de esta distinción, es posible encontrar contratos estatales –perfeccionados–, que hayan cumplido con los requisitos de ejecución y contratos estatales respecto de los cuales aún falte satisfacer uno o varios requisitos de ejecución. </w:t>
      </w:r>
    </w:p>
    <w:p w14:paraId="04F300AF" w14:textId="77777777" w:rsidR="003E4080" w:rsidRPr="002D6B92" w:rsidRDefault="003E4080" w:rsidP="003E4080">
      <w:pPr>
        <w:spacing w:after="120" w:line="276" w:lineRule="auto"/>
        <w:ind w:firstLine="709"/>
        <w:jc w:val="both"/>
        <w:rPr>
          <w:rFonts w:ascii="Verdana" w:eastAsia="Calibri" w:hAnsi="Verdana" w:cs="Arial"/>
          <w:color w:val="000000"/>
          <w:lang w:val="es-ES" w:eastAsia="en-GB"/>
        </w:rPr>
      </w:pPr>
      <w:r w:rsidRPr="1916222D">
        <w:rPr>
          <w:rFonts w:ascii="Verdana" w:eastAsia="Calibri" w:hAnsi="Verdana" w:cs="Arial"/>
          <w:color w:val="000000" w:themeColor="text1"/>
          <w:lang w:val="es-ES" w:eastAsia="en-GB"/>
        </w:rPr>
        <w:t xml:space="preserve">Los requisitos de ejecución de los contratos estatales pueden ser “legales” o “convencionales”. Los primeros son aquellos que se encuentran previstos en la ley. Los segundos son estipulados por las partes. En otros términos, los requisitos legales de ejecución son elementos de la naturaleza, mientras que los requisitos convencionales de ejecución son elementos accidentales. </w:t>
      </w:r>
      <w:r>
        <w:rPr>
          <w:rFonts w:ascii="Verdana" w:eastAsia="Calibri" w:hAnsi="Verdana" w:cs="Arial"/>
          <w:color w:val="000000" w:themeColor="text1"/>
          <w:lang w:val="es-ES" w:eastAsia="en-GB"/>
        </w:rPr>
        <w:t xml:space="preserve">Respecto del contrato estatal, </w:t>
      </w:r>
      <w:r w:rsidRPr="1916222D">
        <w:rPr>
          <w:rFonts w:ascii="Verdana" w:eastAsia="Calibri" w:hAnsi="Verdana" w:cs="Arial"/>
          <w:color w:val="000000" w:themeColor="text1"/>
          <w:lang w:val="es-ES" w:eastAsia="en-GB"/>
        </w:rPr>
        <w:t>el artículo 41 de la Ley 80 de 1993</w:t>
      </w:r>
      <w:r w:rsidRPr="1916222D">
        <w:rPr>
          <w:rFonts w:ascii="Verdana" w:eastAsia="Calibri" w:hAnsi="Verdana" w:cs="Arial"/>
          <w:color w:val="000000" w:themeColor="text1"/>
          <w:lang w:eastAsia="en-GB"/>
        </w:rPr>
        <w:t>, modificado por el artículo 23 de la Ley 1150 de 2007</w:t>
      </w:r>
      <w:r w:rsidRPr="1916222D">
        <w:rPr>
          <w:rFonts w:ascii="Verdana" w:eastAsia="Calibri" w:hAnsi="Verdana" w:cs="Arial"/>
          <w:color w:val="000000" w:themeColor="text1"/>
          <w:lang w:val="es-ES" w:eastAsia="en-GB"/>
        </w:rPr>
        <w:t xml:space="preserve"> establece</w:t>
      </w:r>
      <w:r>
        <w:rPr>
          <w:rFonts w:ascii="Verdana" w:eastAsia="Calibri" w:hAnsi="Verdana" w:cs="Arial"/>
          <w:color w:val="000000" w:themeColor="text1"/>
          <w:lang w:val="es-ES" w:eastAsia="en-GB"/>
        </w:rPr>
        <w:t xml:space="preserve"> lo siguiente</w:t>
      </w:r>
      <w:r w:rsidRPr="1916222D">
        <w:rPr>
          <w:rFonts w:ascii="Verdana" w:eastAsia="Calibri" w:hAnsi="Verdana" w:cs="Arial"/>
          <w:color w:val="000000" w:themeColor="text1"/>
          <w:lang w:val="es-ES" w:eastAsia="en-GB"/>
        </w:rPr>
        <w:t>:</w:t>
      </w:r>
    </w:p>
    <w:p w14:paraId="796DF3D4" w14:textId="77777777" w:rsidR="003E4080" w:rsidRPr="00BF13E7" w:rsidRDefault="003E4080" w:rsidP="003E4080">
      <w:pPr>
        <w:spacing w:after="0" w:line="240" w:lineRule="auto"/>
        <w:ind w:left="709" w:right="616"/>
        <w:jc w:val="both"/>
        <w:rPr>
          <w:rFonts w:ascii="Verdana" w:eastAsia="Calibri" w:hAnsi="Verdana" w:cs="Arial"/>
          <w:color w:val="000000"/>
          <w:sz w:val="20"/>
          <w:szCs w:val="20"/>
          <w:lang w:val="es-ES" w:eastAsia="en-GB"/>
        </w:rPr>
      </w:pPr>
      <w:r w:rsidRPr="1916222D">
        <w:rPr>
          <w:rFonts w:ascii="Verdana" w:eastAsia="Calibri" w:hAnsi="Verdana" w:cs="Arial"/>
          <w:color w:val="000000" w:themeColor="text1"/>
          <w:sz w:val="20"/>
          <w:szCs w:val="20"/>
          <w:lang w:eastAsia="en-GB"/>
        </w:rPr>
        <w:t>“Para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w:t>
      </w:r>
    </w:p>
    <w:p w14:paraId="0A3001B2" w14:textId="77777777" w:rsidR="003E4080" w:rsidRPr="00BF13E7" w:rsidRDefault="003E4080" w:rsidP="003E4080">
      <w:pPr>
        <w:spacing w:after="0" w:line="276" w:lineRule="auto"/>
        <w:ind w:firstLine="709"/>
        <w:jc w:val="both"/>
        <w:rPr>
          <w:rFonts w:ascii="Verdana" w:eastAsia="Calibri" w:hAnsi="Verdana" w:cs="Arial"/>
          <w:color w:val="000000"/>
          <w:lang w:val="es-ES" w:eastAsia="en-GB"/>
        </w:rPr>
      </w:pPr>
    </w:p>
    <w:p w14:paraId="6EBDB44C" w14:textId="77777777" w:rsidR="003E4080" w:rsidRPr="00BF13E7" w:rsidRDefault="003E4080" w:rsidP="003E4080">
      <w:pPr>
        <w:spacing w:after="120" w:line="276" w:lineRule="auto"/>
        <w:ind w:firstLine="709"/>
        <w:jc w:val="both"/>
        <w:rPr>
          <w:rFonts w:ascii="Verdana" w:eastAsia="Calibri" w:hAnsi="Verdana" w:cs="Arial"/>
          <w:color w:val="000000"/>
          <w:lang w:val="es-ES" w:eastAsia="en-GB"/>
        </w:rPr>
      </w:pPr>
      <w:r w:rsidRPr="1916222D">
        <w:rPr>
          <w:rFonts w:ascii="Verdana" w:eastAsia="Calibri" w:hAnsi="Verdana" w:cs="Arial"/>
          <w:color w:val="000000" w:themeColor="text1"/>
          <w:lang w:val="es-ES" w:eastAsia="en-GB"/>
        </w:rPr>
        <w:t xml:space="preserve">Como puede observarse, los requisitos legales de ejecución son: i) la aprobación de las garantías exigidas en el contrato, </w:t>
      </w:r>
      <w:proofErr w:type="spellStart"/>
      <w:r w:rsidRPr="1916222D">
        <w:rPr>
          <w:rFonts w:ascii="Verdana" w:eastAsia="Calibri" w:hAnsi="Verdana" w:cs="Arial"/>
          <w:color w:val="000000" w:themeColor="text1"/>
          <w:lang w:val="es-ES" w:eastAsia="en-GB"/>
        </w:rPr>
        <w:t>ii</w:t>
      </w:r>
      <w:proofErr w:type="spellEnd"/>
      <w:r w:rsidRPr="1916222D">
        <w:rPr>
          <w:rFonts w:ascii="Verdana" w:eastAsia="Calibri" w:hAnsi="Verdana" w:cs="Arial"/>
          <w:color w:val="000000" w:themeColor="text1"/>
          <w:lang w:val="es-ES" w:eastAsia="en-GB"/>
        </w:rPr>
        <w:t xml:space="preserve">) la existencia de la apropiación presupuestal correspondiente y </w:t>
      </w:r>
      <w:proofErr w:type="spellStart"/>
      <w:r w:rsidRPr="1916222D">
        <w:rPr>
          <w:rFonts w:ascii="Verdana" w:eastAsia="Calibri" w:hAnsi="Verdana" w:cs="Arial"/>
          <w:color w:val="000000" w:themeColor="text1"/>
          <w:lang w:val="es-ES" w:eastAsia="en-GB"/>
        </w:rPr>
        <w:t>iii</w:t>
      </w:r>
      <w:proofErr w:type="spellEnd"/>
      <w:r w:rsidRPr="1916222D">
        <w:rPr>
          <w:rFonts w:ascii="Verdana" w:eastAsia="Calibri" w:hAnsi="Verdana" w:cs="Arial"/>
          <w:color w:val="000000" w:themeColor="text1"/>
          <w:lang w:val="es-ES" w:eastAsia="en-GB"/>
        </w:rPr>
        <w:t xml:space="preserve">) la acreditación del cumplimiento de las obligaciones con el Sistema de Seguridad Social Integral. </w:t>
      </w:r>
    </w:p>
    <w:p w14:paraId="7EBAAF02" w14:textId="77777777" w:rsidR="003E4080" w:rsidRPr="00BF13E7" w:rsidRDefault="003E4080" w:rsidP="003E4080">
      <w:pPr>
        <w:spacing w:after="120" w:line="276" w:lineRule="auto"/>
        <w:ind w:firstLine="709"/>
        <w:jc w:val="both"/>
        <w:rPr>
          <w:rFonts w:ascii="Verdana" w:eastAsia="Calibri" w:hAnsi="Verdana" w:cs="Arial"/>
          <w:color w:val="000000"/>
          <w:lang w:val="es-ES" w:eastAsia="en-GB"/>
        </w:rPr>
      </w:pPr>
      <w:r w:rsidRPr="1916222D">
        <w:rPr>
          <w:rFonts w:ascii="Verdana" w:eastAsia="Calibri" w:hAnsi="Verdana" w:cs="Arial"/>
          <w:color w:val="000000" w:themeColor="text1"/>
          <w:lang w:val="es-ES" w:eastAsia="en-GB"/>
        </w:rPr>
        <w:t xml:space="preserve">Lo que tienen en común tales requisitos es que deben cumplirse para que inicie el contrato, sin que por ello puedan considerarse elementos de la esencia –de perfeccionamiento– del negocio jurídico, ni de validez </w:t>
      </w:r>
      <w:proofErr w:type="gramStart"/>
      <w:r w:rsidRPr="1916222D">
        <w:rPr>
          <w:rFonts w:ascii="Verdana" w:eastAsia="Calibri" w:hAnsi="Verdana" w:cs="Arial"/>
          <w:color w:val="000000" w:themeColor="text1"/>
          <w:lang w:val="es-ES" w:eastAsia="en-GB"/>
        </w:rPr>
        <w:t>del mismo</w:t>
      </w:r>
      <w:proofErr w:type="gramEnd"/>
      <w:r w:rsidRPr="1916222D">
        <w:rPr>
          <w:rFonts w:ascii="Verdana" w:eastAsia="Calibri" w:hAnsi="Verdana" w:cs="Arial"/>
          <w:color w:val="000000" w:themeColor="text1"/>
          <w:lang w:val="es-ES" w:eastAsia="en-GB"/>
        </w:rPr>
        <w:t>. En otras palabras, un contrato estatal existe, así no se haya aprobado las garantías, o expedido el registro presupuestal, o a pesar de que el contratista no esté al día en el cumplimiento de sus obligaciones con el Sistema de Seguridad Social Integral, pero no puede comenzar a ejecutarse. Si aun así el contrato estatal inicia, se incurre en un incumplimiento de obligaciones normativas –que son elementos de la naturaleza del contrato–, lo cual puede generar responsabilidades subjetivas en los servidores públicos, pero no por ello el contrato estatal deja de existir o queda viciado de nulidad.</w:t>
      </w:r>
    </w:p>
    <w:p w14:paraId="5AD8D30A" w14:textId="77777777" w:rsidR="003E4080" w:rsidRDefault="003E4080" w:rsidP="003E4080">
      <w:pPr>
        <w:spacing w:after="120" w:line="276" w:lineRule="auto"/>
        <w:ind w:firstLine="709"/>
        <w:jc w:val="both"/>
        <w:rPr>
          <w:rFonts w:ascii="Verdana" w:eastAsia="Calibri" w:hAnsi="Verdana" w:cs="Arial"/>
          <w:color w:val="000000"/>
          <w:lang w:val="es-ES" w:eastAsia="en-GB"/>
        </w:rPr>
      </w:pPr>
      <w:r w:rsidRPr="1916222D">
        <w:rPr>
          <w:rFonts w:ascii="Verdana" w:eastAsia="Calibri" w:hAnsi="Verdana" w:cs="Arial"/>
          <w:color w:val="000000"/>
          <w:lang w:val="es-ES" w:eastAsia="en-GB"/>
        </w:rPr>
        <w:t xml:space="preserve">A esta conclusión llegó la Sección Tercera del Consejo de Estado en la sentencia del 12 de agosto de 2014, luego de distinguir los requisitos de perfeccionamiento respecto de los requisitos de ejecución de los contratos estatales. En tal oportunidad el órgano judicial se preguntó, dentro de las consideraciones, si la ausencia de registro presupuestal tenía como efecto que un contrato de prestación de servicios profesionales se considerara inexistente o viciado de nulidad absoluta. </w:t>
      </w:r>
      <w:r>
        <w:rPr>
          <w:rFonts w:ascii="Verdana" w:eastAsia="Calibri" w:hAnsi="Verdana" w:cs="Arial"/>
          <w:color w:val="000000"/>
          <w:lang w:val="es-ES" w:eastAsia="en-GB"/>
        </w:rPr>
        <w:t>El</w:t>
      </w:r>
      <w:r w:rsidRPr="1916222D">
        <w:rPr>
          <w:rFonts w:ascii="Verdana" w:eastAsia="Calibri" w:hAnsi="Verdana" w:cs="Arial"/>
          <w:color w:val="000000"/>
          <w:lang w:val="es-ES" w:eastAsia="en-GB"/>
        </w:rPr>
        <w:t xml:space="preserve"> alto tribunal </w:t>
      </w:r>
      <w:r>
        <w:rPr>
          <w:rFonts w:ascii="Verdana" w:eastAsia="Calibri" w:hAnsi="Verdana" w:cs="Arial"/>
          <w:color w:val="000000"/>
          <w:lang w:val="es-ES" w:eastAsia="en-GB"/>
        </w:rPr>
        <w:t xml:space="preserve">indicó que </w:t>
      </w:r>
      <w:r w:rsidRPr="1916222D">
        <w:rPr>
          <w:rFonts w:ascii="Verdana" w:eastAsia="Calibri" w:hAnsi="Verdana" w:cs="Arial"/>
          <w:color w:val="000000"/>
          <w:lang w:val="es-ES" w:eastAsia="en-GB"/>
        </w:rPr>
        <w:t>no se genera inexistencia ni vicio de nulidad absoluta</w:t>
      </w:r>
      <w:r>
        <w:rPr>
          <w:rFonts w:ascii="Verdana" w:eastAsia="Calibri" w:hAnsi="Verdana" w:cs="Arial"/>
          <w:color w:val="000000"/>
          <w:lang w:val="es-ES" w:eastAsia="en-GB"/>
        </w:rPr>
        <w:t xml:space="preserve"> del contrato</w:t>
      </w:r>
      <w:r w:rsidRPr="1916222D">
        <w:rPr>
          <w:rFonts w:ascii="Verdana" w:eastAsia="Calibri" w:hAnsi="Verdana" w:cs="Arial"/>
          <w:color w:val="000000"/>
          <w:lang w:val="es-ES" w:eastAsia="en-GB"/>
        </w:rPr>
        <w:t>, sino una eventual responsabilidad en los servidores públicos que incumplieron tal requisito</w:t>
      </w:r>
      <w:r w:rsidRPr="00BF13E7">
        <w:rPr>
          <w:rStyle w:val="Refdenotaalpie"/>
          <w:rFonts w:ascii="Verdana" w:eastAsia="Calibri" w:hAnsi="Verdana" w:cs="Arial"/>
          <w:color w:val="000000"/>
          <w:lang w:val="es-ES_tradnl" w:eastAsia="en-GB"/>
        </w:rPr>
        <w:footnoteReference w:id="5"/>
      </w:r>
      <w:r w:rsidRPr="1916222D">
        <w:rPr>
          <w:rFonts w:ascii="Verdana" w:eastAsia="Calibri" w:hAnsi="Verdana" w:cs="Arial"/>
          <w:color w:val="000000"/>
          <w:lang w:val="es-ES" w:eastAsia="en-GB"/>
        </w:rPr>
        <w:t>.</w:t>
      </w:r>
    </w:p>
    <w:p w14:paraId="4B251574" w14:textId="77777777" w:rsidR="003E4080" w:rsidRPr="009747DE" w:rsidRDefault="003E4080" w:rsidP="003E4080">
      <w:pPr>
        <w:spacing w:after="120" w:line="276" w:lineRule="auto"/>
        <w:ind w:firstLine="709"/>
        <w:jc w:val="both"/>
        <w:rPr>
          <w:rFonts w:ascii="Verdana" w:eastAsia="Calibri" w:hAnsi="Verdana" w:cs="Arial"/>
          <w:color w:val="000000"/>
          <w:lang w:val="es-ES" w:eastAsia="en-GB"/>
        </w:rPr>
      </w:pPr>
      <w:r w:rsidRPr="009747DE">
        <w:rPr>
          <w:rFonts w:ascii="Verdana" w:eastAsia="Calibri" w:hAnsi="Verdana" w:cs="Arial"/>
          <w:color w:val="000000"/>
          <w:lang w:val="es-ES" w:eastAsia="en-GB"/>
        </w:rPr>
        <w:t xml:space="preserve">Ahora bien, en relación con los requisitos de ejecución debe señalarse que, estos posibilitan el inicio de la fase de realización de las actividades pactadas en el contrato, es decir, el cumplimiento del objeto del negocio jurídico. A partir de esta distinción, es posible encontrar contratos estatales – perfeccionados– respecto de los cuales aún falte satisfacer uno o varios requisitos de ejecución. Sobre el particular, el Consejo de Estado aclaró la diferencia entre el perfeccionamiento y la ejecución del contrato, de la siguiente manera: </w:t>
      </w:r>
    </w:p>
    <w:p w14:paraId="68B4CF6A" w14:textId="77777777" w:rsidR="003E4080" w:rsidRDefault="003E4080" w:rsidP="003E4080">
      <w:pPr>
        <w:spacing w:after="0" w:line="240" w:lineRule="auto"/>
        <w:ind w:left="709" w:right="618"/>
        <w:jc w:val="both"/>
        <w:rPr>
          <w:rFonts w:ascii="Verdana" w:eastAsia="Calibri" w:hAnsi="Verdana" w:cs="Arial"/>
          <w:vertAlign w:val="superscript"/>
          <w:lang w:val="es-ES" w:eastAsia="es-ES"/>
        </w:rPr>
      </w:pPr>
      <w:r w:rsidRPr="00E42890">
        <w:rPr>
          <w:rFonts w:ascii="Verdana" w:eastAsia="Calibri" w:hAnsi="Verdana" w:cs="Arial"/>
          <w:color w:val="000000"/>
          <w:sz w:val="20"/>
          <w:szCs w:val="20"/>
          <w:lang w:val="es-ES" w:eastAsia="en-GB"/>
        </w:rPr>
        <w:t xml:space="preserve">“La Sala concluyó y ahora se reitera que i) la existencia del contrato no difiere de la perfección, esto es cumplidos los elementos esenciales que dan lugar al contrato no queda sino aceptar la relación jurídico contractual; </w:t>
      </w:r>
      <w:proofErr w:type="spellStart"/>
      <w:r w:rsidRPr="00E42890">
        <w:rPr>
          <w:rFonts w:ascii="Verdana" w:eastAsia="Calibri" w:hAnsi="Verdana" w:cs="Arial"/>
          <w:color w:val="000000"/>
          <w:sz w:val="20"/>
          <w:szCs w:val="20"/>
          <w:lang w:val="es-ES" w:eastAsia="en-GB"/>
        </w:rPr>
        <w:t>ii</w:t>
      </w:r>
      <w:proofErr w:type="spellEnd"/>
      <w:r w:rsidRPr="00E42890">
        <w:rPr>
          <w:rFonts w:ascii="Verdana" w:eastAsia="Calibri" w:hAnsi="Verdana" w:cs="Arial"/>
          <w:color w:val="000000"/>
          <w:sz w:val="20"/>
          <w:szCs w:val="20"/>
          <w:lang w:val="es-ES" w:eastAsia="en-GB"/>
        </w:rPr>
        <w:t xml:space="preserve">) por virtud de lo dispuesto en la Ley 80 de 1993 el contrato estatal existe, esto es, “se perfecciona” cuando “se logra acuerdo sobre el objeto y la contraprestación y éste se eleve a escrito”; </w:t>
      </w:r>
      <w:proofErr w:type="spellStart"/>
      <w:r w:rsidRPr="00E42890">
        <w:rPr>
          <w:rFonts w:ascii="Verdana" w:eastAsia="Calibri" w:hAnsi="Verdana" w:cs="Arial"/>
          <w:color w:val="000000"/>
          <w:sz w:val="20"/>
          <w:szCs w:val="20"/>
          <w:lang w:val="es-ES" w:eastAsia="en-GB"/>
        </w:rPr>
        <w:t>iii</w:t>
      </w:r>
      <w:proofErr w:type="spellEnd"/>
      <w:r w:rsidRPr="00E42890">
        <w:rPr>
          <w:rFonts w:ascii="Verdana" w:eastAsia="Calibri" w:hAnsi="Verdana" w:cs="Arial"/>
          <w:color w:val="000000"/>
          <w:sz w:val="20"/>
          <w:szCs w:val="20"/>
          <w:lang w:val="es-ES" w:eastAsia="en-GB"/>
        </w:rPr>
        <w:t xml:space="preserve">) es ejecutable cuando se cumplen las condiciones previstas en el inciso segundo del artículo 41 de la ley, interpretado en concordancia con lo dispuesto en el artículo 49 de la Ley 179 de 1994, compilado en el artículo 71 del Estatuto Orgánico de Presupuesto, Decreto Ley 111 de 1996 y </w:t>
      </w:r>
      <w:proofErr w:type="spellStart"/>
      <w:r w:rsidRPr="00E42890">
        <w:rPr>
          <w:rFonts w:ascii="Verdana" w:eastAsia="Calibri" w:hAnsi="Verdana" w:cs="Arial"/>
          <w:color w:val="000000"/>
          <w:sz w:val="20"/>
          <w:szCs w:val="20"/>
          <w:lang w:val="es-ES" w:eastAsia="en-GB"/>
        </w:rPr>
        <w:t>iv</w:t>
      </w:r>
      <w:proofErr w:type="spellEnd"/>
      <w:r w:rsidRPr="00E42890">
        <w:rPr>
          <w:rFonts w:ascii="Verdana" w:eastAsia="Calibri" w:hAnsi="Verdana" w:cs="Arial"/>
          <w:color w:val="000000"/>
          <w:sz w:val="20"/>
          <w:szCs w:val="20"/>
          <w:lang w:val="es-ES" w:eastAsia="en-GB"/>
        </w:rPr>
        <w:t>) el requisito relativo al registro presupuestal no es una condición de existencia del contrato estatal, es un requisito de ejecución</w:t>
      </w:r>
      <w:r>
        <w:rPr>
          <w:rFonts w:ascii="Verdana" w:eastAsia="Calibri" w:hAnsi="Verdana" w:cs="Arial"/>
          <w:color w:val="000000"/>
          <w:sz w:val="20"/>
          <w:szCs w:val="20"/>
          <w:lang w:val="es-ES" w:eastAsia="en-GB"/>
        </w:rPr>
        <w:t>”</w:t>
      </w:r>
      <w:r w:rsidRPr="00E42890">
        <w:rPr>
          <w:rFonts w:ascii="Verdana" w:eastAsia="Calibri" w:hAnsi="Verdana" w:cs="Arial"/>
          <w:color w:val="000000"/>
          <w:sz w:val="20"/>
          <w:szCs w:val="20"/>
          <w:vertAlign w:val="superscript"/>
          <w:lang w:val="es-ES" w:eastAsia="en-GB"/>
        </w:rPr>
        <w:footnoteReference w:id="6"/>
      </w:r>
      <w:r w:rsidRPr="00E42890">
        <w:rPr>
          <w:rFonts w:ascii="Verdana" w:eastAsia="Calibri" w:hAnsi="Verdana" w:cs="Arial"/>
          <w:color w:val="000000"/>
          <w:sz w:val="20"/>
          <w:szCs w:val="20"/>
          <w:vertAlign w:val="superscript"/>
          <w:lang w:val="es-ES" w:eastAsia="en-GB"/>
        </w:rPr>
        <w:t>.</w:t>
      </w:r>
      <w:r w:rsidRPr="00E42890">
        <w:rPr>
          <w:rFonts w:ascii="Verdana" w:eastAsia="Calibri" w:hAnsi="Verdana" w:cs="Arial"/>
          <w:vertAlign w:val="superscript"/>
          <w:lang w:val="es-ES" w:eastAsia="es-ES"/>
        </w:rPr>
        <w:t xml:space="preserve"> </w:t>
      </w:r>
    </w:p>
    <w:p w14:paraId="7B861243" w14:textId="77777777" w:rsidR="003E4080" w:rsidRPr="00E42890" w:rsidRDefault="003E4080" w:rsidP="003E4080">
      <w:pPr>
        <w:spacing w:after="0" w:line="240" w:lineRule="auto"/>
        <w:ind w:left="709" w:right="618"/>
        <w:jc w:val="both"/>
        <w:rPr>
          <w:rFonts w:ascii="Verdana" w:eastAsia="Calibri" w:hAnsi="Verdana" w:cs="Arial"/>
          <w:lang w:val="es-ES" w:eastAsia="es-ES"/>
        </w:rPr>
      </w:pPr>
    </w:p>
    <w:p w14:paraId="61777EBC" w14:textId="77777777" w:rsidR="003E4080" w:rsidRDefault="003E4080" w:rsidP="003E4080">
      <w:pPr>
        <w:spacing w:after="120" w:line="276" w:lineRule="auto"/>
        <w:ind w:firstLine="709"/>
        <w:jc w:val="both"/>
        <w:rPr>
          <w:rFonts w:ascii="Verdana" w:eastAsia="Calibri" w:hAnsi="Verdana" w:cs="Arial"/>
          <w:lang w:val="es-ES" w:eastAsia="es-ES"/>
        </w:rPr>
      </w:pPr>
      <w:r>
        <w:rPr>
          <w:rFonts w:ascii="Verdana" w:eastAsia="Calibri" w:hAnsi="Verdana" w:cs="Arial"/>
          <w:lang w:val="es-ES" w:eastAsia="es-ES"/>
        </w:rPr>
        <w:t xml:space="preserve">De acuerdo con lo anterior, resulta necesario establecer la naturaleza del </w:t>
      </w:r>
      <w:r w:rsidRPr="00034F0A">
        <w:rPr>
          <w:rFonts w:ascii="Verdana" w:eastAsia="Calibri" w:hAnsi="Verdana" w:cs="Arial"/>
          <w:lang w:val="es-ES" w:eastAsia="es-ES"/>
        </w:rPr>
        <w:t xml:space="preserve">acta de inicio, </w:t>
      </w:r>
      <w:r>
        <w:rPr>
          <w:rFonts w:ascii="Verdana" w:eastAsia="Calibri" w:hAnsi="Verdana" w:cs="Arial"/>
          <w:lang w:val="es-ES" w:eastAsia="es-ES"/>
        </w:rPr>
        <w:t xml:space="preserve">esto es, </w:t>
      </w:r>
      <w:r w:rsidRPr="00034F0A">
        <w:rPr>
          <w:rFonts w:ascii="Verdana" w:eastAsia="Calibri" w:hAnsi="Verdana" w:cs="Arial"/>
          <w:lang w:val="es-ES" w:eastAsia="es-ES"/>
        </w:rPr>
        <w:t>precisar si se trata de un requisito de ejecución legal o convencional.</w:t>
      </w:r>
      <w:r>
        <w:rPr>
          <w:rFonts w:ascii="Verdana" w:eastAsia="Calibri" w:hAnsi="Verdana" w:cs="Arial"/>
          <w:lang w:val="es-ES" w:eastAsia="es-ES"/>
        </w:rPr>
        <w:t xml:space="preserve"> Según lo dispuesto en el </w:t>
      </w:r>
      <w:r w:rsidRPr="00034F0A">
        <w:rPr>
          <w:rFonts w:ascii="Verdana" w:eastAsia="Calibri" w:hAnsi="Verdana" w:cs="Arial"/>
          <w:lang w:val="es-ES" w:eastAsia="es-ES"/>
        </w:rPr>
        <w:t>segundo inciso del artículo 41 de la Ley 80 de 1993, modificado por el artículo 23 de la Ley 1150 de 2007</w:t>
      </w:r>
      <w:r>
        <w:rPr>
          <w:rFonts w:ascii="Verdana" w:eastAsia="Calibri" w:hAnsi="Verdana" w:cs="Arial"/>
          <w:lang w:val="es-ES" w:eastAsia="es-ES"/>
        </w:rPr>
        <w:t xml:space="preserve"> ya transcrito, se puede concluir que los </w:t>
      </w:r>
      <w:r w:rsidRPr="00034F0A">
        <w:rPr>
          <w:rFonts w:ascii="Verdana" w:eastAsia="Calibri" w:hAnsi="Verdana" w:cs="Arial"/>
          <w:lang w:val="es-ES" w:eastAsia="es-ES"/>
        </w:rPr>
        <w:t xml:space="preserve">requisitos convencionales </w:t>
      </w:r>
      <w:r>
        <w:rPr>
          <w:rFonts w:ascii="Verdana" w:eastAsia="Calibri" w:hAnsi="Verdana" w:cs="Arial"/>
          <w:lang w:val="es-ES" w:eastAsia="es-ES"/>
        </w:rPr>
        <w:t xml:space="preserve">serán </w:t>
      </w:r>
      <w:r w:rsidRPr="00034F0A">
        <w:rPr>
          <w:rFonts w:ascii="Verdana" w:eastAsia="Calibri" w:hAnsi="Verdana" w:cs="Arial"/>
          <w:lang w:val="es-ES" w:eastAsia="es-ES"/>
        </w:rPr>
        <w:t>aquellos que no se encuentran consagrados en la ley, sino que se pactan en la minuta del contrato o que el contratista acepta al momento de adherirse al clausulado del pliego de condiciones o documento equivalente.</w:t>
      </w:r>
      <w:r>
        <w:rPr>
          <w:rFonts w:ascii="Verdana" w:eastAsia="Calibri" w:hAnsi="Verdana" w:cs="Arial"/>
          <w:lang w:val="es-ES" w:eastAsia="es-ES"/>
        </w:rPr>
        <w:t xml:space="preserve"> </w:t>
      </w:r>
    </w:p>
    <w:p w14:paraId="4045EFCD" w14:textId="77777777" w:rsidR="003E4080" w:rsidRDefault="003E4080" w:rsidP="003E4080">
      <w:pPr>
        <w:spacing w:after="120" w:line="276" w:lineRule="auto"/>
        <w:ind w:firstLine="709"/>
        <w:jc w:val="both"/>
        <w:rPr>
          <w:rFonts w:ascii="Verdana" w:eastAsia="Calibri" w:hAnsi="Verdana" w:cs="Arial"/>
          <w:lang w:val="es-ES" w:eastAsia="es-ES"/>
        </w:rPr>
      </w:pPr>
      <w:r w:rsidRPr="00034F0A">
        <w:rPr>
          <w:rFonts w:ascii="Verdana" w:eastAsia="Calibri" w:hAnsi="Verdana" w:cs="Arial"/>
          <w:lang w:val="es-ES" w:eastAsia="es-ES"/>
        </w:rPr>
        <w:t xml:space="preserve">En el lenguaje de la contratación estatal, el acta de inicio es un documento en el que se fija la fecha en la que comienza el cómputo del plazo del contrato, una vez cumplido los requisitos legales para la ejecución del contrato. Por tanto, si bien no la exige la ley ni el reglamento, obedece a una buena práctica contractual, ya que brinda certeza acerca del inicio de la ejecución del contrato. Es por ello </w:t>
      </w:r>
      <w:proofErr w:type="gramStart"/>
      <w:r w:rsidRPr="00034F0A">
        <w:rPr>
          <w:rFonts w:ascii="Verdana" w:eastAsia="Calibri" w:hAnsi="Verdana" w:cs="Arial"/>
          <w:lang w:val="es-ES" w:eastAsia="es-ES"/>
        </w:rPr>
        <w:t>que</w:t>
      </w:r>
      <w:proofErr w:type="gramEnd"/>
      <w:r w:rsidRPr="00034F0A">
        <w:rPr>
          <w:rFonts w:ascii="Verdana" w:eastAsia="Calibri" w:hAnsi="Verdana" w:cs="Arial"/>
          <w:lang w:val="es-ES" w:eastAsia="es-ES"/>
        </w:rPr>
        <w:t>, la suscripción del acta de inicio usualmente se pacta en la cláusula del plazo, estableciendo que la fecha de la firma de tal documento será el hito que determinará desde cuándo comenzarán a contabilizarse los días, meses o años que se hayan estipulado como período para el cumplimiento del objeto del contrato</w:t>
      </w:r>
    </w:p>
    <w:p w14:paraId="560D6ED4" w14:textId="77777777" w:rsidR="003E4080" w:rsidRDefault="003E4080" w:rsidP="003E4080">
      <w:pPr>
        <w:spacing w:after="120" w:line="276" w:lineRule="auto"/>
        <w:ind w:firstLine="709"/>
        <w:jc w:val="both"/>
        <w:rPr>
          <w:rFonts w:ascii="Verdana" w:eastAsia="Calibri" w:hAnsi="Verdana" w:cs="Arial"/>
          <w:lang w:val="es-ES" w:eastAsia="es-ES"/>
        </w:rPr>
      </w:pPr>
      <w:r w:rsidRPr="00034F0A">
        <w:rPr>
          <w:rFonts w:ascii="Verdana" w:eastAsia="Calibri" w:hAnsi="Verdana" w:cs="Arial"/>
          <w:lang w:val="es-ES" w:eastAsia="es-ES"/>
        </w:rPr>
        <w:t>El fundamento legal que habilita a las partes para establecer la suscripción del acta de inicio como un requisito de ejecución convencional se encuentra en el segundo inciso del artículo 40 de la Ley 80 de 1993, el cual indica que “Las entidades podrán celebrar los contratos y acuerdos que permitan la autonomía de la voluntad y requieran el cumplimiento de los fines estatales”.</w:t>
      </w:r>
    </w:p>
    <w:p w14:paraId="5C618F4F" w14:textId="77777777" w:rsidR="003E4080" w:rsidRDefault="003E4080" w:rsidP="003E4080">
      <w:pPr>
        <w:spacing w:after="120" w:line="276" w:lineRule="auto"/>
        <w:ind w:firstLine="709"/>
        <w:jc w:val="both"/>
        <w:rPr>
          <w:rFonts w:ascii="Verdana" w:eastAsia="Calibri" w:hAnsi="Verdana" w:cs="Arial"/>
          <w:lang w:val="es-ES" w:eastAsia="es-ES"/>
        </w:rPr>
      </w:pPr>
      <w:r w:rsidRPr="00034F0A">
        <w:rPr>
          <w:rFonts w:ascii="Verdana" w:eastAsia="Calibri" w:hAnsi="Verdana" w:cs="Arial"/>
          <w:lang w:val="es-ES" w:eastAsia="es-ES"/>
        </w:rPr>
        <w:t>Sin embargo, en el ejercicio de la autonomía de la voluntad las partes del contrato deben respetar las normas de orden público. En consecuencia, a pesar de que están facultadas para acordar cláusulas accidentales en el negocio jurídico, estas no pueden ir en contra de los mandatos contenidos en el EGCAP. En tal sentido, teniendo en cuenta que el artículo 41 de la Ley 80 de 1993 establece que los requisitos legales de ejecución de los contratos estatales son la aprobación de las garantías, la apropiación presupuestal y la acreditación del cumplimiento de las obligaciones con el Sistema de Seguridad Social Integral, las partes no pueden establecer que el contrato estatal comenzará su ejecución cuando se firme el acta de inicio pretermitiendo las tres exigencias legales</w:t>
      </w:r>
      <w:r>
        <w:rPr>
          <w:rFonts w:ascii="Verdana" w:eastAsia="Calibri" w:hAnsi="Verdana" w:cs="Arial"/>
          <w:lang w:val="es-ES" w:eastAsia="es-ES"/>
        </w:rPr>
        <w:t>.</w:t>
      </w:r>
    </w:p>
    <w:p w14:paraId="25C3B0CD" w14:textId="77777777" w:rsidR="003E4080" w:rsidRDefault="003E4080" w:rsidP="003E4080">
      <w:pPr>
        <w:spacing w:after="120" w:line="276" w:lineRule="auto"/>
        <w:ind w:firstLine="709"/>
        <w:jc w:val="both"/>
        <w:rPr>
          <w:rFonts w:ascii="Verdana" w:eastAsia="Calibri" w:hAnsi="Verdana" w:cs="Arial"/>
          <w:lang w:val="es-ES" w:eastAsia="es-ES"/>
        </w:rPr>
      </w:pPr>
      <w:r w:rsidRPr="00034F0A">
        <w:rPr>
          <w:rFonts w:ascii="Verdana" w:eastAsia="Calibri" w:hAnsi="Verdana" w:cs="Arial"/>
          <w:lang w:val="es-ES" w:eastAsia="es-ES"/>
        </w:rPr>
        <w:t>Dicho de otra manera, el acta de inicio puede ser pactada como requisito para el comienzo del cómputo del plazo, pero la fecha que se defina en ella para iniciar la ejecución del contrato no puede ser anterior al cumplimiento de los requisitos de ejecución establecidos en la ley. Verbigracia, si las garantías no han sido aprobadas por la entidad estatal, aún no se puede suscribir el acta de inicio, pues de lo contrario las partes estarían contrariando normas de orden público, que, como bien se ha señalado, son indisponibles. O si la fecha de expedición del registro presupuestal es el día de hoy, no puede establecerse como fecha de inicio de ejecución del contrato el día de ayer, porque lo que eso estaría indicando es que el contrato estatal comenzó su ejecución sin la apropiación presupuestal suficiente.</w:t>
      </w:r>
    </w:p>
    <w:p w14:paraId="5F627FEA" w14:textId="77777777" w:rsidR="003E4080" w:rsidRDefault="003E4080" w:rsidP="003E4080">
      <w:pPr>
        <w:spacing w:after="120" w:line="276" w:lineRule="auto"/>
        <w:ind w:firstLine="709"/>
        <w:jc w:val="both"/>
        <w:rPr>
          <w:rFonts w:ascii="Verdana" w:eastAsia="Calibri" w:hAnsi="Verdana" w:cs="Arial"/>
          <w:lang w:val="es-ES" w:eastAsia="es-ES"/>
        </w:rPr>
      </w:pPr>
      <w:r w:rsidRPr="00034F0A">
        <w:rPr>
          <w:rFonts w:ascii="Verdana" w:eastAsia="Calibri" w:hAnsi="Verdana" w:cs="Arial"/>
          <w:lang w:val="es-ES" w:eastAsia="es-ES"/>
        </w:rPr>
        <w:t xml:space="preserve">Además, el artículo 6 de la Constitución dispone que “Los particulares sólo son responsables ante las autoridades por infringir la Constitución y las leyes” y que “Los servidores públicos lo son por la misma causa y por omisión o extralimitación en el ejercicio de sus funciones”. Por tanto, no se puede suscribir el acta de inicio, estableciendo como fecha de inicio del contrato un día en el que aún no se hayan cumplido los requisitos de ejecución establecidos en el artículo 41 de la Ley 80 de 1993, porque ello implica una infracción de la ley. </w:t>
      </w:r>
    </w:p>
    <w:p w14:paraId="60D20CDF" w14:textId="77777777" w:rsidR="003E4080" w:rsidRPr="00034F0A" w:rsidRDefault="003E4080" w:rsidP="003E4080">
      <w:pPr>
        <w:spacing w:after="120" w:line="276" w:lineRule="auto"/>
        <w:ind w:firstLine="709"/>
        <w:jc w:val="both"/>
        <w:rPr>
          <w:rFonts w:ascii="Verdana" w:eastAsia="Calibri" w:hAnsi="Verdana" w:cs="Arial"/>
          <w:lang w:val="es-ES" w:eastAsia="es-ES"/>
        </w:rPr>
      </w:pPr>
      <w:r w:rsidRPr="00034F0A">
        <w:rPr>
          <w:rFonts w:ascii="Verdana" w:eastAsia="Calibri" w:hAnsi="Verdana" w:cs="Arial"/>
          <w:lang w:val="es-ES" w:eastAsia="es-ES"/>
        </w:rPr>
        <w:t>Finalmente, a juicio del Consejo de Estado, una vez se pacte el acta de inicio como requisito de ejecución del contrato, su ausencia tiene como consecuencia la falta de autorización para desplegar cualquier actividad contractual. Por ende, concluye el alto tribunal en sentencia del 3 de abril de 2020</w:t>
      </w:r>
      <w:r>
        <w:rPr>
          <w:rStyle w:val="Refdenotaalpie"/>
          <w:rFonts w:ascii="Verdana" w:eastAsia="Calibri" w:hAnsi="Verdana" w:cs="Arial"/>
          <w:lang w:val="es-ES" w:eastAsia="es-ES"/>
        </w:rPr>
        <w:footnoteReference w:id="7"/>
      </w:r>
      <w:r w:rsidRPr="00034F0A">
        <w:rPr>
          <w:rFonts w:ascii="Verdana" w:eastAsia="Calibri" w:hAnsi="Verdana" w:cs="Arial"/>
          <w:lang w:val="es-ES" w:eastAsia="es-ES"/>
        </w:rPr>
        <w:t>, la eventual ejecución del contrato en estos casos no merecería reconocimiento pecuniario:</w:t>
      </w:r>
    </w:p>
    <w:p w14:paraId="7544B12F" w14:textId="77777777" w:rsidR="003E4080" w:rsidRDefault="003E4080" w:rsidP="003E4080">
      <w:pPr>
        <w:spacing w:after="0" w:line="240" w:lineRule="auto"/>
        <w:ind w:left="709" w:right="618"/>
        <w:jc w:val="both"/>
        <w:rPr>
          <w:rFonts w:ascii="Verdana" w:eastAsia="Calibri" w:hAnsi="Verdana" w:cs="Arial"/>
          <w:i/>
          <w:iCs/>
          <w:sz w:val="20"/>
          <w:szCs w:val="20"/>
          <w:lang w:val="es-ES" w:eastAsia="es-ES"/>
        </w:rPr>
      </w:pPr>
      <w:r w:rsidRPr="00264327">
        <w:rPr>
          <w:rFonts w:ascii="Verdana" w:eastAsia="Calibri" w:hAnsi="Verdana" w:cs="Arial"/>
          <w:sz w:val="20"/>
          <w:szCs w:val="20"/>
          <w:lang w:val="es-ES" w:eastAsia="es-ES"/>
        </w:rPr>
        <w:t xml:space="preserve">“Pese a declararse en esta oportunidad la nulidad del acto de terminación unilateral del convenio, la Sala encuentra que no está llamada a prosperar la pretensión de incumplimiento ni el consecuencial reconocimiento de los perjuicios reclamados por la parte demandante […] [L]as partes no suscribieron el acta para dar inicio a la ejecución del convenio y la entidad demandada no impartió autorización que avalara las actividades de la fundación cooperante encaminadas a la ejecución prematura de sus obligaciones. </w:t>
      </w:r>
      <w:proofErr w:type="gramStart"/>
      <w:r w:rsidRPr="00264327">
        <w:rPr>
          <w:rFonts w:ascii="Verdana" w:eastAsia="Calibri" w:hAnsi="Verdana" w:cs="Arial"/>
          <w:sz w:val="20"/>
          <w:szCs w:val="20"/>
          <w:lang w:val="es-ES" w:eastAsia="es-ES"/>
        </w:rPr>
        <w:t>En razón de</w:t>
      </w:r>
      <w:proofErr w:type="gramEnd"/>
      <w:r w:rsidRPr="00264327">
        <w:rPr>
          <w:rFonts w:ascii="Verdana" w:eastAsia="Calibri" w:hAnsi="Verdana" w:cs="Arial"/>
          <w:sz w:val="20"/>
          <w:szCs w:val="20"/>
          <w:lang w:val="es-ES" w:eastAsia="es-ES"/>
        </w:rPr>
        <w:t xml:space="preserve"> lo anterior, pese a la declaratoria de nulidad del acta de terminación unilateral del convenio 497 de 2007, no es dable acceder a la pretensión de incumplimiento, en tanto no se suscribió el acta de inicio convenida por las partes como requisito para su ejecución, lo cual significa </w:t>
      </w:r>
      <w:proofErr w:type="gramStart"/>
      <w:r w:rsidRPr="00264327">
        <w:rPr>
          <w:rFonts w:ascii="Verdana" w:eastAsia="Calibri" w:hAnsi="Verdana" w:cs="Arial"/>
          <w:sz w:val="20"/>
          <w:szCs w:val="20"/>
          <w:lang w:val="es-ES" w:eastAsia="es-ES"/>
        </w:rPr>
        <w:t>que</w:t>
      </w:r>
      <w:proofErr w:type="gramEnd"/>
      <w:r w:rsidRPr="00264327">
        <w:rPr>
          <w:rFonts w:ascii="Verdana" w:eastAsia="Calibri" w:hAnsi="Verdana" w:cs="Arial"/>
          <w:sz w:val="20"/>
          <w:szCs w:val="20"/>
          <w:lang w:val="es-ES" w:eastAsia="es-ES"/>
        </w:rPr>
        <w:t xml:space="preserve"> al momento de la terminación unilateral, no contaba el demandante con autorización para ejecutar las obligaciones contraídas con ocasión del contrato. En este orden, ante la ausencia de autorización, cualquier actividad desplegada por el cooperante no resultaría merecedora de reconocimiento pecuniario</w:t>
      </w:r>
      <w:r w:rsidRPr="00264327">
        <w:rPr>
          <w:rFonts w:ascii="Verdana" w:eastAsia="Calibri" w:hAnsi="Verdana" w:cs="Arial"/>
          <w:i/>
          <w:iCs/>
          <w:sz w:val="20"/>
          <w:szCs w:val="20"/>
          <w:lang w:val="es-ES" w:eastAsia="es-ES"/>
        </w:rPr>
        <w:t>”.</w:t>
      </w:r>
    </w:p>
    <w:p w14:paraId="7FEF6CE2" w14:textId="77777777" w:rsidR="00FD7B2E" w:rsidRDefault="00FD7B2E" w:rsidP="003E4080">
      <w:pPr>
        <w:tabs>
          <w:tab w:val="left" w:pos="142"/>
          <w:tab w:val="left" w:pos="284"/>
          <w:tab w:val="left" w:pos="6912"/>
        </w:tabs>
        <w:spacing w:after="0" w:line="276" w:lineRule="auto"/>
        <w:jc w:val="both"/>
        <w:rPr>
          <w:rFonts w:ascii="Verdana" w:eastAsia="Calibri" w:hAnsi="Verdana" w:cs="Arial"/>
          <w:lang w:val="es-ES"/>
        </w:rPr>
      </w:pPr>
    </w:p>
    <w:p w14:paraId="674E40AC" w14:textId="6342421E" w:rsidR="003E4080" w:rsidRDefault="003E4080" w:rsidP="003E4080">
      <w:pPr>
        <w:tabs>
          <w:tab w:val="left" w:pos="142"/>
          <w:tab w:val="left" w:pos="284"/>
          <w:tab w:val="left" w:pos="6912"/>
        </w:tabs>
        <w:spacing w:after="0" w:line="276" w:lineRule="auto"/>
        <w:jc w:val="both"/>
        <w:rPr>
          <w:rFonts w:ascii="Verdana" w:eastAsia="Calibri" w:hAnsi="Verdana" w:cs="Arial"/>
          <w:lang w:val="es-ES"/>
        </w:rPr>
      </w:pPr>
      <w:proofErr w:type="spellStart"/>
      <w:r w:rsidRPr="00E42890">
        <w:rPr>
          <w:rFonts w:ascii="Verdana" w:eastAsia="Calibri" w:hAnsi="Verdana" w:cs="Arial"/>
          <w:lang w:val="es-ES"/>
        </w:rPr>
        <w:t>ii</w:t>
      </w:r>
      <w:proofErr w:type="spellEnd"/>
      <w:r w:rsidRPr="00E42890">
        <w:rPr>
          <w:rFonts w:ascii="Verdana" w:eastAsia="Calibri" w:hAnsi="Verdana" w:cs="Arial"/>
          <w:lang w:val="es-ES"/>
        </w:rPr>
        <w:t xml:space="preserve">) Dilucidado aquello relativo al acta de inicio, </w:t>
      </w:r>
      <w:r w:rsidRPr="00E42890">
        <w:rPr>
          <w:rFonts w:ascii="Verdana" w:eastAsia="Calibri" w:hAnsi="Verdana" w:cs="Arial"/>
        </w:rPr>
        <w:t>resulta necesario dar un contexto sobre las restricciones contempladas en la Ley de Garantías Electorales – Ley 996 de 2005, es especial, lo dispuesto en el artículo 33.</w:t>
      </w:r>
      <w:r>
        <w:rPr>
          <w:rFonts w:ascii="Verdana" w:eastAsia="Calibri" w:hAnsi="Verdana" w:cs="Arial"/>
        </w:rPr>
        <w:t xml:space="preserve"> </w:t>
      </w:r>
    </w:p>
    <w:p w14:paraId="4013F634" w14:textId="77777777" w:rsidR="003E4080" w:rsidRDefault="003E4080" w:rsidP="003E4080">
      <w:pPr>
        <w:tabs>
          <w:tab w:val="left" w:pos="142"/>
          <w:tab w:val="left" w:pos="284"/>
          <w:tab w:val="left" w:pos="6912"/>
        </w:tabs>
        <w:spacing w:after="0" w:line="240" w:lineRule="auto"/>
        <w:jc w:val="both"/>
        <w:rPr>
          <w:rFonts w:ascii="Verdana" w:eastAsia="Calibri" w:hAnsi="Verdana" w:cs="Arial"/>
          <w:lang w:val="es-ES"/>
        </w:rPr>
      </w:pPr>
    </w:p>
    <w:p w14:paraId="58D8FC0F" w14:textId="77777777" w:rsidR="003E4080" w:rsidRPr="002D6B92" w:rsidRDefault="003E4080" w:rsidP="003E4080">
      <w:pPr>
        <w:tabs>
          <w:tab w:val="left" w:pos="142"/>
          <w:tab w:val="left" w:pos="284"/>
          <w:tab w:val="left" w:pos="6912"/>
        </w:tabs>
        <w:spacing w:after="120" w:line="276" w:lineRule="auto"/>
        <w:ind w:firstLine="142"/>
        <w:jc w:val="both"/>
        <w:rPr>
          <w:rFonts w:ascii="Verdana" w:eastAsia="Calibri" w:hAnsi="Verdana" w:cs="Arial"/>
          <w:lang w:val="es-ES"/>
        </w:rPr>
      </w:pPr>
      <w:r>
        <w:rPr>
          <w:rFonts w:ascii="Verdana" w:eastAsia="Times New Roman" w:hAnsi="Verdana" w:cs="Arial"/>
          <w:bCs/>
          <w:lang w:eastAsia="es-CO"/>
        </w:rPr>
        <w:tab/>
        <w:t xml:space="preserve">     </w:t>
      </w:r>
      <w:r w:rsidRPr="002D6B92">
        <w:rPr>
          <w:rFonts w:ascii="Verdana" w:eastAsia="Times New Roman" w:hAnsi="Verdana" w:cs="Arial"/>
          <w:bCs/>
          <w:lang w:eastAsia="es-CO"/>
        </w:rPr>
        <w:t>El ordenamiento jurídico colombiano contempla previsiones claras para evitar la obtención de beneficios personales en asuntos propios de la administración pública. Por ejemplo, el artículo 127 de la Constitución Política establece una prohibición contractual a los servidores públicos y en cuanto a aspectos políticos establece restricciones a ciertos empleados del Estado, incluso en época no electoral</w:t>
      </w:r>
      <w:r w:rsidRPr="00F10E52">
        <w:rPr>
          <w:rStyle w:val="Refdenotaalpie"/>
          <w:rFonts w:ascii="Verdana" w:eastAsia="Calibri" w:hAnsi="Verdana" w:cs="Arial"/>
          <w:bCs/>
        </w:rPr>
        <w:footnoteReference w:id="8"/>
      </w:r>
      <w:r w:rsidRPr="00F10E52">
        <w:rPr>
          <w:rFonts w:ascii="Verdana" w:eastAsia="Calibri" w:hAnsi="Verdana" w:cs="Arial"/>
          <w:bCs/>
        </w:rPr>
        <w:t xml:space="preserve">. </w:t>
      </w:r>
    </w:p>
    <w:p w14:paraId="174ABD1E" w14:textId="77777777" w:rsidR="003E4080" w:rsidRDefault="003E4080" w:rsidP="003E4080">
      <w:pPr>
        <w:tabs>
          <w:tab w:val="left" w:pos="426"/>
        </w:tabs>
        <w:spacing w:after="120" w:line="276" w:lineRule="auto"/>
        <w:ind w:firstLine="709"/>
        <w:jc w:val="both"/>
        <w:rPr>
          <w:rFonts w:ascii="Verdana" w:eastAsia="Calibri" w:hAnsi="Verdana" w:cs="Arial"/>
          <w:noProof/>
          <w:lang w:val="es-ES_tradnl"/>
        </w:rPr>
      </w:pPr>
      <w:r w:rsidRPr="00F10E52">
        <w:rPr>
          <w:rFonts w:ascii="Verdana" w:eastAsia="Times New Roman" w:hAnsi="Verdana" w:cs="Arial"/>
          <w:bCs/>
          <w:lang w:eastAsia="es-CO"/>
        </w:rPr>
        <w:t xml:space="preserve">En el mismo sentido, la Ley 996 de 2005, conocida como </w:t>
      </w:r>
      <w:r>
        <w:rPr>
          <w:rFonts w:ascii="Verdana" w:eastAsia="Times New Roman" w:hAnsi="Verdana" w:cs="Arial"/>
          <w:bCs/>
          <w:lang w:eastAsia="es-CO"/>
        </w:rPr>
        <w:t>“</w:t>
      </w:r>
      <w:r w:rsidRPr="00F10E52">
        <w:rPr>
          <w:rFonts w:ascii="Verdana" w:eastAsia="Times New Roman" w:hAnsi="Verdana" w:cs="Arial"/>
          <w:bCs/>
          <w:lang w:eastAsia="es-CO"/>
        </w:rPr>
        <w:t>Ley de Garantías Electorales</w:t>
      </w:r>
      <w:r>
        <w:rPr>
          <w:rFonts w:ascii="Verdana" w:eastAsia="Times New Roman" w:hAnsi="Verdana" w:cs="Arial"/>
          <w:bCs/>
          <w:lang w:eastAsia="es-CO"/>
        </w:rPr>
        <w:t>”</w:t>
      </w:r>
      <w:r w:rsidRPr="00F10E52">
        <w:rPr>
          <w:rFonts w:ascii="Verdana" w:eastAsia="Times New Roman" w:hAnsi="Verdana" w:cs="Arial"/>
          <w:bCs/>
          <w:lang w:eastAsia="es-CO"/>
        </w:rPr>
        <w:t>,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F10E52">
        <w:rPr>
          <w:rStyle w:val="Refdenotaalpie"/>
          <w:rFonts w:ascii="Verdana" w:eastAsia="Times New Roman" w:hAnsi="Verdana" w:cs="Arial"/>
          <w:bCs/>
          <w:lang w:eastAsia="es-CO"/>
        </w:rPr>
        <w:footnoteReference w:id="9"/>
      </w:r>
      <w:r w:rsidRPr="00F10E52">
        <w:rPr>
          <w:rFonts w:ascii="Verdana" w:eastAsia="Times New Roman" w:hAnsi="Verdana" w:cs="Arial"/>
          <w:bCs/>
          <w:lang w:eastAsia="es-CO"/>
        </w:rPr>
        <w:t>. En esta medida, introduce limitaciones para realizar nombramientos, postulaciones, contrataciones o cualquier otro tipo de actividad que implique destinación de recursos públicos bajo el devenir propio de las entidades estatales.</w:t>
      </w:r>
      <w:r w:rsidRPr="00F10E52">
        <w:rPr>
          <w:rFonts w:ascii="Verdana" w:eastAsia="Calibri" w:hAnsi="Verdana" w:cs="Arial"/>
          <w:noProof/>
          <w:lang w:val="es-ES_tradnl"/>
        </w:rPr>
        <w:t xml:space="preserve"> </w:t>
      </w:r>
    </w:p>
    <w:p w14:paraId="2945F06E" w14:textId="77777777" w:rsidR="003E4080" w:rsidRPr="00F10E52" w:rsidRDefault="003E4080" w:rsidP="003E4080">
      <w:pPr>
        <w:tabs>
          <w:tab w:val="left" w:pos="426"/>
        </w:tabs>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armonía con lo anterior, la Corte Constitucional ha abordado la definición de la Ley de Garantías Electorales. De esta manera, explica que tiene como propósito:</w:t>
      </w:r>
    </w:p>
    <w:p w14:paraId="7B257F34" w14:textId="77777777" w:rsidR="003E4080" w:rsidRPr="007777F3" w:rsidRDefault="003E4080" w:rsidP="003E4080">
      <w:pPr>
        <w:spacing w:after="0" w:line="240" w:lineRule="auto"/>
        <w:ind w:left="709" w:right="709"/>
        <w:jc w:val="both"/>
        <w:rPr>
          <w:rFonts w:ascii="Verdana" w:eastAsia="Times New Roman" w:hAnsi="Verdana" w:cs="Arial"/>
          <w:sz w:val="20"/>
          <w:szCs w:val="20"/>
          <w:lang w:val="es-ES" w:eastAsia="es-CO"/>
        </w:rPr>
      </w:pPr>
      <w:r>
        <w:rPr>
          <w:rFonts w:ascii="Verdana" w:eastAsia="Times New Roman" w:hAnsi="Verdana" w:cs="Arial"/>
          <w:sz w:val="20"/>
          <w:szCs w:val="20"/>
          <w:lang w:val="es-ES" w:eastAsia="es-CO"/>
        </w:rPr>
        <w:t>“(…)</w:t>
      </w:r>
      <w:r w:rsidRPr="006A51F6">
        <w:rPr>
          <w:rFonts w:ascii="Verdana" w:eastAsia="Times New Roman" w:hAnsi="Verdana" w:cs="Arial"/>
          <w:sz w:val="20"/>
          <w:szCs w:val="20"/>
          <w:lang w:val="es-ES" w:eastAsia="es-CO"/>
        </w:rPr>
        <w:t xml:space="preserve"> </w:t>
      </w:r>
      <w:r w:rsidRPr="009E6EDF">
        <w:rPr>
          <w:rFonts w:ascii="Verdana" w:eastAsia="Times New Roman" w:hAnsi="Verdana" w:cs="Arial"/>
          <w:bCs/>
          <w:sz w:val="20"/>
          <w:szCs w:val="20"/>
          <w:lang w:eastAsia="es-CO"/>
        </w:rPr>
        <w:t>La definición de reglas claras que permitan acceder a los canales de expresión democrática de manera efectiva e igualitaria. El objetivo de una ley de garantías es definir esas reglas.</w:t>
      </w:r>
    </w:p>
    <w:p w14:paraId="688DE686" w14:textId="77777777" w:rsidR="003E4080" w:rsidRPr="009E6EDF" w:rsidRDefault="003E4080" w:rsidP="003E4080">
      <w:pPr>
        <w:spacing w:after="0" w:line="240" w:lineRule="auto"/>
        <w:ind w:left="709" w:right="709"/>
        <w:jc w:val="both"/>
        <w:rPr>
          <w:rFonts w:ascii="Verdana" w:eastAsia="Times New Roman" w:hAnsi="Verdana" w:cs="Arial"/>
          <w:bCs/>
          <w:sz w:val="20"/>
          <w:szCs w:val="20"/>
          <w:lang w:eastAsia="es-CO"/>
        </w:rPr>
      </w:pPr>
    </w:p>
    <w:p w14:paraId="26D18D9B" w14:textId="77777777" w:rsidR="003E4080" w:rsidRPr="00724A60" w:rsidRDefault="003E4080" w:rsidP="003E4080">
      <w:pPr>
        <w:spacing w:after="0" w:line="240" w:lineRule="auto"/>
        <w:ind w:left="709" w:right="709"/>
        <w:jc w:val="both"/>
        <w:rPr>
          <w:rFonts w:ascii="Verdana" w:eastAsia="Times New Roman" w:hAnsi="Verdana" w:cs="Arial"/>
          <w:bCs/>
          <w:sz w:val="20"/>
          <w:szCs w:val="20"/>
          <w:lang w:eastAsia="es-CO"/>
        </w:rPr>
      </w:pPr>
      <w:r w:rsidRPr="009E6EDF">
        <w:rPr>
          <w:rFonts w:ascii="Verdana" w:eastAsia="Times New Roman" w:hAnsi="Verdana" w:cs="Arial"/>
          <w:bCs/>
          <w:sz w:val="20"/>
          <w:szCs w:val="20"/>
          <w:lang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Pr>
          <w:rFonts w:ascii="Verdana" w:eastAsia="Times New Roman" w:hAnsi="Verdana" w:cs="Arial"/>
          <w:bCs/>
          <w:sz w:val="20"/>
          <w:szCs w:val="20"/>
          <w:lang w:eastAsia="es-CO"/>
        </w:rPr>
        <w:t xml:space="preserve"> (…)”</w:t>
      </w:r>
      <w:r w:rsidRPr="009E6EDF">
        <w:rPr>
          <w:rStyle w:val="Refdenotaalpie"/>
          <w:rFonts w:ascii="Verdana" w:hAnsi="Verdana" w:cs="Arial"/>
          <w:sz w:val="20"/>
          <w:szCs w:val="20"/>
        </w:rPr>
        <w:footnoteReference w:id="10"/>
      </w:r>
      <w:r>
        <w:rPr>
          <w:rFonts w:ascii="Verdana" w:eastAsia="Times New Roman" w:hAnsi="Verdana" w:cs="Arial"/>
          <w:bCs/>
          <w:sz w:val="20"/>
          <w:szCs w:val="20"/>
          <w:lang w:eastAsia="es-CO"/>
        </w:rPr>
        <w:t>.</w:t>
      </w:r>
      <w:r w:rsidRPr="006A51F6">
        <w:rPr>
          <w:rFonts w:ascii="Verdana" w:eastAsia="Times New Roman" w:hAnsi="Verdana" w:cs="Arial"/>
          <w:bCs/>
          <w:sz w:val="20"/>
          <w:szCs w:val="20"/>
          <w:lang w:eastAsia="es-CO"/>
        </w:rPr>
        <w:t xml:space="preserve"> </w:t>
      </w:r>
      <w:bookmarkStart w:id="2" w:name="_Hlk78818186"/>
    </w:p>
    <w:p w14:paraId="50322E80" w14:textId="77777777" w:rsidR="003E4080" w:rsidRDefault="003E4080" w:rsidP="003E4080">
      <w:pPr>
        <w:spacing w:after="0" w:line="276" w:lineRule="auto"/>
        <w:ind w:firstLine="709"/>
        <w:jc w:val="both"/>
        <w:rPr>
          <w:rFonts w:ascii="Verdana" w:eastAsia="Times New Roman" w:hAnsi="Verdana" w:cs="Arial"/>
          <w:bCs/>
          <w:lang w:eastAsia="es-CO"/>
        </w:rPr>
      </w:pPr>
    </w:p>
    <w:p w14:paraId="302ED15F" w14:textId="77777777" w:rsidR="003E4080" w:rsidRPr="002D6B92" w:rsidRDefault="003E4080" w:rsidP="003E4080">
      <w:pPr>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 xml:space="preserve">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2"/>
      <w:r w:rsidRPr="00F10E52">
        <w:rPr>
          <w:rFonts w:ascii="Verdana" w:eastAsia="Times New Roman" w:hAnsi="Verdana" w:cs="Arial"/>
          <w:bCs/>
          <w:lang w:eastAsia="es-CO"/>
        </w:rPr>
        <w:t>Por ello, varias de las disposiciones de la Ley 996 de 2005, al contener normas prohibitivas, no admiten una interpretación amplia, sino que deben interpretarse restrictivamente. En efecto, la Sala de Consulta y Servicio Civil del Consejo de Estado al analizar la referida ley, precisó lo siguiente:</w:t>
      </w:r>
    </w:p>
    <w:p w14:paraId="4CD44A69" w14:textId="5B50B7ED" w:rsidR="003E4080" w:rsidRPr="009B20C5" w:rsidRDefault="003E4080" w:rsidP="00FD7B2E">
      <w:pPr>
        <w:spacing w:after="0" w:line="240" w:lineRule="auto"/>
        <w:ind w:left="709" w:right="709"/>
        <w:jc w:val="both"/>
        <w:rPr>
          <w:rFonts w:ascii="Verdana" w:eastAsia="Times New Roman" w:hAnsi="Verdana" w:cs="Arial"/>
          <w:bCs/>
          <w:sz w:val="20"/>
          <w:szCs w:val="20"/>
          <w:lang w:eastAsia="es-CO"/>
        </w:rPr>
      </w:pPr>
      <w:r>
        <w:rPr>
          <w:rFonts w:ascii="Verdana" w:eastAsia="Times New Roman" w:hAnsi="Verdana" w:cs="Arial"/>
          <w:bCs/>
          <w:sz w:val="20"/>
          <w:szCs w:val="20"/>
          <w:lang w:eastAsia="es-CO"/>
        </w:rPr>
        <w:t>“</w:t>
      </w:r>
      <w:r w:rsidRPr="009B20C5">
        <w:rPr>
          <w:rFonts w:ascii="Verdana" w:eastAsia="Times New Roman" w:hAnsi="Verdana" w:cs="Arial"/>
          <w:bCs/>
          <w:sz w:val="20"/>
          <w:szCs w:val="20"/>
          <w:lang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9B20C5">
        <w:rPr>
          <w:rFonts w:ascii="Verdana" w:eastAsia="Times New Roman" w:hAnsi="Verdana" w:cs="Arial"/>
          <w:bCs/>
          <w:sz w:val="20"/>
          <w:szCs w:val="20"/>
          <w:lang w:eastAsia="es-CO"/>
        </w:rPr>
        <w:t>legis</w:t>
      </w:r>
      <w:proofErr w:type="spellEnd"/>
      <w:r w:rsidRPr="009B20C5">
        <w:rPr>
          <w:rFonts w:ascii="Verdana" w:eastAsia="Times New Roman" w:hAnsi="Verdana" w:cs="Arial"/>
          <w:bCs/>
          <w:sz w:val="20"/>
          <w:szCs w:val="20"/>
          <w:lang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07377ECE" w14:textId="77777777" w:rsidR="003E4080" w:rsidRPr="009B20C5" w:rsidRDefault="003E4080" w:rsidP="003E4080">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La jurisprudencia de la Corte Constitucional</w:t>
      </w:r>
      <w:r w:rsidRPr="009B20C5">
        <w:rPr>
          <w:rStyle w:val="Refdenotaalpie"/>
          <w:rFonts w:ascii="Verdana" w:eastAsia="Times New Roman" w:hAnsi="Verdana" w:cs="Arial"/>
          <w:bCs/>
          <w:sz w:val="20"/>
          <w:szCs w:val="20"/>
          <w:lang w:eastAsia="es-CO"/>
        </w:rPr>
        <w:footnoteReference w:id="11"/>
      </w:r>
      <w:r w:rsidRPr="009B20C5">
        <w:rPr>
          <w:rFonts w:ascii="Verdana" w:eastAsia="Times New Roman" w:hAnsi="Verdana" w:cs="Arial"/>
          <w:bCs/>
          <w:sz w:val="20"/>
          <w:szCs w:val="20"/>
          <w:lang w:eastAsia="es-CO"/>
        </w:rPr>
        <w:t> y del Consejo de Estado</w:t>
      </w:r>
      <w:r w:rsidRPr="009B20C5">
        <w:rPr>
          <w:rStyle w:val="Refdenotaalpie"/>
          <w:rFonts w:ascii="Verdana" w:eastAsia="Times New Roman" w:hAnsi="Verdana" w:cs="Arial"/>
          <w:bCs/>
          <w:sz w:val="20"/>
          <w:szCs w:val="20"/>
          <w:lang w:eastAsia="es-CO"/>
        </w:rPr>
        <w:footnoteReference w:id="12"/>
      </w:r>
      <w:r w:rsidRPr="009B20C5">
        <w:rPr>
          <w:rFonts w:ascii="Verdana" w:eastAsia="Times New Roman" w:hAnsi="Verdana" w:cs="Arial"/>
          <w:bCs/>
          <w:sz w:val="20"/>
          <w:szCs w:val="20"/>
          <w:lang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Pr>
          <w:rFonts w:ascii="Verdana" w:eastAsia="Times New Roman" w:hAnsi="Verdana" w:cs="Arial"/>
          <w:bCs/>
          <w:sz w:val="20"/>
          <w:szCs w:val="20"/>
          <w:lang w:eastAsia="es-CO"/>
        </w:rPr>
        <w:t>”</w:t>
      </w:r>
      <w:r w:rsidRPr="009B20C5">
        <w:rPr>
          <w:rStyle w:val="Refdenotaalpie"/>
          <w:rFonts w:ascii="Verdana" w:eastAsia="Times New Roman" w:hAnsi="Verdana" w:cs="Arial"/>
          <w:bCs/>
          <w:sz w:val="20"/>
          <w:szCs w:val="20"/>
          <w:lang w:eastAsia="es-CO"/>
        </w:rPr>
        <w:footnoteReference w:id="13"/>
      </w:r>
      <w:r w:rsidRPr="009B20C5">
        <w:rPr>
          <w:rFonts w:ascii="Verdana" w:eastAsia="Times New Roman" w:hAnsi="Verdana" w:cs="Arial"/>
          <w:bCs/>
          <w:sz w:val="20"/>
          <w:szCs w:val="20"/>
          <w:lang w:eastAsia="es-CO"/>
        </w:rPr>
        <w:t>.</w:t>
      </w:r>
    </w:p>
    <w:p w14:paraId="77086472" w14:textId="77777777" w:rsidR="003E4080" w:rsidRDefault="003E4080" w:rsidP="003E4080">
      <w:pPr>
        <w:spacing w:after="0" w:line="240" w:lineRule="auto"/>
        <w:jc w:val="both"/>
        <w:rPr>
          <w:rFonts w:ascii="Verdana" w:eastAsia="Times New Roman" w:hAnsi="Verdana" w:cs="Arial"/>
          <w:bCs/>
          <w:lang w:eastAsia="es-CO"/>
        </w:rPr>
      </w:pPr>
      <w:r w:rsidRPr="00F10E52">
        <w:rPr>
          <w:rFonts w:ascii="Verdana" w:eastAsia="Times New Roman" w:hAnsi="Verdana" w:cs="Arial"/>
          <w:bCs/>
          <w:lang w:eastAsia="es-CO"/>
        </w:rPr>
        <w:tab/>
      </w:r>
    </w:p>
    <w:p w14:paraId="180271C9" w14:textId="77777777" w:rsidR="003E4080" w:rsidRDefault="003E4080" w:rsidP="003E4080">
      <w:pPr>
        <w:spacing w:after="120" w:line="276" w:lineRule="auto"/>
        <w:ind w:firstLine="709"/>
        <w:jc w:val="both"/>
        <w:rPr>
          <w:rFonts w:ascii="Verdana" w:eastAsia="Arial" w:hAnsi="Verdana" w:cs="Arial"/>
          <w:lang w:val="es-ES" w:eastAsia="es-ES" w:bidi="es-ES"/>
        </w:rPr>
      </w:pPr>
      <w:r w:rsidRPr="00F10E52">
        <w:rPr>
          <w:rFonts w:ascii="Verdana" w:eastAsia="Times New Roman" w:hAnsi="Verdana" w:cs="Arial"/>
          <w:bCs/>
          <w:lang w:eastAsia="es-CO"/>
        </w:rPr>
        <w:t>De</w:t>
      </w:r>
      <w:r w:rsidRPr="00F10E52">
        <w:rPr>
          <w:rFonts w:ascii="Verdana" w:eastAsia="Arial" w:hAnsi="Verdana" w:cs="Arial"/>
          <w:lang w:val="es-ES" w:eastAsia="es-ES" w:bidi="es-ES"/>
        </w:rPr>
        <w:t xml:space="preserve"> conformidad con lo anterior, </w:t>
      </w:r>
      <w:bookmarkStart w:id="3" w:name="_Hlk77236098"/>
      <w:r w:rsidRPr="00F10E52">
        <w:rPr>
          <w:rFonts w:ascii="Verdana" w:eastAsia="Arial" w:hAnsi="Verdana" w:cs="Arial"/>
          <w:lang w:val="es-ES" w:eastAsia="es-ES" w:bidi="es-ES"/>
        </w:rPr>
        <w:t xml:space="preserve">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30D3F5FA" w14:textId="77777777" w:rsidR="003E4080" w:rsidRPr="00F10E52" w:rsidRDefault="003E4080" w:rsidP="003E4080">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3"/>
    </w:p>
    <w:p w14:paraId="4E903603" w14:textId="77777777" w:rsidR="003E4080" w:rsidRPr="00F10E52" w:rsidRDefault="003E4080" w:rsidP="003E4080">
      <w:pPr>
        <w:spacing w:after="120" w:line="276" w:lineRule="auto"/>
        <w:ind w:firstLine="709"/>
        <w:jc w:val="both"/>
        <w:rPr>
          <w:rFonts w:ascii="Verdana" w:eastAsia="Calibri" w:hAnsi="Verdana" w:cs="Arial"/>
        </w:rPr>
      </w:pPr>
      <w:r w:rsidRPr="00F10E52">
        <w:rPr>
          <w:rFonts w:ascii="Verdana" w:eastAsia="Calibri" w:hAnsi="Verdana" w:cs="Arial"/>
        </w:rPr>
        <w:t xml:space="preserve">Por un lado, el artículo 33 de la Ley 996 de 2005 prohíbe </w:t>
      </w:r>
      <w:r>
        <w:rPr>
          <w:rFonts w:ascii="Verdana" w:eastAsia="Calibri" w:hAnsi="Verdana" w:cs="Arial"/>
        </w:rPr>
        <w:t>“</w:t>
      </w:r>
      <w:r>
        <w:rPr>
          <w:rFonts w:ascii="Verdana" w:eastAsia="Calibri" w:hAnsi="Verdana" w:cs="Arial"/>
          <w:bCs/>
        </w:rPr>
        <w:t xml:space="preserve">(…) </w:t>
      </w:r>
      <w:r w:rsidRPr="00F10E52">
        <w:rPr>
          <w:rFonts w:ascii="Verdana" w:eastAsia="Calibri" w:hAnsi="Verdana" w:cs="Arial"/>
        </w:rPr>
        <w:t>la contratación directa por parte de todos los entes del Estado</w:t>
      </w:r>
      <w:r>
        <w:rPr>
          <w:rFonts w:ascii="Verdana" w:eastAsia="Calibri" w:hAnsi="Verdana" w:cs="Arial"/>
          <w:bCs/>
        </w:rPr>
        <w:t>”</w:t>
      </w:r>
      <w:r w:rsidRPr="00F10E52">
        <w:rPr>
          <w:rFonts w:ascii="Verdana" w:eastAsia="Calibri" w:hAnsi="Verdana" w:cs="Arial"/>
        </w:rPr>
        <w:t xml:space="preserve"> durante los cuatro (4) meses anteriores a las elecciones presidenciales, salvo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rPr>
        <w:t>”</w:t>
      </w:r>
      <w:r w:rsidRPr="00F10E52">
        <w:rPr>
          <w:rFonts w:ascii="Verdana" w:eastAsia="Calibri" w:hAnsi="Verdana" w:cs="Arial"/>
          <w:bCs/>
          <w:vertAlign w:val="superscript"/>
        </w:rPr>
        <w:footnoteReference w:id="14"/>
      </w:r>
      <w:r w:rsidRPr="00F10E52">
        <w:rPr>
          <w:rFonts w:ascii="Verdana" w:eastAsia="Calibri" w:hAnsi="Verdana" w:cs="Arial"/>
        </w:rPr>
        <w:t>.</w:t>
      </w:r>
    </w:p>
    <w:p w14:paraId="0D74E1CB" w14:textId="77777777" w:rsidR="003E4080" w:rsidRDefault="003E4080" w:rsidP="003E4080">
      <w:pPr>
        <w:widowControl w:val="0"/>
        <w:autoSpaceDE w:val="0"/>
        <w:autoSpaceDN w:val="0"/>
        <w:spacing w:after="120" w:line="276" w:lineRule="auto"/>
        <w:ind w:firstLine="709"/>
        <w:jc w:val="both"/>
        <w:rPr>
          <w:rFonts w:ascii="Verdana" w:eastAsia="Arial" w:hAnsi="Verdana" w:cs="Arial"/>
          <w:lang w:val="es-ES" w:eastAsia="es-ES" w:bidi="es-ES"/>
        </w:rPr>
      </w:pPr>
      <w:r w:rsidRPr="00F10E52">
        <w:rPr>
          <w:rFonts w:ascii="Verdana" w:eastAsia="Calibri" w:hAnsi="Verdana" w:cs="Aria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rPr>
        <w:t>”</w:t>
      </w:r>
      <w:r w:rsidRPr="00F10E52">
        <w:rPr>
          <w:rFonts w:ascii="Verdana" w:eastAsia="Calibri" w:hAnsi="Verdana" w:cs="Arial"/>
          <w:bCs/>
          <w:vertAlign w:val="superscript"/>
        </w:rPr>
        <w:footnoteReference w:id="15"/>
      </w:r>
      <w:r w:rsidRPr="00F10E52">
        <w:rPr>
          <w:rFonts w:ascii="Verdana" w:eastAsia="Calibri" w:hAnsi="Verdana" w:cs="Arial"/>
        </w:rPr>
        <w:t>.</w:t>
      </w:r>
      <w:r w:rsidRPr="00F10E52">
        <w:rPr>
          <w:rFonts w:ascii="Verdana" w:eastAsia="Arial" w:hAnsi="Verdana" w:cs="Arial"/>
          <w:lang w:val="es-ES" w:eastAsia="es-ES" w:bidi="es-ES"/>
        </w:rPr>
        <w:t xml:space="preserve"> </w:t>
      </w:r>
    </w:p>
    <w:p w14:paraId="5806CDE9" w14:textId="77777777" w:rsidR="003E4080" w:rsidRPr="006A51F6" w:rsidRDefault="003E4080" w:rsidP="003E4080">
      <w:pPr>
        <w:widowControl w:val="0"/>
        <w:autoSpaceDE w:val="0"/>
        <w:autoSpaceDN w:val="0"/>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18164115" w14:textId="77777777" w:rsidR="003E4080" w:rsidRPr="009B20C5" w:rsidRDefault="003E4080" w:rsidP="003E4080">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w:t>
      </w:r>
      <w:r w:rsidRPr="009B20C5">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6" w:name="_Hlk76109421"/>
      <w:r w:rsidRPr="009B20C5">
        <w:rPr>
          <w:rFonts w:ascii="Verdana" w:eastAsia="Arial" w:hAnsi="Verdana" w:cs="Arial"/>
          <w:sz w:val="20"/>
          <w:szCs w:val="20"/>
          <w:lang w:val="es-ES" w:eastAsia="es-ES" w:bidi="es-ES"/>
        </w:rPr>
        <w:t>se integran parcialmente</w:t>
      </w:r>
      <w:bookmarkEnd w:id="6"/>
      <w:r w:rsidRPr="009B20C5">
        <w:rPr>
          <w:rFonts w:ascii="Verdana" w:eastAsia="Arial" w:hAnsi="Verdana" w:cs="Arial"/>
          <w:sz w:val="20"/>
          <w:szCs w:val="20"/>
          <w:lang w:val="es-ES"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w:t>
      </w:r>
      <w:r w:rsidRPr="009B20C5">
        <w:rPr>
          <w:rFonts w:ascii="Verdana" w:eastAsia="Arial" w:hAnsi="Verdana" w:cs="Arial"/>
          <w:bCs/>
          <w:sz w:val="20"/>
          <w:szCs w:val="20"/>
          <w:lang w:val="es-ES" w:eastAsia="es-ES" w:bidi="es-ES"/>
        </w:rPr>
        <w:t xml:space="preserve">En cambio, para elecciones en general, excluyendo las correspondientes a </w:t>
      </w:r>
      <w:proofErr w:type="gramStart"/>
      <w:r w:rsidRPr="009B20C5">
        <w:rPr>
          <w:rFonts w:ascii="Verdana" w:eastAsia="Arial" w:hAnsi="Verdana" w:cs="Arial"/>
          <w:bCs/>
          <w:sz w:val="20"/>
          <w:szCs w:val="20"/>
          <w:lang w:val="es-ES" w:eastAsia="es-ES" w:bidi="es-ES"/>
        </w:rPr>
        <w:t>Presidente</w:t>
      </w:r>
      <w:proofErr w:type="gramEnd"/>
      <w:r w:rsidRPr="009B20C5">
        <w:rPr>
          <w:rFonts w:ascii="Verdana" w:eastAsia="Arial" w:hAnsi="Verdana" w:cs="Arial"/>
          <w:bCs/>
          <w:sz w:val="20"/>
          <w:szCs w:val="20"/>
          <w:lang w:val="es-ES" w:eastAsia="es-ES" w:bidi="es-ES"/>
        </w:rPr>
        <w:t xml:space="preserve"> de la República, a las autoridades territoriales allí mencionadas sólo se aplican las restricciones contenidas en el parágrafo del artículo 38</w:t>
      </w:r>
      <w:r>
        <w:rPr>
          <w:rFonts w:ascii="Verdana" w:eastAsia="Arial" w:hAnsi="Verdana" w:cs="Arial"/>
          <w:sz w:val="20"/>
          <w:szCs w:val="20"/>
          <w:lang w:val="es-ES" w:eastAsia="es-ES" w:bidi="es-ES"/>
        </w:rPr>
        <w:t>”</w:t>
      </w:r>
      <w:r w:rsidRPr="009B20C5">
        <w:rPr>
          <w:rFonts w:ascii="Verdana" w:eastAsia="Arial" w:hAnsi="Verdana" w:cs="Arial"/>
          <w:sz w:val="20"/>
          <w:szCs w:val="20"/>
          <w:vertAlign w:val="superscript"/>
          <w:lang w:val="es-ES" w:eastAsia="es-ES" w:bidi="es-ES"/>
        </w:rPr>
        <w:footnoteReference w:id="16"/>
      </w:r>
      <w:r>
        <w:rPr>
          <w:rFonts w:ascii="Verdana" w:eastAsia="Arial" w:hAnsi="Verdana" w:cs="Arial"/>
          <w:sz w:val="20"/>
          <w:szCs w:val="20"/>
          <w:lang w:val="es-ES" w:eastAsia="es-ES" w:bidi="es-ES"/>
        </w:rPr>
        <w:t>.</w:t>
      </w:r>
    </w:p>
    <w:p w14:paraId="28CB8983" w14:textId="77777777" w:rsidR="003E4080" w:rsidRDefault="003E4080" w:rsidP="003E4080">
      <w:pPr>
        <w:spacing w:after="0" w:line="240" w:lineRule="auto"/>
        <w:ind w:firstLine="709"/>
        <w:jc w:val="both"/>
        <w:rPr>
          <w:rFonts w:ascii="Verdana" w:eastAsia="Arial" w:hAnsi="Verdana" w:cs="Arial"/>
          <w:lang w:val="es-ES" w:eastAsia="es-ES" w:bidi="es-ES"/>
        </w:rPr>
      </w:pPr>
    </w:p>
    <w:p w14:paraId="236739FD" w14:textId="77777777" w:rsidR="003E4080" w:rsidRPr="00F10E52" w:rsidRDefault="003E4080" w:rsidP="003E4080">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De conformidad con lo anterior</w:t>
      </w:r>
      <w:bookmarkStart w:id="7" w:name="_Hlk99438241"/>
      <w:r w:rsidRPr="00F10E52">
        <w:rPr>
          <w:rFonts w:ascii="Verdana" w:eastAsia="Arial" w:hAnsi="Verdana" w:cs="Arial"/>
          <w:lang w:val="es-ES" w:eastAsia="es-ES" w:bidi="es-ES"/>
        </w:rPr>
        <w:t xml:space="preserve">, </w:t>
      </w:r>
      <w:bookmarkStart w:id="8" w:name="_Hlk77236420"/>
      <w:bookmarkStart w:id="9" w:name="_Hlk78818435"/>
      <w:bookmarkStart w:id="10" w:name="_Hlk75780333"/>
      <w:r w:rsidRPr="00F10E52">
        <w:rPr>
          <w:rFonts w:ascii="Verdana" w:eastAsia="Arial" w:hAnsi="Verdana" w:cs="Arial"/>
          <w:lang w:val="es-ES" w:eastAsia="es-ES" w:bidi="es-ES"/>
        </w:rPr>
        <w:t xml:space="preserve">la Ley 996 de 2005 establece dos (2) tipos de restricciones en materia de contratación, las cuales coinciden parcialmente. </w:t>
      </w:r>
      <w:r w:rsidRPr="00F10E52">
        <w:rPr>
          <w:rFonts w:ascii="Verdana" w:eastAsia="Arial" w:hAnsi="Verdana" w:cs="Arial"/>
          <w:i/>
          <w:iCs/>
          <w:lang w:val="es-ES" w:eastAsia="es-ES" w:bidi="es-ES"/>
        </w:rPr>
        <w:t>En primer lugar</w:t>
      </w:r>
      <w:r w:rsidRPr="00F10E52">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10E52">
        <w:rPr>
          <w:rFonts w:ascii="Verdana" w:eastAsia="Arial" w:hAnsi="Verdana" w:cs="Arial"/>
          <w:i/>
          <w:iCs/>
          <w:lang w:val="es-ES" w:eastAsia="es-ES" w:bidi="es-ES"/>
        </w:rPr>
        <w:t>En segundo lugar</w:t>
      </w:r>
      <w:r w:rsidRPr="00F10E52">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8"/>
    </w:p>
    <w:bookmarkEnd w:id="7"/>
    <w:bookmarkEnd w:id="9"/>
    <w:p w14:paraId="4A2858C1" w14:textId="77777777" w:rsidR="003E4080" w:rsidRPr="00F10E52" w:rsidRDefault="003E4080" w:rsidP="003E4080">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0"/>
    <w:p w14:paraId="08E1C6A6" w14:textId="77777777" w:rsidR="003E4080" w:rsidRDefault="003E4080" w:rsidP="003E4080">
      <w:pPr>
        <w:spacing w:after="120" w:line="276" w:lineRule="auto"/>
        <w:ind w:firstLine="709"/>
        <w:jc w:val="both"/>
        <w:rPr>
          <w:rFonts w:ascii="Verdana" w:eastAsia="Times New Roman" w:hAnsi="Verdana" w:cs="Arial"/>
          <w:bCs/>
          <w:lang w:val="es-ES" w:eastAsia="es-CO"/>
        </w:rPr>
      </w:pPr>
      <w:r w:rsidRPr="00F10E52">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o el </w:t>
      </w:r>
      <w:proofErr w:type="gramStart"/>
      <w:r w:rsidRPr="00F10E52">
        <w:rPr>
          <w:rFonts w:ascii="Verdana" w:eastAsia="Arial" w:hAnsi="Verdana" w:cs="Arial"/>
          <w:lang w:val="es-ES" w:eastAsia="es-ES" w:bidi="es-ES"/>
        </w:rPr>
        <w:t>Vicepresidente</w:t>
      </w:r>
      <w:proofErr w:type="gramEnd"/>
      <w:r w:rsidRPr="00F10E52">
        <w:rPr>
          <w:rFonts w:ascii="Verdana" w:eastAsia="Arial" w:hAnsi="Verdana" w:cs="Arial"/>
          <w:lang w:val="es-ES" w:eastAsia="es-ES" w:bidi="es-ES"/>
        </w:rPr>
        <w:t xml:space="preserve"> desde que éstos –estando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  </w:t>
      </w:r>
    </w:p>
    <w:p w14:paraId="588E7C4F" w14:textId="77777777" w:rsidR="003E4080" w:rsidRDefault="003E4080" w:rsidP="003E4080">
      <w:pPr>
        <w:spacing w:after="120" w:line="276" w:lineRule="auto"/>
        <w:ind w:firstLine="709"/>
        <w:jc w:val="both"/>
        <w:rPr>
          <w:rFonts w:ascii="Verdana" w:eastAsia="Arial" w:hAnsi="Verdana" w:cs="Arial"/>
          <w:lang w:val="es-ES" w:eastAsia="es-ES" w:bidi="es-ES"/>
        </w:rPr>
      </w:pPr>
      <w:r>
        <w:rPr>
          <w:rFonts w:ascii="Verdana" w:eastAsia="Times New Roman" w:hAnsi="Verdana" w:cs="Arial"/>
          <w:bCs/>
          <w:lang w:val="es-ES" w:eastAsia="es-CO"/>
        </w:rPr>
        <w:t xml:space="preserve">Teniendo en cuenta lo anterior, a continuación, se hará un análisis sobre la aplicación de la prohibición contenida en el artículo 33 y sus excepciones, relacionada con su ámbito de aplicación y sus destinatarios. </w:t>
      </w:r>
    </w:p>
    <w:p w14:paraId="6D43D0C4" w14:textId="77777777" w:rsidR="003E4080" w:rsidRPr="00435A6A" w:rsidRDefault="003E4080" w:rsidP="003E4080">
      <w:pPr>
        <w:spacing w:after="120" w:line="276" w:lineRule="auto"/>
        <w:ind w:firstLine="709"/>
        <w:jc w:val="both"/>
        <w:rPr>
          <w:rFonts w:ascii="Verdana" w:eastAsia="Arial" w:hAnsi="Verdana" w:cs="Arial"/>
          <w:lang w:val="es-ES" w:eastAsia="es-ES" w:bidi="es-ES"/>
        </w:rPr>
      </w:pPr>
      <w:r w:rsidRPr="00195E24">
        <w:rPr>
          <w:rFonts w:ascii="Verdana" w:hAnsi="Verdana" w:cs="Arial"/>
          <w:bCs/>
          <w:lang w:eastAsia="x-none"/>
        </w:rPr>
        <w:t xml:space="preserve">El ámbito material de la prohibición contenida </w:t>
      </w:r>
      <w:bookmarkStart w:id="11" w:name="_Hlk75628761"/>
      <w:r w:rsidRPr="00195E24">
        <w:rPr>
          <w:rFonts w:ascii="Verdana" w:hAnsi="Verdana" w:cs="Arial"/>
          <w:bCs/>
          <w:lang w:eastAsia="x-none"/>
        </w:rPr>
        <w:t xml:space="preserve">en el artículo 33 de la ley 996 de 2005 </w:t>
      </w:r>
      <w:bookmarkEnd w:id="11"/>
      <w:r w:rsidRPr="00195E24">
        <w:rPr>
          <w:rFonts w:ascii="Verdana" w:hAnsi="Verdana" w:cs="Arial"/>
          <w:bCs/>
          <w:lang w:eastAsia="x-none"/>
        </w:rPr>
        <w:t xml:space="preserve">está delimitado por la expresión </w:t>
      </w:r>
      <w:r w:rsidRPr="00195E24">
        <w:rPr>
          <w:rFonts w:ascii="Verdana" w:eastAsia="Calibri" w:hAnsi="Verdana" w:cs="Arial"/>
          <w:bCs/>
          <w:i/>
          <w:iCs/>
          <w:sz w:val="20"/>
          <w:szCs w:val="20"/>
        </w:rPr>
        <w:t>“</w:t>
      </w:r>
      <w:r w:rsidRPr="00195E24">
        <w:rPr>
          <w:rFonts w:ascii="Verdana" w:hAnsi="Verdana" w:cs="Arial"/>
          <w:bCs/>
          <w:i/>
          <w:iCs/>
          <w:lang w:eastAsia="x-none"/>
        </w:rPr>
        <w:t>queda prohibida la contratación directa</w:t>
      </w:r>
      <w:r w:rsidRPr="00195E24">
        <w:rPr>
          <w:rFonts w:ascii="Verdana" w:hAnsi="Verdana" w:cs="Arial"/>
          <w:sz w:val="20"/>
          <w:szCs w:val="20"/>
        </w:rPr>
        <w:t>”</w:t>
      </w:r>
      <w:r w:rsidRPr="00195E24">
        <w:rPr>
          <w:rFonts w:ascii="Verdana" w:hAnsi="Verdana" w:cs="Arial"/>
          <w:bCs/>
          <w:lang w:eastAsia="x-none"/>
        </w:rPr>
        <w:t>.</w:t>
      </w:r>
      <w:r w:rsidRPr="00195E24">
        <w:rPr>
          <w:rFonts w:ascii="Verdana" w:hAnsi="Verdana" w:cs="Arial"/>
          <w:lang w:eastAsia="es-CO"/>
        </w:rPr>
        <w:t xml:space="preserve"> A propósito de esta restricción de la Ley de Garantías Electorales, la Sala de Consulta y Servicio Civil del Consejo de Estado ha considerado que:</w:t>
      </w:r>
    </w:p>
    <w:p w14:paraId="5DACE8E3" w14:textId="77777777" w:rsidR="003E4080" w:rsidRDefault="003E4080" w:rsidP="003E4080">
      <w:pPr>
        <w:spacing w:after="0" w:line="240" w:lineRule="auto"/>
        <w:ind w:left="709" w:right="709"/>
        <w:jc w:val="both"/>
        <w:rPr>
          <w:rFonts w:ascii="Verdana" w:hAnsi="Verdana" w:cs="Arial"/>
          <w:sz w:val="20"/>
          <w:szCs w:val="20"/>
        </w:rPr>
      </w:pPr>
      <w:r w:rsidRPr="005800D0">
        <w:rPr>
          <w:rFonts w:ascii="Verdana" w:hAnsi="Verdana" w:cs="Arial"/>
          <w:sz w:val="20"/>
          <w:szCs w:val="20"/>
        </w:rPr>
        <w:t>“</w:t>
      </w:r>
      <w:r>
        <w:rPr>
          <w:rFonts w:ascii="Verdana" w:hAnsi="Verdana" w:cs="Arial"/>
          <w:sz w:val="20"/>
          <w:szCs w:val="20"/>
        </w:rPr>
        <w:t xml:space="preserve">(…) </w:t>
      </w:r>
      <w:r w:rsidRPr="005800D0">
        <w:rPr>
          <w:rFonts w:ascii="Verdana" w:hAnsi="Verdana" w:cs="Arial"/>
          <w:sz w:val="20"/>
          <w:szCs w:val="20"/>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5800D0">
        <w:rPr>
          <w:rFonts w:ascii="Verdana" w:hAnsi="Verdana" w:cs="Arial"/>
          <w:sz w:val="20"/>
          <w:szCs w:val="20"/>
          <w:vertAlign w:val="superscript"/>
          <w:lang w:eastAsia="es-CO"/>
        </w:rPr>
        <w:footnoteReference w:id="17"/>
      </w:r>
      <w:r w:rsidRPr="005800D0">
        <w:rPr>
          <w:rFonts w:ascii="Verdana" w:hAnsi="Verdana" w:cs="Arial"/>
          <w:sz w:val="20"/>
          <w:szCs w:val="20"/>
        </w:rPr>
        <w:t>.</w:t>
      </w:r>
    </w:p>
    <w:p w14:paraId="4D6F25B4" w14:textId="77777777" w:rsidR="003E4080" w:rsidRPr="005800D0" w:rsidRDefault="003E4080" w:rsidP="003E4080">
      <w:pPr>
        <w:spacing w:after="0" w:line="240" w:lineRule="auto"/>
        <w:ind w:left="709" w:right="709"/>
        <w:jc w:val="both"/>
        <w:rPr>
          <w:rFonts w:ascii="Verdana" w:hAnsi="Verdana" w:cs="Arial"/>
          <w:sz w:val="20"/>
          <w:szCs w:val="20"/>
        </w:rPr>
      </w:pPr>
    </w:p>
    <w:p w14:paraId="3C06510B" w14:textId="77777777" w:rsidR="003E4080" w:rsidRDefault="003E4080" w:rsidP="003E4080">
      <w:pPr>
        <w:spacing w:after="0" w:line="240" w:lineRule="auto"/>
        <w:ind w:left="709" w:right="709"/>
        <w:jc w:val="both"/>
        <w:rPr>
          <w:rFonts w:ascii="Verdana" w:hAnsi="Verdana" w:cs="Arial"/>
          <w:sz w:val="20"/>
          <w:szCs w:val="20"/>
        </w:rPr>
      </w:pPr>
      <w:r w:rsidRPr="005800D0">
        <w:rPr>
          <w:rFonts w:ascii="Verdana" w:hAnsi="Verdana" w:cs="Arial"/>
          <w:sz w:val="20"/>
          <w:szCs w:val="20"/>
        </w:rPr>
        <w:t xml:space="preserve">Esta Sala ha entendido </w:t>
      </w:r>
      <w:proofErr w:type="gramStart"/>
      <w:r w:rsidRPr="005800D0">
        <w:rPr>
          <w:rFonts w:ascii="Verdana" w:hAnsi="Verdana" w:cs="Arial"/>
          <w:sz w:val="20"/>
          <w:szCs w:val="20"/>
        </w:rPr>
        <w:t>que</w:t>
      </w:r>
      <w:proofErr w:type="gramEnd"/>
      <w:r w:rsidRPr="005800D0">
        <w:rPr>
          <w:rFonts w:ascii="Verdana" w:hAnsi="Verdana" w:cs="Arial"/>
          <w:sz w:val="20"/>
          <w:szCs w:val="20"/>
        </w:rPr>
        <w:t xml:space="preserve"> para los efectos de la ley de garantías, y dada su finalidad, el enunciado ´contratación directa´ es sinónimo </w:t>
      </w:r>
      <w:bookmarkStart w:id="12" w:name="_Hlk75741738"/>
      <w:r w:rsidRPr="005800D0">
        <w:rPr>
          <w:rFonts w:ascii="Verdana" w:hAnsi="Verdana" w:cs="Arial"/>
          <w:sz w:val="20"/>
          <w:szCs w:val="20"/>
        </w:rPr>
        <w:t xml:space="preserve">de cualquier sistema que no implique convocatoria pública y posibilidad de pluralidad de oferentes, </w:t>
      </w:r>
      <w:bookmarkEnd w:id="12"/>
      <w:r w:rsidRPr="005800D0">
        <w:rPr>
          <w:rFonts w:ascii="Verdana" w:hAnsi="Verdana" w:cs="Arial"/>
          <w:sz w:val="20"/>
          <w:szCs w:val="20"/>
        </w:rPr>
        <w:t>y que, además, no necesariamente hace referencia al procedimiento especial regulado por la ley de contratación estatal, sino a cualquier otro que prescinda de un proceso de licitación pública o concurso</w:t>
      </w:r>
      <w:r w:rsidRPr="005800D0">
        <w:rPr>
          <w:rFonts w:ascii="Verdana" w:hAnsi="Verdana" w:cs="Arial"/>
          <w:sz w:val="20"/>
          <w:szCs w:val="20"/>
          <w:vertAlign w:val="superscript"/>
        </w:rPr>
        <w:footnoteReference w:id="18"/>
      </w:r>
      <w:r w:rsidRPr="005800D0">
        <w:rPr>
          <w:rFonts w:ascii="Verdana" w:hAnsi="Verdana" w:cs="Arial"/>
          <w:sz w:val="20"/>
          <w:szCs w:val="20"/>
          <w:vertAlign w:val="superscript"/>
        </w:rPr>
        <w:t>.</w:t>
      </w:r>
      <w:r w:rsidRPr="005800D0">
        <w:rPr>
          <w:rFonts w:ascii="Verdana"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hAnsi="Verdana" w:cs="Arial"/>
          <w:sz w:val="20"/>
          <w:szCs w:val="20"/>
        </w:rPr>
        <w:t>(…)”</w:t>
      </w:r>
      <w:r w:rsidRPr="005800D0">
        <w:rPr>
          <w:rFonts w:ascii="Verdana" w:hAnsi="Verdana" w:cs="Arial"/>
          <w:sz w:val="20"/>
          <w:szCs w:val="20"/>
          <w:vertAlign w:val="superscript"/>
          <w:lang w:eastAsia="es-CO"/>
        </w:rPr>
        <w:footnoteReference w:id="19"/>
      </w:r>
      <w:r w:rsidRPr="005800D0">
        <w:rPr>
          <w:rFonts w:ascii="Verdana" w:hAnsi="Verdana" w:cs="Arial"/>
          <w:sz w:val="20"/>
          <w:szCs w:val="20"/>
        </w:rPr>
        <w:t>.</w:t>
      </w:r>
    </w:p>
    <w:p w14:paraId="595FE6FD" w14:textId="77777777" w:rsidR="003E4080" w:rsidRPr="005800D0" w:rsidRDefault="003E4080" w:rsidP="003E4080">
      <w:pPr>
        <w:spacing w:after="0" w:line="240" w:lineRule="auto"/>
        <w:ind w:left="709" w:right="709"/>
        <w:jc w:val="both"/>
        <w:rPr>
          <w:rFonts w:ascii="Verdana" w:hAnsi="Verdana" w:cs="Arial"/>
        </w:rPr>
      </w:pPr>
    </w:p>
    <w:p w14:paraId="4F2D6980" w14:textId="77777777" w:rsidR="003E4080" w:rsidRPr="00195E24" w:rsidRDefault="003E4080" w:rsidP="003E4080">
      <w:pPr>
        <w:spacing w:after="120" w:line="276" w:lineRule="auto"/>
        <w:ind w:firstLine="709"/>
        <w:jc w:val="both"/>
        <w:rPr>
          <w:rFonts w:ascii="Verdana" w:hAnsi="Verdana" w:cs="Arial"/>
          <w:bCs/>
          <w:lang w:eastAsia="x-none"/>
        </w:rPr>
      </w:pPr>
      <w:bookmarkStart w:id="14" w:name="_Hlk94521748"/>
      <w:r w:rsidRPr="00195E24">
        <w:rPr>
          <w:rFonts w:ascii="Verdana" w:hAnsi="Verdana" w:cs="Arial"/>
          <w:lang w:eastAsia="x-none"/>
        </w:rPr>
        <w:t xml:space="preserve">De acuerdo con el citado concepto, la prohibición del artículo 33 de la Ley de Garantías Electorales se refiere a </w:t>
      </w:r>
      <w:r w:rsidRPr="007E27D9">
        <w:rPr>
          <w:rFonts w:ascii="Verdana" w:hAnsi="Verdana" w:cs="Arial"/>
          <w:lang w:eastAsia="en-GB"/>
        </w:rPr>
        <w:t>“</w:t>
      </w:r>
      <w:r w:rsidRPr="00195E24">
        <w:rPr>
          <w:rFonts w:ascii="Verdana" w:hAnsi="Verdana" w:cs="Arial"/>
          <w:lang w:eastAsia="x-none"/>
        </w:rPr>
        <w:t>cualquier sistema que no implique convocatoria pública y posibilidad de pluralidad de oferentes</w:t>
      </w:r>
      <w:r>
        <w:rPr>
          <w:rFonts w:ascii="Verdana" w:hAnsi="Verdana" w:cs="Arial"/>
          <w:lang w:eastAsia="en-GB"/>
        </w:rPr>
        <w:t>”</w:t>
      </w:r>
      <w:r w:rsidRPr="00195E24">
        <w:rPr>
          <w:rFonts w:ascii="Verdana" w:hAnsi="Verdana" w:cs="Arial"/>
          <w:lang w:eastAsia="x-none"/>
        </w:rPr>
        <w:t xml:space="preserve">, por lo que excluye las demás modalidades de contratación previstas en la Ley 1150 de 2007, es decir, la licitación pública, la selección abreviada, el concurso de méritos </w:t>
      </w:r>
      <w:r w:rsidRPr="00195E24">
        <w:rPr>
          <w:rFonts w:ascii="Verdana" w:hAnsi="Verdana" w:cs="Arial"/>
          <w:lang w:val="es-ES_tradnl" w:eastAsia="x-none"/>
        </w:rPr>
        <w:t>y la mínima cuantía</w:t>
      </w:r>
      <w:r w:rsidRPr="00195E24" w:rsidDel="00A85D9F">
        <w:rPr>
          <w:rFonts w:ascii="Verdana" w:hAnsi="Verdana" w:cs="Arial"/>
          <w:lang w:eastAsia="x-none"/>
        </w:rPr>
        <w:t xml:space="preserve"> </w:t>
      </w:r>
      <w:r w:rsidRPr="00195E24">
        <w:rPr>
          <w:rFonts w:ascii="Verdana" w:hAnsi="Verdana" w:cs="Arial"/>
          <w:lang w:eastAsia="x-none"/>
        </w:rPr>
        <w:t>u otros previstos en normas especiales. Esta posición es congruente con la expedición de la Ley 1150 de 2007 que, entre otras reformas, introdujo la selección abreviada, rediseñó el concurso de méritos</w:t>
      </w:r>
      <w:r w:rsidRPr="00195E24">
        <w:rPr>
          <w:rFonts w:ascii="Verdana" w:hAnsi="Verdana" w:cs="Arial"/>
          <w:vertAlign w:val="superscript"/>
          <w:lang w:val="en-GB" w:eastAsia="x-none"/>
        </w:rPr>
        <w:footnoteReference w:id="20"/>
      </w:r>
      <w:r w:rsidRPr="00195E24">
        <w:rPr>
          <w:rFonts w:ascii="Verdana" w:hAnsi="Verdana" w:cs="Arial"/>
          <w:lang w:eastAsia="x-none"/>
        </w:rPr>
        <w:t xml:space="preserve"> y sistematizó las causales de contratación directa</w:t>
      </w:r>
      <w:r w:rsidRPr="00195E24">
        <w:rPr>
          <w:rFonts w:ascii="Verdana" w:hAnsi="Verdana" w:cs="Arial"/>
          <w:vertAlign w:val="superscript"/>
          <w:lang w:val="en-GB" w:eastAsia="x-none"/>
        </w:rPr>
        <w:footnoteReference w:id="21"/>
      </w:r>
      <w:r w:rsidRPr="00195E24">
        <w:rPr>
          <w:rFonts w:ascii="Verdana" w:hAnsi="Verdana" w:cs="Arial"/>
          <w:lang w:eastAsia="x-none"/>
        </w:rPr>
        <w:t>, además lo es con la posterior creación de la modalidad de mínima cuantía establecida actualmente en el numeral 5 del artículo 2 de la Ley 1150 de 2007, de acuerdo con las modificaciones realizadas por leyes posteriores.</w:t>
      </w:r>
    </w:p>
    <w:bookmarkEnd w:id="14"/>
    <w:p w14:paraId="1C353B6E" w14:textId="77777777" w:rsidR="003E4080" w:rsidRPr="00195E24" w:rsidRDefault="003E4080" w:rsidP="003E4080">
      <w:pPr>
        <w:spacing w:after="120" w:line="276" w:lineRule="auto"/>
        <w:ind w:firstLine="709"/>
        <w:jc w:val="both"/>
        <w:rPr>
          <w:rFonts w:ascii="Verdana" w:hAnsi="Verdana" w:cs="Arial"/>
          <w:lang w:eastAsia="x-none"/>
        </w:rPr>
      </w:pPr>
      <w:r w:rsidRPr="00195E24">
        <w:rPr>
          <w:rFonts w:ascii="Verdana" w:hAnsi="Verdana" w:cs="Arial"/>
          <w:lang w:eastAsia="x-none"/>
        </w:rPr>
        <w:t xml:space="preserve">De esta forma, con fundamento en la evolución de la normativa sobre la contratación pública, se ha depurado la noción de </w:t>
      </w:r>
      <w:r w:rsidRPr="007E27D9">
        <w:rPr>
          <w:rFonts w:ascii="Verdana" w:hAnsi="Verdana" w:cs="Arial"/>
          <w:i/>
          <w:lang w:eastAsia="en-GB"/>
        </w:rPr>
        <w:t>“</w:t>
      </w:r>
      <w:r w:rsidRPr="00195E24">
        <w:rPr>
          <w:rFonts w:ascii="Verdana" w:hAnsi="Verdana" w:cs="Arial"/>
          <w:i/>
          <w:iCs/>
          <w:lang w:eastAsia="x-none"/>
        </w:rPr>
        <w:t>contratación directa</w:t>
      </w:r>
      <w:r w:rsidRPr="00195E24">
        <w:rPr>
          <w:rFonts w:ascii="Verdana" w:hAnsi="Verdana" w:cs="Arial"/>
          <w:lang w:eastAsia="en-GB"/>
        </w:rPr>
        <w:t>”</w:t>
      </w:r>
      <w:r w:rsidRPr="00195E24">
        <w:rPr>
          <w:rFonts w:ascii="Verdana" w:hAnsi="Verdana" w:cs="Arial"/>
          <w:lang w:eastAsia="x-none"/>
        </w:rPr>
        <w:t>, precisando el Consejo de Estado –en el concepto citado– que, “aun cuando no coincide única y exactamente con la regulación que de dicho sistema de selección hace el artículo 2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195E24">
        <w:rPr>
          <w:rFonts w:ascii="Verdana" w:hAnsi="Verdana" w:cs="Arial"/>
          <w:vertAlign w:val="superscript"/>
          <w:lang w:val="en-GB" w:eastAsia="x-none"/>
        </w:rPr>
        <w:footnoteReference w:id="22"/>
      </w:r>
      <w:r w:rsidRPr="00195E24">
        <w:rPr>
          <w:rFonts w:ascii="Verdana" w:hAnsi="Verdana" w:cs="Arial"/>
          <w:lang w:eastAsia="x-none"/>
        </w:rPr>
        <w:t>, han establecido sistemas de contratación que implican convocatoria pública y participación de varios oferentes</w:t>
      </w:r>
      <w:r w:rsidRPr="00195E24">
        <w:rPr>
          <w:rFonts w:ascii="Verdana" w:hAnsi="Verdana" w:cs="Arial"/>
          <w:lang w:eastAsia="en-GB"/>
        </w:rPr>
        <w:t>”</w:t>
      </w:r>
      <w:r w:rsidRPr="00195E24">
        <w:rPr>
          <w:rFonts w:ascii="Verdana" w:hAnsi="Verdana" w:cs="Arial"/>
          <w:lang w:eastAsia="x-none"/>
        </w:rPr>
        <w:t>.</w:t>
      </w:r>
    </w:p>
    <w:p w14:paraId="41359BF7" w14:textId="77777777" w:rsidR="003E4080" w:rsidRPr="00195E24" w:rsidRDefault="003E4080" w:rsidP="003E4080">
      <w:pPr>
        <w:spacing w:after="120" w:line="276" w:lineRule="auto"/>
        <w:ind w:firstLine="709"/>
        <w:jc w:val="both"/>
        <w:rPr>
          <w:rFonts w:ascii="Verdana" w:hAnsi="Verdana" w:cs="Arial"/>
          <w:bCs/>
          <w:lang w:eastAsia="es-CO"/>
        </w:rPr>
      </w:pPr>
      <w:r w:rsidRPr="00195E24">
        <w:rPr>
          <w:rFonts w:ascii="Verdana" w:hAnsi="Verdana" w:cs="Arial"/>
          <w:bCs/>
          <w:lang w:eastAsia="x-none"/>
        </w:rPr>
        <w:t>E</w:t>
      </w:r>
      <w:r w:rsidRPr="00195E24">
        <w:rPr>
          <w:rFonts w:ascii="Verdana" w:hAnsi="Verdana" w:cs="Arial"/>
          <w:lang w:eastAsia="x-none"/>
        </w:rPr>
        <w:t xml:space="preserve">n efecto, vale la pena mencionar que, </w:t>
      </w:r>
      <w:bookmarkStart w:id="15" w:name="_Hlk75636073"/>
      <w:r w:rsidRPr="00195E24">
        <w:rPr>
          <w:rFonts w:ascii="Verdana" w:hAnsi="Verdana" w:cs="Arial"/>
          <w:lang w:eastAsia="x-none"/>
        </w:rPr>
        <w:t xml:space="preserve">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sidRPr="00195E24">
        <w:rPr>
          <w:rFonts w:ascii="Verdana" w:hAnsi="Verdana" w:cs="Arial"/>
          <w:i/>
          <w:iCs/>
          <w:lang w:eastAsia="x-none"/>
        </w:rPr>
        <w:t>“contratación directa</w:t>
      </w:r>
      <w:r w:rsidRPr="00195E24">
        <w:rPr>
          <w:rFonts w:ascii="Verdana" w:hAnsi="Verdana" w:cs="Arial"/>
          <w:lang w:eastAsia="x-none"/>
        </w:rPr>
        <w:t>”, es que la convocatoria para inscribirse en forma previa se haga de manera pública, y que se permita la participación de una pluralidad de oferentes</w:t>
      </w:r>
      <w:bookmarkEnd w:id="15"/>
      <w:r w:rsidRPr="00195E24">
        <w:rPr>
          <w:rFonts w:ascii="Verdana" w:hAnsi="Verdana" w:cs="Arial"/>
          <w:vertAlign w:val="superscript"/>
          <w:lang w:eastAsia="x-none"/>
        </w:rPr>
        <w:footnoteReference w:id="23"/>
      </w:r>
      <w:r w:rsidRPr="00195E24">
        <w:rPr>
          <w:rFonts w:ascii="Verdana" w:hAnsi="Verdana" w:cs="Arial"/>
          <w:lang w:eastAsia="x-none"/>
        </w:rPr>
        <w:t xml:space="preserve">. </w:t>
      </w:r>
    </w:p>
    <w:p w14:paraId="40AD24A1" w14:textId="77777777" w:rsidR="003E4080" w:rsidRPr="00CE0712" w:rsidRDefault="003E4080" w:rsidP="003E4080">
      <w:pPr>
        <w:spacing w:after="120" w:line="276" w:lineRule="auto"/>
        <w:ind w:firstLine="709"/>
        <w:jc w:val="both"/>
        <w:rPr>
          <w:rFonts w:ascii="Verdana" w:hAnsi="Verdana" w:cs="Arial"/>
          <w:bCs/>
          <w:lang w:eastAsia="es-CO"/>
        </w:rPr>
      </w:pPr>
      <w:r w:rsidRPr="00195E24">
        <w:rPr>
          <w:rFonts w:ascii="Verdana" w:hAnsi="Verdana" w:cs="Arial"/>
          <w:bCs/>
          <w:lang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sidRPr="00195E24">
        <w:rPr>
          <w:rFonts w:ascii="Verdana" w:hAnsi="Verdana" w:cs="Arial"/>
          <w:bCs/>
          <w:i/>
          <w:iCs/>
          <w:lang w:eastAsia="es-CO"/>
        </w:rPr>
        <w:t>“contratación directa”.</w:t>
      </w:r>
    </w:p>
    <w:p w14:paraId="4D62FC6B" w14:textId="77777777" w:rsidR="003E4080" w:rsidRPr="007E27D9" w:rsidRDefault="003E4080" w:rsidP="003E4080">
      <w:pPr>
        <w:spacing w:after="120" w:line="276" w:lineRule="auto"/>
        <w:ind w:firstLine="709"/>
        <w:jc w:val="both"/>
        <w:rPr>
          <w:rFonts w:ascii="Verdana" w:hAnsi="Verdana" w:cs="Arial"/>
          <w:lang w:eastAsia="x-none"/>
        </w:rPr>
      </w:pPr>
      <w:bookmarkStart w:id="16" w:name="_Hlk78818796"/>
      <w:r w:rsidRPr="00195E24">
        <w:rPr>
          <w:rFonts w:ascii="Verdana" w:hAnsi="Verdana" w:cs="Arial"/>
          <w:bCs/>
          <w:lang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7E27D9">
        <w:rPr>
          <w:rFonts w:ascii="Verdana" w:hAnsi="Verdana" w:cs="Arial"/>
          <w:vertAlign w:val="superscript"/>
          <w:lang w:eastAsia="x-none"/>
        </w:rPr>
        <w:footnoteReference w:id="24"/>
      </w:r>
      <w:r w:rsidRPr="007E27D9">
        <w:rPr>
          <w:rFonts w:ascii="Verdana" w:hAnsi="Verdana" w:cs="Arial"/>
          <w:lang w:eastAsia="x-none"/>
        </w:rPr>
        <w:t>.</w:t>
      </w:r>
      <w:r w:rsidRPr="007E27D9">
        <w:rPr>
          <w:rFonts w:ascii="Verdana" w:hAnsi="Verdana" w:cs="Arial"/>
          <w:vertAlign w:val="superscript"/>
          <w:lang w:eastAsia="x-none"/>
        </w:rPr>
        <w:t xml:space="preserve"> </w:t>
      </w:r>
    </w:p>
    <w:bookmarkEnd w:id="16"/>
    <w:p w14:paraId="697A7D18" w14:textId="77777777" w:rsidR="003E4080" w:rsidRPr="007E27D9" w:rsidRDefault="003E4080" w:rsidP="003E4080">
      <w:pPr>
        <w:spacing w:after="120" w:line="276" w:lineRule="auto"/>
        <w:ind w:firstLine="709"/>
        <w:jc w:val="both"/>
        <w:rPr>
          <w:rFonts w:ascii="Verdana" w:hAnsi="Verdana" w:cs="Arial"/>
          <w:lang w:eastAsia="x-none"/>
        </w:rPr>
      </w:pPr>
      <w:r w:rsidRPr="00195E24">
        <w:rPr>
          <w:rFonts w:ascii="Verdana" w:hAnsi="Verdana" w:cs="Arial"/>
          <w:bCs/>
          <w:lang w:eastAsia="x-none"/>
        </w:rPr>
        <w:t>De lo anterior se desprende que la restricción aplica, sin perjuicio de las excepciones establecidas en la misma ley</w:t>
      </w:r>
      <w:r w:rsidRPr="00671D27">
        <w:rPr>
          <w:rFonts w:ascii="Verdana" w:hAnsi="Verdana" w:cs="Arial"/>
          <w:bCs/>
          <w:lang w:eastAsia="x-none"/>
        </w:rPr>
        <w:t>, para celebrar cualquier contrato de forma directa, esto es, sin que exista un proceso abierto y competitivo.</w:t>
      </w:r>
      <w:r w:rsidRPr="00671D27">
        <w:rPr>
          <w:rFonts w:ascii="Verdana" w:hAnsi="Verdana" w:cs="Arial"/>
          <w:lang w:eastAsia="x-none"/>
        </w:rPr>
        <w:t xml:space="preserve"> Por tanto, no son materia de la prohibición las demás modalidades de selección previstas en la Ley 1150 de 2007, es decir, la licitación pública, el concurso de méritos, la selección abreviada y la contratación de mínima cuantía, razón por la cual en el</w:t>
      </w:r>
      <w:r w:rsidRPr="00195E24">
        <w:rPr>
          <w:rFonts w:ascii="Verdana" w:hAnsi="Verdana" w:cs="Arial"/>
          <w:lang w:eastAsia="x-none"/>
        </w:rPr>
        <w:t xml:space="preserve"> período preelectoral de que trata la disposición las entidades públicas pueden seguir contratando bajo estos sistemas</w:t>
      </w:r>
      <w:r w:rsidRPr="007E27D9">
        <w:rPr>
          <w:rFonts w:ascii="Verdana" w:hAnsi="Verdana" w:cs="Arial"/>
          <w:lang w:eastAsia="x-none"/>
        </w:rPr>
        <w:t>.</w:t>
      </w:r>
    </w:p>
    <w:p w14:paraId="1B1DF4F6" w14:textId="77777777" w:rsidR="003E4080" w:rsidRPr="00CE0712" w:rsidRDefault="003E4080" w:rsidP="003E4080">
      <w:pPr>
        <w:spacing w:after="120" w:line="276" w:lineRule="auto"/>
        <w:ind w:firstLine="709"/>
        <w:jc w:val="both"/>
        <w:rPr>
          <w:rFonts w:ascii="Verdana" w:hAnsi="Verdana" w:cs="Arial"/>
          <w:bCs/>
          <w:color w:val="000000" w:themeColor="text1"/>
          <w:lang w:val="es-MX" w:eastAsia="x-none"/>
        </w:rPr>
      </w:pPr>
      <w:r w:rsidRPr="73D21086">
        <w:rPr>
          <w:rFonts w:ascii="Verdana" w:hAnsi="Verdana" w:cs="Arial"/>
          <w:color w:val="000000" w:themeColor="text1"/>
          <w:lang w:val="es-MX"/>
        </w:rPr>
        <w:t>Ahora bien, en relación con los destinatarios de las restricciones, el artículo 33 de la Ley 996 de 2005 los señala expresamente, en el sentido de que son “</w:t>
      </w:r>
      <w:r w:rsidRPr="73D21086">
        <w:rPr>
          <w:rFonts w:ascii="Verdana" w:hAnsi="Verdana" w:cs="Arial"/>
          <w:i/>
          <w:color w:val="000000" w:themeColor="text1"/>
          <w:lang w:val="es-MX"/>
        </w:rPr>
        <w:t>todos los entes del Estado</w:t>
      </w:r>
      <w:r w:rsidRPr="73D21086">
        <w:rPr>
          <w:rFonts w:ascii="Verdana" w:hAnsi="Verdana" w:cs="Arial"/>
          <w:color w:val="000000" w:themeColor="text1"/>
          <w:lang w:val="es-MX"/>
        </w:rPr>
        <w:t xml:space="preserve">”,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674B42C7" w14:textId="77777777" w:rsidR="003E4080" w:rsidRDefault="003E4080" w:rsidP="003E4080">
      <w:pPr>
        <w:spacing w:after="12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t>La Sala de Consulta y Servicio Civil del Consejo de Estado, en Concepto 1727 del 20 de febrero de 2006, consideró que 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73D21086">
        <w:rPr>
          <w:rFonts w:ascii="Verdana" w:hAnsi="Verdana" w:cs="Arial"/>
          <w:color w:val="000000" w:themeColor="text1"/>
          <w:vertAlign w:val="superscript"/>
          <w:lang w:val="es-MX"/>
        </w:rPr>
        <w:footnoteReference w:id="25"/>
      </w:r>
      <w:r w:rsidRPr="73D21086">
        <w:rPr>
          <w:rFonts w:ascii="Verdana" w:hAnsi="Verdana" w:cs="Arial"/>
          <w:color w:val="000000" w:themeColor="text1"/>
          <w:lang w:val="es-MX"/>
        </w:rPr>
        <w:t xml:space="preserve">. </w:t>
      </w:r>
    </w:p>
    <w:p w14:paraId="4D4DBC16" w14:textId="77777777" w:rsidR="003E4080" w:rsidRPr="002D6B92" w:rsidRDefault="003E4080" w:rsidP="003E4080">
      <w:pPr>
        <w:spacing w:after="12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t>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sidRPr="00CE0D82">
        <w:rPr>
          <w:rFonts w:ascii="Verdana" w:hAnsi="Verdana" w:cs="Arial"/>
          <w:color w:val="000000" w:themeColor="text1"/>
          <w:vertAlign w:val="superscript"/>
          <w:lang w:val="es-MX"/>
        </w:rPr>
        <w:footnoteReference w:id="26"/>
      </w:r>
      <w:r w:rsidRPr="73D21086">
        <w:rPr>
          <w:rFonts w:ascii="Verdana" w:hAnsi="Verdana" w:cs="Arial"/>
          <w:color w:val="000000" w:themeColor="text1"/>
          <w:lang w:val="es-MX"/>
        </w:rPr>
        <w:t>.</w:t>
      </w:r>
      <w:r w:rsidRPr="00CE0D82">
        <w:rPr>
          <w:rFonts w:ascii="Verdana" w:hAnsi="Verdana" w:cs="Arial"/>
          <w:color w:val="000000" w:themeColor="text1"/>
          <w:lang w:val="es-MX"/>
        </w:rPr>
        <w:t xml:space="preserve"> Además, la Sala de Consulta y Servicio Civil del Consejo de Estado realizó la siguiente distinción, retomando el pronunciamiento de la misma sala del 20 de febrero de 2006, citado anteriormente:</w:t>
      </w:r>
    </w:p>
    <w:p w14:paraId="3A357222" w14:textId="77777777" w:rsidR="003E4080" w:rsidRPr="005800D0" w:rsidRDefault="003E4080" w:rsidP="003E4080">
      <w:pPr>
        <w:spacing w:after="0" w:line="240" w:lineRule="auto"/>
        <w:ind w:left="709" w:right="709"/>
        <w:jc w:val="both"/>
        <w:rPr>
          <w:rFonts w:ascii="Verdana" w:hAnsi="Verdana" w:cs="Arial"/>
          <w:color w:val="000000" w:themeColor="text1"/>
          <w:sz w:val="20"/>
          <w:szCs w:val="20"/>
          <w:lang w:val="es-MX"/>
        </w:rPr>
      </w:pPr>
      <w:r w:rsidRPr="005800D0">
        <w:rPr>
          <w:rFonts w:ascii="Verdana" w:hAnsi="Verdana" w:cs="Arial"/>
          <w:color w:val="000000" w:themeColor="text1"/>
          <w:sz w:val="20"/>
          <w:szCs w:val="20"/>
          <w:lang w:val="es-MX"/>
        </w:rPr>
        <w:t>“</w:t>
      </w:r>
      <w:r>
        <w:rPr>
          <w:rFonts w:ascii="Verdana" w:hAnsi="Verdana" w:cs="Arial"/>
          <w:color w:val="000000" w:themeColor="text1"/>
          <w:sz w:val="20"/>
          <w:szCs w:val="20"/>
          <w:lang w:val="es-MX"/>
        </w:rPr>
        <w:t>(…)</w:t>
      </w:r>
      <w:r w:rsidRPr="005800D0">
        <w:rPr>
          <w:rFonts w:ascii="Verdana" w:hAnsi="Verdana" w:cs="Arial"/>
          <w:color w:val="000000" w:themeColor="text1"/>
          <w:sz w:val="20"/>
          <w:szCs w:val="20"/>
          <w:lang w:val="es-MX"/>
        </w:rPr>
        <w:t xml:space="preserve"> 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2F684989" w14:textId="77777777" w:rsidR="003E4080" w:rsidRDefault="003E4080" w:rsidP="003E4080">
      <w:pPr>
        <w:spacing w:after="0" w:line="240" w:lineRule="auto"/>
        <w:ind w:left="709" w:right="709"/>
        <w:jc w:val="both"/>
        <w:rPr>
          <w:rFonts w:ascii="Verdana" w:hAnsi="Verdana" w:cs="Arial"/>
          <w:color w:val="000000" w:themeColor="text1"/>
          <w:sz w:val="20"/>
          <w:szCs w:val="20"/>
          <w:lang w:val="es-MX"/>
        </w:rPr>
      </w:pPr>
    </w:p>
    <w:p w14:paraId="4ED9D5AD" w14:textId="77777777" w:rsidR="003E4080" w:rsidRDefault="003E4080" w:rsidP="003E4080">
      <w:pPr>
        <w:spacing w:after="0" w:line="240" w:lineRule="auto"/>
        <w:ind w:left="709" w:right="709"/>
        <w:jc w:val="both"/>
        <w:rPr>
          <w:rFonts w:ascii="Verdana" w:hAnsi="Verdana" w:cs="Arial"/>
          <w:color w:val="000000" w:themeColor="text1"/>
          <w:sz w:val="20"/>
          <w:szCs w:val="20"/>
          <w:lang w:val="es-MX" w:eastAsia="x-none"/>
        </w:rPr>
      </w:pPr>
      <w:r w:rsidRPr="005800D0">
        <w:rPr>
          <w:rFonts w:ascii="Verdana" w:hAnsi="Verdana" w:cs="Arial"/>
          <w:color w:val="000000" w:themeColor="text1"/>
          <w:sz w:val="20"/>
          <w:szCs w:val="20"/>
          <w:lang w:val="es-MX"/>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Pr>
          <w:rFonts w:ascii="Verdana" w:hAnsi="Verdana" w:cs="Arial"/>
          <w:color w:val="000000" w:themeColor="text1"/>
          <w:sz w:val="20"/>
          <w:szCs w:val="20"/>
          <w:lang w:val="es-MX"/>
        </w:rPr>
        <w:t>”</w:t>
      </w:r>
      <w:r w:rsidRPr="005800D0">
        <w:rPr>
          <w:rFonts w:ascii="Verdana" w:hAnsi="Verdana" w:cs="Arial"/>
          <w:color w:val="000000" w:themeColor="text1"/>
          <w:sz w:val="20"/>
          <w:szCs w:val="20"/>
          <w:vertAlign w:val="superscript"/>
          <w:lang w:val="es-MX"/>
        </w:rPr>
        <w:footnoteReference w:id="27"/>
      </w:r>
      <w:r w:rsidRPr="005800D0">
        <w:rPr>
          <w:rFonts w:ascii="Verdana" w:hAnsi="Verdana" w:cs="Arial"/>
          <w:color w:val="000000" w:themeColor="text1"/>
          <w:sz w:val="20"/>
          <w:szCs w:val="20"/>
          <w:lang w:val="es-MX" w:eastAsia="x-none"/>
        </w:rPr>
        <w:t>.</w:t>
      </w:r>
    </w:p>
    <w:p w14:paraId="15E71D93" w14:textId="77777777" w:rsidR="003E4080" w:rsidRPr="00435A6A" w:rsidRDefault="003E4080" w:rsidP="003E4080">
      <w:pPr>
        <w:spacing w:after="0" w:line="240" w:lineRule="auto"/>
        <w:ind w:left="709" w:right="709"/>
        <w:jc w:val="both"/>
        <w:rPr>
          <w:rFonts w:ascii="Verdana" w:hAnsi="Verdana" w:cs="Arial"/>
          <w:color w:val="000000" w:themeColor="text1"/>
          <w:sz w:val="20"/>
          <w:szCs w:val="20"/>
          <w:lang w:val="es-MX"/>
        </w:rPr>
      </w:pPr>
    </w:p>
    <w:p w14:paraId="5E664E11" w14:textId="77777777" w:rsidR="003E4080" w:rsidRDefault="003E4080" w:rsidP="003E4080">
      <w:pPr>
        <w:spacing w:after="120" w:line="276" w:lineRule="auto"/>
        <w:ind w:firstLine="709"/>
        <w:jc w:val="both"/>
        <w:rPr>
          <w:rFonts w:ascii="Verdana" w:hAnsi="Verdana" w:cs="Arial"/>
          <w:color w:val="000000" w:themeColor="text1"/>
          <w:lang w:eastAsia="es-CO"/>
        </w:rPr>
      </w:pPr>
      <w:r w:rsidRPr="00195E24">
        <w:rPr>
          <w:rFonts w:ascii="Verdana" w:hAnsi="Verdana" w:cs="Arial"/>
          <w:color w:val="000000" w:themeColor="text1"/>
          <w:lang w:val="es-MX"/>
        </w:rPr>
        <w:t>De acuerdo con estos pronunciamientos de la Sala de Consulta y Servicio Civil del Consejo de Estado, la prohibición de la contratación directa también aplica frente a las entidades exceptuadas del E</w:t>
      </w:r>
      <w:r>
        <w:rPr>
          <w:rFonts w:ascii="Verdana" w:hAnsi="Verdana" w:cs="Arial"/>
          <w:color w:val="000000" w:themeColor="text1"/>
          <w:lang w:val="es-MX"/>
        </w:rPr>
        <w:t xml:space="preserve">statuto </w:t>
      </w:r>
      <w:r w:rsidRPr="00195E24">
        <w:rPr>
          <w:rFonts w:ascii="Verdana" w:hAnsi="Verdana" w:cs="Arial"/>
          <w:color w:val="000000" w:themeColor="text1"/>
          <w:lang w:val="es-MX"/>
        </w:rPr>
        <w:t>G</w:t>
      </w:r>
      <w:r>
        <w:rPr>
          <w:rFonts w:ascii="Verdana" w:hAnsi="Verdana" w:cs="Arial"/>
          <w:color w:val="000000" w:themeColor="text1"/>
          <w:lang w:val="es-MX"/>
        </w:rPr>
        <w:t xml:space="preserve">eneral de </w:t>
      </w:r>
      <w:r w:rsidRPr="00195E24">
        <w:rPr>
          <w:rFonts w:ascii="Verdana" w:hAnsi="Verdana" w:cs="Arial"/>
          <w:color w:val="000000" w:themeColor="text1"/>
          <w:lang w:val="es-MX"/>
        </w:rPr>
        <w:t>C</w:t>
      </w:r>
      <w:r>
        <w:rPr>
          <w:rFonts w:ascii="Verdana" w:hAnsi="Verdana" w:cs="Arial"/>
          <w:color w:val="000000" w:themeColor="text1"/>
          <w:lang w:val="es-MX"/>
        </w:rPr>
        <w:t xml:space="preserve">ontratación de la </w:t>
      </w:r>
      <w:r w:rsidRPr="00195E24">
        <w:rPr>
          <w:rFonts w:ascii="Verdana" w:hAnsi="Verdana" w:cs="Arial"/>
          <w:color w:val="000000" w:themeColor="text1"/>
          <w:lang w:val="es-MX"/>
        </w:rPr>
        <w:t>A</w:t>
      </w:r>
      <w:r>
        <w:rPr>
          <w:rFonts w:ascii="Verdana" w:hAnsi="Verdana" w:cs="Arial"/>
          <w:color w:val="000000" w:themeColor="text1"/>
          <w:lang w:val="es-MX"/>
        </w:rPr>
        <w:t xml:space="preserve">dministración </w:t>
      </w:r>
      <w:r w:rsidRPr="00195E24">
        <w:rPr>
          <w:rFonts w:ascii="Verdana" w:hAnsi="Verdana" w:cs="Arial"/>
          <w:color w:val="000000" w:themeColor="text1"/>
          <w:lang w:val="es-MX"/>
        </w:rPr>
        <w:t>P</w:t>
      </w:r>
      <w:r>
        <w:rPr>
          <w:rFonts w:ascii="Verdana" w:hAnsi="Verdana" w:cs="Arial"/>
          <w:color w:val="000000" w:themeColor="text1"/>
          <w:lang w:val="es-MX"/>
        </w:rPr>
        <w:t>ública</w:t>
      </w:r>
      <w:r w:rsidRPr="00195E24">
        <w:rPr>
          <w:rFonts w:ascii="Verdana" w:hAnsi="Verdana" w:cs="Arial"/>
          <w:color w:val="000000" w:themeColor="text1"/>
          <w:lang w:val="es-MX"/>
        </w:rPr>
        <w:t xml:space="preserve"> y que se rigen en materia contractual por el derecho privado. Sin embargo, señaló que algunas de estas entidades, como sucede con las empresas de servicios públicos domiciliarios, los </w:t>
      </w:r>
      <w:r w:rsidRPr="73D21086">
        <w:rPr>
          <w:rFonts w:ascii="Verdana" w:hAnsi="Verdana" w:cs="Arial"/>
          <w:color w:val="000000" w:themeColor="text1"/>
          <w:lang w:val="es-MX"/>
        </w:rPr>
        <w:t>establecimientos de crédito, las sociedades de servicios financieros y las entidades aseguradoras</w:t>
      </w:r>
      <w:r w:rsidRPr="00195E24">
        <w:rPr>
          <w:rFonts w:ascii="Verdana" w:hAnsi="Verdana" w:cs="Arial"/>
          <w:color w:val="000000" w:themeColor="text1"/>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sidRPr="00195E24">
        <w:rPr>
          <w:rFonts w:ascii="Verdana" w:hAnsi="Verdana" w:cs="Arial"/>
          <w:color w:val="000000" w:themeColor="text1"/>
          <w:vertAlign w:val="superscript"/>
          <w:lang w:val="es-MX"/>
        </w:rPr>
        <w:footnoteReference w:id="28"/>
      </w:r>
      <w:r w:rsidRPr="00195E24">
        <w:rPr>
          <w:rFonts w:ascii="Verdana" w:hAnsi="Verdana" w:cs="Arial"/>
          <w:color w:val="000000" w:themeColor="text1"/>
          <w:lang w:val="es-MX"/>
        </w:rPr>
        <w:t>.</w:t>
      </w:r>
      <w:r w:rsidRPr="00195E24">
        <w:rPr>
          <w:rFonts w:ascii="Verdana" w:hAnsi="Verdana" w:cs="Arial"/>
          <w:color w:val="000000" w:themeColor="text1"/>
          <w:lang w:eastAsia="es-CO"/>
        </w:rPr>
        <w:t xml:space="preserve"> </w:t>
      </w:r>
    </w:p>
    <w:p w14:paraId="15CDCED3" w14:textId="77777777" w:rsidR="003E4080" w:rsidRPr="00195E24" w:rsidRDefault="003E4080" w:rsidP="003E4080">
      <w:pPr>
        <w:spacing w:after="120" w:line="276" w:lineRule="auto"/>
        <w:ind w:firstLine="709"/>
        <w:jc w:val="both"/>
        <w:rPr>
          <w:rFonts w:ascii="Verdana" w:hAnsi="Verdana" w:cs="Arial"/>
          <w:color w:val="000000" w:themeColor="text1"/>
          <w:lang w:eastAsia="es-CO"/>
        </w:rPr>
      </w:pPr>
      <w:r w:rsidRPr="00CE0D82">
        <w:rPr>
          <w:rFonts w:ascii="Verdana" w:hAnsi="Verdana" w:cs="Arial"/>
          <w:color w:val="000000" w:themeColor="text1"/>
          <w:lang w:eastAsia="es-CO"/>
        </w:rPr>
        <w:t>Sin perjuicio de estos pronunciamientos de la Sala de Consulta y Servicio Civil</w:t>
      </w:r>
      <w:r w:rsidRPr="00CE0D82">
        <w:rPr>
          <w:rFonts w:ascii="Verdana" w:hAnsi="Verdana" w:cs="Arial"/>
          <w:color w:val="000000" w:themeColor="text1"/>
          <w:lang w:val="es-MX"/>
        </w:rPr>
        <w:t xml:space="preserve">, como la ha señalado esa misma Corporación, la restricción prevista en la Ley 996 de 2005 </w:t>
      </w:r>
      <w:r w:rsidRPr="00CE0D82">
        <w:rPr>
          <w:rFonts w:ascii="Verdana" w:hAnsi="Verdana" w:cs="Arial"/>
          <w:bCs/>
          <w:color w:val="000000" w:themeColor="text1"/>
          <w:lang w:val="es-MX" w:eastAsia="x-none"/>
        </w:rPr>
        <w:t xml:space="preserve">cobija a cualquier entidad pública independiente del régimen jurídico, que pueda mediante la contratación directa romper el equilibrio entre los candidatos en desarrollo de las elecciones presidenciales. </w:t>
      </w:r>
    </w:p>
    <w:p w14:paraId="138436AB" w14:textId="77777777" w:rsidR="003E4080" w:rsidRPr="00CE0712" w:rsidRDefault="003E4080" w:rsidP="003E4080">
      <w:pPr>
        <w:spacing w:after="120" w:line="276" w:lineRule="auto"/>
        <w:ind w:firstLine="709"/>
        <w:jc w:val="both"/>
        <w:rPr>
          <w:rFonts w:ascii="Verdana" w:hAnsi="Verdana" w:cs="Arial"/>
          <w:bCs/>
          <w:color w:val="000000" w:themeColor="text1"/>
          <w:lang w:val="es-MX" w:eastAsia="x-none"/>
        </w:rPr>
      </w:pPr>
      <w:r w:rsidRPr="73D21086">
        <w:rPr>
          <w:rFonts w:ascii="Verdana" w:hAnsi="Verdana" w:cs="Arial"/>
          <w:color w:val="000000" w:themeColor="text1"/>
          <w:lang w:val="es-MX"/>
        </w:rPr>
        <w:t xml:space="preserve">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puede presentarse tanto en la contratación regulada por la Ley 80 de 1993 como en la regida por normas especiales. </w:t>
      </w:r>
    </w:p>
    <w:p w14:paraId="5231F292" w14:textId="77777777" w:rsidR="003E4080" w:rsidRDefault="003E4080" w:rsidP="003E4080">
      <w:pPr>
        <w:spacing w:after="120" w:line="276" w:lineRule="auto"/>
        <w:ind w:firstLine="709"/>
        <w:jc w:val="both"/>
        <w:rPr>
          <w:rFonts w:ascii="Verdana" w:hAnsi="Verdana" w:cs="Arial"/>
          <w:bCs/>
          <w:lang w:eastAsia="x-none"/>
        </w:rPr>
      </w:pPr>
      <w:r w:rsidRPr="00E36918">
        <w:rPr>
          <w:rFonts w:ascii="Verdana" w:eastAsia="Times New Roman" w:hAnsi="Verdana" w:cs="Arial"/>
          <w:bCs/>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w:t>
      </w:r>
      <w:proofErr w:type="spellStart"/>
      <w:r w:rsidRPr="00E36918">
        <w:rPr>
          <w:rFonts w:ascii="Verdana" w:eastAsia="Times New Roman" w:hAnsi="Verdana" w:cs="Arial"/>
          <w:bCs/>
          <w:lang w:val="es-ES" w:eastAsia="es-CO" w:bidi="es-ES"/>
        </w:rPr>
        <w:t>ii</w:t>
      </w:r>
      <w:proofErr w:type="spellEnd"/>
      <w:r w:rsidRPr="00E36918">
        <w:rPr>
          <w:rFonts w:ascii="Verdana" w:eastAsia="Times New Roman" w:hAnsi="Verdana" w:cs="Arial"/>
          <w:bCs/>
          <w:lang w:val="es-ES" w:eastAsia="es-CO" w:bidi="es-ES"/>
        </w:rPr>
        <w:t xml:space="preserve">) los contratos de crédito público; </w:t>
      </w:r>
      <w:proofErr w:type="spellStart"/>
      <w:r w:rsidRPr="00E36918">
        <w:rPr>
          <w:rFonts w:ascii="Verdana" w:eastAsia="Times New Roman" w:hAnsi="Verdana" w:cs="Arial"/>
          <w:bCs/>
          <w:lang w:val="es-ES" w:eastAsia="es-CO" w:bidi="es-ES"/>
        </w:rPr>
        <w:t>iii</w:t>
      </w:r>
      <w:proofErr w:type="spellEnd"/>
      <w:r w:rsidRPr="00E36918">
        <w:rPr>
          <w:rFonts w:ascii="Verdana" w:eastAsia="Times New Roman" w:hAnsi="Verdana" w:cs="Arial"/>
          <w:bCs/>
          <w:lang w:val="es-ES" w:eastAsia="es-CO" w:bidi="es-ES"/>
        </w:rPr>
        <w:t xml:space="preserve">) los requeridos para cubrir las emergencias educativas, sanitarias y desastres; </w:t>
      </w:r>
      <w:proofErr w:type="spellStart"/>
      <w:r w:rsidRPr="00E36918">
        <w:rPr>
          <w:rFonts w:ascii="Verdana" w:eastAsia="Times New Roman" w:hAnsi="Verdana" w:cs="Arial"/>
          <w:bCs/>
          <w:lang w:val="es-ES" w:eastAsia="es-CO" w:bidi="es-ES"/>
        </w:rPr>
        <w:t>iv</w:t>
      </w:r>
      <w:proofErr w:type="spellEnd"/>
      <w:r w:rsidRPr="00E36918">
        <w:rPr>
          <w:rFonts w:ascii="Verdana" w:eastAsia="Times New Roman" w:hAnsi="Verdana" w:cs="Arial"/>
          <w:bCs/>
          <w:lang w:val="es-ES" w:eastAsia="es-CO" w:bidi="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E36918">
        <w:rPr>
          <w:rFonts w:ascii="Verdana" w:hAnsi="Verdana" w:cs="Arial"/>
          <w:bCs/>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p>
    <w:p w14:paraId="6133AA92" w14:textId="77777777" w:rsidR="003E4080" w:rsidRDefault="003E4080" w:rsidP="003E4080">
      <w:pPr>
        <w:spacing w:after="120" w:line="276" w:lineRule="auto"/>
        <w:ind w:firstLine="709"/>
        <w:jc w:val="both"/>
        <w:rPr>
          <w:rFonts w:ascii="Verdana" w:eastAsia="Calibri" w:hAnsi="Verdana" w:cs="Arial"/>
          <w:lang w:val="es-ES"/>
        </w:rPr>
      </w:pPr>
      <w:r>
        <w:rPr>
          <w:rFonts w:ascii="Verdana" w:eastAsia="Arial" w:hAnsi="Verdana" w:cs="Arial"/>
          <w:bCs/>
          <w:color w:val="000000" w:themeColor="text1"/>
          <w:lang w:val="es-ES"/>
        </w:rPr>
        <w:t xml:space="preserve">De acuerdo con lo anterior y en concordancia con lo definido en el </w:t>
      </w:r>
      <w:r w:rsidRPr="00571D04">
        <w:rPr>
          <w:rFonts w:ascii="Verdana" w:eastAsia="Calibri" w:hAnsi="Verdana" w:cs="Arial"/>
          <w:lang w:val="es-ES"/>
        </w:rPr>
        <w:t xml:space="preserve">primer inciso del artículo 41 de la Ley 80 de 1993 </w:t>
      </w:r>
      <w:r>
        <w:rPr>
          <w:rFonts w:ascii="Verdana" w:eastAsia="Calibri" w:hAnsi="Verdana" w:cs="Arial"/>
          <w:lang w:val="es-ES"/>
        </w:rPr>
        <w:t xml:space="preserve">que </w:t>
      </w:r>
      <w:r w:rsidRPr="00571D04">
        <w:rPr>
          <w:rFonts w:ascii="Verdana" w:eastAsia="Calibri" w:hAnsi="Verdana" w:cs="Arial"/>
          <w:lang w:val="es-ES"/>
        </w:rPr>
        <w:t>establece</w:t>
      </w:r>
      <w:r>
        <w:rPr>
          <w:rFonts w:ascii="Verdana" w:eastAsia="Calibri" w:hAnsi="Verdana" w:cs="Arial"/>
          <w:lang w:val="es-ES"/>
        </w:rPr>
        <w:t>:</w:t>
      </w:r>
      <w:r w:rsidRPr="00571D04">
        <w:rPr>
          <w:rFonts w:ascii="Verdana" w:eastAsia="Calibri" w:hAnsi="Verdana" w:cs="Arial"/>
          <w:lang w:val="es-ES"/>
        </w:rPr>
        <w:t xml:space="preserve"> “Los contratos del Estado se perfeccionan cuando se logre acuerdo sobre el objeto y la contraprestación y éste se eleve a escrito”</w:t>
      </w:r>
      <w:r>
        <w:rPr>
          <w:rFonts w:ascii="Verdana" w:eastAsia="Calibri" w:hAnsi="Verdana" w:cs="Arial"/>
          <w:lang w:val="es-ES"/>
        </w:rPr>
        <w:t xml:space="preserve">, </w:t>
      </w:r>
      <w:r w:rsidRPr="00571D04">
        <w:rPr>
          <w:rFonts w:ascii="Verdana" w:eastAsia="Calibri" w:hAnsi="Verdana" w:cs="Arial"/>
          <w:lang w:val="es-ES"/>
        </w:rPr>
        <w:t xml:space="preserve">el legislador dispuso que para que el contrato estatal exista, no solo debe haber un acuerdo sobra la obligación principal del negocio –es decir, sobre el “objeto”– y sobre la contraprestación, sino que se debe plasmar por escrito. </w:t>
      </w:r>
      <w:r>
        <w:rPr>
          <w:rFonts w:ascii="Verdana" w:eastAsia="Calibri" w:hAnsi="Verdana" w:cs="Arial"/>
          <w:lang w:val="es-ES"/>
        </w:rPr>
        <w:t xml:space="preserve">Por otra parte, </w:t>
      </w:r>
      <w:r w:rsidRPr="00C172F1">
        <w:rPr>
          <w:rFonts w:ascii="Verdana" w:eastAsia="Calibri" w:hAnsi="Verdana" w:cs="Arial"/>
          <w:lang w:val="es-ES"/>
        </w:rPr>
        <w:t xml:space="preserve">los requisitos legales de ejecución son: i) la aprobación de las garantías exigidas en el contrato, </w:t>
      </w:r>
      <w:proofErr w:type="spellStart"/>
      <w:r w:rsidRPr="00C172F1">
        <w:rPr>
          <w:rFonts w:ascii="Verdana" w:eastAsia="Calibri" w:hAnsi="Verdana" w:cs="Arial"/>
          <w:lang w:val="es-ES"/>
        </w:rPr>
        <w:t>ii</w:t>
      </w:r>
      <w:proofErr w:type="spellEnd"/>
      <w:r w:rsidRPr="00C172F1">
        <w:rPr>
          <w:rFonts w:ascii="Verdana" w:eastAsia="Calibri" w:hAnsi="Verdana" w:cs="Arial"/>
          <w:lang w:val="es-ES"/>
        </w:rPr>
        <w:t xml:space="preserve">) la existencia de la apropiación presupuestal correspondiente y </w:t>
      </w:r>
      <w:proofErr w:type="spellStart"/>
      <w:r w:rsidRPr="00C172F1">
        <w:rPr>
          <w:rFonts w:ascii="Verdana" w:eastAsia="Calibri" w:hAnsi="Verdana" w:cs="Arial"/>
          <w:lang w:val="es-ES"/>
        </w:rPr>
        <w:t>iii</w:t>
      </w:r>
      <w:proofErr w:type="spellEnd"/>
      <w:r w:rsidRPr="00C172F1">
        <w:rPr>
          <w:rFonts w:ascii="Verdana" w:eastAsia="Calibri" w:hAnsi="Verdana" w:cs="Arial"/>
          <w:lang w:val="es-ES"/>
        </w:rPr>
        <w:t xml:space="preserve">) la acreditación del cumplimiento de las obligaciones con el Sistema de Seguridad </w:t>
      </w:r>
      <w:r w:rsidRPr="009F5794">
        <w:rPr>
          <w:rFonts w:ascii="Verdana" w:eastAsia="Arial" w:hAnsi="Verdana" w:cs="Arial"/>
          <w:bCs/>
          <w:color w:val="000000" w:themeColor="text1"/>
          <w:lang w:val="es-ES"/>
        </w:rPr>
        <w:t>Social</w:t>
      </w:r>
      <w:r w:rsidRPr="00C172F1">
        <w:rPr>
          <w:rFonts w:ascii="Verdana" w:eastAsia="Calibri" w:hAnsi="Verdana" w:cs="Arial"/>
          <w:lang w:val="es-ES"/>
        </w:rPr>
        <w:t xml:space="preserve"> Integral.</w:t>
      </w:r>
    </w:p>
    <w:p w14:paraId="16239396" w14:textId="77777777" w:rsidR="003E4080" w:rsidRPr="004A2776" w:rsidRDefault="003E4080" w:rsidP="003E4080">
      <w:pPr>
        <w:spacing w:after="120" w:line="276" w:lineRule="auto"/>
        <w:ind w:firstLine="709"/>
        <w:jc w:val="both"/>
        <w:rPr>
          <w:rFonts w:ascii="Verdana" w:eastAsia="Calibri" w:hAnsi="Verdana" w:cs="Arial"/>
        </w:rPr>
      </w:pPr>
      <w:r>
        <w:rPr>
          <w:rFonts w:ascii="Verdana" w:eastAsia="Calibri" w:hAnsi="Verdana" w:cs="Arial"/>
          <w:lang w:val="es-ES"/>
        </w:rPr>
        <w:t>Frente a su pregunta sobre el momento en que debe suscribirse el acta de inicio, en concordancia con lo establecido en el artículo 33 de la Ley 996 de 2005, la prohibición consiste en la celebración (entendido como la suscripción) de un contrato, por lo tanto, e</w:t>
      </w:r>
      <w:r w:rsidRPr="009E7795">
        <w:rPr>
          <w:rFonts w:ascii="Verdana" w:eastAsia="Calibri" w:hAnsi="Verdana" w:cs="Arial"/>
          <w:lang w:val="es-ES"/>
        </w:rPr>
        <w:t>l acta de inicio constituye un requisito de ejecución convencional, que se pacta en la minuta del contrato</w:t>
      </w:r>
      <w:r>
        <w:rPr>
          <w:rFonts w:ascii="Verdana" w:eastAsia="Calibri" w:hAnsi="Verdana" w:cs="Arial"/>
          <w:lang w:val="es-ES"/>
        </w:rPr>
        <w:t>, en los documentos previos,</w:t>
      </w:r>
      <w:r w:rsidRPr="009E7795">
        <w:rPr>
          <w:rFonts w:ascii="Verdana" w:eastAsia="Calibri" w:hAnsi="Verdana" w:cs="Arial"/>
          <w:lang w:val="es-ES"/>
        </w:rPr>
        <w:t xml:space="preserve"> o que el contratista acepta, adhiriéndose al clausulado del pliego de condiciones o documento equivalente.</w:t>
      </w:r>
      <w:r>
        <w:rPr>
          <w:rFonts w:ascii="Verdana" w:eastAsia="Calibri" w:hAnsi="Verdana" w:cs="Arial"/>
          <w:lang w:val="es-ES"/>
        </w:rPr>
        <w:t xml:space="preserve"> No obstante, la ley no fija un tiempo para dar cumplimiento a los requisitos de ejecución, por lo cual las entidades estatales en ejercicio de su autonomía contractual deberán determinar con criterios de razonabilidad el tiempo para cumplir estos requisitos, </w:t>
      </w:r>
      <w:r w:rsidRPr="00AF4DA0">
        <w:rPr>
          <w:rFonts w:ascii="Verdana" w:eastAsia="Times New Roman" w:hAnsi="Verdana" w:cs="Arial"/>
          <w:lang w:eastAsia="es-ES_tradnl"/>
        </w:rPr>
        <w:t>garantizando a su vez el cumplimiento de los principios de legalidad</w:t>
      </w:r>
      <w:r>
        <w:rPr>
          <w:rFonts w:ascii="Verdana" w:eastAsia="Times New Roman" w:hAnsi="Verdana" w:cs="Arial"/>
          <w:lang w:eastAsia="es-ES_tradnl"/>
        </w:rPr>
        <w:t xml:space="preserve"> </w:t>
      </w:r>
      <w:r w:rsidRPr="00AF4DA0">
        <w:rPr>
          <w:rFonts w:ascii="Verdana" w:eastAsia="Times New Roman" w:hAnsi="Verdana" w:cs="Arial"/>
          <w:lang w:eastAsia="es-ES_tradnl"/>
        </w:rPr>
        <w:t>y buena fe que rigen la función administrativa.</w:t>
      </w:r>
    </w:p>
    <w:p w14:paraId="6DE18E39" w14:textId="77777777" w:rsidR="003E4080" w:rsidRPr="00667CD6" w:rsidRDefault="003E4080" w:rsidP="003E4080">
      <w:pPr>
        <w:spacing w:after="120" w:line="276" w:lineRule="auto"/>
        <w:ind w:firstLine="709"/>
        <w:jc w:val="both"/>
        <w:rPr>
          <w:rFonts w:ascii="Verdana" w:eastAsia="Times New Roman" w:hAnsi="Verdana" w:cs="Arial"/>
          <w:lang w:eastAsia="es-CO"/>
        </w:rPr>
      </w:pPr>
      <w:r w:rsidRPr="00667CD6">
        <w:rPr>
          <w:rFonts w:ascii="Verdana"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11A0B69" w14:textId="77777777" w:rsidR="003E4080" w:rsidRPr="00A83E37" w:rsidRDefault="003E4080" w:rsidP="003E4080">
      <w:pPr>
        <w:spacing w:after="120" w:line="276" w:lineRule="auto"/>
        <w:ind w:firstLine="709"/>
        <w:jc w:val="both"/>
        <w:rPr>
          <w:rFonts w:ascii="Verdana" w:hAnsi="Verdana" w:cs="Arial"/>
          <w:bCs/>
          <w:color w:val="000000" w:themeColor="text1"/>
        </w:rPr>
      </w:pPr>
      <w:r w:rsidRPr="00667CD6">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bookmarkStart w:id="18" w:name="_Hlk204854194"/>
    </w:p>
    <w:p w14:paraId="5F34616E" w14:textId="77777777" w:rsidR="003E4080" w:rsidRPr="00237877" w:rsidRDefault="003E4080" w:rsidP="003E4080">
      <w:pPr>
        <w:spacing w:after="0" w:line="276" w:lineRule="auto"/>
        <w:jc w:val="both"/>
        <w:rPr>
          <w:rFonts w:ascii="Verdana" w:hAnsi="Verdana" w:cs="Arial"/>
          <w:bCs/>
          <w:color w:val="000000" w:themeColor="text1"/>
        </w:rPr>
      </w:pPr>
      <w:r w:rsidRPr="00237877">
        <w:rPr>
          <w:rFonts w:ascii="Verdana" w:hAnsi="Verdana" w:cs="Arial"/>
          <w:b/>
          <w:color w:val="000000" w:themeColor="text1"/>
        </w:rPr>
        <w:t>4.</w:t>
      </w:r>
      <w:r>
        <w:rPr>
          <w:rFonts w:ascii="Verdana" w:hAnsi="Verdana" w:cs="Arial"/>
          <w:bCs/>
          <w:color w:val="000000" w:themeColor="text1"/>
        </w:rPr>
        <w:t xml:space="preserve"> </w:t>
      </w:r>
      <w:r w:rsidRPr="005644FE">
        <w:rPr>
          <w:rFonts w:ascii="Verdana" w:eastAsia="Century Gothic" w:hAnsi="Verdana" w:cs="Century Gothic"/>
          <w:b/>
          <w:bCs/>
        </w:rPr>
        <w:t>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18"/>
    </w:p>
    <w:p w14:paraId="778AB231" w14:textId="77777777" w:rsidR="003E4080" w:rsidRPr="005644FE" w:rsidRDefault="003E4080" w:rsidP="003E4080">
      <w:pPr>
        <w:tabs>
          <w:tab w:val="left" w:pos="142"/>
          <w:tab w:val="left" w:pos="284"/>
          <w:tab w:val="left" w:pos="3828"/>
        </w:tabs>
        <w:spacing w:after="0" w:line="276" w:lineRule="auto"/>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E4080" w:rsidRPr="002D2C18" w14:paraId="5C7C6072" w14:textId="77777777" w:rsidTr="003929D7">
        <w:trPr>
          <w:trHeight w:val="56"/>
          <w:jc w:val="center"/>
        </w:trPr>
        <w:tc>
          <w:tcPr>
            <w:tcW w:w="8647" w:type="dxa"/>
          </w:tcPr>
          <w:p w14:paraId="1EE3096C" w14:textId="77777777" w:rsidR="003E4080" w:rsidRPr="00A83E37" w:rsidRDefault="003E4080" w:rsidP="003929D7">
            <w:pPr>
              <w:pStyle w:val="Prrafodelista"/>
              <w:numPr>
                <w:ilvl w:val="0"/>
                <w:numId w:val="17"/>
              </w:numPr>
              <w:spacing w:line="276" w:lineRule="auto"/>
              <w:ind w:left="714" w:hanging="357"/>
              <w:jc w:val="both"/>
              <w:rPr>
                <w:rFonts w:ascii="Verdana" w:eastAsia="Aptos" w:hAnsi="Verdana" w:cs="Arial"/>
              </w:rPr>
            </w:pPr>
            <w:r>
              <w:rPr>
                <w:rFonts w:ascii="Verdana" w:eastAsia="Aptos" w:hAnsi="Verdana" w:cs="Arial"/>
              </w:rPr>
              <w:t>Constitución Política. Artículos 6, 127.</w:t>
            </w:r>
          </w:p>
          <w:p w14:paraId="06ED4563" w14:textId="77777777" w:rsidR="003E4080" w:rsidRDefault="003E4080" w:rsidP="003929D7">
            <w:pPr>
              <w:pStyle w:val="Prrafodelista"/>
              <w:numPr>
                <w:ilvl w:val="0"/>
                <w:numId w:val="17"/>
              </w:numPr>
              <w:spacing w:line="276" w:lineRule="auto"/>
              <w:ind w:left="714" w:hanging="357"/>
              <w:jc w:val="both"/>
              <w:rPr>
                <w:rFonts w:ascii="Verdana" w:eastAsia="Aptos" w:hAnsi="Verdana" w:cs="Arial"/>
              </w:rPr>
            </w:pPr>
            <w:r w:rsidRPr="007E27D9">
              <w:rPr>
                <w:rFonts w:ascii="Verdana" w:eastAsia="Aptos" w:hAnsi="Verdana" w:cs="Arial"/>
              </w:rPr>
              <w:t>Código Civil. Artículo</w:t>
            </w:r>
            <w:r>
              <w:rPr>
                <w:rFonts w:ascii="Verdana" w:eastAsia="Aptos" w:hAnsi="Verdana" w:cs="Arial"/>
              </w:rPr>
              <w:t>s</w:t>
            </w:r>
            <w:r w:rsidRPr="007E27D9">
              <w:rPr>
                <w:rFonts w:ascii="Verdana" w:eastAsia="Aptos" w:hAnsi="Verdana" w:cs="Arial"/>
              </w:rPr>
              <w:t xml:space="preserve"> 27</w:t>
            </w:r>
            <w:r>
              <w:rPr>
                <w:rFonts w:ascii="Verdana" w:eastAsia="Aptos" w:hAnsi="Verdana" w:cs="Arial"/>
              </w:rPr>
              <w:t>, 1500, 1501</w:t>
            </w:r>
            <w:r w:rsidRPr="007E27D9">
              <w:rPr>
                <w:rFonts w:ascii="Verdana" w:eastAsia="Aptos" w:hAnsi="Verdana" w:cs="Arial"/>
              </w:rPr>
              <w:t>.</w:t>
            </w:r>
          </w:p>
          <w:p w14:paraId="578B8F93" w14:textId="77777777" w:rsidR="003E4080" w:rsidRPr="009058EB" w:rsidRDefault="003E4080" w:rsidP="003929D7">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 xml:space="preserve">Ley 80 de 1993. Artículo 41. </w:t>
            </w:r>
          </w:p>
          <w:p w14:paraId="200FE57A" w14:textId="77777777" w:rsidR="003E4080" w:rsidRDefault="003E4080" w:rsidP="003929D7">
            <w:pPr>
              <w:pStyle w:val="Prrafodelista"/>
              <w:numPr>
                <w:ilvl w:val="0"/>
                <w:numId w:val="17"/>
              </w:numPr>
              <w:spacing w:line="276" w:lineRule="auto"/>
              <w:ind w:left="714" w:hanging="357"/>
              <w:jc w:val="both"/>
              <w:rPr>
                <w:rFonts w:ascii="Verdana" w:eastAsia="Aptos" w:hAnsi="Verdana" w:cs="Arial"/>
              </w:rPr>
            </w:pPr>
            <w:r>
              <w:rPr>
                <w:rFonts w:ascii="Verdana" w:eastAsia="Aptos" w:hAnsi="Verdana" w:cs="Arial"/>
              </w:rPr>
              <w:t>Ley 996 de 2005. Artículos 33 y parágrafo del artículo 38.</w:t>
            </w:r>
          </w:p>
          <w:p w14:paraId="1CE34274" w14:textId="77777777" w:rsidR="003E4080" w:rsidRDefault="003E4080" w:rsidP="003929D7">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Ley 1150 de 2007. Artículos 2, numeral 4 literal c), 23.</w:t>
            </w:r>
          </w:p>
          <w:p w14:paraId="55791A68" w14:textId="77777777" w:rsidR="003E4080" w:rsidRDefault="003E4080" w:rsidP="003929D7">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Consejo de Estado. Sala de lo Contencioso Administrativo. Sección Tercera. Subsección C. Sentencia del 12 de agosto de 2014. Expediente: 28.565. C.P: Enrique Gil Botero.</w:t>
            </w:r>
          </w:p>
          <w:p w14:paraId="21F6DF73" w14:textId="77777777" w:rsidR="003E4080" w:rsidRDefault="003E4080" w:rsidP="003929D7">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Consejo de Estado. Sala de lo Contencioso Administrativo. Sección tercera. Subsección B. Sentencia del 10 de mayo de 2018. Expediente. 41.186. C.P. Stella Conto Díaz del Castillo.</w:t>
            </w:r>
          </w:p>
          <w:p w14:paraId="16E70630" w14:textId="77777777" w:rsidR="003E4080" w:rsidRDefault="003E4080" w:rsidP="003929D7">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Consejo de Estado. Sala de lo Contencioso Administrativo. Sección Tercera. Subsección B. Sentencia del 3 de abril de 2020. Expediente: 46.963. C.P: Ramiro Pazos Guerrero.</w:t>
            </w:r>
          </w:p>
          <w:p w14:paraId="37E516E3" w14:textId="77777777" w:rsidR="003E4080" w:rsidRDefault="003E4080" w:rsidP="003929D7">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Consejo de Estado. Sala de lo Contencioso Administrativo. Sección Primera. Sentencia de 3 de marzo de 2005. Radicado: 25001-23-15-000-2004-00823-01 (PI). C.P: Camilo Arciniegas Andrade.</w:t>
            </w:r>
          </w:p>
          <w:p w14:paraId="6AABC5D3" w14:textId="77777777" w:rsidR="003E4080" w:rsidRPr="009058EB" w:rsidRDefault="003E4080" w:rsidP="003929D7">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 xml:space="preserve">Consejo de Estado, Sala de Consulta y Servicio Civil. 24 de julio de 2013. Radicado: 11001-03-06-000-2013-00407-00 (2166). C.P. Álvaro Namén Vargas.  </w:t>
            </w:r>
          </w:p>
          <w:p w14:paraId="5AD114CE" w14:textId="77777777" w:rsidR="003E4080" w:rsidRPr="009058EB" w:rsidRDefault="003E4080" w:rsidP="003929D7">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Consejo de Estado. Sala de Consulta y Servicio Civil. Concepto del 17 de febrero de 2015. Radicado: 11001-03-06-000-2015-00164-00 (2269). C.P. William Zambrano Cetina.</w:t>
            </w:r>
          </w:p>
          <w:p w14:paraId="221804EB" w14:textId="77777777" w:rsidR="003E4080" w:rsidRPr="009058EB" w:rsidRDefault="003E4080" w:rsidP="003929D7">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Consejo de Estado. Sala de Consulta y Servicio Civil. Concepto del 2 de septiembre de 2013. Radicación número: 11001-03-06-000-2013-00412-00 (2168). C.P: Álvaro Namén Vargas.</w:t>
            </w:r>
          </w:p>
          <w:p w14:paraId="0E817C4C" w14:textId="77777777" w:rsidR="003E4080" w:rsidRPr="009058EB" w:rsidRDefault="003E4080" w:rsidP="003929D7">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Consejo de Estado. Sala de Consulta y Servicio Civil, Concepto de 8 de mayo de 2018. Radicación Número: 11001-03-06-000-2018-00095-00 (2382). C.P: Álvaro Namén Vargas.</w:t>
            </w:r>
          </w:p>
          <w:p w14:paraId="188A29AE" w14:textId="77777777" w:rsidR="003E4080" w:rsidRPr="009058EB" w:rsidRDefault="003E4080" w:rsidP="003929D7">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Consejo de Estado. Sala de Consulta y Servicio Civil. Concepto de 20 de febrero de 2006. Radicación Número: 11001-03-06-000-2006-00026-00 (1727). C.P: Enrique José Arboleda Perdomo.</w:t>
            </w:r>
          </w:p>
          <w:p w14:paraId="076DC94A" w14:textId="77777777" w:rsidR="003E4080" w:rsidRPr="009058EB" w:rsidRDefault="003E4080" w:rsidP="003929D7">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Consejo de Estado. Sala de Consulta y Servicio Civil. Concepto de 6 de abril de 2006. Radicación Número: 11001-03-06-000-2006-00038-00 (1738). C.P: Enrique José Arboleda Perdomo.</w:t>
            </w:r>
          </w:p>
          <w:p w14:paraId="19CFBD87" w14:textId="77777777" w:rsidR="003E4080" w:rsidRPr="009058EB" w:rsidRDefault="003E4080" w:rsidP="003929D7">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Corte Constitucional. Sentencia C- 1153 de 2005, M.P: Marco Gerardo Monroy Cabra.</w:t>
            </w:r>
            <w:r w:rsidRPr="009058EB">
              <w:rPr>
                <w:rFonts w:ascii="Verdana" w:eastAsia="Aptos" w:hAnsi="Verdana" w:cs="Arial"/>
              </w:rPr>
              <w:tab/>
            </w:r>
          </w:p>
          <w:p w14:paraId="51A6ACDF" w14:textId="77777777" w:rsidR="003E4080" w:rsidRPr="009058EB" w:rsidRDefault="003E4080" w:rsidP="003929D7">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Corte Constitucional. Sentencia C-233 de 4 de abril de 2002. M.P: Álvaro Tafur Galvis.</w:t>
            </w:r>
          </w:p>
          <w:p w14:paraId="0242D622" w14:textId="77777777" w:rsidR="003E4080" w:rsidRPr="009058EB" w:rsidRDefault="003E4080" w:rsidP="003929D7">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Corte Constitucional. Sentencia C-551 de 9 de julio de 2003. M.P: Eduardo Montealegre Lynnet.</w:t>
            </w:r>
          </w:p>
          <w:p w14:paraId="591D9823" w14:textId="77777777" w:rsidR="003E4080" w:rsidRPr="009058EB" w:rsidRDefault="003E4080" w:rsidP="003929D7">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 xml:space="preserve">Corte Constitucional. Sentencia C-353 de 20 de mayo de 2009. M.P: Jorge Iván Palacio </w:t>
            </w:r>
            <w:proofErr w:type="spellStart"/>
            <w:r w:rsidRPr="009058EB">
              <w:rPr>
                <w:rFonts w:ascii="Verdana" w:eastAsia="Aptos" w:hAnsi="Verdana" w:cs="Arial"/>
              </w:rPr>
              <w:t>Palacio</w:t>
            </w:r>
            <w:proofErr w:type="spellEnd"/>
            <w:r w:rsidRPr="009058EB">
              <w:rPr>
                <w:rFonts w:ascii="Verdana" w:eastAsia="Aptos" w:hAnsi="Verdana" w:cs="Arial"/>
              </w:rPr>
              <w:t>.</w:t>
            </w:r>
          </w:p>
          <w:p w14:paraId="5F6262FD" w14:textId="77777777" w:rsidR="003E4080" w:rsidRPr="009058EB" w:rsidRDefault="003E4080" w:rsidP="003929D7">
            <w:pPr>
              <w:pStyle w:val="Prrafodelista"/>
              <w:numPr>
                <w:ilvl w:val="0"/>
                <w:numId w:val="17"/>
              </w:numPr>
              <w:spacing w:line="276" w:lineRule="auto"/>
              <w:ind w:left="714" w:hanging="357"/>
              <w:jc w:val="both"/>
              <w:rPr>
                <w:rFonts w:ascii="Verdana" w:eastAsia="Aptos" w:hAnsi="Verdana" w:cs="Arial"/>
              </w:rPr>
            </w:pPr>
            <w:r w:rsidRPr="004D1E98">
              <w:rPr>
                <w:rFonts w:ascii="Verdana" w:eastAsia="Aptos" w:hAnsi="Verdana" w:cs="Arial"/>
              </w:rPr>
              <w:t>EXPÓSITO VÉLEZ, Juan Carlos. Forma y contenido del contrato estatal. Bogotá: Universidad Externado de Colombia, 2013. pp. 28-29.</w:t>
            </w:r>
            <w:r w:rsidRPr="009058EB">
              <w:rPr>
                <w:rFonts w:ascii="Verdana" w:hAnsi="Verdana"/>
              </w:rPr>
              <w:t xml:space="preserve"> </w:t>
            </w:r>
          </w:p>
        </w:tc>
      </w:tr>
    </w:tbl>
    <w:p w14:paraId="78D7CCAF" w14:textId="77777777" w:rsidR="003E4080" w:rsidRDefault="003E4080" w:rsidP="003E4080">
      <w:pPr>
        <w:tabs>
          <w:tab w:val="left" w:pos="142"/>
          <w:tab w:val="left" w:pos="284"/>
          <w:tab w:val="left" w:pos="3828"/>
        </w:tabs>
        <w:spacing w:after="0" w:line="276" w:lineRule="auto"/>
        <w:jc w:val="both"/>
        <w:rPr>
          <w:rFonts w:ascii="Verdana" w:eastAsia="Century Gothic" w:hAnsi="Verdana" w:cs="Century Gothic"/>
          <w:b/>
          <w:bCs/>
        </w:rPr>
      </w:pPr>
    </w:p>
    <w:p w14:paraId="09D457A7" w14:textId="77777777" w:rsidR="003E4080" w:rsidRPr="005644FE" w:rsidRDefault="003E4080" w:rsidP="003E4080">
      <w:pPr>
        <w:tabs>
          <w:tab w:val="left" w:pos="142"/>
          <w:tab w:val="left" w:pos="284"/>
          <w:tab w:val="left" w:pos="3828"/>
        </w:tabs>
        <w:spacing w:after="0" w:line="276" w:lineRule="auto"/>
        <w:jc w:val="both"/>
        <w:rPr>
          <w:rFonts w:ascii="Verdana" w:eastAsia="Century Gothic" w:hAnsi="Verdana" w:cs="Century Gothic"/>
          <w:b/>
          <w:bCs/>
        </w:rPr>
      </w:pPr>
      <w:r w:rsidRPr="005644FE">
        <w:rPr>
          <w:rFonts w:ascii="Verdana" w:eastAsia="Century Gothic" w:hAnsi="Verdana" w:cs="Century Gothic"/>
          <w:b/>
          <w:bCs/>
        </w:rPr>
        <w:t>5. Doctrina de la Agencia Nacional de Contratación Pública:</w:t>
      </w:r>
    </w:p>
    <w:p w14:paraId="6CAA9B78" w14:textId="77777777" w:rsidR="00710EE0" w:rsidRDefault="00710EE0" w:rsidP="00710EE0">
      <w:pPr>
        <w:widowControl w:val="0"/>
        <w:autoSpaceDE w:val="0"/>
        <w:autoSpaceDN w:val="0"/>
        <w:spacing w:after="0" w:line="240" w:lineRule="auto"/>
        <w:jc w:val="both"/>
        <w:rPr>
          <w:rFonts w:ascii="Verdana" w:eastAsia="Calibri" w:hAnsi="Verdana" w:cs="Arial"/>
        </w:rPr>
      </w:pPr>
    </w:p>
    <w:p w14:paraId="78392862" w14:textId="0D00A445" w:rsidR="003E4080" w:rsidRDefault="003E4080" w:rsidP="003E4080">
      <w:pPr>
        <w:widowControl w:val="0"/>
        <w:autoSpaceDE w:val="0"/>
        <w:autoSpaceDN w:val="0"/>
        <w:spacing w:after="120" w:line="276" w:lineRule="auto"/>
        <w:jc w:val="both"/>
        <w:rPr>
          <w:rFonts w:ascii="Verdana" w:hAnsi="Verdana" w:cs="Arial"/>
          <w:shd w:val="clear" w:color="auto" w:fill="FFFFFF"/>
        </w:rPr>
      </w:pPr>
      <w:r w:rsidRPr="000F79CF">
        <w:rPr>
          <w:rFonts w:ascii="Verdana" w:eastAsia="Calibri" w:hAnsi="Verdana" w:cs="Arial"/>
        </w:rPr>
        <w:t xml:space="preserve">La Agencia Nacional de Contratación Pública – Colombia Compra Eficiente se ha referido </w:t>
      </w:r>
      <w:r w:rsidRPr="000F79CF">
        <w:rPr>
          <w:rFonts w:ascii="Verdana" w:hAnsi="Verdana" w:cs="Arial"/>
          <w:shd w:val="clear" w:color="auto" w:fill="FFFFFF"/>
        </w:rPr>
        <w:t>sobre</w:t>
      </w:r>
      <w:r>
        <w:rPr>
          <w:rFonts w:ascii="Verdana" w:hAnsi="Verdana" w:cs="Arial"/>
          <w:shd w:val="clear" w:color="auto" w:fill="FFFFFF"/>
        </w:rPr>
        <w:t xml:space="preserve"> la naturaleza del acta de inicio, en los conceptos C-857 de 6 de agosto de 2025, </w:t>
      </w:r>
      <w:r w:rsidRPr="00034F0A">
        <w:rPr>
          <w:rFonts w:ascii="Verdana" w:hAnsi="Verdana" w:cs="Arial"/>
        </w:rPr>
        <w:t>C-835 del 4 de agosto de 2005</w:t>
      </w:r>
      <w:r>
        <w:rPr>
          <w:rFonts w:ascii="Verdana" w:hAnsi="Verdana" w:cs="Arial"/>
        </w:rPr>
        <w:t xml:space="preserve">, </w:t>
      </w:r>
      <w:r>
        <w:rPr>
          <w:rFonts w:ascii="Verdana" w:hAnsi="Verdana" w:cs="Arial"/>
          <w:shd w:val="clear" w:color="auto" w:fill="FFFFFF"/>
        </w:rPr>
        <w:t>C</w:t>
      </w:r>
      <w:r w:rsidRPr="00034F0A">
        <w:rPr>
          <w:rFonts w:ascii="Verdana" w:hAnsi="Verdana" w:cs="Arial"/>
        </w:rPr>
        <w:t>-821 de</w:t>
      </w:r>
      <w:r>
        <w:rPr>
          <w:rFonts w:ascii="Verdana" w:hAnsi="Verdana" w:cs="Arial"/>
        </w:rPr>
        <w:t xml:space="preserve"> </w:t>
      </w:r>
      <w:r w:rsidRPr="00034F0A">
        <w:rPr>
          <w:rFonts w:ascii="Verdana" w:hAnsi="Verdana" w:cs="Arial"/>
        </w:rPr>
        <w:t>1 de agosto de 2025</w:t>
      </w:r>
      <w:r>
        <w:rPr>
          <w:rFonts w:ascii="Verdana" w:hAnsi="Verdana" w:cs="Arial"/>
        </w:rPr>
        <w:t xml:space="preserve">, </w:t>
      </w:r>
      <w:r>
        <w:rPr>
          <w:rFonts w:ascii="Verdana" w:hAnsi="Verdana" w:cs="Arial"/>
          <w:shd w:val="clear" w:color="auto" w:fill="FFFFFF"/>
        </w:rPr>
        <w:t xml:space="preserve">C-539 del 10 de octubre de 2024, entre otros. </w:t>
      </w:r>
    </w:p>
    <w:p w14:paraId="43CF358E" w14:textId="77777777" w:rsidR="003E4080" w:rsidRDefault="003E4080" w:rsidP="003E4080">
      <w:pPr>
        <w:widowControl w:val="0"/>
        <w:autoSpaceDE w:val="0"/>
        <w:autoSpaceDN w:val="0"/>
        <w:spacing w:after="120" w:line="276" w:lineRule="auto"/>
        <w:jc w:val="both"/>
        <w:rPr>
          <w:rFonts w:ascii="Verdana" w:hAnsi="Verdana" w:cs="Arial"/>
          <w:shd w:val="clear" w:color="auto" w:fill="FFFFFF"/>
        </w:rPr>
      </w:pPr>
      <w:r>
        <w:rPr>
          <w:rFonts w:ascii="Verdana" w:hAnsi="Verdana" w:cs="Arial"/>
          <w:shd w:val="clear" w:color="auto" w:fill="FFFFFF"/>
        </w:rPr>
        <w:t>Por su parte, respecto de la</w:t>
      </w:r>
      <w:r w:rsidRPr="000F79CF">
        <w:rPr>
          <w:rFonts w:ascii="Verdana" w:hAnsi="Verdana" w:cs="Arial"/>
          <w:shd w:val="clear" w:color="auto" w:fill="FFFFFF"/>
        </w:rPr>
        <w:t xml:space="preserve"> Ley de Garantías Electorales</w:t>
      </w:r>
      <w:r>
        <w:rPr>
          <w:rFonts w:ascii="Verdana" w:hAnsi="Verdana" w:cs="Arial"/>
          <w:shd w:val="clear" w:color="auto" w:fill="FFFFFF"/>
        </w:rPr>
        <w:t>, la Subdirección se ha pronunciado en los conceptos</w:t>
      </w:r>
      <w:r w:rsidRPr="000F79CF">
        <w:rPr>
          <w:rFonts w:ascii="Verdana" w:hAnsi="Verdana" w:cs="Arial"/>
          <w:shd w:val="clear" w:color="auto" w:fill="FFFFFF"/>
        </w:rPr>
        <w:t xml:space="preserve"> C-550 del 5 de octubre de 2021, C-523 del 10 de octubre de 2021, C-606 del 28 de octubre de 2021, C-614 del 2 de noviembre de 2021, C-636 del 16 de noviembre de 2021, C-681 del 7 de diciembre de 2021, C-686 del 21 de diciembre de 2021, C-697 del 3 de enero de 2022, C-180 del 21 de marzo de 2025, C-317 del 25 de abril de 2025, C-510 del 4 de junio de 2025, C -635 del 27 de junio de 2025, C–750 de 17 de julio 2025, C-868 del 12 de agosto de 2025, </w:t>
      </w:r>
      <w:r>
        <w:rPr>
          <w:rFonts w:ascii="Verdana" w:hAnsi="Verdana" w:cs="Arial"/>
          <w:shd w:val="clear" w:color="auto" w:fill="FFFFFF"/>
        </w:rPr>
        <w:t xml:space="preserve">C-1491 del 20 de noviembre de 2025, C- 1492 del </w:t>
      </w:r>
      <w:r>
        <w:rPr>
          <w:rFonts w:ascii="Verdana" w:hAnsi="Verdana"/>
        </w:rPr>
        <w:t xml:space="preserve">21 de noviembre del 2025, C-1629 y C-1646 del 17 de diciembre de 2025, C-1704 de 19 de diciembre de 2025, C-1662 del 22 de diciembre de 2025, </w:t>
      </w:r>
      <w:r w:rsidRPr="00391BAD">
        <w:rPr>
          <w:rFonts w:ascii="Verdana" w:hAnsi="Verdana"/>
        </w:rPr>
        <w:t xml:space="preserve">entre otros. </w:t>
      </w:r>
      <w:r w:rsidRPr="00391BAD">
        <w:rPr>
          <w:rFonts w:ascii="Verdana" w:eastAsia="Aptos" w:hAnsi="Verdana" w:cs="Arial"/>
          <w:shd w:val="clear" w:color="auto" w:fill="FFFFFF"/>
          <w:lang w:val="es-ES"/>
        </w:rPr>
        <w:t>Estos y otros conceptos se encuentran disponibles para consulta</w:t>
      </w:r>
      <w:r w:rsidRPr="00391BAD">
        <w:rPr>
          <w:rFonts w:ascii="Verdana" w:eastAsia="Calibri" w:hAnsi="Verdana" w:cs="Arial"/>
        </w:rPr>
        <w:t xml:space="preserve"> </w:t>
      </w:r>
      <w:r w:rsidRPr="00391BAD">
        <w:rPr>
          <w:rFonts w:ascii="Verdana" w:hAnsi="Verdana"/>
        </w:rPr>
        <w:t>en el Sistema de relatoría de la Agencia, al cual se puede acceder a través del siguiente enlace:</w:t>
      </w:r>
      <w:r w:rsidRPr="00391BAD">
        <w:rPr>
          <w:rFonts w:ascii="Verdana" w:hAnsi="Verdana" w:cs="Arial"/>
          <w:shd w:val="clear" w:color="auto" w:fill="FFFFFF"/>
        </w:rPr>
        <w:t xml:space="preserve"> </w:t>
      </w:r>
      <w:hyperlink r:id="rId13" w:history="1">
        <w:r w:rsidRPr="00A83E37">
          <w:rPr>
            <w:rStyle w:val="Hipervnculo"/>
            <w:rFonts w:ascii="Verdana" w:hAnsi="Verdana" w:cs="Arial"/>
            <w:shd w:val="clear" w:color="auto" w:fill="FFFFFF"/>
          </w:rPr>
          <w:t>https://relatoria.colombiacompra.gov.co/busqueda/conceptos</w:t>
        </w:r>
      </w:hyperlink>
      <w:r w:rsidRPr="00A83E37">
        <w:rPr>
          <w:rFonts w:ascii="Verdana" w:hAnsi="Verdana" w:cs="Arial"/>
          <w:shd w:val="clear" w:color="auto" w:fill="FFFFFF"/>
        </w:rPr>
        <w:t>.</w:t>
      </w:r>
      <w:r w:rsidRPr="00A83E37">
        <w:rPr>
          <w:rFonts w:ascii="Verdana" w:hAnsi="Verdana" w:cs="Arial"/>
          <w:color w:val="FF0000"/>
          <w:shd w:val="clear" w:color="auto" w:fill="FFFFFF"/>
        </w:rPr>
        <w:t xml:space="preserve"> </w:t>
      </w:r>
      <w:r w:rsidRPr="00A83E37">
        <w:rPr>
          <w:rFonts w:ascii="Verdana" w:hAnsi="Verdana" w:cs="Arial"/>
          <w:color w:val="000000" w:themeColor="text1"/>
          <w:shd w:val="clear" w:color="auto" w:fill="FFFFFF"/>
        </w:rPr>
        <w:t>  </w:t>
      </w:r>
    </w:p>
    <w:p w14:paraId="7F466F75" w14:textId="77777777" w:rsidR="003E4080" w:rsidRPr="00435A6A" w:rsidRDefault="003E4080" w:rsidP="003E4080">
      <w:pPr>
        <w:widowControl w:val="0"/>
        <w:autoSpaceDE w:val="0"/>
        <w:autoSpaceDN w:val="0"/>
        <w:spacing w:after="120" w:line="276" w:lineRule="auto"/>
        <w:jc w:val="both"/>
        <w:rPr>
          <w:rFonts w:ascii="Verdana" w:hAnsi="Verdana" w:cs="Arial"/>
          <w:shd w:val="clear" w:color="auto" w:fill="FFFFFF"/>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4C2EEAC4" w14:textId="77777777" w:rsidR="003E4080" w:rsidRPr="00116940" w:rsidRDefault="003E4080" w:rsidP="003E4080">
      <w:pPr>
        <w:pStyle w:val="Prrafodelista"/>
        <w:numPr>
          <w:ilvl w:val="0"/>
          <w:numId w:val="15"/>
        </w:numPr>
        <w:spacing w:after="0" w:line="276"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3EF1466E" w14:textId="77777777" w:rsidR="003E4080" w:rsidRPr="00116940" w:rsidRDefault="003E4080" w:rsidP="003E4080">
      <w:pPr>
        <w:pStyle w:val="Prrafodelista"/>
        <w:numPr>
          <w:ilvl w:val="0"/>
          <w:numId w:val="15"/>
        </w:numPr>
        <w:spacing w:after="0" w:line="276" w:lineRule="auto"/>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4927D303" w14:textId="77777777" w:rsidR="003E4080" w:rsidRPr="00116940" w:rsidRDefault="003E4080" w:rsidP="003E4080">
      <w:pPr>
        <w:pStyle w:val="Prrafodelista"/>
        <w:numPr>
          <w:ilvl w:val="0"/>
          <w:numId w:val="15"/>
        </w:numPr>
        <w:spacing w:after="0" w:line="276" w:lineRule="auto"/>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4">
        <w:r w:rsidRPr="00116940">
          <w:rPr>
            <w:rStyle w:val="Hipervnculo"/>
            <w:rFonts w:ascii="Verdana" w:eastAsia="Verdana" w:hAnsi="Verdana" w:cs="Verdana"/>
            <w:lang w:val="es-MX"/>
          </w:rPr>
          <w:t>ventanilladeradicacion@colombiacompra.gov.co</w:t>
        </w:r>
      </w:hyperlink>
    </w:p>
    <w:p w14:paraId="17D6E6E5" w14:textId="77777777" w:rsidR="003E4080" w:rsidRPr="00116940" w:rsidRDefault="003E4080" w:rsidP="003E4080">
      <w:pPr>
        <w:pStyle w:val="Prrafodelista"/>
        <w:numPr>
          <w:ilvl w:val="0"/>
          <w:numId w:val="15"/>
        </w:numPr>
        <w:spacing w:after="0" w:line="276" w:lineRule="auto"/>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5">
        <w:r w:rsidRPr="00116940">
          <w:rPr>
            <w:rStyle w:val="Hipervnculo"/>
            <w:rFonts w:ascii="Verdana" w:eastAsia="Verdana" w:hAnsi="Verdana" w:cs="Verdana"/>
            <w:lang w:val="es-MX"/>
          </w:rPr>
          <w:t>https://www.colombiacompra.gov.co/pqrsd/informacion-importante-antes-de-formular-una-pqrsd</w:t>
        </w:r>
      </w:hyperlink>
    </w:p>
    <w:p w14:paraId="724C4E6A" w14:textId="77777777" w:rsidR="00710EE0" w:rsidRDefault="00710EE0" w:rsidP="00710EE0">
      <w:pPr>
        <w:spacing w:after="0" w:line="240" w:lineRule="auto"/>
        <w:jc w:val="both"/>
        <w:rPr>
          <w:rFonts w:ascii="Verdana" w:hAnsi="Verdana"/>
        </w:rPr>
      </w:pPr>
    </w:p>
    <w:p w14:paraId="7066CFC3" w14:textId="0DC8FADB" w:rsidR="003E4080" w:rsidRDefault="003E4080" w:rsidP="003E4080">
      <w:pPr>
        <w:spacing w:after="120" w:line="276" w:lineRule="auto"/>
        <w:jc w:val="both"/>
        <w:rPr>
          <w:rFonts w:ascii="Verdana" w:hAnsi="Verdana"/>
        </w:rPr>
      </w:pPr>
      <w:r w:rsidRPr="00116940">
        <w:rPr>
          <w:rFonts w:ascii="Verdana" w:hAnsi="Verdana"/>
        </w:rPr>
        <w:t>Evalúa el servicio que ofrece la Agencia por el canal de atención de PQRSD en el siguiente enlace:</w:t>
      </w:r>
      <w:r>
        <w:rPr>
          <w:rFonts w:ascii="Verdana" w:hAnsi="Verdana"/>
        </w:rPr>
        <w:t xml:space="preserve"> </w:t>
      </w:r>
      <w:hyperlink r:id="rId16" w:history="1">
        <w:r w:rsidRPr="00A83E37">
          <w:rPr>
            <w:rStyle w:val="Hipervnculo"/>
            <w:rFonts w:ascii="Verdana" w:eastAsia="Verdana" w:hAnsi="Verdana" w:cs="Verdana"/>
            <w:lang w:val="es-MX"/>
          </w:rPr>
          <w:t>https://forms.office.com/r/pPHyWVs2SZ</w:t>
        </w:r>
      </w:hyperlink>
      <w:r w:rsidRPr="007E27D9">
        <w:rPr>
          <w:rStyle w:val="Hipervnculo"/>
          <w:rFonts w:ascii="Verdana" w:eastAsia="Verdana" w:hAnsi="Verdana" w:cs="Verdana"/>
          <w:lang w:val="es-MX"/>
        </w:rPr>
        <w:t>.</w:t>
      </w:r>
      <w:r>
        <w:rPr>
          <w:rFonts w:ascii="Verdana" w:hAnsi="Verdana"/>
        </w:rPr>
        <w:t xml:space="preserve"> </w:t>
      </w:r>
      <w:r w:rsidRPr="00116940">
        <w:rPr>
          <w:rFonts w:ascii="Verdana" w:hAnsi="Verdana"/>
        </w:rPr>
        <w:t>¡Ayúdanos a mejorar porque el compromiso es de todos!</w:t>
      </w:r>
    </w:p>
    <w:p w14:paraId="333D6BF8" w14:textId="77777777" w:rsidR="003E4080" w:rsidRPr="00116940" w:rsidRDefault="003E4080" w:rsidP="003E4080">
      <w:pPr>
        <w:spacing w:after="120" w:line="276"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5663D3F2" w14:textId="77777777" w:rsidR="003E4080" w:rsidRPr="00116940" w:rsidRDefault="003E4080" w:rsidP="003E4080">
      <w:pPr>
        <w:spacing w:after="0" w:line="276"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4EC6D65C" w14:textId="77777777" w:rsidR="003E4080" w:rsidRPr="00116940" w:rsidRDefault="003E4080" w:rsidP="003E4080">
      <w:pPr>
        <w:spacing w:after="0" w:line="276"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3AC9B9B7" w14:textId="1629B46D" w:rsidR="003E4080" w:rsidRPr="00935398" w:rsidRDefault="003E4080" w:rsidP="003E4080">
      <w:pPr>
        <w:spacing w:after="0" w:line="276"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67E67B05" w14:textId="77777777" w:rsidR="003E4080" w:rsidRPr="00330029" w:rsidRDefault="003E4080" w:rsidP="003E4080">
      <w:pPr>
        <w:spacing w:after="0" w:line="276" w:lineRule="auto"/>
        <w:jc w:val="both"/>
        <w:rPr>
          <w:rFonts w:ascii="Verdana" w:hAnsi="Verdana"/>
          <w:lang w:val="es-MX"/>
        </w:rPr>
      </w:pPr>
      <w:r w:rsidRPr="00E02524">
        <w:rPr>
          <w:rFonts w:ascii="Verdana" w:hAnsi="Verdana"/>
          <w:lang w:val="es-MX"/>
        </w:rPr>
        <w:t>Cordialmente,</w:t>
      </w:r>
    </w:p>
    <w:p w14:paraId="100A4AFB" w14:textId="559B0684" w:rsidR="003E4080" w:rsidRDefault="003510AC" w:rsidP="003E4080">
      <w:pPr>
        <w:spacing w:after="0" w:line="256" w:lineRule="auto"/>
        <w:jc w:val="center"/>
        <w:rPr>
          <w:rFonts w:ascii="Verdana" w:eastAsia="Calibri" w:hAnsi="Verdana" w:cs="Times New Roman"/>
        </w:rPr>
      </w:pPr>
      <w:r w:rsidRPr="0065791A">
        <w:rPr>
          <w:rFonts w:ascii="Century Gothic" w:hAnsi="Century Gothic"/>
          <w:noProof/>
        </w:rPr>
        <w:drawing>
          <wp:inline distT="0" distB="0" distL="0" distR="0" wp14:anchorId="3755D770" wp14:editId="27BA887A">
            <wp:extent cx="2679632" cy="1262520"/>
            <wp:effectExtent l="0" t="0" r="6985"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17"/>
                    <a:stretch>
                      <a:fillRect/>
                    </a:stretch>
                  </pic:blipFill>
                  <pic:spPr>
                    <a:xfrm>
                      <a:off x="0" y="0"/>
                      <a:ext cx="2738797" cy="1290396"/>
                    </a:xfrm>
                    <a:prstGeom prst="rect">
                      <a:avLst/>
                    </a:prstGeom>
                  </pic:spPr>
                </pic:pic>
              </a:graphicData>
            </a:graphic>
          </wp:inline>
        </w:drawing>
      </w:r>
    </w:p>
    <w:p w14:paraId="735F4B0D" w14:textId="15E59464" w:rsidR="00FD7B2E" w:rsidRDefault="00FD7B2E" w:rsidP="003E4080">
      <w:pPr>
        <w:spacing w:after="0" w:line="256" w:lineRule="auto"/>
        <w:jc w:val="center"/>
        <w:rPr>
          <w:rFonts w:ascii="Verdana" w:eastAsia="Calibri" w:hAnsi="Verdana" w:cs="Times New Roman"/>
        </w:rPr>
      </w:pP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3E4080" w:rsidRPr="005644FE" w14:paraId="526F4C4B" w14:textId="77777777" w:rsidTr="003929D7">
        <w:trPr>
          <w:trHeight w:val="315"/>
        </w:trPr>
        <w:tc>
          <w:tcPr>
            <w:tcW w:w="893" w:type="dxa"/>
            <w:vAlign w:val="center"/>
            <w:hideMark/>
          </w:tcPr>
          <w:p w14:paraId="75EB42B1" w14:textId="77777777" w:rsidR="003E4080" w:rsidRPr="005644FE" w:rsidRDefault="003E4080" w:rsidP="003929D7">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5D6A7364" w14:textId="77777777" w:rsidR="003E4080" w:rsidRPr="005644FE" w:rsidRDefault="003E4080" w:rsidP="003929D7">
            <w:pPr>
              <w:contextualSpacing/>
              <w:rPr>
                <w:rStyle w:val="normaltextrun"/>
                <w:rFonts w:ascii="Verdana" w:hAnsi="Verdana"/>
                <w:sz w:val="16"/>
                <w:szCs w:val="16"/>
              </w:rPr>
            </w:pPr>
            <w:r w:rsidRPr="005644FE">
              <w:rPr>
                <w:rStyle w:val="normaltextrun"/>
                <w:rFonts w:ascii="Verdana" w:hAnsi="Verdana"/>
                <w:sz w:val="16"/>
                <w:szCs w:val="16"/>
              </w:rPr>
              <w:t xml:space="preserve">Esperanza Contreras P </w:t>
            </w:r>
          </w:p>
          <w:p w14:paraId="57D99D2B" w14:textId="77777777" w:rsidR="003E4080" w:rsidRPr="005644FE" w:rsidRDefault="003E4080" w:rsidP="003929D7">
            <w:pPr>
              <w:contextualSpacing/>
              <w:rPr>
                <w:rFonts w:ascii="Verdana" w:eastAsia="Arial" w:hAnsi="Verdana" w:cs="Arial"/>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3E4080" w:rsidRPr="005644FE" w14:paraId="3F7809D0" w14:textId="77777777" w:rsidTr="003929D7">
        <w:trPr>
          <w:trHeight w:val="330"/>
        </w:trPr>
        <w:tc>
          <w:tcPr>
            <w:tcW w:w="893" w:type="dxa"/>
            <w:vAlign w:val="center"/>
            <w:hideMark/>
          </w:tcPr>
          <w:p w14:paraId="12CEB2A3" w14:textId="77777777" w:rsidR="003E4080" w:rsidRPr="005644FE" w:rsidRDefault="003E4080" w:rsidP="003929D7">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1EA7E571" w14:textId="77777777" w:rsidR="003E4080" w:rsidRPr="00F47638" w:rsidRDefault="003E4080" w:rsidP="003929D7">
            <w:pPr>
              <w:pStyle w:val="paragraph"/>
              <w:spacing w:before="0" w:beforeAutospacing="0" w:after="0" w:afterAutospacing="0"/>
              <w:contextualSpacing/>
              <w:textAlignment w:val="baseline"/>
              <w:rPr>
                <w:rStyle w:val="normaltextrun"/>
                <w:rFonts w:ascii="Verdana" w:hAnsi="Verdana"/>
                <w:sz w:val="16"/>
                <w:szCs w:val="16"/>
              </w:rPr>
            </w:pPr>
            <w:r w:rsidRPr="00F47638">
              <w:rPr>
                <w:rStyle w:val="normaltextrun"/>
                <w:rFonts w:ascii="Verdana" w:hAnsi="Verdana"/>
                <w:sz w:val="16"/>
                <w:szCs w:val="16"/>
              </w:rPr>
              <w:t>Adriana López</w:t>
            </w:r>
          </w:p>
          <w:p w14:paraId="2A19EBCE" w14:textId="77777777" w:rsidR="003E4080" w:rsidRPr="005644FE" w:rsidRDefault="003E4080" w:rsidP="003929D7">
            <w:pPr>
              <w:pStyle w:val="paragraph"/>
              <w:spacing w:before="0" w:beforeAutospacing="0" w:after="0" w:afterAutospacing="0"/>
              <w:contextualSpacing/>
              <w:textAlignment w:val="baseline"/>
              <w:rPr>
                <w:rFonts w:ascii="Verdana" w:hAnsi="Verdana" w:cs="Segoe UI"/>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3E4080" w:rsidRPr="005644FE" w14:paraId="7CCA9AAB" w14:textId="77777777" w:rsidTr="003929D7">
        <w:trPr>
          <w:trHeight w:val="300"/>
        </w:trPr>
        <w:tc>
          <w:tcPr>
            <w:tcW w:w="893" w:type="dxa"/>
            <w:vAlign w:val="center"/>
          </w:tcPr>
          <w:p w14:paraId="7B1D5171" w14:textId="77777777" w:rsidR="003E4080" w:rsidRPr="005644FE" w:rsidRDefault="003E4080" w:rsidP="003929D7">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2ECA56EF" w14:textId="77777777" w:rsidR="003E4080" w:rsidRPr="005644FE" w:rsidRDefault="003E4080" w:rsidP="003929D7">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Carolina Quintero Gacharná</w:t>
            </w:r>
          </w:p>
          <w:p w14:paraId="2375E478" w14:textId="77777777" w:rsidR="003E4080" w:rsidRPr="005644FE" w:rsidRDefault="003E4080" w:rsidP="003929D7">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Subdirectora de Gestión Contractual ANCP – CCE</w:t>
            </w:r>
          </w:p>
        </w:tc>
      </w:tr>
      <w:bookmarkEnd w:id="0"/>
      <w:bookmarkEnd w:id="1"/>
    </w:tbl>
    <w:p w14:paraId="0F293BF4" w14:textId="2782E98F" w:rsidR="00127233" w:rsidRPr="0015699B" w:rsidRDefault="00127233" w:rsidP="009E0C43">
      <w:pPr>
        <w:spacing w:after="0" w:line="240" w:lineRule="auto"/>
        <w:jc w:val="both"/>
        <w:textAlignment w:val="baseline"/>
        <w:rPr>
          <w:rFonts w:ascii="Verdana" w:eastAsia="Times New Roman" w:hAnsi="Verdana" w:cs="Segoe UI"/>
          <w:lang w:eastAsia="es-CO"/>
        </w:rPr>
      </w:pPr>
    </w:p>
    <w:sectPr w:rsidR="00127233" w:rsidRPr="0015699B"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875FC5" w14:textId="77777777" w:rsidR="006F08C8" w:rsidRDefault="006F08C8" w:rsidP="004A1847">
      <w:pPr>
        <w:spacing w:after="0" w:line="240" w:lineRule="auto"/>
      </w:pPr>
      <w:r>
        <w:separator/>
      </w:r>
    </w:p>
  </w:endnote>
  <w:endnote w:type="continuationSeparator" w:id="0">
    <w:p w14:paraId="093A6594" w14:textId="77777777" w:rsidR="006F08C8" w:rsidRDefault="006F08C8" w:rsidP="004A1847">
      <w:pPr>
        <w:spacing w:after="0" w:line="240" w:lineRule="auto"/>
      </w:pPr>
      <w:r>
        <w:continuationSeparator/>
      </w:r>
    </w:p>
  </w:endnote>
  <w:endnote w:type="continuationNotice" w:id="1">
    <w:p w14:paraId="5C04F583" w14:textId="77777777" w:rsidR="006F08C8" w:rsidRDefault="006F08C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152AA5" w14:textId="77777777" w:rsidR="006F08C8" w:rsidRDefault="006F08C8" w:rsidP="004A1847">
      <w:pPr>
        <w:spacing w:after="0" w:line="240" w:lineRule="auto"/>
      </w:pPr>
      <w:r>
        <w:separator/>
      </w:r>
    </w:p>
  </w:footnote>
  <w:footnote w:type="continuationSeparator" w:id="0">
    <w:p w14:paraId="20AB2934" w14:textId="77777777" w:rsidR="006F08C8" w:rsidRDefault="006F08C8" w:rsidP="004A1847">
      <w:pPr>
        <w:spacing w:after="0" w:line="240" w:lineRule="auto"/>
      </w:pPr>
      <w:r>
        <w:continuationSeparator/>
      </w:r>
    </w:p>
  </w:footnote>
  <w:footnote w:type="continuationNotice" w:id="1">
    <w:p w14:paraId="1B8649AB" w14:textId="77777777" w:rsidR="006F08C8" w:rsidRDefault="006F08C8">
      <w:pPr>
        <w:spacing w:after="0" w:line="240" w:lineRule="auto"/>
      </w:pPr>
    </w:p>
  </w:footnote>
  <w:footnote w:id="2">
    <w:p w14:paraId="4F9E9CE5" w14:textId="77777777" w:rsidR="003E4080" w:rsidRPr="00435A6A" w:rsidRDefault="003E4080" w:rsidP="003E4080">
      <w:pPr>
        <w:spacing w:after="0" w:line="240" w:lineRule="auto"/>
        <w:ind w:firstLine="709"/>
        <w:jc w:val="both"/>
        <w:rPr>
          <w:rFonts w:ascii="Verdana" w:hAnsi="Verdana" w:cs="Arial"/>
          <w:sz w:val="14"/>
          <w:szCs w:val="14"/>
          <w:lang w:val="es-ES"/>
        </w:rPr>
      </w:pPr>
      <w:r w:rsidRPr="00435A6A">
        <w:rPr>
          <w:rStyle w:val="Refdenotaalpie"/>
          <w:rFonts w:ascii="Verdana" w:hAnsi="Verdana" w:cs="Arial"/>
          <w:sz w:val="14"/>
          <w:szCs w:val="14"/>
        </w:rPr>
        <w:footnoteRef/>
      </w:r>
      <w:r w:rsidRPr="00435A6A">
        <w:rPr>
          <w:rFonts w:ascii="Verdana" w:hAnsi="Verdana" w:cs="Arial"/>
          <w:sz w:val="14"/>
          <w:szCs w:val="14"/>
        </w:rPr>
        <w:t xml:space="preserve"> </w:t>
      </w:r>
      <w:r w:rsidRPr="00435A6A">
        <w:rPr>
          <w:rFonts w:ascii="Verdana" w:hAnsi="Verdana" w:cs="Arial"/>
          <w:sz w:val="14"/>
          <w:szCs w:val="14"/>
          <w:lang w:val="es-ES"/>
        </w:rPr>
        <w:t>En efecto, este enunciado normativo establece: “Se distinguen en cada contrato las cosas que son de su esencia, las que son de su naturaleza, y las puramente accidentales. Son de la esencia de un contrato aquellas cosas sin las cuales, o no produce efecto alguno, o degeneran en otro contrato diferente; son de la naturaleza de un contrato las que no siendo esenciales en él, se entienden pertenecerle, sin necesidad de una cláusula especial; y son accidentales a un contrato aquellas que ni esencial ni naturalmente le pertenecen, y que se le agregan por medio de cláusulas especiales”.</w:t>
      </w:r>
    </w:p>
    <w:p w14:paraId="12F5EF76" w14:textId="77777777" w:rsidR="003E4080" w:rsidRPr="00435A6A" w:rsidRDefault="003E4080" w:rsidP="003E4080">
      <w:pPr>
        <w:pStyle w:val="Textonotapie"/>
        <w:ind w:firstLine="709"/>
        <w:jc w:val="both"/>
        <w:rPr>
          <w:rFonts w:ascii="Verdana" w:hAnsi="Verdana" w:cs="Arial"/>
          <w:sz w:val="14"/>
          <w:szCs w:val="14"/>
          <w:lang w:val="es-CO"/>
        </w:rPr>
      </w:pPr>
    </w:p>
  </w:footnote>
  <w:footnote w:id="3">
    <w:p w14:paraId="7FF0356A" w14:textId="77777777" w:rsidR="003E4080" w:rsidRPr="00435A6A" w:rsidRDefault="003E4080" w:rsidP="003E4080">
      <w:pPr>
        <w:spacing w:after="0" w:line="240" w:lineRule="auto"/>
        <w:ind w:firstLine="709"/>
        <w:jc w:val="both"/>
        <w:rPr>
          <w:rFonts w:ascii="Verdana" w:hAnsi="Verdana" w:cs="Arial"/>
          <w:sz w:val="14"/>
          <w:szCs w:val="14"/>
          <w:lang w:val="es-ES"/>
        </w:rPr>
      </w:pPr>
      <w:r w:rsidRPr="00435A6A">
        <w:rPr>
          <w:rStyle w:val="Refdenotaalpie"/>
          <w:rFonts w:ascii="Verdana" w:hAnsi="Verdana" w:cs="Arial"/>
          <w:sz w:val="14"/>
          <w:szCs w:val="14"/>
        </w:rPr>
        <w:footnoteRef/>
      </w:r>
      <w:r w:rsidRPr="00435A6A">
        <w:rPr>
          <w:rFonts w:ascii="Verdana" w:hAnsi="Verdana" w:cs="Arial"/>
          <w:sz w:val="14"/>
          <w:szCs w:val="14"/>
        </w:rPr>
        <w:t xml:space="preserve"> </w:t>
      </w:r>
      <w:r w:rsidRPr="00435A6A">
        <w:rPr>
          <w:rFonts w:ascii="Verdana" w:hAnsi="Verdana" w:cs="Arial"/>
          <w:sz w:val="14"/>
          <w:szCs w:val="14"/>
          <w:lang w:val="es-ES"/>
        </w:rPr>
        <w:t>En efecto, el artículo 1.500 del Código Civil expresa: “El contrato es real cuando, para que sea perfecto, es necesaria la tradición de la cosa a que se refiere; es solemne cuando está sujeto a la observancia de ciertas formalidades especiales, de manera que sin ellas no produce ningún efecto civil; y es consensual cuando se perfecciona por el solo consentimiento”.</w:t>
      </w:r>
    </w:p>
    <w:p w14:paraId="3D3E2283" w14:textId="77777777" w:rsidR="003E4080" w:rsidRPr="00435A6A" w:rsidRDefault="003E4080" w:rsidP="003E4080">
      <w:pPr>
        <w:pStyle w:val="Textonotapie"/>
        <w:ind w:firstLine="709"/>
        <w:jc w:val="both"/>
        <w:rPr>
          <w:rFonts w:ascii="Verdana" w:hAnsi="Verdana" w:cs="Arial"/>
          <w:sz w:val="14"/>
          <w:szCs w:val="14"/>
          <w:lang w:val="es-CO"/>
        </w:rPr>
      </w:pPr>
    </w:p>
  </w:footnote>
  <w:footnote w:id="4">
    <w:p w14:paraId="13BED0F0" w14:textId="77777777" w:rsidR="003E4080" w:rsidRPr="00435A6A" w:rsidRDefault="003E4080" w:rsidP="003E4080">
      <w:pPr>
        <w:pStyle w:val="Textonotapie"/>
        <w:ind w:firstLine="709"/>
        <w:jc w:val="both"/>
        <w:rPr>
          <w:rFonts w:ascii="Verdana" w:hAnsi="Verdana" w:cs="Arial"/>
          <w:sz w:val="14"/>
          <w:szCs w:val="14"/>
          <w:lang w:val="es-ES"/>
        </w:rPr>
      </w:pPr>
      <w:r w:rsidRPr="00435A6A">
        <w:rPr>
          <w:rStyle w:val="Refdenotaalpie"/>
          <w:rFonts w:ascii="Verdana" w:hAnsi="Verdana" w:cs="Arial"/>
          <w:sz w:val="14"/>
          <w:szCs w:val="14"/>
        </w:rPr>
        <w:footnoteRef/>
      </w:r>
      <w:r w:rsidRPr="00435A6A">
        <w:rPr>
          <w:rFonts w:ascii="Verdana" w:hAnsi="Verdana" w:cs="Arial"/>
          <w:sz w:val="14"/>
          <w:szCs w:val="14"/>
        </w:rPr>
        <w:t xml:space="preserve"> </w:t>
      </w:r>
      <w:r w:rsidRPr="00435A6A">
        <w:rPr>
          <w:rFonts w:ascii="Verdana" w:hAnsi="Verdana" w:cs="Arial"/>
          <w:sz w:val="14"/>
          <w:szCs w:val="14"/>
          <w:lang w:val="es-ES"/>
        </w:rPr>
        <w:t>EXPÓSITO VÉLEZ, Juan Carlos. Forma y contenido del contrato estatal. Bogotá: Universidad Externado de Colombia, 2013. pp. 28-29.</w:t>
      </w:r>
    </w:p>
    <w:p w14:paraId="1A623665" w14:textId="77777777" w:rsidR="003E4080" w:rsidRPr="00435A6A" w:rsidRDefault="003E4080" w:rsidP="003E4080">
      <w:pPr>
        <w:pStyle w:val="Textonotapie"/>
        <w:ind w:firstLine="709"/>
        <w:jc w:val="both"/>
        <w:rPr>
          <w:rFonts w:ascii="Verdana" w:hAnsi="Verdana" w:cs="Arial"/>
          <w:sz w:val="14"/>
          <w:szCs w:val="14"/>
          <w:lang w:val="es-ES"/>
        </w:rPr>
      </w:pPr>
    </w:p>
  </w:footnote>
  <w:footnote w:id="5">
    <w:p w14:paraId="44CD84CD" w14:textId="77777777" w:rsidR="003E4080" w:rsidRPr="00435A6A" w:rsidRDefault="003E4080" w:rsidP="003E4080">
      <w:pPr>
        <w:pStyle w:val="Textonotapie"/>
        <w:ind w:firstLine="709"/>
        <w:jc w:val="both"/>
        <w:rPr>
          <w:rFonts w:ascii="Verdana" w:hAnsi="Verdana" w:cs="Arial"/>
          <w:iCs/>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w:t>
      </w:r>
      <w:r w:rsidRPr="00435A6A">
        <w:rPr>
          <w:rFonts w:ascii="Verdana" w:hAnsi="Verdana" w:cs="Arial"/>
          <w:sz w:val="14"/>
          <w:szCs w:val="14"/>
          <w:lang w:val="es-ES"/>
        </w:rPr>
        <w:t xml:space="preserve">Consejo de Estado. Sala de lo Contencioso Administrativo. Sección Tercera. Subsección C. Sentencia del 12 de agosto de 2014. Expediente: </w:t>
      </w:r>
      <w:r w:rsidRPr="00435A6A">
        <w:rPr>
          <w:rFonts w:ascii="Verdana" w:hAnsi="Verdana" w:cs="Arial"/>
          <w:sz w:val="14"/>
          <w:szCs w:val="14"/>
        </w:rPr>
        <w:t>28.565.</w:t>
      </w:r>
      <w:r w:rsidRPr="00435A6A">
        <w:rPr>
          <w:rFonts w:ascii="Verdana" w:hAnsi="Verdana" w:cs="Arial"/>
          <w:sz w:val="14"/>
          <w:szCs w:val="14"/>
          <w:lang w:val="es-ES"/>
        </w:rPr>
        <w:t xml:space="preserve"> C.P: Enrique Gil Botero</w:t>
      </w:r>
      <w:r w:rsidRPr="00435A6A">
        <w:rPr>
          <w:rFonts w:ascii="Verdana" w:hAnsi="Verdana" w:cs="Arial"/>
          <w:sz w:val="14"/>
          <w:szCs w:val="14"/>
        </w:rPr>
        <w:t>.</w:t>
      </w:r>
    </w:p>
    <w:p w14:paraId="1B6C8A96" w14:textId="77777777" w:rsidR="003E4080" w:rsidRPr="00435A6A" w:rsidRDefault="003E4080" w:rsidP="003E4080">
      <w:pPr>
        <w:pStyle w:val="Textonotapie"/>
        <w:ind w:firstLine="709"/>
        <w:jc w:val="both"/>
        <w:rPr>
          <w:rFonts w:ascii="Verdana" w:hAnsi="Verdana" w:cs="Arial"/>
          <w:sz w:val="14"/>
          <w:szCs w:val="14"/>
          <w:lang w:val="es-ES"/>
        </w:rPr>
      </w:pPr>
    </w:p>
  </w:footnote>
  <w:footnote w:id="6">
    <w:p w14:paraId="2E0D555D" w14:textId="77777777" w:rsidR="003E4080" w:rsidRPr="00435A6A" w:rsidRDefault="003E4080" w:rsidP="003E4080">
      <w:pPr>
        <w:pStyle w:val="Textonotapie"/>
        <w:ind w:firstLine="709"/>
        <w:jc w:val="both"/>
        <w:rPr>
          <w:rFonts w:ascii="Verdana" w:hAnsi="Verdana"/>
          <w:sz w:val="14"/>
          <w:szCs w:val="14"/>
        </w:rPr>
      </w:pPr>
      <w:r w:rsidRPr="00435A6A">
        <w:rPr>
          <w:rFonts w:ascii="Verdana" w:hAnsi="Verdana"/>
          <w:sz w:val="14"/>
          <w:szCs w:val="14"/>
          <w:vertAlign w:val="superscript"/>
        </w:rPr>
        <w:footnoteRef/>
      </w:r>
      <w:r w:rsidRPr="00435A6A">
        <w:rPr>
          <w:rFonts w:ascii="Verdana" w:hAnsi="Verdana"/>
          <w:sz w:val="14"/>
          <w:szCs w:val="14"/>
        </w:rPr>
        <w:t xml:space="preserve"> Consejo de Estado. Sala de lo Contencioso Administrativo. Sección tercera. Subsección B. Sentencia del 10 de mayo de 2018. </w:t>
      </w:r>
      <w:r w:rsidRPr="00435A6A">
        <w:rPr>
          <w:rFonts w:ascii="Verdana" w:hAnsi="Verdana"/>
          <w:sz w:val="14"/>
          <w:szCs w:val="14"/>
        </w:rPr>
        <w:t>Exp. 41.186. C.P. Stella Conto Díaz del Castillo.</w:t>
      </w:r>
    </w:p>
  </w:footnote>
  <w:footnote w:id="7">
    <w:p w14:paraId="5090A574" w14:textId="77777777" w:rsidR="003E4080" w:rsidRPr="00435A6A" w:rsidRDefault="003E4080" w:rsidP="003E4080">
      <w:pPr>
        <w:pStyle w:val="Textonotapie"/>
        <w:ind w:firstLine="709"/>
        <w:jc w:val="both"/>
        <w:rPr>
          <w:rFonts w:ascii="Verdana" w:hAnsi="Verdana"/>
          <w:sz w:val="14"/>
          <w:szCs w:val="14"/>
        </w:rPr>
      </w:pPr>
      <w:r w:rsidRPr="00435A6A">
        <w:rPr>
          <w:rStyle w:val="Refdenotaalpie"/>
          <w:rFonts w:ascii="Verdana" w:hAnsi="Verdana"/>
          <w:sz w:val="14"/>
          <w:szCs w:val="14"/>
        </w:rPr>
        <w:footnoteRef/>
      </w:r>
      <w:r w:rsidRPr="00435A6A">
        <w:rPr>
          <w:rFonts w:ascii="Verdana" w:hAnsi="Verdana"/>
          <w:sz w:val="14"/>
          <w:szCs w:val="14"/>
        </w:rPr>
        <w:t xml:space="preserve"> Consejo de Estado. Sala de lo Contencioso Administrativo. Sección Tercera. Subsección B. Sentencia del 3 de abril de 2020. Expediente: 46.963. C.P: Ramiro Pazos Guerrero. </w:t>
      </w:r>
    </w:p>
  </w:footnote>
  <w:footnote w:id="8">
    <w:p w14:paraId="582836B8" w14:textId="77777777" w:rsidR="003E4080" w:rsidRPr="00435A6A" w:rsidRDefault="003E4080" w:rsidP="003E4080">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19C81A0C" w14:textId="77777777" w:rsidR="003E4080" w:rsidRPr="00435A6A" w:rsidRDefault="003E4080" w:rsidP="003E4080">
      <w:pPr>
        <w:pStyle w:val="Textonotapie"/>
        <w:ind w:firstLine="709"/>
        <w:jc w:val="both"/>
        <w:rPr>
          <w:rFonts w:ascii="Verdana" w:hAnsi="Verdana" w:cs="Arial"/>
          <w:sz w:val="14"/>
          <w:szCs w:val="14"/>
        </w:rPr>
      </w:pPr>
      <w:r w:rsidRPr="00435A6A">
        <w:rPr>
          <w:rFonts w:ascii="Verdana" w:hAnsi="Verdana" w:cs="Arial"/>
          <w:sz w:val="14"/>
          <w:szCs w:val="14"/>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2C9BF2BC" w14:textId="77777777" w:rsidR="003E4080" w:rsidRPr="00435A6A" w:rsidRDefault="003E4080" w:rsidP="003E4080">
      <w:pPr>
        <w:pStyle w:val="Textonotapie"/>
        <w:ind w:firstLine="709"/>
        <w:jc w:val="both"/>
        <w:rPr>
          <w:rFonts w:ascii="Verdana" w:hAnsi="Verdana" w:cs="Arial"/>
          <w:sz w:val="14"/>
          <w:szCs w:val="14"/>
        </w:rPr>
      </w:pPr>
    </w:p>
  </w:footnote>
  <w:footnote w:id="9">
    <w:p w14:paraId="75BBEEDC" w14:textId="77777777" w:rsidR="003E4080" w:rsidRPr="00435A6A" w:rsidRDefault="003E4080" w:rsidP="003E4080">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Gaceta del Congreso de la República No. 71 del 2005.</w:t>
      </w:r>
    </w:p>
    <w:p w14:paraId="45C76296" w14:textId="77777777" w:rsidR="003E4080" w:rsidRPr="00435A6A" w:rsidRDefault="003E4080" w:rsidP="003E4080">
      <w:pPr>
        <w:pStyle w:val="Textonotapie"/>
        <w:ind w:firstLine="709"/>
        <w:jc w:val="both"/>
        <w:rPr>
          <w:rFonts w:ascii="Verdana" w:hAnsi="Verdana" w:cs="Arial"/>
          <w:sz w:val="14"/>
          <w:szCs w:val="14"/>
        </w:rPr>
      </w:pPr>
    </w:p>
  </w:footnote>
  <w:footnote w:id="10">
    <w:p w14:paraId="0D1DE74B" w14:textId="77777777" w:rsidR="003E4080" w:rsidRPr="00435A6A" w:rsidRDefault="003E4080" w:rsidP="003E4080">
      <w:pPr>
        <w:pStyle w:val="Textonotapie"/>
        <w:tabs>
          <w:tab w:val="left" w:pos="8145"/>
        </w:tabs>
        <w:ind w:firstLine="709"/>
        <w:jc w:val="both"/>
        <w:rPr>
          <w:rFonts w:ascii="Verdana" w:hAnsi="Verdana" w:cs="Arial"/>
          <w:sz w:val="14"/>
          <w:szCs w:val="14"/>
          <w:lang w:val="pt-PT"/>
        </w:rPr>
      </w:pPr>
      <w:r w:rsidRPr="00435A6A">
        <w:rPr>
          <w:rStyle w:val="Refdenotaalpie"/>
          <w:rFonts w:ascii="Verdana" w:hAnsi="Verdana" w:cs="Arial"/>
          <w:sz w:val="14"/>
          <w:szCs w:val="14"/>
        </w:rPr>
        <w:footnoteRef/>
      </w:r>
      <w:r w:rsidRPr="00435A6A">
        <w:rPr>
          <w:rFonts w:ascii="Verdana" w:hAnsi="Verdana" w:cs="Arial"/>
          <w:sz w:val="14"/>
          <w:szCs w:val="14"/>
          <w:lang w:val="pt-PT"/>
        </w:rPr>
        <w:t xml:space="preserve"> Corte Constitucional. Sentencia C- 1153 de 2005, M.P: Marco Gerardo Monroy Cabra.</w:t>
      </w:r>
      <w:r w:rsidRPr="00435A6A">
        <w:rPr>
          <w:rFonts w:ascii="Verdana" w:hAnsi="Verdana" w:cs="Arial"/>
          <w:sz w:val="14"/>
          <w:szCs w:val="14"/>
          <w:lang w:val="pt-PT"/>
        </w:rPr>
        <w:tab/>
      </w:r>
    </w:p>
    <w:p w14:paraId="4F3ED0B5" w14:textId="77777777" w:rsidR="003E4080" w:rsidRPr="00435A6A" w:rsidRDefault="003E4080" w:rsidP="003E4080">
      <w:pPr>
        <w:pStyle w:val="Textonotapie"/>
        <w:tabs>
          <w:tab w:val="left" w:pos="8145"/>
        </w:tabs>
        <w:ind w:firstLine="709"/>
        <w:jc w:val="both"/>
        <w:rPr>
          <w:rFonts w:ascii="Verdana" w:hAnsi="Verdana" w:cs="Arial"/>
          <w:sz w:val="14"/>
          <w:szCs w:val="14"/>
          <w:lang w:val="pt-PT"/>
        </w:rPr>
      </w:pPr>
    </w:p>
  </w:footnote>
  <w:footnote w:id="11">
    <w:p w14:paraId="37D98CE4" w14:textId="77777777" w:rsidR="003E4080" w:rsidRPr="00435A6A" w:rsidRDefault="003E4080" w:rsidP="003E4080">
      <w:pPr>
        <w:pStyle w:val="Textonotapie"/>
        <w:ind w:firstLine="709"/>
        <w:jc w:val="both"/>
        <w:rPr>
          <w:rFonts w:ascii="Verdana" w:hAnsi="Verdana" w:cs="Arial"/>
          <w:sz w:val="14"/>
          <w:szCs w:val="14"/>
          <w:lang w:val="pt-PT"/>
        </w:rPr>
      </w:pPr>
      <w:r w:rsidRPr="00435A6A">
        <w:rPr>
          <w:rStyle w:val="Refdenotaalpie"/>
          <w:rFonts w:ascii="Verdana" w:hAnsi="Verdana" w:cs="Arial"/>
          <w:sz w:val="14"/>
          <w:szCs w:val="14"/>
        </w:rPr>
        <w:footnoteRef/>
      </w:r>
      <w:r w:rsidRPr="00435A6A">
        <w:rPr>
          <w:rFonts w:ascii="Verdana" w:hAnsi="Verdana" w:cs="Arial"/>
          <w:sz w:val="14"/>
          <w:szCs w:val="14"/>
          <w:lang w:val="pt-PT"/>
        </w:rPr>
        <w:t xml:space="preserve"> </w:t>
      </w:r>
      <w:r w:rsidRPr="00435A6A">
        <w:rPr>
          <w:rFonts w:ascii="Verdana" w:hAnsi="Verdana" w:cs="Arial"/>
          <w:sz w:val="14"/>
          <w:szCs w:val="14"/>
          <w:lang w:val="es-CO"/>
        </w:rPr>
        <w:t xml:space="preserve">Corte Constitucional. Sentencias: C-233 de 4 de abril de 2002. M.P: Álvaro Tafur Galvis; C-551 de 9 de julio de 2003. M.P: Eduardo Montealegre Lynnet; C-353 de 20 de mayo de 2009. M.P: Jorge Iván Palacio </w:t>
      </w:r>
      <w:r w:rsidRPr="00435A6A">
        <w:rPr>
          <w:rFonts w:ascii="Verdana" w:hAnsi="Verdana" w:cs="Arial"/>
          <w:sz w:val="14"/>
          <w:szCs w:val="14"/>
          <w:lang w:val="es-CO"/>
        </w:rPr>
        <w:t>Palacio; C-541 de 30 de junio de 2010. M.P: Gabriel Eduardo Mendoza Martelo; entre otras.</w:t>
      </w:r>
    </w:p>
    <w:p w14:paraId="2FFED834" w14:textId="77777777" w:rsidR="003E4080" w:rsidRPr="00435A6A" w:rsidRDefault="003E4080" w:rsidP="003E4080">
      <w:pPr>
        <w:pStyle w:val="Textonotapie"/>
        <w:ind w:firstLine="709"/>
        <w:jc w:val="both"/>
        <w:rPr>
          <w:rFonts w:ascii="Verdana" w:hAnsi="Verdana" w:cs="Arial"/>
          <w:sz w:val="14"/>
          <w:szCs w:val="14"/>
          <w:lang w:val="pt-PT"/>
        </w:rPr>
      </w:pPr>
    </w:p>
  </w:footnote>
  <w:footnote w:id="12">
    <w:p w14:paraId="5EB90068" w14:textId="77777777" w:rsidR="003E4080" w:rsidRPr="00435A6A" w:rsidRDefault="003E4080" w:rsidP="003E4080">
      <w:pPr>
        <w:pStyle w:val="Textonotapie"/>
        <w:ind w:firstLine="709"/>
        <w:jc w:val="both"/>
        <w:rPr>
          <w:rFonts w:ascii="Verdana" w:hAnsi="Verdana" w:cs="Arial"/>
          <w:sz w:val="14"/>
          <w:szCs w:val="14"/>
          <w:lang w:val="es-CO"/>
        </w:rPr>
      </w:pPr>
      <w:r w:rsidRPr="00435A6A">
        <w:rPr>
          <w:rStyle w:val="Refdenotaalpie"/>
          <w:rFonts w:ascii="Verdana" w:hAnsi="Verdana" w:cs="Arial"/>
          <w:sz w:val="14"/>
          <w:szCs w:val="14"/>
        </w:rPr>
        <w:footnoteRef/>
      </w:r>
      <w:r w:rsidRPr="00435A6A">
        <w:rPr>
          <w:rFonts w:ascii="Verdana" w:hAnsi="Verdana" w:cs="Arial"/>
          <w:sz w:val="14"/>
          <w:szCs w:val="14"/>
          <w:lang w:val="es-CO"/>
        </w:rPr>
        <w:t xml:space="preserve"> Consejo de Estado. Sala de lo Contencioso Administrativo. Sección Primera. Sentencia de 3 de marzo de 2005. Radicado: </w:t>
      </w:r>
      <w:r w:rsidRPr="00435A6A">
        <w:rPr>
          <w:rFonts w:ascii="Verdana" w:hAnsi="Verdana" w:cs="Arial"/>
          <w:sz w:val="14"/>
          <w:szCs w:val="14"/>
          <w:lang w:val="es-ES"/>
        </w:rPr>
        <w:t xml:space="preserve">25001-23-15-000-2004-00823-01 (PI). </w:t>
      </w:r>
      <w:r w:rsidRPr="00435A6A">
        <w:rPr>
          <w:rFonts w:ascii="Verdana" w:hAnsi="Verdana" w:cs="Arial"/>
          <w:sz w:val="14"/>
          <w:szCs w:val="14"/>
          <w:lang w:val="es-CO"/>
        </w:rPr>
        <w:t>C.P: Camilo Arciniegas Andrade. Ver también, de la Sección Tercera. Sentencia de 22 de enero de 2002, expediente número 2001-0148-01 y, Sección Tercera. Sentencia de 20 de noviembre de 2001, expediente número 2001-0130-01(PI), entre otras.</w:t>
      </w:r>
    </w:p>
    <w:p w14:paraId="7A51747D" w14:textId="77777777" w:rsidR="003E4080" w:rsidRPr="00435A6A" w:rsidRDefault="003E4080" w:rsidP="003E4080">
      <w:pPr>
        <w:pStyle w:val="Textonotapie"/>
        <w:ind w:firstLine="709"/>
        <w:jc w:val="both"/>
        <w:rPr>
          <w:rFonts w:ascii="Verdana" w:hAnsi="Verdana" w:cs="Arial"/>
          <w:sz w:val="14"/>
          <w:szCs w:val="14"/>
          <w:lang w:val="es-CO"/>
        </w:rPr>
      </w:pPr>
    </w:p>
  </w:footnote>
  <w:footnote w:id="13">
    <w:p w14:paraId="21EED008" w14:textId="77777777" w:rsidR="003E4080" w:rsidRPr="00435A6A" w:rsidRDefault="003E4080" w:rsidP="003E4080">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Consejo de Estado, Sala de Consulta y Servicio Civil. 24 de julio de 2013. Radicado: </w:t>
      </w:r>
      <w:r w:rsidRPr="00435A6A">
        <w:rPr>
          <w:rFonts w:ascii="Verdana" w:hAnsi="Verdana" w:cs="Arial"/>
          <w:sz w:val="14"/>
          <w:szCs w:val="14"/>
          <w:lang w:val="es-CO"/>
        </w:rPr>
        <w:t xml:space="preserve">11001-03-06-000-2013-00407-00 </w:t>
      </w:r>
      <w:r w:rsidRPr="00435A6A">
        <w:rPr>
          <w:rFonts w:ascii="Verdana" w:hAnsi="Verdana" w:cs="Arial"/>
          <w:sz w:val="14"/>
          <w:szCs w:val="14"/>
        </w:rPr>
        <w:t xml:space="preserve">(2166). C.P. Álvaro Namén Vargas.  </w:t>
      </w:r>
    </w:p>
    <w:p w14:paraId="61AF76AE" w14:textId="77777777" w:rsidR="003E4080" w:rsidRPr="00435A6A" w:rsidRDefault="003E4080" w:rsidP="003E4080">
      <w:pPr>
        <w:pStyle w:val="Textonotapie"/>
        <w:ind w:firstLine="709"/>
        <w:jc w:val="both"/>
        <w:rPr>
          <w:rFonts w:ascii="Verdana" w:hAnsi="Verdana" w:cs="Arial"/>
          <w:sz w:val="14"/>
          <w:szCs w:val="14"/>
        </w:rPr>
      </w:pPr>
    </w:p>
  </w:footnote>
  <w:footnote w:id="14">
    <w:p w14:paraId="2368DEC2" w14:textId="77777777" w:rsidR="003E4080" w:rsidRPr="00435A6A" w:rsidRDefault="003E4080" w:rsidP="003E4080">
      <w:pPr>
        <w:spacing w:after="0" w:line="240" w:lineRule="auto"/>
        <w:ind w:firstLine="709"/>
        <w:jc w:val="both"/>
        <w:rPr>
          <w:rFonts w:ascii="Verdana" w:eastAsia="Times New Roman"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w:t>
      </w:r>
      <w:bookmarkStart w:id="4" w:name="33"/>
      <w:r w:rsidRPr="00435A6A">
        <w:rPr>
          <w:rFonts w:ascii="Verdana" w:eastAsia="Calibri" w:hAnsi="Verdana" w:cs="Arial"/>
          <w:color w:val="000000"/>
          <w:sz w:val="14"/>
          <w:szCs w:val="14"/>
        </w:rPr>
        <w:t>“</w:t>
      </w:r>
      <w:r w:rsidRPr="00435A6A">
        <w:rPr>
          <w:rFonts w:ascii="Verdana" w:eastAsia="Times New Roman" w:hAnsi="Verdana" w:cs="Arial"/>
          <w:sz w:val="14"/>
          <w:szCs w:val="14"/>
        </w:rPr>
        <w:t>Artículo 33. Restricciones a la contratación pública.</w:t>
      </w:r>
      <w:bookmarkEnd w:id="4"/>
      <w:r w:rsidRPr="00435A6A">
        <w:rPr>
          <w:rFonts w:ascii="Verdana" w:eastAsia="Times New Roman" w:hAnsi="Verdana" w:cs="Arial"/>
          <w:sz w:val="14"/>
          <w:szCs w:val="14"/>
        </w:rPr>
        <w:t> Durante los cuatro (4) meses anteriores a la elección presidencial y hasta la realización de la elección en la segunda vuelta, si fuere el caso, queda prohibida la contratación directa por parte de todos los entes del Estado.</w:t>
      </w:r>
    </w:p>
    <w:p w14:paraId="09368163" w14:textId="77777777" w:rsidR="003E4080" w:rsidRPr="00435A6A" w:rsidRDefault="003E4080" w:rsidP="003E4080">
      <w:pPr>
        <w:spacing w:after="0" w:line="240" w:lineRule="auto"/>
        <w:ind w:firstLine="709"/>
        <w:jc w:val="both"/>
        <w:rPr>
          <w:rFonts w:ascii="Verdana" w:eastAsia="Times New Roman" w:hAnsi="Verdana" w:cs="Arial"/>
          <w:sz w:val="14"/>
          <w:szCs w:val="14"/>
        </w:rPr>
      </w:pPr>
      <w:r w:rsidRPr="00435A6A">
        <w:rPr>
          <w:rFonts w:ascii="Verdana" w:eastAsia="Times New Roman" w:hAnsi="Verdana" w:cs="Arial"/>
          <w:sz w:val="14"/>
          <w:szCs w:val="14"/>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0B0E5C54" w14:textId="77777777" w:rsidR="003E4080" w:rsidRPr="00435A6A" w:rsidRDefault="003E4080" w:rsidP="003E4080">
      <w:pPr>
        <w:spacing w:after="0" w:line="240" w:lineRule="auto"/>
        <w:ind w:firstLine="709"/>
        <w:jc w:val="both"/>
        <w:rPr>
          <w:rFonts w:ascii="Verdana" w:eastAsia="Times New Roman" w:hAnsi="Verdana" w:cs="Arial"/>
          <w:sz w:val="14"/>
          <w:szCs w:val="14"/>
        </w:rPr>
      </w:pPr>
    </w:p>
  </w:footnote>
  <w:footnote w:id="15">
    <w:p w14:paraId="40F8C02F" w14:textId="77777777" w:rsidR="003E4080" w:rsidRPr="00435A6A" w:rsidRDefault="003E4080" w:rsidP="003E4080">
      <w:pPr>
        <w:pStyle w:val="NormalWeb"/>
        <w:spacing w:before="0" w:beforeAutospacing="0" w:after="0" w:afterAutospacing="0"/>
        <w:ind w:firstLine="709"/>
        <w:jc w:val="both"/>
        <w:rPr>
          <w:rFonts w:ascii="Verdana" w:hAnsi="Verdana" w:cs="Arial"/>
          <w:sz w:val="14"/>
          <w:szCs w:val="14"/>
          <w:lang w:val="es-MX"/>
        </w:rPr>
      </w:pPr>
      <w:r w:rsidRPr="00435A6A">
        <w:rPr>
          <w:rStyle w:val="Refdenotaalpie"/>
          <w:rFonts w:ascii="Verdana" w:eastAsiaTheme="majorEastAsia" w:hAnsi="Verdana" w:cs="Arial"/>
          <w:sz w:val="14"/>
          <w:szCs w:val="14"/>
        </w:rPr>
        <w:footnoteRef/>
      </w:r>
      <w:r w:rsidRPr="00435A6A">
        <w:rPr>
          <w:rFonts w:ascii="Verdana" w:hAnsi="Verdana" w:cs="Arial"/>
          <w:sz w:val="14"/>
          <w:szCs w:val="14"/>
        </w:rPr>
        <w:t xml:space="preserve"> </w:t>
      </w:r>
      <w:bookmarkStart w:id="5" w:name="38"/>
      <w:r w:rsidRPr="00435A6A">
        <w:rPr>
          <w:rFonts w:ascii="Verdana" w:eastAsia="Calibri" w:hAnsi="Verdana" w:cs="Arial"/>
          <w:color w:val="000000"/>
          <w:sz w:val="14"/>
          <w:szCs w:val="14"/>
        </w:rPr>
        <w:t>“</w:t>
      </w:r>
      <w:r w:rsidRPr="00435A6A">
        <w:rPr>
          <w:rFonts w:ascii="Verdana" w:hAnsi="Verdana" w:cs="Arial"/>
          <w:sz w:val="14"/>
          <w:szCs w:val="14"/>
          <w:lang w:val="es-MX"/>
        </w:rPr>
        <w:t>Artículo 38. Prohibiciones para los servidores públicos. A los empleados del Estado les está prohibido:</w:t>
      </w:r>
      <w:bookmarkEnd w:id="5"/>
    </w:p>
    <w:p w14:paraId="21F1915C" w14:textId="77777777" w:rsidR="003E4080" w:rsidRPr="00435A6A" w:rsidRDefault="003E4080" w:rsidP="003E4080">
      <w:pPr>
        <w:pStyle w:val="NormalWeb"/>
        <w:spacing w:before="0" w:beforeAutospacing="0" w:after="0" w:afterAutospacing="0"/>
        <w:ind w:firstLine="709"/>
        <w:jc w:val="both"/>
        <w:rPr>
          <w:rFonts w:ascii="Verdana" w:hAnsi="Verdana" w:cs="Arial"/>
          <w:sz w:val="14"/>
          <w:szCs w:val="14"/>
          <w:lang w:val="es-MX"/>
        </w:rPr>
      </w:pPr>
      <w:r w:rsidRPr="00435A6A">
        <w:rPr>
          <w:rFonts w:ascii="Verdana" w:hAnsi="Verdana" w:cs="Arial"/>
          <w:sz w:val="14"/>
          <w:szCs w:val="14"/>
          <w:lang w:val="es-MX"/>
        </w:rPr>
        <w:t>(…)</w:t>
      </w:r>
    </w:p>
    <w:p w14:paraId="4B62386F" w14:textId="77777777" w:rsidR="003E4080" w:rsidRPr="00435A6A" w:rsidRDefault="003E4080" w:rsidP="003E4080">
      <w:pPr>
        <w:pStyle w:val="NormalWeb"/>
        <w:spacing w:before="0" w:beforeAutospacing="0" w:after="0" w:afterAutospacing="0"/>
        <w:ind w:firstLine="709"/>
        <w:jc w:val="both"/>
        <w:rPr>
          <w:rFonts w:ascii="Verdana" w:eastAsia="Calibri" w:hAnsi="Verdana" w:cs="Arial"/>
          <w:color w:val="000000"/>
          <w:sz w:val="14"/>
          <w:szCs w:val="14"/>
        </w:rPr>
      </w:pPr>
      <w:r w:rsidRPr="00435A6A">
        <w:rPr>
          <w:rStyle w:val="baj"/>
          <w:rFonts w:ascii="Verdana" w:hAnsi="Verdana" w:cs="Arial"/>
          <w:sz w:val="14"/>
          <w:szCs w:val="14"/>
          <w:lang w:val="es-MX"/>
        </w:rPr>
        <w:t>Parágrafo.</w:t>
      </w:r>
      <w:r w:rsidRPr="00435A6A">
        <w:rPr>
          <w:rFonts w:ascii="Verdana" w:hAnsi="Verdana" w:cs="Arial"/>
          <w:sz w:val="14"/>
          <w:szCs w:val="14"/>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435A6A">
        <w:rPr>
          <w:rFonts w:ascii="Verdana" w:eastAsia="Calibri" w:hAnsi="Verdana" w:cs="Arial"/>
          <w:color w:val="000000"/>
          <w:sz w:val="14"/>
          <w:szCs w:val="14"/>
        </w:rPr>
        <w:t>”.</w:t>
      </w:r>
    </w:p>
    <w:p w14:paraId="121BD524" w14:textId="77777777" w:rsidR="003E4080" w:rsidRPr="00435A6A" w:rsidRDefault="003E4080" w:rsidP="003E4080">
      <w:pPr>
        <w:pStyle w:val="NormalWeb"/>
        <w:spacing w:before="0" w:beforeAutospacing="0" w:after="0" w:afterAutospacing="0"/>
        <w:ind w:firstLine="709"/>
        <w:jc w:val="both"/>
        <w:rPr>
          <w:rFonts w:ascii="Verdana" w:hAnsi="Verdana" w:cs="Arial"/>
          <w:sz w:val="14"/>
          <w:szCs w:val="14"/>
          <w:lang w:val="es-MX"/>
        </w:rPr>
      </w:pPr>
    </w:p>
  </w:footnote>
  <w:footnote w:id="16">
    <w:p w14:paraId="50CC7F3F" w14:textId="77777777" w:rsidR="003E4080" w:rsidRPr="00435A6A" w:rsidRDefault="003E4080" w:rsidP="003E4080">
      <w:pPr>
        <w:spacing w:after="0" w:line="240" w:lineRule="auto"/>
        <w:ind w:left="100" w:right="244"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Consejo de Estado. Sala de Consulta y Servicio Civil. Concepto del 17 de febrero de 2015. Radicado: 11001-03-06-000-2015-00164-00 (2269). C.P. William Zambrano Cetina.</w:t>
      </w:r>
    </w:p>
    <w:p w14:paraId="503A846E" w14:textId="77777777" w:rsidR="003E4080" w:rsidRPr="00435A6A" w:rsidRDefault="003E4080" w:rsidP="003E4080">
      <w:pPr>
        <w:spacing w:after="0" w:line="240" w:lineRule="auto"/>
        <w:ind w:left="100" w:right="244" w:firstLine="709"/>
        <w:jc w:val="both"/>
        <w:rPr>
          <w:rFonts w:ascii="Verdana" w:hAnsi="Verdana" w:cs="Arial"/>
          <w:sz w:val="14"/>
          <w:szCs w:val="14"/>
          <w:lang w:val="es-ES"/>
        </w:rPr>
      </w:pPr>
    </w:p>
  </w:footnote>
  <w:footnote w:id="17">
    <w:p w14:paraId="6FF7430E" w14:textId="77777777" w:rsidR="003E4080" w:rsidRPr="00435A6A" w:rsidRDefault="003E4080" w:rsidP="003E4080">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w:t>
      </w:r>
      <w:r w:rsidRPr="00435A6A">
        <w:rPr>
          <w:rFonts w:ascii="Verdana" w:hAnsi="Verdana" w:cs="Arial"/>
          <w:sz w:val="14"/>
          <w:szCs w:val="14"/>
          <w:lang w:val="es-ES"/>
        </w:rPr>
        <w:t xml:space="preserve">[25] </w:t>
      </w:r>
      <w:r w:rsidRPr="00435A6A">
        <w:rPr>
          <w:rFonts w:ascii="Verdana" w:hAnsi="Verdana" w:cs="Arial"/>
          <w:sz w:val="14"/>
          <w:szCs w:val="14"/>
        </w:rPr>
        <w:t>Cfr. Consejo de Estado. Sección Tercera. Sentencia de 3 de diciembre de 2007. Radicados: 24.715, 25.206, 25.409, 24.524, 27.834, 25.410, 26.105, 28.244, 31.447 -acumulados</w:t>
      </w:r>
      <w:r w:rsidRPr="00435A6A">
        <w:rPr>
          <w:rFonts w:ascii="Verdana" w:hAnsi="Verdana" w:cs="Arial"/>
          <w:sz w:val="14"/>
          <w:szCs w:val="14"/>
        </w:rPr>
        <w:t>-“.</w:t>
      </w:r>
    </w:p>
    <w:p w14:paraId="7BD45AC8" w14:textId="77777777" w:rsidR="003E4080" w:rsidRPr="00435A6A" w:rsidRDefault="003E4080" w:rsidP="003E4080">
      <w:pPr>
        <w:pStyle w:val="Textonotapie"/>
        <w:ind w:firstLine="709"/>
        <w:jc w:val="both"/>
        <w:rPr>
          <w:rFonts w:ascii="Verdana" w:hAnsi="Verdana" w:cs="Arial"/>
          <w:sz w:val="14"/>
          <w:szCs w:val="14"/>
        </w:rPr>
      </w:pPr>
    </w:p>
  </w:footnote>
  <w:footnote w:id="18">
    <w:p w14:paraId="1CAB9DAC" w14:textId="77777777" w:rsidR="003E4080" w:rsidRPr="00435A6A" w:rsidRDefault="003E4080" w:rsidP="003E4080">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w:t>
      </w:r>
      <w:bookmarkStart w:id="13" w:name="_Hlk74294506"/>
      <w:r w:rsidRPr="00435A6A">
        <w:rPr>
          <w:rFonts w:ascii="Verdana" w:hAnsi="Verdana" w:cs="Arial"/>
          <w:sz w:val="14"/>
          <w:szCs w:val="14"/>
        </w:rPr>
        <w:t>“</w:t>
      </w:r>
      <w:r w:rsidRPr="00435A6A">
        <w:rPr>
          <w:rFonts w:ascii="Verdana" w:hAnsi="Verdana" w:cs="Arial"/>
          <w:sz w:val="14"/>
          <w:szCs w:val="14"/>
          <w:lang w:val="es-ES"/>
        </w:rPr>
        <w:t xml:space="preserve">[26] </w:t>
      </w:r>
      <w:bookmarkEnd w:id="13"/>
      <w:r w:rsidRPr="00435A6A">
        <w:rPr>
          <w:rFonts w:ascii="Verdana" w:hAnsi="Verdana" w:cs="Arial"/>
          <w:sz w:val="14"/>
          <w:szCs w:val="14"/>
        </w:rPr>
        <w:t>Al respecto ver el concepto 1712 de 2 de febrero de 2006. Consejo de Estado Sala de Consulta y Servicio Civil”.</w:t>
      </w:r>
    </w:p>
    <w:p w14:paraId="7ECCA26D" w14:textId="77777777" w:rsidR="003E4080" w:rsidRPr="00435A6A" w:rsidRDefault="003E4080" w:rsidP="003E4080">
      <w:pPr>
        <w:pStyle w:val="Textonotapie"/>
        <w:ind w:firstLine="709"/>
        <w:jc w:val="both"/>
        <w:rPr>
          <w:rFonts w:ascii="Verdana" w:hAnsi="Verdana" w:cs="Arial"/>
          <w:sz w:val="14"/>
          <w:szCs w:val="14"/>
        </w:rPr>
      </w:pPr>
    </w:p>
  </w:footnote>
  <w:footnote w:id="19">
    <w:p w14:paraId="0B8032BA" w14:textId="77777777" w:rsidR="003E4080" w:rsidRPr="00435A6A" w:rsidRDefault="003E4080" w:rsidP="003E4080">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Consejo de Estado. Sala de Consulta y Servicio Civil. Concepto del 2 de septiembre de 2013. Radicación número: 11001-03-06-000-2013-00412-00 (2168). C.P: Álvaro Namén Vargas.</w:t>
      </w:r>
    </w:p>
    <w:p w14:paraId="5026B840" w14:textId="77777777" w:rsidR="003E4080" w:rsidRPr="00435A6A" w:rsidRDefault="003E4080" w:rsidP="003E4080">
      <w:pPr>
        <w:pStyle w:val="Textonotapie"/>
        <w:ind w:firstLine="709"/>
        <w:jc w:val="both"/>
        <w:rPr>
          <w:rFonts w:ascii="Verdana" w:hAnsi="Verdana" w:cs="Arial"/>
          <w:sz w:val="14"/>
          <w:szCs w:val="14"/>
        </w:rPr>
      </w:pPr>
    </w:p>
  </w:footnote>
  <w:footnote w:id="20">
    <w:p w14:paraId="78774F4E" w14:textId="77777777" w:rsidR="003E4080" w:rsidRPr="00435A6A" w:rsidRDefault="003E4080" w:rsidP="003E4080">
      <w:pPr>
        <w:pStyle w:val="Textonotapie"/>
        <w:ind w:firstLine="709"/>
        <w:rPr>
          <w:rFonts w:ascii="Verdana" w:hAnsi="Verdana" w:cs="Arial"/>
          <w:sz w:val="14"/>
          <w:szCs w:val="14"/>
          <w:lang w:val="es-ES"/>
        </w:rPr>
      </w:pPr>
      <w:r w:rsidRPr="00435A6A">
        <w:rPr>
          <w:rStyle w:val="Refdenotaalpie"/>
          <w:rFonts w:ascii="Verdana" w:hAnsi="Verdana" w:cs="Arial"/>
          <w:sz w:val="14"/>
          <w:szCs w:val="14"/>
        </w:rPr>
        <w:footnoteRef/>
      </w:r>
      <w:r w:rsidRPr="00435A6A">
        <w:rPr>
          <w:rFonts w:ascii="Verdana" w:hAnsi="Verdana" w:cs="Arial"/>
          <w:sz w:val="14"/>
          <w:szCs w:val="14"/>
        </w:rPr>
        <w:t xml:space="preserve"> </w:t>
      </w:r>
      <w:r w:rsidRPr="00435A6A">
        <w:rPr>
          <w:rFonts w:ascii="Verdana" w:hAnsi="Verdana" w:cs="Arial"/>
          <w:sz w:val="14"/>
          <w:szCs w:val="14"/>
          <w:lang w:val="es-ES"/>
        </w:rPr>
        <w:t xml:space="preserve">Artículo 2. </w:t>
      </w:r>
    </w:p>
    <w:p w14:paraId="142A5E4C" w14:textId="77777777" w:rsidR="003E4080" w:rsidRPr="00435A6A" w:rsidRDefault="003E4080" w:rsidP="003E4080">
      <w:pPr>
        <w:pStyle w:val="Textonotapie"/>
        <w:ind w:firstLine="709"/>
        <w:rPr>
          <w:rFonts w:ascii="Verdana" w:hAnsi="Verdana" w:cs="Arial"/>
          <w:sz w:val="14"/>
          <w:szCs w:val="14"/>
          <w:lang w:val="es-ES"/>
        </w:rPr>
      </w:pPr>
    </w:p>
  </w:footnote>
  <w:footnote w:id="21">
    <w:p w14:paraId="38703FEF" w14:textId="77777777" w:rsidR="003E4080" w:rsidRDefault="003E4080" w:rsidP="003E4080">
      <w:pPr>
        <w:pStyle w:val="Textonotapie"/>
        <w:ind w:firstLine="709"/>
        <w:rPr>
          <w:rFonts w:ascii="Verdana" w:hAnsi="Verdana" w:cs="Arial"/>
          <w:sz w:val="14"/>
          <w:szCs w:val="14"/>
          <w:lang w:val="es-ES"/>
        </w:rPr>
      </w:pPr>
      <w:r w:rsidRPr="00435A6A">
        <w:rPr>
          <w:rStyle w:val="Refdenotaalpie"/>
          <w:rFonts w:ascii="Verdana" w:hAnsi="Verdana" w:cs="Arial"/>
          <w:sz w:val="14"/>
          <w:szCs w:val="14"/>
        </w:rPr>
        <w:footnoteRef/>
      </w:r>
      <w:r w:rsidRPr="00435A6A">
        <w:rPr>
          <w:rFonts w:ascii="Verdana" w:hAnsi="Verdana" w:cs="Arial"/>
          <w:sz w:val="14"/>
          <w:szCs w:val="14"/>
        </w:rPr>
        <w:t xml:space="preserve"> </w:t>
      </w:r>
      <w:r w:rsidRPr="00435A6A">
        <w:rPr>
          <w:rFonts w:ascii="Verdana" w:hAnsi="Verdana" w:cs="Arial"/>
          <w:i/>
          <w:sz w:val="14"/>
          <w:szCs w:val="14"/>
          <w:lang w:val="es-ES"/>
        </w:rPr>
        <w:t>Ídem</w:t>
      </w:r>
      <w:r w:rsidRPr="00435A6A">
        <w:rPr>
          <w:rFonts w:ascii="Verdana" w:hAnsi="Verdana" w:cs="Arial"/>
          <w:sz w:val="14"/>
          <w:szCs w:val="14"/>
          <w:lang w:val="es-ES"/>
        </w:rPr>
        <w:t>.</w:t>
      </w:r>
    </w:p>
    <w:p w14:paraId="7ED9E086" w14:textId="77777777" w:rsidR="00FD7B2E" w:rsidRPr="00435A6A" w:rsidRDefault="00FD7B2E" w:rsidP="003E4080">
      <w:pPr>
        <w:pStyle w:val="Textonotapie"/>
        <w:ind w:firstLine="709"/>
        <w:rPr>
          <w:rFonts w:ascii="Verdana" w:hAnsi="Verdana" w:cs="Arial"/>
          <w:sz w:val="14"/>
          <w:szCs w:val="14"/>
          <w:lang w:val="es-ES"/>
        </w:rPr>
      </w:pPr>
    </w:p>
  </w:footnote>
  <w:footnote w:id="22">
    <w:p w14:paraId="455181C0" w14:textId="77777777" w:rsidR="003E4080" w:rsidRPr="00435A6A" w:rsidRDefault="003E4080" w:rsidP="003E4080">
      <w:pPr>
        <w:pStyle w:val="Textonotapie"/>
        <w:ind w:firstLine="709"/>
        <w:rPr>
          <w:rFonts w:ascii="Verdana" w:hAnsi="Verdana" w:cs="Arial"/>
          <w:sz w:val="14"/>
          <w:szCs w:val="14"/>
          <w:lang w:val="es-ES"/>
        </w:rPr>
      </w:pPr>
      <w:r w:rsidRPr="00435A6A">
        <w:rPr>
          <w:rStyle w:val="Refdenotaalpie"/>
          <w:rFonts w:ascii="Verdana" w:hAnsi="Verdana" w:cs="Arial"/>
          <w:sz w:val="14"/>
          <w:szCs w:val="14"/>
        </w:rPr>
        <w:footnoteRef/>
      </w:r>
      <w:r w:rsidRPr="00435A6A">
        <w:rPr>
          <w:rStyle w:val="Refdenotaalpie"/>
          <w:rFonts w:ascii="Verdana" w:hAnsi="Verdana" w:cs="Arial"/>
          <w:sz w:val="14"/>
          <w:szCs w:val="14"/>
        </w:rPr>
        <w:t xml:space="preserve"> </w:t>
      </w:r>
      <w:r w:rsidRPr="00435A6A">
        <w:rPr>
          <w:rFonts w:ascii="Verdana" w:hAnsi="Verdana" w:cs="Arial"/>
          <w:sz w:val="14"/>
          <w:szCs w:val="14"/>
          <w:lang w:val="es-ES"/>
        </w:rPr>
        <w:t xml:space="preserve">[…] A este respecto, cabe recordar que el artículo 860 del Código de Comercio regula la licitación en el derecho privado. </w:t>
      </w:r>
    </w:p>
    <w:p w14:paraId="62EB78FE" w14:textId="77777777" w:rsidR="003E4080" w:rsidRPr="00435A6A" w:rsidRDefault="003E4080" w:rsidP="003E4080">
      <w:pPr>
        <w:pStyle w:val="Textonotapie"/>
        <w:ind w:firstLine="709"/>
        <w:rPr>
          <w:rFonts w:ascii="Verdana" w:hAnsi="Verdana" w:cs="Arial"/>
          <w:sz w:val="14"/>
          <w:szCs w:val="14"/>
          <w:lang w:val="es-ES"/>
        </w:rPr>
      </w:pPr>
    </w:p>
  </w:footnote>
  <w:footnote w:id="23">
    <w:p w14:paraId="7E8D84BB" w14:textId="77777777" w:rsidR="003E4080" w:rsidRPr="00435A6A" w:rsidRDefault="003E4080" w:rsidP="003E4080">
      <w:pPr>
        <w:shd w:val="clear" w:color="auto" w:fill="FFFFFF"/>
        <w:spacing w:after="0" w:line="240" w:lineRule="auto"/>
        <w:ind w:firstLine="709"/>
        <w:jc w:val="both"/>
        <w:rPr>
          <w:rFonts w:ascii="Verdana" w:hAnsi="Verdana" w:cs="Arial"/>
          <w:sz w:val="14"/>
          <w:szCs w:val="14"/>
          <w:lang w:val="es-ES"/>
        </w:rPr>
      </w:pPr>
      <w:r w:rsidRPr="00435A6A">
        <w:rPr>
          <w:rStyle w:val="Refdenotaalpie"/>
          <w:rFonts w:ascii="Verdana" w:hAnsi="Verdana" w:cs="Arial"/>
          <w:sz w:val="14"/>
          <w:szCs w:val="14"/>
        </w:rPr>
        <w:footnoteRef/>
      </w:r>
      <w:r w:rsidRPr="00435A6A">
        <w:rPr>
          <w:rStyle w:val="Refdenotaalpie"/>
          <w:rFonts w:ascii="Verdana" w:hAnsi="Verdana" w:cs="Arial"/>
          <w:sz w:val="14"/>
          <w:szCs w:val="14"/>
        </w:rPr>
        <w:t xml:space="preserve"> </w:t>
      </w:r>
      <w:r w:rsidRPr="00435A6A">
        <w:rPr>
          <w:rFonts w:ascii="Verdana" w:hAnsi="Verdana" w:cs="Arial"/>
          <w:sz w:val="14"/>
          <w:szCs w:val="14"/>
          <w:lang w:val="es-ES"/>
        </w:rPr>
        <w:t>Consejo de Estado. Sala de Consulta y Servicio Civil, Concepto de 8 de mayo de 2018. Radicación Número: 11001-03-06-000-2018-00095-00 (2382). C.P: Álvaro Namén Vargas.</w:t>
      </w:r>
    </w:p>
    <w:p w14:paraId="1629FFAF" w14:textId="77777777" w:rsidR="003E4080" w:rsidRPr="00435A6A" w:rsidRDefault="003E4080" w:rsidP="003E4080">
      <w:pPr>
        <w:shd w:val="clear" w:color="auto" w:fill="FFFFFF"/>
        <w:spacing w:after="0" w:line="240" w:lineRule="auto"/>
        <w:ind w:firstLine="709"/>
        <w:jc w:val="both"/>
        <w:rPr>
          <w:rFonts w:ascii="Verdana" w:hAnsi="Verdana" w:cs="Arial"/>
          <w:sz w:val="14"/>
          <w:szCs w:val="14"/>
          <w:lang w:val="es-ES"/>
        </w:rPr>
      </w:pPr>
    </w:p>
  </w:footnote>
  <w:footnote w:id="24">
    <w:p w14:paraId="644298E4" w14:textId="77777777" w:rsidR="003E4080" w:rsidRPr="00435A6A" w:rsidRDefault="003E4080" w:rsidP="003E4080">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Consejo de Estado. Sala de Consulta y Servicio Civil. Concepto del 08 de mayo de 2018. </w:t>
      </w:r>
      <w:r w:rsidRPr="00435A6A">
        <w:rPr>
          <w:rFonts w:ascii="Verdana" w:hAnsi="Verdana" w:cs="Arial"/>
          <w:sz w:val="14"/>
          <w:szCs w:val="14"/>
        </w:rPr>
        <w:t>Exp. 2.382. C.P. Álvaro Namén Vargas.</w:t>
      </w:r>
    </w:p>
    <w:p w14:paraId="69F04522" w14:textId="77777777" w:rsidR="003E4080" w:rsidRPr="00435A6A" w:rsidRDefault="003E4080" w:rsidP="003E4080">
      <w:pPr>
        <w:pStyle w:val="Textonotapie"/>
        <w:ind w:firstLine="709"/>
        <w:jc w:val="both"/>
        <w:rPr>
          <w:rFonts w:ascii="Verdana" w:hAnsi="Verdana" w:cs="Arial"/>
          <w:sz w:val="14"/>
          <w:szCs w:val="14"/>
        </w:rPr>
      </w:pPr>
    </w:p>
  </w:footnote>
  <w:footnote w:id="25">
    <w:p w14:paraId="41990F2E" w14:textId="77777777" w:rsidR="003E4080" w:rsidRPr="00435A6A" w:rsidRDefault="003E4080" w:rsidP="003E4080">
      <w:pPr>
        <w:spacing w:after="0" w:line="240" w:lineRule="auto"/>
        <w:ind w:firstLine="709"/>
        <w:jc w:val="both"/>
        <w:rPr>
          <w:rFonts w:ascii="Verdana" w:hAnsi="Verdana" w:cs="Arial"/>
          <w:color w:val="000000" w:themeColor="text1"/>
          <w:sz w:val="14"/>
          <w:szCs w:val="14"/>
        </w:rPr>
      </w:pPr>
      <w:r w:rsidRPr="00435A6A">
        <w:rPr>
          <w:rStyle w:val="Refdenotaalpie"/>
          <w:rFonts w:ascii="Verdana" w:hAnsi="Verdana" w:cs="Arial"/>
          <w:color w:val="000000" w:themeColor="text1"/>
          <w:sz w:val="14"/>
          <w:szCs w:val="14"/>
        </w:rPr>
        <w:footnoteRef/>
      </w:r>
      <w:r w:rsidRPr="00435A6A">
        <w:rPr>
          <w:rFonts w:ascii="Verdana" w:hAnsi="Verdana" w:cs="Arial"/>
          <w:color w:val="000000" w:themeColor="text1"/>
          <w:sz w:val="14"/>
          <w:szCs w:val="14"/>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27E82BC8" w14:textId="77777777" w:rsidR="003E4080" w:rsidRPr="00435A6A" w:rsidRDefault="003E4080" w:rsidP="003E4080">
      <w:pPr>
        <w:spacing w:after="0" w:line="240" w:lineRule="auto"/>
        <w:ind w:firstLine="709"/>
        <w:jc w:val="both"/>
        <w:rPr>
          <w:rFonts w:ascii="Verdana" w:hAnsi="Verdana" w:cs="Arial"/>
          <w:color w:val="000000" w:themeColor="text1"/>
          <w:sz w:val="14"/>
          <w:szCs w:val="14"/>
        </w:rPr>
      </w:pPr>
    </w:p>
  </w:footnote>
  <w:footnote w:id="26">
    <w:p w14:paraId="10E469DB" w14:textId="77777777" w:rsidR="003E4080" w:rsidRPr="00435A6A" w:rsidRDefault="003E4080" w:rsidP="003E4080">
      <w:pPr>
        <w:pStyle w:val="Textonotapie"/>
        <w:ind w:firstLine="709"/>
        <w:jc w:val="both"/>
        <w:rPr>
          <w:rFonts w:ascii="Verdana" w:eastAsia="Times New Roman" w:hAnsi="Verdana" w:cs="Arial"/>
          <w:color w:val="000000" w:themeColor="text1"/>
          <w:sz w:val="14"/>
          <w:szCs w:val="14"/>
          <w:lang w:eastAsia="x-none"/>
        </w:rPr>
      </w:pPr>
      <w:r w:rsidRPr="00435A6A">
        <w:rPr>
          <w:rStyle w:val="Refdenotaalpie"/>
          <w:rFonts w:ascii="Verdana" w:hAnsi="Verdana" w:cs="Arial"/>
          <w:color w:val="000000" w:themeColor="text1"/>
          <w:sz w:val="14"/>
          <w:szCs w:val="14"/>
        </w:rPr>
        <w:footnoteRef/>
      </w:r>
      <w:r w:rsidRPr="00435A6A">
        <w:rPr>
          <w:rFonts w:ascii="Verdana" w:hAnsi="Verdana" w:cs="Arial"/>
          <w:color w:val="000000" w:themeColor="text1"/>
          <w:sz w:val="14"/>
          <w:szCs w:val="14"/>
        </w:rPr>
        <w:t xml:space="preserve"> Consejo de Estado. Sala de Consulta y Servicio Civil. Concepto de 6 de abril de 2006. Radicación Número: 11001-03-06-000-2006-00038-00 (1738). C.P: Enrique José Arboleda Perdomo:</w:t>
      </w:r>
      <w:r w:rsidRPr="00435A6A">
        <w:rPr>
          <w:rFonts w:ascii="Verdana" w:eastAsia="Times New Roman" w:hAnsi="Verdana" w:cs="Arial"/>
          <w:color w:val="000000" w:themeColor="text1"/>
          <w:sz w:val="14"/>
          <w:szCs w:val="14"/>
          <w:lang w:eastAsia="x-none"/>
        </w:rPr>
        <w:t xml:space="preserve"> </w:t>
      </w:r>
      <w:bookmarkStart w:id="17" w:name="_Hlk97890572"/>
      <w:r w:rsidRPr="00435A6A">
        <w:rPr>
          <w:rFonts w:ascii="Verdana" w:eastAsia="Times New Roman" w:hAnsi="Verdana" w:cs="Arial"/>
          <w:color w:val="000000" w:themeColor="text1"/>
          <w:sz w:val="14"/>
          <w:szCs w:val="14"/>
          <w:lang w:eastAsia="x-none"/>
        </w:rPr>
        <w:t>“</w:t>
      </w:r>
      <w:r w:rsidRPr="00435A6A">
        <w:rPr>
          <w:rFonts w:ascii="Verdana" w:hAnsi="Verdana" w:cs="Arial"/>
          <w:color w:val="000000" w:themeColor="text1"/>
          <w:sz w:val="14"/>
          <w:szCs w:val="14"/>
        </w:rPr>
        <w:t xml:space="preserve">Si bien en el tema del concepto del que se extractaron </w:t>
      </w:r>
      <w:bookmarkEnd w:id="17"/>
      <w:r w:rsidRPr="00435A6A">
        <w:rPr>
          <w:rFonts w:ascii="Verdana" w:hAnsi="Verdana" w:cs="Arial"/>
          <w:color w:val="000000" w:themeColor="text1"/>
          <w:sz w:val="14"/>
          <w:szCs w:val="14"/>
        </w:rPr>
        <w:t>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435A6A">
        <w:rPr>
          <w:rFonts w:ascii="Verdana" w:eastAsia="Times New Roman" w:hAnsi="Verdana" w:cs="Arial"/>
          <w:color w:val="000000" w:themeColor="text1"/>
          <w:sz w:val="14"/>
          <w:szCs w:val="14"/>
          <w:lang w:eastAsia="x-none"/>
        </w:rPr>
        <w:t>”.</w:t>
      </w:r>
    </w:p>
    <w:p w14:paraId="25BDB400" w14:textId="77777777" w:rsidR="003E4080" w:rsidRPr="00435A6A" w:rsidRDefault="003E4080" w:rsidP="003E4080">
      <w:pPr>
        <w:pStyle w:val="Textonotapie"/>
        <w:ind w:firstLine="709"/>
        <w:jc w:val="both"/>
        <w:rPr>
          <w:rFonts w:ascii="Verdana" w:hAnsi="Verdana" w:cs="Arial"/>
          <w:color w:val="000000" w:themeColor="text1"/>
          <w:sz w:val="14"/>
          <w:szCs w:val="14"/>
        </w:rPr>
      </w:pPr>
    </w:p>
  </w:footnote>
  <w:footnote w:id="27">
    <w:p w14:paraId="79AF3BBD" w14:textId="77777777" w:rsidR="003E4080" w:rsidRDefault="003E4080" w:rsidP="003E4080">
      <w:pPr>
        <w:spacing w:after="0" w:line="240" w:lineRule="auto"/>
        <w:ind w:firstLine="709"/>
        <w:jc w:val="both"/>
        <w:rPr>
          <w:rFonts w:ascii="Verdana" w:hAnsi="Verdana" w:cs="Arial"/>
          <w:color w:val="000000" w:themeColor="text1"/>
          <w:sz w:val="14"/>
          <w:szCs w:val="14"/>
        </w:rPr>
      </w:pPr>
      <w:r w:rsidRPr="00435A6A">
        <w:rPr>
          <w:rStyle w:val="Refdenotaalpie"/>
          <w:rFonts w:ascii="Verdana" w:hAnsi="Verdana" w:cs="Arial"/>
          <w:color w:val="000000" w:themeColor="text1"/>
          <w:sz w:val="14"/>
          <w:szCs w:val="14"/>
        </w:rPr>
        <w:footnoteRef/>
      </w:r>
      <w:r w:rsidRPr="00435A6A">
        <w:rPr>
          <w:rFonts w:ascii="Verdana" w:hAnsi="Verdana" w:cs="Arial"/>
          <w:color w:val="000000" w:themeColor="text1"/>
          <w:sz w:val="14"/>
          <w:szCs w:val="14"/>
        </w:rPr>
        <w:t xml:space="preserve"> Consejo de Estado. Sala de Consulta y Servicio Civil. Concepto de 6 de abril de 2006. Radicación Número: 11001-03-06-000-2006-00038-00(1738). C.P: Enrique José Arboleda Perdomo. </w:t>
      </w:r>
    </w:p>
    <w:p w14:paraId="5293B666" w14:textId="77777777" w:rsidR="003E4080" w:rsidRPr="00435A6A" w:rsidRDefault="003E4080" w:rsidP="003E4080">
      <w:pPr>
        <w:spacing w:after="0" w:line="240" w:lineRule="auto"/>
        <w:ind w:firstLine="709"/>
        <w:jc w:val="both"/>
        <w:rPr>
          <w:rFonts w:ascii="Verdana" w:hAnsi="Verdana" w:cs="Arial"/>
          <w:color w:val="000000" w:themeColor="text1"/>
          <w:sz w:val="14"/>
          <w:szCs w:val="14"/>
        </w:rPr>
      </w:pPr>
    </w:p>
  </w:footnote>
  <w:footnote w:id="28">
    <w:p w14:paraId="07C940E6" w14:textId="77777777" w:rsidR="003E4080" w:rsidRPr="00435A6A" w:rsidRDefault="003E4080" w:rsidP="003E4080">
      <w:pPr>
        <w:pStyle w:val="Textonotapie"/>
        <w:ind w:firstLine="709"/>
        <w:rPr>
          <w:rFonts w:ascii="Verdana" w:hAnsi="Verdana" w:cs="Arial"/>
          <w:color w:val="000000" w:themeColor="text1"/>
          <w:sz w:val="14"/>
          <w:szCs w:val="14"/>
        </w:rPr>
      </w:pPr>
      <w:r w:rsidRPr="00435A6A">
        <w:rPr>
          <w:rStyle w:val="Refdenotaalpie"/>
          <w:rFonts w:ascii="Verdana" w:hAnsi="Verdana" w:cs="Arial"/>
          <w:color w:val="000000" w:themeColor="text1"/>
          <w:sz w:val="14"/>
          <w:szCs w:val="14"/>
        </w:rPr>
        <w:footnoteRef/>
      </w:r>
      <w:r w:rsidRPr="00435A6A">
        <w:rPr>
          <w:rFonts w:ascii="Verdana" w:hAnsi="Verdana" w:cs="Arial"/>
          <w:color w:val="000000" w:themeColor="text1"/>
          <w:sz w:val="14"/>
          <w:szCs w:val="14"/>
        </w:rPr>
        <w:t xml:space="preserve"> Consejo de Estado. Sala de Consulta y Servicio Civil, ídem.</w:t>
      </w:r>
    </w:p>
    <w:p w14:paraId="4ECB62DD" w14:textId="77777777" w:rsidR="003E4080" w:rsidRPr="003A04BF" w:rsidRDefault="003E4080" w:rsidP="003E4080">
      <w:pPr>
        <w:pStyle w:val="Textonotapie"/>
        <w:ind w:firstLine="709"/>
        <w:rPr>
          <w:rFonts w:ascii="Verdana" w:hAnsi="Verdana" w:cs="Arial"/>
          <w:color w:val="000000" w:themeColor="text1"/>
          <w:sz w:val="14"/>
          <w:szCs w:val="1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1C811DB"/>
    <w:multiLevelType w:val="hybridMultilevel"/>
    <w:tmpl w:val="D38E83A6"/>
    <w:lvl w:ilvl="0" w:tplc="240A0001">
      <w:start w:val="1"/>
      <w:numFmt w:val="bullet"/>
      <w:lvlText w:val=""/>
      <w:lvlJc w:val="left"/>
      <w:pPr>
        <w:ind w:left="502"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21098734">
    <w:abstractNumId w:val="7"/>
  </w:num>
  <w:num w:numId="2" w16cid:durableId="988091070">
    <w:abstractNumId w:val="2"/>
  </w:num>
  <w:num w:numId="3" w16cid:durableId="870218050">
    <w:abstractNumId w:val="4"/>
  </w:num>
  <w:num w:numId="4" w16cid:durableId="73223587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455562261">
    <w:abstractNumId w:val="2"/>
  </w:num>
  <w:num w:numId="6" w16cid:durableId="1704014615">
    <w:abstractNumId w:val="13"/>
  </w:num>
  <w:num w:numId="7" w16cid:durableId="1042024269">
    <w:abstractNumId w:val="6"/>
  </w:num>
  <w:num w:numId="8" w16cid:durableId="1396901925">
    <w:abstractNumId w:val="12"/>
  </w:num>
  <w:num w:numId="9" w16cid:durableId="787356732">
    <w:abstractNumId w:val="8"/>
  </w:num>
  <w:num w:numId="10" w16cid:durableId="1380593545">
    <w:abstractNumId w:val="11"/>
  </w:num>
  <w:num w:numId="11" w16cid:durableId="1396054186">
    <w:abstractNumId w:val="9"/>
  </w:num>
  <w:num w:numId="12" w16cid:durableId="1780761102">
    <w:abstractNumId w:val="1"/>
  </w:num>
  <w:num w:numId="13" w16cid:durableId="1651060346">
    <w:abstractNumId w:val="3"/>
  </w:num>
  <w:num w:numId="14" w16cid:durableId="722631682">
    <w:abstractNumId w:val="14"/>
  </w:num>
  <w:num w:numId="15" w16cid:durableId="476654272">
    <w:abstractNumId w:val="10"/>
  </w:num>
  <w:num w:numId="16" w16cid:durableId="844441531">
    <w:abstractNumId w:val="0"/>
  </w:num>
  <w:num w:numId="17" w16cid:durableId="158349240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05F20"/>
    <w:rsid w:val="002168EC"/>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510AC"/>
    <w:rsid w:val="00374F5E"/>
    <w:rsid w:val="00377E3E"/>
    <w:rsid w:val="003929D7"/>
    <w:rsid w:val="003A779E"/>
    <w:rsid w:val="003D0F4D"/>
    <w:rsid w:val="003D5B0D"/>
    <w:rsid w:val="003E0499"/>
    <w:rsid w:val="003E4080"/>
    <w:rsid w:val="003E4F80"/>
    <w:rsid w:val="003E6439"/>
    <w:rsid w:val="003F3941"/>
    <w:rsid w:val="00406575"/>
    <w:rsid w:val="00414C74"/>
    <w:rsid w:val="0042722E"/>
    <w:rsid w:val="0044528D"/>
    <w:rsid w:val="004544E4"/>
    <w:rsid w:val="00466E39"/>
    <w:rsid w:val="004A1847"/>
    <w:rsid w:val="004A305D"/>
    <w:rsid w:val="004F21C4"/>
    <w:rsid w:val="004F685F"/>
    <w:rsid w:val="005052D9"/>
    <w:rsid w:val="005566E8"/>
    <w:rsid w:val="00574867"/>
    <w:rsid w:val="00576A6B"/>
    <w:rsid w:val="00591460"/>
    <w:rsid w:val="005A65E0"/>
    <w:rsid w:val="005C3777"/>
    <w:rsid w:val="005C5CDC"/>
    <w:rsid w:val="005D476C"/>
    <w:rsid w:val="005F2D78"/>
    <w:rsid w:val="00612231"/>
    <w:rsid w:val="006200BF"/>
    <w:rsid w:val="006219F8"/>
    <w:rsid w:val="006302F7"/>
    <w:rsid w:val="00646B9F"/>
    <w:rsid w:val="00665D70"/>
    <w:rsid w:val="006676C2"/>
    <w:rsid w:val="006768AE"/>
    <w:rsid w:val="0068497A"/>
    <w:rsid w:val="006900D9"/>
    <w:rsid w:val="006F08C8"/>
    <w:rsid w:val="00706C16"/>
    <w:rsid w:val="00710EE0"/>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D6D21"/>
    <w:rsid w:val="008F0EA7"/>
    <w:rsid w:val="00923EEF"/>
    <w:rsid w:val="00935398"/>
    <w:rsid w:val="009419F9"/>
    <w:rsid w:val="0095685E"/>
    <w:rsid w:val="00961B09"/>
    <w:rsid w:val="00965334"/>
    <w:rsid w:val="0097093E"/>
    <w:rsid w:val="0098488D"/>
    <w:rsid w:val="009A0DFA"/>
    <w:rsid w:val="009A1C6F"/>
    <w:rsid w:val="009B2D26"/>
    <w:rsid w:val="009C71FA"/>
    <w:rsid w:val="009C72E7"/>
    <w:rsid w:val="009C7F7E"/>
    <w:rsid w:val="009D3058"/>
    <w:rsid w:val="009E0C43"/>
    <w:rsid w:val="009F3A13"/>
    <w:rsid w:val="00A122D3"/>
    <w:rsid w:val="00A14468"/>
    <w:rsid w:val="00A17F13"/>
    <w:rsid w:val="00A20739"/>
    <w:rsid w:val="00A23AF9"/>
    <w:rsid w:val="00A33C78"/>
    <w:rsid w:val="00A74B7D"/>
    <w:rsid w:val="00AB0ADB"/>
    <w:rsid w:val="00B00C0E"/>
    <w:rsid w:val="00B01B1A"/>
    <w:rsid w:val="00B0381D"/>
    <w:rsid w:val="00B44A47"/>
    <w:rsid w:val="00B72CD3"/>
    <w:rsid w:val="00B72FFF"/>
    <w:rsid w:val="00B84575"/>
    <w:rsid w:val="00BC1680"/>
    <w:rsid w:val="00BC3D36"/>
    <w:rsid w:val="00BD54A6"/>
    <w:rsid w:val="00BD7F72"/>
    <w:rsid w:val="00BE696F"/>
    <w:rsid w:val="00BF7425"/>
    <w:rsid w:val="00C04FB3"/>
    <w:rsid w:val="00C11D8B"/>
    <w:rsid w:val="00C15139"/>
    <w:rsid w:val="00C330EB"/>
    <w:rsid w:val="00C50D69"/>
    <w:rsid w:val="00C5365C"/>
    <w:rsid w:val="00C754BE"/>
    <w:rsid w:val="00C76B1C"/>
    <w:rsid w:val="00C925AC"/>
    <w:rsid w:val="00CA46C3"/>
    <w:rsid w:val="00CB6357"/>
    <w:rsid w:val="00CC1B26"/>
    <w:rsid w:val="00D33E59"/>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63C7"/>
    <w:rsid w:val="00E2764C"/>
    <w:rsid w:val="00E27F2E"/>
    <w:rsid w:val="00E50AFE"/>
    <w:rsid w:val="00E75C92"/>
    <w:rsid w:val="00E771DC"/>
    <w:rsid w:val="00E8772A"/>
    <w:rsid w:val="00E909D7"/>
    <w:rsid w:val="00E90F6B"/>
    <w:rsid w:val="00E92C27"/>
    <w:rsid w:val="00EA0E3D"/>
    <w:rsid w:val="00EC38A7"/>
    <w:rsid w:val="00ED7FE1"/>
    <w:rsid w:val="00EE1AA8"/>
    <w:rsid w:val="00F23FEA"/>
    <w:rsid w:val="00F31EDC"/>
    <w:rsid w:val="00F462B3"/>
    <w:rsid w:val="00F5664F"/>
    <w:rsid w:val="00F666C4"/>
    <w:rsid w:val="00F76AFC"/>
    <w:rsid w:val="00FA19B9"/>
    <w:rsid w:val="00FA47C0"/>
    <w:rsid w:val="00FB5DD1"/>
    <w:rsid w:val="00FC2B5D"/>
    <w:rsid w:val="00FD7B2E"/>
    <w:rsid w:val="00FE029C"/>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72A905D3-C06E-4ED6-B47F-B1684B4122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3E4080"/>
    <w:rPr>
      <w:rFonts w:ascii="Geomanist Light" w:hAnsi="Geomanist Light"/>
      <w:lang w:val="es-ES"/>
    </w:rPr>
  </w:style>
  <w:style w:type="paragraph" w:customStyle="1" w:styleId="Appelnotedebasde">
    <w:name w:val="Appel note de bas de..."/>
    <w:basedOn w:val="Normal"/>
    <w:link w:val="Refdenotaalpie"/>
    <w:uiPriority w:val="99"/>
    <w:rsid w:val="003E4080"/>
    <w:pPr>
      <w:spacing w:line="240" w:lineRule="exact"/>
    </w:pPr>
    <w:rPr>
      <w:vertAlign w:val="superscript"/>
    </w:rPr>
  </w:style>
  <w:style w:type="character" w:customStyle="1" w:styleId="NormalWebCar">
    <w:name w:val="Normal (Web) Car"/>
    <w:link w:val="NormalWeb"/>
    <w:uiPriority w:val="99"/>
    <w:locked/>
    <w:rsid w:val="003E4080"/>
    <w:rPr>
      <w:rFonts w:ascii="Times New Roman" w:eastAsia="Times New Roman" w:hAnsi="Times New Roman" w:cs="Times New Roman"/>
      <w:sz w:val="24"/>
      <w:szCs w:val="24"/>
      <w:lang w:eastAsia="es-CO"/>
    </w:rPr>
  </w:style>
  <w:style w:type="character" w:customStyle="1" w:styleId="baj">
    <w:name w:val="b_aj"/>
    <w:basedOn w:val="Fuentedeprrafopredeter"/>
    <w:rsid w:val="003E4080"/>
  </w:style>
  <w:style w:type="character" w:customStyle="1" w:styleId="citation-188">
    <w:name w:val="citation-188"/>
    <w:basedOn w:val="Fuentedeprrafopredeter"/>
    <w:rsid w:val="003929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www.secretariasenado.gov.co/senado/basedoc/ley_0080_1993.html"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ECRETARIA@CARIBABARE.GOV.CO"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FEE9BF87-DD62-4EF5-AACA-47BC91C00A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TotalTime>
  <Pages>31</Pages>
  <Words>10518</Words>
  <Characters>57852</Characters>
  <Application>Microsoft Office Word</Application>
  <DocSecurity>0</DocSecurity>
  <Lines>482</Lines>
  <Paragraphs>136</Paragraphs>
  <ScaleCrop>false</ScaleCrop>
  <Company/>
  <LinksUpToDate>false</LinksUpToDate>
  <CharactersWithSpaces>68234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4</cp:revision>
  <cp:lastPrinted>2023-01-11T00:18:00Z</cp:lastPrinted>
  <dcterms:created xsi:type="dcterms:W3CDTF">2026-02-20T14:51:00Z</dcterms:created>
  <dcterms:modified xsi:type="dcterms:W3CDTF">2026-03-11T16:11:00Z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