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DFBC66" w14:textId="77777777" w:rsidR="008607AC" w:rsidRDefault="008607AC" w:rsidP="00102934">
      <w:pPr>
        <w:spacing w:after="0" w:line="240" w:lineRule="auto"/>
        <w:jc w:val="both"/>
        <w:rPr>
          <w:rFonts w:ascii="Verdana" w:hAnsi="Verdana"/>
        </w:rPr>
      </w:pPr>
    </w:p>
    <w:p w14:paraId="7EAF9A2F" w14:textId="77777777" w:rsidR="008607AC" w:rsidRDefault="008607AC" w:rsidP="008607AC">
      <w:pPr>
        <w:spacing w:after="0" w:line="240" w:lineRule="auto"/>
        <w:jc w:val="both"/>
        <w:rPr>
          <w:rFonts w:ascii="Verdana" w:hAnsi="Verdana"/>
          <w:b/>
          <w:bCs/>
        </w:rPr>
      </w:pPr>
      <w:r w:rsidRPr="008607AC">
        <w:rPr>
          <w:rFonts w:ascii="Verdana" w:hAnsi="Verdana"/>
          <w:b/>
          <w:bCs/>
        </w:rPr>
        <w:t>REQUISITOS DE PERFECCIONAMIENTO DE LOS CONTRATOS ESTATALES – Celebración del contrato estatal – ELEMENTOS DEL CONTRATO – Elementos de la esencia – Elementos de la naturaleza – Elementos accidentales</w:t>
      </w:r>
    </w:p>
    <w:p w14:paraId="62261A7D" w14:textId="77777777" w:rsidR="008607AC" w:rsidRPr="008607AC" w:rsidRDefault="008607AC" w:rsidP="008607AC">
      <w:pPr>
        <w:spacing w:after="0" w:line="240" w:lineRule="auto"/>
        <w:jc w:val="both"/>
        <w:rPr>
          <w:rFonts w:ascii="Verdana" w:hAnsi="Verdana"/>
        </w:rPr>
      </w:pPr>
    </w:p>
    <w:p w14:paraId="31BAF376" w14:textId="77777777" w:rsidR="008607AC" w:rsidRDefault="008607AC" w:rsidP="008607AC">
      <w:pPr>
        <w:spacing w:after="0" w:line="240" w:lineRule="auto"/>
        <w:jc w:val="both"/>
        <w:rPr>
          <w:rFonts w:ascii="Verdana" w:hAnsi="Verdana"/>
          <w:sz w:val="20"/>
          <w:szCs w:val="20"/>
        </w:rPr>
      </w:pPr>
      <w:r w:rsidRPr="008607AC">
        <w:rPr>
          <w:rFonts w:ascii="Verdana" w:hAnsi="Verdana"/>
          <w:sz w:val="20"/>
          <w:szCs w:val="20"/>
        </w:rPr>
        <w:t>Los requisitos de perfeccionamiento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w:t>
      </w:r>
    </w:p>
    <w:p w14:paraId="62364E5F" w14:textId="77777777" w:rsidR="008607AC" w:rsidRPr="008607AC" w:rsidRDefault="008607AC" w:rsidP="008607AC">
      <w:pPr>
        <w:spacing w:after="0" w:line="240" w:lineRule="auto"/>
        <w:jc w:val="both"/>
        <w:rPr>
          <w:rFonts w:ascii="Verdana" w:hAnsi="Verdana"/>
          <w:sz w:val="20"/>
          <w:szCs w:val="20"/>
        </w:rPr>
      </w:pPr>
    </w:p>
    <w:p w14:paraId="6C1ACF67" w14:textId="77777777" w:rsidR="008607AC" w:rsidRPr="008607AC" w:rsidRDefault="008607AC" w:rsidP="008607AC">
      <w:pPr>
        <w:spacing w:after="0" w:line="240" w:lineRule="auto"/>
        <w:jc w:val="both"/>
        <w:rPr>
          <w:rFonts w:ascii="Verdana" w:hAnsi="Verdana"/>
          <w:sz w:val="20"/>
          <w:szCs w:val="20"/>
        </w:rPr>
      </w:pPr>
      <w:r w:rsidRPr="008607AC">
        <w:rPr>
          <w:rFonts w:ascii="Verdana" w:hAnsi="Verdana"/>
          <w:sz w:val="20"/>
          <w:szCs w:val="20"/>
        </w:rPr>
        <w:t>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 Los requisitos de perfeccionamiento del contrato estatal ingresan dentro de los elementos de la esencia.</w:t>
      </w:r>
    </w:p>
    <w:p w14:paraId="72AE1299" w14:textId="77777777" w:rsidR="008607AC" w:rsidRDefault="008607AC" w:rsidP="00102934">
      <w:pPr>
        <w:spacing w:after="0" w:line="240" w:lineRule="auto"/>
        <w:jc w:val="both"/>
        <w:rPr>
          <w:rFonts w:ascii="Verdana" w:hAnsi="Verdana"/>
        </w:rPr>
      </w:pPr>
    </w:p>
    <w:p w14:paraId="3D5CD89E" w14:textId="77777777" w:rsidR="00BD529D" w:rsidRPr="00BD529D" w:rsidRDefault="00BD529D" w:rsidP="00BD529D">
      <w:pPr>
        <w:spacing w:after="0" w:line="240" w:lineRule="auto"/>
        <w:jc w:val="both"/>
        <w:rPr>
          <w:rFonts w:ascii="Verdana" w:hAnsi="Verdana"/>
        </w:rPr>
      </w:pPr>
      <w:r w:rsidRPr="00BD529D">
        <w:rPr>
          <w:rFonts w:ascii="Verdana" w:hAnsi="Verdana"/>
          <w:b/>
          <w:bCs/>
        </w:rPr>
        <w:t>CONTRATOS Y CONVENIOS INTERADMINISTRATIVOS – Noción – Diferencias</w:t>
      </w:r>
    </w:p>
    <w:p w14:paraId="2DEEFF8A" w14:textId="77777777" w:rsidR="00BD529D" w:rsidRPr="00BD529D" w:rsidRDefault="00BD529D" w:rsidP="00BD529D">
      <w:pPr>
        <w:spacing w:after="0" w:line="240" w:lineRule="auto"/>
        <w:jc w:val="both"/>
        <w:rPr>
          <w:rFonts w:ascii="Verdana" w:hAnsi="Verdana"/>
        </w:rPr>
      </w:pPr>
      <w:r w:rsidRPr="00BD529D">
        <w:rPr>
          <w:rFonts w:ascii="Verdana" w:hAnsi="Verdana"/>
          <w:b/>
          <w:bCs/>
        </w:rPr>
        <w:t> </w:t>
      </w:r>
    </w:p>
    <w:p w14:paraId="44CE1851" w14:textId="77777777" w:rsidR="00BD529D" w:rsidRDefault="00BD529D" w:rsidP="00BD529D">
      <w:pPr>
        <w:spacing w:after="0" w:line="240" w:lineRule="auto"/>
        <w:jc w:val="both"/>
        <w:rPr>
          <w:rFonts w:ascii="Verdana" w:hAnsi="Verdana"/>
          <w:sz w:val="20"/>
          <w:szCs w:val="20"/>
        </w:rPr>
      </w:pPr>
      <w:r w:rsidRPr="00BD529D">
        <w:rPr>
          <w:rFonts w:ascii="Verdana" w:hAnsi="Verdana"/>
          <w:sz w:val="20"/>
          <w:szCs w:val="20"/>
        </w:rPr>
        <w:t>Bajo esta postura del Consejo de Estado, el convenio interadministrativo es el negocio jurídico en el cual convergen dos o más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w:t>
      </w:r>
    </w:p>
    <w:p w14:paraId="31303766" w14:textId="77777777" w:rsidR="00537621" w:rsidRDefault="00537621" w:rsidP="00BD529D">
      <w:pPr>
        <w:spacing w:after="0" w:line="240" w:lineRule="auto"/>
        <w:jc w:val="both"/>
        <w:rPr>
          <w:rFonts w:ascii="Verdana" w:hAnsi="Verdana"/>
          <w:sz w:val="20"/>
          <w:szCs w:val="20"/>
        </w:rPr>
      </w:pPr>
    </w:p>
    <w:p w14:paraId="509593E1" w14:textId="43931A84" w:rsidR="00537621" w:rsidRPr="00537621" w:rsidRDefault="00537621" w:rsidP="00537621">
      <w:pPr>
        <w:spacing w:after="0" w:line="240" w:lineRule="auto"/>
        <w:jc w:val="both"/>
        <w:rPr>
          <w:rFonts w:ascii="Verdana" w:hAnsi="Verdana"/>
          <w:b/>
          <w:bCs/>
          <w:sz w:val="20"/>
          <w:szCs w:val="20"/>
        </w:rPr>
      </w:pPr>
      <w:r w:rsidRPr="00537621">
        <w:rPr>
          <w:rFonts w:ascii="Verdana" w:eastAsia="Calibri" w:hAnsi="Verdana" w:cs="Arial"/>
          <w:b/>
          <w:bCs/>
          <w:lang w:eastAsia="es-ES"/>
        </w:rPr>
        <w:t>CONTRATO INTERADMINISTRATIVO – Alcance –</w:t>
      </w:r>
      <w:r w:rsidRPr="00537621">
        <w:rPr>
          <w:rFonts w:ascii="Verdana" w:hAnsi="Verdana" w:cs="Arial"/>
          <w:b/>
          <w:bCs/>
        </w:rPr>
        <w:t xml:space="preserve"> Literal c) numeral 4 del artículo 2 de la Ley 1150 de 2007</w:t>
      </w:r>
      <w:r w:rsidRPr="00537621">
        <w:rPr>
          <w:rFonts w:ascii="Verdana" w:hAnsi="Verdana" w:cs="Arial"/>
          <w:b/>
          <w:bCs/>
        </w:rPr>
        <w:t xml:space="preserve"> </w:t>
      </w:r>
    </w:p>
    <w:p w14:paraId="61EBF254" w14:textId="77777777" w:rsidR="00537621" w:rsidRPr="00537621" w:rsidRDefault="00537621" w:rsidP="00537621">
      <w:pPr>
        <w:spacing w:after="0" w:line="240" w:lineRule="auto"/>
        <w:jc w:val="both"/>
        <w:rPr>
          <w:rFonts w:ascii="Verdana" w:hAnsi="Verdana"/>
          <w:sz w:val="20"/>
          <w:szCs w:val="20"/>
        </w:rPr>
      </w:pPr>
    </w:p>
    <w:p w14:paraId="15570F6F" w14:textId="77777777" w:rsidR="00537621" w:rsidRPr="00537621" w:rsidRDefault="00537621" w:rsidP="00537621">
      <w:pPr>
        <w:spacing w:after="0" w:line="240" w:lineRule="auto"/>
        <w:jc w:val="both"/>
        <w:rPr>
          <w:rFonts w:ascii="Verdana" w:hAnsi="Verdana"/>
          <w:sz w:val="20"/>
          <w:szCs w:val="20"/>
        </w:rPr>
      </w:pPr>
      <w:r w:rsidRPr="00537621">
        <w:rPr>
          <w:rFonts w:ascii="Verdana" w:hAnsi="Verdana"/>
          <w:sz w:val="20"/>
          <w:szCs w:val="20"/>
        </w:rPr>
        <w:t>El literal c) numeral 4 del artículo 2 de la Ley 1150 de 2007 –modificado por el artículo 92 de la Ley 1474 de 2011– establece que las Entidades Estatales pueden suscribirlos de manera directa, siempre que las obligaciones derivadas de los mismos tengan relación con el objeto de la entidad ejecutora. Sin embargo, esa misma Ley establece excepciones concretas a esta facultad. Según el inciso primero del literal trascrito, la suscripción de contratos interadministrativos de forma directa, conforme a dicha causal, está sujeta a que las obligaciones del negocio jurídico tengan relación directa con el objeto de la entidad ejecutora, establecido en la ley o en sus reglamentos. La condición impuesta por el legislador para la suscripción de estos contratos se establece a efectos de constatar que el ejecutante cuente con la capacidad jurídica para contraer las obligaciones establecidas en el contrato.</w:t>
      </w:r>
    </w:p>
    <w:p w14:paraId="47F7CFFE" w14:textId="77777777" w:rsidR="00537621" w:rsidRPr="00537621" w:rsidRDefault="00537621" w:rsidP="00537621">
      <w:pPr>
        <w:spacing w:after="0" w:line="240" w:lineRule="auto"/>
        <w:jc w:val="both"/>
        <w:rPr>
          <w:rFonts w:ascii="Verdana" w:hAnsi="Verdana"/>
          <w:sz w:val="20"/>
          <w:szCs w:val="20"/>
        </w:rPr>
      </w:pPr>
      <w:r w:rsidRPr="00537621">
        <w:rPr>
          <w:rFonts w:ascii="Verdana" w:hAnsi="Verdana"/>
          <w:sz w:val="20"/>
          <w:szCs w:val="20"/>
        </w:rPr>
        <w:lastRenderedPageBreak/>
        <w:t>De otro lado, debe tenerse en cuenta que el inciso segundo establece una limitación a la contratación directa mediante la causal del literal c) –transcrito arriba– dirigido a los supuestos en que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De manera que cuando dichas entidades sean las ejecutoras, no se pueden celebrar contratos interadministrativos de manera directa, utilizando la causal del literal c), en tratándose de “contratos de obra, suministro, prestación de servicios de evaluación de conformidad respecto de las normas o reglamentos técnicos, encargos fiduciarios y fiducia pública”</w:t>
      </w:r>
    </w:p>
    <w:p w14:paraId="62CCC1A5" w14:textId="77777777" w:rsidR="00537621" w:rsidRPr="00BD529D" w:rsidRDefault="00537621" w:rsidP="00BD529D">
      <w:pPr>
        <w:spacing w:after="0" w:line="240" w:lineRule="auto"/>
        <w:jc w:val="both"/>
        <w:rPr>
          <w:rFonts w:ascii="Verdana" w:hAnsi="Verdana"/>
          <w:sz w:val="20"/>
          <w:szCs w:val="20"/>
        </w:rPr>
      </w:pPr>
    </w:p>
    <w:p w14:paraId="44B8D5AB" w14:textId="77777777" w:rsidR="008607AC" w:rsidRDefault="008607AC" w:rsidP="00102934">
      <w:pPr>
        <w:spacing w:after="0" w:line="240" w:lineRule="auto"/>
        <w:jc w:val="both"/>
        <w:rPr>
          <w:rFonts w:ascii="Verdana" w:hAnsi="Verdana"/>
        </w:rPr>
      </w:pPr>
    </w:p>
    <w:p w14:paraId="035C82B9" w14:textId="77777777" w:rsidR="008607AC" w:rsidRDefault="008607AC" w:rsidP="00102934">
      <w:pPr>
        <w:spacing w:after="0" w:line="240" w:lineRule="auto"/>
        <w:jc w:val="both"/>
        <w:rPr>
          <w:rFonts w:ascii="Verdana" w:hAnsi="Verdana"/>
        </w:rPr>
      </w:pPr>
    </w:p>
    <w:p w14:paraId="68B0B6C3" w14:textId="77777777" w:rsidR="008607AC" w:rsidRDefault="008607AC" w:rsidP="00102934">
      <w:pPr>
        <w:spacing w:after="0" w:line="240" w:lineRule="auto"/>
        <w:jc w:val="both"/>
        <w:rPr>
          <w:rFonts w:ascii="Verdana" w:hAnsi="Verdana"/>
        </w:rPr>
      </w:pPr>
    </w:p>
    <w:p w14:paraId="2C53781C" w14:textId="77777777" w:rsidR="008607AC" w:rsidRDefault="008607AC" w:rsidP="00102934">
      <w:pPr>
        <w:spacing w:after="0" w:line="240" w:lineRule="auto"/>
        <w:jc w:val="both"/>
        <w:rPr>
          <w:rFonts w:ascii="Verdana" w:hAnsi="Verdana"/>
        </w:rPr>
      </w:pPr>
    </w:p>
    <w:p w14:paraId="6939C606" w14:textId="77777777" w:rsidR="008607AC" w:rsidRDefault="008607AC" w:rsidP="00102934">
      <w:pPr>
        <w:spacing w:after="0" w:line="240" w:lineRule="auto"/>
        <w:jc w:val="both"/>
        <w:rPr>
          <w:rFonts w:ascii="Verdana" w:hAnsi="Verdana"/>
        </w:rPr>
      </w:pPr>
    </w:p>
    <w:p w14:paraId="7C7520B0" w14:textId="77777777" w:rsidR="008607AC" w:rsidRDefault="008607AC" w:rsidP="00102934">
      <w:pPr>
        <w:spacing w:after="0" w:line="240" w:lineRule="auto"/>
        <w:jc w:val="both"/>
        <w:rPr>
          <w:rFonts w:ascii="Verdana" w:hAnsi="Verdana"/>
        </w:rPr>
      </w:pPr>
    </w:p>
    <w:p w14:paraId="5FD7869A" w14:textId="77777777" w:rsidR="008607AC" w:rsidRDefault="008607AC" w:rsidP="00102934">
      <w:pPr>
        <w:spacing w:after="0" w:line="240" w:lineRule="auto"/>
        <w:jc w:val="both"/>
        <w:rPr>
          <w:rFonts w:ascii="Verdana" w:hAnsi="Verdana"/>
        </w:rPr>
      </w:pPr>
    </w:p>
    <w:p w14:paraId="26218D75" w14:textId="77777777" w:rsidR="008607AC" w:rsidRDefault="008607AC" w:rsidP="00102934">
      <w:pPr>
        <w:spacing w:after="0" w:line="240" w:lineRule="auto"/>
        <w:jc w:val="both"/>
        <w:rPr>
          <w:rFonts w:ascii="Verdana" w:hAnsi="Verdana"/>
        </w:rPr>
      </w:pPr>
    </w:p>
    <w:p w14:paraId="5F377B1D" w14:textId="77777777" w:rsidR="008607AC" w:rsidRDefault="008607AC" w:rsidP="00102934">
      <w:pPr>
        <w:spacing w:after="0" w:line="240" w:lineRule="auto"/>
        <w:jc w:val="both"/>
        <w:rPr>
          <w:rFonts w:ascii="Verdana" w:hAnsi="Verdana"/>
        </w:rPr>
      </w:pPr>
    </w:p>
    <w:p w14:paraId="7F1E83C3" w14:textId="77777777" w:rsidR="008607AC" w:rsidRDefault="008607AC" w:rsidP="00102934">
      <w:pPr>
        <w:spacing w:after="0" w:line="240" w:lineRule="auto"/>
        <w:jc w:val="both"/>
        <w:rPr>
          <w:rFonts w:ascii="Verdana" w:hAnsi="Verdana"/>
        </w:rPr>
      </w:pPr>
    </w:p>
    <w:p w14:paraId="504D8A54" w14:textId="77777777" w:rsidR="008607AC" w:rsidRDefault="008607AC" w:rsidP="00102934">
      <w:pPr>
        <w:spacing w:after="0" w:line="240" w:lineRule="auto"/>
        <w:jc w:val="both"/>
        <w:rPr>
          <w:rFonts w:ascii="Verdana" w:hAnsi="Verdana"/>
        </w:rPr>
      </w:pPr>
    </w:p>
    <w:p w14:paraId="7D9009A6" w14:textId="77777777" w:rsidR="008607AC" w:rsidRDefault="008607AC" w:rsidP="00102934">
      <w:pPr>
        <w:spacing w:after="0" w:line="240" w:lineRule="auto"/>
        <w:jc w:val="both"/>
        <w:rPr>
          <w:rFonts w:ascii="Verdana" w:hAnsi="Verdana"/>
        </w:rPr>
      </w:pPr>
    </w:p>
    <w:p w14:paraId="37DF406E" w14:textId="77777777" w:rsidR="008607AC" w:rsidRDefault="008607AC" w:rsidP="00102934">
      <w:pPr>
        <w:spacing w:after="0" w:line="240" w:lineRule="auto"/>
        <w:jc w:val="both"/>
        <w:rPr>
          <w:rFonts w:ascii="Verdana" w:hAnsi="Verdana"/>
        </w:rPr>
      </w:pPr>
    </w:p>
    <w:p w14:paraId="3E14E100" w14:textId="77777777" w:rsidR="008607AC" w:rsidRDefault="008607AC" w:rsidP="00102934">
      <w:pPr>
        <w:spacing w:after="0" w:line="240" w:lineRule="auto"/>
        <w:jc w:val="both"/>
        <w:rPr>
          <w:rFonts w:ascii="Verdana" w:hAnsi="Verdana"/>
        </w:rPr>
      </w:pPr>
    </w:p>
    <w:p w14:paraId="5F615E56" w14:textId="77777777" w:rsidR="008607AC" w:rsidRDefault="008607AC" w:rsidP="00102934">
      <w:pPr>
        <w:spacing w:after="0" w:line="240" w:lineRule="auto"/>
        <w:jc w:val="both"/>
        <w:rPr>
          <w:rFonts w:ascii="Verdana" w:hAnsi="Verdana"/>
        </w:rPr>
      </w:pPr>
    </w:p>
    <w:p w14:paraId="2E28049A" w14:textId="77777777" w:rsidR="008607AC" w:rsidRDefault="008607AC" w:rsidP="00102934">
      <w:pPr>
        <w:spacing w:after="0" w:line="240" w:lineRule="auto"/>
        <w:jc w:val="both"/>
        <w:rPr>
          <w:rFonts w:ascii="Verdana" w:hAnsi="Verdana"/>
        </w:rPr>
      </w:pPr>
    </w:p>
    <w:p w14:paraId="10609239" w14:textId="77777777" w:rsidR="008607AC" w:rsidRDefault="008607AC" w:rsidP="00102934">
      <w:pPr>
        <w:spacing w:after="0" w:line="240" w:lineRule="auto"/>
        <w:jc w:val="both"/>
        <w:rPr>
          <w:rFonts w:ascii="Verdana" w:hAnsi="Verdana"/>
        </w:rPr>
      </w:pPr>
    </w:p>
    <w:p w14:paraId="2D29356E" w14:textId="77777777" w:rsidR="008607AC" w:rsidRDefault="008607AC" w:rsidP="00102934">
      <w:pPr>
        <w:spacing w:after="0" w:line="240" w:lineRule="auto"/>
        <w:jc w:val="both"/>
        <w:rPr>
          <w:rFonts w:ascii="Verdana" w:hAnsi="Verdana"/>
        </w:rPr>
      </w:pPr>
    </w:p>
    <w:p w14:paraId="3B09F25D" w14:textId="77777777" w:rsidR="008607AC" w:rsidRDefault="008607AC" w:rsidP="00102934">
      <w:pPr>
        <w:spacing w:after="0" w:line="240" w:lineRule="auto"/>
        <w:jc w:val="both"/>
        <w:rPr>
          <w:rFonts w:ascii="Verdana" w:hAnsi="Verdana"/>
        </w:rPr>
      </w:pPr>
    </w:p>
    <w:p w14:paraId="2B299596" w14:textId="77777777" w:rsidR="008607AC" w:rsidRDefault="008607AC" w:rsidP="00102934">
      <w:pPr>
        <w:spacing w:after="0" w:line="240" w:lineRule="auto"/>
        <w:jc w:val="both"/>
        <w:rPr>
          <w:rFonts w:ascii="Verdana" w:hAnsi="Verdana"/>
        </w:rPr>
      </w:pPr>
    </w:p>
    <w:p w14:paraId="7664772E" w14:textId="77777777" w:rsidR="008607AC" w:rsidRDefault="008607AC" w:rsidP="00102934">
      <w:pPr>
        <w:spacing w:after="0" w:line="240" w:lineRule="auto"/>
        <w:jc w:val="both"/>
        <w:rPr>
          <w:rFonts w:ascii="Verdana" w:hAnsi="Verdana"/>
        </w:rPr>
      </w:pPr>
    </w:p>
    <w:p w14:paraId="4B21523E" w14:textId="77777777" w:rsidR="008607AC" w:rsidRDefault="008607AC" w:rsidP="00102934">
      <w:pPr>
        <w:spacing w:after="0" w:line="240" w:lineRule="auto"/>
        <w:jc w:val="both"/>
        <w:rPr>
          <w:rFonts w:ascii="Verdana" w:hAnsi="Verdana"/>
        </w:rPr>
      </w:pPr>
    </w:p>
    <w:p w14:paraId="00E64F50" w14:textId="77777777" w:rsidR="008607AC" w:rsidRDefault="008607AC" w:rsidP="00102934">
      <w:pPr>
        <w:spacing w:after="0" w:line="240" w:lineRule="auto"/>
        <w:jc w:val="both"/>
        <w:rPr>
          <w:rFonts w:ascii="Verdana" w:hAnsi="Verdana"/>
        </w:rPr>
      </w:pPr>
    </w:p>
    <w:p w14:paraId="4CA54831" w14:textId="77777777" w:rsidR="008607AC" w:rsidRDefault="008607AC" w:rsidP="00102934">
      <w:pPr>
        <w:spacing w:after="0" w:line="240" w:lineRule="auto"/>
        <w:jc w:val="both"/>
        <w:rPr>
          <w:rFonts w:ascii="Verdana" w:hAnsi="Verdana"/>
        </w:rPr>
      </w:pPr>
    </w:p>
    <w:p w14:paraId="5D8AA051" w14:textId="77777777" w:rsidR="008607AC" w:rsidRDefault="008607AC" w:rsidP="00102934">
      <w:pPr>
        <w:spacing w:after="0" w:line="240" w:lineRule="auto"/>
        <w:jc w:val="both"/>
        <w:rPr>
          <w:rFonts w:ascii="Verdana" w:hAnsi="Verdana"/>
        </w:rPr>
      </w:pPr>
    </w:p>
    <w:p w14:paraId="5698DE5E" w14:textId="77777777" w:rsidR="008607AC" w:rsidRDefault="008607AC" w:rsidP="00102934">
      <w:pPr>
        <w:spacing w:after="0" w:line="240" w:lineRule="auto"/>
        <w:jc w:val="both"/>
        <w:rPr>
          <w:rFonts w:ascii="Verdana" w:hAnsi="Verdana"/>
        </w:rPr>
      </w:pPr>
    </w:p>
    <w:p w14:paraId="72DCF47D" w14:textId="77777777" w:rsidR="008607AC" w:rsidRDefault="008607AC" w:rsidP="00102934">
      <w:pPr>
        <w:spacing w:after="0" w:line="240" w:lineRule="auto"/>
        <w:jc w:val="both"/>
        <w:rPr>
          <w:rFonts w:ascii="Verdana" w:hAnsi="Verdana"/>
        </w:rPr>
      </w:pPr>
    </w:p>
    <w:p w14:paraId="0540F07A" w14:textId="77777777" w:rsidR="008607AC" w:rsidRDefault="008607AC" w:rsidP="00102934">
      <w:pPr>
        <w:spacing w:after="0" w:line="240" w:lineRule="auto"/>
        <w:jc w:val="both"/>
        <w:rPr>
          <w:rFonts w:ascii="Verdana" w:hAnsi="Verdana"/>
        </w:rPr>
      </w:pPr>
    </w:p>
    <w:p w14:paraId="31E90B1E" w14:textId="77777777" w:rsidR="008607AC" w:rsidRDefault="008607AC" w:rsidP="00102934">
      <w:pPr>
        <w:spacing w:after="0" w:line="240" w:lineRule="auto"/>
        <w:jc w:val="both"/>
        <w:rPr>
          <w:rFonts w:ascii="Verdana" w:hAnsi="Verdana"/>
        </w:rPr>
      </w:pPr>
    </w:p>
    <w:p w14:paraId="71C4CBB0" w14:textId="77777777" w:rsidR="008607AC" w:rsidRDefault="008607AC" w:rsidP="00102934">
      <w:pPr>
        <w:spacing w:after="0" w:line="240" w:lineRule="auto"/>
        <w:jc w:val="both"/>
        <w:rPr>
          <w:rFonts w:ascii="Verdana" w:hAnsi="Verdana"/>
        </w:rPr>
      </w:pPr>
    </w:p>
    <w:p w14:paraId="3B3BADD3" w14:textId="77777777" w:rsidR="00537621" w:rsidRDefault="00537621" w:rsidP="00102934">
      <w:pPr>
        <w:spacing w:after="0" w:line="240" w:lineRule="auto"/>
        <w:jc w:val="both"/>
        <w:rPr>
          <w:rFonts w:ascii="Verdana" w:hAnsi="Verdana"/>
        </w:rPr>
      </w:pPr>
    </w:p>
    <w:p w14:paraId="69B36CB0" w14:textId="351C8BCD" w:rsidR="00102934" w:rsidRPr="008E4F36" w:rsidRDefault="006531A9" w:rsidP="00102934">
      <w:pPr>
        <w:spacing w:after="0" w:line="240" w:lineRule="auto"/>
        <w:jc w:val="both"/>
        <w:rPr>
          <w:rFonts w:ascii="Verdana" w:hAnsi="Verdana"/>
        </w:rPr>
      </w:pPr>
      <w:r w:rsidRPr="006531A9">
        <w:rPr>
          <w:rFonts w:ascii="Verdana" w:hAnsi="Verdana"/>
        </w:rPr>
        <w:lastRenderedPageBreak/>
        <w:t xml:space="preserve">Bogotá D.C., 03 </w:t>
      </w:r>
      <w:r>
        <w:rPr>
          <w:rFonts w:ascii="Verdana" w:hAnsi="Verdana"/>
        </w:rPr>
        <w:t>f</w:t>
      </w:r>
      <w:r w:rsidRPr="006531A9">
        <w:rPr>
          <w:rFonts w:ascii="Verdana" w:hAnsi="Verdana"/>
        </w:rPr>
        <w:t>ebrero 2026</w:t>
      </w:r>
      <w:r>
        <w:rPr>
          <w:rFonts w:ascii="Verdana" w:hAnsi="Verdana"/>
        </w:rPr>
        <w:t xml:space="preserve"> </w:t>
      </w:r>
      <w:r w:rsidR="00102934">
        <w:rPr>
          <w:rFonts w:ascii="Verdana" w:hAnsi="Verdana"/>
        </w:rPr>
        <w:t xml:space="preserve"> </w:t>
      </w:r>
    </w:p>
    <w:p w14:paraId="235D849D" w14:textId="1A0FECD3" w:rsidR="00102934" w:rsidRPr="008E4F36" w:rsidRDefault="006531A9" w:rsidP="00102934">
      <w:pPr>
        <w:spacing w:after="0" w:line="240" w:lineRule="auto"/>
        <w:jc w:val="both"/>
        <w:rPr>
          <w:rFonts w:ascii="Verdana" w:eastAsia="Calibri" w:hAnsi="Verdana" w:cs="Arial"/>
          <w:lang w:eastAsia="es-ES"/>
        </w:rPr>
      </w:pPr>
      <w:bookmarkStart w:id="0" w:name="_Hlk197462763"/>
      <w:bookmarkStart w:id="1" w:name="_Hlk197529996"/>
      <w:r w:rsidRPr="006531A9">
        <w:rPr>
          <w:rFonts w:ascii="Verdana" w:eastAsia="Calibri" w:hAnsi="Verdana" w:cs="Arial"/>
          <w:lang w:eastAsia="es-ES"/>
        </w:rPr>
        <w:drawing>
          <wp:anchor distT="0" distB="0" distL="114300" distR="114300" simplePos="0" relativeHeight="251660288" behindDoc="1" locked="0" layoutInCell="1" allowOverlap="1" wp14:anchorId="21637D2F" wp14:editId="6244E38D">
            <wp:simplePos x="0" y="0"/>
            <wp:positionH relativeFrom="column">
              <wp:posOffset>2935219</wp:posOffset>
            </wp:positionH>
            <wp:positionV relativeFrom="paragraph">
              <wp:posOffset>168910</wp:posOffset>
            </wp:positionV>
            <wp:extent cx="3400425" cy="981075"/>
            <wp:effectExtent l="0" t="0" r="9525" b="9525"/>
            <wp:wrapTight wrapText="bothSides">
              <wp:wrapPolygon edited="0">
                <wp:start x="0" y="0"/>
                <wp:lineTo x="0" y="21390"/>
                <wp:lineTo x="21539" y="21390"/>
                <wp:lineTo x="21539" y="0"/>
                <wp:lineTo x="0" y="0"/>
              </wp:wrapPolygon>
            </wp:wrapTight>
            <wp:docPr id="980269470"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269470" name="Imagen 1" descr="Interfaz de usuario gráfica, 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3400425" cy="981075"/>
                    </a:xfrm>
                    <a:prstGeom prst="rect">
                      <a:avLst/>
                    </a:prstGeom>
                  </pic:spPr>
                </pic:pic>
              </a:graphicData>
            </a:graphic>
          </wp:anchor>
        </w:drawing>
      </w:r>
    </w:p>
    <w:p w14:paraId="55B54B5B" w14:textId="58463FF1" w:rsidR="00102934" w:rsidRDefault="00102934" w:rsidP="00102934">
      <w:pPr>
        <w:spacing w:after="0" w:line="240" w:lineRule="auto"/>
        <w:jc w:val="both"/>
        <w:rPr>
          <w:rFonts w:ascii="Verdana" w:eastAsia="Calibri" w:hAnsi="Verdana" w:cs="Arial"/>
          <w:lang w:eastAsia="es-ES"/>
        </w:rPr>
      </w:pPr>
    </w:p>
    <w:p w14:paraId="6B26ADD3" w14:textId="77777777" w:rsidR="006531A9" w:rsidRDefault="006531A9" w:rsidP="00102934">
      <w:pPr>
        <w:spacing w:after="0" w:line="240" w:lineRule="auto"/>
        <w:jc w:val="both"/>
        <w:rPr>
          <w:rFonts w:ascii="Verdana" w:eastAsia="Calibri" w:hAnsi="Verdana" w:cs="Arial"/>
          <w:lang w:eastAsia="es-ES"/>
        </w:rPr>
      </w:pPr>
    </w:p>
    <w:p w14:paraId="5BE53E9E" w14:textId="77777777" w:rsidR="006531A9" w:rsidRDefault="006531A9" w:rsidP="00102934">
      <w:pPr>
        <w:spacing w:after="0" w:line="240" w:lineRule="auto"/>
        <w:jc w:val="both"/>
        <w:rPr>
          <w:rFonts w:ascii="Verdana" w:eastAsia="Calibri" w:hAnsi="Verdana" w:cs="Arial"/>
          <w:lang w:eastAsia="es-ES"/>
        </w:rPr>
      </w:pPr>
    </w:p>
    <w:p w14:paraId="2718D779" w14:textId="77777777" w:rsidR="00102934" w:rsidRPr="008E4F36" w:rsidRDefault="00102934" w:rsidP="00102934">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7F0F08A2" w14:textId="77777777" w:rsidR="00102934" w:rsidRPr="000F2158" w:rsidRDefault="00102934" w:rsidP="00102934">
      <w:pPr>
        <w:spacing w:after="0" w:line="240" w:lineRule="auto"/>
        <w:jc w:val="both"/>
        <w:rPr>
          <w:rFonts w:ascii="Verdana" w:eastAsia="Calibri" w:hAnsi="Verdana" w:cs="Arial"/>
          <w:b/>
          <w:highlight w:val="yellow"/>
          <w:lang w:eastAsia="es-ES_tradnl"/>
        </w:rPr>
      </w:pPr>
      <w:r w:rsidRPr="00187CA0">
        <w:rPr>
          <w:rFonts w:ascii="Verdana" w:eastAsia="Calibri" w:hAnsi="Verdana" w:cs="Arial"/>
          <w:b/>
          <w:lang w:eastAsia="es-ES_tradnl"/>
        </w:rPr>
        <w:t>Andrés Felipe</w:t>
      </w:r>
      <w:r>
        <w:rPr>
          <w:rFonts w:ascii="Verdana" w:eastAsia="Calibri" w:hAnsi="Verdana" w:cs="Arial"/>
          <w:b/>
          <w:lang w:eastAsia="es-ES_tradnl"/>
        </w:rPr>
        <w:t xml:space="preserve"> </w:t>
      </w:r>
      <w:r w:rsidRPr="00187CA0">
        <w:rPr>
          <w:rFonts w:ascii="Verdana" w:eastAsia="Calibri" w:hAnsi="Verdana" w:cs="Arial"/>
          <w:b/>
          <w:lang w:eastAsia="es-ES_tradnl"/>
        </w:rPr>
        <w:t>Pérez Mu</w:t>
      </w:r>
      <w:r>
        <w:rPr>
          <w:rFonts w:ascii="Verdana" w:eastAsia="Calibri" w:hAnsi="Verdana" w:cs="Arial"/>
          <w:b/>
          <w:lang w:eastAsia="es-ES_tradnl"/>
        </w:rPr>
        <w:t>ñ</w:t>
      </w:r>
      <w:r w:rsidRPr="00187CA0">
        <w:rPr>
          <w:rFonts w:ascii="Verdana" w:eastAsia="Calibri" w:hAnsi="Verdana" w:cs="Arial"/>
          <w:b/>
          <w:lang w:eastAsia="es-ES_tradnl"/>
        </w:rPr>
        <w:t>oz</w:t>
      </w:r>
      <w:r>
        <w:rPr>
          <w:rFonts w:ascii="Verdana" w:eastAsia="Calibri" w:hAnsi="Verdana" w:cs="Arial"/>
          <w:b/>
          <w:lang w:eastAsia="es-ES_tradnl"/>
        </w:rPr>
        <w:t xml:space="preserve"> </w:t>
      </w:r>
    </w:p>
    <w:p w14:paraId="7ECB1A38" w14:textId="77777777" w:rsidR="00102934" w:rsidRPr="00187CA0" w:rsidRDefault="00102934" w:rsidP="00102934">
      <w:pPr>
        <w:spacing w:after="0" w:line="240" w:lineRule="auto"/>
        <w:jc w:val="both"/>
        <w:rPr>
          <w:rFonts w:ascii="Verdana" w:eastAsia="Calibri" w:hAnsi="Verdana" w:cs="Arial"/>
          <w:b/>
          <w:lang w:eastAsia="es-ES_tradnl"/>
        </w:rPr>
      </w:pPr>
      <w:hyperlink r:id="rId8" w:history="1">
        <w:r w:rsidRPr="00187CA0">
          <w:rPr>
            <w:rStyle w:val="Hipervnculo"/>
            <w:rFonts w:ascii="Verdana" w:eastAsia="Calibri" w:hAnsi="Verdana" w:cs="Arial"/>
            <w:b/>
            <w:lang w:eastAsia="es-ES_tradnl"/>
          </w:rPr>
          <w:t>andresperez1199@hotmail.com</w:t>
        </w:r>
      </w:hyperlink>
      <w:r w:rsidRPr="00187CA0">
        <w:rPr>
          <w:rFonts w:ascii="Verdana" w:eastAsia="Calibri" w:hAnsi="Verdana" w:cs="Arial"/>
          <w:b/>
          <w:lang w:eastAsia="es-ES_tradnl"/>
        </w:rPr>
        <w:t xml:space="preserve"> </w:t>
      </w:r>
    </w:p>
    <w:p w14:paraId="50B9E1C9" w14:textId="77777777" w:rsidR="00102934" w:rsidRPr="00624A4C" w:rsidRDefault="00102934" w:rsidP="00102934">
      <w:pPr>
        <w:spacing w:after="0" w:line="240" w:lineRule="auto"/>
        <w:jc w:val="both"/>
        <w:rPr>
          <w:rFonts w:ascii="Verdana" w:eastAsia="Calibri" w:hAnsi="Verdana" w:cs="Arial"/>
          <w:bCs/>
          <w:lang w:eastAsia="es-ES_tradnl"/>
        </w:rPr>
      </w:pPr>
      <w:r w:rsidRPr="00187CA0">
        <w:rPr>
          <w:rFonts w:ascii="Verdana" w:eastAsia="Calibri" w:hAnsi="Verdana" w:cs="Arial"/>
          <w:bCs/>
          <w:lang w:eastAsia="es-ES_tradnl"/>
        </w:rPr>
        <w:t>Puerto Rico, Caquetá</w:t>
      </w:r>
      <w:r>
        <w:rPr>
          <w:rFonts w:ascii="Verdana" w:eastAsia="Calibri" w:hAnsi="Verdana" w:cs="Arial"/>
          <w:bCs/>
          <w:lang w:eastAsia="es-ES_tradnl"/>
        </w:rPr>
        <w:t xml:space="preserve"> </w:t>
      </w:r>
    </w:p>
    <w:p w14:paraId="0617B736" w14:textId="77777777" w:rsidR="00102934" w:rsidRDefault="00102934" w:rsidP="00102934">
      <w:pPr>
        <w:spacing w:after="0" w:line="240" w:lineRule="auto"/>
        <w:jc w:val="both"/>
        <w:rPr>
          <w:rFonts w:ascii="Verdana" w:hAnsi="Verdana"/>
          <w:lang w:val="it-CH"/>
        </w:rPr>
      </w:pPr>
    </w:p>
    <w:p w14:paraId="56DC4844" w14:textId="77777777" w:rsidR="00102934" w:rsidRPr="005B4C57" w:rsidRDefault="00102934" w:rsidP="00102934">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102934" w:rsidRPr="002842E0" w14:paraId="799595FD" w14:textId="77777777" w:rsidTr="00993DF0">
        <w:trPr>
          <w:trHeight w:val="162"/>
        </w:trPr>
        <w:tc>
          <w:tcPr>
            <w:tcW w:w="3119" w:type="dxa"/>
          </w:tcPr>
          <w:p w14:paraId="5BCD34A4" w14:textId="77777777" w:rsidR="00102934" w:rsidRPr="005B4C57" w:rsidRDefault="00102934" w:rsidP="00993DF0">
            <w:pPr>
              <w:jc w:val="both"/>
              <w:rPr>
                <w:rFonts w:ascii="Verdana" w:eastAsia="Calibri" w:hAnsi="Verdana" w:cs="Arial"/>
                <w:b/>
                <w:bCs/>
                <w:color w:val="7030A0"/>
                <w:lang w:val="it-CH" w:eastAsia="es-ES_tradnl"/>
              </w:rPr>
            </w:pPr>
          </w:p>
        </w:tc>
        <w:tc>
          <w:tcPr>
            <w:tcW w:w="5670" w:type="dxa"/>
          </w:tcPr>
          <w:p w14:paraId="6A694C8B" w14:textId="77777777" w:rsidR="00102934" w:rsidRPr="00187CA0" w:rsidRDefault="00102934" w:rsidP="00993DF0">
            <w:pPr>
              <w:jc w:val="both"/>
              <w:rPr>
                <w:rFonts w:ascii="Verdana" w:eastAsia="Calibri" w:hAnsi="Verdana" w:cs="Arial"/>
                <w:b/>
                <w:bCs/>
                <w:lang w:eastAsia="es-ES"/>
              </w:rPr>
            </w:pPr>
            <w:r w:rsidRPr="00187CA0">
              <w:rPr>
                <w:rFonts w:ascii="Verdana" w:eastAsia="Calibri" w:hAnsi="Verdana" w:cs="Arial"/>
                <w:b/>
                <w:bCs/>
                <w:lang w:eastAsia="es-ES"/>
              </w:rPr>
              <w:t>Concepto C- 18</w:t>
            </w:r>
            <w:r>
              <w:rPr>
                <w:rFonts w:ascii="Verdana" w:eastAsia="Calibri" w:hAnsi="Verdana" w:cs="Arial"/>
                <w:b/>
                <w:bCs/>
                <w:lang w:eastAsia="es-ES"/>
              </w:rPr>
              <w:t>59</w:t>
            </w:r>
            <w:r w:rsidRPr="00187CA0">
              <w:rPr>
                <w:rFonts w:ascii="Verdana" w:eastAsia="Calibri" w:hAnsi="Verdana" w:cs="Arial"/>
                <w:b/>
                <w:bCs/>
                <w:lang w:eastAsia="es-ES"/>
              </w:rPr>
              <w:t xml:space="preserve"> de 2025</w:t>
            </w:r>
          </w:p>
          <w:p w14:paraId="64AA6FF2" w14:textId="77777777" w:rsidR="00102934" w:rsidRPr="00187CA0" w:rsidRDefault="00102934" w:rsidP="00993DF0">
            <w:pPr>
              <w:jc w:val="both"/>
              <w:rPr>
                <w:rFonts w:ascii="Verdana" w:eastAsia="Calibri" w:hAnsi="Verdana" w:cs="Arial"/>
                <w:b/>
                <w:bCs/>
                <w:color w:val="7030A0"/>
                <w:lang w:eastAsia="es-ES"/>
              </w:rPr>
            </w:pPr>
          </w:p>
        </w:tc>
      </w:tr>
      <w:tr w:rsidR="00102934" w:rsidRPr="002842E0" w14:paraId="60DE6B6A" w14:textId="77777777" w:rsidTr="00993DF0">
        <w:trPr>
          <w:trHeight w:val="884"/>
        </w:trPr>
        <w:tc>
          <w:tcPr>
            <w:tcW w:w="3119" w:type="dxa"/>
          </w:tcPr>
          <w:p w14:paraId="7AA80D82" w14:textId="77777777" w:rsidR="00102934" w:rsidRPr="00801462" w:rsidRDefault="00102934" w:rsidP="00993DF0">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1C1B2525" w14:textId="77777777" w:rsidR="00102934" w:rsidRPr="00B9037F" w:rsidRDefault="00102934" w:rsidP="00993DF0">
            <w:pPr>
              <w:spacing w:line="276" w:lineRule="auto"/>
              <w:jc w:val="both"/>
              <w:rPr>
                <w:rFonts w:ascii="Verdana" w:eastAsia="Calibri" w:hAnsi="Verdana" w:cs="Arial"/>
                <w:lang w:eastAsia="es-ES"/>
              </w:rPr>
            </w:pPr>
            <w:r w:rsidRPr="00CE03E0">
              <w:rPr>
                <w:rFonts w:ascii="Verdana" w:eastAsia="Calibri" w:hAnsi="Verdana" w:cs="Arial"/>
                <w:lang w:val="es-MX"/>
              </w:rPr>
              <w:t>REQUISITOS DE PERFECCIONAMIENTO DE LOS CONTRATOS ESTATALES – Celebración del contrato estatal – ELEMENTOS DEL CONTRATO – Elementos de la esencia – Elementos de la naturaleza – Elementos accidentales</w:t>
            </w:r>
            <w:r w:rsidRPr="00214793">
              <w:rPr>
                <w:rFonts w:ascii="Verdana" w:eastAsia="Times New Roman" w:hAnsi="Verdana"/>
                <w:lang w:val="es-ES_tradnl" w:eastAsia="es-ES_tradnl"/>
              </w:rPr>
              <w:t xml:space="preserve"> </w:t>
            </w:r>
            <w:r>
              <w:rPr>
                <w:rFonts w:ascii="Verdana" w:eastAsia="Times New Roman" w:hAnsi="Verdana"/>
                <w:lang w:val="es-ES_tradnl" w:eastAsia="es-ES_tradnl"/>
              </w:rPr>
              <w:t xml:space="preserve">/ </w:t>
            </w:r>
            <w:r w:rsidRPr="00214793">
              <w:rPr>
                <w:rFonts w:ascii="Verdana" w:eastAsia="Times New Roman" w:hAnsi="Verdana"/>
                <w:lang w:val="es-ES_tradnl" w:eastAsia="es-ES_tradnl"/>
              </w:rPr>
              <w:t>CONVENIOS Y CONTRATOS INTERADMINISTRATIVOS –</w:t>
            </w:r>
            <w:r w:rsidRPr="00214793">
              <w:rPr>
                <w:rFonts w:ascii="Verdana" w:eastAsia="Times New Roman" w:hAnsi="Verdana"/>
                <w:lang w:eastAsia="es-ES_tradnl"/>
              </w:rPr>
              <w:t xml:space="preserve"> Noción y Características – Diferencias /</w:t>
            </w:r>
            <w:r w:rsidRPr="00214793">
              <w:rPr>
                <w:rFonts w:ascii="Verdana" w:eastAsia="Calibri" w:hAnsi="Verdana" w:cs="Arial"/>
                <w:lang w:eastAsia="es-ES"/>
              </w:rPr>
              <w:t xml:space="preserve"> CONTRATO INTERADMINISTRATIVO – Alcance –</w:t>
            </w:r>
            <w:r w:rsidRPr="00214793">
              <w:rPr>
                <w:rFonts w:ascii="Verdana" w:hAnsi="Verdana" w:cs="Arial"/>
              </w:rPr>
              <w:t xml:space="preserve"> Literal c) numeral 4 del artículo 2 de la Ley 1150 de 2007</w:t>
            </w:r>
            <w:r>
              <w:rPr>
                <w:rFonts w:ascii="Verdana" w:hAnsi="Verdana" w:cs="Arial"/>
              </w:rPr>
              <w:t xml:space="preserve"> </w:t>
            </w:r>
          </w:p>
          <w:p w14:paraId="586CCC17" w14:textId="77777777" w:rsidR="00102934" w:rsidRPr="00187CA0" w:rsidRDefault="00102934" w:rsidP="00993DF0">
            <w:pPr>
              <w:jc w:val="both"/>
              <w:rPr>
                <w:rFonts w:ascii="Verdana" w:eastAsia="Calibri" w:hAnsi="Verdana" w:cs="Arial"/>
                <w:lang w:val="es-ES_tradnl" w:eastAsia="es-ES"/>
              </w:rPr>
            </w:pPr>
          </w:p>
        </w:tc>
      </w:tr>
      <w:tr w:rsidR="00102934" w:rsidRPr="002842E0" w14:paraId="1E17AA63" w14:textId="77777777" w:rsidTr="00993DF0">
        <w:tc>
          <w:tcPr>
            <w:tcW w:w="3119" w:type="dxa"/>
          </w:tcPr>
          <w:p w14:paraId="4FCBB246" w14:textId="77777777" w:rsidR="00102934" w:rsidRPr="00187CA0" w:rsidRDefault="00102934" w:rsidP="00993DF0">
            <w:pPr>
              <w:jc w:val="both"/>
              <w:rPr>
                <w:rFonts w:ascii="Verdana" w:eastAsia="Calibri" w:hAnsi="Verdana" w:cs="Arial"/>
                <w:b/>
                <w:lang w:eastAsia="es-ES_tradnl"/>
              </w:rPr>
            </w:pPr>
            <w:r w:rsidRPr="00187CA0">
              <w:rPr>
                <w:rFonts w:ascii="Verdana" w:eastAsia="Calibri" w:hAnsi="Verdana" w:cs="Arial"/>
                <w:b/>
                <w:lang w:eastAsia="es-ES_tradnl"/>
              </w:rPr>
              <w:t>Radicación:</w:t>
            </w:r>
            <w:r w:rsidRPr="00187CA0">
              <w:rPr>
                <w:rFonts w:ascii="Verdana" w:eastAsia="Calibri" w:hAnsi="Verdana" w:cs="Arial"/>
                <w:lang w:eastAsia="es-ES_tradnl"/>
              </w:rPr>
              <w:t xml:space="preserve">               </w:t>
            </w:r>
          </w:p>
        </w:tc>
        <w:tc>
          <w:tcPr>
            <w:tcW w:w="5670" w:type="dxa"/>
          </w:tcPr>
          <w:p w14:paraId="54830F6E" w14:textId="77777777" w:rsidR="00102934" w:rsidRPr="00C23A4D" w:rsidRDefault="00102934" w:rsidP="00993DF0">
            <w:pPr>
              <w:jc w:val="both"/>
              <w:rPr>
                <w:rFonts w:ascii="Verdana" w:eastAsia="Calibri" w:hAnsi="Verdana" w:cs="Arial"/>
                <w:lang w:eastAsia="es-ES_tradnl"/>
              </w:rPr>
            </w:pPr>
            <w:r w:rsidRPr="00C23A4D">
              <w:rPr>
                <w:rFonts w:ascii="Verdana" w:eastAsia="Calibri" w:hAnsi="Verdana" w:cs="Arial"/>
                <w:lang w:eastAsia="es-ES_tradnl"/>
              </w:rPr>
              <w:t xml:space="preserve">Respuesta a consulta con radicado </w:t>
            </w:r>
          </w:p>
          <w:p w14:paraId="42F3CD4C" w14:textId="77777777" w:rsidR="00102934" w:rsidRPr="00C23A4D" w:rsidRDefault="00102934" w:rsidP="00993DF0">
            <w:pPr>
              <w:jc w:val="both"/>
              <w:rPr>
                <w:rFonts w:ascii="Verdana" w:hAnsi="Verdana"/>
                <w:color w:val="000000"/>
              </w:rPr>
            </w:pPr>
            <w:r w:rsidRPr="00C23A4D">
              <w:rPr>
                <w:rFonts w:ascii="Verdana" w:hAnsi="Verdana"/>
                <w:color w:val="000000"/>
              </w:rPr>
              <w:t>1_2025_12_24_014322</w:t>
            </w:r>
          </w:p>
        </w:tc>
      </w:tr>
    </w:tbl>
    <w:p w14:paraId="0CF06046" w14:textId="77777777" w:rsidR="00102934" w:rsidRDefault="00102934" w:rsidP="00102934">
      <w:pPr>
        <w:spacing w:after="0" w:line="276" w:lineRule="auto"/>
        <w:jc w:val="both"/>
        <w:rPr>
          <w:rFonts w:ascii="Verdana" w:eastAsia="Calibri" w:hAnsi="Verdana" w:cs="Arial"/>
          <w:lang w:eastAsia="es-ES_tradnl"/>
        </w:rPr>
      </w:pPr>
    </w:p>
    <w:p w14:paraId="7CAA1BC4" w14:textId="77777777" w:rsidR="00102934" w:rsidRDefault="00102934" w:rsidP="00102934">
      <w:pPr>
        <w:spacing w:after="0" w:line="276" w:lineRule="auto"/>
        <w:jc w:val="both"/>
        <w:rPr>
          <w:rFonts w:ascii="Verdana" w:eastAsia="Calibri" w:hAnsi="Verdana" w:cs="Arial"/>
          <w:lang w:eastAsia="es-ES_tradnl"/>
        </w:rPr>
      </w:pPr>
    </w:p>
    <w:p w14:paraId="24F83334" w14:textId="77777777" w:rsidR="00102934" w:rsidRPr="008E4F36" w:rsidRDefault="00102934" w:rsidP="00102934">
      <w:pPr>
        <w:spacing w:after="0" w:line="276" w:lineRule="auto"/>
        <w:jc w:val="both"/>
        <w:rPr>
          <w:rFonts w:ascii="Verdana" w:eastAsia="Calibri" w:hAnsi="Verdana" w:cs="Arial"/>
          <w:lang w:eastAsia="es-ES"/>
        </w:rPr>
      </w:pPr>
      <w:r w:rsidRPr="00187CA0">
        <w:rPr>
          <w:rFonts w:ascii="Verdana" w:eastAsia="Calibri" w:hAnsi="Verdana" w:cs="Arial"/>
          <w:lang w:eastAsia="es-ES"/>
        </w:rPr>
        <w:t xml:space="preserve">Estimado señor </w:t>
      </w:r>
      <w:r>
        <w:rPr>
          <w:rFonts w:ascii="Verdana" w:eastAsia="Calibri" w:hAnsi="Verdana" w:cs="Arial"/>
          <w:lang w:eastAsia="es-ES"/>
        </w:rPr>
        <w:t>Pérez</w:t>
      </w:r>
      <w:r w:rsidRPr="00187CA0">
        <w:rPr>
          <w:rFonts w:ascii="Verdana" w:eastAsia="Calibri" w:hAnsi="Verdana" w:cs="Arial"/>
          <w:lang w:eastAsia="es-ES"/>
        </w:rPr>
        <w:t>:</w:t>
      </w:r>
      <w:r w:rsidRPr="008E4F36">
        <w:rPr>
          <w:rFonts w:ascii="Verdana" w:eastAsia="Calibri" w:hAnsi="Verdana" w:cs="Arial"/>
          <w:lang w:eastAsia="es-ES"/>
        </w:rPr>
        <w:t xml:space="preserve"> </w:t>
      </w:r>
    </w:p>
    <w:p w14:paraId="60D11540" w14:textId="77777777" w:rsidR="00102934" w:rsidRDefault="00102934" w:rsidP="00102934">
      <w:pPr>
        <w:tabs>
          <w:tab w:val="left" w:pos="3768"/>
        </w:tabs>
        <w:spacing w:after="0" w:line="240" w:lineRule="auto"/>
        <w:jc w:val="both"/>
        <w:rPr>
          <w:rFonts w:ascii="Verdana" w:eastAsia="Calibri" w:hAnsi="Verdana" w:cs="Arial"/>
          <w:lang w:eastAsia="es-ES"/>
        </w:rPr>
      </w:pPr>
    </w:p>
    <w:p w14:paraId="50291D67" w14:textId="77777777" w:rsidR="00102934" w:rsidRPr="008E4F36" w:rsidRDefault="00102934" w:rsidP="00102934">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w:t>
      </w:r>
      <w:r w:rsidRPr="00187CA0">
        <w:rPr>
          <w:rFonts w:ascii="Verdana" w:eastAsia="Calibri" w:hAnsi="Verdana" w:cs="Arial"/>
          <w:lang w:eastAsia="es-ES"/>
        </w:rPr>
        <w:t>Contratación Pública – Colombia Compra Eficiente– responde su solicitud de consulta de fecha 24 de diciembre de 2025,</w:t>
      </w:r>
      <w:r w:rsidRPr="000F2158">
        <w:rPr>
          <w:rFonts w:ascii="Verdana" w:eastAsia="Calibri" w:hAnsi="Verdana" w:cs="Arial"/>
          <w:lang w:eastAsia="es-ES"/>
        </w:rPr>
        <w:t xml:space="preserve"> en la cual manifiesta lo siguiente:</w:t>
      </w:r>
    </w:p>
    <w:p w14:paraId="5459DA80" w14:textId="77777777" w:rsidR="00102934" w:rsidRPr="008E4F36" w:rsidRDefault="00102934" w:rsidP="00102934">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1620316D" w14:textId="77777777" w:rsidR="00102934" w:rsidRPr="00617A31" w:rsidRDefault="00102934" w:rsidP="00102934">
      <w:pPr>
        <w:spacing w:after="0" w:line="240" w:lineRule="auto"/>
        <w:ind w:left="709" w:right="709"/>
        <w:jc w:val="both"/>
        <w:rPr>
          <w:rFonts w:ascii="Verdana" w:eastAsia="Century Gothic" w:hAnsi="Verdana" w:cs="Century Gothic"/>
          <w:sz w:val="20"/>
          <w:szCs w:val="20"/>
        </w:rPr>
      </w:pPr>
      <w:bookmarkStart w:id="2" w:name="_Hlk192699624"/>
      <w:bookmarkStart w:id="3" w:name="_Hlk199394899"/>
      <w:r>
        <w:rPr>
          <w:rFonts w:ascii="Verdana" w:eastAsia="Century Gothic" w:hAnsi="Verdana" w:cs="Century Gothic"/>
          <w:sz w:val="20"/>
          <w:szCs w:val="20"/>
        </w:rPr>
        <w:t>“</w:t>
      </w:r>
      <w:bookmarkEnd w:id="2"/>
      <w:bookmarkEnd w:id="3"/>
      <w:r w:rsidRPr="00187CA0">
        <w:rPr>
          <w:rFonts w:ascii="Verdana" w:eastAsia="Century Gothic" w:hAnsi="Verdana" w:cs="Century Gothic"/>
          <w:sz w:val="20"/>
          <w:szCs w:val="20"/>
        </w:rPr>
        <w:t xml:space="preserve">Atendiendo las diferencias que existen entre los denominados convenios (Bien sea los regulados por el decreto 092 de 2017, como los interadministrativos y demás) y los contratos estatales regulados mediante la ley 80 de 1993 y demás normas concordantes, se hace </w:t>
      </w:r>
      <w:r w:rsidRPr="00187CA0">
        <w:rPr>
          <w:rFonts w:ascii="Verdana" w:eastAsia="Century Gothic" w:hAnsi="Verdana" w:cs="Century Gothic"/>
          <w:sz w:val="20"/>
          <w:szCs w:val="20"/>
        </w:rPr>
        <w:lastRenderedPageBreak/>
        <w:t xml:space="preserve">necesario recibir orientación acerca de si es necesario o no, que en los convenios (independientemente de la clase o tipo de convenio) se establezcan de manera </w:t>
      </w:r>
      <w:proofErr w:type="spellStart"/>
      <w:r w:rsidRPr="00187CA0">
        <w:rPr>
          <w:rFonts w:ascii="Verdana" w:eastAsia="Century Gothic" w:hAnsi="Verdana" w:cs="Century Gothic"/>
          <w:sz w:val="20"/>
          <w:szCs w:val="20"/>
        </w:rPr>
        <w:t>especifica</w:t>
      </w:r>
      <w:proofErr w:type="spellEnd"/>
      <w:r w:rsidRPr="00187CA0">
        <w:rPr>
          <w:rFonts w:ascii="Verdana" w:eastAsia="Century Gothic" w:hAnsi="Verdana" w:cs="Century Gothic"/>
          <w:sz w:val="20"/>
          <w:szCs w:val="20"/>
        </w:rPr>
        <w:t xml:space="preserve"> </w:t>
      </w:r>
      <w:proofErr w:type="spellStart"/>
      <w:r w:rsidRPr="00187CA0">
        <w:rPr>
          <w:rFonts w:ascii="Verdana" w:eastAsia="Century Gothic" w:hAnsi="Verdana" w:cs="Century Gothic"/>
          <w:sz w:val="20"/>
          <w:szCs w:val="20"/>
        </w:rPr>
        <w:t>cuales</w:t>
      </w:r>
      <w:proofErr w:type="spellEnd"/>
      <w:r w:rsidRPr="00187CA0">
        <w:rPr>
          <w:rFonts w:ascii="Verdana" w:eastAsia="Century Gothic" w:hAnsi="Verdana" w:cs="Century Gothic"/>
          <w:sz w:val="20"/>
          <w:szCs w:val="20"/>
        </w:rPr>
        <w:t xml:space="preserve"> serán los aportes que realizarán las partes involucradas, o si por el contrario, basta con que una de las partes haga un aporte económico y la otra simplemente lo ejecute</w:t>
      </w:r>
      <w:r w:rsidRPr="004D6912">
        <w:rPr>
          <w:rFonts w:ascii="Verdana" w:eastAsia="Century Gothic" w:hAnsi="Verdana" w:cs="Century Gothic"/>
          <w:sz w:val="20"/>
          <w:szCs w:val="20"/>
        </w:rPr>
        <w:t>.”</w:t>
      </w:r>
    </w:p>
    <w:p w14:paraId="6C14DCAA" w14:textId="77777777" w:rsidR="00102934" w:rsidRPr="008E4F36" w:rsidRDefault="00102934" w:rsidP="00102934">
      <w:pPr>
        <w:spacing w:after="0" w:line="240" w:lineRule="auto"/>
        <w:ind w:left="709" w:right="709"/>
        <w:jc w:val="both"/>
        <w:rPr>
          <w:rFonts w:ascii="Verdana" w:hAnsi="Verdana"/>
          <w:sz w:val="20"/>
          <w:szCs w:val="20"/>
        </w:rPr>
      </w:pPr>
    </w:p>
    <w:p w14:paraId="77625D31" w14:textId="77777777" w:rsidR="00102934" w:rsidRDefault="00102934" w:rsidP="00102934">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39E0F53" w14:textId="77777777" w:rsidR="00102934" w:rsidRPr="00054383" w:rsidRDefault="00102934" w:rsidP="00102934">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31BE93A2" w14:textId="77777777" w:rsidR="00102934" w:rsidRPr="008E4F36" w:rsidRDefault="00102934" w:rsidP="00102934">
      <w:pPr>
        <w:spacing w:after="0"/>
        <w:ind w:firstLine="709"/>
        <w:jc w:val="both"/>
        <w:rPr>
          <w:rFonts w:ascii="Verdana" w:eastAsia="Calibri" w:hAnsi="Verdana" w:cs="Arial"/>
          <w:color w:val="000000"/>
          <w:lang w:eastAsia="es-ES"/>
        </w:rPr>
      </w:pPr>
    </w:p>
    <w:p w14:paraId="77327555" w14:textId="77777777" w:rsidR="00102934" w:rsidRDefault="00102934" w:rsidP="00102934">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65CC22A8" w14:textId="77777777" w:rsidR="00102934" w:rsidRDefault="00102934" w:rsidP="00102934">
      <w:pPr>
        <w:spacing w:after="0" w:line="276" w:lineRule="auto"/>
        <w:jc w:val="both"/>
        <w:rPr>
          <w:rFonts w:ascii="Verdana" w:eastAsia="Calibri" w:hAnsi="Verdana" w:cs="Arial"/>
          <w:color w:val="000000"/>
          <w:highlight w:val="yellow"/>
          <w:lang w:eastAsia="es-ES"/>
        </w:rPr>
      </w:pPr>
    </w:p>
    <w:p w14:paraId="635A6CB5" w14:textId="77777777" w:rsidR="00102934" w:rsidRPr="005A3B40" w:rsidRDefault="00102934" w:rsidP="00102934">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i)</w:t>
      </w:r>
      <w:r w:rsidRPr="00F325CD">
        <w:rPr>
          <w:rFonts w:ascii="Verdana" w:eastAsia="Calibri" w:hAnsi="Verdana" w:cs="Arial"/>
          <w:color w:val="000000"/>
          <w:lang w:eastAsia="es-ES"/>
        </w:rPr>
        <w:t xml:space="preserve"> ¿</w:t>
      </w:r>
      <w:r w:rsidRPr="002A3FEC">
        <w:rPr>
          <w:rFonts w:ascii="Verdana" w:eastAsia="Calibri" w:hAnsi="Verdana" w:cs="Arial"/>
          <w:color w:val="000000"/>
          <w:lang w:eastAsia="es-ES"/>
        </w:rPr>
        <w:t xml:space="preserve">En los </w:t>
      </w:r>
      <w:r w:rsidRPr="00F325CD">
        <w:rPr>
          <w:rFonts w:ascii="Verdana" w:eastAsia="Calibri" w:hAnsi="Verdana" w:cs="Arial"/>
          <w:color w:val="000000"/>
          <w:lang w:eastAsia="es-ES"/>
        </w:rPr>
        <w:t>distintos</w:t>
      </w:r>
      <w:r w:rsidRPr="002A3FEC">
        <w:rPr>
          <w:rFonts w:ascii="Verdana" w:eastAsia="Calibri" w:hAnsi="Verdana" w:cs="Arial"/>
          <w:color w:val="000000"/>
          <w:lang w:eastAsia="es-ES"/>
        </w:rPr>
        <w:t xml:space="preserve"> tipos de convenios </w:t>
      </w:r>
      <w:r w:rsidRPr="00F325CD">
        <w:rPr>
          <w:rFonts w:ascii="Verdana" w:eastAsia="Calibri" w:hAnsi="Verdana" w:cs="Arial"/>
          <w:color w:val="000000"/>
          <w:lang w:eastAsia="es-ES"/>
        </w:rPr>
        <w:t>que puede celebrar una entidad estatal resulta</w:t>
      </w:r>
      <w:r w:rsidRPr="002A3FEC">
        <w:rPr>
          <w:rFonts w:ascii="Verdana" w:eastAsia="Calibri" w:hAnsi="Verdana" w:cs="Arial"/>
          <w:color w:val="000000"/>
          <w:lang w:eastAsia="es-ES"/>
        </w:rPr>
        <w:t xml:space="preserve"> obligatorio </w:t>
      </w:r>
      <w:r w:rsidRPr="00F325CD">
        <w:rPr>
          <w:rFonts w:ascii="Verdana" w:eastAsia="Calibri" w:hAnsi="Verdana" w:cs="Arial"/>
          <w:color w:val="000000"/>
          <w:lang w:eastAsia="es-ES"/>
        </w:rPr>
        <w:t>establecer</w:t>
      </w:r>
      <w:r w:rsidRPr="002A3FEC">
        <w:rPr>
          <w:rFonts w:ascii="Verdana" w:eastAsia="Calibri" w:hAnsi="Verdana" w:cs="Arial"/>
          <w:color w:val="000000"/>
          <w:lang w:eastAsia="es-ES"/>
        </w:rPr>
        <w:t xml:space="preserve"> de manera expresa</w:t>
      </w:r>
      <w:r w:rsidRPr="00F325CD">
        <w:rPr>
          <w:rFonts w:ascii="Verdana" w:eastAsia="Calibri" w:hAnsi="Verdana" w:cs="Arial"/>
          <w:color w:val="000000"/>
          <w:lang w:eastAsia="es-ES"/>
        </w:rPr>
        <w:t>, clara y verificable</w:t>
      </w:r>
      <w:r w:rsidRPr="002A3FEC">
        <w:rPr>
          <w:rFonts w:ascii="Verdana" w:eastAsia="Calibri" w:hAnsi="Verdana" w:cs="Arial"/>
          <w:color w:val="000000"/>
          <w:lang w:eastAsia="es-ES"/>
        </w:rPr>
        <w:t xml:space="preserve"> los aportes que </w:t>
      </w:r>
      <w:r w:rsidRPr="00F325CD">
        <w:rPr>
          <w:rFonts w:ascii="Verdana" w:eastAsia="Calibri" w:hAnsi="Verdana" w:cs="Arial"/>
          <w:color w:val="000000"/>
          <w:lang w:eastAsia="es-ES"/>
        </w:rPr>
        <w:t>asumirá</w:t>
      </w:r>
      <w:r w:rsidRPr="002A3FEC">
        <w:rPr>
          <w:rFonts w:ascii="Verdana" w:eastAsia="Calibri" w:hAnsi="Verdana" w:cs="Arial"/>
          <w:color w:val="000000"/>
          <w:lang w:eastAsia="es-ES"/>
        </w:rPr>
        <w:t xml:space="preserve"> cada una de las partes para </w:t>
      </w:r>
      <w:r w:rsidRPr="00F325CD">
        <w:rPr>
          <w:rFonts w:ascii="Verdana" w:eastAsia="Calibri" w:hAnsi="Verdana" w:cs="Arial"/>
          <w:color w:val="000000"/>
          <w:lang w:eastAsia="es-ES"/>
        </w:rPr>
        <w:t>la ejecución y cumplimiento del</w:t>
      </w:r>
      <w:r w:rsidRPr="002A3FEC">
        <w:rPr>
          <w:rFonts w:ascii="Verdana" w:eastAsia="Calibri" w:hAnsi="Verdana" w:cs="Arial"/>
          <w:color w:val="000000"/>
          <w:lang w:eastAsia="es-ES"/>
        </w:rPr>
        <w:t xml:space="preserve"> objeto</w:t>
      </w:r>
      <w:r>
        <w:rPr>
          <w:rFonts w:ascii="Verdana" w:eastAsia="Calibri" w:hAnsi="Verdana" w:cs="Arial"/>
          <w:color w:val="000000"/>
          <w:lang w:eastAsia="es-ES"/>
        </w:rPr>
        <w:t xml:space="preserve"> </w:t>
      </w:r>
      <w:r w:rsidRPr="00F325CD">
        <w:rPr>
          <w:rFonts w:ascii="Verdana" w:eastAsia="Calibri" w:hAnsi="Verdana" w:cs="Arial"/>
          <w:color w:val="000000"/>
          <w:lang w:eastAsia="es-ES"/>
        </w:rPr>
        <w:t>del convenio?</w:t>
      </w:r>
    </w:p>
    <w:p w14:paraId="1F094841" w14:textId="77777777" w:rsidR="00102934" w:rsidRDefault="00102934" w:rsidP="00102934">
      <w:pPr>
        <w:spacing w:after="0" w:line="276" w:lineRule="auto"/>
        <w:jc w:val="both"/>
        <w:rPr>
          <w:rFonts w:ascii="Verdana" w:eastAsia="Calibri" w:hAnsi="Verdana" w:cs="Times New Roman"/>
          <w:i/>
          <w:iCs/>
        </w:rPr>
      </w:pPr>
    </w:p>
    <w:p w14:paraId="422599B0" w14:textId="77777777" w:rsidR="00102934" w:rsidRPr="008E4F36" w:rsidRDefault="00102934" w:rsidP="00102934">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3785D7FE" w14:textId="77777777" w:rsidR="00102934" w:rsidRPr="008E4F36" w:rsidRDefault="00102934" w:rsidP="00102934">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102934" w:rsidRPr="008E4F36" w14:paraId="5E6BAA8C" w14:textId="77777777" w:rsidTr="00993DF0">
        <w:tc>
          <w:tcPr>
            <w:tcW w:w="8828" w:type="dxa"/>
          </w:tcPr>
          <w:p w14:paraId="24BC0A0F" w14:textId="77777777" w:rsidR="00102934" w:rsidRPr="00151061" w:rsidRDefault="00102934" w:rsidP="00993DF0">
            <w:pPr>
              <w:spacing w:after="120" w:line="276" w:lineRule="auto"/>
              <w:ind w:firstLine="709"/>
              <w:jc w:val="both"/>
              <w:rPr>
                <w:rFonts w:ascii="Verdana" w:hAnsi="Verdana" w:cs="Arial"/>
                <w:color w:val="000000" w:themeColor="text1"/>
              </w:rPr>
            </w:pPr>
            <w:r w:rsidRPr="00151061">
              <w:rPr>
                <w:rFonts w:ascii="Verdana" w:hAnsi="Verdana" w:cs="Arial"/>
                <w:color w:val="000000" w:themeColor="text1"/>
              </w:rPr>
              <w:t xml:space="preserve">Inicialmente debe precisarse que el convenio se entiende como un acuerdo de voluntades celebrado entre entidades estatales, o entre estas y </w:t>
            </w:r>
            <w:r w:rsidRPr="00151061">
              <w:rPr>
                <w:rFonts w:ascii="Verdana" w:hAnsi="Verdana" w:cs="Arial"/>
                <w:color w:val="000000" w:themeColor="text1"/>
              </w:rPr>
              <w:lastRenderedPageBreak/>
              <w:t>particulares, mediante el cual las partes coordinan, cooperan o aúnan esfuerzos para el cumplimiento de un fin común de interés público, sin que exista, por regla general, una relación conmutativa propia de la prestación–remuneración. En tal sentido, los diferentes tipos de convenios —incluidos los convenios interadministrativos, los convenios de asociación y aquellos celebrados con entidades privadas sin ánimo de lucro conforme al Decreto 092 de 2017</w:t>
            </w:r>
            <w:r>
              <w:rPr>
                <w:rFonts w:ascii="Verdana" w:hAnsi="Verdana" w:cs="Arial"/>
                <w:color w:val="000000" w:themeColor="text1"/>
              </w:rPr>
              <w:t>, entre otros</w:t>
            </w:r>
            <w:r w:rsidRPr="00151061">
              <w:rPr>
                <w:rFonts w:ascii="Verdana" w:hAnsi="Verdana" w:cs="Arial"/>
                <w:color w:val="000000" w:themeColor="text1"/>
              </w:rPr>
              <w:t xml:space="preserve">— resulta </w:t>
            </w:r>
            <w:r>
              <w:rPr>
                <w:rFonts w:ascii="Verdana" w:hAnsi="Verdana" w:cs="Arial"/>
                <w:color w:val="000000" w:themeColor="text1"/>
              </w:rPr>
              <w:t>necesario</w:t>
            </w:r>
            <w:r w:rsidRPr="00151061">
              <w:rPr>
                <w:rFonts w:ascii="Verdana" w:hAnsi="Verdana" w:cs="Arial"/>
                <w:color w:val="000000" w:themeColor="text1"/>
              </w:rPr>
              <w:t xml:space="preserve"> definir de manera expresa, clara y verificable los aportes que asumirá cada una de las partes, en la medida en que dichos aportes integran el contenido obligacional esencial del </w:t>
            </w:r>
            <w:r>
              <w:rPr>
                <w:rFonts w:ascii="Verdana" w:hAnsi="Verdana" w:cs="Arial"/>
                <w:color w:val="000000" w:themeColor="text1"/>
              </w:rPr>
              <w:t>acuerdo</w:t>
            </w:r>
            <w:r w:rsidRPr="00151061">
              <w:rPr>
                <w:rFonts w:ascii="Verdana" w:hAnsi="Verdana" w:cs="Arial"/>
                <w:color w:val="000000" w:themeColor="text1"/>
              </w:rPr>
              <w:t>, permiten su adecuado perfeccionamiento mediante la determinación precisa del objeto y de las obligaciones asumidas, garantizan la observancia de los principios de planeación, transparencia, economía y responsabilidad, y evitan la desnaturalización del convenio en un contrato estatal de carácter oneroso o conmutativo sometido al régimen general de la contratación pública.</w:t>
            </w:r>
          </w:p>
          <w:p w14:paraId="5CDAB2AC" w14:textId="77777777" w:rsidR="00102934" w:rsidRDefault="00102934" w:rsidP="00993DF0">
            <w:pPr>
              <w:spacing w:after="120" w:line="276" w:lineRule="auto"/>
              <w:ind w:firstLine="709"/>
              <w:jc w:val="both"/>
              <w:rPr>
                <w:rFonts w:ascii="Verdana" w:hAnsi="Verdana" w:cs="Arial"/>
                <w:color w:val="000000" w:themeColor="text1"/>
              </w:rPr>
            </w:pPr>
            <w:r w:rsidRPr="00FC3365">
              <w:rPr>
                <w:rFonts w:ascii="Verdana" w:hAnsi="Verdana" w:cs="Arial"/>
                <w:color w:val="000000" w:themeColor="text1"/>
              </w:rPr>
              <w:t xml:space="preserve">En consecuencia, aun cuando los aportes no deban configurar una contraprestación económica ni una utilidad para alguna de las partes y puedan consistir en aportes técnicos, administrativos, financieros, económicos o en especie, independientemente del tipo de convenio que se celebre debe quedar establecido el valor </w:t>
            </w:r>
            <w:r>
              <w:rPr>
                <w:rFonts w:ascii="Verdana" w:hAnsi="Verdana" w:cs="Arial"/>
                <w:color w:val="000000" w:themeColor="text1"/>
              </w:rPr>
              <w:t>del convenio</w:t>
            </w:r>
            <w:r w:rsidRPr="00FC3365">
              <w:rPr>
                <w:rFonts w:ascii="Verdana" w:hAnsi="Verdana" w:cs="Arial"/>
                <w:color w:val="000000" w:themeColor="text1"/>
              </w:rPr>
              <w:t>, cuando a ello haya lugar, así como la identificación concreta de los aportes que realizará cada parte para la ejecución del objeto común, como condición necesaria para preservar la naturaleza cooperativa del acuerdo y definir correctamente el régimen jurídico aplicable.</w:t>
            </w:r>
          </w:p>
          <w:p w14:paraId="4D05466D" w14:textId="77777777" w:rsidR="00102934" w:rsidRPr="00FC3365" w:rsidRDefault="00102934" w:rsidP="00993DF0">
            <w:pPr>
              <w:spacing w:after="120" w:line="276" w:lineRule="auto"/>
              <w:ind w:firstLine="709"/>
              <w:jc w:val="both"/>
              <w:rPr>
                <w:rFonts w:ascii="Verdana" w:hAnsi="Verdana" w:cs="Arial"/>
                <w:color w:val="000000" w:themeColor="text1"/>
              </w:rPr>
            </w:pPr>
            <w:r w:rsidRPr="00E06D88">
              <w:rPr>
                <w:rFonts w:ascii="Verdana" w:eastAsia="Calibri" w:hAnsi="Verdana" w:cs="Times New Roman"/>
                <w:bCs/>
                <w:lang w:val="es-ES_tradnl"/>
              </w:rPr>
              <w:t>En todo caso</w:t>
            </w:r>
            <w:r w:rsidRPr="00E06D88">
              <w:rPr>
                <w:rFonts w:ascii="Verdana" w:eastAsia="Calibri" w:hAnsi="Verdana" w:cs="Times New Roman"/>
              </w:rPr>
              <w:t>, las entidades definirán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p>
        </w:tc>
      </w:tr>
    </w:tbl>
    <w:p w14:paraId="637AACBA" w14:textId="77777777" w:rsidR="00102934" w:rsidRDefault="00102934" w:rsidP="00102934">
      <w:pPr>
        <w:tabs>
          <w:tab w:val="left" w:pos="142"/>
          <w:tab w:val="left" w:pos="284"/>
        </w:tabs>
        <w:spacing w:after="0" w:line="276" w:lineRule="auto"/>
        <w:jc w:val="both"/>
        <w:rPr>
          <w:rFonts w:ascii="Verdana" w:eastAsia="Century Gothic" w:hAnsi="Verdana" w:cs="Century Gothic"/>
          <w:b/>
          <w:bCs/>
        </w:rPr>
      </w:pPr>
    </w:p>
    <w:p w14:paraId="74413CAD" w14:textId="77777777" w:rsidR="00102934" w:rsidRPr="008E4F36" w:rsidRDefault="00102934" w:rsidP="00102934">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05C1A247" w14:textId="77777777" w:rsidR="00102934" w:rsidRDefault="00102934" w:rsidP="00102934">
      <w:pPr>
        <w:pStyle w:val="Prrafodelista"/>
        <w:tabs>
          <w:tab w:val="left" w:pos="142"/>
          <w:tab w:val="left" w:pos="284"/>
        </w:tabs>
        <w:spacing w:after="0" w:line="276" w:lineRule="auto"/>
        <w:ind w:left="0"/>
        <w:contextualSpacing w:val="0"/>
        <w:jc w:val="both"/>
        <w:rPr>
          <w:rFonts w:ascii="Verdana" w:eastAsia="Calibri" w:hAnsi="Verdana" w:cs="Arial"/>
        </w:rPr>
      </w:pPr>
    </w:p>
    <w:p w14:paraId="707B20C8" w14:textId="77777777" w:rsidR="00102934" w:rsidRDefault="00102934" w:rsidP="00102934">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lastRenderedPageBreak/>
        <w:t xml:space="preserve">Lo anterior se sustenta en las siguientes consideraciones: </w:t>
      </w:r>
    </w:p>
    <w:p w14:paraId="3EA59231" w14:textId="77777777" w:rsidR="00102934" w:rsidRDefault="00102934" w:rsidP="00102934">
      <w:pPr>
        <w:pStyle w:val="Prrafodelista"/>
        <w:tabs>
          <w:tab w:val="left" w:pos="142"/>
          <w:tab w:val="left" w:pos="284"/>
        </w:tabs>
        <w:spacing w:after="0" w:line="240" w:lineRule="auto"/>
        <w:ind w:left="0"/>
        <w:contextualSpacing w:val="0"/>
        <w:jc w:val="both"/>
        <w:rPr>
          <w:rFonts w:ascii="Verdana" w:eastAsia="Calibri" w:hAnsi="Verdana" w:cs="Arial"/>
        </w:rPr>
      </w:pPr>
    </w:p>
    <w:p w14:paraId="70E62D40" w14:textId="77777777" w:rsidR="00102934" w:rsidRPr="00515AC9" w:rsidRDefault="00102934" w:rsidP="00102934">
      <w:pPr>
        <w:spacing w:after="120" w:line="276" w:lineRule="auto"/>
        <w:ind w:firstLine="708"/>
        <w:jc w:val="both"/>
        <w:rPr>
          <w:rFonts w:ascii="Verdana" w:eastAsia="Calibri" w:hAnsi="Verdana" w:cs="Arial"/>
          <w:lang w:val="es-ES"/>
        </w:rPr>
      </w:pPr>
      <w:bookmarkStart w:id="4" w:name="_Hlk204856061"/>
      <w:bookmarkStart w:id="5" w:name="_Hlk78820161"/>
      <w:bookmarkStart w:id="6" w:name="_Hlk204854194"/>
      <w:r w:rsidRPr="573DC269">
        <w:rPr>
          <w:rFonts w:ascii="Verdana" w:eastAsia="Calibri" w:hAnsi="Verdana" w:cs="Arial"/>
          <w:lang w:val="es-ES"/>
        </w:rPr>
        <w:t>El Estatuto General de Contratación de la Administración Pública – en adelante EGCAP – prevé dos tipos de exigencias en relación con los contratos estatales: (i) las relacionadas con el perfeccionamiento y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xml:space="preserve">) las que tienen que ver con la ejecución. Si bien ambas se complementan y marcan el origen de la fase contractual –o de ejecución–, es importante distinguirlas, ya que las consecuencias jurídicas que generan son diferentes. </w:t>
      </w:r>
    </w:p>
    <w:p w14:paraId="4962ED15" w14:textId="77777777" w:rsidR="00102934" w:rsidRDefault="00102934" w:rsidP="00102934">
      <w:pPr>
        <w:spacing w:after="120" w:line="276" w:lineRule="auto"/>
        <w:ind w:firstLine="709"/>
        <w:jc w:val="both"/>
        <w:rPr>
          <w:rFonts w:ascii="Verdana" w:eastAsia="Calibri" w:hAnsi="Verdana" w:cs="Arial"/>
          <w:lang w:val="es-ES"/>
        </w:rPr>
      </w:pPr>
      <w:r w:rsidRPr="1952E7C8">
        <w:rPr>
          <w:rFonts w:ascii="Verdana" w:eastAsia="Calibri" w:hAnsi="Verdana" w:cs="Arial"/>
          <w:lang w:val="es-ES"/>
        </w:rPr>
        <w:t xml:space="preserve">Los </w:t>
      </w:r>
      <w:r w:rsidRPr="1952E7C8">
        <w:rPr>
          <w:rFonts w:ascii="Verdana" w:eastAsia="Calibri" w:hAnsi="Verdana" w:cs="Arial"/>
          <w:i/>
          <w:iCs/>
          <w:lang w:val="es-ES"/>
        </w:rPr>
        <w:t>requisitos de perfeccionamiento</w:t>
      </w:r>
      <w:r w:rsidRPr="1952E7C8">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732E09C7" w14:textId="77777777" w:rsidR="00102934" w:rsidRPr="00515AC9" w:rsidRDefault="00102934" w:rsidP="00102934">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contrato</w:t>
      </w:r>
      <w:r w:rsidRPr="00515AC9">
        <w:rPr>
          <w:rStyle w:val="Refdenotaalpie"/>
          <w:rFonts w:ascii="Verdana" w:hAnsi="Verdana" w:cs="Arial"/>
        </w:rPr>
        <w:footnoteReference w:id="1"/>
      </w:r>
      <w:r w:rsidRPr="00515AC9">
        <w:rPr>
          <w:rFonts w:ascii="Verdana" w:eastAsia="Calibri" w:hAnsi="Verdana" w:cs="Arial"/>
          <w:lang w:val="es-ES_tradnl"/>
        </w:rPr>
        <w:t>. Los requisitos de perfeccionamiento del contrato estatal ingresan dentro de los elementos de la esencia.</w:t>
      </w:r>
    </w:p>
    <w:p w14:paraId="483A1E9D" w14:textId="77777777" w:rsidR="00102934" w:rsidRPr="00515AC9" w:rsidRDefault="00102934" w:rsidP="00102934">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Además, los contratos –en términos generales– pueden ser: consensuales, reales o solemnes. Son </w:t>
      </w:r>
      <w:r w:rsidRPr="00515AC9">
        <w:rPr>
          <w:rFonts w:ascii="Verdana" w:eastAsia="Calibri" w:hAnsi="Verdana" w:cs="Arial"/>
          <w:i/>
          <w:iCs/>
          <w:lang w:val="es-ES_tradnl"/>
        </w:rPr>
        <w:t>consensuales</w:t>
      </w:r>
      <w:r w:rsidRPr="00515AC9">
        <w:rPr>
          <w:rFonts w:ascii="Verdana" w:eastAsia="Calibri" w:hAnsi="Verdana" w:cs="Arial"/>
          <w:lang w:val="es-ES_tradnl"/>
        </w:rPr>
        <w:t xml:space="preserve"> los que se perfeccionan con el consentimiento informal, pues no requieren de formalidades especiales. Son </w:t>
      </w:r>
      <w:r w:rsidRPr="00515AC9">
        <w:rPr>
          <w:rFonts w:ascii="Verdana" w:eastAsia="Calibri" w:hAnsi="Verdana" w:cs="Arial"/>
          <w:i/>
          <w:iCs/>
          <w:lang w:val="es-ES_tradnl"/>
        </w:rPr>
        <w:t>reales</w:t>
      </w:r>
      <w:r w:rsidRPr="00515AC9">
        <w:rPr>
          <w:rFonts w:ascii="Verdana" w:eastAsia="Calibri" w:hAnsi="Verdana" w:cs="Arial"/>
          <w:lang w:val="es-ES_tradnl"/>
        </w:rPr>
        <w:t xml:space="preserve"> aquellos que existen solo con la tradición o entrega de una cosa. Por su parte, son </w:t>
      </w:r>
      <w:r w:rsidRPr="00515AC9">
        <w:rPr>
          <w:rFonts w:ascii="Verdana" w:eastAsia="Calibri" w:hAnsi="Verdana" w:cs="Arial"/>
          <w:i/>
          <w:iCs/>
          <w:lang w:val="es-ES_tradnl"/>
        </w:rPr>
        <w:t>solemnes</w:t>
      </w:r>
      <w:r w:rsidRPr="00515AC9">
        <w:rPr>
          <w:rFonts w:ascii="Verdana" w:eastAsia="Calibri" w:hAnsi="Verdana" w:cs="Arial"/>
          <w:lang w:val="es-ES_tradnl"/>
        </w:rPr>
        <w:t xml:space="preserve"> aquellos contratos cuyo perfeccionamiento está revestido del cumplimiento de exigencias formales o ritualidades específicas</w:t>
      </w:r>
      <w:r w:rsidRPr="00515AC9">
        <w:rPr>
          <w:rStyle w:val="Refdenotaalpie"/>
          <w:rFonts w:ascii="Verdana" w:hAnsi="Verdana" w:cs="Arial"/>
        </w:rPr>
        <w:footnoteReference w:id="2"/>
      </w:r>
      <w:r w:rsidRPr="00515AC9">
        <w:rPr>
          <w:rFonts w:ascii="Verdana" w:eastAsia="Calibri" w:hAnsi="Verdana" w:cs="Arial"/>
          <w:lang w:val="es-ES_tradnl"/>
        </w:rPr>
        <w:t xml:space="preserve">. Pues bien, los contratos estatales regulados por el </w:t>
      </w:r>
      <w:r>
        <w:rPr>
          <w:rFonts w:ascii="Verdana" w:eastAsia="Calibri" w:hAnsi="Verdana" w:cs="Arial"/>
          <w:lang w:val="es-ES_tradnl"/>
        </w:rPr>
        <w:t>EGCAP</w:t>
      </w:r>
      <w:r w:rsidRPr="00515AC9">
        <w:rPr>
          <w:rFonts w:ascii="Verdana" w:eastAsia="Calibri" w:hAnsi="Verdana" w:cs="Arial"/>
          <w:lang w:val="es-ES_tradnl"/>
        </w:rPr>
        <w:t xml:space="preserve">, por regla general, son solemnes, </w:t>
      </w:r>
      <w:r w:rsidRPr="00515AC9">
        <w:rPr>
          <w:rFonts w:ascii="Verdana" w:eastAsia="Calibri" w:hAnsi="Verdana" w:cs="Arial"/>
          <w:lang w:val="es-ES_tradnl"/>
        </w:rPr>
        <w:lastRenderedPageBreak/>
        <w:t>ya que solo se entienden celebrados si se cumplen ciertas formalidades. Esta regla general solo tiene una excepción</w:t>
      </w:r>
      <w:r>
        <w:rPr>
          <w:rStyle w:val="Refdenotaalpie"/>
          <w:rFonts w:ascii="Verdana" w:eastAsia="Calibri" w:hAnsi="Verdana" w:cs="Arial"/>
          <w:lang w:val="es-ES_tradnl"/>
        </w:rPr>
        <w:footnoteReference w:id="3"/>
      </w:r>
      <w:r w:rsidRPr="00515AC9">
        <w:rPr>
          <w:rFonts w:ascii="Verdana" w:eastAsia="Calibri" w:hAnsi="Verdana" w:cs="Arial"/>
          <w:lang w:val="es-ES_tradnl"/>
        </w:rPr>
        <w:t>.</w:t>
      </w:r>
    </w:p>
    <w:p w14:paraId="78B548AB" w14:textId="77777777" w:rsidR="00102934" w:rsidRDefault="00102934" w:rsidP="00102934">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En efecto, 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Los contratos del Estado se perfeccionan cuando se logre acuerdo sobre el 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5DB1CDF1" w14:textId="77777777" w:rsidR="00102934" w:rsidRPr="0065217E" w:rsidRDefault="00102934" w:rsidP="00102934">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Tal circunstancia le ha permitido a la doctrina concluir que el contrato estatal regulado en el EGC</w:t>
      </w:r>
      <w:r>
        <w:rPr>
          <w:rFonts w:ascii="Verdana" w:eastAsia="Calibri" w:hAnsi="Verdana" w:cs="Arial"/>
          <w:lang w:val="es-ES_tradnl"/>
        </w:rPr>
        <w:t>A</w:t>
      </w:r>
      <w:r w:rsidRPr="00515AC9">
        <w:rPr>
          <w:rFonts w:ascii="Verdana" w:eastAsia="Calibri" w:hAnsi="Verdana" w:cs="Arial"/>
          <w:lang w:val="es-ES_tradnl"/>
        </w:rPr>
        <w:t xml:space="preserve">P es </w:t>
      </w:r>
      <w:r>
        <w:rPr>
          <w:rFonts w:ascii="Verdana" w:eastAsia="Calibri" w:hAnsi="Verdana" w:cs="Arial"/>
          <w:lang w:val="es-ES_tradnl"/>
        </w:rPr>
        <w:t>“</w:t>
      </w:r>
      <w:r w:rsidRPr="00515AC9">
        <w:rPr>
          <w:rFonts w:ascii="Verdana" w:eastAsia="Calibri" w:hAnsi="Verdana" w:cs="Arial"/>
          <w:lang w:val="es-ES_tradnl"/>
        </w:rPr>
        <w:t xml:space="preserve">[…] </w:t>
      </w:r>
      <w:r w:rsidRPr="00515AC9">
        <w:rPr>
          <w:rFonts w:ascii="Verdana" w:eastAsia="Calibri" w:hAnsi="Verdana" w:cs="Arial"/>
          <w:i/>
          <w:iCs/>
          <w:lang w:val="es-ES_tradnl"/>
        </w:rPr>
        <w:t xml:space="preserve">principalmente, solemne, ya que la manifestación de voluntad, si no se expresa bajo la forma ad </w:t>
      </w:r>
      <w:proofErr w:type="spellStart"/>
      <w:r w:rsidRPr="00515AC9">
        <w:rPr>
          <w:rFonts w:ascii="Verdana" w:eastAsia="Calibri" w:hAnsi="Verdana" w:cs="Arial"/>
          <w:i/>
          <w:iCs/>
          <w:lang w:val="es-ES_tradnl"/>
        </w:rPr>
        <w:t>solemnitatem</w:t>
      </w:r>
      <w:proofErr w:type="spellEnd"/>
      <w:r w:rsidRPr="00515AC9">
        <w:rPr>
          <w:rFonts w:ascii="Verdana" w:eastAsia="Calibri" w:hAnsi="Verdana" w:cs="Arial"/>
          <w:i/>
          <w:iCs/>
          <w:lang w:val="es-ES_tradnl"/>
        </w:rPr>
        <w:t xml:space="preserve"> o ad </w:t>
      </w:r>
      <w:proofErr w:type="spellStart"/>
      <w:r w:rsidRPr="00515AC9">
        <w:rPr>
          <w:rFonts w:ascii="Verdana" w:eastAsia="Calibri" w:hAnsi="Verdana" w:cs="Arial"/>
          <w:i/>
          <w:iCs/>
          <w:lang w:val="es-ES_tradnl"/>
        </w:rPr>
        <w:t>substantiam</w:t>
      </w:r>
      <w:proofErr w:type="spellEnd"/>
      <w:r w:rsidRPr="00515AC9">
        <w:rPr>
          <w:rFonts w:ascii="Verdana" w:eastAsia="Calibri" w:hAnsi="Verdana" w:cs="Arial"/>
          <w:i/>
          <w:iCs/>
          <w:lang w:val="es-ES_tradnl"/>
        </w:rPr>
        <w:t xml:space="preserve"> </w:t>
      </w:r>
      <w:proofErr w:type="spellStart"/>
      <w:r w:rsidRPr="00515AC9">
        <w:rPr>
          <w:rFonts w:ascii="Verdana" w:eastAsia="Calibri" w:hAnsi="Verdana" w:cs="Arial"/>
          <w:i/>
          <w:iCs/>
          <w:lang w:val="es-ES_tradnl"/>
        </w:rPr>
        <w:t>actus</w:t>
      </w:r>
      <w:proofErr w:type="spellEnd"/>
      <w:r w:rsidRPr="00515AC9">
        <w:rPr>
          <w:rFonts w:ascii="Verdana" w:eastAsia="Calibri" w:hAnsi="Verdana" w:cs="Arial"/>
          <w:i/>
          <w:iCs/>
          <w:lang w:val="es-ES_tradnl"/>
        </w:rPr>
        <w:t xml:space="preserve"> exigida por la ley, es inexistente, es decir, se entiende que el contrato jamás ha sido creado para el mundo jurídico</w:t>
      </w:r>
      <w:r>
        <w:rPr>
          <w:rFonts w:ascii="Verdana" w:eastAsia="Calibri" w:hAnsi="Verdana" w:cs="Arial"/>
          <w:i/>
          <w:iCs/>
          <w:lang w:val="es-ES_tradnl"/>
        </w:rPr>
        <w:t>”</w:t>
      </w:r>
      <w:r w:rsidRPr="00515AC9">
        <w:rPr>
          <w:rStyle w:val="Refdenotaalpie"/>
          <w:rFonts w:ascii="Verdana" w:hAnsi="Verdana" w:cs="Arial"/>
        </w:rPr>
        <w:footnoteReference w:id="4"/>
      </w:r>
      <w:r w:rsidRPr="00515AC9">
        <w:rPr>
          <w:rFonts w:ascii="Verdana" w:eastAsia="Calibri" w:hAnsi="Verdana" w:cs="Arial"/>
          <w:lang w:val="es-ES_tradnl"/>
        </w:rPr>
        <w:t xml:space="preserve">. </w:t>
      </w:r>
    </w:p>
    <w:p w14:paraId="09368047" w14:textId="77777777" w:rsidR="00102934" w:rsidRPr="009835E4" w:rsidRDefault="00102934" w:rsidP="00102934">
      <w:pPr>
        <w:spacing w:after="120" w:line="276" w:lineRule="auto"/>
        <w:jc w:val="both"/>
        <w:rPr>
          <w:rFonts w:ascii="Verdana" w:eastAsia="Times New Roman" w:hAnsi="Verdana" w:cs="Arial"/>
          <w:bCs/>
          <w:lang w:eastAsia="es-ES_tradnl"/>
        </w:rPr>
      </w:pPr>
      <w:proofErr w:type="spellStart"/>
      <w:r>
        <w:rPr>
          <w:rFonts w:ascii="Verdana" w:eastAsia="Times New Roman" w:hAnsi="Verdana" w:cs="Arial"/>
          <w:lang w:val="es-ES" w:eastAsia="es-ES_tradnl"/>
        </w:rPr>
        <w:t>ii</w:t>
      </w:r>
      <w:proofErr w:type="spellEnd"/>
      <w:r>
        <w:rPr>
          <w:rFonts w:ascii="Verdana" w:eastAsia="Times New Roman" w:hAnsi="Verdana" w:cs="Arial"/>
          <w:lang w:val="es-ES" w:eastAsia="es-ES_tradnl"/>
        </w:rPr>
        <w:t>.</w:t>
      </w:r>
      <w:r w:rsidRPr="009835E4">
        <w:rPr>
          <w:rFonts w:ascii="Times New Roman" w:eastAsia="Times New Roman" w:hAnsi="Times New Roman" w:cs="Times New Roman"/>
          <w:b/>
          <w:bCs/>
          <w:sz w:val="24"/>
          <w:szCs w:val="24"/>
          <w:lang w:eastAsia="es-CO"/>
        </w:rPr>
        <w:t xml:space="preserve"> </w:t>
      </w:r>
      <w:r w:rsidRPr="009835E4">
        <w:rPr>
          <w:rFonts w:ascii="Verdana" w:eastAsia="Times New Roman" w:hAnsi="Verdana" w:cs="Arial"/>
          <w:bCs/>
          <w:lang w:eastAsia="es-ES_tradnl"/>
        </w:rPr>
        <w:t>El convenio es un acuerdo de voluntades celebrado entre entidades estatales, o entre estas y particulares, mediante el cual las partes aúnan esfuerzos, capacidades técnicas, administrativas o financieras para la realización de un fin común de interés público, sin que exista una relación conmutativa típica de prestación–remuneración propia del contrato estatal.</w:t>
      </w:r>
    </w:p>
    <w:p w14:paraId="0AE3E296" w14:textId="77777777" w:rsidR="00102934" w:rsidRPr="009835E4" w:rsidRDefault="00102934" w:rsidP="00102934">
      <w:pPr>
        <w:spacing w:after="120" w:line="276" w:lineRule="auto"/>
        <w:ind w:firstLine="709"/>
        <w:jc w:val="both"/>
        <w:rPr>
          <w:rFonts w:ascii="Verdana" w:eastAsia="Times New Roman" w:hAnsi="Verdana" w:cs="Arial"/>
          <w:bCs/>
          <w:lang w:eastAsia="es-ES_tradnl"/>
        </w:rPr>
      </w:pPr>
      <w:r w:rsidRPr="009835E4">
        <w:rPr>
          <w:rFonts w:ascii="Verdana" w:eastAsia="Times New Roman" w:hAnsi="Verdana" w:cs="Arial"/>
          <w:bCs/>
          <w:lang w:eastAsia="es-ES_tradnl"/>
        </w:rPr>
        <w:t>Esta definición se construye a partir del Estatuto General de Contratación de la Administración Pública, en particular del artículo 32 de la Ley 80 de 1993, el cual dispone que son contratos estatales “todos los actos jurídicos generadores de obligaciones que celebren las entidades a que se refiere el presente estatuto, previstos en el derecho privado o en disposiciones especiales, o derivados del ejercicio de la autonomía de la voluntad”, habilitando así la celebración de acuerdos atípicos como los convenios.</w:t>
      </w:r>
    </w:p>
    <w:p w14:paraId="63785035" w14:textId="77777777" w:rsidR="00102934" w:rsidRPr="0090003B" w:rsidRDefault="00102934" w:rsidP="00102934">
      <w:pPr>
        <w:spacing w:after="120" w:line="276" w:lineRule="auto"/>
        <w:ind w:firstLine="709"/>
        <w:jc w:val="both"/>
        <w:rPr>
          <w:rFonts w:ascii="Verdana" w:eastAsia="Times New Roman" w:hAnsi="Verdana" w:cs="Arial"/>
          <w:bCs/>
          <w:lang w:eastAsia="es-ES_tradnl"/>
        </w:rPr>
      </w:pPr>
      <w:r w:rsidRPr="009835E4">
        <w:rPr>
          <w:rFonts w:ascii="Verdana" w:eastAsia="Times New Roman" w:hAnsi="Verdana" w:cs="Arial"/>
          <w:bCs/>
          <w:lang w:eastAsia="es-ES_tradnl"/>
        </w:rPr>
        <w:t>Asimismo, encuentra respaldo en</w:t>
      </w:r>
      <w:r w:rsidRPr="009835E4">
        <w:rPr>
          <w:rFonts w:ascii="Verdana" w:eastAsia="Times New Roman" w:hAnsi="Verdana" w:cs="Arial"/>
          <w:lang w:eastAsia="es-ES_tradnl"/>
        </w:rPr>
        <w:t xml:space="preserve"> el artículo 40 de la Ley 80 de 1993, que reconoce la autonomía de la voluntad de las partes para celebrar los acuerdos </w:t>
      </w:r>
      <w:r w:rsidRPr="009835E4">
        <w:rPr>
          <w:rFonts w:ascii="Verdana" w:eastAsia="Times New Roman" w:hAnsi="Verdana" w:cs="Arial"/>
          <w:lang w:eastAsia="es-ES_tradnl"/>
        </w:rPr>
        <w:lastRenderedPageBreak/>
        <w:t xml:space="preserve">necesarios para el cumplimiento de los fines estatales, dentro del marco de la </w:t>
      </w:r>
      <w:r w:rsidRPr="0090003B">
        <w:rPr>
          <w:rFonts w:ascii="Verdana" w:eastAsia="Times New Roman" w:hAnsi="Verdana" w:cs="Arial"/>
          <w:bCs/>
          <w:lang w:eastAsia="es-ES_tradnl"/>
        </w:rPr>
        <w:t>Constitución y la ley.</w:t>
      </w:r>
    </w:p>
    <w:p w14:paraId="19A9F88B" w14:textId="77777777" w:rsidR="00102934" w:rsidRPr="0090003B" w:rsidRDefault="00102934" w:rsidP="00102934">
      <w:pPr>
        <w:spacing w:after="120" w:line="276" w:lineRule="auto"/>
        <w:ind w:firstLine="709"/>
        <w:jc w:val="both"/>
        <w:rPr>
          <w:rFonts w:ascii="Verdana" w:eastAsia="Times New Roman" w:hAnsi="Verdana" w:cs="Arial"/>
          <w:lang w:eastAsia="es-ES_tradnl"/>
        </w:rPr>
      </w:pPr>
      <w:r w:rsidRPr="0090003B">
        <w:rPr>
          <w:rFonts w:ascii="Verdana" w:eastAsia="Times New Roman" w:hAnsi="Verdana" w:cs="Arial"/>
          <w:bCs/>
          <w:lang w:eastAsia="es-ES_tradnl"/>
        </w:rPr>
        <w:t>Tratándose de convenios celebrados entre entidades</w:t>
      </w:r>
      <w:r w:rsidRPr="009835E4">
        <w:rPr>
          <w:rFonts w:ascii="Verdana" w:eastAsia="Times New Roman" w:hAnsi="Verdana" w:cs="Arial"/>
          <w:lang w:eastAsia="es-ES_tradnl"/>
        </w:rPr>
        <w:t xml:space="preserve"> públicas, su fundamento específico se encuentra en el artículo 95 de la Ley 489 de 1998, conforme al cual las entidades estatales podrán asociarse mediante convenios interadministrativos para el ejercicio conjunto de funciones administrativas o la ejecución de programas a su cargo, lo que reafirma el carácter cooperativo y no conmutativo de esta figura.</w:t>
      </w:r>
    </w:p>
    <w:p w14:paraId="28B0A691" w14:textId="77777777" w:rsidR="00102934" w:rsidRPr="00214793" w:rsidRDefault="00102934" w:rsidP="00102934">
      <w:pPr>
        <w:spacing w:after="120" w:line="276" w:lineRule="auto"/>
        <w:ind w:firstLine="709"/>
        <w:jc w:val="both"/>
        <w:rPr>
          <w:rFonts w:ascii="Verdana" w:eastAsia="Times New Roman" w:hAnsi="Verdana" w:cs="Arial"/>
          <w:lang w:val="es-ES" w:eastAsia="es-ES_tradnl"/>
        </w:rPr>
      </w:pPr>
      <w:r>
        <w:rPr>
          <w:rFonts w:ascii="Verdana" w:eastAsia="Times New Roman" w:hAnsi="Verdana" w:cs="Arial"/>
          <w:lang w:val="es-ES" w:eastAsia="es-ES_tradnl"/>
        </w:rPr>
        <w:t>Ahora bien, l</w:t>
      </w:r>
      <w:r w:rsidRPr="00214793">
        <w:rPr>
          <w:rFonts w:ascii="Verdana" w:eastAsia="Times New Roman" w:hAnsi="Verdana" w:cs="Arial"/>
          <w:lang w:val="es-ES" w:eastAsia="es-ES_tradnl"/>
        </w:rPr>
        <w:t>a tipología contractual referente al contrato interadministrativo fue creada en la Ley 80 de 1993 y, aunque en esta preceptiva no la definió ni desarrolló, el Decreto 1082 de 2015</w:t>
      </w:r>
      <w:r w:rsidRPr="00214793">
        <w:rPr>
          <w:rFonts w:ascii="Verdana" w:eastAsia="Times New Roman" w:hAnsi="Verdana" w:cs="Arial"/>
          <w:i/>
          <w:iCs/>
          <w:lang w:val="es-ES" w:eastAsia="es-ES_tradnl"/>
        </w:rPr>
        <w:t>”,</w:t>
      </w:r>
      <w:r w:rsidRPr="00214793">
        <w:rPr>
          <w:rFonts w:ascii="Verdana" w:eastAsia="Times New Roman" w:hAnsi="Verdana" w:cs="Arial"/>
          <w:lang w:val="es-ES" w:eastAsia="es-ES_tradnl"/>
        </w:rPr>
        <w:t xml:space="preserve"> establece que los contratos o convenios interadministrativos hacen parte de la contratación entre entidades estatales</w:t>
      </w:r>
      <w:r w:rsidRPr="00214793">
        <w:rPr>
          <w:rFonts w:ascii="Verdana" w:eastAsia="Times New Roman" w:hAnsi="Verdana" w:cs="Arial"/>
          <w:vertAlign w:val="superscript"/>
          <w:lang w:val="es-ES" w:eastAsia="es-ES_tradnl"/>
        </w:rPr>
        <w:footnoteReference w:id="5"/>
      </w:r>
      <w:r w:rsidRPr="00214793">
        <w:rPr>
          <w:rFonts w:ascii="Verdana" w:eastAsia="Times New Roman" w:hAnsi="Verdana" w:cs="Arial"/>
          <w:lang w:val="es-ES" w:eastAsia="es-ES_tradnl"/>
        </w:rPr>
        <w:t>.</w:t>
      </w:r>
      <w:bookmarkStart w:id="7" w:name="_Hlk136168432"/>
      <w:r w:rsidRPr="00214793">
        <w:rPr>
          <w:rFonts w:ascii="Verdana" w:eastAsia="Times New Roman" w:hAnsi="Verdana" w:cs="Arial"/>
          <w:lang w:val="es-ES" w:eastAsia="es-ES_tradnl"/>
        </w:rPr>
        <w:t xml:space="preserve"> Como se puede apreciar, la disposición reglamentaria parece equiparar las nociones de contrato y convenio interadministrativo, bajo el concepto general de acuerdo en el que concurre la voluntad de dos o más personas jurídicas de derecho público a fin de cumplir, en el marco de sus objetivos misionales y sus competencias, con los fines y cometidos del Estado.</w:t>
      </w:r>
    </w:p>
    <w:p w14:paraId="1BF2D9C0" w14:textId="77777777" w:rsidR="00102934" w:rsidRPr="00214793" w:rsidRDefault="00102934" w:rsidP="00102934">
      <w:pPr>
        <w:spacing w:after="120" w:line="276" w:lineRule="auto"/>
        <w:ind w:firstLine="708"/>
        <w:jc w:val="both"/>
        <w:rPr>
          <w:rFonts w:ascii="Verdana" w:eastAsia="Times New Roman" w:hAnsi="Verdana" w:cs="Arial"/>
          <w:lang w:val="es-ES_tradnl" w:eastAsia="es-ES_tradnl"/>
        </w:rPr>
      </w:pPr>
      <w:r w:rsidRPr="00214793">
        <w:rPr>
          <w:rFonts w:ascii="Verdana" w:eastAsia="Times New Roman" w:hAnsi="Verdana" w:cs="Arial"/>
          <w:bCs/>
          <w:lang w:eastAsia="es-ES_tradnl"/>
        </w:rPr>
        <w:t>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r w:rsidRPr="00214793">
        <w:rPr>
          <w:rFonts w:ascii="Verdana" w:eastAsia="Times New Roman" w:hAnsi="Verdana" w:cs="Arial"/>
          <w:lang w:val="es-ES_tradnl" w:eastAsia="es-ES_tradnl"/>
        </w:rPr>
        <w:t xml:space="preserve"> </w:t>
      </w:r>
    </w:p>
    <w:p w14:paraId="4E9862C1" w14:textId="77777777" w:rsidR="00102934" w:rsidRPr="00214793" w:rsidRDefault="00102934" w:rsidP="00102934">
      <w:pPr>
        <w:spacing w:after="120" w:line="276" w:lineRule="auto"/>
        <w:ind w:firstLine="709"/>
        <w:jc w:val="both"/>
        <w:rPr>
          <w:rFonts w:ascii="Verdana" w:eastAsia="Calibri" w:hAnsi="Verdana" w:cs="Arial"/>
          <w:color w:val="000000" w:themeColor="text1"/>
          <w:lang w:val="es-ES"/>
        </w:rPr>
      </w:pPr>
      <w:r w:rsidRPr="00214793">
        <w:rPr>
          <w:rFonts w:ascii="Verdana" w:eastAsia="Calibri" w:hAnsi="Verdana" w:cs="Arial"/>
          <w:color w:val="000000" w:themeColor="text1"/>
          <w:lang w:val="es-ES"/>
        </w:rPr>
        <w:t xml:space="preserve">Sin embargo, tanto jurisprudencial como doctrinariamente, se han hecho diferenciaciones conceptuales entre las dos figuras comentadas. Así, para efectos de dar respuesta a las consultas plantadas, es necesario dejar claro que existen algunos supuestos bajo las cuales las diferencias entre las características propias de los contratos y convenios interadministrativos resultan definitorias de la aplicación o inaplicación de ciertas normas, ante lo cual, entonces, no podrán ser equiparables, sino que deben ser vistos como instituciones negociales disímiles aunque, indudablemente, con algunos atributos comunes. En otras palabras, diferenciar entre los conceptos de convenio y contrato interadministrativos, así como establecer con precisión las características y elementos esenciales de cada uno, resulta necesario de cara a definir la </w:t>
      </w:r>
      <w:r w:rsidRPr="00214793">
        <w:rPr>
          <w:rFonts w:ascii="Verdana" w:eastAsia="Calibri" w:hAnsi="Verdana" w:cs="Arial"/>
          <w:color w:val="000000" w:themeColor="text1"/>
          <w:lang w:val="es-ES"/>
        </w:rPr>
        <w:lastRenderedPageBreak/>
        <w:t xml:space="preserve">aplicación de ciertas figuras contractuales y normativas a cada uno de ellos, como las que se plantean en esta consulta. </w:t>
      </w:r>
    </w:p>
    <w:p w14:paraId="4711754F" w14:textId="77777777" w:rsidR="00102934" w:rsidRPr="00214793" w:rsidRDefault="00102934" w:rsidP="00102934">
      <w:pPr>
        <w:spacing w:after="120" w:line="276" w:lineRule="auto"/>
        <w:ind w:firstLine="708"/>
        <w:jc w:val="both"/>
        <w:rPr>
          <w:rFonts w:ascii="Verdana" w:eastAsia="Calibri" w:hAnsi="Verdana" w:cs="Arial"/>
        </w:rPr>
      </w:pPr>
      <w:r w:rsidRPr="00214793">
        <w:rPr>
          <w:rFonts w:ascii="Verdana" w:eastAsia="Times New Roman" w:hAnsi="Verdana" w:cs="Arial"/>
          <w:lang w:val="es-ES" w:eastAsia="es-ES_tradnl"/>
        </w:rPr>
        <w:t>P</w:t>
      </w:r>
      <w:r w:rsidRPr="00214793">
        <w:rPr>
          <w:rFonts w:ascii="Verdana" w:eastAsia="Times New Roman" w:hAnsi="Verdana" w:cs="Arial"/>
          <w:lang w:val="es-ES_tradnl" w:eastAsia="es-ES_tradnl"/>
        </w:rPr>
        <w:t xml:space="preserve">ara precisar </w:t>
      </w:r>
      <w:r w:rsidRPr="00214793">
        <w:rPr>
          <w:rFonts w:ascii="Verdana" w:eastAsia="Times New Roman" w:hAnsi="Verdana" w:cs="Arial"/>
          <w:lang w:val="es-ES" w:eastAsia="es-ES_tradnl"/>
        </w:rPr>
        <w:t>el alcance que tiene cada una de estas figuras, resulta pertinente resaltar que, en consonancia con el artículo 209 de la Constitución Política</w:t>
      </w:r>
      <w:r w:rsidRPr="00214793">
        <w:rPr>
          <w:rFonts w:ascii="Verdana" w:eastAsia="Times New Roman" w:hAnsi="Verdana" w:cs="Arial"/>
          <w:vertAlign w:val="superscript"/>
          <w:lang w:val="es-ES" w:eastAsia="es-ES_tradnl"/>
        </w:rPr>
        <w:footnoteReference w:id="6"/>
      </w:r>
      <w:r w:rsidRPr="00214793">
        <w:rPr>
          <w:rFonts w:ascii="Verdana" w:eastAsia="Times New Roman" w:hAnsi="Verdana" w:cs="Arial"/>
          <w:lang w:val="es-ES" w:eastAsia="es-ES_tradnl"/>
        </w:rPr>
        <w:t>, del que se desprenden los deberes de coordinación y colaboración a cargo de todas las autoridades administrativas,</w:t>
      </w:r>
      <w:r w:rsidRPr="00214793">
        <w:rPr>
          <w:rFonts w:ascii="Verdana" w:eastAsia="Calibri" w:hAnsi="Verdana" w:cs="Arial"/>
        </w:rPr>
        <w:t xml:space="preserve"> el artículo 95 de la Ley 489 de 1998</w:t>
      </w:r>
      <w:r w:rsidRPr="00214793">
        <w:rPr>
          <w:rFonts w:ascii="Verdana" w:eastAsia="Calibri" w:hAnsi="Verdana" w:cs="Arial"/>
          <w:vertAlign w:val="superscript"/>
        </w:rPr>
        <w:footnoteReference w:id="7"/>
      </w:r>
      <w:r w:rsidRPr="00214793">
        <w:rPr>
          <w:rFonts w:ascii="Verdana" w:eastAsia="Calibri" w:hAnsi="Verdana" w:cs="Arial"/>
        </w:rPr>
        <w:t xml:space="preserve"> dispone que “las entidades públicas podrán asociarse con el fin de cooperar en el cumplimiento de funciones administrativas o de prestar conjuntamente servicios que se hallen a su cargo mediante la celebración de convenios interadministrativos (…)”</w:t>
      </w:r>
      <w:r w:rsidRPr="00214793">
        <w:rPr>
          <w:rFonts w:ascii="Verdana" w:eastAsia="Calibri" w:hAnsi="Verdana" w:cs="Arial"/>
          <w:vertAlign w:val="superscript"/>
        </w:rPr>
        <w:footnoteReference w:id="8"/>
      </w:r>
      <w:r w:rsidRPr="00214793">
        <w:rPr>
          <w:rFonts w:ascii="Verdana" w:eastAsia="Calibri" w:hAnsi="Verdana" w:cs="Arial"/>
        </w:rPr>
        <w:t>. De tal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p w14:paraId="03CE2075" w14:textId="77777777" w:rsidR="00102934" w:rsidRPr="00214793" w:rsidRDefault="00102934" w:rsidP="00102934">
      <w:pPr>
        <w:spacing w:after="120" w:line="276" w:lineRule="auto"/>
        <w:ind w:firstLine="708"/>
        <w:jc w:val="both"/>
        <w:rPr>
          <w:rFonts w:ascii="Verdana" w:eastAsia="Calibri" w:hAnsi="Verdana" w:cs="Arial"/>
        </w:rPr>
      </w:pPr>
      <w:r w:rsidRPr="00214793">
        <w:rPr>
          <w:rFonts w:ascii="Verdana" w:eastAsia="Calibri" w:hAnsi="Verdana" w:cs="Arial"/>
        </w:rPr>
        <w:t>Sobre el alcance de los convenios interadministrativos, el Consejo de Estado ha dejado en claro lo siguiente:</w:t>
      </w:r>
    </w:p>
    <w:p w14:paraId="15BFEA4B" w14:textId="77777777" w:rsidR="00102934" w:rsidRPr="00214793" w:rsidRDefault="00102934" w:rsidP="00102934">
      <w:pPr>
        <w:spacing w:after="0" w:line="240" w:lineRule="auto"/>
        <w:ind w:left="709" w:right="714"/>
        <w:jc w:val="both"/>
        <w:rPr>
          <w:rFonts w:ascii="Verdana" w:eastAsia="Calibri" w:hAnsi="Verdana" w:cs="Arial"/>
          <w:bCs/>
          <w:sz w:val="20"/>
          <w:szCs w:val="20"/>
          <w:lang w:val="es-ES_tradnl"/>
        </w:rPr>
      </w:pPr>
      <w:r w:rsidRPr="00214793">
        <w:rPr>
          <w:rFonts w:ascii="Verdana" w:eastAsia="Calibri" w:hAnsi="Verdana" w:cs="Arial"/>
          <w:bCs/>
          <w:sz w:val="20"/>
          <w:szCs w:val="20"/>
          <w:lang w:eastAsia="es-ES_tradnl"/>
        </w:rPr>
        <w:t xml:space="preserve">“(…) </w:t>
      </w:r>
      <w:r w:rsidRPr="00214793">
        <w:rPr>
          <w:rFonts w:ascii="Verdana" w:eastAsia="Calibri" w:hAnsi="Verdana" w:cs="Arial"/>
          <w:bCs/>
          <w:sz w:val="20"/>
          <w:szCs w:val="20"/>
          <w:lang w:val="es-ES_tradnl"/>
        </w:rPr>
        <w:t xml:space="preserve">i) Constituyen verdaderos contratos en los términos del Código de Comercio cuando su objeto lo constituyen obligaciones patrimoniales. </w:t>
      </w:r>
      <w:proofErr w:type="spellStart"/>
      <w:r w:rsidRPr="00214793">
        <w:rPr>
          <w:rFonts w:ascii="Verdana" w:eastAsia="Calibri" w:hAnsi="Verdana" w:cs="Arial"/>
          <w:bCs/>
          <w:sz w:val="20"/>
          <w:szCs w:val="20"/>
          <w:lang w:val="es-ES_tradnl"/>
        </w:rPr>
        <w:t>ii</w:t>
      </w:r>
      <w:proofErr w:type="spellEnd"/>
      <w:r w:rsidRPr="00214793">
        <w:rPr>
          <w:rFonts w:ascii="Verdana" w:eastAsia="Calibri" w:hAnsi="Verdana" w:cs="Arial"/>
          <w:bCs/>
          <w:sz w:val="20"/>
          <w:szCs w:val="20"/>
          <w:lang w:val="es-ES_tradnl"/>
        </w:rPr>
        <w:t xml:space="preserve">) Tienen como fuente la autonomía contractual. </w:t>
      </w:r>
      <w:proofErr w:type="spellStart"/>
      <w:r w:rsidRPr="00214793">
        <w:rPr>
          <w:rFonts w:ascii="Verdana" w:eastAsia="Calibri" w:hAnsi="Verdana" w:cs="Arial"/>
          <w:bCs/>
          <w:sz w:val="20"/>
          <w:szCs w:val="20"/>
          <w:lang w:val="es-ES_tradnl"/>
        </w:rPr>
        <w:t>iii</w:t>
      </w:r>
      <w:proofErr w:type="spellEnd"/>
      <w:r w:rsidRPr="00214793">
        <w:rPr>
          <w:rFonts w:ascii="Verdana" w:eastAsia="Calibri" w:hAnsi="Verdana" w:cs="Arial"/>
          <w:bCs/>
          <w:sz w:val="20"/>
          <w:szCs w:val="20"/>
          <w:lang w:val="es-ES_tradnl"/>
        </w:rPr>
        <w:t xml:space="preserve">) Son contratos nominados, puesto que están mencionados por la ley. </w:t>
      </w:r>
      <w:proofErr w:type="spellStart"/>
      <w:r w:rsidRPr="00214793">
        <w:rPr>
          <w:rFonts w:ascii="Verdana" w:eastAsia="Calibri" w:hAnsi="Verdana" w:cs="Arial"/>
          <w:bCs/>
          <w:sz w:val="20"/>
          <w:szCs w:val="20"/>
          <w:lang w:val="es-ES_tradnl"/>
        </w:rPr>
        <w:t>iv</w:t>
      </w:r>
      <w:proofErr w:type="spellEnd"/>
      <w:r w:rsidRPr="00214793">
        <w:rPr>
          <w:rFonts w:ascii="Verdana" w:eastAsia="Calibri" w:hAnsi="Verdana" w:cs="Arial"/>
          <w:bCs/>
          <w:sz w:val="20"/>
          <w:szCs w:val="20"/>
          <w:lang w:val="es-ES_tradnl"/>
        </w:rPr>
        <w:t xml:space="preserve">) Son contratos atípicos desde la perspectiva legal, dado que se advierte la ausencia de unas normas que de manera detallada los disciplinen, expliquen y 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w:t>
      </w:r>
      <w:proofErr w:type="spellStart"/>
      <w:r w:rsidRPr="00214793">
        <w:rPr>
          <w:rFonts w:ascii="Verdana" w:eastAsia="Calibri" w:hAnsi="Verdana" w:cs="Arial"/>
          <w:bCs/>
          <w:sz w:val="20"/>
          <w:szCs w:val="20"/>
          <w:lang w:val="es-ES_tradnl"/>
        </w:rPr>
        <w:t>vii</w:t>
      </w:r>
      <w:proofErr w:type="spellEnd"/>
      <w:r w:rsidRPr="00214793">
        <w:rPr>
          <w:rFonts w:ascii="Verdana" w:eastAsia="Calibri" w:hAnsi="Verdana" w:cs="Arial"/>
          <w:bCs/>
          <w:sz w:val="20"/>
          <w:szCs w:val="20"/>
          <w:lang w:val="es-ES_tradnl"/>
        </w:rPr>
        <w:t xml:space="preserve">) Persiguen una finalidad común a través de la realización de intereses compartidos entre las entidades vinculadas. </w:t>
      </w:r>
      <w:proofErr w:type="spellStart"/>
      <w:r w:rsidRPr="00214793">
        <w:rPr>
          <w:rFonts w:ascii="Verdana" w:eastAsia="Calibri" w:hAnsi="Verdana" w:cs="Arial"/>
          <w:bCs/>
          <w:sz w:val="20"/>
          <w:szCs w:val="20"/>
          <w:lang w:val="es-ES_tradnl"/>
        </w:rPr>
        <w:t>viii</w:t>
      </w:r>
      <w:proofErr w:type="spellEnd"/>
      <w:r w:rsidRPr="00214793">
        <w:rPr>
          <w:rFonts w:ascii="Verdana" w:eastAsia="Calibri" w:hAnsi="Verdana" w:cs="Arial"/>
          <w:bCs/>
          <w:sz w:val="20"/>
          <w:szCs w:val="20"/>
          <w:lang w:val="es-ES_tradnl"/>
        </w:rPr>
        <w:t xml:space="preserve">) La acción mediante la cual se deben ventilar </w:t>
      </w:r>
      <w:r w:rsidRPr="00214793">
        <w:rPr>
          <w:rFonts w:ascii="Verdana" w:eastAsia="Calibri" w:hAnsi="Verdana" w:cs="Arial"/>
          <w:bCs/>
          <w:sz w:val="20"/>
          <w:szCs w:val="20"/>
          <w:lang w:val="es-ES_tradnl"/>
        </w:rPr>
        <w:lastRenderedPageBreak/>
        <w:t>las diferencias que sobre el particular surjan es la de controversias contractuales”</w:t>
      </w:r>
      <w:r w:rsidRPr="00214793">
        <w:rPr>
          <w:rFonts w:ascii="Verdana" w:eastAsia="Times New Roman" w:hAnsi="Verdana" w:cs="Arial"/>
          <w:sz w:val="20"/>
          <w:szCs w:val="20"/>
          <w:vertAlign w:val="superscript"/>
          <w:lang w:val="es-ES" w:eastAsia="es-ES_tradnl"/>
        </w:rPr>
        <w:footnoteReference w:id="9"/>
      </w:r>
      <w:r w:rsidRPr="00214793">
        <w:rPr>
          <w:rFonts w:ascii="Verdana" w:eastAsia="Calibri" w:hAnsi="Verdana" w:cs="Arial"/>
          <w:bCs/>
          <w:sz w:val="20"/>
          <w:szCs w:val="20"/>
          <w:lang w:val="es-ES_tradnl"/>
        </w:rPr>
        <w:t>.</w:t>
      </w:r>
    </w:p>
    <w:p w14:paraId="7E8C0527" w14:textId="77777777" w:rsidR="00102934" w:rsidRPr="00214793" w:rsidRDefault="00102934" w:rsidP="00102934">
      <w:pPr>
        <w:spacing w:after="0" w:line="276" w:lineRule="auto"/>
        <w:ind w:right="713"/>
        <w:jc w:val="both"/>
        <w:rPr>
          <w:rFonts w:ascii="Verdana" w:eastAsia="Times New Roman" w:hAnsi="Verdana" w:cs="Arial"/>
          <w:lang w:val="es-ES" w:eastAsia="es-ES_tradnl"/>
        </w:rPr>
      </w:pPr>
    </w:p>
    <w:p w14:paraId="5CAE9510" w14:textId="77777777" w:rsidR="00102934" w:rsidRPr="00214793" w:rsidRDefault="00102934" w:rsidP="00102934">
      <w:pPr>
        <w:spacing w:after="120" w:line="276" w:lineRule="auto"/>
        <w:ind w:firstLine="708"/>
        <w:jc w:val="both"/>
        <w:rPr>
          <w:rFonts w:ascii="Verdana" w:eastAsia="Times New Roman" w:hAnsi="Verdana" w:cs="Arial"/>
          <w:lang w:val="es-ES" w:eastAsia="es-ES_tradnl"/>
        </w:rPr>
      </w:pPr>
      <w:r w:rsidRPr="00214793">
        <w:rPr>
          <w:rFonts w:ascii="Verdana" w:eastAsia="Times New Roman"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214793">
        <w:rPr>
          <w:rFonts w:ascii="Verdana" w:eastAsia="Times New Roman" w:hAnsi="Verdana" w:cs="Arial"/>
          <w:vertAlign w:val="superscript"/>
          <w:lang w:val="es-ES" w:eastAsia="es-ES_tradnl"/>
        </w:rPr>
        <w:footnoteReference w:id="10"/>
      </w:r>
      <w:r w:rsidRPr="00214793">
        <w:rPr>
          <w:rFonts w:ascii="Verdana" w:eastAsia="Times New Roman"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214793">
        <w:rPr>
          <w:rFonts w:ascii="Verdana" w:eastAsia="Times New Roman" w:hAnsi="Verdana" w:cs="Arial"/>
          <w:vertAlign w:val="superscript"/>
          <w:lang w:val="es-ES" w:eastAsia="es-ES_tradnl"/>
        </w:rPr>
        <w:footnoteReference w:id="11"/>
      </w:r>
      <w:r w:rsidRPr="00214793">
        <w:rPr>
          <w:rFonts w:ascii="Verdana" w:eastAsia="Times New Roman" w:hAnsi="Verdana" w:cs="Arial"/>
          <w:lang w:val="es-ES" w:eastAsia="es-ES_tradnl"/>
        </w:rPr>
        <w:t>. 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214793">
        <w:rPr>
          <w:rFonts w:ascii="Verdana" w:eastAsia="Times New Roman" w:hAnsi="Verdana" w:cs="Arial"/>
          <w:vertAlign w:val="superscript"/>
          <w:lang w:val="es-ES" w:eastAsia="es-ES_tradnl"/>
        </w:rPr>
        <w:footnoteReference w:id="12"/>
      </w:r>
      <w:r w:rsidRPr="00214793">
        <w:rPr>
          <w:rFonts w:ascii="Verdana" w:eastAsia="Times New Roman" w:hAnsi="Verdana" w:cs="Arial"/>
          <w:lang w:val="es-ES" w:eastAsia="es-ES_tradnl"/>
        </w:rPr>
        <w:t>.</w:t>
      </w:r>
    </w:p>
    <w:p w14:paraId="3099763B" w14:textId="77777777" w:rsidR="00102934" w:rsidRPr="00214793" w:rsidRDefault="00102934" w:rsidP="00102934">
      <w:pPr>
        <w:spacing w:before="120" w:after="0" w:line="276" w:lineRule="auto"/>
        <w:ind w:firstLine="709"/>
        <w:jc w:val="both"/>
        <w:rPr>
          <w:rFonts w:ascii="Verdana" w:eastAsia="Calibri" w:hAnsi="Verdana" w:cs="Arial"/>
          <w:color w:val="000000" w:themeColor="text1"/>
          <w:lang w:val="es-ES_tradnl"/>
        </w:rPr>
      </w:pPr>
      <w:r w:rsidRPr="00214793">
        <w:rPr>
          <w:rFonts w:ascii="Verdana" w:eastAsia="Calibri" w:hAnsi="Verdana" w:cs="Arial"/>
          <w:bCs/>
          <w:color w:val="000000" w:themeColor="text1"/>
          <w:lang w:eastAsia="es-ES_tradnl" w:bidi="es-ES"/>
        </w:rPr>
        <w:t xml:space="preserve">En relación con las diferencias entre los contratos interadministrativos y los convenios interadministrativos de que trata el artículo 95 de la Ley 489 de 1998, la Sala de Consulta y Servicio Civil del Consejo de Estado expresó lo siguiente: </w:t>
      </w:r>
    </w:p>
    <w:p w14:paraId="0A599319" w14:textId="77777777" w:rsidR="00102934" w:rsidRPr="00214793" w:rsidRDefault="00102934" w:rsidP="00102934">
      <w:pPr>
        <w:spacing w:beforeLines="120" w:before="288" w:afterLines="120" w:after="288" w:line="276" w:lineRule="auto"/>
        <w:ind w:firstLine="709"/>
        <w:contextualSpacing/>
        <w:jc w:val="both"/>
        <w:rPr>
          <w:rFonts w:ascii="Verdana" w:eastAsia="Calibri" w:hAnsi="Verdana" w:cs="Arial"/>
          <w:bCs/>
          <w:color w:val="000000" w:themeColor="text1"/>
          <w:sz w:val="20"/>
          <w:szCs w:val="20"/>
          <w:lang w:eastAsia="es-ES_tradnl" w:bidi="es-ES"/>
        </w:rPr>
      </w:pPr>
    </w:p>
    <w:p w14:paraId="296CDB82" w14:textId="77777777" w:rsidR="00102934" w:rsidRPr="00214793" w:rsidRDefault="00102934" w:rsidP="00102934">
      <w:pPr>
        <w:spacing w:after="0" w:line="240" w:lineRule="auto"/>
        <w:ind w:left="709"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eastAsia="es-ES_tradnl" w:bidi="es-ES"/>
        </w:rPr>
        <w:t xml:space="preserve">“La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w:t>
      </w:r>
      <w:r w:rsidRPr="00214793">
        <w:rPr>
          <w:rFonts w:ascii="Verdana" w:eastAsia="Calibri" w:hAnsi="Verdana" w:cs="Arial"/>
          <w:bCs/>
          <w:color w:val="000000" w:themeColor="text1"/>
          <w:sz w:val="20"/>
          <w:szCs w:val="20"/>
          <w:lang w:eastAsia="es-ES_tradnl" w:bidi="es-ES"/>
        </w:rPr>
        <w:lastRenderedPageBreak/>
        <w:t>entidades partes se encuentran en pie de igualdad, tienen intereses comunes para lograr una finalidad estatal impuesta por la Constitución o la ley a las mismas, sin que tengan un interés puramente económico (es decir, destinados a obtener una ganancia)”.</w:t>
      </w:r>
      <w:r w:rsidRPr="00214793">
        <w:rPr>
          <w:rFonts w:ascii="Verdana" w:eastAsia="Calibri" w:hAnsi="Verdana" w:cs="Arial"/>
          <w:bCs/>
          <w:color w:val="000000" w:themeColor="text1"/>
          <w:sz w:val="20"/>
          <w:szCs w:val="20"/>
          <w:vertAlign w:val="superscript"/>
          <w:lang w:val="es-ES_tradnl" w:eastAsia="es-ES_tradnl" w:bidi="es-ES"/>
        </w:rPr>
        <w:t xml:space="preserve"> </w:t>
      </w:r>
      <w:r w:rsidRPr="00214793">
        <w:rPr>
          <w:rFonts w:ascii="Verdana" w:eastAsia="Calibri" w:hAnsi="Verdana" w:cs="Arial"/>
          <w:bCs/>
          <w:color w:val="000000" w:themeColor="text1"/>
          <w:sz w:val="20"/>
          <w:szCs w:val="20"/>
          <w:vertAlign w:val="superscript"/>
          <w:lang w:val="es-ES_tradnl" w:eastAsia="es-ES_tradnl" w:bidi="es-ES"/>
        </w:rPr>
        <w:footnoteReference w:id="13"/>
      </w:r>
    </w:p>
    <w:p w14:paraId="502DD142" w14:textId="77777777" w:rsidR="00102934" w:rsidRPr="00214793" w:rsidRDefault="00102934" w:rsidP="00102934">
      <w:pPr>
        <w:spacing w:beforeLines="120" w:before="288" w:afterLines="120" w:after="288" w:line="276" w:lineRule="auto"/>
        <w:ind w:firstLine="708"/>
        <w:contextualSpacing/>
        <w:jc w:val="both"/>
        <w:rPr>
          <w:rFonts w:ascii="Verdana" w:eastAsia="Calibri" w:hAnsi="Verdana" w:cs="Arial"/>
          <w:bCs/>
          <w:color w:val="000000" w:themeColor="text1"/>
          <w:sz w:val="20"/>
          <w:szCs w:val="20"/>
          <w:lang w:eastAsia="es-ES_tradnl" w:bidi="es-ES"/>
        </w:rPr>
      </w:pPr>
    </w:p>
    <w:p w14:paraId="08C1B250" w14:textId="77777777" w:rsidR="00102934" w:rsidRPr="00214793" w:rsidRDefault="00102934" w:rsidP="00102934">
      <w:pPr>
        <w:spacing w:line="276" w:lineRule="auto"/>
        <w:ind w:firstLine="709"/>
        <w:contextualSpacing/>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En línea con lo anterior, la Sala Contenciosa Administrativa del Consejo de Estado en sentencia del 14 de junio de 2019 también señaló:</w:t>
      </w:r>
    </w:p>
    <w:p w14:paraId="09E258AB" w14:textId="77777777" w:rsidR="00102934" w:rsidRPr="00214793" w:rsidRDefault="00102934" w:rsidP="00102934">
      <w:pPr>
        <w:spacing w:beforeLines="120" w:before="288" w:afterLines="120" w:after="288" w:line="276" w:lineRule="auto"/>
        <w:contextualSpacing/>
        <w:rPr>
          <w:rFonts w:ascii="Verdana" w:eastAsia="Calibri" w:hAnsi="Verdana" w:cs="Arial"/>
          <w:bCs/>
          <w:color w:val="000000" w:themeColor="text1"/>
          <w:lang w:eastAsia="es-ES_tradnl" w:bidi="es-ES"/>
        </w:rPr>
      </w:pPr>
    </w:p>
    <w:p w14:paraId="4B70550A" w14:textId="77777777" w:rsidR="00102934" w:rsidRPr="00214793" w:rsidRDefault="00102934" w:rsidP="00102934">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r w:rsidRPr="00214793">
        <w:rPr>
          <w:rFonts w:ascii="Verdana" w:eastAsia="Calibri" w:hAnsi="Verdana" w:cs="Arial"/>
          <w:bCs/>
          <w:color w:val="000000" w:themeColor="text1"/>
          <w:sz w:val="20"/>
          <w:szCs w:val="20"/>
          <w:lang w:val="es-ES_tradnl" w:eastAsia="es-ES_tradnl" w:bidi="es-ES"/>
        </w:rPr>
        <w:t>“La Sala de Consulta y Servicio Civil</w:t>
      </w:r>
      <w:r w:rsidRPr="00214793">
        <w:rPr>
          <w:rFonts w:ascii="Verdana" w:eastAsia="Calibri" w:hAnsi="Verdana" w:cs="Arial"/>
          <w:bCs/>
          <w:color w:val="000000" w:themeColor="text1"/>
          <w:sz w:val="20"/>
          <w:szCs w:val="20"/>
          <w:vertAlign w:val="superscript"/>
          <w:lang w:val="es-ES_tradnl" w:eastAsia="es-ES_tradnl" w:bidi="es-ES"/>
        </w:rPr>
        <w:footnoteReference w:id="14"/>
      </w:r>
      <w:r w:rsidRPr="00214793">
        <w:rPr>
          <w:rFonts w:ascii="Verdana" w:eastAsia="Calibri" w:hAnsi="Verdana" w:cs="Arial"/>
          <w:bCs/>
          <w:color w:val="000000" w:themeColor="text1"/>
          <w:sz w:val="20"/>
          <w:szCs w:val="20"/>
          <w:lang w:val="es-ES_tradnl" w:eastAsia="es-ES_tradnl" w:bidi="es-ES"/>
        </w:rPr>
        <w:t xml:space="preserve"> de esta Corporación se ha referido a los </w:t>
      </w:r>
      <w:r w:rsidRPr="00214793">
        <w:rPr>
          <w:rFonts w:ascii="Verdana" w:eastAsia="Calibri" w:hAnsi="Verdana" w:cs="Arial"/>
          <w:bCs/>
          <w:i/>
          <w:color w:val="000000" w:themeColor="text1"/>
          <w:sz w:val="20"/>
          <w:szCs w:val="20"/>
          <w:lang w:val="es-ES_tradnl" w:eastAsia="es-ES_tradnl" w:bidi="es-ES"/>
        </w:rPr>
        <w:t>“convenios interadministrativos”</w:t>
      </w:r>
      <w:r w:rsidRPr="00214793">
        <w:rPr>
          <w:rFonts w:ascii="Verdana" w:eastAsia="Calibri" w:hAnsi="Verdana" w:cs="Arial"/>
          <w:bCs/>
          <w:color w:val="000000" w:themeColor="text1"/>
          <w:sz w:val="20"/>
          <w:szCs w:val="20"/>
          <w:lang w:val="es-ES_tradnl" w:eastAsia="es-ES_tradnl" w:bidi="es-ES"/>
        </w:rPr>
        <w:t xml:space="preserve"> a los cuales alude el artículo 95 de la Ley 489 de 1998, calificándolos de </w:t>
      </w:r>
      <w:r w:rsidRPr="00214793">
        <w:rPr>
          <w:rFonts w:ascii="Verdana" w:eastAsia="Calibri" w:hAnsi="Verdana" w:cs="Arial"/>
          <w:bCs/>
          <w:i/>
          <w:color w:val="000000" w:themeColor="text1"/>
          <w:sz w:val="20"/>
          <w:szCs w:val="20"/>
          <w:lang w:val="es-ES_tradnl" w:eastAsia="es-ES_tradnl" w:bidi="es-ES"/>
        </w:rPr>
        <w:t xml:space="preserve">“puros” </w:t>
      </w:r>
      <w:r w:rsidRPr="00214793">
        <w:rPr>
          <w:rFonts w:ascii="Verdana" w:eastAsia="Calibri" w:hAnsi="Verdana" w:cs="Arial"/>
          <w:bCs/>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214793">
        <w:rPr>
          <w:rFonts w:ascii="Verdana" w:eastAsia="Calibri" w:hAnsi="Verdana" w:cs="Arial"/>
          <w:bCs/>
          <w:i/>
          <w:color w:val="000000" w:themeColor="text1"/>
          <w:sz w:val="20"/>
          <w:szCs w:val="20"/>
          <w:lang w:val="es-ES_tradnl" w:eastAsia="es-ES_tradnl" w:bidi="es-ES"/>
        </w:rPr>
        <w:t>“intercambio patrimonial”</w:t>
      </w:r>
      <w:r w:rsidRPr="00214793">
        <w:rPr>
          <w:rFonts w:ascii="Verdana" w:eastAsia="Calibri" w:hAnsi="Verdana" w:cs="Arial"/>
          <w:bCs/>
          <w:color w:val="000000" w:themeColor="text1"/>
          <w:sz w:val="20"/>
          <w:szCs w:val="20"/>
          <w:lang w:val="es-ES_tradnl" w:eastAsia="es-ES_tradnl" w:bidi="es-ES"/>
        </w:rPr>
        <w:t>. Sin perjuicio de lo anterior, en otra oportunidad, la misma Sala</w:t>
      </w:r>
      <w:r w:rsidRPr="00214793">
        <w:rPr>
          <w:rFonts w:ascii="Verdana" w:eastAsia="Calibri" w:hAnsi="Verdana" w:cs="Arial"/>
          <w:bCs/>
          <w:color w:val="000000" w:themeColor="text1"/>
          <w:sz w:val="20"/>
          <w:szCs w:val="20"/>
          <w:vertAlign w:val="superscript"/>
          <w:lang w:val="es-ES_tradnl" w:eastAsia="es-ES_tradnl" w:bidi="es-ES"/>
        </w:rPr>
        <w:footnoteReference w:id="15"/>
      </w:r>
      <w:r w:rsidRPr="00214793">
        <w:rPr>
          <w:rFonts w:ascii="Verdana" w:eastAsia="Calibri" w:hAnsi="Verdana" w:cs="Arial"/>
          <w:bCs/>
          <w:color w:val="000000" w:themeColor="text1"/>
          <w:sz w:val="20"/>
          <w:szCs w:val="20"/>
          <w:lang w:val="es-ES_tradnl" w:eastAsia="es-ES_tradnl" w:bidi="es-ES"/>
        </w:rPr>
        <w:t xml:space="preserve"> había indicado que, si bien en dichos convenios no se daba un </w:t>
      </w:r>
      <w:r w:rsidRPr="00214793">
        <w:rPr>
          <w:rFonts w:ascii="Verdana" w:eastAsia="Calibri" w:hAnsi="Verdana" w:cs="Arial"/>
          <w:bCs/>
          <w:i/>
          <w:color w:val="000000" w:themeColor="text1"/>
          <w:sz w:val="20"/>
          <w:szCs w:val="20"/>
          <w:lang w:val="es-ES_tradnl" w:eastAsia="es-ES_tradnl" w:bidi="es-ES"/>
        </w:rPr>
        <w:t>“verdadero intercambio de bienes o servicios (contrato conmutativo)”</w:t>
      </w:r>
      <w:r w:rsidRPr="00214793">
        <w:rPr>
          <w:rFonts w:ascii="Verdana" w:eastAsia="Calibri" w:hAnsi="Verdana" w:cs="Arial"/>
          <w:bCs/>
          <w:color w:val="000000" w:themeColor="text1"/>
          <w:sz w:val="20"/>
          <w:szCs w:val="20"/>
          <w:lang w:val="es-ES_tradnl" w:eastAsia="es-ES_tradnl" w:bidi="es-ES"/>
        </w:rPr>
        <w:t>, ello no impedía que se conviniera una remuneración a cargo de alguna(s) entidad(es).</w:t>
      </w:r>
    </w:p>
    <w:p w14:paraId="2F7B2DF6" w14:textId="77777777" w:rsidR="00102934" w:rsidRPr="00214793" w:rsidRDefault="00102934" w:rsidP="00102934">
      <w:pPr>
        <w:spacing w:beforeLines="120" w:before="288" w:afterLines="120" w:after="288" w:line="276" w:lineRule="auto"/>
        <w:ind w:left="708" w:right="709" w:firstLine="708"/>
        <w:contextualSpacing/>
        <w:jc w:val="both"/>
        <w:rPr>
          <w:rFonts w:ascii="Verdana" w:eastAsia="Calibri" w:hAnsi="Verdana" w:cs="Arial"/>
          <w:bCs/>
          <w:color w:val="000000" w:themeColor="text1"/>
          <w:sz w:val="20"/>
          <w:szCs w:val="20"/>
          <w:lang w:val="es-ES_tradnl" w:eastAsia="es-ES_tradnl" w:bidi="es-ES"/>
        </w:rPr>
      </w:pPr>
    </w:p>
    <w:p w14:paraId="239EFB3A" w14:textId="77777777" w:rsidR="00102934" w:rsidRPr="00214793" w:rsidRDefault="00102934" w:rsidP="00102934">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val="es-ES_tradnl" w:eastAsia="es-ES_tradnl" w:bidi="es-ES"/>
        </w:rPr>
        <w:t xml:space="preserve">Lo expuesto evidencia que, en general, las interpretaciones en torno a los </w:t>
      </w:r>
      <w:r w:rsidRPr="00214793">
        <w:rPr>
          <w:rFonts w:ascii="Verdana" w:eastAsia="Calibri" w:hAnsi="Verdana" w:cs="Arial"/>
          <w:bCs/>
          <w:i/>
          <w:color w:val="000000" w:themeColor="text1"/>
          <w:sz w:val="20"/>
          <w:szCs w:val="20"/>
          <w:lang w:val="es-ES_tradnl" w:eastAsia="es-ES_tradnl" w:bidi="es-ES"/>
        </w:rPr>
        <w:t>“convenios interadministrativos”</w:t>
      </w:r>
      <w:r w:rsidRPr="00214793">
        <w:rPr>
          <w:rFonts w:ascii="Verdana" w:eastAsia="Calibri" w:hAnsi="Verdana" w:cs="Arial"/>
          <w:bCs/>
          <w:color w:val="000000" w:themeColor="text1"/>
          <w:sz w:val="20"/>
          <w:szCs w:val="20"/>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214793">
        <w:rPr>
          <w:rFonts w:ascii="Verdana" w:eastAsia="Calibri" w:hAnsi="Verdana" w:cs="Arial"/>
          <w:bCs/>
          <w:color w:val="000000" w:themeColor="text1"/>
          <w:sz w:val="20"/>
          <w:szCs w:val="20"/>
          <w:vertAlign w:val="superscript"/>
          <w:lang w:val="es-ES_tradnl" w:eastAsia="es-ES_tradnl" w:bidi="es-ES"/>
        </w:rPr>
        <w:footnoteReference w:id="16"/>
      </w:r>
      <w:r w:rsidRPr="00214793">
        <w:rPr>
          <w:rFonts w:ascii="Verdana" w:eastAsia="Calibri" w:hAnsi="Verdana" w:cs="Arial"/>
          <w:bCs/>
          <w:color w:val="000000" w:themeColor="text1"/>
          <w:sz w:val="20"/>
          <w:szCs w:val="20"/>
          <w:lang w:val="es-ES_tradnl" w:eastAsia="es-ES_tradnl" w:bidi="es-ES"/>
        </w:rPr>
        <w:t>.</w:t>
      </w:r>
      <w:r w:rsidRPr="00214793">
        <w:rPr>
          <w:rFonts w:ascii="Verdana" w:eastAsia="Calibri" w:hAnsi="Verdana" w:cs="Arial"/>
          <w:bCs/>
          <w:color w:val="000000" w:themeColor="text1"/>
          <w:sz w:val="20"/>
          <w:szCs w:val="20"/>
          <w:vertAlign w:val="superscript"/>
          <w:lang w:eastAsia="es-ES_tradnl" w:bidi="es-ES"/>
        </w:rPr>
        <w:footnoteReference w:id="17"/>
      </w:r>
      <w:r w:rsidRPr="00214793">
        <w:rPr>
          <w:rFonts w:ascii="Verdana" w:eastAsia="Calibri" w:hAnsi="Verdana" w:cs="Arial"/>
          <w:bCs/>
          <w:color w:val="000000" w:themeColor="text1"/>
          <w:sz w:val="20"/>
          <w:szCs w:val="20"/>
          <w:lang w:val="es-ES_tradnl" w:eastAsia="es-ES_tradnl" w:bidi="es-ES"/>
        </w:rPr>
        <w:t xml:space="preserve"> </w:t>
      </w:r>
    </w:p>
    <w:p w14:paraId="2518B724" w14:textId="77777777" w:rsidR="00102934" w:rsidRPr="00214793" w:rsidRDefault="00102934" w:rsidP="00102934">
      <w:pPr>
        <w:snapToGrid w:val="0"/>
        <w:spacing w:after="0" w:line="276" w:lineRule="auto"/>
        <w:ind w:firstLine="709"/>
        <w:jc w:val="both"/>
        <w:rPr>
          <w:rFonts w:ascii="Verdana" w:eastAsia="Calibri" w:hAnsi="Verdana" w:cs="Arial"/>
          <w:bCs/>
          <w:color w:val="000000" w:themeColor="text1"/>
          <w:lang w:eastAsia="es-ES_tradnl" w:bidi="es-ES"/>
        </w:rPr>
      </w:pPr>
    </w:p>
    <w:p w14:paraId="4036961A" w14:textId="77777777" w:rsidR="00102934" w:rsidRPr="00214793" w:rsidRDefault="00102934" w:rsidP="00102934">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En esta ocasión la referida corporación judicial resaltó la finalidad del acuerdo de voluntades como un factor de diferenciación entre las dos figuras. Si bien 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w:t>
      </w:r>
    </w:p>
    <w:p w14:paraId="09293BDD" w14:textId="77777777" w:rsidR="00102934" w:rsidRPr="00214793" w:rsidRDefault="00102934" w:rsidP="00102934">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0DEA4DA7" w14:textId="77777777" w:rsidR="00102934" w:rsidRPr="00214793" w:rsidRDefault="00102934" w:rsidP="00102934">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Times New Roman" w:hAnsi="Verdana" w:cs="Arial"/>
          <w:lang w:val="es-ES" w:eastAsia="es-ES_tradnl"/>
        </w:rPr>
        <w:t xml:space="preserve">Visto lo anterior, 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w:t>
      </w:r>
      <w:r w:rsidRPr="00214793">
        <w:rPr>
          <w:rFonts w:ascii="Verdana" w:eastAsia="Times New Roman" w:hAnsi="Verdana" w:cs="Arial"/>
          <w:i/>
          <w:iCs/>
          <w:lang w:val="es-ES" w:eastAsia="es-ES_tradnl"/>
        </w:rPr>
        <w:t>(i)</w:t>
      </w:r>
      <w:r w:rsidRPr="00214793">
        <w:rPr>
          <w:rFonts w:ascii="Verdana" w:eastAsia="Times New Roman" w:hAnsi="Verdana" w:cs="Arial"/>
          <w:lang w:val="es-ES" w:eastAsia="es-ES_tradnl"/>
        </w:rPr>
        <w:t xml:space="preserve"> se celebra entre dos entidades públicas que se encuentran en pie de igualdad con el objeto de cumplir competencias de ambas entidades dirigidas a un propósito común; </w:t>
      </w:r>
      <w:r w:rsidRPr="00214793">
        <w:rPr>
          <w:rFonts w:ascii="Verdana" w:eastAsia="Times New Roman" w:hAnsi="Verdana" w:cs="Arial"/>
          <w:i/>
          <w:iCs/>
          <w:lang w:val="es-ES" w:eastAsia="es-ES_tradnl"/>
        </w:rPr>
        <w:t>(</w:t>
      </w:r>
      <w:proofErr w:type="spellStart"/>
      <w:r w:rsidRPr="00214793">
        <w:rPr>
          <w:rFonts w:ascii="Verdana" w:eastAsia="Times New Roman" w:hAnsi="Verdana" w:cs="Arial"/>
          <w:i/>
          <w:iCs/>
          <w:lang w:val="es-ES" w:eastAsia="es-ES_tradnl"/>
        </w:rPr>
        <w:t>ii</w:t>
      </w:r>
      <w:proofErr w:type="spellEnd"/>
      <w:r w:rsidRPr="00214793">
        <w:rPr>
          <w:rFonts w:ascii="Verdana" w:eastAsia="Times New Roman" w:hAnsi="Verdana" w:cs="Arial"/>
          <w:i/>
          <w:iCs/>
          <w:lang w:val="es-ES" w:eastAsia="es-ES_tradnl"/>
        </w:rPr>
        <w:t>)</w:t>
      </w:r>
      <w:r w:rsidRPr="00214793">
        <w:rPr>
          <w:rFonts w:ascii="Verdana" w:eastAsia="Times New Roman" w:hAnsi="Verdana" w:cs="Arial"/>
          <w:lang w:val="es-ES" w:eastAsia="es-ES_tradnl"/>
        </w:rPr>
        <w:t xml:space="preserve"> la modalidad para su celebración es la contratación directa; </w:t>
      </w:r>
      <w:r w:rsidRPr="00214793">
        <w:rPr>
          <w:rFonts w:ascii="Verdana" w:eastAsia="Times New Roman" w:hAnsi="Verdana" w:cs="Arial"/>
          <w:i/>
          <w:iCs/>
          <w:lang w:val="es-ES" w:eastAsia="es-ES_tradnl"/>
        </w:rPr>
        <w:t>(</w:t>
      </w:r>
      <w:proofErr w:type="spellStart"/>
      <w:r w:rsidRPr="00214793">
        <w:rPr>
          <w:rFonts w:ascii="Verdana" w:eastAsia="Times New Roman" w:hAnsi="Verdana" w:cs="Arial"/>
          <w:i/>
          <w:iCs/>
          <w:lang w:val="es-ES" w:eastAsia="es-ES_tradnl"/>
        </w:rPr>
        <w:t>iii</w:t>
      </w:r>
      <w:proofErr w:type="spellEnd"/>
      <w:r w:rsidRPr="00214793">
        <w:rPr>
          <w:rFonts w:ascii="Verdana" w:eastAsia="Times New Roman" w:hAnsi="Verdana" w:cs="Arial"/>
          <w:i/>
          <w:iCs/>
          <w:lang w:val="es-ES" w:eastAsia="es-ES_tradnl"/>
        </w:rPr>
        <w:t>)</w:t>
      </w:r>
      <w:r w:rsidRPr="00214793">
        <w:rPr>
          <w:rFonts w:ascii="Verdana" w:eastAsia="Times New Roman" w:hAnsi="Verdana" w:cs="Arial"/>
          <w:lang w:val="es-ES" w:eastAsia="es-ES_tradnl"/>
        </w:rPr>
        <w:t xml:space="preserve"> los convenios interadministrativos pueden suponer el compromiso de recursos públicos y, por consiguiente, la realización de aportes financieros. Ello, sin embargo, no supone la posibilidad de que en este tipo de relaciones jurídicas exista una remuneración en favor de uno de los </w:t>
      </w:r>
      <w:proofErr w:type="spellStart"/>
      <w:r w:rsidRPr="00214793">
        <w:rPr>
          <w:rFonts w:ascii="Verdana" w:eastAsia="Times New Roman" w:hAnsi="Verdana" w:cs="Arial"/>
          <w:lang w:val="es-ES" w:eastAsia="es-ES_tradnl"/>
        </w:rPr>
        <w:t>co-contratantes</w:t>
      </w:r>
      <w:proofErr w:type="spellEnd"/>
      <w:r w:rsidRPr="00214793">
        <w:rPr>
          <w:rFonts w:ascii="Verdana" w:eastAsia="Times New Roman" w:hAnsi="Verdana" w:cs="Arial"/>
          <w:lang w:val="es-ES" w:eastAsia="es-ES_tradnl"/>
        </w:rPr>
        <w:t xml:space="preserve"> y a cargo de otro u otros.</w:t>
      </w:r>
    </w:p>
    <w:p w14:paraId="70B1B444" w14:textId="77777777" w:rsidR="00102934" w:rsidRPr="00214793" w:rsidRDefault="00102934" w:rsidP="00102934">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lastRenderedPageBreak/>
        <w:t xml:space="preserve">En suma, el convenio interadministrativo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6C5D822C" w14:textId="77777777" w:rsidR="00102934" w:rsidRPr="00214793" w:rsidRDefault="00102934" w:rsidP="00102934">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De ahí que la Sala de Consulta y Servicio Civil del Consejo de Estado</w:t>
      </w:r>
      <w:r w:rsidRPr="00214793">
        <w:rPr>
          <w:rFonts w:ascii="Verdana" w:eastAsia="Calibri" w:hAnsi="Verdana" w:cs="Arial"/>
          <w:bCs/>
          <w:color w:val="000000" w:themeColor="text1"/>
          <w:vertAlign w:val="superscript"/>
          <w:lang w:eastAsia="es-ES_tradnl" w:bidi="es-ES"/>
        </w:rPr>
        <w:footnoteReference w:id="18"/>
      </w:r>
      <w:r w:rsidRPr="00214793">
        <w:rPr>
          <w:rFonts w:ascii="Verdana" w:eastAsia="Calibri" w:hAnsi="Verdana" w:cs="Arial"/>
          <w:bCs/>
          <w:color w:val="000000" w:themeColor="text1"/>
          <w:lang w:eastAsia="es-ES_tradnl" w:bidi="es-ES"/>
        </w:rPr>
        <w:t xml:space="preserve"> haya señalado la necesidad de diferenciar el régimen jurídico aplicable a ciertas situaciones específicas del convenio interadministrativo que se separan del régimen jurídico común:</w:t>
      </w:r>
    </w:p>
    <w:p w14:paraId="5A57BA5C" w14:textId="77777777" w:rsidR="00102934" w:rsidRPr="00214793" w:rsidRDefault="00102934" w:rsidP="00102934">
      <w:pPr>
        <w:spacing w:beforeLines="120" w:before="288" w:afterLines="120" w:after="288" w:line="276" w:lineRule="auto"/>
        <w:ind w:firstLine="708"/>
        <w:contextualSpacing/>
        <w:rPr>
          <w:rFonts w:ascii="Verdana" w:eastAsia="Calibri" w:hAnsi="Verdana" w:cs="Arial"/>
          <w:bCs/>
          <w:color w:val="000000" w:themeColor="text1"/>
          <w:lang w:eastAsia="es-ES_tradnl" w:bidi="es-ES"/>
        </w:rPr>
      </w:pPr>
    </w:p>
    <w:p w14:paraId="7295364F" w14:textId="77777777" w:rsidR="00102934" w:rsidRPr="00214793" w:rsidRDefault="00102934" w:rsidP="00102934">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eastAsia="es-ES_tradnl" w:bidi="es-ES"/>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plano de igualdad o equivalencia en que se celebran y ejecutan, lo que significa ausencia de prerrogativas en favor de una parte a costa de la otra. </w:t>
      </w:r>
    </w:p>
    <w:p w14:paraId="61515B33" w14:textId="77777777" w:rsidR="00102934" w:rsidRPr="00214793" w:rsidRDefault="00102934" w:rsidP="00102934">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p>
    <w:p w14:paraId="09249FF4" w14:textId="77777777" w:rsidR="00102934" w:rsidRPr="00214793" w:rsidRDefault="00102934" w:rsidP="00102934">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eastAsia="es-ES_tradnl" w:bidi="es-ES"/>
        </w:rPr>
        <w:t>Ahora, dada la naturaleza jurídica explicada de los convenios interadministrativos</w:t>
      </w:r>
      <w:r w:rsidRPr="00214793">
        <w:rPr>
          <w:rFonts w:ascii="Verdana" w:eastAsia="Calibri" w:hAnsi="Verdana" w:cs="Arial"/>
          <w:bCs/>
          <w:i/>
          <w:iCs/>
          <w:color w:val="000000" w:themeColor="text1"/>
          <w:sz w:val="20"/>
          <w:szCs w:val="20"/>
          <w:lang w:eastAsia="es-ES_tradnl" w:bidi="es-ES"/>
        </w:rPr>
        <w:t>, las reglas del Estatuto General de Contratación de la Administración Pública contenidas en la actualidad en las Leyes 80 de 1993, 1150 de 2007 y 1474 de 2011, no resultan de aplicación automática a tales convenios, toda vez que ese Estatuto lo que esencialmente regula son relaciones contractuales de contenido patrimonial y oneroso. En tal sentido, en cada caso concreto deberá analizarse, de conformidad con la naturaleza jurídica, objeto y finalidad que se pretende cumplir o desarrollar con el respectivo convenio, si la disposición correspondiente del Estatuto Contractual es aplicable o no”</w:t>
      </w:r>
      <w:r w:rsidRPr="00214793">
        <w:rPr>
          <w:rFonts w:ascii="Verdana" w:eastAsia="Calibri" w:hAnsi="Verdana" w:cs="Arial"/>
          <w:bCs/>
          <w:color w:val="000000" w:themeColor="text1"/>
          <w:sz w:val="20"/>
          <w:szCs w:val="20"/>
          <w:lang w:eastAsia="es-ES_tradnl" w:bidi="es-ES"/>
        </w:rPr>
        <w:t xml:space="preserve">. </w:t>
      </w:r>
      <w:r w:rsidRPr="00214793">
        <w:rPr>
          <w:rFonts w:ascii="Verdana" w:eastAsia="Calibri" w:hAnsi="Verdana" w:cs="Arial"/>
          <w:bCs/>
          <w:iCs/>
          <w:sz w:val="20"/>
          <w:szCs w:val="20"/>
        </w:rPr>
        <w:t>[Énfasis por fuera de texto]</w:t>
      </w:r>
      <w:r w:rsidRPr="00214793">
        <w:rPr>
          <w:rFonts w:ascii="Verdana" w:eastAsia="Calibri" w:hAnsi="Verdana" w:cs="Arial"/>
          <w:bCs/>
          <w:color w:val="000000" w:themeColor="text1"/>
          <w:sz w:val="20"/>
          <w:szCs w:val="20"/>
          <w:lang w:eastAsia="es-ES_tradnl" w:bidi="es-ES"/>
        </w:rPr>
        <w:t xml:space="preserve"> </w:t>
      </w:r>
    </w:p>
    <w:p w14:paraId="5D1900BF" w14:textId="77777777" w:rsidR="00102934" w:rsidRPr="00214793" w:rsidRDefault="00102934" w:rsidP="00102934">
      <w:pPr>
        <w:spacing w:beforeLines="120" w:before="288" w:afterLines="120" w:after="288" w:line="276" w:lineRule="auto"/>
        <w:ind w:firstLine="708"/>
        <w:contextualSpacing/>
        <w:rPr>
          <w:rFonts w:ascii="Verdana" w:eastAsia="Calibri" w:hAnsi="Verdana" w:cs="Arial"/>
          <w:bCs/>
          <w:color w:val="000000" w:themeColor="text1"/>
          <w:lang w:eastAsia="es-ES_tradnl" w:bidi="es-ES"/>
        </w:rPr>
      </w:pPr>
    </w:p>
    <w:p w14:paraId="233E8691" w14:textId="77777777" w:rsidR="00102934" w:rsidRPr="00214793" w:rsidRDefault="00102934" w:rsidP="00102934">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lastRenderedPageBreak/>
        <w:t xml:space="preserve">A juicio de la citada sala si bien existe un régimen jurídico común compuesto por las normas del EGCAP que ordenan las declaraciones de voluntad negocial de las entidades estatales -el consentimiento y los efectos de las obligaciones-, y las normas de derecho público relacionadas con la capacidad o competencia de las entidades estatales para celebrar acuerdos de voluntades -que incluyen el régimen de inhabilidades, incompatibilidades y conflictos de interés-, para el resto de asuntos regulados en el EGCAP será necesario tener en cuenta el plano de igualdad o equivalencia en el que se encuentran las partes del convenio y, por ende, la aplicabilidad de cada disposición al caso concreto. </w:t>
      </w:r>
    </w:p>
    <w:p w14:paraId="30BD20B9" w14:textId="77777777" w:rsidR="00102934" w:rsidRPr="00214793" w:rsidRDefault="00102934" w:rsidP="00102934">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En ese orden, por ejemplo, no serán aplicables, en principio, para los convenios interadministrativos, las cláusulas excepcionales al derecho común</w:t>
      </w:r>
      <w:r w:rsidRPr="00214793">
        <w:rPr>
          <w:rFonts w:ascii="Verdana" w:eastAsia="Calibri" w:hAnsi="Verdana" w:cs="Arial"/>
          <w:bCs/>
          <w:color w:val="000000" w:themeColor="text1"/>
          <w:vertAlign w:val="superscript"/>
          <w:lang w:eastAsia="es-ES_tradnl" w:bidi="es-ES"/>
        </w:rPr>
        <w:footnoteReference w:id="19"/>
      </w:r>
      <w:r w:rsidRPr="00214793">
        <w:rPr>
          <w:rFonts w:ascii="Verdana" w:eastAsia="Calibri" w:hAnsi="Verdana" w:cs="Arial"/>
          <w:bCs/>
          <w:color w:val="000000" w:themeColor="text1"/>
          <w:lang w:eastAsia="es-ES_tradnl" w:bidi="es-ES"/>
        </w:rPr>
        <w:t xml:space="preserve"> y tampoco sería procedente la inclusión de figuras contractuales como liquidación unilateral</w:t>
      </w:r>
      <w:r w:rsidRPr="00214793">
        <w:rPr>
          <w:rFonts w:ascii="Verdana" w:eastAsia="Calibri" w:hAnsi="Verdana" w:cs="Arial"/>
          <w:bCs/>
          <w:color w:val="000000" w:themeColor="text1"/>
          <w:vertAlign w:val="superscript"/>
          <w:lang w:eastAsia="es-ES_tradnl" w:bidi="es-ES"/>
        </w:rPr>
        <w:footnoteReference w:id="20"/>
      </w:r>
      <w:r w:rsidRPr="00214793">
        <w:rPr>
          <w:rFonts w:ascii="Verdana" w:eastAsia="Calibri" w:hAnsi="Verdana" w:cs="Arial"/>
          <w:bCs/>
          <w:color w:val="000000" w:themeColor="text1"/>
          <w:lang w:eastAsia="es-ES_tradnl" w:bidi="es-ES"/>
        </w:rPr>
        <w:t xml:space="preserve">. En todo caso, siguiendo la senda interpretativa expuesta por la Sala de Consulta y Servicio Civil en el concepto que acaba de citarse, la aplicación o inaplicación de estas y otras instituciones contractuales deberá definirse al analizar el contenido preciso de cada convenio interadministrativo celebrado y tal cuestión no puede concluirse </w:t>
      </w:r>
      <w:r w:rsidRPr="00214793">
        <w:rPr>
          <w:rFonts w:ascii="Verdana" w:eastAsia="Calibri" w:hAnsi="Verdana" w:cs="Arial"/>
          <w:bCs/>
          <w:i/>
          <w:iCs/>
          <w:color w:val="000000" w:themeColor="text1"/>
          <w:lang w:eastAsia="es-ES_tradnl" w:bidi="es-ES"/>
        </w:rPr>
        <w:t>a priori</w:t>
      </w:r>
      <w:r w:rsidRPr="00214793">
        <w:rPr>
          <w:rFonts w:ascii="Verdana" w:eastAsia="Calibri" w:hAnsi="Verdana" w:cs="Arial"/>
          <w:bCs/>
          <w:color w:val="000000" w:themeColor="text1"/>
          <w:lang w:eastAsia="es-ES_tradnl" w:bidi="es-ES"/>
        </w:rPr>
        <w:t xml:space="preserve"> o de manera automática. </w:t>
      </w:r>
    </w:p>
    <w:p w14:paraId="629D2DF3" w14:textId="77777777" w:rsidR="00102934" w:rsidRPr="00214793" w:rsidRDefault="00102934" w:rsidP="00102934">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Esto por cuanto, por una parte, el carácter de convenio interadministrativo no se deriva de su simple denominación como tal, sino de que el acuerdo de voluntades respectivo cumpla a cabalidad con las características que la normativa, la jurisprudencia y la doctrina le han atribuido y que han sido explicados en este concepto. Así, aun si el negocio jurídico de que se trate se suscriba bajo la denominación de “convenio interadministrativo” o algo similar, pero de la lectura de sus cláusulas se concluya una relación conmutativa y claramente onerosa entre las partes y se nota ausente la finalidad asociativa o colaborativa entre las entidades suscribientes, entonces, tal acuerdo no podría corresponder a la figura de convenio interadministrativo por carecer de sus elementos esenciales. En ese sentido, en tal caso, será distinto el análisis sobre </w:t>
      </w:r>
      <w:r w:rsidRPr="00214793">
        <w:rPr>
          <w:rFonts w:ascii="Verdana" w:eastAsia="Calibri" w:hAnsi="Verdana" w:cs="Arial"/>
          <w:bCs/>
          <w:color w:val="000000" w:themeColor="text1"/>
          <w:lang w:eastAsia="es-ES_tradnl" w:bidi="es-ES"/>
        </w:rPr>
        <w:lastRenderedPageBreak/>
        <w:t>la aplicación de institutos como la liquidación unilateral y de las demás figuras contractuales que se analicen en determinado caso.</w:t>
      </w:r>
    </w:p>
    <w:p w14:paraId="42F8ADD3" w14:textId="77777777" w:rsidR="00102934" w:rsidRPr="00214793" w:rsidRDefault="00102934" w:rsidP="00102934">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Además, para efectos de definir si la respectiva figura es o no aplicable al convenio interadministrativo, habrá que determinar si la misma es o no compatible con la naturaleza y contenido de dicho convenio, es decir, si es acorde con su finalidad asociativa, su carácter no oneroso o la ausencia de un objeto o finalidad patrimonial. </w:t>
      </w:r>
    </w:p>
    <w:p w14:paraId="59315CBB" w14:textId="77777777" w:rsidR="00102934" w:rsidRPr="00214793" w:rsidRDefault="00102934" w:rsidP="00102934">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En suma, si bien tanto los contratos como convenios interadministrativos comparten características comunes, entre ellas que ambos se celebran entre entidades públicas, difieren en cuanto a ciertas características esenciales, según lo ha venido señalando el Consejo de Estado. Así, mientras que el contrato interadministrativo se caracteriza por su naturaleza onerosa, patrimonial y se conforma por intereses básicamente contrapuestos, los convenios interadministrativos,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interinstitucional. </w:t>
      </w:r>
      <w:bookmarkEnd w:id="7"/>
    </w:p>
    <w:p w14:paraId="55BF4D0C" w14:textId="77777777" w:rsidR="00102934" w:rsidRPr="00214793" w:rsidRDefault="00102934" w:rsidP="00102934">
      <w:pPr>
        <w:snapToGrid w:val="0"/>
        <w:spacing w:after="120" w:line="276" w:lineRule="auto"/>
        <w:jc w:val="both"/>
        <w:rPr>
          <w:rFonts w:ascii="Verdana" w:eastAsia="Times New Roman" w:hAnsi="Verdana" w:cs="Arial"/>
          <w:lang w:val="es-ES" w:eastAsia="es-ES_tradnl"/>
        </w:rPr>
      </w:pPr>
      <w:r w:rsidRPr="00214793">
        <w:rPr>
          <w:rFonts w:ascii="Verdana" w:eastAsia="Calibri" w:hAnsi="Verdana" w:cs="Arial"/>
          <w:color w:val="000000" w:themeColor="text1"/>
          <w:lang w:val="es-ES"/>
        </w:rPr>
        <w:t>Teniendo en cuenta las consideraciones anteriores, puede afirmarse</w:t>
      </w:r>
      <w:r w:rsidRPr="00214793">
        <w:rPr>
          <w:rFonts w:ascii="Verdana" w:eastAsia="Calibri" w:hAnsi="Verdana" w:cs="Arial"/>
          <w:bCs/>
          <w:color w:val="000000" w:themeColor="text1"/>
          <w:lang w:eastAsia="es-ES_tradnl" w:bidi="es-ES"/>
        </w:rPr>
        <w:t xml:space="preserve"> </w:t>
      </w:r>
      <w:r w:rsidRPr="00214793">
        <w:rPr>
          <w:rFonts w:ascii="Verdana" w:eastAsia="Times New Roman" w:hAnsi="Verdana" w:cs="Arial"/>
          <w:lang w:val="es-ES" w:eastAsia="es-ES_tradnl"/>
        </w:rPr>
        <w:t xml:space="preserve">que los convenios interadministrativos no pueden ser sinalagmáticos, debido a que en ellos no se involucran intereses contrapuestos, sino un interés común. Esto implica que, en los eventos en que su celebración comporte el compromiso y la ejecución de recursos públicos, el valor de estos no puede destinarse al pago o remuneración de ninguna de las partes, sino que debe corresponder necesariamente a la asunción de costos y gastos para cumplir las funciones de la respectiva entidad, así como para atender los compromisos adquiridos para con la otra, pues las entidades cooperan entre sí, no se prestan servicios ni se ofrecen bienes a cambio de una remuneración y, por esa razón, los recursos comprometidos a través de los convenios interadministrativos no constituyen un pago, sino un aporte para lograr el cometido común. </w:t>
      </w:r>
    </w:p>
    <w:p w14:paraId="26FB9A68" w14:textId="77777777" w:rsidR="00102934" w:rsidRPr="00214793" w:rsidRDefault="00102934" w:rsidP="00102934">
      <w:pPr>
        <w:spacing w:after="120" w:line="276" w:lineRule="auto"/>
        <w:ind w:firstLine="709"/>
        <w:jc w:val="both"/>
        <w:rPr>
          <w:rFonts w:ascii="Verdana" w:eastAsia="Times New Roman" w:hAnsi="Verdana" w:cs="Arial"/>
          <w:szCs w:val="24"/>
          <w:lang w:eastAsia="es-ES_tradnl"/>
        </w:rPr>
      </w:pPr>
      <w:r w:rsidRPr="00214793">
        <w:rPr>
          <w:rFonts w:ascii="Verdana" w:eastAsia="Times New Roman" w:hAnsi="Verdana" w:cs="Arial"/>
          <w:szCs w:val="24"/>
          <w:lang w:eastAsia="es-ES_tradnl"/>
        </w:rPr>
        <w:t xml:space="preserve">Así, tal y como se ha expuesto en líneas anteriores, en atención a su naturaleza particular, a los convenios interadministrativos no les subyace un interés puramente económico, en tanto no se celebran para obtener una ganancia, sino con el propósito de ejecutar actividades que contribuyen </w:t>
      </w:r>
      <w:r w:rsidRPr="00214793">
        <w:rPr>
          <w:rFonts w:ascii="Verdana" w:eastAsia="Times New Roman" w:hAnsi="Verdana" w:cs="Arial"/>
          <w:szCs w:val="24"/>
          <w:lang w:eastAsia="es-ES_tradnl"/>
        </w:rPr>
        <w:lastRenderedPageBreak/>
        <w:t>directamente al fin común de los sujetos vinculados al convenio. De hecho, las partes presentan intereses convergentes, coincidentes o comunes y cooperan en procura de alcanzar en forma eficaz el cometido estatal previsto en la Constitución o en la ley, sin que por esto se reciba por ninguna de ellas el pago de un precio o contraprestación.</w:t>
      </w:r>
      <w:r w:rsidRPr="00214793">
        <w:rPr>
          <w:rFonts w:ascii="Verdana" w:eastAsia="Times New Roman" w:hAnsi="Verdana" w:cs="Arial"/>
          <w:lang w:val="es-ES" w:eastAsia="es-ES_tradnl"/>
        </w:rPr>
        <w:t xml:space="preserve"> Por ello, no es adecuado referirse a “propuesta económica” en el marco de un convenio interadministrativo, lo cual es propio de los contratos onerosos en lo que hay una contraprestación económica.  </w:t>
      </w:r>
    </w:p>
    <w:p w14:paraId="1D5F417A" w14:textId="77777777" w:rsidR="00102934" w:rsidRPr="00214793" w:rsidRDefault="00102934" w:rsidP="00102934">
      <w:pPr>
        <w:spacing w:after="120" w:line="276" w:lineRule="auto"/>
        <w:ind w:firstLine="709"/>
        <w:jc w:val="both"/>
        <w:rPr>
          <w:rFonts w:ascii="Verdana" w:eastAsia="Times New Roman" w:hAnsi="Verdana" w:cs="Arial"/>
          <w:lang w:eastAsia="es-ES_tradnl"/>
        </w:rPr>
      </w:pPr>
      <w:r w:rsidRPr="00214793">
        <w:rPr>
          <w:rFonts w:ascii="Verdana" w:eastAsia="Times New Roman" w:hAnsi="Verdana" w:cs="Arial"/>
          <w:szCs w:val="24"/>
          <w:lang w:eastAsia="es-ES_tradnl"/>
        </w:rPr>
        <w:t xml:space="preserve">En la práctica, en los convenios interadministrativos que las entidades celebran no suele pactarse un precio o remuneración, lo que no significa que, para la ejecución de sus compromisos, no puedan </w:t>
      </w:r>
      <w:r w:rsidRPr="00214793">
        <w:rPr>
          <w:rFonts w:ascii="Verdana" w:eastAsia="Times New Roman" w:hAnsi="Verdana" w:cs="Arial"/>
          <w:lang w:eastAsia="es-ES_tradnl"/>
        </w:rPr>
        <w:t>afectar sus respectivos presupuestos y ejecutar recursos públicos. Recuérdese que ese contenido económico, incluso, puede estar presente de forma implícita en el caso de las obligaciones de hacer</w:t>
      </w:r>
      <w:r w:rsidRPr="00214793">
        <w:rPr>
          <w:rFonts w:ascii="Verdana" w:eastAsia="Calibri" w:hAnsi="Verdana" w:cs="Arial"/>
          <w:vertAlign w:val="superscript"/>
          <w:lang w:val="es-ES_tradnl"/>
        </w:rPr>
        <w:footnoteReference w:id="21"/>
      </w:r>
      <w:r w:rsidRPr="00214793">
        <w:rPr>
          <w:rFonts w:ascii="Verdana" w:eastAsia="Times New Roman" w:hAnsi="Verdana" w:cs="Arial"/>
          <w:lang w:eastAsia="es-ES_tradnl"/>
        </w:rPr>
        <w:t xml:space="preserve">. </w:t>
      </w:r>
    </w:p>
    <w:p w14:paraId="6A5FB9E9" w14:textId="77777777" w:rsidR="00102934" w:rsidRPr="00214793" w:rsidRDefault="00102934" w:rsidP="00102934">
      <w:pPr>
        <w:spacing w:after="120" w:line="276" w:lineRule="auto"/>
        <w:ind w:firstLine="709"/>
        <w:jc w:val="both"/>
        <w:rPr>
          <w:rFonts w:ascii="Verdana" w:eastAsia="Times New Roman" w:hAnsi="Verdana" w:cs="Arial"/>
          <w:lang w:eastAsia="es-ES_tradnl"/>
        </w:rPr>
      </w:pPr>
      <w:r w:rsidRPr="00214793">
        <w:rPr>
          <w:rFonts w:ascii="Verdana" w:eastAsia="Times New Roman" w:hAnsi="Verdana" w:cs="Arial"/>
          <w:lang w:eastAsia="es-ES_tradnl"/>
        </w:rPr>
        <w:t xml:space="preserve">Sobre este aspecto, la Sala de Consulta y Servicio Civil del Consejo de Estado, resaltó la posibilidad de asunción de aportes económicos en el marco de un convenio interadministrativo, en el cual se pueden determinar costos y gastos para el cumplimiento de sus objetivos: </w:t>
      </w:r>
    </w:p>
    <w:p w14:paraId="756C229E" w14:textId="77777777" w:rsidR="00102934" w:rsidRPr="00214793" w:rsidRDefault="00102934" w:rsidP="00102934">
      <w:pPr>
        <w:spacing w:after="0" w:line="276" w:lineRule="auto"/>
        <w:ind w:firstLine="709"/>
        <w:jc w:val="both"/>
        <w:rPr>
          <w:rFonts w:ascii="Verdana" w:eastAsia="Times New Roman" w:hAnsi="Verdana" w:cs="Arial"/>
          <w:lang w:eastAsia="es-ES_tradnl"/>
        </w:rPr>
      </w:pPr>
    </w:p>
    <w:p w14:paraId="5078F4B8" w14:textId="77777777" w:rsidR="00102934" w:rsidRPr="00214793" w:rsidRDefault="00102934" w:rsidP="00102934">
      <w:pPr>
        <w:spacing w:after="0" w:line="240" w:lineRule="auto"/>
        <w:ind w:left="709" w:right="714"/>
        <w:jc w:val="both"/>
        <w:rPr>
          <w:rFonts w:ascii="Verdana" w:eastAsia="Calibri" w:hAnsi="Verdana" w:cs="Arial"/>
          <w:bCs/>
          <w:iCs/>
          <w:sz w:val="20"/>
          <w:szCs w:val="20"/>
        </w:rPr>
      </w:pPr>
      <w:r w:rsidRPr="00214793">
        <w:rPr>
          <w:rFonts w:ascii="Verdana" w:eastAsia="Calibri" w:hAnsi="Verdana" w:cs="Arial"/>
          <w:iCs/>
          <w:sz w:val="20"/>
          <w:szCs w:val="20"/>
        </w:rPr>
        <w:t>“</w:t>
      </w:r>
      <w:r w:rsidRPr="00214793">
        <w:rPr>
          <w:rFonts w:ascii="Verdana" w:eastAsia="Calibri" w:hAnsi="Verdana" w:cs="Arial"/>
          <w:i/>
          <w:sz w:val="20"/>
          <w:szCs w:val="20"/>
        </w:rPr>
        <w:t>Lógicamente,</w:t>
      </w:r>
      <w:r w:rsidRPr="00214793">
        <w:rPr>
          <w:rFonts w:ascii="Verdana" w:eastAsia="Calibri" w:hAnsi="Verdana" w:cs="Arial"/>
          <w:b/>
          <w:i/>
          <w:sz w:val="20"/>
          <w:szCs w:val="20"/>
        </w:rPr>
        <w:t xml:space="preserve"> </w:t>
      </w:r>
      <w:r w:rsidRPr="00214793">
        <w:rPr>
          <w:rFonts w:ascii="Verdana" w:eastAsia="Calibri" w:hAnsi="Verdana" w:cs="Arial"/>
          <w:bCs/>
          <w:i/>
          <w:sz w:val="20"/>
          <w:szCs w:val="20"/>
        </w:rPr>
        <w:t>en los convenios interadministrativos propiamente dichos, es posible,</w:t>
      </w:r>
      <w:r w:rsidRPr="00214793">
        <w:rPr>
          <w:rFonts w:ascii="Verdana" w:eastAsia="Calibri" w:hAnsi="Verdana" w:cs="Arial"/>
          <w:bCs/>
          <w:iCs/>
          <w:sz w:val="20"/>
          <w:szCs w:val="20"/>
        </w:rPr>
        <w:t xml:space="preserve"> </w:t>
      </w:r>
      <w:r w:rsidRPr="00214793">
        <w:rPr>
          <w:rFonts w:ascii="Verdana" w:eastAsia="Calibri" w:hAnsi="Verdana" w:cs="Arial"/>
          <w:bCs/>
          <w:i/>
          <w:sz w:val="20"/>
          <w:szCs w:val="20"/>
        </w:rPr>
        <w:t>que cada entidad incurra en costos y gastos y en ejecución de su propio presupuesto para cumplir sus funciones y los compromisos adquiridos para con la otra</w:t>
      </w:r>
      <w:r w:rsidRPr="00214793">
        <w:rPr>
          <w:rFonts w:ascii="Verdana" w:eastAsia="Calibri" w:hAnsi="Verdana" w:cs="Arial"/>
          <w:bCs/>
          <w:iCs/>
          <w:sz w:val="20"/>
          <w:szCs w:val="20"/>
        </w:rPr>
        <w:t>, razón por la cual bien pueden comprender la asunción de aportes económicos o financieros, pero sin que su objeto esencial lo constituyan prestaciones propias de los contratos interadministrativos, o el pago de un precio o una remuneración por un servicio prestado o por un bien adquirido o por una obra realizada por una a favor de la otra, pues en tales eventos se estará en presencia de verdaderos contratos”</w:t>
      </w:r>
      <w:r w:rsidRPr="00214793">
        <w:rPr>
          <w:rFonts w:ascii="Verdana" w:eastAsia="Calibri" w:hAnsi="Verdana" w:cs="Arial"/>
          <w:bCs/>
          <w:iCs/>
          <w:sz w:val="20"/>
          <w:szCs w:val="20"/>
          <w:vertAlign w:val="superscript"/>
        </w:rPr>
        <w:footnoteReference w:id="22"/>
      </w:r>
      <w:r w:rsidRPr="00214793">
        <w:rPr>
          <w:rFonts w:ascii="Verdana" w:eastAsia="Calibri" w:hAnsi="Verdana" w:cs="Arial"/>
          <w:bCs/>
          <w:iCs/>
          <w:sz w:val="20"/>
          <w:szCs w:val="20"/>
        </w:rPr>
        <w:t>. [Énfasis por fuera de texto]</w:t>
      </w:r>
    </w:p>
    <w:p w14:paraId="4B511148" w14:textId="77777777" w:rsidR="00102934" w:rsidRPr="00214793" w:rsidRDefault="00102934" w:rsidP="00102934">
      <w:pPr>
        <w:spacing w:after="0" w:line="240" w:lineRule="auto"/>
        <w:ind w:left="709" w:right="714"/>
        <w:jc w:val="both"/>
        <w:rPr>
          <w:rFonts w:ascii="Verdana" w:eastAsia="Calibri" w:hAnsi="Verdana" w:cs="Arial"/>
          <w:iCs/>
          <w:sz w:val="18"/>
          <w:szCs w:val="18"/>
        </w:rPr>
      </w:pPr>
    </w:p>
    <w:p w14:paraId="0010DA37" w14:textId="77777777" w:rsidR="00102934" w:rsidRPr="00214793" w:rsidRDefault="00102934" w:rsidP="00102934">
      <w:pPr>
        <w:spacing w:after="120" w:line="276" w:lineRule="auto"/>
        <w:ind w:firstLine="709"/>
        <w:jc w:val="both"/>
        <w:rPr>
          <w:rFonts w:ascii="Verdana" w:eastAsia="Times New Roman" w:hAnsi="Verdana" w:cs="Arial"/>
          <w:lang w:eastAsia="es-ES_tradnl"/>
        </w:rPr>
      </w:pPr>
      <w:r w:rsidRPr="00214793">
        <w:rPr>
          <w:rFonts w:ascii="Verdana" w:eastAsia="Times New Roman" w:hAnsi="Verdana" w:cs="Arial"/>
          <w:lang w:eastAsia="es-ES_tradnl"/>
        </w:rPr>
        <w:t xml:space="preserve">En reciente pronunciamiento, la Sala de lo Contencioso Administrativo, Sección Tercera del Consejo de Estado reiteró que, si bien en el marco de los convenios interadministrativos no se generar relaciones conmutativas sinalagmáticas en la medida que no se obligan a dar o a hacer algo a cambio de </w:t>
      </w:r>
      <w:r w:rsidRPr="00214793">
        <w:rPr>
          <w:rFonts w:ascii="Verdana" w:eastAsia="Times New Roman" w:hAnsi="Verdana" w:cs="Arial"/>
          <w:lang w:eastAsia="es-ES_tradnl"/>
        </w:rPr>
        <w:lastRenderedPageBreak/>
        <w:t xml:space="preserve">una prestación equivalente o remuneración, no significa que no se pueden realizar aportes de naturaleza técnica, administrativa, financiera o económica para ejecutar el objetivo común: </w:t>
      </w:r>
    </w:p>
    <w:p w14:paraId="21902867" w14:textId="77777777" w:rsidR="00102934" w:rsidRPr="00214793" w:rsidRDefault="00102934" w:rsidP="00102934">
      <w:pPr>
        <w:spacing w:after="0" w:line="276" w:lineRule="auto"/>
        <w:ind w:firstLine="709"/>
        <w:jc w:val="both"/>
        <w:rPr>
          <w:rFonts w:ascii="Verdana" w:eastAsia="Times New Roman" w:hAnsi="Verdana" w:cs="Arial"/>
          <w:lang w:eastAsia="es-ES_tradnl"/>
        </w:rPr>
      </w:pPr>
    </w:p>
    <w:p w14:paraId="326AC8A5" w14:textId="77777777" w:rsidR="00102934" w:rsidRPr="00214793" w:rsidRDefault="00102934" w:rsidP="00102934">
      <w:pPr>
        <w:spacing w:after="0" w:line="240" w:lineRule="auto"/>
        <w:ind w:left="709" w:right="714"/>
        <w:jc w:val="both"/>
        <w:rPr>
          <w:rFonts w:ascii="Verdana" w:eastAsia="Calibri" w:hAnsi="Verdana" w:cs="Arial"/>
          <w:bCs/>
          <w:iCs/>
          <w:sz w:val="20"/>
          <w:szCs w:val="20"/>
        </w:rPr>
      </w:pPr>
      <w:r w:rsidRPr="00214793">
        <w:rPr>
          <w:rFonts w:ascii="Verdana" w:eastAsia="Calibri" w:hAnsi="Verdana" w:cs="Arial"/>
          <w:iCs/>
          <w:sz w:val="20"/>
          <w:szCs w:val="20"/>
        </w:rPr>
        <w:t xml:space="preserve">“Lo anterior no significa que en el marco de los convenios </w:t>
      </w:r>
      <w:r w:rsidRPr="00214793">
        <w:rPr>
          <w:rFonts w:ascii="Verdana" w:eastAsia="Calibri" w:hAnsi="Verdana" w:cs="Arial"/>
          <w:i/>
          <w:sz w:val="20"/>
          <w:szCs w:val="20"/>
        </w:rPr>
        <w:t>interadministrativos las partes no puedan asumir obligaciones de tipo económico, en tanto, desde el ámbito que corresponde a sus competencias, pueden contribuir a la realización del objetivo común a través de aportes de naturaleza técnica, administrativa, financiera o económica</w:t>
      </w:r>
      <w:r w:rsidRPr="00214793">
        <w:rPr>
          <w:rFonts w:ascii="Verdana" w:eastAsia="Calibri" w:hAnsi="Verdana" w:cs="Arial"/>
          <w:iCs/>
          <w:sz w:val="20"/>
          <w:szCs w:val="20"/>
        </w:rPr>
        <w:t>. Es por esto que un aporte económico no puede entenderse ni aplicarse a la relación negocial como una retribución por contraprestación de la otra parte, o por el desempeño de las funciones administrativas o técnicas que otro contrayente, en el ámbito de sus competencias, se obliga a ejecutar, pues de ser ello así, se desnaturalizaría la principal y más esencial característica de este tipo de negocios, la cual está dada por la conjunción de esfuerzos para el logro de una finalidad común a todos los intervinientes”</w:t>
      </w:r>
      <w:r w:rsidRPr="00214793">
        <w:rPr>
          <w:rFonts w:ascii="Verdana" w:eastAsia="Calibri" w:hAnsi="Verdana" w:cs="Arial"/>
          <w:iCs/>
          <w:sz w:val="20"/>
          <w:szCs w:val="20"/>
          <w:vertAlign w:val="superscript"/>
        </w:rPr>
        <w:footnoteReference w:id="23"/>
      </w:r>
      <w:r w:rsidRPr="00214793">
        <w:rPr>
          <w:rFonts w:ascii="Verdana" w:eastAsia="Calibri" w:hAnsi="Verdana" w:cs="Arial"/>
          <w:iCs/>
          <w:sz w:val="20"/>
          <w:szCs w:val="20"/>
        </w:rPr>
        <w:t>.</w:t>
      </w:r>
      <w:r w:rsidRPr="00214793">
        <w:rPr>
          <w:rFonts w:ascii="Verdana" w:eastAsia="Geomanist Light" w:hAnsi="Verdana" w:cs="Arial"/>
          <w:color w:val="201F1E"/>
        </w:rPr>
        <w:t xml:space="preserve"> </w:t>
      </w:r>
      <w:r w:rsidRPr="00214793">
        <w:rPr>
          <w:rFonts w:ascii="Verdana" w:eastAsia="Calibri" w:hAnsi="Verdana" w:cs="Arial"/>
          <w:bCs/>
          <w:iCs/>
          <w:sz w:val="20"/>
          <w:szCs w:val="20"/>
        </w:rPr>
        <w:t>[Énfasis por fuera de texto]</w:t>
      </w:r>
    </w:p>
    <w:p w14:paraId="45A01F28" w14:textId="77777777" w:rsidR="00102934" w:rsidRPr="00214793" w:rsidRDefault="00102934" w:rsidP="00102934">
      <w:pPr>
        <w:spacing w:after="0" w:line="276" w:lineRule="auto"/>
        <w:ind w:right="714"/>
        <w:jc w:val="both"/>
        <w:rPr>
          <w:rFonts w:ascii="Verdana" w:eastAsia="Calibri" w:hAnsi="Verdana" w:cs="Arial"/>
          <w:iCs/>
          <w:sz w:val="20"/>
          <w:szCs w:val="20"/>
        </w:rPr>
      </w:pPr>
    </w:p>
    <w:p w14:paraId="2AD82ABB" w14:textId="77777777" w:rsidR="00102934" w:rsidRPr="00214793" w:rsidRDefault="00102934" w:rsidP="00102934">
      <w:pPr>
        <w:spacing w:after="120" w:line="276" w:lineRule="auto"/>
        <w:ind w:firstLine="709"/>
        <w:jc w:val="both"/>
        <w:rPr>
          <w:rFonts w:ascii="Verdana" w:eastAsia="Times New Roman" w:hAnsi="Verdana" w:cs="Arial"/>
          <w:lang w:eastAsia="es-ES_tradnl"/>
        </w:rPr>
      </w:pPr>
      <w:r w:rsidRPr="00214793">
        <w:rPr>
          <w:rFonts w:ascii="Verdana" w:eastAsia="Times New Roman" w:hAnsi="Verdana" w:cs="Arial"/>
          <w:lang w:eastAsia="es-ES_tradnl"/>
        </w:rPr>
        <w:t xml:space="preserve">De esta manera, </w:t>
      </w:r>
      <w:r w:rsidRPr="00214793">
        <w:rPr>
          <w:rFonts w:ascii="Verdana" w:eastAsia="Calibri" w:hAnsi="Verdana" w:cs="Arial"/>
          <w:bCs/>
          <w:iCs/>
        </w:rPr>
        <w:t xml:space="preserve">es posible y lógico que para efectos de la ejecución del convenio interadministrativo las entidades públicas incurran en costos y gastos administrativos lo que se puede reflejar en los respectivos </w:t>
      </w:r>
      <w:r w:rsidRPr="00214793">
        <w:rPr>
          <w:rFonts w:ascii="Verdana" w:eastAsia="Times New Roman" w:hAnsi="Verdana" w:cs="Arial"/>
          <w:lang w:eastAsia="es-ES_tradnl"/>
        </w:rPr>
        <w:t>aportes de naturaleza técnica, administrativa, financiera o económica, sin que ello signifique el pago de un precio o una remuneración por servicio prestado o bien adquirido. Estos costos o gastos de administración pueden incluirse válidamente</w:t>
      </w:r>
      <w:r w:rsidRPr="00214793">
        <w:rPr>
          <w:rFonts w:ascii="Verdana" w:eastAsia="Times New Roman" w:hAnsi="Verdana" w:cs="Arial"/>
          <w:b/>
          <w:bCs/>
          <w:lang w:eastAsia="es-ES_tradnl"/>
        </w:rPr>
        <w:t xml:space="preserve"> </w:t>
      </w:r>
      <w:r w:rsidRPr="00214793">
        <w:rPr>
          <w:rFonts w:ascii="Verdana" w:eastAsia="Times New Roman" w:hAnsi="Verdana" w:cs="Arial"/>
          <w:lang w:eastAsia="es-ES_tradnl"/>
        </w:rPr>
        <w:t xml:space="preserve">siempre que se justifique técnica y financieramente que son necesarios y razonables para el desarrollo del objeto convenido y que se trate de aspectos operativos, logísticos o de administración </w:t>
      </w:r>
      <w:r w:rsidRPr="00214793">
        <w:rPr>
          <w:rFonts w:ascii="Verdana" w:eastAsia="Calibri" w:hAnsi="Verdana" w:cs="Arial"/>
          <w:bCs/>
          <w:iCs/>
        </w:rPr>
        <w:t>que permitan cumplir los compromisos adquiridos en el marco del convenio</w:t>
      </w:r>
      <w:r w:rsidRPr="00214793">
        <w:rPr>
          <w:rFonts w:ascii="Verdana" w:eastAsia="Times New Roman" w:hAnsi="Verdana" w:cs="Arial"/>
          <w:lang w:eastAsia="es-ES_tradnl"/>
        </w:rPr>
        <w:t xml:space="preserve"> y que, por tanto, no representan una utilidad o una contraprestación en favor de una de las partes. </w:t>
      </w:r>
    </w:p>
    <w:p w14:paraId="41EC22AC" w14:textId="77777777" w:rsidR="00102934" w:rsidRPr="00214793" w:rsidRDefault="00102934" w:rsidP="00102934">
      <w:pPr>
        <w:spacing w:after="120" w:line="276" w:lineRule="auto"/>
        <w:ind w:firstLine="708"/>
        <w:jc w:val="both"/>
        <w:rPr>
          <w:rFonts w:ascii="Verdana" w:eastAsia="Times New Roman" w:hAnsi="Verdana" w:cs="Arial"/>
          <w:lang w:eastAsia="es-ES_tradnl"/>
        </w:rPr>
      </w:pPr>
      <w:r w:rsidRPr="00214793">
        <w:rPr>
          <w:rFonts w:ascii="Verdana" w:eastAsia="Times New Roman" w:hAnsi="Verdana" w:cs="Arial"/>
          <w:lang w:eastAsia="es-ES_tradnl"/>
        </w:rPr>
        <w:t xml:space="preserve">En este sentido, se precisa que la posibilidad de que un convenio interadministrativo incluya compromisos con contenido económico no puede ir en contravía de su naturaleza y finalidad, ni mucho menos desconocer los elementos esenciales de este tipo negocial que se desprenden del artículo 95 de la Ley 489 de 1998. Por ende, la determinación de estos costos o gastos administrativos no pueden ocultar una remuneración verdadera o una utilidad </w:t>
      </w:r>
      <w:r w:rsidRPr="00214793">
        <w:rPr>
          <w:rFonts w:ascii="Verdana" w:eastAsia="Times New Roman" w:hAnsi="Verdana" w:cs="Arial"/>
          <w:lang w:eastAsia="es-ES_tradnl"/>
        </w:rPr>
        <w:lastRenderedPageBreak/>
        <w:t xml:space="preserve">en favor de alguna de las entidades que concurre a su suscripción, así como tampoco pueden emplearse para aspectos distintos del cumplimiento de los compromisos asumidos, pues no se trataría de un convenio sino que su connotación transmutaría a un contrato interadministrativo. </w:t>
      </w:r>
    </w:p>
    <w:p w14:paraId="1AFAF90D" w14:textId="77777777" w:rsidR="00102934" w:rsidRPr="00AE4C64" w:rsidRDefault="00102934" w:rsidP="00102934">
      <w:pPr>
        <w:spacing w:after="120" w:line="276" w:lineRule="auto"/>
        <w:ind w:firstLine="708"/>
        <w:jc w:val="both"/>
        <w:rPr>
          <w:rFonts w:ascii="Verdana" w:eastAsia="Times New Roman" w:hAnsi="Verdana" w:cs="Arial"/>
          <w:iCs/>
          <w:lang w:eastAsia="es-ES_tradnl"/>
        </w:rPr>
      </w:pPr>
      <w:r w:rsidRPr="00F805FF">
        <w:rPr>
          <w:rFonts w:ascii="Verdana" w:eastAsia="Times New Roman" w:hAnsi="Verdana" w:cs="Arial"/>
          <w:iCs/>
          <w:lang w:eastAsia="es-ES_tradnl"/>
        </w:rPr>
        <w:t>Finalmente, para resolver el interrogante planteado, es preciso señalar que en la celebración de los distintos tipos de convenios suscritos por entidades públicas —incluidos los convenios interadministrativos y aquellos regulados por el Decreto 092 de 2017— debe entenderse que su finalidad es la colaboración y concurrencia de esfuerzos para el cumplimiento de fines comunes. En este contexto, los costos o gastos administrativos solo resultan procedentes en la medida en que correspondan a aportes reales, específicos y verificables a cargo de cada una de las partes, ya sean de carácter técnico, administrativo, financiero o económico, y siempre que se encuentren directamente orientados a la ejecución del objeto convenido y al cumplimiento de los compromisos asumidos. En consecuencia, atendiendo a la naturaleza cooperativa de estos instrumentos, los aportes de cada partícipe deben establecerse de manera expresa y diferenciada, como un elemento esencial para identificar la contribución efectiva de las entidades involucradas y evitar la desnaturalización del convenio.</w:t>
      </w:r>
    </w:p>
    <w:p w14:paraId="29313606" w14:textId="77777777" w:rsidR="00102934" w:rsidRPr="00AE4C64" w:rsidRDefault="00102934" w:rsidP="00102934">
      <w:pPr>
        <w:spacing w:after="120" w:line="276" w:lineRule="auto"/>
        <w:ind w:firstLine="708"/>
        <w:jc w:val="both"/>
        <w:rPr>
          <w:rFonts w:ascii="Verdana" w:eastAsia="Times New Roman" w:hAnsi="Verdana" w:cs="Arial"/>
          <w:lang w:eastAsia="es-ES_tradnl"/>
        </w:rPr>
      </w:pPr>
      <w:r w:rsidRPr="007227C3">
        <w:rPr>
          <w:rFonts w:ascii="Verdana" w:eastAsia="Times New Roman" w:hAnsi="Verdana" w:cs="Arial"/>
          <w:iCs/>
          <w:lang w:eastAsia="es-ES_tradnl"/>
        </w:rPr>
        <w:t xml:space="preserve">En contraste, en los contratos estatales —incluidos los contratos interadministrativos—, los costos o gastos administrativos hacen parte de la contraprestación pactada, en atención a su carácter oneroso y conmutativo, integrándose al precio o retribución económica que una de las partes recibe a </w:t>
      </w:r>
      <w:r w:rsidRPr="00AE4C64">
        <w:rPr>
          <w:rFonts w:ascii="Verdana" w:eastAsia="Times New Roman" w:hAnsi="Verdana" w:cs="Arial"/>
          <w:lang w:eastAsia="es-ES_tradnl"/>
        </w:rPr>
        <w:t>cambio de la ejecución de bienes, obras o servicios.</w:t>
      </w:r>
    </w:p>
    <w:p w14:paraId="5FF256E6" w14:textId="77777777" w:rsidR="00102934" w:rsidRPr="007227C3" w:rsidRDefault="00102934" w:rsidP="00102934">
      <w:pPr>
        <w:spacing w:after="120" w:line="276" w:lineRule="auto"/>
        <w:ind w:firstLine="708"/>
        <w:jc w:val="both"/>
        <w:rPr>
          <w:rFonts w:ascii="Verdana" w:eastAsia="Times New Roman" w:hAnsi="Verdana" w:cs="Arial"/>
          <w:iCs/>
          <w:lang w:eastAsia="es-ES_tradnl"/>
        </w:rPr>
      </w:pPr>
      <w:r w:rsidRPr="00AE4C64">
        <w:rPr>
          <w:rFonts w:ascii="Verdana" w:eastAsia="Times New Roman" w:hAnsi="Verdana" w:cs="Arial"/>
          <w:lang w:eastAsia="es-ES_tradnl"/>
        </w:rPr>
        <w:t>Así, la correcta identificación de</w:t>
      </w:r>
      <w:r w:rsidRPr="007227C3">
        <w:rPr>
          <w:rFonts w:ascii="Verdana" w:eastAsia="Times New Roman" w:hAnsi="Verdana" w:cs="Arial"/>
          <w:iCs/>
          <w:lang w:eastAsia="es-ES_tradnl"/>
        </w:rPr>
        <w:t xml:space="preserve"> la naturaleza jurídica del negocio celebrado resulta determinante para definir el régimen jurídico aplicable y el alcance de las figuras que en él se incorporen. En consecuencia, la inclusión y determinación de costos o gastos administrativos, así como la definición de los aportes, debe responder de manera coherente con la finalidad, alcance y estructura propia de cada tipo de convenio o contrato, sin que sea posible extraer conclusiones automáticas a partir de su sola denominación.</w:t>
      </w:r>
    </w:p>
    <w:p w14:paraId="6EFCA3C6" w14:textId="77777777" w:rsidR="00102934" w:rsidRPr="007227C3" w:rsidRDefault="00102934" w:rsidP="00102934">
      <w:pPr>
        <w:spacing w:after="0" w:line="276" w:lineRule="auto"/>
        <w:ind w:firstLine="709"/>
        <w:jc w:val="both"/>
        <w:rPr>
          <w:rFonts w:ascii="Verdana" w:eastAsia="Times New Roman" w:hAnsi="Verdana" w:cs="Arial"/>
          <w:iCs/>
          <w:lang w:eastAsia="es-ES_tradnl"/>
        </w:rPr>
      </w:pPr>
      <w:r w:rsidRPr="007227C3">
        <w:rPr>
          <w:rFonts w:ascii="Verdana" w:eastAsia="Times New Roman" w:hAnsi="Verdana" w:cs="Arial"/>
          <w:iCs/>
          <w:lang w:eastAsia="es-ES_tradnl"/>
        </w:rPr>
        <w:t xml:space="preserve">En todo caso, la aplicación de estas consideraciones exige un análisis particular del contenido de cada instrumento celebrado, por lo que corresponde a las entidades, en el marco de su autonomía y bajo el principio de juridicidad, definir las condiciones específicas de su gestión contractual, con el </w:t>
      </w:r>
      <w:r w:rsidRPr="007227C3">
        <w:rPr>
          <w:rFonts w:ascii="Verdana" w:eastAsia="Times New Roman" w:hAnsi="Verdana" w:cs="Arial"/>
          <w:iCs/>
          <w:lang w:eastAsia="es-ES_tradnl"/>
        </w:rPr>
        <w:lastRenderedPageBreak/>
        <w:t>acompañamiento de sus asesores, sin que sea procedente establecer criterios universales o absolutos por vía consultiva.</w:t>
      </w:r>
    </w:p>
    <w:p w14:paraId="6D23C42F" w14:textId="77777777" w:rsidR="00102934" w:rsidRPr="00742A56" w:rsidRDefault="00102934" w:rsidP="00102934">
      <w:pPr>
        <w:spacing w:after="0" w:line="276" w:lineRule="auto"/>
        <w:jc w:val="both"/>
        <w:rPr>
          <w:rFonts w:ascii="Verdana" w:hAnsi="Verdana" w:cs="Arial"/>
          <w:bCs/>
          <w:color w:val="000000" w:themeColor="text1"/>
        </w:rPr>
      </w:pPr>
    </w:p>
    <w:bookmarkEnd w:id="4"/>
    <w:bookmarkEnd w:id="5"/>
    <w:p w14:paraId="102A3697" w14:textId="77777777" w:rsidR="00102934" w:rsidRPr="001F283D" w:rsidRDefault="00102934" w:rsidP="00102934">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3E7CE78B" w14:textId="77777777" w:rsidR="00102934" w:rsidRPr="00593A5F" w:rsidRDefault="00102934" w:rsidP="0010293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02934" w:rsidRPr="002407CE" w14:paraId="0E70322D" w14:textId="77777777" w:rsidTr="00993DF0">
        <w:trPr>
          <w:trHeight w:val="870"/>
          <w:jc w:val="center"/>
        </w:trPr>
        <w:tc>
          <w:tcPr>
            <w:tcW w:w="8647" w:type="dxa"/>
          </w:tcPr>
          <w:p w14:paraId="58CB8B2C" w14:textId="77777777" w:rsidR="00102934"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AD7D5F">
              <w:rPr>
                <w:rFonts w:ascii="Verdana" w:eastAsia="Arial MT" w:hAnsi="Verdana" w:cs="Arial"/>
                <w:lang w:val="es-ES" w:eastAsia="es-ES" w:bidi="es-ES"/>
              </w:rPr>
              <w:t xml:space="preserve">Ley 80 de 1993, artículos 39, 41.  </w:t>
            </w:r>
          </w:p>
          <w:p w14:paraId="13A7025C" w14:textId="77777777" w:rsidR="00102934" w:rsidRPr="00BA7190"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AD7D5F">
              <w:rPr>
                <w:rFonts w:ascii="Verdana" w:eastAsia="Arial MT" w:hAnsi="Verdana" w:cs="Arial"/>
                <w:lang w:val="es-ES" w:eastAsia="es-ES" w:bidi="es-ES"/>
              </w:rPr>
              <w:t xml:space="preserve">Código Civil, artículo 1602. </w:t>
            </w:r>
          </w:p>
          <w:p w14:paraId="09124211" w14:textId="77777777" w:rsidR="00102934" w:rsidRPr="00AD7D5F"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1002 de 2005, artículos 1,6 y 8. </w:t>
            </w:r>
          </w:p>
          <w:p w14:paraId="1C7D33F6" w14:textId="77777777" w:rsidR="00102934" w:rsidRPr="00AD7D5F"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AD7D5F">
              <w:rPr>
                <w:rFonts w:ascii="Verdana" w:eastAsia="Arial MT" w:hAnsi="Verdana" w:cs="Arial"/>
                <w:lang w:val="es-ES" w:eastAsia="es-ES" w:bidi="es-ES"/>
              </w:rPr>
              <w:t xml:space="preserve">Ley 1150 de 2007, artículo 2. </w:t>
            </w:r>
          </w:p>
          <w:p w14:paraId="0A3F172C" w14:textId="77777777" w:rsidR="00102934" w:rsidRPr="006B7BAC"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eastAsia="es-ES" w:bidi="es-ES"/>
              </w:rPr>
            </w:pPr>
            <w:r w:rsidRPr="00AD7D5F">
              <w:rPr>
                <w:rFonts w:ascii="Verdana" w:eastAsia="Arial MT" w:hAnsi="Verdana" w:cs="Arial"/>
                <w:lang w:eastAsia="es-ES" w:bidi="es-ES"/>
              </w:rPr>
              <w:t xml:space="preserve">Decreto 1068 de 2015, </w:t>
            </w:r>
            <w:r>
              <w:rPr>
                <w:rFonts w:ascii="Verdana" w:eastAsia="Arial MT" w:hAnsi="Verdana" w:cs="Arial"/>
                <w:lang w:eastAsia="es-ES" w:bidi="es-ES"/>
              </w:rPr>
              <w:t>a</w:t>
            </w:r>
            <w:r w:rsidRPr="00AD7D5F">
              <w:rPr>
                <w:rFonts w:ascii="Verdana" w:eastAsia="Arial MT" w:hAnsi="Verdana" w:cs="Arial"/>
                <w:lang w:eastAsia="es-ES" w:bidi="es-ES"/>
              </w:rPr>
              <w:t>rtículo 2.8.3.4.</w:t>
            </w:r>
          </w:p>
          <w:p w14:paraId="3168AC4E" w14:textId="77777777" w:rsidR="00102934" w:rsidRPr="002B08F8"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2B08F8">
              <w:rPr>
                <w:rFonts w:ascii="Verdana" w:eastAsia="Arial MT" w:hAnsi="Verdana" w:cs="Arial"/>
                <w:lang w:val="es-ES" w:eastAsia="es-ES" w:bidi="es-ES"/>
              </w:rPr>
              <w:t>Decreto 1082 de 2015. Artículo 2.2.1.2.1.4.4</w:t>
            </w:r>
          </w:p>
          <w:p w14:paraId="17A70474" w14:textId="77777777" w:rsidR="00102934" w:rsidRPr="002B08F8"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2B08F8">
              <w:rPr>
                <w:rFonts w:ascii="Verdana" w:eastAsia="Arial MT" w:hAnsi="Verdana" w:cs="Arial"/>
                <w:lang w:val="es-ES" w:eastAsia="es-ES" w:bidi="es-ES"/>
              </w:rPr>
              <w:t>Consejo de Estado, Sala de lo Contencioso Administrativo, Sección Tercera, sentencia de 23 de junio de 2010, exp.17860.</w:t>
            </w:r>
          </w:p>
          <w:p w14:paraId="7D62A0FE" w14:textId="77777777" w:rsidR="00102934" w:rsidRPr="002B08F8"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2B08F8">
              <w:rPr>
                <w:rFonts w:ascii="Verdana" w:eastAsia="Arial MT" w:hAnsi="Verdana" w:cs="Arial"/>
                <w:lang w:val="es-ES" w:eastAsia="es-ES" w:bidi="es-ES"/>
              </w:rPr>
              <w:t xml:space="preserve">Consejo de Estado. Sala de Consulta y Servicio Civil. Concepto 26 de julio de 2016. </w:t>
            </w:r>
            <w:proofErr w:type="spellStart"/>
            <w:r w:rsidRPr="002B08F8">
              <w:rPr>
                <w:rFonts w:ascii="Verdana" w:eastAsia="Arial MT" w:hAnsi="Verdana" w:cs="Arial"/>
                <w:lang w:val="es-ES" w:eastAsia="es-ES" w:bidi="es-ES"/>
              </w:rPr>
              <w:t>Exp</w:t>
            </w:r>
            <w:proofErr w:type="spellEnd"/>
            <w:r w:rsidRPr="002B08F8">
              <w:rPr>
                <w:rFonts w:ascii="Verdana" w:eastAsia="Arial MT" w:hAnsi="Verdana" w:cs="Arial"/>
                <w:lang w:val="es-ES" w:eastAsia="es-ES" w:bidi="es-ES"/>
              </w:rPr>
              <w:t>. 2.257. C.P. Álvaro Namén Vargas.</w:t>
            </w:r>
          </w:p>
          <w:p w14:paraId="4BC71BB8" w14:textId="77777777" w:rsidR="00102934" w:rsidRPr="002B08F8"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2B08F8">
              <w:rPr>
                <w:rFonts w:ascii="Verdana" w:eastAsia="Arial MT" w:hAnsi="Verdana" w:cs="Arial"/>
                <w:lang w:val="es-ES" w:eastAsia="es-ES" w:bidi="es-ES"/>
              </w:rPr>
              <w:t xml:space="preserve">Consejo de Estado, Sala de lo Contencioso Administrativo, Sección Tercera, sentencia del 22 de octubre de 2021, Rad. 65978, M.P. Martha Nubia Velásquez; Consejo de Estado, Sala de lo Contencioso Administrativo, Sección Tercera, Subsección A, Sentencia del 23 de abril de 2021, Rad. 49148, M.P. María Adriana Marín; Consejo de Estado, Sala de lo Contencioso Administrativo, Sección Tercera, Subsección A, Sentencia del 21 de mayo de 2021, Rad. 66756, M.P. José Roberto Sáchica Méndez; Consejo de Estado, Sala de lo Contencioso Administrativo, Sección Tercera, Subsección C, Auto del 30 de septiembre de 2020, Rad. 65358, M.P. Guillermo Sánchez Luque. </w:t>
            </w:r>
          </w:p>
          <w:p w14:paraId="307F4DF7" w14:textId="77777777" w:rsidR="00102934" w:rsidRPr="002B08F8"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2B08F8">
              <w:rPr>
                <w:rFonts w:ascii="Verdana" w:eastAsia="Arial MT" w:hAnsi="Verdana" w:cs="Arial"/>
                <w:lang w:val="es-ES" w:eastAsia="es-ES" w:bidi="es-ES"/>
              </w:rPr>
              <w:t xml:space="preserve">Consejo de Estado, Sección Tercera, Sentencia del 05 de febrero de 2021, rad. 25000-23-26-000-2011-00144-01(49792), M.P. María Adriana Marín. </w:t>
            </w:r>
          </w:p>
          <w:p w14:paraId="1EDEDAB1" w14:textId="77777777" w:rsidR="00102934" w:rsidRPr="002B08F8"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2B08F8">
              <w:rPr>
                <w:rFonts w:ascii="Verdana" w:eastAsia="Arial MT" w:hAnsi="Verdana" w:cs="Arial"/>
                <w:lang w:val="es-ES" w:eastAsia="es-ES" w:bidi="es-ES"/>
              </w:rPr>
              <w:t>Consejo de Estado -Sección Tercera-. Sentencia del 14 de junio del 2019, Radicación Número: 25000-23-37-000-2010-02552-01(AP).</w:t>
            </w:r>
          </w:p>
          <w:p w14:paraId="66788999" w14:textId="77777777" w:rsidR="00102934" w:rsidRPr="002B08F8"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2B08F8">
              <w:rPr>
                <w:rFonts w:ascii="Verdana" w:eastAsia="Arial MT" w:hAnsi="Verdana" w:cs="Arial"/>
                <w:lang w:val="es-ES" w:eastAsia="es-ES" w:bidi="es-ES"/>
              </w:rPr>
              <w:lastRenderedPageBreak/>
              <w:t xml:space="preserve">Consejo de Estado -Sección Tercera-. Sentencia del 21 de febrero de 2025. Radicación Número: 68.280. CP: José Roberto Sáchica Méndez. </w:t>
            </w:r>
          </w:p>
          <w:p w14:paraId="39438F7E" w14:textId="77777777" w:rsidR="00102934" w:rsidRPr="002B08F8"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2B08F8">
              <w:rPr>
                <w:rFonts w:ascii="Verdana" w:eastAsia="Arial MT" w:hAnsi="Verdana" w:cs="Arial"/>
                <w:lang w:val="es-ES" w:eastAsia="es-ES" w:bidi="es-ES"/>
              </w:rPr>
              <w:t xml:space="preserve">Corte Constitucional, Sentencia C-768 de 23 de septiembre de 2010. M.P.: Juan Carlos Henao Pérez </w:t>
            </w:r>
          </w:p>
          <w:p w14:paraId="6FE4B79A" w14:textId="77777777" w:rsidR="00102934" w:rsidRPr="002B08F8" w:rsidRDefault="00102934" w:rsidP="00102934">
            <w:pPr>
              <w:widowControl w:val="0"/>
              <w:numPr>
                <w:ilvl w:val="0"/>
                <w:numId w:val="2"/>
              </w:numPr>
              <w:autoSpaceDE w:val="0"/>
              <w:autoSpaceDN w:val="0"/>
              <w:spacing w:before="120" w:after="120" w:line="276" w:lineRule="auto"/>
              <w:jc w:val="both"/>
              <w:rPr>
                <w:rFonts w:ascii="Verdana" w:eastAsia="Arial MT" w:hAnsi="Verdana" w:cs="Arial"/>
                <w:lang w:val="es-ES" w:eastAsia="es-ES" w:bidi="es-ES"/>
              </w:rPr>
            </w:pPr>
            <w:r w:rsidRPr="002B08F8">
              <w:rPr>
                <w:rFonts w:ascii="Verdana" w:eastAsia="Arial MT" w:hAnsi="Verdana" w:cs="Arial"/>
                <w:lang w:val="es-ES" w:eastAsia="es-ES" w:bidi="es-ES"/>
              </w:rPr>
              <w:t>Corte Constitucional, Sentencia C-221 de 22 de mayo de 2019. M.P. Carlos Bernal Pulido.</w:t>
            </w:r>
          </w:p>
          <w:p w14:paraId="34647F30" w14:textId="77777777" w:rsidR="00102934" w:rsidRPr="00A57FA0" w:rsidRDefault="00102934" w:rsidP="00102934">
            <w:pPr>
              <w:widowControl w:val="0"/>
              <w:numPr>
                <w:ilvl w:val="0"/>
                <w:numId w:val="2"/>
              </w:numPr>
              <w:autoSpaceDE w:val="0"/>
              <w:autoSpaceDN w:val="0"/>
              <w:spacing w:before="120" w:after="120" w:line="276" w:lineRule="auto"/>
              <w:jc w:val="both"/>
              <w:rPr>
                <w:rFonts w:ascii="Verdana" w:hAnsi="Verdana" w:cs="Arial"/>
                <w:color w:val="000000" w:themeColor="text1"/>
              </w:rPr>
            </w:pPr>
            <w:r w:rsidRPr="002B08F8">
              <w:rPr>
                <w:rFonts w:ascii="Verdana" w:eastAsia="Arial MT" w:hAnsi="Verdana" w:cs="Arial"/>
                <w:lang w:val="es-ES" w:eastAsia="es-ES" w:bidi="es-ES"/>
              </w:rPr>
              <w:t xml:space="preserve">Corte Constitucional. Sentencia C-671 de 1999, M.P. Alfredo Beltrán Sierra. </w:t>
            </w:r>
          </w:p>
        </w:tc>
      </w:tr>
    </w:tbl>
    <w:p w14:paraId="0141A4BE" w14:textId="77777777" w:rsidR="00102934" w:rsidRPr="00277E26" w:rsidRDefault="00102934" w:rsidP="00102934">
      <w:pPr>
        <w:widowControl w:val="0"/>
        <w:autoSpaceDE w:val="0"/>
        <w:autoSpaceDN w:val="0"/>
        <w:spacing w:after="0" w:line="276" w:lineRule="auto"/>
        <w:jc w:val="both"/>
        <w:rPr>
          <w:rFonts w:ascii="Verdana" w:hAnsi="Verdana" w:cs="Arial"/>
        </w:rPr>
      </w:pPr>
    </w:p>
    <w:p w14:paraId="4E59CFEF" w14:textId="77777777" w:rsidR="00102934" w:rsidRPr="001F283D" w:rsidRDefault="00102934" w:rsidP="00102934">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668AE588" w14:textId="77777777" w:rsidR="00102934" w:rsidRDefault="00102934" w:rsidP="00102934">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79947250" w14:textId="77777777" w:rsidR="00102934" w:rsidRPr="00214793" w:rsidRDefault="00102934" w:rsidP="00102934">
      <w:pPr>
        <w:widowControl w:val="0"/>
        <w:autoSpaceDE w:val="0"/>
        <w:autoSpaceDN w:val="0"/>
        <w:spacing w:after="120" w:line="276" w:lineRule="auto"/>
        <w:jc w:val="both"/>
        <w:rPr>
          <w:rFonts w:ascii="Verdana" w:hAnsi="Verdana" w:cs="Arial"/>
          <w:shd w:val="clear" w:color="auto" w:fill="FFFFFF"/>
        </w:rPr>
      </w:pPr>
      <w:r w:rsidRPr="00214793">
        <w:rPr>
          <w:rFonts w:ascii="Verdana" w:hAnsi="Verdana" w:cs="Arial"/>
          <w:lang w:eastAsia="es-ES_tradnl"/>
        </w:rPr>
        <w:t xml:space="preserve">La Agencia Nacional de Contratación Pública -Colombia Compra Eficiente- se ha referido previamente a la noción y características de los convenios y contratos interadministrativos en los conceptos </w:t>
      </w:r>
      <w:r w:rsidRPr="00214793">
        <w:rPr>
          <w:rFonts w:ascii="Verdana" w:eastAsia="Calibri" w:hAnsi="Verdana" w:cs="Arial"/>
          <w:color w:val="000000"/>
          <w:lang w:eastAsia="es-ES_tradnl"/>
        </w:rPr>
        <w:t>4201913000004536 del 27 de julio del 2019, C-023 del 13 de febrero del 2020, C-220 del 13 de abril del 2020, C-681 del 19 de noviembre del 2020, C-552 del 5 de octubre del 2021, C-387 del 15 de junio de 2022, C-562 del 7 de septiembre del 2022</w:t>
      </w:r>
      <w:r w:rsidRPr="00214793">
        <w:rPr>
          <w:rFonts w:ascii="Verdana" w:eastAsia="Calibri" w:hAnsi="Verdana" w:cs="Arial"/>
          <w:bCs/>
          <w:color w:val="000000"/>
          <w:lang w:eastAsia="es-ES_tradnl"/>
        </w:rPr>
        <w:t>, C-114 del 4 de mayo de 2023, C-771 del 29 de diciembre de 2022 y C-490 del 23 de mayo de 2025</w:t>
      </w:r>
      <w:r w:rsidRPr="00214793">
        <w:rPr>
          <w:rFonts w:ascii="Verdana" w:eastAsia="Aptos" w:hAnsi="Verdana" w:cs="Arial"/>
          <w:shd w:val="clear" w:color="auto" w:fill="FFFFFF"/>
        </w:rPr>
        <w:t xml:space="preserve">. </w:t>
      </w:r>
      <w:r w:rsidRPr="00214793">
        <w:rPr>
          <w:rFonts w:ascii="Verdana" w:hAnsi="Verdana" w:cs="Arial"/>
          <w:shd w:val="clear" w:color="auto" w:fill="FFFFFF"/>
        </w:rPr>
        <w:t>Es</w:t>
      </w:r>
      <w:r w:rsidRPr="00214793">
        <w:rPr>
          <w:rFonts w:ascii="Verdana" w:hAnsi="Verdana"/>
        </w:rPr>
        <w:t>te y otros conceptos se encuentran disponibles para consulta en el Sistema de relatoría de la Agencia, al cual se puede acceder a través del siguiente enlace:</w:t>
      </w:r>
      <w:r w:rsidRPr="00214793">
        <w:rPr>
          <w:rFonts w:ascii="Verdana" w:hAnsi="Verdana" w:cs="Arial"/>
          <w:shd w:val="clear" w:color="auto" w:fill="FFFFFF"/>
        </w:rPr>
        <w:t xml:space="preserve"> </w:t>
      </w:r>
      <w:hyperlink r:id="rId9" w:history="1">
        <w:r w:rsidRPr="00214793">
          <w:rPr>
            <w:rFonts w:ascii="Verdana" w:hAnsi="Verdana" w:cs="Arial"/>
            <w:color w:val="0000FF"/>
            <w:u w:val="single"/>
            <w:shd w:val="clear" w:color="auto" w:fill="FFFFFF"/>
          </w:rPr>
          <w:t>https://relatoria.colombiacompra.gov.co/</w:t>
        </w:r>
      </w:hyperlink>
      <w:r w:rsidRPr="00214793">
        <w:rPr>
          <w:rFonts w:ascii="Verdana" w:hAnsi="Verdana" w:cs="Arial"/>
          <w:shd w:val="clear" w:color="auto" w:fill="FFFFFF"/>
        </w:rPr>
        <w:t xml:space="preserve"> .</w:t>
      </w:r>
    </w:p>
    <w:p w14:paraId="4EF25415" w14:textId="77777777" w:rsidR="00102934" w:rsidRPr="00B9037F" w:rsidRDefault="00102934" w:rsidP="00102934">
      <w:pPr>
        <w:widowControl w:val="0"/>
        <w:autoSpaceDE w:val="0"/>
        <w:autoSpaceDN w:val="0"/>
        <w:spacing w:after="0" w:line="276" w:lineRule="auto"/>
        <w:jc w:val="both"/>
        <w:rPr>
          <w:rFonts w:ascii="Verdana" w:hAnsi="Verdana" w:cs="Arial"/>
          <w:shd w:val="clear" w:color="auto" w:fill="FFFFFF"/>
        </w:rPr>
      </w:pPr>
      <w:r w:rsidRPr="00667CD6">
        <w:rPr>
          <w:rFonts w:ascii="Verdana" w:hAnsi="Verdana" w:cs="Arial"/>
          <w:color w:val="FF0000"/>
          <w:shd w:val="clear" w:color="auto" w:fill="FFFFFF"/>
          <w:lang w:val="es-ES_tradnl"/>
        </w:rPr>
        <w:t xml:space="preserve"> </w:t>
      </w:r>
    </w:p>
    <w:p w14:paraId="41908E8F" w14:textId="77777777" w:rsidR="00102934" w:rsidRPr="00237766" w:rsidRDefault="00102934" w:rsidP="00102934">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1B9D120" w14:textId="77777777" w:rsidR="00102934" w:rsidRPr="008E4F36" w:rsidRDefault="00102934" w:rsidP="00102934">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309895E9" w14:textId="77777777" w:rsidR="00102934" w:rsidRPr="008E4F36" w:rsidRDefault="00102934" w:rsidP="00102934">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68BBEAF3" w14:textId="77777777" w:rsidR="00102934" w:rsidRPr="008E4F36" w:rsidRDefault="00102934" w:rsidP="00102934">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0C316E48" w14:textId="77777777" w:rsidR="00102934" w:rsidRPr="008E4F36" w:rsidRDefault="00102934" w:rsidP="00102934">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0" w:history="1">
        <w:r w:rsidRPr="008E4F36">
          <w:rPr>
            <w:rStyle w:val="Hipervnculo"/>
            <w:rFonts w:ascii="Verdana" w:hAnsi="Verdana"/>
          </w:rPr>
          <w:t>www.colombiacompra.gov.co</w:t>
        </w:r>
      </w:hyperlink>
    </w:p>
    <w:p w14:paraId="5F607940" w14:textId="77777777" w:rsidR="00102934" w:rsidRPr="008E4F36" w:rsidRDefault="00102934" w:rsidP="00102934">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131875D4" w14:textId="77777777" w:rsidR="00102934" w:rsidRPr="008E4F36" w:rsidRDefault="00102934" w:rsidP="00102934">
      <w:pPr>
        <w:spacing w:after="0" w:line="276" w:lineRule="auto"/>
        <w:jc w:val="both"/>
        <w:rPr>
          <w:rFonts w:ascii="Verdana" w:hAnsi="Verdana"/>
        </w:rPr>
      </w:pPr>
    </w:p>
    <w:p w14:paraId="2C6CF6DF" w14:textId="77777777" w:rsidR="00102934" w:rsidRPr="008E4F36" w:rsidRDefault="00102934" w:rsidP="00102934">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6B478CF8" w14:textId="77777777" w:rsidR="00102934" w:rsidRPr="008E4F36" w:rsidRDefault="00102934" w:rsidP="00102934">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32F7FCA2" w14:textId="77777777" w:rsidR="00102934" w:rsidRPr="008E4F36" w:rsidRDefault="00102934" w:rsidP="00102934">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6EA3941D" w14:textId="77777777" w:rsidR="00102934" w:rsidRDefault="00102934" w:rsidP="00102934">
      <w:pPr>
        <w:spacing w:before="120" w:after="0" w:line="276" w:lineRule="auto"/>
        <w:jc w:val="both"/>
        <w:rPr>
          <w:rFonts w:ascii="Verdana" w:hAnsi="Verdana"/>
        </w:rPr>
      </w:pPr>
    </w:p>
    <w:p w14:paraId="1475FE65" w14:textId="77777777" w:rsidR="00102934" w:rsidRPr="00FB6C33" w:rsidRDefault="00102934" w:rsidP="00102934">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DAD24DD" w14:textId="77777777" w:rsidR="00102934" w:rsidRPr="008E4F36" w:rsidRDefault="00102934" w:rsidP="00102934">
      <w:pPr>
        <w:spacing w:after="0" w:line="276" w:lineRule="auto"/>
        <w:jc w:val="both"/>
        <w:rPr>
          <w:rFonts w:ascii="Verdana" w:eastAsia="Calibri" w:hAnsi="Verdana" w:cs="Times New Roman"/>
        </w:rPr>
      </w:pPr>
    </w:p>
    <w:p w14:paraId="466BE04B" w14:textId="77777777" w:rsidR="00102934" w:rsidRDefault="00102934" w:rsidP="00102934">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338864F4" w14:textId="77777777" w:rsidR="00102934" w:rsidRDefault="00102934" w:rsidP="00102934">
      <w:pPr>
        <w:spacing w:after="0" w:line="256" w:lineRule="auto"/>
        <w:jc w:val="both"/>
        <w:rPr>
          <w:rFonts w:ascii="Verdana" w:eastAsia="Calibri" w:hAnsi="Verdana" w:cs="Times New Roman"/>
        </w:rPr>
      </w:pPr>
    </w:p>
    <w:p w14:paraId="4D1044D2" w14:textId="1917EE06" w:rsidR="00102934" w:rsidRPr="000D0AE0" w:rsidRDefault="000D0AE0" w:rsidP="000D0AE0">
      <w:pPr>
        <w:spacing w:after="0" w:line="256" w:lineRule="auto"/>
        <w:jc w:val="center"/>
        <w:rPr>
          <w:noProof/>
        </w:rPr>
      </w:pPr>
      <w:r w:rsidRPr="002C3AD6">
        <w:rPr>
          <w:rFonts w:ascii="Century Gothic" w:hAnsi="Century Gothic"/>
          <w:noProof/>
          <w:lang w:val="en-US"/>
        </w:rPr>
        <w:drawing>
          <wp:inline distT="0" distB="0" distL="0" distR="0" wp14:anchorId="29667E6C" wp14:editId="5C0CBE10">
            <wp:extent cx="3058510" cy="1135356"/>
            <wp:effectExtent l="0" t="0" r="0" b="825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1"/>
                    <a:stretch>
                      <a:fillRect/>
                    </a:stretch>
                  </pic:blipFill>
                  <pic:spPr>
                    <a:xfrm>
                      <a:off x="0" y="0"/>
                      <a:ext cx="3101538" cy="1151329"/>
                    </a:xfrm>
                    <a:prstGeom prst="rect">
                      <a:avLst/>
                    </a:prstGeom>
                  </pic:spPr>
                </pic:pic>
              </a:graphicData>
            </a:graphic>
          </wp:inline>
        </w:drawing>
      </w:r>
      <w:bookmarkEnd w:id="0"/>
      <w:bookmarkEnd w:id="1"/>
    </w:p>
    <w:p w14:paraId="4D203F5E" w14:textId="77777777" w:rsidR="00102934" w:rsidRDefault="00102934" w:rsidP="00102934">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02934" w:rsidRPr="002423D6" w14:paraId="5CA12979" w14:textId="77777777" w:rsidTr="00993DF0">
        <w:trPr>
          <w:trHeight w:val="315"/>
        </w:trPr>
        <w:tc>
          <w:tcPr>
            <w:tcW w:w="893" w:type="dxa"/>
            <w:vAlign w:val="center"/>
            <w:hideMark/>
          </w:tcPr>
          <w:p w14:paraId="692BE15F" w14:textId="77777777" w:rsidR="00102934" w:rsidRPr="002423D6" w:rsidRDefault="00102934" w:rsidP="00993DF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371ECC0" w14:textId="77777777" w:rsidR="00102934" w:rsidRPr="002423D6" w:rsidRDefault="00102934" w:rsidP="00993DF0">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54946986" w14:textId="77777777" w:rsidR="00102934" w:rsidRPr="002423D6" w:rsidRDefault="00102934" w:rsidP="00993DF0">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102934" w:rsidRPr="002423D6" w14:paraId="4FE64065" w14:textId="77777777" w:rsidTr="00993DF0">
        <w:trPr>
          <w:trHeight w:val="330"/>
        </w:trPr>
        <w:tc>
          <w:tcPr>
            <w:tcW w:w="893" w:type="dxa"/>
            <w:vAlign w:val="center"/>
            <w:hideMark/>
          </w:tcPr>
          <w:p w14:paraId="2DC0E119" w14:textId="77777777" w:rsidR="00102934" w:rsidRPr="002423D6" w:rsidRDefault="00102934" w:rsidP="00993DF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B884343" w14:textId="77777777" w:rsidR="00102934" w:rsidRPr="002423D6" w:rsidRDefault="00102934" w:rsidP="00993DF0">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Martha Alcia Romero Vargas </w:t>
            </w:r>
          </w:p>
          <w:p w14:paraId="1589509C" w14:textId="77777777" w:rsidR="00102934" w:rsidRPr="002423D6" w:rsidRDefault="00102934" w:rsidP="00993DF0">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 grado15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102934" w:rsidRPr="002423D6" w14:paraId="5E6045D5" w14:textId="77777777" w:rsidTr="00993DF0">
        <w:trPr>
          <w:trHeight w:val="300"/>
        </w:trPr>
        <w:tc>
          <w:tcPr>
            <w:tcW w:w="893" w:type="dxa"/>
            <w:vAlign w:val="center"/>
          </w:tcPr>
          <w:p w14:paraId="4F4146B8" w14:textId="77777777" w:rsidR="00102934" w:rsidRPr="002423D6" w:rsidRDefault="00102934" w:rsidP="00993DF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42ED7E" w14:textId="77777777" w:rsidR="00102934" w:rsidRPr="002423D6" w:rsidRDefault="00102934" w:rsidP="00993DF0">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209DBCCA" w14:textId="77777777" w:rsidR="00102934" w:rsidRPr="002423D6" w:rsidRDefault="00102934" w:rsidP="00993DF0">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2E63DBEA" w14:textId="77777777" w:rsidR="00102934" w:rsidRDefault="00102934" w:rsidP="00102934"/>
    <w:p w14:paraId="47F86A30" w14:textId="77777777" w:rsidR="00102934" w:rsidRDefault="00102934" w:rsidP="00102934"/>
    <w:p w14:paraId="200E8689" w14:textId="77777777" w:rsidR="00102934" w:rsidRPr="006A47A0" w:rsidRDefault="00102934" w:rsidP="00102934"/>
    <w:p w14:paraId="568CD8BF" w14:textId="77777777" w:rsidR="000F5A42" w:rsidRPr="0056715D" w:rsidRDefault="000F5A42" w:rsidP="0056715D"/>
    <w:sectPr w:rsidR="000F5A42" w:rsidRPr="0056715D" w:rsidSect="00187CA0">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7C3838" w14:textId="77777777" w:rsidR="0001776B" w:rsidRDefault="0001776B" w:rsidP="000339E1">
      <w:pPr>
        <w:spacing w:after="0" w:line="240" w:lineRule="auto"/>
      </w:pPr>
      <w:r>
        <w:separator/>
      </w:r>
    </w:p>
  </w:endnote>
  <w:endnote w:type="continuationSeparator" w:id="0">
    <w:p w14:paraId="27D17DED" w14:textId="77777777" w:rsidR="0001776B" w:rsidRDefault="0001776B" w:rsidP="000339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0D620" w14:textId="77777777" w:rsidR="00187CA0" w:rsidRDefault="00187CA0">
    <w:pPr>
      <w:spacing w:after="0"/>
      <w:rPr>
        <w:rFonts w:ascii="Verdana" w:hAnsi="Verdana"/>
        <w:b/>
        <w:bCs/>
        <w:sz w:val="20"/>
        <w:szCs w:val="20"/>
      </w:rPr>
    </w:pPr>
  </w:p>
  <w:p w14:paraId="637347BD" w14:textId="77777777" w:rsidR="00187CA0" w:rsidRPr="00174B77" w:rsidRDefault="00187CA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8940DC0" w14:textId="77777777" w:rsidR="00187CA0" w:rsidRDefault="00187CA0">
    <w:pPr>
      <w:spacing w:after="0"/>
      <w:jc w:val="both"/>
      <w:rPr>
        <w:rFonts w:ascii="Verdana" w:hAnsi="Verdana"/>
        <w:sz w:val="18"/>
        <w:szCs w:val="18"/>
      </w:rPr>
    </w:pPr>
    <w:r w:rsidRPr="00E41027">
      <w:rPr>
        <w:rFonts w:ascii="Verdana" w:hAnsi="Verdana"/>
        <w:sz w:val="18"/>
        <w:szCs w:val="18"/>
      </w:rPr>
      <w:t>Dirección: Carrera 7 # 26 – 20 - Bogotá, Colombia</w:t>
    </w:r>
  </w:p>
  <w:p w14:paraId="42E074C3" w14:textId="77777777" w:rsidR="00187CA0" w:rsidRPr="00E41027" w:rsidRDefault="00187CA0">
    <w:pPr>
      <w:spacing w:after="0"/>
      <w:jc w:val="both"/>
      <w:rPr>
        <w:rFonts w:ascii="Verdana" w:hAnsi="Verdana"/>
        <w:sz w:val="18"/>
        <w:szCs w:val="18"/>
      </w:rPr>
    </w:pPr>
    <w:r w:rsidRPr="00E41027">
      <w:rPr>
        <w:rFonts w:ascii="Verdana" w:hAnsi="Verdana"/>
        <w:sz w:val="18"/>
        <w:szCs w:val="18"/>
      </w:rPr>
      <w:t>Mesa de servicio: (+57) 601 7456788</w:t>
    </w:r>
  </w:p>
  <w:p w14:paraId="37EC39E7" w14:textId="77777777" w:rsidR="00187CA0" w:rsidRDefault="00187CA0">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7C761D52" w14:textId="77777777" w:rsidR="00187CA0" w:rsidRPr="007D04B2" w:rsidRDefault="00187CA0">
    <w:pPr>
      <w:pStyle w:val="Piedepgina"/>
    </w:pPr>
  </w:p>
  <w:p w14:paraId="5A4FBACA" w14:textId="77777777" w:rsidR="00187CA0" w:rsidRPr="000849D5" w:rsidRDefault="00187CA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9B72A" w14:textId="77777777" w:rsidR="0001776B" w:rsidRDefault="0001776B" w:rsidP="000339E1">
      <w:pPr>
        <w:spacing w:after="0" w:line="240" w:lineRule="auto"/>
      </w:pPr>
      <w:r>
        <w:separator/>
      </w:r>
    </w:p>
  </w:footnote>
  <w:footnote w:type="continuationSeparator" w:id="0">
    <w:p w14:paraId="27A5758F" w14:textId="77777777" w:rsidR="0001776B" w:rsidRDefault="0001776B" w:rsidP="000339E1">
      <w:pPr>
        <w:spacing w:after="0" w:line="240" w:lineRule="auto"/>
      </w:pPr>
      <w:r>
        <w:continuationSeparator/>
      </w:r>
    </w:p>
  </w:footnote>
  <w:footnote w:id="1">
    <w:p w14:paraId="718643BC" w14:textId="77777777" w:rsidR="00102934" w:rsidRPr="0090003B" w:rsidRDefault="00102934" w:rsidP="00102934">
      <w:pPr>
        <w:spacing w:after="0" w:line="240" w:lineRule="auto"/>
        <w:ind w:firstLine="709"/>
        <w:jc w:val="both"/>
        <w:rPr>
          <w:rFonts w:ascii="Verdana" w:hAnsi="Verdana" w:cs="Arial"/>
          <w:sz w:val="14"/>
          <w:szCs w:val="14"/>
          <w:lang w:val="es-ES"/>
        </w:rPr>
      </w:pPr>
      <w:r w:rsidRPr="0090003B">
        <w:rPr>
          <w:rStyle w:val="Refdenotaalpie"/>
          <w:rFonts w:ascii="Verdana" w:hAnsi="Verdana" w:cs="Arial"/>
          <w:sz w:val="14"/>
          <w:szCs w:val="14"/>
        </w:rPr>
        <w:footnoteRef/>
      </w:r>
      <w:r w:rsidRPr="0090003B">
        <w:rPr>
          <w:rFonts w:ascii="Verdana" w:hAnsi="Verdana" w:cs="Arial"/>
          <w:sz w:val="14"/>
          <w:szCs w:val="14"/>
        </w:rPr>
        <w:t xml:space="preserve"> </w:t>
      </w:r>
      <w:r w:rsidRPr="0090003B">
        <w:rPr>
          <w:rFonts w:ascii="Verdana" w:hAnsi="Verdana" w:cs="Arial"/>
          <w:sz w:val="14"/>
          <w:szCs w:val="14"/>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46E17F74" w14:textId="77777777" w:rsidR="00102934" w:rsidRPr="0090003B" w:rsidRDefault="00102934" w:rsidP="00102934">
      <w:pPr>
        <w:spacing w:after="0" w:line="240" w:lineRule="auto"/>
        <w:ind w:firstLine="709"/>
        <w:jc w:val="both"/>
        <w:rPr>
          <w:rFonts w:ascii="Verdana" w:hAnsi="Verdana" w:cs="Arial"/>
          <w:sz w:val="14"/>
          <w:szCs w:val="14"/>
          <w:lang w:val="es-ES"/>
        </w:rPr>
      </w:pPr>
    </w:p>
  </w:footnote>
  <w:footnote w:id="2">
    <w:p w14:paraId="53E35E3B" w14:textId="77777777" w:rsidR="00102934" w:rsidRPr="0090003B" w:rsidRDefault="00102934" w:rsidP="00102934">
      <w:pPr>
        <w:spacing w:after="0" w:line="240" w:lineRule="auto"/>
        <w:ind w:firstLine="709"/>
        <w:jc w:val="both"/>
        <w:rPr>
          <w:rFonts w:ascii="Verdana" w:hAnsi="Verdana" w:cs="Arial"/>
          <w:sz w:val="14"/>
          <w:szCs w:val="14"/>
          <w:lang w:val="es-ES"/>
        </w:rPr>
      </w:pPr>
      <w:r w:rsidRPr="0090003B">
        <w:rPr>
          <w:rStyle w:val="Refdenotaalpie"/>
          <w:rFonts w:ascii="Verdana" w:hAnsi="Verdana" w:cs="Arial"/>
          <w:sz w:val="14"/>
          <w:szCs w:val="14"/>
        </w:rPr>
        <w:footnoteRef/>
      </w:r>
      <w:r w:rsidRPr="0090003B">
        <w:rPr>
          <w:rFonts w:ascii="Verdana" w:hAnsi="Verdana" w:cs="Arial"/>
          <w:sz w:val="14"/>
          <w:szCs w:val="14"/>
        </w:rPr>
        <w:t xml:space="preserve"> </w:t>
      </w:r>
      <w:r w:rsidRPr="0090003B">
        <w:rPr>
          <w:rFonts w:ascii="Verdana" w:hAnsi="Verdana" w:cs="Arial"/>
          <w:sz w:val="14"/>
          <w:szCs w:val="14"/>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54A2D626" w14:textId="77777777" w:rsidR="00102934" w:rsidRPr="0090003B" w:rsidRDefault="00102934" w:rsidP="00102934">
      <w:pPr>
        <w:spacing w:after="0" w:line="240" w:lineRule="auto"/>
        <w:ind w:firstLine="709"/>
        <w:jc w:val="both"/>
        <w:rPr>
          <w:rFonts w:ascii="Verdana" w:hAnsi="Verdana" w:cs="Arial"/>
          <w:sz w:val="14"/>
          <w:szCs w:val="14"/>
          <w:lang w:val="es-ES"/>
        </w:rPr>
      </w:pPr>
    </w:p>
  </w:footnote>
  <w:footnote w:id="3">
    <w:p w14:paraId="05FE4C0C" w14:textId="77777777" w:rsidR="00102934" w:rsidRPr="0090003B" w:rsidRDefault="00102934" w:rsidP="00102934">
      <w:pPr>
        <w:spacing w:after="0" w:line="240" w:lineRule="auto"/>
        <w:ind w:firstLine="709"/>
        <w:jc w:val="both"/>
        <w:rPr>
          <w:rFonts w:ascii="Verdana" w:eastAsia="Calibri" w:hAnsi="Verdana" w:cs="Arial"/>
          <w:sz w:val="14"/>
          <w:szCs w:val="14"/>
          <w:lang w:val="es-ES"/>
        </w:rPr>
      </w:pPr>
      <w:r w:rsidRPr="0090003B">
        <w:rPr>
          <w:rStyle w:val="Refdenotaalpie"/>
          <w:rFonts w:ascii="Verdana" w:hAnsi="Verdana"/>
          <w:sz w:val="14"/>
          <w:szCs w:val="14"/>
        </w:rPr>
        <w:footnoteRef/>
      </w:r>
      <w:r w:rsidRPr="0090003B">
        <w:rPr>
          <w:rFonts w:ascii="Verdana" w:hAnsi="Verdana"/>
          <w:sz w:val="14"/>
          <w:szCs w:val="14"/>
        </w:rPr>
        <w:t xml:space="preserve"> </w:t>
      </w:r>
      <w:r w:rsidRPr="0090003B">
        <w:rPr>
          <w:rFonts w:ascii="Verdana" w:eastAsia="Calibri" w:hAnsi="Verdana" w:cs="Arial"/>
          <w:sz w:val="14"/>
          <w:szCs w:val="14"/>
          <w:lang w:val="es-ES"/>
        </w:rPr>
        <w:t>La excepción a la anterior regla se encuentra en el cuarto inciso del mismo artículo, según el cual, “</w:t>
      </w:r>
      <w:r w:rsidRPr="0090003B">
        <w:rPr>
          <w:rFonts w:ascii="Verdana" w:eastAsia="Calibri" w:hAnsi="Verdana" w:cs="Arial"/>
          <w:i/>
          <w:sz w:val="14"/>
          <w:szCs w:val="14"/>
          <w:lang w:val="es-ES"/>
        </w:rPr>
        <w:t>En caso de situaciones de urgencia manifiesta a que se refiere el artículo </w:t>
      </w:r>
      <w:hyperlink r:id="rId1" w:anchor="42" w:history="1">
        <w:r w:rsidRPr="0090003B">
          <w:rPr>
            <w:rStyle w:val="Hipervnculo"/>
            <w:rFonts w:ascii="Verdana" w:eastAsia="Calibri" w:hAnsi="Verdana" w:cs="Arial"/>
            <w:i/>
            <w:iCs/>
            <w:color w:val="auto"/>
            <w:sz w:val="14"/>
            <w:szCs w:val="14"/>
            <w:u w:val="none"/>
            <w:lang w:val="es-ES"/>
          </w:rPr>
          <w:t>42</w:t>
        </w:r>
      </w:hyperlink>
      <w:r w:rsidRPr="0090003B">
        <w:rPr>
          <w:rFonts w:ascii="Verdana" w:eastAsia="Calibri" w:hAnsi="Verdana" w:cs="Arial"/>
          <w:i/>
          <w:sz w:val="14"/>
          <w:szCs w:val="14"/>
          <w:lang w:val="es-ES"/>
        </w:rPr>
        <w:t> de esta ley que no permitan la suscripción de contrato escrito, se prescindirá de éste y aún del acuerdo acerca de la remuneración, no obstante, deberá dejarse constancia escrita de la autorización impartida por la entidad estatal contratante</w:t>
      </w:r>
      <w:r w:rsidRPr="0090003B">
        <w:rPr>
          <w:rFonts w:ascii="Verdana" w:eastAsia="Calibri" w:hAnsi="Verdana" w:cs="Arial"/>
          <w:sz w:val="14"/>
          <w:szCs w:val="14"/>
          <w:lang w:val="es-ES"/>
        </w:rPr>
        <w:t>”. En otras palabras, por regla general, los contratos estatales deben constar por escrito, salvo que se presente una situación de urgencia manifiesta en la que no haya tiempo de cumplir con esta formalidad.</w:t>
      </w:r>
    </w:p>
    <w:p w14:paraId="07B80C7B" w14:textId="77777777" w:rsidR="00102934" w:rsidRPr="00876454" w:rsidRDefault="00102934" w:rsidP="00102934">
      <w:pPr>
        <w:pStyle w:val="Textonotapie"/>
        <w:rPr>
          <w:rFonts w:ascii="Verdana" w:hAnsi="Verdana"/>
          <w:sz w:val="14"/>
          <w:szCs w:val="14"/>
          <w:lang w:val="es-ES"/>
        </w:rPr>
      </w:pPr>
    </w:p>
  </w:footnote>
  <w:footnote w:id="4">
    <w:p w14:paraId="3AC36CED" w14:textId="77777777" w:rsidR="00102934" w:rsidRPr="00876454" w:rsidRDefault="00102934" w:rsidP="00102934">
      <w:pPr>
        <w:pStyle w:val="Textonotapie"/>
        <w:ind w:firstLine="709"/>
        <w:jc w:val="both"/>
        <w:rPr>
          <w:rFonts w:ascii="Verdana" w:hAnsi="Verdana" w:cs="Arial"/>
          <w:sz w:val="14"/>
          <w:szCs w:val="14"/>
          <w:lang w:val="es-ES"/>
        </w:rPr>
      </w:pPr>
      <w:r w:rsidRPr="00876454">
        <w:rPr>
          <w:rStyle w:val="Refdenotaalpie"/>
          <w:rFonts w:ascii="Verdana" w:hAnsi="Verdana" w:cs="Arial"/>
          <w:sz w:val="14"/>
          <w:szCs w:val="14"/>
        </w:rPr>
        <w:footnoteRef/>
      </w:r>
      <w:r w:rsidRPr="00876454">
        <w:rPr>
          <w:rFonts w:ascii="Verdana" w:hAnsi="Verdana" w:cs="Arial"/>
          <w:sz w:val="14"/>
          <w:szCs w:val="14"/>
        </w:rPr>
        <w:t xml:space="preserve"> </w:t>
      </w:r>
      <w:r w:rsidRPr="00876454">
        <w:rPr>
          <w:rFonts w:ascii="Verdana" w:hAnsi="Verdana" w:cs="Arial"/>
          <w:sz w:val="14"/>
          <w:szCs w:val="14"/>
          <w:lang w:val="es-ES"/>
        </w:rPr>
        <w:t>EXPÓSITO VÉLEZ, Juan Carlos. Forma y contenido del contrato estatal. Bogotá: Universidad Externado de Colombia, 2013. pp. 28-29.</w:t>
      </w:r>
    </w:p>
    <w:p w14:paraId="76369A4F" w14:textId="77777777" w:rsidR="00102934" w:rsidRPr="00B41137" w:rsidRDefault="00102934" w:rsidP="00102934">
      <w:pPr>
        <w:pStyle w:val="Textonotapie"/>
        <w:ind w:firstLine="709"/>
        <w:jc w:val="both"/>
        <w:rPr>
          <w:rFonts w:ascii="Verdana" w:hAnsi="Verdana" w:cs="Arial"/>
          <w:sz w:val="14"/>
          <w:szCs w:val="14"/>
          <w:lang w:val="es-ES"/>
        </w:rPr>
      </w:pPr>
    </w:p>
  </w:footnote>
  <w:footnote w:id="5">
    <w:p w14:paraId="27CABD37" w14:textId="77777777" w:rsidR="00102934" w:rsidRPr="0090003B" w:rsidRDefault="00102934" w:rsidP="00102934">
      <w:pPr>
        <w:pStyle w:val="Textonotapie"/>
        <w:jc w:val="both"/>
        <w:rPr>
          <w:rFonts w:ascii="Verdana" w:hAnsi="Verdana" w:cs="Arial"/>
          <w:sz w:val="14"/>
          <w:szCs w:val="14"/>
        </w:rPr>
      </w:pPr>
      <w:r w:rsidRPr="0090003B">
        <w:rPr>
          <w:rStyle w:val="Refdenotaalpie"/>
          <w:rFonts w:ascii="Verdana" w:hAnsi="Verdana" w:cs="Arial"/>
          <w:sz w:val="14"/>
          <w:szCs w:val="14"/>
        </w:rPr>
        <w:footnoteRef/>
      </w:r>
      <w:r w:rsidRPr="0090003B">
        <w:rPr>
          <w:rFonts w:ascii="Verdana" w:hAnsi="Verdana" w:cs="Arial"/>
          <w:sz w:val="14"/>
          <w:szCs w:val="14"/>
        </w:rPr>
        <w:t xml:space="preserve"> Artículo 2.2.1.2.1.4.4 del Decreto 1082 de 2015.</w:t>
      </w:r>
    </w:p>
  </w:footnote>
  <w:footnote w:id="6">
    <w:p w14:paraId="27C9ABD7" w14:textId="77777777" w:rsidR="00102934" w:rsidRPr="0090003B" w:rsidRDefault="00102934" w:rsidP="00102934">
      <w:pPr>
        <w:pStyle w:val="Textonotapie"/>
        <w:ind w:firstLine="709"/>
        <w:jc w:val="both"/>
        <w:rPr>
          <w:rFonts w:ascii="Verdana" w:hAnsi="Verdana" w:cs="Arial"/>
          <w:sz w:val="14"/>
          <w:szCs w:val="14"/>
        </w:rPr>
      </w:pPr>
      <w:r w:rsidRPr="0090003B">
        <w:rPr>
          <w:rStyle w:val="Refdenotaalpie"/>
          <w:rFonts w:ascii="Verdana" w:hAnsi="Verdana" w:cs="Arial"/>
          <w:sz w:val="14"/>
          <w:szCs w:val="14"/>
        </w:rPr>
        <w:footnoteRef/>
      </w:r>
      <w:r w:rsidRPr="0090003B">
        <w:rPr>
          <w:rFonts w:ascii="Verdana" w:hAnsi="Verdana" w:cs="Arial"/>
          <w:sz w:val="14"/>
          <w:szCs w:val="14"/>
        </w:rPr>
        <w:t xml:space="preserve"> </w:t>
      </w:r>
      <w:r w:rsidRPr="0090003B">
        <w:rPr>
          <w:rFonts w:ascii="Verdana" w:hAnsi="Verdana" w:cs="Arial"/>
          <w:i/>
          <w:iCs/>
          <w:sz w:val="14"/>
          <w:szCs w:val="14"/>
          <w:lang w:val="es-ES"/>
        </w:rPr>
        <w:t>“</w:t>
      </w:r>
      <w:r w:rsidRPr="0090003B">
        <w:rPr>
          <w:rFonts w:ascii="Verdana" w:hAnsi="Verdana" w:cs="Arial"/>
          <w:bCs/>
          <w:i/>
          <w:iCs/>
          <w:sz w:val="14"/>
          <w:szCs w:val="14"/>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7">
    <w:p w14:paraId="7ED22E2B" w14:textId="77777777" w:rsidR="00102934" w:rsidRPr="0090003B" w:rsidRDefault="00102934" w:rsidP="00102934">
      <w:pPr>
        <w:pStyle w:val="Textonotapie"/>
        <w:ind w:firstLine="709"/>
        <w:jc w:val="both"/>
        <w:rPr>
          <w:rFonts w:ascii="Verdana" w:hAnsi="Verdana" w:cs="Arial"/>
          <w:sz w:val="14"/>
          <w:szCs w:val="14"/>
        </w:rPr>
      </w:pPr>
      <w:r w:rsidRPr="0090003B">
        <w:rPr>
          <w:rStyle w:val="Refdenotaalpie"/>
          <w:rFonts w:ascii="Verdana" w:hAnsi="Verdana" w:cs="Arial"/>
          <w:sz w:val="14"/>
          <w:szCs w:val="14"/>
        </w:rPr>
        <w:footnoteRef/>
      </w:r>
      <w:r w:rsidRPr="0090003B">
        <w:rPr>
          <w:rFonts w:ascii="Verdana" w:hAnsi="Verdana" w:cs="Arial"/>
          <w:sz w:val="14"/>
          <w:szCs w:val="14"/>
        </w:rPr>
        <w:t xml:space="preserve"> </w:t>
      </w:r>
      <w:r w:rsidRPr="0090003B">
        <w:rPr>
          <w:rFonts w:ascii="Verdana" w:hAnsi="Verdana" w:cs="Arial"/>
          <w:color w:val="000000" w:themeColor="text1"/>
          <w:sz w:val="14"/>
          <w:szCs w:val="14"/>
        </w:rPr>
        <w:t>“</w:t>
      </w:r>
      <w:r w:rsidRPr="0090003B">
        <w:rPr>
          <w:rStyle w:val="nfasis"/>
          <w:rFonts w:ascii="Verdana" w:hAnsi="Verdana" w:cs="Arial"/>
          <w:color w:val="000000" w:themeColor="text1"/>
          <w:sz w:val="14"/>
          <w:szCs w:val="14"/>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footnote>
  <w:footnote w:id="8">
    <w:p w14:paraId="60422A5F" w14:textId="77777777" w:rsidR="00102934" w:rsidRPr="00B95CFD" w:rsidRDefault="00102934" w:rsidP="00102934">
      <w:pPr>
        <w:pStyle w:val="Textonotapie"/>
        <w:ind w:firstLine="709"/>
        <w:jc w:val="both"/>
        <w:rPr>
          <w:rFonts w:ascii="Verdana" w:hAnsi="Verdana"/>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Este artículo fue declarado exequible por la Corte Constitucional mediante la Sentencia C-671 de 1999, M.P. Alfredo Beltrán Sierra.</w:t>
      </w:r>
    </w:p>
  </w:footnote>
  <w:footnote w:id="9">
    <w:p w14:paraId="65605700" w14:textId="77777777" w:rsidR="00102934" w:rsidRPr="009F0312" w:rsidRDefault="00102934" w:rsidP="00102934">
      <w:pPr>
        <w:pStyle w:val="Textonotapie"/>
        <w:ind w:firstLine="709"/>
        <w:jc w:val="both"/>
        <w:rPr>
          <w:rFonts w:ascii="Verdana" w:hAnsi="Verdana" w:cs="Arial"/>
          <w:sz w:val="14"/>
          <w:szCs w:val="14"/>
        </w:rPr>
      </w:pPr>
      <w:r w:rsidRPr="009F0312">
        <w:rPr>
          <w:rStyle w:val="Refdenotaalpie"/>
          <w:rFonts w:ascii="Verdana" w:hAnsi="Verdana" w:cs="Arial"/>
          <w:sz w:val="14"/>
          <w:szCs w:val="14"/>
        </w:rPr>
        <w:footnoteRef/>
      </w:r>
      <w:r w:rsidRPr="009F0312">
        <w:rPr>
          <w:rFonts w:ascii="Verdana" w:hAnsi="Verdana" w:cs="Arial"/>
          <w:sz w:val="14"/>
          <w:szCs w:val="14"/>
        </w:rPr>
        <w:t xml:space="preserve"> Consejo de Estado, Sala de lo Contencioso Administrativo, Sección Tercera, sentencia de 23 de junio de 2010, exp.17860.</w:t>
      </w:r>
    </w:p>
  </w:footnote>
  <w:footnote w:id="10">
    <w:p w14:paraId="3BF688B2" w14:textId="77777777" w:rsidR="00102934" w:rsidRPr="009F0312" w:rsidRDefault="00102934" w:rsidP="00102934">
      <w:pPr>
        <w:pStyle w:val="Textonotapie"/>
        <w:ind w:firstLine="709"/>
        <w:jc w:val="both"/>
        <w:rPr>
          <w:rFonts w:ascii="Verdana" w:hAnsi="Verdana" w:cs="Arial"/>
          <w:sz w:val="14"/>
          <w:szCs w:val="14"/>
        </w:rPr>
      </w:pPr>
      <w:r w:rsidRPr="009F0312">
        <w:rPr>
          <w:rStyle w:val="Refdenotaalpie"/>
          <w:rFonts w:ascii="Verdana" w:hAnsi="Verdana" w:cs="Arial"/>
          <w:sz w:val="14"/>
          <w:szCs w:val="14"/>
        </w:rPr>
        <w:footnoteRef/>
      </w:r>
      <w:r w:rsidRPr="009F0312">
        <w:rPr>
          <w:rFonts w:ascii="Verdana" w:hAnsi="Verdana" w:cs="Arial"/>
          <w:sz w:val="14"/>
          <w:szCs w:val="14"/>
        </w:rPr>
        <w:t xml:space="preserve"> Santos Rodríguez, Jorge Enrique. </w:t>
      </w:r>
      <w:r w:rsidRPr="009F0312">
        <w:rPr>
          <w:rFonts w:ascii="Verdana" w:hAnsi="Verdana" w:cs="Arial"/>
          <w:i/>
          <w:iCs/>
          <w:sz w:val="14"/>
          <w:szCs w:val="14"/>
        </w:rPr>
        <w:t>“Consideraciones sobre los convenios y contratos interadministrativos”</w:t>
      </w:r>
      <w:r w:rsidRPr="009F0312">
        <w:rPr>
          <w:rFonts w:ascii="Verdana" w:hAnsi="Verdana" w:cs="Arial"/>
          <w:sz w:val="14"/>
          <w:szCs w:val="14"/>
        </w:rPr>
        <w:t>. Universidad Externado de Colombia, Revista Digital de Derecho Administrativo, Bogotá 2009.</w:t>
      </w:r>
    </w:p>
  </w:footnote>
  <w:footnote w:id="11">
    <w:p w14:paraId="7BE6EB81" w14:textId="77777777" w:rsidR="00102934" w:rsidRPr="00B95CFD" w:rsidRDefault="00102934" w:rsidP="00102934">
      <w:pPr>
        <w:pStyle w:val="Textonotapie"/>
        <w:ind w:firstLine="709"/>
        <w:jc w:val="both"/>
        <w:rPr>
          <w:rFonts w:ascii="Verdana" w:hAnsi="Verdana" w:cs="Arial"/>
          <w:sz w:val="16"/>
          <w:szCs w:val="16"/>
        </w:rPr>
      </w:pPr>
      <w:r w:rsidRPr="009F0312">
        <w:rPr>
          <w:rStyle w:val="Refdenotaalpie"/>
          <w:rFonts w:ascii="Verdana" w:hAnsi="Verdana" w:cs="Arial"/>
          <w:sz w:val="14"/>
          <w:szCs w:val="14"/>
        </w:rPr>
        <w:footnoteRef/>
      </w:r>
      <w:r w:rsidRPr="009F0312">
        <w:rPr>
          <w:rFonts w:ascii="Verdana" w:hAnsi="Verdana" w:cs="Arial"/>
          <w:sz w:val="14"/>
          <w:szCs w:val="14"/>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footnote>
  <w:footnote w:id="12">
    <w:p w14:paraId="64E5A1B5" w14:textId="77777777" w:rsidR="00102934" w:rsidRPr="009F0312" w:rsidRDefault="00102934" w:rsidP="00102934">
      <w:pPr>
        <w:pStyle w:val="Textonotapie"/>
        <w:ind w:firstLine="709"/>
        <w:jc w:val="both"/>
        <w:rPr>
          <w:rFonts w:ascii="Verdana" w:hAnsi="Verdana" w:cs="Arial"/>
          <w:sz w:val="14"/>
          <w:szCs w:val="14"/>
        </w:rPr>
      </w:pPr>
      <w:r w:rsidRPr="009F0312">
        <w:rPr>
          <w:rStyle w:val="Refdenotaalpie"/>
          <w:rFonts w:ascii="Verdana" w:hAnsi="Verdana" w:cs="Arial"/>
          <w:sz w:val="14"/>
          <w:szCs w:val="14"/>
        </w:rPr>
        <w:footnoteRef/>
      </w:r>
      <w:r w:rsidRPr="009F0312">
        <w:rPr>
          <w:rFonts w:ascii="Verdana" w:hAnsi="Verdana" w:cs="Arial"/>
          <w:sz w:val="14"/>
          <w:szCs w:val="14"/>
        </w:rPr>
        <w:t xml:space="preserve"> Expósito Vélez, Juan Carlos. </w:t>
      </w:r>
      <w:r w:rsidRPr="009F0312">
        <w:rPr>
          <w:rFonts w:ascii="Verdana" w:hAnsi="Verdana" w:cs="Arial"/>
          <w:i/>
          <w:iCs/>
          <w:sz w:val="14"/>
          <w:szCs w:val="14"/>
        </w:rPr>
        <w:t>“La configuración del contrato de la administración pública en derecho colombiano y español”</w:t>
      </w:r>
      <w:r w:rsidRPr="009F0312">
        <w:rPr>
          <w:rFonts w:ascii="Verdana" w:hAnsi="Verdana" w:cs="Arial"/>
          <w:sz w:val="14"/>
          <w:szCs w:val="14"/>
        </w:rPr>
        <w:t>. Bogotá, universidad Externado de Colombia, 2003, p. 25.</w:t>
      </w:r>
    </w:p>
  </w:footnote>
  <w:footnote w:id="13">
    <w:p w14:paraId="587981AE" w14:textId="77777777" w:rsidR="00102934" w:rsidRPr="009F0312" w:rsidRDefault="00102934" w:rsidP="00102934">
      <w:pPr>
        <w:ind w:firstLine="708"/>
        <w:jc w:val="both"/>
        <w:rPr>
          <w:rFonts w:ascii="Verdana" w:hAnsi="Verdana" w:cs="Arial"/>
          <w:sz w:val="14"/>
          <w:szCs w:val="14"/>
        </w:rPr>
      </w:pPr>
      <w:r w:rsidRPr="009F0312">
        <w:rPr>
          <w:rStyle w:val="Refdenotaalpie"/>
          <w:rFonts w:ascii="Verdana" w:hAnsi="Verdana" w:cs="Arial"/>
          <w:sz w:val="14"/>
          <w:szCs w:val="14"/>
        </w:rPr>
        <w:footnoteRef/>
      </w:r>
      <w:r w:rsidRPr="009F0312">
        <w:rPr>
          <w:rFonts w:ascii="Verdana" w:hAnsi="Verdana" w:cs="Arial"/>
          <w:sz w:val="14"/>
          <w:szCs w:val="14"/>
        </w:rPr>
        <w:t xml:space="preserve"> Consejo de Estado. Sala de Consulta y Servicio Civil. Concepto 26 de julio de 2016. Exp. 2.257. C.P. Álvaro Namén Vargas.</w:t>
      </w:r>
    </w:p>
  </w:footnote>
  <w:footnote w:id="14">
    <w:p w14:paraId="4870E3C0" w14:textId="77777777" w:rsidR="00102934" w:rsidRPr="009F0312" w:rsidRDefault="00102934" w:rsidP="00102934">
      <w:pPr>
        <w:ind w:firstLine="708"/>
        <w:contextualSpacing/>
        <w:jc w:val="both"/>
        <w:rPr>
          <w:rFonts w:ascii="Verdana" w:hAnsi="Verdana" w:cs="Arial"/>
          <w:sz w:val="14"/>
          <w:szCs w:val="14"/>
        </w:rPr>
      </w:pPr>
      <w:r w:rsidRPr="009F0312">
        <w:rPr>
          <w:rStyle w:val="Refdenotaalpie"/>
          <w:rFonts w:ascii="Verdana" w:hAnsi="Verdana" w:cs="Arial"/>
          <w:sz w:val="14"/>
          <w:szCs w:val="14"/>
        </w:rPr>
        <w:footnoteRef/>
      </w:r>
      <w:r w:rsidRPr="009F0312">
        <w:rPr>
          <w:rFonts w:ascii="Verdana" w:hAnsi="Verdana" w:cs="Arial"/>
          <w:sz w:val="14"/>
          <w:szCs w:val="14"/>
        </w:rPr>
        <w:t xml:space="preserve"> [Referencia propia de la cita] «CE. SCSC. Concepto de 1 de noviembre de 2016 [Rad. 11001-03-06-000-2016-00125-00(2305)]. MP. Germán Alberto Bula Escobar».</w:t>
      </w:r>
    </w:p>
  </w:footnote>
  <w:footnote w:id="15">
    <w:p w14:paraId="2DDE1A0A" w14:textId="77777777" w:rsidR="00102934" w:rsidRPr="00B95CFD" w:rsidRDefault="00102934" w:rsidP="00102934">
      <w:pPr>
        <w:ind w:firstLine="708"/>
        <w:contextualSpacing/>
        <w:jc w:val="both"/>
        <w:rPr>
          <w:rFonts w:ascii="Verdana" w:hAnsi="Verdana" w:cs="Arial"/>
          <w:sz w:val="16"/>
          <w:szCs w:val="16"/>
        </w:rPr>
      </w:pPr>
      <w:r w:rsidRPr="009F0312">
        <w:rPr>
          <w:rStyle w:val="Refdenotaalpie"/>
          <w:rFonts w:ascii="Verdana" w:hAnsi="Verdana" w:cs="Arial"/>
          <w:sz w:val="14"/>
          <w:szCs w:val="14"/>
        </w:rPr>
        <w:footnoteRef/>
      </w:r>
      <w:r w:rsidRPr="009F0312">
        <w:rPr>
          <w:rFonts w:ascii="Verdana" w:hAnsi="Verdana" w:cs="Arial"/>
          <w:sz w:val="14"/>
          <w:szCs w:val="14"/>
        </w:rPr>
        <w:t xml:space="preserve"> [Referencia propia de la cita] «CE. SCSC. Concepto de 30 de abril de 2008 [Rad. 11001-03-06-000-2008-00013-00(1881)]. MP. Enrique José Arboleda Perdomo. En esta oportunidad, la Sala indicó que el contenido </w:t>
      </w:r>
      <w:r w:rsidRPr="009F0312">
        <w:rPr>
          <w:rFonts w:ascii="Verdana" w:hAnsi="Verdana" w:cs="Arial"/>
          <w:i/>
          <w:sz w:val="14"/>
          <w:szCs w:val="14"/>
        </w:rPr>
        <w:t>“obligacional”</w:t>
      </w:r>
      <w:r w:rsidRPr="009F0312">
        <w:rPr>
          <w:rFonts w:ascii="Verdana" w:hAnsi="Verdana" w:cs="Arial"/>
          <w:sz w:val="14"/>
          <w:szCs w:val="14"/>
        </w:rPr>
        <w:t xml:space="preserve"> de los convenios se estructura definiendo el resultado querido por las partes y los medios que cada entidad despliega para la obtención del respectivo objeto”.</w:t>
      </w:r>
    </w:p>
  </w:footnote>
  <w:footnote w:id="16">
    <w:p w14:paraId="3C99AA94" w14:textId="77777777" w:rsidR="00102934" w:rsidRPr="00B95CFD" w:rsidRDefault="00102934" w:rsidP="00102934">
      <w:pPr>
        <w:spacing w:line="240" w:lineRule="auto"/>
        <w:ind w:firstLine="709"/>
        <w:contextualSpacing/>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[Referencia propia de la cita] «La normativa vigente del EGCAP </w:t>
      </w:r>
      <w:r w:rsidRPr="00B95CFD">
        <w:rPr>
          <w:rFonts w:ascii="Verdana" w:hAnsi="Verdana" w:cs="Arial"/>
          <w:i/>
          <w:sz w:val="16"/>
          <w:szCs w:val="16"/>
        </w:rPr>
        <w:t>[literal c) del numeral 4. del artículo 2 de la Ley 1150/07]</w:t>
      </w:r>
      <w:r w:rsidRPr="00B95CFD">
        <w:rPr>
          <w:rFonts w:ascii="Verdana" w:hAnsi="Verdana" w:cs="Arial"/>
          <w:sz w:val="16"/>
          <w:szCs w:val="16"/>
        </w:rPr>
        <w:t xml:space="preserve"> se refiere a </w:t>
      </w:r>
      <w:r w:rsidRPr="00B95CFD">
        <w:rPr>
          <w:rFonts w:ascii="Verdana" w:hAnsi="Verdana" w:cs="Arial"/>
          <w:i/>
          <w:sz w:val="16"/>
          <w:szCs w:val="16"/>
        </w:rPr>
        <w:t>“contratos interadministrativos”</w:t>
      </w:r>
      <w:r w:rsidRPr="00B95CFD">
        <w:rPr>
          <w:rFonts w:ascii="Verdana" w:hAnsi="Verdana"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17">
    <w:p w14:paraId="6E31CB67" w14:textId="77777777" w:rsidR="00102934" w:rsidRPr="00B95CFD" w:rsidRDefault="00102934" w:rsidP="00102934">
      <w:pPr>
        <w:pStyle w:val="Textonotapie"/>
        <w:ind w:firstLine="709"/>
        <w:jc w:val="both"/>
        <w:rPr>
          <w:rFonts w:ascii="Verdana" w:hAnsi="Verdana" w:cs="Arial"/>
          <w:sz w:val="16"/>
          <w:szCs w:val="16"/>
          <w:lang w:val="es-ES"/>
        </w:rPr>
      </w:pPr>
      <w:r w:rsidRPr="00B95CFD">
        <w:rPr>
          <w:rStyle w:val="Refdenotaalpie"/>
          <w:rFonts w:ascii="Verdana" w:hAnsi="Verdana" w:cs="Arial"/>
          <w:sz w:val="16"/>
          <w:szCs w:val="16"/>
        </w:rPr>
        <w:footnoteRef/>
      </w:r>
      <w:r w:rsidRPr="00B95CFD">
        <w:rPr>
          <w:rFonts w:ascii="Verdana" w:hAnsi="Verdana" w:cs="Arial"/>
          <w:sz w:val="16"/>
          <w:szCs w:val="16"/>
        </w:rPr>
        <w:t xml:space="preserve"> En sentido similar </w:t>
      </w:r>
      <w:r w:rsidRPr="00B95CFD">
        <w:rPr>
          <w:rFonts w:ascii="Verdana" w:hAnsi="Verdana" w:cs="Arial"/>
          <w:sz w:val="16"/>
          <w:szCs w:val="16"/>
          <w:lang w:val="es-ES"/>
        </w:rPr>
        <w:t xml:space="preserve">ver, entre otras, al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sentencia del 22 de octubre de 2021, Rad. 65978, M.P. Martha Nubia Velásquez;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A, Sentencia del 23 de abril de 2021, Rad. 49148, M.P. María Adriana Marín;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A, Sentencia del 21 de mayo de 2021, Rad. 66756, M.P. José Roberto Sáchica Méndez;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C, Auto del 30 de septiembre de 2020, Rad. 65358, M.P. Guillermo Sánchez Luque. </w:t>
      </w:r>
    </w:p>
    <w:p w14:paraId="07550DE1" w14:textId="77777777" w:rsidR="00102934" w:rsidRPr="00B95CFD" w:rsidRDefault="00102934" w:rsidP="00102934">
      <w:pPr>
        <w:pStyle w:val="Textonotapie"/>
        <w:ind w:firstLine="709"/>
        <w:jc w:val="both"/>
        <w:rPr>
          <w:rFonts w:ascii="Verdana" w:hAnsi="Verdana" w:cs="Arial"/>
          <w:sz w:val="16"/>
          <w:szCs w:val="16"/>
          <w:lang w:val="es-ES"/>
        </w:rPr>
      </w:pPr>
    </w:p>
  </w:footnote>
  <w:footnote w:id="18">
    <w:p w14:paraId="65023419" w14:textId="77777777" w:rsidR="00102934" w:rsidRPr="00B95CFD" w:rsidRDefault="00102934" w:rsidP="00102934">
      <w:pPr>
        <w:pStyle w:val="Textonotapie"/>
        <w:ind w:firstLine="708"/>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Sala de Consulta y Servicio Civil. Concepto 26 de julio de 2016. Exp. 2.257. C.P. Álvaro Namén Vargas.</w:t>
      </w:r>
    </w:p>
  </w:footnote>
  <w:footnote w:id="19">
    <w:p w14:paraId="2095883D" w14:textId="77777777" w:rsidR="00102934" w:rsidRPr="007D42DB" w:rsidRDefault="00102934" w:rsidP="00102934">
      <w:pPr>
        <w:pStyle w:val="Textonotapie"/>
        <w:ind w:firstLine="708"/>
        <w:jc w:val="both"/>
        <w:rPr>
          <w:rFonts w:ascii="Verdana" w:hAnsi="Verdana" w:cs="Arial"/>
          <w:sz w:val="14"/>
          <w:szCs w:val="14"/>
        </w:rPr>
      </w:pPr>
      <w:r w:rsidRPr="007D42DB">
        <w:rPr>
          <w:rStyle w:val="Refdenotaalpie"/>
          <w:rFonts w:ascii="Verdana" w:hAnsi="Verdana" w:cs="Arial"/>
          <w:sz w:val="14"/>
          <w:szCs w:val="14"/>
        </w:rPr>
        <w:footnoteRef/>
      </w:r>
      <w:r w:rsidRPr="007D42DB">
        <w:rPr>
          <w:rFonts w:ascii="Verdana" w:hAnsi="Verdana" w:cs="Arial"/>
          <w:sz w:val="14"/>
          <w:szCs w:val="14"/>
        </w:rPr>
        <w:t xml:space="preserve"> Si bien el parágrafo de artículo 14 de la Ley 80 de 1993 establece que se deberá prescindir de las cláusulas excepcionales en los ‘contratos interadministrativos’, el Consejo de Estado ha señalado que tal disposición aplica indiscutiblemente para los convenios, pero, para el caso de los contratos administrativos “dado el ámbito de subordinación, no puede descartarse </w:t>
      </w:r>
      <w:r w:rsidRPr="007D42DB">
        <w:rPr>
          <w:rFonts w:ascii="Verdana" w:hAnsi="Verdana" w:cs="Arial"/>
          <w:i/>
          <w:iCs/>
          <w:sz w:val="14"/>
          <w:szCs w:val="14"/>
        </w:rPr>
        <w:t>prima facie</w:t>
      </w:r>
      <w:r w:rsidRPr="007D42DB">
        <w:rPr>
          <w:rFonts w:ascii="Verdana" w:hAnsi="Verdana" w:cs="Arial"/>
          <w:sz w:val="14"/>
          <w:szCs w:val="14"/>
        </w:rPr>
        <w:t xml:space="preserve">”. De hecho, se ha referido en concreto a la procedencia de la imposición de multas, sanciones y declaratorias de incumplimiento en contratos interadministrativos. (Consejo de Estado. Sala de Consulta y Servicio Civil, </w:t>
      </w:r>
      <w:r w:rsidRPr="007D42DB">
        <w:rPr>
          <w:rFonts w:ascii="Verdana" w:hAnsi="Verdana" w:cs="Arial"/>
          <w:i/>
          <w:iCs/>
          <w:sz w:val="14"/>
          <w:szCs w:val="14"/>
        </w:rPr>
        <w:t>ibídem</w:t>
      </w:r>
      <w:r w:rsidRPr="007D42DB">
        <w:rPr>
          <w:rFonts w:ascii="Verdana" w:hAnsi="Verdana" w:cs="Arial"/>
          <w:sz w:val="14"/>
          <w:szCs w:val="14"/>
        </w:rPr>
        <w:t>). Cfr. SANTOS Rodríguez Jorge Enrique. “Consideraciones sobre los contratos y convenios interadministrativos”. Revista Digital de Derecho Administrativo, Núm. 1, Universidad Externado de Colombia, Bogotá, 2009. Pág. 19.</w:t>
      </w:r>
    </w:p>
    <w:p w14:paraId="239847E1" w14:textId="77777777" w:rsidR="00102934" w:rsidRPr="007D42DB" w:rsidRDefault="00102934" w:rsidP="00102934">
      <w:pPr>
        <w:pStyle w:val="Textonotapie"/>
        <w:ind w:firstLine="708"/>
        <w:jc w:val="both"/>
        <w:rPr>
          <w:rFonts w:ascii="Verdana" w:hAnsi="Verdana" w:cs="Arial"/>
          <w:sz w:val="14"/>
          <w:szCs w:val="14"/>
        </w:rPr>
      </w:pPr>
    </w:p>
  </w:footnote>
  <w:footnote w:id="20">
    <w:p w14:paraId="240A53AA" w14:textId="77777777" w:rsidR="00102934" w:rsidRPr="00B95CFD" w:rsidRDefault="00102934" w:rsidP="00102934">
      <w:pPr>
        <w:pStyle w:val="Textonotapie"/>
        <w:ind w:firstLine="708"/>
        <w:jc w:val="both"/>
        <w:rPr>
          <w:rFonts w:ascii="Verdana" w:hAnsi="Verdana" w:cs="Arial"/>
          <w:sz w:val="16"/>
          <w:szCs w:val="16"/>
          <w:lang w:val="es-ES"/>
        </w:rPr>
      </w:pPr>
      <w:r w:rsidRPr="007D42DB">
        <w:rPr>
          <w:rStyle w:val="Refdenotaalpie"/>
          <w:rFonts w:ascii="Verdana" w:hAnsi="Verdana" w:cs="Arial"/>
          <w:sz w:val="14"/>
          <w:szCs w:val="14"/>
        </w:rPr>
        <w:footnoteRef/>
      </w:r>
      <w:r w:rsidRPr="007D42DB">
        <w:rPr>
          <w:rFonts w:ascii="Verdana" w:hAnsi="Verdana" w:cs="Arial"/>
          <w:sz w:val="14"/>
          <w:szCs w:val="14"/>
        </w:rPr>
        <w:t xml:space="preserve"> </w:t>
      </w:r>
      <w:r w:rsidRPr="007D42DB">
        <w:rPr>
          <w:rFonts w:ascii="Verdana" w:hAnsi="Verdana" w:cs="Arial"/>
          <w:sz w:val="14"/>
          <w:szCs w:val="14"/>
          <w:lang w:val="es-ES"/>
        </w:rPr>
        <w:t xml:space="preserve">Consejo de Estado Sección Tercera, Sentencia del 05 de febrero de 2021, rad. </w:t>
      </w:r>
      <w:r w:rsidRPr="007D42DB">
        <w:rPr>
          <w:rFonts w:ascii="Verdana" w:hAnsi="Verdana" w:cs="Arial"/>
          <w:sz w:val="14"/>
          <w:szCs w:val="14"/>
        </w:rPr>
        <w:t>25000-23-26-000-2011-00144-01(49792), M.P. María Adriana Marín.</w:t>
      </w:r>
      <w:r w:rsidRPr="007D42DB">
        <w:rPr>
          <w:rFonts w:ascii="Verdana" w:hAnsi="Verdana" w:cs="Arial"/>
          <w:b/>
          <w:sz w:val="14"/>
          <w:szCs w:val="14"/>
        </w:rPr>
        <w:t xml:space="preserve"> </w:t>
      </w:r>
      <w:r w:rsidRPr="007D42DB">
        <w:rPr>
          <w:rFonts w:ascii="Verdana" w:hAnsi="Verdana" w:cs="Arial"/>
          <w:bCs/>
          <w:sz w:val="14"/>
          <w:szCs w:val="14"/>
        </w:rPr>
        <w:t>Esta posición fue acogida por esta Subdirección a través del Concepto C-168 del 29 de abril de 2021.</w:t>
      </w:r>
      <w:r w:rsidRPr="00B95CFD">
        <w:rPr>
          <w:rFonts w:ascii="Verdana" w:hAnsi="Verdana" w:cs="Arial"/>
          <w:b/>
          <w:sz w:val="16"/>
          <w:szCs w:val="16"/>
        </w:rPr>
        <w:t xml:space="preserve"> </w:t>
      </w:r>
    </w:p>
  </w:footnote>
  <w:footnote w:id="21">
    <w:p w14:paraId="3B385AD4" w14:textId="77777777" w:rsidR="00102934" w:rsidRPr="00B95CFD" w:rsidRDefault="00102934" w:rsidP="00102934">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Consejo de Estado -Sección Tercera-. Sentencia del </w:t>
      </w:r>
      <w:r w:rsidRPr="00B95CFD">
        <w:rPr>
          <w:rFonts w:ascii="Verdana" w:hAnsi="Verdana" w:cs="Arial"/>
          <w:bCs/>
          <w:iCs/>
          <w:sz w:val="16"/>
          <w:szCs w:val="16"/>
        </w:rPr>
        <w:t>14 de junio del 2019, Radicación Número: 25000-23-37-000-2010-02552-01(AP).</w:t>
      </w:r>
    </w:p>
  </w:footnote>
  <w:footnote w:id="22">
    <w:p w14:paraId="7C014816" w14:textId="77777777" w:rsidR="00102934" w:rsidRPr="00B95CFD" w:rsidRDefault="00102934" w:rsidP="00102934">
      <w:pPr>
        <w:pStyle w:val="Textonotapie"/>
        <w:ind w:firstLine="709"/>
        <w:rPr>
          <w:rFonts w:ascii="Verdana" w:hAnsi="Verdana"/>
          <w:sz w:val="16"/>
          <w:szCs w:val="16"/>
          <w:lang w:val="es-CO"/>
        </w:rPr>
      </w:pPr>
      <w:r w:rsidRPr="00B95CFD">
        <w:rPr>
          <w:rStyle w:val="Refdenotaalpie"/>
          <w:rFonts w:ascii="Verdana" w:hAnsi="Verdana"/>
          <w:sz w:val="16"/>
          <w:szCs w:val="16"/>
        </w:rPr>
        <w:footnoteRef/>
      </w:r>
      <w:r w:rsidRPr="00B95CFD">
        <w:rPr>
          <w:rFonts w:ascii="Verdana" w:hAnsi="Verdana"/>
          <w:sz w:val="16"/>
          <w:szCs w:val="16"/>
        </w:rPr>
        <w:t xml:space="preserve"> </w:t>
      </w:r>
      <w:r w:rsidRPr="00B95CFD">
        <w:rPr>
          <w:rFonts w:ascii="Verdana" w:hAnsi="Verdana" w:cs="Arial"/>
          <w:sz w:val="16"/>
          <w:szCs w:val="16"/>
        </w:rPr>
        <w:t>C</w:t>
      </w:r>
      <w:r>
        <w:rPr>
          <w:rFonts w:ascii="Verdana" w:hAnsi="Verdana" w:cs="Arial"/>
          <w:sz w:val="16"/>
          <w:szCs w:val="16"/>
        </w:rPr>
        <w:t>onsejo de Estado</w:t>
      </w:r>
      <w:r w:rsidRPr="00B95CFD">
        <w:rPr>
          <w:rFonts w:ascii="Verdana" w:hAnsi="Verdana" w:cs="Arial"/>
          <w:sz w:val="16"/>
          <w:szCs w:val="16"/>
        </w:rPr>
        <w:t>. Sala de Consulta y Servicio Civil. Concepto 26 de julio de 2016. Exp. 2.257. C.P. Álvaro Namén Vargas.</w:t>
      </w:r>
    </w:p>
  </w:footnote>
  <w:footnote w:id="23">
    <w:p w14:paraId="5837625C" w14:textId="77777777" w:rsidR="00102934" w:rsidRPr="00B95CFD" w:rsidRDefault="00102934" w:rsidP="00102934">
      <w:pPr>
        <w:pStyle w:val="Textonotapie"/>
        <w:rPr>
          <w:rFonts w:ascii="Verdana" w:hAnsi="Verdana"/>
          <w:sz w:val="16"/>
          <w:szCs w:val="16"/>
          <w:lang w:val="es-CO"/>
        </w:rPr>
      </w:pPr>
      <w:r w:rsidRPr="00B95CFD">
        <w:rPr>
          <w:rStyle w:val="Refdenotaalpie"/>
          <w:rFonts w:ascii="Verdana" w:hAnsi="Verdana"/>
          <w:sz w:val="16"/>
          <w:szCs w:val="16"/>
        </w:rPr>
        <w:footnoteRef/>
      </w:r>
      <w:r w:rsidRPr="00B95CFD">
        <w:rPr>
          <w:rFonts w:ascii="Verdana" w:hAnsi="Verdana"/>
          <w:sz w:val="16"/>
          <w:szCs w:val="16"/>
        </w:rPr>
        <w:t xml:space="preserve"> </w:t>
      </w:r>
      <w:r w:rsidRPr="00B95CFD">
        <w:rPr>
          <w:rFonts w:ascii="Verdana" w:hAnsi="Verdana" w:cs="Arial"/>
          <w:sz w:val="16"/>
          <w:szCs w:val="16"/>
        </w:rPr>
        <w:t xml:space="preserve">Consejo de Estado -Sección Tercera-. Sentencia del </w:t>
      </w:r>
      <w:r w:rsidRPr="00B95CFD">
        <w:rPr>
          <w:rFonts w:ascii="Verdana" w:hAnsi="Verdana" w:cs="Arial"/>
          <w:bCs/>
          <w:iCs/>
          <w:sz w:val="16"/>
          <w:szCs w:val="16"/>
        </w:rPr>
        <w:t xml:space="preserve">21 de febrero de 2025. Radicación Número: 68.280. CP: José Roberto Sáchica Méndez.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036A8" w14:textId="77777777" w:rsidR="00187CA0" w:rsidRDefault="00187CA0">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458345F" wp14:editId="66DDD376">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706437C" wp14:editId="7657E24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A7D967C" w14:textId="77777777" w:rsidR="00187CA0" w:rsidRDefault="00187CA0">
    <w:pPr>
      <w:pStyle w:val="Encabezado"/>
    </w:pPr>
  </w:p>
  <w:p w14:paraId="1F02E984" w14:textId="77777777" w:rsidR="00187CA0" w:rsidRDefault="00187CA0">
    <w:pPr>
      <w:pStyle w:val="Encabezado"/>
    </w:pPr>
  </w:p>
  <w:p w14:paraId="08FC1AEA" w14:textId="77777777" w:rsidR="00187CA0" w:rsidRPr="00515FB5" w:rsidRDefault="00187CA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15pt;height:10.1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CA0"/>
    <w:rsid w:val="0001776B"/>
    <w:rsid w:val="00027891"/>
    <w:rsid w:val="000339E1"/>
    <w:rsid w:val="00047545"/>
    <w:rsid w:val="000D0AE0"/>
    <w:rsid w:val="000F5A42"/>
    <w:rsid w:val="00102934"/>
    <w:rsid w:val="00120302"/>
    <w:rsid w:val="00130445"/>
    <w:rsid w:val="00152385"/>
    <w:rsid w:val="00175281"/>
    <w:rsid w:val="00187CA0"/>
    <w:rsid w:val="00213D17"/>
    <w:rsid w:val="00216914"/>
    <w:rsid w:val="00223084"/>
    <w:rsid w:val="002B08F8"/>
    <w:rsid w:val="002B48A0"/>
    <w:rsid w:val="002F35FB"/>
    <w:rsid w:val="00333192"/>
    <w:rsid w:val="00350EDA"/>
    <w:rsid w:val="00377356"/>
    <w:rsid w:val="00404DAB"/>
    <w:rsid w:val="0043064C"/>
    <w:rsid w:val="00471D7B"/>
    <w:rsid w:val="0049504E"/>
    <w:rsid w:val="005046E5"/>
    <w:rsid w:val="00537621"/>
    <w:rsid w:val="0056715D"/>
    <w:rsid w:val="00602B46"/>
    <w:rsid w:val="006531A9"/>
    <w:rsid w:val="00671D7F"/>
    <w:rsid w:val="006B7BAC"/>
    <w:rsid w:val="00714492"/>
    <w:rsid w:val="007A16C6"/>
    <w:rsid w:val="00833383"/>
    <w:rsid w:val="008607AC"/>
    <w:rsid w:val="008633F5"/>
    <w:rsid w:val="008678E3"/>
    <w:rsid w:val="008F6020"/>
    <w:rsid w:val="00927D74"/>
    <w:rsid w:val="00996D29"/>
    <w:rsid w:val="00A12218"/>
    <w:rsid w:val="00A22EBD"/>
    <w:rsid w:val="00A447DB"/>
    <w:rsid w:val="00A90678"/>
    <w:rsid w:val="00B057B1"/>
    <w:rsid w:val="00B2604F"/>
    <w:rsid w:val="00B620DF"/>
    <w:rsid w:val="00B9037F"/>
    <w:rsid w:val="00BA7190"/>
    <w:rsid w:val="00BD529D"/>
    <w:rsid w:val="00C10C76"/>
    <w:rsid w:val="00C156EF"/>
    <w:rsid w:val="00C23A4D"/>
    <w:rsid w:val="00C31651"/>
    <w:rsid w:val="00C55D68"/>
    <w:rsid w:val="00C60D4B"/>
    <w:rsid w:val="00C919C7"/>
    <w:rsid w:val="00CA61AC"/>
    <w:rsid w:val="00D01505"/>
    <w:rsid w:val="00D0748A"/>
    <w:rsid w:val="00D709BB"/>
    <w:rsid w:val="00DE79C0"/>
    <w:rsid w:val="00F01AA7"/>
    <w:rsid w:val="00FD27A4"/>
    <w:rsid w:val="00FE371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C1FC8"/>
  <w15:chartTrackingRefBased/>
  <w15:docId w15:val="{2E952881-76E4-4255-8FF5-D61C5E4A4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CA0"/>
    <w:rPr>
      <w:kern w:val="0"/>
      <w14:ligatures w14:val="none"/>
    </w:rPr>
  </w:style>
  <w:style w:type="paragraph" w:styleId="Ttulo1">
    <w:name w:val="heading 1"/>
    <w:basedOn w:val="Normal"/>
    <w:next w:val="Normal"/>
    <w:link w:val="Ttulo1Car"/>
    <w:uiPriority w:val="9"/>
    <w:qFormat/>
    <w:rsid w:val="00187C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87C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87CA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87CA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87CA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87CA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87CA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87CA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87CA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7CA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87CA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87CA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87CA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87CA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87CA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87CA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87CA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87CA0"/>
    <w:rPr>
      <w:rFonts w:eastAsiaTheme="majorEastAsia" w:cstheme="majorBidi"/>
      <w:color w:val="272727" w:themeColor="text1" w:themeTint="D8"/>
    </w:rPr>
  </w:style>
  <w:style w:type="paragraph" w:styleId="Ttulo">
    <w:name w:val="Title"/>
    <w:basedOn w:val="Normal"/>
    <w:next w:val="Normal"/>
    <w:link w:val="TtuloCar"/>
    <w:uiPriority w:val="10"/>
    <w:qFormat/>
    <w:rsid w:val="00187C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87CA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87CA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87CA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87CA0"/>
    <w:pPr>
      <w:spacing w:before="160"/>
      <w:jc w:val="center"/>
    </w:pPr>
    <w:rPr>
      <w:i/>
      <w:iCs/>
      <w:color w:val="404040" w:themeColor="text1" w:themeTint="BF"/>
    </w:rPr>
  </w:style>
  <w:style w:type="character" w:customStyle="1" w:styleId="CitaCar">
    <w:name w:val="Cita Car"/>
    <w:basedOn w:val="Fuentedeprrafopredeter"/>
    <w:link w:val="Cita"/>
    <w:uiPriority w:val="29"/>
    <w:rsid w:val="00187CA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187CA0"/>
    <w:pPr>
      <w:ind w:left="720"/>
      <w:contextualSpacing/>
    </w:pPr>
  </w:style>
  <w:style w:type="character" w:styleId="nfasisintenso">
    <w:name w:val="Intense Emphasis"/>
    <w:basedOn w:val="Fuentedeprrafopredeter"/>
    <w:uiPriority w:val="21"/>
    <w:qFormat/>
    <w:rsid w:val="00187CA0"/>
    <w:rPr>
      <w:i/>
      <w:iCs/>
      <w:color w:val="0F4761" w:themeColor="accent1" w:themeShade="BF"/>
    </w:rPr>
  </w:style>
  <w:style w:type="paragraph" w:styleId="Citadestacada">
    <w:name w:val="Intense Quote"/>
    <w:basedOn w:val="Normal"/>
    <w:next w:val="Normal"/>
    <w:link w:val="CitadestacadaCar"/>
    <w:uiPriority w:val="30"/>
    <w:qFormat/>
    <w:rsid w:val="00187C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87CA0"/>
    <w:rPr>
      <w:i/>
      <w:iCs/>
      <w:color w:val="0F4761" w:themeColor="accent1" w:themeShade="BF"/>
    </w:rPr>
  </w:style>
  <w:style w:type="character" w:styleId="Referenciaintensa">
    <w:name w:val="Intense Reference"/>
    <w:basedOn w:val="Fuentedeprrafopredeter"/>
    <w:uiPriority w:val="32"/>
    <w:qFormat/>
    <w:rsid w:val="00187CA0"/>
    <w:rPr>
      <w:b/>
      <w:bCs/>
      <w:smallCaps/>
      <w:color w:val="0F4761" w:themeColor="accent1" w:themeShade="BF"/>
      <w:spacing w:val="5"/>
    </w:rPr>
  </w:style>
  <w:style w:type="paragraph" w:styleId="Encabezado">
    <w:name w:val="header"/>
    <w:basedOn w:val="Normal"/>
    <w:link w:val="EncabezadoCar"/>
    <w:uiPriority w:val="99"/>
    <w:unhideWhenUsed/>
    <w:rsid w:val="00187CA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87CA0"/>
    <w:rPr>
      <w:kern w:val="0"/>
      <w14:ligatures w14:val="none"/>
    </w:rPr>
  </w:style>
  <w:style w:type="paragraph" w:styleId="Piedepgina">
    <w:name w:val="footer"/>
    <w:basedOn w:val="Normal"/>
    <w:link w:val="PiedepginaCar"/>
    <w:uiPriority w:val="99"/>
    <w:unhideWhenUsed/>
    <w:rsid w:val="00187CA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87CA0"/>
    <w:rPr>
      <w:kern w:val="0"/>
      <w14:ligatures w14:val="none"/>
    </w:rPr>
  </w:style>
  <w:style w:type="table" w:styleId="Tablaconcuadrcula">
    <w:name w:val="Table Grid"/>
    <w:basedOn w:val="Tablanormal"/>
    <w:uiPriority w:val="39"/>
    <w:qFormat/>
    <w:rsid w:val="00187CA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87CA0"/>
    <w:rPr>
      <w:color w:val="467886" w:themeColor="hyperlink"/>
      <w:u w:val="single"/>
    </w:rPr>
  </w:style>
  <w:style w:type="character" w:customStyle="1" w:styleId="normaltextrun">
    <w:name w:val="normaltextrun"/>
    <w:basedOn w:val="Fuentedeprrafopredeter"/>
    <w:rsid w:val="00187CA0"/>
  </w:style>
  <w:style w:type="character" w:customStyle="1" w:styleId="eop">
    <w:name w:val="eop"/>
    <w:basedOn w:val="Fuentedeprrafopredeter"/>
    <w:rsid w:val="00187CA0"/>
  </w:style>
  <w:style w:type="paragraph" w:customStyle="1" w:styleId="paragraph">
    <w:name w:val="paragraph"/>
    <w:basedOn w:val="Normal"/>
    <w:rsid w:val="00187CA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7CA0"/>
  </w:style>
  <w:style w:type="paragraph" w:styleId="NormalWeb">
    <w:name w:val="Normal (Web)"/>
    <w:basedOn w:val="Normal"/>
    <w:link w:val="NormalWebCar"/>
    <w:uiPriority w:val="99"/>
    <w:unhideWhenUsed/>
    <w:rsid w:val="00187CA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187CA0"/>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187CA0"/>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339E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339E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339E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339E1"/>
    <w:rPr>
      <w:vertAlign w:val="superscript"/>
    </w:rPr>
  </w:style>
  <w:style w:type="paragraph" w:customStyle="1" w:styleId="Appelnotedebasde">
    <w:name w:val="Appel note de bas de..."/>
    <w:basedOn w:val="Normal"/>
    <w:link w:val="Refdenotaalpie"/>
    <w:uiPriority w:val="99"/>
    <w:rsid w:val="000339E1"/>
    <w:pPr>
      <w:spacing w:line="240" w:lineRule="exact"/>
    </w:pPr>
    <w:rPr>
      <w:kern w:val="2"/>
      <w:vertAlign w:val="superscript"/>
      <w14:ligatures w14:val="standardContextual"/>
    </w:rPr>
  </w:style>
  <w:style w:type="character" w:styleId="nfasis">
    <w:name w:val="Emphasis"/>
    <w:basedOn w:val="Fuentedeprrafopredeter"/>
    <w:uiPriority w:val="20"/>
    <w:qFormat/>
    <w:rsid w:val="000339E1"/>
    <w:rPr>
      <w:i/>
      <w:iCs/>
    </w:rPr>
  </w:style>
  <w:style w:type="character" w:styleId="Refdecomentario">
    <w:name w:val="annotation reference"/>
    <w:basedOn w:val="Fuentedeprrafopredeter"/>
    <w:uiPriority w:val="99"/>
    <w:semiHidden/>
    <w:unhideWhenUsed/>
    <w:rsid w:val="002F35FB"/>
    <w:rPr>
      <w:sz w:val="16"/>
      <w:szCs w:val="16"/>
    </w:rPr>
  </w:style>
  <w:style w:type="paragraph" w:styleId="Textocomentario">
    <w:name w:val="annotation text"/>
    <w:basedOn w:val="Normal"/>
    <w:link w:val="TextocomentarioCar"/>
    <w:uiPriority w:val="99"/>
    <w:unhideWhenUsed/>
    <w:rsid w:val="002F35FB"/>
    <w:pPr>
      <w:spacing w:line="240" w:lineRule="auto"/>
    </w:pPr>
    <w:rPr>
      <w:sz w:val="20"/>
      <w:szCs w:val="20"/>
    </w:rPr>
  </w:style>
  <w:style w:type="character" w:customStyle="1" w:styleId="TextocomentarioCar">
    <w:name w:val="Texto comentario Car"/>
    <w:basedOn w:val="Fuentedeprrafopredeter"/>
    <w:link w:val="Textocomentario"/>
    <w:uiPriority w:val="99"/>
    <w:rsid w:val="002F35FB"/>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dresperez1199@hotmail.com"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5B74DC-DC03-41A4-B21A-9FEC7CE58BF9}"/>
</file>

<file path=customXml/itemProps2.xml><?xml version="1.0" encoding="utf-8"?>
<ds:datastoreItem xmlns:ds="http://schemas.openxmlformats.org/officeDocument/2006/customXml" ds:itemID="{410D8BD6-BBD6-46A1-BF10-E2F2254F5359}"/>
</file>

<file path=customXml/itemProps3.xml><?xml version="1.0" encoding="utf-8"?>
<ds:datastoreItem xmlns:ds="http://schemas.openxmlformats.org/officeDocument/2006/customXml" ds:itemID="{3DE683E0-4403-454D-A31A-E431C1DCA8A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117</TotalTime>
  <Pages>21</Pages>
  <Words>6422</Words>
  <Characters>35581</Characters>
  <Application>Microsoft Office Word</Application>
  <DocSecurity>0</DocSecurity>
  <Lines>684</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38</cp:revision>
  <dcterms:created xsi:type="dcterms:W3CDTF">2026-01-13T16:43:00Z</dcterms:created>
  <dcterms:modified xsi:type="dcterms:W3CDTF">2026-02-06T20:27:00Z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