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17CA4" w14:textId="77777777" w:rsidR="00694740" w:rsidRPr="004F1EAD" w:rsidRDefault="00694740" w:rsidP="00694740">
      <w:pPr>
        <w:spacing w:after="0"/>
        <w:rPr>
          <w:rFonts w:ascii="Verdana" w:eastAsia="Calibri" w:hAnsi="Verdana" w:cs="Arial"/>
          <w:b/>
          <w:bCs/>
          <w:color w:val="000000" w:themeColor="text1"/>
          <w:lang w:val="es-ES" w:eastAsia="es-ES"/>
        </w:rPr>
      </w:pPr>
      <w:r w:rsidRPr="004F1EAD">
        <w:rPr>
          <w:rFonts w:ascii="Verdana" w:eastAsia="Calibri" w:hAnsi="Verdana" w:cs="Arial"/>
          <w:b/>
          <w:bCs/>
          <w:color w:val="000000" w:themeColor="text1"/>
          <w:lang w:val="es-ES" w:eastAsia="es-ES"/>
        </w:rPr>
        <w:t>SELECCIÓN ABREVIADA – Modalidad de selección – Naturaleza</w:t>
      </w:r>
    </w:p>
    <w:p w14:paraId="2FF7870E" w14:textId="77777777" w:rsidR="00694740" w:rsidRPr="004F1EAD" w:rsidRDefault="00694740" w:rsidP="00694740">
      <w:pPr>
        <w:spacing w:after="0"/>
        <w:jc w:val="both"/>
        <w:rPr>
          <w:rFonts w:ascii="Verdana" w:eastAsia="Calibri" w:hAnsi="Verdana" w:cs="Arial"/>
          <w:color w:val="000000" w:themeColor="text1"/>
          <w:lang w:val="es-ES" w:eastAsia="es-ES"/>
        </w:rPr>
      </w:pPr>
    </w:p>
    <w:p w14:paraId="4604F801" w14:textId="77777777" w:rsidR="00694740" w:rsidRPr="004F1EAD" w:rsidRDefault="00694740" w:rsidP="00694740">
      <w:pPr>
        <w:spacing w:after="0"/>
        <w:jc w:val="both"/>
        <w:rPr>
          <w:rFonts w:ascii="Verdana" w:eastAsia="Calibri" w:hAnsi="Verdana" w:cs="Arial"/>
          <w:color w:val="000000" w:themeColor="text1"/>
          <w:lang w:val="es-ES" w:eastAsia="es-ES"/>
        </w:rPr>
      </w:pPr>
      <w:r w:rsidRPr="004F1EAD">
        <w:rPr>
          <w:rFonts w:ascii="Verdana" w:eastAsia="Calibri" w:hAnsi="Verdana" w:cs="Arial"/>
          <w:color w:val="000000" w:themeColor="text1"/>
          <w:lang w:val="es-ES" w:eastAsia="es-ES"/>
        </w:rPr>
        <w:t xml:space="preserve">Respecto de la selección abreviada, el numeral 2° del artículo 2 de Ley 1150 de 2007 la define en los siguientes términos: “2. Selección abreviada. La Selección abreviada corresponde a la modalidad de selección objetiva prevista para aquellos casos en </w:t>
      </w:r>
      <w:proofErr w:type="gramStart"/>
      <w:r w:rsidRPr="004F1EAD">
        <w:rPr>
          <w:rFonts w:ascii="Verdana" w:eastAsia="Calibri" w:hAnsi="Verdana" w:cs="Arial"/>
          <w:color w:val="000000" w:themeColor="text1"/>
          <w:lang w:val="es-ES" w:eastAsia="es-ES"/>
        </w:rPr>
        <w:t>que</w:t>
      </w:r>
      <w:proofErr w:type="gramEnd"/>
      <w:r w:rsidRPr="004F1EAD">
        <w:rPr>
          <w:rFonts w:ascii="Verdana" w:eastAsia="Calibri" w:hAnsi="Verdana" w:cs="Arial"/>
          <w:color w:val="000000" w:themeColor="text1"/>
          <w:lang w:val="es-ES" w:eastAsia="es-ES"/>
        </w:rPr>
        <w:t xml:space="preserve"> por las características del objeto a contratar, las circunstancias de la contratación o la cuantía o destinación del bien, obra o </w:t>
      </w:r>
      <w:proofErr w:type="gramStart"/>
      <w:r w:rsidRPr="004F1EAD">
        <w:rPr>
          <w:rFonts w:ascii="Verdana" w:eastAsia="Calibri" w:hAnsi="Verdana" w:cs="Arial"/>
          <w:color w:val="000000" w:themeColor="text1"/>
          <w:lang w:val="es-ES" w:eastAsia="es-ES"/>
        </w:rPr>
        <w:t>servicio,</w:t>
      </w:r>
      <w:proofErr w:type="gramEnd"/>
      <w:r w:rsidRPr="004F1EAD">
        <w:rPr>
          <w:rFonts w:ascii="Verdana" w:eastAsia="Calibri" w:hAnsi="Verdana" w:cs="Arial"/>
          <w:color w:val="000000" w:themeColor="text1"/>
          <w:lang w:val="es-ES" w:eastAsia="es-ES"/>
        </w:rPr>
        <w:t xml:space="preserve"> puedan adelantarse procesos simplificados para garantizar la eficiencia de la gestión contractual. […]”.</w:t>
      </w:r>
    </w:p>
    <w:p w14:paraId="47AB28FC" w14:textId="77777777" w:rsidR="00694740" w:rsidRPr="004F1EAD" w:rsidRDefault="00694740" w:rsidP="00694740">
      <w:pPr>
        <w:spacing w:after="0"/>
        <w:jc w:val="both"/>
        <w:rPr>
          <w:rFonts w:ascii="Verdana" w:eastAsia="Calibri" w:hAnsi="Verdana" w:cs="Arial"/>
          <w:color w:val="000000" w:themeColor="text1"/>
          <w:lang w:val="es-ES" w:eastAsia="es-ES"/>
        </w:rPr>
      </w:pPr>
    </w:p>
    <w:p w14:paraId="0C503799" w14:textId="77777777" w:rsidR="00694740" w:rsidRPr="004F1EAD" w:rsidRDefault="00694740" w:rsidP="00694740">
      <w:pPr>
        <w:spacing w:after="0"/>
        <w:jc w:val="both"/>
        <w:rPr>
          <w:rFonts w:ascii="Verdana" w:eastAsia="Calibri" w:hAnsi="Verdana" w:cs="Arial"/>
          <w:color w:val="000000" w:themeColor="text1"/>
          <w:lang w:val="es-ES" w:eastAsia="es-ES"/>
        </w:rPr>
      </w:pPr>
      <w:r w:rsidRPr="004F1EAD">
        <w:rPr>
          <w:rFonts w:ascii="Verdana" w:eastAsia="Calibri" w:hAnsi="Verdana" w:cs="Arial"/>
          <w:color w:val="000000" w:themeColor="text1"/>
          <w:lang w:val="es-ES" w:eastAsia="es-ES"/>
        </w:rPr>
        <w:t>Esta norma contempla una modalidad de selección que se caracteriza por tener etapas simplificadas y términos más cortos que la licitación pública, lo cual se justifica por la complejidad de los asuntos que se contratan a través de esta modalidad, que requieren de procedimientos ágiles y eficientes.</w:t>
      </w:r>
    </w:p>
    <w:p w14:paraId="7C719935" w14:textId="77777777" w:rsidR="00694740" w:rsidRPr="004F1EAD" w:rsidRDefault="00694740" w:rsidP="00694740">
      <w:pPr>
        <w:spacing w:after="0"/>
        <w:rPr>
          <w:rFonts w:ascii="Verdana" w:eastAsia="Calibri" w:hAnsi="Verdana" w:cs="Arial"/>
          <w:color w:val="000000" w:themeColor="text1"/>
          <w:lang w:val="es-ES" w:eastAsia="es-ES"/>
        </w:rPr>
      </w:pPr>
    </w:p>
    <w:p w14:paraId="2D0F8209" w14:textId="77777777" w:rsidR="00694740" w:rsidRPr="004F1EAD" w:rsidRDefault="00694740" w:rsidP="00694740">
      <w:pPr>
        <w:spacing w:after="0"/>
        <w:rPr>
          <w:rFonts w:ascii="Verdana" w:eastAsia="Calibri" w:hAnsi="Verdana" w:cs="Arial"/>
          <w:b/>
          <w:bCs/>
          <w:color w:val="000000" w:themeColor="text1"/>
          <w:lang w:val="es-ES" w:eastAsia="es-ES"/>
        </w:rPr>
      </w:pPr>
      <w:r w:rsidRPr="004F1EAD">
        <w:rPr>
          <w:rFonts w:ascii="Verdana" w:eastAsia="Calibri" w:hAnsi="Verdana" w:cs="Arial"/>
          <w:b/>
          <w:bCs/>
          <w:color w:val="000000" w:themeColor="text1"/>
          <w:lang w:val="es-ES" w:eastAsia="es-ES"/>
        </w:rPr>
        <w:t>SELECCIÓN ABREVIADA MENOR CUANTÍA – Manifestación de interés – Sorteo</w:t>
      </w:r>
    </w:p>
    <w:p w14:paraId="46FC6FCE" w14:textId="77777777" w:rsidR="00694740" w:rsidRPr="004F1EAD" w:rsidRDefault="00694740" w:rsidP="00694740">
      <w:pPr>
        <w:spacing w:after="0"/>
        <w:rPr>
          <w:rFonts w:ascii="Verdana" w:eastAsia="Calibri" w:hAnsi="Verdana" w:cs="Arial"/>
          <w:color w:val="000000" w:themeColor="text1"/>
          <w:lang w:val="es-ES" w:eastAsia="es-ES"/>
        </w:rPr>
      </w:pPr>
    </w:p>
    <w:p w14:paraId="5D5A1830" w14:textId="77777777" w:rsidR="00694740" w:rsidRPr="004F1EAD" w:rsidRDefault="00694740" w:rsidP="00694740">
      <w:pPr>
        <w:spacing w:after="0"/>
        <w:jc w:val="both"/>
        <w:rPr>
          <w:rFonts w:ascii="Verdana" w:eastAsia="Calibri" w:hAnsi="Verdana" w:cs="Arial"/>
          <w:color w:val="000000" w:themeColor="text1"/>
          <w:lang w:val="es-ES" w:eastAsia="es-ES"/>
        </w:rPr>
      </w:pPr>
      <w:r w:rsidRPr="004F1EAD">
        <w:rPr>
          <w:rFonts w:ascii="Verdana" w:eastAsia="Calibri" w:hAnsi="Verdana" w:cs="Arial"/>
          <w:color w:val="000000" w:themeColor="text1"/>
          <w:lang w:val="es-ES" w:eastAsia="es-ES"/>
        </w:rPr>
        <w:t>Respecto al problema jurídico planteado debe señalarse que, la manifestación de interés es un requisito especial para las modalidades de concurso de méritos con precalificación y la selección abreviada de menor cuantía. Tratándose de esta última modalidad, la manifestación de interés es un acto de comunicación del interesado, en virtud del cual, como su nombre lo indica, expresa el interés en participar en el proceso de selección, sin que le sea exigida la presentación de requisitos habilitantes como ocurre en el concurso de méritos con precalificación. Dicha manifestación de interés debe ser presentada en la forma establecida en el pliego de condiciones físico o electrónico, según corresponda a la plataforma del SECOP I o el SECOP II en que se adelante el proceso.</w:t>
      </w:r>
    </w:p>
    <w:p w14:paraId="645EC7EC" w14:textId="77777777" w:rsidR="00694740" w:rsidRPr="004F1EAD" w:rsidRDefault="00694740" w:rsidP="00694740">
      <w:pPr>
        <w:spacing w:after="0"/>
        <w:jc w:val="both"/>
        <w:rPr>
          <w:rFonts w:ascii="Verdana" w:eastAsia="Calibri" w:hAnsi="Verdana" w:cs="Arial"/>
          <w:color w:val="000000" w:themeColor="text1"/>
          <w:lang w:val="es-ES" w:eastAsia="es-ES"/>
        </w:rPr>
      </w:pPr>
    </w:p>
    <w:p w14:paraId="23288473" w14:textId="77777777" w:rsidR="00694740" w:rsidRPr="004F1EAD" w:rsidRDefault="00694740" w:rsidP="00694740">
      <w:pPr>
        <w:spacing w:after="0"/>
        <w:jc w:val="both"/>
        <w:rPr>
          <w:rFonts w:ascii="Verdana" w:eastAsia="Calibri" w:hAnsi="Verdana" w:cs="Arial"/>
          <w:color w:val="000000" w:themeColor="text1"/>
          <w:lang w:val="es-ES" w:eastAsia="es-ES"/>
        </w:rPr>
      </w:pPr>
      <w:r w:rsidRPr="004F1EAD">
        <w:rPr>
          <w:rFonts w:ascii="Verdana" w:eastAsia="Calibri" w:hAnsi="Verdana" w:cs="Arial"/>
          <w:color w:val="000000" w:themeColor="text1"/>
          <w:lang w:val="es-ES" w:eastAsia="es-ES"/>
        </w:rPr>
        <w:t>El artículo 2.2.1.2.1.2.20 del Decreto 1082 de 2015 al fijar las reglas para el proceso de selección abreviada de menor cuantía, no establece expresamente la obligación de publicar el listado de las manifestaciones de interés recibidas antes de la realización del sorteo, como si lo hace en el proceso de concurso de méritos con precalificación, no obstante, esta Subdirección considera que una interpretación ajustada a los principios que orientan la contratación pública, especialmente los de transparencia y publicidad, exige que la entidad estatal publique la lista de las manifestaciones de interés recibidas y las que se ajustan a las exigencias del pliego de condiciones para participar en el sorteo, según corresponda.</w:t>
      </w:r>
    </w:p>
    <w:p w14:paraId="646DEFD7" w14:textId="77777777" w:rsidR="00694740" w:rsidRPr="004F1EAD" w:rsidRDefault="00694740" w:rsidP="00694740">
      <w:pPr>
        <w:spacing w:after="0"/>
        <w:jc w:val="both"/>
        <w:rPr>
          <w:rFonts w:ascii="Verdana" w:eastAsia="Calibri" w:hAnsi="Verdana" w:cs="Arial"/>
          <w:color w:val="000000" w:themeColor="text1"/>
          <w:lang w:val="es-ES" w:eastAsia="es-ES"/>
        </w:rPr>
      </w:pPr>
    </w:p>
    <w:p w14:paraId="6896F08E" w14:textId="77777777" w:rsidR="00694740" w:rsidRPr="004F1EAD" w:rsidRDefault="00694740" w:rsidP="00694740">
      <w:pPr>
        <w:spacing w:after="0"/>
        <w:jc w:val="both"/>
        <w:rPr>
          <w:rFonts w:ascii="Verdana" w:eastAsia="Calibri" w:hAnsi="Verdana" w:cs="Arial"/>
          <w:color w:val="000000" w:themeColor="text1"/>
          <w:lang w:val="es-ES" w:eastAsia="es-ES"/>
        </w:rPr>
      </w:pPr>
      <w:r w:rsidRPr="004F1EAD">
        <w:rPr>
          <w:rFonts w:ascii="Verdana" w:eastAsia="Calibri" w:hAnsi="Verdana" w:cs="Arial"/>
          <w:color w:val="000000" w:themeColor="text1"/>
          <w:lang w:val="es-ES" w:eastAsia="es-ES"/>
        </w:rPr>
        <w:t>De la misma manera, el Decreto 1082 de 2015 no establece reglas para la realización del sorteo, por lo que será la entidad contratante la encargada de definir el procedimiento en modo, tiempo y lugar, lo cual deberá ser orientado por los principios que rigen la contratación pública. (…)</w:t>
      </w:r>
    </w:p>
    <w:p w14:paraId="0197758B" w14:textId="77777777" w:rsidR="00694740" w:rsidRDefault="00694740" w:rsidP="00694740">
      <w:pPr>
        <w:spacing w:after="0" w:line="240" w:lineRule="auto"/>
        <w:rPr>
          <w:lang w:val="es-ES"/>
        </w:rPr>
      </w:pPr>
    </w:p>
    <w:p w14:paraId="2A8515F0" w14:textId="77777777" w:rsidR="00694740" w:rsidRDefault="00694740" w:rsidP="00694740">
      <w:pPr>
        <w:spacing w:after="0" w:line="240" w:lineRule="auto"/>
        <w:rPr>
          <w:lang w:val="es-ES"/>
        </w:rPr>
      </w:pPr>
    </w:p>
    <w:p w14:paraId="4EA753C2" w14:textId="77777777" w:rsidR="00694740" w:rsidRDefault="00694740" w:rsidP="00694740">
      <w:pPr>
        <w:spacing w:after="0" w:line="240" w:lineRule="auto"/>
        <w:rPr>
          <w:rFonts w:ascii="Verdana" w:eastAsia="Calibri" w:hAnsi="Verdana" w:cs="Arial"/>
          <w:color w:val="000000" w:themeColor="text1"/>
        </w:rPr>
      </w:pPr>
    </w:p>
    <w:p w14:paraId="044507F8" w14:textId="77777777" w:rsidR="00694740" w:rsidRDefault="00694740" w:rsidP="00694740">
      <w:pPr>
        <w:spacing w:after="0" w:line="240" w:lineRule="auto"/>
        <w:rPr>
          <w:rFonts w:ascii="Verdana" w:eastAsia="Calibri" w:hAnsi="Verdana" w:cs="Arial"/>
          <w:color w:val="000000" w:themeColor="text1"/>
        </w:rPr>
      </w:pPr>
    </w:p>
    <w:p w14:paraId="674F5FA7" w14:textId="77777777" w:rsidR="00694740" w:rsidRDefault="00694740" w:rsidP="00694740">
      <w:pPr>
        <w:spacing w:after="0" w:line="240" w:lineRule="auto"/>
        <w:rPr>
          <w:rFonts w:ascii="Verdana" w:eastAsia="Calibri" w:hAnsi="Verdana" w:cs="Arial"/>
          <w:color w:val="000000" w:themeColor="text1"/>
        </w:rPr>
      </w:pPr>
    </w:p>
    <w:p w14:paraId="6B156A19" w14:textId="77777777" w:rsidR="00694740" w:rsidRDefault="00694740" w:rsidP="00694740">
      <w:pPr>
        <w:spacing w:after="0" w:line="240" w:lineRule="auto"/>
        <w:rPr>
          <w:rFonts w:ascii="Verdana" w:eastAsia="Calibri" w:hAnsi="Verdana" w:cs="Arial"/>
          <w:color w:val="000000" w:themeColor="text1"/>
        </w:rPr>
      </w:pPr>
    </w:p>
    <w:p w14:paraId="2F943885" w14:textId="77777777" w:rsidR="00694740" w:rsidRDefault="00694740" w:rsidP="00694740">
      <w:pPr>
        <w:spacing w:after="0" w:line="240" w:lineRule="auto"/>
        <w:rPr>
          <w:rFonts w:ascii="Verdana" w:eastAsia="Calibri" w:hAnsi="Verdana" w:cs="Arial"/>
          <w:color w:val="000000" w:themeColor="text1"/>
        </w:rPr>
      </w:pPr>
    </w:p>
    <w:p w14:paraId="64490E78" w14:textId="77777777" w:rsidR="00694740" w:rsidRDefault="00694740" w:rsidP="00694740">
      <w:pPr>
        <w:spacing w:after="0" w:line="240" w:lineRule="auto"/>
        <w:rPr>
          <w:rFonts w:ascii="Verdana" w:eastAsia="Calibri" w:hAnsi="Verdana" w:cs="Arial"/>
          <w:color w:val="000000" w:themeColor="text1"/>
        </w:rPr>
      </w:pPr>
    </w:p>
    <w:p w14:paraId="61BD0EB9" w14:textId="77777777" w:rsidR="00694740" w:rsidRDefault="00694740" w:rsidP="00694740">
      <w:pPr>
        <w:spacing w:after="0" w:line="240" w:lineRule="auto"/>
        <w:rPr>
          <w:rFonts w:ascii="Verdana" w:eastAsia="Calibri" w:hAnsi="Verdana" w:cs="Arial"/>
          <w:color w:val="000000" w:themeColor="text1"/>
        </w:rPr>
      </w:pPr>
    </w:p>
    <w:p w14:paraId="2CEAB616" w14:textId="77777777" w:rsidR="00694740" w:rsidRDefault="00694740" w:rsidP="00694740">
      <w:pPr>
        <w:spacing w:after="0" w:line="240" w:lineRule="auto"/>
        <w:rPr>
          <w:rFonts w:ascii="Verdana" w:eastAsia="Calibri" w:hAnsi="Verdana" w:cs="Arial"/>
          <w:color w:val="000000" w:themeColor="text1"/>
        </w:rPr>
      </w:pPr>
    </w:p>
    <w:p w14:paraId="43582C87" w14:textId="77777777" w:rsidR="00694740" w:rsidRDefault="00694740" w:rsidP="00694740">
      <w:pPr>
        <w:spacing w:after="0" w:line="240" w:lineRule="auto"/>
        <w:rPr>
          <w:rFonts w:ascii="Verdana" w:eastAsia="Calibri" w:hAnsi="Verdana" w:cs="Arial"/>
          <w:color w:val="000000" w:themeColor="text1"/>
        </w:rPr>
      </w:pPr>
    </w:p>
    <w:p w14:paraId="28B11C46" w14:textId="77777777" w:rsidR="00694740" w:rsidRDefault="00694740" w:rsidP="00694740">
      <w:pPr>
        <w:spacing w:after="0" w:line="240" w:lineRule="auto"/>
        <w:rPr>
          <w:rFonts w:ascii="Verdana" w:eastAsia="Calibri" w:hAnsi="Verdana" w:cs="Arial"/>
          <w:color w:val="000000" w:themeColor="text1"/>
        </w:rPr>
      </w:pPr>
    </w:p>
    <w:p w14:paraId="2D966C1E" w14:textId="77777777" w:rsidR="00694740" w:rsidRDefault="00694740" w:rsidP="00694740">
      <w:pPr>
        <w:spacing w:after="0" w:line="240" w:lineRule="auto"/>
        <w:rPr>
          <w:rFonts w:ascii="Verdana" w:eastAsia="Calibri" w:hAnsi="Verdana" w:cs="Arial"/>
          <w:color w:val="000000" w:themeColor="text1"/>
        </w:rPr>
      </w:pPr>
    </w:p>
    <w:p w14:paraId="7EBE87B2" w14:textId="77777777" w:rsidR="00694740" w:rsidRDefault="00694740" w:rsidP="00694740">
      <w:pPr>
        <w:spacing w:after="0" w:line="240" w:lineRule="auto"/>
        <w:rPr>
          <w:rFonts w:ascii="Verdana" w:eastAsia="Calibri" w:hAnsi="Verdana" w:cs="Arial"/>
          <w:color w:val="000000" w:themeColor="text1"/>
        </w:rPr>
      </w:pPr>
    </w:p>
    <w:p w14:paraId="6E68BED5" w14:textId="77777777" w:rsidR="00694740" w:rsidRDefault="00694740" w:rsidP="00694740">
      <w:pPr>
        <w:spacing w:after="0" w:line="240" w:lineRule="auto"/>
        <w:rPr>
          <w:rFonts w:ascii="Verdana" w:eastAsia="Calibri" w:hAnsi="Verdana" w:cs="Arial"/>
          <w:color w:val="000000" w:themeColor="text1"/>
        </w:rPr>
      </w:pPr>
    </w:p>
    <w:p w14:paraId="436DE54B" w14:textId="77777777" w:rsidR="00694740" w:rsidRDefault="00694740" w:rsidP="00694740">
      <w:pPr>
        <w:spacing w:after="0" w:line="240" w:lineRule="auto"/>
        <w:rPr>
          <w:rFonts w:ascii="Verdana" w:eastAsia="Calibri" w:hAnsi="Verdana" w:cs="Arial"/>
          <w:color w:val="000000" w:themeColor="text1"/>
        </w:rPr>
      </w:pPr>
    </w:p>
    <w:p w14:paraId="6A024815" w14:textId="77777777" w:rsidR="00694740" w:rsidRDefault="00694740" w:rsidP="00694740">
      <w:pPr>
        <w:spacing w:after="0" w:line="240" w:lineRule="auto"/>
        <w:rPr>
          <w:rFonts w:ascii="Verdana" w:eastAsia="Calibri" w:hAnsi="Verdana" w:cs="Arial"/>
          <w:color w:val="000000" w:themeColor="text1"/>
        </w:rPr>
      </w:pPr>
    </w:p>
    <w:p w14:paraId="749445A9" w14:textId="77777777" w:rsidR="00694740" w:rsidRDefault="00694740" w:rsidP="00694740">
      <w:pPr>
        <w:spacing w:after="0" w:line="240" w:lineRule="auto"/>
        <w:rPr>
          <w:rFonts w:ascii="Verdana" w:eastAsia="Calibri" w:hAnsi="Verdana" w:cs="Arial"/>
          <w:color w:val="000000" w:themeColor="text1"/>
        </w:rPr>
      </w:pPr>
    </w:p>
    <w:p w14:paraId="77416425" w14:textId="77777777" w:rsidR="00694740" w:rsidRDefault="00694740" w:rsidP="00694740">
      <w:pPr>
        <w:spacing w:after="0" w:line="240" w:lineRule="auto"/>
        <w:rPr>
          <w:rFonts w:ascii="Verdana" w:eastAsia="Calibri" w:hAnsi="Verdana" w:cs="Arial"/>
          <w:color w:val="000000" w:themeColor="text1"/>
        </w:rPr>
      </w:pPr>
    </w:p>
    <w:p w14:paraId="22ABD41B" w14:textId="77777777" w:rsidR="00694740" w:rsidRDefault="00694740" w:rsidP="00694740">
      <w:pPr>
        <w:spacing w:after="0" w:line="240" w:lineRule="auto"/>
        <w:rPr>
          <w:rFonts w:ascii="Verdana" w:eastAsia="Calibri" w:hAnsi="Verdana" w:cs="Arial"/>
          <w:color w:val="000000" w:themeColor="text1"/>
        </w:rPr>
      </w:pPr>
    </w:p>
    <w:p w14:paraId="34F4E29B" w14:textId="77777777" w:rsidR="00694740" w:rsidRDefault="00694740" w:rsidP="00694740">
      <w:pPr>
        <w:spacing w:after="0" w:line="240" w:lineRule="auto"/>
        <w:rPr>
          <w:rFonts w:ascii="Verdana" w:eastAsia="Calibri" w:hAnsi="Verdana" w:cs="Arial"/>
          <w:color w:val="000000" w:themeColor="text1"/>
        </w:rPr>
      </w:pPr>
    </w:p>
    <w:p w14:paraId="31A62322" w14:textId="77777777" w:rsidR="00694740" w:rsidRDefault="00694740" w:rsidP="00694740">
      <w:pPr>
        <w:spacing w:after="0" w:line="240" w:lineRule="auto"/>
        <w:rPr>
          <w:rFonts w:ascii="Verdana" w:eastAsia="Calibri" w:hAnsi="Verdana" w:cs="Arial"/>
          <w:color w:val="000000" w:themeColor="text1"/>
        </w:rPr>
      </w:pPr>
    </w:p>
    <w:p w14:paraId="4D9EAC7D" w14:textId="77777777" w:rsidR="00694740" w:rsidRDefault="00694740" w:rsidP="00694740">
      <w:pPr>
        <w:spacing w:after="0" w:line="240" w:lineRule="auto"/>
        <w:rPr>
          <w:rFonts w:ascii="Verdana" w:eastAsia="Calibri" w:hAnsi="Verdana" w:cs="Arial"/>
          <w:color w:val="000000" w:themeColor="text1"/>
        </w:rPr>
      </w:pPr>
    </w:p>
    <w:p w14:paraId="5B4C08C8" w14:textId="77777777" w:rsidR="00694740" w:rsidRDefault="00694740" w:rsidP="00694740">
      <w:pPr>
        <w:spacing w:after="0" w:line="240" w:lineRule="auto"/>
        <w:rPr>
          <w:rFonts w:ascii="Verdana" w:eastAsia="Calibri" w:hAnsi="Verdana" w:cs="Arial"/>
          <w:color w:val="000000" w:themeColor="text1"/>
        </w:rPr>
      </w:pPr>
    </w:p>
    <w:p w14:paraId="0EF9C48A" w14:textId="77777777" w:rsidR="00694740" w:rsidRDefault="00694740" w:rsidP="00694740">
      <w:pPr>
        <w:spacing w:after="0" w:line="240" w:lineRule="auto"/>
        <w:rPr>
          <w:rFonts w:ascii="Verdana" w:eastAsia="Calibri" w:hAnsi="Verdana" w:cs="Arial"/>
          <w:color w:val="000000" w:themeColor="text1"/>
        </w:rPr>
      </w:pPr>
    </w:p>
    <w:p w14:paraId="1EF59A7B" w14:textId="77777777" w:rsidR="00694740" w:rsidRDefault="00694740" w:rsidP="00694740">
      <w:pPr>
        <w:spacing w:after="0" w:line="240" w:lineRule="auto"/>
        <w:rPr>
          <w:rFonts w:ascii="Verdana" w:eastAsia="Calibri" w:hAnsi="Verdana" w:cs="Arial"/>
          <w:color w:val="000000" w:themeColor="text1"/>
        </w:rPr>
      </w:pPr>
    </w:p>
    <w:p w14:paraId="4F342AF0" w14:textId="77777777" w:rsidR="00694740" w:rsidRDefault="00694740" w:rsidP="00694740">
      <w:pPr>
        <w:spacing w:after="0" w:line="240" w:lineRule="auto"/>
        <w:rPr>
          <w:rFonts w:ascii="Verdana" w:eastAsia="Calibri" w:hAnsi="Verdana" w:cs="Arial"/>
          <w:color w:val="000000" w:themeColor="text1"/>
        </w:rPr>
      </w:pPr>
    </w:p>
    <w:p w14:paraId="1F601341" w14:textId="77777777" w:rsidR="00694740" w:rsidRDefault="00694740" w:rsidP="00694740">
      <w:pPr>
        <w:spacing w:after="0" w:line="240" w:lineRule="auto"/>
        <w:rPr>
          <w:rFonts w:ascii="Verdana" w:eastAsia="Calibri" w:hAnsi="Verdana" w:cs="Arial"/>
          <w:color w:val="000000" w:themeColor="text1"/>
        </w:rPr>
      </w:pPr>
    </w:p>
    <w:p w14:paraId="43CF64D4" w14:textId="77777777" w:rsidR="00694740" w:rsidRDefault="00694740" w:rsidP="00694740">
      <w:pPr>
        <w:spacing w:after="0" w:line="240" w:lineRule="auto"/>
        <w:rPr>
          <w:rFonts w:ascii="Verdana" w:eastAsia="Calibri" w:hAnsi="Verdana" w:cs="Arial"/>
          <w:color w:val="000000" w:themeColor="text1"/>
        </w:rPr>
      </w:pPr>
    </w:p>
    <w:p w14:paraId="065BE60C" w14:textId="77777777" w:rsidR="00694740" w:rsidRDefault="00694740" w:rsidP="00694740">
      <w:pPr>
        <w:spacing w:after="0" w:line="240" w:lineRule="auto"/>
        <w:rPr>
          <w:rFonts w:ascii="Verdana" w:eastAsia="Calibri" w:hAnsi="Verdana" w:cs="Arial"/>
          <w:color w:val="000000" w:themeColor="text1"/>
        </w:rPr>
      </w:pPr>
    </w:p>
    <w:p w14:paraId="0E950359" w14:textId="77777777" w:rsidR="00694740" w:rsidRDefault="00694740" w:rsidP="00694740">
      <w:pPr>
        <w:spacing w:after="0" w:line="240" w:lineRule="auto"/>
        <w:rPr>
          <w:rFonts w:ascii="Verdana" w:eastAsia="Calibri" w:hAnsi="Verdana" w:cs="Arial"/>
          <w:color w:val="000000" w:themeColor="text1"/>
        </w:rPr>
      </w:pPr>
    </w:p>
    <w:p w14:paraId="05AE2E86" w14:textId="77777777" w:rsidR="00694740" w:rsidRDefault="00694740" w:rsidP="00694740">
      <w:pPr>
        <w:spacing w:after="0" w:line="240" w:lineRule="auto"/>
        <w:rPr>
          <w:rFonts w:ascii="Verdana" w:eastAsia="Calibri" w:hAnsi="Verdana" w:cs="Arial"/>
          <w:color w:val="000000" w:themeColor="text1"/>
        </w:rPr>
      </w:pPr>
    </w:p>
    <w:p w14:paraId="063B7F35" w14:textId="77777777" w:rsidR="00694740" w:rsidRDefault="00694740" w:rsidP="00694740">
      <w:pPr>
        <w:spacing w:after="0" w:line="240" w:lineRule="auto"/>
        <w:rPr>
          <w:rFonts w:ascii="Verdana" w:eastAsia="Calibri" w:hAnsi="Verdana" w:cs="Arial"/>
          <w:color w:val="000000" w:themeColor="text1"/>
        </w:rPr>
      </w:pPr>
    </w:p>
    <w:p w14:paraId="338BD465" w14:textId="77777777" w:rsidR="00694740" w:rsidRDefault="00694740" w:rsidP="00694740">
      <w:pPr>
        <w:spacing w:after="0" w:line="240" w:lineRule="auto"/>
        <w:rPr>
          <w:rFonts w:ascii="Verdana" w:eastAsia="Calibri" w:hAnsi="Verdana" w:cs="Arial"/>
          <w:color w:val="000000" w:themeColor="text1"/>
        </w:rPr>
      </w:pPr>
    </w:p>
    <w:p w14:paraId="165FECC1" w14:textId="77777777" w:rsidR="00694740" w:rsidRDefault="00694740" w:rsidP="00694740">
      <w:pPr>
        <w:spacing w:after="0" w:line="240" w:lineRule="auto"/>
        <w:rPr>
          <w:rFonts w:ascii="Verdana" w:eastAsia="Calibri" w:hAnsi="Verdana" w:cs="Arial"/>
          <w:color w:val="000000" w:themeColor="text1"/>
        </w:rPr>
      </w:pPr>
    </w:p>
    <w:p w14:paraId="790A5538" w14:textId="77777777" w:rsidR="00694740" w:rsidRDefault="00694740" w:rsidP="00694740">
      <w:pPr>
        <w:spacing w:after="0" w:line="240" w:lineRule="auto"/>
        <w:rPr>
          <w:rFonts w:ascii="Verdana" w:eastAsia="Calibri" w:hAnsi="Verdana" w:cs="Arial"/>
          <w:color w:val="000000" w:themeColor="text1"/>
        </w:rPr>
      </w:pPr>
    </w:p>
    <w:p w14:paraId="1C742C86" w14:textId="77777777" w:rsidR="00694740" w:rsidRDefault="00694740" w:rsidP="00694740">
      <w:pPr>
        <w:spacing w:after="0" w:line="240" w:lineRule="auto"/>
        <w:rPr>
          <w:rFonts w:ascii="Verdana" w:eastAsia="Calibri" w:hAnsi="Verdana" w:cs="Arial"/>
          <w:color w:val="000000" w:themeColor="text1"/>
        </w:rPr>
      </w:pPr>
    </w:p>
    <w:p w14:paraId="44103C2F" w14:textId="70FB3502" w:rsidR="00694740" w:rsidRPr="00E31648" w:rsidRDefault="00694740" w:rsidP="00694740">
      <w:pPr>
        <w:spacing w:after="0" w:line="240" w:lineRule="auto"/>
      </w:pPr>
      <w:r w:rsidRPr="00C562D4">
        <w:rPr>
          <w:rFonts w:ascii="Verdana" w:eastAsia="Calibri" w:hAnsi="Verdana" w:cs="Arial"/>
          <w:color w:val="000000" w:themeColor="text1"/>
        </w:rPr>
        <w:t xml:space="preserve">Bogotá D.C., </w:t>
      </w:r>
      <w:r w:rsidR="002C3524">
        <w:rPr>
          <w:rFonts w:ascii="Verdana" w:eastAsia="Calibri" w:hAnsi="Verdana" w:cs="Arial"/>
          <w:color w:val="000000" w:themeColor="text1"/>
        </w:rPr>
        <w:t>04</w:t>
      </w:r>
      <w:r w:rsidRPr="00C562D4">
        <w:rPr>
          <w:rFonts w:ascii="Verdana" w:eastAsia="Calibri" w:hAnsi="Verdana" w:cs="Arial"/>
          <w:color w:val="000000" w:themeColor="text1"/>
        </w:rPr>
        <w:t xml:space="preserve"> de </w:t>
      </w:r>
      <w:r w:rsidR="002C3524">
        <w:rPr>
          <w:rFonts w:ascii="Verdana" w:eastAsia="Calibri" w:hAnsi="Verdana" w:cs="Arial"/>
          <w:color w:val="000000" w:themeColor="text1"/>
        </w:rPr>
        <w:t>marzo</w:t>
      </w:r>
      <w:r w:rsidRPr="00C562D4">
        <w:rPr>
          <w:rFonts w:ascii="Verdana" w:eastAsia="Calibri" w:hAnsi="Verdana" w:cs="Arial"/>
          <w:color w:val="000000" w:themeColor="text1"/>
        </w:rPr>
        <w:t xml:space="preserve"> de 20</w:t>
      </w:r>
      <w:r>
        <w:rPr>
          <w:rFonts w:ascii="Verdana" w:eastAsia="Calibri" w:hAnsi="Verdana" w:cs="Arial"/>
          <w:color w:val="000000" w:themeColor="text1"/>
        </w:rPr>
        <w:t>26</w:t>
      </w:r>
    </w:p>
    <w:p w14:paraId="3DE1BD80" w14:textId="77777777" w:rsidR="00694740" w:rsidRDefault="00694740" w:rsidP="00694740">
      <w:pPr>
        <w:spacing w:after="0" w:line="240" w:lineRule="auto"/>
        <w:jc w:val="both"/>
        <w:rPr>
          <w:rFonts w:ascii="Verdana" w:eastAsia="Calibri" w:hAnsi="Verdana" w:cs="Arial"/>
          <w:color w:val="000000" w:themeColor="text1"/>
          <w:lang w:val="es-ES"/>
        </w:rPr>
      </w:pPr>
    </w:p>
    <w:p w14:paraId="3BC7D386" w14:textId="242D9E7A" w:rsidR="00C75831" w:rsidRDefault="00C75831" w:rsidP="00C75831">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0928FA2B" wp14:editId="63BB515F">
            <wp:extent cx="2609850" cy="762000"/>
            <wp:effectExtent l="0" t="0" r="0" b="0"/>
            <wp:docPr id="148612965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9850" cy="762000"/>
                    </a:xfrm>
                    <a:prstGeom prst="rect">
                      <a:avLst/>
                    </a:prstGeom>
                    <a:noFill/>
                    <a:ln>
                      <a:noFill/>
                    </a:ln>
                  </pic:spPr>
                </pic:pic>
              </a:graphicData>
            </a:graphic>
          </wp:inline>
        </w:drawing>
      </w:r>
    </w:p>
    <w:p w14:paraId="182FBCF5" w14:textId="77777777" w:rsidR="00694740" w:rsidRPr="00115E3D" w:rsidRDefault="00694740" w:rsidP="00694740">
      <w:pPr>
        <w:spacing w:after="0" w:line="240" w:lineRule="auto"/>
        <w:jc w:val="both"/>
        <w:rPr>
          <w:rFonts w:ascii="Verdana" w:eastAsia="Calibri" w:hAnsi="Verdana" w:cs="Arial"/>
          <w:color w:val="000000" w:themeColor="text1"/>
          <w:lang w:val="es-ES"/>
        </w:rPr>
      </w:pPr>
    </w:p>
    <w:p w14:paraId="7A70B43B" w14:textId="7045E914" w:rsidR="00694740" w:rsidRPr="00115E3D" w:rsidRDefault="00694740" w:rsidP="00694740">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sidR="00115704">
        <w:rPr>
          <w:rFonts w:ascii="Verdana" w:eastAsia="Calibri" w:hAnsi="Verdana" w:cs="Arial"/>
          <w:color w:val="000000" w:themeColor="text1"/>
          <w:lang w:val="es-ES" w:eastAsia="es-ES"/>
        </w:rPr>
        <w:t>a</w:t>
      </w:r>
    </w:p>
    <w:p w14:paraId="50BF223C" w14:textId="673C29AC" w:rsidR="00694740" w:rsidRPr="00CB73C5" w:rsidRDefault="007A6C6E" w:rsidP="00694740">
      <w:pPr>
        <w:spacing w:after="0" w:line="240" w:lineRule="auto"/>
        <w:rPr>
          <w:rFonts w:ascii="Verdana" w:eastAsia="Calibri" w:hAnsi="Verdana" w:cs="Arial"/>
          <w:b/>
          <w:bCs/>
          <w:color w:val="000000" w:themeColor="text1"/>
          <w:lang w:eastAsia="es-ES"/>
        </w:rPr>
      </w:pPr>
      <w:proofErr w:type="spellStart"/>
      <w:r w:rsidRPr="00CB73C5">
        <w:rPr>
          <w:rFonts w:ascii="Verdana" w:eastAsia="Calibri" w:hAnsi="Verdana" w:cs="Arial"/>
          <w:b/>
          <w:bCs/>
          <w:color w:val="000000" w:themeColor="text1"/>
          <w:lang w:eastAsia="es-ES"/>
        </w:rPr>
        <w:t>Nicolle</w:t>
      </w:r>
      <w:proofErr w:type="spellEnd"/>
      <w:r w:rsidRPr="00CB73C5">
        <w:rPr>
          <w:rFonts w:ascii="Verdana" w:eastAsia="Calibri" w:hAnsi="Verdana" w:cs="Arial"/>
          <w:b/>
          <w:bCs/>
          <w:color w:val="000000" w:themeColor="text1"/>
          <w:lang w:eastAsia="es-ES"/>
        </w:rPr>
        <w:t xml:space="preserve"> Daniela Rueda Fernández</w:t>
      </w:r>
    </w:p>
    <w:p w14:paraId="4F9139BA" w14:textId="77777777" w:rsidR="00694740" w:rsidRPr="00CB73C5" w:rsidRDefault="00694740" w:rsidP="00694740">
      <w:pPr>
        <w:spacing w:after="0" w:line="240" w:lineRule="auto"/>
        <w:rPr>
          <w:rFonts w:ascii="Verdana" w:eastAsia="Calibri" w:hAnsi="Verdana" w:cs="Arial"/>
          <w:b/>
          <w:bCs/>
          <w:color w:val="000000" w:themeColor="text1"/>
          <w:lang w:eastAsia="es-ES"/>
        </w:rPr>
      </w:pPr>
      <w:hyperlink r:id="rId11" w:history="1">
        <w:r w:rsidRPr="00CB73C5">
          <w:rPr>
            <w:rStyle w:val="Hipervnculo"/>
            <w:rFonts w:ascii="Verdana" w:eastAsia="Calibri" w:hAnsi="Verdana" w:cs="Arial"/>
            <w:lang w:eastAsia="es-ES"/>
          </w:rPr>
          <w:t>nrueda266@unab.edu.co</w:t>
        </w:r>
      </w:hyperlink>
      <w:r w:rsidRPr="00CB73C5">
        <w:rPr>
          <w:rFonts w:ascii="Verdana" w:eastAsia="Calibri" w:hAnsi="Verdana" w:cs="Arial"/>
          <w:color w:val="000000" w:themeColor="text1"/>
          <w:lang w:eastAsia="es-ES"/>
        </w:rPr>
        <w:t xml:space="preserve"> </w:t>
      </w:r>
    </w:p>
    <w:p w14:paraId="11607DEC" w14:textId="77777777" w:rsidR="00694740" w:rsidRPr="00CB7ABE" w:rsidRDefault="00694740" w:rsidP="00694740">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694740" w:rsidRPr="00115E3D" w14:paraId="1A9145A0" w14:textId="77777777" w:rsidTr="00226A1B">
        <w:trPr>
          <w:trHeight w:val="615"/>
        </w:trPr>
        <w:tc>
          <w:tcPr>
            <w:tcW w:w="2270" w:type="dxa"/>
          </w:tcPr>
          <w:p w14:paraId="3DCB890C" w14:textId="77777777" w:rsidR="00694740" w:rsidRPr="00CB7ABE" w:rsidRDefault="00694740" w:rsidP="00226A1B">
            <w:pPr>
              <w:jc w:val="both"/>
              <w:rPr>
                <w:rFonts w:ascii="Verdana" w:eastAsia="Calibri" w:hAnsi="Verdana" w:cs="Arial"/>
                <w:b/>
                <w:bCs/>
                <w:color w:val="000000" w:themeColor="text1"/>
                <w:lang w:eastAsia="es-ES_tradnl"/>
              </w:rPr>
            </w:pPr>
          </w:p>
        </w:tc>
        <w:tc>
          <w:tcPr>
            <w:tcW w:w="6547" w:type="dxa"/>
          </w:tcPr>
          <w:p w14:paraId="445561AF" w14:textId="77777777" w:rsidR="00694740" w:rsidRPr="00115E3D" w:rsidRDefault="00694740" w:rsidP="00226A1B">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096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694740" w:rsidRPr="007E403E" w14:paraId="4018761A" w14:textId="77777777" w:rsidTr="00226A1B">
        <w:trPr>
          <w:trHeight w:val="1071"/>
        </w:trPr>
        <w:tc>
          <w:tcPr>
            <w:tcW w:w="2270" w:type="dxa"/>
          </w:tcPr>
          <w:p w14:paraId="5228D6CD" w14:textId="77777777" w:rsidR="00694740" w:rsidRPr="00115E3D" w:rsidRDefault="00694740" w:rsidP="00226A1B">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547" w:type="dxa"/>
          </w:tcPr>
          <w:p w14:paraId="03C561D9" w14:textId="77777777" w:rsidR="00694740" w:rsidRPr="002168A0" w:rsidRDefault="00694740" w:rsidP="00226A1B">
            <w:pPr>
              <w:jc w:val="both"/>
              <w:rPr>
                <w:rFonts w:ascii="Verdana" w:hAnsi="Verdana" w:cs="Arial"/>
                <w:lang w:val="es-ES" w:eastAsia="es-ES"/>
              </w:rPr>
            </w:pPr>
            <w:r w:rsidRPr="0049500E">
              <w:rPr>
                <w:rFonts w:ascii="Verdana" w:eastAsia="Times New Roman" w:hAnsi="Verdana" w:cs="Arial"/>
                <w:lang w:val="es-MX" w:eastAsia="es-CO"/>
              </w:rPr>
              <w:t>SELECCIÓN ABREVIADA – Modalidad de selección – Naturaleza </w:t>
            </w:r>
            <w:r w:rsidRPr="0049500E">
              <w:rPr>
                <w:rFonts w:ascii="Verdana" w:eastAsia="Times New Roman" w:hAnsi="Verdana" w:cs="Arial"/>
                <w:lang w:eastAsia="es-CO"/>
              </w:rPr>
              <w:t xml:space="preserve">/ </w:t>
            </w:r>
            <w:r w:rsidRPr="00352349">
              <w:rPr>
                <w:rFonts w:ascii="Verdana" w:eastAsia="Times New Roman" w:hAnsi="Verdana" w:cs="Arial"/>
                <w:lang w:val="es-MX" w:eastAsia="es-CO"/>
              </w:rPr>
              <w:t>SELECCIÓN ABREVIADA MENOR CUANTÍA – Manifestación de interés – Sorteo</w:t>
            </w:r>
          </w:p>
          <w:p w14:paraId="46478079" w14:textId="77777777" w:rsidR="00694740" w:rsidRPr="007E403E" w:rsidRDefault="00694740" w:rsidP="00226A1B">
            <w:pPr>
              <w:spacing w:line="276" w:lineRule="auto"/>
              <w:jc w:val="both"/>
              <w:rPr>
                <w:rFonts w:ascii="Verdana" w:eastAsia="Calibri" w:hAnsi="Verdana" w:cs="Arial"/>
                <w:color w:val="000000" w:themeColor="text1"/>
                <w:highlight w:val="yellow"/>
                <w:lang w:val="es-ES" w:eastAsia="es-ES"/>
              </w:rPr>
            </w:pPr>
          </w:p>
        </w:tc>
      </w:tr>
      <w:tr w:rsidR="00694740" w:rsidRPr="00115E3D" w14:paraId="55DB372C" w14:textId="77777777" w:rsidTr="00226A1B">
        <w:trPr>
          <w:trHeight w:val="653"/>
        </w:trPr>
        <w:tc>
          <w:tcPr>
            <w:tcW w:w="2270" w:type="dxa"/>
          </w:tcPr>
          <w:p w14:paraId="05779C9D" w14:textId="77777777" w:rsidR="00694740" w:rsidRPr="00CB7ABE" w:rsidRDefault="00694740" w:rsidP="00226A1B">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8BFEC5B" w14:textId="77777777" w:rsidR="00694740" w:rsidRPr="00CB7ABE" w:rsidRDefault="00694740" w:rsidP="00226A1B">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w:t>
            </w:r>
            <w:proofErr w:type="spellStart"/>
            <w:r>
              <w:rPr>
                <w:rFonts w:ascii="Verdana" w:eastAsia="Calibri" w:hAnsi="Verdana" w:cs="Arial"/>
                <w:color w:val="000000" w:themeColor="text1"/>
                <w:lang w:val="es-ES_tradnl" w:eastAsia="es-ES_tradnl"/>
              </w:rPr>
              <w:t>Nº</w:t>
            </w:r>
            <w:proofErr w:type="spellEnd"/>
            <w:r>
              <w:rPr>
                <w:rFonts w:ascii="Verdana" w:eastAsia="Calibri" w:hAnsi="Verdana" w:cs="Arial"/>
                <w:color w:val="000000" w:themeColor="text1"/>
                <w:lang w:val="es-ES_tradnl" w:eastAsia="es-ES_tradnl"/>
              </w:rPr>
              <w:t xml:space="preserve"> </w:t>
            </w:r>
            <w:r w:rsidRPr="00CB73C5">
              <w:rPr>
                <w:rFonts w:ascii="Verdana" w:hAnsi="Verdana"/>
                <w:color w:val="000000"/>
              </w:rPr>
              <w:t>1_2026_01_26_000775</w:t>
            </w:r>
          </w:p>
        </w:tc>
      </w:tr>
    </w:tbl>
    <w:p w14:paraId="55E08433" w14:textId="77777777" w:rsidR="00694740" w:rsidRPr="00115E3D" w:rsidRDefault="00694740" w:rsidP="00694740">
      <w:pPr>
        <w:spacing w:after="0" w:line="240" w:lineRule="auto"/>
        <w:jc w:val="both"/>
        <w:rPr>
          <w:rFonts w:ascii="Verdana" w:eastAsia="Calibri" w:hAnsi="Verdana" w:cs="Arial"/>
          <w:color w:val="000000" w:themeColor="text1"/>
          <w:lang w:val="es-ES_tradnl" w:eastAsia="es-ES_tradnl"/>
        </w:rPr>
      </w:pPr>
    </w:p>
    <w:p w14:paraId="213C83FA" w14:textId="77777777" w:rsidR="00694740" w:rsidRPr="00115E3D" w:rsidRDefault="00694740" w:rsidP="00694740">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a </w:t>
      </w:r>
      <w:r>
        <w:rPr>
          <w:rFonts w:ascii="Verdana" w:eastAsia="Calibri" w:hAnsi="Verdana" w:cs="Arial"/>
          <w:color w:val="000000" w:themeColor="text1"/>
          <w:lang w:eastAsia="es-ES"/>
        </w:rPr>
        <w:t>Rueda</w:t>
      </w:r>
      <w:r>
        <w:rPr>
          <w:rFonts w:ascii="Verdana" w:eastAsia="Calibri" w:hAnsi="Verdana" w:cs="Arial"/>
          <w:color w:val="000000" w:themeColor="text1"/>
          <w:lang w:val="es-ES" w:eastAsia="es-ES"/>
        </w:rPr>
        <w:t>;</w:t>
      </w:r>
    </w:p>
    <w:p w14:paraId="299FD36E" w14:textId="77777777" w:rsidR="00694740" w:rsidRPr="00115E3D" w:rsidRDefault="00694740" w:rsidP="00694740">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37EF2FB" w14:textId="77777777" w:rsidR="00694740" w:rsidRPr="00115E3D" w:rsidRDefault="00694740" w:rsidP="00694740">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trasladada por el Departamento Administrativo de la Función Pública y radicada en esta entidad el 26 de enero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683C8716" w14:textId="77777777" w:rsidR="00694740" w:rsidRDefault="00694740" w:rsidP="00694740">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7517333A" w14:textId="77777777" w:rsidR="00694740" w:rsidRPr="004F1EAD" w:rsidRDefault="00694740" w:rsidP="00694740">
      <w:pPr>
        <w:spacing w:after="0" w:line="240" w:lineRule="auto"/>
        <w:ind w:left="709" w:right="709"/>
        <w:jc w:val="both"/>
        <w:rPr>
          <w:rFonts w:ascii="Verdana" w:eastAsia="Century Gothic" w:hAnsi="Verdana" w:cs="Century Gothic"/>
          <w:i/>
          <w:iCs/>
          <w:color w:val="000000" w:themeColor="text1"/>
          <w:sz w:val="20"/>
          <w:szCs w:val="20"/>
          <w:lang w:val="es-ES"/>
        </w:rPr>
      </w:pPr>
      <w:r>
        <w:rPr>
          <w:rFonts w:ascii="Verdana" w:eastAsia="Century Gothic" w:hAnsi="Verdana" w:cs="Century Gothic"/>
          <w:i/>
          <w:iCs/>
          <w:color w:val="000000" w:themeColor="text1"/>
          <w:sz w:val="20"/>
          <w:szCs w:val="20"/>
          <w:lang w:val="es-ES"/>
        </w:rPr>
        <w:t>“</w:t>
      </w:r>
      <w:r w:rsidRPr="00CB73C5">
        <w:rPr>
          <w:rFonts w:ascii="Verdana" w:eastAsia="Century Gothic" w:hAnsi="Verdana" w:cs="Century Gothic"/>
          <w:i/>
          <w:iCs/>
          <w:color w:val="000000" w:themeColor="text1"/>
          <w:sz w:val="20"/>
          <w:szCs w:val="20"/>
        </w:rPr>
        <w:t xml:space="preserve">1. Luego de cumplir lo requerido en el artículo 2.2.1.2.1.2.20 del Decreto 1082 de 2015, hipotéticamente si 200 oferentes realizan la manifestación de interés, pero solo se presentan 15 en la audiencia de sorteo, la entidad puede excluir de dicho sorteo a los 180 ausentes? </w:t>
      </w:r>
    </w:p>
    <w:p w14:paraId="161528EA" w14:textId="77777777" w:rsidR="00694740" w:rsidRPr="00CB73C5" w:rsidRDefault="00694740" w:rsidP="00694740">
      <w:pPr>
        <w:spacing w:after="0" w:line="240" w:lineRule="auto"/>
        <w:ind w:left="709" w:right="709"/>
        <w:jc w:val="both"/>
        <w:rPr>
          <w:rFonts w:ascii="Verdana" w:eastAsia="Century Gothic" w:hAnsi="Verdana" w:cs="Century Gothic"/>
          <w:i/>
          <w:iCs/>
          <w:color w:val="000000" w:themeColor="text1"/>
          <w:sz w:val="20"/>
          <w:szCs w:val="20"/>
        </w:rPr>
      </w:pPr>
    </w:p>
    <w:p w14:paraId="44CF61C3" w14:textId="77777777" w:rsidR="00694740" w:rsidRPr="00CB73C5" w:rsidRDefault="00694740" w:rsidP="00694740">
      <w:pPr>
        <w:spacing w:after="0" w:line="240" w:lineRule="auto"/>
        <w:ind w:left="709" w:right="709"/>
        <w:jc w:val="both"/>
        <w:rPr>
          <w:rFonts w:ascii="Verdana" w:eastAsia="Century Gothic" w:hAnsi="Verdana" w:cs="Century Gothic"/>
          <w:i/>
          <w:iCs/>
          <w:color w:val="000000" w:themeColor="text1"/>
          <w:sz w:val="20"/>
          <w:szCs w:val="20"/>
        </w:rPr>
      </w:pPr>
      <w:r w:rsidRPr="00CB73C5">
        <w:rPr>
          <w:rFonts w:ascii="Verdana" w:eastAsia="Century Gothic" w:hAnsi="Verdana" w:cs="Century Gothic"/>
          <w:i/>
          <w:iCs/>
          <w:color w:val="000000" w:themeColor="text1"/>
          <w:sz w:val="20"/>
          <w:szCs w:val="20"/>
        </w:rPr>
        <w:t xml:space="preserve">2. Es requisito asistir a la audiencia de sorteo luego de hacerse la manifestación de interés? </w:t>
      </w:r>
    </w:p>
    <w:p w14:paraId="62E65DFD" w14:textId="77777777" w:rsidR="00694740" w:rsidRPr="00CB73C5" w:rsidRDefault="00694740" w:rsidP="00694740">
      <w:pPr>
        <w:spacing w:after="0" w:line="240" w:lineRule="auto"/>
        <w:ind w:left="709" w:right="709"/>
        <w:jc w:val="both"/>
        <w:rPr>
          <w:rFonts w:ascii="Verdana" w:eastAsia="Century Gothic" w:hAnsi="Verdana" w:cs="Century Gothic"/>
          <w:i/>
          <w:iCs/>
          <w:color w:val="000000" w:themeColor="text1"/>
          <w:sz w:val="20"/>
          <w:szCs w:val="20"/>
        </w:rPr>
      </w:pPr>
    </w:p>
    <w:p w14:paraId="3AB09F2F" w14:textId="77777777" w:rsidR="00694740" w:rsidRDefault="00694740" w:rsidP="00694740">
      <w:pPr>
        <w:spacing w:after="0" w:line="240" w:lineRule="auto"/>
        <w:ind w:left="709" w:right="709"/>
        <w:jc w:val="both"/>
        <w:rPr>
          <w:rFonts w:ascii="Verdana" w:eastAsia="Century Gothic" w:hAnsi="Verdana" w:cs="Century Gothic"/>
          <w:i/>
          <w:iCs/>
          <w:color w:val="000000" w:themeColor="text1"/>
          <w:sz w:val="20"/>
          <w:szCs w:val="20"/>
        </w:rPr>
      </w:pPr>
      <w:r w:rsidRPr="00CB73C5">
        <w:rPr>
          <w:rFonts w:ascii="Verdana" w:eastAsia="Century Gothic" w:hAnsi="Verdana" w:cs="Century Gothic"/>
          <w:i/>
          <w:iCs/>
          <w:color w:val="000000" w:themeColor="text1"/>
          <w:sz w:val="20"/>
          <w:szCs w:val="20"/>
        </w:rPr>
        <w:lastRenderedPageBreak/>
        <w:t>3. ¿Si me ausento en la audiencia de sorteo, la entidad me puede excluir pese a que mi nombre salió en papelito durante el sorteo? Solicito sustento jurídico frente a las preguntas realizadas.</w:t>
      </w:r>
      <w:r>
        <w:rPr>
          <w:rFonts w:ascii="Verdana" w:eastAsia="Century Gothic" w:hAnsi="Verdana" w:cs="Century Gothic"/>
          <w:i/>
          <w:iCs/>
          <w:color w:val="000000" w:themeColor="text1"/>
          <w:sz w:val="20"/>
          <w:szCs w:val="20"/>
          <w:lang w:val="es-MX"/>
        </w:rPr>
        <w:t>”</w:t>
      </w:r>
    </w:p>
    <w:p w14:paraId="24D7939C" w14:textId="77777777" w:rsidR="00694740" w:rsidRDefault="00694740" w:rsidP="00694740">
      <w:pPr>
        <w:spacing w:after="0" w:line="240" w:lineRule="auto"/>
        <w:ind w:left="709" w:right="709"/>
        <w:jc w:val="both"/>
        <w:rPr>
          <w:rFonts w:ascii="Verdana" w:eastAsia="Century Gothic" w:hAnsi="Verdana" w:cs="Century Gothic"/>
          <w:i/>
          <w:iCs/>
          <w:color w:val="000000" w:themeColor="text1"/>
          <w:sz w:val="20"/>
          <w:szCs w:val="20"/>
        </w:rPr>
      </w:pPr>
    </w:p>
    <w:p w14:paraId="7D4690B9" w14:textId="77777777" w:rsidR="00694740" w:rsidRDefault="00694740" w:rsidP="00694740">
      <w:pPr>
        <w:spacing w:after="0" w:line="240" w:lineRule="auto"/>
        <w:ind w:left="709" w:right="709"/>
        <w:jc w:val="both"/>
        <w:rPr>
          <w:rFonts w:ascii="Verdana" w:eastAsia="Century Gothic" w:hAnsi="Verdana" w:cs="Century Gothic"/>
          <w:i/>
          <w:iCs/>
          <w:color w:val="000000" w:themeColor="text1"/>
          <w:sz w:val="20"/>
          <w:szCs w:val="20"/>
        </w:rPr>
      </w:pPr>
    </w:p>
    <w:p w14:paraId="172B0D3C" w14:textId="77777777" w:rsidR="00694740" w:rsidRDefault="00694740" w:rsidP="00694740">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9A76C5E" w14:textId="77777777" w:rsidR="00694740" w:rsidRPr="00115E3D" w:rsidRDefault="00694740" w:rsidP="00694740">
      <w:pPr>
        <w:spacing w:after="0" w:line="240" w:lineRule="auto"/>
        <w:ind w:right="49"/>
        <w:jc w:val="both"/>
        <w:rPr>
          <w:rFonts w:ascii="Verdana" w:eastAsia="Calibri" w:hAnsi="Verdana" w:cs="Arial"/>
          <w:color w:val="000000" w:themeColor="text1"/>
          <w:szCs w:val="24"/>
          <w:lang w:val="es-ES_tradnl" w:eastAsia="es-ES_tradnl"/>
        </w:rPr>
      </w:pPr>
    </w:p>
    <w:p w14:paraId="56F54D7B" w14:textId="77777777" w:rsidR="00694740" w:rsidRPr="00115E3D" w:rsidRDefault="00694740" w:rsidP="00694740">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1BAA40C7" w14:textId="77777777" w:rsidR="00694740" w:rsidRPr="00115E3D" w:rsidRDefault="00694740" w:rsidP="00694740">
      <w:pPr>
        <w:spacing w:after="0" w:line="276" w:lineRule="auto"/>
        <w:ind w:firstLine="709"/>
        <w:jc w:val="both"/>
        <w:rPr>
          <w:rFonts w:ascii="Verdana" w:eastAsia="Calibri" w:hAnsi="Verdana" w:cs="Arial"/>
          <w:color w:val="000000" w:themeColor="text1"/>
          <w:lang w:val="es-ES" w:eastAsia="es-ES"/>
        </w:rPr>
      </w:pPr>
    </w:p>
    <w:p w14:paraId="6D83C4A4" w14:textId="77777777" w:rsidR="00694740" w:rsidRPr="00115E3D" w:rsidRDefault="00694740" w:rsidP="0069474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31BCA2D" w14:textId="77777777" w:rsidR="00694740" w:rsidRPr="00115E3D" w:rsidRDefault="00694740" w:rsidP="00694740">
      <w:pPr>
        <w:tabs>
          <w:tab w:val="left" w:pos="426"/>
        </w:tabs>
        <w:spacing w:after="0" w:line="276" w:lineRule="auto"/>
        <w:jc w:val="both"/>
        <w:rPr>
          <w:rFonts w:ascii="Verdana" w:eastAsia="Century Gothic" w:hAnsi="Verdana" w:cs="Century Gothic"/>
          <w:color w:val="000000" w:themeColor="text1"/>
          <w:lang w:val="es-ES"/>
        </w:rPr>
      </w:pPr>
    </w:p>
    <w:p w14:paraId="0C281145" w14:textId="77777777" w:rsidR="00694740" w:rsidRDefault="00694740" w:rsidP="00694740">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De acuerdo con el contenido de su solicitud, esta Agencia resolverá el siguiente problema jurídico:</w:t>
      </w:r>
      <w:r w:rsidRPr="00946693">
        <w:t xml:space="preserve"> </w:t>
      </w:r>
      <w:r w:rsidRPr="00AF79BC">
        <w:rPr>
          <w:rFonts w:ascii="Verdana" w:hAnsi="Verdana"/>
        </w:rPr>
        <w:t>¿Cuál es el procedimiento que se debe llevar a cabo para realizar el sorteo previsto en el numeral segundo del artículo 2</w:t>
      </w:r>
      <w:r>
        <w:rPr>
          <w:rFonts w:ascii="Verdana" w:hAnsi="Verdana"/>
        </w:rPr>
        <w:t>.</w:t>
      </w:r>
      <w:r w:rsidRPr="00AF79BC">
        <w:rPr>
          <w:rFonts w:ascii="Verdana" w:hAnsi="Verdana"/>
        </w:rPr>
        <w:t>2.1.2.1.2.20 del Decreto 1082 de 2015?</w:t>
      </w:r>
    </w:p>
    <w:p w14:paraId="782B2D59" w14:textId="77777777" w:rsidR="00694740" w:rsidRPr="00AD7C7C" w:rsidRDefault="00694740" w:rsidP="00694740">
      <w:pPr>
        <w:spacing w:after="0" w:line="276" w:lineRule="auto"/>
        <w:jc w:val="both"/>
        <w:rPr>
          <w:rFonts w:ascii="Verdana" w:eastAsia="Century Gothic" w:hAnsi="Verdana" w:cs="Century Gothic"/>
        </w:rPr>
      </w:pPr>
    </w:p>
    <w:p w14:paraId="2B77B2C2" w14:textId="77777777" w:rsidR="00694740" w:rsidRPr="00115E3D" w:rsidRDefault="00694740" w:rsidP="006947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2A118708" w14:textId="77777777" w:rsidR="00694740" w:rsidRPr="00115E3D" w:rsidRDefault="00694740" w:rsidP="0069474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4740" w:rsidRPr="00115E3D" w14:paraId="18DE371A" w14:textId="77777777" w:rsidTr="00226A1B">
        <w:trPr>
          <w:trHeight w:val="774"/>
        </w:trPr>
        <w:tc>
          <w:tcPr>
            <w:tcW w:w="8828" w:type="dxa"/>
          </w:tcPr>
          <w:p w14:paraId="7D760D7A" w14:textId="77777777" w:rsidR="00694740" w:rsidRPr="00AD7C7C" w:rsidRDefault="00694740" w:rsidP="00226A1B">
            <w:pPr>
              <w:spacing w:line="276" w:lineRule="auto"/>
              <w:jc w:val="both"/>
              <w:rPr>
                <w:rFonts w:ascii="Verdana" w:eastAsia="Calibri" w:hAnsi="Verdana" w:cs="Arial"/>
              </w:rPr>
            </w:pPr>
            <w:r>
              <w:rPr>
                <w:rFonts w:ascii="Verdana" w:eastAsia="Calibri" w:hAnsi="Verdana" w:cs="Arial"/>
              </w:rPr>
              <w:t xml:space="preserve">          </w:t>
            </w:r>
            <w:r w:rsidRPr="008F1280">
              <w:rPr>
                <w:rFonts w:ascii="Verdana" w:eastAsia="Calibri" w:hAnsi="Verdana" w:cs="Arial"/>
              </w:rPr>
              <w:t xml:space="preserve">De manera preliminar es pertinente indicar que </w:t>
            </w:r>
            <w:r>
              <w:rPr>
                <w:rFonts w:ascii="Verdana" w:eastAsia="Calibri" w:hAnsi="Verdana" w:cs="Arial"/>
              </w:rPr>
              <w:t>l</w:t>
            </w:r>
            <w:r w:rsidRPr="00AD7C7C">
              <w:rPr>
                <w:rFonts w:ascii="Verdana" w:eastAsia="Calibri" w:hAnsi="Verdana" w:cs="Arial"/>
              </w:rPr>
              <w:t xml:space="preserve">a selección abreviada se caracteriza por contar con etapas sencillas y términos más cortos que los </w:t>
            </w:r>
            <w:r w:rsidRPr="00AD7C7C">
              <w:rPr>
                <w:rFonts w:ascii="Verdana" w:eastAsia="Calibri" w:hAnsi="Verdana" w:cs="Arial"/>
              </w:rPr>
              <w:lastRenderedPageBreak/>
              <w:t>de la licitación pública, lo cual se justifica por la naturaleza y objeto de los contratos que se adelantan bajo esta modalidad.</w:t>
            </w:r>
          </w:p>
          <w:p w14:paraId="34EFFDC7" w14:textId="77777777" w:rsidR="00694740" w:rsidRPr="00AD7C7C" w:rsidRDefault="00694740" w:rsidP="00226A1B">
            <w:pPr>
              <w:spacing w:line="276" w:lineRule="auto"/>
              <w:jc w:val="both"/>
              <w:rPr>
                <w:rFonts w:ascii="Verdana" w:eastAsia="Calibri" w:hAnsi="Verdana" w:cs="Arial"/>
              </w:rPr>
            </w:pPr>
          </w:p>
          <w:p w14:paraId="75E789E4" w14:textId="77777777" w:rsidR="00694740" w:rsidRPr="00AD7C7C" w:rsidRDefault="00694740" w:rsidP="00226A1B">
            <w:pPr>
              <w:spacing w:line="276" w:lineRule="auto"/>
              <w:jc w:val="both"/>
              <w:rPr>
                <w:rFonts w:ascii="Verdana" w:eastAsia="Calibri" w:hAnsi="Verdana" w:cs="Arial"/>
              </w:rPr>
            </w:pPr>
            <w:r>
              <w:rPr>
                <w:rFonts w:ascii="Verdana" w:eastAsia="Calibri" w:hAnsi="Verdana" w:cs="Arial"/>
              </w:rPr>
              <w:t xml:space="preserve">          </w:t>
            </w:r>
            <w:r w:rsidRPr="00AD7C7C">
              <w:rPr>
                <w:rFonts w:ascii="Verdana" w:eastAsia="Calibri" w:hAnsi="Verdana" w:cs="Arial"/>
              </w:rPr>
              <w:t>En este sentido, el inciso segundo del artículo 2.2.1.2.1.2.20 del Decreto 1082 de 2015 dispone que, en los procesos de selección abreviada de menor cuantía, cuando una entidad estatal reciba más de diez (10) manifestaciones de interés, podrá realizar un sorteo para seleccionar hasta diez (10) interesados con quienes continuará el proceso de contratación.</w:t>
            </w:r>
          </w:p>
          <w:p w14:paraId="4EA1DE6C" w14:textId="77777777" w:rsidR="00694740" w:rsidRPr="00AD7C7C" w:rsidRDefault="00694740" w:rsidP="00226A1B">
            <w:pPr>
              <w:spacing w:line="276" w:lineRule="auto"/>
              <w:jc w:val="both"/>
              <w:rPr>
                <w:rFonts w:ascii="Verdana" w:eastAsia="Calibri" w:hAnsi="Verdana" w:cs="Arial"/>
              </w:rPr>
            </w:pPr>
          </w:p>
          <w:p w14:paraId="32DEB2F9" w14:textId="77777777" w:rsidR="00694740" w:rsidRPr="00AD7C7C" w:rsidRDefault="00694740" w:rsidP="00226A1B">
            <w:pPr>
              <w:spacing w:line="276" w:lineRule="auto"/>
              <w:jc w:val="both"/>
              <w:rPr>
                <w:rFonts w:ascii="Verdana" w:eastAsia="Calibri" w:hAnsi="Verdana" w:cs="Arial"/>
              </w:rPr>
            </w:pPr>
            <w:r>
              <w:rPr>
                <w:rFonts w:ascii="Verdana" w:eastAsia="Calibri" w:hAnsi="Verdana" w:cs="Arial"/>
              </w:rPr>
              <w:t xml:space="preserve">           </w:t>
            </w:r>
            <w:r w:rsidRPr="00AD7C7C">
              <w:rPr>
                <w:rFonts w:ascii="Verdana" w:eastAsia="Calibri" w:hAnsi="Verdana" w:cs="Arial"/>
              </w:rPr>
              <w:t>Si bien la norma no establece un procedimiento único y obligatorio para la realización del sorteo, sí impone a la entidad estatal el deber de definir de manera clara en los pliegos de condiciones las reglas bajo las cuales este se llevará a cabo, incluyendo expresamente si la asistencia física a la audiencia de sorteo constituye o no un requisito para permanecer en el proceso.</w:t>
            </w:r>
          </w:p>
          <w:p w14:paraId="2484B6DA" w14:textId="77777777" w:rsidR="00694740" w:rsidRPr="00AD7C7C" w:rsidRDefault="00694740" w:rsidP="00226A1B">
            <w:pPr>
              <w:spacing w:line="276" w:lineRule="auto"/>
              <w:jc w:val="both"/>
              <w:rPr>
                <w:rFonts w:ascii="Verdana" w:eastAsia="Calibri" w:hAnsi="Verdana" w:cs="Arial"/>
              </w:rPr>
            </w:pPr>
          </w:p>
          <w:p w14:paraId="12678C1C" w14:textId="77777777" w:rsidR="00694740" w:rsidRPr="00AD7C7C" w:rsidRDefault="00694740" w:rsidP="00226A1B">
            <w:pPr>
              <w:spacing w:line="276" w:lineRule="auto"/>
              <w:jc w:val="both"/>
              <w:rPr>
                <w:rFonts w:ascii="Verdana" w:eastAsia="Calibri" w:hAnsi="Verdana" w:cs="Arial"/>
              </w:rPr>
            </w:pPr>
            <w:r>
              <w:rPr>
                <w:rFonts w:ascii="Verdana" w:eastAsia="Calibri" w:hAnsi="Verdana" w:cs="Arial"/>
              </w:rPr>
              <w:t xml:space="preserve">         Lo anterior c</w:t>
            </w:r>
            <w:r w:rsidRPr="00AD7C7C">
              <w:rPr>
                <w:rFonts w:ascii="Verdana" w:eastAsia="Calibri" w:hAnsi="Verdana" w:cs="Arial"/>
              </w:rPr>
              <w:t>on el fin de garantizar los principios de transparencia, imparcialidad, publicidad e igualdad de oportunidades, el sorteo debe realizarse en audiencia pública, lo cual implica que el acto sea abierto al público, permitiendo la asistencia de los posibles oferentes y de las veedurías ciudadanas interesadas. No obstante, la sola publicidad del evento no equivale a imponer la obligación de presencia física, salvo que así se establezca expresamente en los documentos del proceso.</w:t>
            </w:r>
          </w:p>
          <w:p w14:paraId="2976C984" w14:textId="77777777" w:rsidR="00694740" w:rsidRPr="00AD7C7C" w:rsidRDefault="00694740" w:rsidP="00226A1B">
            <w:pPr>
              <w:spacing w:line="276" w:lineRule="auto"/>
              <w:jc w:val="both"/>
              <w:rPr>
                <w:rFonts w:ascii="Verdana" w:eastAsia="Calibri" w:hAnsi="Verdana" w:cs="Arial"/>
              </w:rPr>
            </w:pPr>
          </w:p>
          <w:p w14:paraId="4D1DA166" w14:textId="77777777" w:rsidR="00694740" w:rsidRDefault="00694740" w:rsidP="00226A1B">
            <w:pPr>
              <w:spacing w:line="276" w:lineRule="auto"/>
              <w:jc w:val="both"/>
              <w:rPr>
                <w:rFonts w:ascii="Verdana" w:eastAsia="Calibri" w:hAnsi="Verdana" w:cs="Arial"/>
              </w:rPr>
            </w:pPr>
            <w:r>
              <w:rPr>
                <w:rFonts w:ascii="Verdana" w:eastAsia="Calibri" w:hAnsi="Verdana" w:cs="Arial"/>
              </w:rPr>
              <w:t xml:space="preserve">          Por su parte</w:t>
            </w:r>
            <w:r w:rsidRPr="00AD7C7C">
              <w:rPr>
                <w:rFonts w:ascii="Verdana" w:eastAsia="Calibri" w:hAnsi="Verdana" w:cs="Arial"/>
              </w:rPr>
              <w:t>, respecto al lugar de realización del sorteo, la normativa no fija una ubicación específica; sin embargo, lo usual es que se realice en las instalaciones de la entidad, o en cualquier otro espacio que garantice el acceso público y el respeto de los principios que rigen la función administrativa.</w:t>
            </w:r>
          </w:p>
          <w:p w14:paraId="04C594BC" w14:textId="77777777" w:rsidR="00694740" w:rsidRDefault="00694740" w:rsidP="00226A1B">
            <w:pPr>
              <w:spacing w:line="276" w:lineRule="auto"/>
              <w:jc w:val="both"/>
              <w:rPr>
                <w:rFonts w:ascii="Verdana" w:eastAsia="Calibri" w:hAnsi="Verdana" w:cs="Arial"/>
              </w:rPr>
            </w:pPr>
          </w:p>
          <w:p w14:paraId="2AE79922" w14:textId="77777777" w:rsidR="00694740" w:rsidRDefault="00694740" w:rsidP="00226A1B">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1EA86F8" w14:textId="77777777" w:rsidR="00694740" w:rsidRDefault="00694740" w:rsidP="00226A1B">
            <w:pPr>
              <w:spacing w:line="276" w:lineRule="auto"/>
              <w:contextualSpacing/>
              <w:jc w:val="both"/>
              <w:rPr>
                <w:rFonts w:ascii="Verdana" w:eastAsia="Calibri" w:hAnsi="Verdana" w:cs="Times New Roman"/>
                <w:lang w:val="es-ES"/>
              </w:rPr>
            </w:pPr>
          </w:p>
          <w:p w14:paraId="6D4894DC" w14:textId="77777777" w:rsidR="00694740" w:rsidRDefault="00694740" w:rsidP="00226A1B">
            <w:pPr>
              <w:spacing w:line="276" w:lineRule="auto"/>
              <w:contextualSpacing/>
              <w:jc w:val="both"/>
              <w:rPr>
                <w:rFonts w:ascii="Verdana" w:eastAsia="Calibri" w:hAnsi="Verdana" w:cs="Times New Roman"/>
                <w:lang w:val="es-ES"/>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1483A1AD" w14:textId="77777777" w:rsidR="00694740" w:rsidRPr="0029110A" w:rsidRDefault="00694740" w:rsidP="00226A1B">
            <w:pPr>
              <w:spacing w:line="276" w:lineRule="auto"/>
              <w:contextualSpacing/>
              <w:jc w:val="both"/>
              <w:rPr>
                <w:rFonts w:ascii="Verdana" w:eastAsia="Calibri" w:hAnsi="Verdana" w:cs="Times New Roman"/>
                <w:lang w:val="es-ES"/>
              </w:rPr>
            </w:pPr>
          </w:p>
        </w:tc>
      </w:tr>
      <w:tr w:rsidR="00694740" w:rsidRPr="00115E3D" w14:paraId="066B246F" w14:textId="77777777" w:rsidTr="00226A1B">
        <w:trPr>
          <w:trHeight w:val="162"/>
        </w:trPr>
        <w:tc>
          <w:tcPr>
            <w:tcW w:w="8828" w:type="dxa"/>
          </w:tcPr>
          <w:p w14:paraId="1FF49E57" w14:textId="77777777" w:rsidR="00694740" w:rsidRDefault="00694740" w:rsidP="00226A1B">
            <w:pPr>
              <w:spacing w:line="276" w:lineRule="auto"/>
              <w:jc w:val="both"/>
              <w:rPr>
                <w:rFonts w:ascii="Verdana" w:eastAsia="Calibri" w:hAnsi="Verdana" w:cs="Arial"/>
              </w:rPr>
            </w:pPr>
          </w:p>
        </w:tc>
      </w:tr>
    </w:tbl>
    <w:p w14:paraId="57616BF9" w14:textId="77777777" w:rsidR="00694740" w:rsidRPr="00115E3D" w:rsidRDefault="00694740" w:rsidP="0069474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F780B65" w14:textId="77777777" w:rsidR="00694740" w:rsidRPr="00115E3D" w:rsidRDefault="00694740" w:rsidP="006947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B59F6A9" w14:textId="77777777" w:rsidR="00694740" w:rsidRPr="00593A5F" w:rsidRDefault="00694740" w:rsidP="00694740">
      <w:pPr>
        <w:spacing w:after="0" w:line="276" w:lineRule="auto"/>
        <w:jc w:val="both"/>
        <w:rPr>
          <w:rFonts w:ascii="Verdana" w:eastAsia="Calibri" w:hAnsi="Verdana" w:cs="Arial"/>
          <w:color w:val="7030A0"/>
          <w:lang w:val="es-ES"/>
        </w:rPr>
      </w:pPr>
      <w:r>
        <w:rPr>
          <w:rFonts w:ascii="Verdana" w:hAnsi="Verdana" w:cs="Arial"/>
          <w:bCs/>
          <w:lang w:eastAsia="es-CO"/>
        </w:rPr>
        <w:tab/>
      </w:r>
    </w:p>
    <w:p w14:paraId="55588A7C" w14:textId="77777777" w:rsidR="00694740" w:rsidRDefault="00694740" w:rsidP="00694740">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40C58FC3" w14:textId="77777777" w:rsidR="00694740" w:rsidRDefault="00694740" w:rsidP="00694740">
      <w:pPr>
        <w:spacing w:after="0" w:line="276" w:lineRule="auto"/>
        <w:jc w:val="both"/>
        <w:rPr>
          <w:rFonts w:ascii="Verdana" w:eastAsia="Calibri" w:hAnsi="Verdana" w:cs="Arial"/>
          <w:lang w:val="es-ES"/>
        </w:rPr>
      </w:pPr>
    </w:p>
    <w:p w14:paraId="76290813" w14:textId="77777777" w:rsidR="00694740" w:rsidRPr="00185EE9" w:rsidRDefault="00694740" w:rsidP="00694740">
      <w:pPr>
        <w:spacing w:after="120" w:line="276" w:lineRule="auto"/>
        <w:jc w:val="both"/>
        <w:rPr>
          <w:rFonts w:ascii="Verdana" w:eastAsia="Calibri" w:hAnsi="Verdana" w:cs="Arial"/>
          <w:bCs/>
          <w:lang w:val="es-MX" w:eastAsia="es-ES_tradnl"/>
        </w:rPr>
      </w:pPr>
      <w:r>
        <w:rPr>
          <w:rFonts w:ascii="Verdana" w:eastAsia="Calibri" w:hAnsi="Verdana" w:cs="Arial"/>
          <w:color w:val="000000"/>
          <w:szCs w:val="24"/>
          <w:lang w:val="es-ES_tradnl" w:eastAsia="es-ES_tradnl"/>
        </w:rPr>
        <w:t xml:space="preserve">         </w:t>
      </w:r>
      <w:r w:rsidRPr="00185EE9">
        <w:rPr>
          <w:rFonts w:ascii="Verdana" w:eastAsia="Calibri" w:hAnsi="Verdana" w:cs="Arial"/>
          <w:color w:val="000000"/>
          <w:szCs w:val="24"/>
          <w:lang w:val="es-ES_tradnl" w:eastAsia="es-ES_tradnl"/>
        </w:rPr>
        <w:t>P</w:t>
      </w:r>
      <w:r w:rsidRPr="00185EE9">
        <w:rPr>
          <w:rFonts w:ascii="Verdana" w:hAnsi="Verdana" w:cs="Arial"/>
          <w:lang w:val="es-ES"/>
        </w:rPr>
        <w:t xml:space="preserve">ara las entidades sometidas al Estatuto General de Contratación de la Administración Pública, los procesos de selección se rigen por </w:t>
      </w:r>
      <w:r w:rsidRPr="00185EE9">
        <w:rPr>
          <w:rFonts w:ascii="Verdana" w:hAnsi="Verdana" w:cs="Arial"/>
          <w:bCs/>
          <w:lang w:val="es-ES_tradnl"/>
        </w:rPr>
        <w:t>el artículo 2 de la Ley 1150 de 2007</w:t>
      </w:r>
      <w:r w:rsidRPr="00185EE9">
        <w:rPr>
          <w:rFonts w:ascii="Verdana" w:hAnsi="Verdana" w:cs="Arial"/>
          <w:lang w:val="es-ES"/>
        </w:rPr>
        <w:t xml:space="preserve">. El </w:t>
      </w:r>
      <w:r w:rsidRPr="00185EE9">
        <w:rPr>
          <w:rFonts w:ascii="Verdana" w:eastAsia="Calibri" w:hAnsi="Verdana" w:cs="Arial"/>
          <w:bCs/>
          <w:lang w:val="es-MX" w:eastAsia="es-ES_tradnl"/>
        </w:rPr>
        <w:t>numeral uno, inciso primero, de la norma citada</w:t>
      </w:r>
      <w:r w:rsidRPr="00185EE9">
        <w:rPr>
          <w:rFonts w:ascii="Verdana" w:hAnsi="Verdana" w:cs="Arial"/>
          <w:bCs/>
          <w:lang w:val="es-ES_tradnl"/>
        </w:rPr>
        <w:t xml:space="preserve"> </w:t>
      </w:r>
      <w:r w:rsidRPr="00185EE9">
        <w:rPr>
          <w:rFonts w:ascii="Verdana" w:eastAsia="Calibri" w:hAnsi="Verdana" w:cs="Arial"/>
          <w:bCs/>
          <w:lang w:val="es-MX" w:eastAsia="es-ES_tradnl"/>
        </w:rPr>
        <w:t xml:space="preserve">dispone que “La escogencia del contratista se efectuará por </w:t>
      </w:r>
      <w:r w:rsidRPr="00185EE9">
        <w:rPr>
          <w:rFonts w:ascii="Verdana" w:eastAsia="Calibri" w:hAnsi="Verdana" w:cs="Arial"/>
          <w:bCs/>
          <w:i/>
          <w:iCs/>
          <w:lang w:val="es-MX" w:eastAsia="es-ES_tradnl"/>
        </w:rPr>
        <w:t>regla general</w:t>
      </w:r>
      <w:r w:rsidRPr="00185EE9">
        <w:rPr>
          <w:rFonts w:ascii="Verdana" w:eastAsia="Calibri" w:hAnsi="Verdana" w:cs="Arial"/>
          <w:bCs/>
          <w:lang w:val="es-MX" w:eastAsia="es-ES_tradnl"/>
        </w:rPr>
        <w:t xml:space="preserve"> a través de licitación pública, con las </w:t>
      </w:r>
      <w:r w:rsidRPr="00185EE9">
        <w:rPr>
          <w:rFonts w:ascii="Verdana" w:eastAsia="Calibri" w:hAnsi="Verdana" w:cs="Arial"/>
          <w:bCs/>
          <w:i/>
          <w:iCs/>
          <w:lang w:val="es-MX" w:eastAsia="es-ES_tradnl"/>
        </w:rPr>
        <w:t>excepciones</w:t>
      </w:r>
      <w:r w:rsidRPr="00185EE9">
        <w:rPr>
          <w:rFonts w:ascii="Verdana" w:eastAsia="Calibri" w:hAnsi="Verdana" w:cs="Arial"/>
          <w:bCs/>
          <w:lang w:val="es-MX" w:eastAsia="es-ES_tradnl"/>
        </w:rPr>
        <w:t xml:space="preserve"> que se señalan en los numerales 2, 3 y 4 del presente artículo”, norma que sustituye el derogado numeral 1 del artículo 24 de la Ley 80 de 1993 sobre el principio de transparencia</w:t>
      </w:r>
      <w:r w:rsidRPr="00185EE9">
        <w:rPr>
          <w:rStyle w:val="Refdenotaalpie"/>
          <w:rFonts w:ascii="Verdana" w:eastAsia="Calibri" w:hAnsi="Verdana" w:cs="Arial"/>
          <w:bCs/>
          <w:lang w:val="es-MX" w:eastAsia="es-ES_tradnl"/>
        </w:rPr>
        <w:footnoteReference w:id="2"/>
      </w:r>
      <w:r w:rsidRPr="00185EE9">
        <w:rPr>
          <w:rFonts w:ascii="Verdana" w:eastAsia="Calibri" w:hAnsi="Verdana" w:cs="Arial"/>
          <w:bCs/>
          <w:lang w:val="es-MX" w:eastAsia="es-ES_tradnl"/>
        </w:rPr>
        <w:t xml:space="preserve">. </w:t>
      </w:r>
    </w:p>
    <w:p w14:paraId="1F27B1BF" w14:textId="77777777" w:rsidR="00694740" w:rsidRPr="00185EE9" w:rsidRDefault="00694740" w:rsidP="00694740">
      <w:pPr>
        <w:spacing w:after="120" w:line="276" w:lineRule="auto"/>
        <w:ind w:firstLine="708"/>
        <w:jc w:val="both"/>
        <w:rPr>
          <w:rFonts w:ascii="Verdana" w:eastAsia="Calibri" w:hAnsi="Verdana" w:cs="Arial"/>
          <w:bCs/>
          <w:lang w:val="es-MX" w:eastAsia="es-ES_tradnl"/>
        </w:rPr>
      </w:pPr>
      <w:r w:rsidRPr="00185EE9">
        <w:rPr>
          <w:rFonts w:ascii="Verdana" w:eastAsia="Calibri" w:hAnsi="Verdana" w:cs="Arial"/>
          <w:bCs/>
          <w:lang w:val="es-MX" w:eastAsia="es-ES_tradnl"/>
        </w:rPr>
        <w:t>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Estos pueden ser con pluralidad de oferentes –v. gr. la selección abreviada de menor cuantía o la mínima cuantía– o sin concurrencia de proponentes –por ejemplo, la contratación directa–.</w:t>
      </w:r>
    </w:p>
    <w:p w14:paraId="50DAB524" w14:textId="77777777" w:rsidR="00694740" w:rsidRPr="00185EE9" w:rsidRDefault="00694740" w:rsidP="00694740">
      <w:pPr>
        <w:spacing w:after="120" w:line="276" w:lineRule="auto"/>
        <w:ind w:firstLine="708"/>
        <w:jc w:val="both"/>
        <w:rPr>
          <w:rFonts w:ascii="Verdana" w:eastAsia="Calibri" w:hAnsi="Verdana" w:cs="Arial"/>
        </w:rPr>
      </w:pPr>
      <w:r w:rsidRPr="00185EE9">
        <w:rPr>
          <w:rFonts w:ascii="Verdana" w:eastAsia="Calibri" w:hAnsi="Verdana" w:cs="Arial"/>
          <w:bCs/>
          <w:lang w:val="es-MX" w:eastAsia="es-ES_tradnl"/>
        </w:rPr>
        <w:lastRenderedPageBreak/>
        <w:t xml:space="preserve">Respecto a la selección abreviada, </w:t>
      </w:r>
      <w:bookmarkStart w:id="1" w:name="_Hlk39070608"/>
      <w:r w:rsidRPr="00185EE9">
        <w:rPr>
          <w:rFonts w:ascii="Verdana" w:eastAsia="Calibri" w:hAnsi="Verdana" w:cs="Arial"/>
        </w:rPr>
        <w:t>el numeral 2 del artículo 2 de la Ley 1150 de 2007</w:t>
      </w:r>
      <w:bookmarkEnd w:id="1"/>
      <w:r w:rsidRPr="00185EE9">
        <w:rPr>
          <w:rFonts w:ascii="Verdana" w:eastAsia="Calibri" w:hAnsi="Verdana" w:cs="Arial"/>
        </w:rPr>
        <w:t xml:space="preserve"> dispone</w:t>
      </w:r>
      <w:r>
        <w:rPr>
          <w:rFonts w:ascii="Verdana" w:eastAsia="Calibri" w:hAnsi="Verdana" w:cs="Arial"/>
        </w:rPr>
        <w:t>:</w:t>
      </w:r>
      <w:r w:rsidRPr="00185EE9">
        <w:rPr>
          <w:rFonts w:ascii="Verdana" w:eastAsia="Calibri" w:hAnsi="Verdana" w:cs="Arial"/>
        </w:rPr>
        <w:t xml:space="preserv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s="Arial"/>
        </w:rPr>
        <w:t>.</w:t>
      </w:r>
    </w:p>
    <w:p w14:paraId="71640E3A" w14:textId="77777777" w:rsidR="00694740" w:rsidRPr="00185EE9" w:rsidRDefault="00694740" w:rsidP="00694740">
      <w:pPr>
        <w:spacing w:after="0" w:line="276" w:lineRule="auto"/>
        <w:ind w:firstLine="708"/>
        <w:jc w:val="both"/>
        <w:rPr>
          <w:rFonts w:ascii="Verdana" w:eastAsia="Calibri" w:hAnsi="Verdana" w:cs="Arial"/>
        </w:rPr>
      </w:pPr>
      <w:bookmarkStart w:id="2" w:name="_Hlk39174727"/>
      <w:r w:rsidRPr="00185EE9">
        <w:rPr>
          <w:rFonts w:ascii="Verdana" w:eastAsia="Calibri" w:hAnsi="Verdana" w:cs="Arial"/>
        </w:rPr>
        <w:t>Se trata de un procedimiento que, conforme a la reglamentación que expida el Gobierno Nacional, agiliza la contratación estatal en los eventos en que no se justifica adelantar una licitación pública, pero tampoco limita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2"/>
      <w:r w:rsidRPr="00185EE9">
        <w:rPr>
          <w:rFonts w:ascii="Verdana" w:eastAsia="Calibri" w:hAnsi="Verdana" w:cs="Arial"/>
        </w:rPr>
        <w:t>. En la exposición de motivos se explica lo siguiente:</w:t>
      </w:r>
    </w:p>
    <w:p w14:paraId="2682B358" w14:textId="77777777" w:rsidR="00694740" w:rsidRPr="00185EE9" w:rsidRDefault="00694740" w:rsidP="00694740">
      <w:pPr>
        <w:spacing w:after="0" w:line="276" w:lineRule="auto"/>
        <w:jc w:val="both"/>
        <w:rPr>
          <w:rFonts w:ascii="Verdana" w:eastAsia="Calibri" w:hAnsi="Verdana" w:cs="Arial"/>
        </w:rPr>
      </w:pPr>
    </w:p>
    <w:p w14:paraId="7F26FC93" w14:textId="77777777" w:rsidR="00694740" w:rsidRPr="00A80320" w:rsidRDefault="00694740" w:rsidP="00694740">
      <w:pPr>
        <w:spacing w:after="120" w:line="240" w:lineRule="auto"/>
        <w:ind w:left="709" w:right="709"/>
        <w:jc w:val="both"/>
        <w:rPr>
          <w:rFonts w:ascii="Verdana" w:eastAsia="Calibri" w:hAnsi="Verdana" w:cs="Arial"/>
          <w:sz w:val="20"/>
          <w:szCs w:val="20"/>
        </w:rPr>
      </w:pPr>
      <w:r w:rsidRPr="00A80320">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15B489CB" w14:textId="77777777" w:rsidR="00694740" w:rsidRPr="00A80320" w:rsidRDefault="00694740" w:rsidP="00694740">
      <w:pPr>
        <w:spacing w:after="0" w:line="240" w:lineRule="auto"/>
        <w:ind w:left="709" w:right="709"/>
        <w:jc w:val="both"/>
        <w:rPr>
          <w:rFonts w:ascii="Verdana" w:eastAsia="Calibri" w:hAnsi="Verdana" w:cs="Arial"/>
          <w:sz w:val="20"/>
          <w:szCs w:val="20"/>
        </w:rPr>
      </w:pPr>
      <w:r w:rsidRPr="00A80320">
        <w:rPr>
          <w:rFonts w:ascii="Verdana" w:eastAsia="Calibri" w:hAnsi="Verdana" w:cs="Arial"/>
          <w:sz w:val="20"/>
          <w:szCs w:val="20"/>
        </w:rPr>
        <w:t>– Se crea la llamada ‘selección abreviada’, para permitir la existencia de procedimientos de selección que, basados estrictamente en los principios cardinales de la contratación pública, permitan de manera ágil la adopción de decisiones de selección […]”</w:t>
      </w:r>
      <w:r w:rsidRPr="00A80320">
        <w:rPr>
          <w:rStyle w:val="Refdenotaalpie"/>
          <w:rFonts w:ascii="Verdana" w:eastAsia="Calibri" w:hAnsi="Verdana" w:cs="Arial"/>
          <w:sz w:val="20"/>
          <w:szCs w:val="20"/>
        </w:rPr>
        <w:footnoteReference w:id="3"/>
      </w:r>
      <w:r w:rsidRPr="00A80320">
        <w:rPr>
          <w:rFonts w:ascii="Verdana" w:eastAsia="Calibri" w:hAnsi="Verdana" w:cs="Arial"/>
          <w:sz w:val="20"/>
          <w:szCs w:val="20"/>
        </w:rPr>
        <w:t>.</w:t>
      </w:r>
    </w:p>
    <w:p w14:paraId="4A16E3EC" w14:textId="77777777" w:rsidR="00694740" w:rsidRPr="00185EE9" w:rsidRDefault="00694740" w:rsidP="00694740">
      <w:pPr>
        <w:spacing w:after="0" w:line="276" w:lineRule="auto"/>
        <w:jc w:val="both"/>
        <w:rPr>
          <w:rFonts w:ascii="Verdana" w:eastAsia="Calibri" w:hAnsi="Verdana" w:cs="Arial"/>
        </w:rPr>
      </w:pPr>
    </w:p>
    <w:p w14:paraId="6B32B0E5" w14:textId="77777777" w:rsidR="00694740" w:rsidRPr="00185EE9" w:rsidRDefault="00694740" w:rsidP="00694740">
      <w:pPr>
        <w:spacing w:after="120" w:line="276" w:lineRule="auto"/>
        <w:ind w:firstLine="709"/>
        <w:jc w:val="both"/>
        <w:rPr>
          <w:rFonts w:ascii="Verdana" w:eastAsia="Calibri" w:hAnsi="Verdana" w:cs="Arial"/>
        </w:rPr>
      </w:pPr>
      <w:r w:rsidRPr="00185EE9">
        <w:rPr>
          <w:rFonts w:ascii="Verdana" w:eastAsia="Calibri" w:hAnsi="Verdana" w:cs="Arial"/>
        </w:rPr>
        <w:t>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185EE9">
        <w:rPr>
          <w:rStyle w:val="Refdenotaalpie"/>
          <w:rFonts w:ascii="Verdana" w:eastAsia="Calibri" w:hAnsi="Verdana" w:cs="Arial"/>
        </w:rPr>
        <w:footnoteReference w:id="4"/>
      </w:r>
      <w:r w:rsidRPr="00185EE9">
        <w:rPr>
          <w:rFonts w:ascii="Verdana" w:eastAsia="Calibri" w:hAnsi="Verdana" w:cs="Arial"/>
        </w:rPr>
        <w:t xml:space="preserve">. </w:t>
      </w:r>
    </w:p>
    <w:p w14:paraId="12B92B11" w14:textId="77777777" w:rsidR="00694740" w:rsidRPr="009D4E8D" w:rsidRDefault="00694740" w:rsidP="00694740">
      <w:pPr>
        <w:spacing w:after="120" w:line="276" w:lineRule="auto"/>
        <w:jc w:val="both"/>
        <w:rPr>
          <w:rFonts w:ascii="Verdana" w:eastAsia="Century Gothic" w:hAnsi="Verdana" w:cs="Century Gothic"/>
        </w:rPr>
      </w:pPr>
      <w:r w:rsidRPr="009D4E8D">
        <w:rPr>
          <w:rFonts w:ascii="Verdana" w:eastAsia="Century Gothic" w:hAnsi="Verdana" w:cs="Century Gothic"/>
        </w:rPr>
        <w:lastRenderedPageBreak/>
        <w:t>Así las cosas, la modalidad de selección abreviada de menor cuantía a la cual se refiere la consulta planteada</w:t>
      </w:r>
      <w:r>
        <w:rPr>
          <w:rFonts w:ascii="Verdana" w:eastAsia="Century Gothic" w:hAnsi="Verdana" w:cs="Century Gothic"/>
        </w:rPr>
        <w:t xml:space="preserve"> </w:t>
      </w:r>
      <w:r w:rsidRPr="009D4E8D">
        <w:rPr>
          <w:rFonts w:ascii="Verdana" w:eastAsia="Century Gothic" w:hAnsi="Verdana" w:cs="Century Gothic"/>
        </w:rPr>
        <w:t>se encuentra regulado en el artículo 2.2.1.2.1.2.20 del Decreto 1082 de 2015, de la siguiente manera:</w:t>
      </w:r>
    </w:p>
    <w:p w14:paraId="64B5F7FA" w14:textId="77777777" w:rsidR="00694740" w:rsidRPr="003F36D8" w:rsidRDefault="00694740" w:rsidP="00694740">
      <w:pPr>
        <w:spacing w:after="120" w:line="276" w:lineRule="auto"/>
        <w:ind w:left="851" w:right="1134"/>
        <w:jc w:val="both"/>
        <w:rPr>
          <w:rFonts w:ascii="Verdana" w:eastAsia="Century Gothic" w:hAnsi="Verdana" w:cs="Century Gothic"/>
          <w:sz w:val="20"/>
          <w:szCs w:val="20"/>
        </w:rPr>
      </w:pPr>
      <w:r w:rsidRPr="003F36D8">
        <w:rPr>
          <w:rFonts w:ascii="Verdana" w:eastAsia="Century Gothic" w:hAnsi="Verdana" w:cs="Century Gothic"/>
          <w:sz w:val="20"/>
          <w:szCs w:val="20"/>
        </w:rPr>
        <w:t>“Artículo 2.2.1.2.1.2.20. Procedimiento para la selección abreviada de menor cuantía. Además de las normas generales establecidas en el presente título, las siguientes reglas son aplicables a la selección abreviada de menor cuantía:</w:t>
      </w:r>
    </w:p>
    <w:p w14:paraId="33F712A1" w14:textId="77777777" w:rsidR="00694740" w:rsidRPr="003F36D8" w:rsidRDefault="00694740" w:rsidP="00694740">
      <w:pPr>
        <w:spacing w:after="120" w:line="276" w:lineRule="auto"/>
        <w:ind w:left="851" w:right="1134"/>
        <w:jc w:val="both"/>
        <w:rPr>
          <w:rFonts w:ascii="Verdana" w:eastAsia="Century Gothic" w:hAnsi="Verdana" w:cs="Century Gothic"/>
          <w:sz w:val="20"/>
          <w:szCs w:val="20"/>
        </w:rPr>
      </w:pPr>
      <w:r w:rsidRPr="003F36D8">
        <w:rPr>
          <w:rFonts w:ascii="Verdana" w:eastAsia="Century Gothic" w:hAnsi="Verdana" w:cs="Century Gothic"/>
          <w:sz w:val="20"/>
          <w:szCs w:val="20"/>
        </w:rPr>
        <w:t>1.En un término no mayor a tres (3) días hábiles contados a partir de la fecha de apertura del Proceso de Contratación los interesados deben manifestar su intención de participar, a través del mecanismo establecido para el efecto en los pliegos de condiciones.</w:t>
      </w:r>
    </w:p>
    <w:p w14:paraId="2892780A" w14:textId="77777777" w:rsidR="00694740" w:rsidRPr="003F36D8" w:rsidRDefault="00694740" w:rsidP="00694740">
      <w:pPr>
        <w:spacing w:after="120" w:line="276" w:lineRule="auto"/>
        <w:ind w:left="851" w:right="1134"/>
        <w:jc w:val="both"/>
        <w:rPr>
          <w:rFonts w:ascii="Verdana" w:eastAsia="Century Gothic" w:hAnsi="Verdana" w:cs="Century Gothic"/>
          <w:sz w:val="20"/>
          <w:szCs w:val="20"/>
        </w:rPr>
      </w:pPr>
      <w:r w:rsidRPr="003F36D8">
        <w:rPr>
          <w:rFonts w:ascii="Verdana" w:eastAsia="Century Gothic" w:hAnsi="Verdana" w:cs="Century Gothic"/>
          <w:b/>
          <w:bCs/>
          <w:sz w:val="20"/>
          <w:szCs w:val="20"/>
        </w:rPr>
        <w:t>2.Si la Entidad Estatal recibe más de diez (10) manifestaciones de interés puede continuar el proceso o hacer un sorteo para seleccionar máximo diez (10) interesados con quienes continuará el Proceso de Contratación. La Entidad Estatal debe establecer en los pliegos de condiciones si hay lugar a sorteo y la forma en la cual lo hará</w:t>
      </w:r>
      <w:r w:rsidRPr="003F36D8">
        <w:rPr>
          <w:rFonts w:ascii="Verdana" w:eastAsia="Century Gothic" w:hAnsi="Verdana" w:cs="Century Gothic"/>
          <w:sz w:val="20"/>
          <w:szCs w:val="20"/>
        </w:rPr>
        <w:t>.</w:t>
      </w:r>
    </w:p>
    <w:p w14:paraId="1613F166" w14:textId="77777777" w:rsidR="00694740" w:rsidRPr="003F36D8" w:rsidRDefault="00694740" w:rsidP="00694740">
      <w:pPr>
        <w:spacing w:after="120" w:line="276" w:lineRule="auto"/>
        <w:ind w:left="851" w:right="1134"/>
        <w:jc w:val="both"/>
        <w:rPr>
          <w:rFonts w:ascii="Verdana" w:eastAsia="Century Gothic" w:hAnsi="Verdana" w:cs="Century Gothic"/>
          <w:sz w:val="20"/>
          <w:szCs w:val="20"/>
        </w:rPr>
      </w:pPr>
      <w:r w:rsidRPr="003F36D8">
        <w:rPr>
          <w:rFonts w:ascii="Verdana" w:eastAsia="Century Gothic" w:hAnsi="Verdana" w:cs="Century Gothic"/>
          <w:sz w:val="20"/>
          <w:szCs w:val="20"/>
        </w:rPr>
        <w:t>3. Si hay lugar a sorteo, el plazo para la presentación de las ofertas empezará a correr el día hábil siguiente a la fecha en la cual la Entidad Estatal informe a los interesados el resultado del sorteo” (negrilla fuera de texto)</w:t>
      </w:r>
    </w:p>
    <w:p w14:paraId="1620A0C3" w14:textId="77777777" w:rsidR="00694740" w:rsidRPr="00BB6888" w:rsidRDefault="00694740" w:rsidP="00694740">
      <w:pPr>
        <w:spacing w:after="120" w:line="276" w:lineRule="auto"/>
        <w:jc w:val="both"/>
        <w:rPr>
          <w:rFonts w:ascii="Verdana" w:eastAsia="Century Gothic" w:hAnsi="Verdana" w:cs="Century Gothic"/>
        </w:rPr>
      </w:pPr>
      <w:r w:rsidRPr="00BB6888">
        <w:rPr>
          <w:rFonts w:ascii="Verdana" w:eastAsia="Century Gothic" w:hAnsi="Verdana" w:cs="Century Gothic"/>
        </w:rPr>
        <w:t xml:space="preserve">En relación </w:t>
      </w:r>
      <w:r>
        <w:rPr>
          <w:rFonts w:ascii="Verdana" w:eastAsia="Century Gothic" w:hAnsi="Verdana" w:cs="Century Gothic"/>
        </w:rPr>
        <w:t>con la realización del sorteo descrito en el numeral 2º del artículo anteriormente transcrito, el Consejo de Estado en sentencia del 03 de diciembre de 2007, estableció:</w:t>
      </w:r>
    </w:p>
    <w:p w14:paraId="7CC40FFC" w14:textId="77777777" w:rsidR="00694740" w:rsidRPr="003F36D8" w:rsidRDefault="00694740" w:rsidP="00694740">
      <w:pPr>
        <w:spacing w:after="120" w:line="276" w:lineRule="auto"/>
        <w:ind w:left="851" w:right="1134"/>
        <w:jc w:val="both"/>
        <w:rPr>
          <w:rFonts w:ascii="Verdana" w:eastAsia="Century Gothic" w:hAnsi="Verdana" w:cs="Century Gothic"/>
          <w:sz w:val="20"/>
          <w:szCs w:val="20"/>
        </w:rPr>
      </w:pPr>
      <w:r w:rsidRPr="003F36D8">
        <w:rPr>
          <w:rFonts w:ascii="Verdana" w:eastAsia="Century Gothic" w:hAnsi="Verdana" w:cs="Century Gothic"/>
          <w:sz w:val="20"/>
          <w:szCs w:val="20"/>
        </w:rPr>
        <w:t xml:space="preserve">“La norma demandada contiene un supuesto de hecho general en el que se otorga un trato igual para todos los que están en disposición de participar y ofertar el objeto contractual que necesita la entidad pública. En efecto, nótese que al sorteo contemplado en la norma demandada pueden participar en igualdad de oportunidades todos los posibles oferentes o interesados; es un trámite que no obedece a un factor discriminatorio, arbitrario o subjetivo, como quiera que su resultado no está subordinado al mero capricho o voluntad de una persona, y se constituye en un instrumento o herramienta para darle celeridad y eficiencia al proceso de contratación directa de menor cuantía, el cual por definición implica que resulte menos complejo y dispendioso que la licitación pública, mecanismo de selección este </w:t>
      </w:r>
      <w:r w:rsidRPr="003F36D8">
        <w:rPr>
          <w:rFonts w:ascii="Verdana" w:eastAsia="Century Gothic" w:hAnsi="Verdana" w:cs="Century Gothic"/>
          <w:sz w:val="20"/>
          <w:szCs w:val="20"/>
        </w:rPr>
        <w:lastRenderedPageBreak/>
        <w:t>último en donde, por su naturaleza, no sería razonable ni concebible jurídicamente. Situación diferente a la legalidad misma de lo contemplado a este respecto en la norma atacada, es aquella según la cual la Administración está en el deber de garantizar las condiciones de moralidad y transparencia que han de presidir e imperar en la ejecución del sorteo”</w:t>
      </w:r>
      <w:r w:rsidRPr="003F36D8">
        <w:rPr>
          <w:rStyle w:val="Refdenotaalpie"/>
          <w:rFonts w:ascii="Verdana" w:eastAsia="Century Gothic" w:hAnsi="Verdana" w:cs="Century Gothic"/>
          <w:sz w:val="20"/>
          <w:szCs w:val="20"/>
        </w:rPr>
        <w:footnoteReference w:id="5"/>
      </w:r>
      <w:r w:rsidRPr="003F36D8">
        <w:rPr>
          <w:rFonts w:ascii="Verdana" w:eastAsia="Century Gothic" w:hAnsi="Verdana" w:cs="Century Gothic"/>
          <w:sz w:val="20"/>
          <w:szCs w:val="20"/>
        </w:rPr>
        <w:t>.</w:t>
      </w:r>
    </w:p>
    <w:p w14:paraId="08A62AC4" w14:textId="77777777" w:rsidR="00694740" w:rsidRDefault="00694740" w:rsidP="00694740">
      <w:pPr>
        <w:spacing w:after="120" w:line="276" w:lineRule="auto"/>
        <w:ind w:firstLine="708"/>
        <w:jc w:val="both"/>
        <w:rPr>
          <w:rFonts w:ascii="Verdana" w:eastAsia="Century Gothic" w:hAnsi="Verdana" w:cs="Century Gothic"/>
        </w:rPr>
      </w:pPr>
      <w:r>
        <w:rPr>
          <w:rFonts w:ascii="Verdana" w:eastAsia="Century Gothic" w:hAnsi="Verdana" w:cs="Century Gothic"/>
        </w:rPr>
        <w:t xml:space="preserve">Así las cosas, el mencionado numeral </w:t>
      </w:r>
      <w:r w:rsidRPr="00A80320">
        <w:rPr>
          <w:rFonts w:ascii="Verdana" w:eastAsia="Century Gothic" w:hAnsi="Verdana" w:cs="Century Gothic"/>
        </w:rPr>
        <w:t>establece un mecanismo objetivo e imparcial que garantiza la igualdad de oportunidades para todos los interesados en participar en el proceso de contratación de menor cuantía. El sorteo no responde a criterios discriminatorios ni arbitrarios, sino que actúa como una herramienta para agilizar el procedimiento y hacerlo más eficiente</w:t>
      </w:r>
      <w:r>
        <w:rPr>
          <w:rFonts w:ascii="Verdana" w:eastAsia="Century Gothic" w:hAnsi="Verdana" w:cs="Century Gothic"/>
        </w:rPr>
        <w:t>.</w:t>
      </w:r>
    </w:p>
    <w:p w14:paraId="69C34A30" w14:textId="77777777" w:rsidR="00694740" w:rsidRDefault="00694740" w:rsidP="00694740">
      <w:pPr>
        <w:spacing w:after="120" w:line="276" w:lineRule="auto"/>
        <w:ind w:firstLine="708"/>
        <w:jc w:val="both"/>
        <w:rPr>
          <w:rFonts w:ascii="Verdana" w:hAnsi="Verdana" w:cs="Arial"/>
          <w:bCs/>
          <w:color w:val="000000" w:themeColor="text1"/>
        </w:rPr>
      </w:pPr>
      <w:r>
        <w:rPr>
          <w:rFonts w:ascii="Verdana" w:eastAsia="Century Gothic" w:hAnsi="Verdana" w:cs="Century Gothic"/>
        </w:rPr>
        <w:t xml:space="preserve">Ahora bien, en relación a su consulta, el numeral 2º del mencionado artículo </w:t>
      </w:r>
      <w:r>
        <w:rPr>
          <w:rFonts w:ascii="Verdana" w:hAnsi="Verdana"/>
        </w:rPr>
        <w:t>establece que,</w:t>
      </w:r>
      <w:r w:rsidRPr="00770D74">
        <w:rPr>
          <w:rFonts w:ascii="Verdana" w:hAnsi="Verdana" w:cs="Arial"/>
          <w:bCs/>
          <w:color w:val="000000" w:themeColor="text1"/>
        </w:rPr>
        <w:t xml:space="preserve"> </w:t>
      </w:r>
      <w:r>
        <w:rPr>
          <w:rFonts w:ascii="Verdana" w:hAnsi="Verdana" w:cs="Arial"/>
          <w:bCs/>
          <w:color w:val="000000" w:themeColor="text1"/>
        </w:rPr>
        <w:t xml:space="preserve">en </w:t>
      </w:r>
      <w:r w:rsidRPr="00770D74">
        <w:rPr>
          <w:rFonts w:ascii="Verdana" w:hAnsi="Verdana" w:cs="Arial"/>
          <w:bCs/>
          <w:color w:val="000000" w:themeColor="text1"/>
        </w:rPr>
        <w:t xml:space="preserve">los procesos de selección abreviada de menor, cuando una entidad estatal recibe más de diez manifestaciones de interés, pueden optar por realizar un sorteo para seleccionar hasta diez interesados con quienes continuará el proceso de contratación. </w:t>
      </w:r>
    </w:p>
    <w:p w14:paraId="0401FAFE" w14:textId="77777777" w:rsidR="00694740" w:rsidRPr="003F36D8" w:rsidRDefault="00694740" w:rsidP="00694740">
      <w:pPr>
        <w:spacing w:after="120" w:line="276" w:lineRule="auto"/>
        <w:ind w:firstLine="708"/>
        <w:jc w:val="both"/>
        <w:rPr>
          <w:rFonts w:ascii="Verdana" w:hAnsi="Verdana" w:cs="Arial"/>
          <w:bCs/>
          <w:color w:val="000000" w:themeColor="text1"/>
        </w:rPr>
      </w:pPr>
      <w:r w:rsidRPr="003F36D8">
        <w:rPr>
          <w:rFonts w:ascii="Verdana" w:hAnsi="Verdana" w:cs="Arial"/>
          <w:bCs/>
          <w:color w:val="000000" w:themeColor="text1"/>
        </w:rPr>
        <w:t>Si bien la norma no establece un procedimiento único y obligatorio para la realización del sorteo, sí impone a la entidad estatal el deber de definir de manera clara en los pliegos de condiciones las reglas bajo las cuales este se llevará a cabo, incluyendo expresamente si la asistencia física a la audiencia de sorteo constituye o no un requisito para permanecer en el proceso.</w:t>
      </w:r>
    </w:p>
    <w:p w14:paraId="5B0696CC" w14:textId="77777777" w:rsidR="00694740" w:rsidRDefault="00694740" w:rsidP="00694740">
      <w:pPr>
        <w:spacing w:after="120" w:line="276" w:lineRule="auto"/>
        <w:ind w:firstLine="708"/>
        <w:jc w:val="both"/>
        <w:rPr>
          <w:rFonts w:ascii="Verdana" w:hAnsi="Verdana" w:cs="Arial"/>
          <w:bCs/>
          <w:color w:val="000000" w:themeColor="text1"/>
        </w:rPr>
      </w:pPr>
      <w:r w:rsidRPr="003F36D8">
        <w:rPr>
          <w:rFonts w:ascii="Verdana" w:hAnsi="Verdana" w:cs="Arial"/>
          <w:bCs/>
          <w:color w:val="000000" w:themeColor="text1"/>
        </w:rPr>
        <w:t>Con el fin de garantizar los principios de transparencia, imparcialidad, publicidad e igualdad de oportunidades, el sorteo debe realizarse en audiencia pública, lo cual implica que el acto sea abierto al público, permitiendo la asistencia de los posibles oferentes y de las veedurías ciudadanas interesadas. No obstante, la sola publicidad del evento no equivale a imponer la obligación de presencia física, salvo que así se establezca expresamente en los documentos del proceso.</w:t>
      </w:r>
      <w:r>
        <w:rPr>
          <w:rFonts w:ascii="Verdana" w:hAnsi="Verdana" w:cs="Arial"/>
          <w:bCs/>
          <w:color w:val="000000" w:themeColor="text1"/>
        </w:rPr>
        <w:t xml:space="preserve">        </w:t>
      </w:r>
    </w:p>
    <w:p w14:paraId="26D3F69D" w14:textId="77777777" w:rsidR="00694740" w:rsidRDefault="00694740" w:rsidP="00694740">
      <w:pPr>
        <w:spacing w:after="120" w:line="276" w:lineRule="auto"/>
        <w:ind w:firstLine="708"/>
        <w:jc w:val="both"/>
        <w:rPr>
          <w:rFonts w:ascii="Verdana" w:hAnsi="Verdana" w:cs="Arial"/>
          <w:bCs/>
          <w:color w:val="000000" w:themeColor="text1"/>
        </w:rPr>
      </w:pPr>
      <w:r w:rsidRPr="00770D74">
        <w:rPr>
          <w:rFonts w:ascii="Verdana" w:hAnsi="Verdana" w:cs="Arial"/>
          <w:bCs/>
          <w:color w:val="000000" w:themeColor="text1"/>
        </w:rPr>
        <w:t xml:space="preserve">Respecto al lugar donde debe llevarse a cabo el sorteo, la normativa no especifica una ubicación exacta. Sin embargo, es común que estos actos se realicen en las instalaciones de la entidad que adelanta el proceso, ya que facilita el control y la logística del evento. Si se decide realizar el sorteo fuera de las </w:t>
      </w:r>
      <w:r w:rsidRPr="00770D74">
        <w:rPr>
          <w:rFonts w:ascii="Verdana" w:hAnsi="Verdana" w:cs="Arial"/>
          <w:bCs/>
          <w:color w:val="000000" w:themeColor="text1"/>
        </w:rPr>
        <w:lastRenderedPageBreak/>
        <w:t>instalaciones de la entidad, es esencial que se garantice el acceso al público y se cumplan los principios de transparencia y publicidad que rigen la función administrativa.</w:t>
      </w:r>
      <w:r w:rsidRPr="00770D74">
        <w:rPr>
          <w:rFonts w:ascii="Arial" w:hAnsi="Arial" w:cs="Arial"/>
          <w:bCs/>
          <w:color w:val="000000" w:themeColor="text1"/>
        </w:rPr>
        <w:t>​</w:t>
      </w:r>
      <w:r w:rsidRPr="00770D74">
        <w:rPr>
          <w:rFonts w:ascii="Verdana" w:hAnsi="Verdana" w:cs="Arial"/>
          <w:bCs/>
          <w:color w:val="000000" w:themeColor="text1"/>
        </w:rPr>
        <w:t xml:space="preserve"> </w:t>
      </w:r>
    </w:p>
    <w:p w14:paraId="2CA8AB18" w14:textId="77777777" w:rsidR="00694740" w:rsidRDefault="00694740" w:rsidP="00694740">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DB88B30" w14:textId="77777777" w:rsidR="00694740" w:rsidRDefault="00694740" w:rsidP="00694740">
      <w:pPr>
        <w:spacing w:line="276" w:lineRule="auto"/>
        <w:contextualSpacing/>
        <w:jc w:val="both"/>
        <w:rPr>
          <w:rFonts w:ascii="Verdana" w:eastAsia="Calibri" w:hAnsi="Verdana" w:cs="Times New Roman"/>
          <w:lang w:val="es-ES"/>
        </w:rPr>
      </w:pPr>
    </w:p>
    <w:p w14:paraId="0BC0979E" w14:textId="77777777" w:rsidR="00694740" w:rsidRDefault="00694740" w:rsidP="00694740">
      <w:pPr>
        <w:spacing w:after="0" w:line="276" w:lineRule="auto"/>
        <w:jc w:val="both"/>
        <w:rPr>
          <w:rFonts w:ascii="Verdana" w:eastAsia="Calibri" w:hAnsi="Verdana" w:cs="Arial"/>
          <w:shd w:val="clear" w:color="auto" w:fill="FFFFFF"/>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76854071" w14:textId="77777777" w:rsidR="00694740" w:rsidRDefault="00694740" w:rsidP="00694740">
      <w:pPr>
        <w:spacing w:after="0" w:line="276" w:lineRule="auto"/>
        <w:jc w:val="both"/>
        <w:rPr>
          <w:rFonts w:ascii="Verdana" w:eastAsia="Calibri" w:hAnsi="Verdana" w:cs="Arial"/>
          <w:shd w:val="clear" w:color="auto" w:fill="FFFFFF"/>
        </w:rPr>
      </w:pPr>
    </w:p>
    <w:p w14:paraId="71062A28" w14:textId="77777777" w:rsidR="00694740" w:rsidRPr="00115E3D" w:rsidRDefault="00694740" w:rsidP="006947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148C2B28" w14:textId="77777777" w:rsidR="00694740" w:rsidRPr="00115E3D" w:rsidRDefault="00694740" w:rsidP="00694740">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4740" w:rsidRPr="00115E3D" w14:paraId="531E9AEB" w14:textId="77777777" w:rsidTr="00226A1B">
        <w:trPr>
          <w:trHeight w:val="335"/>
        </w:trPr>
        <w:tc>
          <w:tcPr>
            <w:tcW w:w="8647" w:type="dxa"/>
          </w:tcPr>
          <w:p w14:paraId="6060634A" w14:textId="77777777" w:rsidR="00694740" w:rsidRPr="00BD69D5" w:rsidRDefault="00694740" w:rsidP="00694740">
            <w:pPr>
              <w:widowControl w:val="0"/>
              <w:numPr>
                <w:ilvl w:val="0"/>
                <w:numId w:val="17"/>
              </w:numPr>
              <w:autoSpaceDE w:val="0"/>
              <w:autoSpaceDN w:val="0"/>
              <w:spacing w:after="120"/>
              <w:jc w:val="both"/>
              <w:rPr>
                <w:rFonts w:ascii="Verdana" w:hAnsi="Verdana" w:cs="Arial"/>
                <w:lang w:val="es-ES"/>
              </w:rPr>
            </w:pPr>
            <w:r w:rsidRPr="00BD69D5">
              <w:rPr>
                <w:rFonts w:ascii="Verdana" w:hAnsi="Verdana" w:cs="Arial"/>
                <w:lang w:val="es-ES"/>
              </w:rPr>
              <w:t>Ley 1150 de 2007, artículo 2.</w:t>
            </w:r>
          </w:p>
          <w:p w14:paraId="6CCDEBD7" w14:textId="77777777" w:rsidR="00694740" w:rsidRDefault="00694740" w:rsidP="00694740">
            <w:pPr>
              <w:widowControl w:val="0"/>
              <w:numPr>
                <w:ilvl w:val="0"/>
                <w:numId w:val="17"/>
              </w:numPr>
              <w:autoSpaceDE w:val="0"/>
              <w:autoSpaceDN w:val="0"/>
              <w:spacing w:after="120"/>
              <w:jc w:val="both"/>
              <w:rPr>
                <w:rFonts w:ascii="Verdana" w:hAnsi="Verdana" w:cs="Arial"/>
                <w:lang w:val="es-ES"/>
              </w:rPr>
            </w:pPr>
            <w:r w:rsidRPr="00BD69D5">
              <w:rPr>
                <w:rFonts w:ascii="Verdana" w:hAnsi="Verdana" w:cs="Arial"/>
                <w:lang w:val="es-ES"/>
              </w:rPr>
              <w:t xml:space="preserve">Decreto 1082 de 2015, artículos 2.2.2.1.1.1.3.1, </w:t>
            </w:r>
            <w:r w:rsidRPr="00BD69D5">
              <w:rPr>
                <w:rFonts w:ascii="Verdana" w:hAnsi="Verdana" w:cs="Arial"/>
                <w:bCs/>
              </w:rPr>
              <w:t xml:space="preserve">2.2.1.2.1.2.1., </w:t>
            </w:r>
            <w:r w:rsidRPr="00BD69D5">
              <w:rPr>
                <w:rFonts w:ascii="Verdana" w:hAnsi="Verdana" w:cs="Arial"/>
                <w:bCs/>
                <w:iCs/>
              </w:rPr>
              <w:t>2.2.1.2.1.2.2., 2.2.1.2.1.2.7., 2.2.1.2.1.2.11.</w:t>
            </w:r>
            <w:r w:rsidRPr="00BD69D5">
              <w:rPr>
                <w:rFonts w:ascii="Verdana" w:eastAsia="Calibri" w:hAnsi="Verdana" w:cs="Arial"/>
                <w:bCs/>
                <w:color w:val="000000" w:themeColor="text1"/>
              </w:rPr>
              <w:t xml:space="preserve"> </w:t>
            </w:r>
          </w:p>
          <w:p w14:paraId="32DD8EC4" w14:textId="77777777" w:rsidR="00694740" w:rsidRDefault="00694740" w:rsidP="00694740">
            <w:pPr>
              <w:widowControl w:val="0"/>
              <w:numPr>
                <w:ilvl w:val="0"/>
                <w:numId w:val="17"/>
              </w:numPr>
              <w:autoSpaceDE w:val="0"/>
              <w:autoSpaceDN w:val="0"/>
              <w:spacing w:after="120"/>
              <w:jc w:val="both"/>
              <w:rPr>
                <w:rFonts w:ascii="Verdana" w:hAnsi="Verdana" w:cs="Arial"/>
                <w:lang w:val="es-ES"/>
              </w:rPr>
            </w:pPr>
            <w:r w:rsidRPr="000B6628">
              <w:rPr>
                <w:rFonts w:ascii="Verdana" w:eastAsia="Calibri" w:hAnsi="Verdana" w:cs="Arial"/>
                <w:bCs/>
                <w:color w:val="000000" w:themeColor="text1"/>
              </w:rPr>
              <w:t xml:space="preserve">CONSEJO DE ESTADO. Sección Tercera. Subsección A. Sentencia del 23 de julio de 2015. </w:t>
            </w:r>
            <w:proofErr w:type="spellStart"/>
            <w:r w:rsidRPr="000B6628">
              <w:rPr>
                <w:rFonts w:ascii="Verdana" w:eastAsia="Calibri" w:hAnsi="Verdana" w:cs="Arial"/>
                <w:bCs/>
                <w:color w:val="000000" w:themeColor="text1"/>
              </w:rPr>
              <w:t>Exp</w:t>
            </w:r>
            <w:proofErr w:type="spellEnd"/>
            <w:r w:rsidRPr="000B6628">
              <w:rPr>
                <w:rFonts w:ascii="Verdana" w:eastAsia="Calibri" w:hAnsi="Verdana" w:cs="Arial"/>
                <w:bCs/>
                <w:color w:val="000000" w:themeColor="text1"/>
              </w:rPr>
              <w:t>. 36.805. C. P. Hernán Andrade Rincón.</w:t>
            </w:r>
          </w:p>
          <w:p w14:paraId="78BAD230" w14:textId="77777777" w:rsidR="00694740" w:rsidRPr="000B6628" w:rsidRDefault="00694740" w:rsidP="00694740">
            <w:pPr>
              <w:widowControl w:val="0"/>
              <w:numPr>
                <w:ilvl w:val="0"/>
                <w:numId w:val="17"/>
              </w:numPr>
              <w:autoSpaceDE w:val="0"/>
              <w:autoSpaceDN w:val="0"/>
              <w:spacing w:after="120"/>
              <w:jc w:val="both"/>
              <w:rPr>
                <w:rFonts w:ascii="Verdana" w:hAnsi="Verdana" w:cs="Arial"/>
                <w:lang w:val="es-ES"/>
              </w:rPr>
            </w:pPr>
            <w:r w:rsidRPr="000B6628">
              <w:rPr>
                <w:rFonts w:ascii="Verdana" w:eastAsia="Calibri" w:hAnsi="Verdana" w:cs="Arial"/>
                <w:bCs/>
                <w:color w:val="000000" w:themeColor="text1"/>
              </w:rPr>
              <w:t xml:space="preserve">CONSEJO DE ESTADO. Sección Tercera. Subsección A. Sentencia del 3 de diciembre de 2007. </w:t>
            </w:r>
            <w:proofErr w:type="spellStart"/>
            <w:r w:rsidRPr="000B6628">
              <w:rPr>
                <w:rFonts w:ascii="Verdana" w:eastAsia="Calibri" w:hAnsi="Verdana" w:cs="Arial"/>
                <w:bCs/>
                <w:color w:val="000000" w:themeColor="text1"/>
              </w:rPr>
              <w:t>Exp</w:t>
            </w:r>
            <w:proofErr w:type="spellEnd"/>
            <w:r w:rsidRPr="000B6628">
              <w:rPr>
                <w:rFonts w:ascii="Verdana" w:eastAsia="Calibri" w:hAnsi="Verdana" w:cs="Arial"/>
                <w:bCs/>
                <w:color w:val="000000" w:themeColor="text1"/>
              </w:rPr>
              <w:t>. 2003-000-14-01. C. P. Ruth Stella Correa Palacio.</w:t>
            </w:r>
          </w:p>
          <w:p w14:paraId="321E653D" w14:textId="77777777" w:rsidR="00694740" w:rsidRPr="00D81159" w:rsidRDefault="00694740" w:rsidP="00226A1B">
            <w:pPr>
              <w:pStyle w:val="Prrafodelista"/>
              <w:widowControl w:val="0"/>
              <w:autoSpaceDE w:val="0"/>
              <w:autoSpaceDN w:val="0"/>
              <w:contextualSpacing w:val="0"/>
              <w:jc w:val="both"/>
              <w:rPr>
                <w:rFonts w:ascii="Verdana" w:hAnsi="Verdana" w:cs="Arial"/>
              </w:rPr>
            </w:pPr>
            <w:r w:rsidRPr="00BD69D5">
              <w:rPr>
                <w:rFonts w:ascii="Verdana" w:hAnsi="Verdana" w:cs="Arial"/>
                <w:color w:val="000000" w:themeColor="text1"/>
                <w:lang w:val="es-ES_tradnl"/>
              </w:rPr>
              <w:t xml:space="preserve">CONGRESO DE LA REPÚBLICA. Exposición de motivos de la Ley 1150 de 2007. Gaceta del Congreso No. 458 del 1º de agosto de 2005. p. 8. </w:t>
            </w:r>
          </w:p>
        </w:tc>
      </w:tr>
    </w:tbl>
    <w:p w14:paraId="582A0754" w14:textId="77777777" w:rsidR="00694740" w:rsidRPr="00115E3D" w:rsidRDefault="00694740" w:rsidP="00694740">
      <w:pPr>
        <w:widowControl w:val="0"/>
        <w:autoSpaceDE w:val="0"/>
        <w:autoSpaceDN w:val="0"/>
        <w:spacing w:after="0" w:line="276" w:lineRule="auto"/>
        <w:jc w:val="both"/>
        <w:rPr>
          <w:rFonts w:ascii="Verdana" w:hAnsi="Verdana" w:cs="Arial"/>
          <w:color w:val="000000" w:themeColor="text1"/>
        </w:rPr>
      </w:pPr>
    </w:p>
    <w:p w14:paraId="5F68192D" w14:textId="77777777" w:rsidR="00694740" w:rsidRPr="00115E3D" w:rsidRDefault="00694740" w:rsidP="0069474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79AB042" w14:textId="77777777" w:rsidR="00694740" w:rsidRPr="00115E3D" w:rsidRDefault="00694740" w:rsidP="00694740">
      <w:pPr>
        <w:widowControl w:val="0"/>
        <w:autoSpaceDE w:val="0"/>
        <w:autoSpaceDN w:val="0"/>
        <w:spacing w:after="0" w:line="276" w:lineRule="auto"/>
        <w:jc w:val="both"/>
        <w:rPr>
          <w:rFonts w:ascii="Verdana" w:hAnsi="Verdana" w:cs="Arial"/>
          <w:color w:val="000000" w:themeColor="text1"/>
        </w:rPr>
      </w:pPr>
    </w:p>
    <w:p w14:paraId="4468B6CF" w14:textId="77777777" w:rsidR="00694740" w:rsidRPr="00AB5151" w:rsidRDefault="00694740" w:rsidP="00694740">
      <w:pPr>
        <w:widowControl w:val="0"/>
        <w:autoSpaceDE w:val="0"/>
        <w:autoSpaceDN w:val="0"/>
        <w:spacing w:after="0" w:line="276" w:lineRule="auto"/>
        <w:jc w:val="both"/>
        <w:rPr>
          <w:rStyle w:val="normaltextrun"/>
          <w:rFonts w:ascii="Verdana" w:hAnsi="Verdana" w:cs="Arial"/>
          <w:shd w:val="clear" w:color="auto" w:fill="FFFFFF"/>
          <w:lang w:val="es-ES"/>
        </w:rPr>
      </w:pPr>
      <w:r w:rsidRPr="001F7FC2">
        <w:rPr>
          <w:rFonts w:ascii="Verdana" w:eastAsia="Calibri" w:hAnsi="Verdana" w:cs="Times New Roman"/>
        </w:rPr>
        <w:t xml:space="preserve">Sobre la modalidad de selección abreviada de menor cuantía, esta Subdirección se ha pronunciado en conceptos </w:t>
      </w:r>
      <w:r>
        <w:rPr>
          <w:rFonts w:ascii="Verdana" w:eastAsia="Calibri" w:hAnsi="Verdana" w:cs="Times New Roman"/>
        </w:rPr>
        <w:t xml:space="preserve">C-425 del 6 de julio de 2022, </w:t>
      </w:r>
      <w:r w:rsidRPr="001F7FC2">
        <w:rPr>
          <w:rFonts w:ascii="Verdana" w:eastAsia="Calibri" w:hAnsi="Verdana" w:cs="Times New Roman"/>
        </w:rPr>
        <w:t>C-687 del 20 de octubre de 2022, C-313 del 31 de julio de 2023, C-377 del 8 de agosto de 2024, C- 535 del 24 de septiembre de 2024, C-840 del 11 de diciembre de 2024, C-716 del 15 de julio de 2025, C-803 del 31 de julio 2025 y C-1150 del 26 de agosto de 2025,</w:t>
      </w:r>
      <w:r>
        <w:rPr>
          <w:rFonts w:ascii="Verdana" w:eastAsia="Calibri" w:hAnsi="Verdana" w:cs="Times New Roman"/>
        </w:rPr>
        <w:t xml:space="preserve"> C-1639 del 17 de diciembre de 2025,</w:t>
      </w:r>
      <w:r w:rsidRPr="001F7FC2">
        <w:rPr>
          <w:rFonts w:ascii="Verdana" w:eastAsia="Calibri" w:hAnsi="Verdana" w:cs="Times New Roman"/>
        </w:rPr>
        <w:t xml:space="preserve"> entre otro</w:t>
      </w:r>
      <w:r w:rsidRPr="000F3B46">
        <w:rPr>
          <w:rFonts w:ascii="Verdana" w:eastAsia="Calibri" w:hAnsi="Verdana" w:cs="Times New Roman"/>
        </w:rPr>
        <w:t>s</w:t>
      </w:r>
      <w:r w:rsidRPr="000F3B46">
        <w:rPr>
          <w:rFonts w:ascii="Verdana" w:eastAsia="Calibri" w:hAnsi="Verdana" w:cs="Arial"/>
          <w:shd w:val="clear" w:color="auto" w:fill="FFFFFF"/>
          <w:lang w:val="es-ES"/>
        </w:rPr>
        <w:t xml:space="preserve">. </w:t>
      </w:r>
      <w:r w:rsidRPr="000F3B46">
        <w:rPr>
          <w:rStyle w:val="normaltextrun"/>
          <w:rFonts w:ascii="Verdana" w:hAnsi="Verdana" w:cs="Arial"/>
          <w:shd w:val="clear" w:color="auto" w:fill="FFFFFF"/>
          <w:lang w:val="es-ES"/>
        </w:rPr>
        <w:t>Es</w:t>
      </w:r>
      <w:r w:rsidRPr="000F3B46">
        <w:rPr>
          <w:rFonts w:ascii="Verdana" w:hAnsi="Verdana"/>
        </w:rPr>
        <w:t>tos y otros conceptos se encuentran disponibles para consulta en el Sistema</w:t>
      </w:r>
      <w:r w:rsidRPr="00AB5151">
        <w:rPr>
          <w:rFonts w:ascii="Verdana" w:hAnsi="Verdana"/>
        </w:rPr>
        <w:t xml:space="preserve">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r:id="rId12" w:history="1">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14:paraId="0039ED15" w14:textId="77777777" w:rsidR="00694740" w:rsidRPr="00115E3D" w:rsidRDefault="00694740" w:rsidP="0069474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4948F5DA" w14:textId="77777777" w:rsidR="00694740" w:rsidRPr="00115E3D" w:rsidRDefault="00694740" w:rsidP="00694740">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0F0C8105" w14:textId="77777777" w:rsidR="00694740" w:rsidRPr="00115E3D" w:rsidRDefault="00694740" w:rsidP="00694740">
      <w:pPr>
        <w:spacing w:after="0" w:line="240" w:lineRule="auto"/>
        <w:jc w:val="both"/>
        <w:rPr>
          <w:rFonts w:ascii="Verdana" w:hAnsi="Verdana"/>
          <w:color w:val="000000" w:themeColor="text1"/>
        </w:rPr>
      </w:pPr>
    </w:p>
    <w:p w14:paraId="6DBE4FFD" w14:textId="77777777" w:rsidR="00694740" w:rsidRPr="00115E3D" w:rsidRDefault="00694740" w:rsidP="00694740">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90F9F70" w14:textId="77777777" w:rsidR="00694740" w:rsidRPr="00115E3D" w:rsidRDefault="00694740" w:rsidP="00694740">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27644F59" w14:textId="77777777" w:rsidR="00694740" w:rsidRPr="00115E3D" w:rsidRDefault="00694740" w:rsidP="00694740">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4E44E3FF" w14:textId="77777777" w:rsidR="00694740" w:rsidRPr="00115E3D" w:rsidRDefault="00694740" w:rsidP="00694740">
      <w:pPr>
        <w:widowControl w:val="0"/>
        <w:autoSpaceDE w:val="0"/>
        <w:autoSpaceDN w:val="0"/>
        <w:spacing w:after="0" w:line="276" w:lineRule="auto"/>
        <w:jc w:val="both"/>
        <w:rPr>
          <w:rFonts w:ascii="Verdana" w:hAnsi="Verdana" w:cs="Arial"/>
          <w:color w:val="000000" w:themeColor="text1"/>
        </w:rPr>
      </w:pPr>
    </w:p>
    <w:p w14:paraId="43EB7F3C" w14:textId="77777777" w:rsidR="00694740" w:rsidRPr="00115E3D" w:rsidRDefault="00694740" w:rsidP="00694740">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C7CF338" w14:textId="77777777" w:rsidR="00694740" w:rsidRPr="00115E3D" w:rsidRDefault="00694740" w:rsidP="00694740">
      <w:pPr>
        <w:widowControl w:val="0"/>
        <w:autoSpaceDE w:val="0"/>
        <w:autoSpaceDN w:val="0"/>
        <w:spacing w:after="0" w:line="276" w:lineRule="auto"/>
        <w:jc w:val="both"/>
        <w:rPr>
          <w:rFonts w:ascii="Verdana" w:hAnsi="Verdana" w:cs="Arial"/>
          <w:color w:val="000000" w:themeColor="text1"/>
        </w:rPr>
      </w:pPr>
    </w:p>
    <w:p w14:paraId="208B7DB1" w14:textId="77777777" w:rsidR="00694740" w:rsidRPr="00115E3D" w:rsidRDefault="00694740" w:rsidP="00694740">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1A4374B6" w14:textId="634E3FE6" w:rsidR="00694740" w:rsidRDefault="00694740" w:rsidP="00694740">
      <w:pPr>
        <w:spacing w:line="276" w:lineRule="auto"/>
        <w:jc w:val="center"/>
        <w:rPr>
          <w:noProof/>
        </w:rPr>
      </w:pPr>
    </w:p>
    <w:p w14:paraId="4449BE8E" w14:textId="3193DB5D" w:rsidR="002122F3" w:rsidRDefault="002122F3" w:rsidP="00694740">
      <w:pPr>
        <w:spacing w:line="276" w:lineRule="auto"/>
        <w:jc w:val="center"/>
        <w:rPr>
          <w:noProof/>
          <w:color w:val="000000" w:themeColor="text1"/>
          <w:lang w:val="es-ES_tradnl" w:eastAsia="es-CO"/>
        </w:rPr>
      </w:pPr>
      <w:r>
        <w:rPr>
          <w:noProof/>
        </w:rPr>
        <w:drawing>
          <wp:inline distT="0" distB="0" distL="0" distR="0" wp14:anchorId="76067D70" wp14:editId="5A89D5F6">
            <wp:extent cx="3173730" cy="1362427"/>
            <wp:effectExtent l="0" t="0" r="7620" b="9525"/>
            <wp:docPr id="1369757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82743" cy="136629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4740" w:rsidRPr="00115E3D" w14:paraId="46F92A64" w14:textId="77777777" w:rsidTr="00226A1B">
        <w:trPr>
          <w:trHeight w:val="315"/>
        </w:trPr>
        <w:tc>
          <w:tcPr>
            <w:tcW w:w="893" w:type="dxa"/>
            <w:vAlign w:val="center"/>
            <w:hideMark/>
          </w:tcPr>
          <w:p w14:paraId="28E1393E" w14:textId="77777777" w:rsidR="00694740" w:rsidRPr="00115E3D" w:rsidRDefault="00694740" w:rsidP="00226A1B">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35DD22B" w14:textId="77777777" w:rsidR="00694740" w:rsidRPr="00115E3D" w:rsidRDefault="00694740" w:rsidP="00226A1B">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2154A2E0" w14:textId="77777777" w:rsidR="00694740" w:rsidRPr="00115E3D" w:rsidRDefault="00694740" w:rsidP="00226A1B">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694740" w:rsidRPr="00115E3D" w14:paraId="0221C381" w14:textId="77777777" w:rsidTr="00226A1B">
        <w:trPr>
          <w:trHeight w:val="330"/>
        </w:trPr>
        <w:tc>
          <w:tcPr>
            <w:tcW w:w="893" w:type="dxa"/>
            <w:vAlign w:val="center"/>
            <w:hideMark/>
          </w:tcPr>
          <w:p w14:paraId="5FDC0EF3" w14:textId="77777777" w:rsidR="00694740" w:rsidRPr="00115E3D" w:rsidRDefault="00694740" w:rsidP="00226A1B">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366B34" w14:textId="77777777" w:rsidR="00694740" w:rsidRPr="00B37171" w:rsidRDefault="00694740" w:rsidP="00226A1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7ABB6515" w14:textId="77777777" w:rsidR="00694740" w:rsidRPr="00115E3D" w:rsidRDefault="00694740" w:rsidP="00226A1B">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694740" w:rsidRPr="00115E3D" w14:paraId="112A20E5" w14:textId="77777777" w:rsidTr="00226A1B">
        <w:trPr>
          <w:trHeight w:val="300"/>
        </w:trPr>
        <w:tc>
          <w:tcPr>
            <w:tcW w:w="893" w:type="dxa"/>
            <w:vAlign w:val="center"/>
          </w:tcPr>
          <w:p w14:paraId="6455DC7D" w14:textId="77777777" w:rsidR="00694740" w:rsidRPr="00115E3D" w:rsidRDefault="00694740" w:rsidP="00226A1B">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F8A332" w14:textId="77777777" w:rsidR="00694740" w:rsidRPr="00115E3D" w:rsidRDefault="00694740" w:rsidP="00226A1B">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79998256" w14:textId="77777777" w:rsidR="00694740" w:rsidRPr="00115E3D" w:rsidRDefault="00694740" w:rsidP="00226A1B">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83CAA37" w14:textId="77777777" w:rsidR="00694740" w:rsidRDefault="00694740" w:rsidP="00694740"/>
    <w:p w14:paraId="6A5ABC38" w14:textId="77777777" w:rsidR="00694740" w:rsidRPr="00AD41EA" w:rsidRDefault="00694740" w:rsidP="00694740">
      <w:pPr>
        <w:rPr>
          <w:sz w:val="20"/>
          <w:szCs w:val="20"/>
        </w:rPr>
      </w:pPr>
    </w:p>
    <w:p w14:paraId="0F293BF4" w14:textId="4E4CDE1F" w:rsidR="00127233" w:rsidRPr="00FD06B7" w:rsidRDefault="00127233" w:rsidP="00FD06B7"/>
    <w:sectPr w:rsidR="00127233" w:rsidRPr="00FD06B7"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94B98" w14:textId="77777777" w:rsidR="000014CB" w:rsidRDefault="000014CB" w:rsidP="004A1847">
      <w:pPr>
        <w:spacing w:after="0" w:line="240" w:lineRule="auto"/>
      </w:pPr>
      <w:r>
        <w:separator/>
      </w:r>
    </w:p>
  </w:endnote>
  <w:endnote w:type="continuationSeparator" w:id="0">
    <w:p w14:paraId="547A67C1" w14:textId="77777777" w:rsidR="000014CB" w:rsidRDefault="000014CB" w:rsidP="004A1847">
      <w:pPr>
        <w:spacing w:after="0" w:line="240" w:lineRule="auto"/>
      </w:pPr>
      <w:r>
        <w:continuationSeparator/>
      </w:r>
    </w:p>
  </w:endnote>
  <w:endnote w:type="continuationNotice" w:id="1">
    <w:p w14:paraId="36888069" w14:textId="77777777" w:rsidR="000014CB" w:rsidRDefault="000014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908C8" w14:textId="77777777" w:rsidR="000014CB" w:rsidRDefault="000014CB" w:rsidP="004A1847">
      <w:pPr>
        <w:spacing w:after="0" w:line="240" w:lineRule="auto"/>
      </w:pPr>
      <w:r>
        <w:separator/>
      </w:r>
    </w:p>
  </w:footnote>
  <w:footnote w:type="continuationSeparator" w:id="0">
    <w:p w14:paraId="6E3CED6A" w14:textId="77777777" w:rsidR="000014CB" w:rsidRDefault="000014CB" w:rsidP="004A1847">
      <w:pPr>
        <w:spacing w:after="0" w:line="240" w:lineRule="auto"/>
      </w:pPr>
      <w:r>
        <w:continuationSeparator/>
      </w:r>
    </w:p>
  </w:footnote>
  <w:footnote w:type="continuationNotice" w:id="1">
    <w:p w14:paraId="1888B7BC" w14:textId="77777777" w:rsidR="000014CB" w:rsidRDefault="000014CB">
      <w:pPr>
        <w:spacing w:after="0" w:line="240" w:lineRule="auto"/>
      </w:pPr>
    </w:p>
  </w:footnote>
  <w:footnote w:id="2">
    <w:p w14:paraId="2D75CC9C" w14:textId="77777777" w:rsidR="00694740" w:rsidRPr="00053149" w:rsidRDefault="00694740" w:rsidP="00694740">
      <w:pPr>
        <w:pStyle w:val="Textonotapie"/>
        <w:jc w:val="both"/>
        <w:rPr>
          <w:rFonts w:ascii="Verdana" w:hAnsi="Verdana" w:cs="Arial"/>
          <w:sz w:val="16"/>
          <w:szCs w:val="16"/>
        </w:rPr>
      </w:pPr>
      <w:r w:rsidRPr="00053149">
        <w:rPr>
          <w:rStyle w:val="Refdenotaalpie"/>
          <w:rFonts w:ascii="Verdana" w:hAnsi="Verdana" w:cs="Arial"/>
          <w:sz w:val="16"/>
          <w:szCs w:val="16"/>
        </w:rPr>
        <w:footnoteRef/>
      </w:r>
      <w:r w:rsidRPr="00053149">
        <w:rPr>
          <w:rFonts w:ascii="Verdana" w:hAnsi="Verdana" w:cs="Arial"/>
          <w:sz w:val="16"/>
          <w:szCs w:val="16"/>
        </w:rPr>
        <w:t xml:space="preserve"> El inciso primero de norma disponía que, conforme al principio de transparencia, “</w:t>
      </w:r>
      <w:r w:rsidRPr="00053149">
        <w:rPr>
          <w:rFonts w:ascii="Verdana" w:hAnsi="Verdana" w:cs="Arial"/>
          <w:i/>
          <w:iCs/>
          <w:sz w:val="16"/>
          <w:szCs w:val="16"/>
        </w:rPr>
        <w:t>La escogencia del contratista se efectuará siempre a través de licitación o concurso públicos</w:t>
      </w:r>
      <w:r w:rsidRPr="00053149">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1B375264" w14:textId="77777777" w:rsidR="00694740" w:rsidRPr="00053149" w:rsidRDefault="00694740" w:rsidP="00694740">
      <w:pPr>
        <w:pStyle w:val="Textonotapie"/>
        <w:jc w:val="both"/>
        <w:rPr>
          <w:rFonts w:ascii="Verdana" w:hAnsi="Verdana" w:cs="Arial"/>
          <w:sz w:val="16"/>
          <w:szCs w:val="16"/>
        </w:rPr>
      </w:pPr>
      <w:r w:rsidRPr="00053149">
        <w:rPr>
          <w:rStyle w:val="Refdenotaalpie"/>
          <w:rFonts w:ascii="Verdana" w:hAnsi="Verdana"/>
          <w:sz w:val="16"/>
          <w:szCs w:val="16"/>
        </w:rPr>
        <w:footnoteRef/>
      </w:r>
      <w:r w:rsidRPr="00053149">
        <w:rPr>
          <w:rFonts w:ascii="Verdana" w:hAnsi="Verdana"/>
          <w:sz w:val="16"/>
          <w:szCs w:val="16"/>
        </w:rPr>
        <w:t xml:space="preserve"> </w:t>
      </w:r>
      <w:r w:rsidRPr="00053149">
        <w:rPr>
          <w:rFonts w:ascii="Verdana" w:hAnsi="Verdana" w:cs="Arial"/>
          <w:sz w:val="16"/>
          <w:szCs w:val="16"/>
        </w:rPr>
        <w:t xml:space="preserve">CONGRESO DE LA REPÚBLICA. Exposición de motivos de la Ley 1150 de 2007. Gaceta del Congreso No. 458 del 1º de agosto de 2005. p. 8. </w:t>
      </w:r>
    </w:p>
  </w:footnote>
  <w:footnote w:id="4">
    <w:p w14:paraId="34609860" w14:textId="77777777" w:rsidR="00694740" w:rsidRPr="00053149" w:rsidRDefault="00694740" w:rsidP="00694740">
      <w:pPr>
        <w:pStyle w:val="Textonotapie"/>
        <w:jc w:val="both"/>
        <w:rPr>
          <w:rFonts w:ascii="Verdana" w:hAnsi="Verdana" w:cs="Arial"/>
          <w:sz w:val="16"/>
          <w:szCs w:val="16"/>
        </w:rPr>
      </w:pPr>
      <w:r w:rsidRPr="00053149">
        <w:rPr>
          <w:rStyle w:val="Refdenotaalpie"/>
          <w:rFonts w:ascii="Verdana" w:hAnsi="Verdana"/>
          <w:sz w:val="16"/>
          <w:szCs w:val="16"/>
        </w:rPr>
        <w:footnoteRef/>
      </w:r>
      <w:r w:rsidRPr="00053149">
        <w:rPr>
          <w:rFonts w:ascii="Verdana" w:hAnsi="Verdana"/>
          <w:sz w:val="16"/>
          <w:szCs w:val="16"/>
        </w:rPr>
        <w:t xml:space="preserve"> </w:t>
      </w:r>
      <w:bookmarkStart w:id="3" w:name="_Hlk193793277"/>
      <w:r w:rsidRPr="00053149">
        <w:rPr>
          <w:rFonts w:ascii="Verdana" w:hAnsi="Verdana" w:cs="Arial"/>
          <w:sz w:val="16"/>
          <w:szCs w:val="16"/>
        </w:rPr>
        <w:t xml:space="preserve">CONSEJO DE ESTADO. Sección Tercera. Subsección A. Sentencia del 23 de julio de 2015. Exp. 36.805. C. P. Hernán Andrade Rincón. </w:t>
      </w:r>
      <w:bookmarkEnd w:id="3"/>
    </w:p>
  </w:footnote>
  <w:footnote w:id="5">
    <w:p w14:paraId="78C270BD" w14:textId="77777777" w:rsidR="00694740" w:rsidRPr="00A80320" w:rsidRDefault="00694740" w:rsidP="00694740">
      <w:pPr>
        <w:pStyle w:val="Textonotapie"/>
        <w:jc w:val="both"/>
        <w:rPr>
          <w:lang w:val="es-ES"/>
        </w:rPr>
      </w:pPr>
      <w:bookmarkStart w:id="4" w:name="_Hlk193793287"/>
      <w:r>
        <w:rPr>
          <w:rStyle w:val="Refdenotaalpie"/>
        </w:rPr>
        <w:footnoteRef/>
      </w:r>
      <w:r>
        <w:t xml:space="preserve"> </w:t>
      </w:r>
      <w:r w:rsidRPr="00053149">
        <w:rPr>
          <w:rFonts w:ascii="Verdana" w:hAnsi="Verdana" w:cs="Arial"/>
          <w:sz w:val="16"/>
          <w:szCs w:val="16"/>
        </w:rPr>
        <w:t xml:space="preserve">CONSEJO DE ESTADO. Sección Tercera. Subsección A. Sentencia del 3 de </w:t>
      </w:r>
      <w:r>
        <w:rPr>
          <w:rFonts w:ascii="Verdana" w:hAnsi="Verdana" w:cs="Arial"/>
          <w:sz w:val="16"/>
          <w:szCs w:val="16"/>
        </w:rPr>
        <w:t>diciembre</w:t>
      </w:r>
      <w:r w:rsidRPr="00053149">
        <w:rPr>
          <w:rFonts w:ascii="Verdana" w:hAnsi="Verdana" w:cs="Arial"/>
          <w:sz w:val="16"/>
          <w:szCs w:val="16"/>
        </w:rPr>
        <w:t xml:space="preserve"> de 20</w:t>
      </w:r>
      <w:r>
        <w:rPr>
          <w:rFonts w:ascii="Verdana" w:hAnsi="Verdana" w:cs="Arial"/>
          <w:sz w:val="16"/>
          <w:szCs w:val="16"/>
        </w:rPr>
        <w:t>07</w:t>
      </w:r>
      <w:r w:rsidRPr="00053149">
        <w:rPr>
          <w:rFonts w:ascii="Verdana" w:hAnsi="Verdana" w:cs="Arial"/>
          <w:sz w:val="16"/>
          <w:szCs w:val="16"/>
        </w:rPr>
        <w:t xml:space="preserve">. </w:t>
      </w:r>
      <w:r w:rsidRPr="00A80320">
        <w:rPr>
          <w:rFonts w:ascii="Verdana" w:hAnsi="Verdana" w:cs="Arial"/>
          <w:sz w:val="16"/>
          <w:szCs w:val="16"/>
        </w:rPr>
        <w:t xml:space="preserve">Exp. </w:t>
      </w:r>
      <w:r w:rsidRPr="00A80320">
        <w:rPr>
          <w:rFonts w:ascii="Verdana" w:hAnsi="Verdana" w:cs="Arial"/>
          <w:sz w:val="16"/>
          <w:szCs w:val="16"/>
          <w:lang w:val="es-CO"/>
        </w:rPr>
        <w:t>2003-000-14-01</w:t>
      </w:r>
      <w:r w:rsidRPr="00053149">
        <w:rPr>
          <w:rFonts w:ascii="Verdana" w:hAnsi="Verdana" w:cs="Arial"/>
          <w:sz w:val="16"/>
          <w:szCs w:val="16"/>
        </w:rPr>
        <w:t xml:space="preserve">. C. P. </w:t>
      </w:r>
      <w:r w:rsidRPr="00A80320">
        <w:rPr>
          <w:rFonts w:ascii="Verdana" w:hAnsi="Verdana" w:cs="Arial"/>
          <w:sz w:val="16"/>
          <w:szCs w:val="16"/>
        </w:rPr>
        <w:t>Ruth Stella Correa Palacio</w:t>
      </w:r>
      <w:r>
        <w:rPr>
          <w:rFonts w:ascii="Verdana" w:hAnsi="Verdana" w:cs="Arial"/>
          <w:sz w:val="16"/>
          <w:szCs w:val="16"/>
        </w:rPr>
        <w:t>.</w:t>
      </w:r>
      <w:bookmarkEnd w:id="4"/>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598638790">
    <w:abstractNumId w:val="0"/>
  </w:num>
  <w:num w:numId="17" w16cid:durableId="14431083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4CB"/>
    <w:rsid w:val="00016F78"/>
    <w:rsid w:val="00046945"/>
    <w:rsid w:val="00061B2A"/>
    <w:rsid w:val="00065650"/>
    <w:rsid w:val="00082362"/>
    <w:rsid w:val="000A6033"/>
    <w:rsid w:val="000A683E"/>
    <w:rsid w:val="000B19B9"/>
    <w:rsid w:val="000D0334"/>
    <w:rsid w:val="000D5DA7"/>
    <w:rsid w:val="000F632E"/>
    <w:rsid w:val="000F6486"/>
    <w:rsid w:val="0010310F"/>
    <w:rsid w:val="00103809"/>
    <w:rsid w:val="00115704"/>
    <w:rsid w:val="00116940"/>
    <w:rsid w:val="00125105"/>
    <w:rsid w:val="00127233"/>
    <w:rsid w:val="0015699B"/>
    <w:rsid w:val="001A33BF"/>
    <w:rsid w:val="001E4177"/>
    <w:rsid w:val="001F0B24"/>
    <w:rsid w:val="001F7DC6"/>
    <w:rsid w:val="002122F3"/>
    <w:rsid w:val="0022400B"/>
    <w:rsid w:val="002421BB"/>
    <w:rsid w:val="0025796E"/>
    <w:rsid w:val="002707A2"/>
    <w:rsid w:val="002951A0"/>
    <w:rsid w:val="002962BC"/>
    <w:rsid w:val="002A093D"/>
    <w:rsid w:val="002A0DD0"/>
    <w:rsid w:val="002A49AC"/>
    <w:rsid w:val="002A64FD"/>
    <w:rsid w:val="002C1A07"/>
    <w:rsid w:val="002C3524"/>
    <w:rsid w:val="002C7A84"/>
    <w:rsid w:val="002E2BF8"/>
    <w:rsid w:val="002E4FD9"/>
    <w:rsid w:val="0030657A"/>
    <w:rsid w:val="00322A85"/>
    <w:rsid w:val="00324168"/>
    <w:rsid w:val="00330834"/>
    <w:rsid w:val="00335A7F"/>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31EE"/>
    <w:rsid w:val="004F685F"/>
    <w:rsid w:val="005566E8"/>
    <w:rsid w:val="00574867"/>
    <w:rsid w:val="00591460"/>
    <w:rsid w:val="005943CD"/>
    <w:rsid w:val="005A65E0"/>
    <w:rsid w:val="005C3777"/>
    <w:rsid w:val="005C5CDC"/>
    <w:rsid w:val="005D476C"/>
    <w:rsid w:val="006200BF"/>
    <w:rsid w:val="006219F8"/>
    <w:rsid w:val="006302F7"/>
    <w:rsid w:val="00646B9F"/>
    <w:rsid w:val="00665D70"/>
    <w:rsid w:val="006900D9"/>
    <w:rsid w:val="00694740"/>
    <w:rsid w:val="00706C16"/>
    <w:rsid w:val="00732C12"/>
    <w:rsid w:val="007340C3"/>
    <w:rsid w:val="00747A39"/>
    <w:rsid w:val="0075235A"/>
    <w:rsid w:val="00756841"/>
    <w:rsid w:val="007649AB"/>
    <w:rsid w:val="00771D0C"/>
    <w:rsid w:val="007833AC"/>
    <w:rsid w:val="007A6C6E"/>
    <w:rsid w:val="007B268C"/>
    <w:rsid w:val="007B7171"/>
    <w:rsid w:val="007C0C0F"/>
    <w:rsid w:val="007C3DC2"/>
    <w:rsid w:val="007E5497"/>
    <w:rsid w:val="00806F5F"/>
    <w:rsid w:val="00820278"/>
    <w:rsid w:val="008258C9"/>
    <w:rsid w:val="00844AE9"/>
    <w:rsid w:val="00867F95"/>
    <w:rsid w:val="008836D3"/>
    <w:rsid w:val="008843B6"/>
    <w:rsid w:val="00891928"/>
    <w:rsid w:val="008A446D"/>
    <w:rsid w:val="008B25F1"/>
    <w:rsid w:val="008C6F4B"/>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426A"/>
    <w:rsid w:val="00AB0ADB"/>
    <w:rsid w:val="00B00C0E"/>
    <w:rsid w:val="00B01B1A"/>
    <w:rsid w:val="00B0381D"/>
    <w:rsid w:val="00B44A47"/>
    <w:rsid w:val="00B72CD3"/>
    <w:rsid w:val="00B72FFF"/>
    <w:rsid w:val="00B93D77"/>
    <w:rsid w:val="00BA2531"/>
    <w:rsid w:val="00BC3D36"/>
    <w:rsid w:val="00BD54A6"/>
    <w:rsid w:val="00BD7F72"/>
    <w:rsid w:val="00BE0CF9"/>
    <w:rsid w:val="00BF7425"/>
    <w:rsid w:val="00C04FB3"/>
    <w:rsid w:val="00C11D8B"/>
    <w:rsid w:val="00C15139"/>
    <w:rsid w:val="00C330EB"/>
    <w:rsid w:val="00C50D69"/>
    <w:rsid w:val="00C5365C"/>
    <w:rsid w:val="00C7244B"/>
    <w:rsid w:val="00C754BE"/>
    <w:rsid w:val="00C75831"/>
    <w:rsid w:val="00C76B1C"/>
    <w:rsid w:val="00C925AC"/>
    <w:rsid w:val="00CB6357"/>
    <w:rsid w:val="00CC1B26"/>
    <w:rsid w:val="00CF364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778E0"/>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06B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9474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9474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rueda266@unab.edu.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AA08100E-8D5A-4431-B377-CA3D22F2B22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12</Pages>
  <Words>2893</Words>
  <Characters>17393</Characters>
  <Application>Microsoft Office Word</Application>
  <DocSecurity>0</DocSecurity>
  <Lines>395</Lines>
  <Paragraphs>173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20113</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393269</vt:i4>
      </vt:variant>
      <vt:variant>
        <vt:i4>0</vt:i4>
      </vt:variant>
      <vt:variant>
        <vt:i4>0</vt:i4>
      </vt:variant>
      <vt:variant>
        <vt:i4>5</vt:i4>
      </vt:variant>
      <vt:variant>
        <vt:lpwstr>mailto:nrueda266@unab.edu.co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2026-03-09T15:38:00Z</dcterms:created>
  <dcterms:modified xsi:type="dcterms:W3CDTF">2026-03-09T16:31:00Z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