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F69FF" w14:textId="77777777" w:rsidR="00D13842" w:rsidRPr="00472251" w:rsidRDefault="00D13842" w:rsidP="00D13842">
      <w:pPr>
        <w:spacing w:after="0" w:line="240" w:lineRule="auto"/>
        <w:jc w:val="both"/>
        <w:textAlignment w:val="baseline"/>
        <w:rPr>
          <w:rFonts w:ascii="Verdana" w:eastAsia="Times New Roman" w:hAnsi="Verdana" w:cs="Arial"/>
          <w:b/>
          <w:color w:val="000000"/>
          <w:lang w:eastAsia="es-CO"/>
        </w:rPr>
      </w:pPr>
      <w:r w:rsidRPr="00472251">
        <w:rPr>
          <w:rFonts w:ascii="Verdana" w:eastAsia="Times New Roman" w:hAnsi="Verdana" w:cs="Arial"/>
          <w:b/>
          <w:color w:val="000000"/>
          <w:lang w:eastAsia="es-CO"/>
        </w:rPr>
        <w:t>EJERCICIO PROFESIÓN DE ABOGADO – Ley 1905 de 2018 – Ámbito de aplicación – Examen de Estado</w:t>
      </w:r>
    </w:p>
    <w:p w14:paraId="63722238" w14:textId="77777777"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p>
    <w:p w14:paraId="2C979C3B" w14:textId="77777777"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r w:rsidRPr="00472251">
        <w:rPr>
          <w:rFonts w:ascii="Verdana" w:eastAsia="Times New Roman" w:hAnsi="Verdana" w:cs="Segoe UI"/>
          <w:sz w:val="20"/>
          <w:szCs w:val="20"/>
          <w:lang w:eastAsia="es-CO"/>
        </w:rPr>
        <w:t>En Colombia, el ejercicio de la profesión de abogado está regulado por el Decreto 196 de 1971, el cual establece que para poder ejercer la abogacía es necesario estar inscrito en el Registro Nacional de Abogados del Consejo Superior de la Judicatura. La inscripción es el requisito fundamental para ejercer como abogado, ya que garantiza que la persona cumple con los requisitos legales establecidos, como la formación académica y la aptitud para desempeñar las funciones del abogado.</w:t>
      </w:r>
    </w:p>
    <w:p w14:paraId="4F514DC3" w14:textId="77777777"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p>
    <w:p w14:paraId="7D2112DE" w14:textId="77777777" w:rsidR="00D13842" w:rsidRPr="00472251" w:rsidRDefault="00D13842" w:rsidP="00D13842">
      <w:pPr>
        <w:spacing w:after="0" w:line="240" w:lineRule="auto"/>
        <w:jc w:val="both"/>
        <w:textAlignment w:val="baseline"/>
        <w:rPr>
          <w:rFonts w:ascii="Verdana" w:eastAsia="Times New Roman" w:hAnsi="Verdana" w:cs="Segoe UI"/>
          <w:sz w:val="20"/>
          <w:szCs w:val="20"/>
          <w:lang w:eastAsia="es-CO"/>
        </w:rPr>
      </w:pPr>
      <w:r w:rsidRPr="00472251">
        <w:rPr>
          <w:rFonts w:ascii="Verdana" w:eastAsia="Times New Roman" w:hAnsi="Verdana" w:cs="Segoe UI"/>
          <w:sz w:val="20"/>
          <w:szCs w:val="20"/>
          <w:lang w:eastAsia="es-CO"/>
        </w:rPr>
        <w:t>Aunque la tarjeta profesional se expide una vez se cumple con la inscripción en el registro, no es estrictamente necesaria para realizar ciertas actividades relacionadas con el ejercicio de la abogacía, como la asesoría o la elaboración de documentos jurídicos. Sin embargo, la tarjeta sí es obligatoria para representar a personas en calidad de abogado ante autoridades judiciales. Además, desde la promulgación de la Ley 1905 de 2018, los abogados que se gradúen posteriormente a dicha norma deben aprobar un Examen de Estado para obtener su tarjeta profesional.</w:t>
      </w:r>
    </w:p>
    <w:p w14:paraId="362818CC" w14:textId="77777777" w:rsidR="00A52470" w:rsidRPr="00472251" w:rsidRDefault="00A52470" w:rsidP="00A52470">
      <w:pPr>
        <w:spacing w:after="0" w:line="240" w:lineRule="auto"/>
        <w:jc w:val="both"/>
        <w:textAlignment w:val="baseline"/>
        <w:rPr>
          <w:rFonts w:ascii="Verdana" w:eastAsia="Times New Roman" w:hAnsi="Verdana" w:cs="Arial"/>
          <w:b/>
          <w:color w:val="000000"/>
          <w:lang w:eastAsia="es-CO"/>
        </w:rPr>
      </w:pPr>
    </w:p>
    <w:p w14:paraId="4D6CC55E" w14:textId="77777777" w:rsidR="00D13842" w:rsidRDefault="00D13842" w:rsidP="00A52470">
      <w:pPr>
        <w:spacing w:after="0" w:line="240" w:lineRule="auto"/>
        <w:jc w:val="both"/>
        <w:textAlignment w:val="baseline"/>
        <w:rPr>
          <w:rFonts w:ascii="Verdana" w:eastAsia="Calibri" w:hAnsi="Verdana" w:cs="Arial"/>
          <w:b/>
          <w:color w:val="000000"/>
          <w:lang w:eastAsia="es-CO"/>
        </w:rPr>
      </w:pPr>
    </w:p>
    <w:p w14:paraId="48CBCFD2"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05B08856" w14:textId="77777777" w:rsidR="0004025B" w:rsidRPr="00472251" w:rsidRDefault="0004025B" w:rsidP="0004025B">
      <w:pPr>
        <w:spacing w:after="0" w:line="240" w:lineRule="auto"/>
        <w:jc w:val="both"/>
        <w:rPr>
          <w:rFonts w:ascii="Verdana" w:eastAsia="Calibri" w:hAnsi="Verdana" w:cs="Arial"/>
          <w:b/>
          <w:color w:val="000000"/>
        </w:rPr>
      </w:pPr>
      <w:r w:rsidRPr="00472251">
        <w:rPr>
          <w:rFonts w:ascii="Verdana" w:eastAsia="Calibri" w:hAnsi="Verdana" w:cs="Arial"/>
          <w:b/>
          <w:color w:val="000000"/>
        </w:rPr>
        <w:t xml:space="preserve">CONTRATO DE PRESTACIÓN DE SERVICIOS PROFESIONALES – Idoneidad </w:t>
      </w:r>
    </w:p>
    <w:p w14:paraId="606B020D" w14:textId="77777777" w:rsidR="0004025B" w:rsidRPr="00472251" w:rsidRDefault="0004025B" w:rsidP="0004025B">
      <w:pPr>
        <w:spacing w:after="0" w:line="240" w:lineRule="auto"/>
        <w:jc w:val="both"/>
        <w:rPr>
          <w:rFonts w:ascii="Verdana" w:eastAsia="Calibri" w:hAnsi="Verdana" w:cs="Arial"/>
          <w:bCs/>
          <w:color w:val="000000"/>
        </w:rPr>
      </w:pPr>
    </w:p>
    <w:p w14:paraId="043A94C4" w14:textId="77777777" w:rsidR="0004025B" w:rsidRPr="00472251" w:rsidRDefault="0004025B" w:rsidP="0004025B">
      <w:pPr>
        <w:spacing w:after="0" w:line="240" w:lineRule="auto"/>
        <w:jc w:val="both"/>
        <w:rPr>
          <w:rFonts w:ascii="Verdana" w:eastAsia="Geomanist Light" w:hAnsi="Verdana" w:cs="Arial"/>
          <w:color w:val="000000"/>
          <w:sz w:val="20"/>
          <w:szCs w:val="20"/>
        </w:rPr>
      </w:pPr>
      <w:r w:rsidRPr="00472251">
        <w:rPr>
          <w:rFonts w:ascii="Verdana" w:eastAsia="Geomanist Light" w:hAnsi="Verdana" w:cs="Arial"/>
          <w:color w:val="000000"/>
          <w:sz w:val="20"/>
          <w:szCs w:val="20"/>
        </w:rPr>
        <w:t>El contrato de prestación de servicios profesionales es uno de los tipos contractuales consagrados en el Estatuto General de Contratación de la Administración Pública, que pueden celebrar las entidades estatales.</w:t>
      </w:r>
    </w:p>
    <w:p w14:paraId="5669CB83" w14:textId="77777777" w:rsidR="0004025B" w:rsidRPr="00472251" w:rsidRDefault="0004025B" w:rsidP="0004025B">
      <w:pPr>
        <w:spacing w:after="0" w:line="240" w:lineRule="auto"/>
        <w:jc w:val="both"/>
        <w:rPr>
          <w:rFonts w:ascii="Verdana" w:eastAsia="Geomanist Light" w:hAnsi="Verdana" w:cs="Arial"/>
          <w:color w:val="000000"/>
          <w:sz w:val="20"/>
          <w:szCs w:val="20"/>
        </w:rPr>
      </w:pPr>
    </w:p>
    <w:p w14:paraId="33B15627" w14:textId="77777777" w:rsidR="0004025B" w:rsidRPr="00472251" w:rsidRDefault="0004025B" w:rsidP="0004025B">
      <w:pPr>
        <w:spacing w:after="0" w:line="240" w:lineRule="auto"/>
        <w:jc w:val="both"/>
        <w:rPr>
          <w:rFonts w:ascii="Verdana" w:eastAsia="Geomanist Light" w:hAnsi="Verdana" w:cs="Arial"/>
          <w:color w:val="000000"/>
          <w:sz w:val="20"/>
          <w:szCs w:val="20"/>
        </w:rPr>
      </w:pPr>
      <w:r w:rsidRPr="00472251">
        <w:rPr>
          <w:rFonts w:ascii="Verdana" w:eastAsia="Geomanist Light" w:hAnsi="Verdana" w:cs="Arial"/>
          <w:color w:val="000000"/>
          <w:sz w:val="20"/>
          <w:szCs w:val="20"/>
        </w:rPr>
        <w:t>[…] 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ii)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iii)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iv) debe ser temporal; v) hacen parte del género denominado 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vii) para su celebración no se requiere la expedición del acto administrativo de justificación de la contratación directa; viii) admite el pacto de cláusulas excepcionales; ix) en él no es obligatoria la liquidación; x) para su celebración no se requiere inscripción en el Registro Único de Proponentes (RUP); xi) en él no son necesarias las garantías.</w:t>
      </w:r>
    </w:p>
    <w:p w14:paraId="3542EFC8" w14:textId="77777777" w:rsidR="0004025B" w:rsidRPr="00D13842" w:rsidRDefault="0004025B" w:rsidP="0004025B">
      <w:pPr>
        <w:spacing w:after="0" w:line="240" w:lineRule="auto"/>
        <w:rPr>
          <w:rFonts w:ascii="Arial" w:eastAsia="Geomanist Light" w:hAnsi="Arial" w:cs="Arial"/>
          <w:color w:val="000000" w:themeColor="text1"/>
        </w:rPr>
      </w:pPr>
    </w:p>
    <w:p w14:paraId="20104A93"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017228F9"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28ACBBE2" w14:textId="77777777" w:rsidR="0004025B" w:rsidRDefault="0004025B" w:rsidP="00A52470">
      <w:pPr>
        <w:spacing w:after="0" w:line="240" w:lineRule="auto"/>
        <w:jc w:val="both"/>
        <w:textAlignment w:val="baseline"/>
        <w:rPr>
          <w:rFonts w:ascii="Verdana" w:eastAsia="Calibri" w:hAnsi="Verdana" w:cs="Arial"/>
          <w:b/>
          <w:color w:val="000000"/>
          <w:lang w:eastAsia="es-CO"/>
        </w:rPr>
      </w:pPr>
    </w:p>
    <w:p w14:paraId="3B4C297E" w14:textId="2A244B62" w:rsidR="00A52470" w:rsidRPr="00472251" w:rsidRDefault="00A52470" w:rsidP="00A52470">
      <w:pPr>
        <w:spacing w:after="0" w:line="240" w:lineRule="auto"/>
        <w:jc w:val="both"/>
        <w:textAlignment w:val="baseline"/>
        <w:rPr>
          <w:rFonts w:ascii="Verdana" w:eastAsia="Calibri" w:hAnsi="Verdana" w:cs="Arial"/>
          <w:b/>
          <w:color w:val="000000"/>
          <w:lang w:eastAsia="es-CO"/>
        </w:rPr>
      </w:pPr>
      <w:r w:rsidRPr="00472251">
        <w:rPr>
          <w:rFonts w:ascii="Verdana" w:eastAsia="Calibri" w:hAnsi="Verdana" w:cs="Arial"/>
          <w:b/>
          <w:color w:val="000000"/>
          <w:lang w:eastAsia="es-CO"/>
        </w:rPr>
        <w:t>TÍTULO DE IDONEIDAD – Régimen constitucional – Tarjeta profesional</w:t>
      </w:r>
    </w:p>
    <w:p w14:paraId="73E0A960" w14:textId="77777777" w:rsidR="00A52470" w:rsidRPr="00472251" w:rsidRDefault="00A52470" w:rsidP="00A52470">
      <w:pPr>
        <w:spacing w:after="0" w:line="240" w:lineRule="auto"/>
        <w:jc w:val="both"/>
        <w:textAlignment w:val="baseline"/>
        <w:rPr>
          <w:rFonts w:ascii="Verdana" w:eastAsia="Calibri" w:hAnsi="Verdana" w:cs="Arial"/>
          <w:b/>
          <w:color w:val="000000"/>
          <w:lang w:eastAsia="es-CO"/>
        </w:rPr>
      </w:pPr>
    </w:p>
    <w:p w14:paraId="0CCEC994" w14:textId="77777777" w:rsidR="00A52470" w:rsidRPr="00472251" w:rsidRDefault="00A52470" w:rsidP="00A52470">
      <w:pPr>
        <w:spacing w:after="0" w:line="240" w:lineRule="auto"/>
        <w:jc w:val="both"/>
        <w:textAlignment w:val="baseline"/>
        <w:rPr>
          <w:rFonts w:ascii="Verdana" w:eastAsia="Calibri" w:hAnsi="Verdana" w:cs="Arial"/>
          <w:bCs/>
          <w:color w:val="000000"/>
          <w:sz w:val="20"/>
          <w:szCs w:val="20"/>
          <w:lang w:eastAsia="es-CO"/>
        </w:rPr>
      </w:pPr>
      <w:r w:rsidRPr="00472251">
        <w:rPr>
          <w:rFonts w:ascii="Verdana" w:eastAsia="Calibri" w:hAnsi="Verdana" w:cs="Arial"/>
          <w:bCs/>
          <w:color w:val="000000"/>
          <w:sz w:val="20"/>
          <w:szCs w:val="20"/>
          <w:lang w:eastAsia="es-CO"/>
        </w:rPr>
        <w:t>En Colombia, el título de idoneidad es un reconocimiento otorgado a los profesionales que cumplen con los requisitos legales, académicos y éticos necesarios para ejercer una determinada profesión, garantizando que poseen las competencias requeridas para su ejercicio. De acuerdo con el régimen constitucional, este título asegura que los profesionales estén debidamente habilitados para desempeñar sus funciones, protegiendo los derechos de los ciudadanos. Un ejemplo clave de este título es la tarjeta profesional, la cual es exigida a ciertos profesionales, como los abogados, para acreditar su capacidad y permitirles ejercer legalmente su actividad, siendo otorgada por entidades competentes como el Consejo Superior de la Judicatura.</w:t>
      </w:r>
    </w:p>
    <w:p w14:paraId="3F06E3C7" w14:textId="77777777" w:rsidR="00A52470" w:rsidRDefault="00A52470" w:rsidP="00A52470">
      <w:pPr>
        <w:spacing w:after="0" w:line="240" w:lineRule="auto"/>
        <w:rPr>
          <w:rFonts w:ascii="Arial" w:eastAsia="Geomanist Light" w:hAnsi="Arial" w:cs="Arial"/>
          <w:color w:val="000000" w:themeColor="text1"/>
          <w:lang w:val="es-MX"/>
        </w:rPr>
      </w:pPr>
    </w:p>
    <w:p w14:paraId="2C462D49" w14:textId="77777777" w:rsidR="00D13842" w:rsidRPr="00472251" w:rsidRDefault="00D13842" w:rsidP="00D13842">
      <w:pPr>
        <w:contextualSpacing/>
        <w:jc w:val="both"/>
        <w:rPr>
          <w:rFonts w:ascii="Verdana" w:eastAsia="Calibri" w:hAnsi="Verdana" w:cs="Arial"/>
          <w:sz w:val="20"/>
          <w:szCs w:val="20"/>
        </w:rPr>
      </w:pPr>
    </w:p>
    <w:p w14:paraId="79D0D607" w14:textId="77777777" w:rsidR="00A52470" w:rsidRDefault="00A52470" w:rsidP="00A52470">
      <w:pPr>
        <w:spacing w:after="0" w:line="240" w:lineRule="auto"/>
        <w:rPr>
          <w:rFonts w:ascii="Arial" w:eastAsia="Geomanist Light" w:hAnsi="Arial" w:cs="Arial"/>
          <w:color w:val="000000" w:themeColor="text1"/>
          <w:lang w:val="es-MX"/>
        </w:rPr>
      </w:pPr>
    </w:p>
    <w:p w14:paraId="7F38F334" w14:textId="77777777" w:rsidR="00A52470" w:rsidRDefault="00A52470" w:rsidP="00A52470">
      <w:pPr>
        <w:spacing w:after="0" w:line="240" w:lineRule="auto"/>
        <w:rPr>
          <w:rFonts w:ascii="Arial" w:eastAsia="Geomanist Light" w:hAnsi="Arial" w:cs="Arial"/>
          <w:color w:val="000000" w:themeColor="text1"/>
          <w:lang w:val="es-MX"/>
        </w:rPr>
      </w:pPr>
    </w:p>
    <w:p w14:paraId="42C72116" w14:textId="77777777" w:rsidR="00A52470" w:rsidRDefault="00A52470" w:rsidP="00A52470">
      <w:pPr>
        <w:spacing w:after="0" w:line="240" w:lineRule="auto"/>
        <w:rPr>
          <w:rFonts w:ascii="Arial" w:eastAsia="Geomanist Light" w:hAnsi="Arial" w:cs="Arial"/>
          <w:color w:val="000000" w:themeColor="text1"/>
          <w:lang w:val="es-MX"/>
        </w:rPr>
      </w:pPr>
    </w:p>
    <w:p w14:paraId="64EDC62E" w14:textId="77777777" w:rsidR="00A52470" w:rsidRDefault="00A52470" w:rsidP="00A52470">
      <w:pPr>
        <w:spacing w:after="0" w:line="240" w:lineRule="auto"/>
        <w:rPr>
          <w:rFonts w:ascii="Arial" w:eastAsia="Geomanist Light" w:hAnsi="Arial" w:cs="Arial"/>
          <w:color w:val="000000" w:themeColor="text1"/>
          <w:lang w:val="es-MX"/>
        </w:rPr>
      </w:pPr>
    </w:p>
    <w:p w14:paraId="669689E8" w14:textId="77777777" w:rsidR="00A52470" w:rsidRDefault="00A52470" w:rsidP="00A52470">
      <w:pPr>
        <w:spacing w:after="0" w:line="240" w:lineRule="auto"/>
        <w:rPr>
          <w:rFonts w:ascii="Arial" w:eastAsia="Geomanist Light" w:hAnsi="Arial" w:cs="Arial"/>
          <w:color w:val="000000" w:themeColor="text1"/>
          <w:lang w:val="es-MX"/>
        </w:rPr>
      </w:pPr>
    </w:p>
    <w:p w14:paraId="74AF5C58" w14:textId="77777777" w:rsidR="00A52470" w:rsidRDefault="00A52470" w:rsidP="00A52470">
      <w:pPr>
        <w:spacing w:after="0" w:line="240" w:lineRule="auto"/>
        <w:rPr>
          <w:rFonts w:ascii="Arial" w:eastAsia="Geomanist Light" w:hAnsi="Arial" w:cs="Arial"/>
          <w:color w:val="000000" w:themeColor="text1"/>
          <w:lang w:val="es-MX"/>
        </w:rPr>
      </w:pPr>
    </w:p>
    <w:p w14:paraId="0BBFFEDC" w14:textId="77777777" w:rsidR="00A52470" w:rsidRDefault="00A52470" w:rsidP="00A52470">
      <w:pPr>
        <w:spacing w:after="0" w:line="240" w:lineRule="auto"/>
        <w:rPr>
          <w:rFonts w:ascii="Arial" w:eastAsia="Geomanist Light" w:hAnsi="Arial" w:cs="Arial"/>
          <w:color w:val="000000" w:themeColor="text1"/>
          <w:lang w:val="es-MX"/>
        </w:rPr>
      </w:pPr>
    </w:p>
    <w:p w14:paraId="3E3F71DF" w14:textId="77777777" w:rsidR="00A52470" w:rsidRDefault="00A52470" w:rsidP="00A52470">
      <w:pPr>
        <w:spacing w:after="0" w:line="240" w:lineRule="auto"/>
        <w:rPr>
          <w:rFonts w:ascii="Arial" w:eastAsia="Geomanist Light" w:hAnsi="Arial" w:cs="Arial"/>
          <w:color w:val="000000" w:themeColor="text1"/>
          <w:lang w:val="es-MX"/>
        </w:rPr>
      </w:pPr>
    </w:p>
    <w:p w14:paraId="5D5C94DC" w14:textId="77777777" w:rsidR="00A52470" w:rsidRDefault="00A52470" w:rsidP="00A52470">
      <w:pPr>
        <w:spacing w:after="0" w:line="240" w:lineRule="auto"/>
        <w:rPr>
          <w:rFonts w:ascii="Arial" w:eastAsia="Geomanist Light" w:hAnsi="Arial" w:cs="Arial"/>
          <w:color w:val="000000" w:themeColor="text1"/>
          <w:lang w:val="es-MX"/>
        </w:rPr>
      </w:pPr>
    </w:p>
    <w:p w14:paraId="5B78839F" w14:textId="77777777" w:rsidR="00A52470" w:rsidRDefault="00A52470" w:rsidP="00A52470">
      <w:pPr>
        <w:spacing w:after="0" w:line="240" w:lineRule="auto"/>
        <w:rPr>
          <w:rFonts w:ascii="Arial" w:eastAsia="Geomanist Light" w:hAnsi="Arial" w:cs="Arial"/>
          <w:color w:val="000000" w:themeColor="text1"/>
          <w:lang w:val="es-MX"/>
        </w:rPr>
      </w:pPr>
    </w:p>
    <w:p w14:paraId="72FB9CC6" w14:textId="77777777" w:rsidR="00A52470" w:rsidRDefault="00A52470" w:rsidP="00A52470">
      <w:pPr>
        <w:spacing w:after="0" w:line="240" w:lineRule="auto"/>
        <w:rPr>
          <w:rFonts w:ascii="Arial" w:eastAsia="Geomanist Light" w:hAnsi="Arial" w:cs="Arial"/>
          <w:color w:val="000000" w:themeColor="text1"/>
          <w:lang w:val="es-MX"/>
        </w:rPr>
      </w:pPr>
    </w:p>
    <w:p w14:paraId="3D04BFD3" w14:textId="77777777" w:rsidR="00A52470" w:rsidRDefault="00A52470" w:rsidP="00A52470">
      <w:pPr>
        <w:spacing w:after="0" w:line="240" w:lineRule="auto"/>
        <w:rPr>
          <w:rFonts w:ascii="Arial" w:eastAsia="Geomanist Light" w:hAnsi="Arial" w:cs="Arial"/>
          <w:color w:val="000000" w:themeColor="text1"/>
          <w:lang w:val="es-MX"/>
        </w:rPr>
      </w:pPr>
    </w:p>
    <w:p w14:paraId="7FC2D7B5" w14:textId="77777777" w:rsidR="00A52470" w:rsidRDefault="00A52470" w:rsidP="00A52470">
      <w:pPr>
        <w:spacing w:after="0" w:line="240" w:lineRule="auto"/>
        <w:rPr>
          <w:rFonts w:ascii="Arial" w:eastAsia="Geomanist Light" w:hAnsi="Arial" w:cs="Arial"/>
          <w:color w:val="000000" w:themeColor="text1"/>
          <w:lang w:val="es-MX"/>
        </w:rPr>
      </w:pPr>
    </w:p>
    <w:p w14:paraId="7F81D5D5" w14:textId="77777777" w:rsidR="00A52470" w:rsidRDefault="00A52470" w:rsidP="00A52470">
      <w:pPr>
        <w:spacing w:after="0" w:line="240" w:lineRule="auto"/>
        <w:rPr>
          <w:rFonts w:ascii="Arial" w:eastAsia="Geomanist Light" w:hAnsi="Arial" w:cs="Arial"/>
          <w:color w:val="000000" w:themeColor="text1"/>
          <w:lang w:val="es-MX"/>
        </w:rPr>
      </w:pPr>
    </w:p>
    <w:p w14:paraId="080BFBEE" w14:textId="77777777" w:rsidR="00A52470" w:rsidRDefault="00A52470" w:rsidP="00A52470">
      <w:pPr>
        <w:spacing w:after="0" w:line="240" w:lineRule="auto"/>
        <w:rPr>
          <w:rFonts w:ascii="Arial" w:eastAsia="Geomanist Light" w:hAnsi="Arial" w:cs="Arial"/>
          <w:color w:val="000000" w:themeColor="text1"/>
          <w:lang w:val="es-MX"/>
        </w:rPr>
      </w:pPr>
    </w:p>
    <w:p w14:paraId="1997F5BB" w14:textId="77777777" w:rsidR="00A52470" w:rsidRDefault="00A52470" w:rsidP="00A52470">
      <w:pPr>
        <w:spacing w:after="0" w:line="240" w:lineRule="auto"/>
        <w:rPr>
          <w:rFonts w:ascii="Arial" w:eastAsia="Geomanist Light" w:hAnsi="Arial" w:cs="Arial"/>
          <w:color w:val="000000" w:themeColor="text1"/>
          <w:lang w:val="es-MX"/>
        </w:rPr>
      </w:pPr>
    </w:p>
    <w:p w14:paraId="19F82404" w14:textId="77777777" w:rsidR="00A52470" w:rsidRDefault="00A52470" w:rsidP="00A52470">
      <w:pPr>
        <w:spacing w:after="0" w:line="240" w:lineRule="auto"/>
        <w:rPr>
          <w:rFonts w:ascii="Arial" w:eastAsia="Geomanist Light" w:hAnsi="Arial" w:cs="Arial"/>
          <w:color w:val="000000" w:themeColor="text1"/>
          <w:lang w:val="es-MX"/>
        </w:rPr>
      </w:pPr>
    </w:p>
    <w:p w14:paraId="5A1A231D" w14:textId="77777777" w:rsidR="00A52470" w:rsidRDefault="00A52470" w:rsidP="00A52470">
      <w:pPr>
        <w:spacing w:after="0" w:line="240" w:lineRule="auto"/>
        <w:rPr>
          <w:rFonts w:ascii="Arial" w:eastAsia="Geomanist Light" w:hAnsi="Arial" w:cs="Arial"/>
          <w:color w:val="000000" w:themeColor="text1"/>
          <w:lang w:val="es-MX"/>
        </w:rPr>
      </w:pPr>
    </w:p>
    <w:p w14:paraId="0D284C3B" w14:textId="77777777" w:rsidR="00D13842" w:rsidRDefault="00D13842" w:rsidP="00A52470">
      <w:pPr>
        <w:spacing w:after="0" w:line="240" w:lineRule="auto"/>
        <w:rPr>
          <w:rFonts w:ascii="Arial" w:eastAsia="Geomanist Light" w:hAnsi="Arial" w:cs="Arial"/>
          <w:color w:val="000000" w:themeColor="text1"/>
          <w:lang w:val="es-MX"/>
        </w:rPr>
      </w:pPr>
    </w:p>
    <w:p w14:paraId="6DC8841B" w14:textId="77777777" w:rsidR="00D13842" w:rsidRDefault="00D13842" w:rsidP="00A52470">
      <w:pPr>
        <w:spacing w:after="0" w:line="240" w:lineRule="auto"/>
        <w:rPr>
          <w:rFonts w:ascii="Arial" w:eastAsia="Geomanist Light" w:hAnsi="Arial" w:cs="Arial"/>
          <w:color w:val="000000" w:themeColor="text1"/>
          <w:lang w:val="es-MX"/>
        </w:rPr>
      </w:pPr>
    </w:p>
    <w:p w14:paraId="2EF30FF6" w14:textId="77777777" w:rsidR="00D13842" w:rsidRDefault="00D13842" w:rsidP="00A52470">
      <w:pPr>
        <w:spacing w:after="0" w:line="240" w:lineRule="auto"/>
        <w:rPr>
          <w:rFonts w:ascii="Arial" w:eastAsia="Geomanist Light" w:hAnsi="Arial" w:cs="Arial"/>
          <w:color w:val="000000" w:themeColor="text1"/>
          <w:lang w:val="es-MX"/>
        </w:rPr>
      </w:pPr>
    </w:p>
    <w:p w14:paraId="59D10C1C" w14:textId="77777777" w:rsidR="00D13842" w:rsidRDefault="00D13842" w:rsidP="00A52470">
      <w:pPr>
        <w:spacing w:after="0" w:line="240" w:lineRule="auto"/>
        <w:rPr>
          <w:rFonts w:ascii="Arial" w:eastAsia="Geomanist Light" w:hAnsi="Arial" w:cs="Arial"/>
          <w:color w:val="000000" w:themeColor="text1"/>
          <w:lang w:val="es-MX"/>
        </w:rPr>
      </w:pPr>
    </w:p>
    <w:p w14:paraId="4A1B8932" w14:textId="77777777" w:rsidR="00D13842" w:rsidRDefault="00D13842" w:rsidP="00A52470">
      <w:pPr>
        <w:spacing w:after="0" w:line="240" w:lineRule="auto"/>
        <w:rPr>
          <w:rFonts w:ascii="Arial" w:eastAsia="Geomanist Light" w:hAnsi="Arial" w:cs="Arial"/>
          <w:color w:val="000000" w:themeColor="text1"/>
          <w:lang w:val="es-MX"/>
        </w:rPr>
      </w:pPr>
    </w:p>
    <w:p w14:paraId="33D6C36C" w14:textId="77777777" w:rsidR="00D13842" w:rsidRDefault="00D13842" w:rsidP="00A52470">
      <w:pPr>
        <w:spacing w:after="0" w:line="240" w:lineRule="auto"/>
        <w:rPr>
          <w:rFonts w:ascii="Arial" w:eastAsia="Geomanist Light" w:hAnsi="Arial" w:cs="Arial"/>
          <w:color w:val="000000" w:themeColor="text1"/>
          <w:lang w:val="es-MX"/>
        </w:rPr>
      </w:pPr>
    </w:p>
    <w:p w14:paraId="7F04530D" w14:textId="77777777" w:rsidR="00D13842" w:rsidRDefault="00D13842" w:rsidP="00A52470">
      <w:pPr>
        <w:spacing w:after="0" w:line="240" w:lineRule="auto"/>
        <w:rPr>
          <w:rFonts w:ascii="Arial" w:eastAsia="Geomanist Light" w:hAnsi="Arial" w:cs="Arial"/>
          <w:color w:val="000000" w:themeColor="text1"/>
          <w:lang w:val="es-MX"/>
        </w:rPr>
      </w:pPr>
    </w:p>
    <w:p w14:paraId="7DFA6480" w14:textId="77777777" w:rsidR="00D13842" w:rsidRDefault="00D13842" w:rsidP="00A52470">
      <w:pPr>
        <w:spacing w:after="0" w:line="240" w:lineRule="auto"/>
        <w:rPr>
          <w:rFonts w:ascii="Arial" w:eastAsia="Geomanist Light" w:hAnsi="Arial" w:cs="Arial"/>
          <w:color w:val="000000" w:themeColor="text1"/>
          <w:lang w:val="es-MX"/>
        </w:rPr>
      </w:pPr>
    </w:p>
    <w:p w14:paraId="20328D08" w14:textId="77777777" w:rsidR="00D13842" w:rsidRDefault="00D13842" w:rsidP="00A52470">
      <w:pPr>
        <w:spacing w:after="0" w:line="240" w:lineRule="auto"/>
        <w:rPr>
          <w:rFonts w:ascii="Arial" w:eastAsia="Geomanist Light" w:hAnsi="Arial" w:cs="Arial"/>
          <w:color w:val="000000" w:themeColor="text1"/>
          <w:lang w:val="es-MX"/>
        </w:rPr>
      </w:pPr>
    </w:p>
    <w:p w14:paraId="4D99D2D0" w14:textId="77777777" w:rsidR="00D13842" w:rsidRDefault="00D13842" w:rsidP="00A52470">
      <w:pPr>
        <w:spacing w:after="0" w:line="240" w:lineRule="auto"/>
        <w:rPr>
          <w:rFonts w:ascii="Arial" w:eastAsia="Geomanist Light" w:hAnsi="Arial" w:cs="Arial"/>
          <w:color w:val="000000" w:themeColor="text1"/>
          <w:lang w:val="es-MX"/>
        </w:rPr>
      </w:pPr>
    </w:p>
    <w:p w14:paraId="3173B3E4" w14:textId="77777777" w:rsidR="00D13842" w:rsidRDefault="00D13842" w:rsidP="00A52470">
      <w:pPr>
        <w:spacing w:after="0" w:line="240" w:lineRule="auto"/>
        <w:rPr>
          <w:rFonts w:ascii="Arial" w:eastAsia="Geomanist Light" w:hAnsi="Arial" w:cs="Arial"/>
          <w:color w:val="000000" w:themeColor="text1"/>
          <w:lang w:val="es-MX"/>
        </w:rPr>
      </w:pPr>
    </w:p>
    <w:p w14:paraId="29AC254D" w14:textId="77777777" w:rsidR="00A52470" w:rsidRDefault="00A52470" w:rsidP="00A52470">
      <w:pPr>
        <w:spacing w:after="0" w:line="240" w:lineRule="auto"/>
        <w:rPr>
          <w:rFonts w:ascii="Arial" w:eastAsia="Geomanist Light" w:hAnsi="Arial" w:cs="Arial"/>
          <w:color w:val="000000" w:themeColor="text1"/>
          <w:lang w:val="es-MX"/>
        </w:rPr>
      </w:pPr>
    </w:p>
    <w:p w14:paraId="79D85C64" w14:textId="77777777" w:rsidR="00A52470" w:rsidRDefault="00A52470" w:rsidP="00A52470">
      <w:pPr>
        <w:spacing w:after="0" w:line="240" w:lineRule="auto"/>
        <w:rPr>
          <w:rFonts w:ascii="Arial" w:eastAsia="Geomanist Light" w:hAnsi="Arial" w:cs="Arial"/>
          <w:color w:val="000000" w:themeColor="text1"/>
          <w:lang w:val="es-MX"/>
        </w:rPr>
      </w:pPr>
    </w:p>
    <w:p w14:paraId="015739B0" w14:textId="27361A1E" w:rsidR="00EC7C4A" w:rsidRPr="00C15525" w:rsidRDefault="00EC7C4A" w:rsidP="00EC7C4A">
      <w:pPr>
        <w:spacing w:after="0" w:line="240" w:lineRule="auto"/>
        <w:rPr>
          <w:rFonts w:ascii="Verdana" w:eastAsia="Geomanist Light" w:hAnsi="Verdana" w:cs="Arial"/>
          <w:color w:val="201F1E"/>
        </w:rPr>
      </w:pPr>
      <w:r w:rsidRPr="00C15525">
        <w:rPr>
          <w:rFonts w:ascii="Verdana" w:hAnsi="Verdana"/>
        </w:rPr>
        <w:t xml:space="preserve">Bogotá D.C., </w:t>
      </w:r>
      <w:r>
        <w:rPr>
          <w:rFonts w:ascii="Verdana" w:hAnsi="Verdana"/>
        </w:rPr>
        <w:t>0</w:t>
      </w:r>
      <w:r>
        <w:rPr>
          <w:rFonts w:ascii="Verdana" w:eastAsia="Geomanist Light" w:hAnsi="Verdana" w:cs="Arial"/>
          <w:color w:val="201F1E"/>
        </w:rPr>
        <w:t>4 de marzo de 2026</w:t>
      </w:r>
    </w:p>
    <w:p w14:paraId="0634E092" w14:textId="191EE27E" w:rsidR="00163EA3" w:rsidRDefault="00163EA3" w:rsidP="00A52470">
      <w:pPr>
        <w:spacing w:after="0" w:line="240" w:lineRule="auto"/>
        <w:rPr>
          <w:rFonts w:ascii="Arial" w:eastAsia="Geomanist Light" w:hAnsi="Arial" w:cs="Arial"/>
          <w:color w:val="201F1E"/>
          <w:lang w:val="es-MX"/>
        </w:rPr>
      </w:pPr>
    </w:p>
    <w:p w14:paraId="5753FBEC" w14:textId="50E3B53E" w:rsidR="00163EA3" w:rsidRPr="00A52470" w:rsidRDefault="00163EA3" w:rsidP="00A52470">
      <w:pPr>
        <w:spacing w:after="0" w:line="240" w:lineRule="auto"/>
        <w:rPr>
          <w:rFonts w:ascii="Arial" w:eastAsia="Geomanist Light" w:hAnsi="Arial" w:cs="Arial"/>
          <w:color w:val="201F1E"/>
          <w:lang w:val="es-MX"/>
        </w:rPr>
      </w:pPr>
      <w:r>
        <w:rPr>
          <w:rFonts w:ascii="Arial MT" w:hAnsi="Arial MT"/>
          <w:noProof/>
        </w:rPr>
        <w:drawing>
          <wp:anchor distT="0" distB="0" distL="0" distR="0" simplePos="0" relativeHeight="251658240" behindDoc="0" locked="0" layoutInCell="1" allowOverlap="1" wp14:anchorId="7DA214F3" wp14:editId="6E8CE069">
            <wp:simplePos x="0" y="0"/>
            <wp:positionH relativeFrom="page">
              <wp:posOffset>3985146</wp:posOffset>
            </wp:positionH>
            <wp:positionV relativeFrom="paragraph">
              <wp:posOffset>156219</wp:posOffset>
            </wp:positionV>
            <wp:extent cx="2713937" cy="695960"/>
            <wp:effectExtent l="0" t="0" r="0" b="889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1" cstate="print"/>
                    <a:stretch>
                      <a:fillRect/>
                    </a:stretch>
                  </pic:blipFill>
                  <pic:spPr>
                    <a:xfrm>
                      <a:off x="0" y="0"/>
                      <a:ext cx="2717218" cy="696801"/>
                    </a:xfrm>
                    <a:prstGeom prst="rect">
                      <a:avLst/>
                    </a:prstGeom>
                  </pic:spPr>
                </pic:pic>
              </a:graphicData>
            </a:graphic>
            <wp14:sizeRelH relativeFrom="margin">
              <wp14:pctWidth>0</wp14:pctWidth>
            </wp14:sizeRelH>
            <wp14:sizeRelV relativeFrom="margin">
              <wp14:pctHeight>0</wp14:pctHeight>
            </wp14:sizeRelV>
          </wp:anchor>
        </w:drawing>
      </w:r>
    </w:p>
    <w:p w14:paraId="0CB75BE7" w14:textId="77777777" w:rsidR="00A52470" w:rsidRDefault="00A52470" w:rsidP="00756929">
      <w:pPr>
        <w:spacing w:after="0" w:line="240" w:lineRule="auto"/>
        <w:jc w:val="both"/>
        <w:rPr>
          <w:rFonts w:ascii="Arial" w:eastAsia="Calibri" w:hAnsi="Arial" w:cs="Arial"/>
          <w:lang w:val="es-ES" w:eastAsia="es-ES"/>
        </w:rPr>
      </w:pPr>
    </w:p>
    <w:p w14:paraId="40EACF31" w14:textId="77777777" w:rsidR="00A52470" w:rsidRDefault="00A52470" w:rsidP="00756929">
      <w:pPr>
        <w:spacing w:after="0" w:line="240" w:lineRule="auto"/>
        <w:jc w:val="both"/>
        <w:rPr>
          <w:rFonts w:ascii="Arial" w:eastAsia="Calibri" w:hAnsi="Arial" w:cs="Arial"/>
          <w:lang w:val="es-ES" w:eastAsia="es-ES"/>
        </w:rPr>
      </w:pPr>
    </w:p>
    <w:p w14:paraId="0D626B44" w14:textId="714D6363" w:rsidR="00756929" w:rsidRPr="00A52470" w:rsidRDefault="00756929" w:rsidP="00756929">
      <w:pPr>
        <w:spacing w:after="0" w:line="240" w:lineRule="auto"/>
        <w:jc w:val="both"/>
        <w:rPr>
          <w:rFonts w:ascii="Verdana" w:eastAsia="Calibri" w:hAnsi="Verdana" w:cs="Arial"/>
          <w:lang w:val="es-ES" w:eastAsia="es-ES"/>
        </w:rPr>
      </w:pPr>
      <w:r w:rsidRPr="00A52470">
        <w:rPr>
          <w:rFonts w:ascii="Verdana" w:eastAsia="Calibri" w:hAnsi="Verdana" w:cs="Arial"/>
          <w:lang w:val="es-ES" w:eastAsia="es-ES"/>
        </w:rPr>
        <w:t>Señor</w:t>
      </w:r>
    </w:p>
    <w:p w14:paraId="13B9BD30" w14:textId="77777777" w:rsidR="00756929" w:rsidRPr="00A52470" w:rsidRDefault="00756929" w:rsidP="00756929">
      <w:pPr>
        <w:spacing w:after="0" w:line="240" w:lineRule="auto"/>
        <w:jc w:val="both"/>
        <w:rPr>
          <w:rFonts w:ascii="Verdana" w:eastAsia="Calibri" w:hAnsi="Verdana" w:cs="Arial"/>
          <w:b/>
          <w:bCs/>
          <w:lang w:val="es-ES" w:eastAsia="es-ES"/>
        </w:rPr>
      </w:pPr>
      <w:r w:rsidRPr="00A52470">
        <w:rPr>
          <w:rFonts w:ascii="Verdana" w:eastAsia="Calibri" w:hAnsi="Verdana" w:cs="Arial"/>
          <w:b/>
          <w:bCs/>
          <w:lang w:val="es-ES" w:eastAsia="es-ES"/>
        </w:rPr>
        <w:t>JUAN MANUEL LLANOS ROMERO</w:t>
      </w:r>
    </w:p>
    <w:p w14:paraId="579B97BA" w14:textId="77777777" w:rsidR="00756929" w:rsidRPr="00A52470" w:rsidRDefault="00756929" w:rsidP="00756929">
      <w:pPr>
        <w:spacing w:after="0" w:line="240" w:lineRule="auto"/>
        <w:jc w:val="both"/>
        <w:rPr>
          <w:rFonts w:ascii="Verdana" w:eastAsia="Calibri" w:hAnsi="Verdana" w:cs="Arial"/>
          <w:lang w:val="es-ES" w:eastAsia="es-ES"/>
        </w:rPr>
      </w:pPr>
      <w:hyperlink r:id="rId12" w:history="1">
        <w:r w:rsidRPr="00A52470">
          <w:rPr>
            <w:rStyle w:val="Hyperlink"/>
            <w:rFonts w:ascii="Verdana" w:eastAsia="Calibri" w:hAnsi="Verdana" w:cs="Arial"/>
            <w:color w:val="auto"/>
            <w:u w:val="none"/>
            <w:lang w:val="es-ES" w:eastAsia="es-ES"/>
          </w:rPr>
          <w:t>llanosromeroabogado@outlook.com</w:t>
        </w:r>
      </w:hyperlink>
    </w:p>
    <w:p w14:paraId="0718AABE" w14:textId="77777777" w:rsidR="00756929" w:rsidRPr="00A52470" w:rsidRDefault="00756929" w:rsidP="00756929">
      <w:pPr>
        <w:spacing w:after="0" w:line="240" w:lineRule="auto"/>
        <w:jc w:val="both"/>
        <w:rPr>
          <w:rFonts w:ascii="Verdana" w:eastAsia="Calibri" w:hAnsi="Verdana" w:cs="Arial"/>
          <w:lang w:val="es-ES" w:eastAsia="es-ES"/>
        </w:rPr>
      </w:pPr>
      <w:r w:rsidRPr="00A52470">
        <w:rPr>
          <w:rFonts w:ascii="Verdana" w:eastAsia="Calibri" w:hAnsi="Verdana" w:cs="Arial"/>
          <w:lang w:val="es-ES" w:eastAsia="es-ES"/>
        </w:rPr>
        <w:t>Ciudad</w:t>
      </w:r>
    </w:p>
    <w:p w14:paraId="585AEB47" w14:textId="77777777" w:rsidR="00756929" w:rsidRPr="00EB04B4" w:rsidRDefault="00756929" w:rsidP="00756929">
      <w:pPr>
        <w:spacing w:after="0" w:line="240" w:lineRule="auto"/>
        <w:rPr>
          <w:rFonts w:ascii="Arial" w:eastAsia="Calibri" w:hAnsi="Arial" w:cs="Arial"/>
          <w:b/>
          <w:bCs/>
          <w:color w:val="000000"/>
          <w:lang w:val="es-ES_tradnl" w:eastAsia="es-ES_tradnl"/>
        </w:rPr>
      </w:pPr>
    </w:p>
    <w:p w14:paraId="3300DBBC" w14:textId="77777777" w:rsidR="00756929" w:rsidRPr="00EB04B4" w:rsidRDefault="00756929" w:rsidP="00756929">
      <w:pPr>
        <w:spacing w:after="0" w:line="240" w:lineRule="auto"/>
        <w:rPr>
          <w:rFonts w:ascii="Arial" w:eastAsia="Calibri" w:hAnsi="Arial" w:cs="Arial"/>
          <w:b/>
          <w:bCs/>
          <w:color w:val="000000"/>
          <w:lang w:val="es-ES_tradnl" w:eastAsia="es-ES_tradnl"/>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816"/>
      </w:tblGrid>
      <w:tr w:rsidR="00756929" w:rsidRPr="00FA0FBB" w14:paraId="4B825855" w14:textId="77777777" w:rsidTr="00EF7430">
        <w:trPr>
          <w:trHeight w:val="884"/>
        </w:trPr>
        <w:tc>
          <w:tcPr>
            <w:tcW w:w="2689" w:type="dxa"/>
          </w:tcPr>
          <w:p w14:paraId="42FA8613" w14:textId="77777777" w:rsidR="00756929" w:rsidRPr="00EB04B4" w:rsidRDefault="00756929">
            <w:pPr>
              <w:jc w:val="both"/>
              <w:rPr>
                <w:rFonts w:ascii="Arial" w:eastAsia="Calibri" w:hAnsi="Arial" w:cs="Arial"/>
                <w:b/>
                <w:bCs/>
                <w:lang w:val="es-ES_tradnl" w:eastAsia="es-ES_tradnl"/>
              </w:rPr>
            </w:pPr>
          </w:p>
        </w:tc>
        <w:tc>
          <w:tcPr>
            <w:tcW w:w="5816" w:type="dxa"/>
          </w:tcPr>
          <w:p w14:paraId="1FF66B62" w14:textId="77777777" w:rsidR="00756929" w:rsidRPr="00EB04B4" w:rsidRDefault="00756929">
            <w:pPr>
              <w:jc w:val="both"/>
              <w:rPr>
                <w:rFonts w:ascii="Arial" w:eastAsia="Calibri" w:hAnsi="Arial" w:cs="Arial"/>
                <w:b/>
                <w:bCs/>
                <w:lang w:val="es-ES" w:eastAsia="es-ES"/>
              </w:rPr>
            </w:pPr>
            <w:r w:rsidRPr="00EB04B4">
              <w:rPr>
                <w:rFonts w:ascii="Arial" w:eastAsia="Calibri" w:hAnsi="Arial" w:cs="Arial"/>
                <w:b/>
                <w:bCs/>
                <w:lang w:val="es-ES" w:eastAsia="es-ES"/>
              </w:rPr>
              <w:t>Concepto C- 101 del 2026</w:t>
            </w:r>
          </w:p>
        </w:tc>
      </w:tr>
      <w:tr w:rsidR="00756929" w:rsidRPr="00FA0FBB" w14:paraId="69B570BB" w14:textId="77777777" w:rsidTr="00EF7430">
        <w:trPr>
          <w:trHeight w:val="884"/>
        </w:trPr>
        <w:tc>
          <w:tcPr>
            <w:tcW w:w="2689" w:type="dxa"/>
          </w:tcPr>
          <w:p w14:paraId="62838487" w14:textId="77777777" w:rsidR="00756929" w:rsidRPr="00EB04B4" w:rsidRDefault="00756929">
            <w:pPr>
              <w:jc w:val="both"/>
              <w:rPr>
                <w:rFonts w:ascii="Arial" w:eastAsia="Calibri" w:hAnsi="Arial" w:cs="Arial"/>
                <w:lang w:val="es-ES_tradnl" w:eastAsia="es-ES_tradnl"/>
              </w:rPr>
            </w:pPr>
            <w:r w:rsidRPr="00EB04B4">
              <w:rPr>
                <w:rFonts w:ascii="Arial" w:eastAsia="Calibri" w:hAnsi="Arial" w:cs="Arial"/>
                <w:b/>
                <w:lang w:val="es-ES_tradnl" w:eastAsia="es-ES_tradnl"/>
              </w:rPr>
              <w:t>Temas:</w:t>
            </w:r>
            <w:r w:rsidRPr="00EB04B4">
              <w:rPr>
                <w:rFonts w:ascii="Arial" w:eastAsia="Calibri" w:hAnsi="Arial" w:cs="Arial"/>
                <w:lang w:val="es-ES_tradnl" w:eastAsia="es-ES_tradnl"/>
              </w:rPr>
              <w:t xml:space="preserve">             </w:t>
            </w:r>
          </w:p>
        </w:tc>
        <w:tc>
          <w:tcPr>
            <w:tcW w:w="5816" w:type="dxa"/>
          </w:tcPr>
          <w:p w14:paraId="6A800C1A" w14:textId="77777777" w:rsidR="00756929" w:rsidRPr="00EF7430" w:rsidRDefault="00756929">
            <w:pPr>
              <w:spacing w:line="276" w:lineRule="auto"/>
              <w:jc w:val="both"/>
              <w:rPr>
                <w:rFonts w:ascii="Verdana" w:eastAsia="Times New Roman" w:hAnsi="Verdana" w:cs="Arial"/>
                <w:lang w:eastAsia="es-ES_tradnl"/>
              </w:rPr>
            </w:pPr>
            <w:r w:rsidRPr="00EF7430">
              <w:rPr>
                <w:rFonts w:ascii="Verdana" w:hAnsi="Verdana" w:cs="Arial"/>
                <w:bCs/>
                <w:color w:val="000000" w:themeColor="text1"/>
              </w:rPr>
              <w:t>EJERCICIO PROFESIÓN DE ABOGADO-</w:t>
            </w:r>
            <w:r w:rsidRPr="00EF7430">
              <w:rPr>
                <w:rFonts w:ascii="Verdana" w:eastAsia="Calibri" w:hAnsi="Verdana" w:cs="Arial"/>
                <w:bCs/>
                <w:color w:val="000000" w:themeColor="text1"/>
              </w:rPr>
              <w:t xml:space="preserve"> CONTRATO DE PRESTACIÓN DE SERVICIOS PROFESIONALES – Idoneidad / TÍTULO DE IDONEIDAD – Régimen constitucional – Régimen jurídico -Tarjeta profesional-</w:t>
            </w:r>
            <w:r w:rsidRPr="00EF7430">
              <w:rPr>
                <w:rFonts w:ascii="Verdana" w:eastAsia="Times New Roman" w:hAnsi="Verdana" w:cs="Arial"/>
                <w:lang w:eastAsia="es-ES_tradnl"/>
              </w:rPr>
              <w:t xml:space="preserve"> </w:t>
            </w:r>
            <w:r w:rsidRPr="00EF7430">
              <w:rPr>
                <w:rFonts w:ascii="Verdana" w:hAnsi="Verdana" w:cs="Arial"/>
                <w:bCs/>
                <w:color w:val="000000" w:themeColor="text1"/>
              </w:rPr>
              <w:t xml:space="preserve">Ley 1905 de 2018 </w:t>
            </w:r>
            <w:r w:rsidRPr="00EF7430">
              <w:rPr>
                <w:rFonts w:ascii="Verdana" w:eastAsia="Times New Roman" w:hAnsi="Verdana" w:cs="Arial"/>
                <w:lang w:eastAsia="es-ES_tradnl"/>
              </w:rPr>
              <w:t>– Ámbito de Aplicación-</w:t>
            </w:r>
            <w:r w:rsidRPr="00EF7430">
              <w:rPr>
                <w:rFonts w:ascii="Verdana" w:eastAsia="Calibri" w:hAnsi="Verdana" w:cs="Arial"/>
                <w:szCs w:val="24"/>
                <w:lang w:val="es-ES" w:eastAsia="es-ES_tradnl"/>
              </w:rPr>
              <w:t xml:space="preserve"> Decreto 1082 de 2015 Artículo 2.2.1.2.1.4.9.</w:t>
            </w:r>
            <w:r w:rsidRPr="00EF7430">
              <w:rPr>
                <w:rFonts w:ascii="Verdana" w:hAnsi="Verdana" w:cs="Arial"/>
                <w:bCs/>
                <w:color w:val="000000" w:themeColor="text1"/>
              </w:rPr>
              <w:t xml:space="preserve"> Sentencia SU128-2024 – Efectos</w:t>
            </w:r>
          </w:p>
          <w:p w14:paraId="4D5D3236" w14:textId="77777777" w:rsidR="00756929" w:rsidRPr="00EB04B4" w:rsidRDefault="00756929">
            <w:pPr>
              <w:spacing w:line="276" w:lineRule="auto"/>
              <w:jc w:val="both"/>
              <w:rPr>
                <w:rFonts w:ascii="Arial" w:eastAsia="Times New Roman" w:hAnsi="Arial" w:cs="Arial"/>
                <w:lang w:eastAsia="es-ES"/>
              </w:rPr>
            </w:pPr>
          </w:p>
          <w:p w14:paraId="0B5C299F" w14:textId="77777777" w:rsidR="00756929" w:rsidRPr="00EB04B4" w:rsidRDefault="00756929">
            <w:pPr>
              <w:spacing w:line="276" w:lineRule="auto"/>
              <w:jc w:val="both"/>
              <w:rPr>
                <w:rFonts w:ascii="Arial" w:eastAsia="Calibri" w:hAnsi="Arial" w:cs="Arial"/>
                <w:lang w:val="es-ES" w:eastAsia="es-ES"/>
              </w:rPr>
            </w:pPr>
          </w:p>
        </w:tc>
      </w:tr>
      <w:tr w:rsidR="00756929" w:rsidRPr="00EF7430" w14:paraId="7B71CD07" w14:textId="77777777" w:rsidTr="00EF7430">
        <w:tc>
          <w:tcPr>
            <w:tcW w:w="2689" w:type="dxa"/>
          </w:tcPr>
          <w:p w14:paraId="70B2AA12" w14:textId="77777777" w:rsidR="00756929" w:rsidRPr="00EB04B4" w:rsidRDefault="00756929">
            <w:pPr>
              <w:jc w:val="both"/>
              <w:rPr>
                <w:rFonts w:ascii="Arial" w:eastAsia="Calibri" w:hAnsi="Arial" w:cs="Arial"/>
                <w:b/>
                <w:lang w:val="es-ES_tradnl" w:eastAsia="es-ES_tradnl"/>
              </w:rPr>
            </w:pPr>
            <w:r w:rsidRPr="00EB04B4">
              <w:rPr>
                <w:rFonts w:ascii="Arial" w:eastAsia="Calibri" w:hAnsi="Arial" w:cs="Arial"/>
                <w:b/>
                <w:lang w:val="es-ES_tradnl" w:eastAsia="es-ES_tradnl"/>
              </w:rPr>
              <w:t>Radicación:</w:t>
            </w:r>
            <w:r w:rsidRPr="00EB04B4">
              <w:rPr>
                <w:rFonts w:ascii="Arial" w:eastAsia="Calibri" w:hAnsi="Arial" w:cs="Arial"/>
                <w:lang w:val="es-ES_tradnl" w:eastAsia="es-ES_tradnl"/>
              </w:rPr>
              <w:t xml:space="preserve">               </w:t>
            </w:r>
          </w:p>
        </w:tc>
        <w:tc>
          <w:tcPr>
            <w:tcW w:w="5816" w:type="dxa"/>
          </w:tcPr>
          <w:p w14:paraId="11336336" w14:textId="77777777" w:rsidR="00756929" w:rsidRPr="00EF7430" w:rsidRDefault="00756929">
            <w:pPr>
              <w:jc w:val="both"/>
              <w:rPr>
                <w:rFonts w:ascii="Verdana" w:eastAsia="Calibri" w:hAnsi="Verdana" w:cs="Arial"/>
                <w:lang w:val="es-ES_tradnl" w:eastAsia="es-ES_tradnl"/>
              </w:rPr>
            </w:pPr>
            <w:r w:rsidRPr="00EF7430">
              <w:rPr>
                <w:rFonts w:ascii="Verdana" w:eastAsia="Calibri" w:hAnsi="Verdana" w:cs="Arial"/>
                <w:lang w:val="es-ES_tradnl" w:eastAsia="es-ES_tradnl"/>
              </w:rPr>
              <w:t>Respuesta a consulta con radicado No. 1</w:t>
            </w:r>
            <w:r w:rsidRPr="00EF7430">
              <w:rPr>
                <w:rFonts w:ascii="Verdana" w:hAnsi="Verdana" w:cs="Arial"/>
                <w:color w:val="000000"/>
              </w:rPr>
              <w:t>_2026_01_26_000815</w:t>
            </w:r>
          </w:p>
        </w:tc>
      </w:tr>
    </w:tbl>
    <w:p w14:paraId="57D39182" w14:textId="77777777" w:rsidR="00756929" w:rsidRPr="00EB04B4" w:rsidRDefault="00756929" w:rsidP="00756929">
      <w:pPr>
        <w:spacing w:after="0" w:line="240" w:lineRule="auto"/>
        <w:jc w:val="both"/>
        <w:rPr>
          <w:rFonts w:ascii="Arial" w:eastAsia="Calibri" w:hAnsi="Arial" w:cs="Arial"/>
          <w:color w:val="000000"/>
          <w:lang w:val="es-ES_tradnl" w:eastAsia="es-ES_tradnl"/>
        </w:rPr>
      </w:pPr>
    </w:p>
    <w:p w14:paraId="6A820DC1" w14:textId="77777777" w:rsidR="00756929" w:rsidRPr="00EB04B4" w:rsidRDefault="00756929" w:rsidP="00756929">
      <w:pPr>
        <w:spacing w:after="0" w:line="240" w:lineRule="auto"/>
        <w:jc w:val="both"/>
        <w:rPr>
          <w:rFonts w:ascii="Arial" w:eastAsia="Calibri" w:hAnsi="Arial" w:cs="Arial"/>
          <w:color w:val="000000"/>
          <w:lang w:val="es-ES_tradnl" w:eastAsia="es-ES_tradnl"/>
        </w:rPr>
      </w:pPr>
    </w:p>
    <w:p w14:paraId="1A5683AD" w14:textId="77777777" w:rsidR="00756929" w:rsidRDefault="00756929" w:rsidP="00FA0FBB">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señor: </w:t>
      </w:r>
    </w:p>
    <w:p w14:paraId="0406402B" w14:textId="77777777" w:rsidR="00756929" w:rsidRDefault="00756929" w:rsidP="00FA0FB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ED86D8F" w14:textId="77777777" w:rsidR="00756929" w:rsidRPr="00593A5F" w:rsidRDefault="00756929" w:rsidP="00FA0FB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 xml:space="preserve">En ejercicio de la competencia otorgada por los artículos 3, numeral 5º, y 11, numeral </w:t>
      </w:r>
      <w:r w:rsidRPr="00D70DB1">
        <w:rPr>
          <w:rFonts w:ascii="Verdana" w:eastAsia="Calibri" w:hAnsi="Verdana" w:cs="Arial"/>
          <w:lang w:val="es-ES" w:eastAsia="es-ES"/>
        </w:rPr>
        <w:t>8º, del Decreto Ley 4170 de 2011,</w:t>
      </w:r>
      <w:r w:rsidRPr="00D70DB1">
        <w:rPr>
          <w:rFonts w:ascii="Verdana" w:eastAsia="Arial MT" w:hAnsi="Verdana" w:cs="Arial MT"/>
          <w:lang w:val="es-ES" w:eastAsia="es-ES"/>
        </w:rPr>
        <w:t xml:space="preserve"> </w:t>
      </w:r>
      <w:r w:rsidRPr="00D70DB1">
        <w:rPr>
          <w:rFonts w:ascii="Verdana" w:hAnsi="Verdana" w:cs="Arial"/>
        </w:rPr>
        <w:t xml:space="preserve">así como lo establecido en el artículo 4 de la Resolución 1707 de 2018 expedida por esta Entidad, </w:t>
      </w:r>
      <w:r w:rsidRPr="00D70DB1">
        <w:rPr>
          <w:rFonts w:ascii="Verdana" w:eastAsia="Calibri" w:hAnsi="Verdana" w:cs="Arial"/>
          <w:lang w:val="es-ES" w:eastAsia="es-ES"/>
        </w:rPr>
        <w:t xml:space="preserve">la Agencia Nacional de Contratación Pública – Colombia Compra Eficiente– responde su solicitud de consulta de fecha 26 de enero de 2026, en la cual manifiesta lo siguiente: </w:t>
      </w:r>
    </w:p>
    <w:p w14:paraId="4FF01324" w14:textId="77777777" w:rsidR="00756929" w:rsidRPr="00272A7B" w:rsidRDefault="00756929" w:rsidP="00FA0FBB">
      <w:pPr>
        <w:pStyle w:val="ListParagraph"/>
        <w:tabs>
          <w:tab w:val="left" w:pos="142"/>
          <w:tab w:val="left" w:pos="284"/>
        </w:tabs>
        <w:spacing w:line="276" w:lineRule="auto"/>
        <w:ind w:left="0"/>
        <w:jc w:val="both"/>
        <w:rPr>
          <w:rFonts w:ascii="Verdana" w:eastAsia="Century Gothic" w:hAnsi="Verdana" w:cs="Century Gothic"/>
          <w:b/>
          <w:bCs/>
        </w:rPr>
      </w:pPr>
    </w:p>
    <w:p w14:paraId="481B2039" w14:textId="77777777" w:rsidR="00756929" w:rsidRPr="00FA0FBB" w:rsidRDefault="00756929" w:rsidP="00A52470">
      <w:pPr>
        <w:pStyle w:val="ListParagraph"/>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 xml:space="preserve">“Para el suscrito, la H. Corte Constitucional fue clara en acotar que la tarjeta profesional de abogado solo será necesaria para la representación de otras personas en cualquier trámite que </w:t>
      </w:r>
    </w:p>
    <w:p w14:paraId="53B003DF" w14:textId="77777777" w:rsidR="00756929" w:rsidRPr="00FA0FBB" w:rsidRDefault="00756929" w:rsidP="00A52470">
      <w:pPr>
        <w:pStyle w:val="ListParagraph"/>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requiera abogado, entre otras, algunas actuaciones ante Notarios y Jueces de la Republica.</w:t>
      </w:r>
    </w:p>
    <w:p w14:paraId="229161B3" w14:textId="77777777" w:rsidR="00756929" w:rsidRPr="00FA0FBB" w:rsidRDefault="00756929" w:rsidP="00A52470">
      <w:pPr>
        <w:pStyle w:val="ListParagraph"/>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p>
    <w:p w14:paraId="3E5DC1C8" w14:textId="77777777" w:rsidR="00756929" w:rsidRPr="00FA0FBB" w:rsidRDefault="00756929" w:rsidP="00A52470">
      <w:pPr>
        <w:pStyle w:val="ListParagraph"/>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No obstante, se ha presentado un mar de dudas en las Entidades del orden departamental y  municipal, como también en las direcciones territoriales en si resulta posible la contratación  a través de la figura de contrato de prestación de servicios del recién graduado que no ha obtenido la tarjeta, en puestos donde no se ejerce la representación de la Entidad y se han ofertado para profesionales; Verbigracia, un puesto como profesional universitario en una secretaría adscrita a las Alcaldías Municipales o una asesoría profesional en la oficina de  recursos humanos.</w:t>
      </w:r>
    </w:p>
    <w:p w14:paraId="2DDFE083" w14:textId="77777777" w:rsidR="00756929" w:rsidRPr="00FA0FBB" w:rsidRDefault="00756929" w:rsidP="00A52470">
      <w:pPr>
        <w:pStyle w:val="ListParagraph"/>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p>
    <w:p w14:paraId="00B4C6AE" w14:textId="77777777" w:rsidR="00756929" w:rsidRDefault="00756929" w:rsidP="00A52470">
      <w:pPr>
        <w:pStyle w:val="ListParagraph"/>
        <w:tabs>
          <w:tab w:val="left" w:pos="142"/>
          <w:tab w:val="left" w:pos="284"/>
        </w:tabs>
        <w:spacing w:after="0" w:line="240" w:lineRule="auto"/>
        <w:ind w:left="737" w:right="737"/>
        <w:contextualSpacing w:val="0"/>
        <w:jc w:val="both"/>
        <w:rPr>
          <w:rFonts w:ascii="Verdana" w:eastAsia="Century Gothic" w:hAnsi="Verdana" w:cs="Century Gothic"/>
          <w:i/>
          <w:iCs/>
          <w:sz w:val="20"/>
          <w:szCs w:val="20"/>
        </w:rPr>
      </w:pPr>
      <w:r w:rsidRPr="00FA0FBB">
        <w:rPr>
          <w:rFonts w:ascii="Verdana" w:eastAsia="Century Gothic" w:hAnsi="Verdana" w:cs="Century Gothic"/>
          <w:i/>
          <w:iCs/>
          <w:sz w:val="20"/>
          <w:szCs w:val="20"/>
        </w:rPr>
        <w:t>Corolario de lo anterior, los graduandos a los que cobija la obligatoriedad de la presentación del examen de idoneidad reglado por la Ley 1905 de 2018 se encuentran en una posición de  confusión e incertidumbre frente a los alcances de la exigibilidad de la tarjeta profesional de abogados y el desconocimiento de los pronunciamientos de la Corte Constitucional por parte del personal encargado de la contratación estatal. En consecuencia, el concepto que aquí se rinda será una luz que guíe a las nuevas generaciones de abogados que están en busca de una oportunidad laboral</w:t>
      </w:r>
      <w:r w:rsidRPr="00EB04B4">
        <w:rPr>
          <w:rFonts w:ascii="Verdana" w:eastAsia="Century Gothic" w:hAnsi="Verdana" w:cs="Century Gothic"/>
          <w:i/>
          <w:iCs/>
          <w:sz w:val="20"/>
          <w:szCs w:val="20"/>
        </w:rPr>
        <w:t>.”</w:t>
      </w:r>
    </w:p>
    <w:p w14:paraId="2E401E8D" w14:textId="77777777" w:rsidR="00FA0FBB" w:rsidRPr="00FA0FBB" w:rsidRDefault="00FA0FBB" w:rsidP="00A52470">
      <w:pPr>
        <w:pStyle w:val="ListParagraph"/>
        <w:tabs>
          <w:tab w:val="left" w:pos="142"/>
          <w:tab w:val="left" w:pos="284"/>
        </w:tabs>
        <w:spacing w:after="0" w:line="276" w:lineRule="auto"/>
        <w:ind w:left="737" w:right="737"/>
        <w:contextualSpacing w:val="0"/>
        <w:jc w:val="both"/>
        <w:rPr>
          <w:rFonts w:ascii="Verdana" w:eastAsia="Century Gothic" w:hAnsi="Verdana" w:cs="Century Gothic"/>
          <w:i/>
          <w:iCs/>
        </w:rPr>
      </w:pPr>
    </w:p>
    <w:p w14:paraId="3236A075" w14:textId="77777777" w:rsidR="00756929" w:rsidRDefault="00756929" w:rsidP="0075692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4B67887" w14:textId="77777777" w:rsidR="00756929" w:rsidRPr="00A12789" w:rsidRDefault="00756929" w:rsidP="00756929">
      <w:pPr>
        <w:spacing w:after="0" w:line="276" w:lineRule="auto"/>
        <w:ind w:firstLine="709"/>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 xml:space="preserve">el problema </w:t>
      </w:r>
      <w:r w:rsidRPr="00A12789">
        <w:rPr>
          <w:rFonts w:ascii="Verdana" w:eastAsia="Calibri" w:hAnsi="Verdana" w:cs="Arial"/>
          <w:lang w:val="es-ES" w:eastAsia="es-ES"/>
        </w:rPr>
        <w:t xml:space="preserve">jurídico de su consulta. </w:t>
      </w:r>
    </w:p>
    <w:p w14:paraId="173AB816" w14:textId="77777777" w:rsidR="00756929" w:rsidRPr="00593A5F" w:rsidRDefault="00756929" w:rsidP="00FA0FBB">
      <w:pPr>
        <w:spacing w:after="0" w:line="276" w:lineRule="auto"/>
        <w:ind w:firstLine="709"/>
        <w:jc w:val="both"/>
        <w:rPr>
          <w:rFonts w:ascii="Verdana" w:eastAsia="Calibri" w:hAnsi="Verdana" w:cs="Arial"/>
          <w:color w:val="000000"/>
          <w:lang w:val="es-ES" w:eastAsia="es-ES"/>
        </w:rPr>
      </w:pPr>
    </w:p>
    <w:p w14:paraId="42B4E88D" w14:textId="77777777" w:rsidR="00756929" w:rsidRPr="00593A5F" w:rsidRDefault="00756929" w:rsidP="00FA0FBB">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14A4AC8" w14:textId="77777777" w:rsidR="00756929" w:rsidRPr="00593A5F" w:rsidRDefault="00756929" w:rsidP="00FA0FBB">
      <w:pPr>
        <w:tabs>
          <w:tab w:val="left" w:pos="426"/>
        </w:tabs>
        <w:spacing w:after="0" w:line="276" w:lineRule="auto"/>
        <w:jc w:val="both"/>
        <w:rPr>
          <w:rFonts w:ascii="Verdana" w:eastAsia="Century Gothic" w:hAnsi="Verdana" w:cs="Century Gothic"/>
          <w:lang w:val="es-ES"/>
        </w:rPr>
      </w:pPr>
    </w:p>
    <w:p w14:paraId="0A23A12B" w14:textId="77777777" w:rsidR="00756929" w:rsidRPr="00593A5F" w:rsidRDefault="00756929" w:rsidP="00FA0FB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sidRPr="008A0A2E">
        <w:rPr>
          <w:rFonts w:ascii="Verdana" w:eastAsia="Century Gothic" w:hAnsi="Verdana" w:cs="Century Gothic"/>
        </w:rPr>
        <w:t>: ¿</w:t>
      </w:r>
      <w:r w:rsidRPr="008A0A2E">
        <w:rPr>
          <w:rFonts w:ascii="Verdana" w:hAnsi="Verdana"/>
        </w:rPr>
        <w:t>Resulta</w:t>
      </w:r>
      <w:r w:rsidRPr="008A0A2E">
        <w:rPr>
          <w:rFonts w:ascii="Verdana" w:eastAsia="Century Gothic" w:hAnsi="Verdana" w:cs="Century Gothic"/>
        </w:rPr>
        <w:t xml:space="preserve"> jurídicamente viable la contratación, por parte de una entidad estatal, de una persona recién graduada en Derecho que aún no cuenta con tarjeta profesional, para el desempeño de funciones propias del ejercicio de la abogacía?</w:t>
      </w:r>
    </w:p>
    <w:p w14:paraId="13EA9F2D" w14:textId="77777777" w:rsidR="00756929" w:rsidRPr="00593A5F" w:rsidRDefault="00756929" w:rsidP="00FA0FBB">
      <w:pPr>
        <w:spacing w:after="0" w:line="276" w:lineRule="auto"/>
        <w:jc w:val="both"/>
        <w:rPr>
          <w:rFonts w:ascii="Verdana" w:eastAsia="Calibri" w:hAnsi="Verdana" w:cs="Arial"/>
          <w:color w:val="7030A0"/>
          <w:lang w:val="es-ES"/>
        </w:rPr>
      </w:pPr>
    </w:p>
    <w:p w14:paraId="2AE94FCD" w14:textId="77777777" w:rsidR="00756929" w:rsidRPr="00593A5F" w:rsidRDefault="00756929" w:rsidP="00FA0FB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3A725C4" w14:textId="77777777" w:rsidR="00756929" w:rsidRPr="00593A5F" w:rsidRDefault="00756929" w:rsidP="00FA0FBB">
      <w:pPr>
        <w:tabs>
          <w:tab w:val="left" w:pos="142"/>
          <w:tab w:val="left" w:pos="284"/>
        </w:tabs>
        <w:spacing w:after="0" w:line="276" w:lineRule="auto"/>
        <w:jc w:val="both"/>
        <w:rPr>
          <w:rFonts w:ascii="Verdana" w:eastAsia="Century Gothic" w:hAnsi="Verdana" w:cs="Century Gothic"/>
          <w:b/>
          <w:bCs/>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6929" w:rsidRPr="00593A5F" w14:paraId="6B63E136" w14:textId="77777777">
        <w:tc>
          <w:tcPr>
            <w:tcW w:w="8828" w:type="dxa"/>
          </w:tcPr>
          <w:p w14:paraId="4E60B62E" w14:textId="77777777" w:rsidR="00756929" w:rsidRPr="00472251" w:rsidRDefault="00756929" w:rsidP="00FA0FBB">
            <w:pPr>
              <w:spacing w:after="120" w:line="276" w:lineRule="auto"/>
              <w:jc w:val="both"/>
              <w:rPr>
                <w:rFonts w:ascii="Verdana" w:eastAsia="Calibri" w:hAnsi="Verdana" w:cs="Arial"/>
                <w:color w:val="000000"/>
                <w:szCs w:val="24"/>
                <w:lang w:val="es-ES" w:eastAsia="es-ES_tradnl"/>
              </w:rPr>
            </w:pPr>
            <w:r w:rsidRPr="008A0A2E">
              <w:rPr>
                <w:rFonts w:ascii="Verdana" w:eastAsia="Calibri" w:hAnsi="Verdana" w:cs="Arial"/>
              </w:rPr>
              <w:t>Con el fin de dar respuesta a la consulta,</w:t>
            </w:r>
            <w:r>
              <w:rPr>
                <w:rFonts w:ascii="Verdana" w:eastAsia="Calibri" w:hAnsi="Verdana" w:cs="Arial"/>
              </w:rPr>
              <w:t xml:space="preserve"> </w:t>
            </w:r>
            <w:r w:rsidRPr="00472251">
              <w:rPr>
                <w:rFonts w:ascii="Verdana" w:eastAsia="Calibri" w:hAnsi="Verdana" w:cs="Arial"/>
                <w:szCs w:val="24"/>
                <w:lang w:val="es-ES" w:eastAsia="es-ES_tradnl"/>
              </w:rPr>
              <w:t>en principio, las entidades estatales tienen dentro de sus obligaciones al contratar, evaluar la idoneidad de un abogado, en la medida en que deben certificar que para la ejecución de un contrato de prestación de servicios se haya verificado la idoneidad o experiencia relacionada, conforme lo indica el Decreto 1082 de 2015 en el artículo 2.2.1.2.1.4.9, con la finalidad de determinar si el futuro contratista cumple con los requisitos de ley y las competencias necesarias para el servicio</w:t>
            </w:r>
            <w:r>
              <w:rPr>
                <w:rFonts w:ascii="Verdana" w:eastAsia="Calibri" w:hAnsi="Verdana" w:cs="Arial"/>
                <w:szCs w:val="24"/>
                <w:lang w:val="es-ES" w:eastAsia="es-ES_tradnl"/>
              </w:rPr>
              <w:t xml:space="preserve"> </w:t>
            </w:r>
            <w:r w:rsidRPr="00472251">
              <w:rPr>
                <w:rFonts w:ascii="Verdana" w:eastAsia="Calibri" w:hAnsi="Verdana" w:cs="Arial"/>
                <w:szCs w:val="24"/>
                <w:lang w:val="es-ES" w:eastAsia="es-ES_tradnl"/>
              </w:rPr>
              <w:t xml:space="preserve">específico que se va a prestar. Lo anterior incluye la verificación de la formación académica, experiencia profesional o cualquier otro aspecto que sea relevante para la ejecución de las funciones a desempeñar; y para el caso concreto la presentación y aprobación del Examen de Estado establecido por la Ley 1905 de 2018, este un requisito de idoneidad salvo los casos excepcionales previstos por la Corte Constitucional en la Sentencia SU-128 de </w:t>
            </w:r>
            <w:r w:rsidRPr="00472251">
              <w:rPr>
                <w:rFonts w:ascii="Verdana" w:eastAsia="Calibri" w:hAnsi="Verdana" w:cs="Arial"/>
                <w:color w:val="000000"/>
                <w:szCs w:val="24"/>
                <w:lang w:val="es-ES" w:eastAsia="es-ES_tradnl"/>
              </w:rPr>
              <w:t>2024.</w:t>
            </w:r>
          </w:p>
          <w:p w14:paraId="6F39E4B7" w14:textId="77777777" w:rsidR="00756929" w:rsidRPr="00472251" w:rsidRDefault="00756929" w:rsidP="00EB04B4">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En consecuencia, la aprobación del Examen de Estado no resulta exigible a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fecha en la cual dicha entidad abrió las inscripciones para la primera aplicación del Examen de Estado y ii)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1B0830CD" w14:textId="77777777" w:rsidR="00756929" w:rsidRPr="00472251" w:rsidRDefault="00756929" w:rsidP="00EB04B4">
            <w:pPr>
              <w:spacing w:after="120" w:line="276" w:lineRule="auto"/>
              <w:ind w:firstLine="709"/>
              <w:jc w:val="both"/>
              <w:rPr>
                <w:rFonts w:ascii="Verdana" w:eastAsia="Calibri" w:hAnsi="Verdana" w:cs="Arial"/>
                <w:szCs w:val="24"/>
                <w:lang w:val="es-ES" w:eastAsia="es-ES_tradnl"/>
              </w:rPr>
            </w:pPr>
            <w:r w:rsidRPr="00472251">
              <w:rPr>
                <w:rFonts w:ascii="Verdana" w:eastAsia="Calibri" w:hAnsi="Verdana" w:cs="Arial"/>
                <w:color w:val="000000"/>
              </w:rPr>
              <w:t xml:space="preserve">Lo anterior en razón a que, antes del 26 de diciembre de 2023, el Consejo Superior de la Judicatura no había habilitado la inscripción para la primera prueba, lo que implica que materialmente el requisito de aprobación de dicho examen era imposible de cumplir y, por lo tanto, inexigible como un requisito de idoneidad para la celebración de contratos de prestación de servicios. Ahora bien, </w:t>
            </w:r>
            <w:r w:rsidRPr="00472251">
              <w:rPr>
                <w:rFonts w:ascii="Verdana" w:eastAsia="Calibri" w:hAnsi="Verdana" w:cs="Arial"/>
                <w:szCs w:val="24"/>
                <w:lang w:val="es-ES" w:eastAsia="es-ES_tradnl"/>
              </w:rPr>
              <w:t>conforme a la Ley 1905 de 2018, la aprobación del Examen de Estado creado por dicha norma se torna en un requisito exigible para el ejercicio de la abogacía, incluso para aquellas actividades que no impliquen la representación judicial.</w:t>
            </w:r>
          </w:p>
          <w:p w14:paraId="0254B855" w14:textId="104AF2AD" w:rsidR="00756929" w:rsidRDefault="00756929" w:rsidP="00EB04B4">
            <w:pPr>
              <w:spacing w:after="120" w:line="276" w:lineRule="auto"/>
              <w:ind w:firstLine="709"/>
              <w:jc w:val="both"/>
              <w:rPr>
                <w:rFonts w:ascii="Verdana" w:eastAsia="Calibri" w:hAnsi="Verdana" w:cs="Arial"/>
                <w:szCs w:val="24"/>
                <w:lang w:val="es-ES" w:eastAsia="es-ES_tradnl"/>
              </w:rPr>
            </w:pPr>
            <w:r w:rsidRPr="00472251">
              <w:rPr>
                <w:rFonts w:ascii="Verdana" w:eastAsia="Calibri" w:hAnsi="Verdana" w:cs="Arial"/>
                <w:szCs w:val="24"/>
                <w:lang w:eastAsia="es-ES_tradnl"/>
              </w:rPr>
              <w:t xml:space="preserve">Finalmente, para responder su pregunta, no es viable jurídicamente </w:t>
            </w:r>
            <w:r w:rsidRPr="00472251">
              <w:rPr>
                <w:rFonts w:ascii="Verdana" w:eastAsia="Century Gothic" w:hAnsi="Verdana" w:cs="Century Gothic"/>
              </w:rPr>
              <w:t xml:space="preserve">que una Entidad Estatal contrate bajo la modalidad de prestación de servicios a un abogado que aún no cuenta con tarjeta profesional, toda vez que, </w:t>
            </w:r>
            <w:r w:rsidRPr="00472251">
              <w:rPr>
                <w:rFonts w:ascii="Verdana" w:eastAsia="Calibri" w:hAnsi="Verdana" w:cs="Arial"/>
                <w:szCs w:val="24"/>
                <w:lang w:eastAsia="es-ES_tradnl"/>
              </w:rPr>
              <w:t>este documento es un requisito de idoneidad para celebrar contratos de prestación de servicios profesionales que impliquen el ejercicio de la abogacía. Dado que, la presentación y aprobación del Examen de Estado es uno de los requisitos previos para la expedición de la tarjeta profesional para aquellas personas que hayan iniciado sus estudios de Derecho con posterioridad a la promulgación de la ley correspondiente, es decir, el 28 de junio de 2018, solo será</w:t>
            </w:r>
            <w:r>
              <w:rPr>
                <w:rFonts w:ascii="Verdana" w:eastAsia="Calibri" w:hAnsi="Verdana" w:cs="Arial"/>
                <w:szCs w:val="24"/>
                <w:lang w:eastAsia="es-ES_tradnl"/>
              </w:rPr>
              <w:t xml:space="preserve"> </w:t>
            </w:r>
            <w:r w:rsidRPr="00472251">
              <w:rPr>
                <w:rFonts w:ascii="Verdana" w:eastAsia="Calibri" w:hAnsi="Verdana" w:cs="Arial"/>
                <w:szCs w:val="24"/>
                <w:lang w:eastAsia="es-ES_tradnl"/>
              </w:rPr>
              <w:t>jurídicamente viable no exigir la aprobación de dicho examen cuando se surta alguno de los casos excepcionales previstos anteriormente, descritos por la Corte Constitucional.</w:t>
            </w:r>
          </w:p>
          <w:p w14:paraId="5F917C8C" w14:textId="34A79D5B" w:rsidR="00756929" w:rsidRPr="00FA0FBB" w:rsidRDefault="00756929" w:rsidP="00EB04B4">
            <w:pPr>
              <w:spacing w:after="120" w:line="276" w:lineRule="auto"/>
              <w:ind w:firstLine="709"/>
              <w:jc w:val="both"/>
              <w:rPr>
                <w:rFonts w:ascii="Verdana" w:eastAsia="Calibri" w:hAnsi="Verdana" w:cs="Arial"/>
                <w:szCs w:val="24"/>
                <w:lang w:eastAsia="es-ES_tradnl"/>
              </w:rPr>
            </w:pPr>
            <w:r>
              <w:rPr>
                <w:rFonts w:ascii="Verdana" w:eastAsia="Calibri" w:hAnsi="Verdana" w:cs="Arial"/>
                <w:szCs w:val="24"/>
                <w:lang w:val="es-ES" w:eastAsia="es-ES_tradnl"/>
              </w:rPr>
              <w:t>Ahora bien, finalmente</w:t>
            </w:r>
            <w:r>
              <w:rPr>
                <w:rFonts w:ascii="Verdana" w:hAnsi="Verdana" w:cs="Arial"/>
                <w:color w:val="000000" w:themeColor="text1"/>
              </w:rPr>
              <w:t xml:space="preserve"> </w:t>
            </w:r>
            <w:r w:rsidRPr="00A869CE">
              <w:rPr>
                <w:rFonts w:ascii="Verdana" w:hAnsi="Verdana" w:cs="Arial"/>
                <w:color w:val="000000" w:themeColor="text1"/>
              </w:rPr>
              <w:t>si las funciones</w:t>
            </w:r>
            <w:r w:rsidRPr="00B81438">
              <w:rPr>
                <w:rFonts w:ascii="Verdana" w:eastAsia="Calibri" w:hAnsi="Verdana" w:cs="Arial"/>
                <w:color w:val="000000" w:themeColor="text1"/>
              </w:rPr>
              <w:t xml:space="preserve"> a desempeñar son meramente operativas, administrativas o de apoyo a la gestión —sin ejercicio del derecho como profesión regulada—, no se requerirá tarjeta profesional, sea definitiva o provisional. Por tanto, la validez de la contratación depende del tipo de vínculo, del contenido funcional del cargo o contrato, y de si el abogado con tarjeta provisional está o no protegido por la decisión de la Corte Constitucional.</w:t>
            </w:r>
          </w:p>
        </w:tc>
      </w:tr>
    </w:tbl>
    <w:p w14:paraId="71C3C7C7" w14:textId="77777777" w:rsidR="00756929" w:rsidRPr="00593A5F" w:rsidRDefault="00756929" w:rsidP="00FA0FBB">
      <w:pPr>
        <w:tabs>
          <w:tab w:val="left" w:pos="142"/>
          <w:tab w:val="left" w:pos="284"/>
        </w:tabs>
        <w:spacing w:after="0" w:line="276" w:lineRule="auto"/>
        <w:jc w:val="both"/>
        <w:rPr>
          <w:rFonts w:ascii="Verdana" w:eastAsia="Century Gothic" w:hAnsi="Verdana" w:cs="Century Gothic"/>
          <w:b/>
          <w:bCs/>
          <w:lang w:val="es-ES"/>
        </w:rPr>
      </w:pPr>
    </w:p>
    <w:p w14:paraId="7ED42489" w14:textId="77777777" w:rsidR="00756929" w:rsidRPr="000C0900" w:rsidRDefault="00756929" w:rsidP="00FA0FB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B8A96BA" w14:textId="77777777" w:rsidR="00756929" w:rsidRDefault="00756929" w:rsidP="00FA0FBB">
      <w:pPr>
        <w:spacing w:after="0" w:line="276" w:lineRule="auto"/>
        <w:jc w:val="both"/>
        <w:rPr>
          <w:rFonts w:ascii="Verdana" w:eastAsia="Calibri" w:hAnsi="Verdana" w:cs="Arial"/>
          <w:color w:val="000000" w:themeColor="text1"/>
          <w:lang w:val="es-ES"/>
        </w:rPr>
      </w:pPr>
    </w:p>
    <w:p w14:paraId="7EC53A41" w14:textId="77777777" w:rsidR="00756929" w:rsidRPr="00A7405A" w:rsidRDefault="00756929" w:rsidP="00756929">
      <w:pPr>
        <w:tabs>
          <w:tab w:val="left" w:pos="0"/>
        </w:tabs>
        <w:spacing w:after="0" w:line="276" w:lineRule="auto"/>
        <w:jc w:val="both"/>
        <w:rPr>
          <w:rFonts w:ascii="Verdana" w:eastAsia="Calibri" w:hAnsi="Verdana" w:cs="Arial"/>
          <w:color w:val="000000" w:themeColor="text1"/>
          <w:lang w:val="es-ES_tradnl"/>
        </w:rPr>
      </w:pPr>
      <w:r w:rsidRPr="00A7405A">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Pr>
          <w:rFonts w:ascii="Verdana" w:hAnsi="Verdana" w:cs="Arial"/>
          <w:color w:val="000000" w:themeColor="text1"/>
          <w:lang w:val="es-MX"/>
        </w:rPr>
        <w:t>“</w:t>
      </w:r>
      <w:r w:rsidRPr="00A7405A">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w:t>
      </w:r>
      <w:r w:rsidRPr="00A7405A">
        <w:rPr>
          <w:rFonts w:ascii="Verdana" w:hAnsi="Verdana" w:cs="Arial"/>
          <w:color w:val="000000" w:themeColor="text1"/>
          <w:lang w:val="es-MX"/>
        </w:rPr>
        <w:t>.</w:t>
      </w:r>
      <w:r w:rsidRPr="00A7405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6F58C3E6" w14:textId="77777777" w:rsidR="00756929" w:rsidRPr="00A7405A" w:rsidRDefault="00756929" w:rsidP="00756929">
      <w:pPr>
        <w:spacing w:after="0" w:line="240" w:lineRule="auto"/>
        <w:ind w:left="709" w:rightChars="709" w:right="1560"/>
        <w:jc w:val="both"/>
        <w:rPr>
          <w:rFonts w:ascii="Verdana" w:eastAsia="Calibri" w:hAnsi="Verdana" w:cs="Arial"/>
          <w:color w:val="000000" w:themeColor="text1"/>
          <w:sz w:val="21"/>
          <w:szCs w:val="21"/>
          <w:lang w:val="es-ES_tradnl"/>
        </w:rPr>
      </w:pPr>
    </w:p>
    <w:p w14:paraId="3B604B29" w14:textId="77777777" w:rsidR="00756929" w:rsidRPr="00A12789"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“La escogencia del contratista se efectuará con arreglo a las modalidades de selección de licitación pública, selección abreviada, concurso de méritos y contratación directa, con base en las siguientes reglas:</w:t>
      </w:r>
    </w:p>
    <w:p w14:paraId="7830406E" w14:textId="77777777" w:rsidR="00756929" w:rsidRPr="00A12789" w:rsidRDefault="00756929" w:rsidP="00756929">
      <w:pPr>
        <w:spacing w:after="12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w:t>
      </w:r>
    </w:p>
    <w:p w14:paraId="6E24A24F" w14:textId="77777777" w:rsidR="00756929" w:rsidRPr="00A12789"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4. Contratación directa. La modalidad de selección de contratación directa, solamente procederá en los siguientes casos:</w:t>
      </w:r>
    </w:p>
    <w:p w14:paraId="0E73B5B3" w14:textId="77777777" w:rsidR="00756929" w:rsidRPr="00A12789" w:rsidRDefault="00756929" w:rsidP="00756929">
      <w:pPr>
        <w:spacing w:after="12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w:t>
      </w:r>
    </w:p>
    <w:p w14:paraId="080E5764" w14:textId="77777777" w:rsidR="00756929" w:rsidRPr="00421288" w:rsidRDefault="00756929" w:rsidP="00756929">
      <w:pPr>
        <w:spacing w:after="0" w:line="240" w:lineRule="auto"/>
        <w:ind w:left="709" w:rightChars="709" w:right="1560"/>
        <w:jc w:val="both"/>
        <w:rPr>
          <w:rFonts w:ascii="Verdana" w:eastAsia="Calibri" w:hAnsi="Verdana" w:cs="Arial"/>
          <w:color w:val="000000" w:themeColor="text1"/>
          <w:sz w:val="20"/>
          <w:szCs w:val="20"/>
          <w:lang w:val="es-MX"/>
        </w:rPr>
      </w:pPr>
      <w:r w:rsidRPr="00A12789">
        <w:rPr>
          <w:rFonts w:ascii="Verdana" w:eastAsia="Calibri" w:hAnsi="Verdana" w:cs="Arial"/>
          <w:color w:val="000000" w:themeColor="text1"/>
          <w:sz w:val="20"/>
          <w:szCs w:val="20"/>
          <w:lang w:val="es-MX"/>
        </w:rPr>
        <w:t>h) Para la prestación de servicios profesionales y de apoyo a la gestión, o para la ejecución de trabajos artísticos que sólo puedan encomendarse a determinadas personas naturales</w:t>
      </w:r>
      <w:r w:rsidRPr="00421288">
        <w:rPr>
          <w:rFonts w:ascii="Verdana" w:eastAsia="Calibri" w:hAnsi="Verdana" w:cs="Arial"/>
          <w:color w:val="000000" w:themeColor="text1"/>
          <w:sz w:val="20"/>
          <w:szCs w:val="20"/>
          <w:lang w:val="es-MX"/>
        </w:rPr>
        <w:t>”.</w:t>
      </w:r>
    </w:p>
    <w:p w14:paraId="293B561F" w14:textId="77777777" w:rsidR="00756929" w:rsidRPr="00A7405A" w:rsidRDefault="00756929" w:rsidP="00756929">
      <w:pPr>
        <w:tabs>
          <w:tab w:val="left" w:pos="0"/>
        </w:tabs>
        <w:spacing w:after="0" w:line="276" w:lineRule="auto"/>
        <w:ind w:left="709" w:rightChars="709" w:right="1560"/>
        <w:jc w:val="both"/>
        <w:rPr>
          <w:rFonts w:ascii="Verdana" w:hAnsi="Verdana" w:cs="Arial"/>
          <w:noProof/>
          <w:lang w:val="es-ES_tradnl"/>
        </w:rPr>
      </w:pPr>
      <w:r w:rsidRPr="00A7405A">
        <w:rPr>
          <w:rFonts w:ascii="Verdana" w:hAnsi="Verdana" w:cs="Arial"/>
          <w:noProof/>
          <w:lang w:val="es-ES_tradnl"/>
        </w:rPr>
        <w:tab/>
      </w:r>
    </w:p>
    <w:p w14:paraId="64639EFA" w14:textId="77777777" w:rsidR="00756929" w:rsidRPr="00A7405A" w:rsidRDefault="00756929" w:rsidP="00756929">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t xml:space="preserve">En tal sentido, el Decreto 1082 de 2015 en el </w:t>
      </w:r>
      <w:r>
        <w:rPr>
          <w:rFonts w:ascii="Verdana" w:hAnsi="Verdana" w:cs="Arial"/>
          <w:noProof/>
          <w:lang w:val="es-ES_tradnl"/>
        </w:rPr>
        <w:t>a</w:t>
      </w:r>
      <w:r w:rsidRPr="00A7405A">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5CD6D41B" w14:textId="77777777" w:rsidR="00756929" w:rsidRPr="00A7405A" w:rsidRDefault="00756929" w:rsidP="00756929">
      <w:pPr>
        <w:spacing w:after="0" w:line="276" w:lineRule="auto"/>
        <w:jc w:val="both"/>
        <w:rPr>
          <w:rFonts w:ascii="Verdana" w:hAnsi="Verdana" w:cs="Arial"/>
          <w:lang w:val="es-ES"/>
        </w:rPr>
      </w:pPr>
    </w:p>
    <w:p w14:paraId="3893F03E"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1E744B99" w14:textId="77777777" w:rsidR="00756929" w:rsidRPr="00A7405A" w:rsidRDefault="00756929" w:rsidP="00756929">
      <w:pPr>
        <w:spacing w:after="0" w:line="240" w:lineRule="auto"/>
        <w:ind w:left="709" w:right="709"/>
        <w:jc w:val="both"/>
        <w:rPr>
          <w:rFonts w:ascii="Verdana" w:hAnsi="Verdana" w:cs="Arial"/>
          <w:sz w:val="20"/>
          <w:szCs w:val="20"/>
        </w:rPr>
      </w:pPr>
    </w:p>
    <w:p w14:paraId="6E84F496"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7DA80DAF" w14:textId="77777777" w:rsidR="00756929" w:rsidRPr="00A7405A" w:rsidRDefault="00756929" w:rsidP="00756929">
      <w:pPr>
        <w:spacing w:after="0" w:line="240" w:lineRule="auto"/>
        <w:ind w:left="709" w:right="709"/>
        <w:jc w:val="both"/>
        <w:rPr>
          <w:rFonts w:ascii="Verdana" w:hAnsi="Verdana" w:cs="Arial"/>
          <w:sz w:val="20"/>
          <w:szCs w:val="20"/>
          <w:lang w:val="es-MX"/>
        </w:rPr>
      </w:pPr>
    </w:p>
    <w:p w14:paraId="3321E1B2" w14:textId="77777777" w:rsidR="00756929" w:rsidRPr="00A7405A" w:rsidRDefault="00756929" w:rsidP="00756929">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p>
    <w:p w14:paraId="35DC2B87" w14:textId="77777777" w:rsidR="00756929" w:rsidRPr="00A7405A" w:rsidRDefault="00756929" w:rsidP="00756929">
      <w:pPr>
        <w:tabs>
          <w:tab w:val="left" w:pos="0"/>
        </w:tabs>
        <w:spacing w:after="0" w:line="276" w:lineRule="auto"/>
        <w:jc w:val="both"/>
        <w:rPr>
          <w:rFonts w:ascii="Verdana" w:hAnsi="Verdana" w:cs="Arial"/>
          <w:noProof/>
          <w:sz w:val="21"/>
          <w:szCs w:val="21"/>
        </w:rPr>
      </w:pPr>
    </w:p>
    <w:p w14:paraId="5A7EA6EB" w14:textId="77777777" w:rsidR="00756929" w:rsidRPr="00A7405A" w:rsidRDefault="00756929" w:rsidP="00756929">
      <w:pPr>
        <w:tabs>
          <w:tab w:val="left" w:pos="0"/>
        </w:tabs>
        <w:spacing w:before="120" w:after="0" w:line="276" w:lineRule="auto"/>
        <w:jc w:val="both"/>
        <w:rPr>
          <w:rFonts w:ascii="Verdana" w:hAnsi="Verdana" w:cs="Arial"/>
          <w:color w:val="000000" w:themeColor="text1"/>
          <w:sz w:val="21"/>
          <w:szCs w:val="21"/>
          <w:lang w:val="es-MX"/>
        </w:rPr>
      </w:pPr>
      <w:r>
        <w:rPr>
          <w:rFonts w:ascii="Verdana" w:hAnsi="Verdana" w:cs="Arial"/>
          <w:color w:val="000000" w:themeColor="text1"/>
          <w:lang w:val="es-MX"/>
        </w:rPr>
        <w:tab/>
        <w:t xml:space="preserve">Como especies del género </w:t>
      </w:r>
      <w:r w:rsidRPr="00A7405A">
        <w:rPr>
          <w:rFonts w:ascii="Verdana" w:hAnsi="Verdana" w:cs="Arial"/>
          <w:i/>
          <w:iCs/>
          <w:color w:val="000000" w:themeColor="text1"/>
          <w:lang w:val="es-MX"/>
        </w:rPr>
        <w:t>contrato de prestación de servicios</w:t>
      </w:r>
      <w:r>
        <w:rPr>
          <w:rFonts w:ascii="Verdana" w:hAnsi="Verdana" w:cs="Arial"/>
          <w:color w:val="000000" w:themeColor="text1"/>
          <w:lang w:val="es-MX"/>
        </w:rPr>
        <w:t xml:space="preserve"> </w:t>
      </w:r>
      <w:r w:rsidRPr="00A7405A">
        <w:rPr>
          <w:rFonts w:ascii="Verdana" w:hAnsi="Verdana" w:cs="Arial"/>
          <w:color w:val="000000" w:themeColor="text1"/>
          <w:lang w:val="es-MX"/>
        </w:rPr>
        <w:t xml:space="preserve">se incluyen </w:t>
      </w:r>
      <w:r w:rsidRPr="00A7405A">
        <w:rPr>
          <w:rFonts w:ascii="Verdana" w:hAnsi="Verdana" w:cs="Arial"/>
          <w:color w:val="000000" w:themeColor="text1"/>
          <w:lang w:val="es-ES"/>
        </w:rPr>
        <w:t xml:space="preserve">los </w:t>
      </w:r>
      <w:r w:rsidRPr="00A7405A">
        <w:rPr>
          <w:rFonts w:ascii="Verdana" w:hAnsi="Verdana" w:cs="Arial"/>
          <w:i/>
          <w:color w:val="000000" w:themeColor="text1"/>
          <w:lang w:val="es-ES"/>
        </w:rPr>
        <w:t>contratos de prestación de servicios profesionales, los contratos de prestación de servicios de apoyo a la gestión</w:t>
      </w:r>
      <w:r w:rsidRPr="00A7405A">
        <w:rPr>
          <w:rFonts w:ascii="Verdana" w:hAnsi="Verdana" w:cs="Arial"/>
          <w:color w:val="000000" w:themeColor="text1"/>
          <w:lang w:val="es-ES"/>
        </w:rPr>
        <w:t xml:space="preserve"> y los </w:t>
      </w:r>
      <w:r w:rsidRPr="00A7405A">
        <w:rPr>
          <w:rFonts w:ascii="Verdana" w:hAnsi="Verdana" w:cs="Arial"/>
          <w:i/>
          <w:color w:val="000000" w:themeColor="text1"/>
          <w:lang w:val="es-ES"/>
        </w:rPr>
        <w:t>contratos de prestación de servicios artísticos que solo pueden encomendarse a determinadas personas naturales</w:t>
      </w:r>
      <w:r w:rsidRPr="00A7405A">
        <w:rPr>
          <w:rFonts w:ascii="Verdana" w:hAnsi="Verdana" w:cs="Arial"/>
          <w:color w:val="000000" w:themeColor="text1"/>
          <w:vertAlign w:val="superscript"/>
          <w:lang w:val="es-ES_tradnl"/>
        </w:rPr>
        <w:footnoteReference w:id="1"/>
      </w:r>
      <w:r w:rsidRPr="00A7405A">
        <w:rPr>
          <w:rFonts w:ascii="Verdana" w:hAnsi="Verdana" w:cs="Arial"/>
          <w:color w:val="000000" w:themeColor="text1"/>
          <w:lang w:val="es-MX"/>
        </w:rPr>
        <w:t xml:space="preserve">. </w:t>
      </w:r>
      <w:r w:rsidRPr="00A7405A">
        <w:rPr>
          <w:rFonts w:ascii="Verdana" w:hAnsi="Verdana" w:cs="Arial"/>
          <w:color w:val="000000" w:themeColor="text1"/>
          <w:lang w:val="es-ES"/>
        </w:rPr>
        <w:t xml:space="preserve">La diferencia entre el contrato de prestación de servicios </w:t>
      </w:r>
      <w:r w:rsidRPr="00A7405A">
        <w:rPr>
          <w:rFonts w:ascii="Verdana" w:hAnsi="Verdana" w:cs="Arial"/>
          <w:i/>
          <w:color w:val="000000" w:themeColor="text1"/>
          <w:lang w:val="es-ES"/>
        </w:rPr>
        <w:t>profesionales</w:t>
      </w:r>
      <w:r w:rsidRPr="00A7405A">
        <w:rPr>
          <w:rFonts w:ascii="Verdana" w:hAnsi="Verdana" w:cs="Arial"/>
          <w:color w:val="000000" w:themeColor="text1"/>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47D66D26"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0826143D" w14:textId="77777777" w:rsidR="00756929" w:rsidRPr="00A12789" w:rsidRDefault="00756929" w:rsidP="00756929">
      <w:pPr>
        <w:spacing w:after="0" w:line="240" w:lineRule="auto"/>
        <w:ind w:left="709" w:right="709"/>
        <w:jc w:val="both"/>
        <w:rPr>
          <w:rFonts w:ascii="Verdana" w:hAnsi="Verdana" w:cs="Arial"/>
          <w:color w:val="000000" w:themeColor="text1"/>
          <w:sz w:val="20"/>
          <w:szCs w:val="20"/>
          <w:lang w:val="es-ES_tradnl"/>
        </w:rPr>
      </w:pPr>
      <w:r w:rsidRPr="00A12789">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A12789">
        <w:rPr>
          <w:rFonts w:ascii="Verdana" w:hAnsi="Verdana" w:cs="Arial"/>
          <w:color w:val="000000" w:themeColor="text1"/>
          <w:sz w:val="20"/>
          <w:szCs w:val="20"/>
          <w:vertAlign w:val="superscript"/>
          <w:lang w:val="es-ES_tradnl"/>
        </w:rPr>
        <w:footnoteReference w:id="2"/>
      </w:r>
      <w:r w:rsidRPr="00A12789">
        <w:rPr>
          <w:rFonts w:ascii="Verdana" w:hAnsi="Verdana" w:cs="Arial"/>
          <w:color w:val="000000" w:themeColor="text1"/>
          <w:sz w:val="20"/>
          <w:szCs w:val="20"/>
          <w:lang w:val="es-ES_tradnl"/>
        </w:rPr>
        <w:t>.</w:t>
      </w:r>
    </w:p>
    <w:p w14:paraId="37E31BF0"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1EB38D5F"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69433E6A"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53BE5E98" w14:textId="77777777" w:rsidR="00756929" w:rsidRPr="00A7405A" w:rsidRDefault="00756929" w:rsidP="00756929">
      <w:pPr>
        <w:spacing w:after="12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493FD13F" w14:textId="28ECD532" w:rsidR="00756929" w:rsidRPr="00A7405A" w:rsidRDefault="00756929" w:rsidP="00756929">
      <w:pPr>
        <w:spacing w:after="120" w:line="240" w:lineRule="auto"/>
        <w:ind w:left="709" w:right="709"/>
        <w:jc w:val="both"/>
        <w:rPr>
          <w:rFonts w:ascii="Verdana" w:hAnsi="Verdana" w:cs="Arial"/>
          <w:color w:val="000000" w:themeColor="text1"/>
          <w:sz w:val="20"/>
          <w:szCs w:val="20"/>
          <w:lang w:val="es-ES"/>
        </w:rPr>
      </w:pPr>
      <w:r w:rsidRPr="00A7405A">
        <w:rPr>
          <w:rFonts w:ascii="Verdana" w:hAnsi="Verdana" w:cs="Arial"/>
          <w:color w:val="000000" w:themeColor="text1"/>
          <w:sz w:val="20"/>
          <w:szCs w:val="20"/>
          <w:lang w:val="es-ES"/>
        </w:rPr>
        <w:t xml:space="preserve">Aunque también se caracteriza por el desempeño de actividad intelectiva, ésta </w:t>
      </w:r>
      <w:r w:rsidR="00D90E32" w:rsidRPr="00A7405A">
        <w:rPr>
          <w:rFonts w:ascii="Verdana" w:hAnsi="Verdana" w:cs="Arial"/>
          <w:color w:val="000000" w:themeColor="text1"/>
          <w:sz w:val="20"/>
          <w:szCs w:val="20"/>
          <w:lang w:val="es-ES"/>
        </w:rPr>
        <w:t>se enmarca en</w:t>
      </w:r>
      <w:r w:rsidRPr="00A7405A">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304B4A89"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A7405A">
        <w:rPr>
          <w:rFonts w:ascii="Verdana" w:hAnsi="Verdana" w:cs="Arial"/>
          <w:color w:val="000000" w:themeColor="text1"/>
          <w:sz w:val="20"/>
          <w:szCs w:val="20"/>
          <w:vertAlign w:val="superscript"/>
          <w:lang w:val="es-ES_tradnl"/>
        </w:rPr>
        <w:footnoteReference w:id="3"/>
      </w:r>
      <w:r w:rsidRPr="00A7405A">
        <w:rPr>
          <w:rFonts w:ascii="Verdana" w:hAnsi="Verdana" w:cs="Arial"/>
          <w:color w:val="000000" w:themeColor="text1"/>
          <w:sz w:val="20"/>
          <w:szCs w:val="20"/>
          <w:lang w:val="es-ES_tradnl"/>
        </w:rPr>
        <w:t>.</w:t>
      </w:r>
    </w:p>
    <w:p w14:paraId="53772BC8" w14:textId="77777777" w:rsidR="00756929" w:rsidRPr="00A7405A" w:rsidRDefault="00756929" w:rsidP="00756929">
      <w:pPr>
        <w:spacing w:after="0" w:line="276" w:lineRule="auto"/>
        <w:ind w:firstLine="709"/>
        <w:jc w:val="both"/>
        <w:rPr>
          <w:rFonts w:ascii="Verdana" w:hAnsi="Verdana" w:cs="Arial"/>
          <w:color w:val="000000" w:themeColor="text1"/>
          <w:lang w:val="es-ES_tradnl"/>
        </w:rPr>
      </w:pPr>
    </w:p>
    <w:p w14:paraId="1DD77279" w14:textId="77777777" w:rsidR="00756929" w:rsidRPr="00A7405A" w:rsidRDefault="00756929" w:rsidP="00756929">
      <w:pPr>
        <w:spacing w:after="0" w:line="276" w:lineRule="auto"/>
        <w:ind w:firstLine="709"/>
        <w:jc w:val="both"/>
        <w:rPr>
          <w:rFonts w:ascii="Verdana" w:hAnsi="Verdana" w:cs="Arial"/>
          <w:color w:val="000000" w:themeColor="text1"/>
          <w:lang w:val="es-MX"/>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lo predominante es el actuar como ejecutor, con el propósito y finalidad de satisfacer necesidades de las entidades estatales en lo relacionado con la gestión administrativa o funcionamiento de la misma, por personas no profesionales y que no implican el ejercicio de funciones públicas administrativas”</w:t>
      </w:r>
      <w:r w:rsidRPr="00A7405A">
        <w:rPr>
          <w:rFonts w:ascii="Verdana" w:hAnsi="Verdana" w:cs="Arial"/>
          <w:color w:val="000000" w:themeColor="text1"/>
          <w:lang w:val="es-ES_tradnl"/>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6D4F4520" w14:textId="77777777" w:rsidR="00756929" w:rsidRPr="00A7405A" w:rsidRDefault="00756929" w:rsidP="00756929">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otra parte, l</w:t>
      </w:r>
      <w:r w:rsidRPr="00A7405A">
        <w:rPr>
          <w:rFonts w:ascii="Verdana" w:eastAsia="Calibri" w:hAnsi="Verdana" w:cs="Arial"/>
          <w:color w:val="000000" w:themeColor="text1"/>
        </w:rPr>
        <w:t>a Ley 190 de 1995, en el artículo 1º, establece que todo aspirante a celebrar un contrato de prestación de servicios deberá presentar el formato único de hoja de vida, donde consigne la información completa que se solicita, como la formación académica, experiencia laboral, declarar la inexistencia de cualquier hecho o circunstancia que implique una inhabilidad o incompatibilidad</w:t>
      </w:r>
      <w:r w:rsidRPr="00A7405A">
        <w:rPr>
          <w:rFonts w:ascii="Verdana" w:eastAsia="Calibri" w:hAnsi="Verdana" w:cs="Arial"/>
          <w:color w:val="000000" w:themeColor="text1"/>
          <w:vertAlign w:val="superscript"/>
        </w:rPr>
        <w:footnoteReference w:id="4"/>
      </w:r>
      <w:r w:rsidRPr="00A7405A">
        <w:rPr>
          <w:rFonts w:ascii="Verdana" w:eastAsia="Calibri" w:hAnsi="Verdana" w:cs="Arial"/>
          <w:color w:val="000000" w:themeColor="text1"/>
        </w:rPr>
        <w:t xml:space="preserve">. </w:t>
      </w:r>
    </w:p>
    <w:p w14:paraId="151BCD2C" w14:textId="77777777" w:rsidR="00756929" w:rsidRPr="00A7405A" w:rsidRDefault="00756929" w:rsidP="00756929">
      <w:pPr>
        <w:spacing w:before="120"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t xml:space="preserve">En relación con la exigencia de la tarjeta profesional para celebrar el contrato de prestación de servicios, el artículo 26 de la Constitución Política indica que </w:t>
      </w:r>
      <w:r w:rsidRPr="00A7405A">
        <w:rPr>
          <w:rFonts w:ascii="Verdana" w:eastAsia="Calibri" w:hAnsi="Verdana" w:cs="Arial"/>
          <w:i/>
          <w:iCs/>
          <w:color w:val="000000" w:themeColor="text1"/>
        </w:rPr>
        <w:t>“[…] La Ley podrá exigir títulos de idoneidad. […]”.</w:t>
      </w:r>
      <w:r>
        <w:rPr>
          <w:rFonts w:ascii="Verdana" w:eastAsia="Calibri" w:hAnsi="Verdana" w:cs="Arial"/>
          <w:color w:val="000000" w:themeColor="text1"/>
        </w:rPr>
        <w:t xml:space="preserve"> Al respecto, </w:t>
      </w:r>
      <w:r w:rsidRPr="00A7405A">
        <w:rPr>
          <w:rFonts w:ascii="Verdana" w:eastAsia="Calibri" w:hAnsi="Verdana" w:cs="Arial"/>
          <w:color w:val="000000" w:themeColor="text1"/>
        </w:rPr>
        <w:t xml:space="preserve">La Corte Constitucional, en </w:t>
      </w:r>
      <w:r>
        <w:rPr>
          <w:rFonts w:ascii="Verdana" w:eastAsia="Calibri" w:hAnsi="Verdana" w:cs="Arial"/>
          <w:color w:val="000000" w:themeColor="text1"/>
        </w:rPr>
        <w:t>S</w:t>
      </w:r>
      <w:r w:rsidRPr="00A7405A">
        <w:rPr>
          <w:rFonts w:ascii="Verdana" w:eastAsia="Calibri" w:hAnsi="Verdana" w:cs="Arial"/>
          <w:color w:val="000000" w:themeColor="text1"/>
        </w:rPr>
        <w:t>entencia C–697 de 2000, explicó que la Constitución Política autorizó al legislador para exigir determinados títulos de idoneidad a quienes quieren desempeñar actividades que impliquen riesgo social, con el objetivo de demostrar la adecuada aptitud del aspirante, así</w:t>
      </w:r>
      <w:r w:rsidRPr="00A7405A">
        <w:rPr>
          <w:rFonts w:ascii="Verdana" w:eastAsia="Calibri" w:hAnsi="Verdana" w:cs="Arial"/>
          <w:color w:val="000000" w:themeColor="text1"/>
          <w:vertAlign w:val="superscript"/>
        </w:rPr>
        <w:footnoteReference w:id="5"/>
      </w:r>
      <w:r w:rsidRPr="00A7405A">
        <w:rPr>
          <w:rFonts w:ascii="Verdana" w:eastAsia="Calibri" w:hAnsi="Verdana" w:cs="Arial"/>
          <w:color w:val="000000" w:themeColor="text1"/>
        </w:rPr>
        <w:t>:</w:t>
      </w:r>
    </w:p>
    <w:p w14:paraId="669ABDDD"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“El derecho de todas las personas a escoger profesión u oficio (C.P. art. 26), es consecuencia directa del derecho al trabajo (C.P. art. 25) y al libre desarrollo de la personalidad (C.P. art. 16) y constituye, a su turno, uno de los fundamentos esenciales del principio constitucional de la libertad de empresa (C.P. art. 333). Ciertamente, la garantía del derecho fundamental consagrado en el artículo 26 de la Carta, es condición necesaria para que las personas puedan realizar su proyecto de vida en el campo laboral y empresarial, y, adicionalmente, para que encuentren la oportunidad de realizar una actividad cuya remuneración les permita satisfacer sus necesidades y las de su familia.</w:t>
      </w:r>
    </w:p>
    <w:p w14:paraId="5972BFEB"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w:t>
      </w:r>
    </w:p>
    <w:p w14:paraId="22398525" w14:textId="77777777" w:rsidR="00756929" w:rsidRPr="00A7405A" w:rsidRDefault="00756929" w:rsidP="00756929">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En suma, el artículo 26 de la Carta impone al legislador la tarea de garantizarle a todas las personas la libertad plena de escoger, en condiciones de igualdad, la profesión u oficio que pueda servir para realizar su modelo de vida o para garantizarles un ingreso que les permita satisfacer sus necesidades. Sin embargo, la ley puede establecer requisitos de idoneidad para el ejercicio de ciertas profesiones u oficios, siempre que quede claramente demostrado que tal reglamentación es necesaria para minimizar riesgos sociales o para proteger derechos de terceras personas. Adicionalmente, el legislador puede arbitrar mecanismos de vigilancia y control del ejercicio de las profesiones u oficios, cuando persiga defender otros bienes constitucionales o derechos de terceros. Finalmente, en desarrollo de principio constitucional de solidaridad, la ley puede adscribir cargas especiales a algunos profesionales o empresarios, siempre que las mismas resulten razonables y proporcionadas al fin perseguido”.</w:t>
      </w:r>
    </w:p>
    <w:p w14:paraId="13B5B010" w14:textId="77777777" w:rsidR="00756929" w:rsidRPr="00A7405A" w:rsidRDefault="00756929" w:rsidP="00756929">
      <w:pPr>
        <w:spacing w:after="0" w:line="240" w:lineRule="auto"/>
        <w:ind w:left="709" w:right="709"/>
        <w:jc w:val="both"/>
        <w:rPr>
          <w:rFonts w:ascii="Arial" w:eastAsia="Calibri" w:hAnsi="Arial" w:cs="Arial"/>
          <w:color w:val="000000" w:themeColor="text1"/>
          <w:sz w:val="20"/>
          <w:szCs w:val="20"/>
        </w:rPr>
      </w:pPr>
    </w:p>
    <w:p w14:paraId="3C302490" w14:textId="77777777" w:rsidR="00756929" w:rsidRPr="00A7405A" w:rsidRDefault="00756929" w:rsidP="00756929">
      <w:pPr>
        <w:spacing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t>En este sentido, el Congreso de la República, en ejercicio de la función legislativa, por expreso mandato constitucional, frente a determinadas profesiones, puede exigir el requisito de tarjeta profesional como título de idoneidad, en consideración al riesgo social que implica su ejercicio, para de esta manera garantizar la aptitud de las personas en desempeño de su profesión.</w:t>
      </w:r>
    </w:p>
    <w:p w14:paraId="1DF77E7C" w14:textId="77777777" w:rsidR="00756929" w:rsidRPr="00A7405A" w:rsidRDefault="00756929" w:rsidP="00756929">
      <w:pPr>
        <w:spacing w:after="120" w:line="276" w:lineRule="auto"/>
        <w:ind w:firstLine="708"/>
        <w:jc w:val="both"/>
        <w:rPr>
          <w:rFonts w:ascii="Verdana" w:hAnsi="Verdana" w:cs="Arial"/>
          <w:color w:val="000000" w:themeColor="text1"/>
        </w:rPr>
      </w:pPr>
      <w:r>
        <w:rPr>
          <w:rFonts w:ascii="Verdana" w:hAnsi="Verdana" w:cs="Arial"/>
          <w:color w:val="000000" w:themeColor="text1"/>
        </w:rPr>
        <w:t>Particularmente, e</w:t>
      </w:r>
      <w:r w:rsidRPr="00A7405A">
        <w:rPr>
          <w:rFonts w:ascii="Verdana" w:hAnsi="Verdana" w:cs="Arial"/>
          <w:color w:val="000000" w:themeColor="text1"/>
        </w:rPr>
        <w:t>l ejercicio de la profesión de abogado es regulado</w:t>
      </w:r>
      <w:r>
        <w:rPr>
          <w:rFonts w:ascii="Verdana" w:hAnsi="Verdana" w:cs="Arial"/>
          <w:color w:val="000000" w:themeColor="text1"/>
        </w:rPr>
        <w:t xml:space="preserve"> p</w:t>
      </w:r>
      <w:r w:rsidRPr="00A7405A">
        <w:rPr>
          <w:rFonts w:ascii="Verdana" w:hAnsi="Verdana" w:cs="Arial"/>
          <w:color w:val="000000" w:themeColor="text1"/>
        </w:rPr>
        <w:t xml:space="preserve">or el Decreto 196 de 1971. El artículo 1 de esta norma establece que </w:t>
      </w:r>
      <w:r w:rsidRPr="00A7405A">
        <w:rPr>
          <w:rFonts w:ascii="Verdana" w:hAnsi="Verdana" w:cs="Arial"/>
          <w:i/>
          <w:iCs/>
          <w:color w:val="000000" w:themeColor="text1"/>
        </w:rPr>
        <w:t>“La abogacía tiene como función social la de colaborar con las autoridades en la conservación y perfeccionamiento del orden jurídico del país, y en la realización de una recta y cumplida administración de justicia”</w:t>
      </w:r>
      <w:r w:rsidRPr="00A7405A">
        <w:rPr>
          <w:rFonts w:ascii="Verdana" w:hAnsi="Verdana" w:cs="Arial"/>
          <w:color w:val="000000" w:themeColor="text1"/>
        </w:rPr>
        <w:t xml:space="preserve">. De acuerdo con su artículo 4º </w:t>
      </w:r>
      <w:r w:rsidRPr="00A7405A">
        <w:rPr>
          <w:rFonts w:ascii="Verdana" w:hAnsi="Verdana" w:cs="Arial"/>
          <w:i/>
          <w:iCs/>
          <w:color w:val="000000" w:themeColor="text1"/>
        </w:rPr>
        <w:t>“Para ejercer la profesión se requiere estar inscrito como abogado, sin perjuicio de las excepciones establecidas en este Decreto”, acorde a su artículo 41 se precisa, entre otras, que “Incurrirá en ejercicio ilegal de la abogacía y estará sometido a las sanciones señaladas para tal infracción: 1. Quien, no siendo abogado inscrito, se anuncie o haga pasar por tal u ofrezca servicios personales que requieran dicha calidad o litigue sin autorización legal. […]”</w:t>
      </w:r>
      <w:r w:rsidRPr="00A7405A">
        <w:rPr>
          <w:rFonts w:ascii="Verdana" w:hAnsi="Verdana" w:cs="Arial"/>
          <w:color w:val="000000" w:themeColor="text1"/>
        </w:rPr>
        <w:t>; la inscripción como abogado se realiza ante el Consejo Superior de la Judicatura, autoridad que por expreso mandato legal tiene, entre otras, la función de llevar el registro nacional de abogados</w:t>
      </w:r>
      <w:r w:rsidRPr="00A7405A">
        <w:rPr>
          <w:rStyle w:val="FootnoteReference"/>
          <w:rFonts w:ascii="Verdana" w:hAnsi="Verdana" w:cs="Arial"/>
          <w:color w:val="000000" w:themeColor="text1"/>
        </w:rPr>
        <w:footnoteReference w:id="6"/>
      </w:r>
      <w:r w:rsidRPr="00A7405A">
        <w:rPr>
          <w:rFonts w:ascii="Verdana" w:hAnsi="Verdana" w:cs="Arial"/>
          <w:color w:val="000000" w:themeColor="text1"/>
        </w:rPr>
        <w:t>. Posterior a la inscripción del abogado se expide la tarjeta profesional.</w:t>
      </w:r>
    </w:p>
    <w:p w14:paraId="3ABC0A2D"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5ADF43DA"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con la expedición de la Ley 1905 de 2018 establecieron nuevas disposiciones relacionadas con el ejercicio de la profesión de abogado. En particular, esta norma crea un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cuya aprobación se constituye en un requisito para el ejercicio de la profesión de abogado. Al respecto, el primer inciso del artículo 1 de esta ley establece que </w:t>
      </w:r>
      <w:r w:rsidRPr="00A7405A">
        <w:rPr>
          <w:rFonts w:ascii="Verdana" w:hAnsi="Verdana" w:cs="Arial"/>
          <w:i/>
          <w:iCs/>
          <w:color w:val="000000" w:themeColor="text1"/>
        </w:rPr>
        <w:t>“Para ejercer la profesión de abogado, además de los requisitos exigidos en las normas legales vigentes, el graduado deberá acreditar certificación de aprobación del Examen de Estado que para el efecto realice el Consejo Superior de la Judicatura […]”</w:t>
      </w:r>
      <w:r w:rsidRPr="00A7405A">
        <w:rPr>
          <w:rFonts w:ascii="Verdana" w:hAnsi="Verdana" w:cs="Arial"/>
          <w:color w:val="000000" w:themeColor="text1"/>
        </w:rPr>
        <w:t xml:space="preserve">. </w:t>
      </w:r>
      <w:r w:rsidRPr="00A7405A">
        <w:rPr>
          <w:rFonts w:ascii="Verdana" w:hAnsi="Verdana" w:cs="Arial"/>
          <w:i/>
          <w:iCs/>
          <w:color w:val="000000" w:themeColor="text1"/>
        </w:rPr>
        <w:t xml:space="preserve"> </w:t>
      </w:r>
      <w:r w:rsidRPr="00A7405A">
        <w:rPr>
          <w:rFonts w:ascii="Verdana" w:hAnsi="Verdana" w:cs="Arial"/>
          <w:color w:val="000000" w:themeColor="text1"/>
        </w:rPr>
        <w:t xml:space="preserve">De acuerdo con el segundo inciso del artículo 1, se entenderá aprobado el examen cuando el resultado supere la media del puntaje nacional de la respectiva prueba. </w:t>
      </w:r>
    </w:p>
    <w:p w14:paraId="423AE46D"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El parágrafo 2 del artículo 1 determina que, la certificación de aprobación será exigida para la expedición de la tarjeta profesional de abogado, estableciendo seguidamente que dicha tarjeta profesional será requisito para representar personas en calidad de abogado, mientras que no será necesaria para desarrollar otras actividades relacionadas con el ejercicio de la abogacía. No obstante, el artículo 2 de la Ley 1905 de 2018 establece que el requisito de idoneidad creado por dicha norma para el ejercicio de la profesión de abogado aplicará a quienes inicien la carrera de derecho después de su promulgación, dada el 28 de junio de 2018.  Esto significa que, al igual que la inscripción en el Registro Nacional de Abogados a la que se refieren los artículos 4 y ss. del Decreto 196 de 1971, la aprobación del examen de Estado creado por la Ley 1905 de 2018 se constituye en un requisito legal de idoneidad requerido para el ejercicio de la abogacía. </w:t>
      </w:r>
    </w:p>
    <w:p w14:paraId="685A0874"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En atención a lo anterior, y de conformidad con lo dispuesto en el artículo 2.2.1.2.1.4.9 del Decreto 1082 de 2015, para la celebración de contratos de prestación de servicios profesionales que impliquen  el ejercicio de la abogacía, con personas que hayan iniciado estudios profesionales</w:t>
      </w:r>
      <w:r>
        <w:rPr>
          <w:rFonts w:ascii="Verdana" w:hAnsi="Verdana" w:cs="Arial"/>
          <w:color w:val="000000" w:themeColor="text1"/>
        </w:rPr>
        <w:t xml:space="preserve"> </w:t>
      </w:r>
      <w:r w:rsidRPr="00A7405A">
        <w:rPr>
          <w:rFonts w:ascii="Verdana" w:hAnsi="Verdana" w:cs="Arial"/>
          <w:color w:val="000000" w:themeColor="text1"/>
        </w:rPr>
        <w:t xml:space="preserve">de derecho con posterioridad a la promulgación de la Ley 1905 de 2018, las Entidades Estatales están llamadas a verificar la idoneidad del eventual contratista exigiendo la acreditación de la inscripción en el Registro Nacional de Abogados y la aprobación del Examen de Estado regulado por la Ley 1905 de 2018. </w:t>
      </w:r>
    </w:p>
    <w:p w14:paraId="610348B1"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Al respecto es importante considerar</w:t>
      </w:r>
      <w:r>
        <w:rPr>
          <w:rFonts w:ascii="Verdana" w:hAnsi="Verdana" w:cs="Arial"/>
          <w:color w:val="000000" w:themeColor="text1"/>
        </w:rPr>
        <w:t xml:space="preserve"> </w:t>
      </w:r>
      <w:r w:rsidRPr="00A7405A">
        <w:rPr>
          <w:rFonts w:ascii="Verdana" w:hAnsi="Verdana" w:cs="Arial"/>
          <w:color w:val="000000" w:themeColor="text1"/>
        </w:rPr>
        <w:t xml:space="preserve">que la abogacía no se limita a la representación judicial, sino que también puede involucrar, por ejemplo, actividades de asesoramiento o elaboración de documentos jurídicos. De hecho, de acuerdo con el artículo 2 del Decreto 196 de 1971, la principal misión del abogado es </w:t>
      </w:r>
      <w:r w:rsidRPr="00A7405A">
        <w:rPr>
          <w:rFonts w:ascii="Verdana" w:hAnsi="Verdana" w:cs="Arial"/>
          <w:i/>
          <w:iCs/>
          <w:color w:val="000000" w:themeColor="text1"/>
        </w:rPr>
        <w:t>“defender en justicia los derechos de la sociedad y de los particulares. También es misión suya asesorar, patrocinar y asistir a las personas en la ordenación y desenvolvimiento de sus relaciones jurídicas”</w:t>
      </w:r>
      <w:r w:rsidRPr="00A7405A">
        <w:rPr>
          <w:rFonts w:ascii="Verdana" w:hAnsi="Verdana" w:cs="Arial"/>
          <w:color w:val="000000" w:themeColor="text1"/>
        </w:rPr>
        <w:t xml:space="preserve">. </w:t>
      </w:r>
    </w:p>
    <w:p w14:paraId="5608A67C" w14:textId="77777777" w:rsidR="00756929" w:rsidRPr="00A7405A"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En ese orden, el hecho de que el objeto contractual no implique la representación judicial no </w:t>
      </w:r>
      <w:r>
        <w:rPr>
          <w:rFonts w:ascii="Verdana" w:hAnsi="Verdana" w:cs="Arial"/>
          <w:color w:val="000000" w:themeColor="text1"/>
        </w:rPr>
        <w:t>significa</w:t>
      </w:r>
      <w:r w:rsidRPr="00A7405A">
        <w:rPr>
          <w:rFonts w:ascii="Verdana" w:hAnsi="Verdana" w:cs="Arial"/>
          <w:color w:val="000000" w:themeColor="text1"/>
        </w:rPr>
        <w:t xml:space="preserve"> que la Entidad Estatal deba proceder a la celebración de los contratos con abogados si</w:t>
      </w:r>
      <w:r>
        <w:rPr>
          <w:rFonts w:ascii="Verdana" w:hAnsi="Verdana" w:cs="Arial"/>
          <w:color w:val="000000" w:themeColor="text1"/>
        </w:rPr>
        <w:t>n</w:t>
      </w:r>
      <w:r w:rsidRPr="00A7405A">
        <w:rPr>
          <w:rFonts w:ascii="Verdana" w:hAnsi="Verdana" w:cs="Arial"/>
          <w:color w:val="000000" w:themeColor="text1"/>
        </w:rPr>
        <w:t xml:space="preserve"> verificar el cumplimiento de los requisitos establecidos en el Decreto 196 de 1971 y la Ley 1905 de 2018. Menos aun cuando, en lugar de un contrato de prestación de servicios de apoyo a la gestión u artísticos, lo que se pretende suscribir es un contrato de prestación de servicios</w:t>
      </w:r>
      <w:r>
        <w:rPr>
          <w:rFonts w:ascii="Verdana" w:hAnsi="Verdana" w:cs="Arial"/>
          <w:color w:val="000000" w:themeColor="text1"/>
        </w:rPr>
        <w:t xml:space="preserve"> profesionales</w:t>
      </w:r>
      <w:r w:rsidRPr="00A7405A">
        <w:rPr>
          <w:rFonts w:ascii="Verdana" w:hAnsi="Verdana" w:cs="Arial"/>
          <w:color w:val="000000" w:themeColor="text1"/>
        </w:rPr>
        <w:t xml:space="preserve"> que implica el ejercicio de la abogacía. </w:t>
      </w:r>
    </w:p>
    <w:p w14:paraId="24E7CA60"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Conforme a lo anterior, es necesario acreditar los requisitos antes descritos para quienes pretendan ejercer la abogacía en el marco de contratos de prestación de servicios profesionales, los cuales también pueden ser acreditados mediante la exhibición de la tarjeta profesional, en la medida en que para la expedición de este documento, también se torna indispensable la inscripción en el referido registro y la aprobación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de conformidad con lo dispuesto en los artículos 19 del Decreto 196 de 1971 y el parágrafo 2 del artículo 1 de la Ley 1905 de 2018. </w:t>
      </w:r>
    </w:p>
    <w:p w14:paraId="6B4B8ADB"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en relación con el tema de la consulta, también resulta pertinente poner de presente que, el artículo 19 del Decreto 196 de 1971, permite la expedición de tarjeta profesional provisional, para que los abogados que se inscriben en el registro puedan utilizarla para ejercer la profesión mientras que se expide el documento definitivo. En concordancia con esto, el artículo 11 transitorio del Acuerdo PSCJA24-12162 </w:t>
      </w:r>
      <w:r>
        <w:rPr>
          <w:rFonts w:ascii="Verdana" w:hAnsi="Verdana" w:cs="Arial"/>
          <w:color w:val="000000" w:themeColor="text1"/>
        </w:rPr>
        <w:t xml:space="preserve">del 9 de abril de </w:t>
      </w:r>
      <w:r w:rsidRPr="00A7405A">
        <w:rPr>
          <w:rFonts w:ascii="Verdana" w:hAnsi="Verdana" w:cs="Arial"/>
          <w:color w:val="000000" w:themeColor="text1"/>
        </w:rPr>
        <w:t xml:space="preserve">2024 expedido por el Consejo Superior de la Judicatura, contempla que, los abogados destinatarios de la Ley 1905 de 2018 podrán solicitar la expedición de tarjeta provisional con anotación de </w:t>
      </w:r>
      <w:r w:rsidRPr="00A7405A">
        <w:rPr>
          <w:rFonts w:ascii="Verdana" w:hAnsi="Verdana" w:cs="Arial"/>
          <w:i/>
          <w:iCs/>
          <w:color w:val="000000" w:themeColor="text1"/>
        </w:rPr>
        <w:t>“Provisional”</w:t>
      </w:r>
      <w:r w:rsidRPr="00A7405A">
        <w:rPr>
          <w:rFonts w:ascii="Verdana" w:hAnsi="Verdana" w:cs="Arial"/>
          <w:color w:val="000000" w:themeColor="text1"/>
        </w:rPr>
        <w:t xml:space="preserve">, </w:t>
      </w:r>
      <w:r w:rsidRPr="00A7405A">
        <w:rPr>
          <w:rFonts w:ascii="Verdana" w:hAnsi="Verdana" w:cs="Arial"/>
          <w:i/>
          <w:iCs/>
          <w:color w:val="000000" w:themeColor="text1"/>
        </w:rPr>
        <w:t>“la cual tendrán vigencia hasta la publicación final de los resultados de la prueba aplicada el 26 de mayo de 2024”</w:t>
      </w:r>
      <w:r w:rsidRPr="00A7405A">
        <w:rPr>
          <w:rFonts w:ascii="Verdana" w:hAnsi="Verdana" w:cs="Arial"/>
          <w:color w:val="000000" w:themeColor="text1"/>
        </w:rPr>
        <w:t xml:space="preserve">. </w:t>
      </w:r>
      <w:r>
        <w:rPr>
          <w:rFonts w:ascii="Verdana" w:hAnsi="Verdana" w:cs="Arial"/>
          <w:color w:val="000000" w:themeColor="text1"/>
        </w:rPr>
        <w:t>De esta manera, la expedición de esta tarjeta profesional provisional.</w:t>
      </w:r>
    </w:p>
    <w:p w14:paraId="4C1AE66C" w14:textId="77777777" w:rsidR="00756929" w:rsidRPr="00A7405A" w:rsidRDefault="00756929" w:rsidP="00756929">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 todo, es importante mencionar que, la implementación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creado por la Ley 1905 de 2018 ha estado sujeta distintas dificultades, que han propiciado afectaciones al derecho fundamental a escoger libremente y ejercer profesión u oficio de los destinatarios de esta normativa, que llevaron a que la Corte Constitucional expidiera la Sentencia SU-128 de 18 de abril de 2024.  En </w:t>
      </w:r>
      <w:r>
        <w:rPr>
          <w:rFonts w:ascii="Verdana" w:hAnsi="Verdana" w:cs="Arial"/>
          <w:color w:val="000000" w:themeColor="text1"/>
        </w:rPr>
        <w:t xml:space="preserve">síntesis, en </w:t>
      </w:r>
      <w:r w:rsidRPr="00A7405A">
        <w:rPr>
          <w:rFonts w:ascii="Verdana" w:hAnsi="Verdana" w:cs="Arial"/>
          <w:color w:val="000000" w:themeColor="text1"/>
        </w:rPr>
        <w:t xml:space="preserve">esta </w:t>
      </w:r>
      <w:r>
        <w:rPr>
          <w:rFonts w:ascii="Verdana" w:hAnsi="Verdana" w:cs="Arial"/>
          <w:color w:val="000000" w:themeColor="text1"/>
        </w:rPr>
        <w:t>providencia</w:t>
      </w:r>
      <w:r w:rsidRPr="00A7405A">
        <w:rPr>
          <w:rFonts w:ascii="Verdana" w:hAnsi="Verdana" w:cs="Arial"/>
          <w:color w:val="000000" w:themeColor="text1"/>
        </w:rPr>
        <w:t xml:space="preserve">, la referida </w:t>
      </w:r>
      <w:r>
        <w:rPr>
          <w:rFonts w:ascii="Verdana" w:hAnsi="Verdana" w:cs="Arial"/>
          <w:color w:val="000000" w:themeColor="text1"/>
        </w:rPr>
        <w:t xml:space="preserve">Alta Corporación judicial </w:t>
      </w:r>
      <w:r w:rsidRPr="00A7405A">
        <w:rPr>
          <w:rFonts w:ascii="Verdana" w:hAnsi="Verdana" w:cs="Arial"/>
          <w:color w:val="000000" w:themeColor="text1"/>
        </w:rPr>
        <w:t xml:space="preserve">encontró lo siguiente: </w:t>
      </w:r>
    </w:p>
    <w:p w14:paraId="3F06A89B" w14:textId="77777777" w:rsidR="00756929" w:rsidRDefault="00756929" w:rsidP="00756929">
      <w:pPr>
        <w:spacing w:after="0" w:line="240" w:lineRule="auto"/>
        <w:ind w:left="709" w:right="709"/>
        <w:jc w:val="both"/>
        <w:rPr>
          <w:rFonts w:ascii="Verdana" w:hAnsi="Verdana" w:cs="Arial"/>
          <w:color w:val="000000" w:themeColor="text1"/>
          <w:sz w:val="20"/>
          <w:szCs w:val="20"/>
          <w:lang w:val="es-MX"/>
        </w:rPr>
      </w:pPr>
      <w:r w:rsidRPr="00A7405A">
        <w:rPr>
          <w:rFonts w:ascii="Verdana" w:hAnsi="Verdana" w:cs="Arial"/>
          <w:color w:val="000000" w:themeColor="text1"/>
          <w:sz w:val="20"/>
          <w:szCs w:val="20"/>
          <w:lang w:val="es-ES"/>
        </w:rPr>
        <w:t>“261.   </w:t>
      </w:r>
      <w:r w:rsidRPr="00A7405A">
        <w:rPr>
          <w:rFonts w:ascii="Verdana" w:hAnsi="Verdana" w:cs="Arial"/>
          <w:color w:val="000000" w:themeColor="text1"/>
          <w:sz w:val="20"/>
          <w:szCs w:val="20"/>
          <w:lang w:val="es-MX"/>
        </w:rPr>
        <w:t>La Corte observó que el Consejo Superior de la Judicatura no actuó con la debida diligencia respecto de su deber de crear e implementar el examen de Estado regulado en la Ley 1905 de 2018. La Corte puso de presente que han transcurrido casi seis años desde la promulgación de la Ley 1905 de 2018 sin que el Consejo Superior de la Judicatura haya dado efectivo cumplimiento a la obligación allí dispuesta de realizar el mencionado Examen de Estado.</w:t>
      </w:r>
    </w:p>
    <w:p w14:paraId="7D7F274F"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p>
    <w:p w14:paraId="1213FC36"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262.   </w:t>
      </w:r>
      <w:r w:rsidRPr="00A7405A">
        <w:rPr>
          <w:rFonts w:ascii="Verdana" w:hAnsi="Verdana" w:cs="Arial"/>
          <w:color w:val="000000" w:themeColor="text1"/>
          <w:sz w:val="20"/>
          <w:szCs w:val="20"/>
          <w:lang w:val="es-MX"/>
        </w:rPr>
        <w:t>La Sala también encontró que el Consejo Superior de la Judicatura, ante su propia omisión en la implementación del Examen, optó por expedirles a los graduados destinatarios de la Ley 1905 de 2018 unas tarjetas profesionales de carácter provisional, con vigencia hasta la publicación final de los resultados de la primera prueba. Para este Tribunal, el hecho de que a tales personas se les habilitara el ejercicio de la profesión de manera provisional y no definitiva, por no haber presentado un examen que aún no había sido implementado implicó (i) una extralimitación de las competencias del Consejo Superior de la Judicatura y (ii) una restricción injustificada de la libertad de ejercer la profesión, por lo demás con graves implicaciones para la seguridad jurídica, el principio de confianza legítima y el acceso de la ciudadanía a la administración de justicia</w:t>
      </w:r>
      <w:r>
        <w:rPr>
          <w:rFonts w:ascii="Verdana" w:hAnsi="Verdana" w:cs="Arial"/>
          <w:color w:val="000000" w:themeColor="text1"/>
          <w:sz w:val="20"/>
          <w:szCs w:val="20"/>
          <w:lang w:val="es-MX"/>
        </w:rPr>
        <w:t>”</w:t>
      </w:r>
      <w:r>
        <w:rPr>
          <w:rStyle w:val="FootnoteReference"/>
          <w:rFonts w:ascii="Verdana" w:hAnsi="Verdana" w:cs="Arial"/>
          <w:color w:val="000000" w:themeColor="text1"/>
          <w:sz w:val="20"/>
          <w:szCs w:val="20"/>
          <w:lang w:val="es-MX"/>
        </w:rPr>
        <w:footnoteReference w:id="7"/>
      </w:r>
      <w:r w:rsidRPr="00A7405A">
        <w:rPr>
          <w:rFonts w:ascii="Verdana" w:hAnsi="Verdana" w:cs="Arial"/>
          <w:color w:val="000000" w:themeColor="text1"/>
          <w:sz w:val="20"/>
          <w:szCs w:val="20"/>
          <w:lang w:val="es-MX"/>
        </w:rPr>
        <w:t>.</w:t>
      </w:r>
    </w:p>
    <w:p w14:paraId="23BF567F" w14:textId="77777777" w:rsidR="00756929" w:rsidRDefault="00756929" w:rsidP="00756929">
      <w:pPr>
        <w:spacing w:after="0" w:line="240" w:lineRule="auto"/>
        <w:ind w:right="709"/>
        <w:jc w:val="both"/>
        <w:rPr>
          <w:rFonts w:ascii="Verdana" w:hAnsi="Verdana" w:cs="Arial"/>
          <w:color w:val="000000" w:themeColor="text1"/>
          <w:sz w:val="20"/>
          <w:szCs w:val="20"/>
          <w:lang w:val="es-ES"/>
        </w:rPr>
      </w:pPr>
    </w:p>
    <w:p w14:paraId="7E66066C" w14:textId="77777777" w:rsidR="00756929" w:rsidRPr="00A7405A" w:rsidRDefault="00756929" w:rsidP="00756929">
      <w:pPr>
        <w:spacing w:after="0" w:line="276" w:lineRule="auto"/>
        <w:ind w:right="49" w:firstLine="708"/>
        <w:jc w:val="both"/>
        <w:rPr>
          <w:rFonts w:ascii="Verdana" w:hAnsi="Verdana" w:cs="Arial"/>
          <w:i/>
          <w:iCs/>
          <w:color w:val="000000" w:themeColor="text1"/>
          <w:lang w:val="es-ES"/>
        </w:rPr>
      </w:pPr>
      <w:r w:rsidRPr="00A7405A">
        <w:rPr>
          <w:rFonts w:ascii="Verdana" w:hAnsi="Verdana" w:cs="Arial"/>
          <w:color w:val="000000" w:themeColor="text1"/>
          <w:lang w:val="es-ES"/>
        </w:rPr>
        <w:t xml:space="preserve">En consideración a lo anterior, la Corte Constitucional tomó las siguientes decisiones, en el marco de esta sentencia de unificación con efectos </w:t>
      </w:r>
      <w:r w:rsidRPr="00A7405A">
        <w:rPr>
          <w:rFonts w:ascii="Verdana" w:hAnsi="Verdana" w:cs="Arial"/>
          <w:i/>
          <w:iCs/>
          <w:color w:val="000000" w:themeColor="text1"/>
          <w:lang w:val="es-ES"/>
        </w:rPr>
        <w:t xml:space="preserve">inter pares: </w:t>
      </w:r>
    </w:p>
    <w:p w14:paraId="2B115798" w14:textId="77777777" w:rsidR="00756929" w:rsidRDefault="00756929" w:rsidP="00756929">
      <w:pPr>
        <w:spacing w:after="0" w:line="240" w:lineRule="auto"/>
        <w:ind w:right="709"/>
        <w:jc w:val="both"/>
        <w:rPr>
          <w:rFonts w:ascii="Verdana" w:hAnsi="Verdana" w:cs="Arial"/>
          <w:i/>
          <w:iCs/>
          <w:color w:val="000000" w:themeColor="text1"/>
          <w:sz w:val="20"/>
          <w:szCs w:val="20"/>
          <w:lang w:val="es-ES"/>
        </w:rPr>
      </w:pPr>
    </w:p>
    <w:p w14:paraId="535A2D85"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lang w:val="es-ES"/>
        </w:rPr>
        <w:t>“</w:t>
      </w:r>
      <w:r w:rsidRPr="00A7405A">
        <w:rPr>
          <w:rFonts w:ascii="Verdana" w:hAnsi="Verdana" w:cs="Arial"/>
          <w:color w:val="000000" w:themeColor="text1"/>
          <w:sz w:val="20"/>
          <w:szCs w:val="20"/>
          <w:lang w:val="es-ES"/>
        </w:rPr>
        <w:t>263.   </w:t>
      </w:r>
      <w:r>
        <w:rPr>
          <w:rFonts w:ascii="Verdana" w:hAnsi="Verdana" w:cs="Arial"/>
          <w:color w:val="000000" w:themeColor="text1"/>
          <w:sz w:val="20"/>
          <w:szCs w:val="20"/>
          <w:lang w:val="es-MX"/>
        </w:rPr>
        <w:t>[…]</w:t>
      </w:r>
      <w:r w:rsidRPr="00A7405A">
        <w:rPr>
          <w:rFonts w:ascii="Verdana" w:hAnsi="Verdana" w:cs="Arial"/>
          <w:color w:val="000000" w:themeColor="text1"/>
          <w:sz w:val="20"/>
          <w:szCs w:val="20"/>
          <w:lang w:val="es-MX"/>
        </w:rPr>
        <w:t xml:space="preserve"> conceder el amparo invocado por los accionantes e inaplicar por inconstitucional el artículo 11 transitorio del Acuerdo PCSJA24-12162 de 9 de abril de 2024 del Consejo Superior de la Judicatura que prevé la categoría de tarjeta profesional provisional para los destinatarios de la Ley 1905 de 2018.</w:t>
      </w:r>
    </w:p>
    <w:p w14:paraId="45913636" w14:textId="77777777" w:rsidR="00756929" w:rsidRDefault="00756929" w:rsidP="00756929">
      <w:pPr>
        <w:spacing w:after="0" w:line="240" w:lineRule="auto"/>
        <w:ind w:left="709" w:right="709"/>
        <w:jc w:val="both"/>
        <w:rPr>
          <w:rFonts w:ascii="Verdana" w:hAnsi="Verdana" w:cs="Arial"/>
          <w:color w:val="000000" w:themeColor="text1"/>
          <w:sz w:val="20"/>
          <w:szCs w:val="20"/>
          <w:lang w:val="es-ES"/>
        </w:rPr>
      </w:pPr>
    </w:p>
    <w:p w14:paraId="6ED988DC" w14:textId="77777777" w:rsidR="00756929" w:rsidRPr="00A7405A" w:rsidRDefault="00756929" w:rsidP="00756929">
      <w:pPr>
        <w:spacing w:after="0" w:line="240" w:lineRule="auto"/>
        <w:ind w:left="709" w:right="709"/>
        <w:jc w:val="both"/>
        <w:rPr>
          <w:rFonts w:ascii="Verdana" w:hAnsi="Verdana" w:cs="Arial"/>
          <w:i/>
          <w:iCs/>
          <w:color w:val="000000" w:themeColor="text1"/>
          <w:sz w:val="20"/>
          <w:szCs w:val="20"/>
          <w:u w:val="single"/>
        </w:rPr>
      </w:pPr>
      <w:r w:rsidRPr="00A7405A">
        <w:rPr>
          <w:rFonts w:ascii="Verdana" w:hAnsi="Verdana" w:cs="Arial"/>
          <w:color w:val="000000" w:themeColor="text1"/>
          <w:sz w:val="20"/>
          <w:szCs w:val="20"/>
          <w:lang w:val="es-ES"/>
        </w:rPr>
        <w:t>264.   </w:t>
      </w:r>
      <w:r w:rsidRPr="00A7405A">
        <w:rPr>
          <w:rFonts w:ascii="Verdana" w:hAnsi="Verdana" w:cs="Arial"/>
          <w:color w:val="000000" w:themeColor="text1"/>
          <w:sz w:val="20"/>
          <w:szCs w:val="20"/>
          <w:lang w:val="es-MX"/>
        </w:rPr>
        <w:t xml:space="preserve">En consecuencia, la Corte ordenó al Consejo Superior de la Judicatura expedir a los accionantes la tarjeta profesional de abogado con carácter definitivo y sin la exigencia de aprobación del Examen de Estado previsto en la Ley 1905 de 2018. </w:t>
      </w:r>
      <w:r w:rsidRPr="00A7405A">
        <w:rPr>
          <w:rFonts w:ascii="Verdana" w:hAnsi="Verdana" w:cs="Arial"/>
          <w:i/>
          <w:iCs/>
          <w:color w:val="000000" w:themeColor="text1"/>
          <w:sz w:val="20"/>
          <w:szCs w:val="20"/>
          <w:u w:val="single"/>
          <w:lang w:val="es-MX"/>
        </w:rPr>
        <w:t>La Corte otorgó efectos inter pares a esta decisión, y en virtud de ellos resolvió que estas mismas órdenes deberán cumplirse frente a: (i) todas aquellas personas graduadas del pregrado en Derecho y destinatarias de la Ley 1905 de 2018 a quienes el Consejo Superior de la Judicatura hubiere expedido tarjeta profesional provisional y que presentaron la solicitud de tarjeta antes de las cero horas (0:00) del 26 de diciembre de 2023, fecha en la cual dicha entidad abrió las inscripciones para la primera aplicación del Examen de Estado, y (ii)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2A64588F" w14:textId="77777777" w:rsidR="00756929" w:rsidRPr="00A7405A" w:rsidRDefault="00756929" w:rsidP="00756929">
      <w:pPr>
        <w:spacing w:after="0" w:line="240" w:lineRule="auto"/>
        <w:ind w:left="709" w:right="709" w:firstLine="709"/>
        <w:jc w:val="both"/>
        <w:rPr>
          <w:rFonts w:ascii="Verdana" w:hAnsi="Verdana" w:cs="Arial"/>
          <w:color w:val="000000" w:themeColor="text1"/>
          <w:sz w:val="20"/>
          <w:szCs w:val="20"/>
        </w:rPr>
      </w:pPr>
      <w:r w:rsidRPr="00A7405A">
        <w:rPr>
          <w:rFonts w:ascii="Verdana" w:hAnsi="Verdana" w:cs="Arial"/>
          <w:color w:val="000000" w:themeColor="text1"/>
          <w:sz w:val="20"/>
          <w:szCs w:val="20"/>
        </w:rPr>
        <w:t> </w:t>
      </w:r>
    </w:p>
    <w:p w14:paraId="66A62A82" w14:textId="77777777" w:rsidR="00756929" w:rsidRPr="00A7405A" w:rsidRDefault="00756929" w:rsidP="00756929">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265.   </w:t>
      </w:r>
      <w:r w:rsidRPr="00A7405A">
        <w:rPr>
          <w:rFonts w:ascii="Verdana" w:hAnsi="Verdana" w:cs="Arial"/>
          <w:color w:val="000000" w:themeColor="text1"/>
          <w:sz w:val="20"/>
          <w:szCs w:val="20"/>
        </w:rPr>
        <w:t xml:space="preserve">La Corte también ordenó al Consejo Superior de la Judicatura que, si al 30 de mayo de 2024 no se ha llevado a cabo la aplicación de la primera prueba del Examen de Estado, deberá expedir la tarjeta profesional definitiva a todas las personas admitidas como inscritas al examen, siempre y cuando satisfagan los demás requisitos vigentes para la expedición de la tarjeta profesional. Esto, en el evento en que la no realización del examen sea atribuible a las entidades a cargo de su aplicación. </w:t>
      </w:r>
      <w:r>
        <w:rPr>
          <w:rFonts w:ascii="Verdana" w:hAnsi="Verdana" w:cs="Arial"/>
          <w:color w:val="000000" w:themeColor="text1"/>
          <w:sz w:val="20"/>
          <w:szCs w:val="20"/>
        </w:rPr>
        <w:t>[…]</w:t>
      </w:r>
      <w:r w:rsidRPr="00A7405A">
        <w:rPr>
          <w:rFonts w:ascii="Verdana" w:hAnsi="Verdana" w:cs="Arial"/>
          <w:color w:val="000000" w:themeColor="text1"/>
          <w:sz w:val="20"/>
          <w:szCs w:val="20"/>
        </w:rPr>
        <w:t>”</w:t>
      </w:r>
      <w:r>
        <w:rPr>
          <w:rStyle w:val="FootnoteReference"/>
          <w:rFonts w:ascii="Verdana" w:hAnsi="Verdana" w:cs="Arial"/>
          <w:color w:val="000000" w:themeColor="text1"/>
          <w:sz w:val="20"/>
          <w:szCs w:val="20"/>
        </w:rPr>
        <w:footnoteReference w:id="8"/>
      </w:r>
      <w:r w:rsidRPr="00A7405A">
        <w:rPr>
          <w:rFonts w:ascii="Verdana" w:hAnsi="Verdana" w:cs="Arial"/>
          <w:color w:val="000000" w:themeColor="text1"/>
          <w:sz w:val="20"/>
          <w:szCs w:val="20"/>
        </w:rPr>
        <w:t>.</w:t>
      </w:r>
      <w:r>
        <w:rPr>
          <w:rFonts w:ascii="Verdana" w:hAnsi="Verdana" w:cs="Arial"/>
          <w:color w:val="000000" w:themeColor="text1"/>
          <w:sz w:val="20"/>
          <w:szCs w:val="20"/>
        </w:rPr>
        <w:t xml:space="preserve"> [Énfasis fuera de texto].</w:t>
      </w:r>
    </w:p>
    <w:p w14:paraId="0FB99EC9" w14:textId="77777777" w:rsidR="00756929" w:rsidRPr="00A7405A"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De acuerdo con lo anterior, ante la falta de diligencia del Consejo Superior de la Judicatura en la implementación del </w:t>
      </w:r>
      <w:r w:rsidRPr="00A7405A">
        <w:rPr>
          <w:rFonts w:ascii="Verdana" w:hAnsi="Verdana" w:cs="Arial"/>
          <w:i/>
          <w:iCs/>
          <w:color w:val="000000" w:themeColor="text1"/>
        </w:rPr>
        <w:t xml:space="preserve">Examen del Estado </w:t>
      </w:r>
      <w:r w:rsidRPr="00A7405A">
        <w:rPr>
          <w:rFonts w:ascii="Verdana" w:hAnsi="Verdana" w:cs="Arial"/>
          <w:color w:val="000000" w:themeColor="text1"/>
        </w:rPr>
        <w:t>creado por la Ley 1905 de 2018, la Corte Constitucional no solo tomó la decisión de inaplicar el artículo 11 transitorio del Acuerdo PCSJA24-12162 de 9 de abril de 2024, sino que dispuso la expedición de la tarjeta profesional definitiva para todos aquellos destinatarios de la referida norma, que por la negligencia de la referida autoridad no han podido cumplir con el referido requisito, atribuyéndole efectos inter pares a esta decisión.</w:t>
      </w:r>
    </w:p>
    <w:p w14:paraId="5F0D4B87" w14:textId="77777777" w:rsidR="00756929" w:rsidRDefault="00756929" w:rsidP="00756929">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Los efectos de esta decisión necesariamente se proyectan a la cuestión que aquí se estudia, en la medida en que, si bien como se estableció </w:t>
      </w:r>
      <w:r w:rsidRPr="00A7405A">
        <w:rPr>
          <w:rFonts w:ascii="Verdana" w:hAnsi="Verdana" w:cs="Arial"/>
          <w:i/>
          <w:iCs/>
          <w:color w:val="000000" w:themeColor="text1"/>
        </w:rPr>
        <w:t>supra,</w:t>
      </w:r>
      <w:r w:rsidRPr="00A7405A">
        <w:rPr>
          <w:rFonts w:ascii="Verdana" w:hAnsi="Verdana" w:cs="Arial"/>
          <w:color w:val="000000" w:themeColor="text1"/>
        </w:rPr>
        <w:t xml:space="preserve"> el </w:t>
      </w:r>
      <w:r>
        <w:rPr>
          <w:rFonts w:ascii="Verdana" w:hAnsi="Verdana" w:cs="Arial"/>
          <w:color w:val="000000" w:themeColor="text1"/>
        </w:rPr>
        <w:t xml:space="preserve">examen </w:t>
      </w:r>
      <w:r w:rsidRPr="00A7405A">
        <w:rPr>
          <w:rFonts w:ascii="Verdana" w:hAnsi="Verdana" w:cs="Arial"/>
          <w:color w:val="000000" w:themeColor="text1"/>
        </w:rPr>
        <w:t>establecido por la Ley 1905 de 2018 está destinado a ser un</w:t>
      </w:r>
      <w:r>
        <w:rPr>
          <w:rFonts w:ascii="Verdana" w:hAnsi="Verdana" w:cs="Arial"/>
          <w:color w:val="000000" w:themeColor="text1"/>
        </w:rPr>
        <w:t xml:space="preserve"> requisito necesario</w:t>
      </w:r>
      <w:r w:rsidRPr="00A7405A">
        <w:rPr>
          <w:rFonts w:ascii="Verdana" w:hAnsi="Verdana" w:cs="Arial"/>
          <w:color w:val="000000" w:themeColor="text1"/>
        </w:rPr>
        <w:t xml:space="preserve"> para el ejercicio de la abogacía, este deviene en inaplicable si la autoridad obligada a implementar el referido </w:t>
      </w:r>
      <w:r w:rsidRPr="00A7405A">
        <w:rPr>
          <w:rFonts w:ascii="Verdana" w:hAnsi="Verdana" w:cs="Arial"/>
          <w:i/>
          <w:iCs/>
          <w:color w:val="000000" w:themeColor="text1"/>
        </w:rPr>
        <w:t>Examen de Estado</w:t>
      </w:r>
      <w:r w:rsidRPr="00A7405A">
        <w:rPr>
          <w:rFonts w:ascii="Verdana" w:hAnsi="Verdana" w:cs="Arial"/>
          <w:color w:val="000000" w:themeColor="text1"/>
        </w:rPr>
        <w:t xml:space="preserve"> no ha permitido su cumplimiento, afectando con ello derechos fundamentales de los llamados a cumplir con la referida normativa.  </w:t>
      </w:r>
    </w:p>
    <w:p w14:paraId="1C1750F6" w14:textId="77777777" w:rsidR="00756929" w:rsidRDefault="00756929" w:rsidP="00756929">
      <w:pPr>
        <w:spacing w:before="120" w:after="0" w:line="276" w:lineRule="auto"/>
        <w:jc w:val="both"/>
        <w:rPr>
          <w:rFonts w:ascii="Verdana" w:hAnsi="Verdana" w:cs="Arial"/>
          <w:color w:val="000000" w:themeColor="text1"/>
        </w:rPr>
      </w:pPr>
      <w:r>
        <w:rPr>
          <w:rFonts w:ascii="Verdana" w:hAnsi="Verdana" w:cs="Arial"/>
          <w:color w:val="000000" w:themeColor="text1"/>
        </w:rPr>
        <w:tab/>
        <w:t xml:space="preserve">En consideración a lo anterior, está Subdirección estima que, el requisito establecido por la Ley 1905 de 2018, no resulta exigible para celebración de contratos de prestación de servicios profesionales que impliquen el ejercicio de la abogacía, con aquellas personas beneficiadas por los efectos </w:t>
      </w:r>
      <w:r w:rsidRPr="00A7405A">
        <w:rPr>
          <w:rFonts w:ascii="Verdana" w:hAnsi="Verdana" w:cs="Arial"/>
          <w:i/>
          <w:iCs/>
          <w:color w:val="000000" w:themeColor="text1"/>
        </w:rPr>
        <w:t>inter pares</w:t>
      </w:r>
      <w:r>
        <w:rPr>
          <w:rFonts w:ascii="Verdana" w:hAnsi="Verdana" w:cs="Arial"/>
          <w:color w:val="000000" w:themeColor="text1"/>
        </w:rPr>
        <w:t xml:space="preserve"> de la orden contenida en el ordinal sexto de la Sentencia SU-128 de 18 de abril de 2024 de la Corte Constitucional. En ese orden, el requisito no resulta aplicable </w:t>
      </w:r>
      <w:r w:rsidRPr="009F7081">
        <w:rPr>
          <w:rFonts w:ascii="Verdana" w:hAnsi="Verdana" w:cs="Arial"/>
          <w:color w:val="000000" w:themeColor="text1"/>
        </w:rPr>
        <w:t> </w:t>
      </w:r>
      <w:r w:rsidRPr="00A7405A">
        <w:rPr>
          <w:rFonts w:ascii="Verdana" w:hAnsi="Verdana" w:cs="Arial"/>
          <w:i/>
          <w:iCs/>
          <w:color w:val="000000" w:themeColor="text1"/>
        </w:rPr>
        <w:t>“(i)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(ii)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r>
        <w:rPr>
          <w:rStyle w:val="FootnoteReference"/>
          <w:rFonts w:ascii="Verdana" w:hAnsi="Verdana" w:cs="Arial"/>
          <w:i/>
          <w:iCs/>
          <w:color w:val="000000" w:themeColor="text1"/>
        </w:rPr>
        <w:footnoteReference w:id="9"/>
      </w:r>
      <w:r w:rsidRPr="009F7081">
        <w:rPr>
          <w:rFonts w:ascii="Verdana" w:hAnsi="Verdana" w:cs="Arial"/>
          <w:color w:val="000000" w:themeColor="text1"/>
        </w:rPr>
        <w:t>.</w:t>
      </w:r>
    </w:p>
    <w:p w14:paraId="4589BBD1" w14:textId="77777777" w:rsidR="00756929" w:rsidRDefault="00756929" w:rsidP="00756929">
      <w:pPr>
        <w:spacing w:before="120" w:after="0" w:line="276" w:lineRule="auto"/>
        <w:jc w:val="both"/>
        <w:rPr>
          <w:rFonts w:ascii="Verdana" w:hAnsi="Verdana" w:cs="Arial"/>
          <w:color w:val="000000" w:themeColor="text1"/>
          <w:lang w:val="es-ES"/>
        </w:rPr>
      </w:pPr>
      <w:r>
        <w:rPr>
          <w:rFonts w:ascii="Verdana" w:hAnsi="Verdana" w:cs="Arial"/>
          <w:color w:val="000000" w:themeColor="text1"/>
        </w:rPr>
        <w:tab/>
        <w:t xml:space="preserve">Con todo, es importante mencionar que, de acuerdo con el artículo </w:t>
      </w:r>
      <w:r w:rsidRPr="00B34BAB">
        <w:rPr>
          <w:rFonts w:ascii="Verdana" w:hAnsi="Verdana" w:cs="Arial"/>
          <w:color w:val="000000" w:themeColor="text1"/>
          <w:lang w:val="es-ES"/>
        </w:rPr>
        <w:t>2.2.1.2.1.4.9</w:t>
      </w:r>
      <w:r>
        <w:rPr>
          <w:rFonts w:ascii="Verdana" w:hAnsi="Verdana" w:cs="Arial"/>
          <w:color w:val="000000" w:themeColor="text1"/>
          <w:lang w:val="es-ES"/>
        </w:rPr>
        <w:t xml:space="preserve">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si además de los documentos referidos es requerido algún otro requisito. </w:t>
      </w:r>
    </w:p>
    <w:p w14:paraId="4FF72195" w14:textId="77777777" w:rsidR="00756929" w:rsidRPr="000C0900" w:rsidRDefault="00756929" w:rsidP="00756929">
      <w:pPr>
        <w:spacing w:before="120" w:after="0" w:line="276" w:lineRule="auto"/>
        <w:jc w:val="both"/>
        <w:rPr>
          <w:rFonts w:ascii="Verdana" w:hAnsi="Verdana" w:cs="Arial"/>
          <w:color w:val="000000" w:themeColor="text1"/>
          <w:lang w:val="es-ES"/>
        </w:rPr>
      </w:pPr>
      <w:r>
        <w:rPr>
          <w:rFonts w:ascii="Verdana" w:hAnsi="Verdana" w:cs="Arial"/>
          <w:color w:val="000000" w:themeColor="text1"/>
          <w:lang w:val="es-ES"/>
        </w:rPr>
        <w:t xml:space="preserve">Finalmente, </w:t>
      </w:r>
      <w:r>
        <w:rPr>
          <w:rFonts w:ascii="Verdana" w:hAnsi="Verdana" w:cs="Arial"/>
          <w:color w:val="000000" w:themeColor="text1"/>
        </w:rPr>
        <w:t>l</w:t>
      </w:r>
      <w:r w:rsidRPr="00E91A38">
        <w:rPr>
          <w:rFonts w:ascii="Verdana" w:hAnsi="Verdana" w:cs="Arial"/>
          <w:color w:val="000000" w:themeColor="text1"/>
        </w:rPr>
        <w:t>a exigencia de la tarjeta profesional —definitiva o provisional— en los contratos de prestación de servicios con abogados dependerá del tipo de funciones a desarrollar y del vínculo jurídico con la entidad estatal. Cuando el contrato implique el ejercicio de funciones propias de la abogacía, se requerirá acreditar la habilitación legal plena, salvo que el abogado esté amparado por los efectos de la Sentencia SU-128 de 2024, caso en el cual no podrá exigirse la aprobación del examen de idoneidad como requisito. En cambio, si las actividades son meramente administrativas o de apoyo a la gestión, la tarjeta profesional no será exigible. En todo caso, la entidad contratante debe verificar que el abogado cumpla con los requisitos de ley y posea la idoneidad necesaria para la correcta ejecución del contrato.</w:t>
      </w:r>
    </w:p>
    <w:p w14:paraId="56D0371B" w14:textId="77777777" w:rsidR="00756929" w:rsidRDefault="00756929" w:rsidP="00756929">
      <w:pPr>
        <w:spacing w:after="0" w:line="276" w:lineRule="auto"/>
        <w:jc w:val="both"/>
        <w:rPr>
          <w:rFonts w:ascii="Verdana" w:eastAsia="Century Gothic" w:hAnsi="Verdana" w:cs="Century Gothic"/>
          <w:b/>
          <w:bCs/>
          <w:lang w:val="es-ES"/>
        </w:rPr>
      </w:pPr>
    </w:p>
    <w:p w14:paraId="0CDEE8D1" w14:textId="77777777" w:rsidR="00756929" w:rsidRPr="00593A5F" w:rsidRDefault="00756929" w:rsidP="00756929">
      <w:pPr>
        <w:spacing w:after="0" w:line="276" w:lineRule="auto"/>
        <w:jc w:val="both"/>
        <w:rPr>
          <w:rFonts w:ascii="Verdana" w:eastAsia="Calibri" w:hAnsi="Verdana" w:cs="Arial"/>
          <w:color w:val="7030A0"/>
          <w:lang w:val="es-ES"/>
        </w:rPr>
      </w:pPr>
    </w:p>
    <w:p w14:paraId="5E9663E1" w14:textId="77777777" w:rsidR="00756929" w:rsidRPr="00B96799" w:rsidRDefault="00756929" w:rsidP="0075692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A82934B" w14:textId="77777777" w:rsidR="00756929" w:rsidRPr="00593A5F" w:rsidRDefault="00756929" w:rsidP="00756929">
      <w:pPr>
        <w:spacing w:after="0" w:line="276" w:lineRule="auto"/>
        <w:jc w:val="both"/>
        <w:rPr>
          <w:rFonts w:ascii="Verdana" w:eastAsia="Calibri" w:hAnsi="Verdana" w:cs="Arial"/>
          <w:color w:val="7030A0"/>
          <w:lang w:val="es-ES"/>
        </w:rPr>
      </w:pPr>
    </w:p>
    <w:p w14:paraId="0E5974F2" w14:textId="77777777" w:rsidR="00756929" w:rsidRPr="00593A5F" w:rsidRDefault="00756929" w:rsidP="00756929">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8E83372" w14:textId="77777777" w:rsidR="00756929" w:rsidRPr="00593A5F" w:rsidRDefault="00756929" w:rsidP="00756929">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6929" w:rsidRPr="00593A5F" w14:paraId="6F9C21E6" w14:textId="77777777">
        <w:trPr>
          <w:trHeight w:val="870"/>
        </w:trPr>
        <w:tc>
          <w:tcPr>
            <w:tcW w:w="8647" w:type="dxa"/>
          </w:tcPr>
          <w:p w14:paraId="1F0A537D" w14:textId="77777777" w:rsidR="00756929" w:rsidRPr="007F4CB0" w:rsidRDefault="00756929" w:rsidP="00756929">
            <w:pPr>
              <w:pStyle w:val="ListParagraph"/>
              <w:numPr>
                <w:ilvl w:val="0"/>
                <w:numId w:val="17"/>
              </w:numPr>
              <w:spacing w:after="120" w:line="259" w:lineRule="auto"/>
              <w:ind w:left="720"/>
              <w:contextualSpacing w:val="0"/>
              <w:rPr>
                <w:rFonts w:ascii="Verdana" w:hAnsi="Verdana" w:cs="Arial"/>
              </w:rPr>
            </w:pPr>
            <w:r w:rsidRPr="007F4CB0">
              <w:rPr>
                <w:rFonts w:ascii="Verdana" w:hAnsi="Verdana" w:cs="Arial"/>
              </w:rPr>
              <w:t xml:space="preserve">Ley 80 de 1993. Artículos 25 y 32, numeral 3°. </w:t>
            </w:r>
          </w:p>
          <w:p w14:paraId="6A31A94A" w14:textId="77777777" w:rsidR="00756929" w:rsidRPr="007F4CB0" w:rsidRDefault="00756929" w:rsidP="00756929">
            <w:pPr>
              <w:pStyle w:val="ListParagraph"/>
              <w:numPr>
                <w:ilvl w:val="0"/>
                <w:numId w:val="17"/>
              </w:numPr>
              <w:spacing w:after="120" w:line="259" w:lineRule="auto"/>
              <w:ind w:left="720"/>
              <w:contextualSpacing w:val="0"/>
              <w:rPr>
                <w:rFonts w:ascii="Verdana" w:hAnsi="Verdana" w:cs="Arial"/>
              </w:rPr>
            </w:pPr>
            <w:r w:rsidRPr="007F4CB0">
              <w:rPr>
                <w:rFonts w:ascii="Verdana" w:hAnsi="Verdana" w:cs="Arial"/>
              </w:rPr>
              <w:t>Ley 190 de 1995. Artículo 1</w:t>
            </w:r>
          </w:p>
          <w:p w14:paraId="0E3875A5" w14:textId="77777777" w:rsidR="00756929" w:rsidRPr="007F4CB0" w:rsidRDefault="00756929" w:rsidP="00756929">
            <w:pPr>
              <w:pStyle w:val="ListParagraph"/>
              <w:numPr>
                <w:ilvl w:val="0"/>
                <w:numId w:val="17"/>
              </w:numPr>
              <w:spacing w:after="120" w:line="259" w:lineRule="auto"/>
              <w:ind w:left="720"/>
              <w:contextualSpacing w:val="0"/>
              <w:rPr>
                <w:rFonts w:ascii="Verdana" w:hAnsi="Verdana" w:cs="Arial"/>
              </w:rPr>
            </w:pPr>
            <w:r w:rsidRPr="007F4CB0">
              <w:rPr>
                <w:rFonts w:ascii="Verdana" w:hAnsi="Verdana" w:cs="Arial"/>
              </w:rPr>
              <w:t>Ley 270 de 1996. Artículo 85.</w:t>
            </w:r>
          </w:p>
          <w:p w14:paraId="2705F4CA" w14:textId="77777777" w:rsidR="00756929" w:rsidRPr="007F4CB0" w:rsidRDefault="00756929" w:rsidP="00756929">
            <w:pPr>
              <w:pStyle w:val="ListParagraph"/>
              <w:numPr>
                <w:ilvl w:val="0"/>
                <w:numId w:val="17"/>
              </w:numPr>
              <w:spacing w:after="120" w:line="259" w:lineRule="auto"/>
              <w:ind w:left="720"/>
              <w:contextualSpacing w:val="0"/>
              <w:rPr>
                <w:rFonts w:ascii="Verdana" w:hAnsi="Verdana" w:cs="Arial"/>
              </w:rPr>
            </w:pPr>
            <w:r w:rsidRPr="007F4CB0">
              <w:rPr>
                <w:rFonts w:ascii="Verdana" w:hAnsi="Verdana" w:cs="Arial"/>
              </w:rPr>
              <w:t xml:space="preserve">Ley 1150 de 2007. Artículo 2, numeral 4°, literal h) </w:t>
            </w:r>
          </w:p>
          <w:p w14:paraId="2A8CA58D" w14:textId="77777777" w:rsidR="00756929" w:rsidRPr="007F4CB0" w:rsidRDefault="00756929" w:rsidP="00756929">
            <w:pPr>
              <w:pStyle w:val="ListParagraph"/>
              <w:numPr>
                <w:ilvl w:val="0"/>
                <w:numId w:val="17"/>
              </w:numPr>
              <w:spacing w:after="120" w:line="259" w:lineRule="auto"/>
              <w:ind w:left="720"/>
              <w:contextualSpacing w:val="0"/>
              <w:rPr>
                <w:rFonts w:ascii="Verdana" w:hAnsi="Verdana" w:cs="Arial"/>
              </w:rPr>
            </w:pPr>
            <w:r w:rsidRPr="007F4CB0">
              <w:rPr>
                <w:rFonts w:ascii="Verdana" w:hAnsi="Verdana" w:cs="Arial"/>
              </w:rPr>
              <w:t>Ley 1905 de 2018. Artículos 1 y 2.</w:t>
            </w:r>
          </w:p>
          <w:p w14:paraId="70B7E697" w14:textId="77777777" w:rsidR="00756929" w:rsidRPr="007F4CB0" w:rsidRDefault="00756929" w:rsidP="00756929">
            <w:pPr>
              <w:pStyle w:val="ListParagraph"/>
              <w:numPr>
                <w:ilvl w:val="0"/>
                <w:numId w:val="17"/>
              </w:numPr>
              <w:spacing w:after="120" w:line="259" w:lineRule="auto"/>
              <w:ind w:left="720"/>
              <w:contextualSpacing w:val="0"/>
              <w:rPr>
                <w:rFonts w:ascii="Verdana" w:hAnsi="Verdana" w:cs="Arial"/>
              </w:rPr>
            </w:pPr>
            <w:r w:rsidRPr="007F4CB0">
              <w:rPr>
                <w:rFonts w:ascii="Verdana" w:hAnsi="Verdana" w:cs="Arial"/>
              </w:rPr>
              <w:t xml:space="preserve">Decreto 196 de 1971. Artículos 1, 2, 4, 18 y 19. </w:t>
            </w:r>
          </w:p>
          <w:p w14:paraId="5A161CED" w14:textId="77777777" w:rsidR="00756929" w:rsidRPr="00A7405A" w:rsidRDefault="00756929" w:rsidP="00756929">
            <w:pPr>
              <w:pStyle w:val="FootnoteText"/>
              <w:numPr>
                <w:ilvl w:val="0"/>
                <w:numId w:val="17"/>
              </w:numPr>
              <w:spacing w:after="120"/>
              <w:ind w:left="7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t xml:space="preserve">El Decreto 1082 de 2015. Artículo 2.2.1.2.1.4.9. </w:t>
            </w:r>
          </w:p>
          <w:p w14:paraId="1D60837F" w14:textId="77777777" w:rsidR="00756929" w:rsidRPr="00205DD4" w:rsidRDefault="00756929" w:rsidP="00756929">
            <w:pPr>
              <w:pStyle w:val="ListParagraph"/>
              <w:numPr>
                <w:ilvl w:val="0"/>
                <w:numId w:val="17"/>
              </w:numPr>
              <w:spacing w:after="120" w:line="259" w:lineRule="auto"/>
              <w:ind w:left="720"/>
              <w:contextualSpacing w:val="0"/>
              <w:rPr>
                <w:rFonts w:ascii="Verdana" w:hAnsi="Verdana" w:cs="Arial"/>
              </w:rPr>
            </w:pPr>
            <w:r w:rsidRPr="007F4CB0">
              <w:rPr>
                <w:rFonts w:ascii="Verdana" w:hAnsi="Verdana" w:cs="Arial"/>
              </w:rPr>
              <w:t xml:space="preserve">CONSEJO SUPERIOR DE LA JUDICATURA. </w:t>
            </w:r>
            <w:r w:rsidRPr="007F4CB0">
              <w:rPr>
                <w:rFonts w:ascii="Verdana" w:hAnsi="Verdana" w:cs="Arial"/>
                <w:color w:val="000000" w:themeColor="text1"/>
              </w:rPr>
              <w:t>Acuerdo PSCJA24-12162 del 9 de abril de 2024.</w:t>
            </w:r>
          </w:p>
          <w:p w14:paraId="1AA158FC" w14:textId="77777777" w:rsidR="00756929" w:rsidRPr="00A7405A" w:rsidRDefault="00756929" w:rsidP="00756929">
            <w:pPr>
              <w:pStyle w:val="FootnoteText"/>
              <w:numPr>
                <w:ilvl w:val="0"/>
                <w:numId w:val="17"/>
              </w:numPr>
              <w:spacing w:after="120"/>
              <w:ind w:left="720"/>
              <w:jc w:val="both"/>
              <w:rPr>
                <w:rFonts w:ascii="Verdana" w:hAnsi="Verdana" w:cs="Arial"/>
                <w:color w:val="000000" w:themeColor="text1"/>
                <w:sz w:val="22"/>
                <w:szCs w:val="22"/>
                <w:lang w:val="es-ES"/>
              </w:rPr>
            </w:pPr>
            <w:r w:rsidRPr="00A7405A">
              <w:rPr>
                <w:rFonts w:ascii="Verdana" w:hAnsi="Verdana" w:cs="Arial"/>
                <w:color w:val="000000" w:themeColor="text1"/>
                <w:sz w:val="22"/>
                <w:szCs w:val="22"/>
                <w:lang w:val="es-ES"/>
              </w:rPr>
              <w:t>CONSEJO DE ESTADO. Sección Tercera. Subsección C. Sentencia de Unificación del 2 de diciembre de 2013. Exp. 41.719. C.P. Jaime Orlando Santofimio Gamboa.</w:t>
            </w:r>
          </w:p>
          <w:p w14:paraId="3ADF77B7" w14:textId="77777777" w:rsidR="00756929" w:rsidRPr="00A7405A" w:rsidRDefault="00756929" w:rsidP="00756929">
            <w:pPr>
              <w:pStyle w:val="ListParagraph"/>
              <w:numPr>
                <w:ilvl w:val="0"/>
                <w:numId w:val="17"/>
              </w:numPr>
              <w:shd w:val="clear" w:color="auto" w:fill="FFFFFF"/>
              <w:spacing w:after="120" w:line="259" w:lineRule="auto"/>
              <w:ind w:left="720"/>
              <w:contextualSpacing w:val="0"/>
              <w:jc w:val="both"/>
              <w:rPr>
                <w:rFonts w:ascii="Verdana" w:hAnsi="Verdana" w:cs="Arial"/>
                <w:color w:val="000000" w:themeColor="text1"/>
              </w:rPr>
            </w:pPr>
            <w:r w:rsidRPr="00A7405A">
              <w:rPr>
                <w:rFonts w:ascii="Verdana" w:hAnsi="Verdana" w:cs="Arial"/>
                <w:color w:val="000000" w:themeColor="text1"/>
              </w:rPr>
              <w:t>CORTE CONSTITUCIONAL. Sentencia C – 697 del 14 de junio de 2000. Expediente D-2662. M</w:t>
            </w:r>
            <w:r>
              <w:rPr>
                <w:rFonts w:ascii="Verdana" w:hAnsi="Verdana" w:cs="Arial"/>
                <w:color w:val="000000" w:themeColor="text1"/>
              </w:rPr>
              <w:t xml:space="preserve">. </w:t>
            </w:r>
            <w:r w:rsidRPr="00A7405A">
              <w:rPr>
                <w:rFonts w:ascii="Verdana" w:hAnsi="Verdana" w:cs="Arial"/>
                <w:color w:val="000000" w:themeColor="text1"/>
              </w:rPr>
              <w:t>P</w:t>
            </w:r>
            <w:r>
              <w:rPr>
                <w:rFonts w:ascii="Verdana" w:hAnsi="Verdana" w:cs="Arial"/>
                <w:color w:val="000000" w:themeColor="text1"/>
              </w:rPr>
              <w:t>.</w:t>
            </w:r>
            <w:r w:rsidRPr="00A7405A">
              <w:rPr>
                <w:rFonts w:ascii="Verdana" w:hAnsi="Verdana" w:cs="Arial"/>
                <w:color w:val="000000" w:themeColor="text1"/>
              </w:rPr>
              <w:t xml:space="preserve"> Eduardo Cifuentes Muñoz.</w:t>
            </w:r>
          </w:p>
          <w:p w14:paraId="2A007BDA" w14:textId="77777777" w:rsidR="00756929" w:rsidRPr="000C0900" w:rsidRDefault="00756929" w:rsidP="00756929">
            <w:pPr>
              <w:pStyle w:val="ListParagraph"/>
              <w:widowControl w:val="0"/>
              <w:numPr>
                <w:ilvl w:val="0"/>
                <w:numId w:val="17"/>
              </w:numPr>
              <w:autoSpaceDE w:val="0"/>
              <w:autoSpaceDN w:val="0"/>
              <w:spacing w:after="120" w:line="276" w:lineRule="auto"/>
              <w:jc w:val="both"/>
              <w:rPr>
                <w:rFonts w:ascii="Verdana" w:hAnsi="Verdana" w:cs="Arial"/>
              </w:rPr>
            </w:pPr>
            <w:r w:rsidRPr="00A7405A">
              <w:rPr>
                <w:rFonts w:ascii="Verdana" w:hAnsi="Verdana"/>
              </w:rPr>
              <w:t>CORTE CONSTITUCIONAL, Sentencia SU-128 del 18 de abril de 2024.  M.P. Natalia Ángel Cabo.</w:t>
            </w:r>
            <w:r>
              <w:rPr>
                <w:rFonts w:ascii="Verdana" w:hAnsi="Verdana"/>
              </w:rPr>
              <w:t xml:space="preserve"> </w:t>
            </w:r>
            <w:r w:rsidRPr="00205DD4">
              <w:rPr>
                <w:rFonts w:ascii="Verdana" w:hAnsi="Verdana" w:cs="Arial"/>
              </w:rPr>
              <w:t xml:space="preserve"> </w:t>
            </w:r>
          </w:p>
        </w:tc>
      </w:tr>
    </w:tbl>
    <w:p w14:paraId="53CD6E3D" w14:textId="77777777" w:rsidR="00756929" w:rsidRPr="00593A5F" w:rsidRDefault="00756929" w:rsidP="00756929">
      <w:pPr>
        <w:widowControl w:val="0"/>
        <w:autoSpaceDE w:val="0"/>
        <w:autoSpaceDN w:val="0"/>
        <w:spacing w:after="0" w:line="276" w:lineRule="auto"/>
        <w:jc w:val="both"/>
        <w:rPr>
          <w:rFonts w:ascii="Verdana" w:hAnsi="Verdana" w:cs="Arial"/>
        </w:rPr>
      </w:pPr>
    </w:p>
    <w:p w14:paraId="0B0AF367" w14:textId="77777777" w:rsidR="00756929" w:rsidRDefault="00756929" w:rsidP="00756929">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E2876B5" w14:textId="77777777" w:rsidR="00756929" w:rsidRPr="000C0900" w:rsidRDefault="00756929" w:rsidP="00756929">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p w14:paraId="315ED1C0" w14:textId="77777777" w:rsidR="00756929" w:rsidRPr="000C0900" w:rsidRDefault="00756929" w:rsidP="00D90E32">
      <w:pPr>
        <w:widowControl w:val="0"/>
        <w:autoSpaceDE w:val="0"/>
        <w:autoSpaceDN w:val="0"/>
        <w:spacing w:after="0" w:line="240" w:lineRule="auto"/>
        <w:jc w:val="both"/>
        <w:rPr>
          <w:rStyle w:val="normaltextrun"/>
          <w:rFonts w:ascii="Verdana" w:eastAsia="Calibri" w:hAnsi="Verdana" w:cs="Times New Roman"/>
        </w:rPr>
      </w:pPr>
      <w:r w:rsidRPr="007D460E">
        <w:rPr>
          <w:rFonts w:ascii="Verdana" w:eastAsia="Calibri" w:hAnsi="Verdana" w:cs="Arial"/>
          <w:lang w:val="es-ES" w:eastAsia="es-ES"/>
        </w:rPr>
        <w:t xml:space="preserve">La Subdirección de Gestión Contractual se ha pronunciado </w:t>
      </w:r>
      <w:r>
        <w:rPr>
          <w:rFonts w:ascii="Verdana" w:hAnsi="Verdana" w:cs="Arial"/>
        </w:rPr>
        <w:t xml:space="preserve">frente a la experiencia profesional y la forma de verificarse, en los conceptos </w:t>
      </w:r>
      <w:r w:rsidRPr="00F345AB">
        <w:rPr>
          <w:rFonts w:ascii="Verdana" w:hAnsi="Verdana" w:cs="Arial"/>
        </w:rPr>
        <w:t>C-231 del 13 de abril de 2020, C-212 del 14 de abril de 2020, C-317 de 10 de junio de 2020, C-337 del 26 de junio de 2020, C-355 del 4 de junio de 2020, C-353 del 30 de junio de 2020</w:t>
      </w:r>
      <w:r>
        <w:rPr>
          <w:rFonts w:ascii="Verdana" w:hAnsi="Verdana" w:cs="Arial"/>
        </w:rPr>
        <w:t>,</w:t>
      </w:r>
      <w:r w:rsidRPr="00F345AB">
        <w:rPr>
          <w:rFonts w:ascii="Verdana" w:hAnsi="Verdana" w:cs="Arial"/>
        </w:rPr>
        <w:t xml:space="preserve"> C-457 del 7 de julio de 2020</w:t>
      </w:r>
      <w:r>
        <w:rPr>
          <w:rFonts w:ascii="Verdana" w:hAnsi="Verdana" w:cs="Arial"/>
        </w:rPr>
        <w:t>, C- 357 de agosto de 2024, C-279 de agosto 09 de 2024, C-409 del 6 de septiembre de 2024, C-510 del 03 de octubre de 2024, C-757 de 4 diciembre de 2024, C-938 de 27 de diciembre de 2024, C-010 de 14 de febrero de 2025 y C-186 de 4 de marzo de 2025.</w:t>
      </w:r>
      <w:r w:rsidRPr="000C0900">
        <w:rPr>
          <w:rFonts w:ascii="Verdana" w:eastAsia="Calibri" w:hAnsi="Verdana" w:cs="Arial"/>
          <w:shd w:val="clear" w:color="auto" w:fill="FFFFFF"/>
        </w:rPr>
        <w:t xml:space="preserve"> </w:t>
      </w:r>
      <w:r w:rsidRPr="00472251">
        <w:rPr>
          <w:rFonts w:ascii="Verdana" w:eastAsia="Calibri"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472251">
        <w:rPr>
          <w:rFonts w:ascii="Verdana" w:eastAsia="Calibri" w:hAnsi="Verdana" w:cs="Times New Roman"/>
        </w:rPr>
        <w:t xml:space="preserve">, accede a través del siguiente enlace: </w:t>
      </w:r>
      <w:hyperlink r:id="rId13" w:history="1">
        <w:r w:rsidRPr="00472251">
          <w:rPr>
            <w:rFonts w:ascii="Verdana" w:eastAsia="Calibri" w:hAnsi="Verdana" w:cs="Arial"/>
            <w:color w:val="0000FF"/>
            <w:u w:val="single"/>
            <w:shd w:val="clear" w:color="auto" w:fill="FFFFFF"/>
            <w:lang w:val="es-ES"/>
          </w:rPr>
          <w:t>https://relatoria.colombiacompra.gov.co/busqueda/conceptos</w:t>
        </w:r>
      </w:hyperlink>
      <w:r w:rsidRPr="00472251">
        <w:rPr>
          <w:rFonts w:ascii="Verdana" w:eastAsia="Calibri" w:hAnsi="Verdana" w:cs="Arial"/>
          <w:shd w:val="clear" w:color="auto" w:fill="FFFFFF"/>
        </w:rPr>
        <w:t xml:space="preserve"> </w:t>
      </w:r>
    </w:p>
    <w:p w14:paraId="1DA17DFB" w14:textId="77777777" w:rsidR="00756929" w:rsidRDefault="00756929" w:rsidP="00D90E32">
      <w:pPr>
        <w:widowControl w:val="0"/>
        <w:autoSpaceDE w:val="0"/>
        <w:autoSpaceDN w:val="0"/>
        <w:spacing w:after="0" w:line="240" w:lineRule="auto"/>
        <w:jc w:val="both"/>
        <w:rPr>
          <w:rStyle w:val="normaltextrun"/>
          <w:rFonts w:ascii="Verdana" w:hAnsi="Verdana" w:cs="Arial"/>
          <w:color w:val="FF0000"/>
          <w:shd w:val="clear" w:color="auto" w:fill="FFFFFF"/>
          <w:lang w:val="es-ES"/>
        </w:rPr>
      </w:pPr>
    </w:p>
    <w:p w14:paraId="576AC7BF" w14:textId="77777777" w:rsidR="00756929" w:rsidRDefault="00756929" w:rsidP="00D90E32">
      <w:pPr>
        <w:spacing w:after="0" w:line="240" w:lineRule="auto"/>
        <w:jc w:val="both"/>
        <w:rPr>
          <w:rFonts w:ascii="Verdana" w:hAnsi="Verdana" w:cs="Arial"/>
          <w:color w:val="000000" w:themeColor="text1"/>
          <w:u w:val="single"/>
          <w:shd w:val="clear" w:color="auto" w:fill="FFFFFF"/>
        </w:rPr>
      </w:pPr>
      <w:r w:rsidRPr="0053626B">
        <w:rPr>
          <w:rFonts w:ascii="Verdana" w:hAnsi="Verdana" w:cs="Arial"/>
          <w:color w:val="000000" w:themeColor="text1"/>
          <w:shd w:val="clear" w:color="auto" w:fill="FFFFFF"/>
        </w:rPr>
        <w:t>También le contamos que ya se encuentra disponible la </w:t>
      </w:r>
      <w:r w:rsidRPr="0053626B">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53626B">
        <w:rPr>
          <w:rFonts w:ascii="Verdana" w:hAnsi="Verdana" w:cs="Arial"/>
          <w:color w:val="000000" w:themeColor="text1"/>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53626B">
          <w:rPr>
            <w:rStyle w:val="Hyperlink"/>
            <w:rFonts w:ascii="Verdana" w:hAnsi="Verdana" w:cs="Arial"/>
            <w:shd w:val="clear" w:color="auto" w:fill="FFFFFF"/>
          </w:rPr>
          <w:t>Guía de lineamientos de transparencia y selección objetiva para el departamento de La Guajira – Objetivo sexto constitucional de la Sentencia T-302 del 2017</w:t>
        </w:r>
      </w:hyperlink>
      <w:r w:rsidRPr="0053626B">
        <w:rPr>
          <w:rFonts w:ascii="Verdana" w:hAnsi="Verdana" w:cs="Arial"/>
          <w:color w:val="000000" w:themeColor="text1"/>
          <w:u w:val="single"/>
          <w:shd w:val="clear" w:color="auto" w:fill="FFFFFF"/>
        </w:rPr>
        <w:t>"</w:t>
      </w:r>
    </w:p>
    <w:p w14:paraId="367DC1C1" w14:textId="77777777" w:rsidR="00756929" w:rsidRPr="0053626B" w:rsidRDefault="00756929" w:rsidP="00756929">
      <w:pPr>
        <w:spacing w:after="0" w:line="240" w:lineRule="auto"/>
        <w:jc w:val="both"/>
        <w:rPr>
          <w:rFonts w:ascii="Verdana" w:hAnsi="Verdana" w:cs="Arial"/>
          <w:color w:val="000000" w:themeColor="text1"/>
          <w:shd w:val="clear" w:color="auto" w:fill="FFFFFF"/>
        </w:rPr>
      </w:pPr>
    </w:p>
    <w:p w14:paraId="117EDB03"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4AA4CA05" w14:textId="77777777" w:rsidR="00756929" w:rsidRDefault="00756929" w:rsidP="00756929">
      <w:pPr>
        <w:spacing w:after="0" w:line="240" w:lineRule="auto"/>
        <w:jc w:val="both"/>
        <w:rPr>
          <w:rFonts w:ascii="Verdana" w:hAnsi="Verdana"/>
        </w:rPr>
      </w:pPr>
    </w:p>
    <w:p w14:paraId="0005015D" w14:textId="77777777" w:rsidR="00EF7430" w:rsidRPr="003E2460" w:rsidRDefault="00EF7430" w:rsidP="00756929">
      <w:pPr>
        <w:spacing w:after="0" w:line="240" w:lineRule="auto"/>
        <w:jc w:val="both"/>
        <w:rPr>
          <w:rFonts w:ascii="Verdana" w:hAnsi="Verdana"/>
        </w:rPr>
      </w:pPr>
    </w:p>
    <w:p w14:paraId="2EE70A0B"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Twitter: </w:t>
      </w:r>
      <w:r w:rsidRPr="00EF7430">
        <w:rPr>
          <w:rStyle w:val="Hyperlink"/>
          <w:rFonts w:ascii="Verdana" w:hAnsi="Verdana"/>
        </w:rPr>
        <w:t>@colombiacompra</w:t>
      </w:r>
      <w:r w:rsidRPr="00EF7430">
        <w:rPr>
          <w:rFonts w:ascii="Verdana" w:hAnsi="Verdana"/>
          <w:color w:val="0000FF"/>
        </w:rPr>
        <w:t xml:space="preserve"> </w:t>
      </w:r>
    </w:p>
    <w:p w14:paraId="707914DF"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Facebook: </w:t>
      </w:r>
      <w:r w:rsidRPr="00EF7430">
        <w:rPr>
          <w:rStyle w:val="Hyperlink"/>
          <w:rFonts w:ascii="Verdana" w:hAnsi="Verdana"/>
        </w:rPr>
        <w:t>ColombiaCompraEficiente</w:t>
      </w:r>
    </w:p>
    <w:p w14:paraId="702296C9" w14:textId="77777777" w:rsidR="00756929" w:rsidRPr="003E2460" w:rsidRDefault="00756929" w:rsidP="00756929">
      <w:pPr>
        <w:spacing w:after="0" w:line="240" w:lineRule="auto"/>
        <w:jc w:val="both"/>
        <w:rPr>
          <w:rFonts w:ascii="Verdana" w:hAnsi="Verdana"/>
        </w:rPr>
      </w:pPr>
      <w:r w:rsidRPr="003E2460">
        <w:rPr>
          <w:rFonts w:ascii="Verdana" w:hAnsi="Verdana"/>
        </w:rPr>
        <w:t xml:space="preserve">LinkedIn: </w:t>
      </w:r>
      <w:r w:rsidRPr="003E2460">
        <w:rPr>
          <w:rStyle w:val="Hyperlink"/>
          <w:rFonts w:ascii="Verdana" w:hAnsi="Verdana"/>
          <w:color w:val="4472C4" w:themeColor="accent1"/>
        </w:rPr>
        <w:t>A</w:t>
      </w:r>
      <w:r w:rsidRPr="00EF7430">
        <w:rPr>
          <w:rStyle w:val="Hyperlink"/>
          <w:rFonts w:ascii="Verdana" w:hAnsi="Verdana"/>
        </w:rPr>
        <w:t>gencia Nacional de Contratación Pública - Colombia Compra Eficiente</w:t>
      </w:r>
      <w:r w:rsidRPr="00EF7430">
        <w:rPr>
          <w:rStyle w:val="Hyperlink"/>
        </w:rPr>
        <w:t xml:space="preserve"> </w:t>
      </w:r>
      <w:r w:rsidRPr="003E2460">
        <w:rPr>
          <w:rFonts w:ascii="Verdana" w:hAnsi="Verdana"/>
        </w:rPr>
        <w:t xml:space="preserve">Instagram: </w:t>
      </w:r>
      <w:r w:rsidRPr="00EF7430">
        <w:rPr>
          <w:rStyle w:val="Hyperlink"/>
          <w:rFonts w:ascii="Verdana" w:hAnsi="Verdana"/>
        </w:rPr>
        <w:t>@colombiacompraeficiente_cce</w:t>
      </w:r>
    </w:p>
    <w:p w14:paraId="79FF8CE2" w14:textId="77777777" w:rsidR="00756929" w:rsidRPr="00593A5F" w:rsidRDefault="00756929" w:rsidP="00756929">
      <w:pPr>
        <w:widowControl w:val="0"/>
        <w:autoSpaceDE w:val="0"/>
        <w:autoSpaceDN w:val="0"/>
        <w:spacing w:after="0" w:line="276" w:lineRule="auto"/>
        <w:jc w:val="both"/>
        <w:rPr>
          <w:rFonts w:ascii="Verdana" w:hAnsi="Verdana" w:cs="Arial"/>
        </w:rPr>
      </w:pPr>
    </w:p>
    <w:p w14:paraId="5BCCC1A5" w14:textId="77777777" w:rsidR="00756929" w:rsidRPr="00593A5F" w:rsidRDefault="00756929" w:rsidP="0075692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92DC768" w14:textId="77777777" w:rsidR="00756929" w:rsidRPr="00593A5F" w:rsidRDefault="00756929" w:rsidP="00756929">
      <w:pPr>
        <w:widowControl w:val="0"/>
        <w:autoSpaceDE w:val="0"/>
        <w:autoSpaceDN w:val="0"/>
        <w:spacing w:after="0" w:line="276" w:lineRule="auto"/>
        <w:jc w:val="both"/>
        <w:rPr>
          <w:rFonts w:ascii="Verdana" w:hAnsi="Verdana" w:cs="Arial"/>
        </w:rPr>
      </w:pPr>
    </w:p>
    <w:p w14:paraId="4C47D345" w14:textId="77777777" w:rsidR="00756929" w:rsidRPr="00593A5F" w:rsidRDefault="00756929" w:rsidP="0075692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80ECE2" w14:textId="6879E4AF" w:rsidR="00756929" w:rsidRPr="00593A5F" w:rsidRDefault="00AD0C3A" w:rsidP="00756929">
      <w:pPr>
        <w:spacing w:line="276" w:lineRule="auto"/>
        <w:jc w:val="center"/>
        <w:rPr>
          <w:rFonts w:ascii="Verdana" w:hAnsi="Verdana" w:cs="Arial"/>
          <w:color w:val="000000"/>
          <w:lang w:val="es-ES_tradnl" w:eastAsia="es-CO"/>
        </w:rPr>
      </w:pPr>
      <w:r>
        <w:rPr>
          <w:noProof/>
        </w:rPr>
        <w:drawing>
          <wp:inline distT="0" distB="0" distL="0" distR="0" wp14:anchorId="2746F461" wp14:editId="6819E8CE">
            <wp:extent cx="3543300" cy="131531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552216" cy="1318626"/>
                    </a:xfrm>
                    <a:prstGeom prst="rect">
                      <a:avLst/>
                    </a:prstGeom>
                  </pic:spPr>
                </pic:pic>
              </a:graphicData>
            </a:graphic>
          </wp:inline>
        </w:drawing>
      </w:r>
    </w:p>
    <w:p w14:paraId="3F0C8CBE" w14:textId="77777777" w:rsidR="00756929" w:rsidRDefault="00756929" w:rsidP="00756929"/>
    <w:tbl>
      <w:tblPr>
        <w:tblW w:w="49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77"/>
        <w:gridCol w:w="4769"/>
      </w:tblGrid>
      <w:tr w:rsidR="00756929" w:rsidRPr="00884249" w14:paraId="6F1423B7" w14:textId="77777777">
        <w:trPr>
          <w:trHeight w:val="39"/>
        </w:trPr>
        <w:tc>
          <w:tcPr>
            <w:tcW w:w="762" w:type="dxa"/>
            <w:tcBorders>
              <w:top w:val="nil"/>
              <w:left w:val="nil"/>
              <w:bottom w:val="nil"/>
              <w:right w:val="nil"/>
            </w:tcBorders>
            <w:hideMark/>
          </w:tcPr>
          <w:p w14:paraId="5F802B90" w14:textId="77777777" w:rsidR="00756929" w:rsidRPr="00993C9D" w:rsidRDefault="00756929">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Elaboró:</w:t>
            </w:r>
          </w:p>
        </w:tc>
        <w:tc>
          <w:tcPr>
            <w:tcW w:w="4154" w:type="dxa"/>
            <w:tcBorders>
              <w:top w:val="dotted" w:sz="6" w:space="0" w:color="7F7F7F" w:themeColor="text1" w:themeTint="80"/>
              <w:left w:val="nil"/>
              <w:bottom w:val="dotted" w:sz="6" w:space="0" w:color="7F7F7F" w:themeColor="text1" w:themeTint="80"/>
              <w:right w:val="nil"/>
            </w:tcBorders>
            <w:hideMark/>
          </w:tcPr>
          <w:tbl>
            <w:tblPr>
              <w:tblW w:w="476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69"/>
            </w:tblGrid>
            <w:tr w:rsidR="00756929" w:rsidRPr="00993C9D" w14:paraId="435404FF" w14:textId="77777777">
              <w:trPr>
                <w:trHeight w:val="34"/>
              </w:trPr>
              <w:tc>
                <w:tcPr>
                  <w:tcW w:w="4769" w:type="dxa"/>
                  <w:tcBorders>
                    <w:top w:val="dotted" w:sz="6" w:space="0" w:color="7F7F7F"/>
                    <w:left w:val="nil"/>
                    <w:bottom w:val="dotted" w:sz="6" w:space="0" w:color="7F7F7F"/>
                    <w:right w:val="nil"/>
                  </w:tcBorders>
                  <w:vAlign w:val="center"/>
                  <w:hideMark/>
                </w:tcPr>
                <w:p w14:paraId="53142BA6" w14:textId="77777777" w:rsidR="00756929" w:rsidRPr="00993C9D" w:rsidRDefault="00756929">
                  <w:pPr>
                    <w:spacing w:after="0" w:line="240" w:lineRule="auto"/>
                    <w:textAlignment w:val="baseline"/>
                    <w:rPr>
                      <w:rFonts w:ascii="Verdana" w:eastAsia="Times New Roman" w:hAnsi="Verdana" w:cs="Arial"/>
                      <w:sz w:val="16"/>
                      <w:szCs w:val="16"/>
                      <w:lang w:val="es-MX" w:eastAsia="es-CO"/>
                    </w:rPr>
                  </w:pPr>
                  <w:r w:rsidRPr="00993C9D">
                    <w:rPr>
                      <w:rFonts w:ascii="Verdana" w:eastAsia="Times New Roman" w:hAnsi="Verdana" w:cs="Arial"/>
                      <w:sz w:val="16"/>
                      <w:szCs w:val="16"/>
                      <w:lang w:val="es-MX" w:eastAsia="es-CO"/>
                    </w:rPr>
                    <w:t>Oscar David Morelo Pedrozo</w:t>
                  </w:r>
                </w:p>
                <w:p w14:paraId="47DB4E34" w14:textId="77777777" w:rsidR="00756929" w:rsidRPr="00993C9D" w:rsidRDefault="00756929">
                  <w:pPr>
                    <w:spacing w:after="0" w:line="240" w:lineRule="auto"/>
                    <w:textAlignment w:val="baseline"/>
                    <w:rPr>
                      <w:rFonts w:ascii="Verdana" w:eastAsia="Times New Roman" w:hAnsi="Verdana" w:cs="Arial"/>
                      <w:sz w:val="16"/>
                      <w:szCs w:val="16"/>
                      <w:lang w:val="es-MX" w:eastAsia="es-CO"/>
                    </w:rPr>
                  </w:pPr>
                  <w:r w:rsidRPr="00993C9D">
                    <w:rPr>
                      <w:rFonts w:ascii="Verdana" w:eastAsia="Times New Roman" w:hAnsi="Verdana" w:cs="Arial"/>
                      <w:sz w:val="16"/>
                      <w:szCs w:val="16"/>
                      <w:lang w:val="es-MX" w:eastAsia="es-CO"/>
                    </w:rPr>
                    <w:t>Analista T2 –02 de la Subdirección de Gestión Contractual</w:t>
                  </w:r>
                </w:p>
              </w:tc>
            </w:tr>
          </w:tbl>
          <w:p w14:paraId="095077E4" w14:textId="77777777" w:rsidR="00756929" w:rsidRPr="00993C9D" w:rsidRDefault="00756929">
            <w:pPr>
              <w:pStyle w:val="NoSpacing"/>
              <w:rPr>
                <w:rFonts w:ascii="Verdana" w:hAnsi="Verdana"/>
                <w:sz w:val="16"/>
                <w:szCs w:val="16"/>
                <w:lang w:val="es-MX" w:eastAsia="es-CO"/>
              </w:rPr>
            </w:pPr>
          </w:p>
        </w:tc>
      </w:tr>
      <w:tr w:rsidR="00756929" w:rsidRPr="00884249" w14:paraId="0E49936F" w14:textId="77777777">
        <w:trPr>
          <w:trHeight w:val="39"/>
        </w:trPr>
        <w:tc>
          <w:tcPr>
            <w:tcW w:w="762" w:type="dxa"/>
            <w:tcBorders>
              <w:top w:val="nil"/>
              <w:left w:val="nil"/>
              <w:bottom w:val="nil"/>
              <w:right w:val="nil"/>
            </w:tcBorders>
            <w:hideMark/>
          </w:tcPr>
          <w:p w14:paraId="72AB2507" w14:textId="77777777" w:rsidR="00756929" w:rsidRPr="00993C9D" w:rsidRDefault="00756929">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Revisó:</w:t>
            </w:r>
          </w:p>
        </w:tc>
        <w:tc>
          <w:tcPr>
            <w:tcW w:w="4154" w:type="dxa"/>
            <w:tcBorders>
              <w:top w:val="dotted" w:sz="6" w:space="0" w:color="7F7F7F" w:themeColor="text1" w:themeTint="80"/>
              <w:left w:val="nil"/>
              <w:bottom w:val="dotted" w:sz="6" w:space="0" w:color="7F7F7F" w:themeColor="text1" w:themeTint="80"/>
              <w:right w:val="nil"/>
            </w:tcBorders>
            <w:hideMark/>
          </w:tcPr>
          <w:p w14:paraId="2AB87FFF" w14:textId="77777777" w:rsidR="00756929" w:rsidRPr="00ED4556" w:rsidRDefault="00756929">
            <w:pPr>
              <w:pStyle w:val="NoSpacing"/>
              <w:rPr>
                <w:rFonts w:ascii="Verdana" w:hAnsi="Verdana" w:cs="Arial"/>
                <w:sz w:val="16"/>
                <w:szCs w:val="16"/>
                <w:lang w:eastAsia="es-CO"/>
              </w:rPr>
            </w:pPr>
            <w:r w:rsidRPr="00ED4556">
              <w:rPr>
                <w:rFonts w:ascii="Verdana" w:hAnsi="Verdana" w:cs="Arial"/>
                <w:sz w:val="16"/>
                <w:szCs w:val="16"/>
                <w:lang w:eastAsia="es-CO"/>
              </w:rPr>
              <w:t>Diana Lucia Saavedra</w:t>
            </w:r>
          </w:p>
          <w:p w14:paraId="03131642" w14:textId="77777777" w:rsidR="00756929" w:rsidRPr="00993C9D" w:rsidRDefault="00756929">
            <w:pPr>
              <w:pStyle w:val="NoSpacing"/>
              <w:rPr>
                <w:rFonts w:ascii="Verdana" w:hAnsi="Verdana"/>
                <w:sz w:val="16"/>
                <w:szCs w:val="16"/>
                <w:lang w:val="es-MX" w:eastAsia="es-CO"/>
              </w:rPr>
            </w:pPr>
            <w:r w:rsidRPr="00ED4556">
              <w:rPr>
                <w:rFonts w:ascii="Verdana" w:hAnsi="Verdana" w:cs="Arial"/>
                <w:sz w:val="16"/>
                <w:szCs w:val="16"/>
                <w:lang w:val="es-ES" w:eastAsia="es-CO"/>
              </w:rPr>
              <w:t>Contratista de la Subdirección de Gestión Contractual</w:t>
            </w:r>
          </w:p>
        </w:tc>
      </w:tr>
      <w:tr w:rsidR="00756929" w:rsidRPr="00884249" w14:paraId="398343DF" w14:textId="77777777">
        <w:trPr>
          <w:trHeight w:val="54"/>
        </w:trPr>
        <w:tc>
          <w:tcPr>
            <w:tcW w:w="762" w:type="dxa"/>
            <w:tcBorders>
              <w:top w:val="nil"/>
              <w:left w:val="nil"/>
              <w:bottom w:val="nil"/>
              <w:right w:val="nil"/>
            </w:tcBorders>
            <w:hideMark/>
          </w:tcPr>
          <w:p w14:paraId="37A9B84F" w14:textId="77777777" w:rsidR="00756929" w:rsidRPr="00993C9D" w:rsidRDefault="00756929">
            <w:pPr>
              <w:autoSpaceDE w:val="0"/>
              <w:autoSpaceDN w:val="0"/>
              <w:adjustRightInd w:val="0"/>
              <w:spacing w:line="240" w:lineRule="auto"/>
              <w:jc w:val="both"/>
              <w:rPr>
                <w:rFonts w:ascii="Verdana" w:eastAsia="Calibri" w:hAnsi="Verdana" w:cs="Arial"/>
                <w:sz w:val="16"/>
                <w:szCs w:val="16"/>
              </w:rPr>
            </w:pPr>
            <w:r w:rsidRPr="00993C9D">
              <w:rPr>
                <w:rFonts w:ascii="Verdana" w:eastAsia="Calibri" w:hAnsi="Verdana" w:cs="Arial"/>
                <w:sz w:val="16"/>
                <w:szCs w:val="16"/>
              </w:rPr>
              <w:t>Aprobó:</w:t>
            </w:r>
          </w:p>
        </w:tc>
        <w:tc>
          <w:tcPr>
            <w:tcW w:w="4154" w:type="dxa"/>
            <w:tcBorders>
              <w:top w:val="dotted" w:sz="6" w:space="0" w:color="7F7F7F" w:themeColor="text1" w:themeTint="80"/>
              <w:left w:val="nil"/>
              <w:bottom w:val="dotted" w:sz="6" w:space="0" w:color="7F7F7F" w:themeColor="text1" w:themeTint="80"/>
              <w:right w:val="nil"/>
            </w:tcBorders>
            <w:hideMark/>
          </w:tcPr>
          <w:p w14:paraId="051074E9" w14:textId="77777777" w:rsidR="00756929" w:rsidRPr="00993C9D" w:rsidRDefault="00756929">
            <w:pPr>
              <w:pStyle w:val="NoSpacing"/>
              <w:rPr>
                <w:rFonts w:ascii="Verdana" w:hAnsi="Verdana"/>
                <w:sz w:val="16"/>
                <w:szCs w:val="16"/>
                <w:lang w:val="es-MX" w:eastAsia="es-CO"/>
              </w:rPr>
            </w:pPr>
            <w:r w:rsidRPr="00993C9D">
              <w:rPr>
                <w:rFonts w:ascii="Verdana" w:hAnsi="Verdana"/>
                <w:sz w:val="16"/>
                <w:szCs w:val="16"/>
                <w:lang w:val="es-MX" w:eastAsia="es-CO"/>
              </w:rPr>
              <w:t>Carolina Quintero Gacharná</w:t>
            </w:r>
          </w:p>
          <w:p w14:paraId="6361C9B0" w14:textId="77777777" w:rsidR="00756929" w:rsidRPr="00993C9D" w:rsidRDefault="00756929">
            <w:pPr>
              <w:pStyle w:val="NoSpacing"/>
              <w:rPr>
                <w:rFonts w:ascii="Verdana" w:hAnsi="Verdana"/>
                <w:sz w:val="16"/>
                <w:szCs w:val="16"/>
                <w:lang w:val="es-MX" w:eastAsia="es-CO"/>
              </w:rPr>
            </w:pPr>
            <w:r w:rsidRPr="00993C9D">
              <w:rPr>
                <w:rFonts w:ascii="Verdana" w:hAnsi="Verdana"/>
                <w:sz w:val="16"/>
                <w:szCs w:val="16"/>
                <w:lang w:val="es-MX" w:eastAsia="es-CO"/>
              </w:rPr>
              <w:t>Subdirectora de Gestión Contractual ANCP – CCE</w:t>
            </w:r>
          </w:p>
        </w:tc>
      </w:tr>
    </w:tbl>
    <w:p w14:paraId="7BCFA12B" w14:textId="77777777" w:rsidR="00756929" w:rsidRPr="00871B59" w:rsidRDefault="00756929" w:rsidP="00756929"/>
    <w:p w14:paraId="6766E2AF" w14:textId="77777777" w:rsidR="00756929" w:rsidRPr="00753737" w:rsidRDefault="00756929" w:rsidP="00756929">
      <w:pPr>
        <w:spacing w:after="0"/>
        <w:rPr>
          <w:rStyle w:val="Hyperlink"/>
          <w:rFonts w:ascii="Verdana" w:hAnsi="Verdana"/>
          <w:color w:val="auto"/>
          <w:u w:val="none"/>
        </w:rPr>
      </w:pPr>
    </w:p>
    <w:p w14:paraId="0F293BF4" w14:textId="6F0FA19D" w:rsidR="00127233" w:rsidRPr="00756929" w:rsidRDefault="00127233" w:rsidP="00756929"/>
    <w:sectPr w:rsidR="00127233" w:rsidRPr="0075692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01DAE" w14:textId="77777777" w:rsidR="007611A8" w:rsidRDefault="007611A8" w:rsidP="004A1847">
      <w:pPr>
        <w:spacing w:after="0" w:line="240" w:lineRule="auto"/>
      </w:pPr>
      <w:r>
        <w:separator/>
      </w:r>
    </w:p>
  </w:endnote>
  <w:endnote w:type="continuationSeparator" w:id="0">
    <w:p w14:paraId="1C1F6953" w14:textId="77777777" w:rsidR="007611A8" w:rsidRDefault="007611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53A3DC" w14:textId="77777777" w:rsidR="007611A8" w:rsidRDefault="007611A8" w:rsidP="004A1847">
      <w:pPr>
        <w:spacing w:after="0" w:line="240" w:lineRule="auto"/>
      </w:pPr>
      <w:r>
        <w:separator/>
      </w:r>
    </w:p>
  </w:footnote>
  <w:footnote w:type="continuationSeparator" w:id="0">
    <w:p w14:paraId="3BDAABEF" w14:textId="77777777" w:rsidR="007611A8" w:rsidRDefault="007611A8" w:rsidP="004A1847">
      <w:pPr>
        <w:spacing w:after="0" w:line="240" w:lineRule="auto"/>
      </w:pPr>
      <w:r>
        <w:continuationSeparator/>
      </w:r>
    </w:p>
  </w:footnote>
  <w:footnote w:id="1">
    <w:p w14:paraId="59A966C3"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r w:rsidRPr="00A7405A">
        <w:rPr>
          <w:rStyle w:val="FootnoteReferenc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2D83462"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B5E82DF"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r w:rsidRPr="00A7405A">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p w14:paraId="03CF74BD"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p>
  </w:footnote>
  <w:footnote w:id="2">
    <w:p w14:paraId="48BE3453"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r w:rsidRPr="00A7405A">
        <w:rPr>
          <w:rStyle w:val="FootnoteReferenc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43EA40CC"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p>
  </w:footnote>
  <w:footnote w:id="3">
    <w:p w14:paraId="0CC4BA7D"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r w:rsidRPr="00A7405A">
        <w:rPr>
          <w:rStyle w:val="FootnoteReferenc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723301DB" w14:textId="77777777" w:rsidR="00756929" w:rsidRPr="00A7405A" w:rsidRDefault="00756929" w:rsidP="00756929">
      <w:pPr>
        <w:pStyle w:val="FootnoteText"/>
        <w:ind w:firstLine="709"/>
        <w:jc w:val="both"/>
        <w:rPr>
          <w:rFonts w:ascii="Verdana" w:hAnsi="Verdana" w:cs="Arial"/>
          <w:color w:val="000000" w:themeColor="text1"/>
          <w:sz w:val="16"/>
          <w:szCs w:val="16"/>
          <w:lang w:val="es-ES"/>
        </w:rPr>
      </w:pPr>
    </w:p>
  </w:footnote>
  <w:footnote w:id="4">
    <w:p w14:paraId="29DB3475" w14:textId="77777777" w:rsidR="00756929" w:rsidRPr="00A7405A" w:rsidRDefault="00756929" w:rsidP="00756929">
      <w:pPr>
        <w:pStyle w:val="FootnoteText"/>
        <w:ind w:firstLine="708"/>
        <w:jc w:val="both"/>
        <w:rPr>
          <w:rFonts w:ascii="Verdana" w:hAnsi="Verdana" w:cs="Arial"/>
          <w:color w:val="000000" w:themeColor="text1"/>
          <w:sz w:val="16"/>
          <w:szCs w:val="16"/>
          <w:lang w:val="es-CO"/>
        </w:rPr>
      </w:pPr>
      <w:r w:rsidRPr="00A7405A">
        <w:rPr>
          <w:rStyle w:val="FootnoteReferenc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190 de 1995: </w:t>
      </w:r>
      <w:r>
        <w:rPr>
          <w:rFonts w:ascii="Verdana" w:hAnsi="Verdana" w:cs="Arial"/>
          <w:color w:val="000000" w:themeColor="text1"/>
          <w:sz w:val="16"/>
          <w:szCs w:val="16"/>
        </w:rPr>
        <w:t>“</w:t>
      </w:r>
      <w:r w:rsidRPr="00A7405A">
        <w:rPr>
          <w:rFonts w:ascii="Verdana" w:hAnsi="Verdana" w:cs="Arial"/>
          <w:color w:val="000000" w:themeColor="text1"/>
          <w:sz w:val="16"/>
          <w:szCs w:val="16"/>
        </w:rPr>
        <w:t>Artículo 1.</w:t>
      </w:r>
      <w:r w:rsidRPr="00A7405A">
        <w:rPr>
          <w:rFonts w:ascii="Verdana" w:hAnsi="Verdana" w:cs="Arial"/>
          <w:color w:val="000000" w:themeColor="text1"/>
          <w:sz w:val="16"/>
          <w:szCs w:val="16"/>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597836C2" w14:textId="77777777" w:rsidR="00756929" w:rsidRPr="00A7405A" w:rsidRDefault="00756929" w:rsidP="00756929">
      <w:pPr>
        <w:pStyle w:val="FootnoteText"/>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1. Su formación académica, indicando los años de estudio cursados en los distintos niveles de educación y los títulos y certificados obtenidos.</w:t>
      </w:r>
    </w:p>
    <w:p w14:paraId="73D98A8A" w14:textId="77777777" w:rsidR="00756929" w:rsidRPr="00A7405A" w:rsidRDefault="00756929" w:rsidP="00756929">
      <w:pPr>
        <w:pStyle w:val="FootnoteText"/>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7BA4B6B5" w14:textId="77777777" w:rsidR="00756929" w:rsidRPr="00A7405A" w:rsidRDefault="00756929" w:rsidP="00756929">
      <w:pPr>
        <w:pStyle w:val="FootnoteText"/>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79023137" w14:textId="77777777" w:rsidR="00756929" w:rsidRPr="00A7405A" w:rsidRDefault="00756929" w:rsidP="00756929">
      <w:pPr>
        <w:pStyle w:val="FootnoteText"/>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4. En caso de personas jurídicas, el correspondiente certificado que acredite la representación legal.</w:t>
      </w:r>
    </w:p>
    <w:p w14:paraId="642707BC" w14:textId="77777777" w:rsidR="00756929" w:rsidRDefault="00756929" w:rsidP="00756929">
      <w:pPr>
        <w:pStyle w:val="FootnoteText"/>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w:t>
      </w:r>
      <w:r>
        <w:rPr>
          <w:rFonts w:ascii="Verdana" w:hAnsi="Verdana" w:cs="Arial"/>
          <w:color w:val="000000" w:themeColor="text1"/>
          <w:sz w:val="16"/>
          <w:szCs w:val="16"/>
          <w:lang w:val="es-CO"/>
        </w:rPr>
        <w:t>”.</w:t>
      </w:r>
    </w:p>
    <w:p w14:paraId="4860A1C5" w14:textId="77777777" w:rsidR="00756929" w:rsidRPr="00A7405A" w:rsidRDefault="00756929" w:rsidP="00756929">
      <w:pPr>
        <w:pStyle w:val="FootnoteText"/>
        <w:ind w:firstLine="708"/>
        <w:jc w:val="both"/>
        <w:rPr>
          <w:rFonts w:ascii="Verdana" w:hAnsi="Verdana" w:cs="Arial"/>
          <w:color w:val="000000" w:themeColor="text1"/>
          <w:sz w:val="16"/>
          <w:szCs w:val="16"/>
          <w:lang w:val="es-CO"/>
        </w:rPr>
      </w:pPr>
    </w:p>
  </w:footnote>
  <w:footnote w:id="5">
    <w:p w14:paraId="3E2AE0AD" w14:textId="77777777" w:rsidR="00756929" w:rsidRPr="00A7405A" w:rsidRDefault="00756929" w:rsidP="00756929">
      <w:pPr>
        <w:shd w:val="clear" w:color="auto" w:fill="FFFFFF"/>
        <w:spacing w:after="0"/>
        <w:ind w:firstLine="708"/>
        <w:jc w:val="both"/>
        <w:rPr>
          <w:rFonts w:ascii="Verdana" w:hAnsi="Verdana" w:cs="Arial"/>
          <w:color w:val="000000" w:themeColor="text1"/>
          <w:sz w:val="16"/>
          <w:szCs w:val="16"/>
        </w:rPr>
      </w:pPr>
      <w:r w:rsidRPr="00A7405A">
        <w:rPr>
          <w:rStyle w:val="FootnoteReferenc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572B8">
        <w:rPr>
          <w:rFonts w:ascii="Verdana" w:hAnsi="Verdana" w:cs="Arial"/>
          <w:color w:val="000000" w:themeColor="text1"/>
          <w:sz w:val="16"/>
          <w:szCs w:val="16"/>
        </w:rPr>
        <w:t>CORTE CONSTITUCIONAL</w:t>
      </w:r>
      <w:r w:rsidRPr="00A7405A">
        <w:rPr>
          <w:rFonts w:ascii="Verdana" w:hAnsi="Verdana" w:cs="Arial"/>
          <w:color w:val="000000" w:themeColor="text1"/>
          <w:sz w:val="16"/>
          <w:szCs w:val="16"/>
        </w:rPr>
        <w:t>. Sentencia C – 697 del 14 de junio de 2000. Expediente D-2662. Magistrado Ponente: Eduardo Cifuentes Muñoz.</w:t>
      </w:r>
    </w:p>
  </w:footnote>
  <w:footnote w:id="6">
    <w:p w14:paraId="0DFA2C16" w14:textId="77777777" w:rsidR="00756929" w:rsidRPr="00A7405A" w:rsidRDefault="00756929" w:rsidP="00756929">
      <w:pPr>
        <w:pStyle w:val="FootnoteText"/>
        <w:ind w:firstLine="709"/>
        <w:jc w:val="both"/>
        <w:rPr>
          <w:rFonts w:ascii="Verdana" w:hAnsi="Verdana" w:cs="Arial"/>
          <w:color w:val="000000" w:themeColor="text1"/>
          <w:sz w:val="16"/>
          <w:szCs w:val="16"/>
        </w:rPr>
      </w:pPr>
      <w:r w:rsidRPr="00A7405A">
        <w:rPr>
          <w:rStyle w:val="FootnoteReferenc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270 de 1996: “Artículo 85. Funciones administrativas. Corresponde a la Sala Administrativa del Consejo Superior de la Judicatura:</w:t>
      </w:r>
    </w:p>
    <w:p w14:paraId="5179F64C" w14:textId="77777777" w:rsidR="00756929" w:rsidRPr="00A7405A" w:rsidRDefault="00756929" w:rsidP="00756929">
      <w:pPr>
        <w:pStyle w:val="FootnoteText"/>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w:t>
      </w:r>
    </w:p>
    <w:p w14:paraId="4EEAA530" w14:textId="77777777" w:rsidR="00756929" w:rsidRPr="00A7405A" w:rsidRDefault="00756929" w:rsidP="00756929">
      <w:pPr>
        <w:pStyle w:val="FootnoteText"/>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20. Regular, organizar y llevar el Registro Nacional de Abogados y expedir la correspondiente Tarjeta Profesional, previa verificación de los requisitos señalados por la ley”.</w:t>
      </w:r>
    </w:p>
    <w:p w14:paraId="1AD00BA4" w14:textId="77777777" w:rsidR="00756929" w:rsidRPr="00A7405A" w:rsidRDefault="00756929" w:rsidP="00756929">
      <w:pPr>
        <w:pStyle w:val="FootnoteText"/>
        <w:ind w:firstLine="709"/>
        <w:jc w:val="both"/>
        <w:rPr>
          <w:rFonts w:ascii="Verdana" w:hAnsi="Verdana" w:cs="Arial"/>
          <w:color w:val="000000" w:themeColor="text1"/>
          <w:sz w:val="16"/>
          <w:szCs w:val="16"/>
        </w:rPr>
      </w:pPr>
    </w:p>
  </w:footnote>
  <w:footnote w:id="7">
    <w:p w14:paraId="3A5B46F4" w14:textId="77777777" w:rsidR="00756929" w:rsidRDefault="00756929" w:rsidP="00756929">
      <w:pPr>
        <w:pStyle w:val="FootnoteText"/>
        <w:ind w:firstLine="708"/>
        <w:jc w:val="both"/>
        <w:rPr>
          <w:rFonts w:ascii="Verdana" w:hAnsi="Verdana"/>
          <w:sz w:val="16"/>
          <w:szCs w:val="16"/>
        </w:rPr>
      </w:pPr>
      <w:r w:rsidRPr="00A7405A">
        <w:rPr>
          <w:rStyle w:val="FootnoteReference"/>
          <w:rFonts w:ascii="Verdana" w:hAnsi="Verdana"/>
          <w:sz w:val="16"/>
          <w:szCs w:val="16"/>
        </w:rPr>
        <w:footnoteRef/>
      </w:r>
      <w:r w:rsidRPr="00A7405A">
        <w:rPr>
          <w:rFonts w:ascii="Verdana" w:hAnsi="Verdana"/>
          <w:sz w:val="16"/>
          <w:szCs w:val="16"/>
        </w:rPr>
        <w:t xml:space="preserve"> </w:t>
      </w:r>
      <w:r w:rsidRPr="009A1A02">
        <w:rPr>
          <w:rFonts w:ascii="Verdana" w:hAnsi="Verdana"/>
          <w:sz w:val="16"/>
          <w:szCs w:val="16"/>
        </w:rPr>
        <w:t>CORTE CONSTITUCIONAL</w:t>
      </w:r>
      <w:r w:rsidRPr="00A7405A">
        <w:rPr>
          <w:rFonts w:ascii="Verdana" w:hAnsi="Verdana"/>
          <w:sz w:val="16"/>
          <w:szCs w:val="16"/>
        </w:rPr>
        <w:t>, Sentencia SU</w:t>
      </w:r>
      <w:r w:rsidRPr="00D96C70">
        <w:rPr>
          <w:rFonts w:ascii="Verdana" w:hAnsi="Verdana"/>
          <w:sz w:val="16"/>
          <w:szCs w:val="16"/>
        </w:rPr>
        <w:t>-</w:t>
      </w:r>
      <w:r w:rsidRPr="00A7405A">
        <w:rPr>
          <w:rFonts w:ascii="Verdana" w:hAnsi="Verdana"/>
          <w:sz w:val="16"/>
          <w:szCs w:val="16"/>
        </w:rPr>
        <w:t xml:space="preserve">128 del 18 de abril de 2024.  M.P. </w:t>
      </w:r>
      <w:r w:rsidRPr="00A7405A">
        <w:rPr>
          <w:rFonts w:ascii="Verdana" w:hAnsi="Verdana"/>
          <w:sz w:val="16"/>
          <w:szCs w:val="16"/>
          <w:lang w:val="es-CO"/>
        </w:rPr>
        <w:t>Natalia Ángel Cabo.</w:t>
      </w:r>
      <w:r w:rsidRPr="00A7405A">
        <w:rPr>
          <w:rFonts w:ascii="Verdana" w:hAnsi="Verdana"/>
          <w:sz w:val="16"/>
          <w:szCs w:val="16"/>
        </w:rPr>
        <w:t xml:space="preserve"> </w:t>
      </w:r>
    </w:p>
    <w:p w14:paraId="5ABDD734" w14:textId="77777777" w:rsidR="00756929" w:rsidRPr="00A7405A" w:rsidRDefault="00756929" w:rsidP="00756929">
      <w:pPr>
        <w:pStyle w:val="FootnoteText"/>
        <w:ind w:firstLine="708"/>
        <w:jc w:val="both"/>
        <w:rPr>
          <w:rFonts w:ascii="Verdana" w:hAnsi="Verdana"/>
          <w:sz w:val="16"/>
          <w:szCs w:val="16"/>
        </w:rPr>
      </w:pPr>
    </w:p>
  </w:footnote>
  <w:footnote w:id="8">
    <w:p w14:paraId="3FF5DA8E" w14:textId="77777777" w:rsidR="00756929" w:rsidRPr="00A7405A" w:rsidRDefault="00756929" w:rsidP="00756929">
      <w:pPr>
        <w:pStyle w:val="FootnoteText"/>
        <w:ind w:firstLine="708"/>
        <w:jc w:val="both"/>
        <w:rPr>
          <w:rFonts w:ascii="Verdana" w:hAnsi="Verdana"/>
          <w:sz w:val="16"/>
          <w:szCs w:val="16"/>
        </w:rPr>
      </w:pPr>
      <w:r w:rsidRPr="00A7405A">
        <w:rPr>
          <w:rStyle w:val="FootnoteReference"/>
          <w:rFonts w:ascii="Verdana" w:hAnsi="Verdana"/>
          <w:sz w:val="16"/>
          <w:szCs w:val="16"/>
        </w:rPr>
        <w:footnoteRef/>
      </w:r>
      <w:r w:rsidRPr="00A7405A">
        <w:rPr>
          <w:rFonts w:ascii="Verdana" w:hAnsi="Verdana"/>
          <w:sz w:val="16"/>
          <w:szCs w:val="16"/>
        </w:rPr>
        <w:t xml:space="preserve"> Ibid</w:t>
      </w:r>
      <w:r>
        <w:rPr>
          <w:rFonts w:ascii="Verdana" w:hAnsi="Verdana"/>
          <w:sz w:val="16"/>
          <w:szCs w:val="16"/>
        </w:rPr>
        <w:t xml:space="preserve">. </w:t>
      </w:r>
    </w:p>
  </w:footnote>
  <w:footnote w:id="9">
    <w:p w14:paraId="55CE4C4E" w14:textId="77777777" w:rsidR="00756929" w:rsidRPr="00A7405A" w:rsidRDefault="00756929" w:rsidP="00756929">
      <w:pPr>
        <w:pStyle w:val="FootnoteText"/>
        <w:ind w:firstLine="708"/>
        <w:rPr>
          <w:rFonts w:ascii="Verdana" w:hAnsi="Verdana"/>
          <w:sz w:val="16"/>
          <w:szCs w:val="16"/>
        </w:rPr>
      </w:pPr>
      <w:r w:rsidRPr="00A7405A">
        <w:rPr>
          <w:rStyle w:val="FootnoteReference"/>
          <w:rFonts w:ascii="Verdana" w:hAnsi="Verdana"/>
          <w:sz w:val="16"/>
          <w:szCs w:val="16"/>
        </w:rPr>
        <w:footnoteRef/>
      </w:r>
      <w:r w:rsidRPr="00A7405A">
        <w:rPr>
          <w:rFonts w:ascii="Verdana" w:hAnsi="Verdana"/>
          <w:sz w:val="16"/>
          <w:szCs w:val="16"/>
        </w:rPr>
        <w:t xml:space="preserve"> Ibid.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3FA86220" w:rsidR="008A446D" w:rsidRPr="00C925AC" w:rsidRDefault="008A446D" w:rsidP="00A52470">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F6B63CC2"/>
    <w:lvl w:ilvl="0" w:tplc="9438AED6">
      <w:start w:val="1"/>
      <w:numFmt w:val="bullet"/>
      <w:lvlText w:val=""/>
      <w:lvlJc w:val="left"/>
      <w:pPr>
        <w:ind w:left="786"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25B"/>
    <w:rsid w:val="00046945"/>
    <w:rsid w:val="00061B2A"/>
    <w:rsid w:val="00082362"/>
    <w:rsid w:val="000A683E"/>
    <w:rsid w:val="000B19B9"/>
    <w:rsid w:val="000C2674"/>
    <w:rsid w:val="000D0334"/>
    <w:rsid w:val="000D5DA7"/>
    <w:rsid w:val="000F6486"/>
    <w:rsid w:val="00116940"/>
    <w:rsid w:val="00125105"/>
    <w:rsid w:val="00127233"/>
    <w:rsid w:val="00132A2E"/>
    <w:rsid w:val="0015699B"/>
    <w:rsid w:val="00163EA3"/>
    <w:rsid w:val="001A33BF"/>
    <w:rsid w:val="001E4177"/>
    <w:rsid w:val="001F0B24"/>
    <w:rsid w:val="001F7DC6"/>
    <w:rsid w:val="0022400B"/>
    <w:rsid w:val="002421BB"/>
    <w:rsid w:val="00252F76"/>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4AA2"/>
    <w:rsid w:val="003448F4"/>
    <w:rsid w:val="00374F5E"/>
    <w:rsid w:val="00377E3E"/>
    <w:rsid w:val="003946B5"/>
    <w:rsid w:val="003A779E"/>
    <w:rsid w:val="003D0F4D"/>
    <w:rsid w:val="003D5B0D"/>
    <w:rsid w:val="003E0499"/>
    <w:rsid w:val="003E4F80"/>
    <w:rsid w:val="003E6439"/>
    <w:rsid w:val="003E7C07"/>
    <w:rsid w:val="003F05C2"/>
    <w:rsid w:val="003F3941"/>
    <w:rsid w:val="00406575"/>
    <w:rsid w:val="00414C74"/>
    <w:rsid w:val="00422634"/>
    <w:rsid w:val="0042722E"/>
    <w:rsid w:val="00434FC3"/>
    <w:rsid w:val="004355F9"/>
    <w:rsid w:val="00437E2F"/>
    <w:rsid w:val="0044528D"/>
    <w:rsid w:val="00466E39"/>
    <w:rsid w:val="004A1847"/>
    <w:rsid w:val="004A305D"/>
    <w:rsid w:val="004F21C4"/>
    <w:rsid w:val="004F685F"/>
    <w:rsid w:val="005566E8"/>
    <w:rsid w:val="00574867"/>
    <w:rsid w:val="00591284"/>
    <w:rsid w:val="00591460"/>
    <w:rsid w:val="005A65E0"/>
    <w:rsid w:val="005C3777"/>
    <w:rsid w:val="005C5CDC"/>
    <w:rsid w:val="005D476C"/>
    <w:rsid w:val="005D6F69"/>
    <w:rsid w:val="006200BF"/>
    <w:rsid w:val="006219F8"/>
    <w:rsid w:val="006302F7"/>
    <w:rsid w:val="00646B9F"/>
    <w:rsid w:val="00665D70"/>
    <w:rsid w:val="006900D9"/>
    <w:rsid w:val="006A34D4"/>
    <w:rsid w:val="006A5F09"/>
    <w:rsid w:val="00706C16"/>
    <w:rsid w:val="007340C3"/>
    <w:rsid w:val="0075235A"/>
    <w:rsid w:val="00756841"/>
    <w:rsid w:val="00756929"/>
    <w:rsid w:val="007611A8"/>
    <w:rsid w:val="007649AB"/>
    <w:rsid w:val="00771D0C"/>
    <w:rsid w:val="007833AC"/>
    <w:rsid w:val="0078545A"/>
    <w:rsid w:val="007B268C"/>
    <w:rsid w:val="007B7171"/>
    <w:rsid w:val="007C0C0F"/>
    <w:rsid w:val="007C21D5"/>
    <w:rsid w:val="007C3DC2"/>
    <w:rsid w:val="007D3B38"/>
    <w:rsid w:val="007E5497"/>
    <w:rsid w:val="00806F5F"/>
    <w:rsid w:val="00820278"/>
    <w:rsid w:val="008258C9"/>
    <w:rsid w:val="008364AC"/>
    <w:rsid w:val="00844AE9"/>
    <w:rsid w:val="00867F95"/>
    <w:rsid w:val="00877A12"/>
    <w:rsid w:val="00882B48"/>
    <w:rsid w:val="008830B6"/>
    <w:rsid w:val="008843B6"/>
    <w:rsid w:val="00891928"/>
    <w:rsid w:val="008A446D"/>
    <w:rsid w:val="008B25F1"/>
    <w:rsid w:val="008D180B"/>
    <w:rsid w:val="008D4C82"/>
    <w:rsid w:val="008F0EA7"/>
    <w:rsid w:val="00923EEF"/>
    <w:rsid w:val="009419F9"/>
    <w:rsid w:val="0094333F"/>
    <w:rsid w:val="0095685E"/>
    <w:rsid w:val="00961B09"/>
    <w:rsid w:val="00965334"/>
    <w:rsid w:val="0097093E"/>
    <w:rsid w:val="009A0DFA"/>
    <w:rsid w:val="009A1C6F"/>
    <w:rsid w:val="009B2D26"/>
    <w:rsid w:val="009C5BC5"/>
    <w:rsid w:val="009C71FA"/>
    <w:rsid w:val="009C72E7"/>
    <w:rsid w:val="009C7F7E"/>
    <w:rsid w:val="009D3058"/>
    <w:rsid w:val="009E0CD2"/>
    <w:rsid w:val="009F3A13"/>
    <w:rsid w:val="00A00E8A"/>
    <w:rsid w:val="00A122D3"/>
    <w:rsid w:val="00A14468"/>
    <w:rsid w:val="00A17F13"/>
    <w:rsid w:val="00A20739"/>
    <w:rsid w:val="00A23AF9"/>
    <w:rsid w:val="00A33C78"/>
    <w:rsid w:val="00A52470"/>
    <w:rsid w:val="00A52AD3"/>
    <w:rsid w:val="00A807BA"/>
    <w:rsid w:val="00AB0ADB"/>
    <w:rsid w:val="00AD0C3A"/>
    <w:rsid w:val="00B00C0E"/>
    <w:rsid w:val="00B01B1A"/>
    <w:rsid w:val="00B0381D"/>
    <w:rsid w:val="00B44A47"/>
    <w:rsid w:val="00B72CD3"/>
    <w:rsid w:val="00B72FFF"/>
    <w:rsid w:val="00BA7B5B"/>
    <w:rsid w:val="00BC3D36"/>
    <w:rsid w:val="00BD54A6"/>
    <w:rsid w:val="00BD7F72"/>
    <w:rsid w:val="00BF7425"/>
    <w:rsid w:val="00C04FB3"/>
    <w:rsid w:val="00C11D8B"/>
    <w:rsid w:val="00C15139"/>
    <w:rsid w:val="00C330EB"/>
    <w:rsid w:val="00C50D69"/>
    <w:rsid w:val="00C5365C"/>
    <w:rsid w:val="00C754BE"/>
    <w:rsid w:val="00C76B1C"/>
    <w:rsid w:val="00C8213C"/>
    <w:rsid w:val="00C925AC"/>
    <w:rsid w:val="00CA0F28"/>
    <w:rsid w:val="00CB6357"/>
    <w:rsid w:val="00CC1B26"/>
    <w:rsid w:val="00D06E85"/>
    <w:rsid w:val="00D13842"/>
    <w:rsid w:val="00D361FD"/>
    <w:rsid w:val="00D423A2"/>
    <w:rsid w:val="00D44E26"/>
    <w:rsid w:val="00D520D8"/>
    <w:rsid w:val="00D63AC2"/>
    <w:rsid w:val="00D7383B"/>
    <w:rsid w:val="00D7788A"/>
    <w:rsid w:val="00D90E32"/>
    <w:rsid w:val="00DA231B"/>
    <w:rsid w:val="00DB6B16"/>
    <w:rsid w:val="00DC39FC"/>
    <w:rsid w:val="00DF5254"/>
    <w:rsid w:val="00E02524"/>
    <w:rsid w:val="00E16408"/>
    <w:rsid w:val="00E20894"/>
    <w:rsid w:val="00E245AB"/>
    <w:rsid w:val="00E25FAB"/>
    <w:rsid w:val="00E2764C"/>
    <w:rsid w:val="00E27F2E"/>
    <w:rsid w:val="00E50AFE"/>
    <w:rsid w:val="00E57DDD"/>
    <w:rsid w:val="00E75C92"/>
    <w:rsid w:val="00E771DC"/>
    <w:rsid w:val="00E8772A"/>
    <w:rsid w:val="00E90F6B"/>
    <w:rsid w:val="00E92C27"/>
    <w:rsid w:val="00EA0E3D"/>
    <w:rsid w:val="00EB04B4"/>
    <w:rsid w:val="00EC38A7"/>
    <w:rsid w:val="00EC7C4A"/>
    <w:rsid w:val="00EE1AA8"/>
    <w:rsid w:val="00EF7430"/>
    <w:rsid w:val="00F23FEA"/>
    <w:rsid w:val="00F31EDC"/>
    <w:rsid w:val="00F462B3"/>
    <w:rsid w:val="00F5664F"/>
    <w:rsid w:val="00F666C4"/>
    <w:rsid w:val="00F76AFC"/>
    <w:rsid w:val="00FA0FBB"/>
    <w:rsid w:val="00FA47C0"/>
    <w:rsid w:val="00FB0207"/>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9B6A53B-4AC6-47D9-AF05-8C42E0A5F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756929"/>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756929"/>
    <w:rPr>
      <w:rFonts w:ascii="Geomanist Light" w:hAnsi="Geomanist Light"/>
      <w:lang w:val="es-ES"/>
    </w:rPr>
  </w:style>
  <w:style w:type="paragraph" w:styleId="NoSpacing">
    <w:name w:val="No Spacing"/>
    <w:uiPriority w:val="1"/>
    <w:qFormat/>
    <w:rsid w:val="007569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lanosromeroabogado@outlook.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2E3A20A-C851-4A03-B0DE-274C69D041D4}">
  <ds:schemaRefs>
    <ds:schemaRef ds:uri="http://schemas.openxmlformats.org/officeDocument/2006/bibliography"/>
  </ds:schemaRefs>
</ds:datastoreItem>
</file>

<file path=customXml/itemProps3.xml><?xml version="1.0" encoding="utf-8"?>
<ds:datastoreItem xmlns:ds="http://schemas.openxmlformats.org/officeDocument/2006/customXml" ds:itemID="{9736502F-D311-4746-B16D-B3B4A7B096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93</TotalTime>
  <Pages>1</Pages>
  <Words>5864</Words>
  <Characters>33429</Characters>
  <Application>Microsoft Office Word</Application>
  <DocSecurity>4</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39215</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8126536</vt:i4>
      </vt:variant>
      <vt:variant>
        <vt:i4>0</vt:i4>
      </vt:variant>
      <vt:variant>
        <vt:i4>0</vt:i4>
      </vt:variant>
      <vt:variant>
        <vt:i4>5</vt:i4>
      </vt:variant>
      <vt:variant>
        <vt:lpwstr>mailto:llanosromeroabogado@outlook.com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14</cp:revision>
  <cp:lastPrinted>2023-01-11T00:18:00Z</cp:lastPrinted>
  <dcterms:created xsi:type="dcterms:W3CDTF">2026-03-05T01:15:00Z</dcterms:created>
  <dcterms:modified xsi:type="dcterms:W3CDTF">2026-03-24T18:43:00Z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